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520" w:rsidRPr="00901CD2" w:rsidRDefault="00363520" w:rsidP="007E7976">
      <w:pPr>
        <w:spacing w:after="0" w:line="240" w:lineRule="auto"/>
        <w:jc w:val="center"/>
        <w:rPr>
          <w:rFonts w:ascii="Verdana" w:hAnsi="Verdana"/>
          <w:sz w:val="20"/>
          <w:szCs w:val="20"/>
        </w:rPr>
      </w:pPr>
      <w:bookmarkStart w:id="0" w:name="_GoBack"/>
      <w:bookmarkEnd w:id="0"/>
    </w:p>
    <w:p w:rsidR="00363520" w:rsidRPr="00901CD2" w:rsidRDefault="00363520" w:rsidP="007E7976">
      <w:pPr>
        <w:spacing w:after="0" w:line="240" w:lineRule="auto"/>
        <w:jc w:val="center"/>
        <w:rPr>
          <w:rFonts w:ascii="Verdana" w:hAnsi="Verdana"/>
          <w:sz w:val="20"/>
          <w:szCs w:val="20"/>
        </w:rPr>
      </w:pPr>
    </w:p>
    <w:p w:rsidR="00363520" w:rsidRPr="00901CD2" w:rsidRDefault="00363520" w:rsidP="007E7976">
      <w:pPr>
        <w:spacing w:after="0" w:line="240" w:lineRule="auto"/>
        <w:jc w:val="center"/>
        <w:rPr>
          <w:rFonts w:ascii="Verdana" w:hAnsi="Verdana"/>
          <w:sz w:val="20"/>
          <w:szCs w:val="20"/>
        </w:rPr>
      </w:pPr>
    </w:p>
    <w:p w:rsidR="005962C3" w:rsidRPr="00901CD2" w:rsidRDefault="005962C3" w:rsidP="007E7976">
      <w:pPr>
        <w:spacing w:after="0" w:line="240" w:lineRule="auto"/>
        <w:jc w:val="center"/>
        <w:rPr>
          <w:rFonts w:ascii="Verdana" w:hAnsi="Verdana"/>
          <w:b/>
          <w:sz w:val="20"/>
          <w:szCs w:val="20"/>
          <w:lang w:val="es-CR"/>
        </w:rPr>
      </w:pPr>
    </w:p>
    <w:p w:rsidR="005962C3" w:rsidRPr="00901CD2" w:rsidRDefault="005962C3" w:rsidP="007E7976">
      <w:pPr>
        <w:spacing w:after="0" w:line="240" w:lineRule="auto"/>
        <w:jc w:val="center"/>
        <w:rPr>
          <w:rFonts w:ascii="Verdana" w:hAnsi="Verdana"/>
          <w:b/>
          <w:sz w:val="20"/>
          <w:szCs w:val="20"/>
          <w:lang w:val="es-CR"/>
        </w:rPr>
      </w:pPr>
      <w:r w:rsidRPr="00901CD2">
        <w:rPr>
          <w:rFonts w:ascii="Verdana" w:hAnsi="Verdana"/>
          <w:b/>
          <w:sz w:val="20"/>
          <w:szCs w:val="20"/>
          <w:lang w:val="es-CR"/>
        </w:rPr>
        <w:t>VOTO CONCURRENTE DEL JUEZ DIEGO GARCIA-SAYÁN</w:t>
      </w:r>
    </w:p>
    <w:p w:rsidR="005962C3" w:rsidRPr="00901CD2" w:rsidRDefault="005962C3" w:rsidP="007E7976">
      <w:pPr>
        <w:spacing w:after="0" w:line="240" w:lineRule="auto"/>
        <w:jc w:val="center"/>
        <w:rPr>
          <w:rFonts w:ascii="Verdana" w:hAnsi="Verdana"/>
          <w:b/>
          <w:sz w:val="20"/>
          <w:szCs w:val="20"/>
          <w:lang w:val="es-CR"/>
        </w:rPr>
      </w:pPr>
      <w:r w:rsidRPr="00901CD2">
        <w:rPr>
          <w:rFonts w:ascii="Verdana" w:hAnsi="Verdana"/>
          <w:b/>
          <w:sz w:val="20"/>
          <w:szCs w:val="20"/>
          <w:lang w:val="es-CR"/>
        </w:rPr>
        <w:t>SENTENCIA DE LA CORTE INTERAMERICANA DE DERECHOS HUMANOS</w:t>
      </w:r>
    </w:p>
    <w:p w:rsidR="005962C3" w:rsidRPr="00901CD2" w:rsidRDefault="005962C3" w:rsidP="007E7976">
      <w:pPr>
        <w:spacing w:after="0" w:line="240" w:lineRule="auto"/>
        <w:jc w:val="center"/>
        <w:rPr>
          <w:rFonts w:ascii="Verdana" w:hAnsi="Verdana"/>
          <w:b/>
          <w:sz w:val="20"/>
          <w:szCs w:val="20"/>
          <w:lang w:val="es-CR"/>
        </w:rPr>
      </w:pPr>
      <w:r w:rsidRPr="00901CD2">
        <w:rPr>
          <w:rFonts w:ascii="Verdana" w:hAnsi="Verdana"/>
          <w:b/>
          <w:sz w:val="20"/>
          <w:szCs w:val="20"/>
          <w:lang w:val="es-CR"/>
        </w:rPr>
        <w:t>CASO GRANIER Y OTROS (</w:t>
      </w:r>
      <w:r w:rsidRPr="00426463">
        <w:rPr>
          <w:rFonts w:ascii="Verdana" w:hAnsi="Verdana"/>
          <w:b/>
          <w:i/>
          <w:sz w:val="20"/>
          <w:szCs w:val="20"/>
          <w:lang w:val="es-CR"/>
        </w:rPr>
        <w:t>RADIO CARACAS TELEVISIÓN</w:t>
      </w:r>
      <w:r w:rsidRPr="00901CD2">
        <w:rPr>
          <w:rFonts w:ascii="Verdana" w:hAnsi="Verdana"/>
          <w:b/>
          <w:sz w:val="20"/>
          <w:szCs w:val="20"/>
          <w:lang w:val="es-CR"/>
        </w:rPr>
        <w:t xml:space="preserve">) </w:t>
      </w:r>
      <w:r w:rsidRPr="00426463">
        <w:rPr>
          <w:rFonts w:ascii="Verdana" w:hAnsi="Verdana"/>
          <w:b/>
          <w:i/>
          <w:sz w:val="20"/>
          <w:szCs w:val="20"/>
          <w:lang w:val="es-CR"/>
        </w:rPr>
        <w:t>VS</w:t>
      </w:r>
      <w:r w:rsidRPr="00901CD2">
        <w:rPr>
          <w:rFonts w:ascii="Verdana" w:hAnsi="Verdana"/>
          <w:b/>
          <w:sz w:val="20"/>
          <w:szCs w:val="20"/>
          <w:lang w:val="es-CR"/>
        </w:rPr>
        <w:t>. VENEZUELA</w:t>
      </w:r>
    </w:p>
    <w:p w:rsidR="00DC7F67" w:rsidRPr="00901CD2" w:rsidRDefault="005962C3" w:rsidP="007E7976">
      <w:pPr>
        <w:spacing w:after="0" w:line="240" w:lineRule="auto"/>
        <w:jc w:val="center"/>
        <w:rPr>
          <w:rFonts w:ascii="Verdana" w:hAnsi="Verdana"/>
          <w:b/>
          <w:sz w:val="20"/>
          <w:szCs w:val="20"/>
          <w:lang w:val="es-CR"/>
        </w:rPr>
      </w:pPr>
      <w:r w:rsidRPr="00901CD2">
        <w:rPr>
          <w:rFonts w:ascii="Verdana" w:hAnsi="Verdana"/>
          <w:b/>
          <w:sz w:val="20"/>
          <w:szCs w:val="20"/>
          <w:lang w:val="es-CR"/>
        </w:rPr>
        <w:t>SENTENCIA DE 22 DE JUNIO DE 2015</w:t>
      </w:r>
    </w:p>
    <w:p w:rsidR="00363520" w:rsidRPr="00901CD2" w:rsidRDefault="005962C3" w:rsidP="007E7976">
      <w:pPr>
        <w:spacing w:after="0" w:line="240" w:lineRule="auto"/>
        <w:jc w:val="center"/>
        <w:rPr>
          <w:rFonts w:ascii="Verdana" w:hAnsi="Verdana"/>
          <w:b/>
          <w:sz w:val="20"/>
          <w:szCs w:val="20"/>
          <w:lang w:val="es-CR"/>
        </w:rPr>
      </w:pPr>
      <w:r w:rsidRPr="00901CD2">
        <w:rPr>
          <w:rFonts w:ascii="Verdana" w:hAnsi="Verdana"/>
          <w:b/>
          <w:sz w:val="20"/>
          <w:szCs w:val="20"/>
          <w:lang w:val="es-CR"/>
        </w:rPr>
        <w:t>(Excepciones Preliminares, Fondo, Reparaciones y Costas)</w:t>
      </w:r>
    </w:p>
    <w:p w:rsidR="00DC7F67" w:rsidRPr="00901CD2" w:rsidRDefault="00DC7F67" w:rsidP="007E7976">
      <w:pPr>
        <w:spacing w:after="0" w:line="240" w:lineRule="auto"/>
        <w:jc w:val="center"/>
        <w:rPr>
          <w:rFonts w:ascii="Verdana" w:hAnsi="Verdana"/>
          <w:b/>
          <w:sz w:val="20"/>
          <w:szCs w:val="20"/>
          <w:lang w:val="es-CR"/>
        </w:rPr>
      </w:pPr>
    </w:p>
    <w:p w:rsidR="00DC7F67" w:rsidRPr="00901CD2" w:rsidRDefault="00DC7F67" w:rsidP="007E7976">
      <w:pPr>
        <w:spacing w:after="0" w:line="240" w:lineRule="auto"/>
        <w:jc w:val="center"/>
        <w:rPr>
          <w:rFonts w:ascii="Verdana" w:hAnsi="Verdana"/>
          <w:b/>
          <w:sz w:val="20"/>
          <w:szCs w:val="20"/>
          <w:lang w:val="es-CR"/>
        </w:rPr>
      </w:pPr>
    </w:p>
    <w:p w:rsidR="00DC7F67" w:rsidRPr="00901CD2" w:rsidRDefault="00DC7F67" w:rsidP="007E7976">
      <w:pPr>
        <w:spacing w:after="0" w:line="240" w:lineRule="auto"/>
        <w:jc w:val="center"/>
        <w:rPr>
          <w:rFonts w:ascii="Verdana" w:hAnsi="Verdana"/>
          <w:b/>
          <w:sz w:val="20"/>
          <w:szCs w:val="20"/>
          <w:lang w:val="es-CR"/>
        </w:rPr>
      </w:pPr>
    </w:p>
    <w:p w:rsidR="00DC7F67" w:rsidRPr="00901CD2" w:rsidRDefault="00DC7F67" w:rsidP="007E7976">
      <w:pPr>
        <w:spacing w:after="0" w:line="240" w:lineRule="auto"/>
        <w:jc w:val="center"/>
        <w:rPr>
          <w:rFonts w:ascii="Verdana" w:hAnsi="Verdana"/>
          <w:sz w:val="20"/>
          <w:szCs w:val="20"/>
          <w:lang w:val="es-CR"/>
        </w:rPr>
      </w:pPr>
    </w:p>
    <w:p w:rsidR="00363520" w:rsidRPr="00901CD2" w:rsidRDefault="00363520" w:rsidP="007E7976">
      <w:pPr>
        <w:spacing w:after="0" w:line="240" w:lineRule="auto"/>
        <w:jc w:val="both"/>
        <w:rPr>
          <w:rFonts w:ascii="Verdana" w:hAnsi="Verdana"/>
          <w:sz w:val="20"/>
          <w:szCs w:val="20"/>
        </w:rPr>
      </w:pPr>
    </w:p>
    <w:p w:rsidR="005962C3" w:rsidRPr="00901CD2" w:rsidRDefault="00363520" w:rsidP="007E7976">
      <w:pPr>
        <w:pStyle w:val="ListParagraph"/>
        <w:numPr>
          <w:ilvl w:val="0"/>
          <w:numId w:val="4"/>
        </w:numPr>
        <w:spacing w:after="0" w:line="240" w:lineRule="auto"/>
        <w:ind w:left="0" w:firstLine="0"/>
        <w:jc w:val="both"/>
        <w:rPr>
          <w:rFonts w:ascii="Verdana" w:hAnsi="Verdana"/>
          <w:sz w:val="20"/>
          <w:szCs w:val="20"/>
        </w:rPr>
      </w:pPr>
      <w:r w:rsidRPr="00901CD2">
        <w:rPr>
          <w:rFonts w:ascii="Verdana" w:hAnsi="Verdana"/>
          <w:sz w:val="20"/>
          <w:szCs w:val="20"/>
        </w:rPr>
        <w:t>En esta sentencia la Corte reafirma y desarrolla principios fundamentales acerca de la libertad de expresión en su relación con el pluralismo democrático y el correspondiente deber de garantizar por parte de los Estados</w:t>
      </w:r>
      <w:r w:rsidR="005962C3" w:rsidRPr="00901CD2">
        <w:rPr>
          <w:rFonts w:ascii="Verdana" w:hAnsi="Verdana"/>
          <w:sz w:val="20"/>
          <w:szCs w:val="20"/>
        </w:rPr>
        <w:t xml:space="preserve"> en diversos aspectos, incluido el tema de la concentración de medios</w:t>
      </w:r>
      <w:r w:rsidRPr="00901CD2">
        <w:rPr>
          <w:rFonts w:ascii="Verdana" w:hAnsi="Verdana"/>
          <w:sz w:val="20"/>
          <w:szCs w:val="20"/>
        </w:rPr>
        <w:t xml:space="preserve">. </w:t>
      </w:r>
    </w:p>
    <w:p w:rsidR="005962C3" w:rsidRPr="00901CD2" w:rsidRDefault="005962C3" w:rsidP="007E7976">
      <w:pPr>
        <w:spacing w:after="0" w:line="240" w:lineRule="auto"/>
        <w:jc w:val="both"/>
        <w:rPr>
          <w:rFonts w:ascii="Verdana" w:hAnsi="Verdana"/>
          <w:sz w:val="20"/>
          <w:szCs w:val="20"/>
          <w:u w:val="single"/>
        </w:rPr>
      </w:pPr>
    </w:p>
    <w:p w:rsidR="005962C3" w:rsidRPr="00426463" w:rsidRDefault="005962C3" w:rsidP="007E7976">
      <w:pPr>
        <w:spacing w:after="0" w:line="240" w:lineRule="auto"/>
        <w:jc w:val="both"/>
        <w:rPr>
          <w:rFonts w:ascii="Verdana" w:hAnsi="Verdana"/>
          <w:b/>
          <w:sz w:val="20"/>
          <w:szCs w:val="20"/>
        </w:rPr>
      </w:pPr>
      <w:r w:rsidRPr="00426463">
        <w:rPr>
          <w:rFonts w:ascii="Verdana" w:hAnsi="Verdana"/>
          <w:b/>
          <w:sz w:val="20"/>
          <w:szCs w:val="20"/>
          <w:u w:val="single"/>
        </w:rPr>
        <w:t>Libertad de expresión y deber de garantizar</w:t>
      </w:r>
      <w:r w:rsidRPr="00426463">
        <w:rPr>
          <w:rFonts w:ascii="Verdana" w:hAnsi="Verdana"/>
          <w:b/>
          <w:sz w:val="20"/>
          <w:szCs w:val="20"/>
        </w:rPr>
        <w:t>.</w:t>
      </w:r>
    </w:p>
    <w:p w:rsidR="005962C3" w:rsidRPr="00901CD2" w:rsidRDefault="005962C3" w:rsidP="007E7976">
      <w:pPr>
        <w:pStyle w:val="ListParagraph"/>
        <w:spacing w:after="0" w:line="240" w:lineRule="auto"/>
        <w:ind w:left="0"/>
        <w:jc w:val="both"/>
        <w:rPr>
          <w:rFonts w:ascii="Verdana" w:hAnsi="Verdana"/>
          <w:sz w:val="20"/>
          <w:szCs w:val="20"/>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rPr>
      </w:pPr>
      <w:r w:rsidRPr="00901CD2">
        <w:rPr>
          <w:rFonts w:ascii="Verdana" w:hAnsi="Verdana"/>
          <w:sz w:val="20"/>
          <w:szCs w:val="20"/>
        </w:rPr>
        <w:t>En conceptos de su jurisprudencia constante</w:t>
      </w:r>
      <w:r w:rsidR="005962C3" w:rsidRPr="00901CD2">
        <w:rPr>
          <w:rFonts w:ascii="Verdana" w:hAnsi="Verdana"/>
          <w:sz w:val="20"/>
          <w:szCs w:val="20"/>
        </w:rPr>
        <w:t xml:space="preserve"> que se reiteran e</w:t>
      </w:r>
      <w:r w:rsidRPr="00901CD2">
        <w:rPr>
          <w:rFonts w:ascii="Verdana" w:hAnsi="Verdana"/>
          <w:sz w:val="20"/>
          <w:szCs w:val="20"/>
        </w:rPr>
        <w:t>n esta sentencia</w:t>
      </w:r>
      <w:r w:rsidR="005962C3" w:rsidRPr="00901CD2">
        <w:rPr>
          <w:rFonts w:ascii="Verdana" w:hAnsi="Verdana"/>
          <w:sz w:val="20"/>
          <w:szCs w:val="20"/>
        </w:rPr>
        <w:t>,</w:t>
      </w:r>
      <w:r w:rsidRPr="00901CD2">
        <w:rPr>
          <w:rFonts w:ascii="Verdana" w:hAnsi="Verdana"/>
          <w:sz w:val="20"/>
          <w:szCs w:val="20"/>
        </w:rPr>
        <w:t xml:space="preserve"> la Corte establece que </w:t>
      </w:r>
      <w:r w:rsidRPr="00426463">
        <w:rPr>
          <w:rFonts w:ascii="Verdana" w:hAnsi="Verdana"/>
          <w:sz w:val="20"/>
          <w:szCs w:val="20"/>
        </w:rPr>
        <w:t>“la libertad de expresión, particularmente en asuntos de interés público, ‘es una piedra angular en la existencia misma de una sociedad democrática´”</w:t>
      </w:r>
      <w:r w:rsidR="001478A6" w:rsidRPr="00901CD2">
        <w:rPr>
          <w:rStyle w:val="FootnoteReference"/>
          <w:rFonts w:ascii="Verdana" w:hAnsi="Verdana"/>
          <w:sz w:val="20"/>
          <w:szCs w:val="20"/>
        </w:rPr>
        <w:footnoteReference w:id="1"/>
      </w:r>
      <w:r w:rsidRPr="00901CD2">
        <w:rPr>
          <w:rFonts w:ascii="Verdana" w:hAnsi="Verdana"/>
          <w:sz w:val="20"/>
          <w:szCs w:val="20"/>
        </w:rPr>
        <w:t xml:space="preserve">. Siendo ello así, corresponde a los Estados no sólo respetar la libertad de expresión sino garantizarla, incluyendo no sólo </w:t>
      </w:r>
      <w:r w:rsidRPr="00426463">
        <w:rPr>
          <w:rFonts w:ascii="Verdana" w:hAnsi="Verdana"/>
          <w:sz w:val="20"/>
          <w:szCs w:val="20"/>
        </w:rPr>
        <w:t>“la difusión de información o ideas que son recibidas favorablemente o consideradas como inofensivas o indiferentes, sino también en lo que toca a las que resultan ingratas para el Estado o cualquier sector de la población”</w:t>
      </w:r>
      <w:r w:rsidR="00CF55EA" w:rsidRPr="00901CD2">
        <w:rPr>
          <w:rStyle w:val="FootnoteReference"/>
          <w:rFonts w:ascii="Verdana" w:hAnsi="Verdana"/>
          <w:sz w:val="20"/>
          <w:szCs w:val="20"/>
        </w:rPr>
        <w:t xml:space="preserve"> </w:t>
      </w:r>
      <w:r w:rsidR="00CF55EA" w:rsidRPr="00901CD2">
        <w:rPr>
          <w:rStyle w:val="FootnoteReference"/>
          <w:rFonts w:ascii="Verdana" w:hAnsi="Verdana"/>
          <w:sz w:val="20"/>
          <w:szCs w:val="20"/>
        </w:rPr>
        <w:footnoteReference w:id="2"/>
      </w:r>
      <w:r w:rsidRPr="00901CD2">
        <w:rPr>
          <w:rFonts w:ascii="Verdana" w:hAnsi="Verdana"/>
          <w:sz w:val="20"/>
          <w:szCs w:val="20"/>
        </w:rPr>
        <w:t xml:space="preserve">. </w:t>
      </w:r>
    </w:p>
    <w:p w:rsidR="00363520" w:rsidRPr="00901CD2" w:rsidRDefault="00363520" w:rsidP="007E7976">
      <w:pPr>
        <w:pStyle w:val="ListParagraph"/>
        <w:spacing w:after="0" w:line="240" w:lineRule="auto"/>
        <w:ind w:left="0"/>
        <w:jc w:val="both"/>
        <w:rPr>
          <w:rFonts w:ascii="Verdana" w:hAnsi="Verdana"/>
          <w:sz w:val="20"/>
          <w:szCs w:val="20"/>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rPr>
      </w:pPr>
      <w:r w:rsidRPr="00901CD2">
        <w:rPr>
          <w:rFonts w:ascii="Verdana" w:hAnsi="Verdana"/>
          <w:sz w:val="20"/>
          <w:szCs w:val="20"/>
        </w:rPr>
        <w:t xml:space="preserve">Al enfatizar el carácter medular de la protección de la libertad de expresión como “piedra angular” de la sociedad democrática, la Corte reitera tres principios fundamentales que el tribunal ha identificado de manera invariable </w:t>
      </w:r>
      <w:r w:rsidR="005962C3" w:rsidRPr="00901CD2">
        <w:rPr>
          <w:rFonts w:ascii="Verdana" w:hAnsi="Verdana"/>
          <w:sz w:val="20"/>
          <w:szCs w:val="20"/>
        </w:rPr>
        <w:t xml:space="preserve">y constante </w:t>
      </w:r>
      <w:r w:rsidRPr="00901CD2">
        <w:rPr>
          <w:rFonts w:ascii="Verdana" w:hAnsi="Verdana"/>
          <w:sz w:val="20"/>
          <w:szCs w:val="20"/>
        </w:rPr>
        <w:t>en vinculación directa a la libertad de expresión: el ejercicio de la libertad de expresión en armonía con otros derechos</w:t>
      </w:r>
      <w:r w:rsidR="00CF55EA" w:rsidRPr="00901CD2">
        <w:rPr>
          <w:rStyle w:val="FootnoteReference"/>
          <w:rFonts w:ascii="Verdana" w:hAnsi="Verdana"/>
          <w:sz w:val="20"/>
          <w:szCs w:val="20"/>
        </w:rPr>
        <w:footnoteReference w:id="3"/>
      </w:r>
      <w:r w:rsidRPr="00901CD2">
        <w:rPr>
          <w:rFonts w:ascii="Verdana" w:hAnsi="Verdana"/>
          <w:sz w:val="20"/>
          <w:szCs w:val="20"/>
        </w:rPr>
        <w:t>; los deberes de los periodistas y</w:t>
      </w:r>
      <w:r w:rsidR="004D6733" w:rsidRPr="00901CD2">
        <w:rPr>
          <w:rFonts w:ascii="Verdana" w:hAnsi="Verdana"/>
          <w:sz w:val="20"/>
          <w:szCs w:val="20"/>
        </w:rPr>
        <w:t xml:space="preserve"> </w:t>
      </w:r>
      <w:r w:rsidR="005637AB">
        <w:rPr>
          <w:rFonts w:ascii="Verdana" w:hAnsi="Verdana"/>
          <w:sz w:val="20"/>
          <w:szCs w:val="20"/>
        </w:rPr>
        <w:t>los</w:t>
      </w:r>
      <w:r w:rsidRPr="00901CD2">
        <w:rPr>
          <w:rFonts w:ascii="Verdana" w:hAnsi="Verdana"/>
          <w:sz w:val="20"/>
          <w:szCs w:val="20"/>
        </w:rPr>
        <w:t xml:space="preserve"> medios de </w:t>
      </w:r>
      <w:proofErr w:type="gramStart"/>
      <w:r w:rsidRPr="00901CD2">
        <w:rPr>
          <w:rFonts w:ascii="Verdana" w:hAnsi="Verdana"/>
          <w:sz w:val="20"/>
          <w:szCs w:val="20"/>
        </w:rPr>
        <w:t xml:space="preserve">comunicación </w:t>
      </w:r>
      <w:proofErr w:type="gramEnd"/>
      <w:r w:rsidR="00CF55EA" w:rsidRPr="00901CD2">
        <w:rPr>
          <w:rStyle w:val="FootnoteReference"/>
          <w:rFonts w:ascii="Verdana" w:hAnsi="Verdana"/>
          <w:sz w:val="20"/>
          <w:szCs w:val="20"/>
        </w:rPr>
        <w:footnoteReference w:id="4"/>
      </w:r>
      <w:r w:rsidR="004D6733" w:rsidRPr="00901CD2">
        <w:rPr>
          <w:rFonts w:ascii="Verdana" w:hAnsi="Verdana"/>
          <w:sz w:val="20"/>
          <w:szCs w:val="20"/>
        </w:rPr>
        <w:t>,</w:t>
      </w:r>
      <w:r w:rsidRPr="00901CD2">
        <w:rPr>
          <w:rFonts w:ascii="Verdana" w:hAnsi="Verdana"/>
          <w:sz w:val="20"/>
          <w:szCs w:val="20"/>
        </w:rPr>
        <w:t xml:space="preserve"> y la pluralidad de medios</w:t>
      </w:r>
      <w:r w:rsidR="00C75EE3" w:rsidRPr="00901CD2">
        <w:rPr>
          <w:rFonts w:ascii="Verdana" w:hAnsi="Verdana"/>
          <w:sz w:val="20"/>
          <w:szCs w:val="20"/>
        </w:rPr>
        <w:t xml:space="preserve"> o informativa</w:t>
      </w:r>
      <w:r w:rsidR="00CF55EA" w:rsidRPr="00901CD2">
        <w:rPr>
          <w:rStyle w:val="FootnoteReference"/>
          <w:rFonts w:ascii="Verdana" w:hAnsi="Verdana"/>
          <w:sz w:val="20"/>
          <w:szCs w:val="20"/>
        </w:rPr>
        <w:footnoteReference w:id="5"/>
      </w:r>
      <w:r w:rsidRPr="00901CD2">
        <w:rPr>
          <w:rFonts w:ascii="Verdana" w:hAnsi="Verdana"/>
          <w:sz w:val="20"/>
          <w:szCs w:val="20"/>
        </w:rPr>
        <w:t>.</w:t>
      </w:r>
    </w:p>
    <w:p w:rsidR="00363520" w:rsidRPr="00901CD2" w:rsidRDefault="00363520" w:rsidP="007E7976">
      <w:pPr>
        <w:pStyle w:val="ListParagraph"/>
        <w:spacing w:after="0" w:line="240" w:lineRule="auto"/>
        <w:ind w:left="0"/>
        <w:jc w:val="both"/>
        <w:rPr>
          <w:rFonts w:ascii="Verdana" w:hAnsi="Verdana"/>
          <w:sz w:val="20"/>
          <w:szCs w:val="20"/>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rPr>
      </w:pPr>
      <w:r w:rsidRPr="00901CD2">
        <w:rPr>
          <w:rFonts w:ascii="Verdana" w:hAnsi="Verdana"/>
          <w:sz w:val="20"/>
          <w:szCs w:val="20"/>
        </w:rPr>
        <w:t>En la perspectiva de ponderación de derechos, de la que está obligad</w:t>
      </w:r>
      <w:r w:rsidR="00640059" w:rsidRPr="00901CD2">
        <w:rPr>
          <w:rFonts w:ascii="Verdana" w:hAnsi="Verdana"/>
          <w:sz w:val="20"/>
          <w:szCs w:val="20"/>
        </w:rPr>
        <w:t>o</w:t>
      </w:r>
      <w:r w:rsidRPr="00901CD2">
        <w:rPr>
          <w:rFonts w:ascii="Verdana" w:hAnsi="Verdana"/>
          <w:sz w:val="20"/>
          <w:szCs w:val="20"/>
        </w:rPr>
        <w:t xml:space="preserve"> a nutrirse este tribunal en sus decisiones, la Corte, en efecto, reafirma en esta sentencia el principio de que la libertad de expresión, no es un derecho absoluto y que debe ejercerse y garantizarse en armonía con el ejercicio y protección de otros derechos. </w:t>
      </w:r>
    </w:p>
    <w:p w:rsidR="00363520" w:rsidRPr="00901CD2" w:rsidRDefault="00363520" w:rsidP="007E7976">
      <w:pPr>
        <w:pStyle w:val="ListParagraph"/>
        <w:spacing w:after="0" w:line="240" w:lineRule="auto"/>
        <w:ind w:left="0"/>
        <w:jc w:val="both"/>
        <w:rPr>
          <w:rFonts w:ascii="Verdana" w:hAnsi="Verdana"/>
          <w:sz w:val="20"/>
          <w:szCs w:val="20"/>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rPr>
      </w:pPr>
      <w:r w:rsidRPr="00901CD2">
        <w:rPr>
          <w:rFonts w:ascii="Verdana" w:hAnsi="Verdana"/>
          <w:sz w:val="20"/>
          <w:szCs w:val="20"/>
        </w:rPr>
        <w:t xml:space="preserve">En tal virtud, en determinadas circunstancias puede estar sujeta a restricciones, tal como la Corte ya lo había establecido en su </w:t>
      </w:r>
      <w:r w:rsidRPr="00901CD2">
        <w:rPr>
          <w:rFonts w:ascii="Verdana" w:eastAsia="MS ????" w:hAnsi="Verdana"/>
          <w:sz w:val="20"/>
          <w:szCs w:val="20"/>
          <w:shd w:val="clear" w:color="auto" w:fill="FFFFFF"/>
          <w:lang w:val="es-CR" w:eastAsia="es-CR"/>
        </w:rPr>
        <w:t>Opinión Consultiva OC-5/85 de 13 de noviembre de 1985</w:t>
      </w:r>
      <w:proofErr w:type="gramStart"/>
      <w:r w:rsidR="006F6184" w:rsidRPr="00901CD2">
        <w:rPr>
          <w:rFonts w:ascii="Verdana" w:eastAsia="MS ????" w:hAnsi="Verdana"/>
          <w:sz w:val="20"/>
          <w:szCs w:val="20"/>
          <w:shd w:val="clear" w:color="auto" w:fill="FFFFFF"/>
          <w:lang w:val="es-CR" w:eastAsia="es-CR"/>
        </w:rPr>
        <w:t>,</w:t>
      </w:r>
      <w:r w:rsidRPr="00426463">
        <w:rPr>
          <w:rFonts w:ascii="Verdana" w:eastAsia="MS ????" w:hAnsi="Verdana"/>
          <w:i/>
          <w:sz w:val="20"/>
          <w:szCs w:val="20"/>
          <w:shd w:val="clear" w:color="auto" w:fill="FFFFFF"/>
          <w:lang w:val="es-CR" w:eastAsia="es-CR"/>
        </w:rPr>
        <w:t>La</w:t>
      </w:r>
      <w:proofErr w:type="gramEnd"/>
      <w:r w:rsidRPr="00426463">
        <w:rPr>
          <w:rFonts w:ascii="Verdana" w:eastAsia="MS ????" w:hAnsi="Verdana"/>
          <w:i/>
          <w:sz w:val="20"/>
          <w:szCs w:val="20"/>
          <w:shd w:val="clear" w:color="auto" w:fill="FFFFFF"/>
          <w:lang w:val="es-CR" w:eastAsia="es-CR"/>
        </w:rPr>
        <w:t xml:space="preserve"> Colegiación Obligatoria de Periodistas (Arts. 13 y 29 Convención Americana sobre Derechos Humanos)</w:t>
      </w:r>
      <w:r w:rsidR="006F6184" w:rsidRPr="00901CD2">
        <w:rPr>
          <w:rFonts w:ascii="Verdana" w:eastAsia="MS ????" w:hAnsi="Verdana"/>
          <w:sz w:val="20"/>
          <w:szCs w:val="20"/>
          <w:shd w:val="clear" w:color="auto" w:fill="FFFFFF"/>
          <w:lang w:val="es-CR" w:eastAsia="es-CR"/>
        </w:rPr>
        <w:t>,</w:t>
      </w:r>
      <w:r w:rsidRPr="00901CD2">
        <w:rPr>
          <w:rFonts w:ascii="Verdana" w:eastAsia="MS ????" w:hAnsi="Verdana"/>
          <w:sz w:val="20"/>
          <w:szCs w:val="20"/>
          <w:shd w:val="clear" w:color="auto" w:fill="FFFFFF"/>
          <w:lang w:val="es-CR" w:eastAsia="es-CR"/>
        </w:rPr>
        <w:t xml:space="preserve"> y en el </w:t>
      </w:r>
      <w:r w:rsidRPr="00426463">
        <w:rPr>
          <w:rFonts w:ascii="Verdana" w:hAnsi="Verdana"/>
          <w:i/>
          <w:sz w:val="20"/>
          <w:szCs w:val="20"/>
          <w:lang w:val="es-CR" w:eastAsia="es-CR"/>
        </w:rPr>
        <w:t xml:space="preserve">Caso Perozo </w:t>
      </w:r>
      <w:r w:rsidR="006F6184" w:rsidRPr="00426463">
        <w:rPr>
          <w:rFonts w:ascii="Verdana" w:hAnsi="Verdana"/>
          <w:bCs/>
          <w:i/>
          <w:sz w:val="20"/>
          <w:szCs w:val="20"/>
          <w:lang w:val="es-CR" w:eastAsia="es-CR"/>
        </w:rPr>
        <w:t xml:space="preserve">y otros Vs. </w:t>
      </w:r>
      <w:r w:rsidRPr="00426463">
        <w:rPr>
          <w:rFonts w:ascii="Verdana" w:hAnsi="Verdana"/>
          <w:i/>
          <w:sz w:val="20"/>
          <w:szCs w:val="20"/>
          <w:lang w:val="es-CR" w:eastAsia="es-CR"/>
        </w:rPr>
        <w:t>Venezuela</w:t>
      </w:r>
      <w:r w:rsidRPr="00901CD2">
        <w:rPr>
          <w:rFonts w:ascii="Verdana" w:hAnsi="Verdana"/>
          <w:i/>
          <w:iCs/>
          <w:sz w:val="20"/>
          <w:szCs w:val="20"/>
          <w:lang w:val="es-CR" w:eastAsia="es-CR"/>
        </w:rPr>
        <w:t xml:space="preserve"> </w:t>
      </w:r>
      <w:r w:rsidRPr="00901CD2">
        <w:rPr>
          <w:rFonts w:ascii="Verdana" w:hAnsi="Verdana"/>
          <w:sz w:val="20"/>
          <w:szCs w:val="20"/>
          <w:lang w:val="es-CR" w:eastAsia="es-CR"/>
        </w:rPr>
        <w:t>de 28 de enero de 2009, entre otros. Asimismo, reafirma aquí la Corte que el derecho de libertad de expresión debe ser ejercido y protegido en armonía con los demás derechos</w:t>
      </w:r>
      <w:r w:rsidR="00640059" w:rsidRPr="00901CD2">
        <w:rPr>
          <w:rFonts w:ascii="Verdana" w:hAnsi="Verdana"/>
          <w:sz w:val="20"/>
          <w:szCs w:val="20"/>
          <w:lang w:val="es-CR" w:eastAsia="es-CR"/>
        </w:rPr>
        <w:t>,</w:t>
      </w:r>
      <w:r w:rsidRPr="00901CD2">
        <w:rPr>
          <w:rFonts w:ascii="Verdana" w:hAnsi="Verdana"/>
          <w:sz w:val="20"/>
          <w:szCs w:val="20"/>
          <w:lang w:val="es-CR" w:eastAsia="es-CR"/>
        </w:rPr>
        <w:t xml:space="preserve"> que se deben proteger y garantizar de manera simultánea y articulada. La Corte reitera en esta decisión, así, </w:t>
      </w:r>
      <w:r w:rsidR="00077242" w:rsidRPr="00901CD2">
        <w:rPr>
          <w:rFonts w:ascii="Verdana" w:hAnsi="Verdana"/>
          <w:sz w:val="20"/>
          <w:szCs w:val="20"/>
          <w:lang w:val="es-CR" w:eastAsia="es-CR"/>
        </w:rPr>
        <w:t>“</w:t>
      </w:r>
      <w:r w:rsidRPr="00901CD2">
        <w:rPr>
          <w:rFonts w:ascii="Verdana" w:hAnsi="Verdana"/>
          <w:sz w:val="20"/>
          <w:szCs w:val="20"/>
          <w:lang w:val="es-CR" w:eastAsia="es-CR"/>
        </w:rPr>
        <w:t xml:space="preserve">que </w:t>
      </w:r>
      <w:r w:rsidRPr="00901CD2">
        <w:rPr>
          <w:rFonts w:ascii="Verdana" w:hAnsi="Verdana"/>
          <w:sz w:val="20"/>
          <w:szCs w:val="20"/>
        </w:rPr>
        <w:lastRenderedPageBreak/>
        <w:t xml:space="preserve">tanto la libertad de expresión como el derecho a la honra, </w:t>
      </w:r>
      <w:r w:rsidR="00077242" w:rsidRPr="00901CD2">
        <w:rPr>
          <w:rFonts w:ascii="Verdana" w:hAnsi="Verdana"/>
          <w:sz w:val="20"/>
          <w:szCs w:val="20"/>
        </w:rPr>
        <w:t>[</w:t>
      </w:r>
      <w:r w:rsidRPr="00901CD2">
        <w:rPr>
          <w:rFonts w:ascii="Verdana" w:hAnsi="Verdana"/>
          <w:sz w:val="20"/>
          <w:szCs w:val="20"/>
        </w:rPr>
        <w:t>establecidos los dos en</w:t>
      </w:r>
      <w:r w:rsidR="00077242" w:rsidRPr="00901CD2">
        <w:rPr>
          <w:rFonts w:ascii="Verdana" w:hAnsi="Verdana"/>
          <w:sz w:val="20"/>
          <w:szCs w:val="20"/>
        </w:rPr>
        <w:t>]</w:t>
      </w:r>
      <w:r w:rsidRPr="00901CD2">
        <w:rPr>
          <w:rFonts w:ascii="Verdana" w:hAnsi="Verdana"/>
          <w:sz w:val="20"/>
          <w:szCs w:val="20"/>
        </w:rPr>
        <w:t xml:space="preserve"> la Convención, revisten suma importancia</w:t>
      </w:r>
      <w:r w:rsidR="00077242" w:rsidRPr="00901CD2">
        <w:rPr>
          <w:rFonts w:ascii="Verdana" w:hAnsi="Verdana"/>
          <w:sz w:val="20"/>
          <w:szCs w:val="20"/>
        </w:rPr>
        <w:t>”</w:t>
      </w:r>
      <w:r w:rsidRPr="00901CD2">
        <w:rPr>
          <w:rFonts w:ascii="Verdana" w:hAnsi="Verdana"/>
          <w:sz w:val="20"/>
          <w:szCs w:val="20"/>
        </w:rPr>
        <w:t xml:space="preserve">, por lo que </w:t>
      </w:r>
      <w:r w:rsidRPr="00426463">
        <w:rPr>
          <w:rFonts w:ascii="Verdana" w:hAnsi="Verdana"/>
          <w:sz w:val="20"/>
          <w:szCs w:val="20"/>
        </w:rPr>
        <w:t>“</w:t>
      </w:r>
      <w:r w:rsidR="00077242" w:rsidRPr="00426463">
        <w:rPr>
          <w:rFonts w:ascii="Verdana" w:hAnsi="Verdana"/>
          <w:sz w:val="20"/>
          <w:szCs w:val="20"/>
        </w:rPr>
        <w:t>[</w:t>
      </w:r>
      <w:r w:rsidRPr="00426463">
        <w:rPr>
          <w:rFonts w:ascii="Verdana" w:hAnsi="Verdana"/>
          <w:sz w:val="20"/>
          <w:szCs w:val="20"/>
        </w:rPr>
        <w:t>e</w:t>
      </w:r>
      <w:r w:rsidR="00077242" w:rsidRPr="00426463">
        <w:rPr>
          <w:rFonts w:ascii="Verdana" w:hAnsi="Verdana"/>
          <w:sz w:val="20"/>
          <w:szCs w:val="20"/>
        </w:rPr>
        <w:t>]</w:t>
      </w:r>
      <w:r w:rsidRPr="00426463">
        <w:rPr>
          <w:rFonts w:ascii="Verdana" w:hAnsi="Verdana"/>
          <w:sz w:val="20"/>
          <w:szCs w:val="20"/>
        </w:rPr>
        <w:t>s necesario garantizar el ejercicio de ambos”</w:t>
      </w:r>
      <w:r w:rsidR="00716615" w:rsidRPr="00901CD2">
        <w:rPr>
          <w:rStyle w:val="FootnoteReference"/>
          <w:rFonts w:ascii="Verdana" w:hAnsi="Verdana"/>
          <w:sz w:val="20"/>
          <w:szCs w:val="20"/>
        </w:rPr>
        <w:footnoteReference w:id="6"/>
      </w:r>
      <w:r w:rsidR="00FB7B29" w:rsidRPr="00901CD2">
        <w:rPr>
          <w:rFonts w:ascii="Verdana" w:hAnsi="Verdana"/>
          <w:sz w:val="20"/>
          <w:szCs w:val="20"/>
        </w:rPr>
        <w:t>. De esta manera</w:t>
      </w:r>
      <w:r w:rsidR="00077242" w:rsidRPr="00901CD2">
        <w:rPr>
          <w:rFonts w:ascii="Verdana" w:hAnsi="Verdana"/>
          <w:sz w:val="20"/>
          <w:szCs w:val="20"/>
        </w:rPr>
        <w:t>,</w:t>
      </w:r>
      <w:r w:rsidRPr="00901CD2">
        <w:rPr>
          <w:rFonts w:ascii="Verdana" w:hAnsi="Verdana"/>
          <w:sz w:val="20"/>
          <w:szCs w:val="20"/>
        </w:rPr>
        <w:t xml:space="preserve"> </w:t>
      </w:r>
      <w:r w:rsidR="007C5898" w:rsidRPr="00901CD2">
        <w:rPr>
          <w:rFonts w:ascii="Verdana" w:hAnsi="Verdana"/>
          <w:sz w:val="20"/>
          <w:szCs w:val="20"/>
        </w:rPr>
        <w:t>sostiene</w:t>
      </w:r>
      <w:r w:rsidR="00021494" w:rsidRPr="00901CD2">
        <w:rPr>
          <w:rFonts w:ascii="Verdana" w:hAnsi="Verdana"/>
          <w:sz w:val="20"/>
          <w:szCs w:val="20"/>
        </w:rPr>
        <w:t xml:space="preserve"> </w:t>
      </w:r>
      <w:r w:rsidRPr="00901CD2">
        <w:rPr>
          <w:rFonts w:ascii="Verdana" w:hAnsi="Verdana"/>
          <w:sz w:val="20"/>
          <w:szCs w:val="20"/>
        </w:rPr>
        <w:t xml:space="preserve">que </w:t>
      </w:r>
      <w:r w:rsidR="00077242" w:rsidRPr="00901CD2">
        <w:rPr>
          <w:rFonts w:ascii="Verdana" w:hAnsi="Verdana"/>
          <w:sz w:val="20"/>
          <w:szCs w:val="20"/>
        </w:rPr>
        <w:t>“</w:t>
      </w:r>
      <w:r w:rsidRPr="00901CD2">
        <w:rPr>
          <w:rFonts w:ascii="Verdana" w:hAnsi="Verdana"/>
          <w:sz w:val="20"/>
          <w:szCs w:val="20"/>
        </w:rPr>
        <w:t xml:space="preserve">la prevalencia de alguno en determinado caso </w:t>
      </w:r>
      <w:r w:rsidRPr="00426463">
        <w:rPr>
          <w:rFonts w:ascii="Verdana" w:hAnsi="Verdana"/>
          <w:sz w:val="20"/>
          <w:szCs w:val="20"/>
        </w:rPr>
        <w:t>dependerá de la ponderación que se haga a través de un juicio de proporcionalidad”</w:t>
      </w:r>
      <w:r w:rsidR="00716615" w:rsidRPr="00901CD2">
        <w:rPr>
          <w:rStyle w:val="FootnoteReference"/>
          <w:rFonts w:ascii="Verdana" w:hAnsi="Verdana"/>
          <w:sz w:val="20"/>
          <w:szCs w:val="20"/>
        </w:rPr>
        <w:footnoteReference w:id="7"/>
      </w:r>
      <w:r w:rsidRPr="00901CD2">
        <w:rPr>
          <w:rFonts w:ascii="Verdana" w:hAnsi="Verdana"/>
          <w:sz w:val="20"/>
          <w:szCs w:val="20"/>
        </w:rPr>
        <w:t>.</w:t>
      </w:r>
    </w:p>
    <w:p w:rsidR="00716615" w:rsidRPr="00901CD2" w:rsidRDefault="00716615" w:rsidP="007E7976">
      <w:pPr>
        <w:pStyle w:val="ListParagraph"/>
        <w:spacing w:after="0" w:line="240" w:lineRule="auto"/>
        <w:ind w:left="0"/>
        <w:jc w:val="both"/>
        <w:rPr>
          <w:rFonts w:ascii="Verdana" w:hAnsi="Verdana"/>
          <w:sz w:val="20"/>
          <w:szCs w:val="20"/>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rPr>
      </w:pPr>
      <w:r w:rsidRPr="00901CD2">
        <w:rPr>
          <w:rFonts w:ascii="Verdana" w:hAnsi="Verdana"/>
          <w:sz w:val="20"/>
          <w:szCs w:val="20"/>
        </w:rPr>
        <w:t>Asumiendo su función jurisdiccional de velar por la plena e integral vigencia de todos los derechos establecidos en la Convención, la Corte asigna a los periodistas y a los medios de comunicación un papel central en el ejercicio de</w:t>
      </w:r>
      <w:r w:rsidR="00021494" w:rsidRPr="00901CD2">
        <w:rPr>
          <w:rFonts w:ascii="Verdana" w:hAnsi="Verdana"/>
          <w:sz w:val="20"/>
          <w:szCs w:val="20"/>
        </w:rPr>
        <w:t>l</w:t>
      </w:r>
      <w:r w:rsidRPr="00901CD2">
        <w:rPr>
          <w:rFonts w:ascii="Verdana" w:hAnsi="Verdana"/>
          <w:sz w:val="20"/>
          <w:szCs w:val="20"/>
        </w:rPr>
        <w:t xml:space="preserve"> derecho</w:t>
      </w:r>
      <w:r w:rsidR="00021494" w:rsidRPr="00901CD2">
        <w:rPr>
          <w:rFonts w:ascii="Verdana" w:hAnsi="Verdana"/>
          <w:sz w:val="20"/>
          <w:szCs w:val="20"/>
        </w:rPr>
        <w:t xml:space="preserve"> a la libertad de expresión</w:t>
      </w:r>
      <w:r w:rsidRPr="00901CD2">
        <w:rPr>
          <w:rFonts w:ascii="Verdana" w:hAnsi="Verdana"/>
          <w:sz w:val="20"/>
          <w:szCs w:val="20"/>
        </w:rPr>
        <w:t xml:space="preserve">. En ese orden de ideas, es destacable la reafirmación de la estrecha imbricación entre </w:t>
      </w:r>
      <w:r w:rsidR="00021494" w:rsidRPr="00901CD2">
        <w:rPr>
          <w:rFonts w:ascii="Verdana" w:hAnsi="Verdana"/>
          <w:sz w:val="20"/>
          <w:szCs w:val="20"/>
        </w:rPr>
        <w:t>este derecho</w:t>
      </w:r>
      <w:r w:rsidRPr="00901CD2">
        <w:rPr>
          <w:rFonts w:ascii="Verdana" w:hAnsi="Verdana"/>
          <w:sz w:val="20"/>
          <w:szCs w:val="20"/>
        </w:rPr>
        <w:t xml:space="preserve"> y el ejercicio profesional del periodismo en el sentido de que </w:t>
      </w:r>
      <w:r w:rsidRPr="00426463">
        <w:rPr>
          <w:rFonts w:ascii="Verdana" w:hAnsi="Verdana"/>
          <w:sz w:val="20"/>
          <w:szCs w:val="20"/>
        </w:rPr>
        <w:t>el mismo</w:t>
      </w:r>
      <w:r w:rsidRPr="00901CD2">
        <w:rPr>
          <w:rFonts w:ascii="Verdana" w:hAnsi="Verdana"/>
          <w:sz w:val="20"/>
          <w:szCs w:val="20"/>
        </w:rPr>
        <w:t xml:space="preserve"> </w:t>
      </w:r>
      <w:r w:rsidRPr="00426463">
        <w:rPr>
          <w:rFonts w:ascii="Verdana" w:hAnsi="Verdana"/>
          <w:sz w:val="20"/>
          <w:szCs w:val="20"/>
        </w:rPr>
        <w:t>no es, ni puede ser, otra cosa que una persona que ha decidido ejercer la libertad de expresión de modo continuo, estable y remunerado”</w:t>
      </w:r>
      <w:r w:rsidR="00FD6E76" w:rsidRPr="00901CD2">
        <w:rPr>
          <w:rStyle w:val="FootnoteReference"/>
          <w:rFonts w:ascii="Verdana" w:hAnsi="Verdana"/>
          <w:sz w:val="20"/>
          <w:szCs w:val="20"/>
        </w:rPr>
        <w:footnoteReference w:id="8"/>
      </w:r>
      <w:r w:rsidRPr="00901CD2">
        <w:rPr>
          <w:rFonts w:ascii="Verdana" w:hAnsi="Verdana"/>
          <w:sz w:val="20"/>
          <w:szCs w:val="20"/>
        </w:rPr>
        <w:t xml:space="preserve">. </w:t>
      </w:r>
    </w:p>
    <w:p w:rsidR="00363520" w:rsidRPr="00901CD2" w:rsidRDefault="00363520" w:rsidP="007E7976">
      <w:pPr>
        <w:pStyle w:val="ListParagraph"/>
        <w:spacing w:after="0" w:line="240" w:lineRule="auto"/>
        <w:ind w:left="0"/>
        <w:jc w:val="both"/>
        <w:rPr>
          <w:rFonts w:ascii="Verdana" w:hAnsi="Verdana"/>
          <w:sz w:val="20"/>
          <w:szCs w:val="20"/>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rPr>
      </w:pPr>
      <w:r w:rsidRPr="00901CD2">
        <w:rPr>
          <w:rFonts w:ascii="Verdana" w:hAnsi="Verdana"/>
          <w:sz w:val="20"/>
          <w:szCs w:val="20"/>
        </w:rPr>
        <w:t>Simultáneamente la Corte reitera y precisa responsabilidades que competen</w:t>
      </w:r>
      <w:r w:rsidR="00640059" w:rsidRPr="00901CD2">
        <w:rPr>
          <w:rFonts w:ascii="Verdana" w:hAnsi="Verdana"/>
          <w:sz w:val="20"/>
          <w:szCs w:val="20"/>
        </w:rPr>
        <w:t>,</w:t>
      </w:r>
      <w:r w:rsidRPr="00901CD2">
        <w:rPr>
          <w:rFonts w:ascii="Verdana" w:hAnsi="Verdana"/>
          <w:sz w:val="20"/>
          <w:szCs w:val="20"/>
        </w:rPr>
        <w:t xml:space="preserve"> </w:t>
      </w:r>
      <w:r w:rsidR="00640059" w:rsidRPr="00901CD2">
        <w:rPr>
          <w:rFonts w:ascii="Verdana" w:hAnsi="Verdana"/>
          <w:sz w:val="20"/>
          <w:szCs w:val="20"/>
        </w:rPr>
        <w:t xml:space="preserve">en beneficio de la sociedad, </w:t>
      </w:r>
      <w:r w:rsidRPr="00901CD2">
        <w:rPr>
          <w:rFonts w:ascii="Verdana" w:hAnsi="Verdana"/>
          <w:sz w:val="20"/>
          <w:szCs w:val="20"/>
        </w:rPr>
        <w:t xml:space="preserve">a los periodistas. Entre ellas destaca el </w:t>
      </w:r>
      <w:r w:rsidRPr="00426463">
        <w:rPr>
          <w:rFonts w:ascii="Verdana" w:hAnsi="Verdana"/>
          <w:sz w:val="20"/>
          <w:szCs w:val="20"/>
        </w:rPr>
        <w:t xml:space="preserve">“deber del periodista de constatar en forma razonable, aunque no necesariamente exhaustiva, los hechos en que fundamenta su información. Es decir, resulta válido reclamar equidad y diligencia en la confrontación de las fuentes y la búsqueda de información. Esto implica el derecho de las personas a no recibir una versión manipulada de los hechos. En consecuencia, los periodistas tienen el deber de tomar alguna distancia crítica respecto a sus fuentes y contrastarlas con otros datos relevantes. </w:t>
      </w:r>
      <w:r w:rsidRPr="00426463">
        <w:rPr>
          <w:rFonts w:ascii="Verdana" w:hAnsi="Verdana"/>
          <w:spacing w:val="-2"/>
          <w:sz w:val="20"/>
          <w:szCs w:val="20"/>
        </w:rPr>
        <w:t xml:space="preserve">En sentido similar, el Tribunal Europeo ha señalado que la libertad de expresión no garantiza una protección ilimitada a los periodistas, inclusive en asuntos de interés público. Aun cuando están amparados bajo la protección de la libertad de expresión, los periodistas deben ejercer sus labores obedeciendo a los principios de un periodismo responsable, es decir, actuar de buena fe, brindar información precisa y confiable, reflejar de manera objetiva las opiniones de los involucrados en el debate público y abstenerse de caer en sensacionalismos </w:t>
      </w:r>
      <w:r w:rsidRPr="00426463">
        <w:rPr>
          <w:rFonts w:ascii="Verdana" w:hAnsi="Verdana"/>
          <w:sz w:val="20"/>
          <w:szCs w:val="20"/>
        </w:rPr>
        <w:t>en este terreno”</w:t>
      </w:r>
      <w:r w:rsidR="00FD6E76" w:rsidRPr="00901CD2">
        <w:rPr>
          <w:rStyle w:val="FootnoteReference"/>
          <w:rFonts w:ascii="Verdana" w:hAnsi="Verdana"/>
          <w:sz w:val="20"/>
          <w:szCs w:val="20"/>
        </w:rPr>
        <w:footnoteReference w:id="9"/>
      </w:r>
      <w:r w:rsidRPr="00901CD2">
        <w:rPr>
          <w:rFonts w:ascii="Verdana" w:hAnsi="Verdana"/>
          <w:sz w:val="20"/>
          <w:szCs w:val="20"/>
        </w:rPr>
        <w:t xml:space="preserve">. </w:t>
      </w:r>
    </w:p>
    <w:p w:rsidR="00363520" w:rsidRPr="00901CD2" w:rsidRDefault="00363520" w:rsidP="007E7976">
      <w:pPr>
        <w:pStyle w:val="ListParagraph"/>
        <w:spacing w:after="0" w:line="240" w:lineRule="auto"/>
        <w:ind w:left="0"/>
        <w:jc w:val="both"/>
        <w:rPr>
          <w:rFonts w:ascii="Verdana" w:hAnsi="Verdana"/>
          <w:sz w:val="20"/>
          <w:szCs w:val="20"/>
        </w:rPr>
      </w:pPr>
    </w:p>
    <w:p w:rsidR="00363520" w:rsidRPr="00426463" w:rsidRDefault="00363520" w:rsidP="007E7976">
      <w:pPr>
        <w:pStyle w:val="ListParagraph"/>
        <w:spacing w:after="0" w:line="240" w:lineRule="auto"/>
        <w:ind w:left="0"/>
        <w:jc w:val="both"/>
        <w:rPr>
          <w:rFonts w:ascii="Verdana" w:hAnsi="Verdana"/>
          <w:b/>
          <w:sz w:val="20"/>
          <w:szCs w:val="20"/>
        </w:rPr>
      </w:pPr>
      <w:r w:rsidRPr="00426463">
        <w:rPr>
          <w:rFonts w:ascii="Verdana" w:hAnsi="Verdana"/>
          <w:b/>
          <w:sz w:val="20"/>
          <w:szCs w:val="20"/>
          <w:u w:val="single"/>
        </w:rPr>
        <w:t>Pluralidad de medios: obligación de garantizar</w:t>
      </w:r>
      <w:r w:rsidRPr="00426463">
        <w:rPr>
          <w:rFonts w:ascii="Verdana" w:hAnsi="Verdana"/>
          <w:b/>
          <w:sz w:val="20"/>
          <w:szCs w:val="20"/>
        </w:rPr>
        <w:t>.</w:t>
      </w:r>
    </w:p>
    <w:p w:rsidR="00363520" w:rsidRPr="00901CD2" w:rsidRDefault="00363520" w:rsidP="007E7976">
      <w:pPr>
        <w:pStyle w:val="ListParagraph"/>
        <w:spacing w:after="0" w:line="240" w:lineRule="auto"/>
        <w:ind w:left="0"/>
        <w:jc w:val="both"/>
        <w:rPr>
          <w:rFonts w:ascii="Verdana" w:hAnsi="Verdana"/>
          <w:sz w:val="20"/>
          <w:szCs w:val="20"/>
        </w:rPr>
      </w:pPr>
    </w:p>
    <w:p w:rsidR="00363520" w:rsidRPr="00426463" w:rsidRDefault="00363520" w:rsidP="007E7976">
      <w:pPr>
        <w:pStyle w:val="ListParagraph"/>
        <w:numPr>
          <w:ilvl w:val="0"/>
          <w:numId w:val="4"/>
        </w:numPr>
        <w:spacing w:after="0" w:line="240" w:lineRule="auto"/>
        <w:ind w:left="0" w:firstLine="0"/>
        <w:jc w:val="both"/>
        <w:rPr>
          <w:rFonts w:ascii="Verdana" w:hAnsi="Verdana"/>
          <w:sz w:val="20"/>
          <w:szCs w:val="20"/>
        </w:rPr>
      </w:pPr>
      <w:r w:rsidRPr="00901CD2">
        <w:rPr>
          <w:rFonts w:ascii="Verdana" w:hAnsi="Verdana"/>
          <w:sz w:val="20"/>
          <w:szCs w:val="20"/>
        </w:rPr>
        <w:t>La Corte en esta sentencia reafirma y desarrolla criterios fundamentales contenidos en su jurisprudencia constante en cuanto a la pluralidad de medios. Uno de los asuntos en controversia en este caso era, precisamente, el del alegado propósito de control por el Estado, por razones políticas, de la frecuencia de la que en su momento fue concesionaria RCTV. La Corte ha determinado que</w:t>
      </w:r>
      <w:r w:rsidR="00640059" w:rsidRPr="00426463">
        <w:rPr>
          <w:rFonts w:ascii="Verdana" w:hAnsi="Verdana"/>
          <w:sz w:val="20"/>
          <w:szCs w:val="20"/>
        </w:rPr>
        <w:t>, tal como fluye de los hechos probados,</w:t>
      </w:r>
      <w:r w:rsidRPr="00426463">
        <w:rPr>
          <w:rFonts w:ascii="Verdana" w:hAnsi="Verdana"/>
          <w:sz w:val="20"/>
          <w:szCs w:val="20"/>
        </w:rPr>
        <w:t xml:space="preserve"> las medidas adoptadas por las autoridades del Estado en este caso afectaron el pluralismo. De ello se </w:t>
      </w:r>
      <w:r w:rsidR="00640059" w:rsidRPr="00426463">
        <w:rPr>
          <w:rFonts w:ascii="Verdana" w:hAnsi="Verdana"/>
          <w:sz w:val="20"/>
          <w:szCs w:val="20"/>
        </w:rPr>
        <w:t>concluye que con ese accionar</w:t>
      </w:r>
      <w:r w:rsidRPr="00426463">
        <w:rPr>
          <w:rFonts w:ascii="Verdana" w:hAnsi="Verdana"/>
          <w:sz w:val="20"/>
          <w:szCs w:val="20"/>
        </w:rPr>
        <w:t xml:space="preserve"> se produjo una restricción al derecho a la libertad de expresión y se vulneró la prohibición de emplear “vías o medios indirectos” para restringir la comunicación, difusión y circulación de ideas y opiniones</w:t>
      </w:r>
      <w:r w:rsidR="006A1B42" w:rsidRPr="00426463">
        <w:rPr>
          <w:rFonts w:ascii="Verdana" w:hAnsi="Verdana"/>
          <w:sz w:val="20"/>
          <w:szCs w:val="20"/>
        </w:rPr>
        <w:t>,</w:t>
      </w:r>
      <w:r w:rsidRPr="00426463">
        <w:rPr>
          <w:rFonts w:ascii="Verdana" w:hAnsi="Verdana"/>
          <w:sz w:val="20"/>
          <w:szCs w:val="20"/>
        </w:rPr>
        <w:t xml:space="preserve"> lo que conlleva la paralela obligación de los Estados de garantizar plenamente estos derechos. </w:t>
      </w:r>
    </w:p>
    <w:p w:rsidR="00363520" w:rsidRPr="00426463" w:rsidRDefault="00363520" w:rsidP="007E7976">
      <w:pPr>
        <w:pStyle w:val="ListParagraph"/>
        <w:spacing w:after="0" w:line="240" w:lineRule="auto"/>
        <w:ind w:left="0"/>
        <w:jc w:val="both"/>
        <w:rPr>
          <w:rFonts w:ascii="Verdana" w:hAnsi="Verdana"/>
          <w:sz w:val="20"/>
          <w:szCs w:val="20"/>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rPr>
      </w:pPr>
      <w:r w:rsidRPr="00426463">
        <w:rPr>
          <w:rFonts w:ascii="Verdana" w:hAnsi="Verdana"/>
          <w:sz w:val="20"/>
          <w:szCs w:val="20"/>
        </w:rPr>
        <w:t xml:space="preserve">Es central en esta sentencia el desarrollo conceptual de los criterios de la Corte sobre el </w:t>
      </w:r>
      <w:r w:rsidR="00640059" w:rsidRPr="00426463">
        <w:rPr>
          <w:rFonts w:ascii="Verdana" w:hAnsi="Verdana"/>
          <w:sz w:val="20"/>
          <w:szCs w:val="20"/>
        </w:rPr>
        <w:t>crucial tema</w:t>
      </w:r>
      <w:r w:rsidRPr="00426463">
        <w:rPr>
          <w:rFonts w:ascii="Verdana" w:hAnsi="Verdana"/>
          <w:sz w:val="20"/>
          <w:szCs w:val="20"/>
        </w:rPr>
        <w:t xml:space="preserve"> del pluralismo como ingrediente esencial de la libertad de expresión, en particular, y, en general, de una sociedad democrática. Se resalta, en efecto, en esta sentencia “la importancia del pluralismo en el marco del ejercicio del derecho a la libertad de expresión al señalar que éste implica la tolerancia y el espíritu de apertura, sin los cuales no existe una sociedad democrática”</w:t>
      </w:r>
      <w:r w:rsidR="005518C5" w:rsidRPr="00901CD2">
        <w:rPr>
          <w:rStyle w:val="FootnoteReference"/>
          <w:rFonts w:ascii="Verdana" w:hAnsi="Verdana"/>
          <w:sz w:val="20"/>
          <w:szCs w:val="20"/>
        </w:rPr>
        <w:footnoteReference w:id="10"/>
      </w:r>
      <w:r w:rsidRPr="00901CD2">
        <w:rPr>
          <w:rFonts w:ascii="Verdana" w:hAnsi="Verdana"/>
          <w:sz w:val="20"/>
          <w:szCs w:val="20"/>
        </w:rPr>
        <w:t xml:space="preserve">. El concepto general de “pluralismo” lo precisa la Corte para efectos de la libertad de </w:t>
      </w:r>
      <w:r w:rsidRPr="00901CD2">
        <w:rPr>
          <w:rFonts w:ascii="Verdana" w:hAnsi="Verdana"/>
          <w:sz w:val="20"/>
          <w:szCs w:val="20"/>
        </w:rPr>
        <w:lastRenderedPageBreak/>
        <w:t xml:space="preserve">expresión, entre otros aspectos, en el criterio interpretativo vinculante de la “pluralidad de medios o informativa”. En ese orden de ideas, el pluralismo de medios </w:t>
      </w:r>
      <w:r w:rsidRPr="00426463">
        <w:rPr>
          <w:rFonts w:ascii="Verdana" w:hAnsi="Verdana"/>
          <w:sz w:val="20"/>
          <w:szCs w:val="20"/>
        </w:rPr>
        <w:t>“constituye una efectiva garantía de la libertad de expresión”</w:t>
      </w:r>
      <w:r w:rsidR="005518C5" w:rsidRPr="00901CD2">
        <w:rPr>
          <w:rStyle w:val="FootnoteReference"/>
          <w:rFonts w:ascii="Verdana" w:hAnsi="Verdana"/>
          <w:sz w:val="20"/>
          <w:szCs w:val="20"/>
        </w:rPr>
        <w:footnoteReference w:id="11"/>
      </w:r>
      <w:r w:rsidR="00640059" w:rsidRPr="00901CD2">
        <w:rPr>
          <w:rFonts w:ascii="Verdana" w:hAnsi="Verdana"/>
          <w:sz w:val="20"/>
          <w:szCs w:val="20"/>
        </w:rPr>
        <w:t xml:space="preserve"> que</w:t>
      </w:r>
      <w:r w:rsidRPr="00901CD2">
        <w:rPr>
          <w:rFonts w:ascii="Verdana" w:hAnsi="Verdana"/>
          <w:sz w:val="20"/>
          <w:szCs w:val="20"/>
        </w:rPr>
        <w:t xml:space="preserve"> es </w:t>
      </w:r>
      <w:r w:rsidR="007945D0" w:rsidRPr="00426463">
        <w:rPr>
          <w:rFonts w:ascii="Verdana" w:hAnsi="Verdana"/>
          <w:sz w:val="20"/>
          <w:szCs w:val="20"/>
        </w:rPr>
        <w:t>“</w:t>
      </w:r>
      <w:r w:rsidRPr="00901CD2">
        <w:rPr>
          <w:rFonts w:ascii="Verdana" w:hAnsi="Verdana"/>
          <w:sz w:val="20"/>
          <w:szCs w:val="20"/>
        </w:rPr>
        <w:t xml:space="preserve">un </w:t>
      </w:r>
      <w:r w:rsidRPr="00426463">
        <w:rPr>
          <w:rFonts w:ascii="Verdana" w:hAnsi="Verdana"/>
          <w:sz w:val="20"/>
          <w:szCs w:val="20"/>
        </w:rPr>
        <w:t xml:space="preserve">deber del Estado […] proteger y </w:t>
      </w:r>
      <w:proofErr w:type="gramStart"/>
      <w:r w:rsidRPr="00426463">
        <w:rPr>
          <w:rFonts w:ascii="Verdana" w:hAnsi="Verdana"/>
          <w:sz w:val="20"/>
          <w:szCs w:val="20"/>
        </w:rPr>
        <w:t>garantizar</w:t>
      </w:r>
      <w:r w:rsidR="007945D0" w:rsidRPr="00426463">
        <w:rPr>
          <w:rFonts w:ascii="Verdana" w:hAnsi="Verdana"/>
          <w:sz w:val="20"/>
          <w:szCs w:val="20"/>
        </w:rPr>
        <w:t>[</w:t>
      </w:r>
      <w:proofErr w:type="gramEnd"/>
      <w:r w:rsidR="007945D0" w:rsidRPr="00426463">
        <w:rPr>
          <w:rFonts w:ascii="Verdana" w:hAnsi="Verdana"/>
          <w:sz w:val="20"/>
          <w:szCs w:val="20"/>
        </w:rPr>
        <w:t xml:space="preserve">…] </w:t>
      </w:r>
      <w:r w:rsidRPr="00426463">
        <w:rPr>
          <w:rFonts w:ascii="Verdana" w:hAnsi="Verdana"/>
          <w:sz w:val="20"/>
          <w:szCs w:val="20"/>
        </w:rPr>
        <w:t xml:space="preserve">por medio, tanto de la minimización de restricciones a la información, como por medio de propender por el equilibrio en la participación, al permitir que los medios estén abiertos a todos sin discriminación, puesto que se busca que ‘no haya individuos o grupos que, </w:t>
      </w:r>
      <w:r w:rsidRPr="00426463">
        <w:rPr>
          <w:rFonts w:ascii="Verdana" w:hAnsi="Verdana"/>
          <w:iCs/>
          <w:sz w:val="20"/>
          <w:szCs w:val="20"/>
        </w:rPr>
        <w:t>a priori</w:t>
      </w:r>
      <w:r w:rsidRPr="00426463">
        <w:rPr>
          <w:rFonts w:ascii="Verdana" w:hAnsi="Verdana"/>
          <w:sz w:val="20"/>
          <w:szCs w:val="20"/>
        </w:rPr>
        <w:t>, estén excluidos’”</w:t>
      </w:r>
      <w:r w:rsidR="005518C5" w:rsidRPr="00901CD2">
        <w:rPr>
          <w:rStyle w:val="FootnoteReference"/>
          <w:rFonts w:ascii="Verdana" w:hAnsi="Verdana"/>
          <w:sz w:val="20"/>
          <w:szCs w:val="20"/>
        </w:rPr>
        <w:footnoteReference w:id="12"/>
      </w:r>
      <w:r w:rsidRPr="00901CD2">
        <w:rPr>
          <w:rFonts w:ascii="Verdana" w:hAnsi="Verdana"/>
          <w:sz w:val="20"/>
          <w:szCs w:val="20"/>
        </w:rPr>
        <w:t>.</w:t>
      </w:r>
    </w:p>
    <w:p w:rsidR="00363520" w:rsidRPr="00901CD2" w:rsidRDefault="00363520" w:rsidP="007E7976">
      <w:pPr>
        <w:pStyle w:val="ListParagraph"/>
        <w:spacing w:after="0" w:line="240" w:lineRule="auto"/>
        <w:ind w:left="0"/>
        <w:jc w:val="both"/>
        <w:rPr>
          <w:rFonts w:ascii="Verdana" w:hAnsi="Verdana"/>
          <w:sz w:val="20"/>
          <w:szCs w:val="20"/>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lang w:val="es-CO"/>
        </w:rPr>
      </w:pPr>
      <w:r w:rsidRPr="00901CD2">
        <w:rPr>
          <w:rFonts w:ascii="Verdana" w:hAnsi="Verdana"/>
          <w:sz w:val="20"/>
          <w:szCs w:val="20"/>
        </w:rPr>
        <w:t>La pluralidad de medios puede verse afectada, por acción o intervención directa del Estado, como serían los hechos de este caso. La Corte precisa, sin embargo, que también puede</w:t>
      </w:r>
      <w:r w:rsidR="00640059" w:rsidRPr="00901CD2">
        <w:rPr>
          <w:rFonts w:ascii="Verdana" w:hAnsi="Verdana"/>
          <w:sz w:val="20"/>
          <w:szCs w:val="20"/>
        </w:rPr>
        <w:t>n</w:t>
      </w:r>
      <w:r w:rsidRPr="00901CD2">
        <w:rPr>
          <w:rFonts w:ascii="Verdana" w:hAnsi="Verdana"/>
          <w:sz w:val="20"/>
          <w:szCs w:val="20"/>
        </w:rPr>
        <w:t xml:space="preserve"> producirse </w:t>
      </w:r>
      <w:r w:rsidR="00640059" w:rsidRPr="00901CD2">
        <w:rPr>
          <w:rFonts w:ascii="Verdana" w:hAnsi="Verdana"/>
          <w:sz w:val="20"/>
          <w:szCs w:val="20"/>
        </w:rPr>
        <w:t xml:space="preserve">afectaciones </w:t>
      </w:r>
      <w:r w:rsidRPr="00901CD2">
        <w:rPr>
          <w:rFonts w:ascii="Verdana" w:hAnsi="Verdana"/>
          <w:sz w:val="20"/>
          <w:szCs w:val="20"/>
        </w:rPr>
        <w:t>sin la acción estatal directa</w:t>
      </w:r>
      <w:r w:rsidR="00640059" w:rsidRPr="00901CD2">
        <w:rPr>
          <w:rFonts w:ascii="Verdana" w:hAnsi="Verdana"/>
          <w:sz w:val="20"/>
          <w:szCs w:val="20"/>
        </w:rPr>
        <w:t>,</w:t>
      </w:r>
      <w:r w:rsidRPr="00901CD2">
        <w:rPr>
          <w:rFonts w:ascii="Verdana" w:hAnsi="Verdana"/>
          <w:sz w:val="20"/>
          <w:szCs w:val="20"/>
        </w:rPr>
        <w:t xml:space="preserve"> como lo señala con claridad en esta sentencia</w:t>
      </w:r>
      <w:r w:rsidR="007D55F3" w:rsidRPr="00901CD2">
        <w:rPr>
          <w:rStyle w:val="FootnoteReference"/>
          <w:rFonts w:ascii="Verdana" w:hAnsi="Verdana"/>
          <w:sz w:val="20"/>
          <w:szCs w:val="20"/>
        </w:rPr>
        <w:footnoteReference w:id="13"/>
      </w:r>
      <w:r w:rsidRPr="00901CD2">
        <w:rPr>
          <w:rFonts w:ascii="Verdana" w:hAnsi="Verdana"/>
          <w:sz w:val="20"/>
          <w:szCs w:val="20"/>
        </w:rPr>
        <w:t xml:space="preserve">. Enfatizando criterios ya establecidos por la Corte en su jurisprudencia constante en lo que respecta a este último punto, </w:t>
      </w:r>
      <w:r w:rsidRPr="00426463">
        <w:rPr>
          <w:rFonts w:ascii="Verdana" w:hAnsi="Verdana"/>
          <w:sz w:val="20"/>
          <w:szCs w:val="20"/>
        </w:rPr>
        <w:t>“</w:t>
      </w:r>
      <w:r w:rsidR="00EF2815" w:rsidRPr="00426463">
        <w:rPr>
          <w:rFonts w:ascii="Verdana" w:hAnsi="Verdana"/>
          <w:sz w:val="20"/>
          <w:szCs w:val="20"/>
        </w:rPr>
        <w:t>[</w:t>
      </w:r>
      <w:r w:rsidRPr="00426463">
        <w:rPr>
          <w:rFonts w:ascii="Verdana" w:hAnsi="Verdana"/>
          <w:sz w:val="20"/>
          <w:szCs w:val="20"/>
        </w:rPr>
        <w:t>t</w:t>
      </w:r>
      <w:r w:rsidR="00EF2815" w:rsidRPr="00426463">
        <w:rPr>
          <w:rFonts w:ascii="Verdana" w:hAnsi="Verdana"/>
          <w:sz w:val="20"/>
          <w:szCs w:val="20"/>
        </w:rPr>
        <w:t>]</w:t>
      </w:r>
      <w:r w:rsidRPr="00426463">
        <w:rPr>
          <w:rFonts w:ascii="Verdana" w:hAnsi="Verdana"/>
          <w:sz w:val="20"/>
          <w:szCs w:val="20"/>
        </w:rPr>
        <w:t>al supuesto podría llegar a configurarse, por ejemplo, cuando por efecto de la existencia de monopolios u oligopolios en la propiedad de los medios de comunicación, se establecen en la práctica ‘medios encaminados a impedir la comunicación y la circulación de ideas y opiniones’”</w:t>
      </w:r>
      <w:r w:rsidR="007D55F3" w:rsidRPr="00901CD2">
        <w:rPr>
          <w:rStyle w:val="FootnoteReference"/>
          <w:rFonts w:ascii="Verdana" w:hAnsi="Verdana"/>
          <w:sz w:val="20"/>
          <w:szCs w:val="20"/>
        </w:rPr>
        <w:footnoteReference w:id="14"/>
      </w:r>
      <w:r w:rsidRPr="00901CD2">
        <w:rPr>
          <w:rFonts w:ascii="Verdana" w:hAnsi="Verdana"/>
          <w:sz w:val="20"/>
          <w:szCs w:val="20"/>
        </w:rPr>
        <w:t xml:space="preserve">. La Corte, en tal sentido, asume como propio el criterio </w:t>
      </w:r>
      <w:r w:rsidR="00640059" w:rsidRPr="00901CD2">
        <w:rPr>
          <w:rFonts w:ascii="Verdana" w:hAnsi="Verdana"/>
          <w:sz w:val="20"/>
          <w:szCs w:val="20"/>
        </w:rPr>
        <w:t>contenid</w:t>
      </w:r>
      <w:r w:rsidRPr="00901CD2">
        <w:rPr>
          <w:rFonts w:ascii="Verdana" w:hAnsi="Verdana"/>
          <w:sz w:val="20"/>
          <w:szCs w:val="20"/>
        </w:rPr>
        <w:t xml:space="preserve">o en la Declaración de Principios sobre la Libertad de Expresión y lo incorpora como propio, </w:t>
      </w:r>
      <w:r w:rsidR="00640059" w:rsidRPr="00901CD2">
        <w:rPr>
          <w:rFonts w:ascii="Verdana" w:hAnsi="Verdana"/>
          <w:sz w:val="20"/>
          <w:szCs w:val="20"/>
        </w:rPr>
        <w:t xml:space="preserve">fijando </w:t>
      </w:r>
      <w:r w:rsidRPr="00901CD2">
        <w:rPr>
          <w:rFonts w:ascii="Verdana" w:hAnsi="Verdana"/>
          <w:sz w:val="20"/>
          <w:szCs w:val="20"/>
        </w:rPr>
        <w:t xml:space="preserve">como criterio interpretativo del derecho internacional, que </w:t>
      </w:r>
      <w:r w:rsidRPr="00426463">
        <w:rPr>
          <w:rFonts w:ascii="Verdana" w:hAnsi="Verdana"/>
          <w:sz w:val="20"/>
          <w:szCs w:val="20"/>
        </w:rPr>
        <w:t>“[l]os monopolios u oligopolios en la propiedad y control de los medios de comunicación deben estar sujetos a leyes antimonopólicas por cuanto conspiran contra la democracia al restringir la pluralidad y diversidad que asegura el pleno ejercicio del derecho a la información de los ciudadanos”</w:t>
      </w:r>
      <w:r w:rsidR="007D55F3" w:rsidRPr="00901CD2">
        <w:rPr>
          <w:rStyle w:val="FootnoteReference"/>
          <w:rFonts w:ascii="Verdana" w:hAnsi="Verdana"/>
          <w:sz w:val="20"/>
          <w:szCs w:val="20"/>
        </w:rPr>
        <w:footnoteReference w:id="15"/>
      </w:r>
      <w:r w:rsidRPr="00901CD2">
        <w:rPr>
          <w:rFonts w:ascii="Verdana" w:hAnsi="Verdana"/>
          <w:sz w:val="20"/>
          <w:szCs w:val="20"/>
        </w:rPr>
        <w:t xml:space="preserve">. </w:t>
      </w:r>
    </w:p>
    <w:p w:rsidR="00363520" w:rsidRPr="00901CD2" w:rsidRDefault="00363520" w:rsidP="007E7976">
      <w:pPr>
        <w:pStyle w:val="ListParagraph"/>
        <w:spacing w:after="0" w:line="240" w:lineRule="auto"/>
        <w:ind w:left="0"/>
        <w:jc w:val="both"/>
        <w:rPr>
          <w:rFonts w:ascii="Verdana" w:hAnsi="Verdana"/>
          <w:sz w:val="20"/>
          <w:szCs w:val="20"/>
          <w:lang w:val="es-CO"/>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lang w:val="es-CO"/>
        </w:rPr>
      </w:pPr>
      <w:r w:rsidRPr="00901CD2">
        <w:rPr>
          <w:rFonts w:ascii="Verdana" w:hAnsi="Verdana"/>
          <w:sz w:val="20"/>
          <w:szCs w:val="20"/>
        </w:rPr>
        <w:t xml:space="preserve">En concordancia con el derecho a la pluralidad de medios o informativa, la Corte recuerda las obligaciones positivas de los Estados que se desprenden de este derecho y que otros tribunales internacionales </w:t>
      </w:r>
      <w:r w:rsidR="00640059" w:rsidRPr="00901CD2">
        <w:rPr>
          <w:rFonts w:ascii="Verdana" w:hAnsi="Verdana"/>
          <w:sz w:val="20"/>
          <w:szCs w:val="20"/>
        </w:rPr>
        <w:t xml:space="preserve">ya </w:t>
      </w:r>
      <w:r w:rsidRPr="00901CD2">
        <w:rPr>
          <w:rFonts w:ascii="Verdana" w:hAnsi="Verdana"/>
          <w:sz w:val="20"/>
          <w:szCs w:val="20"/>
        </w:rPr>
        <w:t xml:space="preserve">han determinado con precisión. Así, ha sido claramente establecido por el Tribunal Europeo de Derechos Humanos </w:t>
      </w:r>
      <w:r w:rsidRPr="00426463">
        <w:rPr>
          <w:rFonts w:ascii="Verdana" w:hAnsi="Verdana"/>
          <w:sz w:val="20"/>
          <w:szCs w:val="20"/>
        </w:rPr>
        <w:t xml:space="preserve">“en el caso Centro Europa 7 </w:t>
      </w:r>
      <w:proofErr w:type="spellStart"/>
      <w:r w:rsidRPr="00426463">
        <w:rPr>
          <w:rFonts w:ascii="Verdana" w:hAnsi="Verdana"/>
          <w:sz w:val="20"/>
          <w:szCs w:val="20"/>
        </w:rPr>
        <w:t>s.r.l</w:t>
      </w:r>
      <w:proofErr w:type="spellEnd"/>
      <w:r w:rsidRPr="00426463">
        <w:rPr>
          <w:rFonts w:ascii="Verdana" w:hAnsi="Verdana"/>
          <w:sz w:val="20"/>
          <w:szCs w:val="20"/>
        </w:rPr>
        <w:t>. y Di Stefano Vs. Italia (2012),</w:t>
      </w:r>
      <w:r w:rsidRPr="00426463">
        <w:rPr>
          <w:rFonts w:ascii="Verdana" w:hAnsi="Verdana"/>
          <w:iCs/>
          <w:sz w:val="20"/>
          <w:szCs w:val="20"/>
        </w:rPr>
        <w:t xml:space="preserve"> </w:t>
      </w:r>
      <w:r w:rsidR="00172F55" w:rsidRPr="00426463">
        <w:rPr>
          <w:rFonts w:ascii="Verdana" w:hAnsi="Verdana"/>
          <w:sz w:val="20"/>
          <w:szCs w:val="20"/>
        </w:rPr>
        <w:t>[en el que]</w:t>
      </w:r>
      <w:r w:rsidRPr="00426463">
        <w:rPr>
          <w:rFonts w:ascii="Verdana" w:hAnsi="Verdana"/>
          <w:sz w:val="20"/>
          <w:szCs w:val="20"/>
        </w:rPr>
        <w:t xml:space="preserve"> indicó que además de un deber negativo de no interferencia, el Estado tiene una obligación positiva de contar con un marco administrativo y legislativo adecuado para garantizar el pluralismo y la diversidad. Asimismo</w:t>
      </w:r>
      <w:r w:rsidRPr="00426463">
        <w:rPr>
          <w:rFonts w:ascii="Verdana" w:hAnsi="Verdana"/>
          <w:iCs/>
          <w:sz w:val="20"/>
          <w:szCs w:val="20"/>
          <w:lang w:val="es-CO"/>
        </w:rPr>
        <w:t>,</w:t>
      </w:r>
      <w:r w:rsidRPr="00426463">
        <w:rPr>
          <w:rFonts w:ascii="Verdana" w:hAnsi="Verdana"/>
          <w:sz w:val="20"/>
          <w:szCs w:val="20"/>
          <w:lang w:val="es-CO"/>
        </w:rPr>
        <w:t xml:space="preserve"> al determinar que existía una obligación positiva de los Estados de adecuar su marco legislativo y administrativo para garantizar el pluralismo efectivo, el Tribunal retomó la Recomendación CM/</w:t>
      </w:r>
      <w:proofErr w:type="spellStart"/>
      <w:r w:rsidRPr="00426463">
        <w:rPr>
          <w:rFonts w:ascii="Verdana" w:hAnsi="Verdana"/>
          <w:sz w:val="20"/>
          <w:szCs w:val="20"/>
          <w:lang w:val="es-CO"/>
        </w:rPr>
        <w:t>Rec</w:t>
      </w:r>
      <w:proofErr w:type="spellEnd"/>
      <w:r w:rsidRPr="00426463">
        <w:rPr>
          <w:rFonts w:ascii="Verdana" w:hAnsi="Verdana"/>
          <w:sz w:val="20"/>
          <w:szCs w:val="20"/>
          <w:lang w:val="es-CO"/>
        </w:rPr>
        <w:t xml:space="preserve">(2007)2 del Consejo de Ministros sobre la pluralidad de los medios y la diversidad de contenido de los medios, reafirmando que: </w:t>
      </w:r>
      <w:r w:rsidR="00172F55" w:rsidRPr="00426463">
        <w:rPr>
          <w:rFonts w:ascii="Verdana" w:hAnsi="Verdana"/>
          <w:sz w:val="20"/>
          <w:szCs w:val="20"/>
          <w:lang w:val="es-CO"/>
        </w:rPr>
        <w:t>‘</w:t>
      </w:r>
      <w:r w:rsidRPr="00426463">
        <w:rPr>
          <w:rFonts w:ascii="Verdana" w:hAnsi="Verdana"/>
          <w:sz w:val="20"/>
          <w:szCs w:val="20"/>
          <w:lang w:val="es-CO"/>
        </w:rPr>
        <w:t>con la finalidad de proteger y promover activamente las expresiones pluralistas de ideas y opiniones, así como la diversidad cultural, los Estados miembros tienen que adaptar los marcos regulatorios existentes, particularmente con respecto a la propiedad de los medios de comunicación y adoptar cualquier medida regulatoria y financiera adecuada para garantizar la transparencia de los medios de comunicación y el pluralismo estructural, así como la diversidad del contenido distribuido</w:t>
      </w:r>
      <w:r w:rsidR="00172F55" w:rsidRPr="00426463">
        <w:rPr>
          <w:rFonts w:ascii="Verdana" w:hAnsi="Verdana"/>
          <w:sz w:val="20"/>
          <w:szCs w:val="20"/>
          <w:lang w:val="es-CO"/>
        </w:rPr>
        <w:t>’</w:t>
      </w:r>
      <w:r w:rsidRPr="00426463">
        <w:rPr>
          <w:rFonts w:ascii="Verdana" w:hAnsi="Verdana"/>
          <w:sz w:val="20"/>
          <w:szCs w:val="20"/>
          <w:lang w:val="es-CO"/>
        </w:rPr>
        <w:t>”</w:t>
      </w:r>
      <w:r w:rsidR="00A750F3" w:rsidRPr="00901CD2">
        <w:rPr>
          <w:rStyle w:val="FootnoteReference"/>
          <w:rFonts w:ascii="Verdana" w:hAnsi="Verdana"/>
          <w:sz w:val="20"/>
          <w:szCs w:val="20"/>
        </w:rPr>
        <w:footnoteReference w:id="16"/>
      </w:r>
      <w:r w:rsidRPr="00901CD2">
        <w:rPr>
          <w:rFonts w:ascii="Verdana" w:hAnsi="Verdana"/>
          <w:sz w:val="20"/>
          <w:szCs w:val="20"/>
          <w:lang w:val="es-CO"/>
        </w:rPr>
        <w:t>.</w:t>
      </w:r>
    </w:p>
    <w:p w:rsidR="00363520" w:rsidRPr="00901CD2" w:rsidRDefault="00363520" w:rsidP="007E7976">
      <w:pPr>
        <w:pStyle w:val="ListParagraph"/>
        <w:spacing w:after="0" w:line="240" w:lineRule="auto"/>
        <w:ind w:left="0"/>
        <w:jc w:val="both"/>
        <w:rPr>
          <w:rFonts w:ascii="Verdana" w:hAnsi="Verdana"/>
          <w:sz w:val="20"/>
          <w:szCs w:val="20"/>
          <w:lang w:val="es-CO"/>
        </w:rPr>
      </w:pPr>
    </w:p>
    <w:p w:rsidR="007E7976" w:rsidRPr="00901CD2" w:rsidRDefault="00363520" w:rsidP="007E7976">
      <w:pPr>
        <w:pStyle w:val="ListParagraph"/>
        <w:numPr>
          <w:ilvl w:val="0"/>
          <w:numId w:val="4"/>
        </w:numPr>
        <w:spacing w:after="0" w:line="240" w:lineRule="auto"/>
        <w:ind w:left="0" w:firstLine="0"/>
        <w:jc w:val="both"/>
        <w:rPr>
          <w:rFonts w:ascii="Verdana" w:hAnsi="Verdana"/>
          <w:sz w:val="20"/>
          <w:szCs w:val="20"/>
          <w:lang w:val="es-CO"/>
        </w:rPr>
      </w:pPr>
      <w:r w:rsidRPr="00901CD2">
        <w:rPr>
          <w:rFonts w:ascii="Verdana" w:hAnsi="Verdana"/>
          <w:sz w:val="20"/>
          <w:szCs w:val="20"/>
        </w:rPr>
        <w:t>Dentro de ese criterio de análisis, y reiterando lo ya establecido en su jurisprudencia constante, la Corte Interamericana enfatiza contundente</w:t>
      </w:r>
      <w:r w:rsidR="00640059" w:rsidRPr="00901CD2">
        <w:rPr>
          <w:rFonts w:ascii="Verdana" w:hAnsi="Verdana"/>
          <w:sz w:val="20"/>
          <w:szCs w:val="20"/>
        </w:rPr>
        <w:t>mente</w:t>
      </w:r>
      <w:r w:rsidRPr="00901CD2">
        <w:rPr>
          <w:rFonts w:ascii="Verdana" w:hAnsi="Verdana"/>
          <w:sz w:val="20"/>
          <w:szCs w:val="20"/>
        </w:rPr>
        <w:t xml:space="preserve"> la obligación positiva</w:t>
      </w:r>
      <w:r w:rsidR="00640059" w:rsidRPr="00901CD2">
        <w:rPr>
          <w:rFonts w:ascii="Verdana" w:hAnsi="Verdana"/>
          <w:sz w:val="20"/>
          <w:szCs w:val="20"/>
        </w:rPr>
        <w:t>, es decir, el deber de garantía</w:t>
      </w:r>
      <w:r w:rsidRPr="00901CD2">
        <w:rPr>
          <w:rFonts w:ascii="Verdana" w:hAnsi="Verdana"/>
          <w:sz w:val="20"/>
          <w:szCs w:val="20"/>
        </w:rPr>
        <w:t xml:space="preserve"> de los Estados para garantizar el pluralismo de medios: </w:t>
      </w:r>
      <w:r w:rsidRPr="00426463">
        <w:rPr>
          <w:rFonts w:ascii="Verdana" w:hAnsi="Verdana"/>
          <w:sz w:val="20"/>
          <w:szCs w:val="20"/>
        </w:rPr>
        <w:t xml:space="preserve">“los Estados están internacionalmente obligados a adoptar las medidas que fueren necesarias ‘para hacer efectivos’ los derechos y principios establecidos en la Convención, como se estipula en el artículo 2 de dicho </w:t>
      </w:r>
      <w:r w:rsidRPr="00426463">
        <w:rPr>
          <w:rFonts w:ascii="Verdana" w:hAnsi="Verdana"/>
          <w:sz w:val="20"/>
          <w:szCs w:val="20"/>
        </w:rPr>
        <w:lastRenderedPageBreak/>
        <w:t>instrumento interamericano, para lo cual deberán establecer leyes y políticas públicas que garanticen el pluralismo de medios o informativo en las distintas aéreas comunicacionales, tales como, por ejemplo,</w:t>
      </w:r>
      <w:r w:rsidRPr="00426463">
        <w:rPr>
          <w:rFonts w:ascii="Verdana" w:hAnsi="Verdana"/>
          <w:b/>
          <w:bCs/>
          <w:sz w:val="20"/>
          <w:szCs w:val="20"/>
        </w:rPr>
        <w:t xml:space="preserve"> </w:t>
      </w:r>
      <w:r w:rsidRPr="00426463">
        <w:rPr>
          <w:rFonts w:ascii="Verdana" w:hAnsi="Verdana"/>
          <w:sz w:val="20"/>
          <w:szCs w:val="20"/>
        </w:rPr>
        <w:t>la prensa, radio, y televisión”</w:t>
      </w:r>
      <w:r w:rsidR="00CA51E7" w:rsidRPr="00901CD2">
        <w:rPr>
          <w:rStyle w:val="FootnoteReference"/>
          <w:rFonts w:ascii="Verdana" w:hAnsi="Verdana"/>
          <w:sz w:val="20"/>
          <w:szCs w:val="20"/>
        </w:rPr>
        <w:footnoteReference w:id="17"/>
      </w:r>
      <w:r w:rsidRPr="00901CD2">
        <w:rPr>
          <w:rFonts w:ascii="Verdana" w:hAnsi="Verdana"/>
          <w:sz w:val="20"/>
          <w:szCs w:val="20"/>
        </w:rPr>
        <w:t xml:space="preserve">. </w:t>
      </w:r>
    </w:p>
    <w:p w:rsidR="007E7976" w:rsidRPr="00901CD2" w:rsidRDefault="007E7976" w:rsidP="007E7976">
      <w:pPr>
        <w:pStyle w:val="ListParagraph"/>
        <w:spacing w:after="0" w:line="240" w:lineRule="auto"/>
        <w:rPr>
          <w:rFonts w:ascii="Verdana" w:eastAsia="Times New Roman" w:hAnsi="Verdana"/>
          <w:sz w:val="20"/>
          <w:szCs w:val="20"/>
        </w:rPr>
      </w:pPr>
    </w:p>
    <w:p w:rsidR="007E7976" w:rsidRPr="00901CD2" w:rsidRDefault="007E7976" w:rsidP="007E7976">
      <w:pPr>
        <w:pStyle w:val="ListParagraph"/>
        <w:numPr>
          <w:ilvl w:val="0"/>
          <w:numId w:val="4"/>
        </w:numPr>
        <w:spacing w:after="0" w:line="240" w:lineRule="auto"/>
        <w:ind w:left="0" w:firstLine="0"/>
        <w:jc w:val="both"/>
        <w:rPr>
          <w:rFonts w:ascii="Verdana" w:hAnsi="Verdana"/>
          <w:sz w:val="20"/>
          <w:szCs w:val="20"/>
          <w:lang w:val="es-CO"/>
        </w:rPr>
      </w:pPr>
      <w:r w:rsidRPr="00901CD2">
        <w:rPr>
          <w:rFonts w:ascii="Verdana" w:eastAsia="Times New Roman" w:hAnsi="Verdana"/>
          <w:sz w:val="20"/>
          <w:szCs w:val="20"/>
        </w:rPr>
        <w:t xml:space="preserve">La obligación internacional de los Estados de garantizar la pluralidad de medios, en consecuencia, se traduce en que ellos deben adoptar </w:t>
      </w:r>
      <w:r w:rsidRPr="00426463">
        <w:rPr>
          <w:rFonts w:ascii="Verdana" w:eastAsia="Times New Roman" w:hAnsi="Verdana"/>
          <w:sz w:val="20"/>
          <w:szCs w:val="20"/>
        </w:rPr>
        <w:t>“las medidas que fueren necesarias”</w:t>
      </w:r>
      <w:r w:rsidRPr="00901CD2">
        <w:rPr>
          <w:rFonts w:ascii="Verdana" w:eastAsia="Times New Roman" w:hAnsi="Verdana"/>
          <w:sz w:val="20"/>
          <w:szCs w:val="20"/>
        </w:rPr>
        <w:t xml:space="preserve"> dentro de las cuales se incluyen las “</w:t>
      </w:r>
      <w:r w:rsidRPr="00426463">
        <w:rPr>
          <w:rFonts w:ascii="Verdana" w:eastAsia="Times New Roman" w:hAnsi="Verdana"/>
          <w:sz w:val="20"/>
          <w:szCs w:val="20"/>
        </w:rPr>
        <w:t xml:space="preserve">leyes y políticas públicas” </w:t>
      </w:r>
      <w:r w:rsidRPr="00901CD2">
        <w:rPr>
          <w:rFonts w:ascii="Verdana" w:eastAsia="Times New Roman" w:hAnsi="Verdana"/>
          <w:sz w:val="20"/>
          <w:szCs w:val="20"/>
        </w:rPr>
        <w:t>que permitan garantizar</w:t>
      </w:r>
      <w:r w:rsidRPr="00426463">
        <w:rPr>
          <w:rFonts w:ascii="Verdana" w:eastAsia="Times New Roman" w:hAnsi="Verdana"/>
          <w:sz w:val="20"/>
          <w:szCs w:val="20"/>
        </w:rPr>
        <w:t xml:space="preserve"> </w:t>
      </w:r>
      <w:r w:rsidRPr="00901CD2">
        <w:rPr>
          <w:rFonts w:ascii="Verdana" w:eastAsia="Times New Roman" w:hAnsi="Verdana"/>
          <w:sz w:val="20"/>
          <w:szCs w:val="20"/>
        </w:rPr>
        <w:t>“</w:t>
      </w:r>
      <w:r w:rsidRPr="00426463">
        <w:rPr>
          <w:rFonts w:ascii="Verdana" w:eastAsia="Times New Roman" w:hAnsi="Verdana"/>
          <w:sz w:val="20"/>
          <w:szCs w:val="20"/>
        </w:rPr>
        <w:t>el pluralismo de medios o informativo en las distintas aéreas comunicacionales, tales como, por ejemplo,</w:t>
      </w:r>
      <w:r w:rsidRPr="00426463">
        <w:rPr>
          <w:rFonts w:ascii="Verdana" w:eastAsia="Times New Roman" w:hAnsi="Verdana"/>
          <w:b/>
          <w:bCs/>
          <w:sz w:val="20"/>
          <w:szCs w:val="20"/>
        </w:rPr>
        <w:t xml:space="preserve"> </w:t>
      </w:r>
      <w:r w:rsidRPr="00426463">
        <w:rPr>
          <w:rFonts w:ascii="Verdana" w:eastAsia="Times New Roman" w:hAnsi="Verdana"/>
          <w:sz w:val="20"/>
          <w:szCs w:val="20"/>
        </w:rPr>
        <w:t xml:space="preserve">la prensa, radio, y televisión”. </w:t>
      </w:r>
      <w:r w:rsidRPr="00901CD2">
        <w:rPr>
          <w:rFonts w:ascii="Verdana" w:eastAsia="Times New Roman" w:hAnsi="Verdana"/>
          <w:sz w:val="20"/>
          <w:szCs w:val="20"/>
        </w:rPr>
        <w:t xml:space="preserve">De manera que en la enumeración de caminos posibles para cumplir con esta obligación internacional hay un concepto orientador clave que es el de </w:t>
      </w:r>
      <w:r w:rsidRPr="00426463">
        <w:rPr>
          <w:rFonts w:ascii="Verdana" w:eastAsia="Times New Roman" w:hAnsi="Verdana"/>
          <w:sz w:val="20"/>
          <w:szCs w:val="20"/>
        </w:rPr>
        <w:t>“las medidas que fuesen necesarias”</w:t>
      </w:r>
      <w:r w:rsidRPr="00901CD2">
        <w:rPr>
          <w:rFonts w:ascii="Verdana" w:eastAsia="Times New Roman" w:hAnsi="Verdana"/>
          <w:sz w:val="20"/>
          <w:szCs w:val="20"/>
        </w:rPr>
        <w:t xml:space="preserve"> dentro de lo cual la mención a </w:t>
      </w:r>
      <w:r w:rsidRPr="00426463">
        <w:rPr>
          <w:rFonts w:ascii="Verdana" w:eastAsia="Times New Roman" w:hAnsi="Verdana"/>
          <w:sz w:val="20"/>
          <w:szCs w:val="20"/>
        </w:rPr>
        <w:t>“leyes y políticas públicas”</w:t>
      </w:r>
      <w:r w:rsidRPr="00901CD2">
        <w:rPr>
          <w:rFonts w:ascii="Verdana" w:eastAsia="Times New Roman" w:hAnsi="Verdana"/>
          <w:sz w:val="20"/>
          <w:szCs w:val="20"/>
        </w:rPr>
        <w:t xml:space="preserve"> debe ser entendida como una de las tantas rutas disponibles para cumplir con esa obligación general. Como ocurre con las distintas obligaciones internacionales del Estado, se debe entender que la que aquí se menciona incluye a todas las esferas institucionales del poder del Estado por lo que el ejecutivo, el legislativo, el judicial y las demás áreas del Estado, dentro de la esfera de sus competencias, quedan igualmente sujetas a la misma. </w:t>
      </w:r>
    </w:p>
    <w:p w:rsidR="00363520" w:rsidRPr="00901CD2" w:rsidRDefault="00363520" w:rsidP="007E7976">
      <w:pPr>
        <w:pStyle w:val="ListParagraph"/>
        <w:spacing w:after="0" w:line="240" w:lineRule="auto"/>
        <w:ind w:left="0"/>
        <w:jc w:val="both"/>
        <w:rPr>
          <w:rFonts w:ascii="Verdana" w:hAnsi="Verdana"/>
          <w:sz w:val="20"/>
          <w:szCs w:val="20"/>
          <w:lang w:val="es-CO"/>
        </w:rPr>
      </w:pPr>
    </w:p>
    <w:p w:rsidR="00363520" w:rsidRPr="00426463" w:rsidRDefault="00363520" w:rsidP="007E7976">
      <w:pPr>
        <w:spacing w:after="0" w:line="240" w:lineRule="auto"/>
        <w:jc w:val="both"/>
        <w:rPr>
          <w:rFonts w:ascii="Verdana" w:hAnsi="Verdana"/>
          <w:b/>
          <w:sz w:val="20"/>
          <w:szCs w:val="20"/>
          <w:lang w:val="es-CO"/>
        </w:rPr>
      </w:pPr>
      <w:r w:rsidRPr="00426463">
        <w:rPr>
          <w:rFonts w:ascii="Verdana" w:hAnsi="Verdana"/>
          <w:b/>
          <w:sz w:val="20"/>
          <w:szCs w:val="20"/>
          <w:u w:val="single"/>
          <w:lang w:val="es-CO"/>
        </w:rPr>
        <w:t>Frecuencias radioeléctricas y derechos de particulares</w:t>
      </w:r>
      <w:r w:rsidRPr="00426463">
        <w:rPr>
          <w:rFonts w:ascii="Verdana" w:hAnsi="Verdana"/>
          <w:b/>
          <w:sz w:val="20"/>
          <w:szCs w:val="20"/>
          <w:lang w:val="es-CO"/>
        </w:rPr>
        <w:t>.</w:t>
      </w:r>
    </w:p>
    <w:p w:rsidR="00363520" w:rsidRPr="00901CD2" w:rsidRDefault="00363520" w:rsidP="007E7976">
      <w:pPr>
        <w:spacing w:after="0" w:line="240" w:lineRule="auto"/>
        <w:jc w:val="both"/>
        <w:rPr>
          <w:rFonts w:ascii="Verdana" w:hAnsi="Verdana"/>
          <w:sz w:val="20"/>
          <w:szCs w:val="20"/>
          <w:lang w:val="es-CO"/>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lang w:val="es-CO"/>
        </w:rPr>
      </w:pPr>
      <w:r w:rsidRPr="00901CD2">
        <w:rPr>
          <w:rFonts w:ascii="Verdana" w:hAnsi="Verdana"/>
          <w:sz w:val="20"/>
          <w:szCs w:val="20"/>
          <w:lang w:val="es-CO"/>
        </w:rPr>
        <w:t xml:space="preserve">Las condiciones jurídicas del uso de frecuencias radioeléctricas </w:t>
      </w:r>
      <w:r w:rsidRPr="00901CD2">
        <w:rPr>
          <w:rFonts w:ascii="Verdana" w:hAnsi="Verdana"/>
          <w:sz w:val="20"/>
          <w:szCs w:val="20"/>
        </w:rPr>
        <w:t xml:space="preserve">han sido uno de los </w:t>
      </w:r>
      <w:r w:rsidR="00640059" w:rsidRPr="00901CD2">
        <w:rPr>
          <w:rFonts w:ascii="Verdana" w:hAnsi="Verdana"/>
          <w:sz w:val="20"/>
          <w:szCs w:val="20"/>
        </w:rPr>
        <w:t xml:space="preserve">aspectos importantes controvertidos </w:t>
      </w:r>
      <w:r w:rsidRPr="00901CD2">
        <w:rPr>
          <w:rFonts w:ascii="Verdana" w:hAnsi="Verdana"/>
          <w:sz w:val="20"/>
          <w:szCs w:val="20"/>
        </w:rPr>
        <w:t>en este caso. Como se relata en la sentencia, los representantes de las víctimas alegaron durante el proceso que les había sido afectado un alegado derecho a la “renovación automática” del derecho al uso de la frecuencia que se le había asignado a RCTV</w:t>
      </w:r>
      <w:r w:rsidR="007D10B2" w:rsidRPr="00901CD2">
        <w:rPr>
          <w:rFonts w:ascii="Verdana" w:hAnsi="Verdana"/>
          <w:sz w:val="20"/>
          <w:szCs w:val="20"/>
        </w:rPr>
        <w:t>,</w:t>
      </w:r>
      <w:r w:rsidRPr="00901CD2">
        <w:rPr>
          <w:rFonts w:ascii="Verdana" w:hAnsi="Verdana"/>
          <w:sz w:val="20"/>
          <w:szCs w:val="20"/>
        </w:rPr>
        <w:t xml:space="preserve"> mientras que el Estado sostuvo que tal derecho a la renovación automática no existía en el derecho venezolano. </w:t>
      </w:r>
    </w:p>
    <w:p w:rsidR="00363520" w:rsidRPr="00901CD2" w:rsidRDefault="00363520" w:rsidP="007E7976">
      <w:pPr>
        <w:pStyle w:val="ListParagraph"/>
        <w:spacing w:after="0" w:line="240" w:lineRule="auto"/>
        <w:ind w:left="0"/>
        <w:jc w:val="both"/>
        <w:rPr>
          <w:rFonts w:ascii="Verdana" w:hAnsi="Verdana"/>
          <w:sz w:val="20"/>
          <w:szCs w:val="20"/>
          <w:lang w:val="es-CO"/>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lang w:val="es-CO"/>
        </w:rPr>
      </w:pPr>
      <w:r w:rsidRPr="00901CD2">
        <w:rPr>
          <w:rFonts w:ascii="Verdana" w:hAnsi="Verdana"/>
          <w:sz w:val="20"/>
          <w:szCs w:val="20"/>
        </w:rPr>
        <w:t xml:space="preserve">Respecto a este asunto la Corte es clara en el sentido de establecer, primero, la potestad de los Estados de </w:t>
      </w:r>
      <w:r w:rsidRPr="00426463">
        <w:rPr>
          <w:rFonts w:ascii="Verdana" w:hAnsi="Verdana"/>
          <w:sz w:val="20"/>
          <w:szCs w:val="20"/>
        </w:rPr>
        <w:t>“regular la actividad de radiodifusión, la cual abarca no sólo la posibilidad de definir la forma en que se realizan las concesiones, renovaciones o revocaciones de las licencias, sino también la de planificar e implementar políticas públicas sobre dicha actividad”</w:t>
      </w:r>
      <w:r w:rsidR="00B27FF7" w:rsidRPr="00901CD2">
        <w:rPr>
          <w:rStyle w:val="FootnoteReference"/>
          <w:rFonts w:ascii="Verdana" w:hAnsi="Verdana"/>
          <w:sz w:val="20"/>
          <w:szCs w:val="20"/>
        </w:rPr>
        <w:footnoteReference w:id="18"/>
      </w:r>
      <w:r w:rsidRPr="00901CD2">
        <w:rPr>
          <w:rFonts w:ascii="Verdana" w:hAnsi="Verdana"/>
          <w:sz w:val="20"/>
          <w:szCs w:val="20"/>
        </w:rPr>
        <w:t>. Simultáneamente la Corte precisa, sin embargo, que ello puede ser así “</w:t>
      </w:r>
      <w:r w:rsidRPr="00426463">
        <w:rPr>
          <w:rFonts w:ascii="Verdana" w:hAnsi="Verdana"/>
          <w:sz w:val="20"/>
          <w:szCs w:val="20"/>
        </w:rPr>
        <w:t>siempre y cuando se respeten las pautas que impone el derecho a la libertad de expresión. Lo anterior debido a que la adopción o renovación de una concesión en materia de radiodifusión no puede ser equiparable a la de otros servicios públicos, por cuanto los alcances del derecho a la libertad de expresión deben permear la regulación sobre la materia”</w:t>
      </w:r>
      <w:r w:rsidR="00B27FF7" w:rsidRPr="00901CD2">
        <w:rPr>
          <w:rStyle w:val="FootnoteReference"/>
          <w:rFonts w:ascii="Verdana" w:hAnsi="Verdana"/>
          <w:sz w:val="20"/>
          <w:szCs w:val="20"/>
        </w:rPr>
        <w:footnoteReference w:id="19"/>
      </w:r>
      <w:r w:rsidRPr="00901CD2">
        <w:rPr>
          <w:rFonts w:ascii="Verdana" w:hAnsi="Verdana"/>
          <w:sz w:val="20"/>
          <w:szCs w:val="20"/>
        </w:rPr>
        <w:t xml:space="preserve">. </w:t>
      </w:r>
    </w:p>
    <w:p w:rsidR="00363520" w:rsidRPr="00901CD2" w:rsidRDefault="00363520" w:rsidP="007E7976">
      <w:pPr>
        <w:pStyle w:val="ListParagraph"/>
        <w:spacing w:after="0" w:line="240" w:lineRule="auto"/>
        <w:ind w:left="0"/>
        <w:jc w:val="both"/>
        <w:rPr>
          <w:rFonts w:ascii="Verdana" w:hAnsi="Verdana"/>
          <w:sz w:val="20"/>
          <w:szCs w:val="20"/>
          <w:lang w:val="es-CO"/>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lang w:val="es-CO"/>
        </w:rPr>
      </w:pPr>
      <w:r w:rsidRPr="00901CD2">
        <w:rPr>
          <w:rFonts w:ascii="Verdana" w:hAnsi="Verdana"/>
          <w:sz w:val="20"/>
          <w:szCs w:val="20"/>
        </w:rPr>
        <w:t xml:space="preserve">En este orden de ideas, la capacidad de regulación reconocida al Estado en esta materia no sólo tiene que ser, en general, respetuosa y garantista del derecho a la libertad de expresión sino que debe propender </w:t>
      </w:r>
      <w:r w:rsidR="00791378" w:rsidRPr="00901CD2">
        <w:rPr>
          <w:rFonts w:ascii="Verdana" w:hAnsi="Verdana"/>
          <w:sz w:val="20"/>
          <w:szCs w:val="20"/>
        </w:rPr>
        <w:t xml:space="preserve">particularmente </w:t>
      </w:r>
      <w:r w:rsidRPr="00901CD2">
        <w:rPr>
          <w:rFonts w:ascii="Verdana" w:hAnsi="Verdana"/>
          <w:sz w:val="20"/>
          <w:szCs w:val="20"/>
        </w:rPr>
        <w:t xml:space="preserve">a asegurar el pluralismo teniendo en cuenta que las frecuencias radioeléctricas son un bien escaso lo que limita el número de medios que puedan acceder a ellas. Por ello, la Corte deja establecido que </w:t>
      </w:r>
      <w:r w:rsidRPr="00426463">
        <w:rPr>
          <w:rFonts w:ascii="Verdana" w:hAnsi="Verdana"/>
          <w:sz w:val="20"/>
          <w:szCs w:val="20"/>
        </w:rPr>
        <w:t>“es necesario asegurar que en ese número de medios se halle representada una diversidad de visiones o posturas informativas o de opinión. […] Lo anterior debe tenerse en cuenta en los procesos de otorgamiento, renovación de concesiones o licencias de radiodifusión”</w:t>
      </w:r>
      <w:r w:rsidR="00405A4C" w:rsidRPr="00901CD2">
        <w:rPr>
          <w:rStyle w:val="FootnoteReference"/>
          <w:rFonts w:ascii="Verdana" w:hAnsi="Verdana"/>
          <w:sz w:val="20"/>
          <w:szCs w:val="20"/>
        </w:rPr>
        <w:footnoteReference w:id="20"/>
      </w:r>
      <w:r w:rsidRPr="00901CD2">
        <w:rPr>
          <w:rFonts w:ascii="Verdana" w:hAnsi="Verdana"/>
          <w:sz w:val="20"/>
          <w:szCs w:val="20"/>
        </w:rPr>
        <w:t>. En base a consideraciones como esa</w:t>
      </w:r>
      <w:r w:rsidR="00791378" w:rsidRPr="00901CD2">
        <w:rPr>
          <w:rFonts w:ascii="Verdana" w:hAnsi="Verdana"/>
          <w:sz w:val="20"/>
          <w:szCs w:val="20"/>
        </w:rPr>
        <w:t>,</w:t>
      </w:r>
      <w:r w:rsidRPr="00901CD2">
        <w:rPr>
          <w:rFonts w:ascii="Verdana" w:hAnsi="Verdana"/>
          <w:sz w:val="20"/>
          <w:szCs w:val="20"/>
        </w:rPr>
        <w:t xml:space="preserve"> la Corte es enfática en establecer que </w:t>
      </w:r>
      <w:r w:rsidRPr="00426463">
        <w:rPr>
          <w:rFonts w:ascii="Verdana" w:hAnsi="Verdana"/>
          <w:sz w:val="20"/>
          <w:szCs w:val="20"/>
        </w:rPr>
        <w:t xml:space="preserve">“los límites o restricciones que se deriven de la normatividad relacionada con la radiodifusión </w:t>
      </w:r>
      <w:r w:rsidRPr="00426463">
        <w:rPr>
          <w:rFonts w:ascii="Verdana" w:hAnsi="Verdana"/>
          <w:sz w:val="20"/>
          <w:szCs w:val="20"/>
        </w:rPr>
        <w:lastRenderedPageBreak/>
        <w:t>deben tener en cuenta la garantía del pluralismo de medios dada su importancia para el funcionamiento de una sociedad democrática”</w:t>
      </w:r>
      <w:r w:rsidR="00405A4C" w:rsidRPr="00901CD2">
        <w:rPr>
          <w:rStyle w:val="FootnoteReference"/>
          <w:rFonts w:ascii="Verdana" w:hAnsi="Verdana"/>
          <w:sz w:val="20"/>
          <w:szCs w:val="20"/>
        </w:rPr>
        <w:footnoteReference w:id="21"/>
      </w:r>
      <w:r w:rsidR="00791378" w:rsidRPr="00901CD2">
        <w:rPr>
          <w:rFonts w:ascii="Verdana" w:hAnsi="Verdana"/>
          <w:sz w:val="20"/>
          <w:szCs w:val="20"/>
        </w:rPr>
        <w:t>.</w:t>
      </w:r>
    </w:p>
    <w:p w:rsidR="00363520" w:rsidRPr="00901CD2" w:rsidRDefault="00363520" w:rsidP="007E7976">
      <w:pPr>
        <w:pStyle w:val="ListParagraph"/>
        <w:spacing w:after="0" w:line="240" w:lineRule="auto"/>
        <w:ind w:left="0"/>
        <w:jc w:val="both"/>
        <w:rPr>
          <w:rFonts w:ascii="Verdana" w:hAnsi="Verdana"/>
          <w:sz w:val="20"/>
          <w:szCs w:val="20"/>
          <w:lang w:val="es-CO"/>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lang w:val="es-CO"/>
        </w:rPr>
      </w:pPr>
      <w:r w:rsidRPr="00901CD2">
        <w:rPr>
          <w:rFonts w:ascii="Verdana" w:hAnsi="Verdana"/>
          <w:sz w:val="20"/>
          <w:szCs w:val="20"/>
        </w:rPr>
        <w:t>Llevando el razonamiento anterior al caso materia de esta sentencia, lo que se expone en ella en cuanto a elementos de derecho y a hechos probados lleva a la Corte a concluir que esa garantía al pluralismo se vio afectada por el accionar del Estado. Ello no porque a RCTV le fuera negado un alegado derecho a la “renovación automática”, a</w:t>
      </w:r>
      <w:r w:rsidR="00791378" w:rsidRPr="00901CD2">
        <w:rPr>
          <w:rFonts w:ascii="Verdana" w:hAnsi="Verdana"/>
          <w:sz w:val="20"/>
          <w:szCs w:val="20"/>
        </w:rPr>
        <w:t xml:space="preserve"> </w:t>
      </w:r>
      <w:r w:rsidRPr="00901CD2">
        <w:rPr>
          <w:rFonts w:ascii="Verdana" w:hAnsi="Verdana"/>
          <w:sz w:val="20"/>
          <w:szCs w:val="20"/>
        </w:rPr>
        <w:t>l</w:t>
      </w:r>
      <w:r w:rsidR="00791378" w:rsidRPr="00901CD2">
        <w:rPr>
          <w:rFonts w:ascii="Verdana" w:hAnsi="Verdana"/>
          <w:sz w:val="20"/>
          <w:szCs w:val="20"/>
        </w:rPr>
        <w:t>o</w:t>
      </w:r>
      <w:r w:rsidRPr="00901CD2">
        <w:rPr>
          <w:rFonts w:ascii="Verdana" w:hAnsi="Verdana"/>
          <w:sz w:val="20"/>
          <w:szCs w:val="20"/>
        </w:rPr>
        <w:t xml:space="preserve"> que la Corte constató el Estado no estaba obligado por el derecho interno o por el derecho internacional</w:t>
      </w:r>
      <w:r w:rsidR="00456E22" w:rsidRPr="00901CD2">
        <w:rPr>
          <w:rStyle w:val="FootnoteReference"/>
          <w:rFonts w:ascii="Verdana" w:hAnsi="Verdana"/>
          <w:sz w:val="20"/>
          <w:szCs w:val="20"/>
        </w:rPr>
        <w:footnoteReference w:id="22"/>
      </w:r>
      <w:r w:rsidRPr="00901CD2">
        <w:rPr>
          <w:rFonts w:ascii="Verdana" w:hAnsi="Verdana"/>
          <w:sz w:val="20"/>
          <w:szCs w:val="20"/>
        </w:rPr>
        <w:t xml:space="preserve">, sino por la carencia de criterios objetivos empleados por la autoridad frente a RCTV y la seria afectación a las garantías al debido proceso que impidieron a los directivos de dicha empresa gestionar la renovación de la licencia cuyo plazo se cumplía el </w:t>
      </w:r>
      <w:r w:rsidR="00B67E65" w:rsidRPr="00901CD2">
        <w:rPr>
          <w:rFonts w:ascii="Verdana" w:hAnsi="Verdana"/>
          <w:sz w:val="20"/>
          <w:szCs w:val="20"/>
        </w:rPr>
        <w:t xml:space="preserve">27 </w:t>
      </w:r>
      <w:r w:rsidRPr="00901CD2">
        <w:rPr>
          <w:rFonts w:ascii="Verdana" w:hAnsi="Verdana"/>
          <w:sz w:val="20"/>
          <w:szCs w:val="20"/>
        </w:rPr>
        <w:t xml:space="preserve">de </w:t>
      </w:r>
      <w:r w:rsidR="00B67E65" w:rsidRPr="00901CD2">
        <w:rPr>
          <w:rFonts w:ascii="Verdana" w:hAnsi="Verdana"/>
          <w:sz w:val="20"/>
          <w:szCs w:val="20"/>
        </w:rPr>
        <w:t xml:space="preserve">mayo </w:t>
      </w:r>
      <w:r w:rsidRPr="00901CD2">
        <w:rPr>
          <w:rFonts w:ascii="Verdana" w:hAnsi="Verdana"/>
          <w:sz w:val="20"/>
          <w:szCs w:val="20"/>
        </w:rPr>
        <w:t>de 2007.</w:t>
      </w:r>
    </w:p>
    <w:p w:rsidR="00363520" w:rsidRPr="00901CD2" w:rsidRDefault="00363520" w:rsidP="007E7976">
      <w:pPr>
        <w:pStyle w:val="ListParagraph"/>
        <w:spacing w:after="0" w:line="240" w:lineRule="auto"/>
        <w:ind w:left="0"/>
        <w:jc w:val="both"/>
        <w:rPr>
          <w:rFonts w:ascii="Verdana" w:hAnsi="Verdana"/>
          <w:sz w:val="20"/>
          <w:szCs w:val="20"/>
          <w:lang w:val="es-CO"/>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lang w:val="es-CO"/>
        </w:rPr>
      </w:pPr>
      <w:r w:rsidRPr="00901CD2">
        <w:rPr>
          <w:rFonts w:ascii="Verdana" w:hAnsi="Verdana"/>
          <w:sz w:val="20"/>
          <w:szCs w:val="20"/>
        </w:rPr>
        <w:t xml:space="preserve">Como lo establece la Corte en esta sentencia, </w:t>
      </w:r>
      <w:r w:rsidRPr="00426463">
        <w:rPr>
          <w:rFonts w:ascii="Verdana" w:hAnsi="Verdana"/>
          <w:sz w:val="20"/>
          <w:szCs w:val="20"/>
        </w:rPr>
        <w:t>“</w:t>
      </w:r>
      <w:r w:rsidRPr="00426463">
        <w:rPr>
          <w:rFonts w:ascii="Verdana" w:hAnsi="Verdana"/>
          <w:sz w:val="20"/>
          <w:szCs w:val="20"/>
          <w:lang w:val="es-PE"/>
        </w:rPr>
        <w:t>desde el año 2002 se venía advirtiendo que a los canales de televisión que no modificaran su línea editorial no se les renovaría su concesión”</w:t>
      </w:r>
      <w:r w:rsidR="00445BC5" w:rsidRPr="00901CD2">
        <w:rPr>
          <w:rStyle w:val="FootnoteReference"/>
          <w:rFonts w:ascii="Verdana" w:hAnsi="Verdana"/>
          <w:sz w:val="20"/>
          <w:szCs w:val="20"/>
        </w:rPr>
        <w:footnoteReference w:id="23"/>
      </w:r>
      <w:r w:rsidRPr="00901CD2">
        <w:rPr>
          <w:rFonts w:ascii="Verdana" w:hAnsi="Verdana"/>
          <w:sz w:val="20"/>
          <w:szCs w:val="20"/>
          <w:lang w:val="es-PE"/>
        </w:rPr>
        <w:t xml:space="preserve">. Las verdaderas razones que habrían motivado la decisión en el caso de RCTV fueron </w:t>
      </w:r>
      <w:r w:rsidR="00B67E65" w:rsidRPr="00901CD2">
        <w:rPr>
          <w:rFonts w:ascii="Verdana" w:hAnsi="Verdana"/>
          <w:sz w:val="20"/>
          <w:szCs w:val="20"/>
          <w:lang w:val="es-PE"/>
        </w:rPr>
        <w:t>“</w:t>
      </w:r>
      <w:r w:rsidRPr="00901CD2">
        <w:rPr>
          <w:rFonts w:ascii="Verdana" w:hAnsi="Verdana"/>
          <w:sz w:val="20"/>
          <w:szCs w:val="20"/>
          <w:lang w:val="es-PE"/>
        </w:rPr>
        <w:t xml:space="preserve">la no modificación de la línea editorial por parte de RCTV después del golpe de </w:t>
      </w:r>
      <w:r w:rsidR="00B67E65" w:rsidRPr="00901CD2">
        <w:rPr>
          <w:rFonts w:ascii="Verdana" w:hAnsi="Verdana"/>
          <w:sz w:val="20"/>
          <w:szCs w:val="20"/>
          <w:lang w:val="es-PE"/>
        </w:rPr>
        <w:t>[</w:t>
      </w:r>
      <w:r w:rsidRPr="00901CD2">
        <w:rPr>
          <w:rFonts w:ascii="Verdana" w:hAnsi="Verdana"/>
          <w:sz w:val="20"/>
          <w:szCs w:val="20"/>
          <w:lang w:val="es-PE"/>
        </w:rPr>
        <w:t>E</w:t>
      </w:r>
      <w:r w:rsidR="00B67E65" w:rsidRPr="00901CD2">
        <w:rPr>
          <w:rFonts w:ascii="Verdana" w:hAnsi="Verdana"/>
          <w:sz w:val="20"/>
          <w:szCs w:val="20"/>
          <w:lang w:val="es-PE"/>
        </w:rPr>
        <w:t>]</w:t>
      </w:r>
      <w:proofErr w:type="spellStart"/>
      <w:r w:rsidRPr="00901CD2">
        <w:rPr>
          <w:rFonts w:ascii="Verdana" w:hAnsi="Verdana"/>
          <w:sz w:val="20"/>
          <w:szCs w:val="20"/>
          <w:lang w:val="es-PE"/>
        </w:rPr>
        <w:t>stado</w:t>
      </w:r>
      <w:proofErr w:type="spellEnd"/>
      <w:r w:rsidRPr="00901CD2">
        <w:rPr>
          <w:rFonts w:ascii="Verdana" w:hAnsi="Verdana"/>
          <w:sz w:val="20"/>
          <w:szCs w:val="20"/>
          <w:lang w:val="es-PE"/>
        </w:rPr>
        <w:t xml:space="preserve"> de 2002</w:t>
      </w:r>
      <w:r w:rsidR="00B67E65" w:rsidRPr="00901CD2">
        <w:rPr>
          <w:rFonts w:ascii="Verdana" w:hAnsi="Verdana"/>
          <w:sz w:val="20"/>
          <w:szCs w:val="20"/>
          <w:lang w:val="es-PE"/>
        </w:rPr>
        <w:t>”</w:t>
      </w:r>
      <w:r w:rsidRPr="00901CD2">
        <w:rPr>
          <w:rFonts w:ascii="Verdana" w:hAnsi="Verdana"/>
          <w:sz w:val="20"/>
          <w:szCs w:val="20"/>
          <w:lang w:val="es-PE"/>
        </w:rPr>
        <w:t xml:space="preserve"> y </w:t>
      </w:r>
      <w:r w:rsidR="00B67E65" w:rsidRPr="00901CD2">
        <w:rPr>
          <w:rFonts w:ascii="Verdana" w:hAnsi="Verdana"/>
          <w:sz w:val="20"/>
          <w:szCs w:val="20"/>
          <w:lang w:val="es-PE"/>
        </w:rPr>
        <w:t xml:space="preserve">“las </w:t>
      </w:r>
      <w:r w:rsidRPr="00901CD2">
        <w:rPr>
          <w:rFonts w:ascii="Verdana" w:hAnsi="Verdana"/>
          <w:sz w:val="20"/>
          <w:szCs w:val="20"/>
          <w:lang w:val="es-PE"/>
        </w:rPr>
        <w:t>alegadas actuaciones irregulares en las que habría incurrido RCTV</w:t>
      </w:r>
      <w:r w:rsidR="00314821" w:rsidRPr="00901CD2">
        <w:rPr>
          <w:rFonts w:ascii="Verdana" w:hAnsi="Verdana"/>
          <w:sz w:val="20"/>
          <w:szCs w:val="20"/>
          <w:lang w:val="es-PE"/>
        </w:rPr>
        <w:t>”</w:t>
      </w:r>
      <w:r w:rsidRPr="00901CD2">
        <w:rPr>
          <w:rFonts w:ascii="Verdana" w:hAnsi="Verdana"/>
          <w:sz w:val="20"/>
          <w:szCs w:val="20"/>
          <w:lang w:val="es-PE"/>
        </w:rPr>
        <w:t xml:space="preserve"> las que, sin embargo, no fueran siquiera expresadas por las autoridades en su momento como la justificación de la decisión. Es de anotar que la Corte estableció </w:t>
      </w:r>
      <w:r w:rsidR="00314821" w:rsidRPr="00901CD2">
        <w:rPr>
          <w:rFonts w:ascii="Verdana" w:hAnsi="Verdana"/>
          <w:sz w:val="20"/>
          <w:szCs w:val="20"/>
          <w:lang w:val="es-PE"/>
        </w:rPr>
        <w:t>“</w:t>
      </w:r>
      <w:r w:rsidRPr="00901CD2">
        <w:rPr>
          <w:rFonts w:ascii="Verdana" w:hAnsi="Verdana"/>
          <w:sz w:val="20"/>
          <w:szCs w:val="20"/>
          <w:lang w:val="es-PE"/>
        </w:rPr>
        <w:t xml:space="preserve">que </w:t>
      </w:r>
      <w:proofErr w:type="gramStart"/>
      <w:r w:rsidRPr="00901CD2">
        <w:rPr>
          <w:rFonts w:ascii="Verdana" w:hAnsi="Verdana"/>
          <w:sz w:val="20"/>
          <w:szCs w:val="20"/>
          <w:lang w:val="es-PE"/>
        </w:rPr>
        <w:t>resulta</w:t>
      </w:r>
      <w:r w:rsidR="00314821" w:rsidRPr="00901CD2">
        <w:rPr>
          <w:rFonts w:ascii="Verdana" w:hAnsi="Verdana"/>
          <w:sz w:val="20"/>
          <w:szCs w:val="20"/>
          <w:lang w:val="es-PE"/>
        </w:rPr>
        <w:t>[</w:t>
      </w:r>
      <w:proofErr w:type="spellStart"/>
      <w:proofErr w:type="gramEnd"/>
      <w:r w:rsidRPr="00901CD2">
        <w:rPr>
          <w:rFonts w:ascii="Verdana" w:hAnsi="Verdana"/>
          <w:sz w:val="20"/>
          <w:szCs w:val="20"/>
          <w:lang w:val="es-PE"/>
        </w:rPr>
        <w:t>ba</w:t>
      </w:r>
      <w:proofErr w:type="spellEnd"/>
      <w:r w:rsidR="00314821" w:rsidRPr="00901CD2">
        <w:rPr>
          <w:rFonts w:ascii="Verdana" w:hAnsi="Verdana"/>
          <w:sz w:val="20"/>
          <w:szCs w:val="20"/>
          <w:lang w:val="es-PE"/>
        </w:rPr>
        <w:t>]</w:t>
      </w:r>
      <w:r w:rsidRPr="00426463">
        <w:rPr>
          <w:rFonts w:ascii="Verdana" w:hAnsi="Verdana"/>
          <w:sz w:val="20"/>
          <w:szCs w:val="20"/>
        </w:rPr>
        <w:t xml:space="preserve">contradictorio que se hicieran señalamientos y acusaciones sobre las alegadas sanciones y que en la comunicación </w:t>
      </w:r>
      <w:r w:rsidRPr="00426463">
        <w:rPr>
          <w:rFonts w:ascii="Verdana" w:hAnsi="Verdana"/>
          <w:sz w:val="20"/>
          <w:szCs w:val="20"/>
          <w:lang w:val="es-PE"/>
        </w:rPr>
        <w:t>Nº 0424 se indicara expresamente que estas no eran la justificación de la decisión”</w:t>
      </w:r>
      <w:r w:rsidR="00445BC5" w:rsidRPr="00901CD2">
        <w:rPr>
          <w:rStyle w:val="FootnoteReference"/>
          <w:rFonts w:ascii="Verdana" w:hAnsi="Verdana"/>
          <w:sz w:val="20"/>
          <w:szCs w:val="20"/>
        </w:rPr>
        <w:footnoteReference w:id="24"/>
      </w:r>
      <w:r w:rsidRPr="00901CD2">
        <w:rPr>
          <w:rFonts w:ascii="Verdana" w:hAnsi="Verdana"/>
          <w:sz w:val="20"/>
          <w:szCs w:val="20"/>
          <w:lang w:val="es-PE"/>
        </w:rPr>
        <w:t>.</w:t>
      </w:r>
    </w:p>
    <w:p w:rsidR="00363520" w:rsidRPr="00901CD2" w:rsidRDefault="00363520" w:rsidP="007E7976">
      <w:pPr>
        <w:pStyle w:val="ListParagraph"/>
        <w:spacing w:after="0" w:line="240" w:lineRule="auto"/>
        <w:ind w:left="0"/>
        <w:jc w:val="both"/>
        <w:rPr>
          <w:rFonts w:ascii="Verdana" w:hAnsi="Verdana"/>
          <w:sz w:val="20"/>
          <w:szCs w:val="20"/>
          <w:lang w:val="es-CO"/>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u w:val="single"/>
          <w:lang w:val="es-CO"/>
        </w:rPr>
      </w:pPr>
      <w:r w:rsidRPr="00901CD2">
        <w:rPr>
          <w:rFonts w:ascii="Verdana" w:hAnsi="Verdana"/>
          <w:sz w:val="20"/>
          <w:szCs w:val="20"/>
          <w:lang w:val="es-PE"/>
        </w:rPr>
        <w:t xml:space="preserve">Dentro de ese marco la Corte estableció que la violación al artículo 13 </w:t>
      </w:r>
      <w:r w:rsidR="006871EF" w:rsidRPr="00901CD2">
        <w:rPr>
          <w:rFonts w:ascii="Verdana" w:hAnsi="Verdana"/>
          <w:sz w:val="20"/>
          <w:szCs w:val="20"/>
          <w:lang w:val="es-PE"/>
        </w:rPr>
        <w:t>“</w:t>
      </w:r>
      <w:proofErr w:type="spellStart"/>
      <w:r w:rsidRPr="00901CD2">
        <w:rPr>
          <w:rFonts w:ascii="Verdana" w:hAnsi="Verdana"/>
          <w:sz w:val="20"/>
          <w:szCs w:val="20"/>
          <w:lang w:val="es-PE"/>
        </w:rPr>
        <w:t>implic</w:t>
      </w:r>
      <w:proofErr w:type="spellEnd"/>
      <w:r w:rsidR="006871EF" w:rsidRPr="00901CD2">
        <w:rPr>
          <w:rFonts w:ascii="Verdana" w:hAnsi="Verdana"/>
          <w:sz w:val="20"/>
          <w:szCs w:val="20"/>
          <w:lang w:val="es-PE"/>
        </w:rPr>
        <w:t>[</w:t>
      </w:r>
      <w:proofErr w:type="spellStart"/>
      <w:r w:rsidRPr="00901CD2">
        <w:rPr>
          <w:rFonts w:ascii="Verdana" w:hAnsi="Verdana"/>
          <w:sz w:val="20"/>
          <w:szCs w:val="20"/>
          <w:lang w:val="es-PE"/>
        </w:rPr>
        <w:t>ó</w:t>
      </w:r>
      <w:proofErr w:type="spellEnd"/>
      <w:r w:rsidR="006871EF" w:rsidRPr="00901CD2">
        <w:rPr>
          <w:rFonts w:ascii="Verdana" w:hAnsi="Verdana"/>
          <w:sz w:val="20"/>
          <w:szCs w:val="20"/>
          <w:lang w:val="es-PE"/>
        </w:rPr>
        <w:t>]</w:t>
      </w:r>
      <w:r w:rsidR="006871EF" w:rsidRPr="00426463">
        <w:rPr>
          <w:rFonts w:ascii="Verdana" w:hAnsi="Verdana"/>
          <w:sz w:val="20"/>
          <w:szCs w:val="20"/>
          <w:lang w:val="es-PE"/>
        </w:rPr>
        <w:t xml:space="preserve"> </w:t>
      </w:r>
      <w:r w:rsidRPr="00426463">
        <w:rPr>
          <w:rFonts w:ascii="Verdana" w:hAnsi="Verdana"/>
          <w:sz w:val="20"/>
          <w:szCs w:val="20"/>
          <w:lang w:val="es-PE"/>
        </w:rPr>
        <w:t xml:space="preserve">una desviación de poder, ya que se hizo uso de una facultad permitida del Estado </w:t>
      </w:r>
      <w:r w:rsidRPr="00426463">
        <w:rPr>
          <w:rFonts w:ascii="Verdana" w:hAnsi="Verdana"/>
          <w:sz w:val="20"/>
          <w:szCs w:val="20"/>
        </w:rPr>
        <w:t>con el objetivo de alinear editorialmente al medio de comunicación con el gobierno”</w:t>
      </w:r>
      <w:r w:rsidR="00A503C3" w:rsidRPr="00901CD2">
        <w:rPr>
          <w:rStyle w:val="FootnoteReference"/>
          <w:rFonts w:ascii="Verdana" w:hAnsi="Verdana"/>
          <w:sz w:val="20"/>
          <w:szCs w:val="20"/>
        </w:rPr>
        <w:footnoteReference w:id="25"/>
      </w:r>
      <w:r w:rsidRPr="00901CD2">
        <w:rPr>
          <w:rFonts w:ascii="Verdana" w:hAnsi="Verdana"/>
          <w:sz w:val="20"/>
          <w:szCs w:val="20"/>
        </w:rPr>
        <w:t xml:space="preserve"> con lo que se configuró la conclusión medular de la Corte en este caso: que se trató de </w:t>
      </w:r>
      <w:r w:rsidRPr="00426463">
        <w:rPr>
          <w:rFonts w:ascii="Verdana" w:hAnsi="Verdana"/>
          <w:sz w:val="20"/>
          <w:szCs w:val="20"/>
        </w:rPr>
        <w:t>“</w:t>
      </w:r>
      <w:r w:rsidRPr="00426463">
        <w:rPr>
          <w:rFonts w:ascii="Verdana" w:hAnsi="Verdana"/>
          <w:sz w:val="20"/>
          <w:szCs w:val="20"/>
          <w:lang w:val="es-PE"/>
        </w:rPr>
        <w:t>una restricción indirecta al ejercicio del derecho a la libertad de expresión producida por la utilización de medios encaminados a impedir la comunicación y circulación de la ideas y opiniones, al decidir el Estado que se reservaría la porción del espectro y, por tanto, impedir la participación en los procedimientos administrativos para la adjudicación de los títulos o la renovación de la concesión a un medio que expresaba voces críticas contra el gobierno”</w:t>
      </w:r>
      <w:r w:rsidR="00A503C3" w:rsidRPr="00901CD2">
        <w:rPr>
          <w:rStyle w:val="FootnoteReference"/>
          <w:rFonts w:ascii="Verdana" w:hAnsi="Verdana"/>
          <w:sz w:val="20"/>
          <w:szCs w:val="20"/>
        </w:rPr>
        <w:footnoteReference w:id="26"/>
      </w:r>
      <w:r w:rsidRPr="00901CD2">
        <w:rPr>
          <w:rFonts w:ascii="Verdana" w:hAnsi="Verdana"/>
          <w:sz w:val="20"/>
          <w:szCs w:val="20"/>
          <w:lang w:val="es-PE"/>
        </w:rPr>
        <w:t>.</w:t>
      </w:r>
    </w:p>
    <w:p w:rsidR="00363520" w:rsidRPr="00901CD2" w:rsidRDefault="00363520" w:rsidP="007E7976">
      <w:pPr>
        <w:pStyle w:val="ListParagraph"/>
        <w:spacing w:after="0" w:line="240" w:lineRule="auto"/>
        <w:ind w:left="0"/>
        <w:jc w:val="both"/>
        <w:rPr>
          <w:rFonts w:ascii="Verdana" w:hAnsi="Verdana"/>
          <w:sz w:val="20"/>
          <w:szCs w:val="20"/>
          <w:u w:val="single"/>
          <w:lang w:val="es-CO"/>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lang w:val="es-CO"/>
        </w:rPr>
      </w:pPr>
      <w:r w:rsidRPr="00901CD2">
        <w:rPr>
          <w:rFonts w:ascii="Verdana" w:hAnsi="Verdana"/>
          <w:sz w:val="20"/>
          <w:szCs w:val="20"/>
        </w:rPr>
        <w:t xml:space="preserve">Consideraciones como ésta llevaron a la Corte a concluir que en este caso se produjeron las violaciones a los </w:t>
      </w:r>
      <w:r w:rsidR="006871EF" w:rsidRPr="00901CD2">
        <w:rPr>
          <w:rFonts w:ascii="Verdana" w:hAnsi="Verdana"/>
          <w:sz w:val="20"/>
          <w:szCs w:val="20"/>
        </w:rPr>
        <w:t>“</w:t>
      </w:r>
      <w:r w:rsidRPr="00901CD2">
        <w:rPr>
          <w:rFonts w:ascii="Verdana" w:hAnsi="Verdana"/>
          <w:sz w:val="20"/>
          <w:szCs w:val="20"/>
        </w:rPr>
        <w:t>artículo</w:t>
      </w:r>
      <w:r w:rsidR="006871EF" w:rsidRPr="00901CD2">
        <w:rPr>
          <w:rFonts w:ascii="Verdana" w:hAnsi="Verdana"/>
          <w:sz w:val="20"/>
          <w:szCs w:val="20"/>
        </w:rPr>
        <w:t>[</w:t>
      </w:r>
      <w:r w:rsidRPr="00901CD2">
        <w:rPr>
          <w:rFonts w:ascii="Verdana" w:hAnsi="Verdana"/>
          <w:sz w:val="20"/>
          <w:szCs w:val="20"/>
        </w:rPr>
        <w:t>s</w:t>
      </w:r>
      <w:r w:rsidR="006871EF" w:rsidRPr="00901CD2">
        <w:rPr>
          <w:rFonts w:ascii="Verdana" w:hAnsi="Verdana"/>
          <w:sz w:val="20"/>
          <w:szCs w:val="20"/>
        </w:rPr>
        <w:t>]</w:t>
      </w:r>
      <w:r w:rsidRPr="00901CD2">
        <w:rPr>
          <w:rFonts w:ascii="Verdana" w:hAnsi="Verdana"/>
          <w:sz w:val="20"/>
          <w:szCs w:val="20"/>
        </w:rPr>
        <w:t xml:space="preserve"> </w:t>
      </w:r>
      <w:r w:rsidRPr="00901CD2">
        <w:rPr>
          <w:rFonts w:ascii="Verdana" w:hAnsi="Verdana"/>
          <w:sz w:val="20"/>
          <w:szCs w:val="20"/>
          <w:lang w:val="es-PE"/>
        </w:rPr>
        <w:t xml:space="preserve">13.1 y 13.3 en relación con el artículo 1.1 de la Convención Americana en perjuicio </w:t>
      </w:r>
      <w:r w:rsidRPr="00901CD2">
        <w:rPr>
          <w:rFonts w:ascii="Verdana" w:hAnsi="Verdana"/>
          <w:sz w:val="20"/>
          <w:szCs w:val="20"/>
          <w:lang w:val="es-ES_tradnl"/>
        </w:rPr>
        <w:t xml:space="preserve">Marcel </w:t>
      </w:r>
      <w:proofErr w:type="spellStart"/>
      <w:r w:rsidRPr="00901CD2">
        <w:rPr>
          <w:rFonts w:ascii="Verdana" w:hAnsi="Verdana"/>
          <w:sz w:val="20"/>
          <w:szCs w:val="20"/>
          <w:lang w:val="es-ES_tradnl"/>
        </w:rPr>
        <w:t>Granier</w:t>
      </w:r>
      <w:proofErr w:type="spellEnd"/>
      <w:r w:rsidRPr="00901CD2">
        <w:rPr>
          <w:rFonts w:ascii="Verdana" w:hAnsi="Verdana"/>
          <w:sz w:val="20"/>
          <w:szCs w:val="20"/>
          <w:lang w:val="es-ES_tradnl"/>
        </w:rPr>
        <w:t xml:space="preserve">, Peter </w:t>
      </w:r>
      <w:proofErr w:type="spellStart"/>
      <w:r w:rsidRPr="00901CD2">
        <w:rPr>
          <w:rFonts w:ascii="Verdana" w:hAnsi="Verdana"/>
          <w:sz w:val="20"/>
          <w:szCs w:val="20"/>
          <w:lang w:val="es-ES_tradnl"/>
        </w:rPr>
        <w:t>Bottome</w:t>
      </w:r>
      <w:proofErr w:type="spellEnd"/>
      <w:r w:rsidRPr="00901CD2">
        <w:rPr>
          <w:rFonts w:ascii="Verdana" w:hAnsi="Verdana"/>
          <w:sz w:val="20"/>
          <w:szCs w:val="20"/>
          <w:lang w:val="es-ES_tradnl"/>
        </w:rPr>
        <w:t xml:space="preserve">, Jaime </w:t>
      </w:r>
      <w:proofErr w:type="spellStart"/>
      <w:r w:rsidRPr="00901CD2">
        <w:rPr>
          <w:rFonts w:ascii="Verdana" w:hAnsi="Verdana"/>
          <w:sz w:val="20"/>
          <w:szCs w:val="20"/>
          <w:lang w:val="es-ES_tradnl"/>
        </w:rPr>
        <w:t>Nestares</w:t>
      </w:r>
      <w:proofErr w:type="spellEnd"/>
      <w:r w:rsidRPr="00901CD2">
        <w:rPr>
          <w:rFonts w:ascii="Verdana" w:hAnsi="Verdana"/>
          <w:sz w:val="20"/>
          <w:szCs w:val="20"/>
          <w:lang w:val="es-ES_tradnl"/>
        </w:rPr>
        <w:t xml:space="preserve">, Inés Bacalao, Eladio </w:t>
      </w:r>
      <w:proofErr w:type="spellStart"/>
      <w:r w:rsidRPr="00901CD2">
        <w:rPr>
          <w:rFonts w:ascii="Verdana" w:hAnsi="Verdana"/>
          <w:sz w:val="20"/>
          <w:szCs w:val="20"/>
          <w:lang w:val="es-ES_tradnl"/>
        </w:rPr>
        <w:t>Lárez</w:t>
      </w:r>
      <w:proofErr w:type="spellEnd"/>
      <w:r w:rsidRPr="00901CD2">
        <w:rPr>
          <w:rFonts w:ascii="Verdana" w:hAnsi="Verdana"/>
          <w:sz w:val="20"/>
          <w:szCs w:val="20"/>
          <w:lang w:val="es-ES_tradnl"/>
        </w:rPr>
        <w:t xml:space="preserve">, Eduardo </w:t>
      </w:r>
      <w:proofErr w:type="spellStart"/>
      <w:r w:rsidRPr="00901CD2">
        <w:rPr>
          <w:rFonts w:ascii="Verdana" w:hAnsi="Verdana"/>
          <w:sz w:val="20"/>
          <w:szCs w:val="20"/>
          <w:lang w:val="es-ES_tradnl"/>
        </w:rPr>
        <w:t>Sapene</w:t>
      </w:r>
      <w:proofErr w:type="spellEnd"/>
      <w:r w:rsidRPr="00901CD2">
        <w:rPr>
          <w:rFonts w:ascii="Verdana" w:hAnsi="Verdana"/>
          <w:sz w:val="20"/>
          <w:szCs w:val="20"/>
          <w:lang w:val="es-ES_tradnl"/>
        </w:rPr>
        <w:t xml:space="preserve">, Daniela </w:t>
      </w:r>
      <w:proofErr w:type="spellStart"/>
      <w:r w:rsidRPr="00901CD2">
        <w:rPr>
          <w:rFonts w:ascii="Verdana" w:hAnsi="Verdana"/>
          <w:sz w:val="20"/>
          <w:szCs w:val="20"/>
          <w:lang w:val="es-ES_tradnl"/>
        </w:rPr>
        <w:t>Bergami</w:t>
      </w:r>
      <w:proofErr w:type="spellEnd"/>
      <w:r w:rsidRPr="00901CD2">
        <w:rPr>
          <w:rFonts w:ascii="Verdana" w:hAnsi="Verdana"/>
          <w:sz w:val="20"/>
          <w:szCs w:val="20"/>
          <w:lang w:val="es-ES_tradnl"/>
        </w:rPr>
        <w:t>, Miguel Ángel Rodríguez, Soraya Castellano, María Arriaga y Larissa Patiño</w:t>
      </w:r>
      <w:r w:rsidR="001947E8" w:rsidRPr="00901CD2">
        <w:rPr>
          <w:rStyle w:val="FootnoteReference"/>
          <w:rFonts w:ascii="Verdana" w:hAnsi="Verdana"/>
          <w:sz w:val="20"/>
          <w:szCs w:val="20"/>
        </w:rPr>
        <w:footnoteReference w:id="27"/>
      </w:r>
      <w:r w:rsidRPr="00901CD2">
        <w:rPr>
          <w:rFonts w:ascii="Verdana" w:hAnsi="Verdana"/>
          <w:sz w:val="20"/>
          <w:szCs w:val="20"/>
          <w:lang w:val="es-CL"/>
        </w:rPr>
        <w:t>.</w:t>
      </w:r>
    </w:p>
    <w:p w:rsidR="00363520" w:rsidRPr="00901CD2" w:rsidRDefault="00363520" w:rsidP="007E7976">
      <w:pPr>
        <w:pStyle w:val="ListParagraph"/>
        <w:spacing w:after="0" w:line="240" w:lineRule="auto"/>
        <w:ind w:left="0"/>
        <w:jc w:val="both"/>
        <w:rPr>
          <w:rFonts w:ascii="Verdana" w:hAnsi="Verdana"/>
          <w:sz w:val="20"/>
          <w:szCs w:val="20"/>
          <w:u w:val="single"/>
          <w:lang w:val="es-CO"/>
        </w:rPr>
      </w:pPr>
    </w:p>
    <w:p w:rsidR="00363520" w:rsidRPr="00426463" w:rsidRDefault="00363520" w:rsidP="007E7976">
      <w:pPr>
        <w:spacing w:after="0" w:line="240" w:lineRule="auto"/>
        <w:jc w:val="both"/>
        <w:rPr>
          <w:rFonts w:ascii="Verdana" w:hAnsi="Verdana"/>
          <w:b/>
          <w:sz w:val="20"/>
          <w:szCs w:val="20"/>
          <w:u w:val="single"/>
          <w:lang w:val="es-CO"/>
        </w:rPr>
      </w:pPr>
      <w:r w:rsidRPr="00426463">
        <w:rPr>
          <w:rFonts w:ascii="Verdana" w:hAnsi="Verdana"/>
          <w:b/>
          <w:sz w:val="20"/>
          <w:szCs w:val="20"/>
          <w:u w:val="single"/>
          <w:lang w:val="es-CO"/>
        </w:rPr>
        <w:t>Garantías y debido proceso.</w:t>
      </w:r>
    </w:p>
    <w:p w:rsidR="00363520" w:rsidRPr="00901CD2" w:rsidRDefault="00363520" w:rsidP="007E7976">
      <w:pPr>
        <w:pStyle w:val="ListParagraph"/>
        <w:spacing w:after="0" w:line="240" w:lineRule="auto"/>
        <w:ind w:left="0"/>
        <w:jc w:val="both"/>
        <w:rPr>
          <w:rFonts w:ascii="Verdana" w:hAnsi="Verdana"/>
          <w:sz w:val="20"/>
          <w:szCs w:val="20"/>
          <w:u w:val="single"/>
          <w:lang w:val="es-CO"/>
        </w:rPr>
      </w:pPr>
    </w:p>
    <w:p w:rsidR="00363520" w:rsidRPr="00901CD2" w:rsidRDefault="00363520" w:rsidP="007E7976">
      <w:pPr>
        <w:numPr>
          <w:ilvl w:val="0"/>
          <w:numId w:val="4"/>
        </w:numPr>
        <w:spacing w:after="0" w:line="240" w:lineRule="auto"/>
        <w:ind w:left="0" w:firstLine="0"/>
        <w:jc w:val="both"/>
        <w:rPr>
          <w:rFonts w:ascii="Verdana" w:hAnsi="Verdana"/>
          <w:sz w:val="20"/>
          <w:szCs w:val="20"/>
        </w:rPr>
      </w:pPr>
      <w:r w:rsidRPr="00901CD2">
        <w:rPr>
          <w:rFonts w:ascii="Verdana" w:hAnsi="Verdana"/>
          <w:sz w:val="20"/>
          <w:szCs w:val="20"/>
        </w:rPr>
        <w:t>Para resolver</w:t>
      </w:r>
      <w:r w:rsidR="0036745A" w:rsidRPr="00901CD2">
        <w:rPr>
          <w:rFonts w:ascii="Verdana" w:hAnsi="Verdana"/>
          <w:sz w:val="20"/>
          <w:szCs w:val="20"/>
        </w:rPr>
        <w:t xml:space="preserve"> este caso</w:t>
      </w:r>
      <w:r w:rsidRPr="00901CD2">
        <w:rPr>
          <w:rFonts w:ascii="Verdana" w:hAnsi="Verdana"/>
          <w:sz w:val="20"/>
          <w:szCs w:val="20"/>
        </w:rPr>
        <w:t>, la Corte ha hecho un examen riguroso e imparcial en base a los argumentos de hecho y de derecho presentados por las partes</w:t>
      </w:r>
      <w:r w:rsidR="0036745A" w:rsidRPr="00901CD2">
        <w:rPr>
          <w:rFonts w:ascii="Verdana" w:hAnsi="Verdana"/>
          <w:sz w:val="20"/>
          <w:szCs w:val="20"/>
        </w:rPr>
        <w:t xml:space="preserve"> y la Comisión,</w:t>
      </w:r>
      <w:r w:rsidRPr="00901CD2">
        <w:rPr>
          <w:rFonts w:ascii="Verdana" w:hAnsi="Verdana"/>
          <w:sz w:val="20"/>
          <w:szCs w:val="20"/>
        </w:rPr>
        <w:t xml:space="preserve"> y a los elementos probatorios que obraron en el expediente. En lo que atañe al aspecto específico de las garantías judiciales y la protección judicial, ello ha requerido examinar en detalle la información alcanzada sobre cada uno de los procesos para determinar si había o no violaciones al artículo 8 de la Convención y </w:t>
      </w:r>
      <w:r w:rsidRPr="00901CD2">
        <w:rPr>
          <w:rFonts w:ascii="Verdana" w:hAnsi="Verdana"/>
          <w:sz w:val="20"/>
          <w:szCs w:val="20"/>
        </w:rPr>
        <w:lastRenderedPageBreak/>
        <w:t>a la protección judicial para llegar a las conclusiones a las que se arribó en el curso del proceso.</w:t>
      </w:r>
    </w:p>
    <w:p w:rsidR="00363520" w:rsidRPr="00901CD2" w:rsidRDefault="00363520" w:rsidP="007E7976">
      <w:pPr>
        <w:pStyle w:val="ListParagraph"/>
        <w:spacing w:after="0" w:line="240" w:lineRule="auto"/>
        <w:ind w:left="0"/>
        <w:jc w:val="both"/>
        <w:rPr>
          <w:rFonts w:ascii="Verdana" w:hAnsi="Verdana"/>
          <w:sz w:val="20"/>
          <w:szCs w:val="20"/>
          <w:u w:val="single"/>
          <w:lang w:val="es-CO"/>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u w:val="single"/>
          <w:lang w:val="es-CO"/>
        </w:rPr>
      </w:pPr>
      <w:r w:rsidRPr="00901CD2">
        <w:rPr>
          <w:rFonts w:ascii="Verdana" w:hAnsi="Verdana"/>
          <w:sz w:val="20"/>
          <w:szCs w:val="20"/>
          <w:lang w:val="es-PE"/>
        </w:rPr>
        <w:t>Las consideraciones de derecho contenidas en esta sentencia en lo que atañe a las garantías para el administrado y al debido proceso son concluyentes en cuanto a las afectaciones que concurrieron en este caso en varios de los derechos materia de la controversia.</w:t>
      </w:r>
    </w:p>
    <w:p w:rsidR="00363520" w:rsidRPr="00901CD2" w:rsidRDefault="00363520" w:rsidP="007E7976">
      <w:pPr>
        <w:pStyle w:val="ListParagraph"/>
        <w:spacing w:after="0" w:line="240" w:lineRule="auto"/>
        <w:ind w:left="0"/>
        <w:jc w:val="both"/>
        <w:rPr>
          <w:rFonts w:ascii="Verdana" w:hAnsi="Verdana"/>
          <w:sz w:val="20"/>
          <w:szCs w:val="20"/>
          <w:u w:val="single"/>
          <w:lang w:val="es-CO"/>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u w:val="single"/>
          <w:lang w:val="es-CO"/>
        </w:rPr>
      </w:pPr>
      <w:r w:rsidRPr="00901CD2">
        <w:rPr>
          <w:rFonts w:ascii="Verdana" w:hAnsi="Verdana"/>
          <w:sz w:val="20"/>
          <w:szCs w:val="20"/>
          <w:lang w:val="es-PE"/>
        </w:rPr>
        <w:t>Como en otros casos resueltos por esta Corte, las afectaciones en las garantías procesales repercute</w:t>
      </w:r>
      <w:r w:rsidR="00791378" w:rsidRPr="00901CD2">
        <w:rPr>
          <w:rFonts w:ascii="Verdana" w:hAnsi="Verdana"/>
          <w:sz w:val="20"/>
          <w:szCs w:val="20"/>
          <w:lang w:val="es-PE"/>
        </w:rPr>
        <w:t>n</w:t>
      </w:r>
      <w:r w:rsidRPr="00901CD2">
        <w:rPr>
          <w:rFonts w:ascii="Verdana" w:hAnsi="Verdana"/>
          <w:sz w:val="20"/>
          <w:szCs w:val="20"/>
          <w:lang w:val="es-PE"/>
        </w:rPr>
        <w:t xml:space="preserve"> directamente </w:t>
      </w:r>
      <w:r w:rsidR="00791378" w:rsidRPr="00901CD2">
        <w:rPr>
          <w:rFonts w:ascii="Verdana" w:hAnsi="Verdana"/>
          <w:sz w:val="20"/>
          <w:szCs w:val="20"/>
          <w:lang w:val="es-PE"/>
        </w:rPr>
        <w:t>sobre o</w:t>
      </w:r>
      <w:r w:rsidRPr="00901CD2">
        <w:rPr>
          <w:rFonts w:ascii="Verdana" w:hAnsi="Verdana"/>
          <w:sz w:val="20"/>
          <w:szCs w:val="20"/>
          <w:lang w:val="es-PE"/>
        </w:rPr>
        <w:t>tros derechos sustantivos, en este caso la libertad de expresión. Por la naturaleza de este caso</w:t>
      </w:r>
      <w:r w:rsidR="00F64A08" w:rsidRPr="00901CD2">
        <w:rPr>
          <w:rFonts w:ascii="Verdana" w:hAnsi="Verdana"/>
          <w:sz w:val="20"/>
          <w:szCs w:val="20"/>
          <w:lang w:val="es-PE"/>
        </w:rPr>
        <w:t>,</w:t>
      </w:r>
      <w:r w:rsidRPr="00901CD2">
        <w:rPr>
          <w:rFonts w:ascii="Verdana" w:hAnsi="Verdana"/>
          <w:sz w:val="20"/>
          <w:szCs w:val="20"/>
          <w:lang w:val="es-PE"/>
        </w:rPr>
        <w:t xml:space="preserve"> el hecho de que no se llevaran a cabo </w:t>
      </w:r>
      <w:r w:rsidRPr="00901CD2">
        <w:rPr>
          <w:rFonts w:ascii="Verdana" w:hAnsi="Verdana"/>
          <w:sz w:val="20"/>
          <w:szCs w:val="20"/>
        </w:rPr>
        <w:t xml:space="preserve">los procedimientos administrativos de transformación de los títulos y de renovación de la concesión de RCTV fue un factor determinante en el resultado de no renovar la </w:t>
      </w:r>
      <w:r w:rsidR="00F64A08" w:rsidRPr="00901CD2">
        <w:rPr>
          <w:rFonts w:ascii="Verdana" w:hAnsi="Verdana"/>
          <w:sz w:val="20"/>
          <w:szCs w:val="20"/>
        </w:rPr>
        <w:t>misma</w:t>
      </w:r>
      <w:r w:rsidRPr="00901CD2">
        <w:rPr>
          <w:rFonts w:ascii="Verdana" w:hAnsi="Verdana"/>
          <w:sz w:val="20"/>
          <w:szCs w:val="20"/>
        </w:rPr>
        <w:t xml:space="preserve">. Como bien lo deja establecido la Corte, se constató que </w:t>
      </w:r>
      <w:r w:rsidRPr="00426463">
        <w:rPr>
          <w:rFonts w:ascii="Verdana" w:hAnsi="Verdana"/>
          <w:sz w:val="20"/>
          <w:szCs w:val="20"/>
        </w:rPr>
        <w:t>“</w:t>
      </w:r>
      <w:r w:rsidRPr="00426463">
        <w:rPr>
          <w:rFonts w:ascii="Verdana" w:hAnsi="Verdana"/>
          <w:sz w:val="20"/>
          <w:szCs w:val="20"/>
          <w:lang w:val="es-PE"/>
        </w:rPr>
        <w:t xml:space="preserve">sí existían procedimientos para la transformación de los títulos y para la renovación de las concesiones en la normativa venezolana y que los mismos fueron iniciados por los apoderados de RCTV mediante la introducción de las </w:t>
      </w:r>
      <w:r w:rsidRPr="00426463">
        <w:rPr>
          <w:rFonts w:ascii="Verdana" w:hAnsi="Verdana"/>
          <w:sz w:val="20"/>
          <w:szCs w:val="20"/>
        </w:rPr>
        <w:t>solicitudes</w:t>
      </w:r>
      <w:r w:rsidRPr="00901CD2">
        <w:rPr>
          <w:rFonts w:ascii="Verdana" w:hAnsi="Verdana"/>
          <w:sz w:val="20"/>
          <w:szCs w:val="20"/>
        </w:rPr>
        <w:t xml:space="preserve">, pero </w:t>
      </w:r>
      <w:r w:rsidR="00F64A08" w:rsidRPr="00901CD2">
        <w:rPr>
          <w:rFonts w:ascii="Verdana" w:hAnsi="Verdana"/>
          <w:sz w:val="20"/>
          <w:szCs w:val="20"/>
        </w:rPr>
        <w:t xml:space="preserve">[…] </w:t>
      </w:r>
      <w:r w:rsidRPr="00901CD2">
        <w:rPr>
          <w:rFonts w:ascii="Verdana" w:hAnsi="Verdana"/>
          <w:sz w:val="20"/>
          <w:szCs w:val="20"/>
        </w:rPr>
        <w:t>e</w:t>
      </w:r>
      <w:r w:rsidRPr="00901CD2">
        <w:rPr>
          <w:rFonts w:ascii="Verdana" w:hAnsi="Verdana"/>
          <w:sz w:val="20"/>
          <w:szCs w:val="20"/>
          <w:lang w:val="es-PE"/>
        </w:rPr>
        <w:t>l Estado tomó la decisión de no aplicarlos</w:t>
      </w:r>
      <w:r w:rsidR="00F64A08" w:rsidRPr="00426463">
        <w:rPr>
          <w:rFonts w:ascii="Verdana" w:hAnsi="Verdana"/>
          <w:sz w:val="20"/>
          <w:szCs w:val="20"/>
        </w:rPr>
        <w:t>”</w:t>
      </w:r>
      <w:r w:rsidR="00064EDD" w:rsidRPr="00901CD2">
        <w:rPr>
          <w:rStyle w:val="FootnoteReference"/>
          <w:rFonts w:ascii="Verdana" w:hAnsi="Verdana"/>
          <w:sz w:val="20"/>
          <w:szCs w:val="20"/>
        </w:rPr>
        <w:footnoteReference w:id="28"/>
      </w:r>
      <w:r w:rsidR="002A42D0" w:rsidRPr="00901CD2">
        <w:rPr>
          <w:rFonts w:ascii="Verdana" w:hAnsi="Verdana"/>
          <w:sz w:val="20"/>
          <w:szCs w:val="20"/>
          <w:lang w:val="es-PE"/>
        </w:rPr>
        <w:t>,</w:t>
      </w:r>
      <w:r w:rsidRPr="00901CD2">
        <w:rPr>
          <w:rFonts w:ascii="Verdana" w:hAnsi="Verdana"/>
          <w:sz w:val="20"/>
          <w:szCs w:val="20"/>
          <w:lang w:val="es-PE"/>
        </w:rPr>
        <w:t xml:space="preserve"> </w:t>
      </w:r>
      <w:r w:rsidR="002A42D0" w:rsidRPr="00901CD2">
        <w:rPr>
          <w:rFonts w:ascii="Verdana" w:hAnsi="Verdana"/>
          <w:sz w:val="20"/>
          <w:szCs w:val="20"/>
          <w:lang w:val="es-PE"/>
        </w:rPr>
        <w:t>“</w:t>
      </w:r>
      <w:r w:rsidRPr="00901CD2">
        <w:rPr>
          <w:rFonts w:ascii="Verdana" w:hAnsi="Verdana"/>
          <w:sz w:val="20"/>
          <w:szCs w:val="20"/>
          <w:lang w:val="es-PE"/>
        </w:rPr>
        <w:t xml:space="preserve">vulnerando con ello </w:t>
      </w:r>
      <w:r w:rsidRPr="00426463">
        <w:rPr>
          <w:rFonts w:ascii="Verdana" w:hAnsi="Verdana"/>
          <w:sz w:val="20"/>
          <w:szCs w:val="20"/>
        </w:rPr>
        <w:t>las garantías judiciales</w:t>
      </w:r>
      <w:r w:rsidRPr="00901CD2">
        <w:rPr>
          <w:rFonts w:ascii="Verdana" w:hAnsi="Verdana"/>
          <w:sz w:val="20"/>
          <w:szCs w:val="20"/>
        </w:rPr>
        <w:t xml:space="preserve"> </w:t>
      </w:r>
      <w:r w:rsidRPr="00426463">
        <w:rPr>
          <w:rFonts w:ascii="Verdana" w:hAnsi="Verdana"/>
          <w:sz w:val="20"/>
          <w:szCs w:val="20"/>
        </w:rPr>
        <w:t xml:space="preserve">previstas en el artículo 8.1 en relación con el artículo 1.1 de la Convención Americana en perjuicio de </w:t>
      </w:r>
      <w:r w:rsidRPr="00426463">
        <w:rPr>
          <w:rFonts w:ascii="Verdana" w:hAnsi="Verdana"/>
          <w:sz w:val="20"/>
          <w:szCs w:val="20"/>
          <w:lang w:val="es-ES_tradnl"/>
        </w:rPr>
        <w:t xml:space="preserve">Marcel </w:t>
      </w:r>
      <w:proofErr w:type="spellStart"/>
      <w:r w:rsidRPr="00426463">
        <w:rPr>
          <w:rFonts w:ascii="Verdana" w:hAnsi="Verdana"/>
          <w:sz w:val="20"/>
          <w:szCs w:val="20"/>
          <w:lang w:val="es-ES_tradnl"/>
        </w:rPr>
        <w:t>Granier</w:t>
      </w:r>
      <w:proofErr w:type="spellEnd"/>
      <w:r w:rsidRPr="00426463">
        <w:rPr>
          <w:rFonts w:ascii="Verdana" w:hAnsi="Verdana"/>
          <w:sz w:val="20"/>
          <w:szCs w:val="20"/>
          <w:lang w:val="es-ES_tradnl"/>
        </w:rPr>
        <w:t xml:space="preserve">, Peter </w:t>
      </w:r>
      <w:proofErr w:type="spellStart"/>
      <w:r w:rsidRPr="00426463">
        <w:rPr>
          <w:rFonts w:ascii="Verdana" w:hAnsi="Verdana"/>
          <w:sz w:val="20"/>
          <w:szCs w:val="20"/>
          <w:lang w:val="es-ES_tradnl"/>
        </w:rPr>
        <w:t>Bottome</w:t>
      </w:r>
      <w:proofErr w:type="spellEnd"/>
      <w:r w:rsidRPr="00426463">
        <w:rPr>
          <w:rFonts w:ascii="Verdana" w:hAnsi="Verdana"/>
          <w:sz w:val="20"/>
          <w:szCs w:val="20"/>
          <w:lang w:val="es-ES_tradnl"/>
        </w:rPr>
        <w:t xml:space="preserve">, Jaime </w:t>
      </w:r>
      <w:proofErr w:type="spellStart"/>
      <w:r w:rsidRPr="00426463">
        <w:rPr>
          <w:rFonts w:ascii="Verdana" w:hAnsi="Verdana"/>
          <w:sz w:val="20"/>
          <w:szCs w:val="20"/>
          <w:lang w:val="es-ES_tradnl"/>
        </w:rPr>
        <w:t>Nestares</w:t>
      </w:r>
      <w:proofErr w:type="spellEnd"/>
      <w:r w:rsidRPr="00426463">
        <w:rPr>
          <w:rFonts w:ascii="Verdana" w:hAnsi="Verdana"/>
          <w:sz w:val="20"/>
          <w:szCs w:val="20"/>
          <w:lang w:val="es-ES_tradnl"/>
        </w:rPr>
        <w:t xml:space="preserve">, Jean </w:t>
      </w:r>
      <w:proofErr w:type="spellStart"/>
      <w:r w:rsidRPr="00426463">
        <w:rPr>
          <w:rFonts w:ascii="Verdana" w:hAnsi="Verdana"/>
          <w:sz w:val="20"/>
          <w:szCs w:val="20"/>
          <w:lang w:val="es-ES_tradnl"/>
        </w:rPr>
        <w:t>Nestares</w:t>
      </w:r>
      <w:proofErr w:type="spellEnd"/>
      <w:r w:rsidRPr="00426463">
        <w:rPr>
          <w:rFonts w:ascii="Verdana" w:hAnsi="Verdana"/>
          <w:sz w:val="20"/>
          <w:szCs w:val="20"/>
          <w:lang w:val="es-ES_tradnl"/>
        </w:rPr>
        <w:t xml:space="preserve">, Fernando </w:t>
      </w:r>
      <w:proofErr w:type="spellStart"/>
      <w:r w:rsidRPr="00426463">
        <w:rPr>
          <w:rFonts w:ascii="Verdana" w:hAnsi="Verdana"/>
          <w:sz w:val="20"/>
          <w:szCs w:val="20"/>
          <w:lang w:val="es-ES_tradnl"/>
        </w:rPr>
        <w:t>Nestares</w:t>
      </w:r>
      <w:proofErr w:type="spellEnd"/>
      <w:r w:rsidRPr="00426463">
        <w:rPr>
          <w:rFonts w:ascii="Verdana" w:hAnsi="Verdana"/>
          <w:sz w:val="20"/>
          <w:szCs w:val="20"/>
          <w:lang w:val="es-ES_tradnl"/>
        </w:rPr>
        <w:t xml:space="preserve">, Alicia </w:t>
      </w:r>
      <w:proofErr w:type="spellStart"/>
      <w:r w:rsidRPr="00426463">
        <w:rPr>
          <w:rFonts w:ascii="Verdana" w:hAnsi="Verdana"/>
          <w:sz w:val="20"/>
          <w:szCs w:val="20"/>
          <w:lang w:val="es-ES_tradnl"/>
        </w:rPr>
        <w:t>Phelps</w:t>
      </w:r>
      <w:proofErr w:type="spellEnd"/>
      <w:r w:rsidRPr="00426463">
        <w:rPr>
          <w:rFonts w:ascii="Verdana" w:hAnsi="Verdana"/>
          <w:sz w:val="20"/>
          <w:szCs w:val="20"/>
          <w:lang w:val="es-ES_tradnl"/>
        </w:rPr>
        <w:t xml:space="preserve"> de Tovar y Francisco J. </w:t>
      </w:r>
      <w:proofErr w:type="spellStart"/>
      <w:r w:rsidRPr="00426463">
        <w:rPr>
          <w:rFonts w:ascii="Verdana" w:hAnsi="Verdana"/>
          <w:sz w:val="20"/>
          <w:szCs w:val="20"/>
          <w:lang w:val="es-ES_tradnl"/>
        </w:rPr>
        <w:t>Nestares</w:t>
      </w:r>
      <w:proofErr w:type="spellEnd"/>
      <w:r w:rsidRPr="00426463">
        <w:rPr>
          <w:rFonts w:ascii="Verdana" w:hAnsi="Verdana"/>
          <w:sz w:val="20"/>
          <w:szCs w:val="20"/>
        </w:rPr>
        <w:t>”</w:t>
      </w:r>
      <w:r w:rsidR="00DF3050" w:rsidRPr="00901CD2">
        <w:rPr>
          <w:rStyle w:val="FootnoteReference"/>
          <w:rFonts w:ascii="Verdana" w:hAnsi="Verdana"/>
          <w:sz w:val="20"/>
          <w:szCs w:val="20"/>
        </w:rPr>
        <w:footnoteReference w:id="29"/>
      </w:r>
      <w:r w:rsidRPr="00901CD2">
        <w:rPr>
          <w:rFonts w:ascii="Verdana" w:hAnsi="Verdana"/>
          <w:sz w:val="20"/>
          <w:szCs w:val="20"/>
        </w:rPr>
        <w:t>.</w:t>
      </w:r>
    </w:p>
    <w:p w:rsidR="00363520" w:rsidRPr="00901CD2" w:rsidRDefault="00363520" w:rsidP="007E7976">
      <w:pPr>
        <w:pStyle w:val="ListParagraph"/>
        <w:spacing w:after="0" w:line="240" w:lineRule="auto"/>
        <w:ind w:left="0"/>
        <w:jc w:val="both"/>
        <w:rPr>
          <w:rFonts w:ascii="Verdana" w:hAnsi="Verdana"/>
          <w:sz w:val="20"/>
          <w:szCs w:val="20"/>
          <w:u w:val="single"/>
          <w:lang w:val="es-CO"/>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rPr>
      </w:pPr>
      <w:r w:rsidRPr="00901CD2">
        <w:rPr>
          <w:rFonts w:ascii="Verdana" w:hAnsi="Verdana"/>
          <w:sz w:val="20"/>
          <w:szCs w:val="20"/>
        </w:rPr>
        <w:t xml:space="preserve">Por otro lado, en el examen </w:t>
      </w:r>
      <w:r w:rsidR="00791378" w:rsidRPr="00901CD2">
        <w:rPr>
          <w:rFonts w:ascii="Verdana" w:hAnsi="Verdana"/>
          <w:sz w:val="20"/>
          <w:szCs w:val="20"/>
        </w:rPr>
        <w:t xml:space="preserve">efectuado por </w:t>
      </w:r>
      <w:r w:rsidRPr="00901CD2">
        <w:rPr>
          <w:rFonts w:ascii="Verdana" w:hAnsi="Verdana"/>
          <w:sz w:val="20"/>
          <w:szCs w:val="20"/>
        </w:rPr>
        <w:t xml:space="preserve">la Corte se constató que en la tramitación del </w:t>
      </w:r>
      <w:r w:rsidR="0088576F" w:rsidRPr="00901CD2">
        <w:rPr>
          <w:rFonts w:ascii="Verdana" w:hAnsi="Verdana"/>
          <w:sz w:val="20"/>
          <w:szCs w:val="20"/>
        </w:rPr>
        <w:t>“</w:t>
      </w:r>
      <w:r w:rsidRPr="00901CD2">
        <w:rPr>
          <w:rFonts w:ascii="Verdana" w:hAnsi="Verdana"/>
          <w:sz w:val="20"/>
          <w:szCs w:val="20"/>
          <w:lang w:val="es-CL"/>
        </w:rPr>
        <w:t xml:space="preserve">recurso contencioso administrativo de nulidad </w:t>
      </w:r>
      <w:r w:rsidR="001478A6" w:rsidRPr="00901CD2">
        <w:rPr>
          <w:rFonts w:ascii="Verdana" w:hAnsi="Verdana"/>
          <w:sz w:val="20"/>
          <w:szCs w:val="20"/>
          <w:lang w:val="es-CL"/>
        </w:rPr>
        <w:t xml:space="preserve">con solicitud de un amparo cautelar y, en su defecto, de medidas cautelares innominadas de protección </w:t>
      </w:r>
      <w:r w:rsidRPr="00901CD2">
        <w:rPr>
          <w:rFonts w:ascii="Verdana" w:hAnsi="Verdana"/>
          <w:sz w:val="20"/>
          <w:szCs w:val="20"/>
          <w:lang w:val="es-CL"/>
        </w:rPr>
        <w:t>contra la decisión administrativa emanada de la Resolución Nº 002 y la Comunicación Nº 0424</w:t>
      </w:r>
      <w:r w:rsidR="0088576F" w:rsidRPr="00901CD2">
        <w:rPr>
          <w:rFonts w:ascii="Verdana" w:hAnsi="Verdana"/>
          <w:sz w:val="20"/>
          <w:szCs w:val="20"/>
          <w:lang w:val="es-CL"/>
        </w:rPr>
        <w:t>”</w:t>
      </w:r>
      <w:r w:rsidRPr="00901CD2">
        <w:rPr>
          <w:rFonts w:ascii="Verdana" w:hAnsi="Verdana"/>
          <w:sz w:val="20"/>
          <w:szCs w:val="20"/>
          <w:lang w:val="es-CL"/>
        </w:rPr>
        <w:t>,</w:t>
      </w:r>
      <w:r w:rsidRPr="00901CD2">
        <w:rPr>
          <w:rFonts w:ascii="Verdana" w:hAnsi="Verdana"/>
          <w:sz w:val="20"/>
          <w:szCs w:val="20"/>
        </w:rPr>
        <w:t xml:space="preserve"> se afectaron las garantías de los administrados. En efecto, la Corte determinó que </w:t>
      </w:r>
      <w:r w:rsidR="003878B1" w:rsidRPr="00901CD2">
        <w:rPr>
          <w:rFonts w:ascii="Verdana" w:hAnsi="Verdana"/>
          <w:sz w:val="20"/>
          <w:szCs w:val="20"/>
        </w:rPr>
        <w:t>“</w:t>
      </w:r>
      <w:r w:rsidRPr="00901CD2">
        <w:rPr>
          <w:rFonts w:ascii="Verdana" w:hAnsi="Verdana"/>
          <w:sz w:val="20"/>
          <w:szCs w:val="20"/>
        </w:rPr>
        <w:t xml:space="preserve">la autoridad judicial </w:t>
      </w:r>
      <w:r w:rsidRPr="00426463">
        <w:rPr>
          <w:rFonts w:ascii="Verdana" w:hAnsi="Verdana"/>
          <w:sz w:val="20"/>
          <w:szCs w:val="20"/>
        </w:rPr>
        <w:t>no procuró en forma diligente que el plazo razonable se respetara en el presente caso”</w:t>
      </w:r>
      <w:r w:rsidR="00C4762E" w:rsidRPr="00901CD2">
        <w:rPr>
          <w:rStyle w:val="FootnoteReference"/>
          <w:rFonts w:ascii="Verdana" w:hAnsi="Verdana"/>
          <w:sz w:val="20"/>
          <w:szCs w:val="20"/>
        </w:rPr>
        <w:footnoteReference w:id="30"/>
      </w:r>
      <w:r w:rsidRPr="00901CD2">
        <w:rPr>
          <w:rFonts w:ascii="Verdana" w:hAnsi="Verdana"/>
          <w:sz w:val="20"/>
          <w:szCs w:val="20"/>
        </w:rPr>
        <w:t xml:space="preserve"> produciéndose dilaciones excesivas en este proceso que se encuentra detenido desde el 2008. En ese razonamiento se concluyó que se </w:t>
      </w:r>
      <w:r w:rsidR="003878B1" w:rsidRPr="00901CD2">
        <w:rPr>
          <w:rFonts w:ascii="Verdana" w:hAnsi="Verdana"/>
          <w:sz w:val="20"/>
          <w:szCs w:val="20"/>
        </w:rPr>
        <w:t>“</w:t>
      </w:r>
      <w:r w:rsidRPr="00901CD2">
        <w:rPr>
          <w:rFonts w:ascii="Verdana" w:hAnsi="Verdana"/>
          <w:sz w:val="20"/>
          <w:szCs w:val="20"/>
        </w:rPr>
        <w:t xml:space="preserve">vulneró el derecho al plazo razonable previsto en el artículo 8.1 en relación con el artículo 1.1 de la Convención Americana en perjuicio de </w:t>
      </w:r>
      <w:r w:rsidRPr="00901CD2">
        <w:rPr>
          <w:rFonts w:ascii="Verdana" w:hAnsi="Verdana"/>
          <w:sz w:val="20"/>
          <w:szCs w:val="20"/>
          <w:lang w:val="es-ES_tradnl"/>
        </w:rPr>
        <w:t xml:space="preserve">Marcel </w:t>
      </w:r>
      <w:proofErr w:type="spellStart"/>
      <w:r w:rsidRPr="00901CD2">
        <w:rPr>
          <w:rFonts w:ascii="Verdana" w:hAnsi="Verdana"/>
          <w:sz w:val="20"/>
          <w:szCs w:val="20"/>
          <w:lang w:val="es-ES_tradnl"/>
        </w:rPr>
        <w:t>Granier</w:t>
      </w:r>
      <w:proofErr w:type="spellEnd"/>
      <w:r w:rsidRPr="00901CD2">
        <w:rPr>
          <w:rFonts w:ascii="Verdana" w:hAnsi="Verdana"/>
          <w:sz w:val="20"/>
          <w:szCs w:val="20"/>
          <w:lang w:val="es-ES_tradnl"/>
        </w:rPr>
        <w:t xml:space="preserve">, Peter </w:t>
      </w:r>
      <w:proofErr w:type="spellStart"/>
      <w:r w:rsidRPr="00901CD2">
        <w:rPr>
          <w:rFonts w:ascii="Verdana" w:hAnsi="Verdana"/>
          <w:sz w:val="20"/>
          <w:szCs w:val="20"/>
          <w:lang w:val="es-ES_tradnl"/>
        </w:rPr>
        <w:t>Bottome</w:t>
      </w:r>
      <w:proofErr w:type="spellEnd"/>
      <w:r w:rsidRPr="00901CD2">
        <w:rPr>
          <w:rFonts w:ascii="Verdana" w:hAnsi="Verdana"/>
          <w:sz w:val="20"/>
          <w:szCs w:val="20"/>
          <w:lang w:val="es-ES_tradnl"/>
        </w:rPr>
        <w:t xml:space="preserve">, Jaime </w:t>
      </w:r>
      <w:proofErr w:type="spellStart"/>
      <w:r w:rsidRPr="00901CD2">
        <w:rPr>
          <w:rFonts w:ascii="Verdana" w:hAnsi="Verdana"/>
          <w:sz w:val="20"/>
          <w:szCs w:val="20"/>
          <w:lang w:val="es-ES_tradnl"/>
        </w:rPr>
        <w:t>Nestares</w:t>
      </w:r>
      <w:proofErr w:type="spellEnd"/>
      <w:r w:rsidRPr="00901CD2">
        <w:rPr>
          <w:rFonts w:ascii="Verdana" w:hAnsi="Verdana"/>
          <w:sz w:val="20"/>
          <w:szCs w:val="20"/>
          <w:lang w:val="es-ES_tradnl"/>
        </w:rPr>
        <w:t xml:space="preserve">, Jean </w:t>
      </w:r>
      <w:proofErr w:type="spellStart"/>
      <w:r w:rsidRPr="00901CD2">
        <w:rPr>
          <w:rFonts w:ascii="Verdana" w:hAnsi="Verdana"/>
          <w:sz w:val="20"/>
          <w:szCs w:val="20"/>
          <w:lang w:val="es-ES_tradnl"/>
        </w:rPr>
        <w:t>Nestares</w:t>
      </w:r>
      <w:proofErr w:type="spellEnd"/>
      <w:r w:rsidRPr="00901CD2">
        <w:rPr>
          <w:rFonts w:ascii="Verdana" w:hAnsi="Verdana"/>
          <w:sz w:val="20"/>
          <w:szCs w:val="20"/>
          <w:lang w:val="es-ES_tradnl"/>
        </w:rPr>
        <w:t xml:space="preserve">, Fernando </w:t>
      </w:r>
      <w:proofErr w:type="spellStart"/>
      <w:r w:rsidRPr="00901CD2">
        <w:rPr>
          <w:rFonts w:ascii="Verdana" w:hAnsi="Verdana"/>
          <w:sz w:val="20"/>
          <w:szCs w:val="20"/>
          <w:lang w:val="es-ES_tradnl"/>
        </w:rPr>
        <w:t>Nestares</w:t>
      </w:r>
      <w:proofErr w:type="spellEnd"/>
      <w:r w:rsidRPr="00901CD2">
        <w:rPr>
          <w:rFonts w:ascii="Verdana" w:hAnsi="Verdana"/>
          <w:sz w:val="20"/>
          <w:szCs w:val="20"/>
          <w:lang w:val="es-ES_tradnl"/>
        </w:rPr>
        <w:t xml:space="preserve">, Alicia </w:t>
      </w:r>
      <w:proofErr w:type="spellStart"/>
      <w:r w:rsidRPr="00901CD2">
        <w:rPr>
          <w:rFonts w:ascii="Verdana" w:hAnsi="Verdana"/>
          <w:sz w:val="20"/>
          <w:szCs w:val="20"/>
          <w:lang w:val="es-ES_tradnl"/>
        </w:rPr>
        <w:t>Phelps</w:t>
      </w:r>
      <w:proofErr w:type="spellEnd"/>
      <w:r w:rsidRPr="00901CD2">
        <w:rPr>
          <w:rFonts w:ascii="Verdana" w:hAnsi="Verdana"/>
          <w:sz w:val="20"/>
          <w:szCs w:val="20"/>
          <w:lang w:val="es-ES_tradnl"/>
        </w:rPr>
        <w:t xml:space="preserve"> de Tovar, Francisco J. </w:t>
      </w:r>
      <w:proofErr w:type="spellStart"/>
      <w:r w:rsidRPr="00901CD2">
        <w:rPr>
          <w:rFonts w:ascii="Verdana" w:hAnsi="Verdana"/>
          <w:sz w:val="20"/>
          <w:szCs w:val="20"/>
          <w:lang w:val="es-ES_tradnl"/>
        </w:rPr>
        <w:t>Nestares</w:t>
      </w:r>
      <w:proofErr w:type="spellEnd"/>
      <w:r w:rsidRPr="00901CD2">
        <w:rPr>
          <w:rFonts w:ascii="Verdana" w:hAnsi="Verdana"/>
          <w:sz w:val="20"/>
          <w:szCs w:val="20"/>
          <w:lang w:val="es-ES_tradnl"/>
        </w:rPr>
        <w:t xml:space="preserve">, Edgardo Mosca, </w:t>
      </w:r>
      <w:proofErr w:type="spellStart"/>
      <w:r w:rsidRPr="00901CD2">
        <w:rPr>
          <w:rFonts w:ascii="Verdana" w:hAnsi="Verdana"/>
          <w:sz w:val="20"/>
          <w:szCs w:val="20"/>
          <w:lang w:val="es-ES_tradnl"/>
        </w:rPr>
        <w:t>Anani</w:t>
      </w:r>
      <w:proofErr w:type="spellEnd"/>
      <w:r w:rsidRPr="00901CD2">
        <w:rPr>
          <w:rFonts w:ascii="Verdana" w:hAnsi="Verdana"/>
          <w:sz w:val="20"/>
          <w:szCs w:val="20"/>
          <w:lang w:val="es-ES_tradnl"/>
        </w:rPr>
        <w:t xml:space="preserve"> Hernández, Inés Bacalao, José Simón Escalona, Eladio </w:t>
      </w:r>
      <w:proofErr w:type="spellStart"/>
      <w:r w:rsidRPr="00901CD2">
        <w:rPr>
          <w:rFonts w:ascii="Verdana" w:hAnsi="Verdana"/>
          <w:sz w:val="20"/>
          <w:szCs w:val="20"/>
          <w:lang w:val="es-ES_tradnl"/>
        </w:rPr>
        <w:t>Lárez</w:t>
      </w:r>
      <w:proofErr w:type="spellEnd"/>
      <w:r w:rsidRPr="00901CD2">
        <w:rPr>
          <w:rFonts w:ascii="Verdana" w:hAnsi="Verdana"/>
          <w:sz w:val="20"/>
          <w:szCs w:val="20"/>
          <w:lang w:val="es-ES_tradnl"/>
        </w:rPr>
        <w:t xml:space="preserve">, </w:t>
      </w:r>
      <w:proofErr w:type="spellStart"/>
      <w:r w:rsidRPr="00901CD2">
        <w:rPr>
          <w:rFonts w:ascii="Verdana" w:hAnsi="Verdana"/>
          <w:sz w:val="20"/>
          <w:szCs w:val="20"/>
          <w:lang w:val="es-ES_tradnl"/>
        </w:rPr>
        <w:t>Odila</w:t>
      </w:r>
      <w:proofErr w:type="spellEnd"/>
      <w:r w:rsidRPr="00901CD2">
        <w:rPr>
          <w:rFonts w:ascii="Verdana" w:hAnsi="Verdana"/>
          <w:sz w:val="20"/>
          <w:szCs w:val="20"/>
          <w:lang w:val="es-ES_tradnl"/>
        </w:rPr>
        <w:t xml:space="preserve"> </w:t>
      </w:r>
      <w:proofErr w:type="spellStart"/>
      <w:r w:rsidRPr="00901CD2">
        <w:rPr>
          <w:rFonts w:ascii="Verdana" w:hAnsi="Verdana"/>
          <w:sz w:val="20"/>
          <w:szCs w:val="20"/>
          <w:lang w:val="es-ES_tradnl"/>
        </w:rPr>
        <w:t>Rubin</w:t>
      </w:r>
      <w:proofErr w:type="spellEnd"/>
      <w:r w:rsidRPr="00901CD2">
        <w:rPr>
          <w:rFonts w:ascii="Verdana" w:hAnsi="Verdana"/>
          <w:sz w:val="20"/>
          <w:szCs w:val="20"/>
          <w:lang w:val="es-ES_tradnl"/>
        </w:rPr>
        <w:t xml:space="preserve">, Oswaldo Quintana, Eduardo </w:t>
      </w:r>
      <w:proofErr w:type="spellStart"/>
      <w:r w:rsidRPr="00901CD2">
        <w:rPr>
          <w:rFonts w:ascii="Verdana" w:hAnsi="Verdana"/>
          <w:sz w:val="20"/>
          <w:szCs w:val="20"/>
          <w:lang w:val="es-ES_tradnl"/>
        </w:rPr>
        <w:t>Sapene</w:t>
      </w:r>
      <w:proofErr w:type="spellEnd"/>
      <w:r w:rsidRPr="00901CD2">
        <w:rPr>
          <w:rFonts w:ascii="Verdana" w:hAnsi="Verdana"/>
          <w:sz w:val="20"/>
          <w:szCs w:val="20"/>
          <w:lang w:val="es-ES_tradnl"/>
        </w:rPr>
        <w:t xml:space="preserve">, Daniela </w:t>
      </w:r>
      <w:proofErr w:type="spellStart"/>
      <w:r w:rsidRPr="00901CD2">
        <w:rPr>
          <w:rFonts w:ascii="Verdana" w:hAnsi="Verdana"/>
          <w:sz w:val="20"/>
          <w:szCs w:val="20"/>
          <w:lang w:val="es-ES_tradnl"/>
        </w:rPr>
        <w:t>Bergami</w:t>
      </w:r>
      <w:proofErr w:type="spellEnd"/>
      <w:r w:rsidRPr="00901CD2">
        <w:rPr>
          <w:rFonts w:ascii="Verdana" w:hAnsi="Verdana"/>
          <w:sz w:val="20"/>
          <w:szCs w:val="20"/>
          <w:lang w:val="es-ES_tradnl"/>
        </w:rPr>
        <w:t>, Isabel Valero, Miguel Ángel Rodríguez, Soraya Castellano, María Arriaga y Larissa Patiño</w:t>
      </w:r>
      <w:r w:rsidR="003878B1" w:rsidRPr="00901CD2">
        <w:rPr>
          <w:rFonts w:ascii="Verdana" w:hAnsi="Verdana"/>
          <w:sz w:val="20"/>
          <w:szCs w:val="20"/>
          <w:lang w:val="es-ES_tradnl"/>
        </w:rPr>
        <w:t>”</w:t>
      </w:r>
      <w:r w:rsidR="00C4762E" w:rsidRPr="00901CD2">
        <w:rPr>
          <w:rStyle w:val="FootnoteReference"/>
          <w:rFonts w:ascii="Verdana" w:hAnsi="Verdana"/>
          <w:sz w:val="20"/>
          <w:szCs w:val="20"/>
        </w:rPr>
        <w:footnoteReference w:id="31"/>
      </w:r>
      <w:r w:rsidRPr="00901CD2">
        <w:rPr>
          <w:rFonts w:ascii="Verdana" w:hAnsi="Verdana"/>
          <w:sz w:val="20"/>
          <w:szCs w:val="20"/>
        </w:rPr>
        <w:t xml:space="preserve">. </w:t>
      </w:r>
    </w:p>
    <w:p w:rsidR="00363520" w:rsidRPr="00901CD2" w:rsidRDefault="00363520" w:rsidP="007E7976">
      <w:pPr>
        <w:pStyle w:val="ListParagraph"/>
        <w:spacing w:after="0" w:line="240" w:lineRule="auto"/>
        <w:ind w:left="0"/>
        <w:jc w:val="both"/>
        <w:rPr>
          <w:rFonts w:ascii="Verdana" w:hAnsi="Verdana"/>
          <w:sz w:val="20"/>
          <w:szCs w:val="20"/>
        </w:rPr>
      </w:pPr>
    </w:p>
    <w:p w:rsidR="00363520" w:rsidRPr="00901CD2" w:rsidRDefault="00363520" w:rsidP="007E7976">
      <w:pPr>
        <w:pStyle w:val="ListParagraph"/>
        <w:numPr>
          <w:ilvl w:val="0"/>
          <w:numId w:val="4"/>
        </w:numPr>
        <w:spacing w:after="0" w:line="240" w:lineRule="auto"/>
        <w:ind w:left="0" w:firstLine="0"/>
        <w:jc w:val="both"/>
        <w:rPr>
          <w:rFonts w:ascii="Verdana" w:hAnsi="Verdana"/>
          <w:sz w:val="20"/>
          <w:szCs w:val="20"/>
        </w:rPr>
      </w:pPr>
      <w:r w:rsidRPr="00901CD2">
        <w:rPr>
          <w:rFonts w:ascii="Verdana" w:hAnsi="Verdana"/>
          <w:sz w:val="20"/>
          <w:szCs w:val="20"/>
        </w:rPr>
        <w:t xml:space="preserve">Asimismo, en cuanto a la tramitación de la medida cautelar innominada la Corte reiteró el principio de que </w:t>
      </w:r>
      <w:r w:rsidRPr="00426463">
        <w:rPr>
          <w:rFonts w:ascii="Verdana" w:hAnsi="Verdana"/>
          <w:sz w:val="20"/>
          <w:szCs w:val="20"/>
        </w:rPr>
        <w:t>“el amparo debe ser un recurso ‘sencillo y rápido’, en los términos del artículo 25.1 de la Convención</w:t>
      </w:r>
      <w:r w:rsidR="003878B1" w:rsidRPr="00901CD2">
        <w:rPr>
          <w:rFonts w:ascii="Verdana" w:hAnsi="Verdana"/>
          <w:sz w:val="20"/>
          <w:szCs w:val="20"/>
        </w:rPr>
        <w:t>, y […] que otros recursos</w:t>
      </w:r>
      <w:r w:rsidRPr="00901CD2">
        <w:rPr>
          <w:rFonts w:ascii="Verdana" w:hAnsi="Verdana"/>
          <w:sz w:val="20"/>
          <w:szCs w:val="20"/>
        </w:rPr>
        <w:t xml:space="preserve"> debe</w:t>
      </w:r>
      <w:r w:rsidR="003878B1" w:rsidRPr="00901CD2">
        <w:rPr>
          <w:rFonts w:ascii="Verdana" w:hAnsi="Verdana"/>
          <w:sz w:val="20"/>
          <w:szCs w:val="20"/>
        </w:rPr>
        <w:t>n</w:t>
      </w:r>
      <w:r w:rsidRPr="00901CD2">
        <w:rPr>
          <w:rFonts w:ascii="Verdana" w:hAnsi="Verdana"/>
          <w:sz w:val="20"/>
          <w:szCs w:val="20"/>
        </w:rPr>
        <w:t xml:space="preserve"> </w:t>
      </w:r>
      <w:r w:rsidRPr="00426463">
        <w:rPr>
          <w:rFonts w:ascii="Verdana" w:hAnsi="Verdana"/>
          <w:sz w:val="20"/>
          <w:szCs w:val="20"/>
        </w:rPr>
        <w:t>resolverse en un ‘plazo razonable’, conforme al artículo 8.1 de la Convención”</w:t>
      </w:r>
      <w:r w:rsidR="00C4762E" w:rsidRPr="00901CD2">
        <w:rPr>
          <w:rStyle w:val="FootnoteReference"/>
          <w:rFonts w:ascii="Verdana" w:hAnsi="Verdana"/>
          <w:sz w:val="20"/>
          <w:szCs w:val="20"/>
        </w:rPr>
        <w:footnoteReference w:id="32"/>
      </w:r>
      <w:r w:rsidR="003878B1" w:rsidRPr="00901CD2">
        <w:rPr>
          <w:rFonts w:ascii="Verdana" w:hAnsi="Verdana"/>
          <w:sz w:val="20"/>
          <w:szCs w:val="20"/>
        </w:rPr>
        <w:t>.</w:t>
      </w:r>
      <w:r w:rsidRPr="00901CD2">
        <w:rPr>
          <w:rFonts w:ascii="Verdana" w:hAnsi="Verdana"/>
          <w:sz w:val="20"/>
          <w:szCs w:val="20"/>
        </w:rPr>
        <w:t xml:space="preserve"> </w:t>
      </w:r>
      <w:r w:rsidR="003878B1" w:rsidRPr="00901CD2">
        <w:rPr>
          <w:rFonts w:ascii="Verdana" w:hAnsi="Verdana"/>
          <w:sz w:val="20"/>
          <w:szCs w:val="20"/>
        </w:rPr>
        <w:t xml:space="preserve">Por </w:t>
      </w:r>
      <w:r w:rsidRPr="00901CD2">
        <w:rPr>
          <w:rFonts w:ascii="Verdana" w:hAnsi="Verdana"/>
          <w:sz w:val="20"/>
          <w:szCs w:val="20"/>
        </w:rPr>
        <w:t xml:space="preserve">lo que, tratándose de una medida cautelar y al haberse extendido por más de tres meses el plazo para resolverla, se </w:t>
      </w:r>
      <w:r w:rsidRPr="00426463">
        <w:rPr>
          <w:rFonts w:ascii="Verdana" w:hAnsi="Verdana"/>
          <w:sz w:val="20"/>
          <w:szCs w:val="20"/>
        </w:rPr>
        <w:t xml:space="preserve">violó </w:t>
      </w:r>
      <w:r w:rsidR="00AB149F" w:rsidRPr="00901CD2">
        <w:rPr>
          <w:rFonts w:ascii="Verdana" w:hAnsi="Verdana"/>
          <w:sz w:val="20"/>
          <w:szCs w:val="20"/>
        </w:rPr>
        <w:t>“</w:t>
      </w:r>
      <w:r w:rsidRPr="00426463">
        <w:rPr>
          <w:rFonts w:ascii="Verdana" w:hAnsi="Verdana"/>
          <w:sz w:val="20"/>
          <w:szCs w:val="20"/>
        </w:rPr>
        <w:t xml:space="preserve">el derecho a un plazo razonable, consagrado en el artículo 8.1 de la Convención, en relación con el artículo 1.1 de la misma, en perjuicio de </w:t>
      </w:r>
      <w:r w:rsidRPr="00426463">
        <w:rPr>
          <w:rFonts w:ascii="Verdana" w:hAnsi="Verdana"/>
          <w:sz w:val="20"/>
          <w:szCs w:val="20"/>
          <w:lang w:val="es-ES_tradnl"/>
        </w:rPr>
        <w:t xml:space="preserve">Marcel </w:t>
      </w:r>
      <w:proofErr w:type="spellStart"/>
      <w:r w:rsidRPr="00426463">
        <w:rPr>
          <w:rFonts w:ascii="Verdana" w:hAnsi="Verdana"/>
          <w:sz w:val="20"/>
          <w:szCs w:val="20"/>
          <w:lang w:val="es-ES_tradnl"/>
        </w:rPr>
        <w:t>Granier</w:t>
      </w:r>
      <w:proofErr w:type="spellEnd"/>
      <w:r w:rsidRPr="00426463">
        <w:rPr>
          <w:rFonts w:ascii="Verdana" w:hAnsi="Verdana"/>
          <w:sz w:val="20"/>
          <w:szCs w:val="20"/>
          <w:lang w:val="es-ES_tradnl"/>
        </w:rPr>
        <w:t xml:space="preserve">, Peter </w:t>
      </w:r>
      <w:proofErr w:type="spellStart"/>
      <w:r w:rsidRPr="00426463">
        <w:rPr>
          <w:rFonts w:ascii="Verdana" w:hAnsi="Verdana"/>
          <w:sz w:val="20"/>
          <w:szCs w:val="20"/>
          <w:lang w:val="es-ES_tradnl"/>
        </w:rPr>
        <w:t>Bottome</w:t>
      </w:r>
      <w:proofErr w:type="spellEnd"/>
      <w:r w:rsidRPr="00426463">
        <w:rPr>
          <w:rFonts w:ascii="Verdana" w:hAnsi="Verdana"/>
          <w:sz w:val="20"/>
          <w:szCs w:val="20"/>
          <w:lang w:val="es-ES_tradnl"/>
        </w:rPr>
        <w:t xml:space="preserve">, Jaime </w:t>
      </w:r>
      <w:proofErr w:type="spellStart"/>
      <w:r w:rsidRPr="00426463">
        <w:rPr>
          <w:rFonts w:ascii="Verdana" w:hAnsi="Verdana"/>
          <w:sz w:val="20"/>
          <w:szCs w:val="20"/>
          <w:lang w:val="es-ES_tradnl"/>
        </w:rPr>
        <w:t>Nestares</w:t>
      </w:r>
      <w:proofErr w:type="spellEnd"/>
      <w:r w:rsidRPr="00426463">
        <w:rPr>
          <w:rFonts w:ascii="Verdana" w:hAnsi="Verdana"/>
          <w:sz w:val="20"/>
          <w:szCs w:val="20"/>
          <w:lang w:val="es-ES_tradnl"/>
        </w:rPr>
        <w:t xml:space="preserve">, Jean </w:t>
      </w:r>
      <w:proofErr w:type="spellStart"/>
      <w:r w:rsidRPr="00426463">
        <w:rPr>
          <w:rFonts w:ascii="Verdana" w:hAnsi="Verdana"/>
          <w:sz w:val="20"/>
          <w:szCs w:val="20"/>
          <w:lang w:val="es-ES_tradnl"/>
        </w:rPr>
        <w:t>Nestares</w:t>
      </w:r>
      <w:proofErr w:type="spellEnd"/>
      <w:r w:rsidRPr="00426463">
        <w:rPr>
          <w:rFonts w:ascii="Verdana" w:hAnsi="Verdana"/>
          <w:sz w:val="20"/>
          <w:szCs w:val="20"/>
          <w:lang w:val="es-ES_tradnl"/>
        </w:rPr>
        <w:t xml:space="preserve">, Fernando </w:t>
      </w:r>
      <w:proofErr w:type="spellStart"/>
      <w:r w:rsidRPr="00426463">
        <w:rPr>
          <w:rFonts w:ascii="Verdana" w:hAnsi="Verdana"/>
          <w:sz w:val="20"/>
          <w:szCs w:val="20"/>
          <w:lang w:val="es-ES_tradnl"/>
        </w:rPr>
        <w:t>Nestares</w:t>
      </w:r>
      <w:proofErr w:type="spellEnd"/>
      <w:r w:rsidRPr="00426463">
        <w:rPr>
          <w:rFonts w:ascii="Verdana" w:hAnsi="Verdana"/>
          <w:sz w:val="20"/>
          <w:szCs w:val="20"/>
          <w:lang w:val="es-ES_tradnl"/>
        </w:rPr>
        <w:t xml:space="preserve">, Alicia </w:t>
      </w:r>
      <w:proofErr w:type="spellStart"/>
      <w:r w:rsidRPr="00426463">
        <w:rPr>
          <w:rFonts w:ascii="Verdana" w:hAnsi="Verdana"/>
          <w:sz w:val="20"/>
          <w:szCs w:val="20"/>
          <w:lang w:val="es-ES_tradnl"/>
        </w:rPr>
        <w:t>Phelps</w:t>
      </w:r>
      <w:proofErr w:type="spellEnd"/>
      <w:r w:rsidRPr="00426463">
        <w:rPr>
          <w:rFonts w:ascii="Verdana" w:hAnsi="Verdana"/>
          <w:sz w:val="20"/>
          <w:szCs w:val="20"/>
          <w:lang w:val="es-ES_tradnl"/>
        </w:rPr>
        <w:t xml:space="preserve"> de Tovar, Francisco J. </w:t>
      </w:r>
      <w:proofErr w:type="spellStart"/>
      <w:r w:rsidRPr="00426463">
        <w:rPr>
          <w:rFonts w:ascii="Verdana" w:hAnsi="Verdana"/>
          <w:sz w:val="20"/>
          <w:szCs w:val="20"/>
          <w:lang w:val="es-ES_tradnl"/>
        </w:rPr>
        <w:t>Nestares</w:t>
      </w:r>
      <w:proofErr w:type="spellEnd"/>
      <w:r w:rsidRPr="00426463">
        <w:rPr>
          <w:rFonts w:ascii="Verdana" w:hAnsi="Verdana"/>
          <w:sz w:val="20"/>
          <w:szCs w:val="20"/>
          <w:lang w:val="es-ES_tradnl"/>
        </w:rPr>
        <w:t xml:space="preserve">, Edgardo Mosca, </w:t>
      </w:r>
      <w:proofErr w:type="spellStart"/>
      <w:r w:rsidRPr="00426463">
        <w:rPr>
          <w:rFonts w:ascii="Verdana" w:hAnsi="Verdana"/>
          <w:sz w:val="20"/>
          <w:szCs w:val="20"/>
          <w:lang w:val="es-ES_tradnl"/>
        </w:rPr>
        <w:t>Anani</w:t>
      </w:r>
      <w:proofErr w:type="spellEnd"/>
      <w:r w:rsidRPr="00426463">
        <w:rPr>
          <w:rFonts w:ascii="Verdana" w:hAnsi="Verdana"/>
          <w:sz w:val="20"/>
          <w:szCs w:val="20"/>
          <w:lang w:val="es-ES_tradnl"/>
        </w:rPr>
        <w:t xml:space="preserve"> Hernández, Inés Bacalao, José Simón Escalona, Eladio </w:t>
      </w:r>
      <w:proofErr w:type="spellStart"/>
      <w:r w:rsidRPr="00426463">
        <w:rPr>
          <w:rFonts w:ascii="Verdana" w:hAnsi="Verdana"/>
          <w:sz w:val="20"/>
          <w:szCs w:val="20"/>
          <w:lang w:val="es-ES_tradnl"/>
        </w:rPr>
        <w:t>Lárez</w:t>
      </w:r>
      <w:proofErr w:type="spellEnd"/>
      <w:r w:rsidRPr="00426463">
        <w:rPr>
          <w:rFonts w:ascii="Verdana" w:hAnsi="Verdana"/>
          <w:sz w:val="20"/>
          <w:szCs w:val="20"/>
          <w:lang w:val="es-ES_tradnl"/>
        </w:rPr>
        <w:t xml:space="preserve">, </w:t>
      </w:r>
      <w:proofErr w:type="spellStart"/>
      <w:r w:rsidRPr="00426463">
        <w:rPr>
          <w:rFonts w:ascii="Verdana" w:hAnsi="Verdana"/>
          <w:sz w:val="20"/>
          <w:szCs w:val="20"/>
          <w:lang w:val="es-ES_tradnl"/>
        </w:rPr>
        <w:t>Odila</w:t>
      </w:r>
      <w:proofErr w:type="spellEnd"/>
      <w:r w:rsidRPr="00426463">
        <w:rPr>
          <w:rFonts w:ascii="Verdana" w:hAnsi="Verdana"/>
          <w:sz w:val="20"/>
          <w:szCs w:val="20"/>
          <w:lang w:val="es-ES_tradnl"/>
        </w:rPr>
        <w:t xml:space="preserve"> </w:t>
      </w:r>
      <w:proofErr w:type="spellStart"/>
      <w:r w:rsidRPr="00426463">
        <w:rPr>
          <w:rFonts w:ascii="Verdana" w:hAnsi="Verdana"/>
          <w:sz w:val="20"/>
          <w:szCs w:val="20"/>
          <w:lang w:val="es-ES_tradnl"/>
        </w:rPr>
        <w:t>Rubin</w:t>
      </w:r>
      <w:proofErr w:type="spellEnd"/>
      <w:r w:rsidRPr="00426463">
        <w:rPr>
          <w:rFonts w:ascii="Verdana" w:hAnsi="Verdana"/>
          <w:sz w:val="20"/>
          <w:szCs w:val="20"/>
          <w:lang w:val="es-ES_tradnl"/>
        </w:rPr>
        <w:t xml:space="preserve">, Oswaldo Quintana, Eduardo </w:t>
      </w:r>
      <w:proofErr w:type="spellStart"/>
      <w:r w:rsidRPr="00426463">
        <w:rPr>
          <w:rFonts w:ascii="Verdana" w:hAnsi="Verdana"/>
          <w:sz w:val="20"/>
          <w:szCs w:val="20"/>
          <w:lang w:val="es-ES_tradnl"/>
        </w:rPr>
        <w:t>Sapene</w:t>
      </w:r>
      <w:proofErr w:type="spellEnd"/>
      <w:r w:rsidRPr="00426463">
        <w:rPr>
          <w:rFonts w:ascii="Verdana" w:hAnsi="Verdana"/>
          <w:sz w:val="20"/>
          <w:szCs w:val="20"/>
          <w:lang w:val="es-ES_tradnl"/>
        </w:rPr>
        <w:t xml:space="preserve">, Daniela </w:t>
      </w:r>
      <w:proofErr w:type="spellStart"/>
      <w:r w:rsidRPr="00426463">
        <w:rPr>
          <w:rFonts w:ascii="Verdana" w:hAnsi="Verdana"/>
          <w:sz w:val="20"/>
          <w:szCs w:val="20"/>
          <w:lang w:val="es-ES_tradnl"/>
        </w:rPr>
        <w:t>Bergami</w:t>
      </w:r>
      <w:proofErr w:type="spellEnd"/>
      <w:r w:rsidRPr="00426463">
        <w:rPr>
          <w:rFonts w:ascii="Verdana" w:hAnsi="Verdana"/>
          <w:sz w:val="20"/>
          <w:szCs w:val="20"/>
          <w:lang w:val="es-ES_tradnl"/>
        </w:rPr>
        <w:t>, Isabel Valero, Miguel Ángel Rodríguez, Soraya Castellano, María Arriaga y Larissa Patiño”</w:t>
      </w:r>
      <w:r w:rsidR="00C4762E" w:rsidRPr="00901CD2">
        <w:rPr>
          <w:rStyle w:val="FootnoteReference"/>
          <w:rFonts w:ascii="Verdana" w:hAnsi="Verdana"/>
          <w:sz w:val="20"/>
          <w:szCs w:val="20"/>
        </w:rPr>
        <w:footnoteReference w:id="33"/>
      </w:r>
      <w:r w:rsidRPr="00901CD2">
        <w:rPr>
          <w:rFonts w:ascii="Verdana" w:hAnsi="Verdana"/>
          <w:sz w:val="20"/>
          <w:szCs w:val="20"/>
        </w:rPr>
        <w:t>.</w:t>
      </w:r>
    </w:p>
    <w:p w:rsidR="00363520" w:rsidRPr="00901CD2" w:rsidRDefault="00363520" w:rsidP="007E7976">
      <w:pPr>
        <w:pStyle w:val="ListParagraph"/>
        <w:spacing w:after="0" w:line="240" w:lineRule="auto"/>
        <w:ind w:left="0"/>
        <w:jc w:val="both"/>
        <w:rPr>
          <w:rFonts w:ascii="Verdana" w:hAnsi="Verdana"/>
          <w:sz w:val="20"/>
          <w:szCs w:val="20"/>
        </w:rPr>
      </w:pPr>
    </w:p>
    <w:p w:rsidR="00363520" w:rsidRPr="00901CD2" w:rsidRDefault="00363520" w:rsidP="007E7976">
      <w:pPr>
        <w:numPr>
          <w:ilvl w:val="0"/>
          <w:numId w:val="4"/>
        </w:numPr>
        <w:spacing w:after="0" w:line="240" w:lineRule="auto"/>
        <w:ind w:left="0" w:firstLine="0"/>
        <w:jc w:val="both"/>
        <w:rPr>
          <w:rFonts w:ascii="Verdana" w:hAnsi="Verdana"/>
          <w:sz w:val="20"/>
          <w:szCs w:val="20"/>
        </w:rPr>
      </w:pPr>
      <w:r w:rsidRPr="00901CD2">
        <w:rPr>
          <w:rFonts w:ascii="Verdana" w:hAnsi="Verdana"/>
          <w:sz w:val="20"/>
          <w:szCs w:val="20"/>
        </w:rPr>
        <w:t xml:space="preserve">En lo que atañe a los procesos penales vinculados al caso, la Corte determinó que en la </w:t>
      </w:r>
      <w:r w:rsidRPr="00901CD2">
        <w:rPr>
          <w:rFonts w:ascii="Verdana" w:hAnsi="Verdana"/>
          <w:sz w:val="20"/>
          <w:szCs w:val="20"/>
          <w:lang w:val="es-PE"/>
        </w:rPr>
        <w:t>tramitación de la denuncia penal</w:t>
      </w:r>
      <w:r w:rsidRPr="00901CD2">
        <w:rPr>
          <w:rFonts w:ascii="Verdana" w:hAnsi="Verdana"/>
          <w:sz w:val="20"/>
          <w:szCs w:val="20"/>
          <w:lang w:val="es-CL"/>
        </w:rPr>
        <w:t xml:space="preserve"> presentada por RCTV </w:t>
      </w:r>
      <w:r w:rsidR="00AB149F" w:rsidRPr="00901CD2">
        <w:rPr>
          <w:rFonts w:ascii="Verdana" w:hAnsi="Verdana"/>
          <w:sz w:val="20"/>
          <w:szCs w:val="20"/>
          <w:lang w:val="es-CL"/>
        </w:rPr>
        <w:t>“</w:t>
      </w:r>
      <w:r w:rsidRPr="00901CD2">
        <w:rPr>
          <w:rFonts w:ascii="Verdana" w:hAnsi="Verdana"/>
          <w:sz w:val="20"/>
          <w:szCs w:val="20"/>
          <w:lang w:val="es-CL"/>
        </w:rPr>
        <w:t>solicitando la apertura de una investigación por delitos contra el patrimonio y otros delitos previstos en la Ley contra la Corrupción</w:t>
      </w:r>
      <w:r w:rsidR="00AB149F" w:rsidRPr="00901CD2">
        <w:rPr>
          <w:rFonts w:ascii="Verdana" w:hAnsi="Verdana"/>
          <w:sz w:val="20"/>
          <w:szCs w:val="20"/>
          <w:lang w:val="es-CL"/>
        </w:rPr>
        <w:t>”</w:t>
      </w:r>
      <w:r w:rsidR="00AB149F" w:rsidRPr="00901CD2">
        <w:rPr>
          <w:rStyle w:val="FootnoteReference"/>
          <w:rFonts w:ascii="Verdana" w:hAnsi="Verdana"/>
          <w:sz w:val="20"/>
          <w:szCs w:val="20"/>
        </w:rPr>
        <w:footnoteReference w:id="34"/>
      </w:r>
      <w:r w:rsidRPr="00901CD2">
        <w:rPr>
          <w:rFonts w:ascii="Verdana" w:hAnsi="Verdana"/>
          <w:sz w:val="20"/>
          <w:szCs w:val="20"/>
          <w:lang w:val="es-CL"/>
        </w:rPr>
        <w:t>, el Estado no violó el artículo 8 de la Convención. Sin embargo, en el proceso judicial sobre la alegada incautación de bienes, la Corte constató que en mayo de 2007</w:t>
      </w:r>
      <w:r w:rsidRPr="00901CD2">
        <w:rPr>
          <w:rFonts w:ascii="Verdana" w:hAnsi="Verdana"/>
          <w:sz w:val="20"/>
          <w:szCs w:val="20"/>
          <w:lang w:val="es-PE"/>
        </w:rPr>
        <w:t xml:space="preserve"> los representantes de </w:t>
      </w:r>
      <w:r w:rsidRPr="00901CD2">
        <w:rPr>
          <w:rFonts w:ascii="Verdana" w:hAnsi="Verdana"/>
          <w:sz w:val="20"/>
          <w:szCs w:val="20"/>
          <w:lang w:val="es-CL"/>
        </w:rPr>
        <w:t xml:space="preserve">RCTV interpusieron judicialmente </w:t>
      </w:r>
      <w:r w:rsidR="009A0CF3" w:rsidRPr="00901CD2">
        <w:rPr>
          <w:rFonts w:ascii="Verdana" w:hAnsi="Verdana"/>
          <w:sz w:val="20"/>
          <w:szCs w:val="20"/>
          <w:lang w:val="es-CL"/>
        </w:rPr>
        <w:t>“</w:t>
      </w:r>
      <w:r w:rsidRPr="00901CD2">
        <w:rPr>
          <w:rFonts w:ascii="Verdana" w:hAnsi="Verdana"/>
          <w:sz w:val="20"/>
          <w:szCs w:val="20"/>
          <w:lang w:val="es-CL"/>
        </w:rPr>
        <w:t>una oposición</w:t>
      </w:r>
      <w:r w:rsidRPr="00901CD2">
        <w:rPr>
          <w:rFonts w:ascii="Verdana" w:hAnsi="Verdana"/>
          <w:sz w:val="20"/>
          <w:szCs w:val="20"/>
          <w:lang w:val="es-PE"/>
        </w:rPr>
        <w:t xml:space="preserve"> contra la medida cautelar emitida por la Sala Constitucional </w:t>
      </w:r>
      <w:r w:rsidRPr="00901CD2">
        <w:rPr>
          <w:rFonts w:ascii="Verdana" w:hAnsi="Verdana"/>
          <w:sz w:val="20"/>
          <w:szCs w:val="20"/>
          <w:lang w:val="es-CL"/>
        </w:rPr>
        <w:t>en el marco de la demanda por intereses colectivos y difusos,</w:t>
      </w:r>
      <w:r w:rsidRPr="00901CD2">
        <w:rPr>
          <w:rFonts w:ascii="Verdana" w:hAnsi="Verdana"/>
          <w:sz w:val="20"/>
          <w:szCs w:val="20"/>
          <w:lang w:val="es-PE"/>
        </w:rPr>
        <w:t xml:space="preserve"> que asignaba a CONATEL el uso de los bienes propiedad de RCTV</w:t>
      </w:r>
      <w:r w:rsidR="009A0CF3" w:rsidRPr="00901CD2">
        <w:rPr>
          <w:rFonts w:ascii="Verdana" w:hAnsi="Verdana"/>
          <w:sz w:val="20"/>
          <w:szCs w:val="20"/>
          <w:lang w:val="es-PE"/>
        </w:rPr>
        <w:t>”</w:t>
      </w:r>
      <w:r w:rsidR="009A0CF3" w:rsidRPr="00901CD2">
        <w:rPr>
          <w:rStyle w:val="FootnoteReference"/>
          <w:rFonts w:ascii="Verdana" w:hAnsi="Verdana"/>
          <w:sz w:val="20"/>
          <w:szCs w:val="20"/>
        </w:rPr>
        <w:footnoteReference w:id="35"/>
      </w:r>
      <w:r w:rsidRPr="00901CD2">
        <w:rPr>
          <w:rFonts w:ascii="Verdana" w:hAnsi="Verdana"/>
          <w:sz w:val="20"/>
          <w:szCs w:val="20"/>
          <w:lang w:val="es-PE"/>
        </w:rPr>
        <w:t xml:space="preserve">. Pese al tiempo transcurrido, </w:t>
      </w:r>
      <w:r w:rsidR="009A0CF3" w:rsidRPr="00901CD2">
        <w:rPr>
          <w:rFonts w:ascii="Verdana" w:hAnsi="Verdana"/>
          <w:sz w:val="20"/>
          <w:szCs w:val="20"/>
          <w:lang w:val="es-PE"/>
        </w:rPr>
        <w:t>“</w:t>
      </w:r>
      <w:r w:rsidRPr="00901CD2">
        <w:rPr>
          <w:rFonts w:ascii="Verdana" w:hAnsi="Verdana"/>
          <w:sz w:val="20"/>
          <w:szCs w:val="20"/>
          <w:lang w:val="es-PE"/>
        </w:rPr>
        <w:t xml:space="preserve">la medida cautelar dictada en 2007 continúa vigente hasta la fecha y el Estado continúa utilizando los bienes propiedad de RCTV para la transmisión de la señal del canal estatal </w:t>
      </w:r>
      <w:proofErr w:type="spellStart"/>
      <w:r w:rsidRPr="00901CD2">
        <w:rPr>
          <w:rFonts w:ascii="Verdana" w:hAnsi="Verdana"/>
          <w:sz w:val="20"/>
          <w:szCs w:val="20"/>
          <w:lang w:val="es-PE"/>
        </w:rPr>
        <w:t>TVes</w:t>
      </w:r>
      <w:proofErr w:type="spellEnd"/>
      <w:r w:rsidR="009A0CF3" w:rsidRPr="00901CD2">
        <w:rPr>
          <w:rFonts w:ascii="Verdana" w:hAnsi="Verdana"/>
          <w:sz w:val="20"/>
          <w:szCs w:val="20"/>
          <w:lang w:val="es-PE"/>
        </w:rPr>
        <w:t>”</w:t>
      </w:r>
      <w:r w:rsidR="009A0CF3" w:rsidRPr="00901CD2">
        <w:rPr>
          <w:rStyle w:val="FootnoteReference"/>
          <w:rFonts w:ascii="Verdana" w:hAnsi="Verdana"/>
          <w:sz w:val="20"/>
          <w:szCs w:val="20"/>
        </w:rPr>
        <w:footnoteReference w:id="36"/>
      </w:r>
      <w:r w:rsidRPr="00901CD2">
        <w:rPr>
          <w:rFonts w:ascii="Verdana" w:hAnsi="Verdana"/>
          <w:sz w:val="20"/>
          <w:szCs w:val="20"/>
          <w:lang w:val="es-PE"/>
        </w:rPr>
        <w:t xml:space="preserve"> configurándose, con ello, una vulneración al </w:t>
      </w:r>
      <w:r w:rsidRPr="00426463">
        <w:rPr>
          <w:rFonts w:ascii="Verdana" w:hAnsi="Verdana"/>
          <w:sz w:val="20"/>
          <w:szCs w:val="20"/>
          <w:lang w:val="es-PE"/>
        </w:rPr>
        <w:t>“</w:t>
      </w:r>
      <w:r w:rsidRPr="00426463">
        <w:rPr>
          <w:rFonts w:ascii="Verdana" w:hAnsi="Verdana"/>
          <w:sz w:val="20"/>
          <w:szCs w:val="20"/>
        </w:rPr>
        <w:t xml:space="preserve">derecho a ser oído y al plazo razonable contenidos en el artículo 8.1, en relación con el artículo 1.1 de la Convención Americana en perjuicio de </w:t>
      </w:r>
      <w:r w:rsidRPr="00426463">
        <w:rPr>
          <w:rFonts w:ascii="Verdana" w:hAnsi="Verdana"/>
          <w:sz w:val="20"/>
          <w:szCs w:val="20"/>
          <w:lang w:val="es-ES_tradnl"/>
        </w:rPr>
        <w:t xml:space="preserve">Marcel </w:t>
      </w:r>
      <w:proofErr w:type="spellStart"/>
      <w:r w:rsidRPr="00426463">
        <w:rPr>
          <w:rFonts w:ascii="Verdana" w:hAnsi="Verdana"/>
          <w:sz w:val="20"/>
          <w:szCs w:val="20"/>
          <w:lang w:val="es-ES_tradnl"/>
        </w:rPr>
        <w:t>Granier</w:t>
      </w:r>
      <w:proofErr w:type="spellEnd"/>
      <w:r w:rsidRPr="00426463">
        <w:rPr>
          <w:rFonts w:ascii="Verdana" w:hAnsi="Verdana"/>
          <w:sz w:val="20"/>
          <w:szCs w:val="20"/>
          <w:lang w:val="es-ES_tradnl"/>
        </w:rPr>
        <w:t xml:space="preserve">, Peter </w:t>
      </w:r>
      <w:proofErr w:type="spellStart"/>
      <w:r w:rsidRPr="00426463">
        <w:rPr>
          <w:rFonts w:ascii="Verdana" w:hAnsi="Verdana"/>
          <w:sz w:val="20"/>
          <w:szCs w:val="20"/>
          <w:lang w:val="es-ES_tradnl"/>
        </w:rPr>
        <w:t>Bottome</w:t>
      </w:r>
      <w:proofErr w:type="spellEnd"/>
      <w:r w:rsidRPr="00426463">
        <w:rPr>
          <w:rFonts w:ascii="Verdana" w:hAnsi="Verdana"/>
          <w:sz w:val="20"/>
          <w:szCs w:val="20"/>
          <w:lang w:val="es-ES_tradnl"/>
        </w:rPr>
        <w:t xml:space="preserve">, Jaime </w:t>
      </w:r>
      <w:proofErr w:type="spellStart"/>
      <w:r w:rsidRPr="00426463">
        <w:rPr>
          <w:rFonts w:ascii="Verdana" w:hAnsi="Verdana"/>
          <w:sz w:val="20"/>
          <w:szCs w:val="20"/>
          <w:lang w:val="es-ES_tradnl"/>
        </w:rPr>
        <w:t>Nestares</w:t>
      </w:r>
      <w:proofErr w:type="spellEnd"/>
      <w:r w:rsidRPr="00426463">
        <w:rPr>
          <w:rFonts w:ascii="Verdana" w:hAnsi="Verdana"/>
          <w:sz w:val="20"/>
          <w:szCs w:val="20"/>
          <w:lang w:val="es-ES_tradnl"/>
        </w:rPr>
        <w:t xml:space="preserve">, Jean </w:t>
      </w:r>
      <w:proofErr w:type="spellStart"/>
      <w:r w:rsidRPr="00426463">
        <w:rPr>
          <w:rFonts w:ascii="Verdana" w:hAnsi="Verdana"/>
          <w:sz w:val="20"/>
          <w:szCs w:val="20"/>
          <w:lang w:val="es-ES_tradnl"/>
        </w:rPr>
        <w:t>Nestares</w:t>
      </w:r>
      <w:proofErr w:type="spellEnd"/>
      <w:r w:rsidRPr="00426463">
        <w:rPr>
          <w:rFonts w:ascii="Verdana" w:hAnsi="Verdana"/>
          <w:sz w:val="20"/>
          <w:szCs w:val="20"/>
          <w:lang w:val="es-ES_tradnl"/>
        </w:rPr>
        <w:t xml:space="preserve">, Fernando </w:t>
      </w:r>
      <w:proofErr w:type="spellStart"/>
      <w:r w:rsidRPr="00426463">
        <w:rPr>
          <w:rFonts w:ascii="Verdana" w:hAnsi="Verdana"/>
          <w:sz w:val="20"/>
          <w:szCs w:val="20"/>
          <w:lang w:val="es-ES_tradnl"/>
        </w:rPr>
        <w:t>Nestares</w:t>
      </w:r>
      <w:proofErr w:type="spellEnd"/>
      <w:r w:rsidRPr="00426463">
        <w:rPr>
          <w:rFonts w:ascii="Verdana" w:hAnsi="Verdana"/>
          <w:sz w:val="20"/>
          <w:szCs w:val="20"/>
          <w:lang w:val="es-ES_tradnl"/>
        </w:rPr>
        <w:t xml:space="preserve">, Alicia </w:t>
      </w:r>
      <w:proofErr w:type="spellStart"/>
      <w:r w:rsidRPr="00426463">
        <w:rPr>
          <w:rFonts w:ascii="Verdana" w:hAnsi="Verdana"/>
          <w:sz w:val="20"/>
          <w:szCs w:val="20"/>
          <w:lang w:val="es-ES_tradnl"/>
        </w:rPr>
        <w:t>Phelps</w:t>
      </w:r>
      <w:proofErr w:type="spellEnd"/>
      <w:r w:rsidRPr="00426463">
        <w:rPr>
          <w:rFonts w:ascii="Verdana" w:hAnsi="Verdana"/>
          <w:sz w:val="20"/>
          <w:szCs w:val="20"/>
          <w:lang w:val="es-ES_tradnl"/>
        </w:rPr>
        <w:t xml:space="preserve"> de Tovar, Francisco J. </w:t>
      </w:r>
      <w:proofErr w:type="spellStart"/>
      <w:r w:rsidRPr="00426463">
        <w:rPr>
          <w:rFonts w:ascii="Verdana" w:hAnsi="Verdana"/>
          <w:sz w:val="20"/>
          <w:szCs w:val="20"/>
          <w:lang w:val="es-ES_tradnl"/>
        </w:rPr>
        <w:t>Nestares</w:t>
      </w:r>
      <w:proofErr w:type="spellEnd"/>
      <w:r w:rsidRPr="00426463">
        <w:rPr>
          <w:rFonts w:ascii="Verdana" w:hAnsi="Verdana"/>
          <w:sz w:val="20"/>
          <w:szCs w:val="20"/>
          <w:lang w:val="es-ES_tradnl"/>
        </w:rPr>
        <w:t>”</w:t>
      </w:r>
      <w:r w:rsidR="00C4762E" w:rsidRPr="00901CD2">
        <w:rPr>
          <w:rStyle w:val="FootnoteReference"/>
          <w:rFonts w:ascii="Verdana" w:hAnsi="Verdana"/>
          <w:sz w:val="20"/>
          <w:szCs w:val="20"/>
        </w:rPr>
        <w:footnoteReference w:id="37"/>
      </w:r>
      <w:r w:rsidRPr="00901CD2">
        <w:rPr>
          <w:rFonts w:ascii="Verdana" w:hAnsi="Verdana"/>
          <w:sz w:val="20"/>
          <w:szCs w:val="20"/>
        </w:rPr>
        <w:t>.</w:t>
      </w:r>
    </w:p>
    <w:p w:rsidR="00363520" w:rsidRPr="00901CD2" w:rsidRDefault="00363520" w:rsidP="007E7976">
      <w:pPr>
        <w:spacing w:after="0" w:line="240" w:lineRule="auto"/>
        <w:jc w:val="both"/>
        <w:rPr>
          <w:rFonts w:ascii="Verdana" w:hAnsi="Verdana"/>
          <w:sz w:val="20"/>
          <w:szCs w:val="20"/>
        </w:rPr>
      </w:pPr>
    </w:p>
    <w:p w:rsidR="00363520" w:rsidRPr="00901CD2" w:rsidRDefault="00363520" w:rsidP="007E7976">
      <w:pPr>
        <w:numPr>
          <w:ilvl w:val="0"/>
          <w:numId w:val="4"/>
        </w:numPr>
        <w:spacing w:after="0" w:line="240" w:lineRule="auto"/>
        <w:ind w:left="0" w:firstLine="0"/>
        <w:jc w:val="both"/>
        <w:rPr>
          <w:rFonts w:ascii="Verdana" w:hAnsi="Verdana"/>
          <w:sz w:val="20"/>
          <w:szCs w:val="20"/>
        </w:rPr>
      </w:pPr>
      <w:r w:rsidRPr="00901CD2">
        <w:rPr>
          <w:rFonts w:ascii="Verdana" w:hAnsi="Verdana"/>
          <w:sz w:val="20"/>
          <w:szCs w:val="20"/>
          <w:lang w:val="es-CL"/>
        </w:rPr>
        <w:t xml:space="preserve">En lo que se refiere a la alegada vulneración del artículo 25 de la Convención sobre la protección judicial, la Corte examinó la tramitación </w:t>
      </w:r>
      <w:r w:rsidR="005C0634" w:rsidRPr="00901CD2">
        <w:rPr>
          <w:rFonts w:ascii="Verdana" w:hAnsi="Verdana"/>
          <w:sz w:val="20"/>
          <w:szCs w:val="20"/>
          <w:lang w:val="es-CL"/>
        </w:rPr>
        <w:t xml:space="preserve">de </w:t>
      </w:r>
      <w:r w:rsidRPr="00901CD2">
        <w:rPr>
          <w:rFonts w:ascii="Verdana" w:hAnsi="Verdana"/>
          <w:sz w:val="20"/>
          <w:szCs w:val="20"/>
          <w:lang w:val="es-CL"/>
        </w:rPr>
        <w:t xml:space="preserve">la acción de amparo constitucional y concluyó que </w:t>
      </w:r>
      <w:r w:rsidR="005C0634" w:rsidRPr="00901CD2">
        <w:rPr>
          <w:rFonts w:ascii="Verdana" w:hAnsi="Verdana"/>
          <w:sz w:val="20"/>
          <w:szCs w:val="20"/>
          <w:lang w:val="es-CL"/>
        </w:rPr>
        <w:t>“</w:t>
      </w:r>
      <w:r w:rsidRPr="00901CD2">
        <w:rPr>
          <w:rFonts w:ascii="Verdana" w:hAnsi="Verdana"/>
          <w:sz w:val="20"/>
          <w:szCs w:val="20"/>
          <w:lang w:val="es-CL"/>
        </w:rPr>
        <w:t xml:space="preserve">si bien el Tribunal Supremo de Justicia se demoró un poco más de tres meses en pronunciarse sobre el recurso de amparo constitucional, </w:t>
      </w:r>
      <w:r w:rsidRPr="00426463">
        <w:rPr>
          <w:rFonts w:ascii="Verdana" w:hAnsi="Verdana"/>
          <w:sz w:val="20"/>
          <w:szCs w:val="20"/>
          <w:lang w:val="es-CL"/>
        </w:rPr>
        <w:t xml:space="preserve">dicho período no es excesivo para la resolución de la acción, ni afectó la efectividad del mismo, más aún cuando su inadmisibilidad se debió a la necesidad de recurrir al recurso idóneo contra los actos administrativos contenidos en </w:t>
      </w:r>
      <w:r w:rsidRPr="00426463">
        <w:rPr>
          <w:rFonts w:ascii="Verdana" w:hAnsi="Verdana"/>
          <w:sz w:val="20"/>
          <w:szCs w:val="20"/>
        </w:rPr>
        <w:t>la Comunicación N° 0424 y en la Resolución N° 002 antes que al recurso de amparo”</w:t>
      </w:r>
      <w:r w:rsidR="001972DB" w:rsidRPr="00901CD2">
        <w:rPr>
          <w:rStyle w:val="FootnoteReference"/>
          <w:rFonts w:ascii="Verdana" w:hAnsi="Verdana"/>
          <w:sz w:val="20"/>
          <w:szCs w:val="20"/>
        </w:rPr>
        <w:footnoteReference w:id="38"/>
      </w:r>
      <w:r w:rsidRPr="00901CD2">
        <w:rPr>
          <w:rFonts w:ascii="Verdana" w:hAnsi="Verdana"/>
          <w:sz w:val="20"/>
          <w:szCs w:val="20"/>
        </w:rPr>
        <w:t xml:space="preserve">. La Corte examinó, también, la tramitación de la solicitud de amparo cautelar y concluyó que si bien para resolver </w:t>
      </w:r>
      <w:r w:rsidRPr="00901CD2">
        <w:rPr>
          <w:rFonts w:ascii="Verdana" w:hAnsi="Verdana"/>
          <w:sz w:val="20"/>
          <w:szCs w:val="20"/>
          <w:lang w:val="es-CO"/>
        </w:rPr>
        <w:t>la Sala Político Administrativa se demoró más del término de tres días que tenía para hacerlo, lo hizo antes de la fecha en que ocurrió el cierre de RCTV</w:t>
      </w:r>
      <w:r w:rsidR="001972DB" w:rsidRPr="00901CD2">
        <w:rPr>
          <w:rStyle w:val="FootnoteReference"/>
          <w:rFonts w:ascii="Verdana" w:hAnsi="Verdana"/>
          <w:sz w:val="20"/>
          <w:szCs w:val="20"/>
        </w:rPr>
        <w:footnoteReference w:id="39"/>
      </w:r>
      <w:r w:rsidRPr="00901CD2">
        <w:rPr>
          <w:rFonts w:ascii="Verdana" w:hAnsi="Verdana"/>
          <w:sz w:val="20"/>
          <w:szCs w:val="20"/>
          <w:lang w:val="es-CO"/>
        </w:rPr>
        <w:t>. Por ello, en ese e</w:t>
      </w:r>
      <w:r w:rsidR="00791378" w:rsidRPr="00901CD2">
        <w:rPr>
          <w:rFonts w:ascii="Verdana" w:hAnsi="Verdana"/>
          <w:sz w:val="20"/>
          <w:szCs w:val="20"/>
          <w:lang w:val="es-CO"/>
        </w:rPr>
        <w:t>ntendido</w:t>
      </w:r>
      <w:r w:rsidR="0021586E" w:rsidRPr="00901CD2">
        <w:rPr>
          <w:rFonts w:ascii="Verdana" w:hAnsi="Verdana"/>
          <w:sz w:val="20"/>
          <w:szCs w:val="20"/>
          <w:lang w:val="es-CO"/>
        </w:rPr>
        <w:t>,</w:t>
      </w:r>
      <w:r w:rsidR="00791378" w:rsidRPr="00901CD2">
        <w:rPr>
          <w:rFonts w:ascii="Verdana" w:hAnsi="Verdana"/>
          <w:sz w:val="20"/>
          <w:szCs w:val="20"/>
          <w:lang w:val="es-CO"/>
        </w:rPr>
        <w:t xml:space="preserve"> la Corte concluyó que </w:t>
      </w:r>
      <w:r w:rsidR="0021586E" w:rsidRPr="00901CD2">
        <w:rPr>
          <w:rFonts w:ascii="Verdana" w:hAnsi="Verdana"/>
          <w:sz w:val="20"/>
          <w:szCs w:val="20"/>
          <w:lang w:val="es-CO"/>
        </w:rPr>
        <w:t>“</w:t>
      </w:r>
      <w:r w:rsidRPr="00901CD2">
        <w:rPr>
          <w:rFonts w:ascii="Verdana" w:hAnsi="Verdana"/>
          <w:sz w:val="20"/>
          <w:szCs w:val="20"/>
          <w:lang w:val="es-CO"/>
        </w:rPr>
        <w:t xml:space="preserve">el Estado </w:t>
      </w:r>
      <w:r w:rsidRPr="00426463">
        <w:rPr>
          <w:rFonts w:ascii="Verdana" w:hAnsi="Verdana"/>
          <w:sz w:val="20"/>
          <w:szCs w:val="20"/>
        </w:rPr>
        <w:t>no vulneró el derecho a la protección judicial, previsto en el artículo 25.1, en relación con el artículo 1.1 de la Convención”</w:t>
      </w:r>
      <w:r w:rsidR="001972DB" w:rsidRPr="00901CD2">
        <w:rPr>
          <w:rStyle w:val="FootnoteReference"/>
          <w:rFonts w:ascii="Verdana" w:hAnsi="Verdana"/>
          <w:sz w:val="20"/>
          <w:szCs w:val="20"/>
        </w:rPr>
        <w:footnoteReference w:id="40"/>
      </w:r>
      <w:r w:rsidRPr="00901CD2">
        <w:rPr>
          <w:rFonts w:ascii="Verdana" w:hAnsi="Verdana"/>
          <w:sz w:val="20"/>
          <w:szCs w:val="20"/>
        </w:rPr>
        <w:t>.</w:t>
      </w:r>
    </w:p>
    <w:p w:rsidR="00363520" w:rsidRPr="00901CD2" w:rsidRDefault="00363520" w:rsidP="007E7976">
      <w:pPr>
        <w:spacing w:after="0" w:line="240" w:lineRule="auto"/>
        <w:jc w:val="both"/>
        <w:rPr>
          <w:rFonts w:ascii="Verdana" w:hAnsi="Verdana"/>
          <w:sz w:val="20"/>
          <w:szCs w:val="20"/>
        </w:rPr>
      </w:pPr>
    </w:p>
    <w:p w:rsidR="00363520" w:rsidRPr="00426463" w:rsidRDefault="00363520" w:rsidP="007E7976">
      <w:pPr>
        <w:pStyle w:val="ListParagraph"/>
        <w:spacing w:after="0" w:line="240" w:lineRule="auto"/>
        <w:ind w:left="0"/>
        <w:jc w:val="both"/>
        <w:rPr>
          <w:rFonts w:ascii="Verdana" w:hAnsi="Verdana"/>
          <w:b/>
          <w:sz w:val="20"/>
          <w:szCs w:val="20"/>
        </w:rPr>
      </w:pPr>
      <w:r w:rsidRPr="00426463">
        <w:rPr>
          <w:rFonts w:ascii="Verdana" w:hAnsi="Verdana"/>
          <w:b/>
          <w:sz w:val="20"/>
          <w:szCs w:val="20"/>
          <w:u w:val="single"/>
        </w:rPr>
        <w:t>Reparaciones y restablecimiento de derechos conculcados</w:t>
      </w:r>
      <w:r w:rsidRPr="00426463">
        <w:rPr>
          <w:rFonts w:ascii="Verdana" w:hAnsi="Verdana"/>
          <w:b/>
          <w:sz w:val="20"/>
          <w:szCs w:val="20"/>
        </w:rPr>
        <w:t>.</w:t>
      </w:r>
    </w:p>
    <w:p w:rsidR="00363520" w:rsidRPr="00901CD2" w:rsidRDefault="00363520" w:rsidP="007E7976">
      <w:pPr>
        <w:pStyle w:val="ListParagraph"/>
        <w:spacing w:after="0" w:line="240" w:lineRule="auto"/>
        <w:ind w:left="0"/>
        <w:jc w:val="both"/>
        <w:rPr>
          <w:rFonts w:ascii="Verdana" w:hAnsi="Verdana"/>
          <w:sz w:val="20"/>
          <w:szCs w:val="20"/>
        </w:rPr>
      </w:pPr>
    </w:p>
    <w:p w:rsidR="00363520" w:rsidRPr="00901CD2" w:rsidRDefault="00363520" w:rsidP="007E7976">
      <w:pPr>
        <w:numPr>
          <w:ilvl w:val="0"/>
          <w:numId w:val="4"/>
        </w:numPr>
        <w:spacing w:after="0" w:line="240" w:lineRule="auto"/>
        <w:ind w:left="0" w:firstLine="0"/>
        <w:jc w:val="both"/>
        <w:rPr>
          <w:rFonts w:ascii="Verdana" w:hAnsi="Verdana"/>
          <w:sz w:val="20"/>
          <w:szCs w:val="20"/>
        </w:rPr>
      </w:pPr>
      <w:r w:rsidRPr="00901CD2">
        <w:rPr>
          <w:rFonts w:ascii="Verdana" w:hAnsi="Verdana"/>
          <w:sz w:val="20"/>
          <w:szCs w:val="20"/>
        </w:rPr>
        <w:t xml:space="preserve">Las violaciones a los artículos 8 y 13 de la Convención constatadas por la Corte podrían, </w:t>
      </w:r>
      <w:r w:rsidR="00745508">
        <w:rPr>
          <w:rFonts w:ascii="Verdana" w:hAnsi="Verdana"/>
          <w:sz w:val="20"/>
          <w:szCs w:val="20"/>
        </w:rPr>
        <w:t>en teoría</w:t>
      </w:r>
      <w:r w:rsidRPr="00901CD2">
        <w:rPr>
          <w:rFonts w:ascii="Verdana" w:hAnsi="Verdana"/>
          <w:sz w:val="20"/>
          <w:szCs w:val="20"/>
        </w:rPr>
        <w:t>, ser reparadas jurídicamente por la mera declaración</w:t>
      </w:r>
      <w:r w:rsidR="00061296" w:rsidRPr="00901CD2">
        <w:rPr>
          <w:rFonts w:ascii="Verdana" w:hAnsi="Verdana"/>
          <w:sz w:val="20"/>
          <w:szCs w:val="20"/>
        </w:rPr>
        <w:t xml:space="preserve"> en</w:t>
      </w:r>
      <w:r w:rsidRPr="00901CD2">
        <w:rPr>
          <w:rFonts w:ascii="Verdana" w:hAnsi="Verdana"/>
          <w:sz w:val="20"/>
          <w:szCs w:val="20"/>
        </w:rPr>
        <w:t xml:space="preserve"> la sentencia de que se ha producido la violación y, en ese orden de ideas, determinar que la sentencia </w:t>
      </w:r>
      <w:r w:rsidRPr="00901CD2">
        <w:rPr>
          <w:rFonts w:ascii="Verdana" w:hAnsi="Verdana"/>
          <w:i/>
          <w:iCs/>
          <w:sz w:val="20"/>
          <w:szCs w:val="20"/>
        </w:rPr>
        <w:t>per se</w:t>
      </w:r>
      <w:r w:rsidRPr="00901CD2">
        <w:rPr>
          <w:rFonts w:ascii="Verdana" w:hAnsi="Verdana"/>
          <w:sz w:val="20"/>
          <w:szCs w:val="20"/>
        </w:rPr>
        <w:t xml:space="preserve"> constituye la reparación. Normalmente en su jurisprudencia, sin embargo, esta Corte ha establecido la pertinencia de diversas medidas de reparación en cada caso orientadas a resarcir los daños, a restituir los derechos conculcados y a determinar medidas de no repetición. </w:t>
      </w:r>
    </w:p>
    <w:p w:rsidR="00363520" w:rsidRPr="00901CD2" w:rsidRDefault="00363520" w:rsidP="007E7976">
      <w:pPr>
        <w:spacing w:after="0" w:line="240" w:lineRule="auto"/>
        <w:jc w:val="both"/>
        <w:rPr>
          <w:rFonts w:ascii="Verdana" w:hAnsi="Verdana"/>
          <w:sz w:val="20"/>
          <w:szCs w:val="20"/>
        </w:rPr>
      </w:pPr>
    </w:p>
    <w:p w:rsidR="00363520" w:rsidRPr="00901CD2" w:rsidRDefault="00363520" w:rsidP="007E7976">
      <w:pPr>
        <w:numPr>
          <w:ilvl w:val="0"/>
          <w:numId w:val="4"/>
        </w:numPr>
        <w:spacing w:after="0" w:line="240" w:lineRule="auto"/>
        <w:ind w:left="0" w:firstLine="0"/>
        <w:jc w:val="both"/>
        <w:rPr>
          <w:rFonts w:ascii="Verdana" w:hAnsi="Verdana"/>
          <w:sz w:val="20"/>
          <w:szCs w:val="20"/>
        </w:rPr>
      </w:pPr>
      <w:r w:rsidRPr="00901CD2">
        <w:rPr>
          <w:rFonts w:ascii="Verdana" w:hAnsi="Verdana"/>
          <w:sz w:val="20"/>
          <w:szCs w:val="20"/>
        </w:rPr>
        <w:t xml:space="preserve">Es lo que la Corte ha determinado hacer en este caso, considerando, especialmente </w:t>
      </w:r>
      <w:r w:rsidRPr="00426463">
        <w:rPr>
          <w:rFonts w:ascii="Verdana" w:hAnsi="Verdana"/>
          <w:sz w:val="20"/>
          <w:szCs w:val="20"/>
        </w:rPr>
        <w:t xml:space="preserve">“las circunstancias del caso </w:t>
      </w:r>
      <w:r w:rsidRPr="00901CD2">
        <w:rPr>
          <w:rFonts w:ascii="Verdana" w:hAnsi="Verdana"/>
          <w:i/>
          <w:iCs/>
          <w:sz w:val="20"/>
          <w:szCs w:val="20"/>
        </w:rPr>
        <w:t>sub judice</w:t>
      </w:r>
      <w:r w:rsidRPr="00426463">
        <w:rPr>
          <w:rFonts w:ascii="Verdana" w:hAnsi="Verdana"/>
          <w:sz w:val="20"/>
          <w:szCs w:val="20"/>
        </w:rPr>
        <w:t>, los sufrimientos que las violaciones cometidas causaron a las víctimas, así como las restantes consecuencias de orden inmaterial o no pecuniario que éstos últimos sufrieron como consecuencia de la violaciones de los artículos 8 y 13 de la Convención Americana, declaradas en perjuicio de las víctimas</w:t>
      </w:r>
      <w:r w:rsidRPr="005D7464">
        <w:rPr>
          <w:rFonts w:ascii="Verdana" w:hAnsi="Verdana"/>
          <w:i/>
          <w:sz w:val="20"/>
          <w:szCs w:val="20"/>
        </w:rPr>
        <w:t xml:space="preserve">, la Corte estima pertinente fijar </w:t>
      </w:r>
      <w:r w:rsidRPr="005D7464">
        <w:rPr>
          <w:rFonts w:ascii="Verdana" w:hAnsi="Verdana"/>
          <w:i/>
          <w:sz w:val="20"/>
          <w:szCs w:val="20"/>
        </w:rPr>
        <w:lastRenderedPageBreak/>
        <w:t xml:space="preserve">otras medidas las siguientes medidas de satisfacción y garantías de no repetición” </w:t>
      </w:r>
      <w:r w:rsidRPr="00901CD2">
        <w:rPr>
          <w:rFonts w:ascii="Verdana" w:hAnsi="Verdana"/>
          <w:sz w:val="20"/>
          <w:szCs w:val="20"/>
        </w:rPr>
        <w:t>(Párr. 371).</w:t>
      </w:r>
    </w:p>
    <w:p w:rsidR="00363520" w:rsidRPr="00901CD2" w:rsidRDefault="00363520" w:rsidP="007E7976">
      <w:pPr>
        <w:spacing w:after="0" w:line="240" w:lineRule="auto"/>
        <w:jc w:val="both"/>
        <w:rPr>
          <w:rFonts w:ascii="Verdana" w:hAnsi="Verdana"/>
          <w:sz w:val="20"/>
          <w:szCs w:val="20"/>
        </w:rPr>
      </w:pPr>
    </w:p>
    <w:p w:rsidR="00363520" w:rsidRPr="00901CD2" w:rsidRDefault="00363520" w:rsidP="007E7976">
      <w:pPr>
        <w:numPr>
          <w:ilvl w:val="0"/>
          <w:numId w:val="4"/>
        </w:numPr>
        <w:spacing w:after="0" w:line="240" w:lineRule="auto"/>
        <w:ind w:left="0" w:firstLine="0"/>
        <w:jc w:val="both"/>
        <w:rPr>
          <w:rFonts w:ascii="Verdana" w:hAnsi="Verdana"/>
          <w:sz w:val="20"/>
          <w:szCs w:val="20"/>
        </w:rPr>
      </w:pPr>
      <w:r w:rsidRPr="00901CD2">
        <w:rPr>
          <w:rFonts w:ascii="Verdana" w:hAnsi="Verdana"/>
          <w:sz w:val="20"/>
          <w:szCs w:val="20"/>
        </w:rPr>
        <w:t xml:space="preserve">En la sentencia se ha determinado la violación concurrente de </w:t>
      </w:r>
      <w:r w:rsidRPr="00901CD2">
        <w:rPr>
          <w:rFonts w:ascii="Verdana" w:hAnsi="Verdana"/>
          <w:sz w:val="20"/>
          <w:szCs w:val="20"/>
          <w:lang w:val="es-ES_tradnl"/>
        </w:rPr>
        <w:t>los derechos a la libertad de expresión, a su ejercicio sin discriminación y a las garantías judiciales, concluyendo, a partir de los hechos probados, que la medida de no renovar la concesión de RCTV no obedeció a una razón técnica o jurídica válida sino a la de afectar la pluralidad en la expresión de voces críticas.</w:t>
      </w:r>
    </w:p>
    <w:p w:rsidR="00363520" w:rsidRPr="00426463" w:rsidRDefault="00363520" w:rsidP="007E7976">
      <w:pPr>
        <w:spacing w:after="0" w:line="240" w:lineRule="auto"/>
        <w:jc w:val="both"/>
        <w:rPr>
          <w:rFonts w:ascii="Verdana" w:hAnsi="Verdana"/>
          <w:sz w:val="20"/>
          <w:szCs w:val="20"/>
        </w:rPr>
      </w:pPr>
    </w:p>
    <w:p w:rsidR="00363520" w:rsidRPr="00901CD2" w:rsidRDefault="00363520" w:rsidP="007E7976">
      <w:pPr>
        <w:numPr>
          <w:ilvl w:val="0"/>
          <w:numId w:val="4"/>
        </w:numPr>
        <w:spacing w:after="0" w:line="240" w:lineRule="auto"/>
        <w:ind w:left="0" w:firstLine="0"/>
        <w:jc w:val="both"/>
        <w:rPr>
          <w:rFonts w:ascii="Verdana" w:hAnsi="Verdana"/>
          <w:sz w:val="20"/>
          <w:szCs w:val="20"/>
        </w:rPr>
      </w:pPr>
      <w:r w:rsidRPr="00901CD2">
        <w:rPr>
          <w:rFonts w:ascii="Verdana" w:hAnsi="Verdana"/>
          <w:sz w:val="20"/>
          <w:szCs w:val="20"/>
          <w:lang w:val="es-ES_tradnl"/>
        </w:rPr>
        <w:t xml:space="preserve">Por ello, si bien la Corte en este caso no ha determinado que se haya violado el alegado derecho a la propiedad de la concesión otorgada a RCTV, por las violaciones constatadas a diversos aspectos de lo estipulado en los artículos 8 y 13 de la Convención </w:t>
      </w:r>
      <w:r w:rsidR="00C16ADB" w:rsidRPr="00901CD2">
        <w:rPr>
          <w:rFonts w:ascii="Verdana" w:hAnsi="Verdana"/>
          <w:sz w:val="20"/>
          <w:szCs w:val="20"/>
          <w:lang w:val="es-ES_tradnl"/>
        </w:rPr>
        <w:t xml:space="preserve">en relación con el 1.1 de la misma, </w:t>
      </w:r>
      <w:r w:rsidRPr="00901CD2">
        <w:rPr>
          <w:rFonts w:ascii="Verdana" w:hAnsi="Verdana"/>
          <w:sz w:val="20"/>
          <w:szCs w:val="20"/>
          <w:lang w:val="es-ES_tradnl"/>
        </w:rPr>
        <w:t xml:space="preserve">se dispone en la sentencia el </w:t>
      </w:r>
      <w:proofErr w:type="gramStart"/>
      <w:r w:rsidRPr="00901CD2">
        <w:rPr>
          <w:rFonts w:ascii="Verdana" w:hAnsi="Verdana"/>
          <w:sz w:val="20"/>
          <w:szCs w:val="20"/>
          <w:lang w:val="es-ES_tradnl"/>
        </w:rPr>
        <w:t>restable</w:t>
      </w:r>
      <w:r w:rsidR="00C16ADB" w:rsidRPr="00901CD2">
        <w:rPr>
          <w:rFonts w:ascii="Verdana" w:hAnsi="Verdana"/>
          <w:sz w:val="20"/>
          <w:szCs w:val="20"/>
          <w:lang w:val="es-ES_tradnl"/>
        </w:rPr>
        <w:t>[</w:t>
      </w:r>
      <w:proofErr w:type="gramEnd"/>
      <w:r w:rsidRPr="00901CD2">
        <w:rPr>
          <w:rFonts w:ascii="Verdana" w:hAnsi="Verdana"/>
          <w:sz w:val="20"/>
          <w:szCs w:val="20"/>
          <w:lang w:val="es-ES_tradnl"/>
        </w:rPr>
        <w:t>cimiento</w:t>
      </w:r>
      <w:r w:rsidR="00C16ADB" w:rsidRPr="00901CD2">
        <w:rPr>
          <w:rFonts w:ascii="Verdana" w:hAnsi="Verdana"/>
          <w:sz w:val="20"/>
          <w:szCs w:val="20"/>
          <w:lang w:val="es-ES_tradnl"/>
        </w:rPr>
        <w:t>]</w:t>
      </w:r>
      <w:r w:rsidRPr="00901CD2">
        <w:rPr>
          <w:rFonts w:ascii="Verdana" w:hAnsi="Verdana"/>
          <w:sz w:val="20"/>
          <w:szCs w:val="20"/>
          <w:lang w:val="es-ES_tradnl"/>
        </w:rPr>
        <w:t xml:space="preserve"> de la concesión de la frecuencia del espectro radioeléctrico correspondiente al canal 2 de televisión. Para ese efecto, y para que dicho restablecimiento no sea ilusorio, la Corte ordena </w:t>
      </w:r>
      <w:r w:rsidRPr="00426463">
        <w:rPr>
          <w:rFonts w:ascii="Verdana" w:hAnsi="Verdana"/>
          <w:sz w:val="20"/>
          <w:szCs w:val="20"/>
          <w:lang w:val="es-ES_tradnl"/>
        </w:rPr>
        <w:t xml:space="preserve">la </w:t>
      </w:r>
      <w:r w:rsidRPr="00426463">
        <w:rPr>
          <w:rFonts w:ascii="Verdana" w:hAnsi="Verdana"/>
          <w:sz w:val="20"/>
          <w:szCs w:val="20"/>
        </w:rPr>
        <w:t>devolución de los bienes objeto de las medidas cautelares, por cuanto son elementos indispensables para la efectiva operación de la concesión”</w:t>
      </w:r>
      <w:r w:rsidR="00EE053E" w:rsidRPr="00901CD2">
        <w:rPr>
          <w:rStyle w:val="FootnoteReference"/>
          <w:rFonts w:ascii="Verdana" w:hAnsi="Verdana"/>
          <w:sz w:val="20"/>
          <w:szCs w:val="20"/>
        </w:rPr>
        <w:footnoteReference w:id="41"/>
      </w:r>
      <w:r w:rsidRPr="00901CD2">
        <w:rPr>
          <w:rFonts w:ascii="Verdana" w:hAnsi="Verdana"/>
          <w:sz w:val="20"/>
          <w:szCs w:val="20"/>
        </w:rPr>
        <w:t>.</w:t>
      </w:r>
    </w:p>
    <w:p w:rsidR="00363520" w:rsidRPr="00901CD2" w:rsidRDefault="00363520" w:rsidP="007E7976">
      <w:pPr>
        <w:spacing w:after="0" w:line="240" w:lineRule="auto"/>
        <w:jc w:val="both"/>
        <w:rPr>
          <w:rFonts w:ascii="Verdana" w:hAnsi="Verdana"/>
          <w:sz w:val="20"/>
          <w:szCs w:val="20"/>
          <w:lang w:val="es-ES_tradnl"/>
        </w:rPr>
      </w:pPr>
    </w:p>
    <w:p w:rsidR="00363520" w:rsidRPr="00901CD2" w:rsidRDefault="00363520" w:rsidP="007E7976">
      <w:pPr>
        <w:numPr>
          <w:ilvl w:val="0"/>
          <w:numId w:val="4"/>
        </w:numPr>
        <w:spacing w:after="0" w:line="240" w:lineRule="auto"/>
        <w:ind w:left="0" w:firstLine="0"/>
        <w:jc w:val="both"/>
        <w:rPr>
          <w:rFonts w:ascii="Verdana" w:hAnsi="Verdana"/>
          <w:sz w:val="20"/>
          <w:szCs w:val="20"/>
        </w:rPr>
      </w:pPr>
      <w:r w:rsidRPr="00901CD2">
        <w:rPr>
          <w:rFonts w:ascii="Verdana" w:hAnsi="Verdana"/>
          <w:sz w:val="20"/>
          <w:szCs w:val="20"/>
          <w:lang w:val="es-ES_tradnl"/>
        </w:rPr>
        <w:t xml:space="preserve">Esta medida reparatoria de restablecimiento no se dispone, sin embargo, de manera final sino como acción inmediata, enmarcada en un proceso, y </w:t>
      </w:r>
      <w:r w:rsidRPr="00426463">
        <w:rPr>
          <w:rFonts w:ascii="Verdana" w:hAnsi="Verdana"/>
          <w:sz w:val="20"/>
          <w:szCs w:val="20"/>
          <w:lang w:val="es-ES_tradnl"/>
        </w:rPr>
        <w:t>“hasta tanto se otorgue de manera definitiva”</w:t>
      </w:r>
      <w:r w:rsidR="00EE053E" w:rsidRPr="00901CD2">
        <w:rPr>
          <w:rStyle w:val="FootnoteReference"/>
          <w:rFonts w:ascii="Verdana" w:hAnsi="Verdana"/>
          <w:sz w:val="20"/>
          <w:szCs w:val="20"/>
        </w:rPr>
        <w:footnoteReference w:id="42"/>
      </w:r>
      <w:r w:rsidRPr="00901CD2">
        <w:rPr>
          <w:rFonts w:ascii="Verdana" w:hAnsi="Verdana"/>
          <w:sz w:val="20"/>
          <w:szCs w:val="20"/>
          <w:lang w:val="es-ES_tradnl"/>
        </w:rPr>
        <w:t xml:space="preserve"> como consecuencia de </w:t>
      </w:r>
      <w:r w:rsidRPr="00426463">
        <w:rPr>
          <w:rFonts w:ascii="Verdana" w:hAnsi="Verdana"/>
          <w:sz w:val="20"/>
          <w:szCs w:val="20"/>
          <w:lang w:val="es-ES_tradnl"/>
        </w:rPr>
        <w:t>“un proceso abierto, independiente y transparente para el otorgamiento de la frecuencia del espectro radioeléctrico correspondiente al canal 2 de televisión, siguiendo para tal efecto el procedimiento establecido en la LOTEL o la norma interna vigente para tales efectos”</w:t>
      </w:r>
      <w:r w:rsidR="001B359E" w:rsidRPr="00901CD2">
        <w:rPr>
          <w:rStyle w:val="FootnoteReference"/>
          <w:rFonts w:ascii="Verdana" w:hAnsi="Verdana"/>
          <w:sz w:val="20"/>
          <w:szCs w:val="20"/>
        </w:rPr>
        <w:footnoteReference w:id="43"/>
      </w:r>
      <w:r w:rsidRPr="00901CD2">
        <w:rPr>
          <w:rFonts w:ascii="Verdana" w:hAnsi="Verdana"/>
          <w:sz w:val="20"/>
          <w:szCs w:val="20"/>
          <w:lang w:val="es-ES_tradnl"/>
        </w:rPr>
        <w:t>.</w:t>
      </w:r>
    </w:p>
    <w:p w:rsidR="00363520" w:rsidRPr="00901CD2" w:rsidRDefault="00363520" w:rsidP="007E7976">
      <w:pPr>
        <w:spacing w:after="0" w:line="240" w:lineRule="auto"/>
        <w:jc w:val="both"/>
        <w:rPr>
          <w:rFonts w:ascii="Verdana" w:hAnsi="Verdana"/>
          <w:sz w:val="20"/>
          <w:szCs w:val="20"/>
          <w:lang w:val="es-ES_tradnl"/>
        </w:rPr>
      </w:pPr>
    </w:p>
    <w:p w:rsidR="00363520" w:rsidRPr="00901CD2" w:rsidRDefault="00363520" w:rsidP="007E7976">
      <w:pPr>
        <w:numPr>
          <w:ilvl w:val="0"/>
          <w:numId w:val="4"/>
        </w:numPr>
        <w:spacing w:after="0" w:line="240" w:lineRule="auto"/>
        <w:ind w:left="0" w:firstLine="0"/>
        <w:jc w:val="both"/>
        <w:rPr>
          <w:rFonts w:ascii="Verdana" w:hAnsi="Verdana"/>
          <w:sz w:val="20"/>
          <w:szCs w:val="20"/>
        </w:rPr>
      </w:pPr>
      <w:r w:rsidRPr="00901CD2">
        <w:rPr>
          <w:rFonts w:ascii="Verdana" w:hAnsi="Verdana"/>
          <w:sz w:val="20"/>
          <w:szCs w:val="20"/>
          <w:lang w:val="es-ES_tradnl"/>
        </w:rPr>
        <w:t xml:space="preserve">Finalmente, de cara al fortalecimiento del pluralismo democrático y como garantía de no repetición, la Corte dispone que el Estado debe tomar </w:t>
      </w:r>
      <w:r w:rsidRPr="00426463">
        <w:rPr>
          <w:rFonts w:ascii="Verdana" w:hAnsi="Verdana"/>
          <w:sz w:val="20"/>
          <w:szCs w:val="20"/>
          <w:lang w:val="es-ES_tradnl"/>
        </w:rPr>
        <w:t xml:space="preserve">“las medidas necesarias a fin de garantizar que todos los futuros </w:t>
      </w:r>
      <w:r w:rsidRPr="00426463">
        <w:rPr>
          <w:rFonts w:ascii="Verdana" w:hAnsi="Verdana"/>
          <w:sz w:val="20"/>
          <w:szCs w:val="20"/>
        </w:rPr>
        <w:t>procesos de asignación y renovación de frecuencias de radio y televisión que se lleven a cabo, sean conducidos de manera abierta</w:t>
      </w:r>
      <w:r w:rsidRPr="00426463">
        <w:rPr>
          <w:rFonts w:ascii="Verdana" w:hAnsi="Verdana"/>
          <w:sz w:val="20"/>
          <w:szCs w:val="20"/>
          <w:lang w:val="es-ES_tradnl"/>
        </w:rPr>
        <w:t>, independiente y transparente. Todos estos procesos deberán conducirse sin que existan criterios discriminatorios que busquen limitar el otorgamiento de concesiones, y deberán estar encaminados a fortalecer el pluralismo informativo</w:t>
      </w:r>
      <w:r w:rsidRPr="00426463">
        <w:rPr>
          <w:rFonts w:ascii="Verdana" w:hAnsi="Verdana"/>
          <w:b/>
          <w:bCs/>
          <w:sz w:val="20"/>
          <w:szCs w:val="20"/>
          <w:lang w:val="es-ES_tradnl"/>
        </w:rPr>
        <w:t xml:space="preserve"> </w:t>
      </w:r>
      <w:r w:rsidRPr="00426463">
        <w:rPr>
          <w:rFonts w:ascii="Verdana" w:hAnsi="Verdana"/>
          <w:sz w:val="20"/>
          <w:szCs w:val="20"/>
          <w:lang w:val="es-ES_tradnl"/>
        </w:rPr>
        <w:t>y el respeto a las garantías judiciales”</w:t>
      </w:r>
      <w:r w:rsidR="001B359E" w:rsidRPr="00901CD2">
        <w:rPr>
          <w:rStyle w:val="FootnoteReference"/>
          <w:rFonts w:ascii="Verdana" w:hAnsi="Verdana"/>
          <w:sz w:val="20"/>
          <w:szCs w:val="20"/>
        </w:rPr>
        <w:footnoteReference w:id="44"/>
      </w:r>
      <w:r w:rsidRPr="00901CD2">
        <w:rPr>
          <w:rFonts w:ascii="Verdana" w:hAnsi="Verdana"/>
          <w:sz w:val="20"/>
          <w:szCs w:val="20"/>
          <w:lang w:val="es-ES_tradnl"/>
        </w:rPr>
        <w:t>.</w:t>
      </w:r>
    </w:p>
    <w:p w:rsidR="00363520" w:rsidRPr="00901CD2" w:rsidRDefault="00363520" w:rsidP="007E7976">
      <w:pPr>
        <w:spacing w:after="0" w:line="240" w:lineRule="auto"/>
        <w:jc w:val="both"/>
        <w:rPr>
          <w:rFonts w:ascii="Verdana" w:hAnsi="Verdana"/>
          <w:sz w:val="20"/>
          <w:szCs w:val="20"/>
        </w:rPr>
      </w:pPr>
    </w:p>
    <w:p w:rsidR="006A1B42" w:rsidRPr="00901CD2" w:rsidRDefault="006A1B42" w:rsidP="007E7976">
      <w:pPr>
        <w:spacing w:after="0" w:line="240" w:lineRule="auto"/>
        <w:jc w:val="both"/>
        <w:rPr>
          <w:rFonts w:ascii="Verdana" w:hAnsi="Verdana"/>
          <w:sz w:val="20"/>
          <w:szCs w:val="20"/>
        </w:rPr>
      </w:pPr>
    </w:p>
    <w:p w:rsidR="006A1B42" w:rsidRPr="00901CD2" w:rsidRDefault="006A1B42" w:rsidP="007E7976">
      <w:pPr>
        <w:spacing w:after="0" w:line="240" w:lineRule="auto"/>
        <w:jc w:val="both"/>
        <w:rPr>
          <w:rFonts w:ascii="Verdana" w:hAnsi="Verdana"/>
          <w:sz w:val="20"/>
          <w:szCs w:val="20"/>
        </w:rPr>
      </w:pPr>
    </w:p>
    <w:p w:rsidR="006A1B42" w:rsidRPr="00901CD2" w:rsidRDefault="006A1B42" w:rsidP="007E7976">
      <w:pPr>
        <w:spacing w:after="0" w:line="240" w:lineRule="auto"/>
        <w:jc w:val="both"/>
        <w:rPr>
          <w:rFonts w:ascii="Verdana" w:hAnsi="Verdana"/>
          <w:sz w:val="20"/>
          <w:szCs w:val="20"/>
        </w:rPr>
      </w:pPr>
    </w:p>
    <w:p w:rsidR="006A1B42" w:rsidRPr="00901CD2" w:rsidRDefault="006A1B42" w:rsidP="006A1B42">
      <w:pPr>
        <w:spacing w:after="120"/>
        <w:jc w:val="both"/>
        <w:rPr>
          <w:rFonts w:ascii="Verdana" w:eastAsia="Times New Roman" w:hAnsi="Verdana"/>
          <w:sz w:val="20"/>
          <w:szCs w:val="20"/>
          <w:lang w:eastAsia="es-CR"/>
        </w:rPr>
      </w:pPr>
    </w:p>
    <w:p w:rsidR="006A1B42" w:rsidRPr="00901CD2" w:rsidRDefault="006A1B42" w:rsidP="00C44EE2">
      <w:pPr>
        <w:spacing w:before="240" w:after="0"/>
        <w:jc w:val="right"/>
        <w:rPr>
          <w:rFonts w:ascii="Verdana" w:eastAsia="Times New Roman" w:hAnsi="Verdana"/>
          <w:sz w:val="20"/>
          <w:szCs w:val="20"/>
          <w:lang w:eastAsia="es-CR"/>
        </w:rPr>
      </w:pPr>
      <w:r w:rsidRPr="00901CD2">
        <w:rPr>
          <w:rFonts w:ascii="Verdana" w:eastAsia="Times New Roman" w:hAnsi="Verdana"/>
          <w:sz w:val="20"/>
          <w:szCs w:val="20"/>
          <w:lang w:eastAsia="es-CR"/>
        </w:rPr>
        <w:t>Diego García-Sayán</w:t>
      </w:r>
    </w:p>
    <w:p w:rsidR="006A1B42" w:rsidRPr="00901CD2" w:rsidRDefault="006A1B42" w:rsidP="00C44EE2">
      <w:pPr>
        <w:spacing w:before="240" w:after="0"/>
        <w:ind w:left="7080" w:firstLine="708"/>
        <w:jc w:val="center"/>
        <w:rPr>
          <w:rFonts w:ascii="Verdana" w:eastAsia="Times New Roman" w:hAnsi="Verdana"/>
          <w:sz w:val="20"/>
          <w:szCs w:val="20"/>
          <w:lang w:eastAsia="es-CR"/>
        </w:rPr>
      </w:pPr>
      <w:r w:rsidRPr="00901CD2">
        <w:rPr>
          <w:rFonts w:ascii="Verdana" w:eastAsia="Times New Roman" w:hAnsi="Verdana"/>
          <w:sz w:val="20"/>
          <w:szCs w:val="20"/>
          <w:lang w:eastAsia="es-CR"/>
        </w:rPr>
        <w:t>Juez</w:t>
      </w:r>
    </w:p>
    <w:p w:rsidR="006A1B42" w:rsidRPr="00901CD2" w:rsidRDefault="006A1B42" w:rsidP="00C44EE2">
      <w:pPr>
        <w:spacing w:before="240"/>
        <w:rPr>
          <w:rFonts w:ascii="Verdana" w:hAnsi="Verdana"/>
          <w:sz w:val="20"/>
          <w:szCs w:val="20"/>
        </w:rPr>
      </w:pPr>
    </w:p>
    <w:p w:rsidR="006A1B42" w:rsidRPr="00901CD2" w:rsidRDefault="006A1B42" w:rsidP="006A1B42">
      <w:pPr>
        <w:pStyle w:val="ListParagraph"/>
        <w:ind w:left="0"/>
        <w:rPr>
          <w:rFonts w:ascii="Verdana" w:hAnsi="Verdana" w:cs="Verdana"/>
          <w:sz w:val="20"/>
          <w:szCs w:val="20"/>
          <w:lang w:val="es-MX" w:eastAsia="es-MX"/>
        </w:rPr>
      </w:pPr>
    </w:p>
    <w:p w:rsidR="006A1B42" w:rsidRPr="00901CD2" w:rsidRDefault="006A1B42" w:rsidP="006A1B42">
      <w:pPr>
        <w:pStyle w:val="ListParagraph"/>
        <w:ind w:left="0"/>
        <w:rPr>
          <w:rFonts w:ascii="Verdana" w:hAnsi="Verdana" w:cs="Verdana"/>
          <w:sz w:val="20"/>
          <w:szCs w:val="20"/>
          <w:lang w:val="es-MX" w:eastAsia="es-MX"/>
        </w:rPr>
      </w:pPr>
      <w:r w:rsidRPr="00901CD2">
        <w:rPr>
          <w:rFonts w:ascii="Verdana" w:hAnsi="Verdana" w:cs="Verdana"/>
          <w:sz w:val="20"/>
          <w:szCs w:val="20"/>
          <w:lang w:val="es-MX" w:eastAsia="es-MX"/>
        </w:rPr>
        <w:t>Pablo Saavedra Alessandri</w:t>
      </w:r>
    </w:p>
    <w:p w:rsidR="006A1B42" w:rsidRPr="00901CD2" w:rsidRDefault="006A1B42" w:rsidP="00470828">
      <w:pPr>
        <w:pStyle w:val="ListParagraph"/>
        <w:ind w:left="0" w:firstLine="720"/>
        <w:rPr>
          <w:rFonts w:ascii="Verdana" w:hAnsi="Verdana"/>
          <w:sz w:val="20"/>
          <w:szCs w:val="20"/>
        </w:rPr>
      </w:pPr>
      <w:r w:rsidRPr="00901CD2">
        <w:rPr>
          <w:rFonts w:ascii="Verdana" w:hAnsi="Verdana" w:cs="Verdana"/>
          <w:sz w:val="20"/>
          <w:szCs w:val="20"/>
          <w:lang w:val="es-MX" w:eastAsia="es-MX"/>
        </w:rPr>
        <w:t>Secretario</w:t>
      </w:r>
    </w:p>
    <w:sectPr w:rsidR="006A1B42" w:rsidRPr="00901CD2" w:rsidSect="00AB42E6">
      <w:headerReference w:type="defaul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0FE" w:rsidRDefault="001070FE" w:rsidP="008946F7">
      <w:pPr>
        <w:spacing w:after="0" w:line="240" w:lineRule="auto"/>
      </w:pPr>
      <w:r>
        <w:separator/>
      </w:r>
    </w:p>
  </w:endnote>
  <w:endnote w:type="continuationSeparator" w:id="0">
    <w:p w:rsidR="001070FE" w:rsidRDefault="001070FE" w:rsidP="0089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0FE" w:rsidRDefault="001070FE" w:rsidP="008946F7">
      <w:pPr>
        <w:spacing w:after="0" w:line="240" w:lineRule="auto"/>
      </w:pPr>
      <w:r>
        <w:separator/>
      </w:r>
    </w:p>
  </w:footnote>
  <w:footnote w:type="continuationSeparator" w:id="0">
    <w:p w:rsidR="001070FE" w:rsidRDefault="001070FE" w:rsidP="008946F7">
      <w:pPr>
        <w:spacing w:after="0" w:line="240" w:lineRule="auto"/>
      </w:pPr>
      <w:r>
        <w:continuationSeparator/>
      </w:r>
    </w:p>
  </w:footnote>
  <w:footnote w:id="1">
    <w:p w:rsidR="00160EC7" w:rsidRPr="00901CD2" w:rsidRDefault="00160EC7">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 Excepciones Preliminares, Fondo, Reparaciones y Costas</w:t>
      </w:r>
      <w:r w:rsidRPr="00901CD2">
        <w:rPr>
          <w:sz w:val="16"/>
          <w:lang w:val="es-CR"/>
        </w:rPr>
        <w:t>. Sentencia de 22 de junio de 2015. Serie C No. 293, párr. 140.</w:t>
      </w:r>
    </w:p>
  </w:footnote>
  <w:footnote w:id="2">
    <w:p w:rsidR="00160EC7" w:rsidRPr="00901CD2" w:rsidRDefault="00160EC7" w:rsidP="00CF55EA">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140.</w:t>
      </w:r>
    </w:p>
  </w:footnote>
  <w:footnote w:id="3">
    <w:p w:rsidR="00160EC7" w:rsidRPr="00901CD2" w:rsidRDefault="00160EC7" w:rsidP="00CF55EA">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144.</w:t>
      </w:r>
    </w:p>
  </w:footnote>
  <w:footnote w:id="4">
    <w:p w:rsidR="00160EC7" w:rsidRPr="00901CD2" w:rsidRDefault="00160EC7" w:rsidP="00CF55EA">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139</w:t>
      </w:r>
      <w:r>
        <w:rPr>
          <w:sz w:val="16"/>
          <w:lang w:val="es-CR"/>
        </w:rPr>
        <w:t xml:space="preserve"> y 144</w:t>
      </w:r>
      <w:r w:rsidRPr="00901CD2">
        <w:rPr>
          <w:sz w:val="16"/>
          <w:lang w:val="es-CR"/>
        </w:rPr>
        <w:t>.</w:t>
      </w:r>
    </w:p>
  </w:footnote>
  <w:footnote w:id="5">
    <w:p w:rsidR="00160EC7" w:rsidRPr="00901CD2" w:rsidRDefault="00160EC7" w:rsidP="00CF55EA">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proofErr w:type="spellStart"/>
      <w:r w:rsidRPr="00901CD2">
        <w:rPr>
          <w:sz w:val="16"/>
          <w:lang w:val="es-CR"/>
        </w:rPr>
        <w:t>párrs</w:t>
      </w:r>
      <w:proofErr w:type="spellEnd"/>
      <w:r w:rsidRPr="00901CD2">
        <w:rPr>
          <w:sz w:val="16"/>
          <w:lang w:val="es-CR"/>
        </w:rPr>
        <w:t>. 142 y 143.</w:t>
      </w:r>
    </w:p>
  </w:footnote>
  <w:footnote w:id="6">
    <w:p w:rsidR="00160EC7" w:rsidRPr="00901CD2" w:rsidRDefault="00160EC7" w:rsidP="00716615">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144.</w:t>
      </w:r>
    </w:p>
  </w:footnote>
  <w:footnote w:id="7">
    <w:p w:rsidR="00160EC7" w:rsidRPr="00901CD2" w:rsidRDefault="00160EC7" w:rsidP="00716615">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144.</w:t>
      </w:r>
    </w:p>
  </w:footnote>
  <w:footnote w:id="8">
    <w:p w:rsidR="00160EC7" w:rsidRPr="00901CD2" w:rsidRDefault="00160EC7" w:rsidP="00FD6E76">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138.</w:t>
      </w:r>
    </w:p>
  </w:footnote>
  <w:footnote w:id="9">
    <w:p w:rsidR="00160EC7" w:rsidRPr="00901CD2" w:rsidRDefault="00160EC7" w:rsidP="00FD6E76">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139.</w:t>
      </w:r>
    </w:p>
  </w:footnote>
  <w:footnote w:id="10">
    <w:p w:rsidR="00160EC7" w:rsidRPr="00901CD2" w:rsidRDefault="00160EC7" w:rsidP="005518C5">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141.</w:t>
      </w:r>
    </w:p>
  </w:footnote>
  <w:footnote w:id="11">
    <w:p w:rsidR="00160EC7" w:rsidRPr="00901CD2" w:rsidRDefault="00160EC7" w:rsidP="005518C5">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142.</w:t>
      </w:r>
    </w:p>
  </w:footnote>
  <w:footnote w:id="12">
    <w:p w:rsidR="00160EC7" w:rsidRPr="00901CD2" w:rsidRDefault="00160EC7" w:rsidP="005518C5">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142.</w:t>
      </w:r>
    </w:p>
  </w:footnote>
  <w:footnote w:id="13">
    <w:p w:rsidR="00160EC7" w:rsidRPr="00901CD2" w:rsidRDefault="00160EC7" w:rsidP="007D55F3">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143.</w:t>
      </w:r>
    </w:p>
  </w:footnote>
  <w:footnote w:id="14">
    <w:p w:rsidR="00160EC7" w:rsidRPr="00901CD2" w:rsidRDefault="00160EC7" w:rsidP="007D55F3">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143.</w:t>
      </w:r>
    </w:p>
  </w:footnote>
  <w:footnote w:id="15">
    <w:p w:rsidR="00160EC7" w:rsidRPr="00901CD2" w:rsidRDefault="00160EC7" w:rsidP="007D55F3">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143.</w:t>
      </w:r>
    </w:p>
  </w:footnote>
  <w:footnote w:id="16">
    <w:p w:rsidR="00160EC7" w:rsidRPr="00901CD2" w:rsidRDefault="00160EC7" w:rsidP="00A750F3">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145, pie de página 214.</w:t>
      </w:r>
    </w:p>
  </w:footnote>
  <w:footnote w:id="17">
    <w:p w:rsidR="00160EC7" w:rsidRPr="00901CD2" w:rsidRDefault="00160EC7" w:rsidP="00CA51E7">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145.</w:t>
      </w:r>
    </w:p>
  </w:footnote>
  <w:footnote w:id="18">
    <w:p w:rsidR="00160EC7" w:rsidRPr="00901CD2" w:rsidRDefault="00160EC7" w:rsidP="00B27FF7">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165.</w:t>
      </w:r>
    </w:p>
  </w:footnote>
  <w:footnote w:id="19">
    <w:p w:rsidR="00160EC7" w:rsidRPr="00901CD2" w:rsidRDefault="00160EC7" w:rsidP="00B27FF7">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165.</w:t>
      </w:r>
    </w:p>
  </w:footnote>
  <w:footnote w:id="20">
    <w:p w:rsidR="00160EC7" w:rsidRPr="00901CD2" w:rsidRDefault="00160EC7" w:rsidP="00405A4C">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170.</w:t>
      </w:r>
    </w:p>
  </w:footnote>
  <w:footnote w:id="21">
    <w:p w:rsidR="00160EC7" w:rsidRPr="00901CD2" w:rsidRDefault="00160EC7" w:rsidP="00405A4C">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170.</w:t>
      </w:r>
    </w:p>
  </w:footnote>
  <w:footnote w:id="22">
    <w:p w:rsidR="00160EC7" w:rsidRPr="00901CD2" w:rsidRDefault="00160EC7" w:rsidP="00456E22">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proofErr w:type="spellStart"/>
      <w:r w:rsidR="00470828">
        <w:rPr>
          <w:sz w:val="16"/>
          <w:lang w:val="es-CR"/>
        </w:rPr>
        <w:t>p</w:t>
      </w:r>
      <w:r w:rsidRPr="00901CD2">
        <w:rPr>
          <w:sz w:val="16"/>
          <w:lang w:val="es-CR"/>
        </w:rPr>
        <w:t>árrs</w:t>
      </w:r>
      <w:proofErr w:type="spellEnd"/>
      <w:r w:rsidRPr="00901CD2">
        <w:rPr>
          <w:sz w:val="16"/>
          <w:lang w:val="es-CR"/>
        </w:rPr>
        <w:t>. 178 a 180.</w:t>
      </w:r>
    </w:p>
  </w:footnote>
  <w:footnote w:id="23">
    <w:p w:rsidR="00160EC7" w:rsidRPr="00901CD2" w:rsidRDefault="00160EC7" w:rsidP="00445BC5">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193.</w:t>
      </w:r>
    </w:p>
  </w:footnote>
  <w:footnote w:id="24">
    <w:p w:rsidR="00160EC7" w:rsidRPr="00901CD2" w:rsidRDefault="00160EC7" w:rsidP="00445BC5">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194.</w:t>
      </w:r>
    </w:p>
  </w:footnote>
  <w:footnote w:id="25">
    <w:p w:rsidR="00160EC7" w:rsidRPr="00901CD2" w:rsidRDefault="00160EC7" w:rsidP="00A503C3">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197.</w:t>
      </w:r>
    </w:p>
  </w:footnote>
  <w:footnote w:id="26">
    <w:p w:rsidR="00160EC7" w:rsidRPr="00901CD2" w:rsidRDefault="00160EC7" w:rsidP="00A503C3">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199.</w:t>
      </w:r>
    </w:p>
  </w:footnote>
  <w:footnote w:id="27">
    <w:p w:rsidR="00160EC7" w:rsidRPr="00901CD2" w:rsidRDefault="00160EC7" w:rsidP="001947E8">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199.</w:t>
      </w:r>
    </w:p>
  </w:footnote>
  <w:footnote w:id="28">
    <w:p w:rsidR="00160EC7" w:rsidRPr="00901CD2" w:rsidRDefault="00160EC7" w:rsidP="00064EDD">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251.</w:t>
      </w:r>
    </w:p>
  </w:footnote>
  <w:footnote w:id="29">
    <w:p w:rsidR="00160EC7" w:rsidRPr="00901CD2" w:rsidRDefault="00160EC7" w:rsidP="00DF3050">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253.</w:t>
      </w:r>
    </w:p>
  </w:footnote>
  <w:footnote w:id="30">
    <w:p w:rsidR="00160EC7" w:rsidRPr="00901CD2" w:rsidRDefault="00160EC7" w:rsidP="00C4762E">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270.</w:t>
      </w:r>
    </w:p>
  </w:footnote>
  <w:footnote w:id="31">
    <w:p w:rsidR="00160EC7" w:rsidRPr="00901CD2" w:rsidRDefault="00160EC7" w:rsidP="00C4762E">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276.</w:t>
      </w:r>
    </w:p>
  </w:footnote>
  <w:footnote w:id="32">
    <w:p w:rsidR="00160EC7" w:rsidRPr="00901CD2" w:rsidRDefault="00160EC7" w:rsidP="00C4762E">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282.</w:t>
      </w:r>
    </w:p>
  </w:footnote>
  <w:footnote w:id="33">
    <w:p w:rsidR="00160EC7" w:rsidRPr="00901CD2" w:rsidRDefault="00160EC7" w:rsidP="00C4762E">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287.</w:t>
      </w:r>
    </w:p>
  </w:footnote>
  <w:footnote w:id="34">
    <w:p w:rsidR="00160EC7" w:rsidRPr="00901CD2" w:rsidRDefault="00160EC7" w:rsidP="00AB149F">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proofErr w:type="spellStart"/>
      <w:r w:rsidRPr="00901CD2">
        <w:rPr>
          <w:sz w:val="16"/>
          <w:lang w:val="es-CR"/>
        </w:rPr>
        <w:t>párrs</w:t>
      </w:r>
      <w:proofErr w:type="spellEnd"/>
      <w:r w:rsidRPr="00901CD2">
        <w:rPr>
          <w:sz w:val="16"/>
          <w:lang w:val="es-CR"/>
        </w:rPr>
        <w:t>. 114, 292.</w:t>
      </w:r>
    </w:p>
  </w:footnote>
  <w:footnote w:id="35">
    <w:p w:rsidR="00160EC7" w:rsidRPr="00901CD2" w:rsidRDefault="00160EC7" w:rsidP="009A0CF3">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307.</w:t>
      </w:r>
    </w:p>
  </w:footnote>
  <w:footnote w:id="36">
    <w:p w:rsidR="00160EC7" w:rsidRPr="00901CD2" w:rsidRDefault="00160EC7" w:rsidP="009A0CF3">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307.</w:t>
      </w:r>
    </w:p>
  </w:footnote>
  <w:footnote w:id="37">
    <w:p w:rsidR="00160EC7" w:rsidRPr="00901CD2" w:rsidRDefault="00160EC7" w:rsidP="00C4762E">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308.</w:t>
      </w:r>
    </w:p>
  </w:footnote>
  <w:footnote w:id="38">
    <w:p w:rsidR="00160EC7" w:rsidRPr="00901CD2" w:rsidRDefault="00160EC7" w:rsidP="001972DB">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317.</w:t>
      </w:r>
    </w:p>
  </w:footnote>
  <w:footnote w:id="39">
    <w:p w:rsidR="00160EC7" w:rsidRPr="00901CD2" w:rsidRDefault="00160EC7" w:rsidP="001972DB">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322.</w:t>
      </w:r>
    </w:p>
  </w:footnote>
  <w:footnote w:id="40">
    <w:p w:rsidR="00160EC7" w:rsidRPr="00901CD2" w:rsidRDefault="00160EC7" w:rsidP="001972DB">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323.</w:t>
      </w:r>
    </w:p>
  </w:footnote>
  <w:footnote w:id="41">
    <w:p w:rsidR="00160EC7" w:rsidRPr="00901CD2" w:rsidRDefault="00160EC7" w:rsidP="00EE053E">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381.</w:t>
      </w:r>
    </w:p>
  </w:footnote>
  <w:footnote w:id="42">
    <w:p w:rsidR="00160EC7" w:rsidRPr="00901CD2" w:rsidRDefault="00160EC7" w:rsidP="00EE053E">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381.</w:t>
      </w:r>
    </w:p>
  </w:footnote>
  <w:footnote w:id="43">
    <w:p w:rsidR="00160EC7" w:rsidRPr="00901CD2" w:rsidRDefault="00160EC7" w:rsidP="001B359E">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382.</w:t>
      </w:r>
    </w:p>
  </w:footnote>
  <w:footnote w:id="44">
    <w:p w:rsidR="00160EC7" w:rsidRPr="00901CD2" w:rsidRDefault="00160EC7" w:rsidP="001B359E">
      <w:pPr>
        <w:pStyle w:val="FootnoteText"/>
        <w:rPr>
          <w:sz w:val="16"/>
          <w:lang w:val="es-CR"/>
        </w:rPr>
      </w:pPr>
      <w:r w:rsidRPr="00901CD2">
        <w:rPr>
          <w:rStyle w:val="FootnoteReference"/>
          <w:sz w:val="16"/>
        </w:rPr>
        <w:footnoteRef/>
      </w:r>
      <w:r w:rsidRPr="00901CD2">
        <w:rPr>
          <w:sz w:val="16"/>
        </w:rPr>
        <w:t xml:space="preserve"> </w:t>
      </w:r>
      <w:r w:rsidRPr="00901CD2">
        <w:rPr>
          <w:sz w:val="16"/>
          <w:lang w:val="es-CR"/>
        </w:rPr>
        <w:tab/>
      </w:r>
      <w:r w:rsidRPr="00901CD2">
        <w:rPr>
          <w:i/>
          <w:sz w:val="16"/>
          <w:lang w:val="es-CR"/>
        </w:rPr>
        <w:t xml:space="preserve">Caso </w:t>
      </w:r>
      <w:proofErr w:type="spellStart"/>
      <w:r w:rsidRPr="00901CD2">
        <w:rPr>
          <w:i/>
          <w:sz w:val="16"/>
          <w:lang w:val="es-CR"/>
        </w:rPr>
        <w:t>Granier</w:t>
      </w:r>
      <w:proofErr w:type="spellEnd"/>
      <w:r w:rsidRPr="00901CD2">
        <w:rPr>
          <w:i/>
          <w:sz w:val="16"/>
          <w:lang w:val="es-CR"/>
        </w:rPr>
        <w:t xml:space="preserve"> y otros (Radio Caracas Televisión) Vs. Venezuela</w:t>
      </w:r>
      <w:r w:rsidRPr="00A37191">
        <w:rPr>
          <w:sz w:val="16"/>
          <w:lang w:val="es-CR"/>
        </w:rPr>
        <w:t xml:space="preserve">, </w:t>
      </w:r>
      <w:r w:rsidRPr="00901CD2">
        <w:rPr>
          <w:sz w:val="16"/>
          <w:lang w:val="es-CR"/>
        </w:rPr>
        <w:t>párr. 394.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82974"/>
      <w:docPartObj>
        <w:docPartGallery w:val="Page Numbers (Top of Page)"/>
        <w:docPartUnique/>
      </w:docPartObj>
    </w:sdtPr>
    <w:sdtEndPr>
      <w:rPr>
        <w:noProof/>
      </w:rPr>
    </w:sdtEndPr>
    <w:sdtContent>
      <w:p w:rsidR="00AB42E6" w:rsidRDefault="00AB42E6">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AB42E6" w:rsidRDefault="00AB4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86001"/>
    <w:multiLevelType w:val="hybridMultilevel"/>
    <w:tmpl w:val="BF9A31F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570117F1"/>
    <w:multiLevelType w:val="hybridMultilevel"/>
    <w:tmpl w:val="1BD07674"/>
    <w:lvl w:ilvl="0" w:tplc="0C0A000F">
      <w:start w:val="14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603A55F7"/>
    <w:multiLevelType w:val="hybridMultilevel"/>
    <w:tmpl w:val="4BD0F01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7CE64D32"/>
    <w:multiLevelType w:val="hybridMultilevel"/>
    <w:tmpl w:val="1E248EDA"/>
    <w:lvl w:ilvl="0" w:tplc="C55A862A">
      <w:start w:val="1"/>
      <w:numFmt w:val="decimal"/>
      <w:lvlText w:val="%1."/>
      <w:lvlJc w:val="left"/>
      <w:pPr>
        <w:tabs>
          <w:tab w:val="num" w:pos="12305"/>
        </w:tabs>
      </w:pPr>
      <w:rPr>
        <w:rFonts w:ascii="Verdana" w:eastAsia="Times New Roman" w:hAnsi="Verdana"/>
        <w:b w:val="0"/>
        <w:bCs w:val="0"/>
        <w:i w:val="0"/>
        <w:iCs w:val="0"/>
        <w:strike w:val="0"/>
        <w:color w:val="auto"/>
        <w:sz w:val="20"/>
        <w:szCs w:val="20"/>
      </w:rPr>
    </w:lvl>
    <w:lvl w:ilvl="1" w:tplc="C7D25ABE">
      <w:start w:val="1"/>
      <w:numFmt w:val="lowerLetter"/>
      <w:lvlText w:val="%2)"/>
      <w:lvlJc w:val="left"/>
      <w:pPr>
        <w:tabs>
          <w:tab w:val="num" w:pos="1080"/>
        </w:tabs>
        <w:ind w:left="1080" w:hanging="360"/>
      </w:pPr>
      <w:rPr>
        <w:rFonts w:hint="default"/>
        <w:b w:val="0"/>
        <w:bCs w:val="0"/>
        <w:i w:val="0"/>
        <w:iCs w:val="0"/>
        <w:sz w:val="20"/>
        <w:szCs w:val="20"/>
      </w:rPr>
    </w:lvl>
    <w:lvl w:ilvl="2" w:tplc="0409001B">
      <w:start w:val="1"/>
      <w:numFmt w:val="lowerRoman"/>
      <w:lvlText w:val="%3."/>
      <w:lvlJc w:val="right"/>
      <w:pPr>
        <w:tabs>
          <w:tab w:val="num" w:pos="1530"/>
        </w:tabs>
        <w:ind w:left="1530" w:hanging="180"/>
      </w:pPr>
      <w:rPr>
        <w:b w:val="0"/>
        <w:bCs w:val="0"/>
        <w:strike w:val="0"/>
      </w:rPr>
    </w:lvl>
    <w:lvl w:ilvl="3" w:tplc="140A001B">
      <w:start w:val="1"/>
      <w:numFmt w:val="decimal"/>
      <w:lvlText w:val="%4."/>
      <w:lvlJc w:val="left"/>
      <w:pPr>
        <w:tabs>
          <w:tab w:val="num" w:pos="2880"/>
        </w:tabs>
        <w:ind w:left="2880" w:hanging="360"/>
      </w:pPr>
    </w:lvl>
    <w:lvl w:ilvl="4" w:tplc="04090019">
      <w:start w:val="1"/>
      <w:numFmt w:val="lowerLetter"/>
      <w:pStyle w:val="Heading6"/>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2E"/>
    <w:rsid w:val="0000688B"/>
    <w:rsid w:val="00010A5A"/>
    <w:rsid w:val="00021494"/>
    <w:rsid w:val="00057432"/>
    <w:rsid w:val="00060DA2"/>
    <w:rsid w:val="00061296"/>
    <w:rsid w:val="00064EDD"/>
    <w:rsid w:val="0007580C"/>
    <w:rsid w:val="00077242"/>
    <w:rsid w:val="000A2F72"/>
    <w:rsid w:val="000D6C3A"/>
    <w:rsid w:val="000E5975"/>
    <w:rsid w:val="000E787C"/>
    <w:rsid w:val="001070FE"/>
    <w:rsid w:val="00122449"/>
    <w:rsid w:val="0014085F"/>
    <w:rsid w:val="00142475"/>
    <w:rsid w:val="001478A6"/>
    <w:rsid w:val="00160EC7"/>
    <w:rsid w:val="00172F55"/>
    <w:rsid w:val="0017649E"/>
    <w:rsid w:val="001834F7"/>
    <w:rsid w:val="001850D6"/>
    <w:rsid w:val="001947E8"/>
    <w:rsid w:val="001972DB"/>
    <w:rsid w:val="001A1735"/>
    <w:rsid w:val="001B359E"/>
    <w:rsid w:val="001C26B1"/>
    <w:rsid w:val="001D2550"/>
    <w:rsid w:val="001E7142"/>
    <w:rsid w:val="001F6FEB"/>
    <w:rsid w:val="0021586E"/>
    <w:rsid w:val="0027152E"/>
    <w:rsid w:val="002A0565"/>
    <w:rsid w:val="002A42D0"/>
    <w:rsid w:val="002F71EA"/>
    <w:rsid w:val="00314821"/>
    <w:rsid w:val="0032426E"/>
    <w:rsid w:val="00347E97"/>
    <w:rsid w:val="00363520"/>
    <w:rsid w:val="0036745A"/>
    <w:rsid w:val="003878B1"/>
    <w:rsid w:val="00393F6B"/>
    <w:rsid w:val="00402450"/>
    <w:rsid w:val="00405A4C"/>
    <w:rsid w:val="004232FA"/>
    <w:rsid w:val="00426463"/>
    <w:rsid w:val="0043036E"/>
    <w:rsid w:val="0043135D"/>
    <w:rsid w:val="00445BC5"/>
    <w:rsid w:val="00456E22"/>
    <w:rsid w:val="00470828"/>
    <w:rsid w:val="0048118D"/>
    <w:rsid w:val="004A69AD"/>
    <w:rsid w:val="004D6733"/>
    <w:rsid w:val="004D680F"/>
    <w:rsid w:val="005045A4"/>
    <w:rsid w:val="00515861"/>
    <w:rsid w:val="00520FA4"/>
    <w:rsid w:val="00523E97"/>
    <w:rsid w:val="00530E6B"/>
    <w:rsid w:val="00540626"/>
    <w:rsid w:val="005518C5"/>
    <w:rsid w:val="00551AB1"/>
    <w:rsid w:val="005637AB"/>
    <w:rsid w:val="005662B7"/>
    <w:rsid w:val="0059285D"/>
    <w:rsid w:val="005962C3"/>
    <w:rsid w:val="005A0E26"/>
    <w:rsid w:val="005A3EB7"/>
    <w:rsid w:val="005C0634"/>
    <w:rsid w:val="005D7464"/>
    <w:rsid w:val="005E1CC9"/>
    <w:rsid w:val="005E523F"/>
    <w:rsid w:val="00640059"/>
    <w:rsid w:val="00646331"/>
    <w:rsid w:val="0064706A"/>
    <w:rsid w:val="00647150"/>
    <w:rsid w:val="00666AB2"/>
    <w:rsid w:val="006871EF"/>
    <w:rsid w:val="006A1B42"/>
    <w:rsid w:val="006A37AB"/>
    <w:rsid w:val="006A64B7"/>
    <w:rsid w:val="006C62FD"/>
    <w:rsid w:val="006D1EBD"/>
    <w:rsid w:val="006E6F4D"/>
    <w:rsid w:val="006F6184"/>
    <w:rsid w:val="00716615"/>
    <w:rsid w:val="0072567D"/>
    <w:rsid w:val="00745508"/>
    <w:rsid w:val="0078758B"/>
    <w:rsid w:val="00791378"/>
    <w:rsid w:val="007945D0"/>
    <w:rsid w:val="00796025"/>
    <w:rsid w:val="0079666B"/>
    <w:rsid w:val="007B2D72"/>
    <w:rsid w:val="007C5898"/>
    <w:rsid w:val="007D10B2"/>
    <w:rsid w:val="007D55F3"/>
    <w:rsid w:val="007E7976"/>
    <w:rsid w:val="008037A5"/>
    <w:rsid w:val="008233AB"/>
    <w:rsid w:val="00852A91"/>
    <w:rsid w:val="008826BC"/>
    <w:rsid w:val="0088576F"/>
    <w:rsid w:val="008946F7"/>
    <w:rsid w:val="008D68BF"/>
    <w:rsid w:val="00901CD2"/>
    <w:rsid w:val="00902877"/>
    <w:rsid w:val="00917451"/>
    <w:rsid w:val="00917DDF"/>
    <w:rsid w:val="00926EAC"/>
    <w:rsid w:val="00951832"/>
    <w:rsid w:val="00960517"/>
    <w:rsid w:val="00966D93"/>
    <w:rsid w:val="00974C6B"/>
    <w:rsid w:val="009956D3"/>
    <w:rsid w:val="009A0CF3"/>
    <w:rsid w:val="009A1F11"/>
    <w:rsid w:val="009A369A"/>
    <w:rsid w:val="009E7709"/>
    <w:rsid w:val="009F03FC"/>
    <w:rsid w:val="00A37191"/>
    <w:rsid w:val="00A503C3"/>
    <w:rsid w:val="00A750F3"/>
    <w:rsid w:val="00A83EDE"/>
    <w:rsid w:val="00AB149F"/>
    <w:rsid w:val="00AB42E6"/>
    <w:rsid w:val="00AB5F7B"/>
    <w:rsid w:val="00AE512F"/>
    <w:rsid w:val="00B040EC"/>
    <w:rsid w:val="00B14E98"/>
    <w:rsid w:val="00B27FF7"/>
    <w:rsid w:val="00B3336E"/>
    <w:rsid w:val="00B67E65"/>
    <w:rsid w:val="00B7130E"/>
    <w:rsid w:val="00BE07A7"/>
    <w:rsid w:val="00BE25B9"/>
    <w:rsid w:val="00C16ADB"/>
    <w:rsid w:val="00C44EE2"/>
    <w:rsid w:val="00C4762E"/>
    <w:rsid w:val="00C759C4"/>
    <w:rsid w:val="00C75EE3"/>
    <w:rsid w:val="00C82D2E"/>
    <w:rsid w:val="00CA51E7"/>
    <w:rsid w:val="00CF29F3"/>
    <w:rsid w:val="00CF55EA"/>
    <w:rsid w:val="00CF7988"/>
    <w:rsid w:val="00D46053"/>
    <w:rsid w:val="00D572E0"/>
    <w:rsid w:val="00DA1AF7"/>
    <w:rsid w:val="00DA508A"/>
    <w:rsid w:val="00DA5FB0"/>
    <w:rsid w:val="00DC7F67"/>
    <w:rsid w:val="00DE595E"/>
    <w:rsid w:val="00DE7615"/>
    <w:rsid w:val="00DF3050"/>
    <w:rsid w:val="00DF437D"/>
    <w:rsid w:val="00E27A2B"/>
    <w:rsid w:val="00E37747"/>
    <w:rsid w:val="00E47866"/>
    <w:rsid w:val="00E675E5"/>
    <w:rsid w:val="00E9489C"/>
    <w:rsid w:val="00EA28CF"/>
    <w:rsid w:val="00EC7D2B"/>
    <w:rsid w:val="00ED0151"/>
    <w:rsid w:val="00EE053E"/>
    <w:rsid w:val="00EF2815"/>
    <w:rsid w:val="00F64A08"/>
    <w:rsid w:val="00F729E3"/>
    <w:rsid w:val="00F906A1"/>
    <w:rsid w:val="00FB6565"/>
    <w:rsid w:val="00FB7B29"/>
    <w:rsid w:val="00FC12D4"/>
    <w:rsid w:val="00FD16D7"/>
    <w:rsid w:val="00FD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331"/>
    <w:pPr>
      <w:spacing w:after="200" w:line="276" w:lineRule="auto"/>
    </w:pPr>
    <w:rPr>
      <w:lang w:val="es-ES"/>
    </w:rPr>
  </w:style>
  <w:style w:type="paragraph" w:styleId="Heading5">
    <w:name w:val="heading 5"/>
    <w:basedOn w:val="Normal"/>
    <w:next w:val="Normal"/>
    <w:link w:val="Heading5Char"/>
    <w:uiPriority w:val="99"/>
    <w:qFormat/>
    <w:rsid w:val="008946F7"/>
    <w:pPr>
      <w:keepNext/>
      <w:keepLines/>
      <w:spacing w:before="200" w:after="0"/>
      <w:outlineLvl w:val="4"/>
    </w:pPr>
    <w:rPr>
      <w:rFonts w:ascii="Cambria" w:eastAsia="Times New Roman" w:hAnsi="Cambria" w:cs="Cambria"/>
      <w:color w:val="243F60"/>
    </w:rPr>
  </w:style>
  <w:style w:type="paragraph" w:styleId="Heading6">
    <w:name w:val="heading 6"/>
    <w:basedOn w:val="Heading5"/>
    <w:next w:val="Normal"/>
    <w:link w:val="Heading6Char"/>
    <w:uiPriority w:val="99"/>
    <w:qFormat/>
    <w:rsid w:val="008946F7"/>
    <w:pPr>
      <w:keepNext w:val="0"/>
      <w:keepLines w:val="0"/>
      <w:numPr>
        <w:ilvl w:val="4"/>
        <w:numId w:val="2"/>
      </w:numPr>
      <w:spacing w:before="0" w:line="240" w:lineRule="auto"/>
      <w:jc w:val="both"/>
      <w:outlineLvl w:val="5"/>
    </w:pPr>
    <w:rPr>
      <w:rFonts w:ascii="Verdana" w:hAnsi="Verdana" w:cs="Verdana"/>
      <w:color w:val="auto"/>
      <w:spacing w:val="-2"/>
      <w:sz w:val="20"/>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8946F7"/>
    <w:rPr>
      <w:rFonts w:ascii="Cambria" w:hAnsi="Cambria" w:cs="Cambria"/>
      <w:color w:val="243F60"/>
    </w:rPr>
  </w:style>
  <w:style w:type="character" w:customStyle="1" w:styleId="Heading6Char">
    <w:name w:val="Heading 6 Char"/>
    <w:basedOn w:val="DefaultParagraphFont"/>
    <w:link w:val="Heading6"/>
    <w:uiPriority w:val="99"/>
    <w:locked/>
    <w:rsid w:val="008946F7"/>
    <w:rPr>
      <w:rFonts w:ascii="Verdana" w:hAnsi="Verdana" w:cs="Verdana"/>
      <w:spacing w:val="-2"/>
      <w:sz w:val="20"/>
      <w:szCs w:val="20"/>
      <w:lang w:val="es-ES_tradnl"/>
    </w:rPr>
  </w:style>
  <w:style w:type="paragraph" w:styleId="ListParagraph">
    <w:name w:val="List Paragraph"/>
    <w:basedOn w:val="Normal"/>
    <w:uiPriority w:val="34"/>
    <w:qFormat/>
    <w:rsid w:val="00C82D2E"/>
    <w:pPr>
      <w:ind w:left="720"/>
    </w:p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basedOn w:val="DefaultParagraphFont"/>
    <w:uiPriority w:val="99"/>
    <w:semiHidden/>
    <w:rsid w:val="008946F7"/>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uiPriority w:val="99"/>
    <w:semiHidden/>
    <w:rsid w:val="008946F7"/>
    <w:pPr>
      <w:widowControl w:val="0"/>
      <w:adjustRightInd w:val="0"/>
      <w:spacing w:after="0" w:line="240" w:lineRule="auto"/>
      <w:jc w:val="both"/>
      <w:textAlignment w:val="baseline"/>
    </w:pPr>
    <w:rPr>
      <w:rFonts w:ascii="Verdana" w:eastAsia="Times New Roman" w:hAnsi="Verdana" w:cs="Verdana"/>
      <w:sz w:val="20"/>
      <w:szCs w:val="20"/>
      <w:lang w:val="es-ES_tradnl"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locked/>
    <w:rsid w:val="008946F7"/>
    <w:rPr>
      <w:rFonts w:ascii="Verdana" w:hAnsi="Verdana" w:cs="Verdana"/>
      <w:sz w:val="20"/>
      <w:szCs w:val="20"/>
      <w:lang w:val="es-ES_tradnl"/>
    </w:rPr>
  </w:style>
  <w:style w:type="character" w:customStyle="1" w:styleId="Listavistosa-nfasis1Car">
    <w:name w:val="Lista vistosa - Énfasis 1 Car"/>
    <w:aliases w:val="Párrafo de lista1 Car,Footnote Car,Colorful List - Accent 11 Car,List Paragraph1 Car"/>
    <w:link w:val="ColorfulList-Accent1"/>
    <w:uiPriority w:val="99"/>
    <w:locked/>
    <w:rsid w:val="008946F7"/>
    <w:rPr>
      <w:rFonts w:ascii="Calibri" w:hAnsi="Calibri" w:cs="Calibri"/>
      <w:sz w:val="22"/>
      <w:szCs w:val="22"/>
      <w:lang w:val="es-CO" w:eastAsia="en-US"/>
    </w:rPr>
  </w:style>
  <w:style w:type="table" w:styleId="ColorfulList-Accent1">
    <w:name w:val="Colorful List Accent 1"/>
    <w:aliases w:val="Párrafo de lista1,Footnote,Colorful List - Accent 11,List Paragraph1"/>
    <w:basedOn w:val="TableNormal"/>
    <w:link w:val="Listavistosa-nfasis1Car"/>
    <w:uiPriority w:val="99"/>
    <w:rsid w:val="008946F7"/>
    <w:rPr>
      <w:rFonts w:ascii="Calibri" w:eastAsia="Times New Roman" w:hAnsi="Calibri" w:cs="Calibri"/>
      <w:lang w:val="es-CO"/>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EndnoteText">
    <w:name w:val="endnote text"/>
    <w:basedOn w:val="Normal"/>
    <w:link w:val="EndnoteTextChar"/>
    <w:uiPriority w:val="99"/>
    <w:semiHidden/>
    <w:rsid w:val="001E714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E7142"/>
    <w:rPr>
      <w:sz w:val="20"/>
      <w:szCs w:val="20"/>
    </w:rPr>
  </w:style>
  <w:style w:type="character" w:styleId="EndnoteReference">
    <w:name w:val="endnote reference"/>
    <w:basedOn w:val="DefaultParagraphFont"/>
    <w:uiPriority w:val="99"/>
    <w:semiHidden/>
    <w:rsid w:val="001E7142"/>
    <w:rPr>
      <w:vertAlign w:val="superscript"/>
    </w:rPr>
  </w:style>
  <w:style w:type="character" w:customStyle="1" w:styleId="FootnoteTextCharCharCharCharCharCar">
    <w:name w:val="Footnote Text Char Char Char Char Char Car"/>
    <w:aliases w:val="Footnote Text Char Char Char Char Car,Footnote reference Car,FA Fu Car,Footnote Text Char Char Char Car,Footnote Text Cha Car,FA Fußnotentext Car,FA Fuﬂnotentext Car,Footnote Text Char Char Car,Ca Car,C Car"/>
    <w:uiPriority w:val="99"/>
    <w:rsid w:val="0043135D"/>
    <w:rPr>
      <w:rFonts w:eastAsia="Times New Roman"/>
      <w:spacing w:val="0"/>
      <w:lang w:val="es-ES_tradnl"/>
    </w:rPr>
  </w:style>
  <w:style w:type="character" w:customStyle="1" w:styleId="ColorfulList-Accent1Char">
    <w:name w:val="Colorful List - Accent 1 Char"/>
    <w:aliases w:val="Párrafo de lista1 Char,Footnote Char,Colorful List - Accent 11 Char,List Paragraph1 Char"/>
    <w:uiPriority w:val="99"/>
    <w:locked/>
    <w:rsid w:val="004A69AD"/>
    <w:rPr>
      <w:rFonts w:ascii="Calibri" w:hAnsi="Calibri" w:cs="Calibri"/>
      <w:sz w:val="22"/>
      <w:szCs w:val="22"/>
      <w:lang w:val="es-CO" w:eastAsia="en-US"/>
    </w:rPr>
  </w:style>
  <w:style w:type="character" w:customStyle="1" w:styleId="apple-converted-space">
    <w:name w:val="apple-converted-space"/>
    <w:basedOn w:val="DefaultParagraphFont"/>
    <w:uiPriority w:val="99"/>
    <w:rsid w:val="00DE7615"/>
  </w:style>
  <w:style w:type="paragraph" w:styleId="BalloonText">
    <w:name w:val="Balloon Text"/>
    <w:basedOn w:val="Normal"/>
    <w:link w:val="BalloonTextChar"/>
    <w:uiPriority w:val="99"/>
    <w:semiHidden/>
    <w:unhideWhenUsed/>
    <w:rsid w:val="0059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2C3"/>
    <w:rPr>
      <w:rFonts w:ascii="Tahoma" w:hAnsi="Tahoma" w:cs="Tahoma"/>
      <w:sz w:val="16"/>
      <w:szCs w:val="16"/>
      <w:lang w:val="es-ES"/>
    </w:rPr>
  </w:style>
  <w:style w:type="character" w:styleId="Strong">
    <w:name w:val="Strong"/>
    <w:basedOn w:val="DefaultParagraphFont"/>
    <w:uiPriority w:val="22"/>
    <w:qFormat/>
    <w:locked/>
    <w:rsid w:val="006F6184"/>
    <w:rPr>
      <w:b/>
      <w:bCs/>
    </w:rPr>
  </w:style>
  <w:style w:type="paragraph" w:styleId="Header">
    <w:name w:val="header"/>
    <w:basedOn w:val="Normal"/>
    <w:link w:val="HeaderChar"/>
    <w:uiPriority w:val="99"/>
    <w:unhideWhenUsed/>
    <w:rsid w:val="006F6184"/>
    <w:pPr>
      <w:tabs>
        <w:tab w:val="center" w:pos="4419"/>
        <w:tab w:val="right" w:pos="8838"/>
      </w:tabs>
      <w:spacing w:after="0" w:line="240" w:lineRule="auto"/>
    </w:pPr>
  </w:style>
  <w:style w:type="character" w:customStyle="1" w:styleId="HeaderChar">
    <w:name w:val="Header Char"/>
    <w:basedOn w:val="DefaultParagraphFont"/>
    <w:link w:val="Header"/>
    <w:uiPriority w:val="99"/>
    <w:rsid w:val="006F6184"/>
    <w:rPr>
      <w:lang w:val="es-ES"/>
    </w:rPr>
  </w:style>
  <w:style w:type="paragraph" w:styleId="Footer">
    <w:name w:val="footer"/>
    <w:basedOn w:val="Normal"/>
    <w:link w:val="FooterChar"/>
    <w:uiPriority w:val="99"/>
    <w:unhideWhenUsed/>
    <w:rsid w:val="006F6184"/>
    <w:pPr>
      <w:tabs>
        <w:tab w:val="center" w:pos="4419"/>
        <w:tab w:val="right" w:pos="8838"/>
      </w:tabs>
      <w:spacing w:after="0" w:line="240" w:lineRule="auto"/>
    </w:pPr>
  </w:style>
  <w:style w:type="character" w:customStyle="1" w:styleId="FooterChar">
    <w:name w:val="Footer Char"/>
    <w:basedOn w:val="DefaultParagraphFont"/>
    <w:link w:val="Footer"/>
    <w:uiPriority w:val="99"/>
    <w:rsid w:val="006F6184"/>
    <w:rPr>
      <w:lang w:val="es-ES"/>
    </w:rPr>
  </w:style>
  <w:style w:type="character" w:styleId="CommentReference">
    <w:name w:val="annotation reference"/>
    <w:basedOn w:val="DefaultParagraphFont"/>
    <w:uiPriority w:val="99"/>
    <w:semiHidden/>
    <w:unhideWhenUsed/>
    <w:rsid w:val="004D6733"/>
    <w:rPr>
      <w:sz w:val="16"/>
      <w:szCs w:val="16"/>
    </w:rPr>
  </w:style>
  <w:style w:type="paragraph" w:styleId="CommentText">
    <w:name w:val="annotation text"/>
    <w:basedOn w:val="Normal"/>
    <w:link w:val="CommentTextChar"/>
    <w:uiPriority w:val="99"/>
    <w:semiHidden/>
    <w:unhideWhenUsed/>
    <w:rsid w:val="004D6733"/>
    <w:pPr>
      <w:spacing w:line="240" w:lineRule="auto"/>
    </w:pPr>
    <w:rPr>
      <w:sz w:val="20"/>
      <w:szCs w:val="20"/>
    </w:rPr>
  </w:style>
  <w:style w:type="character" w:customStyle="1" w:styleId="CommentTextChar">
    <w:name w:val="Comment Text Char"/>
    <w:basedOn w:val="DefaultParagraphFont"/>
    <w:link w:val="CommentText"/>
    <w:uiPriority w:val="99"/>
    <w:semiHidden/>
    <w:rsid w:val="004D6733"/>
    <w:rPr>
      <w:sz w:val="20"/>
      <w:szCs w:val="20"/>
      <w:lang w:val="es-ES"/>
    </w:rPr>
  </w:style>
  <w:style w:type="paragraph" w:styleId="CommentSubject">
    <w:name w:val="annotation subject"/>
    <w:basedOn w:val="CommentText"/>
    <w:next w:val="CommentText"/>
    <w:link w:val="CommentSubjectChar"/>
    <w:uiPriority w:val="99"/>
    <w:semiHidden/>
    <w:unhideWhenUsed/>
    <w:rsid w:val="004D6733"/>
    <w:rPr>
      <w:b/>
      <w:bCs/>
    </w:rPr>
  </w:style>
  <w:style w:type="character" w:customStyle="1" w:styleId="CommentSubjectChar">
    <w:name w:val="Comment Subject Char"/>
    <w:basedOn w:val="CommentTextChar"/>
    <w:link w:val="CommentSubject"/>
    <w:uiPriority w:val="99"/>
    <w:semiHidden/>
    <w:rsid w:val="004D6733"/>
    <w:rPr>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331"/>
    <w:pPr>
      <w:spacing w:after="200" w:line="276" w:lineRule="auto"/>
    </w:pPr>
    <w:rPr>
      <w:lang w:val="es-ES"/>
    </w:rPr>
  </w:style>
  <w:style w:type="paragraph" w:styleId="Heading5">
    <w:name w:val="heading 5"/>
    <w:basedOn w:val="Normal"/>
    <w:next w:val="Normal"/>
    <w:link w:val="Heading5Char"/>
    <w:uiPriority w:val="99"/>
    <w:qFormat/>
    <w:rsid w:val="008946F7"/>
    <w:pPr>
      <w:keepNext/>
      <w:keepLines/>
      <w:spacing w:before="200" w:after="0"/>
      <w:outlineLvl w:val="4"/>
    </w:pPr>
    <w:rPr>
      <w:rFonts w:ascii="Cambria" w:eastAsia="Times New Roman" w:hAnsi="Cambria" w:cs="Cambria"/>
      <w:color w:val="243F60"/>
    </w:rPr>
  </w:style>
  <w:style w:type="paragraph" w:styleId="Heading6">
    <w:name w:val="heading 6"/>
    <w:basedOn w:val="Heading5"/>
    <w:next w:val="Normal"/>
    <w:link w:val="Heading6Char"/>
    <w:uiPriority w:val="99"/>
    <w:qFormat/>
    <w:rsid w:val="008946F7"/>
    <w:pPr>
      <w:keepNext w:val="0"/>
      <w:keepLines w:val="0"/>
      <w:numPr>
        <w:ilvl w:val="4"/>
        <w:numId w:val="2"/>
      </w:numPr>
      <w:spacing w:before="0" w:line="240" w:lineRule="auto"/>
      <w:jc w:val="both"/>
      <w:outlineLvl w:val="5"/>
    </w:pPr>
    <w:rPr>
      <w:rFonts w:ascii="Verdana" w:hAnsi="Verdana" w:cs="Verdana"/>
      <w:color w:val="auto"/>
      <w:spacing w:val="-2"/>
      <w:sz w:val="20"/>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8946F7"/>
    <w:rPr>
      <w:rFonts w:ascii="Cambria" w:hAnsi="Cambria" w:cs="Cambria"/>
      <w:color w:val="243F60"/>
    </w:rPr>
  </w:style>
  <w:style w:type="character" w:customStyle="1" w:styleId="Heading6Char">
    <w:name w:val="Heading 6 Char"/>
    <w:basedOn w:val="DefaultParagraphFont"/>
    <w:link w:val="Heading6"/>
    <w:uiPriority w:val="99"/>
    <w:locked/>
    <w:rsid w:val="008946F7"/>
    <w:rPr>
      <w:rFonts w:ascii="Verdana" w:hAnsi="Verdana" w:cs="Verdana"/>
      <w:spacing w:val="-2"/>
      <w:sz w:val="20"/>
      <w:szCs w:val="20"/>
      <w:lang w:val="es-ES_tradnl"/>
    </w:rPr>
  </w:style>
  <w:style w:type="paragraph" w:styleId="ListParagraph">
    <w:name w:val="List Paragraph"/>
    <w:basedOn w:val="Normal"/>
    <w:uiPriority w:val="34"/>
    <w:qFormat/>
    <w:rsid w:val="00C82D2E"/>
    <w:pPr>
      <w:ind w:left="720"/>
    </w:p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basedOn w:val="DefaultParagraphFont"/>
    <w:uiPriority w:val="99"/>
    <w:semiHidden/>
    <w:rsid w:val="008946F7"/>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uiPriority w:val="99"/>
    <w:semiHidden/>
    <w:rsid w:val="008946F7"/>
    <w:pPr>
      <w:widowControl w:val="0"/>
      <w:adjustRightInd w:val="0"/>
      <w:spacing w:after="0" w:line="240" w:lineRule="auto"/>
      <w:jc w:val="both"/>
      <w:textAlignment w:val="baseline"/>
    </w:pPr>
    <w:rPr>
      <w:rFonts w:ascii="Verdana" w:eastAsia="Times New Roman" w:hAnsi="Verdana" w:cs="Verdana"/>
      <w:sz w:val="20"/>
      <w:szCs w:val="20"/>
      <w:lang w:val="es-ES_tradnl"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locked/>
    <w:rsid w:val="008946F7"/>
    <w:rPr>
      <w:rFonts w:ascii="Verdana" w:hAnsi="Verdana" w:cs="Verdana"/>
      <w:sz w:val="20"/>
      <w:szCs w:val="20"/>
      <w:lang w:val="es-ES_tradnl"/>
    </w:rPr>
  </w:style>
  <w:style w:type="character" w:customStyle="1" w:styleId="Listavistosa-nfasis1Car">
    <w:name w:val="Lista vistosa - Énfasis 1 Car"/>
    <w:aliases w:val="Párrafo de lista1 Car,Footnote Car,Colorful List - Accent 11 Car,List Paragraph1 Car"/>
    <w:link w:val="ColorfulList-Accent1"/>
    <w:uiPriority w:val="99"/>
    <w:locked/>
    <w:rsid w:val="008946F7"/>
    <w:rPr>
      <w:rFonts w:ascii="Calibri" w:hAnsi="Calibri" w:cs="Calibri"/>
      <w:sz w:val="22"/>
      <w:szCs w:val="22"/>
      <w:lang w:val="es-CO" w:eastAsia="en-US"/>
    </w:rPr>
  </w:style>
  <w:style w:type="table" w:styleId="ColorfulList-Accent1">
    <w:name w:val="Colorful List Accent 1"/>
    <w:aliases w:val="Párrafo de lista1,Footnote,Colorful List - Accent 11,List Paragraph1"/>
    <w:basedOn w:val="TableNormal"/>
    <w:link w:val="Listavistosa-nfasis1Car"/>
    <w:uiPriority w:val="99"/>
    <w:rsid w:val="008946F7"/>
    <w:rPr>
      <w:rFonts w:ascii="Calibri" w:eastAsia="Times New Roman" w:hAnsi="Calibri" w:cs="Calibri"/>
      <w:lang w:val="es-CO"/>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EndnoteText">
    <w:name w:val="endnote text"/>
    <w:basedOn w:val="Normal"/>
    <w:link w:val="EndnoteTextChar"/>
    <w:uiPriority w:val="99"/>
    <w:semiHidden/>
    <w:rsid w:val="001E714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E7142"/>
    <w:rPr>
      <w:sz w:val="20"/>
      <w:szCs w:val="20"/>
    </w:rPr>
  </w:style>
  <w:style w:type="character" w:styleId="EndnoteReference">
    <w:name w:val="endnote reference"/>
    <w:basedOn w:val="DefaultParagraphFont"/>
    <w:uiPriority w:val="99"/>
    <w:semiHidden/>
    <w:rsid w:val="001E7142"/>
    <w:rPr>
      <w:vertAlign w:val="superscript"/>
    </w:rPr>
  </w:style>
  <w:style w:type="character" w:customStyle="1" w:styleId="FootnoteTextCharCharCharCharCharCar">
    <w:name w:val="Footnote Text Char Char Char Char Char Car"/>
    <w:aliases w:val="Footnote Text Char Char Char Char Car,Footnote reference Car,FA Fu Car,Footnote Text Char Char Char Car,Footnote Text Cha Car,FA Fußnotentext Car,FA Fuﬂnotentext Car,Footnote Text Char Char Car,Ca Car,C Car"/>
    <w:uiPriority w:val="99"/>
    <w:rsid w:val="0043135D"/>
    <w:rPr>
      <w:rFonts w:eastAsia="Times New Roman"/>
      <w:spacing w:val="0"/>
      <w:lang w:val="es-ES_tradnl"/>
    </w:rPr>
  </w:style>
  <w:style w:type="character" w:customStyle="1" w:styleId="ColorfulList-Accent1Char">
    <w:name w:val="Colorful List - Accent 1 Char"/>
    <w:aliases w:val="Párrafo de lista1 Char,Footnote Char,Colorful List - Accent 11 Char,List Paragraph1 Char"/>
    <w:uiPriority w:val="99"/>
    <w:locked/>
    <w:rsid w:val="004A69AD"/>
    <w:rPr>
      <w:rFonts w:ascii="Calibri" w:hAnsi="Calibri" w:cs="Calibri"/>
      <w:sz w:val="22"/>
      <w:szCs w:val="22"/>
      <w:lang w:val="es-CO" w:eastAsia="en-US"/>
    </w:rPr>
  </w:style>
  <w:style w:type="character" w:customStyle="1" w:styleId="apple-converted-space">
    <w:name w:val="apple-converted-space"/>
    <w:basedOn w:val="DefaultParagraphFont"/>
    <w:uiPriority w:val="99"/>
    <w:rsid w:val="00DE7615"/>
  </w:style>
  <w:style w:type="paragraph" w:styleId="BalloonText">
    <w:name w:val="Balloon Text"/>
    <w:basedOn w:val="Normal"/>
    <w:link w:val="BalloonTextChar"/>
    <w:uiPriority w:val="99"/>
    <w:semiHidden/>
    <w:unhideWhenUsed/>
    <w:rsid w:val="0059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2C3"/>
    <w:rPr>
      <w:rFonts w:ascii="Tahoma" w:hAnsi="Tahoma" w:cs="Tahoma"/>
      <w:sz w:val="16"/>
      <w:szCs w:val="16"/>
      <w:lang w:val="es-ES"/>
    </w:rPr>
  </w:style>
  <w:style w:type="character" w:styleId="Strong">
    <w:name w:val="Strong"/>
    <w:basedOn w:val="DefaultParagraphFont"/>
    <w:uiPriority w:val="22"/>
    <w:qFormat/>
    <w:locked/>
    <w:rsid w:val="006F6184"/>
    <w:rPr>
      <w:b/>
      <w:bCs/>
    </w:rPr>
  </w:style>
  <w:style w:type="paragraph" w:styleId="Header">
    <w:name w:val="header"/>
    <w:basedOn w:val="Normal"/>
    <w:link w:val="HeaderChar"/>
    <w:uiPriority w:val="99"/>
    <w:unhideWhenUsed/>
    <w:rsid w:val="006F6184"/>
    <w:pPr>
      <w:tabs>
        <w:tab w:val="center" w:pos="4419"/>
        <w:tab w:val="right" w:pos="8838"/>
      </w:tabs>
      <w:spacing w:after="0" w:line="240" w:lineRule="auto"/>
    </w:pPr>
  </w:style>
  <w:style w:type="character" w:customStyle="1" w:styleId="HeaderChar">
    <w:name w:val="Header Char"/>
    <w:basedOn w:val="DefaultParagraphFont"/>
    <w:link w:val="Header"/>
    <w:uiPriority w:val="99"/>
    <w:rsid w:val="006F6184"/>
    <w:rPr>
      <w:lang w:val="es-ES"/>
    </w:rPr>
  </w:style>
  <w:style w:type="paragraph" w:styleId="Footer">
    <w:name w:val="footer"/>
    <w:basedOn w:val="Normal"/>
    <w:link w:val="FooterChar"/>
    <w:uiPriority w:val="99"/>
    <w:unhideWhenUsed/>
    <w:rsid w:val="006F6184"/>
    <w:pPr>
      <w:tabs>
        <w:tab w:val="center" w:pos="4419"/>
        <w:tab w:val="right" w:pos="8838"/>
      </w:tabs>
      <w:spacing w:after="0" w:line="240" w:lineRule="auto"/>
    </w:pPr>
  </w:style>
  <w:style w:type="character" w:customStyle="1" w:styleId="FooterChar">
    <w:name w:val="Footer Char"/>
    <w:basedOn w:val="DefaultParagraphFont"/>
    <w:link w:val="Footer"/>
    <w:uiPriority w:val="99"/>
    <w:rsid w:val="006F6184"/>
    <w:rPr>
      <w:lang w:val="es-ES"/>
    </w:rPr>
  </w:style>
  <w:style w:type="character" w:styleId="CommentReference">
    <w:name w:val="annotation reference"/>
    <w:basedOn w:val="DefaultParagraphFont"/>
    <w:uiPriority w:val="99"/>
    <w:semiHidden/>
    <w:unhideWhenUsed/>
    <w:rsid w:val="004D6733"/>
    <w:rPr>
      <w:sz w:val="16"/>
      <w:szCs w:val="16"/>
    </w:rPr>
  </w:style>
  <w:style w:type="paragraph" w:styleId="CommentText">
    <w:name w:val="annotation text"/>
    <w:basedOn w:val="Normal"/>
    <w:link w:val="CommentTextChar"/>
    <w:uiPriority w:val="99"/>
    <w:semiHidden/>
    <w:unhideWhenUsed/>
    <w:rsid w:val="004D6733"/>
    <w:pPr>
      <w:spacing w:line="240" w:lineRule="auto"/>
    </w:pPr>
    <w:rPr>
      <w:sz w:val="20"/>
      <w:szCs w:val="20"/>
    </w:rPr>
  </w:style>
  <w:style w:type="character" w:customStyle="1" w:styleId="CommentTextChar">
    <w:name w:val="Comment Text Char"/>
    <w:basedOn w:val="DefaultParagraphFont"/>
    <w:link w:val="CommentText"/>
    <w:uiPriority w:val="99"/>
    <w:semiHidden/>
    <w:rsid w:val="004D6733"/>
    <w:rPr>
      <w:sz w:val="20"/>
      <w:szCs w:val="20"/>
      <w:lang w:val="es-ES"/>
    </w:rPr>
  </w:style>
  <w:style w:type="paragraph" w:styleId="CommentSubject">
    <w:name w:val="annotation subject"/>
    <w:basedOn w:val="CommentText"/>
    <w:next w:val="CommentText"/>
    <w:link w:val="CommentSubjectChar"/>
    <w:uiPriority w:val="99"/>
    <w:semiHidden/>
    <w:unhideWhenUsed/>
    <w:rsid w:val="004D6733"/>
    <w:rPr>
      <w:b/>
      <w:bCs/>
    </w:rPr>
  </w:style>
  <w:style w:type="character" w:customStyle="1" w:styleId="CommentSubjectChar">
    <w:name w:val="Comment Subject Char"/>
    <w:basedOn w:val="CommentTextChar"/>
    <w:link w:val="CommentSubject"/>
    <w:uiPriority w:val="99"/>
    <w:semiHidden/>
    <w:rsid w:val="004D6733"/>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67831">
      <w:bodyDiv w:val="1"/>
      <w:marLeft w:val="0"/>
      <w:marRight w:val="0"/>
      <w:marTop w:val="0"/>
      <w:marBottom w:val="0"/>
      <w:divBdr>
        <w:top w:val="none" w:sz="0" w:space="0" w:color="auto"/>
        <w:left w:val="none" w:sz="0" w:space="0" w:color="auto"/>
        <w:bottom w:val="none" w:sz="0" w:space="0" w:color="auto"/>
        <w:right w:val="none" w:sz="0" w:space="0" w:color="auto"/>
      </w:divBdr>
    </w:div>
    <w:div w:id="113745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4030</Words>
  <Characters>22165</Characters>
  <Application>Microsoft Office Word</Application>
  <DocSecurity>0</DocSecurity>
  <Lines>184</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ESQUEMA VOTO CASO GRANIER</vt:lpstr>
      <vt:lpstr>ESQUEMA VOTO CASO GRANIER</vt:lpstr>
    </vt:vector>
  </TitlesOfParts>
  <Company>Hewlett-Packard Company</Company>
  <LinksUpToDate>false</LinksUpToDate>
  <CharactersWithSpaces>26143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ESQUEMA VOTO CASO GRANIER</dc:title>
  <dc:creator>Corte IDH</dc:creator>
  <cp:lastModifiedBy>Jairo Guadamuz</cp:lastModifiedBy>
  <cp:revision>3</cp:revision>
  <cp:lastPrinted>2015-08-20T15:18:00Z</cp:lastPrinted>
  <dcterms:created xsi:type="dcterms:W3CDTF">2015-09-07T16:46:00Z</dcterms:created>
  <dcterms:modified xsi:type="dcterms:W3CDTF">2015-09-07T21:21:00Z</dcterms:modified>
</cp:coreProperties>
</file>