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44C" w:rsidRDefault="002B644C" w:rsidP="00ED130A">
      <w:pPr>
        <w:tabs>
          <w:tab w:val="left" w:pos="709"/>
        </w:tabs>
        <w:spacing w:after="0" w:line="240" w:lineRule="auto"/>
        <w:jc w:val="center"/>
        <w:rPr>
          <w:rFonts w:ascii="Verdana" w:hAnsi="Verdana"/>
          <w:b/>
          <w:sz w:val="20"/>
          <w:szCs w:val="20"/>
          <w:lang w:val="es-CR"/>
        </w:rPr>
      </w:pPr>
      <w:bookmarkStart w:id="0" w:name="_GoBack"/>
      <w:bookmarkEnd w:id="0"/>
    </w:p>
    <w:p w:rsidR="002B644C" w:rsidRDefault="002B644C" w:rsidP="00ED130A">
      <w:pPr>
        <w:tabs>
          <w:tab w:val="left" w:pos="709"/>
        </w:tabs>
        <w:spacing w:after="0" w:line="240" w:lineRule="auto"/>
        <w:jc w:val="center"/>
        <w:rPr>
          <w:rFonts w:ascii="Verdana" w:hAnsi="Verdana"/>
          <w:b/>
          <w:sz w:val="20"/>
          <w:szCs w:val="20"/>
          <w:lang w:val="es-CR"/>
        </w:rPr>
      </w:pPr>
    </w:p>
    <w:p w:rsidR="002B644C" w:rsidRDefault="002B644C" w:rsidP="00ED130A">
      <w:pPr>
        <w:tabs>
          <w:tab w:val="left" w:pos="709"/>
        </w:tabs>
        <w:spacing w:after="0" w:line="240" w:lineRule="auto"/>
        <w:jc w:val="center"/>
        <w:rPr>
          <w:rFonts w:ascii="Verdana" w:hAnsi="Verdana"/>
          <w:b/>
          <w:sz w:val="20"/>
          <w:szCs w:val="20"/>
          <w:lang w:val="es-CR"/>
        </w:rPr>
      </w:pPr>
    </w:p>
    <w:p w:rsidR="002B644C" w:rsidRDefault="002B644C" w:rsidP="00ED130A">
      <w:pPr>
        <w:tabs>
          <w:tab w:val="left" w:pos="709"/>
        </w:tabs>
        <w:spacing w:after="0" w:line="240" w:lineRule="auto"/>
        <w:jc w:val="center"/>
        <w:rPr>
          <w:rFonts w:ascii="Verdana" w:hAnsi="Verdana"/>
          <w:b/>
          <w:sz w:val="20"/>
          <w:szCs w:val="20"/>
          <w:lang w:val="es-CR"/>
        </w:rPr>
      </w:pPr>
    </w:p>
    <w:p w:rsidR="00E17AD4" w:rsidRPr="003F21C7" w:rsidRDefault="00E17AD4" w:rsidP="00ED130A">
      <w:pPr>
        <w:tabs>
          <w:tab w:val="left" w:pos="709"/>
        </w:tabs>
        <w:spacing w:after="0" w:line="240" w:lineRule="auto"/>
        <w:jc w:val="center"/>
        <w:rPr>
          <w:rFonts w:ascii="Verdana" w:hAnsi="Verdana"/>
          <w:b/>
          <w:sz w:val="20"/>
          <w:szCs w:val="20"/>
          <w:lang w:val="es-CR"/>
        </w:rPr>
      </w:pPr>
      <w:r w:rsidRPr="003F21C7">
        <w:rPr>
          <w:rFonts w:ascii="Verdana" w:hAnsi="Verdana"/>
          <w:b/>
          <w:sz w:val="20"/>
          <w:szCs w:val="20"/>
          <w:lang w:val="es-CR"/>
        </w:rPr>
        <w:t>VOTO CONCURRENTE DEL JUEZ HUMBERTO ANTONIO SIERRA PORTO</w:t>
      </w:r>
    </w:p>
    <w:p w:rsidR="00E17AD4" w:rsidRPr="003F21C7" w:rsidRDefault="00E17AD4" w:rsidP="00ED130A">
      <w:pPr>
        <w:tabs>
          <w:tab w:val="left" w:pos="709"/>
        </w:tabs>
        <w:spacing w:after="0" w:line="240" w:lineRule="auto"/>
        <w:jc w:val="center"/>
        <w:rPr>
          <w:rFonts w:ascii="Verdana" w:hAnsi="Verdana"/>
          <w:b/>
          <w:sz w:val="20"/>
          <w:szCs w:val="20"/>
          <w:lang w:val="es-CR"/>
        </w:rPr>
      </w:pPr>
    </w:p>
    <w:p w:rsidR="00E17AD4" w:rsidRPr="003F21C7" w:rsidRDefault="00E17AD4" w:rsidP="00ED130A">
      <w:pPr>
        <w:tabs>
          <w:tab w:val="left" w:pos="709"/>
        </w:tabs>
        <w:spacing w:after="0" w:line="240" w:lineRule="auto"/>
        <w:jc w:val="center"/>
        <w:rPr>
          <w:rFonts w:ascii="Verdana" w:hAnsi="Verdana"/>
          <w:b/>
          <w:sz w:val="20"/>
          <w:szCs w:val="20"/>
          <w:lang w:val="es-CR"/>
        </w:rPr>
      </w:pPr>
      <w:r w:rsidRPr="003F21C7">
        <w:rPr>
          <w:rFonts w:ascii="Verdana" w:hAnsi="Verdana"/>
          <w:b/>
          <w:sz w:val="20"/>
          <w:szCs w:val="20"/>
          <w:lang w:val="es-CR"/>
        </w:rPr>
        <w:t>SENTENCIA DE LA CORTE INTERAMERICANA DE DERECHOS HUMANOS</w:t>
      </w:r>
    </w:p>
    <w:p w:rsidR="00E17AD4" w:rsidRPr="003F21C7" w:rsidRDefault="00E17AD4" w:rsidP="00ED130A">
      <w:pPr>
        <w:tabs>
          <w:tab w:val="left" w:pos="709"/>
        </w:tabs>
        <w:spacing w:after="0" w:line="240" w:lineRule="auto"/>
        <w:jc w:val="center"/>
        <w:rPr>
          <w:rFonts w:ascii="Verdana" w:hAnsi="Verdana"/>
          <w:b/>
          <w:sz w:val="20"/>
          <w:szCs w:val="20"/>
          <w:lang w:val="es-CR"/>
        </w:rPr>
      </w:pPr>
    </w:p>
    <w:p w:rsidR="00E17AD4" w:rsidRPr="00D05439" w:rsidRDefault="00E17AD4" w:rsidP="00ED130A">
      <w:pPr>
        <w:tabs>
          <w:tab w:val="left" w:pos="709"/>
        </w:tabs>
        <w:spacing w:after="0" w:line="240" w:lineRule="auto"/>
        <w:jc w:val="center"/>
        <w:rPr>
          <w:rFonts w:ascii="Verdana" w:hAnsi="Verdana" w:cs="Verdana Bold"/>
          <w:b/>
          <w:bCs/>
          <w:i/>
          <w:caps/>
          <w:sz w:val="20"/>
          <w:szCs w:val="20"/>
          <w:u w:val="single"/>
        </w:rPr>
      </w:pPr>
      <w:r w:rsidRPr="00D05439">
        <w:rPr>
          <w:rFonts w:ascii="Verdana" w:hAnsi="Verdana"/>
          <w:b/>
          <w:i/>
          <w:sz w:val="20"/>
          <w:szCs w:val="20"/>
          <w:u w:val="single"/>
          <w:lang w:val="es-CR"/>
        </w:rPr>
        <w:t xml:space="preserve">CASO </w:t>
      </w:r>
      <w:r w:rsidR="002D1823" w:rsidRPr="00D05439">
        <w:rPr>
          <w:rFonts w:ascii="Verdana" w:eastAsia="MS Mincho" w:hAnsi="Verdana"/>
          <w:b/>
          <w:i/>
          <w:sz w:val="20"/>
          <w:szCs w:val="20"/>
          <w:u w:val="single"/>
        </w:rPr>
        <w:t>CASO GONZALES LLUY Y OTROS VS. ECUADO</w:t>
      </w:r>
      <w:r w:rsidR="002D1823" w:rsidRPr="00D05439">
        <w:rPr>
          <w:rFonts w:ascii="Verdana" w:hAnsi="Verdana" w:cs="Verdana Bold"/>
          <w:b/>
          <w:bCs/>
          <w:i/>
          <w:caps/>
          <w:sz w:val="20"/>
          <w:szCs w:val="20"/>
          <w:u w:val="single"/>
        </w:rPr>
        <w:t>R</w:t>
      </w:r>
    </w:p>
    <w:p w:rsidR="002D1823" w:rsidRPr="003F21C7" w:rsidRDefault="002D1823" w:rsidP="00ED130A">
      <w:pPr>
        <w:tabs>
          <w:tab w:val="left" w:pos="709"/>
        </w:tabs>
        <w:spacing w:after="0" w:line="240" w:lineRule="auto"/>
        <w:jc w:val="center"/>
        <w:rPr>
          <w:rFonts w:ascii="Verdana" w:hAnsi="Verdana"/>
          <w:b/>
          <w:sz w:val="20"/>
          <w:szCs w:val="20"/>
          <w:lang w:val="es-CR"/>
        </w:rPr>
      </w:pPr>
    </w:p>
    <w:p w:rsidR="00E17AD4" w:rsidRPr="003F21C7" w:rsidRDefault="00E17AD4" w:rsidP="00ED130A">
      <w:pPr>
        <w:tabs>
          <w:tab w:val="left" w:pos="709"/>
        </w:tabs>
        <w:spacing w:after="0" w:line="240" w:lineRule="auto"/>
        <w:jc w:val="center"/>
        <w:rPr>
          <w:rFonts w:ascii="Verdana" w:hAnsi="Verdana"/>
          <w:b/>
          <w:sz w:val="20"/>
          <w:szCs w:val="20"/>
          <w:lang w:val="es-CR"/>
        </w:rPr>
      </w:pPr>
      <w:r w:rsidRPr="003F21C7">
        <w:rPr>
          <w:rFonts w:ascii="Verdana" w:hAnsi="Verdana"/>
          <w:b/>
          <w:sz w:val="20"/>
          <w:szCs w:val="20"/>
          <w:lang w:val="es-CR"/>
        </w:rPr>
        <w:t xml:space="preserve">SENTENCIA DE </w:t>
      </w:r>
      <w:r w:rsidR="002D1823" w:rsidRPr="003F21C7">
        <w:rPr>
          <w:rFonts w:ascii="Verdana" w:hAnsi="Verdana"/>
          <w:b/>
          <w:sz w:val="20"/>
          <w:szCs w:val="20"/>
          <w:lang w:val="es-CR"/>
        </w:rPr>
        <w:t>1</w:t>
      </w:r>
      <w:r w:rsidRPr="003F21C7">
        <w:rPr>
          <w:rFonts w:ascii="Verdana" w:hAnsi="Verdana"/>
          <w:b/>
          <w:sz w:val="20"/>
          <w:szCs w:val="20"/>
          <w:lang w:val="es-CR"/>
        </w:rPr>
        <w:t xml:space="preserve"> DE </w:t>
      </w:r>
      <w:r w:rsidR="002D1823" w:rsidRPr="003F21C7">
        <w:rPr>
          <w:rFonts w:ascii="Verdana" w:hAnsi="Verdana"/>
          <w:b/>
          <w:sz w:val="20"/>
          <w:szCs w:val="20"/>
          <w:lang w:val="es-CR"/>
        </w:rPr>
        <w:t>SEPTIEMBRE</w:t>
      </w:r>
      <w:r w:rsidRPr="003F21C7">
        <w:rPr>
          <w:rFonts w:ascii="Verdana" w:hAnsi="Verdana"/>
          <w:b/>
          <w:sz w:val="20"/>
          <w:szCs w:val="20"/>
          <w:lang w:val="es-CR"/>
        </w:rPr>
        <w:t xml:space="preserve"> DE 2015</w:t>
      </w:r>
    </w:p>
    <w:p w:rsidR="002D1823" w:rsidRPr="003F21C7" w:rsidRDefault="002D1823" w:rsidP="00D05439">
      <w:pPr>
        <w:tabs>
          <w:tab w:val="left" w:pos="709"/>
        </w:tabs>
        <w:spacing w:after="0" w:line="240" w:lineRule="auto"/>
        <w:rPr>
          <w:rFonts w:ascii="Verdana" w:hAnsi="Verdana"/>
          <w:b/>
          <w:sz w:val="20"/>
          <w:szCs w:val="20"/>
          <w:lang w:val="es-CR"/>
        </w:rPr>
      </w:pPr>
    </w:p>
    <w:p w:rsidR="002D1823" w:rsidRPr="00D05439" w:rsidRDefault="00E17AD4" w:rsidP="00ED130A">
      <w:pPr>
        <w:tabs>
          <w:tab w:val="left" w:pos="709"/>
        </w:tabs>
        <w:spacing w:after="0" w:line="240" w:lineRule="auto"/>
        <w:jc w:val="center"/>
        <w:rPr>
          <w:rFonts w:ascii="Verdana" w:hAnsi="Verdana"/>
          <w:b/>
          <w:i/>
          <w:sz w:val="20"/>
          <w:szCs w:val="20"/>
          <w:lang w:val="es-CR"/>
        </w:rPr>
      </w:pPr>
      <w:r w:rsidRPr="00D05439">
        <w:rPr>
          <w:rFonts w:ascii="Verdana" w:hAnsi="Verdana"/>
          <w:b/>
          <w:i/>
          <w:sz w:val="20"/>
          <w:szCs w:val="20"/>
          <w:lang w:val="es-CR"/>
        </w:rPr>
        <w:t>(Excepciones Preliminare</w:t>
      </w:r>
      <w:r w:rsidR="002D1823" w:rsidRPr="00D05439">
        <w:rPr>
          <w:rFonts w:ascii="Verdana" w:hAnsi="Verdana"/>
          <w:b/>
          <w:i/>
          <w:sz w:val="20"/>
          <w:szCs w:val="20"/>
          <w:lang w:val="es-CR"/>
        </w:rPr>
        <w:t>s, Fondo, Reparaciones y Costas</w:t>
      </w:r>
      <w:r w:rsidR="00EB0FB4" w:rsidRPr="00D05439">
        <w:rPr>
          <w:rFonts w:ascii="Verdana" w:hAnsi="Verdana"/>
          <w:b/>
          <w:i/>
          <w:sz w:val="20"/>
          <w:szCs w:val="20"/>
          <w:lang w:val="es-CR"/>
        </w:rPr>
        <w:t>)</w:t>
      </w:r>
    </w:p>
    <w:p w:rsidR="002D1823" w:rsidRPr="003F21C7" w:rsidRDefault="002D1823" w:rsidP="00ED130A">
      <w:pPr>
        <w:tabs>
          <w:tab w:val="left" w:pos="709"/>
        </w:tabs>
        <w:spacing w:after="0" w:line="240" w:lineRule="auto"/>
        <w:jc w:val="center"/>
        <w:rPr>
          <w:rFonts w:ascii="Verdana" w:hAnsi="Verdana"/>
          <w:b/>
          <w:sz w:val="20"/>
          <w:szCs w:val="20"/>
          <w:lang w:val="es-CR"/>
        </w:rPr>
      </w:pPr>
    </w:p>
    <w:p w:rsidR="00580FD9" w:rsidRPr="003F21C7" w:rsidRDefault="00580FD9" w:rsidP="00ED130A">
      <w:pPr>
        <w:tabs>
          <w:tab w:val="left" w:pos="709"/>
        </w:tabs>
        <w:spacing w:after="0" w:line="240" w:lineRule="auto"/>
        <w:rPr>
          <w:rFonts w:ascii="Verdana" w:hAnsi="Verdana"/>
          <w:sz w:val="20"/>
          <w:szCs w:val="20"/>
          <w:lang w:val="es-CR"/>
        </w:rPr>
      </w:pPr>
    </w:p>
    <w:p w:rsidR="00BC4211" w:rsidRPr="003F21C7" w:rsidRDefault="00BC4211" w:rsidP="00ED130A">
      <w:pPr>
        <w:pStyle w:val="ListParagraph"/>
        <w:numPr>
          <w:ilvl w:val="0"/>
          <w:numId w:val="2"/>
        </w:numPr>
        <w:tabs>
          <w:tab w:val="left" w:pos="709"/>
        </w:tabs>
        <w:spacing w:after="0" w:line="240" w:lineRule="auto"/>
        <w:rPr>
          <w:rFonts w:ascii="Verdana" w:hAnsi="Verdana"/>
          <w:b/>
          <w:sz w:val="20"/>
          <w:szCs w:val="20"/>
          <w:lang w:val="es-CR"/>
        </w:rPr>
      </w:pPr>
      <w:r w:rsidRPr="003F21C7">
        <w:rPr>
          <w:rFonts w:ascii="Verdana" w:hAnsi="Verdana"/>
          <w:b/>
          <w:sz w:val="20"/>
          <w:szCs w:val="20"/>
          <w:lang w:val="es-CR"/>
        </w:rPr>
        <w:t>Introducción</w:t>
      </w:r>
    </w:p>
    <w:p w:rsidR="00BC4211" w:rsidRPr="003F21C7" w:rsidRDefault="00BC4211" w:rsidP="00ED130A">
      <w:pPr>
        <w:pStyle w:val="ListParagraph"/>
        <w:tabs>
          <w:tab w:val="left" w:pos="709"/>
        </w:tabs>
        <w:spacing w:after="0" w:line="240" w:lineRule="auto"/>
        <w:rPr>
          <w:rFonts w:ascii="Verdana" w:hAnsi="Verdana"/>
          <w:b/>
          <w:sz w:val="20"/>
          <w:szCs w:val="20"/>
          <w:lang w:val="es-CR"/>
        </w:rPr>
      </w:pPr>
    </w:p>
    <w:p w:rsidR="00580FD9" w:rsidRPr="003F21C7" w:rsidRDefault="00C11E64" w:rsidP="00ED130A">
      <w:pPr>
        <w:pStyle w:val="ListParagraph"/>
        <w:numPr>
          <w:ilvl w:val="0"/>
          <w:numId w:val="1"/>
        </w:numPr>
        <w:tabs>
          <w:tab w:val="left" w:pos="426"/>
          <w:tab w:val="left" w:pos="709"/>
        </w:tabs>
        <w:spacing w:after="0" w:line="240" w:lineRule="auto"/>
        <w:ind w:left="0" w:firstLine="0"/>
        <w:jc w:val="both"/>
        <w:rPr>
          <w:rFonts w:ascii="Verdana" w:hAnsi="Verdana"/>
          <w:sz w:val="20"/>
          <w:szCs w:val="20"/>
        </w:rPr>
      </w:pPr>
      <w:r w:rsidRPr="003F21C7">
        <w:rPr>
          <w:rFonts w:ascii="Verdana" w:hAnsi="Verdana"/>
          <w:sz w:val="20"/>
          <w:szCs w:val="20"/>
        </w:rPr>
        <w:t xml:space="preserve">La finalidad del presente voto concurrente es ampliar y complementar las razones por las cuales considero que no es necesario declarar la violación del artículo 26 de la Convención de la Americana </w:t>
      </w:r>
      <w:r w:rsidR="00767B7F">
        <w:rPr>
          <w:rFonts w:ascii="Verdana" w:hAnsi="Verdana"/>
          <w:sz w:val="20"/>
          <w:szCs w:val="20"/>
        </w:rPr>
        <w:t>sobre Derechos Humanos</w:t>
      </w:r>
      <w:r w:rsidR="00767B7F" w:rsidRPr="003F21C7">
        <w:rPr>
          <w:rFonts w:ascii="Verdana" w:hAnsi="Verdana"/>
          <w:sz w:val="20"/>
          <w:szCs w:val="20"/>
        </w:rPr>
        <w:t xml:space="preserve"> (en adelante “</w:t>
      </w:r>
      <w:r w:rsidR="00767B7F">
        <w:rPr>
          <w:rFonts w:ascii="Verdana" w:hAnsi="Verdana"/>
          <w:sz w:val="20"/>
          <w:szCs w:val="20"/>
        </w:rPr>
        <w:t>la Convención</w:t>
      </w:r>
      <w:r w:rsidR="00767B7F" w:rsidRPr="003F21C7">
        <w:rPr>
          <w:rFonts w:ascii="Verdana" w:hAnsi="Verdana"/>
          <w:sz w:val="20"/>
          <w:szCs w:val="20"/>
        </w:rPr>
        <w:t>”</w:t>
      </w:r>
      <w:r w:rsidR="00767B7F">
        <w:rPr>
          <w:rFonts w:ascii="Verdana" w:hAnsi="Verdana"/>
          <w:sz w:val="20"/>
          <w:szCs w:val="20"/>
        </w:rPr>
        <w:t xml:space="preserve"> o “la Convención Americana”</w:t>
      </w:r>
      <w:r w:rsidR="00767B7F" w:rsidRPr="003F21C7">
        <w:rPr>
          <w:rFonts w:ascii="Verdana" w:hAnsi="Verdana"/>
          <w:sz w:val="20"/>
          <w:szCs w:val="20"/>
        </w:rPr>
        <w:t>)</w:t>
      </w:r>
      <w:r w:rsidR="00767B7F">
        <w:rPr>
          <w:rFonts w:ascii="Verdana" w:hAnsi="Verdana"/>
          <w:sz w:val="20"/>
          <w:szCs w:val="20"/>
        </w:rPr>
        <w:t xml:space="preserve"> </w:t>
      </w:r>
      <w:r w:rsidRPr="003F21C7">
        <w:rPr>
          <w:rFonts w:ascii="Verdana" w:hAnsi="Verdana"/>
          <w:sz w:val="20"/>
          <w:szCs w:val="20"/>
        </w:rPr>
        <w:t>para alcanzar la efectiva protección y garantía de los derechos económicos, sociales y culturales (en adelante “DESC”). Por el contrario, mi opinión jurídica sobre la materia es que esta vía para intentar hacer justiciables los DESC</w:t>
      </w:r>
      <w:r w:rsidR="0043677C" w:rsidRPr="003F21C7">
        <w:rPr>
          <w:rFonts w:ascii="Verdana" w:hAnsi="Verdana"/>
          <w:sz w:val="20"/>
          <w:szCs w:val="20"/>
        </w:rPr>
        <w:t>,</w:t>
      </w:r>
      <w:r w:rsidRPr="003F21C7">
        <w:rPr>
          <w:rFonts w:ascii="Verdana" w:hAnsi="Verdana"/>
          <w:sz w:val="20"/>
          <w:szCs w:val="20"/>
        </w:rPr>
        <w:t xml:space="preserve"> en el marco del sistema interamericano</w:t>
      </w:r>
      <w:r w:rsidR="0043677C" w:rsidRPr="003F21C7">
        <w:rPr>
          <w:rFonts w:ascii="Verdana" w:hAnsi="Verdana"/>
          <w:sz w:val="20"/>
          <w:szCs w:val="20"/>
        </w:rPr>
        <w:t>,</w:t>
      </w:r>
      <w:r w:rsidRPr="003F21C7">
        <w:rPr>
          <w:rFonts w:ascii="Verdana" w:hAnsi="Verdana"/>
          <w:sz w:val="20"/>
          <w:szCs w:val="20"/>
        </w:rPr>
        <w:t xml:space="preserve"> puede llegar a ser incluso más problemática que otras vías existentes y ya aplicadas por la Corte.</w:t>
      </w:r>
      <w:r w:rsidR="004F638D" w:rsidRPr="003F21C7">
        <w:rPr>
          <w:rFonts w:ascii="Verdana" w:hAnsi="Verdana"/>
          <w:sz w:val="20"/>
          <w:szCs w:val="20"/>
        </w:rPr>
        <w:t xml:space="preserve"> Por ejemplo, en el presente caso la Corte protegió</w:t>
      </w:r>
      <w:r w:rsidR="00B7729A" w:rsidRPr="003F21C7">
        <w:rPr>
          <w:rFonts w:ascii="Verdana" w:hAnsi="Verdana"/>
          <w:sz w:val="20"/>
          <w:szCs w:val="20"/>
        </w:rPr>
        <w:t xml:space="preserve"> el derecho a la salud vía conexidad con los derechos a la vida y a la integridad personal, al declarar vulnerada</w:t>
      </w:r>
      <w:r w:rsidR="004F638D" w:rsidRPr="003F21C7">
        <w:rPr>
          <w:rFonts w:ascii="Verdana" w:hAnsi="Verdana"/>
          <w:sz w:val="20"/>
          <w:szCs w:val="20"/>
        </w:rPr>
        <w:t xml:space="preserve"> “</w:t>
      </w:r>
      <w:r w:rsidR="004F638D" w:rsidRPr="003F21C7">
        <w:rPr>
          <w:rFonts w:ascii="Verdana" w:hAnsi="Verdana"/>
          <w:sz w:val="20"/>
          <w:szCs w:val="20"/>
          <w:lang w:val="es-CO"/>
        </w:rPr>
        <w:t>la obligación de fiscalización y supervisión de la prestación de servicios de salud, en el marco del derecho a la integridad personal y de la obligació</w:t>
      </w:r>
      <w:r w:rsidR="00B7729A" w:rsidRPr="003F21C7">
        <w:rPr>
          <w:rFonts w:ascii="Verdana" w:hAnsi="Verdana"/>
          <w:sz w:val="20"/>
          <w:szCs w:val="20"/>
          <w:lang w:val="es-CO"/>
        </w:rPr>
        <w:t>n de no poner en riesgo la vida</w:t>
      </w:r>
      <w:r w:rsidR="004F638D" w:rsidRPr="003F21C7">
        <w:rPr>
          <w:rFonts w:ascii="Verdana" w:hAnsi="Verdana"/>
          <w:sz w:val="20"/>
          <w:szCs w:val="20"/>
        </w:rPr>
        <w:t>”</w:t>
      </w:r>
      <w:r w:rsidR="004F638D" w:rsidRPr="003F21C7">
        <w:rPr>
          <w:rStyle w:val="FootnoteReference"/>
          <w:rFonts w:ascii="Verdana" w:hAnsi="Verdana"/>
          <w:sz w:val="20"/>
          <w:szCs w:val="20"/>
        </w:rPr>
        <w:footnoteReference w:id="1"/>
      </w:r>
      <w:r w:rsidR="00B7729A" w:rsidRPr="003F21C7">
        <w:rPr>
          <w:rFonts w:ascii="Verdana" w:hAnsi="Verdana"/>
          <w:sz w:val="20"/>
          <w:szCs w:val="20"/>
        </w:rPr>
        <w:t>.</w:t>
      </w:r>
    </w:p>
    <w:p w:rsidR="00580FD9" w:rsidRPr="003F21C7" w:rsidRDefault="00580FD9" w:rsidP="00ED130A">
      <w:pPr>
        <w:pStyle w:val="ListParagraph"/>
        <w:tabs>
          <w:tab w:val="left" w:pos="426"/>
          <w:tab w:val="left" w:pos="709"/>
        </w:tabs>
        <w:spacing w:after="0" w:line="240" w:lineRule="auto"/>
        <w:ind w:left="0"/>
        <w:jc w:val="both"/>
        <w:rPr>
          <w:rFonts w:ascii="Verdana" w:hAnsi="Verdana"/>
          <w:sz w:val="20"/>
          <w:szCs w:val="20"/>
        </w:rPr>
      </w:pPr>
    </w:p>
    <w:p w:rsidR="00A80BCA" w:rsidRPr="003F21C7" w:rsidRDefault="00EA473B" w:rsidP="00ED130A">
      <w:pPr>
        <w:pStyle w:val="ListParagraph"/>
        <w:numPr>
          <w:ilvl w:val="0"/>
          <w:numId w:val="1"/>
        </w:numPr>
        <w:tabs>
          <w:tab w:val="left" w:pos="426"/>
          <w:tab w:val="left" w:pos="709"/>
        </w:tabs>
        <w:spacing w:after="0" w:line="240" w:lineRule="auto"/>
        <w:ind w:left="0" w:firstLine="0"/>
        <w:jc w:val="both"/>
        <w:rPr>
          <w:rFonts w:ascii="Verdana" w:hAnsi="Verdana"/>
          <w:sz w:val="20"/>
          <w:szCs w:val="20"/>
        </w:rPr>
      </w:pPr>
      <w:r w:rsidRPr="003F21C7">
        <w:rPr>
          <w:rFonts w:ascii="Verdana" w:hAnsi="Verdana"/>
          <w:sz w:val="20"/>
          <w:szCs w:val="20"/>
        </w:rPr>
        <w:t xml:space="preserve"> Al respecto, quisiera aclarar que parto de la premisa</w:t>
      </w:r>
      <w:r w:rsidR="00C11E64" w:rsidRPr="003F21C7">
        <w:rPr>
          <w:rFonts w:ascii="Verdana" w:hAnsi="Verdana"/>
          <w:sz w:val="20"/>
          <w:szCs w:val="20"/>
        </w:rPr>
        <w:t xml:space="preserve"> </w:t>
      </w:r>
      <w:r w:rsidR="0043677C" w:rsidRPr="003F21C7">
        <w:rPr>
          <w:rFonts w:ascii="Verdana" w:hAnsi="Verdana"/>
          <w:sz w:val="20"/>
          <w:szCs w:val="20"/>
        </w:rPr>
        <w:t>según la cual es necesario</w:t>
      </w:r>
      <w:r w:rsidRPr="003F21C7">
        <w:rPr>
          <w:rFonts w:ascii="Verdana" w:hAnsi="Verdana"/>
          <w:sz w:val="20"/>
          <w:szCs w:val="20"/>
        </w:rPr>
        <w:t xml:space="preserve"> que existan mecanismos para </w:t>
      </w:r>
      <w:r w:rsidR="00D663D6">
        <w:rPr>
          <w:rFonts w:ascii="Verdana" w:hAnsi="Verdana"/>
          <w:sz w:val="20"/>
          <w:szCs w:val="20"/>
        </w:rPr>
        <w:t>proteger</w:t>
      </w:r>
      <w:r w:rsidRPr="003F21C7">
        <w:rPr>
          <w:rFonts w:ascii="Verdana" w:hAnsi="Verdana"/>
          <w:sz w:val="20"/>
          <w:szCs w:val="20"/>
        </w:rPr>
        <w:t xml:space="preserve"> estos derechos, razón por </w:t>
      </w:r>
      <w:r w:rsidR="00D26712">
        <w:rPr>
          <w:rFonts w:ascii="Verdana" w:hAnsi="Verdana"/>
          <w:sz w:val="20"/>
          <w:szCs w:val="20"/>
        </w:rPr>
        <w:t>la cual entiendo la buena intenc</w:t>
      </w:r>
      <w:r w:rsidRPr="003F21C7">
        <w:rPr>
          <w:rFonts w:ascii="Verdana" w:hAnsi="Verdana"/>
          <w:sz w:val="20"/>
          <w:szCs w:val="20"/>
        </w:rPr>
        <w:t xml:space="preserve">ión de los jueces y académicos que propenden por una aplicación directa del artículo 26 de la Convención. Sin embargo, </w:t>
      </w:r>
      <w:r w:rsidR="00580FD9" w:rsidRPr="003F21C7">
        <w:rPr>
          <w:rFonts w:ascii="Verdana" w:hAnsi="Verdana"/>
          <w:sz w:val="20"/>
          <w:szCs w:val="20"/>
        </w:rPr>
        <w:t>me parece importante señalar los principales problemas que, en mi opinión, surgen de esta propuesta y que son, a su vez, las razones por las cuales estimo que la Corte Interamericana no debe adop</w:t>
      </w:r>
      <w:r w:rsidR="00A80BCA" w:rsidRPr="003F21C7">
        <w:rPr>
          <w:rFonts w:ascii="Verdana" w:hAnsi="Verdana"/>
          <w:sz w:val="20"/>
          <w:szCs w:val="20"/>
        </w:rPr>
        <w:t>tar esta posición.</w:t>
      </w:r>
    </w:p>
    <w:p w:rsidR="00A80BCA" w:rsidRPr="003F21C7" w:rsidRDefault="00A80BCA" w:rsidP="00ED130A">
      <w:pPr>
        <w:pStyle w:val="ListParagraph"/>
        <w:tabs>
          <w:tab w:val="left" w:pos="709"/>
        </w:tabs>
        <w:spacing w:after="0" w:line="240" w:lineRule="auto"/>
        <w:rPr>
          <w:rFonts w:ascii="Verdana" w:hAnsi="Verdana"/>
          <w:sz w:val="20"/>
          <w:szCs w:val="20"/>
        </w:rPr>
      </w:pPr>
    </w:p>
    <w:p w:rsidR="002D1823" w:rsidRPr="003F21C7" w:rsidRDefault="00A80BCA" w:rsidP="00ED130A">
      <w:pPr>
        <w:pStyle w:val="ListParagraph"/>
        <w:numPr>
          <w:ilvl w:val="0"/>
          <w:numId w:val="1"/>
        </w:numPr>
        <w:tabs>
          <w:tab w:val="left" w:pos="426"/>
          <w:tab w:val="left" w:pos="709"/>
        </w:tabs>
        <w:spacing w:after="0" w:line="240" w:lineRule="auto"/>
        <w:ind w:left="0" w:firstLine="0"/>
        <w:jc w:val="both"/>
        <w:rPr>
          <w:rFonts w:ascii="Verdana" w:hAnsi="Verdana"/>
          <w:sz w:val="20"/>
          <w:szCs w:val="20"/>
        </w:rPr>
      </w:pPr>
      <w:r w:rsidRPr="003F21C7">
        <w:rPr>
          <w:rFonts w:ascii="Verdana" w:hAnsi="Verdana"/>
          <w:sz w:val="20"/>
          <w:szCs w:val="20"/>
        </w:rPr>
        <w:t xml:space="preserve">Para sustentar lo anterior procederé entonces a analizar: i) los alcances del artículo 26 de la Convención Americana; ii) </w:t>
      </w:r>
      <w:r w:rsidR="00BE3FCA" w:rsidRPr="003F21C7">
        <w:rPr>
          <w:rFonts w:ascii="Verdana" w:hAnsi="Verdana"/>
          <w:sz w:val="20"/>
          <w:szCs w:val="20"/>
        </w:rPr>
        <w:t xml:space="preserve">la limitación de competencia establecida en el </w:t>
      </w:r>
      <w:r w:rsidR="00D36D08" w:rsidRPr="003F21C7">
        <w:rPr>
          <w:rFonts w:ascii="Verdana" w:hAnsi="Verdana"/>
          <w:sz w:val="20"/>
          <w:szCs w:val="20"/>
        </w:rPr>
        <w:t>Protocolo de San Salvador, y</w:t>
      </w:r>
      <w:r w:rsidR="00BE3FCA" w:rsidRPr="003F21C7">
        <w:rPr>
          <w:rFonts w:ascii="Verdana" w:hAnsi="Verdana"/>
          <w:sz w:val="20"/>
          <w:szCs w:val="20"/>
        </w:rPr>
        <w:t xml:space="preserve"> iii) la utilización de la interpretación evolutiva</w:t>
      </w:r>
      <w:r w:rsidR="00C1116D">
        <w:rPr>
          <w:rFonts w:ascii="Verdana" w:hAnsi="Verdana"/>
          <w:sz w:val="20"/>
          <w:szCs w:val="20"/>
        </w:rPr>
        <w:t xml:space="preserve"> y el principio </w:t>
      </w:r>
      <w:r w:rsidR="00C1116D">
        <w:rPr>
          <w:rFonts w:ascii="Verdana" w:hAnsi="Verdana"/>
          <w:i/>
          <w:sz w:val="20"/>
          <w:szCs w:val="20"/>
        </w:rPr>
        <w:t xml:space="preserve">pro </w:t>
      </w:r>
      <w:proofErr w:type="spellStart"/>
      <w:r w:rsidR="00C1116D">
        <w:rPr>
          <w:rFonts w:ascii="Verdana" w:hAnsi="Verdana"/>
          <w:i/>
          <w:sz w:val="20"/>
          <w:szCs w:val="20"/>
        </w:rPr>
        <w:t>homine</w:t>
      </w:r>
      <w:proofErr w:type="spellEnd"/>
      <w:r w:rsidR="00863651">
        <w:rPr>
          <w:rFonts w:ascii="Verdana" w:hAnsi="Verdana"/>
          <w:sz w:val="20"/>
          <w:szCs w:val="20"/>
        </w:rPr>
        <w:t xml:space="preserve">. Finalmente y </w:t>
      </w:r>
      <w:r w:rsidR="00D26712">
        <w:rPr>
          <w:rFonts w:ascii="Verdana" w:hAnsi="Verdana"/>
          <w:sz w:val="20"/>
          <w:szCs w:val="20"/>
        </w:rPr>
        <w:t xml:space="preserve">a </w:t>
      </w:r>
      <w:r w:rsidR="00863651">
        <w:rPr>
          <w:rFonts w:ascii="Verdana" w:hAnsi="Verdana"/>
          <w:sz w:val="20"/>
          <w:szCs w:val="20"/>
        </w:rPr>
        <w:t>manera de conclusión,</w:t>
      </w:r>
      <w:r w:rsidR="0034330C" w:rsidRPr="003F21C7">
        <w:rPr>
          <w:rFonts w:ascii="Verdana" w:hAnsi="Verdana"/>
          <w:sz w:val="20"/>
          <w:szCs w:val="20"/>
        </w:rPr>
        <w:t xml:space="preserve"> realizaré</w:t>
      </w:r>
      <w:r w:rsidR="00D36D08" w:rsidRPr="003F21C7">
        <w:rPr>
          <w:rFonts w:ascii="Verdana" w:hAnsi="Verdana"/>
          <w:sz w:val="20"/>
          <w:szCs w:val="20"/>
        </w:rPr>
        <w:t xml:space="preserve"> algunas consideraciones generales sobre la naturaleza y competencias de los tribunales de derechos humanos.</w:t>
      </w:r>
    </w:p>
    <w:p w:rsidR="00BC4211" w:rsidRPr="003F21C7" w:rsidRDefault="00BC4211" w:rsidP="00ED130A">
      <w:pPr>
        <w:tabs>
          <w:tab w:val="left" w:pos="709"/>
        </w:tabs>
        <w:spacing w:after="0" w:line="240" w:lineRule="auto"/>
        <w:rPr>
          <w:rFonts w:ascii="Verdana" w:hAnsi="Verdana"/>
          <w:sz w:val="20"/>
          <w:szCs w:val="20"/>
        </w:rPr>
      </w:pPr>
    </w:p>
    <w:p w:rsidR="00BC4211" w:rsidRPr="003F21C7" w:rsidRDefault="00BC4211" w:rsidP="00ED130A">
      <w:pPr>
        <w:pStyle w:val="ListParagraph"/>
        <w:numPr>
          <w:ilvl w:val="0"/>
          <w:numId w:val="2"/>
        </w:numPr>
        <w:tabs>
          <w:tab w:val="left" w:pos="709"/>
        </w:tabs>
        <w:spacing w:after="0" w:line="240" w:lineRule="auto"/>
        <w:rPr>
          <w:rFonts w:ascii="Verdana" w:hAnsi="Verdana"/>
          <w:b/>
          <w:sz w:val="20"/>
          <w:szCs w:val="20"/>
        </w:rPr>
      </w:pPr>
      <w:r w:rsidRPr="003F21C7">
        <w:rPr>
          <w:rFonts w:ascii="Verdana" w:hAnsi="Verdana"/>
          <w:b/>
          <w:sz w:val="20"/>
          <w:szCs w:val="20"/>
        </w:rPr>
        <w:t>Alcances del artículo 26 de la Convención Americana</w:t>
      </w:r>
    </w:p>
    <w:p w:rsidR="00BC4211" w:rsidRPr="003F21C7" w:rsidRDefault="00BC4211" w:rsidP="00ED130A">
      <w:pPr>
        <w:pStyle w:val="ListParagraph"/>
        <w:tabs>
          <w:tab w:val="left" w:pos="709"/>
        </w:tabs>
        <w:spacing w:after="0" w:line="240" w:lineRule="auto"/>
        <w:rPr>
          <w:rFonts w:ascii="Verdana" w:hAnsi="Verdana"/>
          <w:b/>
          <w:sz w:val="20"/>
          <w:szCs w:val="20"/>
        </w:rPr>
      </w:pPr>
    </w:p>
    <w:p w:rsidR="00646DC4" w:rsidRPr="00646DC4" w:rsidRDefault="0034330C" w:rsidP="00ED130A">
      <w:pPr>
        <w:pStyle w:val="ListParagraph"/>
        <w:numPr>
          <w:ilvl w:val="0"/>
          <w:numId w:val="1"/>
        </w:numPr>
        <w:tabs>
          <w:tab w:val="left" w:pos="426"/>
          <w:tab w:val="left" w:pos="709"/>
        </w:tabs>
        <w:spacing w:after="0" w:line="240" w:lineRule="auto"/>
        <w:ind w:left="0" w:firstLine="0"/>
        <w:jc w:val="both"/>
        <w:rPr>
          <w:rFonts w:ascii="Verdana" w:hAnsi="Verdana"/>
          <w:sz w:val="20"/>
          <w:szCs w:val="20"/>
          <w:lang w:val="es-CR"/>
        </w:rPr>
      </w:pPr>
      <w:r w:rsidRPr="003F21C7">
        <w:rPr>
          <w:rFonts w:ascii="Verdana" w:hAnsi="Verdana"/>
          <w:sz w:val="20"/>
          <w:szCs w:val="20"/>
        </w:rPr>
        <w:t xml:space="preserve">Antes de comenzar con el estudio del artículo 26 de la Convención quisiera aclarar que mi posición sobre este tema se refiere exclusivamente a la competencia que la Corte Interamericana tiene para declarar vulnerados los derechos establecidos en el Protocolo de San Salvador, por lo que no me referiré de manera amplia a algunas </w:t>
      </w:r>
      <w:r w:rsidRPr="003F21C7">
        <w:rPr>
          <w:rFonts w:ascii="Verdana" w:hAnsi="Verdana"/>
          <w:sz w:val="20"/>
          <w:szCs w:val="20"/>
        </w:rPr>
        <w:lastRenderedPageBreak/>
        <w:t>discusiones que se dan en el marco del debate sobre la justiciabilidad de los DESC. En particular, pienso que n</w:t>
      </w:r>
      <w:r w:rsidR="004F638D" w:rsidRPr="003F21C7">
        <w:rPr>
          <w:rFonts w:ascii="Verdana" w:hAnsi="Verdana"/>
          <w:sz w:val="20"/>
          <w:szCs w:val="20"/>
        </w:rPr>
        <w:t xml:space="preserve">o es </w:t>
      </w:r>
      <w:r w:rsidRPr="003F21C7">
        <w:rPr>
          <w:rFonts w:ascii="Verdana" w:hAnsi="Verdana"/>
          <w:sz w:val="20"/>
          <w:szCs w:val="20"/>
        </w:rPr>
        <w:t xml:space="preserve">relevante ahondar en la </w:t>
      </w:r>
      <w:r w:rsidR="004F638D" w:rsidRPr="003F21C7">
        <w:rPr>
          <w:rFonts w:ascii="Verdana" w:hAnsi="Verdana"/>
          <w:sz w:val="20"/>
          <w:szCs w:val="20"/>
        </w:rPr>
        <w:t xml:space="preserve">discusión sobre </w:t>
      </w:r>
      <w:r w:rsidRPr="003F21C7">
        <w:rPr>
          <w:rFonts w:ascii="Verdana" w:hAnsi="Verdana"/>
          <w:sz w:val="20"/>
          <w:szCs w:val="20"/>
        </w:rPr>
        <w:t>el carácter prestacional</w:t>
      </w:r>
      <w:r w:rsidR="004F638D" w:rsidRPr="003F21C7">
        <w:rPr>
          <w:rFonts w:ascii="Verdana" w:hAnsi="Verdana"/>
          <w:sz w:val="20"/>
          <w:szCs w:val="20"/>
        </w:rPr>
        <w:t xml:space="preserve"> </w:t>
      </w:r>
      <w:r w:rsidRPr="003F21C7">
        <w:rPr>
          <w:rFonts w:ascii="Verdana" w:hAnsi="Verdana"/>
          <w:sz w:val="20"/>
          <w:szCs w:val="20"/>
        </w:rPr>
        <w:t>de los DESC</w:t>
      </w:r>
      <w:r w:rsidR="004F638D" w:rsidRPr="003F21C7">
        <w:rPr>
          <w:rFonts w:ascii="Verdana" w:hAnsi="Verdana"/>
          <w:sz w:val="20"/>
          <w:szCs w:val="20"/>
        </w:rPr>
        <w:t xml:space="preserve">, </w:t>
      </w:r>
      <w:r w:rsidRPr="003F21C7">
        <w:rPr>
          <w:rFonts w:ascii="Verdana" w:hAnsi="Verdana"/>
          <w:sz w:val="20"/>
          <w:szCs w:val="20"/>
        </w:rPr>
        <w:t>por cuanto es claro que</w:t>
      </w:r>
      <w:r w:rsidR="004F638D" w:rsidRPr="003F21C7">
        <w:rPr>
          <w:rFonts w:ascii="Verdana" w:hAnsi="Verdana"/>
          <w:sz w:val="20"/>
          <w:szCs w:val="20"/>
        </w:rPr>
        <w:t xml:space="preserve"> todos los</w:t>
      </w:r>
      <w:r w:rsidRPr="003F21C7">
        <w:rPr>
          <w:rFonts w:ascii="Verdana" w:hAnsi="Verdana"/>
          <w:sz w:val="20"/>
          <w:szCs w:val="20"/>
        </w:rPr>
        <w:t xml:space="preserve"> tipos de derechos</w:t>
      </w:r>
      <w:r w:rsidR="004F638D" w:rsidRPr="003F21C7">
        <w:rPr>
          <w:rFonts w:ascii="Verdana" w:hAnsi="Verdana"/>
          <w:sz w:val="20"/>
          <w:szCs w:val="20"/>
        </w:rPr>
        <w:t xml:space="preserve"> lo son</w:t>
      </w:r>
      <w:r w:rsidRPr="003F21C7">
        <w:rPr>
          <w:rFonts w:ascii="Verdana" w:hAnsi="Verdana"/>
          <w:sz w:val="20"/>
          <w:szCs w:val="20"/>
        </w:rPr>
        <w:t xml:space="preserve"> en mayor o menor medida</w:t>
      </w:r>
      <w:r w:rsidR="004F638D" w:rsidRPr="003F21C7">
        <w:rPr>
          <w:rFonts w:ascii="Verdana" w:hAnsi="Verdana"/>
          <w:sz w:val="20"/>
          <w:szCs w:val="20"/>
        </w:rPr>
        <w:t>.</w:t>
      </w:r>
      <w:r w:rsidR="00EE20ED" w:rsidRPr="003F21C7">
        <w:rPr>
          <w:rFonts w:ascii="Verdana" w:hAnsi="Verdana"/>
          <w:sz w:val="20"/>
          <w:szCs w:val="20"/>
        </w:rPr>
        <w:t xml:space="preserve"> Tampoco </w:t>
      </w:r>
      <w:r w:rsidRPr="003F21C7">
        <w:rPr>
          <w:rFonts w:ascii="Verdana" w:hAnsi="Verdana"/>
          <w:sz w:val="20"/>
          <w:szCs w:val="20"/>
        </w:rPr>
        <w:t xml:space="preserve">considero que con mi posición se </w:t>
      </w:r>
      <w:r w:rsidR="00EE20ED" w:rsidRPr="003F21C7">
        <w:rPr>
          <w:rFonts w:ascii="Verdana" w:hAnsi="Verdana"/>
          <w:sz w:val="20"/>
          <w:szCs w:val="20"/>
        </w:rPr>
        <w:t>descono</w:t>
      </w:r>
      <w:r w:rsidRPr="003F21C7">
        <w:rPr>
          <w:rFonts w:ascii="Verdana" w:hAnsi="Verdana"/>
          <w:sz w:val="20"/>
          <w:szCs w:val="20"/>
        </w:rPr>
        <w:t>zca</w:t>
      </w:r>
      <w:r w:rsidR="00EE20ED" w:rsidRPr="003F21C7">
        <w:rPr>
          <w:rFonts w:ascii="Verdana" w:hAnsi="Verdana"/>
          <w:sz w:val="20"/>
          <w:szCs w:val="20"/>
        </w:rPr>
        <w:t xml:space="preserve"> la </w:t>
      </w:r>
      <w:r w:rsidR="00384557" w:rsidRPr="003F21C7">
        <w:rPr>
          <w:rFonts w:ascii="Verdana" w:hAnsi="Verdana"/>
          <w:sz w:val="20"/>
          <w:szCs w:val="20"/>
        </w:rPr>
        <w:t>naturaleza indivisible</w:t>
      </w:r>
      <w:r w:rsidR="00EE20ED" w:rsidRPr="003F21C7">
        <w:rPr>
          <w:rFonts w:ascii="Verdana" w:hAnsi="Verdana"/>
          <w:sz w:val="20"/>
          <w:szCs w:val="20"/>
        </w:rPr>
        <w:t xml:space="preserve"> de los derechos</w:t>
      </w:r>
      <w:r w:rsidRPr="003F21C7">
        <w:rPr>
          <w:rFonts w:ascii="Verdana" w:hAnsi="Verdana"/>
          <w:sz w:val="20"/>
          <w:szCs w:val="20"/>
        </w:rPr>
        <w:t xml:space="preserve"> humanos, dado que </w:t>
      </w:r>
      <w:r w:rsidR="00384557" w:rsidRPr="003F21C7">
        <w:rPr>
          <w:rFonts w:ascii="Verdana" w:hAnsi="Verdana"/>
          <w:sz w:val="20"/>
          <w:szCs w:val="20"/>
        </w:rPr>
        <w:t xml:space="preserve">distingo entre las obligaciones que se le generan a un Estado por la firma y ratificación del tratado, y las competencias que ese mismo tratado pueda otorgar al órgano o tribunal que lo supervise. </w:t>
      </w:r>
      <w:r w:rsidR="005422D5">
        <w:rPr>
          <w:rFonts w:ascii="Verdana" w:hAnsi="Verdana"/>
          <w:sz w:val="20"/>
          <w:szCs w:val="20"/>
        </w:rPr>
        <w:t xml:space="preserve">Al respecto, es cierto que </w:t>
      </w:r>
      <w:r w:rsidR="005422D5" w:rsidRPr="003F21C7">
        <w:rPr>
          <w:rFonts w:ascii="Verdana" w:hAnsi="Verdana"/>
          <w:sz w:val="20"/>
          <w:szCs w:val="20"/>
        </w:rPr>
        <w:t>los derechos están intrínsecamente conectados y no deben ser vistos de manera aislada</w:t>
      </w:r>
      <w:r w:rsidR="00C362C9" w:rsidRPr="003F21C7">
        <w:rPr>
          <w:rFonts w:ascii="Verdana" w:hAnsi="Verdana"/>
          <w:sz w:val="20"/>
          <w:szCs w:val="20"/>
        </w:rPr>
        <w:t xml:space="preserve">, </w:t>
      </w:r>
      <w:r w:rsidR="00646DC4">
        <w:rPr>
          <w:rFonts w:ascii="Verdana" w:hAnsi="Verdana"/>
          <w:sz w:val="20"/>
          <w:szCs w:val="20"/>
        </w:rPr>
        <w:t xml:space="preserve">razón por la cual </w:t>
      </w:r>
      <w:r w:rsidR="00C362C9" w:rsidRPr="003F21C7">
        <w:rPr>
          <w:rFonts w:ascii="Verdana" w:hAnsi="Verdana"/>
          <w:sz w:val="20"/>
          <w:szCs w:val="20"/>
        </w:rPr>
        <w:t xml:space="preserve">apoyo la </w:t>
      </w:r>
      <w:proofErr w:type="spellStart"/>
      <w:r w:rsidR="00C362C9" w:rsidRPr="003F21C7">
        <w:rPr>
          <w:rFonts w:ascii="Verdana" w:hAnsi="Verdana"/>
          <w:sz w:val="20"/>
          <w:szCs w:val="20"/>
        </w:rPr>
        <w:t>justiciabi</w:t>
      </w:r>
      <w:r w:rsidR="00646DC4">
        <w:rPr>
          <w:rFonts w:ascii="Verdana" w:hAnsi="Verdana"/>
          <w:sz w:val="20"/>
          <w:szCs w:val="20"/>
        </w:rPr>
        <w:t>lidad</w:t>
      </w:r>
      <w:proofErr w:type="spellEnd"/>
      <w:r w:rsidR="00646DC4">
        <w:rPr>
          <w:rFonts w:ascii="Verdana" w:hAnsi="Verdana"/>
          <w:sz w:val="20"/>
          <w:szCs w:val="20"/>
        </w:rPr>
        <w:t xml:space="preserve"> de los DESC vía conexidad, pero </w:t>
      </w:r>
      <w:r w:rsidR="00E734BA">
        <w:rPr>
          <w:rFonts w:ascii="Verdana" w:hAnsi="Verdana"/>
          <w:sz w:val="20"/>
          <w:szCs w:val="20"/>
        </w:rPr>
        <w:t>la indivisibilidad de los derechos</w:t>
      </w:r>
      <w:r w:rsidR="00646DC4">
        <w:rPr>
          <w:rFonts w:ascii="Verdana" w:hAnsi="Verdana"/>
          <w:sz w:val="20"/>
          <w:szCs w:val="20"/>
        </w:rPr>
        <w:t xml:space="preserve"> no es suficiente para modificar la </w:t>
      </w:r>
      <w:r w:rsidR="00646DC4" w:rsidRPr="00646DC4">
        <w:rPr>
          <w:rFonts w:ascii="Verdana" w:hAnsi="Verdana"/>
          <w:sz w:val="20"/>
          <w:szCs w:val="20"/>
        </w:rPr>
        <w:t>competencia de un tribunal</w:t>
      </w:r>
      <w:r w:rsidR="00E734BA">
        <w:rPr>
          <w:rFonts w:ascii="Verdana" w:hAnsi="Verdana"/>
          <w:sz w:val="20"/>
          <w:szCs w:val="20"/>
        </w:rPr>
        <w:t xml:space="preserve">, como lo proponen quienes pretenden una </w:t>
      </w:r>
      <w:proofErr w:type="spellStart"/>
      <w:r w:rsidR="00E734BA">
        <w:rPr>
          <w:rFonts w:ascii="Verdana" w:hAnsi="Verdana"/>
          <w:sz w:val="20"/>
          <w:szCs w:val="20"/>
        </w:rPr>
        <w:t>justiciabilidad</w:t>
      </w:r>
      <w:proofErr w:type="spellEnd"/>
      <w:r w:rsidR="00E734BA">
        <w:rPr>
          <w:rFonts w:ascii="Verdana" w:hAnsi="Verdana"/>
          <w:sz w:val="20"/>
          <w:szCs w:val="20"/>
        </w:rPr>
        <w:t xml:space="preserve"> directa por medio de la interpretación amplia del artículo 26 de la Convención</w:t>
      </w:r>
      <w:r w:rsidR="00646DC4">
        <w:rPr>
          <w:rFonts w:ascii="Verdana" w:hAnsi="Verdana"/>
          <w:sz w:val="20"/>
          <w:szCs w:val="20"/>
        </w:rPr>
        <w:t>.</w:t>
      </w:r>
    </w:p>
    <w:p w:rsidR="00646DC4" w:rsidRPr="00646DC4" w:rsidRDefault="00646DC4" w:rsidP="00ED130A">
      <w:pPr>
        <w:pStyle w:val="ListParagraph"/>
        <w:tabs>
          <w:tab w:val="left" w:pos="426"/>
          <w:tab w:val="left" w:pos="709"/>
        </w:tabs>
        <w:spacing w:after="0" w:line="240" w:lineRule="auto"/>
        <w:ind w:left="0"/>
        <w:jc w:val="both"/>
        <w:rPr>
          <w:rFonts w:ascii="Verdana" w:hAnsi="Verdana"/>
          <w:sz w:val="20"/>
          <w:szCs w:val="20"/>
          <w:lang w:val="es-CR"/>
        </w:rPr>
      </w:pPr>
    </w:p>
    <w:p w:rsidR="008149F1" w:rsidRPr="003F21C7" w:rsidRDefault="00C362C9" w:rsidP="00ED130A">
      <w:pPr>
        <w:pStyle w:val="ListParagraph"/>
        <w:numPr>
          <w:ilvl w:val="0"/>
          <w:numId w:val="1"/>
        </w:numPr>
        <w:tabs>
          <w:tab w:val="left" w:pos="426"/>
          <w:tab w:val="left" w:pos="709"/>
        </w:tabs>
        <w:spacing w:after="0" w:line="240" w:lineRule="auto"/>
        <w:ind w:left="0" w:firstLine="0"/>
        <w:jc w:val="both"/>
        <w:rPr>
          <w:rFonts w:ascii="Verdana" w:hAnsi="Verdana"/>
          <w:sz w:val="20"/>
          <w:szCs w:val="20"/>
        </w:rPr>
      </w:pPr>
      <w:r w:rsidRPr="003F21C7">
        <w:rPr>
          <w:rFonts w:ascii="Verdana" w:hAnsi="Verdana"/>
          <w:sz w:val="20"/>
          <w:szCs w:val="20"/>
        </w:rPr>
        <w:t xml:space="preserve">Una </w:t>
      </w:r>
      <w:r w:rsidR="003F21C7" w:rsidRPr="003F21C7">
        <w:rPr>
          <w:rFonts w:ascii="Verdana" w:hAnsi="Verdana"/>
          <w:sz w:val="20"/>
          <w:szCs w:val="20"/>
        </w:rPr>
        <w:t>vez precisado lo anterior, me parece pertinente en primer lugar establecer cuáles son las obligaciones que se generan del artículo 26 de la Convención. Este artículo estipula que:</w:t>
      </w:r>
    </w:p>
    <w:p w:rsidR="003F21C7" w:rsidRPr="003F21C7" w:rsidRDefault="003F21C7" w:rsidP="00ED130A">
      <w:pPr>
        <w:pStyle w:val="ListParagraph"/>
        <w:tabs>
          <w:tab w:val="left" w:pos="426"/>
          <w:tab w:val="left" w:pos="709"/>
        </w:tabs>
        <w:spacing w:after="0" w:line="240" w:lineRule="auto"/>
        <w:ind w:left="0"/>
        <w:jc w:val="both"/>
        <w:rPr>
          <w:rFonts w:ascii="Verdana" w:hAnsi="Verdana"/>
          <w:sz w:val="16"/>
          <w:szCs w:val="16"/>
        </w:rPr>
      </w:pPr>
    </w:p>
    <w:p w:rsidR="008149F1" w:rsidRPr="00FE7AD6" w:rsidRDefault="008149F1" w:rsidP="00ED130A">
      <w:pPr>
        <w:pStyle w:val="NormalWeb"/>
        <w:tabs>
          <w:tab w:val="left" w:pos="709"/>
        </w:tabs>
        <w:spacing w:before="0" w:beforeAutospacing="0" w:after="0" w:afterAutospacing="0"/>
        <w:ind w:left="426" w:right="333"/>
        <w:jc w:val="center"/>
        <w:rPr>
          <w:rFonts w:ascii="Verdana" w:hAnsi="Verdana" w:cs="Tahoma"/>
          <w:color w:val="000000"/>
          <w:sz w:val="16"/>
          <w:szCs w:val="16"/>
        </w:rPr>
      </w:pPr>
      <w:r w:rsidRPr="00FE7AD6">
        <w:rPr>
          <w:rFonts w:ascii="Verdana" w:hAnsi="Verdana" w:cs="Tahoma"/>
          <w:bCs/>
          <w:color w:val="000000"/>
          <w:sz w:val="16"/>
          <w:szCs w:val="16"/>
        </w:rPr>
        <w:t>CAPITULO III</w:t>
      </w:r>
    </w:p>
    <w:p w:rsidR="008149F1" w:rsidRDefault="008149F1" w:rsidP="00ED130A">
      <w:pPr>
        <w:pStyle w:val="NormalWeb"/>
        <w:tabs>
          <w:tab w:val="left" w:pos="709"/>
        </w:tabs>
        <w:spacing w:before="0" w:beforeAutospacing="0" w:after="0" w:afterAutospacing="0"/>
        <w:ind w:left="426" w:right="333"/>
        <w:jc w:val="center"/>
        <w:rPr>
          <w:rFonts w:ascii="Verdana" w:hAnsi="Verdana" w:cs="Tahoma"/>
          <w:bCs/>
          <w:color w:val="000000"/>
          <w:sz w:val="18"/>
          <w:szCs w:val="18"/>
        </w:rPr>
      </w:pPr>
      <w:r w:rsidRPr="00FE7AD6">
        <w:rPr>
          <w:rFonts w:ascii="Verdana" w:hAnsi="Verdana" w:cs="Tahoma"/>
          <w:bCs/>
          <w:color w:val="000000"/>
          <w:sz w:val="16"/>
          <w:szCs w:val="16"/>
        </w:rPr>
        <w:t>DERECHOS ECONOMICOS, SOCIALES Y CULTURALES</w:t>
      </w:r>
    </w:p>
    <w:p w:rsidR="002B39DB" w:rsidRPr="00FE7AD6" w:rsidRDefault="002B39DB" w:rsidP="00ED130A">
      <w:pPr>
        <w:pStyle w:val="NormalWeb"/>
        <w:tabs>
          <w:tab w:val="left" w:pos="709"/>
        </w:tabs>
        <w:spacing w:before="0" w:beforeAutospacing="0" w:after="0" w:afterAutospacing="0"/>
        <w:ind w:left="426" w:right="333"/>
        <w:jc w:val="center"/>
        <w:rPr>
          <w:rFonts w:ascii="Verdana" w:hAnsi="Verdana" w:cs="Tahoma"/>
          <w:color w:val="000000"/>
          <w:sz w:val="16"/>
          <w:szCs w:val="16"/>
        </w:rPr>
      </w:pPr>
    </w:p>
    <w:p w:rsidR="008149F1" w:rsidRDefault="008149F1" w:rsidP="00ED130A">
      <w:pPr>
        <w:pStyle w:val="NormalWeb"/>
        <w:tabs>
          <w:tab w:val="left" w:pos="709"/>
        </w:tabs>
        <w:spacing w:before="0" w:beforeAutospacing="0" w:after="0" w:afterAutospacing="0"/>
        <w:ind w:left="426" w:right="333"/>
        <w:jc w:val="center"/>
        <w:rPr>
          <w:rFonts w:ascii="Verdana" w:hAnsi="Verdana" w:cs="Tahoma"/>
          <w:bCs/>
          <w:color w:val="000000"/>
          <w:sz w:val="18"/>
          <w:szCs w:val="18"/>
        </w:rPr>
      </w:pPr>
      <w:r w:rsidRPr="00FE7AD6">
        <w:rPr>
          <w:rFonts w:ascii="Verdana" w:hAnsi="Verdana" w:cs="Tahoma"/>
          <w:bCs/>
          <w:color w:val="000000"/>
          <w:sz w:val="16"/>
          <w:szCs w:val="16"/>
        </w:rPr>
        <w:t>Artículo 26.  Desarrollo Progresivo</w:t>
      </w:r>
    </w:p>
    <w:p w:rsidR="002B39DB" w:rsidRPr="00FE7AD6" w:rsidRDefault="002B39DB" w:rsidP="00ED130A">
      <w:pPr>
        <w:pStyle w:val="NormalWeb"/>
        <w:tabs>
          <w:tab w:val="left" w:pos="709"/>
        </w:tabs>
        <w:spacing w:before="0" w:beforeAutospacing="0" w:after="0" w:afterAutospacing="0"/>
        <w:ind w:left="426" w:right="333"/>
        <w:jc w:val="center"/>
        <w:rPr>
          <w:rFonts w:ascii="Verdana" w:hAnsi="Verdana" w:cs="Tahoma"/>
          <w:color w:val="000000"/>
          <w:sz w:val="16"/>
          <w:szCs w:val="16"/>
        </w:rPr>
      </w:pPr>
    </w:p>
    <w:p w:rsidR="008149F1" w:rsidRPr="003F21C7" w:rsidRDefault="008149F1" w:rsidP="00ED130A">
      <w:pPr>
        <w:pStyle w:val="NormalWeb"/>
        <w:tabs>
          <w:tab w:val="left" w:pos="709"/>
        </w:tabs>
        <w:spacing w:before="0" w:beforeAutospacing="0" w:after="0" w:afterAutospacing="0"/>
        <w:ind w:left="426" w:right="333"/>
        <w:jc w:val="both"/>
        <w:rPr>
          <w:rFonts w:ascii="Verdana" w:hAnsi="Verdana" w:cs="Tahoma"/>
          <w:color w:val="000000"/>
          <w:sz w:val="16"/>
          <w:szCs w:val="16"/>
        </w:rPr>
      </w:pPr>
      <w:r w:rsidRPr="00FE7AD6">
        <w:rPr>
          <w:rFonts w:ascii="Verdana" w:hAnsi="Verdana" w:cs="Tahoma"/>
          <w:color w:val="000000"/>
          <w:sz w:val="16"/>
          <w:szCs w:val="16"/>
        </w:rPr>
        <w:t xml:space="preserve">Los Estados Partes se comprometen a adoptar providencias, tanto a nivel interno como mediante la cooperación internacional, especialmente económica y técnica, para lograr </w:t>
      </w:r>
      <w:r w:rsidRPr="00FE7AD6">
        <w:rPr>
          <w:rFonts w:ascii="Verdana" w:hAnsi="Verdana" w:cs="Tahoma"/>
          <w:color w:val="000000"/>
          <w:sz w:val="16"/>
          <w:szCs w:val="16"/>
          <w:u w:val="single"/>
        </w:rPr>
        <w:t>progresivamente la plena efectividad de los derechos que se derivan de las normas económicas, sociales y sobre educación, ciencia y cultura, contenidas en la Carta de la Organización de los Estados Americanos</w:t>
      </w:r>
      <w:r w:rsidRPr="00FE7AD6">
        <w:rPr>
          <w:rFonts w:ascii="Verdana" w:hAnsi="Verdana" w:cs="Tahoma"/>
          <w:color w:val="000000"/>
          <w:sz w:val="16"/>
          <w:szCs w:val="16"/>
        </w:rPr>
        <w:t>, reformada por el Protocolo de Buenos Aires, en la medida de los recursos disponibles, por vía legislativa u otros medios apropiados</w:t>
      </w:r>
      <w:r w:rsidR="00767B7F" w:rsidRPr="00FE7AD6">
        <w:rPr>
          <w:rFonts w:ascii="Verdana" w:hAnsi="Verdana" w:cs="Tahoma"/>
          <w:color w:val="000000"/>
          <w:sz w:val="16"/>
          <w:szCs w:val="16"/>
        </w:rPr>
        <w:t>.</w:t>
      </w:r>
      <w:r w:rsidR="003F21C7" w:rsidRPr="00FE7AD6">
        <w:rPr>
          <w:rFonts w:ascii="Verdana" w:hAnsi="Verdana" w:cs="Tahoma"/>
          <w:color w:val="000000"/>
          <w:sz w:val="16"/>
          <w:szCs w:val="16"/>
        </w:rPr>
        <w:t xml:space="preserve"> (Subrayado fuera del texto)</w:t>
      </w:r>
    </w:p>
    <w:p w:rsidR="008149F1" w:rsidRPr="003F21C7" w:rsidRDefault="008149F1" w:rsidP="00ED130A">
      <w:pPr>
        <w:tabs>
          <w:tab w:val="left" w:pos="709"/>
        </w:tabs>
        <w:spacing w:after="0" w:line="240" w:lineRule="auto"/>
        <w:rPr>
          <w:rFonts w:ascii="Verdana" w:hAnsi="Verdana"/>
          <w:sz w:val="20"/>
          <w:szCs w:val="20"/>
          <w:lang w:val="es-CR"/>
        </w:rPr>
      </w:pPr>
    </w:p>
    <w:p w:rsidR="006A69A5" w:rsidRPr="00D74F7A" w:rsidRDefault="006F05D4" w:rsidP="00ED130A">
      <w:pPr>
        <w:pStyle w:val="ListParagraph"/>
        <w:numPr>
          <w:ilvl w:val="0"/>
          <w:numId w:val="1"/>
        </w:numPr>
        <w:tabs>
          <w:tab w:val="left" w:pos="426"/>
          <w:tab w:val="left" w:pos="709"/>
        </w:tabs>
        <w:spacing w:after="0" w:line="240" w:lineRule="auto"/>
        <w:ind w:left="0" w:firstLine="0"/>
        <w:jc w:val="both"/>
        <w:rPr>
          <w:rFonts w:ascii="Verdana" w:hAnsi="Verdana"/>
          <w:sz w:val="20"/>
          <w:szCs w:val="20"/>
        </w:rPr>
      </w:pPr>
      <w:r w:rsidRPr="00185D11">
        <w:rPr>
          <w:rFonts w:ascii="Verdana" w:hAnsi="Verdana"/>
          <w:sz w:val="20"/>
          <w:szCs w:val="20"/>
        </w:rPr>
        <w:t xml:space="preserve">Sobre el alcance del artículo 26, la Corte ha </w:t>
      </w:r>
      <w:r w:rsidR="004B3B4B" w:rsidRPr="00185D11">
        <w:rPr>
          <w:rFonts w:ascii="Verdana" w:hAnsi="Verdana"/>
          <w:sz w:val="20"/>
          <w:szCs w:val="20"/>
        </w:rPr>
        <w:t>indicado que</w:t>
      </w:r>
      <w:r w:rsidR="001802B9" w:rsidRPr="00185D11">
        <w:rPr>
          <w:rFonts w:ascii="Verdana" w:hAnsi="Verdana"/>
          <w:sz w:val="20"/>
          <w:szCs w:val="20"/>
        </w:rPr>
        <w:t xml:space="preserve"> la obligación principal que se desprende </w:t>
      </w:r>
      <w:r w:rsidR="001802B9" w:rsidRPr="00D74F7A">
        <w:rPr>
          <w:rFonts w:ascii="Verdana" w:hAnsi="Verdana"/>
          <w:sz w:val="20"/>
          <w:szCs w:val="20"/>
        </w:rPr>
        <w:t xml:space="preserve">de este artículo es </w:t>
      </w:r>
      <w:r w:rsidR="001802B9" w:rsidRPr="00D74F7A">
        <w:rPr>
          <w:rFonts w:ascii="Verdana" w:eastAsia="Times" w:hAnsi="Verdana"/>
          <w:sz w:val="20"/>
          <w:szCs w:val="20"/>
        </w:rPr>
        <w:t>el desarrollo progresivo de los derechos económicos, sociales y culturales</w:t>
      </w:r>
      <w:r w:rsidR="00185D11" w:rsidRPr="00D74F7A">
        <w:rPr>
          <w:rStyle w:val="FootnoteReference"/>
          <w:rFonts w:ascii="Verdana" w:eastAsia="Times" w:hAnsi="Verdana"/>
          <w:sz w:val="20"/>
          <w:szCs w:val="20"/>
        </w:rPr>
        <w:footnoteReference w:id="2"/>
      </w:r>
      <w:r w:rsidR="001802B9" w:rsidRPr="00D74F7A">
        <w:rPr>
          <w:rFonts w:ascii="Verdana" w:eastAsia="Times" w:hAnsi="Verdana"/>
          <w:sz w:val="20"/>
          <w:szCs w:val="20"/>
        </w:rPr>
        <w:t>, el cual conlleva “</w:t>
      </w:r>
      <w:r w:rsidR="001802B9" w:rsidRPr="00D74F7A">
        <w:rPr>
          <w:rFonts w:ascii="Verdana" w:hAnsi="Verdana"/>
          <w:sz w:val="20"/>
          <w:szCs w:val="20"/>
        </w:rPr>
        <w:t>un deber – si bien condicionado – de no-regresividad, que no siempre deberá ser entendido como una prohibición de medidas que restrinjan el ejercicio de un derecho</w:t>
      </w:r>
      <w:r w:rsidR="001802B9" w:rsidRPr="00D74F7A">
        <w:rPr>
          <w:rFonts w:ascii="Verdana" w:eastAsia="Times" w:hAnsi="Verdana"/>
          <w:sz w:val="20"/>
          <w:szCs w:val="20"/>
        </w:rPr>
        <w:t>”</w:t>
      </w:r>
      <w:r w:rsidR="001802B9" w:rsidRPr="00D74F7A">
        <w:rPr>
          <w:rStyle w:val="FootnoteReference"/>
          <w:rFonts w:ascii="Verdana" w:eastAsia="Times" w:hAnsi="Verdana"/>
          <w:sz w:val="20"/>
          <w:szCs w:val="20"/>
        </w:rPr>
        <w:footnoteReference w:id="3"/>
      </w:r>
      <w:r w:rsidR="001802B9" w:rsidRPr="00D74F7A">
        <w:rPr>
          <w:rFonts w:ascii="Verdana" w:eastAsia="Times" w:hAnsi="Verdana"/>
          <w:sz w:val="20"/>
          <w:szCs w:val="20"/>
        </w:rPr>
        <w:t>.</w:t>
      </w:r>
      <w:r w:rsidR="006A69A5" w:rsidRPr="00D74F7A">
        <w:rPr>
          <w:rFonts w:ascii="Verdana" w:eastAsia="Times" w:hAnsi="Verdana"/>
          <w:sz w:val="20"/>
          <w:szCs w:val="20"/>
        </w:rPr>
        <w:t xml:space="preserve"> Además, la Corte manifestó que las </w:t>
      </w:r>
      <w:r w:rsidR="00D26712">
        <w:rPr>
          <w:rFonts w:ascii="Verdana" w:eastAsia="Times" w:hAnsi="Verdana"/>
          <w:sz w:val="20"/>
          <w:szCs w:val="20"/>
        </w:rPr>
        <w:t xml:space="preserve">obligaciones generales de </w:t>
      </w:r>
      <w:r w:rsidR="00DA4ECD">
        <w:rPr>
          <w:rFonts w:ascii="Verdana" w:eastAsia="Times" w:hAnsi="Verdana"/>
          <w:sz w:val="20"/>
          <w:szCs w:val="20"/>
        </w:rPr>
        <w:t>los artículos 1 y 2 de la Convención</w:t>
      </w:r>
      <w:r w:rsidR="006A69A5" w:rsidRPr="00D74F7A">
        <w:rPr>
          <w:rFonts w:ascii="Verdana" w:eastAsia="Times" w:hAnsi="Verdana"/>
          <w:sz w:val="20"/>
          <w:szCs w:val="20"/>
        </w:rPr>
        <w:t xml:space="preserve"> también</w:t>
      </w:r>
      <w:r w:rsidR="00D74F7A" w:rsidRPr="00D74F7A">
        <w:rPr>
          <w:rFonts w:ascii="Verdana" w:eastAsia="Times" w:hAnsi="Verdana"/>
          <w:sz w:val="20"/>
          <w:szCs w:val="20"/>
        </w:rPr>
        <w:t xml:space="preserve"> son aplicables a este artículo</w:t>
      </w:r>
      <w:r w:rsidR="00362983" w:rsidRPr="00D74F7A">
        <w:rPr>
          <w:rStyle w:val="FootnoteReference"/>
          <w:rFonts w:ascii="Verdana" w:hAnsi="Verdana"/>
          <w:sz w:val="20"/>
          <w:szCs w:val="20"/>
        </w:rPr>
        <w:footnoteReference w:id="4"/>
      </w:r>
      <w:r w:rsidR="006A69A5" w:rsidRPr="00D74F7A">
        <w:rPr>
          <w:rFonts w:ascii="Verdana" w:hAnsi="Verdana"/>
          <w:sz w:val="20"/>
          <w:szCs w:val="20"/>
        </w:rPr>
        <w:t>.</w:t>
      </w:r>
    </w:p>
    <w:p w:rsidR="006F05D4" w:rsidRDefault="006F05D4" w:rsidP="00ED130A">
      <w:pPr>
        <w:pStyle w:val="ListParagraph"/>
        <w:tabs>
          <w:tab w:val="left" w:pos="426"/>
          <w:tab w:val="left" w:pos="709"/>
        </w:tabs>
        <w:spacing w:after="0" w:line="240" w:lineRule="auto"/>
        <w:ind w:left="0"/>
        <w:jc w:val="both"/>
        <w:rPr>
          <w:rFonts w:ascii="Verdana" w:hAnsi="Verdana"/>
          <w:sz w:val="20"/>
          <w:szCs w:val="20"/>
        </w:rPr>
      </w:pPr>
    </w:p>
    <w:p w:rsidR="006473F9" w:rsidRPr="00BB44C5" w:rsidRDefault="00F230C7" w:rsidP="00ED130A">
      <w:pPr>
        <w:pStyle w:val="ListParagraph"/>
        <w:numPr>
          <w:ilvl w:val="0"/>
          <w:numId w:val="1"/>
        </w:numPr>
        <w:tabs>
          <w:tab w:val="left" w:pos="426"/>
          <w:tab w:val="left" w:pos="709"/>
        </w:tabs>
        <w:spacing w:after="0" w:line="240" w:lineRule="auto"/>
        <w:ind w:left="0" w:firstLine="0"/>
        <w:jc w:val="both"/>
        <w:rPr>
          <w:rFonts w:ascii="Verdana" w:hAnsi="Verdana"/>
          <w:sz w:val="20"/>
          <w:szCs w:val="20"/>
        </w:rPr>
      </w:pPr>
      <w:r>
        <w:rPr>
          <w:rFonts w:ascii="Verdana" w:hAnsi="Verdana"/>
          <w:sz w:val="20"/>
          <w:szCs w:val="20"/>
        </w:rPr>
        <w:t xml:space="preserve">Ahora bien, el artículo 26 no establece un </w:t>
      </w:r>
      <w:r w:rsidR="00CC7CB9">
        <w:rPr>
          <w:rFonts w:ascii="Verdana" w:hAnsi="Verdana"/>
          <w:sz w:val="20"/>
          <w:szCs w:val="20"/>
        </w:rPr>
        <w:t>catálogo</w:t>
      </w:r>
      <w:r>
        <w:rPr>
          <w:rFonts w:ascii="Verdana" w:hAnsi="Verdana"/>
          <w:sz w:val="20"/>
          <w:szCs w:val="20"/>
        </w:rPr>
        <w:t xml:space="preserve"> de derechos, sino que realiza una remisión directa a la Carta</w:t>
      </w:r>
      <w:r w:rsidR="00CC7CB9">
        <w:rPr>
          <w:rFonts w:ascii="Verdana" w:hAnsi="Verdana"/>
          <w:sz w:val="20"/>
          <w:szCs w:val="20"/>
        </w:rPr>
        <w:t xml:space="preserve"> de la O</w:t>
      </w:r>
      <w:r w:rsidR="00D26712">
        <w:rPr>
          <w:rFonts w:ascii="Verdana" w:hAnsi="Verdana"/>
          <w:sz w:val="20"/>
          <w:szCs w:val="20"/>
        </w:rPr>
        <w:t xml:space="preserve">rganización de </w:t>
      </w:r>
      <w:r w:rsidR="00CC7CB9">
        <w:rPr>
          <w:rFonts w:ascii="Verdana" w:hAnsi="Verdana"/>
          <w:sz w:val="20"/>
          <w:szCs w:val="20"/>
        </w:rPr>
        <w:t>E</w:t>
      </w:r>
      <w:r w:rsidR="00D26712">
        <w:rPr>
          <w:rFonts w:ascii="Verdana" w:hAnsi="Verdana"/>
          <w:sz w:val="20"/>
          <w:szCs w:val="20"/>
        </w:rPr>
        <w:t xml:space="preserve">stados </w:t>
      </w:r>
      <w:r w:rsidR="00CC7CB9">
        <w:rPr>
          <w:rFonts w:ascii="Verdana" w:hAnsi="Verdana"/>
          <w:sz w:val="20"/>
          <w:szCs w:val="20"/>
        </w:rPr>
        <w:t>A</w:t>
      </w:r>
      <w:r w:rsidR="00D26712">
        <w:rPr>
          <w:rFonts w:ascii="Verdana" w:hAnsi="Verdana"/>
          <w:sz w:val="20"/>
          <w:szCs w:val="20"/>
        </w:rPr>
        <w:t>mericanos (en adelante “Carta”</w:t>
      </w:r>
      <w:r w:rsidR="00A06AE4">
        <w:rPr>
          <w:rFonts w:ascii="Verdana" w:hAnsi="Verdana"/>
          <w:sz w:val="20"/>
          <w:szCs w:val="20"/>
        </w:rPr>
        <w:t xml:space="preserve"> o “Carta de la OEA”</w:t>
      </w:r>
      <w:r w:rsidR="00D26712">
        <w:rPr>
          <w:rFonts w:ascii="Verdana" w:hAnsi="Verdana"/>
          <w:sz w:val="20"/>
          <w:szCs w:val="20"/>
        </w:rPr>
        <w:t>)</w:t>
      </w:r>
      <w:r w:rsidR="00CC7CB9">
        <w:rPr>
          <w:rFonts w:ascii="Verdana" w:hAnsi="Verdana"/>
          <w:sz w:val="20"/>
          <w:szCs w:val="20"/>
        </w:rPr>
        <w:t>. De una lectura de la Carta se puede concluir que esta tampoco contiene un catálogo de derechos subjetivos</w:t>
      </w:r>
      <w:r w:rsidR="0008443A">
        <w:rPr>
          <w:rFonts w:ascii="Verdana" w:hAnsi="Verdana"/>
          <w:sz w:val="20"/>
          <w:szCs w:val="20"/>
        </w:rPr>
        <w:t xml:space="preserve"> claros y precisos</w:t>
      </w:r>
      <w:r w:rsidR="00CC7CB9">
        <w:rPr>
          <w:rFonts w:ascii="Verdana" w:hAnsi="Verdana"/>
          <w:sz w:val="20"/>
          <w:szCs w:val="20"/>
        </w:rPr>
        <w:t>, sino que por el contrario se trata de un l</w:t>
      </w:r>
      <w:r w:rsidR="0008443A">
        <w:rPr>
          <w:rFonts w:ascii="Verdana" w:hAnsi="Verdana"/>
          <w:sz w:val="20"/>
          <w:szCs w:val="20"/>
        </w:rPr>
        <w:t xml:space="preserve">istado de metas y expectativas </w:t>
      </w:r>
      <w:r w:rsidR="0098062A">
        <w:rPr>
          <w:rFonts w:ascii="Verdana" w:hAnsi="Verdana"/>
          <w:sz w:val="20"/>
          <w:szCs w:val="20"/>
        </w:rPr>
        <w:t>que persiguen los Estados de la región</w:t>
      </w:r>
      <w:r w:rsidR="00646DC4">
        <w:rPr>
          <w:rFonts w:ascii="Verdana" w:hAnsi="Verdana"/>
          <w:sz w:val="20"/>
          <w:szCs w:val="20"/>
        </w:rPr>
        <w:t xml:space="preserve">, </w:t>
      </w:r>
      <w:r w:rsidR="00767B7F">
        <w:rPr>
          <w:rFonts w:ascii="Verdana" w:hAnsi="Verdana"/>
          <w:sz w:val="20"/>
          <w:szCs w:val="20"/>
        </w:rPr>
        <w:t>lo cual dificulta vislumbrar cuá</w:t>
      </w:r>
      <w:r w:rsidR="00646DC4">
        <w:rPr>
          <w:rFonts w:ascii="Verdana" w:hAnsi="Verdana"/>
          <w:sz w:val="20"/>
          <w:szCs w:val="20"/>
        </w:rPr>
        <w:t>les son los derechos a los que se hace mención en el artículo</w:t>
      </w:r>
      <w:r w:rsidR="0098062A">
        <w:rPr>
          <w:rFonts w:ascii="Verdana" w:hAnsi="Verdana"/>
          <w:sz w:val="20"/>
          <w:szCs w:val="20"/>
        </w:rPr>
        <w:t xml:space="preserve">. En concreto, no hay referencias expresas a los DESC y para afirmar que efectivamente se encuentran consagrados en la Carta es necesario realizar </w:t>
      </w:r>
      <w:r w:rsidR="0098062A">
        <w:rPr>
          <w:rFonts w:ascii="Verdana" w:hAnsi="Verdana"/>
          <w:sz w:val="20"/>
          <w:szCs w:val="20"/>
        </w:rPr>
        <w:lastRenderedPageBreak/>
        <w:t>una labor interpretativa bastante extensa. Ejemplo de lo anterior es el derecho a la salud</w:t>
      </w:r>
      <w:r w:rsidR="009068BC">
        <w:rPr>
          <w:rFonts w:ascii="Verdana" w:hAnsi="Verdana"/>
          <w:sz w:val="20"/>
          <w:szCs w:val="20"/>
        </w:rPr>
        <w:t>, el cual fue materia de análisis en el presente caso</w:t>
      </w:r>
      <w:r w:rsidR="0098062A">
        <w:rPr>
          <w:rFonts w:ascii="Verdana" w:hAnsi="Verdana"/>
          <w:sz w:val="20"/>
          <w:szCs w:val="20"/>
        </w:rPr>
        <w:t xml:space="preserve">. Algunos autores afirman que dicho derecho está notoriamente consagrado en la Carta, </w:t>
      </w:r>
      <w:r w:rsidR="009068BC">
        <w:rPr>
          <w:rFonts w:ascii="Verdana" w:hAnsi="Verdana"/>
          <w:sz w:val="20"/>
          <w:szCs w:val="20"/>
        </w:rPr>
        <w:t>no obstante,</w:t>
      </w:r>
      <w:r w:rsidR="0098062A">
        <w:rPr>
          <w:rFonts w:ascii="Verdana" w:hAnsi="Verdana"/>
          <w:sz w:val="20"/>
          <w:szCs w:val="20"/>
        </w:rPr>
        <w:t xml:space="preserve"> cuando se busca en el texto de la misma, se encuentran solamente dos referencias vagas en los artículos 34</w:t>
      </w:r>
      <w:r w:rsidR="0098062A">
        <w:rPr>
          <w:rStyle w:val="FootnoteReference"/>
          <w:rFonts w:ascii="Verdana" w:hAnsi="Verdana"/>
          <w:sz w:val="20"/>
          <w:szCs w:val="20"/>
        </w:rPr>
        <w:footnoteReference w:id="5"/>
      </w:r>
      <w:r w:rsidR="0098062A">
        <w:rPr>
          <w:rFonts w:ascii="Verdana" w:hAnsi="Verdana"/>
          <w:sz w:val="20"/>
          <w:szCs w:val="20"/>
        </w:rPr>
        <w:t xml:space="preserve"> y 45</w:t>
      </w:r>
      <w:r w:rsidR="0098062A">
        <w:rPr>
          <w:rStyle w:val="FootnoteReference"/>
          <w:rFonts w:ascii="Verdana" w:hAnsi="Verdana"/>
          <w:sz w:val="20"/>
          <w:szCs w:val="20"/>
        </w:rPr>
        <w:footnoteReference w:id="6"/>
      </w:r>
      <w:r w:rsidR="0098062A">
        <w:rPr>
          <w:rFonts w:ascii="Verdana" w:hAnsi="Verdana"/>
          <w:sz w:val="20"/>
          <w:szCs w:val="20"/>
        </w:rPr>
        <w:t xml:space="preserve">. </w:t>
      </w:r>
      <w:r w:rsidR="00BB44C5">
        <w:rPr>
          <w:rFonts w:ascii="Verdana" w:hAnsi="Verdana"/>
          <w:sz w:val="20"/>
          <w:szCs w:val="20"/>
        </w:rPr>
        <w:t>Al respecto</w:t>
      </w:r>
      <w:r w:rsidR="006473F9" w:rsidRPr="00BB44C5">
        <w:rPr>
          <w:rFonts w:ascii="Verdana" w:hAnsi="Verdana"/>
          <w:sz w:val="20"/>
          <w:szCs w:val="20"/>
          <w:lang w:val="es-CR"/>
        </w:rPr>
        <w:t>, concuerdo plenamente con que “</w:t>
      </w:r>
      <w:r w:rsidR="00810CE7" w:rsidRPr="00BB44C5">
        <w:rPr>
          <w:rFonts w:ascii="Verdana" w:hAnsi="Verdana" w:cs="Arial"/>
          <w:color w:val="222222"/>
          <w:sz w:val="20"/>
          <w:szCs w:val="20"/>
          <w:shd w:val="clear" w:color="auto" w:fill="FFFFFF"/>
          <w:lang w:val="es-CO"/>
        </w:rPr>
        <w:t>no es suficiente con solo inferir un derecho por su nombre desde la Carta, también es necesario que la Carta establezca el contenido mínimo de ese derecho. Este contenido mínimo podría ser clarificado luego - hasta cierto punto - por otros instrumentos internacionales. Definir todo el contenido y el alcance de un derecho por medio de otros instrumentos resultaría inevitablemente en una modificación de la Carta</w:t>
      </w:r>
      <w:r w:rsidR="006473F9" w:rsidRPr="00BB44C5">
        <w:rPr>
          <w:rFonts w:ascii="Verdana" w:hAnsi="Verdana"/>
          <w:sz w:val="20"/>
          <w:szCs w:val="20"/>
          <w:lang w:val="es-CR"/>
        </w:rPr>
        <w:t>”</w:t>
      </w:r>
      <w:r w:rsidR="006473F9" w:rsidRPr="00810CE7">
        <w:rPr>
          <w:rStyle w:val="FootnoteReference"/>
          <w:rFonts w:ascii="Verdana" w:hAnsi="Verdana"/>
          <w:sz w:val="20"/>
          <w:szCs w:val="20"/>
          <w:lang w:val="en-US"/>
        </w:rPr>
        <w:footnoteReference w:id="7"/>
      </w:r>
      <w:r w:rsidR="006473F9" w:rsidRPr="00BB44C5">
        <w:rPr>
          <w:rFonts w:ascii="Verdana" w:hAnsi="Verdana"/>
          <w:sz w:val="20"/>
          <w:szCs w:val="20"/>
          <w:lang w:val="es-CR"/>
        </w:rPr>
        <w:t>.</w:t>
      </w:r>
    </w:p>
    <w:p w:rsidR="006473F9" w:rsidRPr="00810CE7" w:rsidRDefault="006473F9" w:rsidP="00ED130A">
      <w:pPr>
        <w:pStyle w:val="ListParagraph"/>
        <w:tabs>
          <w:tab w:val="left" w:pos="709"/>
        </w:tabs>
        <w:spacing w:after="0" w:line="240" w:lineRule="auto"/>
        <w:rPr>
          <w:rFonts w:ascii="Verdana" w:hAnsi="Verdana"/>
          <w:sz w:val="20"/>
          <w:szCs w:val="20"/>
          <w:lang w:val="es-CR"/>
        </w:rPr>
      </w:pPr>
    </w:p>
    <w:p w:rsidR="00FA5852" w:rsidRPr="00FA5852" w:rsidRDefault="00EA3768" w:rsidP="00ED130A">
      <w:pPr>
        <w:pStyle w:val="ListParagraph"/>
        <w:numPr>
          <w:ilvl w:val="0"/>
          <w:numId w:val="1"/>
        </w:numPr>
        <w:tabs>
          <w:tab w:val="left" w:pos="426"/>
          <w:tab w:val="left" w:pos="709"/>
        </w:tabs>
        <w:spacing w:after="0" w:line="240" w:lineRule="auto"/>
        <w:ind w:left="0" w:firstLine="0"/>
        <w:jc w:val="both"/>
        <w:rPr>
          <w:rFonts w:ascii="Verdana" w:hAnsi="Verdana"/>
          <w:sz w:val="20"/>
          <w:szCs w:val="20"/>
          <w:lang w:val="es-CR"/>
        </w:rPr>
      </w:pPr>
      <w:r>
        <w:rPr>
          <w:rFonts w:ascii="Verdana" w:hAnsi="Verdana"/>
          <w:sz w:val="20"/>
          <w:szCs w:val="20"/>
          <w:lang w:val="es-CR"/>
        </w:rPr>
        <w:t>En este sentido, cabe recalcar que:</w:t>
      </w:r>
    </w:p>
    <w:p w:rsidR="00FA5852" w:rsidRPr="00EA3768" w:rsidRDefault="00FA5852" w:rsidP="00ED130A">
      <w:pPr>
        <w:pStyle w:val="ListParagraph"/>
        <w:tabs>
          <w:tab w:val="left" w:pos="709"/>
        </w:tabs>
        <w:spacing w:after="0" w:line="240" w:lineRule="auto"/>
        <w:rPr>
          <w:rFonts w:ascii="Verdana" w:hAnsi="Verdana"/>
          <w:sz w:val="20"/>
          <w:szCs w:val="20"/>
          <w:lang w:val="es-CR"/>
        </w:rPr>
      </w:pPr>
    </w:p>
    <w:p w:rsidR="00FA5852" w:rsidRPr="00FA5852" w:rsidRDefault="00FA5852" w:rsidP="00ED130A">
      <w:pPr>
        <w:tabs>
          <w:tab w:val="left" w:pos="426"/>
          <w:tab w:val="left" w:pos="709"/>
        </w:tabs>
        <w:spacing w:after="0" w:line="240" w:lineRule="auto"/>
        <w:ind w:left="426" w:right="333"/>
        <w:jc w:val="both"/>
        <w:rPr>
          <w:rFonts w:ascii="Verdana" w:hAnsi="Verdana"/>
          <w:sz w:val="16"/>
          <w:szCs w:val="16"/>
          <w:lang w:val="es-CO"/>
        </w:rPr>
      </w:pPr>
      <w:r w:rsidRPr="00FA5852">
        <w:rPr>
          <w:rFonts w:ascii="Verdana" w:hAnsi="Verdana"/>
          <w:sz w:val="16"/>
          <w:szCs w:val="16"/>
          <w:lang w:val="es-CO"/>
        </w:rPr>
        <w:t>“La inclusión [del artículo 26] en el texto convencional requiere el esfuerzo teórico por dotarla de sentido, acorde con las demás normas de la Convención y los principios que rigen su interpretación, evitando dos posturas que entendemos incorrectas [entre ellas], la tentación de introducir mediante este artículo un catálogo completo de derechos sociales que evidentemente los Estados no tuvieron intención de incorporar en el sistema de la Convención, diseñado principalmente para la tutela de derechos civiles y políticos”</w:t>
      </w:r>
      <w:r w:rsidRPr="00FA5852">
        <w:rPr>
          <w:rStyle w:val="FootnoteReference"/>
          <w:rFonts w:ascii="Verdana" w:hAnsi="Verdana"/>
          <w:sz w:val="16"/>
          <w:szCs w:val="16"/>
          <w:lang w:val="es-CO"/>
        </w:rPr>
        <w:footnoteReference w:id="8"/>
      </w:r>
      <w:r w:rsidRPr="00FA5852">
        <w:rPr>
          <w:rFonts w:ascii="Verdana" w:hAnsi="Verdana"/>
          <w:sz w:val="16"/>
          <w:szCs w:val="16"/>
          <w:lang w:val="es-CO"/>
        </w:rPr>
        <w:t xml:space="preserve">. </w:t>
      </w:r>
    </w:p>
    <w:p w:rsidR="00FA5852" w:rsidRPr="00FA5852" w:rsidRDefault="00FA5852" w:rsidP="00ED130A">
      <w:pPr>
        <w:pStyle w:val="ListParagraph"/>
        <w:tabs>
          <w:tab w:val="left" w:pos="426"/>
          <w:tab w:val="left" w:pos="709"/>
        </w:tabs>
        <w:spacing w:after="0" w:line="240" w:lineRule="auto"/>
        <w:ind w:left="0"/>
        <w:jc w:val="both"/>
        <w:rPr>
          <w:rFonts w:ascii="Verdana" w:hAnsi="Verdana"/>
          <w:sz w:val="20"/>
          <w:szCs w:val="20"/>
          <w:lang w:val="es-CO"/>
        </w:rPr>
      </w:pPr>
    </w:p>
    <w:p w:rsidR="006473F9" w:rsidRPr="00810CE7" w:rsidRDefault="006473F9" w:rsidP="00ED130A">
      <w:pPr>
        <w:pStyle w:val="ListParagraph"/>
        <w:numPr>
          <w:ilvl w:val="0"/>
          <w:numId w:val="1"/>
        </w:numPr>
        <w:tabs>
          <w:tab w:val="left" w:pos="426"/>
          <w:tab w:val="left" w:pos="709"/>
        </w:tabs>
        <w:spacing w:after="0" w:line="240" w:lineRule="auto"/>
        <w:ind w:left="0" w:firstLine="0"/>
        <w:jc w:val="both"/>
        <w:rPr>
          <w:rFonts w:ascii="Verdana" w:hAnsi="Verdana"/>
          <w:sz w:val="20"/>
          <w:szCs w:val="20"/>
          <w:lang w:val="es-CR"/>
        </w:rPr>
      </w:pPr>
      <w:r w:rsidRPr="00810CE7">
        <w:rPr>
          <w:rFonts w:ascii="Verdana" w:hAnsi="Verdana"/>
          <w:sz w:val="20"/>
          <w:szCs w:val="20"/>
        </w:rPr>
        <w:t xml:space="preserve">Si bien hubiera sido deseable </w:t>
      </w:r>
      <w:r w:rsidRPr="00810CE7">
        <w:rPr>
          <w:rFonts w:ascii="Verdana" w:hAnsi="Verdana"/>
          <w:sz w:val="20"/>
          <w:szCs w:val="20"/>
          <w:lang w:val="es-CO"/>
        </w:rPr>
        <w:t>cuando se estableció el artículo 26 que se utilizara una técnica legislativa menos problemática como lo es el sistema de remisiones complejo a la Carta de la OEA, lo cierto es que la remisión es a la Carta y no a la Declaración Americana</w:t>
      </w:r>
      <w:r w:rsidR="00A06AE4">
        <w:rPr>
          <w:rFonts w:ascii="Verdana" w:hAnsi="Verdana"/>
          <w:sz w:val="20"/>
          <w:szCs w:val="20"/>
          <w:lang w:val="es-CO"/>
        </w:rPr>
        <w:t xml:space="preserve"> de los Derechos y Deberes del Hombre</w:t>
      </w:r>
      <w:r w:rsidRPr="00810CE7">
        <w:rPr>
          <w:rFonts w:ascii="Verdana" w:hAnsi="Verdana"/>
          <w:sz w:val="20"/>
          <w:szCs w:val="20"/>
          <w:lang w:val="es-CO"/>
        </w:rPr>
        <w:t>, lo cual podría haber producido una interpretación distinta</w:t>
      </w:r>
      <w:r w:rsidR="00D26712">
        <w:rPr>
          <w:rFonts w:ascii="Verdana" w:hAnsi="Verdana"/>
          <w:sz w:val="20"/>
          <w:szCs w:val="20"/>
          <w:lang w:val="es-CO"/>
        </w:rPr>
        <w:t>, debido a que la declaración sí</w:t>
      </w:r>
      <w:r w:rsidRPr="00810CE7">
        <w:rPr>
          <w:rFonts w:ascii="Verdana" w:hAnsi="Verdana"/>
          <w:sz w:val="20"/>
          <w:szCs w:val="20"/>
          <w:lang w:val="es-CO"/>
        </w:rPr>
        <w:t xml:space="preserve"> cuenta con </w:t>
      </w:r>
      <w:r w:rsidR="00CB6D39" w:rsidRPr="00810CE7">
        <w:rPr>
          <w:rFonts w:ascii="Verdana" w:hAnsi="Verdana"/>
          <w:sz w:val="20"/>
          <w:szCs w:val="20"/>
          <w:lang w:val="es-CO"/>
        </w:rPr>
        <w:t>referencias más claras a los DESC</w:t>
      </w:r>
      <w:r w:rsidR="00CB6D39" w:rsidRPr="00810CE7">
        <w:rPr>
          <w:rStyle w:val="FootnoteReference"/>
          <w:rFonts w:ascii="Verdana" w:hAnsi="Verdana"/>
          <w:sz w:val="20"/>
          <w:szCs w:val="20"/>
          <w:lang w:val="es-CO"/>
        </w:rPr>
        <w:footnoteReference w:id="9"/>
      </w:r>
      <w:r w:rsidRPr="00810CE7">
        <w:rPr>
          <w:rFonts w:ascii="Verdana" w:hAnsi="Verdana"/>
          <w:sz w:val="20"/>
          <w:szCs w:val="20"/>
          <w:lang w:val="es-CO"/>
        </w:rPr>
        <w:t xml:space="preserve">. </w:t>
      </w:r>
      <w:r w:rsidRPr="00810CE7">
        <w:rPr>
          <w:rFonts w:ascii="Verdana" w:hAnsi="Verdana"/>
          <w:sz w:val="20"/>
          <w:szCs w:val="20"/>
          <w:lang w:val="es-CR"/>
        </w:rPr>
        <w:t>Lamentablemente, este no es el caso</w:t>
      </w:r>
      <w:r w:rsidR="00286915">
        <w:rPr>
          <w:rStyle w:val="FootnoteReference"/>
          <w:rFonts w:ascii="Verdana" w:hAnsi="Verdana"/>
          <w:sz w:val="20"/>
          <w:szCs w:val="20"/>
          <w:lang w:val="es-CR"/>
        </w:rPr>
        <w:footnoteReference w:id="10"/>
      </w:r>
      <w:r w:rsidRPr="00810CE7">
        <w:rPr>
          <w:rFonts w:ascii="Verdana" w:hAnsi="Verdana"/>
          <w:sz w:val="20"/>
          <w:szCs w:val="20"/>
          <w:lang w:val="es-CR"/>
        </w:rPr>
        <w:t xml:space="preserve">. </w:t>
      </w:r>
    </w:p>
    <w:p w:rsidR="006473F9" w:rsidRPr="00810CE7" w:rsidRDefault="006473F9" w:rsidP="00ED130A">
      <w:pPr>
        <w:pStyle w:val="ListParagraph"/>
        <w:tabs>
          <w:tab w:val="left" w:pos="426"/>
          <w:tab w:val="left" w:pos="709"/>
        </w:tabs>
        <w:spacing w:after="0" w:line="240" w:lineRule="auto"/>
        <w:ind w:left="0"/>
        <w:jc w:val="both"/>
        <w:rPr>
          <w:rFonts w:ascii="Verdana" w:hAnsi="Verdana"/>
          <w:sz w:val="20"/>
          <w:szCs w:val="20"/>
          <w:lang w:val="es-CR"/>
        </w:rPr>
      </w:pPr>
    </w:p>
    <w:p w:rsidR="006E0DF2" w:rsidRPr="00767B7F" w:rsidRDefault="00BA3494" w:rsidP="00ED130A">
      <w:pPr>
        <w:pStyle w:val="ListParagraph"/>
        <w:numPr>
          <w:ilvl w:val="0"/>
          <w:numId w:val="1"/>
        </w:numPr>
        <w:tabs>
          <w:tab w:val="left" w:pos="426"/>
          <w:tab w:val="left" w:pos="709"/>
        </w:tabs>
        <w:spacing w:after="0" w:line="240" w:lineRule="auto"/>
        <w:ind w:left="0" w:firstLine="0"/>
        <w:jc w:val="both"/>
        <w:rPr>
          <w:rFonts w:ascii="Verdana" w:hAnsi="Verdana"/>
          <w:sz w:val="20"/>
          <w:szCs w:val="20"/>
        </w:rPr>
      </w:pPr>
      <w:r w:rsidRPr="00810CE7">
        <w:rPr>
          <w:rFonts w:ascii="Verdana" w:hAnsi="Verdana"/>
          <w:sz w:val="20"/>
          <w:szCs w:val="20"/>
        </w:rPr>
        <w:t xml:space="preserve">Por otra parte, se ha afirmado que la Corte Interamericana ya habría aceptado en el caso </w:t>
      </w:r>
      <w:r w:rsidRPr="00810CE7">
        <w:rPr>
          <w:rFonts w:ascii="Verdana" w:hAnsi="Verdana"/>
          <w:i/>
          <w:sz w:val="20"/>
          <w:szCs w:val="20"/>
        </w:rPr>
        <w:t>Acevedo Buendía</w:t>
      </w:r>
      <w:r w:rsidR="006E0DF2" w:rsidRPr="00810CE7">
        <w:rPr>
          <w:rFonts w:ascii="Verdana" w:hAnsi="Verdana"/>
          <w:i/>
          <w:sz w:val="20"/>
          <w:szCs w:val="20"/>
        </w:rPr>
        <w:t xml:space="preserve"> </w:t>
      </w:r>
      <w:r w:rsidRPr="00810CE7">
        <w:rPr>
          <w:rFonts w:ascii="Verdana" w:hAnsi="Verdana"/>
          <w:i/>
          <w:sz w:val="20"/>
          <w:szCs w:val="20"/>
        </w:rPr>
        <w:t>y otros</w:t>
      </w:r>
      <w:r w:rsidR="007737B8">
        <w:rPr>
          <w:rFonts w:ascii="Verdana" w:hAnsi="Verdana"/>
          <w:i/>
          <w:sz w:val="20"/>
          <w:szCs w:val="20"/>
        </w:rPr>
        <w:t xml:space="preserve"> (“Cesantes y Jubilados de la Contraloría”)</w:t>
      </w:r>
      <w:r w:rsidRPr="00810CE7">
        <w:rPr>
          <w:rFonts w:ascii="Verdana" w:hAnsi="Verdana"/>
          <w:i/>
          <w:sz w:val="20"/>
          <w:szCs w:val="20"/>
        </w:rPr>
        <w:t xml:space="preserve"> Vs. Perú</w:t>
      </w:r>
      <w:r w:rsidRPr="00810CE7">
        <w:rPr>
          <w:rFonts w:ascii="Verdana" w:hAnsi="Verdana"/>
          <w:sz w:val="20"/>
          <w:szCs w:val="20"/>
        </w:rPr>
        <w:t xml:space="preserve"> que el artículo 26 de la Convención contiene </w:t>
      </w:r>
      <w:r w:rsidR="00D26712">
        <w:rPr>
          <w:rFonts w:ascii="Verdana" w:hAnsi="Verdana"/>
          <w:sz w:val="20"/>
          <w:szCs w:val="20"/>
        </w:rPr>
        <w:t>en catá</w:t>
      </w:r>
      <w:r w:rsidR="00D74F7A">
        <w:rPr>
          <w:rFonts w:ascii="Verdana" w:hAnsi="Verdana"/>
          <w:sz w:val="20"/>
          <w:szCs w:val="20"/>
        </w:rPr>
        <w:t xml:space="preserve">logo preciso de </w:t>
      </w:r>
      <w:r w:rsidRPr="00810CE7">
        <w:rPr>
          <w:rFonts w:ascii="Verdana" w:hAnsi="Verdana"/>
          <w:sz w:val="20"/>
          <w:szCs w:val="20"/>
        </w:rPr>
        <w:t>DESC</w:t>
      </w:r>
      <w:r w:rsidR="006E0DF2" w:rsidRPr="00810CE7">
        <w:rPr>
          <w:rFonts w:ascii="Verdana" w:hAnsi="Verdana"/>
          <w:sz w:val="20"/>
          <w:szCs w:val="20"/>
        </w:rPr>
        <w:t>,</w:t>
      </w:r>
      <w:r w:rsidRPr="00810CE7">
        <w:rPr>
          <w:rFonts w:ascii="Verdana" w:hAnsi="Verdana"/>
          <w:sz w:val="20"/>
          <w:szCs w:val="20"/>
        </w:rPr>
        <w:t xml:space="preserve"> los cuales serían exigibles de manera directa.</w:t>
      </w:r>
      <w:r w:rsidR="006E0DF2" w:rsidRPr="00810CE7">
        <w:rPr>
          <w:rFonts w:ascii="Verdana" w:hAnsi="Verdana"/>
          <w:sz w:val="20"/>
          <w:szCs w:val="20"/>
        </w:rPr>
        <w:t xml:space="preserve"> En mi opinión, e</w:t>
      </w:r>
      <w:r w:rsidR="007F1F15" w:rsidRPr="00810CE7">
        <w:rPr>
          <w:rFonts w:ascii="Verdana" w:hAnsi="Verdana"/>
          <w:sz w:val="20"/>
          <w:szCs w:val="20"/>
        </w:rPr>
        <w:t xml:space="preserve">l alcance que se le está tratando de </w:t>
      </w:r>
      <w:r w:rsidR="007F1F15" w:rsidRPr="006E0DF2">
        <w:rPr>
          <w:rFonts w:ascii="Verdana" w:hAnsi="Verdana"/>
          <w:sz w:val="20"/>
          <w:szCs w:val="20"/>
        </w:rPr>
        <w:lastRenderedPageBreak/>
        <w:t xml:space="preserve">dar </w:t>
      </w:r>
      <w:r w:rsidR="006E0DF2">
        <w:rPr>
          <w:rFonts w:ascii="Verdana" w:hAnsi="Verdana"/>
          <w:sz w:val="20"/>
          <w:szCs w:val="20"/>
        </w:rPr>
        <w:t>a esta Sentencia</w:t>
      </w:r>
      <w:r w:rsidR="007F1F15" w:rsidRPr="006E0DF2">
        <w:rPr>
          <w:rFonts w:ascii="Verdana" w:hAnsi="Verdana"/>
          <w:sz w:val="20"/>
          <w:szCs w:val="20"/>
        </w:rPr>
        <w:t xml:space="preserve"> es excesivo. </w:t>
      </w:r>
      <w:r w:rsidR="006E0DF2">
        <w:rPr>
          <w:rFonts w:ascii="Verdana" w:hAnsi="Verdana"/>
          <w:sz w:val="20"/>
          <w:szCs w:val="20"/>
        </w:rPr>
        <w:t>En primer lugar, en la Sentencia no se declara la violación del artículo 26 y el estudio que se realiza es precisamente en torno a la obligación de desarrollo progresivo</w:t>
      </w:r>
      <w:r w:rsidR="00D74F7A">
        <w:rPr>
          <w:rFonts w:ascii="Verdana" w:hAnsi="Verdana"/>
          <w:sz w:val="20"/>
          <w:szCs w:val="20"/>
        </w:rPr>
        <w:t xml:space="preserve"> y no respecto a una exigibilidad directa de algún derecho en particular</w:t>
      </w:r>
      <w:r w:rsidR="006E0DF2">
        <w:rPr>
          <w:rFonts w:ascii="Verdana" w:hAnsi="Verdana"/>
          <w:sz w:val="20"/>
          <w:szCs w:val="20"/>
        </w:rPr>
        <w:t>. En segundo lugar, la Sentenc</w:t>
      </w:r>
      <w:r w:rsidR="00D26712">
        <w:rPr>
          <w:rFonts w:ascii="Verdana" w:hAnsi="Verdana"/>
          <w:sz w:val="20"/>
          <w:szCs w:val="20"/>
        </w:rPr>
        <w:t>ia no define ni aclara cuá</w:t>
      </w:r>
      <w:r w:rsidR="006E0DF2">
        <w:rPr>
          <w:rFonts w:ascii="Verdana" w:hAnsi="Verdana"/>
          <w:sz w:val="20"/>
          <w:szCs w:val="20"/>
        </w:rPr>
        <w:t>l sería el DESC que se estaría tutelando, ni su alcance o contenido mínimo. En tercer lugar, incluso si se quisiera derivar</w:t>
      </w:r>
      <w:r w:rsidR="00551B5B">
        <w:rPr>
          <w:rFonts w:ascii="Verdana" w:hAnsi="Verdana"/>
          <w:sz w:val="20"/>
          <w:szCs w:val="20"/>
        </w:rPr>
        <w:t xml:space="preserve"> algún tipo de </w:t>
      </w:r>
      <w:proofErr w:type="spellStart"/>
      <w:r w:rsidR="00551B5B">
        <w:rPr>
          <w:rFonts w:ascii="Verdana" w:hAnsi="Verdana"/>
          <w:sz w:val="20"/>
          <w:szCs w:val="20"/>
        </w:rPr>
        <w:t>justiciabilidad</w:t>
      </w:r>
      <w:proofErr w:type="spellEnd"/>
      <w:r w:rsidR="00551B5B">
        <w:rPr>
          <w:rFonts w:ascii="Verdana" w:hAnsi="Verdana"/>
          <w:sz w:val="20"/>
          <w:szCs w:val="20"/>
        </w:rPr>
        <w:t xml:space="preserve"> directa</w:t>
      </w:r>
      <w:r w:rsidR="006E0DF2">
        <w:rPr>
          <w:rFonts w:ascii="Verdana" w:hAnsi="Verdana"/>
          <w:sz w:val="20"/>
          <w:szCs w:val="20"/>
        </w:rPr>
        <w:t xml:space="preserve"> de la afirmación de que las obligaciones de respeto y garantía son aplicables al artículo 26 de la Convención, cabe recalcar que estas afirmaciones son un </w:t>
      </w:r>
      <w:proofErr w:type="spellStart"/>
      <w:r w:rsidR="006E0DF2">
        <w:rPr>
          <w:rFonts w:ascii="Verdana" w:hAnsi="Verdana"/>
          <w:i/>
          <w:sz w:val="20"/>
          <w:szCs w:val="20"/>
        </w:rPr>
        <w:t>obiter</w:t>
      </w:r>
      <w:proofErr w:type="spellEnd"/>
      <w:r w:rsidR="006E0DF2">
        <w:rPr>
          <w:rFonts w:ascii="Verdana" w:hAnsi="Verdana"/>
          <w:i/>
          <w:sz w:val="20"/>
          <w:szCs w:val="20"/>
        </w:rPr>
        <w:t xml:space="preserve"> </w:t>
      </w:r>
      <w:proofErr w:type="spellStart"/>
      <w:r w:rsidR="006E0DF2">
        <w:rPr>
          <w:rFonts w:ascii="Verdana" w:hAnsi="Verdana"/>
          <w:i/>
          <w:sz w:val="20"/>
          <w:szCs w:val="20"/>
        </w:rPr>
        <w:t>dictum</w:t>
      </w:r>
      <w:proofErr w:type="spellEnd"/>
      <w:r w:rsidR="006E0DF2">
        <w:rPr>
          <w:rFonts w:ascii="Verdana" w:hAnsi="Verdana"/>
          <w:sz w:val="20"/>
          <w:szCs w:val="20"/>
        </w:rPr>
        <w:t xml:space="preserve"> de la Sentencia, por cuanto no tienen relación directa con la decisión final </w:t>
      </w:r>
      <w:r w:rsidR="006E0DF2" w:rsidRPr="00767B7F">
        <w:rPr>
          <w:rFonts w:ascii="Verdana" w:hAnsi="Verdana"/>
          <w:sz w:val="20"/>
          <w:szCs w:val="20"/>
        </w:rPr>
        <w:t>que fue la de no declarar violado el art</w:t>
      </w:r>
      <w:r w:rsidR="00551B5B" w:rsidRPr="00767B7F">
        <w:rPr>
          <w:rFonts w:ascii="Verdana" w:hAnsi="Verdana"/>
          <w:sz w:val="20"/>
          <w:szCs w:val="20"/>
        </w:rPr>
        <w:t>ículo 26</w:t>
      </w:r>
      <w:r w:rsidR="00551B5B" w:rsidRPr="00767B7F">
        <w:rPr>
          <w:rStyle w:val="FootnoteReference"/>
          <w:rFonts w:ascii="Verdana" w:hAnsi="Verdana"/>
          <w:sz w:val="20"/>
          <w:szCs w:val="20"/>
        </w:rPr>
        <w:footnoteReference w:id="11"/>
      </w:r>
      <w:r w:rsidR="00551B5B" w:rsidRPr="00767B7F">
        <w:rPr>
          <w:rFonts w:ascii="Verdana" w:hAnsi="Verdana"/>
          <w:sz w:val="20"/>
          <w:szCs w:val="20"/>
        </w:rPr>
        <w:t>.</w:t>
      </w:r>
      <w:r w:rsidR="00810CE7" w:rsidRPr="00767B7F">
        <w:rPr>
          <w:rFonts w:ascii="Verdana" w:hAnsi="Verdana"/>
          <w:sz w:val="20"/>
          <w:szCs w:val="20"/>
        </w:rPr>
        <w:t xml:space="preserve"> Además, este punto de la Sentencia no fue reiterada en la jurisprudencia posterior de la Corte</w:t>
      </w:r>
      <w:r w:rsidR="00767B7F" w:rsidRPr="00767B7F">
        <w:rPr>
          <w:rFonts w:ascii="Verdana" w:hAnsi="Verdana"/>
          <w:sz w:val="20"/>
          <w:szCs w:val="20"/>
        </w:rPr>
        <w:t xml:space="preserve"> a pesar de que se han presentado casos en la que las violaciones alegadas podrían haberle permitido a la Corte reafirmar su posición</w:t>
      </w:r>
      <w:r w:rsidR="00810CE7" w:rsidRPr="00767B7F">
        <w:rPr>
          <w:rFonts w:ascii="Verdana" w:hAnsi="Verdana"/>
          <w:sz w:val="20"/>
          <w:szCs w:val="20"/>
        </w:rPr>
        <w:t>, por lo que quedan dudas si después de seis años de adoptado el Fallo se puede considerar un precedente constante.</w:t>
      </w:r>
      <w:r w:rsidR="00286915" w:rsidRPr="00767B7F">
        <w:rPr>
          <w:rFonts w:ascii="Verdana" w:hAnsi="Verdana"/>
          <w:sz w:val="20"/>
          <w:szCs w:val="20"/>
        </w:rPr>
        <w:t xml:space="preserve"> Finalmente, </w:t>
      </w:r>
      <w:r w:rsidR="00052F4F" w:rsidRPr="00767B7F">
        <w:rPr>
          <w:rFonts w:ascii="Verdana" w:hAnsi="Verdana"/>
          <w:sz w:val="20"/>
          <w:szCs w:val="20"/>
        </w:rPr>
        <w:t xml:space="preserve">esta Sentencia tiene un problema de base importante, porque no hizo </w:t>
      </w:r>
      <w:r w:rsidR="003735C6" w:rsidRPr="00767B7F">
        <w:rPr>
          <w:rFonts w:ascii="Verdana" w:hAnsi="Verdana"/>
          <w:sz w:val="20"/>
          <w:szCs w:val="20"/>
        </w:rPr>
        <w:t>mención</w:t>
      </w:r>
      <w:r w:rsidR="00052F4F" w:rsidRPr="00767B7F">
        <w:rPr>
          <w:rFonts w:ascii="Verdana" w:hAnsi="Verdana"/>
          <w:sz w:val="20"/>
          <w:szCs w:val="20"/>
        </w:rPr>
        <w:t xml:space="preserve"> alguna al Protocolo de San Salvador, lo cual como se estudiará más adelante</w:t>
      </w:r>
      <w:r w:rsidR="00D26712" w:rsidRPr="00767B7F">
        <w:rPr>
          <w:rFonts w:ascii="Verdana" w:hAnsi="Verdana"/>
          <w:sz w:val="20"/>
          <w:szCs w:val="20"/>
        </w:rPr>
        <w:t>,</w:t>
      </w:r>
      <w:r w:rsidR="00052F4F" w:rsidRPr="00767B7F">
        <w:rPr>
          <w:rFonts w:ascii="Verdana" w:hAnsi="Verdana"/>
          <w:sz w:val="20"/>
          <w:szCs w:val="20"/>
        </w:rPr>
        <w:t xml:space="preserve"> es fundamental para entender la competencia de la Corte en esta materia.</w:t>
      </w:r>
    </w:p>
    <w:p w:rsidR="007F1F15" w:rsidRPr="007F1F15" w:rsidRDefault="007F1F15" w:rsidP="00ED130A">
      <w:pPr>
        <w:pStyle w:val="ListParagraph"/>
        <w:tabs>
          <w:tab w:val="left" w:pos="426"/>
          <w:tab w:val="left" w:pos="709"/>
        </w:tabs>
        <w:spacing w:after="0" w:line="240" w:lineRule="auto"/>
        <w:ind w:left="0"/>
        <w:jc w:val="both"/>
        <w:rPr>
          <w:rFonts w:ascii="Verdana" w:hAnsi="Verdana"/>
          <w:sz w:val="20"/>
          <w:szCs w:val="20"/>
        </w:rPr>
      </w:pPr>
    </w:p>
    <w:p w:rsidR="004F638D" w:rsidRPr="003F21C7" w:rsidRDefault="00482F71" w:rsidP="00ED130A">
      <w:pPr>
        <w:pStyle w:val="ListParagraph"/>
        <w:numPr>
          <w:ilvl w:val="0"/>
          <w:numId w:val="1"/>
        </w:numPr>
        <w:tabs>
          <w:tab w:val="left" w:pos="426"/>
          <w:tab w:val="left" w:pos="709"/>
        </w:tabs>
        <w:spacing w:after="0" w:line="240" w:lineRule="auto"/>
        <w:ind w:left="0" w:firstLine="0"/>
        <w:jc w:val="both"/>
        <w:rPr>
          <w:rFonts w:ascii="Verdana" w:hAnsi="Verdana"/>
          <w:sz w:val="20"/>
          <w:szCs w:val="20"/>
        </w:rPr>
      </w:pPr>
      <w:r>
        <w:rPr>
          <w:rFonts w:ascii="Verdana" w:hAnsi="Verdana"/>
          <w:sz w:val="20"/>
          <w:szCs w:val="20"/>
        </w:rPr>
        <w:t xml:space="preserve">Teniendo en cuenta lo anterior, es posible arribar a una primera conclusión y es que el artículo 26 de la Convención Americana no contiene un </w:t>
      </w:r>
      <w:r w:rsidR="00681F58">
        <w:rPr>
          <w:rFonts w:ascii="Verdana" w:hAnsi="Verdana"/>
          <w:sz w:val="20"/>
          <w:szCs w:val="20"/>
        </w:rPr>
        <w:t>catálogo</w:t>
      </w:r>
      <w:r>
        <w:rPr>
          <w:rFonts w:ascii="Verdana" w:hAnsi="Verdana"/>
          <w:sz w:val="20"/>
          <w:szCs w:val="20"/>
        </w:rPr>
        <w:t xml:space="preserve"> de derechos subjetivos</w:t>
      </w:r>
      <w:r w:rsidR="005422D5">
        <w:rPr>
          <w:rFonts w:ascii="Verdana" w:hAnsi="Verdana"/>
          <w:sz w:val="20"/>
          <w:szCs w:val="20"/>
        </w:rPr>
        <w:t xml:space="preserve"> establecido de manera clara</w:t>
      </w:r>
      <w:r w:rsidR="003735C6">
        <w:rPr>
          <w:rFonts w:ascii="Verdana" w:hAnsi="Verdana"/>
          <w:sz w:val="20"/>
          <w:szCs w:val="20"/>
        </w:rPr>
        <w:t>, precisamente por los problemas que genera la remisión a la Carta de la OEA</w:t>
      </w:r>
      <w:r w:rsidR="00C558C8">
        <w:rPr>
          <w:rFonts w:ascii="Verdana" w:hAnsi="Verdana"/>
          <w:sz w:val="20"/>
          <w:szCs w:val="20"/>
        </w:rPr>
        <w:t>. Por tanto, la obligación que este artículo implica y que</w:t>
      </w:r>
      <w:r w:rsidR="00DA78B6">
        <w:rPr>
          <w:rFonts w:ascii="Verdana" w:hAnsi="Verdana"/>
          <w:sz w:val="20"/>
          <w:szCs w:val="20"/>
        </w:rPr>
        <w:t xml:space="preserve"> </w:t>
      </w:r>
      <w:r w:rsidR="00C558C8">
        <w:rPr>
          <w:rFonts w:ascii="Verdana" w:hAnsi="Verdana"/>
          <w:sz w:val="20"/>
          <w:szCs w:val="20"/>
        </w:rPr>
        <w:t xml:space="preserve">la Corte puede supervisar de manera directa es el </w:t>
      </w:r>
      <w:r w:rsidR="005422D5">
        <w:rPr>
          <w:rFonts w:ascii="Verdana" w:hAnsi="Verdana"/>
          <w:sz w:val="20"/>
          <w:szCs w:val="20"/>
        </w:rPr>
        <w:t xml:space="preserve">cumplimiento de la obligación de </w:t>
      </w:r>
      <w:r w:rsidR="00C558C8">
        <w:rPr>
          <w:rFonts w:ascii="Verdana" w:hAnsi="Verdana"/>
          <w:sz w:val="20"/>
          <w:szCs w:val="20"/>
        </w:rPr>
        <w:t>desarrollo progresivo y su consecuente deber de no regresividad</w:t>
      </w:r>
      <w:r w:rsidR="00F272F7">
        <w:rPr>
          <w:rFonts w:ascii="Verdana" w:hAnsi="Verdana"/>
          <w:sz w:val="20"/>
          <w:szCs w:val="20"/>
        </w:rPr>
        <w:t>, de los derechos que se pudieran derivar de la Carta más allá de la simple referencia a</w:t>
      </w:r>
      <w:r w:rsidR="00932D23">
        <w:rPr>
          <w:rFonts w:ascii="Verdana" w:hAnsi="Verdana"/>
          <w:sz w:val="20"/>
          <w:szCs w:val="20"/>
        </w:rPr>
        <w:t xml:space="preserve">l </w:t>
      </w:r>
      <w:r w:rsidR="009068BC">
        <w:rPr>
          <w:rFonts w:ascii="Verdana" w:hAnsi="Verdana"/>
          <w:sz w:val="20"/>
          <w:szCs w:val="20"/>
        </w:rPr>
        <w:t>nombre, como lo podría</w:t>
      </w:r>
      <w:r w:rsidR="00932D23">
        <w:rPr>
          <w:rFonts w:ascii="Verdana" w:hAnsi="Verdana"/>
          <w:sz w:val="20"/>
          <w:szCs w:val="20"/>
        </w:rPr>
        <w:t xml:space="preserve"> ser el derecho al trabajo</w:t>
      </w:r>
      <w:r w:rsidR="009068BC">
        <w:rPr>
          <w:rStyle w:val="FootnoteReference"/>
          <w:rFonts w:ascii="Verdana" w:hAnsi="Verdana"/>
          <w:sz w:val="20"/>
          <w:szCs w:val="20"/>
        </w:rPr>
        <w:footnoteReference w:id="12"/>
      </w:r>
      <w:r w:rsidR="00C558C8">
        <w:rPr>
          <w:rFonts w:ascii="Verdana" w:hAnsi="Verdana"/>
          <w:sz w:val="20"/>
          <w:szCs w:val="20"/>
        </w:rPr>
        <w:t>.</w:t>
      </w:r>
    </w:p>
    <w:p w:rsidR="00BB44C5" w:rsidRPr="00BB44C5" w:rsidRDefault="00BB44C5" w:rsidP="00ED130A">
      <w:pPr>
        <w:pStyle w:val="ListParagraph"/>
        <w:tabs>
          <w:tab w:val="left" w:pos="426"/>
          <w:tab w:val="left" w:pos="709"/>
        </w:tabs>
        <w:spacing w:after="0" w:line="240" w:lineRule="auto"/>
        <w:ind w:left="0"/>
        <w:jc w:val="both"/>
        <w:rPr>
          <w:rFonts w:ascii="Verdana" w:hAnsi="Verdana"/>
          <w:sz w:val="20"/>
          <w:szCs w:val="20"/>
          <w:lang w:val="es-CO"/>
        </w:rPr>
      </w:pPr>
    </w:p>
    <w:p w:rsidR="00E93BF5" w:rsidRDefault="00E93BF5" w:rsidP="00ED130A">
      <w:pPr>
        <w:pStyle w:val="ListParagraph"/>
        <w:numPr>
          <w:ilvl w:val="0"/>
          <w:numId w:val="2"/>
        </w:numPr>
        <w:tabs>
          <w:tab w:val="left" w:pos="426"/>
          <w:tab w:val="left" w:pos="709"/>
        </w:tabs>
        <w:spacing w:after="0" w:line="240" w:lineRule="auto"/>
        <w:jc w:val="both"/>
        <w:rPr>
          <w:rFonts w:ascii="Verdana" w:hAnsi="Verdana"/>
          <w:b/>
          <w:sz w:val="20"/>
          <w:szCs w:val="20"/>
        </w:rPr>
      </w:pPr>
      <w:r>
        <w:rPr>
          <w:rFonts w:ascii="Verdana" w:hAnsi="Verdana"/>
          <w:b/>
          <w:sz w:val="20"/>
          <w:szCs w:val="20"/>
        </w:rPr>
        <w:t>El Protocolo de San Salvador</w:t>
      </w:r>
    </w:p>
    <w:p w:rsidR="00E93BF5" w:rsidRPr="00E93BF5" w:rsidRDefault="00E93BF5" w:rsidP="00ED130A">
      <w:pPr>
        <w:pStyle w:val="ListParagraph"/>
        <w:tabs>
          <w:tab w:val="left" w:pos="426"/>
          <w:tab w:val="left" w:pos="709"/>
        </w:tabs>
        <w:spacing w:after="0" w:line="240" w:lineRule="auto"/>
        <w:jc w:val="both"/>
        <w:rPr>
          <w:rFonts w:ascii="Verdana" w:hAnsi="Verdana"/>
          <w:b/>
          <w:sz w:val="20"/>
          <w:szCs w:val="20"/>
        </w:rPr>
      </w:pPr>
    </w:p>
    <w:p w:rsidR="00BC170A" w:rsidRPr="00983437" w:rsidRDefault="00BC170A" w:rsidP="00ED130A">
      <w:pPr>
        <w:pStyle w:val="ListParagraph"/>
        <w:numPr>
          <w:ilvl w:val="0"/>
          <w:numId w:val="1"/>
        </w:numPr>
        <w:tabs>
          <w:tab w:val="left" w:pos="426"/>
          <w:tab w:val="left" w:pos="709"/>
        </w:tabs>
        <w:spacing w:after="0" w:line="240" w:lineRule="auto"/>
        <w:ind w:left="0" w:firstLine="0"/>
        <w:jc w:val="both"/>
        <w:rPr>
          <w:rFonts w:ascii="Verdana" w:hAnsi="Verdana"/>
          <w:sz w:val="20"/>
          <w:szCs w:val="20"/>
        </w:rPr>
      </w:pPr>
      <w:r w:rsidRPr="00BC170A">
        <w:rPr>
          <w:rFonts w:ascii="Verdana" w:hAnsi="Verdana"/>
          <w:sz w:val="20"/>
          <w:szCs w:val="20"/>
        </w:rPr>
        <w:t>Como se señaló anteriormente</w:t>
      </w:r>
      <w:r w:rsidR="007737B8">
        <w:rPr>
          <w:rFonts w:ascii="Verdana" w:hAnsi="Verdana"/>
          <w:sz w:val="20"/>
          <w:szCs w:val="20"/>
        </w:rPr>
        <w:t>,</w:t>
      </w:r>
      <w:r w:rsidRPr="00BC170A">
        <w:rPr>
          <w:rFonts w:ascii="Verdana" w:hAnsi="Verdana"/>
          <w:sz w:val="20"/>
          <w:szCs w:val="20"/>
        </w:rPr>
        <w:t xml:space="preserve"> no es posible abordar los debates sobre la competencia de la Corte Interamericana en materia de DESC sin </w:t>
      </w:r>
      <w:r w:rsidR="00E769E4">
        <w:rPr>
          <w:rFonts w:ascii="Verdana" w:hAnsi="Verdana"/>
          <w:sz w:val="20"/>
          <w:szCs w:val="20"/>
        </w:rPr>
        <w:t>tener en cuenta</w:t>
      </w:r>
      <w:r w:rsidRPr="00BC170A">
        <w:rPr>
          <w:rFonts w:ascii="Verdana" w:hAnsi="Verdana"/>
          <w:sz w:val="20"/>
          <w:szCs w:val="20"/>
        </w:rPr>
        <w:t xml:space="preserve"> al Protocolo de San Salvador. </w:t>
      </w:r>
      <w:r w:rsidR="00E769E4">
        <w:rPr>
          <w:rFonts w:ascii="Verdana" w:hAnsi="Verdana"/>
          <w:sz w:val="20"/>
          <w:szCs w:val="20"/>
        </w:rPr>
        <w:t xml:space="preserve">En efecto, </w:t>
      </w:r>
      <w:r w:rsidR="00E769E4">
        <w:rPr>
          <w:rFonts w:ascii="Verdana" w:hAnsi="Verdana"/>
          <w:sz w:val="20"/>
          <w:szCs w:val="20"/>
          <w:lang w:val="es-CO"/>
        </w:rPr>
        <w:t>e</w:t>
      </w:r>
      <w:r w:rsidRPr="00BC170A">
        <w:rPr>
          <w:rFonts w:ascii="Verdana" w:hAnsi="Verdana"/>
          <w:sz w:val="20"/>
          <w:szCs w:val="20"/>
          <w:lang w:val="es-CO"/>
        </w:rPr>
        <w:t xml:space="preserve">n el decimoctavo período ordinario de sesiones celebrado en 1988, la Asamblea General de la OEA abrió a firma el Protocolo Adicional a la Convención Americana sobre Derechos Humanos en materia de Derechos Económicos, Sociales y Culturales (Protocolo de San Salvador). El </w:t>
      </w:r>
      <w:r w:rsidR="007737B8">
        <w:rPr>
          <w:rFonts w:ascii="Verdana" w:hAnsi="Verdana"/>
          <w:sz w:val="20"/>
          <w:szCs w:val="20"/>
          <w:lang w:val="es-CO"/>
        </w:rPr>
        <w:t>t</w:t>
      </w:r>
      <w:r w:rsidR="007737B8" w:rsidRPr="00BC170A">
        <w:rPr>
          <w:rFonts w:ascii="Verdana" w:hAnsi="Verdana"/>
          <w:sz w:val="20"/>
          <w:szCs w:val="20"/>
          <w:lang w:val="es-CO"/>
        </w:rPr>
        <w:t xml:space="preserve">exto </w:t>
      </w:r>
      <w:r w:rsidRPr="00BC170A">
        <w:rPr>
          <w:rFonts w:ascii="Verdana" w:hAnsi="Verdana"/>
          <w:sz w:val="20"/>
          <w:szCs w:val="20"/>
          <w:lang w:val="es-CO"/>
        </w:rPr>
        <w:t>del Protocolo se basó en un borrador de trabajo preparado por la Comisión Interamericana</w:t>
      </w:r>
      <w:r w:rsidRPr="00BC170A">
        <w:rPr>
          <w:rStyle w:val="FootnoteReference"/>
          <w:rFonts w:ascii="Verdana" w:hAnsi="Verdana"/>
          <w:sz w:val="20"/>
          <w:szCs w:val="20"/>
          <w:lang w:val="es-CO"/>
        </w:rPr>
        <w:footnoteReference w:id="13"/>
      </w:r>
      <w:r w:rsidRPr="00BC170A">
        <w:rPr>
          <w:rFonts w:ascii="Verdana" w:hAnsi="Verdana"/>
          <w:sz w:val="20"/>
          <w:szCs w:val="20"/>
          <w:lang w:val="es-CO"/>
        </w:rPr>
        <w:t xml:space="preserve"> y fue </w:t>
      </w:r>
      <w:r w:rsidRPr="00983437">
        <w:rPr>
          <w:rFonts w:ascii="Verdana" w:hAnsi="Verdana"/>
          <w:sz w:val="20"/>
          <w:szCs w:val="20"/>
          <w:lang w:val="es-CO"/>
        </w:rPr>
        <w:t xml:space="preserve">adoptado </w:t>
      </w:r>
      <w:r w:rsidRPr="00983437">
        <w:rPr>
          <w:rFonts w:ascii="Verdana" w:hAnsi="Verdana"/>
          <w:sz w:val="20"/>
          <w:szCs w:val="20"/>
          <w:lang w:val="es-CR"/>
        </w:rPr>
        <w:t>el 17 de noviembre de 1988. El Protocolo entró en vigor el 16 de noviembre de 1999 después de la ratificación de 11 Estados y a la fecha ha sido ratificado por 16 Estados</w:t>
      </w:r>
      <w:r w:rsidRPr="00983437">
        <w:rPr>
          <w:rStyle w:val="FootnoteReference"/>
          <w:rFonts w:ascii="Verdana" w:hAnsi="Verdana"/>
          <w:sz w:val="20"/>
          <w:szCs w:val="20"/>
          <w:lang w:val="es-CR"/>
        </w:rPr>
        <w:footnoteReference w:id="14"/>
      </w:r>
      <w:r w:rsidRPr="00983437">
        <w:rPr>
          <w:rFonts w:ascii="Verdana" w:hAnsi="Verdana"/>
          <w:sz w:val="20"/>
          <w:szCs w:val="20"/>
          <w:lang w:val="es-CR"/>
        </w:rPr>
        <w:t>.</w:t>
      </w:r>
    </w:p>
    <w:p w:rsidR="00983437" w:rsidRPr="00983437" w:rsidRDefault="00983437" w:rsidP="00ED130A">
      <w:pPr>
        <w:pStyle w:val="ListParagraph"/>
        <w:tabs>
          <w:tab w:val="left" w:pos="426"/>
          <w:tab w:val="left" w:pos="709"/>
        </w:tabs>
        <w:spacing w:after="0" w:line="240" w:lineRule="auto"/>
        <w:ind w:left="0"/>
        <w:jc w:val="both"/>
        <w:rPr>
          <w:rFonts w:ascii="Verdana" w:hAnsi="Verdana"/>
          <w:sz w:val="20"/>
          <w:szCs w:val="20"/>
        </w:rPr>
      </w:pPr>
    </w:p>
    <w:p w:rsidR="00932D23" w:rsidRPr="00B70FF6" w:rsidRDefault="00983437" w:rsidP="00ED130A">
      <w:pPr>
        <w:pStyle w:val="ListParagraph"/>
        <w:numPr>
          <w:ilvl w:val="0"/>
          <w:numId w:val="1"/>
        </w:numPr>
        <w:tabs>
          <w:tab w:val="left" w:pos="426"/>
          <w:tab w:val="left" w:pos="709"/>
        </w:tabs>
        <w:spacing w:after="0" w:line="240" w:lineRule="auto"/>
        <w:ind w:left="0" w:firstLine="0"/>
        <w:jc w:val="both"/>
        <w:rPr>
          <w:rFonts w:ascii="Verdana" w:hAnsi="Verdana"/>
          <w:sz w:val="20"/>
          <w:szCs w:val="20"/>
        </w:rPr>
      </w:pPr>
      <w:r w:rsidRPr="00983437">
        <w:rPr>
          <w:rFonts w:ascii="Verdana" w:hAnsi="Verdana"/>
          <w:sz w:val="20"/>
          <w:szCs w:val="20"/>
        </w:rPr>
        <w:t>Sobre la naturaleza de los</w:t>
      </w:r>
      <w:r w:rsidR="00D26712">
        <w:rPr>
          <w:rFonts w:ascii="Verdana" w:hAnsi="Verdana"/>
          <w:sz w:val="20"/>
          <w:szCs w:val="20"/>
        </w:rPr>
        <w:t xml:space="preserve"> protocolos, cabe recordar que é</w:t>
      </w:r>
      <w:r w:rsidRPr="00983437">
        <w:rPr>
          <w:rFonts w:ascii="Verdana" w:hAnsi="Verdana"/>
          <w:sz w:val="20"/>
          <w:szCs w:val="20"/>
        </w:rPr>
        <w:t xml:space="preserve">stos en el derecho internacional público son </w:t>
      </w:r>
      <w:r w:rsidR="00932D23" w:rsidRPr="00983437">
        <w:rPr>
          <w:rFonts w:ascii="Verdana" w:hAnsi="Verdana"/>
          <w:sz w:val="20"/>
          <w:szCs w:val="20"/>
          <w:lang w:val="es-CO"/>
        </w:rPr>
        <w:t>acuerdo</w:t>
      </w:r>
      <w:r w:rsidRPr="00983437">
        <w:rPr>
          <w:rFonts w:ascii="Verdana" w:hAnsi="Verdana"/>
          <w:sz w:val="20"/>
          <w:szCs w:val="20"/>
          <w:lang w:val="es-CO"/>
        </w:rPr>
        <w:t>s</w:t>
      </w:r>
      <w:r w:rsidR="00932D23" w:rsidRPr="00983437">
        <w:rPr>
          <w:rFonts w:ascii="Verdana" w:hAnsi="Verdana"/>
          <w:sz w:val="20"/>
          <w:szCs w:val="20"/>
          <w:lang w:val="es-CO"/>
        </w:rPr>
        <w:t xml:space="preserve"> independiente</w:t>
      </w:r>
      <w:r w:rsidRPr="00983437">
        <w:rPr>
          <w:rFonts w:ascii="Verdana" w:hAnsi="Verdana"/>
          <w:sz w:val="20"/>
          <w:szCs w:val="20"/>
          <w:lang w:val="es-CO"/>
        </w:rPr>
        <w:t>s</w:t>
      </w:r>
      <w:r w:rsidR="00932D23" w:rsidRPr="00983437">
        <w:rPr>
          <w:rFonts w:ascii="Verdana" w:hAnsi="Verdana"/>
          <w:sz w:val="20"/>
          <w:szCs w:val="20"/>
          <w:lang w:val="es-CO"/>
        </w:rPr>
        <w:t xml:space="preserve"> pero subsidiario</w:t>
      </w:r>
      <w:r w:rsidRPr="00983437">
        <w:rPr>
          <w:rFonts w:ascii="Verdana" w:hAnsi="Verdana"/>
          <w:sz w:val="20"/>
          <w:szCs w:val="20"/>
          <w:lang w:val="es-CO"/>
        </w:rPr>
        <w:t>s</w:t>
      </w:r>
      <w:r w:rsidR="00932D23" w:rsidRPr="00983437">
        <w:rPr>
          <w:rFonts w:ascii="Verdana" w:hAnsi="Verdana"/>
          <w:sz w:val="20"/>
          <w:szCs w:val="20"/>
          <w:lang w:val="es-CO"/>
        </w:rPr>
        <w:t xml:space="preserve"> a un tratado que adiciona</w:t>
      </w:r>
      <w:r w:rsidR="00767B7F">
        <w:rPr>
          <w:rFonts w:ascii="Verdana" w:hAnsi="Verdana"/>
          <w:sz w:val="20"/>
          <w:szCs w:val="20"/>
          <w:lang w:val="es-CO"/>
        </w:rPr>
        <w:t>n</w:t>
      </w:r>
      <w:r w:rsidR="00932D23" w:rsidRPr="00983437">
        <w:rPr>
          <w:rFonts w:ascii="Verdana" w:hAnsi="Verdana"/>
          <w:sz w:val="20"/>
          <w:szCs w:val="20"/>
          <w:lang w:val="es-CO"/>
        </w:rPr>
        <w:t>, aclara</w:t>
      </w:r>
      <w:r w:rsidR="00767B7F">
        <w:rPr>
          <w:rFonts w:ascii="Verdana" w:hAnsi="Verdana"/>
          <w:sz w:val="20"/>
          <w:szCs w:val="20"/>
          <w:lang w:val="es-CO"/>
        </w:rPr>
        <w:t>n</w:t>
      </w:r>
      <w:r w:rsidR="00932D23" w:rsidRPr="00983437">
        <w:rPr>
          <w:rFonts w:ascii="Verdana" w:hAnsi="Verdana"/>
          <w:sz w:val="20"/>
          <w:szCs w:val="20"/>
          <w:lang w:val="es-CO"/>
        </w:rPr>
        <w:t>, modifica</w:t>
      </w:r>
      <w:r w:rsidR="00767B7F">
        <w:rPr>
          <w:rFonts w:ascii="Verdana" w:hAnsi="Verdana"/>
          <w:sz w:val="20"/>
          <w:szCs w:val="20"/>
          <w:lang w:val="es-CO"/>
        </w:rPr>
        <w:t>n</w:t>
      </w:r>
      <w:r w:rsidR="00932D23" w:rsidRPr="00983437">
        <w:rPr>
          <w:rFonts w:ascii="Verdana" w:hAnsi="Verdana"/>
          <w:sz w:val="20"/>
          <w:szCs w:val="20"/>
          <w:lang w:val="es-CO"/>
        </w:rPr>
        <w:t xml:space="preserve"> o complementa</w:t>
      </w:r>
      <w:r w:rsidR="00767B7F">
        <w:rPr>
          <w:rFonts w:ascii="Verdana" w:hAnsi="Verdana"/>
          <w:sz w:val="20"/>
          <w:szCs w:val="20"/>
          <w:lang w:val="es-CO"/>
        </w:rPr>
        <w:t>n</w:t>
      </w:r>
      <w:r w:rsidR="00932D23" w:rsidRPr="00983437">
        <w:rPr>
          <w:rFonts w:ascii="Verdana" w:hAnsi="Verdana"/>
          <w:sz w:val="20"/>
          <w:szCs w:val="20"/>
          <w:lang w:val="es-CO"/>
        </w:rPr>
        <w:t xml:space="preserve"> el contenido procedimental o sustanc</w:t>
      </w:r>
      <w:r w:rsidRPr="00983437">
        <w:rPr>
          <w:rFonts w:ascii="Verdana" w:hAnsi="Verdana"/>
          <w:sz w:val="20"/>
          <w:szCs w:val="20"/>
          <w:lang w:val="es-CO"/>
        </w:rPr>
        <w:t>ial del mismo. La existencia de un</w:t>
      </w:r>
      <w:r w:rsidR="00932D23" w:rsidRPr="00983437">
        <w:rPr>
          <w:rFonts w:ascii="Verdana" w:hAnsi="Verdana"/>
          <w:sz w:val="20"/>
          <w:szCs w:val="20"/>
          <w:lang w:val="es-CO"/>
        </w:rPr>
        <w:t xml:space="preserve"> protocolo está directamente ligada a la existencia del tratado, es decir, sin tratado</w:t>
      </w:r>
      <w:r w:rsidRPr="00983437">
        <w:rPr>
          <w:rFonts w:ascii="Verdana" w:hAnsi="Verdana"/>
          <w:sz w:val="20"/>
          <w:szCs w:val="20"/>
          <w:lang w:val="es-CO"/>
        </w:rPr>
        <w:t xml:space="preserve"> base</w:t>
      </w:r>
      <w:r w:rsidR="00932D23" w:rsidRPr="00983437">
        <w:rPr>
          <w:rFonts w:ascii="Verdana" w:hAnsi="Verdana"/>
          <w:sz w:val="20"/>
          <w:szCs w:val="20"/>
          <w:lang w:val="es-CO"/>
        </w:rPr>
        <w:t xml:space="preserve"> no existe protocolo</w:t>
      </w:r>
      <w:r w:rsidR="00932D23" w:rsidRPr="00983437">
        <w:rPr>
          <w:rStyle w:val="FootnoteReference"/>
          <w:rFonts w:ascii="Verdana" w:hAnsi="Verdana"/>
          <w:sz w:val="20"/>
          <w:szCs w:val="20"/>
          <w:lang w:val="es-CO"/>
        </w:rPr>
        <w:footnoteReference w:id="15"/>
      </w:r>
      <w:r w:rsidR="00932D23" w:rsidRPr="00983437">
        <w:rPr>
          <w:rFonts w:ascii="Verdana" w:hAnsi="Verdana"/>
          <w:sz w:val="20"/>
          <w:szCs w:val="20"/>
          <w:lang w:val="es-CO"/>
        </w:rPr>
        <w:t xml:space="preserve">. </w:t>
      </w:r>
    </w:p>
    <w:p w:rsidR="00B70FF6" w:rsidRPr="00B70FF6" w:rsidRDefault="00B70FF6" w:rsidP="00ED130A">
      <w:pPr>
        <w:pStyle w:val="ListParagraph"/>
        <w:tabs>
          <w:tab w:val="left" w:pos="709"/>
        </w:tabs>
        <w:spacing w:after="0" w:line="240" w:lineRule="auto"/>
        <w:rPr>
          <w:rFonts w:ascii="Verdana" w:hAnsi="Verdana"/>
          <w:sz w:val="20"/>
          <w:szCs w:val="20"/>
        </w:rPr>
      </w:pPr>
    </w:p>
    <w:p w:rsidR="00B70FF6" w:rsidRDefault="00B23B50" w:rsidP="00ED130A">
      <w:pPr>
        <w:pStyle w:val="ListParagraph"/>
        <w:numPr>
          <w:ilvl w:val="0"/>
          <w:numId w:val="1"/>
        </w:numPr>
        <w:tabs>
          <w:tab w:val="left" w:pos="426"/>
          <w:tab w:val="left" w:pos="709"/>
        </w:tabs>
        <w:spacing w:after="0" w:line="240" w:lineRule="auto"/>
        <w:ind w:left="0" w:firstLine="0"/>
        <w:jc w:val="both"/>
        <w:rPr>
          <w:rFonts w:ascii="Verdana" w:hAnsi="Verdana"/>
          <w:sz w:val="20"/>
          <w:szCs w:val="20"/>
        </w:rPr>
      </w:pPr>
      <w:r>
        <w:rPr>
          <w:rFonts w:ascii="Verdana" w:hAnsi="Verdana"/>
          <w:sz w:val="20"/>
          <w:szCs w:val="20"/>
        </w:rPr>
        <w:t xml:space="preserve">La relevancia del Protocolo </w:t>
      </w:r>
      <w:r w:rsidR="00594AC0">
        <w:rPr>
          <w:rFonts w:ascii="Verdana" w:hAnsi="Verdana"/>
          <w:sz w:val="20"/>
          <w:szCs w:val="20"/>
        </w:rPr>
        <w:t>radica en que es mediante este tratado que los Estados de la región</w:t>
      </w:r>
      <w:r w:rsidR="006253F0">
        <w:rPr>
          <w:rFonts w:ascii="Verdana" w:hAnsi="Verdana"/>
          <w:sz w:val="20"/>
          <w:szCs w:val="20"/>
        </w:rPr>
        <w:t xml:space="preserve"> tomaron la decisión de definir cuáles son los DESC </w:t>
      </w:r>
      <w:r w:rsidR="00EB142D">
        <w:rPr>
          <w:rFonts w:ascii="Verdana" w:hAnsi="Verdana"/>
          <w:sz w:val="20"/>
          <w:szCs w:val="20"/>
        </w:rPr>
        <w:t>que están obligados a cumplir</w:t>
      </w:r>
      <w:r w:rsidR="006253F0">
        <w:rPr>
          <w:rFonts w:ascii="Verdana" w:hAnsi="Verdana"/>
          <w:sz w:val="20"/>
          <w:szCs w:val="20"/>
        </w:rPr>
        <w:t>. Asimismo, establecieron de manera clara y precisa el contenido de dichos derechos. Por ejemplo, el artículo 10 del Protocolo consagra el derecho a la salud de la siguiente manera:</w:t>
      </w:r>
    </w:p>
    <w:p w:rsidR="006253F0" w:rsidRPr="006253F0" w:rsidRDefault="006253F0" w:rsidP="00ED130A">
      <w:pPr>
        <w:pStyle w:val="ListParagraph"/>
        <w:tabs>
          <w:tab w:val="left" w:pos="709"/>
        </w:tabs>
        <w:spacing w:after="0" w:line="240" w:lineRule="auto"/>
        <w:rPr>
          <w:rFonts w:ascii="Verdana" w:hAnsi="Verdana"/>
          <w:sz w:val="20"/>
          <w:szCs w:val="20"/>
        </w:rPr>
      </w:pPr>
    </w:p>
    <w:p w:rsidR="006253F0" w:rsidRPr="006253F0" w:rsidRDefault="006253F0" w:rsidP="00ED130A">
      <w:pPr>
        <w:shd w:val="clear" w:color="auto" w:fill="FFFFFF"/>
        <w:tabs>
          <w:tab w:val="left" w:pos="709"/>
        </w:tabs>
        <w:spacing w:after="0" w:line="240" w:lineRule="auto"/>
        <w:jc w:val="center"/>
        <w:rPr>
          <w:rFonts w:ascii="Verdana" w:eastAsia="Times New Roman" w:hAnsi="Verdana"/>
          <w:color w:val="000000"/>
          <w:sz w:val="16"/>
          <w:szCs w:val="16"/>
          <w:lang w:val="es-CR" w:eastAsia="es-CR"/>
        </w:rPr>
      </w:pPr>
      <w:r w:rsidRPr="006253F0">
        <w:rPr>
          <w:rFonts w:ascii="Verdana" w:eastAsia="Times New Roman" w:hAnsi="Verdana" w:cs="Tahoma"/>
          <w:b/>
          <w:bCs/>
          <w:color w:val="000000"/>
          <w:sz w:val="16"/>
          <w:szCs w:val="16"/>
          <w:lang w:val="es-CR" w:eastAsia="es-CR"/>
        </w:rPr>
        <w:t>Artículo 10</w:t>
      </w:r>
    </w:p>
    <w:p w:rsidR="006253F0" w:rsidRPr="006253F0" w:rsidRDefault="006253F0" w:rsidP="00ED130A">
      <w:pPr>
        <w:shd w:val="clear" w:color="auto" w:fill="FFFFFF"/>
        <w:tabs>
          <w:tab w:val="left" w:pos="709"/>
        </w:tabs>
        <w:spacing w:after="0" w:line="240" w:lineRule="auto"/>
        <w:jc w:val="center"/>
        <w:rPr>
          <w:rFonts w:ascii="Verdana" w:eastAsia="Times New Roman" w:hAnsi="Verdana"/>
          <w:color w:val="000000"/>
          <w:sz w:val="16"/>
          <w:szCs w:val="16"/>
          <w:lang w:val="es-CR" w:eastAsia="es-CR"/>
        </w:rPr>
      </w:pPr>
      <w:r w:rsidRPr="006253F0">
        <w:rPr>
          <w:rFonts w:ascii="Verdana" w:eastAsia="Times New Roman" w:hAnsi="Verdana" w:cs="Tahoma"/>
          <w:b/>
          <w:bCs/>
          <w:color w:val="000000"/>
          <w:sz w:val="16"/>
          <w:szCs w:val="16"/>
          <w:lang w:val="es-CR" w:eastAsia="es-CR"/>
        </w:rPr>
        <w:t>Derecho a la Salud</w:t>
      </w:r>
    </w:p>
    <w:p w:rsidR="006253F0" w:rsidRDefault="006253F0" w:rsidP="00ED130A">
      <w:pPr>
        <w:shd w:val="clear" w:color="auto" w:fill="FFFFFF"/>
        <w:tabs>
          <w:tab w:val="left" w:pos="709"/>
        </w:tabs>
        <w:spacing w:after="0" w:line="240" w:lineRule="auto"/>
        <w:ind w:left="426" w:right="333"/>
        <w:jc w:val="both"/>
        <w:rPr>
          <w:rFonts w:ascii="Verdana" w:eastAsia="Times New Roman" w:hAnsi="Verdana" w:cs="Tahoma"/>
          <w:color w:val="000000"/>
          <w:sz w:val="16"/>
          <w:szCs w:val="16"/>
          <w:lang w:val="es-CR" w:eastAsia="es-CR"/>
        </w:rPr>
      </w:pPr>
    </w:p>
    <w:p w:rsidR="006253F0" w:rsidRPr="006253F0" w:rsidRDefault="006253F0" w:rsidP="00ED130A">
      <w:pPr>
        <w:shd w:val="clear" w:color="auto" w:fill="FFFFFF"/>
        <w:tabs>
          <w:tab w:val="left" w:pos="709"/>
        </w:tabs>
        <w:spacing w:after="0" w:line="240" w:lineRule="auto"/>
        <w:ind w:left="426" w:right="333"/>
        <w:jc w:val="both"/>
        <w:rPr>
          <w:rFonts w:ascii="Verdana" w:eastAsia="Times New Roman" w:hAnsi="Verdana"/>
          <w:color w:val="000000"/>
          <w:sz w:val="16"/>
          <w:szCs w:val="16"/>
          <w:lang w:val="es-CR" w:eastAsia="es-CR"/>
        </w:rPr>
      </w:pPr>
      <w:r>
        <w:rPr>
          <w:rFonts w:ascii="Verdana" w:eastAsia="Times New Roman" w:hAnsi="Verdana" w:cs="Tahoma"/>
          <w:color w:val="000000"/>
          <w:sz w:val="16"/>
          <w:szCs w:val="16"/>
          <w:lang w:val="es-CR" w:eastAsia="es-CR"/>
        </w:rPr>
        <w:t xml:space="preserve">1. </w:t>
      </w:r>
      <w:r w:rsidRPr="006253F0">
        <w:rPr>
          <w:rFonts w:ascii="Verdana" w:eastAsia="Times New Roman" w:hAnsi="Verdana" w:cs="Tahoma"/>
          <w:color w:val="000000"/>
          <w:sz w:val="16"/>
          <w:szCs w:val="16"/>
          <w:lang w:val="es-CR" w:eastAsia="es-CR"/>
        </w:rPr>
        <w:t>Toda persona tiene derecho a la salud, entendida como el disfrute del más alto nivel de bienestar físico, mental y social.</w:t>
      </w:r>
    </w:p>
    <w:p w:rsidR="006253F0" w:rsidRPr="006253F0" w:rsidRDefault="006253F0" w:rsidP="00ED130A">
      <w:pPr>
        <w:shd w:val="clear" w:color="auto" w:fill="FFFFFF"/>
        <w:tabs>
          <w:tab w:val="left" w:pos="709"/>
        </w:tabs>
        <w:spacing w:after="0" w:line="240" w:lineRule="auto"/>
        <w:ind w:left="426" w:right="333"/>
        <w:jc w:val="both"/>
        <w:rPr>
          <w:rFonts w:ascii="Verdana" w:eastAsia="Times New Roman" w:hAnsi="Verdana"/>
          <w:color w:val="000000"/>
          <w:sz w:val="16"/>
          <w:szCs w:val="16"/>
          <w:lang w:val="es-CR" w:eastAsia="es-CR"/>
        </w:rPr>
      </w:pPr>
      <w:r w:rsidRPr="006253F0">
        <w:rPr>
          <w:rFonts w:ascii="Verdana" w:eastAsia="Times New Roman" w:hAnsi="Verdana" w:cs="Tahoma"/>
          <w:color w:val="000000"/>
          <w:sz w:val="16"/>
          <w:szCs w:val="16"/>
          <w:lang w:val="es-CR" w:eastAsia="es-CR"/>
        </w:rPr>
        <w:t>2. Con el fin de hacer efectivo el derecho a la salud los Estados partes se comprometen a reconocer la salud como un bien público y particularmente a adoptar las siguientes medidas para garantizar este derecho:</w:t>
      </w:r>
    </w:p>
    <w:p w:rsidR="006253F0" w:rsidRPr="006253F0" w:rsidRDefault="006253F0" w:rsidP="00ED130A">
      <w:pPr>
        <w:shd w:val="clear" w:color="auto" w:fill="FFFFFF"/>
        <w:tabs>
          <w:tab w:val="left" w:pos="709"/>
        </w:tabs>
        <w:spacing w:after="0" w:line="240" w:lineRule="auto"/>
        <w:ind w:left="426" w:right="333"/>
        <w:jc w:val="both"/>
        <w:rPr>
          <w:rFonts w:ascii="Verdana" w:eastAsia="Times New Roman" w:hAnsi="Verdana"/>
          <w:color w:val="000000"/>
          <w:sz w:val="16"/>
          <w:szCs w:val="16"/>
          <w:lang w:val="es-CR" w:eastAsia="es-CR"/>
        </w:rPr>
      </w:pPr>
      <w:r w:rsidRPr="006253F0">
        <w:rPr>
          <w:rFonts w:ascii="Verdana" w:eastAsia="Times New Roman" w:hAnsi="Verdana" w:cs="Tahoma"/>
          <w:color w:val="000000"/>
          <w:sz w:val="16"/>
          <w:szCs w:val="16"/>
          <w:lang w:val="es-CR" w:eastAsia="es-CR"/>
        </w:rPr>
        <w:t>a. la atención primaria de la salud, entendiendo como tal la asistencia sanitaria esencial </w:t>
      </w:r>
      <w:r w:rsidRPr="006253F0">
        <w:rPr>
          <w:rFonts w:ascii="Verdana" w:eastAsia="Times New Roman" w:hAnsi="Verdana" w:cs="Tahoma"/>
          <w:color w:val="000000"/>
          <w:sz w:val="16"/>
          <w:szCs w:val="16"/>
          <w:lang w:val="es-CR" w:eastAsia="es-CR"/>
        </w:rPr>
        <w:br/>
        <w:t>puesta al alcance de todos los individuos y familiares de la comunidad;</w:t>
      </w:r>
    </w:p>
    <w:p w:rsidR="006253F0" w:rsidRPr="006253F0" w:rsidRDefault="006253F0" w:rsidP="00ED130A">
      <w:pPr>
        <w:shd w:val="clear" w:color="auto" w:fill="FFFFFF"/>
        <w:tabs>
          <w:tab w:val="left" w:pos="709"/>
        </w:tabs>
        <w:spacing w:after="0" w:line="240" w:lineRule="auto"/>
        <w:ind w:left="426" w:right="333"/>
        <w:jc w:val="both"/>
        <w:rPr>
          <w:rFonts w:ascii="Verdana" w:eastAsia="Times New Roman" w:hAnsi="Verdana"/>
          <w:color w:val="000000"/>
          <w:sz w:val="16"/>
          <w:szCs w:val="16"/>
          <w:lang w:val="es-CR" w:eastAsia="es-CR"/>
        </w:rPr>
      </w:pPr>
      <w:r w:rsidRPr="006253F0">
        <w:rPr>
          <w:rFonts w:ascii="Verdana" w:eastAsia="Times New Roman" w:hAnsi="Verdana" w:cs="Tahoma"/>
          <w:color w:val="000000"/>
          <w:sz w:val="16"/>
          <w:szCs w:val="16"/>
          <w:lang w:val="es-CR" w:eastAsia="es-CR"/>
        </w:rPr>
        <w:t>b. la extensión de los beneficios de los servicios de salud a todos los individuos sujetos </w:t>
      </w:r>
      <w:r w:rsidRPr="006253F0">
        <w:rPr>
          <w:rFonts w:ascii="Verdana" w:eastAsia="Times New Roman" w:hAnsi="Verdana" w:cs="Tahoma"/>
          <w:color w:val="000000"/>
          <w:sz w:val="16"/>
          <w:szCs w:val="16"/>
          <w:lang w:val="es-CR" w:eastAsia="es-CR"/>
        </w:rPr>
        <w:br/>
        <w:t>a la jurisdicción del Estado;</w:t>
      </w:r>
    </w:p>
    <w:p w:rsidR="006253F0" w:rsidRPr="006253F0" w:rsidRDefault="006253F0" w:rsidP="00ED130A">
      <w:pPr>
        <w:shd w:val="clear" w:color="auto" w:fill="FFFFFF"/>
        <w:tabs>
          <w:tab w:val="left" w:pos="709"/>
        </w:tabs>
        <w:spacing w:after="0" w:line="240" w:lineRule="auto"/>
        <w:ind w:left="426" w:right="333"/>
        <w:jc w:val="both"/>
        <w:rPr>
          <w:rFonts w:ascii="Verdana" w:eastAsia="Times New Roman" w:hAnsi="Verdana"/>
          <w:color w:val="000000"/>
          <w:sz w:val="16"/>
          <w:szCs w:val="16"/>
          <w:lang w:val="es-CR" w:eastAsia="es-CR"/>
        </w:rPr>
      </w:pPr>
      <w:r w:rsidRPr="006253F0">
        <w:rPr>
          <w:rFonts w:ascii="Verdana" w:eastAsia="Times New Roman" w:hAnsi="Verdana" w:cs="Tahoma"/>
          <w:color w:val="000000"/>
          <w:sz w:val="16"/>
          <w:szCs w:val="16"/>
          <w:lang w:val="es-CR" w:eastAsia="es-CR"/>
        </w:rPr>
        <w:t>c. la total inmunización contra las principales enfermedades infecciosas;</w:t>
      </w:r>
    </w:p>
    <w:p w:rsidR="006253F0" w:rsidRPr="006253F0" w:rsidRDefault="006253F0" w:rsidP="00ED130A">
      <w:pPr>
        <w:shd w:val="clear" w:color="auto" w:fill="FFFFFF"/>
        <w:tabs>
          <w:tab w:val="left" w:pos="709"/>
        </w:tabs>
        <w:spacing w:after="0" w:line="240" w:lineRule="auto"/>
        <w:ind w:left="426" w:right="333"/>
        <w:jc w:val="both"/>
        <w:rPr>
          <w:rFonts w:ascii="Verdana" w:eastAsia="Times New Roman" w:hAnsi="Verdana"/>
          <w:color w:val="000000"/>
          <w:sz w:val="16"/>
          <w:szCs w:val="16"/>
          <w:lang w:val="es-CR" w:eastAsia="es-CR"/>
        </w:rPr>
      </w:pPr>
      <w:r w:rsidRPr="006253F0">
        <w:rPr>
          <w:rFonts w:ascii="Verdana" w:eastAsia="Times New Roman" w:hAnsi="Verdana" w:cs="Tahoma"/>
          <w:color w:val="000000"/>
          <w:sz w:val="16"/>
          <w:szCs w:val="16"/>
          <w:lang w:val="es-CR" w:eastAsia="es-CR"/>
        </w:rPr>
        <w:t>d. la prevención y el tratamiento de las enfermedades endémicas, profesionales y de </w:t>
      </w:r>
      <w:r w:rsidRPr="006253F0">
        <w:rPr>
          <w:rFonts w:ascii="Verdana" w:eastAsia="Times New Roman" w:hAnsi="Verdana" w:cs="Tahoma"/>
          <w:color w:val="000000"/>
          <w:sz w:val="16"/>
          <w:szCs w:val="16"/>
          <w:lang w:val="es-CR" w:eastAsia="es-CR"/>
        </w:rPr>
        <w:br/>
        <w:t>otra índole;</w:t>
      </w:r>
    </w:p>
    <w:p w:rsidR="006253F0" w:rsidRPr="006253F0" w:rsidRDefault="006253F0" w:rsidP="00ED130A">
      <w:pPr>
        <w:shd w:val="clear" w:color="auto" w:fill="FFFFFF"/>
        <w:tabs>
          <w:tab w:val="left" w:pos="709"/>
        </w:tabs>
        <w:spacing w:after="0" w:line="240" w:lineRule="auto"/>
        <w:ind w:left="426" w:right="333"/>
        <w:jc w:val="both"/>
        <w:rPr>
          <w:rFonts w:ascii="Verdana" w:eastAsia="Times New Roman" w:hAnsi="Verdana"/>
          <w:color w:val="000000"/>
          <w:sz w:val="16"/>
          <w:szCs w:val="16"/>
          <w:lang w:val="es-CR" w:eastAsia="es-CR"/>
        </w:rPr>
      </w:pPr>
      <w:r w:rsidRPr="006253F0">
        <w:rPr>
          <w:rFonts w:ascii="Verdana" w:eastAsia="Times New Roman" w:hAnsi="Verdana" w:cs="Tahoma"/>
          <w:color w:val="000000"/>
          <w:sz w:val="16"/>
          <w:szCs w:val="16"/>
          <w:lang w:val="es-CR" w:eastAsia="es-CR"/>
        </w:rPr>
        <w:t>e. la educación de la población sobre la prevención y tratamiento de los problemas de </w:t>
      </w:r>
      <w:r w:rsidRPr="006253F0">
        <w:rPr>
          <w:rFonts w:ascii="Verdana" w:eastAsia="Times New Roman" w:hAnsi="Verdana" w:cs="Tahoma"/>
          <w:color w:val="000000"/>
          <w:sz w:val="16"/>
          <w:szCs w:val="16"/>
          <w:lang w:val="es-CR" w:eastAsia="es-CR"/>
        </w:rPr>
        <w:br/>
        <w:t>salud, y</w:t>
      </w:r>
    </w:p>
    <w:p w:rsidR="006253F0" w:rsidRPr="006253F0" w:rsidRDefault="006253F0" w:rsidP="00ED130A">
      <w:pPr>
        <w:shd w:val="clear" w:color="auto" w:fill="FFFFFF"/>
        <w:tabs>
          <w:tab w:val="left" w:pos="709"/>
        </w:tabs>
        <w:spacing w:after="0" w:line="240" w:lineRule="auto"/>
        <w:ind w:left="426" w:right="333"/>
        <w:jc w:val="both"/>
        <w:rPr>
          <w:rFonts w:ascii="Verdana" w:eastAsia="Times New Roman" w:hAnsi="Verdana"/>
          <w:color w:val="000000"/>
          <w:sz w:val="16"/>
          <w:szCs w:val="16"/>
          <w:lang w:val="es-CR" w:eastAsia="es-CR"/>
        </w:rPr>
      </w:pPr>
      <w:r w:rsidRPr="006253F0">
        <w:rPr>
          <w:rFonts w:ascii="Verdana" w:eastAsia="Times New Roman" w:hAnsi="Verdana" w:cs="Tahoma"/>
          <w:color w:val="000000"/>
          <w:sz w:val="16"/>
          <w:szCs w:val="16"/>
          <w:lang w:val="es-CR" w:eastAsia="es-CR"/>
        </w:rPr>
        <w:t>f. la satisfacción de las necesidades de salud de los grupos de más alto riesgo y que </w:t>
      </w:r>
      <w:r w:rsidRPr="006253F0">
        <w:rPr>
          <w:rFonts w:ascii="Verdana" w:eastAsia="Times New Roman" w:hAnsi="Verdana" w:cs="Tahoma"/>
          <w:color w:val="000000"/>
          <w:sz w:val="16"/>
          <w:szCs w:val="16"/>
          <w:lang w:val="es-CR" w:eastAsia="es-CR"/>
        </w:rPr>
        <w:br/>
        <w:t>por sus condiciones de pobreza sean más vulnerables.</w:t>
      </w:r>
    </w:p>
    <w:p w:rsidR="00932D23" w:rsidRDefault="00932D23" w:rsidP="00ED130A">
      <w:pPr>
        <w:pStyle w:val="ListParagraph"/>
        <w:tabs>
          <w:tab w:val="left" w:pos="426"/>
          <w:tab w:val="left" w:pos="709"/>
        </w:tabs>
        <w:spacing w:after="0" w:line="240" w:lineRule="auto"/>
        <w:ind w:left="0"/>
        <w:jc w:val="both"/>
        <w:rPr>
          <w:rFonts w:ascii="Verdana" w:hAnsi="Verdana"/>
          <w:sz w:val="20"/>
          <w:szCs w:val="20"/>
          <w:lang w:val="es-CO"/>
        </w:rPr>
      </w:pPr>
    </w:p>
    <w:p w:rsidR="00EF393D" w:rsidRDefault="00EF393D" w:rsidP="00ED130A">
      <w:pPr>
        <w:pStyle w:val="ListParagraph"/>
        <w:numPr>
          <w:ilvl w:val="0"/>
          <w:numId w:val="1"/>
        </w:numPr>
        <w:tabs>
          <w:tab w:val="left" w:pos="426"/>
          <w:tab w:val="left" w:pos="709"/>
        </w:tabs>
        <w:spacing w:after="0" w:line="240" w:lineRule="auto"/>
        <w:ind w:left="0" w:firstLine="0"/>
        <w:jc w:val="both"/>
        <w:rPr>
          <w:rFonts w:ascii="Verdana" w:hAnsi="Verdana"/>
          <w:sz w:val="20"/>
          <w:szCs w:val="20"/>
        </w:rPr>
      </w:pPr>
      <w:r>
        <w:rPr>
          <w:rFonts w:ascii="Verdana" w:hAnsi="Verdana"/>
          <w:sz w:val="20"/>
          <w:szCs w:val="20"/>
        </w:rPr>
        <w:t>Sin embargo, los Estados tomaron la decisión s</w:t>
      </w:r>
      <w:r w:rsidR="00D26712">
        <w:rPr>
          <w:rFonts w:ascii="Verdana" w:hAnsi="Verdana"/>
          <w:sz w:val="20"/>
          <w:szCs w:val="20"/>
        </w:rPr>
        <w:t>oberana de restringir cuá</w:t>
      </w:r>
      <w:r w:rsidR="000D06A0">
        <w:rPr>
          <w:rFonts w:ascii="Verdana" w:hAnsi="Verdana"/>
          <w:sz w:val="20"/>
          <w:szCs w:val="20"/>
        </w:rPr>
        <w:t>les de</w:t>
      </w:r>
      <w:r>
        <w:rPr>
          <w:rFonts w:ascii="Verdana" w:hAnsi="Verdana"/>
          <w:sz w:val="20"/>
          <w:szCs w:val="20"/>
        </w:rPr>
        <w:t xml:space="preserve"> los DESC consagrados en el Protocolo podían ser objeto de supervisión por medio del mecanismo de peticiones individuales al establecer en el artículo 19.6 que:</w:t>
      </w:r>
    </w:p>
    <w:p w:rsidR="00EF393D" w:rsidRDefault="00EF393D" w:rsidP="00ED130A">
      <w:pPr>
        <w:pStyle w:val="ListParagraph"/>
        <w:tabs>
          <w:tab w:val="left" w:pos="426"/>
          <w:tab w:val="left" w:pos="709"/>
        </w:tabs>
        <w:spacing w:after="0" w:line="240" w:lineRule="auto"/>
        <w:ind w:left="0"/>
        <w:jc w:val="both"/>
        <w:rPr>
          <w:rFonts w:ascii="Verdana" w:hAnsi="Verdana"/>
          <w:sz w:val="20"/>
          <w:szCs w:val="20"/>
        </w:rPr>
      </w:pPr>
    </w:p>
    <w:p w:rsidR="00EF393D" w:rsidRPr="00EF393D" w:rsidRDefault="00EF393D" w:rsidP="00ED130A">
      <w:pPr>
        <w:pStyle w:val="ListParagraph"/>
        <w:tabs>
          <w:tab w:val="left" w:pos="426"/>
          <w:tab w:val="left" w:pos="709"/>
        </w:tabs>
        <w:spacing w:after="0" w:line="240" w:lineRule="auto"/>
        <w:ind w:left="426" w:right="333"/>
        <w:jc w:val="both"/>
        <w:rPr>
          <w:rFonts w:ascii="Verdana" w:hAnsi="Verdana" w:cs="Tahoma"/>
          <w:color w:val="000000"/>
          <w:sz w:val="16"/>
          <w:szCs w:val="16"/>
          <w:shd w:val="clear" w:color="auto" w:fill="FFFFFF"/>
        </w:rPr>
      </w:pPr>
      <w:r w:rsidRPr="00EF393D">
        <w:rPr>
          <w:rFonts w:ascii="Verdana" w:hAnsi="Verdana" w:cs="Tahoma"/>
          <w:color w:val="000000"/>
          <w:sz w:val="16"/>
          <w:szCs w:val="16"/>
          <w:shd w:val="clear" w:color="auto" w:fill="FFFFFF"/>
        </w:rPr>
        <w:t xml:space="preserve">6. </w:t>
      </w:r>
      <w:r w:rsidRPr="00EF393D">
        <w:rPr>
          <w:rFonts w:ascii="Verdana" w:hAnsi="Verdana" w:cs="Tahoma"/>
          <w:color w:val="000000"/>
          <w:sz w:val="16"/>
          <w:szCs w:val="16"/>
          <w:u w:val="single"/>
          <w:shd w:val="clear" w:color="auto" w:fill="FFFFFF"/>
        </w:rPr>
        <w:t>En el caso de que los derechos establecidos en el párrafo a) del artículo 8 y en el artículo 13 fuesen violados por una acción imputable directamente a un Estado</w:t>
      </w:r>
      <w:r w:rsidRPr="00EF393D">
        <w:rPr>
          <w:rFonts w:ascii="Verdana" w:hAnsi="Verdana" w:cs="Tahoma"/>
          <w:color w:val="000000"/>
          <w:sz w:val="16"/>
          <w:szCs w:val="16"/>
          <w:shd w:val="clear" w:color="auto" w:fill="FFFFFF"/>
        </w:rPr>
        <w:t xml:space="preserve"> parte del presente Protocolo, </w:t>
      </w:r>
      <w:r w:rsidRPr="00EF393D">
        <w:rPr>
          <w:rFonts w:ascii="Verdana" w:hAnsi="Verdana" w:cs="Tahoma"/>
          <w:color w:val="000000"/>
          <w:sz w:val="16"/>
          <w:szCs w:val="16"/>
          <w:u w:val="single"/>
          <w:shd w:val="clear" w:color="auto" w:fill="FFFFFF"/>
        </w:rPr>
        <w:t>tal situación podría dar lugar</w:t>
      </w:r>
      <w:r w:rsidRPr="00EF393D">
        <w:rPr>
          <w:rFonts w:ascii="Verdana" w:hAnsi="Verdana" w:cs="Tahoma"/>
          <w:color w:val="000000"/>
          <w:sz w:val="16"/>
          <w:szCs w:val="16"/>
          <w:shd w:val="clear" w:color="auto" w:fill="FFFFFF"/>
        </w:rPr>
        <w:t xml:space="preserve">, mediante la participación de la Comisión Interamericana de Derechos Humanos, y cuando proceda de la Corte Interamericana de Derechos Humanos, </w:t>
      </w:r>
      <w:r w:rsidRPr="00EF393D">
        <w:rPr>
          <w:rFonts w:ascii="Verdana" w:hAnsi="Verdana" w:cs="Tahoma"/>
          <w:color w:val="000000"/>
          <w:sz w:val="16"/>
          <w:szCs w:val="16"/>
          <w:u w:val="single"/>
          <w:shd w:val="clear" w:color="auto" w:fill="FFFFFF"/>
        </w:rPr>
        <w:t xml:space="preserve">a la aplicación del sistema de peticiones individuales </w:t>
      </w:r>
      <w:r w:rsidRPr="00EF393D">
        <w:rPr>
          <w:rFonts w:ascii="Verdana" w:hAnsi="Verdana" w:cs="Tahoma"/>
          <w:color w:val="000000"/>
          <w:sz w:val="16"/>
          <w:szCs w:val="16"/>
          <w:shd w:val="clear" w:color="auto" w:fill="FFFFFF"/>
        </w:rPr>
        <w:t>regulado por los artículos 44 a 51 y 61 a 69 de la Convención Americana sobre Derechos Humanos.</w:t>
      </w:r>
      <w:r>
        <w:rPr>
          <w:rFonts w:ascii="Verdana" w:hAnsi="Verdana" w:cs="Tahoma"/>
          <w:color w:val="000000"/>
          <w:sz w:val="16"/>
          <w:szCs w:val="16"/>
          <w:shd w:val="clear" w:color="auto" w:fill="FFFFFF"/>
        </w:rPr>
        <w:t xml:space="preserve"> (Subrayado fuera del texto)</w:t>
      </w:r>
    </w:p>
    <w:p w:rsidR="00EF393D" w:rsidRPr="00EF393D" w:rsidRDefault="00EF393D" w:rsidP="00ED130A">
      <w:pPr>
        <w:pStyle w:val="ListParagraph"/>
        <w:tabs>
          <w:tab w:val="left" w:pos="426"/>
          <w:tab w:val="left" w:pos="709"/>
        </w:tabs>
        <w:spacing w:after="0" w:line="240" w:lineRule="auto"/>
        <w:ind w:left="0"/>
        <w:jc w:val="both"/>
        <w:rPr>
          <w:rFonts w:ascii="Verdana" w:hAnsi="Verdana"/>
          <w:sz w:val="20"/>
          <w:szCs w:val="20"/>
        </w:rPr>
      </w:pPr>
    </w:p>
    <w:p w:rsidR="00CE3B29" w:rsidRDefault="002D0239" w:rsidP="00ED130A">
      <w:pPr>
        <w:pStyle w:val="ListParagraph"/>
        <w:numPr>
          <w:ilvl w:val="0"/>
          <w:numId w:val="1"/>
        </w:numPr>
        <w:tabs>
          <w:tab w:val="left" w:pos="426"/>
          <w:tab w:val="left" w:pos="709"/>
        </w:tabs>
        <w:spacing w:after="0" w:line="240" w:lineRule="auto"/>
        <w:ind w:left="0" w:firstLine="0"/>
        <w:jc w:val="both"/>
        <w:rPr>
          <w:rFonts w:ascii="Verdana" w:hAnsi="Verdana"/>
          <w:sz w:val="20"/>
          <w:szCs w:val="20"/>
        </w:rPr>
      </w:pPr>
      <w:r>
        <w:rPr>
          <w:rFonts w:ascii="Verdana" w:hAnsi="Verdana"/>
          <w:sz w:val="20"/>
          <w:szCs w:val="20"/>
        </w:rPr>
        <w:t>Es así como</w:t>
      </w:r>
      <w:r w:rsidR="00D37FC7">
        <w:rPr>
          <w:rFonts w:ascii="Verdana" w:hAnsi="Verdana"/>
          <w:sz w:val="20"/>
          <w:szCs w:val="20"/>
        </w:rPr>
        <w:t>,</w:t>
      </w:r>
      <w:r w:rsidR="00CE3B29">
        <w:rPr>
          <w:rFonts w:ascii="Verdana" w:hAnsi="Verdana"/>
          <w:sz w:val="20"/>
          <w:szCs w:val="20"/>
        </w:rPr>
        <w:t xml:space="preserve"> </w:t>
      </w:r>
      <w:r>
        <w:rPr>
          <w:rFonts w:ascii="Verdana" w:hAnsi="Verdana"/>
          <w:sz w:val="20"/>
          <w:szCs w:val="20"/>
        </w:rPr>
        <w:t>mediante esta disposición</w:t>
      </w:r>
      <w:r w:rsidR="00D37FC7">
        <w:rPr>
          <w:rFonts w:ascii="Verdana" w:hAnsi="Verdana"/>
          <w:sz w:val="20"/>
          <w:szCs w:val="20"/>
        </w:rPr>
        <w:t>,</w:t>
      </w:r>
      <w:r>
        <w:rPr>
          <w:rFonts w:ascii="Verdana" w:hAnsi="Verdana"/>
          <w:sz w:val="20"/>
          <w:szCs w:val="20"/>
        </w:rPr>
        <w:t xml:space="preserve"> los Estados resolvieron limitar la competencia de la Comisión y de la Corte para conocer de casos contenciosos que no se encuentren relacionados con algunos derechos sindicales y con el derecho a la educación. En efecto, en el presente caso la Corte ejerciendo la competencia que le otorga este artículo declaró la vulneración del derecho a la educación consagrado en el artículo 13 del Protocolo de San Salvador</w:t>
      </w:r>
      <w:r>
        <w:rPr>
          <w:rStyle w:val="FootnoteReference"/>
          <w:rFonts w:ascii="Verdana" w:hAnsi="Verdana"/>
          <w:sz w:val="20"/>
          <w:szCs w:val="20"/>
        </w:rPr>
        <w:footnoteReference w:id="16"/>
      </w:r>
      <w:r>
        <w:rPr>
          <w:rFonts w:ascii="Verdana" w:hAnsi="Verdana"/>
          <w:sz w:val="20"/>
          <w:szCs w:val="20"/>
        </w:rPr>
        <w:t xml:space="preserve">. </w:t>
      </w:r>
    </w:p>
    <w:p w:rsidR="002D0239" w:rsidRDefault="002D0239" w:rsidP="00ED130A">
      <w:pPr>
        <w:pStyle w:val="ListParagraph"/>
        <w:tabs>
          <w:tab w:val="left" w:pos="426"/>
          <w:tab w:val="left" w:pos="709"/>
        </w:tabs>
        <w:spacing w:after="0" w:line="240" w:lineRule="auto"/>
        <w:ind w:left="0"/>
        <w:jc w:val="both"/>
        <w:rPr>
          <w:rFonts w:ascii="Verdana" w:hAnsi="Verdana"/>
          <w:sz w:val="20"/>
          <w:szCs w:val="20"/>
        </w:rPr>
      </w:pPr>
    </w:p>
    <w:p w:rsidR="00C95643" w:rsidRDefault="002D0239" w:rsidP="00ED130A">
      <w:pPr>
        <w:pStyle w:val="ListParagraph"/>
        <w:numPr>
          <w:ilvl w:val="0"/>
          <w:numId w:val="1"/>
        </w:numPr>
        <w:tabs>
          <w:tab w:val="left" w:pos="426"/>
          <w:tab w:val="left" w:pos="709"/>
        </w:tabs>
        <w:spacing w:after="0" w:line="240" w:lineRule="auto"/>
        <w:ind w:left="0" w:firstLine="0"/>
        <w:jc w:val="both"/>
        <w:rPr>
          <w:rFonts w:ascii="Verdana" w:hAnsi="Verdana"/>
          <w:sz w:val="20"/>
          <w:szCs w:val="20"/>
        </w:rPr>
      </w:pPr>
      <w:r>
        <w:rPr>
          <w:rFonts w:ascii="Verdana" w:hAnsi="Verdana"/>
          <w:sz w:val="20"/>
          <w:szCs w:val="20"/>
        </w:rPr>
        <w:lastRenderedPageBreak/>
        <w:t xml:space="preserve">Ahora bien, esta limitación de competencia no debe entenderse como contradictoria con lo dispuesto con el artículo 26 de la Convención Americana, si se </w:t>
      </w:r>
      <w:r w:rsidR="000B1277">
        <w:rPr>
          <w:rFonts w:ascii="Verdana" w:hAnsi="Verdana"/>
          <w:sz w:val="20"/>
          <w:szCs w:val="20"/>
        </w:rPr>
        <w:t>tiene en cuenta</w:t>
      </w:r>
      <w:r>
        <w:rPr>
          <w:rFonts w:ascii="Verdana" w:hAnsi="Verdana"/>
          <w:sz w:val="20"/>
          <w:szCs w:val="20"/>
        </w:rPr>
        <w:t xml:space="preserve"> que </w:t>
      </w:r>
      <w:r w:rsidR="000B1277">
        <w:rPr>
          <w:rFonts w:ascii="Verdana" w:hAnsi="Verdana"/>
          <w:sz w:val="20"/>
          <w:szCs w:val="20"/>
        </w:rPr>
        <w:t>esta norma expresa la voluntad posterior y más específica de los Estados sobre</w:t>
      </w:r>
      <w:r w:rsidR="00785478">
        <w:rPr>
          <w:rFonts w:ascii="Verdana" w:hAnsi="Verdana"/>
          <w:sz w:val="20"/>
          <w:szCs w:val="20"/>
        </w:rPr>
        <w:t xml:space="preserve"> la competencia de la Corte</w:t>
      </w:r>
      <w:r w:rsidR="00D64547">
        <w:rPr>
          <w:rFonts w:ascii="Verdana" w:hAnsi="Verdana"/>
          <w:sz w:val="20"/>
          <w:szCs w:val="20"/>
        </w:rPr>
        <w:t xml:space="preserve"> Interamericana</w:t>
      </w:r>
      <w:r w:rsidR="00785478">
        <w:rPr>
          <w:rFonts w:ascii="Verdana" w:hAnsi="Verdana"/>
          <w:sz w:val="20"/>
          <w:szCs w:val="20"/>
        </w:rPr>
        <w:t xml:space="preserve"> sobre DESC. Tampoco se debe leer la Convención Americana de forma aislada sin tener en cuenta su Protocolo, por cuanto son tratados complementarios que deben ser </w:t>
      </w:r>
      <w:r w:rsidR="005F2AE1">
        <w:rPr>
          <w:rFonts w:ascii="Verdana" w:hAnsi="Verdana"/>
          <w:sz w:val="20"/>
          <w:szCs w:val="20"/>
        </w:rPr>
        <w:t>leídos</w:t>
      </w:r>
      <w:r w:rsidR="00785478">
        <w:rPr>
          <w:rFonts w:ascii="Verdana" w:hAnsi="Verdana"/>
          <w:sz w:val="20"/>
          <w:szCs w:val="20"/>
        </w:rPr>
        <w:t xml:space="preserve"> e interpretados de manera conjunta.</w:t>
      </w:r>
      <w:r w:rsidR="000B1277">
        <w:rPr>
          <w:rFonts w:ascii="Verdana" w:hAnsi="Verdana"/>
          <w:sz w:val="20"/>
          <w:szCs w:val="20"/>
        </w:rPr>
        <w:t xml:space="preserve"> </w:t>
      </w:r>
      <w:r w:rsidR="00DA4ECD">
        <w:rPr>
          <w:rFonts w:ascii="Verdana" w:hAnsi="Verdana"/>
          <w:sz w:val="20"/>
          <w:szCs w:val="20"/>
        </w:rPr>
        <w:t>De manera que la Corte puede conocer de casos contenciosos en los que se argumente la violación de la obligación de desarrollo progresivo de los derechos que se pudieran derivar de la Carta, en virtud el artículo 26 de la Convención, así como de aquellos casos en que se alegue la vulneración de los artículo</w:t>
      </w:r>
      <w:r w:rsidR="003F61D7">
        <w:rPr>
          <w:rFonts w:ascii="Verdana" w:hAnsi="Verdana"/>
          <w:sz w:val="20"/>
          <w:szCs w:val="20"/>
        </w:rPr>
        <w:t>s</w:t>
      </w:r>
      <w:r w:rsidR="00DA4ECD">
        <w:rPr>
          <w:rFonts w:ascii="Verdana" w:hAnsi="Verdana"/>
          <w:sz w:val="20"/>
          <w:szCs w:val="20"/>
        </w:rPr>
        <w:t xml:space="preserve"> 8.a y 13 del Protocolo.</w:t>
      </w:r>
    </w:p>
    <w:p w:rsidR="00C95643" w:rsidRPr="00C95643" w:rsidRDefault="00C95643" w:rsidP="00ED130A">
      <w:pPr>
        <w:pStyle w:val="ListParagraph"/>
        <w:tabs>
          <w:tab w:val="left" w:pos="426"/>
          <w:tab w:val="left" w:pos="709"/>
        </w:tabs>
        <w:spacing w:after="0" w:line="240" w:lineRule="auto"/>
        <w:ind w:left="0"/>
        <w:jc w:val="both"/>
        <w:rPr>
          <w:rFonts w:ascii="Verdana" w:hAnsi="Verdana"/>
          <w:sz w:val="20"/>
          <w:szCs w:val="20"/>
        </w:rPr>
      </w:pPr>
    </w:p>
    <w:p w:rsidR="00F33DB0" w:rsidRDefault="00C95643" w:rsidP="00ED130A">
      <w:pPr>
        <w:pStyle w:val="ListParagraph"/>
        <w:numPr>
          <w:ilvl w:val="0"/>
          <w:numId w:val="1"/>
        </w:numPr>
        <w:tabs>
          <w:tab w:val="left" w:pos="426"/>
          <w:tab w:val="left" w:pos="709"/>
        </w:tabs>
        <w:spacing w:after="0" w:line="240" w:lineRule="auto"/>
        <w:ind w:left="0" w:firstLine="0"/>
        <w:jc w:val="both"/>
        <w:rPr>
          <w:rFonts w:ascii="Verdana" w:hAnsi="Verdana"/>
          <w:sz w:val="20"/>
          <w:szCs w:val="20"/>
        </w:rPr>
      </w:pPr>
      <w:r>
        <w:rPr>
          <w:rFonts w:ascii="Verdana" w:hAnsi="Verdana"/>
          <w:sz w:val="20"/>
          <w:szCs w:val="20"/>
        </w:rPr>
        <w:t>Asimismo, es relevante señalar que l</w:t>
      </w:r>
      <w:r w:rsidR="00983437">
        <w:rPr>
          <w:rFonts w:ascii="Verdana" w:hAnsi="Verdana"/>
          <w:sz w:val="20"/>
          <w:szCs w:val="20"/>
        </w:rPr>
        <w:t>a</w:t>
      </w:r>
      <w:r>
        <w:rPr>
          <w:rFonts w:ascii="Verdana" w:hAnsi="Verdana"/>
          <w:sz w:val="20"/>
          <w:szCs w:val="20"/>
        </w:rPr>
        <w:t>s obligaciones</w:t>
      </w:r>
      <w:r w:rsidR="00983437">
        <w:rPr>
          <w:rFonts w:ascii="Verdana" w:hAnsi="Verdana"/>
          <w:sz w:val="20"/>
          <w:szCs w:val="20"/>
        </w:rPr>
        <w:t xml:space="preserve"> </w:t>
      </w:r>
      <w:r w:rsidR="00354A07">
        <w:rPr>
          <w:rFonts w:ascii="Verdana" w:hAnsi="Verdana"/>
          <w:sz w:val="20"/>
          <w:szCs w:val="20"/>
        </w:rPr>
        <w:t xml:space="preserve">generadas por el Protocolo a </w:t>
      </w:r>
      <w:r>
        <w:rPr>
          <w:rFonts w:ascii="Verdana" w:hAnsi="Verdana"/>
          <w:sz w:val="20"/>
          <w:szCs w:val="20"/>
        </w:rPr>
        <w:t xml:space="preserve">los Estados </w:t>
      </w:r>
      <w:r w:rsidR="00354A07">
        <w:rPr>
          <w:rFonts w:ascii="Verdana" w:hAnsi="Verdana"/>
          <w:sz w:val="20"/>
          <w:szCs w:val="20"/>
        </w:rPr>
        <w:t xml:space="preserve">Parte </w:t>
      </w:r>
      <w:r>
        <w:rPr>
          <w:rFonts w:ascii="Verdana" w:hAnsi="Verdana"/>
          <w:sz w:val="20"/>
          <w:szCs w:val="20"/>
        </w:rPr>
        <w:t>son</w:t>
      </w:r>
      <w:r w:rsidR="00983437">
        <w:rPr>
          <w:rFonts w:ascii="Verdana" w:hAnsi="Verdana"/>
          <w:sz w:val="20"/>
          <w:szCs w:val="20"/>
        </w:rPr>
        <w:t xml:space="preserve"> independiente</w:t>
      </w:r>
      <w:r>
        <w:rPr>
          <w:rFonts w:ascii="Verdana" w:hAnsi="Verdana"/>
          <w:sz w:val="20"/>
          <w:szCs w:val="20"/>
        </w:rPr>
        <w:t>s</w:t>
      </w:r>
      <w:r w:rsidR="00983437">
        <w:rPr>
          <w:rFonts w:ascii="Verdana" w:hAnsi="Verdana"/>
          <w:sz w:val="20"/>
          <w:szCs w:val="20"/>
        </w:rPr>
        <w:t xml:space="preserve"> </w:t>
      </w:r>
      <w:r w:rsidR="00D37FC7">
        <w:rPr>
          <w:rFonts w:ascii="Verdana" w:hAnsi="Verdana"/>
          <w:sz w:val="20"/>
          <w:szCs w:val="20"/>
        </w:rPr>
        <w:t xml:space="preserve">al hecho </w:t>
      </w:r>
      <w:r w:rsidR="00983437">
        <w:rPr>
          <w:rFonts w:ascii="Verdana" w:hAnsi="Verdana"/>
          <w:sz w:val="20"/>
          <w:szCs w:val="20"/>
        </w:rPr>
        <w:t>de que la Corte tenga competencia para declarar violaciones</w:t>
      </w:r>
      <w:r>
        <w:rPr>
          <w:rFonts w:ascii="Verdana" w:hAnsi="Verdana"/>
          <w:sz w:val="20"/>
          <w:szCs w:val="20"/>
        </w:rPr>
        <w:t xml:space="preserve"> en </w:t>
      </w:r>
      <w:r w:rsidR="00BB1BDF">
        <w:rPr>
          <w:rFonts w:ascii="Verdana" w:hAnsi="Verdana"/>
          <w:sz w:val="20"/>
          <w:szCs w:val="20"/>
        </w:rPr>
        <w:t>el marco de su función contenciosa</w:t>
      </w:r>
      <w:r w:rsidR="00983437">
        <w:rPr>
          <w:rFonts w:ascii="Verdana" w:hAnsi="Verdana"/>
          <w:sz w:val="20"/>
          <w:szCs w:val="20"/>
        </w:rPr>
        <w:t>.</w:t>
      </w:r>
      <w:r>
        <w:rPr>
          <w:rFonts w:ascii="Verdana" w:hAnsi="Verdana"/>
          <w:sz w:val="20"/>
          <w:szCs w:val="20"/>
        </w:rPr>
        <w:t xml:space="preserve"> Simplemente para la vigilancia de </w:t>
      </w:r>
      <w:r w:rsidR="000D06A0">
        <w:rPr>
          <w:rFonts w:ascii="Verdana" w:hAnsi="Verdana"/>
          <w:sz w:val="20"/>
          <w:szCs w:val="20"/>
        </w:rPr>
        <w:t xml:space="preserve">cumplimiento de </w:t>
      </w:r>
      <w:r>
        <w:rPr>
          <w:rFonts w:ascii="Verdana" w:hAnsi="Verdana"/>
          <w:sz w:val="20"/>
          <w:szCs w:val="20"/>
        </w:rPr>
        <w:t>estos derechos los Estados dispusieron otros mecanismos, como lo son los establecidos en los demás incisos del artículo 19 del Protocolo, tales como la posibilidad de formular observaciones y recomendaciones sobre la situación de los DESC en el informe anual de la Comisión Interamericana.</w:t>
      </w:r>
    </w:p>
    <w:p w:rsidR="00F33DB0" w:rsidRPr="00F33DB0" w:rsidRDefault="00F33DB0" w:rsidP="00ED130A">
      <w:pPr>
        <w:pStyle w:val="ListParagraph"/>
        <w:tabs>
          <w:tab w:val="left" w:pos="426"/>
          <w:tab w:val="left" w:pos="709"/>
        </w:tabs>
        <w:spacing w:after="0" w:line="240" w:lineRule="auto"/>
        <w:ind w:left="0"/>
        <w:jc w:val="both"/>
        <w:rPr>
          <w:rFonts w:ascii="Verdana" w:hAnsi="Verdana"/>
          <w:sz w:val="20"/>
          <w:szCs w:val="20"/>
        </w:rPr>
      </w:pPr>
    </w:p>
    <w:p w:rsidR="00F33DB0" w:rsidRDefault="00F33DB0" w:rsidP="00ED130A">
      <w:pPr>
        <w:pStyle w:val="ListParagraph"/>
        <w:numPr>
          <w:ilvl w:val="0"/>
          <w:numId w:val="1"/>
        </w:numPr>
        <w:tabs>
          <w:tab w:val="left" w:pos="426"/>
          <w:tab w:val="left" w:pos="709"/>
        </w:tabs>
        <w:spacing w:after="0" w:line="240" w:lineRule="auto"/>
        <w:ind w:left="0" w:firstLine="0"/>
        <w:jc w:val="both"/>
        <w:rPr>
          <w:rFonts w:ascii="Verdana" w:hAnsi="Verdana"/>
          <w:sz w:val="20"/>
          <w:szCs w:val="20"/>
        </w:rPr>
      </w:pPr>
      <w:r>
        <w:rPr>
          <w:rFonts w:ascii="Verdana" w:hAnsi="Verdana"/>
          <w:sz w:val="20"/>
          <w:szCs w:val="20"/>
        </w:rPr>
        <w:t xml:space="preserve">No obstante a que la disposición del artículo 19.6 del Protocolo deja establecida la limitación de competencia de forma clara y precisa, algunos autores han señalado que se debe acudir al método de interpretación evolutiva y al principio </w:t>
      </w:r>
      <w:r>
        <w:rPr>
          <w:rFonts w:ascii="Verdana" w:hAnsi="Verdana"/>
          <w:i/>
          <w:sz w:val="20"/>
          <w:szCs w:val="20"/>
        </w:rPr>
        <w:t xml:space="preserve">pro </w:t>
      </w:r>
      <w:proofErr w:type="spellStart"/>
      <w:r>
        <w:rPr>
          <w:rFonts w:ascii="Verdana" w:hAnsi="Verdana"/>
          <w:i/>
          <w:sz w:val="20"/>
          <w:szCs w:val="20"/>
        </w:rPr>
        <w:t>homine</w:t>
      </w:r>
      <w:proofErr w:type="spellEnd"/>
      <w:r>
        <w:rPr>
          <w:rFonts w:ascii="Verdana" w:hAnsi="Verdana"/>
          <w:sz w:val="20"/>
          <w:szCs w:val="20"/>
        </w:rPr>
        <w:t xml:space="preserve"> con la finalidad de actualizar el sentido y alcance </w:t>
      </w:r>
      <w:r w:rsidR="00043E9F">
        <w:rPr>
          <w:rFonts w:ascii="Verdana" w:hAnsi="Verdana"/>
          <w:sz w:val="20"/>
          <w:szCs w:val="20"/>
        </w:rPr>
        <w:t xml:space="preserve">normativo </w:t>
      </w:r>
      <w:r>
        <w:rPr>
          <w:rFonts w:ascii="Verdana" w:hAnsi="Verdana"/>
          <w:sz w:val="20"/>
          <w:szCs w:val="20"/>
        </w:rPr>
        <w:t>del artículo 26 de la Convención. Por ello, a continuación procederé a estudiar algunos de los argumentos que se exponen para justificar esta posición.</w:t>
      </w:r>
    </w:p>
    <w:p w:rsidR="00F33DB0" w:rsidRPr="00F33DB0" w:rsidRDefault="00F33DB0" w:rsidP="00ED130A">
      <w:pPr>
        <w:pStyle w:val="ListParagraph"/>
        <w:tabs>
          <w:tab w:val="left" w:pos="709"/>
        </w:tabs>
        <w:spacing w:after="0" w:line="240" w:lineRule="auto"/>
        <w:rPr>
          <w:rFonts w:ascii="Verdana" w:hAnsi="Verdana"/>
          <w:sz w:val="20"/>
          <w:szCs w:val="20"/>
        </w:rPr>
      </w:pPr>
    </w:p>
    <w:p w:rsidR="00F33DB0" w:rsidRPr="00F33DB0" w:rsidRDefault="00AE7629" w:rsidP="00ED130A">
      <w:pPr>
        <w:pStyle w:val="ListParagraph"/>
        <w:numPr>
          <w:ilvl w:val="0"/>
          <w:numId w:val="2"/>
        </w:numPr>
        <w:tabs>
          <w:tab w:val="left" w:pos="426"/>
          <w:tab w:val="left" w:pos="709"/>
        </w:tabs>
        <w:spacing w:after="0" w:line="240" w:lineRule="auto"/>
        <w:jc w:val="both"/>
        <w:rPr>
          <w:rFonts w:ascii="Verdana" w:hAnsi="Verdana"/>
          <w:b/>
          <w:sz w:val="20"/>
          <w:szCs w:val="20"/>
        </w:rPr>
      </w:pPr>
      <w:r>
        <w:rPr>
          <w:rFonts w:ascii="Verdana" w:hAnsi="Verdana"/>
          <w:b/>
          <w:sz w:val="20"/>
          <w:szCs w:val="20"/>
        </w:rPr>
        <w:t xml:space="preserve">Interpretación evolutiva y principio </w:t>
      </w:r>
      <w:r>
        <w:rPr>
          <w:rFonts w:ascii="Verdana" w:hAnsi="Verdana"/>
          <w:b/>
          <w:i/>
          <w:sz w:val="20"/>
          <w:szCs w:val="20"/>
        </w:rPr>
        <w:t xml:space="preserve">pro </w:t>
      </w:r>
      <w:proofErr w:type="spellStart"/>
      <w:r>
        <w:rPr>
          <w:rFonts w:ascii="Verdana" w:hAnsi="Verdana"/>
          <w:b/>
          <w:i/>
          <w:sz w:val="20"/>
          <w:szCs w:val="20"/>
        </w:rPr>
        <w:t>homine</w:t>
      </w:r>
      <w:proofErr w:type="spellEnd"/>
    </w:p>
    <w:p w:rsidR="00C128CA" w:rsidRDefault="00C128CA" w:rsidP="00ED130A">
      <w:pPr>
        <w:pStyle w:val="ListParagraph"/>
        <w:tabs>
          <w:tab w:val="left" w:pos="426"/>
          <w:tab w:val="left" w:pos="709"/>
        </w:tabs>
        <w:spacing w:after="0" w:line="240" w:lineRule="auto"/>
        <w:ind w:left="0"/>
        <w:jc w:val="both"/>
        <w:rPr>
          <w:rFonts w:ascii="Verdana" w:hAnsi="Verdana"/>
          <w:sz w:val="20"/>
          <w:szCs w:val="20"/>
        </w:rPr>
      </w:pPr>
    </w:p>
    <w:p w:rsidR="00983437" w:rsidRPr="003F21C7" w:rsidRDefault="00261866" w:rsidP="00ED130A">
      <w:pPr>
        <w:pStyle w:val="ListParagraph"/>
        <w:numPr>
          <w:ilvl w:val="0"/>
          <w:numId w:val="1"/>
        </w:numPr>
        <w:tabs>
          <w:tab w:val="left" w:pos="426"/>
          <w:tab w:val="left" w:pos="709"/>
        </w:tabs>
        <w:spacing w:after="0" w:line="240" w:lineRule="auto"/>
        <w:ind w:left="0" w:firstLine="0"/>
        <w:jc w:val="both"/>
        <w:rPr>
          <w:rFonts w:ascii="Verdana" w:hAnsi="Verdana"/>
          <w:sz w:val="20"/>
          <w:szCs w:val="20"/>
        </w:rPr>
      </w:pPr>
      <w:r>
        <w:rPr>
          <w:rFonts w:ascii="Verdana" w:hAnsi="Verdana"/>
          <w:sz w:val="20"/>
          <w:szCs w:val="20"/>
        </w:rPr>
        <w:t>Sobre este punto</w:t>
      </w:r>
      <w:r w:rsidR="009C43B2">
        <w:rPr>
          <w:rFonts w:ascii="Verdana" w:hAnsi="Verdana"/>
          <w:sz w:val="20"/>
          <w:szCs w:val="20"/>
        </w:rPr>
        <w:t xml:space="preserve">, quienes propenden por una </w:t>
      </w:r>
      <w:proofErr w:type="spellStart"/>
      <w:r w:rsidR="009C43B2">
        <w:rPr>
          <w:rFonts w:ascii="Verdana" w:hAnsi="Verdana"/>
          <w:sz w:val="20"/>
          <w:szCs w:val="20"/>
        </w:rPr>
        <w:t>justiciabilidad</w:t>
      </w:r>
      <w:proofErr w:type="spellEnd"/>
      <w:r w:rsidR="009C43B2">
        <w:rPr>
          <w:rFonts w:ascii="Verdana" w:hAnsi="Verdana"/>
          <w:sz w:val="20"/>
          <w:szCs w:val="20"/>
        </w:rPr>
        <w:t xml:space="preserve"> directa de los DESC por vía de la aplicación del artículo 26 de la Convención</w:t>
      </w:r>
      <w:r w:rsidR="00D26712">
        <w:rPr>
          <w:rFonts w:ascii="Verdana" w:hAnsi="Verdana"/>
          <w:sz w:val="20"/>
          <w:szCs w:val="20"/>
        </w:rPr>
        <w:t>,</w:t>
      </w:r>
      <w:r w:rsidR="009C43B2">
        <w:rPr>
          <w:rFonts w:ascii="Verdana" w:hAnsi="Verdana"/>
          <w:sz w:val="20"/>
          <w:szCs w:val="20"/>
        </w:rPr>
        <w:t xml:space="preserve"> han argumentado que una manera de superar la barrera de competencia estipulada en el Protocolo sería mediante la aplicación de una interpretación evolutiva. En particular, </w:t>
      </w:r>
      <w:r w:rsidR="00012E98">
        <w:rPr>
          <w:rFonts w:ascii="Verdana" w:hAnsi="Verdana"/>
          <w:sz w:val="20"/>
          <w:szCs w:val="20"/>
        </w:rPr>
        <w:t xml:space="preserve">utilizan el derecho comparado como herramienta, debido a que </w:t>
      </w:r>
      <w:r w:rsidR="009903F9">
        <w:rPr>
          <w:rFonts w:ascii="Verdana" w:hAnsi="Verdana"/>
          <w:sz w:val="20"/>
          <w:szCs w:val="20"/>
        </w:rPr>
        <w:t>varios</w:t>
      </w:r>
      <w:r w:rsidR="00012E98">
        <w:rPr>
          <w:rFonts w:ascii="Verdana" w:hAnsi="Verdana"/>
          <w:sz w:val="20"/>
          <w:szCs w:val="20"/>
        </w:rPr>
        <w:t xml:space="preserve"> </w:t>
      </w:r>
      <w:r w:rsidR="00127095">
        <w:rPr>
          <w:rFonts w:ascii="Verdana" w:hAnsi="Verdana"/>
          <w:sz w:val="20"/>
          <w:szCs w:val="20"/>
        </w:rPr>
        <w:t xml:space="preserve">tribunales constitucionales </w:t>
      </w:r>
      <w:r w:rsidR="00EF0B16">
        <w:rPr>
          <w:rFonts w:ascii="Verdana" w:hAnsi="Verdana"/>
          <w:sz w:val="20"/>
          <w:szCs w:val="20"/>
        </w:rPr>
        <w:t xml:space="preserve">de los </w:t>
      </w:r>
      <w:r w:rsidR="00012E98">
        <w:rPr>
          <w:rFonts w:ascii="Verdana" w:hAnsi="Verdana"/>
          <w:sz w:val="20"/>
          <w:szCs w:val="20"/>
        </w:rPr>
        <w:t xml:space="preserve">países de la región </w:t>
      </w:r>
      <w:r w:rsidR="00127095">
        <w:rPr>
          <w:rFonts w:ascii="Verdana" w:hAnsi="Verdana"/>
          <w:sz w:val="20"/>
          <w:szCs w:val="20"/>
        </w:rPr>
        <w:t xml:space="preserve">han aceptado la </w:t>
      </w:r>
      <w:proofErr w:type="spellStart"/>
      <w:r w:rsidR="00127095">
        <w:rPr>
          <w:rFonts w:ascii="Verdana" w:hAnsi="Verdana"/>
          <w:sz w:val="20"/>
          <w:szCs w:val="20"/>
        </w:rPr>
        <w:t>justiciabilidad</w:t>
      </w:r>
      <w:proofErr w:type="spellEnd"/>
      <w:r w:rsidR="00127095">
        <w:rPr>
          <w:rFonts w:ascii="Verdana" w:hAnsi="Verdana"/>
          <w:sz w:val="20"/>
          <w:szCs w:val="20"/>
        </w:rPr>
        <w:t xml:space="preserve"> directa de los DESC. Al respecto, considero que esta temática debe ser abordada por dos vías. La primera </w:t>
      </w:r>
      <w:r w:rsidR="009903F9">
        <w:rPr>
          <w:rFonts w:ascii="Verdana" w:hAnsi="Verdana"/>
          <w:sz w:val="20"/>
          <w:szCs w:val="20"/>
        </w:rPr>
        <w:t xml:space="preserve">implica </w:t>
      </w:r>
      <w:r w:rsidR="00127095">
        <w:rPr>
          <w:rFonts w:ascii="Verdana" w:hAnsi="Verdana"/>
          <w:sz w:val="20"/>
          <w:szCs w:val="20"/>
        </w:rPr>
        <w:t>un examen de los demás métodos interpretativos</w:t>
      </w:r>
      <w:r w:rsidR="00F53156">
        <w:rPr>
          <w:rFonts w:ascii="Verdana" w:hAnsi="Verdana"/>
          <w:sz w:val="20"/>
          <w:szCs w:val="20"/>
        </w:rPr>
        <w:t xml:space="preserve"> </w:t>
      </w:r>
      <w:r w:rsidR="00767B7F">
        <w:rPr>
          <w:rFonts w:ascii="Verdana" w:hAnsi="Verdana"/>
          <w:sz w:val="20"/>
          <w:szCs w:val="20"/>
        </w:rPr>
        <w:t>con los que se cuenta</w:t>
      </w:r>
      <w:r w:rsidR="009903F9">
        <w:rPr>
          <w:rFonts w:ascii="Verdana" w:hAnsi="Verdana"/>
          <w:sz w:val="20"/>
          <w:szCs w:val="20"/>
        </w:rPr>
        <w:t xml:space="preserve"> en el derecho internacional, ya que el método evolutivo no es el único que debe ser tenido en cuenta. En segundo lugar, expondré mi opinión sobre cómo debe ser valorado el derecho comparado en este tema.</w:t>
      </w:r>
    </w:p>
    <w:p w:rsidR="00012E98" w:rsidRPr="00983437" w:rsidRDefault="00012E98" w:rsidP="00ED130A">
      <w:pPr>
        <w:pStyle w:val="ListParagraph"/>
        <w:tabs>
          <w:tab w:val="left" w:pos="426"/>
          <w:tab w:val="left" w:pos="709"/>
        </w:tabs>
        <w:spacing w:after="0" w:line="240" w:lineRule="auto"/>
        <w:ind w:left="0"/>
        <w:jc w:val="both"/>
        <w:rPr>
          <w:rFonts w:ascii="Verdana" w:hAnsi="Verdana"/>
          <w:sz w:val="20"/>
          <w:szCs w:val="20"/>
        </w:rPr>
      </w:pPr>
    </w:p>
    <w:p w:rsidR="00031AE9" w:rsidRPr="00D12221" w:rsidRDefault="00031AE9" w:rsidP="00ED130A">
      <w:pPr>
        <w:pStyle w:val="ListParagraph"/>
        <w:numPr>
          <w:ilvl w:val="0"/>
          <w:numId w:val="1"/>
        </w:numPr>
        <w:tabs>
          <w:tab w:val="left" w:pos="426"/>
          <w:tab w:val="left" w:pos="709"/>
        </w:tabs>
        <w:spacing w:after="0" w:line="240" w:lineRule="auto"/>
        <w:ind w:left="0" w:firstLine="0"/>
        <w:jc w:val="both"/>
        <w:rPr>
          <w:rFonts w:ascii="Verdana" w:hAnsi="Verdana"/>
          <w:sz w:val="20"/>
          <w:szCs w:val="20"/>
        </w:rPr>
      </w:pPr>
      <w:r w:rsidRPr="00031AE9">
        <w:rPr>
          <w:rFonts w:ascii="Verdana" w:hAnsi="Verdana"/>
          <w:sz w:val="20"/>
          <w:szCs w:val="20"/>
        </w:rPr>
        <w:t>Sobre los métodos de interpretación que deben ser tenidos en cuenta, los artículos 31 y 32 de l</w:t>
      </w:r>
      <w:r w:rsidR="00D26712">
        <w:rPr>
          <w:rFonts w:ascii="Verdana" w:hAnsi="Verdana"/>
          <w:sz w:val="20"/>
          <w:szCs w:val="20"/>
        </w:rPr>
        <w:t>a Convención de Viena sobre el Derecho de los T</w:t>
      </w:r>
      <w:r w:rsidRPr="00031AE9">
        <w:rPr>
          <w:rFonts w:ascii="Verdana" w:hAnsi="Verdana"/>
          <w:sz w:val="20"/>
          <w:szCs w:val="20"/>
        </w:rPr>
        <w:t>ratados establece</w:t>
      </w:r>
      <w:r w:rsidR="005F135E">
        <w:rPr>
          <w:rFonts w:ascii="Verdana" w:hAnsi="Verdana"/>
          <w:sz w:val="20"/>
          <w:szCs w:val="20"/>
        </w:rPr>
        <w:t>n</w:t>
      </w:r>
      <w:r w:rsidRPr="00031AE9">
        <w:rPr>
          <w:rFonts w:ascii="Verdana" w:hAnsi="Verdana"/>
          <w:sz w:val="20"/>
          <w:szCs w:val="20"/>
        </w:rPr>
        <w:t xml:space="preserve"> los principales métodos. Esto ha sido acogido por la Corte Interamericana en su jurisprudencia, de manera que además del método evolutivo ha utilizado </w:t>
      </w:r>
      <w:r>
        <w:rPr>
          <w:rFonts w:ascii="Verdana" w:hAnsi="Verdana"/>
          <w:sz w:val="20"/>
          <w:szCs w:val="20"/>
        </w:rPr>
        <w:t xml:space="preserve">otros </w:t>
      </w:r>
      <w:r w:rsidRPr="00031AE9">
        <w:rPr>
          <w:rFonts w:ascii="Verdana" w:hAnsi="Verdana"/>
          <w:sz w:val="20"/>
          <w:szCs w:val="20"/>
          <w:lang w:val="es-CR"/>
        </w:rPr>
        <w:t>criterios de interpretación</w:t>
      </w:r>
      <w:r w:rsidR="00475430">
        <w:rPr>
          <w:rFonts w:ascii="Verdana" w:hAnsi="Verdana"/>
          <w:sz w:val="20"/>
          <w:szCs w:val="20"/>
          <w:lang w:val="es-CR"/>
        </w:rPr>
        <w:t>,</w:t>
      </w:r>
      <w:r w:rsidRPr="00031AE9">
        <w:rPr>
          <w:rFonts w:ascii="Verdana" w:hAnsi="Verdana"/>
          <w:sz w:val="20"/>
          <w:szCs w:val="20"/>
          <w:lang w:val="es-CR"/>
        </w:rPr>
        <w:t xml:space="preserve"> </w:t>
      </w:r>
      <w:r>
        <w:rPr>
          <w:rFonts w:ascii="Verdana" w:hAnsi="Verdana"/>
          <w:sz w:val="20"/>
          <w:szCs w:val="20"/>
          <w:lang w:val="es-CR"/>
        </w:rPr>
        <w:t>tales como</w:t>
      </w:r>
      <w:r w:rsidR="00767B7F">
        <w:rPr>
          <w:rFonts w:ascii="Verdana" w:hAnsi="Verdana"/>
          <w:sz w:val="20"/>
          <w:szCs w:val="20"/>
          <w:lang w:val="es-CR"/>
        </w:rPr>
        <w:t xml:space="preserve"> la interpretación</w:t>
      </w:r>
      <w:r w:rsidRPr="00031AE9">
        <w:rPr>
          <w:rFonts w:ascii="Verdana" w:hAnsi="Verdana"/>
          <w:sz w:val="20"/>
          <w:szCs w:val="20"/>
          <w:lang w:val="es-CR"/>
        </w:rPr>
        <w:t xml:space="preserve"> literal, la interpretación sistemática y la interpretación teleológica. </w:t>
      </w:r>
      <w:r>
        <w:rPr>
          <w:rFonts w:ascii="Verdana" w:hAnsi="Verdana"/>
          <w:sz w:val="20"/>
          <w:szCs w:val="20"/>
          <w:lang w:val="es-CR"/>
        </w:rPr>
        <w:t>Al respecto, l</w:t>
      </w:r>
      <w:r w:rsidRPr="00031AE9">
        <w:rPr>
          <w:rFonts w:ascii="Verdana" w:hAnsi="Verdana"/>
          <w:sz w:val="20"/>
          <w:szCs w:val="20"/>
          <w:lang w:val="es-CR"/>
        </w:rPr>
        <w:t xml:space="preserve">a Corte ha entendido que la interpretación  literal es aquella que se realiza de buena fe </w:t>
      </w:r>
      <w:r w:rsidRPr="00031AE9">
        <w:rPr>
          <w:rFonts w:ascii="Verdana" w:hAnsi="Verdana"/>
          <w:sz w:val="20"/>
          <w:szCs w:val="20"/>
          <w:lang w:val="es-CO"/>
        </w:rPr>
        <w:t>conforme al sentido corriente de los términos. Este tipo de interpretación ha sido usada por la Corte a través del significado literal de algunas expresiones o palabras de la Convención y otros tratados</w:t>
      </w:r>
      <w:r w:rsidRPr="00031AE9">
        <w:rPr>
          <w:rStyle w:val="FootnoteReference"/>
          <w:rFonts w:ascii="Verdana" w:hAnsi="Verdana"/>
          <w:sz w:val="20"/>
          <w:szCs w:val="20"/>
          <w:lang w:val="es-CO"/>
        </w:rPr>
        <w:footnoteReference w:id="17"/>
      </w:r>
      <w:r w:rsidRPr="00031AE9">
        <w:rPr>
          <w:rFonts w:ascii="Verdana" w:hAnsi="Verdana"/>
          <w:sz w:val="20"/>
          <w:szCs w:val="20"/>
          <w:lang w:val="es-CO"/>
        </w:rPr>
        <w:t xml:space="preserve">. De otra </w:t>
      </w:r>
      <w:r w:rsidRPr="00031AE9">
        <w:rPr>
          <w:rFonts w:ascii="Verdana" w:hAnsi="Verdana"/>
          <w:sz w:val="20"/>
          <w:szCs w:val="20"/>
          <w:lang w:val="es-CO"/>
        </w:rPr>
        <w:lastRenderedPageBreak/>
        <w:t>parte, según la interpretación sistemática, la Corte ha sostenido que las normas deben ser interpretadas como parte de un todo cuyo significado y alcance deben fijarse en función del sistema jurídico al cual pertenecen</w:t>
      </w:r>
      <w:r w:rsidRPr="00031AE9">
        <w:rPr>
          <w:rStyle w:val="FootnoteReference"/>
          <w:rFonts w:ascii="Verdana" w:hAnsi="Verdana"/>
          <w:sz w:val="20"/>
          <w:szCs w:val="20"/>
          <w:lang w:val="es-CO"/>
        </w:rPr>
        <w:footnoteReference w:id="18"/>
      </w:r>
      <w:r w:rsidRPr="00031AE9">
        <w:rPr>
          <w:rFonts w:ascii="Verdana" w:hAnsi="Verdana"/>
          <w:sz w:val="20"/>
          <w:szCs w:val="20"/>
          <w:lang w:val="es-CO"/>
        </w:rPr>
        <w:t xml:space="preserve">. En el marco de este tipo de interpretación, el Tribunal ha analizado los trabajos preparatorios de la Declaración Americana y de la Convención Americana, así como algunos de los instrumentos del </w:t>
      </w:r>
      <w:r w:rsidR="00945737">
        <w:rPr>
          <w:rFonts w:ascii="Verdana" w:hAnsi="Verdana"/>
          <w:sz w:val="20"/>
          <w:szCs w:val="20"/>
          <w:lang w:val="es-CO"/>
        </w:rPr>
        <w:t>s</w:t>
      </w:r>
      <w:r w:rsidR="00945737" w:rsidRPr="00031AE9">
        <w:rPr>
          <w:rFonts w:ascii="Verdana" w:hAnsi="Verdana"/>
          <w:sz w:val="20"/>
          <w:szCs w:val="20"/>
          <w:lang w:val="es-CO"/>
        </w:rPr>
        <w:t xml:space="preserve">istema </w:t>
      </w:r>
      <w:r w:rsidR="00945737">
        <w:rPr>
          <w:rFonts w:ascii="Verdana" w:hAnsi="Verdana"/>
          <w:sz w:val="20"/>
          <w:szCs w:val="20"/>
          <w:lang w:val="es-CO"/>
        </w:rPr>
        <w:t>u</w:t>
      </w:r>
      <w:r w:rsidRPr="00031AE9">
        <w:rPr>
          <w:rFonts w:ascii="Verdana" w:hAnsi="Verdana"/>
          <w:sz w:val="20"/>
          <w:szCs w:val="20"/>
          <w:lang w:val="es-CO"/>
        </w:rPr>
        <w:t xml:space="preserve">niversal de </w:t>
      </w:r>
      <w:r w:rsidR="00945737">
        <w:rPr>
          <w:rFonts w:ascii="Verdana" w:hAnsi="Verdana"/>
          <w:sz w:val="20"/>
          <w:szCs w:val="20"/>
          <w:lang w:val="es-CO"/>
        </w:rPr>
        <w:t>d</w:t>
      </w:r>
      <w:r w:rsidRPr="00031AE9">
        <w:rPr>
          <w:rFonts w:ascii="Verdana" w:hAnsi="Verdana"/>
          <w:sz w:val="20"/>
          <w:szCs w:val="20"/>
          <w:lang w:val="es-CO"/>
        </w:rPr>
        <w:t xml:space="preserve">erechos </w:t>
      </w:r>
      <w:r w:rsidR="00945737">
        <w:rPr>
          <w:rFonts w:ascii="Verdana" w:hAnsi="Verdana"/>
          <w:sz w:val="20"/>
          <w:szCs w:val="20"/>
          <w:lang w:val="es-CO"/>
        </w:rPr>
        <w:t>h</w:t>
      </w:r>
      <w:r w:rsidRPr="00031AE9">
        <w:rPr>
          <w:rFonts w:ascii="Verdana" w:hAnsi="Verdana"/>
          <w:sz w:val="20"/>
          <w:szCs w:val="20"/>
          <w:lang w:val="es-CO"/>
        </w:rPr>
        <w:t>umanos y otros sistemas regionales de protección como el europeo y el africano</w:t>
      </w:r>
      <w:r w:rsidRPr="00031AE9">
        <w:rPr>
          <w:rStyle w:val="FootnoteReference"/>
          <w:rFonts w:ascii="Verdana" w:hAnsi="Verdana"/>
          <w:sz w:val="20"/>
          <w:szCs w:val="20"/>
          <w:lang w:val="es-CO"/>
        </w:rPr>
        <w:footnoteReference w:id="19"/>
      </w:r>
      <w:r w:rsidRPr="00031AE9">
        <w:rPr>
          <w:rFonts w:ascii="Verdana" w:hAnsi="Verdana"/>
          <w:sz w:val="20"/>
          <w:szCs w:val="20"/>
          <w:lang w:val="es-CO"/>
        </w:rPr>
        <w:t xml:space="preserve">. </w:t>
      </w:r>
      <w:r>
        <w:rPr>
          <w:rFonts w:ascii="Verdana" w:hAnsi="Verdana"/>
          <w:sz w:val="20"/>
          <w:szCs w:val="20"/>
          <w:lang w:val="es-CO"/>
        </w:rPr>
        <w:t>Asimismo</w:t>
      </w:r>
      <w:r w:rsidRPr="00031AE9">
        <w:rPr>
          <w:rFonts w:ascii="Verdana" w:hAnsi="Verdana"/>
          <w:sz w:val="20"/>
          <w:szCs w:val="20"/>
          <w:lang w:val="es-CO"/>
        </w:rPr>
        <w:t xml:space="preserve">, la Corte también ha utilizado la interpretación teleológica. Respecto a esta interpretación, la Corte ha analizado el propósito de las normas involucradas en la interpretación, considerado pertinente el objeto y fin del tratado mismo y los propósitos del </w:t>
      </w:r>
      <w:r w:rsidR="00945737">
        <w:rPr>
          <w:rFonts w:ascii="Verdana" w:hAnsi="Verdana"/>
          <w:sz w:val="20"/>
          <w:szCs w:val="20"/>
          <w:lang w:val="es-CO"/>
        </w:rPr>
        <w:t>s</w:t>
      </w:r>
      <w:r w:rsidRPr="00031AE9">
        <w:rPr>
          <w:rFonts w:ascii="Verdana" w:hAnsi="Verdana"/>
          <w:sz w:val="20"/>
          <w:szCs w:val="20"/>
          <w:lang w:val="es-CO"/>
        </w:rPr>
        <w:t xml:space="preserve">istema </w:t>
      </w:r>
      <w:r w:rsidR="00945737">
        <w:rPr>
          <w:rFonts w:ascii="Verdana" w:hAnsi="Verdana"/>
          <w:sz w:val="20"/>
          <w:szCs w:val="20"/>
          <w:lang w:val="es-CO"/>
        </w:rPr>
        <w:t>i</w:t>
      </w:r>
      <w:r w:rsidRPr="00031AE9">
        <w:rPr>
          <w:rFonts w:ascii="Verdana" w:hAnsi="Verdana"/>
          <w:sz w:val="20"/>
          <w:szCs w:val="20"/>
          <w:lang w:val="es-CO"/>
        </w:rPr>
        <w:t xml:space="preserve">nteramericano de </w:t>
      </w:r>
      <w:r w:rsidR="00945737">
        <w:rPr>
          <w:rFonts w:ascii="Verdana" w:hAnsi="Verdana"/>
          <w:sz w:val="20"/>
          <w:szCs w:val="20"/>
          <w:lang w:val="es-CO"/>
        </w:rPr>
        <w:t>d</w:t>
      </w:r>
      <w:r w:rsidRPr="00031AE9">
        <w:rPr>
          <w:rFonts w:ascii="Verdana" w:hAnsi="Verdana"/>
          <w:sz w:val="20"/>
          <w:szCs w:val="20"/>
          <w:lang w:val="es-CO"/>
        </w:rPr>
        <w:t xml:space="preserve">erechos </w:t>
      </w:r>
      <w:r w:rsidR="00945737">
        <w:rPr>
          <w:rFonts w:ascii="Verdana" w:hAnsi="Verdana"/>
          <w:sz w:val="20"/>
          <w:szCs w:val="20"/>
          <w:lang w:val="es-CO"/>
        </w:rPr>
        <w:t>h</w:t>
      </w:r>
      <w:r w:rsidRPr="00031AE9">
        <w:rPr>
          <w:rFonts w:ascii="Verdana" w:hAnsi="Verdana"/>
          <w:sz w:val="20"/>
          <w:szCs w:val="20"/>
          <w:lang w:val="es-CO"/>
        </w:rPr>
        <w:t xml:space="preserve">umanos. </w:t>
      </w:r>
      <w:r w:rsidR="00FE1D5D">
        <w:rPr>
          <w:rFonts w:ascii="Verdana" w:hAnsi="Verdana"/>
          <w:sz w:val="20"/>
          <w:szCs w:val="20"/>
          <w:lang w:val="es-CO"/>
        </w:rPr>
        <w:t>Por último, la interpretación evolutiva implica</w:t>
      </w:r>
      <w:r w:rsidR="005F135E">
        <w:rPr>
          <w:rFonts w:ascii="Verdana" w:hAnsi="Verdana"/>
          <w:sz w:val="20"/>
          <w:szCs w:val="20"/>
          <w:lang w:val="es-CO"/>
        </w:rPr>
        <w:t xml:space="preserve"> que</w:t>
      </w:r>
      <w:r w:rsidR="00FE1D5D">
        <w:rPr>
          <w:rFonts w:ascii="Verdana" w:hAnsi="Verdana"/>
          <w:sz w:val="20"/>
          <w:szCs w:val="20"/>
          <w:lang w:val="es-CO"/>
        </w:rPr>
        <w:t>:</w:t>
      </w:r>
    </w:p>
    <w:p w:rsidR="00D12221" w:rsidRPr="00FE1D5D" w:rsidRDefault="00D12221" w:rsidP="00ED130A">
      <w:pPr>
        <w:pStyle w:val="ListParagraph"/>
        <w:tabs>
          <w:tab w:val="left" w:pos="426"/>
          <w:tab w:val="left" w:pos="709"/>
        </w:tabs>
        <w:spacing w:after="0" w:line="240" w:lineRule="auto"/>
        <w:ind w:left="0"/>
        <w:jc w:val="both"/>
        <w:rPr>
          <w:rFonts w:ascii="Verdana" w:hAnsi="Verdana"/>
          <w:sz w:val="20"/>
          <w:szCs w:val="20"/>
        </w:rPr>
      </w:pPr>
    </w:p>
    <w:p w:rsidR="00FE1D5D" w:rsidRPr="00331853" w:rsidRDefault="00331853" w:rsidP="00ED130A">
      <w:pPr>
        <w:pStyle w:val="BodyText"/>
        <w:tabs>
          <w:tab w:val="left" w:pos="709"/>
        </w:tabs>
        <w:overflowPunct w:val="0"/>
        <w:autoSpaceDE w:val="0"/>
        <w:autoSpaceDN w:val="0"/>
        <w:adjustRightInd w:val="0"/>
        <w:ind w:left="426" w:right="333"/>
        <w:textAlignment w:val="baseline"/>
        <w:rPr>
          <w:rFonts w:ascii="Verdana" w:hAnsi="Verdana"/>
          <w:sz w:val="16"/>
          <w:szCs w:val="16"/>
        </w:rPr>
      </w:pPr>
      <w:r w:rsidRPr="00331853">
        <w:rPr>
          <w:rFonts w:ascii="Verdana" w:hAnsi="Verdana"/>
          <w:sz w:val="16"/>
          <w:szCs w:val="16"/>
          <w:lang w:eastAsia="de-DE"/>
        </w:rPr>
        <w:t xml:space="preserve">los tratados de derechos humanos son instrumentos vivos, cuya interpretación tiene que acompañar la evolución de los tiempos y las condiciones de vida actuales. Tal interpretación evolutiva es consecuente con las reglas generales de interpretación establecidas en el artículo 29 de la Convención Americana, así como en la </w:t>
      </w:r>
      <w:r w:rsidRPr="00D05439">
        <w:rPr>
          <w:rFonts w:ascii="Verdana" w:hAnsi="Verdana"/>
          <w:sz w:val="16"/>
          <w:szCs w:val="16"/>
          <w:lang w:eastAsia="de-DE"/>
        </w:rPr>
        <w:t>Convención</w:t>
      </w:r>
      <w:r w:rsidRPr="00331853">
        <w:rPr>
          <w:rFonts w:ascii="Verdana" w:hAnsi="Verdana"/>
          <w:i/>
          <w:sz w:val="16"/>
          <w:szCs w:val="16"/>
          <w:lang w:eastAsia="de-DE"/>
        </w:rPr>
        <w:t xml:space="preserve"> </w:t>
      </w:r>
      <w:r w:rsidRPr="00331853">
        <w:rPr>
          <w:rFonts w:ascii="Verdana" w:hAnsi="Verdana"/>
          <w:sz w:val="16"/>
          <w:szCs w:val="16"/>
          <w:lang w:eastAsia="de-DE"/>
        </w:rPr>
        <w:t xml:space="preserve">de Viena sobre el Derecho de los Tratados. Al efectuar una interpretación evolutiva la Corte le ha otorgado especial relevancia al derecho comparado, razón por la cual </w:t>
      </w:r>
      <w:r w:rsidRPr="00331853">
        <w:rPr>
          <w:rFonts w:ascii="Verdana" w:hAnsi="Verdana" w:cs="Arial"/>
          <w:sz w:val="16"/>
          <w:szCs w:val="16"/>
          <w:lang w:val="es-CO"/>
        </w:rPr>
        <w:t>ha utilizado normativa nacional o jurisprudencia de tribunales internos a la hora de analizar controversias específicas en los casos contenciosos</w:t>
      </w:r>
      <w:r w:rsidR="00FE1D5D" w:rsidRPr="00331853">
        <w:rPr>
          <w:rStyle w:val="FootnoteReference"/>
          <w:rFonts w:ascii="Verdana" w:hAnsi="Verdana"/>
          <w:sz w:val="16"/>
          <w:szCs w:val="16"/>
        </w:rPr>
        <w:footnoteReference w:id="20"/>
      </w:r>
      <w:r w:rsidR="00FE1D5D" w:rsidRPr="00331853">
        <w:rPr>
          <w:rFonts w:ascii="Verdana" w:hAnsi="Verdana"/>
          <w:sz w:val="16"/>
          <w:szCs w:val="16"/>
        </w:rPr>
        <w:t xml:space="preserve">. </w:t>
      </w:r>
    </w:p>
    <w:p w:rsidR="00FE1D5D" w:rsidRPr="00FE1D5D" w:rsidRDefault="00FE1D5D" w:rsidP="00ED130A">
      <w:pPr>
        <w:pStyle w:val="ListParagraph"/>
        <w:tabs>
          <w:tab w:val="left" w:pos="426"/>
          <w:tab w:val="left" w:pos="709"/>
        </w:tabs>
        <w:spacing w:after="0" w:line="240" w:lineRule="auto"/>
        <w:ind w:left="0"/>
        <w:jc w:val="both"/>
        <w:rPr>
          <w:rFonts w:ascii="Verdana" w:hAnsi="Verdana"/>
          <w:sz w:val="20"/>
          <w:szCs w:val="20"/>
          <w:lang w:val="es-ES_tradnl"/>
        </w:rPr>
      </w:pPr>
    </w:p>
    <w:p w:rsidR="00FE1D5D" w:rsidRPr="00031AE9" w:rsidRDefault="004C4D4E" w:rsidP="00ED130A">
      <w:pPr>
        <w:pStyle w:val="ListParagraph"/>
        <w:numPr>
          <w:ilvl w:val="0"/>
          <w:numId w:val="1"/>
        </w:numPr>
        <w:tabs>
          <w:tab w:val="left" w:pos="426"/>
          <w:tab w:val="left" w:pos="709"/>
        </w:tabs>
        <w:spacing w:after="0" w:line="240" w:lineRule="auto"/>
        <w:ind w:left="0" w:firstLine="0"/>
        <w:jc w:val="both"/>
        <w:rPr>
          <w:rFonts w:ascii="Verdana" w:hAnsi="Verdana"/>
          <w:sz w:val="20"/>
          <w:szCs w:val="20"/>
        </w:rPr>
      </w:pPr>
      <w:r>
        <w:rPr>
          <w:rFonts w:ascii="Verdana" w:hAnsi="Verdana"/>
          <w:sz w:val="20"/>
          <w:szCs w:val="20"/>
          <w:lang w:val="es-CO"/>
        </w:rPr>
        <w:t xml:space="preserve">Al respecto, </w:t>
      </w:r>
      <w:r w:rsidR="00F67C5E">
        <w:rPr>
          <w:rFonts w:ascii="Verdana" w:hAnsi="Verdana"/>
          <w:sz w:val="20"/>
          <w:szCs w:val="20"/>
          <w:lang w:val="es-CO"/>
        </w:rPr>
        <w:t>cabe señalar que los métodos de interpretación deben ser utilizados cuando una norma es ambigua</w:t>
      </w:r>
      <w:r w:rsidR="00A91572">
        <w:rPr>
          <w:rFonts w:ascii="Verdana" w:hAnsi="Verdana"/>
          <w:sz w:val="20"/>
          <w:szCs w:val="20"/>
          <w:lang w:val="es-CO"/>
        </w:rPr>
        <w:t xml:space="preserve">, situación que no considero que se dé </w:t>
      </w:r>
      <w:r w:rsidR="005F135E">
        <w:rPr>
          <w:rFonts w:ascii="Verdana" w:hAnsi="Verdana"/>
          <w:sz w:val="20"/>
          <w:szCs w:val="20"/>
          <w:lang w:val="es-CO"/>
        </w:rPr>
        <w:t>respecto a</w:t>
      </w:r>
      <w:r w:rsidR="00A91572">
        <w:rPr>
          <w:rFonts w:ascii="Verdana" w:hAnsi="Verdana"/>
          <w:sz w:val="20"/>
          <w:szCs w:val="20"/>
          <w:lang w:val="es-CO"/>
        </w:rPr>
        <w:t xml:space="preserve"> la limitación de competencia que estipula el artículo 19.6</w:t>
      </w:r>
      <w:r w:rsidR="007014A4">
        <w:rPr>
          <w:rFonts w:ascii="Verdana" w:hAnsi="Verdana"/>
          <w:sz w:val="20"/>
          <w:szCs w:val="20"/>
          <w:lang w:val="es-CO"/>
        </w:rPr>
        <w:t xml:space="preserve"> del Protocolo</w:t>
      </w:r>
      <w:r w:rsidR="00630AE4">
        <w:rPr>
          <w:rFonts w:ascii="Verdana" w:hAnsi="Verdana"/>
          <w:sz w:val="20"/>
          <w:szCs w:val="20"/>
          <w:lang w:val="es-CO"/>
        </w:rPr>
        <w:t xml:space="preserve"> de San Salvador</w:t>
      </w:r>
      <w:r w:rsidR="007014A4">
        <w:rPr>
          <w:rFonts w:ascii="Verdana" w:hAnsi="Verdana"/>
          <w:sz w:val="20"/>
          <w:szCs w:val="20"/>
          <w:lang w:val="es-CO"/>
        </w:rPr>
        <w:t xml:space="preserve"> respecto al artículo 26 de la Convención</w:t>
      </w:r>
      <w:r w:rsidR="00A91572">
        <w:rPr>
          <w:rFonts w:ascii="Verdana" w:hAnsi="Verdana"/>
          <w:sz w:val="20"/>
          <w:szCs w:val="20"/>
          <w:lang w:val="es-CO"/>
        </w:rPr>
        <w:t xml:space="preserve">, puesto </w:t>
      </w:r>
      <w:r w:rsidR="00546179">
        <w:rPr>
          <w:rFonts w:ascii="Verdana" w:hAnsi="Verdana"/>
          <w:sz w:val="20"/>
          <w:szCs w:val="20"/>
          <w:lang w:val="es-CO"/>
        </w:rPr>
        <w:t>que</w:t>
      </w:r>
      <w:r w:rsidR="00D26712">
        <w:rPr>
          <w:rFonts w:ascii="Verdana" w:hAnsi="Verdana"/>
          <w:sz w:val="20"/>
          <w:szCs w:val="20"/>
          <w:lang w:val="es-CO"/>
        </w:rPr>
        <w:t>,</w:t>
      </w:r>
      <w:r w:rsidR="00546179">
        <w:rPr>
          <w:rFonts w:ascii="Verdana" w:hAnsi="Verdana"/>
          <w:sz w:val="20"/>
          <w:szCs w:val="20"/>
          <w:lang w:val="es-CO"/>
        </w:rPr>
        <w:t xml:space="preserve"> </w:t>
      </w:r>
      <w:r w:rsidR="00A91572">
        <w:rPr>
          <w:rFonts w:ascii="Verdana" w:hAnsi="Verdana"/>
          <w:sz w:val="20"/>
          <w:szCs w:val="20"/>
          <w:lang w:val="es-CO"/>
        </w:rPr>
        <w:t>como se indicó anteriormente</w:t>
      </w:r>
      <w:r w:rsidR="00D26712">
        <w:rPr>
          <w:rFonts w:ascii="Verdana" w:hAnsi="Verdana"/>
          <w:sz w:val="20"/>
          <w:szCs w:val="20"/>
          <w:lang w:val="es-CO"/>
        </w:rPr>
        <w:t>,</w:t>
      </w:r>
      <w:r w:rsidR="00A91572">
        <w:rPr>
          <w:rFonts w:ascii="Verdana" w:hAnsi="Verdana"/>
          <w:sz w:val="20"/>
          <w:szCs w:val="20"/>
          <w:lang w:val="es-CO"/>
        </w:rPr>
        <w:t xml:space="preserve"> </w:t>
      </w:r>
      <w:r w:rsidR="006127FC">
        <w:rPr>
          <w:rFonts w:ascii="Verdana" w:hAnsi="Verdana"/>
          <w:sz w:val="20"/>
          <w:szCs w:val="20"/>
          <w:lang w:val="es-CO"/>
        </w:rPr>
        <w:t xml:space="preserve">la norma es clara en su sentido. </w:t>
      </w:r>
      <w:r w:rsidR="008B5770">
        <w:rPr>
          <w:rFonts w:ascii="Verdana" w:hAnsi="Verdana"/>
          <w:sz w:val="20"/>
          <w:szCs w:val="20"/>
          <w:lang w:val="es-CO"/>
        </w:rPr>
        <w:t>Sin perjuicio de</w:t>
      </w:r>
      <w:r w:rsidR="00A91572">
        <w:rPr>
          <w:rFonts w:ascii="Verdana" w:hAnsi="Verdana"/>
          <w:sz w:val="20"/>
          <w:szCs w:val="20"/>
          <w:lang w:val="es-CO"/>
        </w:rPr>
        <w:t xml:space="preserve"> lo anterior, si se quisiera hacer una interpretación de la norma no es suficiente con hacer uso de uno de los diversos métodos de interpretación existentes, por cuanto estos son </w:t>
      </w:r>
      <w:r w:rsidR="00767B7F">
        <w:rPr>
          <w:rFonts w:ascii="Verdana" w:hAnsi="Verdana"/>
          <w:sz w:val="20"/>
          <w:szCs w:val="20"/>
          <w:lang w:val="es-CO"/>
        </w:rPr>
        <w:t>complementarios entre sí</w:t>
      </w:r>
      <w:r w:rsidR="00D26712">
        <w:rPr>
          <w:rFonts w:ascii="Verdana" w:hAnsi="Verdana"/>
          <w:sz w:val="20"/>
          <w:szCs w:val="20"/>
          <w:lang w:val="es-CO"/>
        </w:rPr>
        <w:t xml:space="preserve"> y ningu</w:t>
      </w:r>
      <w:r w:rsidR="00A91572">
        <w:rPr>
          <w:rFonts w:ascii="Verdana" w:hAnsi="Verdana"/>
          <w:sz w:val="20"/>
          <w:szCs w:val="20"/>
          <w:lang w:val="es-CO"/>
        </w:rPr>
        <w:t>n</w:t>
      </w:r>
      <w:r w:rsidR="00D26712">
        <w:rPr>
          <w:rFonts w:ascii="Verdana" w:hAnsi="Verdana"/>
          <w:sz w:val="20"/>
          <w:szCs w:val="20"/>
          <w:lang w:val="es-CO"/>
        </w:rPr>
        <w:t>o</w:t>
      </w:r>
      <w:r w:rsidR="00A91572">
        <w:rPr>
          <w:rFonts w:ascii="Verdana" w:hAnsi="Verdana"/>
          <w:sz w:val="20"/>
          <w:szCs w:val="20"/>
          <w:lang w:val="es-CO"/>
        </w:rPr>
        <w:t xml:space="preserve"> tiene una mayor jerarquía que el otro. </w:t>
      </w:r>
      <w:r w:rsidR="00F67C5E">
        <w:rPr>
          <w:rFonts w:ascii="Verdana" w:hAnsi="Verdana"/>
          <w:sz w:val="20"/>
          <w:szCs w:val="20"/>
          <w:lang w:val="es-CO"/>
        </w:rPr>
        <w:t xml:space="preserve"> </w:t>
      </w:r>
    </w:p>
    <w:p w:rsidR="00EE20ED" w:rsidRPr="0002706E" w:rsidRDefault="00EE20ED" w:rsidP="00ED130A">
      <w:pPr>
        <w:tabs>
          <w:tab w:val="left" w:pos="709"/>
        </w:tabs>
        <w:spacing w:after="0" w:line="240" w:lineRule="auto"/>
        <w:rPr>
          <w:rFonts w:ascii="Verdana" w:hAnsi="Verdana"/>
          <w:sz w:val="20"/>
          <w:szCs w:val="20"/>
        </w:rPr>
      </w:pPr>
    </w:p>
    <w:p w:rsidR="0081441B" w:rsidRPr="00A86FD6" w:rsidRDefault="00305D85" w:rsidP="00ED130A">
      <w:pPr>
        <w:pStyle w:val="ListParagraph"/>
        <w:numPr>
          <w:ilvl w:val="0"/>
          <w:numId w:val="1"/>
        </w:numPr>
        <w:tabs>
          <w:tab w:val="left" w:pos="426"/>
          <w:tab w:val="left" w:pos="709"/>
        </w:tabs>
        <w:spacing w:after="0" w:line="240" w:lineRule="auto"/>
        <w:ind w:left="0" w:firstLine="0"/>
        <w:jc w:val="both"/>
        <w:rPr>
          <w:rFonts w:ascii="Verdana" w:hAnsi="Verdana"/>
          <w:sz w:val="20"/>
          <w:szCs w:val="20"/>
        </w:rPr>
      </w:pPr>
      <w:r>
        <w:rPr>
          <w:rFonts w:ascii="Verdana" w:hAnsi="Verdana"/>
          <w:sz w:val="20"/>
          <w:szCs w:val="20"/>
        </w:rPr>
        <w:t>A manera de ejemplo utilizaré los otros métodos de interpretación para demostrar que estos</w:t>
      </w:r>
      <w:r w:rsidR="00D26712">
        <w:rPr>
          <w:rFonts w:ascii="Verdana" w:hAnsi="Verdana"/>
          <w:sz w:val="20"/>
          <w:szCs w:val="20"/>
        </w:rPr>
        <w:t>,</w:t>
      </w:r>
      <w:r>
        <w:rPr>
          <w:rFonts w:ascii="Verdana" w:hAnsi="Verdana"/>
          <w:sz w:val="20"/>
          <w:szCs w:val="20"/>
        </w:rPr>
        <w:t xml:space="preserve"> en vez de </w:t>
      </w:r>
      <w:r w:rsidR="005B3DE0">
        <w:rPr>
          <w:rFonts w:ascii="Verdana" w:hAnsi="Verdana"/>
          <w:sz w:val="20"/>
          <w:szCs w:val="20"/>
        </w:rPr>
        <w:t>sustentar</w:t>
      </w:r>
      <w:r>
        <w:rPr>
          <w:rFonts w:ascii="Verdana" w:hAnsi="Verdana"/>
          <w:sz w:val="20"/>
          <w:szCs w:val="20"/>
        </w:rPr>
        <w:t xml:space="preserve"> la </w:t>
      </w:r>
      <w:proofErr w:type="spellStart"/>
      <w:r>
        <w:rPr>
          <w:rFonts w:ascii="Verdana" w:hAnsi="Verdana"/>
          <w:sz w:val="20"/>
          <w:szCs w:val="20"/>
        </w:rPr>
        <w:t>justiciabilidad</w:t>
      </w:r>
      <w:proofErr w:type="spellEnd"/>
      <w:r>
        <w:rPr>
          <w:rFonts w:ascii="Verdana" w:hAnsi="Verdana"/>
          <w:sz w:val="20"/>
          <w:szCs w:val="20"/>
        </w:rPr>
        <w:t xml:space="preserve"> directa de los DESC</w:t>
      </w:r>
      <w:r w:rsidR="00475430">
        <w:rPr>
          <w:rFonts w:ascii="Verdana" w:hAnsi="Verdana"/>
          <w:sz w:val="20"/>
          <w:szCs w:val="20"/>
        </w:rPr>
        <w:t xml:space="preserve"> por medio del artículo 26 de la Convención</w:t>
      </w:r>
      <w:r>
        <w:rPr>
          <w:rFonts w:ascii="Verdana" w:hAnsi="Verdana"/>
          <w:sz w:val="20"/>
          <w:szCs w:val="20"/>
        </w:rPr>
        <w:t>, apoyan la posición que he ven</w:t>
      </w:r>
      <w:r w:rsidR="00D26712">
        <w:rPr>
          <w:rFonts w:ascii="Verdana" w:hAnsi="Verdana"/>
          <w:sz w:val="20"/>
          <w:szCs w:val="20"/>
        </w:rPr>
        <w:t>ido defendiendo en el presente v</w:t>
      </w:r>
      <w:r>
        <w:rPr>
          <w:rFonts w:ascii="Verdana" w:hAnsi="Verdana"/>
          <w:sz w:val="20"/>
          <w:szCs w:val="20"/>
        </w:rPr>
        <w:t xml:space="preserve">oto. Respecto a </w:t>
      </w:r>
      <w:r w:rsidRPr="00031AE9">
        <w:rPr>
          <w:rFonts w:ascii="Verdana" w:hAnsi="Verdana"/>
          <w:sz w:val="20"/>
          <w:szCs w:val="20"/>
          <w:lang w:val="es-CR"/>
        </w:rPr>
        <w:t xml:space="preserve">la </w:t>
      </w:r>
      <w:r>
        <w:rPr>
          <w:rFonts w:ascii="Verdana" w:hAnsi="Verdana"/>
          <w:sz w:val="20"/>
          <w:szCs w:val="20"/>
          <w:lang w:val="es-CR"/>
        </w:rPr>
        <w:t>interpretación</w:t>
      </w:r>
      <w:r w:rsidRPr="00031AE9">
        <w:rPr>
          <w:rFonts w:ascii="Verdana" w:hAnsi="Verdana"/>
          <w:sz w:val="20"/>
          <w:szCs w:val="20"/>
          <w:lang w:val="es-CR"/>
        </w:rPr>
        <w:t xml:space="preserve"> literal</w:t>
      </w:r>
      <w:r>
        <w:rPr>
          <w:rFonts w:ascii="Verdana" w:hAnsi="Verdana"/>
          <w:sz w:val="20"/>
          <w:szCs w:val="20"/>
          <w:lang w:val="es-CR"/>
        </w:rPr>
        <w:t xml:space="preserve"> de las dos normas, </w:t>
      </w:r>
      <w:r w:rsidR="00630AE4">
        <w:rPr>
          <w:rFonts w:ascii="Verdana" w:hAnsi="Verdana"/>
          <w:sz w:val="20"/>
          <w:szCs w:val="20"/>
          <w:lang w:val="es-CR"/>
        </w:rPr>
        <w:t xml:space="preserve">a saber </w:t>
      </w:r>
      <w:r>
        <w:rPr>
          <w:rFonts w:ascii="Verdana" w:hAnsi="Verdana"/>
          <w:sz w:val="20"/>
          <w:szCs w:val="20"/>
          <w:lang w:val="es-CR"/>
        </w:rPr>
        <w:t>el artículo 26 de la Convención y el 19.6</w:t>
      </w:r>
      <w:r w:rsidR="00075643">
        <w:rPr>
          <w:rFonts w:ascii="Verdana" w:hAnsi="Verdana"/>
          <w:sz w:val="20"/>
          <w:szCs w:val="20"/>
          <w:lang w:val="es-CR"/>
        </w:rPr>
        <w:t xml:space="preserve"> del Protocolo, implica justamente lo que he venido realizando</w:t>
      </w:r>
      <w:r w:rsidR="00630AE4">
        <w:rPr>
          <w:rFonts w:ascii="Verdana" w:hAnsi="Verdana"/>
          <w:sz w:val="20"/>
          <w:szCs w:val="20"/>
          <w:lang w:val="es-CR"/>
        </w:rPr>
        <w:t>,</w:t>
      </w:r>
      <w:r w:rsidR="00075643">
        <w:rPr>
          <w:rFonts w:ascii="Verdana" w:hAnsi="Verdana"/>
          <w:sz w:val="20"/>
          <w:szCs w:val="20"/>
          <w:lang w:val="es-CR"/>
        </w:rPr>
        <w:t xml:space="preserve"> y es concluir que de la lectura de las dos normas se puede</w:t>
      </w:r>
      <w:r w:rsidR="00630AE4">
        <w:rPr>
          <w:rFonts w:ascii="Verdana" w:hAnsi="Verdana"/>
          <w:sz w:val="20"/>
          <w:szCs w:val="20"/>
          <w:lang w:val="es-CR"/>
        </w:rPr>
        <w:t xml:space="preserve"> derivar</w:t>
      </w:r>
      <w:r w:rsidR="00075643">
        <w:rPr>
          <w:rFonts w:ascii="Verdana" w:hAnsi="Verdana"/>
          <w:sz w:val="20"/>
          <w:szCs w:val="20"/>
          <w:lang w:val="es-CR"/>
        </w:rPr>
        <w:t xml:space="preserve"> que no fue voluntad de los Estados establecer una opción de </w:t>
      </w:r>
      <w:proofErr w:type="spellStart"/>
      <w:r w:rsidR="00075643">
        <w:rPr>
          <w:rFonts w:ascii="Verdana" w:hAnsi="Verdana"/>
          <w:sz w:val="20"/>
          <w:szCs w:val="20"/>
          <w:lang w:val="es-CR"/>
        </w:rPr>
        <w:t>justiciabilidad</w:t>
      </w:r>
      <w:proofErr w:type="spellEnd"/>
      <w:r w:rsidR="00075643">
        <w:rPr>
          <w:rFonts w:ascii="Verdana" w:hAnsi="Verdana"/>
          <w:sz w:val="20"/>
          <w:szCs w:val="20"/>
          <w:lang w:val="es-CR"/>
        </w:rPr>
        <w:t xml:space="preserve"> directa en el artículo 26 y, por el contrario, en el artículo 19.6 determinaron una limitación de competencia. La interpretación literal hace referencia a la buena fe con que se deben interpretar los tratados y</w:t>
      </w:r>
      <w:r w:rsidR="005B3DE0">
        <w:rPr>
          <w:rFonts w:ascii="Verdana" w:hAnsi="Verdana"/>
          <w:sz w:val="20"/>
          <w:szCs w:val="20"/>
          <w:lang w:val="es-CR"/>
        </w:rPr>
        <w:t>,</w:t>
      </w:r>
      <w:r w:rsidR="00075643">
        <w:rPr>
          <w:rFonts w:ascii="Verdana" w:hAnsi="Verdana"/>
          <w:sz w:val="20"/>
          <w:szCs w:val="20"/>
          <w:lang w:val="es-CR"/>
        </w:rPr>
        <w:t xml:space="preserve"> esto es relevante en este punto, por cuanto pareciera que la intensión de llegar a un resultado concreto en algunos casos desorienta el sentido literal de la norma o lleva a hacer caso omiso</w:t>
      </w:r>
      <w:r w:rsidR="00506F75">
        <w:rPr>
          <w:rFonts w:ascii="Verdana" w:hAnsi="Verdana"/>
          <w:sz w:val="20"/>
          <w:szCs w:val="20"/>
          <w:lang w:val="es-CR"/>
        </w:rPr>
        <w:t xml:space="preserve"> de</w:t>
      </w:r>
      <w:r w:rsidR="00075643">
        <w:rPr>
          <w:rFonts w:ascii="Verdana" w:hAnsi="Verdana"/>
          <w:sz w:val="20"/>
          <w:szCs w:val="20"/>
          <w:lang w:val="es-CR"/>
        </w:rPr>
        <w:t xml:space="preserve"> normas o factores relevantes para la interpretación. </w:t>
      </w:r>
    </w:p>
    <w:p w:rsidR="00A86FD6" w:rsidRPr="00A86FD6" w:rsidRDefault="00A86FD6" w:rsidP="00ED130A">
      <w:pPr>
        <w:pStyle w:val="ListParagraph"/>
        <w:tabs>
          <w:tab w:val="left" w:pos="709"/>
        </w:tabs>
        <w:spacing w:after="0" w:line="240" w:lineRule="auto"/>
        <w:rPr>
          <w:rFonts w:ascii="Verdana" w:hAnsi="Verdana"/>
          <w:sz w:val="20"/>
          <w:szCs w:val="20"/>
        </w:rPr>
      </w:pPr>
    </w:p>
    <w:p w:rsidR="0081441B" w:rsidRDefault="00A86FD6" w:rsidP="00ED130A">
      <w:pPr>
        <w:pStyle w:val="ListParagraph"/>
        <w:numPr>
          <w:ilvl w:val="0"/>
          <w:numId w:val="1"/>
        </w:numPr>
        <w:tabs>
          <w:tab w:val="left" w:pos="426"/>
          <w:tab w:val="left" w:pos="709"/>
        </w:tabs>
        <w:spacing w:after="0" w:line="240" w:lineRule="auto"/>
        <w:ind w:left="0" w:firstLine="0"/>
        <w:jc w:val="both"/>
        <w:rPr>
          <w:rFonts w:ascii="Verdana" w:hAnsi="Verdana"/>
          <w:sz w:val="20"/>
          <w:szCs w:val="20"/>
        </w:rPr>
      </w:pPr>
      <w:r>
        <w:rPr>
          <w:rFonts w:ascii="Verdana" w:hAnsi="Verdana"/>
          <w:sz w:val="20"/>
          <w:szCs w:val="20"/>
        </w:rPr>
        <w:t xml:space="preserve">Con relación a la </w:t>
      </w:r>
      <w:r w:rsidRPr="00A86FD6">
        <w:rPr>
          <w:rFonts w:ascii="Verdana" w:hAnsi="Verdana"/>
          <w:sz w:val="20"/>
          <w:szCs w:val="20"/>
        </w:rPr>
        <w:t>interpretación sistemática</w:t>
      </w:r>
      <w:r w:rsidR="00D37FC7">
        <w:rPr>
          <w:rFonts w:ascii="Verdana" w:hAnsi="Verdana"/>
          <w:sz w:val="20"/>
          <w:szCs w:val="20"/>
        </w:rPr>
        <w:t>,</w:t>
      </w:r>
      <w:r w:rsidRPr="00A86FD6">
        <w:rPr>
          <w:rFonts w:ascii="Verdana" w:hAnsi="Verdana"/>
          <w:sz w:val="20"/>
          <w:szCs w:val="20"/>
        </w:rPr>
        <w:t xml:space="preserve"> </w:t>
      </w:r>
      <w:r>
        <w:rPr>
          <w:rFonts w:ascii="Verdana" w:hAnsi="Verdana"/>
          <w:sz w:val="20"/>
          <w:szCs w:val="20"/>
        </w:rPr>
        <w:t xml:space="preserve">para determinar los alcances del artículo 26 de la Convención </w:t>
      </w:r>
      <w:r w:rsidRPr="00A86FD6">
        <w:rPr>
          <w:rFonts w:ascii="Verdana" w:hAnsi="Verdana"/>
          <w:sz w:val="20"/>
          <w:szCs w:val="20"/>
        </w:rPr>
        <w:t>n</w:t>
      </w:r>
      <w:r>
        <w:rPr>
          <w:rFonts w:ascii="Verdana" w:hAnsi="Verdana"/>
          <w:sz w:val="20"/>
          <w:szCs w:val="20"/>
        </w:rPr>
        <w:t xml:space="preserve">o se debe </w:t>
      </w:r>
      <w:r w:rsidRPr="00A86FD6">
        <w:rPr>
          <w:rFonts w:ascii="Verdana" w:hAnsi="Verdana"/>
          <w:sz w:val="20"/>
          <w:szCs w:val="20"/>
        </w:rPr>
        <w:t xml:space="preserve">obviar </w:t>
      </w:r>
      <w:r>
        <w:rPr>
          <w:rFonts w:ascii="Verdana" w:hAnsi="Verdana"/>
          <w:sz w:val="20"/>
          <w:szCs w:val="20"/>
        </w:rPr>
        <w:t>lo establecido en el Protocolo, ya que</w:t>
      </w:r>
      <w:r w:rsidR="00D26712">
        <w:rPr>
          <w:rFonts w:ascii="Verdana" w:hAnsi="Verdana"/>
          <w:sz w:val="20"/>
          <w:szCs w:val="20"/>
        </w:rPr>
        <w:t>,</w:t>
      </w:r>
      <w:r>
        <w:rPr>
          <w:rFonts w:ascii="Verdana" w:hAnsi="Verdana"/>
          <w:sz w:val="20"/>
          <w:szCs w:val="20"/>
        </w:rPr>
        <w:t xml:space="preserve"> </w:t>
      </w:r>
      <w:r>
        <w:rPr>
          <w:rFonts w:ascii="Verdana" w:hAnsi="Verdana"/>
          <w:sz w:val="20"/>
          <w:szCs w:val="20"/>
        </w:rPr>
        <w:lastRenderedPageBreak/>
        <w:t>como se manifestó anteriormente</w:t>
      </w:r>
      <w:r w:rsidR="00D26712">
        <w:rPr>
          <w:rFonts w:ascii="Verdana" w:hAnsi="Verdana"/>
          <w:sz w:val="20"/>
          <w:szCs w:val="20"/>
        </w:rPr>
        <w:t>,</w:t>
      </w:r>
      <w:r>
        <w:rPr>
          <w:rFonts w:ascii="Verdana" w:hAnsi="Verdana"/>
          <w:sz w:val="20"/>
          <w:szCs w:val="20"/>
        </w:rPr>
        <w:t xml:space="preserve"> los dos tratados deben ser leídos de forma conjunta. Por esto, una interpretación sist</w:t>
      </w:r>
      <w:r w:rsidR="00D26712">
        <w:rPr>
          <w:rFonts w:ascii="Verdana" w:hAnsi="Verdana"/>
          <w:sz w:val="20"/>
          <w:szCs w:val="20"/>
        </w:rPr>
        <w:t>emática</w:t>
      </w:r>
      <w:r>
        <w:rPr>
          <w:rFonts w:ascii="Verdana" w:hAnsi="Verdana"/>
          <w:sz w:val="20"/>
          <w:szCs w:val="20"/>
        </w:rPr>
        <w:t xml:space="preserve"> que solo utilice a otros artículos de la Convención no puede ser considerada valida. </w:t>
      </w:r>
      <w:r w:rsidR="00506F75">
        <w:rPr>
          <w:rFonts w:ascii="Verdana" w:hAnsi="Verdana"/>
          <w:sz w:val="20"/>
          <w:szCs w:val="20"/>
        </w:rPr>
        <w:t xml:space="preserve">Por otra parte, algunos autores manifiestan que de una interpretación sistemática con base en el artículo 4 del Protocolo </w:t>
      </w:r>
      <w:r w:rsidR="00AD1307">
        <w:rPr>
          <w:rFonts w:ascii="Verdana" w:hAnsi="Verdana"/>
          <w:sz w:val="20"/>
          <w:szCs w:val="20"/>
        </w:rPr>
        <w:t>se podría llegar a concluir la inaplicación del artículo 19.6 del Protocolo. Al respecto, el mencionado artículo indica que:</w:t>
      </w:r>
    </w:p>
    <w:p w:rsidR="00AD1307" w:rsidRPr="006122BB" w:rsidRDefault="00AD1307" w:rsidP="00ED130A">
      <w:pPr>
        <w:pStyle w:val="ListParagraph"/>
        <w:tabs>
          <w:tab w:val="left" w:pos="426"/>
          <w:tab w:val="left" w:pos="709"/>
        </w:tabs>
        <w:spacing w:after="0" w:line="240" w:lineRule="auto"/>
        <w:ind w:left="0"/>
        <w:jc w:val="both"/>
        <w:rPr>
          <w:rFonts w:ascii="Verdana" w:hAnsi="Verdana"/>
          <w:sz w:val="20"/>
          <w:szCs w:val="20"/>
        </w:rPr>
      </w:pPr>
    </w:p>
    <w:p w:rsidR="00A86FD6" w:rsidRPr="00AD1307" w:rsidRDefault="00A86FD6" w:rsidP="00ED130A">
      <w:pPr>
        <w:shd w:val="clear" w:color="auto" w:fill="FFFFFF"/>
        <w:tabs>
          <w:tab w:val="left" w:pos="709"/>
        </w:tabs>
        <w:spacing w:after="0" w:line="240" w:lineRule="auto"/>
        <w:ind w:left="426" w:right="333"/>
        <w:jc w:val="center"/>
        <w:rPr>
          <w:rFonts w:ascii="Verdana" w:eastAsia="Times New Roman" w:hAnsi="Verdana"/>
          <w:color w:val="000000"/>
          <w:sz w:val="16"/>
          <w:szCs w:val="16"/>
          <w:lang w:val="es-CR" w:eastAsia="es-CR"/>
        </w:rPr>
      </w:pPr>
      <w:r w:rsidRPr="00AD1307">
        <w:rPr>
          <w:rFonts w:ascii="Verdana" w:eastAsia="Times New Roman" w:hAnsi="Verdana" w:cs="Tahoma"/>
          <w:b/>
          <w:bCs/>
          <w:color w:val="000000"/>
          <w:sz w:val="16"/>
          <w:szCs w:val="16"/>
          <w:lang w:val="es-CR" w:eastAsia="es-CR"/>
        </w:rPr>
        <w:t>Artículo 4</w:t>
      </w:r>
    </w:p>
    <w:p w:rsidR="00A86FD6" w:rsidRDefault="00A86FD6" w:rsidP="00ED130A">
      <w:pPr>
        <w:shd w:val="clear" w:color="auto" w:fill="FFFFFF"/>
        <w:tabs>
          <w:tab w:val="left" w:pos="709"/>
        </w:tabs>
        <w:spacing w:after="0" w:line="240" w:lineRule="auto"/>
        <w:ind w:left="426" w:right="333"/>
        <w:jc w:val="center"/>
        <w:rPr>
          <w:rFonts w:ascii="Verdana" w:eastAsia="Times New Roman" w:hAnsi="Verdana" w:cs="Tahoma"/>
          <w:b/>
          <w:bCs/>
          <w:color w:val="000000"/>
          <w:sz w:val="16"/>
          <w:szCs w:val="16"/>
          <w:lang w:val="es-CR" w:eastAsia="es-CR"/>
        </w:rPr>
      </w:pPr>
      <w:r w:rsidRPr="00AD1307">
        <w:rPr>
          <w:rFonts w:ascii="Verdana" w:eastAsia="Times New Roman" w:hAnsi="Verdana" w:cs="Tahoma"/>
          <w:b/>
          <w:bCs/>
          <w:color w:val="000000"/>
          <w:sz w:val="16"/>
          <w:szCs w:val="16"/>
          <w:lang w:val="es-CR" w:eastAsia="es-CR"/>
        </w:rPr>
        <w:t>No Admisión de Restricciones</w:t>
      </w:r>
    </w:p>
    <w:p w:rsidR="00630AE4" w:rsidRPr="00AD1307" w:rsidRDefault="00630AE4" w:rsidP="00ED130A">
      <w:pPr>
        <w:shd w:val="clear" w:color="auto" w:fill="FFFFFF"/>
        <w:tabs>
          <w:tab w:val="left" w:pos="709"/>
        </w:tabs>
        <w:spacing w:after="0" w:line="240" w:lineRule="auto"/>
        <w:ind w:left="426" w:right="333"/>
        <w:jc w:val="center"/>
        <w:rPr>
          <w:rFonts w:ascii="Verdana" w:eastAsia="Times New Roman" w:hAnsi="Verdana"/>
          <w:color w:val="000000"/>
          <w:sz w:val="16"/>
          <w:szCs w:val="16"/>
          <w:lang w:val="es-CR" w:eastAsia="es-CR"/>
        </w:rPr>
      </w:pPr>
    </w:p>
    <w:p w:rsidR="00A86FD6" w:rsidRDefault="00A86FD6" w:rsidP="00ED130A">
      <w:pPr>
        <w:shd w:val="clear" w:color="auto" w:fill="FFFFFF"/>
        <w:tabs>
          <w:tab w:val="left" w:pos="709"/>
        </w:tabs>
        <w:spacing w:after="0" w:line="240" w:lineRule="auto"/>
        <w:ind w:left="426" w:right="333"/>
        <w:jc w:val="both"/>
        <w:rPr>
          <w:rFonts w:ascii="Verdana" w:eastAsia="Times New Roman" w:hAnsi="Verdana"/>
          <w:color w:val="000000"/>
          <w:sz w:val="16"/>
          <w:szCs w:val="16"/>
          <w:lang w:val="es-CR" w:eastAsia="es-CR"/>
        </w:rPr>
      </w:pPr>
      <w:r w:rsidRPr="00AD1307">
        <w:rPr>
          <w:rFonts w:ascii="Verdana" w:eastAsia="Times New Roman" w:hAnsi="Verdana" w:cs="Tahoma"/>
          <w:color w:val="000000"/>
          <w:sz w:val="16"/>
          <w:szCs w:val="16"/>
          <w:lang w:val="es-CR" w:eastAsia="es-CR"/>
        </w:rPr>
        <w:t>No podrá restringirse o menoscabarse ninguno de los derechos reconocidos o vigentes en un </w:t>
      </w:r>
      <w:r w:rsidRPr="00AD1307">
        <w:rPr>
          <w:rFonts w:ascii="Verdana" w:eastAsia="Times New Roman" w:hAnsi="Verdana" w:cs="Tahoma"/>
          <w:color w:val="000000"/>
          <w:sz w:val="16"/>
          <w:szCs w:val="16"/>
          <w:lang w:val="es-CR" w:eastAsia="es-CR"/>
        </w:rPr>
        <w:br/>
        <w:t>Estado en virtud de su legislación interna o de convenciones internacionales, a pretexto de que el </w:t>
      </w:r>
      <w:r w:rsidRPr="00AD1307">
        <w:rPr>
          <w:rFonts w:ascii="Verdana" w:eastAsia="Times New Roman" w:hAnsi="Verdana" w:cs="Tahoma"/>
          <w:color w:val="000000"/>
          <w:sz w:val="16"/>
          <w:szCs w:val="16"/>
          <w:lang w:val="es-CR" w:eastAsia="es-CR"/>
        </w:rPr>
        <w:br/>
        <w:t>presente Protocolo no los reconoce o los reconoce en menor grado.</w:t>
      </w:r>
    </w:p>
    <w:p w:rsidR="00AD1307" w:rsidRPr="00AD1307" w:rsidRDefault="00AD1307" w:rsidP="00ED130A">
      <w:pPr>
        <w:shd w:val="clear" w:color="auto" w:fill="FFFFFF"/>
        <w:tabs>
          <w:tab w:val="left" w:pos="709"/>
        </w:tabs>
        <w:spacing w:after="0" w:line="240" w:lineRule="auto"/>
        <w:ind w:left="426" w:right="333"/>
        <w:jc w:val="both"/>
        <w:rPr>
          <w:rFonts w:ascii="Verdana" w:eastAsia="Times New Roman" w:hAnsi="Verdana"/>
          <w:color w:val="000000"/>
          <w:sz w:val="16"/>
          <w:szCs w:val="16"/>
          <w:lang w:val="es-CR" w:eastAsia="es-CR"/>
        </w:rPr>
      </w:pPr>
    </w:p>
    <w:p w:rsidR="00307791" w:rsidRPr="00307791" w:rsidRDefault="00433A20" w:rsidP="00ED130A">
      <w:pPr>
        <w:pStyle w:val="ListParagraph"/>
        <w:numPr>
          <w:ilvl w:val="0"/>
          <w:numId w:val="1"/>
        </w:numPr>
        <w:tabs>
          <w:tab w:val="left" w:pos="426"/>
          <w:tab w:val="left" w:pos="709"/>
        </w:tabs>
        <w:spacing w:after="0" w:line="240" w:lineRule="auto"/>
        <w:ind w:left="0" w:firstLine="0"/>
        <w:jc w:val="both"/>
        <w:rPr>
          <w:rFonts w:ascii="Verdana" w:hAnsi="Verdana"/>
          <w:sz w:val="20"/>
          <w:szCs w:val="20"/>
        </w:rPr>
      </w:pPr>
      <w:r>
        <w:rPr>
          <w:rFonts w:ascii="Verdana" w:hAnsi="Verdana"/>
          <w:sz w:val="20"/>
          <w:szCs w:val="20"/>
          <w:lang w:val="es-CR"/>
        </w:rPr>
        <w:t>Al respecto, considero que esta norma sería aplicable si</w:t>
      </w:r>
      <w:r>
        <w:rPr>
          <w:rFonts w:ascii="Verdana" w:hAnsi="Verdana"/>
          <w:sz w:val="20"/>
          <w:szCs w:val="20"/>
        </w:rPr>
        <w:t xml:space="preserve"> en </w:t>
      </w:r>
      <w:r>
        <w:rPr>
          <w:rFonts w:ascii="Verdana" w:hAnsi="Verdana"/>
          <w:sz w:val="20"/>
          <w:szCs w:val="20"/>
          <w:lang w:val="es-CR"/>
        </w:rPr>
        <w:t xml:space="preserve">el artículo </w:t>
      </w:r>
      <w:r w:rsidRPr="00433A20">
        <w:rPr>
          <w:rFonts w:ascii="Verdana" w:hAnsi="Verdana"/>
          <w:sz w:val="20"/>
          <w:szCs w:val="20"/>
          <w:lang w:val="es-CR"/>
        </w:rPr>
        <w:t xml:space="preserve">26 </w:t>
      </w:r>
      <w:r>
        <w:rPr>
          <w:rFonts w:ascii="Verdana" w:hAnsi="Verdana"/>
          <w:sz w:val="20"/>
          <w:szCs w:val="20"/>
          <w:lang w:val="es-CR"/>
        </w:rPr>
        <w:t xml:space="preserve">de la Convención se </w:t>
      </w:r>
      <w:r w:rsidRPr="00433A20">
        <w:rPr>
          <w:rFonts w:ascii="Verdana" w:hAnsi="Verdana"/>
          <w:sz w:val="20"/>
          <w:szCs w:val="20"/>
          <w:lang w:val="es-CR"/>
        </w:rPr>
        <w:t>hubiese est</w:t>
      </w:r>
      <w:r w:rsidR="00767B7F">
        <w:rPr>
          <w:rFonts w:ascii="Verdana" w:hAnsi="Verdana"/>
          <w:sz w:val="20"/>
          <w:szCs w:val="20"/>
          <w:lang w:val="es-CR"/>
        </w:rPr>
        <w:t>ipulado</w:t>
      </w:r>
      <w:r w:rsidRPr="00433A20">
        <w:rPr>
          <w:rFonts w:ascii="Verdana" w:hAnsi="Verdana"/>
          <w:sz w:val="20"/>
          <w:szCs w:val="20"/>
          <w:lang w:val="es-CR"/>
        </w:rPr>
        <w:t xml:space="preserve"> un catálogo donde estuvieran </w:t>
      </w:r>
      <w:r>
        <w:rPr>
          <w:rFonts w:ascii="Verdana" w:hAnsi="Verdana"/>
          <w:sz w:val="20"/>
          <w:szCs w:val="20"/>
          <w:lang w:val="es-CR"/>
        </w:rPr>
        <w:t>los DESC claramente establecidos, pero como ya se expresó</w:t>
      </w:r>
      <w:r w:rsidR="00D26712">
        <w:rPr>
          <w:rFonts w:ascii="Verdana" w:hAnsi="Verdana"/>
          <w:sz w:val="20"/>
          <w:szCs w:val="20"/>
          <w:lang w:val="es-CR"/>
        </w:rPr>
        <w:t>,</w:t>
      </w:r>
      <w:r>
        <w:rPr>
          <w:rFonts w:ascii="Verdana" w:hAnsi="Verdana"/>
          <w:sz w:val="20"/>
          <w:szCs w:val="20"/>
          <w:lang w:val="es-CR"/>
        </w:rPr>
        <w:t xml:space="preserve"> esto no es así, por lo que</w:t>
      </w:r>
      <w:r w:rsidRPr="00433A20">
        <w:rPr>
          <w:rFonts w:ascii="Verdana" w:hAnsi="Verdana"/>
          <w:sz w:val="20"/>
          <w:szCs w:val="20"/>
          <w:lang w:val="es-CR"/>
        </w:rPr>
        <w:t xml:space="preserve"> </w:t>
      </w:r>
      <w:r>
        <w:rPr>
          <w:rFonts w:ascii="Verdana" w:hAnsi="Verdana"/>
          <w:sz w:val="20"/>
          <w:szCs w:val="20"/>
          <w:lang w:val="es-CR"/>
        </w:rPr>
        <w:t xml:space="preserve">no se puede argumentar que son dos normas que realmente </w:t>
      </w:r>
      <w:r w:rsidR="00630AE4">
        <w:rPr>
          <w:rFonts w:ascii="Verdana" w:hAnsi="Verdana"/>
          <w:sz w:val="20"/>
          <w:szCs w:val="20"/>
          <w:lang w:val="es-CR"/>
        </w:rPr>
        <w:t xml:space="preserve">estén </w:t>
      </w:r>
      <w:r>
        <w:rPr>
          <w:rFonts w:ascii="Verdana" w:hAnsi="Verdana"/>
          <w:sz w:val="20"/>
          <w:szCs w:val="20"/>
          <w:lang w:val="es-CR"/>
        </w:rPr>
        <w:t xml:space="preserve">compitiendo. Además, no </w:t>
      </w:r>
      <w:r w:rsidRPr="00AD1307">
        <w:rPr>
          <w:rFonts w:ascii="Verdana" w:hAnsi="Verdana"/>
          <w:sz w:val="20"/>
          <w:szCs w:val="20"/>
          <w:lang w:val="es-CR"/>
        </w:rPr>
        <w:t>sería lógico pensar que este artículo cancela o deroga la limitación de</w:t>
      </w:r>
      <w:r>
        <w:rPr>
          <w:rFonts w:ascii="Verdana" w:hAnsi="Verdana"/>
          <w:sz w:val="20"/>
          <w:szCs w:val="20"/>
          <w:lang w:val="es-CR"/>
        </w:rPr>
        <w:t xml:space="preserve"> competencia del artículo 19.6, por cuanto éste</w:t>
      </w:r>
      <w:r>
        <w:rPr>
          <w:rFonts w:ascii="Verdana" w:hAnsi="Verdana"/>
          <w:sz w:val="20"/>
          <w:szCs w:val="20"/>
        </w:rPr>
        <w:t xml:space="preserve"> n</w:t>
      </w:r>
      <w:r w:rsidR="00AD1307" w:rsidRPr="00433A20">
        <w:rPr>
          <w:rFonts w:ascii="Verdana" w:hAnsi="Verdana"/>
          <w:sz w:val="20"/>
          <w:szCs w:val="20"/>
          <w:lang w:val="es-CR"/>
        </w:rPr>
        <w:t xml:space="preserve">o </w:t>
      </w:r>
      <w:r w:rsidR="00BF43BC">
        <w:rPr>
          <w:rFonts w:ascii="Verdana" w:hAnsi="Verdana"/>
          <w:sz w:val="20"/>
          <w:szCs w:val="20"/>
          <w:lang w:val="es-CR"/>
        </w:rPr>
        <w:t>restringe</w:t>
      </w:r>
      <w:r w:rsidR="00AD1307" w:rsidRPr="00433A20">
        <w:rPr>
          <w:rFonts w:ascii="Verdana" w:hAnsi="Verdana"/>
          <w:sz w:val="20"/>
          <w:szCs w:val="20"/>
          <w:lang w:val="es-CR"/>
        </w:rPr>
        <w:t xml:space="preserve"> </w:t>
      </w:r>
      <w:r>
        <w:rPr>
          <w:rFonts w:ascii="Verdana" w:hAnsi="Verdana"/>
          <w:sz w:val="20"/>
          <w:szCs w:val="20"/>
          <w:lang w:val="es-CR"/>
        </w:rPr>
        <w:t xml:space="preserve">derechos, sino competencias de la Comisión y de la Corte. Confundir </w:t>
      </w:r>
      <w:r w:rsidR="00BF43BC">
        <w:rPr>
          <w:rFonts w:ascii="Verdana" w:hAnsi="Verdana"/>
          <w:sz w:val="20"/>
          <w:szCs w:val="20"/>
          <w:lang w:val="es-CR"/>
        </w:rPr>
        <w:t>la</w:t>
      </w:r>
      <w:r>
        <w:rPr>
          <w:rFonts w:ascii="Verdana" w:hAnsi="Verdana"/>
          <w:sz w:val="20"/>
          <w:szCs w:val="20"/>
          <w:lang w:val="es-CR"/>
        </w:rPr>
        <w:t xml:space="preserve"> restricción </w:t>
      </w:r>
      <w:r w:rsidR="00630AE4">
        <w:rPr>
          <w:rFonts w:ascii="Verdana" w:hAnsi="Verdana"/>
          <w:sz w:val="20"/>
          <w:szCs w:val="20"/>
          <w:lang w:val="es-CR"/>
        </w:rPr>
        <w:t>de</w:t>
      </w:r>
      <w:r>
        <w:rPr>
          <w:rFonts w:ascii="Verdana" w:hAnsi="Verdana"/>
          <w:sz w:val="20"/>
          <w:szCs w:val="20"/>
          <w:lang w:val="es-CR"/>
        </w:rPr>
        <w:t xml:space="preserve"> un derecho con las limitaciones de competencias podría conllevar</w:t>
      </w:r>
      <w:r w:rsidR="00AD1307" w:rsidRPr="00433A20">
        <w:rPr>
          <w:rFonts w:ascii="Verdana" w:hAnsi="Verdana"/>
          <w:sz w:val="20"/>
          <w:szCs w:val="20"/>
          <w:lang w:val="es-CR"/>
        </w:rPr>
        <w:t xml:space="preserve"> </w:t>
      </w:r>
      <w:r w:rsidR="00767B7F">
        <w:rPr>
          <w:rFonts w:ascii="Verdana" w:hAnsi="Verdana"/>
          <w:sz w:val="20"/>
          <w:szCs w:val="20"/>
          <w:lang w:val="es-CR"/>
        </w:rPr>
        <w:t>a</w:t>
      </w:r>
      <w:r w:rsidR="00AD1307" w:rsidRPr="00433A20">
        <w:rPr>
          <w:rFonts w:ascii="Verdana" w:hAnsi="Verdana"/>
          <w:sz w:val="20"/>
          <w:szCs w:val="20"/>
          <w:lang w:val="es-CR"/>
        </w:rPr>
        <w:t xml:space="preserve">l resultado absurdo de abrir completamente la </w:t>
      </w:r>
      <w:r w:rsidR="00BF43BC">
        <w:rPr>
          <w:rFonts w:ascii="Verdana" w:hAnsi="Verdana"/>
          <w:sz w:val="20"/>
          <w:szCs w:val="20"/>
          <w:lang w:val="es-CR"/>
        </w:rPr>
        <w:t>competencia de la Corte</w:t>
      </w:r>
      <w:r w:rsidR="00AD1307" w:rsidRPr="00433A20">
        <w:rPr>
          <w:rFonts w:ascii="Verdana" w:hAnsi="Verdana"/>
          <w:sz w:val="20"/>
          <w:szCs w:val="20"/>
          <w:lang w:val="es-CR"/>
        </w:rPr>
        <w:t>, incluso en contraví</w:t>
      </w:r>
      <w:r w:rsidR="00BF43BC">
        <w:rPr>
          <w:rFonts w:ascii="Verdana" w:hAnsi="Verdana"/>
          <w:sz w:val="20"/>
          <w:szCs w:val="20"/>
          <w:lang w:val="es-CR"/>
        </w:rPr>
        <w:t>a de la voluntad de los Estados</w:t>
      </w:r>
      <w:r w:rsidR="00AD1307" w:rsidRPr="00433A20">
        <w:rPr>
          <w:rFonts w:ascii="Verdana" w:hAnsi="Verdana"/>
          <w:sz w:val="20"/>
          <w:szCs w:val="20"/>
          <w:lang w:val="es-CR"/>
        </w:rPr>
        <w:t xml:space="preserve">. </w:t>
      </w:r>
    </w:p>
    <w:p w:rsidR="00307791" w:rsidRDefault="00307791" w:rsidP="00ED130A">
      <w:pPr>
        <w:pStyle w:val="ListParagraph"/>
        <w:tabs>
          <w:tab w:val="left" w:pos="426"/>
          <w:tab w:val="left" w:pos="709"/>
        </w:tabs>
        <w:spacing w:after="0" w:line="240" w:lineRule="auto"/>
        <w:ind w:left="0"/>
        <w:jc w:val="both"/>
        <w:rPr>
          <w:rFonts w:ascii="Verdana" w:hAnsi="Verdana"/>
          <w:sz w:val="20"/>
          <w:szCs w:val="20"/>
        </w:rPr>
      </w:pPr>
    </w:p>
    <w:p w:rsidR="00D12C9A" w:rsidRDefault="00D12C9A" w:rsidP="00ED130A">
      <w:pPr>
        <w:pStyle w:val="ListParagraph"/>
        <w:numPr>
          <w:ilvl w:val="0"/>
          <w:numId w:val="1"/>
        </w:numPr>
        <w:tabs>
          <w:tab w:val="left" w:pos="426"/>
          <w:tab w:val="left" w:pos="709"/>
        </w:tabs>
        <w:spacing w:after="0" w:line="240" w:lineRule="auto"/>
        <w:ind w:left="0" w:firstLine="0"/>
        <w:jc w:val="both"/>
        <w:rPr>
          <w:rFonts w:ascii="Verdana" w:hAnsi="Verdana"/>
          <w:sz w:val="20"/>
          <w:szCs w:val="20"/>
        </w:rPr>
      </w:pPr>
      <w:r w:rsidRPr="00307791">
        <w:rPr>
          <w:rFonts w:ascii="Verdana" w:hAnsi="Verdana"/>
          <w:sz w:val="20"/>
          <w:szCs w:val="20"/>
        </w:rPr>
        <w:t>Con relación a la interpretación teleológica,</w:t>
      </w:r>
      <w:r w:rsidR="00943574" w:rsidRPr="00307791">
        <w:rPr>
          <w:rFonts w:ascii="Verdana" w:hAnsi="Verdana"/>
          <w:sz w:val="20"/>
          <w:szCs w:val="20"/>
        </w:rPr>
        <w:t xml:space="preserve"> algunos han afirmado</w:t>
      </w:r>
      <w:r w:rsidRPr="00307791">
        <w:rPr>
          <w:rFonts w:ascii="Verdana" w:hAnsi="Verdana"/>
          <w:sz w:val="20"/>
          <w:szCs w:val="20"/>
        </w:rPr>
        <w:t xml:space="preserve"> </w:t>
      </w:r>
      <w:r w:rsidR="00307791" w:rsidRPr="00307791">
        <w:rPr>
          <w:rFonts w:ascii="Verdana" w:hAnsi="Verdana"/>
          <w:sz w:val="20"/>
          <w:szCs w:val="20"/>
        </w:rPr>
        <w:t xml:space="preserve">que este método es favorable a la </w:t>
      </w:r>
      <w:proofErr w:type="spellStart"/>
      <w:r w:rsidR="00307791" w:rsidRPr="00307791">
        <w:rPr>
          <w:rFonts w:ascii="Verdana" w:hAnsi="Verdana"/>
          <w:sz w:val="20"/>
          <w:szCs w:val="20"/>
        </w:rPr>
        <w:t>justiciabilidad</w:t>
      </w:r>
      <w:proofErr w:type="spellEnd"/>
      <w:r w:rsidR="00307791" w:rsidRPr="00307791">
        <w:rPr>
          <w:rFonts w:ascii="Verdana" w:hAnsi="Verdana"/>
          <w:sz w:val="20"/>
          <w:szCs w:val="20"/>
        </w:rPr>
        <w:t xml:space="preserve"> directa de los DESC por dos vías, a saber: i) el fin último del sistema interamericano es la protección de los derechos humanos</w:t>
      </w:r>
      <w:r w:rsidR="003411A0">
        <w:rPr>
          <w:rFonts w:ascii="Verdana" w:hAnsi="Verdana"/>
          <w:sz w:val="20"/>
          <w:szCs w:val="20"/>
        </w:rPr>
        <w:t xml:space="preserve"> y esto implica intentar hacer exigibles el mayor número de derechos posibles</w:t>
      </w:r>
      <w:r w:rsidR="00307791" w:rsidRPr="00307791">
        <w:rPr>
          <w:rFonts w:ascii="Verdana" w:hAnsi="Verdana"/>
          <w:sz w:val="20"/>
          <w:szCs w:val="20"/>
        </w:rPr>
        <w:t>, y ii) cuando se creó el artículo 26 de la Convención la inte</w:t>
      </w:r>
      <w:r w:rsidR="004332C7">
        <w:rPr>
          <w:rFonts w:ascii="Verdana" w:hAnsi="Verdana"/>
          <w:sz w:val="20"/>
          <w:szCs w:val="20"/>
        </w:rPr>
        <w:t>nc</w:t>
      </w:r>
      <w:r w:rsidR="00307791" w:rsidRPr="00307791">
        <w:rPr>
          <w:rFonts w:ascii="Verdana" w:hAnsi="Verdana"/>
          <w:sz w:val="20"/>
          <w:szCs w:val="20"/>
        </w:rPr>
        <w:t xml:space="preserve">ión de los Estados no era la de excluir la posibilidad de la exigibilidad directa de los DESC. Sobre el primer punto, cabe señalar que precisamente el Protocolo de San Salvador tuvo como finalidad incorporar en el sistema interamericano de manera </w:t>
      </w:r>
      <w:r w:rsidR="00767B7F">
        <w:rPr>
          <w:rFonts w:ascii="Verdana" w:hAnsi="Verdana"/>
          <w:sz w:val="20"/>
          <w:szCs w:val="20"/>
        </w:rPr>
        <w:t xml:space="preserve">más exacta </w:t>
      </w:r>
      <w:r w:rsidR="00307791" w:rsidRPr="00307791">
        <w:rPr>
          <w:rFonts w:ascii="Verdana" w:hAnsi="Verdana"/>
          <w:sz w:val="20"/>
          <w:szCs w:val="20"/>
        </w:rPr>
        <w:t>los DESC</w:t>
      </w:r>
      <w:r w:rsidR="003411A0">
        <w:rPr>
          <w:rFonts w:ascii="Verdana" w:hAnsi="Verdana"/>
          <w:sz w:val="20"/>
          <w:szCs w:val="20"/>
        </w:rPr>
        <w:t xml:space="preserve"> y ampliar el ámbito de protección del sistema</w:t>
      </w:r>
      <w:r w:rsidR="00307791" w:rsidRPr="00307791">
        <w:rPr>
          <w:rFonts w:ascii="Verdana" w:hAnsi="Verdana"/>
          <w:sz w:val="20"/>
          <w:szCs w:val="20"/>
        </w:rPr>
        <w:t>, por lo que no</w:t>
      </w:r>
      <w:r w:rsidR="00475430">
        <w:rPr>
          <w:rFonts w:ascii="Verdana" w:hAnsi="Verdana"/>
          <w:sz w:val="20"/>
          <w:szCs w:val="20"/>
        </w:rPr>
        <w:t xml:space="preserve"> es</w:t>
      </w:r>
      <w:r w:rsidR="00307791" w:rsidRPr="00307791">
        <w:rPr>
          <w:rFonts w:ascii="Verdana" w:hAnsi="Verdana"/>
          <w:sz w:val="20"/>
          <w:szCs w:val="20"/>
        </w:rPr>
        <w:t xml:space="preserve"> justo posicionar al Protocolo como un tratado que atentaría contra el fin del sistema interamericano por simplemente establecer reglas de competencia. Además, sobre este punto debe recalcarse que “</w:t>
      </w:r>
      <w:r w:rsidR="00307791" w:rsidRPr="00307791">
        <w:rPr>
          <w:rFonts w:ascii="Verdana" w:hAnsi="Verdana"/>
          <w:sz w:val="20"/>
          <w:szCs w:val="20"/>
          <w:lang w:val="es-CO"/>
        </w:rPr>
        <w:t xml:space="preserve">[s]i el sentido corriente de una disposición es claro en no otorgar jurisdicción a los órganos del </w:t>
      </w:r>
      <w:r w:rsidR="00630AE4">
        <w:rPr>
          <w:rFonts w:ascii="Verdana" w:hAnsi="Verdana"/>
          <w:sz w:val="20"/>
          <w:szCs w:val="20"/>
          <w:lang w:val="es-CO"/>
        </w:rPr>
        <w:t>s</w:t>
      </w:r>
      <w:r w:rsidR="00307791" w:rsidRPr="00307791">
        <w:rPr>
          <w:rFonts w:ascii="Verdana" w:hAnsi="Verdana"/>
          <w:sz w:val="20"/>
          <w:szCs w:val="20"/>
          <w:lang w:val="es-CO"/>
        </w:rPr>
        <w:t xml:space="preserve">istema </w:t>
      </w:r>
      <w:r w:rsidR="00630AE4">
        <w:rPr>
          <w:rFonts w:ascii="Verdana" w:hAnsi="Verdana"/>
          <w:sz w:val="20"/>
          <w:szCs w:val="20"/>
          <w:lang w:val="es-CO"/>
        </w:rPr>
        <w:t>i</w:t>
      </w:r>
      <w:r w:rsidR="00307791" w:rsidRPr="00307791">
        <w:rPr>
          <w:rFonts w:ascii="Verdana" w:hAnsi="Verdana"/>
          <w:sz w:val="20"/>
          <w:szCs w:val="20"/>
          <w:lang w:val="es-CO"/>
        </w:rPr>
        <w:t>nteramericano, el objeto y fin de la Convención no se pueden utilizar para derribar ese resultado</w:t>
      </w:r>
      <w:r w:rsidR="00307791" w:rsidRPr="00307791">
        <w:rPr>
          <w:rFonts w:ascii="Verdana" w:hAnsi="Verdana"/>
          <w:sz w:val="20"/>
          <w:szCs w:val="20"/>
        </w:rPr>
        <w:t>”</w:t>
      </w:r>
      <w:r w:rsidR="00307791" w:rsidRPr="00307791">
        <w:rPr>
          <w:rStyle w:val="FootnoteReference"/>
          <w:rFonts w:ascii="Verdana" w:hAnsi="Verdana"/>
          <w:sz w:val="20"/>
          <w:szCs w:val="20"/>
        </w:rPr>
        <w:footnoteReference w:id="21"/>
      </w:r>
      <w:r w:rsidR="00307791" w:rsidRPr="00307791">
        <w:rPr>
          <w:rFonts w:ascii="Verdana" w:hAnsi="Verdana"/>
          <w:sz w:val="20"/>
          <w:szCs w:val="20"/>
        </w:rPr>
        <w:t>.</w:t>
      </w:r>
    </w:p>
    <w:p w:rsidR="003411A0" w:rsidRPr="003411A0" w:rsidRDefault="003411A0" w:rsidP="00ED130A">
      <w:pPr>
        <w:pStyle w:val="ListParagraph"/>
        <w:tabs>
          <w:tab w:val="left" w:pos="709"/>
        </w:tabs>
        <w:spacing w:after="0" w:line="240" w:lineRule="auto"/>
        <w:rPr>
          <w:rFonts w:ascii="Verdana" w:hAnsi="Verdana"/>
          <w:sz w:val="20"/>
          <w:szCs w:val="20"/>
        </w:rPr>
      </w:pPr>
    </w:p>
    <w:p w:rsidR="00030861" w:rsidRPr="00030861" w:rsidRDefault="00892B28" w:rsidP="00ED130A">
      <w:pPr>
        <w:pStyle w:val="ListParagraph"/>
        <w:numPr>
          <w:ilvl w:val="0"/>
          <w:numId w:val="1"/>
        </w:numPr>
        <w:tabs>
          <w:tab w:val="left" w:pos="426"/>
          <w:tab w:val="left" w:pos="709"/>
        </w:tabs>
        <w:spacing w:after="0" w:line="240" w:lineRule="auto"/>
        <w:ind w:left="0" w:firstLine="0"/>
        <w:jc w:val="both"/>
        <w:rPr>
          <w:rFonts w:ascii="Verdana" w:hAnsi="Verdana"/>
          <w:sz w:val="20"/>
          <w:szCs w:val="20"/>
        </w:rPr>
      </w:pPr>
      <w:r>
        <w:rPr>
          <w:rFonts w:ascii="Verdana" w:hAnsi="Verdana"/>
          <w:sz w:val="20"/>
          <w:szCs w:val="20"/>
        </w:rPr>
        <w:t>Con relación</w:t>
      </w:r>
      <w:r w:rsidR="003411A0">
        <w:rPr>
          <w:rFonts w:ascii="Verdana" w:hAnsi="Verdana"/>
          <w:sz w:val="20"/>
          <w:szCs w:val="20"/>
        </w:rPr>
        <w:t xml:space="preserve"> al segundo argumento, </w:t>
      </w:r>
      <w:r>
        <w:rPr>
          <w:rFonts w:ascii="Verdana" w:hAnsi="Verdana"/>
          <w:sz w:val="20"/>
          <w:szCs w:val="20"/>
        </w:rPr>
        <w:t>s</w:t>
      </w:r>
      <w:r w:rsidR="003411A0" w:rsidRPr="00892B28">
        <w:rPr>
          <w:rFonts w:ascii="Verdana" w:hAnsi="Verdana"/>
          <w:sz w:val="20"/>
          <w:szCs w:val="20"/>
          <w:lang w:val="es-CR"/>
        </w:rPr>
        <w:t xml:space="preserve">i bien los trabajos preparatorios son medios de interpretación complementarios, la Corte Interamericana en algunos casos los ha usado para intentar </w:t>
      </w:r>
      <w:r>
        <w:rPr>
          <w:rFonts w:ascii="Verdana" w:hAnsi="Verdana"/>
          <w:sz w:val="20"/>
          <w:szCs w:val="20"/>
          <w:lang w:val="es-CR"/>
        </w:rPr>
        <w:t>vislumbrar la finalidad o propósito que perseguían los Estados al</w:t>
      </w:r>
      <w:r w:rsidR="001815A0">
        <w:rPr>
          <w:rFonts w:ascii="Verdana" w:hAnsi="Verdana"/>
          <w:sz w:val="20"/>
          <w:szCs w:val="20"/>
          <w:lang w:val="es-CR"/>
        </w:rPr>
        <w:t xml:space="preserve"> momento de crear el tratado. En efecto, en la </w:t>
      </w:r>
      <w:r w:rsidR="00630AE4">
        <w:rPr>
          <w:rFonts w:ascii="Verdana" w:hAnsi="Verdana"/>
          <w:sz w:val="20"/>
          <w:szCs w:val="20"/>
          <w:lang w:val="es-CR"/>
        </w:rPr>
        <w:t>S</w:t>
      </w:r>
      <w:r w:rsidR="001815A0">
        <w:rPr>
          <w:rFonts w:ascii="Verdana" w:hAnsi="Verdana"/>
          <w:sz w:val="20"/>
          <w:szCs w:val="20"/>
          <w:lang w:val="es-CR"/>
        </w:rPr>
        <w:t>entencia</w:t>
      </w:r>
      <w:r w:rsidR="00630AE4">
        <w:rPr>
          <w:rFonts w:ascii="Verdana" w:hAnsi="Verdana"/>
          <w:sz w:val="20"/>
          <w:szCs w:val="20"/>
          <w:lang w:val="es-CR"/>
        </w:rPr>
        <w:t xml:space="preserve"> del </w:t>
      </w:r>
      <w:r w:rsidR="00630AE4">
        <w:rPr>
          <w:rFonts w:ascii="Verdana" w:hAnsi="Verdana"/>
          <w:i/>
          <w:sz w:val="20"/>
          <w:szCs w:val="20"/>
          <w:lang w:val="es-CR"/>
        </w:rPr>
        <w:t>Caso</w:t>
      </w:r>
      <w:r w:rsidR="001815A0">
        <w:rPr>
          <w:rFonts w:ascii="Verdana" w:hAnsi="Verdana"/>
          <w:sz w:val="20"/>
          <w:szCs w:val="20"/>
          <w:lang w:val="es-CR"/>
        </w:rPr>
        <w:t xml:space="preserve"> </w:t>
      </w:r>
      <w:r w:rsidR="001815A0">
        <w:rPr>
          <w:rFonts w:ascii="Verdana" w:hAnsi="Verdana"/>
          <w:i/>
          <w:sz w:val="20"/>
          <w:szCs w:val="20"/>
          <w:lang w:val="es-CR"/>
        </w:rPr>
        <w:t>Acevedo Buendía</w:t>
      </w:r>
      <w:r w:rsidR="00630AE4">
        <w:rPr>
          <w:rFonts w:ascii="Verdana" w:hAnsi="Verdana"/>
          <w:i/>
          <w:sz w:val="20"/>
          <w:szCs w:val="20"/>
          <w:lang w:val="es-CR"/>
        </w:rPr>
        <w:t xml:space="preserve"> y otros (“Cesantes y Jubilados de la Contraloría”) Vs. Perú</w:t>
      </w:r>
      <w:r w:rsidR="001815A0">
        <w:rPr>
          <w:rFonts w:ascii="Verdana" w:hAnsi="Verdana"/>
          <w:sz w:val="20"/>
          <w:szCs w:val="20"/>
          <w:lang w:val="es-CR"/>
        </w:rPr>
        <w:t xml:space="preserve"> se </w:t>
      </w:r>
      <w:r w:rsidR="00030861">
        <w:rPr>
          <w:rFonts w:ascii="Verdana" w:hAnsi="Verdana"/>
          <w:sz w:val="20"/>
          <w:szCs w:val="20"/>
          <w:lang w:val="es-CR"/>
        </w:rPr>
        <w:t xml:space="preserve">hizo referencia a los mismos con la intensión de mostrar que los Estados habrían podido estar de acuerdo con la </w:t>
      </w:r>
      <w:proofErr w:type="spellStart"/>
      <w:r w:rsidR="00030861">
        <w:rPr>
          <w:rFonts w:ascii="Verdana" w:hAnsi="Verdana"/>
          <w:sz w:val="20"/>
          <w:szCs w:val="20"/>
          <w:lang w:val="es-CR"/>
        </w:rPr>
        <w:t>justiciabilidad</w:t>
      </w:r>
      <w:proofErr w:type="spellEnd"/>
      <w:r w:rsidR="00030861">
        <w:rPr>
          <w:rFonts w:ascii="Verdana" w:hAnsi="Verdana"/>
          <w:sz w:val="20"/>
          <w:szCs w:val="20"/>
          <w:lang w:val="es-CR"/>
        </w:rPr>
        <w:t xml:space="preserve"> directa de los DESC cuando se discutió el artículo 26 de la Convención. Al respecto, cabe resaltar que:</w:t>
      </w:r>
    </w:p>
    <w:p w:rsidR="00030861" w:rsidRPr="00030861" w:rsidRDefault="00030861" w:rsidP="00ED130A">
      <w:pPr>
        <w:pStyle w:val="ListParagraph"/>
        <w:tabs>
          <w:tab w:val="left" w:pos="426"/>
          <w:tab w:val="left" w:pos="709"/>
        </w:tabs>
        <w:spacing w:after="0" w:line="240" w:lineRule="auto"/>
        <w:ind w:left="0"/>
        <w:jc w:val="both"/>
        <w:rPr>
          <w:rFonts w:ascii="Verdana" w:hAnsi="Verdana"/>
          <w:sz w:val="20"/>
          <w:szCs w:val="20"/>
        </w:rPr>
      </w:pPr>
    </w:p>
    <w:p w:rsidR="00307791" w:rsidRDefault="00307791" w:rsidP="00ED130A">
      <w:pPr>
        <w:tabs>
          <w:tab w:val="left" w:pos="709"/>
        </w:tabs>
        <w:spacing w:after="0" w:line="240" w:lineRule="auto"/>
        <w:ind w:left="426" w:right="283"/>
        <w:jc w:val="both"/>
        <w:rPr>
          <w:rFonts w:ascii="Verdana" w:hAnsi="Verdana"/>
          <w:sz w:val="16"/>
          <w:szCs w:val="16"/>
          <w:lang w:val="es-CO"/>
        </w:rPr>
      </w:pPr>
      <w:r w:rsidRPr="00030861">
        <w:rPr>
          <w:rFonts w:ascii="Verdana" w:hAnsi="Verdana"/>
          <w:sz w:val="16"/>
          <w:szCs w:val="16"/>
          <w:u w:val="single"/>
          <w:lang w:val="es-CO"/>
        </w:rPr>
        <w:t xml:space="preserve">El Tribunal solo presentó los puntos de vista de aquellos Estados que trataron de materializar el ejercicio de los DESC por medio de la actividad de la Corte. No se hizo mención de los países que se </w:t>
      </w:r>
      <w:r w:rsidRPr="00030861">
        <w:rPr>
          <w:rFonts w:ascii="Verdana" w:hAnsi="Verdana"/>
          <w:sz w:val="16"/>
          <w:szCs w:val="16"/>
          <w:u w:val="single"/>
          <w:lang w:val="es-CO"/>
        </w:rPr>
        <w:lastRenderedPageBreak/>
        <w:t>opusieron a la exigibilidad de los DESC</w:t>
      </w:r>
      <w:r w:rsidRPr="00030861">
        <w:rPr>
          <w:rFonts w:ascii="Verdana" w:hAnsi="Verdana"/>
          <w:sz w:val="16"/>
          <w:szCs w:val="16"/>
          <w:lang w:val="es-CO"/>
        </w:rPr>
        <w:t xml:space="preserve"> y, más importante, como </w:t>
      </w:r>
      <w:proofErr w:type="spellStart"/>
      <w:r w:rsidRPr="00030861">
        <w:rPr>
          <w:rFonts w:ascii="Verdana" w:hAnsi="Verdana"/>
          <w:sz w:val="16"/>
          <w:szCs w:val="16"/>
          <w:lang w:val="es-CO"/>
        </w:rPr>
        <w:t>Burgorgue</w:t>
      </w:r>
      <w:proofErr w:type="spellEnd"/>
      <w:r w:rsidRPr="00030861">
        <w:rPr>
          <w:rFonts w:ascii="Verdana" w:hAnsi="Verdana"/>
          <w:sz w:val="16"/>
          <w:szCs w:val="16"/>
          <w:lang w:val="es-CO"/>
        </w:rPr>
        <w:t>-Larsen recalca:</w:t>
      </w:r>
      <w:r w:rsidR="00030861" w:rsidRPr="00030861">
        <w:rPr>
          <w:rFonts w:ascii="Verdana" w:hAnsi="Verdana"/>
          <w:sz w:val="16"/>
          <w:szCs w:val="16"/>
          <w:lang w:val="es-CO"/>
        </w:rPr>
        <w:t xml:space="preserve"> </w:t>
      </w:r>
      <w:r w:rsidRPr="00030861">
        <w:rPr>
          <w:rFonts w:ascii="Verdana" w:hAnsi="Verdana"/>
          <w:sz w:val="16"/>
          <w:szCs w:val="16"/>
          <w:lang w:val="es-CO"/>
        </w:rPr>
        <w:t xml:space="preserve">nada se dijo sobre el proceso por el cual en última instancia se dio lugar a la elaboración de Artículo 26 como tal. Tampoco se dijo nada sobre el alcance que los diferentes Estados estaban dispuestos a otorgar a este artículo. ¿Significa esto que el artículo era el resultado de un compromiso, o esto representa aquellos Estados que estaban a favor de dar a los derechos económicos y sociales un lugar tan importante? Claramente, los silencios de la Corte fueron parte de su estrategia para llegar a su objetivo, pase lo que pase, es decir, confiriendo el alcance más amplio posible sobre el artículo 26. Sin embargo, dejando fuera a Brasil y Guatemala, </w:t>
      </w:r>
      <w:r w:rsidRPr="00030861">
        <w:rPr>
          <w:rFonts w:ascii="Verdana" w:hAnsi="Verdana"/>
          <w:sz w:val="16"/>
          <w:szCs w:val="16"/>
          <w:u w:val="single"/>
          <w:lang w:val="es-CO"/>
        </w:rPr>
        <w:t>los trabajos preparatorios muestran cuán reacios fueron la mayoría de los Estados para reconocer que lo que iba a convertirse en el artículo 26 debería ser procesable</w:t>
      </w:r>
      <w:r w:rsidR="00030861">
        <w:rPr>
          <w:rStyle w:val="FootnoteReference"/>
          <w:rFonts w:ascii="Verdana" w:hAnsi="Verdana"/>
          <w:sz w:val="16"/>
          <w:szCs w:val="16"/>
          <w:lang w:val="es-CO"/>
        </w:rPr>
        <w:footnoteReference w:id="22"/>
      </w:r>
      <w:r w:rsidRPr="00030861">
        <w:rPr>
          <w:rFonts w:ascii="Verdana" w:hAnsi="Verdana"/>
          <w:sz w:val="16"/>
          <w:szCs w:val="16"/>
          <w:lang w:val="es-CO"/>
        </w:rPr>
        <w:t>.</w:t>
      </w:r>
      <w:r w:rsidR="00030861">
        <w:rPr>
          <w:rFonts w:ascii="Verdana" w:hAnsi="Verdana"/>
          <w:sz w:val="16"/>
          <w:szCs w:val="16"/>
          <w:lang w:val="es-CO"/>
        </w:rPr>
        <w:t xml:space="preserve"> (Subrayado fuera del texto)</w:t>
      </w:r>
    </w:p>
    <w:p w:rsidR="00030861" w:rsidRPr="00030861" w:rsidRDefault="00030861" w:rsidP="00ED130A">
      <w:pPr>
        <w:tabs>
          <w:tab w:val="left" w:pos="709"/>
        </w:tabs>
        <w:spacing w:after="0" w:line="240" w:lineRule="auto"/>
        <w:ind w:left="426" w:right="283"/>
        <w:jc w:val="both"/>
        <w:rPr>
          <w:rFonts w:ascii="Verdana" w:hAnsi="Verdana"/>
          <w:sz w:val="16"/>
          <w:szCs w:val="16"/>
          <w:lang w:val="es-CO"/>
        </w:rPr>
      </w:pPr>
    </w:p>
    <w:p w:rsidR="00127095" w:rsidRDefault="00DA7D71" w:rsidP="00ED130A">
      <w:pPr>
        <w:pStyle w:val="ListParagraph"/>
        <w:numPr>
          <w:ilvl w:val="0"/>
          <w:numId w:val="1"/>
        </w:numPr>
        <w:tabs>
          <w:tab w:val="left" w:pos="426"/>
          <w:tab w:val="left" w:pos="709"/>
        </w:tabs>
        <w:spacing w:after="0" w:line="240" w:lineRule="auto"/>
        <w:ind w:left="0" w:firstLine="0"/>
        <w:jc w:val="both"/>
        <w:rPr>
          <w:rFonts w:ascii="Verdana" w:hAnsi="Verdana"/>
          <w:sz w:val="20"/>
          <w:szCs w:val="20"/>
        </w:rPr>
      </w:pPr>
      <w:r w:rsidRPr="007F7A6B">
        <w:rPr>
          <w:rFonts w:ascii="Verdana" w:hAnsi="Verdana"/>
          <w:sz w:val="20"/>
          <w:szCs w:val="20"/>
        </w:rPr>
        <w:t>Respecto al uso del d</w:t>
      </w:r>
      <w:r w:rsidR="00EE20ED" w:rsidRPr="007F7A6B">
        <w:rPr>
          <w:rFonts w:ascii="Verdana" w:hAnsi="Verdana"/>
          <w:sz w:val="20"/>
          <w:szCs w:val="20"/>
        </w:rPr>
        <w:t>erecho comparado</w:t>
      </w:r>
      <w:r w:rsidRPr="007F7A6B">
        <w:rPr>
          <w:rFonts w:ascii="Verdana" w:hAnsi="Verdana"/>
          <w:sz w:val="20"/>
          <w:szCs w:val="20"/>
        </w:rPr>
        <w:t xml:space="preserve"> como una vía para fortalecer una posible interpretación evolutiva en la materia, si bien es cierto que la mayoría de la Constituciones de los países de la región consagran catálogos</w:t>
      </w:r>
      <w:r w:rsidR="00C71889" w:rsidRPr="007F7A6B">
        <w:rPr>
          <w:rFonts w:ascii="Verdana" w:hAnsi="Verdana"/>
          <w:sz w:val="20"/>
          <w:szCs w:val="20"/>
        </w:rPr>
        <w:t xml:space="preserve"> de DESC y en muchos se concede la posibilidad de </w:t>
      </w:r>
      <w:proofErr w:type="spellStart"/>
      <w:r w:rsidR="00C71889" w:rsidRPr="007F7A6B">
        <w:rPr>
          <w:rFonts w:ascii="Verdana" w:hAnsi="Verdana"/>
          <w:sz w:val="20"/>
          <w:szCs w:val="20"/>
        </w:rPr>
        <w:t>justiciabilidad</w:t>
      </w:r>
      <w:proofErr w:type="spellEnd"/>
      <w:r w:rsidR="00C71889" w:rsidRPr="007F7A6B">
        <w:rPr>
          <w:rFonts w:ascii="Verdana" w:hAnsi="Verdana"/>
          <w:sz w:val="20"/>
          <w:szCs w:val="20"/>
        </w:rPr>
        <w:t xml:space="preserve"> di</w:t>
      </w:r>
      <w:r w:rsidR="009B51D1" w:rsidRPr="007F7A6B">
        <w:rPr>
          <w:rFonts w:ascii="Verdana" w:hAnsi="Verdana"/>
          <w:sz w:val="20"/>
          <w:szCs w:val="20"/>
        </w:rPr>
        <w:t>recta de los mismos, estimo que</w:t>
      </w:r>
      <w:r w:rsidR="00C71889" w:rsidRPr="007F7A6B">
        <w:rPr>
          <w:rFonts w:ascii="Verdana" w:hAnsi="Verdana"/>
          <w:sz w:val="20"/>
          <w:szCs w:val="20"/>
        </w:rPr>
        <w:t xml:space="preserve"> esto no es un argumento suficiente para ampliar el alcance del artículo 26 de la Convención. </w:t>
      </w:r>
      <w:r w:rsidR="00943574">
        <w:rPr>
          <w:rFonts w:ascii="Verdana" w:hAnsi="Verdana"/>
          <w:sz w:val="20"/>
          <w:szCs w:val="20"/>
        </w:rPr>
        <w:t>Al respecto</w:t>
      </w:r>
      <w:r w:rsidR="00C71889" w:rsidRPr="007F7A6B">
        <w:rPr>
          <w:rFonts w:ascii="Verdana" w:hAnsi="Verdana"/>
          <w:sz w:val="20"/>
          <w:szCs w:val="20"/>
        </w:rPr>
        <w:t xml:space="preserve">, reitero que son los mismos Estados los que tomaron la decisión de no garantizar una </w:t>
      </w:r>
      <w:proofErr w:type="spellStart"/>
      <w:r w:rsidR="00C71889" w:rsidRPr="007F7A6B">
        <w:rPr>
          <w:rFonts w:ascii="Verdana" w:hAnsi="Verdana"/>
          <w:sz w:val="20"/>
          <w:szCs w:val="20"/>
        </w:rPr>
        <w:t>justiciabilidad</w:t>
      </w:r>
      <w:proofErr w:type="spellEnd"/>
      <w:r w:rsidR="00C71889" w:rsidRPr="007F7A6B">
        <w:rPr>
          <w:rFonts w:ascii="Verdana" w:hAnsi="Verdana"/>
          <w:sz w:val="20"/>
          <w:szCs w:val="20"/>
        </w:rPr>
        <w:t xml:space="preserve"> directa en </w:t>
      </w:r>
      <w:r w:rsidR="00767B7F">
        <w:rPr>
          <w:rFonts w:ascii="Verdana" w:hAnsi="Verdana"/>
          <w:sz w:val="20"/>
          <w:szCs w:val="20"/>
        </w:rPr>
        <w:t>este</w:t>
      </w:r>
      <w:r w:rsidR="00C71889" w:rsidRPr="007F7A6B">
        <w:rPr>
          <w:rFonts w:ascii="Verdana" w:hAnsi="Verdana"/>
          <w:sz w:val="20"/>
          <w:szCs w:val="20"/>
        </w:rPr>
        <w:t xml:space="preserve"> artículo y, por el contrario, cuando crearon el catálogo de derechos mediante el Protocolo resolvieron limitar la competencia de la Corte. Entonces</w:t>
      </w:r>
      <w:r w:rsidR="00D26712">
        <w:rPr>
          <w:rFonts w:ascii="Verdana" w:hAnsi="Verdana"/>
          <w:sz w:val="20"/>
          <w:szCs w:val="20"/>
        </w:rPr>
        <w:t>,</w:t>
      </w:r>
      <w:r w:rsidR="00C71889" w:rsidRPr="007F7A6B">
        <w:rPr>
          <w:rFonts w:ascii="Verdana" w:hAnsi="Verdana"/>
          <w:sz w:val="20"/>
          <w:szCs w:val="20"/>
        </w:rPr>
        <w:t xml:space="preserve"> si bien internamente</w:t>
      </w:r>
      <w:r w:rsidR="007F7A6B">
        <w:rPr>
          <w:rFonts w:ascii="Verdana" w:hAnsi="Verdana"/>
          <w:sz w:val="20"/>
          <w:szCs w:val="20"/>
        </w:rPr>
        <w:t xml:space="preserve"> los Estados</w:t>
      </w:r>
      <w:r w:rsidR="007F7A6B" w:rsidRPr="007F7A6B">
        <w:rPr>
          <w:rFonts w:ascii="Verdana" w:hAnsi="Verdana"/>
          <w:sz w:val="20"/>
          <w:szCs w:val="20"/>
        </w:rPr>
        <w:t xml:space="preserve"> han ido ampliando</w:t>
      </w:r>
      <w:r w:rsidR="007F7A6B">
        <w:rPr>
          <w:rFonts w:ascii="Verdana" w:hAnsi="Verdana"/>
          <w:sz w:val="20"/>
          <w:szCs w:val="20"/>
        </w:rPr>
        <w:t xml:space="preserve"> su posición, no le compete a la Corte modificar la voluntad que fue inicialmente expresada en el Protocolo</w:t>
      </w:r>
      <w:r w:rsidR="009B51D1" w:rsidRPr="007F7A6B">
        <w:rPr>
          <w:rFonts w:ascii="Verdana" w:hAnsi="Verdana"/>
          <w:sz w:val="20"/>
          <w:szCs w:val="20"/>
        </w:rPr>
        <w:t>.</w:t>
      </w:r>
      <w:r w:rsidR="00475430">
        <w:rPr>
          <w:rFonts w:ascii="Verdana" w:hAnsi="Verdana"/>
          <w:sz w:val="20"/>
          <w:szCs w:val="20"/>
        </w:rPr>
        <w:t xml:space="preserve"> En este sentido, la Convención Americana en sus artículos 31, 76 y 77 determina que, en caso de querer reconocer otros derechos, es posible realizar enmiendas o protocolos que lo permitan.</w:t>
      </w:r>
      <w:r w:rsidR="009B51D1" w:rsidRPr="007F7A6B">
        <w:rPr>
          <w:rFonts w:ascii="Verdana" w:hAnsi="Verdana"/>
          <w:sz w:val="20"/>
          <w:szCs w:val="20"/>
        </w:rPr>
        <w:t xml:space="preserve"> Por ello</w:t>
      </w:r>
      <w:r w:rsidR="00943574">
        <w:rPr>
          <w:rFonts w:ascii="Verdana" w:hAnsi="Verdana"/>
          <w:sz w:val="20"/>
          <w:szCs w:val="20"/>
        </w:rPr>
        <w:t>,</w:t>
      </w:r>
      <w:r w:rsidR="009B51D1" w:rsidRPr="007F7A6B">
        <w:rPr>
          <w:rFonts w:ascii="Verdana" w:hAnsi="Verdana"/>
          <w:sz w:val="20"/>
          <w:szCs w:val="20"/>
        </w:rPr>
        <w:t xml:space="preserve"> concuerdo con que </w:t>
      </w:r>
      <w:r w:rsidR="00127095" w:rsidRPr="007F7A6B">
        <w:rPr>
          <w:rFonts w:ascii="Verdana" w:hAnsi="Verdana"/>
          <w:sz w:val="20"/>
          <w:szCs w:val="20"/>
        </w:rPr>
        <w:t>“</w:t>
      </w:r>
      <w:r w:rsidR="009B51D1" w:rsidRPr="007F7A6B">
        <w:rPr>
          <w:rFonts w:ascii="Verdana" w:hAnsi="Verdana"/>
          <w:sz w:val="20"/>
          <w:szCs w:val="20"/>
          <w:lang w:val="es-CO"/>
        </w:rPr>
        <w:t>[s]</w:t>
      </w:r>
      <w:r w:rsidR="00127095" w:rsidRPr="007F7A6B">
        <w:rPr>
          <w:rFonts w:ascii="Verdana" w:hAnsi="Verdana"/>
          <w:sz w:val="20"/>
          <w:szCs w:val="20"/>
          <w:lang w:val="es-CO"/>
        </w:rPr>
        <w:t>i los Estados quieren realmente tomarse en serio el tema es urgente una revisión de los tratados en la materia para que sean ellos mismos quienes decidan actualizar sus obligaciones sobre el tema</w:t>
      </w:r>
      <w:r w:rsidR="00127095" w:rsidRPr="007F7A6B">
        <w:rPr>
          <w:rFonts w:ascii="Verdana" w:hAnsi="Verdana"/>
          <w:sz w:val="20"/>
          <w:szCs w:val="20"/>
        </w:rPr>
        <w:t>”</w:t>
      </w:r>
      <w:r w:rsidR="009B51D1" w:rsidRPr="007F7A6B">
        <w:rPr>
          <w:rStyle w:val="FootnoteReference"/>
          <w:rFonts w:ascii="Verdana" w:hAnsi="Verdana"/>
          <w:sz w:val="20"/>
          <w:szCs w:val="20"/>
        </w:rPr>
        <w:footnoteReference w:id="23"/>
      </w:r>
      <w:r w:rsidR="009B51D1" w:rsidRPr="007F7A6B">
        <w:rPr>
          <w:rFonts w:ascii="Verdana" w:hAnsi="Verdana"/>
          <w:sz w:val="20"/>
          <w:szCs w:val="20"/>
        </w:rPr>
        <w:t>.</w:t>
      </w:r>
      <w:r w:rsidR="00127095" w:rsidRPr="007F7A6B">
        <w:rPr>
          <w:rFonts w:ascii="Verdana" w:hAnsi="Verdana"/>
          <w:sz w:val="20"/>
          <w:szCs w:val="20"/>
        </w:rPr>
        <w:t xml:space="preserve"> </w:t>
      </w:r>
    </w:p>
    <w:p w:rsidR="009C06EC" w:rsidRPr="008E0FD7" w:rsidRDefault="009C06EC" w:rsidP="00ED130A">
      <w:pPr>
        <w:pStyle w:val="ListParagraph"/>
        <w:tabs>
          <w:tab w:val="left" w:pos="426"/>
          <w:tab w:val="left" w:pos="709"/>
        </w:tabs>
        <w:spacing w:after="0" w:line="240" w:lineRule="auto"/>
        <w:ind w:left="0"/>
        <w:jc w:val="both"/>
        <w:rPr>
          <w:rFonts w:ascii="Verdana" w:hAnsi="Verdana"/>
          <w:sz w:val="20"/>
          <w:szCs w:val="20"/>
        </w:rPr>
      </w:pPr>
    </w:p>
    <w:p w:rsidR="004A4159" w:rsidRPr="00475430" w:rsidRDefault="009C06EC" w:rsidP="00ED130A">
      <w:pPr>
        <w:pStyle w:val="ListParagraph"/>
        <w:numPr>
          <w:ilvl w:val="0"/>
          <w:numId w:val="1"/>
        </w:numPr>
        <w:tabs>
          <w:tab w:val="left" w:pos="426"/>
          <w:tab w:val="left" w:pos="709"/>
        </w:tabs>
        <w:spacing w:after="0" w:line="240" w:lineRule="auto"/>
        <w:ind w:left="0" w:firstLine="0"/>
        <w:jc w:val="both"/>
        <w:rPr>
          <w:rFonts w:ascii="Verdana" w:hAnsi="Verdana"/>
          <w:sz w:val="20"/>
          <w:szCs w:val="20"/>
          <w:lang w:val="es-CR"/>
        </w:rPr>
      </w:pPr>
      <w:r w:rsidRPr="008E0FD7">
        <w:rPr>
          <w:rFonts w:ascii="Verdana" w:hAnsi="Verdana"/>
          <w:sz w:val="20"/>
          <w:szCs w:val="20"/>
        </w:rPr>
        <w:t xml:space="preserve">Por otra parte, algunos autores acuden al principio </w:t>
      </w:r>
      <w:r w:rsidRPr="008E0FD7">
        <w:rPr>
          <w:rFonts w:ascii="Verdana" w:hAnsi="Verdana"/>
          <w:i/>
          <w:sz w:val="20"/>
          <w:szCs w:val="20"/>
        </w:rPr>
        <w:t xml:space="preserve">pro </w:t>
      </w:r>
      <w:proofErr w:type="spellStart"/>
      <w:r w:rsidRPr="008E0FD7">
        <w:rPr>
          <w:rFonts w:ascii="Verdana" w:hAnsi="Verdana"/>
          <w:i/>
          <w:sz w:val="20"/>
          <w:szCs w:val="20"/>
        </w:rPr>
        <w:t>homine</w:t>
      </w:r>
      <w:proofErr w:type="spellEnd"/>
      <w:r w:rsidRPr="008E0FD7">
        <w:rPr>
          <w:rFonts w:ascii="Verdana" w:hAnsi="Verdana"/>
          <w:sz w:val="20"/>
          <w:szCs w:val="20"/>
        </w:rPr>
        <w:t xml:space="preserve"> establecido en el artículo 29 de la Convención para afirmar que este </w:t>
      </w:r>
      <w:r w:rsidR="007B714B" w:rsidRPr="008E0FD7">
        <w:rPr>
          <w:rFonts w:ascii="Verdana" w:hAnsi="Verdana"/>
          <w:sz w:val="20"/>
          <w:szCs w:val="20"/>
        </w:rPr>
        <w:t>propende por la exigibilidad directa de los DESC vía el artículo 26, dado que esta posición sería más garantista. S</w:t>
      </w:r>
      <w:r w:rsidR="00906FB8" w:rsidRPr="008E0FD7">
        <w:rPr>
          <w:rFonts w:ascii="Verdana" w:hAnsi="Verdana"/>
          <w:sz w:val="20"/>
          <w:szCs w:val="20"/>
        </w:rPr>
        <w:t>obre este</w:t>
      </w:r>
      <w:r w:rsidR="007B714B" w:rsidRPr="008E0FD7">
        <w:rPr>
          <w:rFonts w:ascii="Verdana" w:hAnsi="Verdana"/>
          <w:sz w:val="20"/>
          <w:szCs w:val="20"/>
        </w:rPr>
        <w:t xml:space="preserve"> principio, la Corte ha establecido que </w:t>
      </w:r>
      <w:r w:rsidR="008E0FD7" w:rsidRPr="008E0FD7">
        <w:rPr>
          <w:rFonts w:ascii="Verdana" w:hAnsi="Verdana"/>
          <w:sz w:val="20"/>
          <w:szCs w:val="20"/>
        </w:rPr>
        <w:t>“</w:t>
      </w:r>
      <w:r w:rsidR="008E0FD7" w:rsidRPr="008E0FD7">
        <w:rPr>
          <w:rFonts w:ascii="Verdana" w:hAnsi="Verdana"/>
          <w:sz w:val="20"/>
          <w:szCs w:val="20"/>
          <w:lang w:val="es-CO"/>
        </w:rPr>
        <w:t xml:space="preserve">el sistema de protección internacional debe ser entendido como una integralidad, principio recogido en el artículo 29 de la Convención Americana, el cual impone un marco de protección que siempre da preferencia a la interpretación o a la norma que más favorezca los derechos de la persona humana, objetivo angular de protección de todo el </w:t>
      </w:r>
      <w:r w:rsidR="00567296">
        <w:rPr>
          <w:rFonts w:ascii="Verdana" w:hAnsi="Verdana"/>
          <w:sz w:val="20"/>
          <w:szCs w:val="20"/>
          <w:lang w:val="es-CO"/>
        </w:rPr>
        <w:t>[s]</w:t>
      </w:r>
      <w:proofErr w:type="spellStart"/>
      <w:r w:rsidR="008E0FD7" w:rsidRPr="008E0FD7">
        <w:rPr>
          <w:rFonts w:ascii="Verdana" w:hAnsi="Verdana"/>
          <w:sz w:val="20"/>
          <w:szCs w:val="20"/>
          <w:lang w:val="es-CO"/>
        </w:rPr>
        <w:t>istema</w:t>
      </w:r>
      <w:proofErr w:type="spellEnd"/>
      <w:r w:rsidR="008E0FD7" w:rsidRPr="008E0FD7">
        <w:rPr>
          <w:rFonts w:ascii="Verdana" w:hAnsi="Verdana"/>
          <w:sz w:val="20"/>
          <w:szCs w:val="20"/>
          <w:lang w:val="es-CO"/>
        </w:rPr>
        <w:t xml:space="preserve"> </w:t>
      </w:r>
      <w:r w:rsidR="00567296">
        <w:rPr>
          <w:rFonts w:ascii="Verdana" w:hAnsi="Verdana"/>
          <w:sz w:val="20"/>
          <w:szCs w:val="20"/>
          <w:lang w:val="es-CO"/>
        </w:rPr>
        <w:t>[i]</w:t>
      </w:r>
      <w:proofErr w:type="spellStart"/>
      <w:r w:rsidR="008E0FD7" w:rsidRPr="008E0FD7">
        <w:rPr>
          <w:rFonts w:ascii="Verdana" w:hAnsi="Verdana"/>
          <w:sz w:val="20"/>
          <w:szCs w:val="20"/>
          <w:lang w:val="es-CO"/>
        </w:rPr>
        <w:t>nteramericano</w:t>
      </w:r>
      <w:proofErr w:type="spellEnd"/>
      <w:r w:rsidR="008E0FD7" w:rsidRPr="008E0FD7">
        <w:rPr>
          <w:rFonts w:ascii="Verdana" w:hAnsi="Verdana"/>
          <w:sz w:val="20"/>
          <w:szCs w:val="20"/>
          <w:lang w:val="es-CO"/>
        </w:rPr>
        <w:t xml:space="preserve">. En este sentido, la adopción de una interpretación restrictiva en cuanto al alcance de la competencia de este Tribunal no sólo iría contra el objeto y fin de la Convención, sino que además afectaría el efecto útil del tratado mismo y de la garantía de protección que establece, con consecuencias negativas para la presunta víctima en el ejercicio de su derecho de </w:t>
      </w:r>
      <w:r w:rsidR="008E0FD7" w:rsidRPr="008E0FD7">
        <w:rPr>
          <w:rFonts w:ascii="Verdana" w:hAnsi="Verdana"/>
          <w:sz w:val="20"/>
          <w:szCs w:val="20"/>
          <w:lang w:val="es-CO"/>
        </w:rPr>
        <w:lastRenderedPageBreak/>
        <w:t>acceso a la justicia</w:t>
      </w:r>
      <w:r w:rsidR="008E0FD7" w:rsidRPr="008E0FD7">
        <w:rPr>
          <w:rFonts w:ascii="Verdana" w:hAnsi="Verdana"/>
          <w:sz w:val="20"/>
          <w:szCs w:val="20"/>
        </w:rPr>
        <w:t>”</w:t>
      </w:r>
      <w:r w:rsidR="00E274DB">
        <w:rPr>
          <w:rStyle w:val="FootnoteReference"/>
          <w:rFonts w:ascii="Verdana" w:hAnsi="Verdana"/>
          <w:sz w:val="20"/>
          <w:szCs w:val="20"/>
        </w:rPr>
        <w:footnoteReference w:id="24"/>
      </w:r>
      <w:r w:rsidR="00E274DB">
        <w:rPr>
          <w:rFonts w:ascii="Verdana" w:hAnsi="Verdana"/>
          <w:sz w:val="20"/>
          <w:szCs w:val="20"/>
        </w:rPr>
        <w:t>.</w:t>
      </w:r>
      <w:r w:rsidR="00E274DB">
        <w:rPr>
          <w:rFonts w:ascii="Verdana" w:hAnsi="Verdana"/>
          <w:sz w:val="20"/>
          <w:szCs w:val="20"/>
          <w:lang w:val="es-CR"/>
        </w:rPr>
        <w:t xml:space="preserve"> </w:t>
      </w:r>
      <w:r w:rsidR="00A76758" w:rsidRPr="00E274DB">
        <w:rPr>
          <w:rFonts w:ascii="Verdana" w:hAnsi="Verdana"/>
          <w:sz w:val="20"/>
          <w:szCs w:val="20"/>
        </w:rPr>
        <w:t xml:space="preserve">En efecto, el principio </w:t>
      </w:r>
      <w:r w:rsidR="00A76758" w:rsidRPr="00E274DB">
        <w:rPr>
          <w:rFonts w:ascii="Verdana" w:hAnsi="Verdana"/>
          <w:i/>
          <w:sz w:val="20"/>
          <w:szCs w:val="20"/>
        </w:rPr>
        <w:t xml:space="preserve">pro </w:t>
      </w:r>
      <w:proofErr w:type="spellStart"/>
      <w:r w:rsidR="00A76758" w:rsidRPr="00E274DB">
        <w:rPr>
          <w:rFonts w:ascii="Verdana" w:hAnsi="Verdana"/>
          <w:i/>
          <w:sz w:val="20"/>
          <w:szCs w:val="20"/>
        </w:rPr>
        <w:t>homine</w:t>
      </w:r>
      <w:proofErr w:type="spellEnd"/>
      <w:r w:rsidR="00A76758" w:rsidRPr="00E274DB">
        <w:rPr>
          <w:rFonts w:ascii="Verdana" w:hAnsi="Verdana"/>
          <w:sz w:val="20"/>
          <w:szCs w:val="20"/>
        </w:rPr>
        <w:t xml:space="preserve"> debe ser aplicado cuando la Corte se encuentre frente a</w:t>
      </w:r>
      <w:r w:rsidR="004B3B4B" w:rsidRPr="00E274DB">
        <w:rPr>
          <w:rFonts w:ascii="Verdana" w:hAnsi="Verdana"/>
          <w:sz w:val="20"/>
          <w:szCs w:val="20"/>
        </w:rPr>
        <w:t xml:space="preserve"> dos</w:t>
      </w:r>
      <w:r w:rsidR="00A76758" w:rsidRPr="00E274DB">
        <w:rPr>
          <w:rFonts w:ascii="Verdana" w:hAnsi="Verdana"/>
          <w:sz w:val="20"/>
          <w:szCs w:val="20"/>
        </w:rPr>
        <w:t xml:space="preserve"> posibles</w:t>
      </w:r>
      <w:r w:rsidR="004B3B4B" w:rsidRPr="00E274DB">
        <w:rPr>
          <w:rFonts w:ascii="Verdana" w:hAnsi="Verdana"/>
          <w:sz w:val="20"/>
          <w:szCs w:val="20"/>
        </w:rPr>
        <w:t xml:space="preserve"> inter</w:t>
      </w:r>
      <w:r w:rsidR="00A76758" w:rsidRPr="00E274DB">
        <w:rPr>
          <w:rFonts w:ascii="Verdana" w:hAnsi="Verdana"/>
          <w:sz w:val="20"/>
          <w:szCs w:val="20"/>
        </w:rPr>
        <w:t>pretaciones válidas y ciertas. Justamente, lo que ha demostrado el análisis</w:t>
      </w:r>
      <w:r w:rsidR="00D26712">
        <w:rPr>
          <w:rFonts w:ascii="Verdana" w:hAnsi="Verdana"/>
          <w:sz w:val="20"/>
          <w:szCs w:val="20"/>
        </w:rPr>
        <w:t xml:space="preserve"> llevado a cabo en el presente v</w:t>
      </w:r>
      <w:r w:rsidR="00A76758" w:rsidRPr="00E274DB">
        <w:rPr>
          <w:rFonts w:ascii="Verdana" w:hAnsi="Verdana"/>
          <w:sz w:val="20"/>
          <w:szCs w:val="20"/>
        </w:rPr>
        <w:t xml:space="preserve">oto es que la </w:t>
      </w:r>
      <w:proofErr w:type="spellStart"/>
      <w:r w:rsidR="00A76758" w:rsidRPr="00E274DB">
        <w:rPr>
          <w:rFonts w:ascii="Verdana" w:hAnsi="Verdana"/>
          <w:sz w:val="20"/>
          <w:szCs w:val="20"/>
        </w:rPr>
        <w:t>justiciabilidad</w:t>
      </w:r>
      <w:proofErr w:type="spellEnd"/>
      <w:r w:rsidR="00A76758" w:rsidRPr="00E274DB">
        <w:rPr>
          <w:rFonts w:ascii="Verdana" w:hAnsi="Verdana"/>
          <w:sz w:val="20"/>
          <w:szCs w:val="20"/>
        </w:rPr>
        <w:t xml:space="preserve"> directa de los DESC a partir del artículo 26 de la Convención no es </w:t>
      </w:r>
      <w:r w:rsidR="00D37FC7">
        <w:rPr>
          <w:rFonts w:ascii="Verdana" w:hAnsi="Verdana"/>
          <w:sz w:val="20"/>
          <w:szCs w:val="20"/>
        </w:rPr>
        <w:t xml:space="preserve">una </w:t>
      </w:r>
      <w:r w:rsidR="00A76758" w:rsidRPr="00E274DB">
        <w:rPr>
          <w:rFonts w:ascii="Verdana" w:hAnsi="Verdana"/>
          <w:sz w:val="20"/>
          <w:szCs w:val="20"/>
        </w:rPr>
        <w:t>interpr</w:t>
      </w:r>
      <w:r w:rsidR="00767B7F">
        <w:rPr>
          <w:rFonts w:ascii="Verdana" w:hAnsi="Verdana"/>
          <w:sz w:val="20"/>
          <w:szCs w:val="20"/>
        </w:rPr>
        <w:t>etación vá</w:t>
      </w:r>
      <w:r w:rsidR="00A76758" w:rsidRPr="00E274DB">
        <w:rPr>
          <w:rFonts w:ascii="Verdana" w:hAnsi="Verdana"/>
          <w:sz w:val="20"/>
          <w:szCs w:val="20"/>
        </w:rPr>
        <w:t>lida, dado que lo que se está intentando es derivar un enunciado normativo que no corresponde a la norma</w:t>
      </w:r>
      <w:r w:rsidR="00A76758">
        <w:rPr>
          <w:rStyle w:val="FootnoteReference"/>
          <w:rFonts w:ascii="Verdana" w:hAnsi="Verdana"/>
          <w:sz w:val="20"/>
          <w:szCs w:val="20"/>
        </w:rPr>
        <w:footnoteReference w:id="25"/>
      </w:r>
      <w:r w:rsidR="00A76758" w:rsidRPr="00E274DB">
        <w:rPr>
          <w:rFonts w:ascii="Verdana" w:hAnsi="Verdana"/>
          <w:sz w:val="20"/>
          <w:szCs w:val="20"/>
        </w:rPr>
        <w:t xml:space="preserve">. </w:t>
      </w:r>
    </w:p>
    <w:p w:rsidR="004A4159" w:rsidRPr="004A4159" w:rsidRDefault="004A4159" w:rsidP="00ED130A">
      <w:pPr>
        <w:pStyle w:val="ListParagraph"/>
        <w:tabs>
          <w:tab w:val="left" w:pos="426"/>
          <w:tab w:val="left" w:pos="709"/>
        </w:tabs>
        <w:spacing w:after="0" w:line="240" w:lineRule="auto"/>
        <w:ind w:left="0"/>
        <w:jc w:val="both"/>
        <w:rPr>
          <w:rFonts w:ascii="Verdana" w:hAnsi="Verdana"/>
          <w:sz w:val="20"/>
          <w:szCs w:val="20"/>
        </w:rPr>
      </w:pPr>
    </w:p>
    <w:p w:rsidR="004A4159" w:rsidRPr="004A4159" w:rsidRDefault="004A4159" w:rsidP="00ED130A">
      <w:pPr>
        <w:pStyle w:val="ListParagraph"/>
        <w:numPr>
          <w:ilvl w:val="0"/>
          <w:numId w:val="2"/>
        </w:numPr>
        <w:tabs>
          <w:tab w:val="left" w:pos="709"/>
        </w:tabs>
        <w:spacing w:after="0" w:line="240" w:lineRule="auto"/>
        <w:rPr>
          <w:rFonts w:ascii="Verdana" w:hAnsi="Verdana"/>
          <w:b/>
          <w:sz w:val="20"/>
          <w:szCs w:val="20"/>
        </w:rPr>
      </w:pPr>
      <w:r w:rsidRPr="004A4159">
        <w:rPr>
          <w:rFonts w:ascii="Verdana" w:hAnsi="Verdana"/>
          <w:b/>
          <w:sz w:val="20"/>
          <w:szCs w:val="20"/>
        </w:rPr>
        <w:t>Conclusión</w:t>
      </w:r>
      <w:r w:rsidR="00E754DA">
        <w:rPr>
          <w:rFonts w:ascii="Verdana" w:hAnsi="Verdana"/>
          <w:b/>
          <w:sz w:val="20"/>
          <w:szCs w:val="20"/>
        </w:rPr>
        <w:t xml:space="preserve"> y consideraciones finales</w:t>
      </w:r>
    </w:p>
    <w:p w:rsidR="004A4159" w:rsidRDefault="004A4159" w:rsidP="00ED130A">
      <w:pPr>
        <w:pStyle w:val="ListParagraph"/>
        <w:tabs>
          <w:tab w:val="left" w:pos="426"/>
          <w:tab w:val="left" w:pos="709"/>
        </w:tabs>
        <w:spacing w:after="0" w:line="240" w:lineRule="auto"/>
        <w:ind w:left="0"/>
        <w:jc w:val="both"/>
        <w:rPr>
          <w:rFonts w:ascii="Verdana" w:hAnsi="Verdana"/>
          <w:sz w:val="20"/>
          <w:szCs w:val="20"/>
        </w:rPr>
      </w:pPr>
    </w:p>
    <w:p w:rsidR="00B014E3" w:rsidRDefault="004A4159" w:rsidP="00ED130A">
      <w:pPr>
        <w:pStyle w:val="ListParagraph"/>
        <w:numPr>
          <w:ilvl w:val="0"/>
          <w:numId w:val="1"/>
        </w:numPr>
        <w:tabs>
          <w:tab w:val="left" w:pos="426"/>
          <w:tab w:val="left" w:pos="709"/>
        </w:tabs>
        <w:spacing w:after="0" w:line="240" w:lineRule="auto"/>
        <w:ind w:left="0" w:firstLine="0"/>
        <w:jc w:val="both"/>
        <w:rPr>
          <w:rFonts w:ascii="Verdana" w:hAnsi="Verdana"/>
          <w:sz w:val="20"/>
          <w:szCs w:val="20"/>
        </w:rPr>
      </w:pPr>
      <w:r>
        <w:rPr>
          <w:rFonts w:ascii="Verdana" w:hAnsi="Verdana"/>
          <w:sz w:val="20"/>
          <w:szCs w:val="20"/>
        </w:rPr>
        <w:t>Una vez expuestos</w:t>
      </w:r>
      <w:r w:rsidR="005B344A">
        <w:rPr>
          <w:rFonts w:ascii="Verdana" w:hAnsi="Verdana"/>
          <w:sz w:val="20"/>
          <w:szCs w:val="20"/>
        </w:rPr>
        <w:t xml:space="preserve"> los argumentos jurídicos que sustentan mi decisión en la presente Sentencia, me parece adecuado además presentar</w:t>
      </w:r>
      <w:r w:rsidR="008E0FD7">
        <w:rPr>
          <w:rFonts w:ascii="Verdana" w:hAnsi="Verdana"/>
          <w:sz w:val="20"/>
          <w:szCs w:val="20"/>
        </w:rPr>
        <w:t xml:space="preserve"> otras razones</w:t>
      </w:r>
      <w:r w:rsidR="0042541A">
        <w:rPr>
          <w:rFonts w:ascii="Verdana" w:hAnsi="Verdana"/>
          <w:sz w:val="20"/>
          <w:szCs w:val="20"/>
        </w:rPr>
        <w:t xml:space="preserve"> que refuerzan el sentido de mi posición. </w:t>
      </w:r>
      <w:r w:rsidR="00B014E3">
        <w:rPr>
          <w:rFonts w:ascii="Verdana" w:hAnsi="Verdana"/>
          <w:sz w:val="20"/>
          <w:szCs w:val="20"/>
        </w:rPr>
        <w:t>Para empezar</w:t>
      </w:r>
      <w:r w:rsidR="00D26712">
        <w:rPr>
          <w:rFonts w:ascii="Verdana" w:hAnsi="Verdana"/>
          <w:sz w:val="20"/>
          <w:szCs w:val="20"/>
        </w:rPr>
        <w:t>,</w:t>
      </w:r>
      <w:r w:rsidR="00765600">
        <w:rPr>
          <w:rFonts w:ascii="Verdana" w:hAnsi="Verdana"/>
          <w:sz w:val="20"/>
          <w:szCs w:val="20"/>
        </w:rPr>
        <w:t xml:space="preserve"> uno</w:t>
      </w:r>
      <w:r w:rsidR="00B014E3">
        <w:rPr>
          <w:rFonts w:ascii="Verdana" w:hAnsi="Verdana"/>
          <w:sz w:val="20"/>
          <w:szCs w:val="20"/>
        </w:rPr>
        <w:t xml:space="preserve"> de los motivos por los cuales los argumentos de quienes están en pro de la </w:t>
      </w:r>
      <w:proofErr w:type="spellStart"/>
      <w:r w:rsidR="00B014E3">
        <w:rPr>
          <w:rFonts w:ascii="Verdana" w:hAnsi="Verdana"/>
          <w:sz w:val="20"/>
          <w:szCs w:val="20"/>
        </w:rPr>
        <w:t>justiciabilidad</w:t>
      </w:r>
      <w:proofErr w:type="spellEnd"/>
      <w:r w:rsidR="00B014E3">
        <w:rPr>
          <w:rFonts w:ascii="Verdana" w:hAnsi="Verdana"/>
          <w:sz w:val="20"/>
          <w:szCs w:val="20"/>
        </w:rPr>
        <w:t xml:space="preserve"> directa </w:t>
      </w:r>
      <w:r w:rsidR="00816E8A">
        <w:rPr>
          <w:rFonts w:ascii="Verdana" w:hAnsi="Verdana"/>
          <w:sz w:val="20"/>
          <w:szCs w:val="20"/>
        </w:rPr>
        <w:t xml:space="preserve">de los DESC a través </w:t>
      </w:r>
      <w:r w:rsidR="00B014E3">
        <w:rPr>
          <w:rFonts w:ascii="Verdana" w:hAnsi="Verdana"/>
          <w:sz w:val="20"/>
          <w:szCs w:val="20"/>
        </w:rPr>
        <w:t xml:space="preserve">del artículo 26 </w:t>
      </w:r>
      <w:r w:rsidR="00816E8A">
        <w:rPr>
          <w:rFonts w:ascii="Verdana" w:hAnsi="Verdana"/>
          <w:sz w:val="20"/>
          <w:szCs w:val="20"/>
        </w:rPr>
        <w:t>no me parece</w:t>
      </w:r>
      <w:r w:rsidR="00B15786">
        <w:rPr>
          <w:rFonts w:ascii="Verdana" w:hAnsi="Verdana"/>
          <w:sz w:val="20"/>
          <w:szCs w:val="20"/>
        </w:rPr>
        <w:t>n</w:t>
      </w:r>
      <w:r w:rsidR="00816E8A">
        <w:rPr>
          <w:rFonts w:ascii="Verdana" w:hAnsi="Verdana"/>
          <w:sz w:val="20"/>
          <w:szCs w:val="20"/>
        </w:rPr>
        <w:t xml:space="preserve"> persuasivo</w:t>
      </w:r>
      <w:r w:rsidR="00B15786">
        <w:rPr>
          <w:rFonts w:ascii="Verdana" w:hAnsi="Verdana"/>
          <w:sz w:val="20"/>
          <w:szCs w:val="20"/>
        </w:rPr>
        <w:t>s</w:t>
      </w:r>
      <w:r w:rsidR="00816E8A">
        <w:rPr>
          <w:rFonts w:ascii="Verdana" w:hAnsi="Verdana"/>
          <w:sz w:val="20"/>
          <w:szCs w:val="20"/>
        </w:rPr>
        <w:t xml:space="preserve">, es porque no </w:t>
      </w:r>
      <w:r w:rsidR="00B014E3" w:rsidRPr="00816E8A">
        <w:rPr>
          <w:rFonts w:ascii="Verdana" w:hAnsi="Verdana"/>
          <w:sz w:val="20"/>
          <w:szCs w:val="20"/>
        </w:rPr>
        <w:t xml:space="preserve">logran </w:t>
      </w:r>
      <w:r w:rsidR="00816E8A">
        <w:rPr>
          <w:rFonts w:ascii="Verdana" w:hAnsi="Verdana"/>
          <w:sz w:val="20"/>
          <w:szCs w:val="20"/>
        </w:rPr>
        <w:t>fundamentar</w:t>
      </w:r>
      <w:r w:rsidR="00B014E3" w:rsidRPr="00816E8A">
        <w:rPr>
          <w:rFonts w:ascii="Verdana" w:hAnsi="Verdana"/>
          <w:sz w:val="20"/>
          <w:szCs w:val="20"/>
        </w:rPr>
        <w:t xml:space="preserve"> </w:t>
      </w:r>
      <w:r w:rsidR="00D26712">
        <w:rPr>
          <w:rFonts w:ascii="Verdana" w:hAnsi="Verdana"/>
          <w:sz w:val="20"/>
          <w:szCs w:val="20"/>
        </w:rPr>
        <w:t>có</w:t>
      </w:r>
      <w:r w:rsidR="007C162F" w:rsidRPr="00816E8A">
        <w:rPr>
          <w:rFonts w:ascii="Verdana" w:hAnsi="Verdana"/>
          <w:sz w:val="20"/>
          <w:szCs w:val="20"/>
        </w:rPr>
        <w:t>mo</w:t>
      </w:r>
      <w:r w:rsidR="00B014E3" w:rsidRPr="00816E8A">
        <w:rPr>
          <w:rFonts w:ascii="Verdana" w:hAnsi="Verdana"/>
          <w:sz w:val="20"/>
          <w:szCs w:val="20"/>
        </w:rPr>
        <w:t xml:space="preserve"> esta vía</w:t>
      </w:r>
      <w:r w:rsidR="00767B7F">
        <w:rPr>
          <w:rFonts w:ascii="Verdana" w:hAnsi="Verdana"/>
          <w:sz w:val="20"/>
          <w:szCs w:val="20"/>
        </w:rPr>
        <w:t>,</w:t>
      </w:r>
      <w:r w:rsidR="00B014E3" w:rsidRPr="00816E8A">
        <w:rPr>
          <w:rFonts w:ascii="Verdana" w:hAnsi="Verdana"/>
          <w:sz w:val="20"/>
          <w:szCs w:val="20"/>
        </w:rPr>
        <w:t xml:space="preserve"> que implica ir en contravía de lo expresamente señalado por el Protocolo</w:t>
      </w:r>
      <w:r w:rsidR="00816E8A">
        <w:rPr>
          <w:rFonts w:ascii="Verdana" w:hAnsi="Verdana"/>
          <w:sz w:val="20"/>
          <w:szCs w:val="20"/>
        </w:rPr>
        <w:t>,</w:t>
      </w:r>
      <w:r w:rsidR="00B014E3" w:rsidRPr="00816E8A">
        <w:rPr>
          <w:rFonts w:ascii="Verdana" w:hAnsi="Verdana"/>
          <w:sz w:val="20"/>
          <w:szCs w:val="20"/>
        </w:rPr>
        <w:t xml:space="preserve"> es una mejor </w:t>
      </w:r>
      <w:r w:rsidR="00765600">
        <w:rPr>
          <w:rFonts w:ascii="Verdana" w:hAnsi="Verdana"/>
          <w:sz w:val="20"/>
          <w:szCs w:val="20"/>
        </w:rPr>
        <w:t>opción</w:t>
      </w:r>
      <w:r w:rsidR="00B014E3" w:rsidRPr="00816E8A">
        <w:rPr>
          <w:rFonts w:ascii="Verdana" w:hAnsi="Verdana"/>
          <w:sz w:val="20"/>
          <w:szCs w:val="20"/>
        </w:rPr>
        <w:t xml:space="preserve"> que las otras vías de protección</w:t>
      </w:r>
      <w:r w:rsidR="00816E8A">
        <w:rPr>
          <w:rFonts w:ascii="Verdana" w:hAnsi="Verdana"/>
          <w:sz w:val="20"/>
          <w:szCs w:val="20"/>
        </w:rPr>
        <w:t xml:space="preserve"> que ha utilizado la Corte como la conexidad con el derecho a la vida o a la integridad personal</w:t>
      </w:r>
      <w:r w:rsidR="00B15786">
        <w:rPr>
          <w:rFonts w:ascii="Verdana" w:hAnsi="Verdana"/>
          <w:sz w:val="20"/>
          <w:szCs w:val="20"/>
        </w:rPr>
        <w:t>,</w:t>
      </w:r>
      <w:r w:rsidR="00816E8A">
        <w:rPr>
          <w:rFonts w:ascii="Verdana" w:hAnsi="Verdana"/>
          <w:sz w:val="20"/>
          <w:szCs w:val="20"/>
        </w:rPr>
        <w:t xml:space="preserve"> o el concepto de “vida digna”</w:t>
      </w:r>
      <w:r w:rsidR="00B014E3" w:rsidRPr="00816E8A">
        <w:rPr>
          <w:rFonts w:ascii="Verdana" w:hAnsi="Verdana"/>
          <w:sz w:val="20"/>
          <w:szCs w:val="20"/>
        </w:rPr>
        <w:t xml:space="preserve">. </w:t>
      </w:r>
      <w:r w:rsidR="001867B8">
        <w:rPr>
          <w:rFonts w:ascii="Verdana" w:hAnsi="Verdana"/>
          <w:sz w:val="20"/>
          <w:szCs w:val="20"/>
        </w:rPr>
        <w:t>Algunos autores manifiestan que esto es necesario para da</w:t>
      </w:r>
      <w:r w:rsidR="00D37FC7">
        <w:rPr>
          <w:rFonts w:ascii="Verdana" w:hAnsi="Verdana"/>
          <w:sz w:val="20"/>
          <w:szCs w:val="20"/>
        </w:rPr>
        <w:t>r un ámbito de protección especí</w:t>
      </w:r>
      <w:r w:rsidR="001867B8">
        <w:rPr>
          <w:rFonts w:ascii="Verdana" w:hAnsi="Verdana"/>
          <w:sz w:val="20"/>
          <w:szCs w:val="20"/>
        </w:rPr>
        <w:t>fico de los DESC, sin tener en cuenta que e</w:t>
      </w:r>
      <w:r w:rsidR="00D26712">
        <w:rPr>
          <w:rFonts w:ascii="Verdana" w:hAnsi="Verdana"/>
          <w:sz w:val="20"/>
          <w:szCs w:val="20"/>
        </w:rPr>
        <w:t>l Protocolo de San Salvador creó</w:t>
      </w:r>
      <w:r w:rsidR="001867B8">
        <w:rPr>
          <w:rFonts w:ascii="Verdana" w:hAnsi="Verdana"/>
          <w:sz w:val="20"/>
          <w:szCs w:val="20"/>
        </w:rPr>
        <w:t xml:space="preserve"> dicho ámbito de protección, mas concluyó que la Corte sólo conocería de manera directa de los derechos consagrados en el artículo 8.a y 13 del Protocolo. Además, no se ha demostrado que la utilización de la conexidad o del concepto de “vida digna” como mecanismos de protección indirecta de los DESC</w:t>
      </w:r>
      <w:r w:rsidR="001867B8">
        <w:rPr>
          <w:rStyle w:val="FootnoteReference"/>
          <w:rFonts w:ascii="Verdana" w:hAnsi="Verdana"/>
          <w:sz w:val="20"/>
          <w:szCs w:val="20"/>
        </w:rPr>
        <w:footnoteReference w:id="26"/>
      </w:r>
      <w:r w:rsidR="001867B8">
        <w:rPr>
          <w:rFonts w:ascii="Verdana" w:hAnsi="Verdana"/>
          <w:sz w:val="20"/>
          <w:szCs w:val="20"/>
        </w:rPr>
        <w:t xml:space="preserve"> </w:t>
      </w:r>
      <w:r w:rsidR="00574375">
        <w:rPr>
          <w:rFonts w:ascii="Verdana" w:hAnsi="Verdana"/>
          <w:sz w:val="20"/>
          <w:szCs w:val="20"/>
        </w:rPr>
        <w:t>no sea efectivo para la protección y garantía de los derechos de las víctimas</w:t>
      </w:r>
      <w:r w:rsidR="00D26712">
        <w:rPr>
          <w:rFonts w:ascii="Verdana" w:hAnsi="Verdana"/>
          <w:sz w:val="20"/>
          <w:szCs w:val="20"/>
        </w:rPr>
        <w:t>, o que no sea una opción garantista</w:t>
      </w:r>
      <w:r w:rsidR="00574375">
        <w:rPr>
          <w:rFonts w:ascii="Verdana" w:hAnsi="Verdana"/>
          <w:sz w:val="20"/>
          <w:szCs w:val="20"/>
        </w:rPr>
        <w:t>.</w:t>
      </w:r>
      <w:r w:rsidR="0073742B">
        <w:rPr>
          <w:rFonts w:ascii="Verdana" w:hAnsi="Verdana"/>
          <w:sz w:val="20"/>
          <w:szCs w:val="20"/>
        </w:rPr>
        <w:t xml:space="preserve"> Coincido con que es importante que las líneas jurisprudenciales sean garantistas y de avanzada, pero en estos casos donde la protección se puede alcanzar por vías menos gravosas y controvertidas es mejor optar por medios más efectivos y dejar de lado algunas pretensiones académicas.  </w:t>
      </w:r>
    </w:p>
    <w:p w:rsidR="00B014E3" w:rsidRPr="0073742B" w:rsidRDefault="00B014E3" w:rsidP="00ED130A">
      <w:pPr>
        <w:pStyle w:val="ListParagraph"/>
        <w:tabs>
          <w:tab w:val="left" w:pos="426"/>
          <w:tab w:val="left" w:pos="709"/>
        </w:tabs>
        <w:spacing w:after="0" w:line="240" w:lineRule="auto"/>
        <w:ind w:left="0"/>
        <w:jc w:val="both"/>
        <w:rPr>
          <w:rFonts w:ascii="Verdana" w:hAnsi="Verdana"/>
          <w:sz w:val="20"/>
          <w:szCs w:val="20"/>
        </w:rPr>
      </w:pPr>
    </w:p>
    <w:p w:rsidR="001867B8" w:rsidRPr="00651E88" w:rsidRDefault="00487CBE" w:rsidP="00ED130A">
      <w:pPr>
        <w:pStyle w:val="ListParagraph"/>
        <w:numPr>
          <w:ilvl w:val="0"/>
          <w:numId w:val="1"/>
        </w:numPr>
        <w:tabs>
          <w:tab w:val="left" w:pos="426"/>
          <w:tab w:val="left" w:pos="709"/>
        </w:tabs>
        <w:spacing w:after="0" w:line="240" w:lineRule="auto"/>
        <w:ind w:left="0" w:firstLine="0"/>
        <w:jc w:val="both"/>
        <w:rPr>
          <w:rFonts w:ascii="Verdana" w:hAnsi="Verdana"/>
          <w:sz w:val="20"/>
          <w:szCs w:val="20"/>
        </w:rPr>
      </w:pPr>
      <w:r>
        <w:rPr>
          <w:rFonts w:ascii="Verdana" w:hAnsi="Verdana"/>
          <w:sz w:val="20"/>
          <w:szCs w:val="20"/>
        </w:rPr>
        <w:t>En efecto</w:t>
      </w:r>
      <w:r w:rsidR="00574375" w:rsidRPr="00651E88">
        <w:rPr>
          <w:rFonts w:ascii="Verdana" w:hAnsi="Verdana"/>
          <w:sz w:val="20"/>
          <w:szCs w:val="20"/>
        </w:rPr>
        <w:t xml:space="preserve">, en la presente Sentencia la Corte decidió analizar las afectaciones a la salud de </w:t>
      </w:r>
      <w:r w:rsidR="00574375" w:rsidRPr="00651E88">
        <w:rPr>
          <w:rFonts w:ascii="Verdana" w:hAnsi="Verdana"/>
          <w:sz w:val="20"/>
          <w:szCs w:val="20"/>
          <w:lang w:val="es-CO"/>
        </w:rPr>
        <w:t xml:space="preserve">Talía Gonzales </w:t>
      </w:r>
      <w:proofErr w:type="spellStart"/>
      <w:r w:rsidR="00574375" w:rsidRPr="00651E88">
        <w:rPr>
          <w:rFonts w:ascii="Verdana" w:hAnsi="Verdana"/>
          <w:sz w:val="20"/>
          <w:szCs w:val="20"/>
          <w:lang w:val="es-CO"/>
        </w:rPr>
        <w:t>Lluy</w:t>
      </w:r>
      <w:proofErr w:type="spellEnd"/>
      <w:r w:rsidR="00574375" w:rsidRPr="00651E88">
        <w:rPr>
          <w:rFonts w:ascii="Verdana" w:hAnsi="Verdana"/>
          <w:sz w:val="20"/>
          <w:szCs w:val="20"/>
          <w:lang w:val="es-CO"/>
        </w:rPr>
        <w:t xml:space="preserve"> </w:t>
      </w:r>
      <w:r>
        <w:rPr>
          <w:rFonts w:ascii="Verdana" w:hAnsi="Verdana"/>
          <w:sz w:val="20"/>
          <w:szCs w:val="20"/>
          <w:lang w:val="es-CO"/>
        </w:rPr>
        <w:t xml:space="preserve">por ser una persona con VIH </w:t>
      </w:r>
      <w:r w:rsidR="00574375" w:rsidRPr="00651E88">
        <w:rPr>
          <w:rFonts w:ascii="Verdana" w:hAnsi="Verdana"/>
          <w:sz w:val="20"/>
          <w:szCs w:val="20"/>
          <w:lang w:val="es-CO"/>
        </w:rPr>
        <w:t>a través de los derechos a la vida y a integridad personal consagrados en los artículos 4 y 5 de la Convención.</w:t>
      </w:r>
      <w:r w:rsidR="00E81E69" w:rsidRPr="00651E88">
        <w:rPr>
          <w:rFonts w:ascii="Verdana" w:hAnsi="Verdana"/>
          <w:sz w:val="20"/>
          <w:szCs w:val="20"/>
          <w:lang w:val="es-CO"/>
        </w:rPr>
        <w:t xml:space="preserve"> Esta vía argumentativa no impidió que la Corte realizará importantes avances con relación a los </w:t>
      </w:r>
      <w:r w:rsidR="00E81E69" w:rsidRPr="00651E88">
        <w:rPr>
          <w:rFonts w:ascii="Verdana" w:hAnsi="Verdana"/>
          <w:sz w:val="20"/>
          <w:szCs w:val="20"/>
        </w:rPr>
        <w:t xml:space="preserve">requisitos de </w:t>
      </w:r>
      <w:r w:rsidR="00E81E69" w:rsidRPr="00651E88">
        <w:rPr>
          <w:rFonts w:ascii="Verdana" w:hAnsi="Verdana"/>
          <w:iCs/>
          <w:sz w:val="20"/>
          <w:szCs w:val="20"/>
        </w:rPr>
        <w:t>disponibilidad, accesibilidad, aceptabilidad y calidad</w:t>
      </w:r>
      <w:r w:rsidR="00E81E69" w:rsidRPr="00651E88">
        <w:rPr>
          <w:rFonts w:ascii="Verdana" w:hAnsi="Verdana"/>
          <w:sz w:val="20"/>
          <w:szCs w:val="20"/>
          <w:lang w:val="es-CO"/>
        </w:rPr>
        <w:t xml:space="preserve"> en la prestación de los servicios de salud, </w:t>
      </w:r>
      <w:r w:rsidR="00651E88" w:rsidRPr="00651E88">
        <w:rPr>
          <w:rFonts w:ascii="Verdana" w:hAnsi="Verdana"/>
          <w:sz w:val="20"/>
          <w:szCs w:val="20"/>
          <w:lang w:val="es-CO"/>
        </w:rPr>
        <w:t xml:space="preserve">así como </w:t>
      </w:r>
      <w:r w:rsidR="00E81E69" w:rsidRPr="00651E88">
        <w:rPr>
          <w:rFonts w:ascii="Verdana" w:hAnsi="Verdana"/>
          <w:sz w:val="20"/>
          <w:szCs w:val="20"/>
          <w:lang w:val="es-CO"/>
        </w:rPr>
        <w:t>a la obligación de regular, fiscalizar y supervisar la prestación de servicios en centros de salud privados</w:t>
      </w:r>
      <w:r w:rsidR="00651E88" w:rsidRPr="00651E88">
        <w:rPr>
          <w:rFonts w:ascii="Verdana" w:hAnsi="Verdana"/>
          <w:sz w:val="20"/>
          <w:szCs w:val="20"/>
          <w:lang w:val="es-CO"/>
        </w:rPr>
        <w:t>.</w:t>
      </w:r>
      <w:r w:rsidR="00E81E69" w:rsidRPr="00651E88">
        <w:rPr>
          <w:rFonts w:ascii="Verdana" w:hAnsi="Verdana"/>
          <w:sz w:val="20"/>
          <w:szCs w:val="20"/>
          <w:lang w:val="es-CO"/>
        </w:rPr>
        <w:t xml:space="preserve"> </w:t>
      </w:r>
      <w:r w:rsidR="00D833E7">
        <w:rPr>
          <w:rFonts w:ascii="Verdana" w:hAnsi="Verdana"/>
          <w:sz w:val="20"/>
          <w:szCs w:val="20"/>
          <w:lang w:val="es-CO"/>
        </w:rPr>
        <w:t xml:space="preserve">Lo anterior no implica la creación de un nuevo derecho, sino darle contenido y alcance a derechos </w:t>
      </w:r>
      <w:r w:rsidR="00774899">
        <w:rPr>
          <w:rFonts w:ascii="Verdana" w:hAnsi="Verdana"/>
          <w:sz w:val="20"/>
          <w:szCs w:val="20"/>
          <w:lang w:val="es-CO"/>
        </w:rPr>
        <w:t>como la vida e integridad que sí</w:t>
      </w:r>
      <w:r w:rsidR="00D833E7">
        <w:rPr>
          <w:rFonts w:ascii="Verdana" w:hAnsi="Verdana"/>
          <w:sz w:val="20"/>
          <w:szCs w:val="20"/>
          <w:lang w:val="es-CO"/>
        </w:rPr>
        <w:t xml:space="preserve"> se hallan consagrados en la Convención y, por tanto, aceptado por los Estado</w:t>
      </w:r>
      <w:r w:rsidR="003D6DF3">
        <w:rPr>
          <w:rFonts w:ascii="Verdana" w:hAnsi="Verdana"/>
          <w:sz w:val="20"/>
          <w:szCs w:val="20"/>
          <w:lang w:val="es-CO"/>
        </w:rPr>
        <w:t>s</w:t>
      </w:r>
      <w:r w:rsidR="00D833E7">
        <w:rPr>
          <w:rFonts w:ascii="Verdana" w:hAnsi="Verdana"/>
          <w:sz w:val="20"/>
          <w:szCs w:val="20"/>
          <w:lang w:val="es-CO"/>
        </w:rPr>
        <w:t xml:space="preserve"> Parte.</w:t>
      </w:r>
    </w:p>
    <w:p w:rsidR="001867B8" w:rsidRDefault="001867B8" w:rsidP="00ED130A">
      <w:pPr>
        <w:pStyle w:val="ListParagraph"/>
        <w:tabs>
          <w:tab w:val="left" w:pos="426"/>
          <w:tab w:val="left" w:pos="709"/>
        </w:tabs>
        <w:spacing w:after="0" w:line="240" w:lineRule="auto"/>
        <w:ind w:left="0"/>
        <w:jc w:val="both"/>
        <w:rPr>
          <w:rFonts w:ascii="Verdana" w:hAnsi="Verdana"/>
          <w:sz w:val="20"/>
          <w:szCs w:val="20"/>
        </w:rPr>
      </w:pPr>
    </w:p>
    <w:p w:rsidR="00C15C3F" w:rsidRDefault="00C15C3F" w:rsidP="00ED130A">
      <w:pPr>
        <w:pStyle w:val="ListParagraph"/>
        <w:numPr>
          <w:ilvl w:val="0"/>
          <w:numId w:val="1"/>
        </w:numPr>
        <w:tabs>
          <w:tab w:val="left" w:pos="426"/>
          <w:tab w:val="left" w:pos="709"/>
        </w:tabs>
        <w:spacing w:after="0" w:line="240" w:lineRule="auto"/>
        <w:ind w:left="0" w:firstLine="0"/>
        <w:jc w:val="both"/>
        <w:rPr>
          <w:rFonts w:ascii="Verdana" w:hAnsi="Verdana"/>
          <w:sz w:val="20"/>
          <w:szCs w:val="20"/>
        </w:rPr>
      </w:pPr>
      <w:r>
        <w:rPr>
          <w:rFonts w:ascii="Verdana" w:hAnsi="Verdana"/>
          <w:sz w:val="20"/>
          <w:szCs w:val="20"/>
        </w:rPr>
        <w:t xml:space="preserve">Por otra parte, otra de mis preocupaciones se centra en que expandir la competencia de la Corte desconociendo la voluntad de los Estados conlleva la deslegitimación del Tribunal y pone en tela de juicio los avances </w:t>
      </w:r>
      <w:r w:rsidR="00794422">
        <w:rPr>
          <w:rFonts w:ascii="Verdana" w:hAnsi="Verdana"/>
          <w:sz w:val="20"/>
          <w:szCs w:val="20"/>
        </w:rPr>
        <w:t xml:space="preserve">jurisprudenciales </w:t>
      </w:r>
      <w:r>
        <w:rPr>
          <w:rFonts w:ascii="Verdana" w:hAnsi="Verdana"/>
          <w:sz w:val="20"/>
          <w:szCs w:val="20"/>
        </w:rPr>
        <w:t>que ya se han conseguido</w:t>
      </w:r>
      <w:r w:rsidR="004664E8">
        <w:rPr>
          <w:rFonts w:ascii="Verdana" w:hAnsi="Verdana"/>
          <w:sz w:val="20"/>
          <w:szCs w:val="20"/>
        </w:rPr>
        <w:t xml:space="preserve"> en otros temas</w:t>
      </w:r>
      <w:r>
        <w:rPr>
          <w:rFonts w:ascii="Verdana" w:hAnsi="Verdana"/>
          <w:sz w:val="20"/>
          <w:szCs w:val="20"/>
        </w:rPr>
        <w:t xml:space="preserve"> con mucho esfuerzo. La legitimidad de los Tribunales está dada</w:t>
      </w:r>
      <w:r w:rsidR="004664E8">
        <w:rPr>
          <w:rFonts w:ascii="Verdana" w:hAnsi="Verdana"/>
          <w:sz w:val="20"/>
          <w:szCs w:val="20"/>
        </w:rPr>
        <w:t>, en primer lugar, por la voluntad de lo</w:t>
      </w:r>
      <w:r w:rsidR="00767B7F">
        <w:rPr>
          <w:rFonts w:ascii="Verdana" w:hAnsi="Verdana"/>
          <w:sz w:val="20"/>
          <w:szCs w:val="20"/>
        </w:rPr>
        <w:t xml:space="preserve">s Estados que decidieron </w:t>
      </w:r>
      <w:r w:rsidR="00767B7F">
        <w:rPr>
          <w:rFonts w:ascii="Verdana" w:hAnsi="Verdana"/>
          <w:sz w:val="20"/>
          <w:szCs w:val="20"/>
        </w:rPr>
        <w:lastRenderedPageBreak/>
        <w:t>crearlos</w:t>
      </w:r>
      <w:r w:rsidR="004664E8">
        <w:rPr>
          <w:rFonts w:ascii="Verdana" w:hAnsi="Verdana"/>
          <w:sz w:val="20"/>
          <w:szCs w:val="20"/>
        </w:rPr>
        <w:t>, así como</w:t>
      </w:r>
      <w:r>
        <w:rPr>
          <w:rFonts w:ascii="Verdana" w:hAnsi="Verdana"/>
          <w:sz w:val="20"/>
          <w:szCs w:val="20"/>
        </w:rPr>
        <w:t xml:space="preserve"> por sus sentencias, la motivación que presenten en ellas y </w:t>
      </w:r>
      <w:r w:rsidR="004664E8">
        <w:rPr>
          <w:rFonts w:ascii="Verdana" w:hAnsi="Verdana"/>
          <w:sz w:val="20"/>
          <w:szCs w:val="20"/>
        </w:rPr>
        <w:t>su</w:t>
      </w:r>
      <w:r w:rsidR="00D26712">
        <w:rPr>
          <w:rFonts w:ascii="Verdana" w:hAnsi="Verdana"/>
          <w:sz w:val="20"/>
          <w:szCs w:val="20"/>
        </w:rPr>
        <w:t xml:space="preserve"> apego al D</w:t>
      </w:r>
      <w:r>
        <w:rPr>
          <w:rFonts w:ascii="Verdana" w:hAnsi="Verdana"/>
          <w:sz w:val="20"/>
          <w:szCs w:val="20"/>
        </w:rPr>
        <w:t>erecho. Si la Corte se extralimita de las funciones que le son dadas por la Convención Americana y demás tratados del sistema</w:t>
      </w:r>
      <w:r w:rsidR="004664E8">
        <w:rPr>
          <w:rFonts w:ascii="Verdana" w:hAnsi="Verdana"/>
          <w:sz w:val="20"/>
          <w:szCs w:val="20"/>
        </w:rPr>
        <w:t xml:space="preserve"> interamericano</w:t>
      </w:r>
      <w:r w:rsidR="00D26712">
        <w:rPr>
          <w:rFonts w:ascii="Verdana" w:hAnsi="Verdana"/>
          <w:sz w:val="20"/>
          <w:szCs w:val="20"/>
        </w:rPr>
        <w:t>,</w:t>
      </w:r>
      <w:r>
        <w:rPr>
          <w:rFonts w:ascii="Verdana" w:hAnsi="Verdana"/>
          <w:sz w:val="20"/>
          <w:szCs w:val="20"/>
        </w:rPr>
        <w:t xml:space="preserve"> </w:t>
      </w:r>
      <w:r w:rsidR="00D26712">
        <w:rPr>
          <w:rFonts w:ascii="Verdana" w:hAnsi="Verdana"/>
          <w:sz w:val="20"/>
          <w:szCs w:val="20"/>
        </w:rPr>
        <w:t>estaría</w:t>
      </w:r>
      <w:r w:rsidR="004664E8">
        <w:rPr>
          <w:rFonts w:ascii="Verdana" w:hAnsi="Verdana"/>
          <w:sz w:val="20"/>
          <w:szCs w:val="20"/>
        </w:rPr>
        <w:t xml:space="preserve"> minando la legitimidad y confianza que los Estados depositaron en ella. Una decisión que implicara d</w:t>
      </w:r>
      <w:r w:rsidR="004664E8" w:rsidRPr="004664E8">
        <w:rPr>
          <w:rFonts w:ascii="Verdana" w:hAnsi="Verdana"/>
          <w:sz w:val="20"/>
          <w:szCs w:val="20"/>
        </w:rPr>
        <w:t>esconocer la voluntad de los Estados en este punto puede acarrear</w:t>
      </w:r>
      <w:r w:rsidR="004664E8">
        <w:rPr>
          <w:rFonts w:ascii="Verdana" w:hAnsi="Verdana"/>
          <w:sz w:val="20"/>
          <w:szCs w:val="20"/>
        </w:rPr>
        <w:t xml:space="preserve"> una reacción negativa o un malestar que pone en peligro el sistema. Si bien la Corte no fue creada para complacer a los Estados, pues tiene la misión de juzgar su responsabilidad internacional, tampoco puede generar un desbalance tal que pudiera </w:t>
      </w:r>
      <w:r w:rsidR="00E060F4">
        <w:rPr>
          <w:rFonts w:ascii="Verdana" w:hAnsi="Verdana"/>
          <w:sz w:val="20"/>
          <w:szCs w:val="20"/>
        </w:rPr>
        <w:t>implicar</w:t>
      </w:r>
      <w:r w:rsidR="004664E8">
        <w:rPr>
          <w:rFonts w:ascii="Verdana" w:hAnsi="Verdana"/>
          <w:sz w:val="20"/>
          <w:szCs w:val="20"/>
        </w:rPr>
        <w:t xml:space="preserve"> la desprotección de los derechos humanos que busca </w:t>
      </w:r>
      <w:r w:rsidR="00767B7F">
        <w:rPr>
          <w:rFonts w:ascii="Verdana" w:hAnsi="Verdana"/>
          <w:sz w:val="20"/>
          <w:szCs w:val="20"/>
        </w:rPr>
        <w:t>salvaguardar</w:t>
      </w:r>
      <w:r w:rsidR="004664E8">
        <w:rPr>
          <w:rFonts w:ascii="Verdana" w:hAnsi="Verdana"/>
          <w:sz w:val="20"/>
          <w:szCs w:val="20"/>
        </w:rPr>
        <w:t>. En este sentido, concuerdo con que:</w:t>
      </w:r>
    </w:p>
    <w:p w:rsidR="009265EA" w:rsidRPr="009265EA" w:rsidRDefault="009265EA" w:rsidP="00ED130A">
      <w:pPr>
        <w:pStyle w:val="ListParagraph"/>
        <w:tabs>
          <w:tab w:val="left" w:pos="426"/>
          <w:tab w:val="left" w:pos="709"/>
        </w:tabs>
        <w:spacing w:after="0" w:line="240" w:lineRule="auto"/>
        <w:ind w:left="0"/>
        <w:jc w:val="both"/>
        <w:rPr>
          <w:rFonts w:ascii="Verdana" w:hAnsi="Verdana"/>
          <w:sz w:val="20"/>
          <w:szCs w:val="20"/>
        </w:rPr>
      </w:pPr>
    </w:p>
    <w:p w:rsidR="001867B8" w:rsidRDefault="004664E8" w:rsidP="00ED130A">
      <w:pPr>
        <w:tabs>
          <w:tab w:val="left" w:pos="709"/>
        </w:tabs>
        <w:spacing w:after="0" w:line="240" w:lineRule="auto"/>
        <w:ind w:left="426" w:right="333"/>
        <w:jc w:val="both"/>
        <w:rPr>
          <w:rFonts w:ascii="Verdana" w:hAnsi="Verdana"/>
          <w:sz w:val="16"/>
          <w:szCs w:val="16"/>
          <w:lang w:val="es-CO"/>
        </w:rPr>
      </w:pPr>
      <w:r>
        <w:rPr>
          <w:rFonts w:ascii="Verdana" w:hAnsi="Verdana"/>
          <w:sz w:val="16"/>
          <w:szCs w:val="16"/>
        </w:rPr>
        <w:t>“</w:t>
      </w:r>
      <w:r w:rsidRPr="004664E8">
        <w:rPr>
          <w:rFonts w:ascii="Verdana" w:hAnsi="Verdana"/>
          <w:sz w:val="16"/>
          <w:szCs w:val="16"/>
          <w:lang w:val="es-CO"/>
        </w:rPr>
        <w:t xml:space="preserve">una interpretación de la Corte sobre el alcance del artículo 26 que permita el acceso directo a violaciones de los DESC podría constituir tanto la ampliación de la jurisdicción como la </w:t>
      </w:r>
      <w:r w:rsidR="009265EA">
        <w:rPr>
          <w:rFonts w:ascii="Verdana" w:hAnsi="Verdana"/>
          <w:sz w:val="16"/>
          <w:szCs w:val="16"/>
          <w:lang w:val="es-CO"/>
        </w:rPr>
        <w:t>ampliación de las ‘</w:t>
      </w:r>
      <w:r w:rsidRPr="004664E8">
        <w:rPr>
          <w:rFonts w:ascii="Verdana" w:hAnsi="Verdana"/>
          <w:sz w:val="16"/>
          <w:szCs w:val="16"/>
          <w:lang w:val="es-CO"/>
        </w:rPr>
        <w:t>oportunidades para detectar, denunci</w:t>
      </w:r>
      <w:r w:rsidR="009265EA">
        <w:rPr>
          <w:rFonts w:ascii="Verdana" w:hAnsi="Verdana"/>
          <w:sz w:val="16"/>
          <w:szCs w:val="16"/>
          <w:lang w:val="es-CO"/>
        </w:rPr>
        <w:t>ar o remediar el incumplimiento’</w:t>
      </w:r>
      <w:r w:rsidRPr="004664E8">
        <w:rPr>
          <w:rFonts w:ascii="Verdana" w:hAnsi="Verdana"/>
          <w:sz w:val="16"/>
          <w:szCs w:val="16"/>
          <w:lang w:val="es-CO"/>
        </w:rPr>
        <w:t>, en cualquier caso, es posible que produzca una reacción hostil por parte del Estado. Una vez más, en ambos casos, la hostilidad de un estado surgiría principalmente de su creencia de que el organismo supranacional está participando en más o en un tipo diferente de supervisión de la aceptada inicialmente por parte del Estado. En este modelo, la percepción del estado es más importante que la corrección (en la medida en que esto puede ser juzgado de manera objetiva) de la decisión supranacional. Si, como se argumenta, los estados entienden los términos de la Convención Americana y la decisión de la Corte en el caso Cinco Pensionistas y casos posteriores, como límites en el acceso directo para litigar los DESC a través del artículo 26, una interpretación más amplia de dicho artículo por parte de la Corte cons</w:t>
      </w:r>
      <w:r w:rsidR="009265EA">
        <w:rPr>
          <w:rFonts w:ascii="Verdana" w:hAnsi="Verdana"/>
          <w:sz w:val="16"/>
          <w:szCs w:val="16"/>
          <w:lang w:val="es-CO"/>
        </w:rPr>
        <w:t>tituiría una extra-legalización</w:t>
      </w:r>
      <w:r>
        <w:rPr>
          <w:rFonts w:ascii="Verdana" w:hAnsi="Verdana"/>
          <w:sz w:val="16"/>
          <w:szCs w:val="16"/>
          <w:lang w:val="es-CO"/>
        </w:rPr>
        <w:t>”</w:t>
      </w:r>
      <w:r>
        <w:rPr>
          <w:rStyle w:val="FootnoteReference"/>
          <w:rFonts w:ascii="Verdana" w:hAnsi="Verdana"/>
          <w:sz w:val="16"/>
          <w:szCs w:val="16"/>
          <w:lang w:val="es-CO"/>
        </w:rPr>
        <w:footnoteReference w:id="27"/>
      </w:r>
      <w:r w:rsidR="003D6DF3">
        <w:rPr>
          <w:rFonts w:ascii="Verdana" w:hAnsi="Verdana"/>
          <w:sz w:val="16"/>
          <w:szCs w:val="16"/>
          <w:lang w:val="es-CO"/>
        </w:rPr>
        <w:t>.</w:t>
      </w:r>
    </w:p>
    <w:p w:rsidR="00ED130A" w:rsidRPr="00ED130A" w:rsidRDefault="00ED130A" w:rsidP="00ED130A">
      <w:pPr>
        <w:tabs>
          <w:tab w:val="left" w:pos="709"/>
        </w:tabs>
        <w:spacing w:after="0" w:line="240" w:lineRule="auto"/>
        <w:ind w:left="426" w:right="333"/>
        <w:jc w:val="both"/>
        <w:rPr>
          <w:rFonts w:ascii="Verdana" w:hAnsi="Verdana"/>
          <w:sz w:val="16"/>
          <w:szCs w:val="16"/>
          <w:lang w:val="es-CO"/>
        </w:rPr>
      </w:pPr>
    </w:p>
    <w:p w:rsidR="00B014E3" w:rsidRDefault="001237C1" w:rsidP="00ED130A">
      <w:pPr>
        <w:pStyle w:val="ListParagraph"/>
        <w:numPr>
          <w:ilvl w:val="0"/>
          <w:numId w:val="1"/>
        </w:numPr>
        <w:tabs>
          <w:tab w:val="left" w:pos="426"/>
          <w:tab w:val="left" w:pos="709"/>
        </w:tabs>
        <w:spacing w:after="0" w:line="240" w:lineRule="auto"/>
        <w:ind w:left="0" w:firstLine="0"/>
        <w:jc w:val="both"/>
        <w:rPr>
          <w:rFonts w:ascii="Verdana" w:hAnsi="Verdana"/>
          <w:sz w:val="20"/>
          <w:szCs w:val="20"/>
        </w:rPr>
      </w:pPr>
      <w:r>
        <w:rPr>
          <w:rFonts w:ascii="Verdana" w:hAnsi="Verdana"/>
          <w:sz w:val="20"/>
          <w:szCs w:val="20"/>
        </w:rPr>
        <w:t>Finalmente</w:t>
      </w:r>
      <w:r w:rsidR="00B014E3">
        <w:rPr>
          <w:rFonts w:ascii="Verdana" w:hAnsi="Verdana"/>
          <w:sz w:val="20"/>
          <w:szCs w:val="20"/>
        </w:rPr>
        <w:t xml:space="preserve">, considero que </w:t>
      </w:r>
      <w:r w:rsidR="00BA7910">
        <w:rPr>
          <w:rFonts w:ascii="Verdana" w:hAnsi="Verdana"/>
          <w:sz w:val="20"/>
          <w:szCs w:val="20"/>
        </w:rPr>
        <w:t>los tribunales de derechos humanos, como la Corte Interamericana,</w:t>
      </w:r>
      <w:r w:rsidR="00B014E3">
        <w:rPr>
          <w:rFonts w:ascii="Verdana" w:hAnsi="Verdana"/>
          <w:sz w:val="20"/>
          <w:szCs w:val="20"/>
        </w:rPr>
        <w:t xml:space="preserve"> no pueden entrar a suplir las deficiencias democráticas de los países, razón por la cual se debe ser cauteloso en la materia</w:t>
      </w:r>
      <w:r w:rsidR="00E060F4">
        <w:rPr>
          <w:rStyle w:val="FootnoteReference"/>
          <w:rFonts w:ascii="Verdana" w:hAnsi="Verdana"/>
          <w:sz w:val="20"/>
          <w:szCs w:val="20"/>
        </w:rPr>
        <w:footnoteReference w:id="28"/>
      </w:r>
      <w:r w:rsidR="00B014E3">
        <w:rPr>
          <w:rFonts w:ascii="Verdana" w:hAnsi="Verdana"/>
          <w:sz w:val="20"/>
          <w:szCs w:val="20"/>
        </w:rPr>
        <w:t xml:space="preserve">. </w:t>
      </w:r>
      <w:r w:rsidR="00E060F4">
        <w:rPr>
          <w:rFonts w:ascii="Verdana" w:hAnsi="Verdana"/>
          <w:sz w:val="20"/>
          <w:szCs w:val="20"/>
        </w:rPr>
        <w:t xml:space="preserve">Los tribunales de derechos humanos deben buscar la protección de los derechos de las minorías, pero </w:t>
      </w:r>
      <w:r>
        <w:rPr>
          <w:rFonts w:ascii="Verdana" w:hAnsi="Verdana"/>
          <w:sz w:val="20"/>
          <w:szCs w:val="20"/>
        </w:rPr>
        <w:t>ateniéndose siempre a las competencias que les han sido atribuidas. Del balance que la Corte logre entre la tentación de expandir en demasía sus competencias y la necesidad de avanzar en los estándares jurídicos para la efectiva protección y garantía de los derechos humanos, depende en gran medida la estabilidad y futuro del sistema interamericano.</w:t>
      </w:r>
    </w:p>
    <w:p w:rsidR="00AE0140" w:rsidRPr="00AE0140" w:rsidRDefault="00AE0140" w:rsidP="00ED130A">
      <w:pPr>
        <w:tabs>
          <w:tab w:val="left" w:pos="709"/>
        </w:tabs>
        <w:spacing w:after="0" w:line="240" w:lineRule="auto"/>
        <w:jc w:val="both"/>
        <w:rPr>
          <w:color w:val="1F497D"/>
        </w:rPr>
      </w:pPr>
    </w:p>
    <w:p w:rsidR="00464D5E" w:rsidRDefault="00464D5E" w:rsidP="00464D5E">
      <w:pPr>
        <w:pStyle w:val="ListParagraph"/>
        <w:spacing w:after="240"/>
        <w:ind w:left="0" w:right="96"/>
        <w:contextualSpacing w:val="0"/>
        <w:rPr>
          <w:lang w:val="es-CR"/>
        </w:rPr>
      </w:pPr>
    </w:p>
    <w:p w:rsidR="00A96A27" w:rsidRDefault="00A96A27" w:rsidP="00464D5E">
      <w:pPr>
        <w:pStyle w:val="NormalWeb"/>
        <w:spacing w:before="0" w:beforeAutospacing="0" w:after="0" w:afterAutospacing="0"/>
        <w:ind w:left="3600" w:right="96" w:firstLine="720"/>
        <w:jc w:val="center"/>
        <w:rPr>
          <w:rFonts w:ascii="Verdana" w:eastAsia="Calibri" w:hAnsi="Verdana"/>
          <w:sz w:val="20"/>
          <w:szCs w:val="20"/>
          <w:lang w:eastAsia="en-US"/>
        </w:rPr>
      </w:pPr>
    </w:p>
    <w:p w:rsidR="00464D5E" w:rsidRPr="001B4A16" w:rsidRDefault="00464D5E" w:rsidP="00464D5E">
      <w:pPr>
        <w:pStyle w:val="NormalWeb"/>
        <w:spacing w:before="0" w:beforeAutospacing="0" w:after="0" w:afterAutospacing="0"/>
        <w:ind w:left="3600" w:right="96" w:firstLine="720"/>
        <w:jc w:val="center"/>
        <w:rPr>
          <w:rFonts w:ascii="Verdana" w:eastAsia="Calibri" w:hAnsi="Verdana"/>
          <w:sz w:val="20"/>
          <w:szCs w:val="20"/>
          <w:lang w:eastAsia="en-US"/>
        </w:rPr>
      </w:pPr>
      <w:r>
        <w:rPr>
          <w:rFonts w:ascii="Verdana" w:eastAsia="Calibri" w:hAnsi="Verdana"/>
          <w:sz w:val="20"/>
          <w:szCs w:val="20"/>
          <w:lang w:eastAsia="en-US"/>
        </w:rPr>
        <w:t>Humberto Antonio Sierra Porto</w:t>
      </w:r>
    </w:p>
    <w:p w:rsidR="00464D5E" w:rsidRPr="00650FAD" w:rsidRDefault="00464D5E" w:rsidP="00464D5E">
      <w:pPr>
        <w:pStyle w:val="NormalWeb"/>
        <w:spacing w:before="0" w:beforeAutospacing="0" w:after="0" w:afterAutospacing="0"/>
        <w:ind w:left="3960" w:right="96" w:firstLine="360"/>
        <w:jc w:val="center"/>
        <w:rPr>
          <w:rFonts w:ascii="Verdana" w:eastAsia="Calibri" w:hAnsi="Verdana"/>
          <w:sz w:val="20"/>
          <w:szCs w:val="20"/>
          <w:lang w:eastAsia="en-US"/>
        </w:rPr>
      </w:pPr>
      <w:r w:rsidRPr="001B4A16">
        <w:rPr>
          <w:rFonts w:ascii="Verdana" w:eastAsia="Calibri" w:hAnsi="Verdana"/>
          <w:sz w:val="20"/>
          <w:szCs w:val="20"/>
          <w:lang w:eastAsia="en-US"/>
        </w:rPr>
        <w:t>Juez</w:t>
      </w:r>
    </w:p>
    <w:p w:rsidR="00AC046C" w:rsidRDefault="00AC046C" w:rsidP="00464D5E">
      <w:pPr>
        <w:spacing w:after="0" w:line="240" w:lineRule="auto"/>
        <w:rPr>
          <w:rFonts w:ascii="Verdana" w:hAnsi="Verdana"/>
          <w:sz w:val="20"/>
          <w:szCs w:val="20"/>
          <w:lang w:val="es-CR"/>
        </w:rPr>
      </w:pPr>
    </w:p>
    <w:p w:rsidR="00AC046C" w:rsidRDefault="00AC046C" w:rsidP="00464D5E">
      <w:pPr>
        <w:spacing w:after="0" w:line="240" w:lineRule="auto"/>
        <w:rPr>
          <w:rFonts w:ascii="Verdana" w:hAnsi="Verdana"/>
          <w:sz w:val="20"/>
          <w:szCs w:val="20"/>
          <w:lang w:val="es-CR"/>
        </w:rPr>
      </w:pPr>
    </w:p>
    <w:p w:rsidR="00464D5E" w:rsidRPr="00464D5E" w:rsidRDefault="00464D5E" w:rsidP="00464D5E">
      <w:pPr>
        <w:spacing w:after="0" w:line="240" w:lineRule="auto"/>
        <w:rPr>
          <w:rFonts w:ascii="Verdana" w:hAnsi="Verdana"/>
          <w:sz w:val="20"/>
          <w:szCs w:val="20"/>
          <w:lang w:val="es-CR"/>
        </w:rPr>
      </w:pPr>
      <w:r w:rsidRPr="00464D5E">
        <w:rPr>
          <w:rFonts w:ascii="Verdana" w:hAnsi="Verdana"/>
          <w:sz w:val="20"/>
          <w:szCs w:val="20"/>
          <w:lang w:val="es-CR"/>
        </w:rPr>
        <w:t>Pablo Saavedra Alessandri</w:t>
      </w:r>
    </w:p>
    <w:p w:rsidR="00464D5E" w:rsidRPr="00464D5E" w:rsidRDefault="00464D5E" w:rsidP="00464D5E">
      <w:pPr>
        <w:spacing w:after="0" w:line="240" w:lineRule="auto"/>
        <w:rPr>
          <w:rFonts w:ascii="Verdana" w:hAnsi="Verdana"/>
          <w:sz w:val="20"/>
          <w:szCs w:val="20"/>
          <w:lang w:val="es-CR"/>
        </w:rPr>
      </w:pPr>
      <w:r w:rsidRPr="00464D5E">
        <w:rPr>
          <w:rFonts w:ascii="Verdana" w:hAnsi="Verdana"/>
          <w:sz w:val="20"/>
          <w:szCs w:val="20"/>
          <w:lang w:val="es-CR"/>
        </w:rPr>
        <w:tab/>
        <w:t>Secretario</w:t>
      </w:r>
    </w:p>
    <w:p w:rsidR="00152282" w:rsidRPr="00AC5255" w:rsidRDefault="00152282" w:rsidP="00ED130A">
      <w:pPr>
        <w:tabs>
          <w:tab w:val="left" w:pos="709"/>
        </w:tabs>
        <w:spacing w:after="0" w:line="240" w:lineRule="auto"/>
        <w:rPr>
          <w:rFonts w:ascii="Verdana" w:hAnsi="Verdana"/>
          <w:lang w:val="es-CO"/>
        </w:rPr>
      </w:pPr>
    </w:p>
    <w:sectPr w:rsidR="00152282" w:rsidRPr="00AC5255" w:rsidSect="008E0FD7">
      <w:headerReference w:type="default" r:id="rId9"/>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D8A" w:rsidRDefault="00AD3D8A" w:rsidP="002D1823">
      <w:pPr>
        <w:spacing w:after="0" w:line="240" w:lineRule="auto"/>
      </w:pPr>
      <w:r>
        <w:separator/>
      </w:r>
    </w:p>
  </w:endnote>
  <w:endnote w:type="continuationSeparator" w:id="0">
    <w:p w:rsidR="00AD3D8A" w:rsidRDefault="00AD3D8A" w:rsidP="002D1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erdana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nionPro-Semibold">
    <w:panose1 w:val="00000000000000000000"/>
    <w:charset w:val="00"/>
    <w:family w:val="auto"/>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D8A" w:rsidRDefault="00AD3D8A" w:rsidP="002D1823">
      <w:pPr>
        <w:spacing w:after="0" w:line="240" w:lineRule="auto"/>
      </w:pPr>
      <w:r>
        <w:separator/>
      </w:r>
    </w:p>
  </w:footnote>
  <w:footnote w:type="continuationSeparator" w:id="0">
    <w:p w:rsidR="00AD3D8A" w:rsidRDefault="00AD3D8A" w:rsidP="002D1823">
      <w:pPr>
        <w:spacing w:after="0" w:line="240" w:lineRule="auto"/>
      </w:pPr>
      <w:r>
        <w:continuationSeparator/>
      </w:r>
    </w:p>
  </w:footnote>
  <w:footnote w:id="1">
    <w:p w:rsidR="004F638D" w:rsidRPr="009265EA" w:rsidRDefault="004F638D" w:rsidP="002B644C">
      <w:pPr>
        <w:pStyle w:val="FootnoteText"/>
        <w:spacing w:after="60"/>
        <w:jc w:val="both"/>
        <w:rPr>
          <w:rFonts w:ascii="Verdana" w:hAnsi="Verdana"/>
          <w:sz w:val="16"/>
          <w:szCs w:val="16"/>
          <w:lang w:val="es-CR"/>
        </w:rPr>
      </w:pPr>
      <w:r w:rsidRPr="009265EA">
        <w:rPr>
          <w:rStyle w:val="FootnoteReference"/>
          <w:rFonts w:ascii="Verdana" w:hAnsi="Verdana"/>
          <w:sz w:val="16"/>
          <w:szCs w:val="16"/>
        </w:rPr>
        <w:footnoteRef/>
      </w:r>
      <w:r w:rsidRPr="009265EA">
        <w:rPr>
          <w:rFonts w:ascii="Verdana" w:hAnsi="Verdana"/>
          <w:sz w:val="16"/>
          <w:szCs w:val="16"/>
        </w:rPr>
        <w:t xml:space="preserve"> </w:t>
      </w:r>
      <w:r w:rsidRPr="009265EA">
        <w:rPr>
          <w:rFonts w:ascii="Verdana" w:hAnsi="Verdana"/>
          <w:sz w:val="16"/>
          <w:szCs w:val="16"/>
          <w:lang w:val="es-CR"/>
        </w:rPr>
        <w:tab/>
      </w:r>
      <w:r w:rsidR="00B6702E">
        <w:rPr>
          <w:rFonts w:ascii="Verdana" w:hAnsi="Verdana"/>
          <w:sz w:val="16"/>
          <w:szCs w:val="16"/>
          <w:lang w:val="es-CR"/>
        </w:rPr>
        <w:t>P</w:t>
      </w:r>
      <w:r w:rsidRPr="009265EA">
        <w:rPr>
          <w:rFonts w:ascii="Verdana" w:hAnsi="Verdana"/>
          <w:sz w:val="16"/>
          <w:szCs w:val="16"/>
          <w:lang w:val="es-CR"/>
        </w:rPr>
        <w:t>árr. 191</w:t>
      </w:r>
      <w:r w:rsidR="00B6702E">
        <w:rPr>
          <w:rFonts w:ascii="Verdana" w:hAnsi="Verdana"/>
          <w:sz w:val="16"/>
          <w:szCs w:val="16"/>
          <w:lang w:val="es-CR"/>
        </w:rPr>
        <w:t xml:space="preserve"> de la Sentencia</w:t>
      </w:r>
      <w:r w:rsidRPr="009265EA">
        <w:rPr>
          <w:rFonts w:ascii="Verdana" w:hAnsi="Verdana"/>
          <w:sz w:val="16"/>
          <w:szCs w:val="16"/>
          <w:lang w:val="es-CR"/>
        </w:rPr>
        <w:t>.</w:t>
      </w:r>
    </w:p>
  </w:footnote>
  <w:footnote w:id="2">
    <w:p w:rsidR="00185D11" w:rsidRPr="009265EA" w:rsidRDefault="00185D11" w:rsidP="002B644C">
      <w:pPr>
        <w:pStyle w:val="FootnoteText"/>
        <w:spacing w:after="60"/>
        <w:jc w:val="both"/>
        <w:rPr>
          <w:rFonts w:ascii="Verdana" w:hAnsi="Verdana"/>
          <w:sz w:val="16"/>
          <w:szCs w:val="16"/>
        </w:rPr>
      </w:pPr>
      <w:r w:rsidRPr="009265EA">
        <w:rPr>
          <w:rStyle w:val="FootnoteReference"/>
          <w:rFonts w:ascii="Verdana" w:hAnsi="Verdana"/>
          <w:sz w:val="16"/>
          <w:szCs w:val="16"/>
        </w:rPr>
        <w:footnoteRef/>
      </w:r>
      <w:r w:rsidRPr="009265EA">
        <w:rPr>
          <w:rFonts w:ascii="Verdana" w:hAnsi="Verdana"/>
          <w:sz w:val="16"/>
          <w:szCs w:val="16"/>
        </w:rPr>
        <w:t xml:space="preserve"> </w:t>
      </w:r>
      <w:r w:rsidRPr="009265EA">
        <w:rPr>
          <w:rFonts w:ascii="Verdana" w:hAnsi="Verdana"/>
          <w:sz w:val="16"/>
          <w:szCs w:val="16"/>
        </w:rPr>
        <w:tab/>
      </w:r>
      <w:r w:rsidR="00142C5E">
        <w:rPr>
          <w:rFonts w:ascii="Verdana" w:hAnsi="Verdana"/>
          <w:i/>
          <w:sz w:val="16"/>
          <w:szCs w:val="16"/>
        </w:rPr>
        <w:t xml:space="preserve">Cfr. </w:t>
      </w:r>
      <w:r w:rsidRPr="009265EA">
        <w:rPr>
          <w:rFonts w:ascii="Verdana" w:hAnsi="Verdana"/>
          <w:bCs/>
          <w:i/>
          <w:sz w:val="16"/>
          <w:szCs w:val="16"/>
          <w:lang w:val="es-CR"/>
        </w:rPr>
        <w:t xml:space="preserve">Caso “Cinco Pensionistas” Vs. Perú. </w:t>
      </w:r>
      <w:r w:rsidRPr="009265EA">
        <w:rPr>
          <w:rFonts w:ascii="Verdana" w:hAnsi="Verdana"/>
          <w:i/>
          <w:sz w:val="16"/>
          <w:szCs w:val="16"/>
          <w:lang w:val="es-CR"/>
        </w:rPr>
        <w:t>Fondo, Reparaciones y Costas.</w:t>
      </w:r>
      <w:r w:rsidRPr="009265EA">
        <w:rPr>
          <w:rFonts w:ascii="Verdana" w:hAnsi="Verdana"/>
          <w:sz w:val="16"/>
          <w:szCs w:val="16"/>
          <w:lang w:val="es-CR"/>
        </w:rPr>
        <w:t xml:space="preserve"> Sentencia de 28 de febrero de 2003. Serie C No. 98, párr. 147.</w:t>
      </w:r>
    </w:p>
  </w:footnote>
  <w:footnote w:id="3">
    <w:p w:rsidR="001802B9" w:rsidRPr="009265EA" w:rsidRDefault="001802B9" w:rsidP="002B644C">
      <w:pPr>
        <w:pStyle w:val="FootnoteText"/>
        <w:spacing w:after="60"/>
        <w:jc w:val="both"/>
        <w:rPr>
          <w:rFonts w:ascii="Verdana" w:hAnsi="Verdana"/>
          <w:sz w:val="16"/>
          <w:szCs w:val="16"/>
          <w:lang w:val="es-CR"/>
        </w:rPr>
      </w:pPr>
      <w:r w:rsidRPr="009265EA">
        <w:rPr>
          <w:rStyle w:val="FootnoteReference"/>
          <w:rFonts w:ascii="Verdana" w:hAnsi="Verdana"/>
          <w:sz w:val="16"/>
          <w:szCs w:val="16"/>
        </w:rPr>
        <w:footnoteRef/>
      </w:r>
      <w:r w:rsidRPr="009265EA">
        <w:rPr>
          <w:rFonts w:ascii="Verdana" w:hAnsi="Verdana"/>
          <w:sz w:val="16"/>
          <w:szCs w:val="16"/>
        </w:rPr>
        <w:t xml:space="preserve"> </w:t>
      </w:r>
      <w:r w:rsidRPr="009265EA">
        <w:rPr>
          <w:rFonts w:ascii="Verdana" w:hAnsi="Verdana"/>
          <w:sz w:val="16"/>
          <w:szCs w:val="16"/>
          <w:lang w:val="es-CR"/>
        </w:rPr>
        <w:tab/>
      </w:r>
      <w:r w:rsidR="00185D11" w:rsidRPr="009265EA">
        <w:rPr>
          <w:rStyle w:val="Strong"/>
          <w:rFonts w:ascii="Verdana" w:hAnsi="Verdana"/>
          <w:b w:val="0"/>
          <w:i/>
          <w:sz w:val="16"/>
          <w:szCs w:val="16"/>
          <w:shd w:val="clear" w:color="auto" w:fill="FFFFFF"/>
        </w:rPr>
        <w:t>Caso Acevedo Buendía y otros (“Cesantes y Jubilados de la Contraloría”) Vs. Perú. Excepción Preliminar, Fondo, Reparaciones y Costas</w:t>
      </w:r>
      <w:r w:rsidR="00185D11" w:rsidRPr="009265EA">
        <w:rPr>
          <w:rStyle w:val="Strong"/>
          <w:rFonts w:ascii="Verdana" w:hAnsi="Verdana"/>
          <w:b w:val="0"/>
          <w:sz w:val="16"/>
          <w:szCs w:val="16"/>
          <w:shd w:val="clear" w:color="auto" w:fill="FFFFFF"/>
        </w:rPr>
        <w:t>. Sentencia de 1 de julio de 2009 Serie C No. 198, párr.  103.</w:t>
      </w:r>
    </w:p>
  </w:footnote>
  <w:footnote w:id="4">
    <w:p w:rsidR="00362983" w:rsidRPr="009265EA" w:rsidRDefault="00362983" w:rsidP="002B644C">
      <w:pPr>
        <w:pStyle w:val="FootnoteText"/>
        <w:spacing w:after="60"/>
        <w:jc w:val="both"/>
        <w:rPr>
          <w:rFonts w:ascii="Verdana" w:hAnsi="Verdana"/>
          <w:sz w:val="16"/>
          <w:szCs w:val="16"/>
          <w:lang w:val="es-CR"/>
        </w:rPr>
      </w:pPr>
      <w:r w:rsidRPr="009265EA">
        <w:rPr>
          <w:rStyle w:val="FootnoteReference"/>
          <w:rFonts w:ascii="Verdana" w:hAnsi="Verdana"/>
          <w:sz w:val="16"/>
          <w:szCs w:val="16"/>
        </w:rPr>
        <w:footnoteRef/>
      </w:r>
      <w:r w:rsidRPr="009265EA">
        <w:rPr>
          <w:rFonts w:ascii="Verdana" w:hAnsi="Verdana"/>
          <w:sz w:val="16"/>
          <w:szCs w:val="16"/>
        </w:rPr>
        <w:t xml:space="preserve"> </w:t>
      </w:r>
      <w:r w:rsidRPr="009265EA">
        <w:rPr>
          <w:rFonts w:ascii="Verdana" w:hAnsi="Verdana"/>
          <w:sz w:val="16"/>
          <w:szCs w:val="16"/>
        </w:rPr>
        <w:tab/>
      </w:r>
      <w:r w:rsidR="00D74F7A" w:rsidRPr="009265EA">
        <w:rPr>
          <w:rFonts w:ascii="Verdana" w:hAnsi="Verdana"/>
          <w:sz w:val="16"/>
          <w:szCs w:val="16"/>
        </w:rPr>
        <w:t>“[R]</w:t>
      </w:r>
      <w:proofErr w:type="spellStart"/>
      <w:r w:rsidR="00D74F7A" w:rsidRPr="009265EA">
        <w:rPr>
          <w:rFonts w:ascii="Verdana" w:hAnsi="Verdana"/>
          <w:sz w:val="16"/>
          <w:szCs w:val="16"/>
        </w:rPr>
        <w:t>esulta</w:t>
      </w:r>
      <w:proofErr w:type="spellEnd"/>
      <w:r w:rsidR="00D74F7A" w:rsidRPr="009265EA">
        <w:rPr>
          <w:rFonts w:ascii="Verdana" w:hAnsi="Verdana"/>
          <w:sz w:val="16"/>
          <w:szCs w:val="16"/>
        </w:rPr>
        <w:t xml:space="preserve"> pertinente observar que si bien el artículo 26 se encuentra en el capítulo III de la Convención, titulado </w:t>
      </w:r>
      <w:r w:rsidR="001573DF">
        <w:rPr>
          <w:rFonts w:ascii="Verdana" w:hAnsi="Verdana"/>
          <w:sz w:val="16"/>
          <w:szCs w:val="16"/>
        </w:rPr>
        <w:t>‘</w:t>
      </w:r>
      <w:r w:rsidR="00D74F7A" w:rsidRPr="009265EA">
        <w:rPr>
          <w:rFonts w:ascii="Verdana" w:hAnsi="Verdana"/>
          <w:sz w:val="16"/>
          <w:szCs w:val="16"/>
        </w:rPr>
        <w:t>Derechos Económicos, Sociales y Culturales</w:t>
      </w:r>
      <w:r w:rsidR="001573DF">
        <w:rPr>
          <w:rFonts w:ascii="Verdana" w:hAnsi="Verdana"/>
          <w:sz w:val="16"/>
          <w:szCs w:val="16"/>
        </w:rPr>
        <w:t>’</w:t>
      </w:r>
      <w:r w:rsidR="00D74F7A" w:rsidRPr="009265EA">
        <w:rPr>
          <w:rFonts w:ascii="Verdana" w:hAnsi="Verdana"/>
          <w:sz w:val="16"/>
          <w:szCs w:val="16"/>
        </w:rPr>
        <w:t xml:space="preserve">, se ubica, también, en la Parte I de dicho instrumento, titulado </w:t>
      </w:r>
      <w:r w:rsidR="001573DF">
        <w:rPr>
          <w:rFonts w:ascii="Verdana" w:hAnsi="Verdana"/>
          <w:sz w:val="16"/>
          <w:szCs w:val="16"/>
        </w:rPr>
        <w:t>‘</w:t>
      </w:r>
      <w:r w:rsidR="00D74F7A" w:rsidRPr="009265EA">
        <w:rPr>
          <w:rFonts w:ascii="Verdana" w:hAnsi="Verdana"/>
          <w:sz w:val="16"/>
          <w:szCs w:val="16"/>
        </w:rPr>
        <w:t>Deberes de los Estados y Derechos Protegidos</w:t>
      </w:r>
      <w:r w:rsidR="001573DF">
        <w:rPr>
          <w:rFonts w:ascii="Verdana" w:hAnsi="Verdana"/>
          <w:sz w:val="16"/>
          <w:szCs w:val="16"/>
        </w:rPr>
        <w:t>’</w:t>
      </w:r>
      <w:r w:rsidR="00D74F7A" w:rsidRPr="009265EA">
        <w:rPr>
          <w:rFonts w:ascii="Verdana" w:hAnsi="Verdana"/>
          <w:sz w:val="16"/>
          <w:szCs w:val="16"/>
        </w:rPr>
        <w:t xml:space="preserve"> y, por ende, está sujeto a las obligaciones generales contenidas en los artículos 1.1 y 2 señalados en el capítulo I (titulado </w:t>
      </w:r>
      <w:r w:rsidR="001573DF">
        <w:rPr>
          <w:rFonts w:ascii="Verdana" w:hAnsi="Verdana"/>
          <w:sz w:val="16"/>
          <w:szCs w:val="16"/>
        </w:rPr>
        <w:t>‘</w:t>
      </w:r>
      <w:r w:rsidR="00D74F7A" w:rsidRPr="009265EA">
        <w:rPr>
          <w:rFonts w:ascii="Verdana" w:hAnsi="Verdana"/>
          <w:sz w:val="16"/>
          <w:szCs w:val="16"/>
        </w:rPr>
        <w:t>Enumeración de Deberes</w:t>
      </w:r>
      <w:r w:rsidR="001573DF">
        <w:rPr>
          <w:rFonts w:ascii="Verdana" w:hAnsi="Verdana"/>
          <w:sz w:val="16"/>
          <w:szCs w:val="16"/>
        </w:rPr>
        <w:t>’</w:t>
      </w:r>
      <w:r w:rsidR="00D74F7A" w:rsidRPr="009265EA">
        <w:rPr>
          <w:rFonts w:ascii="Verdana" w:hAnsi="Verdana"/>
          <w:sz w:val="16"/>
          <w:szCs w:val="16"/>
        </w:rPr>
        <w:t xml:space="preserve">), así como lo están los artículos 3 al 25 señalados en el capítulo II (titulado </w:t>
      </w:r>
      <w:r w:rsidR="001573DF">
        <w:rPr>
          <w:rFonts w:ascii="Verdana" w:hAnsi="Verdana"/>
          <w:sz w:val="16"/>
          <w:szCs w:val="16"/>
        </w:rPr>
        <w:t>‘</w:t>
      </w:r>
      <w:r w:rsidR="00D74F7A" w:rsidRPr="009265EA">
        <w:rPr>
          <w:rFonts w:ascii="Verdana" w:hAnsi="Verdana"/>
          <w:sz w:val="16"/>
          <w:szCs w:val="16"/>
        </w:rPr>
        <w:t>Derechos Civiles y Políticos</w:t>
      </w:r>
      <w:r w:rsidR="001573DF">
        <w:rPr>
          <w:rFonts w:ascii="Verdana" w:hAnsi="Verdana"/>
          <w:sz w:val="16"/>
          <w:szCs w:val="16"/>
        </w:rPr>
        <w:t>’</w:t>
      </w:r>
      <w:r w:rsidR="00D74F7A" w:rsidRPr="009265EA">
        <w:rPr>
          <w:rFonts w:ascii="Verdana" w:hAnsi="Verdana"/>
          <w:sz w:val="16"/>
          <w:szCs w:val="16"/>
        </w:rPr>
        <w:t xml:space="preserve">)”. </w:t>
      </w:r>
      <w:r w:rsidRPr="009265EA">
        <w:rPr>
          <w:rStyle w:val="Strong"/>
          <w:rFonts w:ascii="Verdana" w:hAnsi="Verdana"/>
          <w:b w:val="0"/>
          <w:i/>
          <w:sz w:val="16"/>
          <w:szCs w:val="16"/>
          <w:shd w:val="clear" w:color="auto" w:fill="FFFFFF"/>
        </w:rPr>
        <w:t>Caso Acevedo Buendía y otros (“Cesantes y Jubilados de la Contraloría”) Vs. Perú</w:t>
      </w:r>
      <w:r w:rsidRPr="009265EA">
        <w:rPr>
          <w:rStyle w:val="Strong"/>
          <w:rFonts w:ascii="Verdana" w:hAnsi="Verdana"/>
          <w:b w:val="0"/>
          <w:sz w:val="16"/>
          <w:szCs w:val="16"/>
          <w:shd w:val="clear" w:color="auto" w:fill="FFFFFF"/>
        </w:rPr>
        <w:t>, párr. 100.</w:t>
      </w:r>
    </w:p>
  </w:footnote>
  <w:footnote w:id="5">
    <w:p w:rsidR="0098062A" w:rsidRPr="009265EA" w:rsidRDefault="0098062A" w:rsidP="002B644C">
      <w:pPr>
        <w:pStyle w:val="FootnoteText"/>
        <w:spacing w:after="60"/>
        <w:jc w:val="both"/>
        <w:rPr>
          <w:rFonts w:ascii="Verdana" w:hAnsi="Verdana"/>
          <w:sz w:val="16"/>
          <w:szCs w:val="16"/>
          <w:lang w:val="es-CR"/>
        </w:rPr>
      </w:pPr>
      <w:r w:rsidRPr="009265EA">
        <w:rPr>
          <w:rStyle w:val="FootnoteReference"/>
          <w:rFonts w:ascii="Verdana" w:hAnsi="Verdana"/>
          <w:sz w:val="16"/>
          <w:szCs w:val="16"/>
        </w:rPr>
        <w:footnoteRef/>
      </w:r>
      <w:r w:rsidRPr="009265EA">
        <w:rPr>
          <w:rFonts w:ascii="Verdana" w:hAnsi="Verdana"/>
          <w:sz w:val="16"/>
          <w:szCs w:val="16"/>
        </w:rPr>
        <w:t xml:space="preserve"> </w:t>
      </w:r>
      <w:r w:rsidRPr="009265EA">
        <w:rPr>
          <w:rFonts w:ascii="Verdana" w:hAnsi="Verdana"/>
          <w:sz w:val="16"/>
          <w:szCs w:val="16"/>
          <w:lang w:val="es-CR"/>
        </w:rPr>
        <w:tab/>
      </w:r>
      <w:r w:rsidRPr="009265EA">
        <w:rPr>
          <w:rFonts w:ascii="Verdana" w:hAnsi="Verdana" w:cs="Arial"/>
          <w:sz w:val="16"/>
          <w:szCs w:val="16"/>
        </w:rPr>
        <w:t>El artículo 34. i) de la Carta de la OEA establece entre los “objetivos básicos del desarrollo integral” la “</w:t>
      </w:r>
      <w:r w:rsidR="00A06AE4">
        <w:rPr>
          <w:rFonts w:ascii="Verdana" w:hAnsi="Verdana" w:cs="Arial"/>
          <w:sz w:val="16"/>
          <w:szCs w:val="16"/>
        </w:rPr>
        <w:t>[</w:t>
      </w:r>
      <w:r w:rsidRPr="009265EA">
        <w:rPr>
          <w:rFonts w:ascii="Verdana" w:hAnsi="Verdana" w:cs="Arial"/>
          <w:sz w:val="16"/>
          <w:szCs w:val="16"/>
        </w:rPr>
        <w:t>d</w:t>
      </w:r>
      <w:r w:rsidR="00A06AE4">
        <w:rPr>
          <w:rFonts w:ascii="Verdana" w:hAnsi="Verdana" w:cs="Arial"/>
          <w:sz w:val="16"/>
          <w:szCs w:val="16"/>
        </w:rPr>
        <w:t>]</w:t>
      </w:r>
      <w:proofErr w:type="spellStart"/>
      <w:r w:rsidRPr="009265EA">
        <w:rPr>
          <w:rFonts w:ascii="Verdana" w:hAnsi="Verdana" w:cs="Arial"/>
          <w:sz w:val="16"/>
          <w:szCs w:val="16"/>
        </w:rPr>
        <w:t>efensa</w:t>
      </w:r>
      <w:proofErr w:type="spellEnd"/>
      <w:r w:rsidRPr="009265EA">
        <w:rPr>
          <w:rFonts w:ascii="Verdana" w:hAnsi="Verdana" w:cs="Arial"/>
          <w:sz w:val="16"/>
          <w:szCs w:val="16"/>
        </w:rPr>
        <w:t xml:space="preserve"> del potencial humano mediante </w:t>
      </w:r>
      <w:r w:rsidRPr="009265EA">
        <w:rPr>
          <w:rFonts w:ascii="Verdana" w:hAnsi="Verdana" w:cs="Arial"/>
          <w:sz w:val="16"/>
          <w:szCs w:val="16"/>
          <w:u w:val="single"/>
        </w:rPr>
        <w:t>la extensión y aplicación de los modernos conocimientos de la ciencia médica</w:t>
      </w:r>
      <w:r w:rsidRPr="009265EA">
        <w:rPr>
          <w:rFonts w:ascii="Verdana" w:hAnsi="Verdana" w:cs="Arial"/>
          <w:sz w:val="16"/>
          <w:szCs w:val="16"/>
        </w:rPr>
        <w:t>”</w:t>
      </w:r>
      <w:r w:rsidR="00767B7F">
        <w:rPr>
          <w:rFonts w:ascii="Verdana" w:hAnsi="Verdana" w:cs="Arial"/>
          <w:sz w:val="16"/>
          <w:szCs w:val="16"/>
        </w:rPr>
        <w:t xml:space="preserve"> </w:t>
      </w:r>
      <w:r w:rsidR="00767B7F">
        <w:rPr>
          <w:rFonts w:ascii="Verdana" w:hAnsi="Verdana" w:cs="Tahoma"/>
          <w:color w:val="000000"/>
          <w:sz w:val="16"/>
          <w:szCs w:val="16"/>
        </w:rPr>
        <w:t>(S</w:t>
      </w:r>
      <w:r w:rsidR="00767B7F" w:rsidRPr="003F21C7">
        <w:rPr>
          <w:rFonts w:ascii="Verdana" w:hAnsi="Verdana" w:cs="Tahoma"/>
          <w:color w:val="000000"/>
          <w:sz w:val="16"/>
          <w:szCs w:val="16"/>
        </w:rPr>
        <w:t>ubrayado fuera del texto</w:t>
      </w:r>
      <w:r w:rsidR="00767B7F">
        <w:rPr>
          <w:rFonts w:ascii="Verdana" w:hAnsi="Verdana" w:cs="Tahoma"/>
          <w:color w:val="000000"/>
          <w:sz w:val="16"/>
          <w:szCs w:val="16"/>
        </w:rPr>
        <w:t>).</w:t>
      </w:r>
    </w:p>
  </w:footnote>
  <w:footnote w:id="6">
    <w:p w:rsidR="0098062A" w:rsidRPr="009265EA" w:rsidRDefault="0098062A" w:rsidP="002B644C">
      <w:pPr>
        <w:pStyle w:val="FootnoteText"/>
        <w:spacing w:after="60"/>
        <w:jc w:val="both"/>
        <w:rPr>
          <w:rFonts w:ascii="Verdana" w:hAnsi="Verdana"/>
          <w:sz w:val="16"/>
          <w:szCs w:val="16"/>
          <w:lang w:val="es-CR"/>
        </w:rPr>
      </w:pPr>
      <w:r w:rsidRPr="009265EA">
        <w:rPr>
          <w:rStyle w:val="FootnoteReference"/>
          <w:rFonts w:ascii="Verdana" w:hAnsi="Verdana"/>
          <w:sz w:val="16"/>
          <w:szCs w:val="16"/>
        </w:rPr>
        <w:footnoteRef/>
      </w:r>
      <w:r w:rsidRPr="009265EA">
        <w:rPr>
          <w:rFonts w:ascii="Verdana" w:hAnsi="Verdana"/>
          <w:sz w:val="16"/>
          <w:szCs w:val="16"/>
        </w:rPr>
        <w:t xml:space="preserve"> </w:t>
      </w:r>
      <w:r w:rsidRPr="009265EA">
        <w:rPr>
          <w:rFonts w:ascii="Verdana" w:hAnsi="Verdana"/>
          <w:sz w:val="16"/>
          <w:szCs w:val="16"/>
          <w:lang w:val="es-CR"/>
        </w:rPr>
        <w:tab/>
      </w:r>
      <w:r w:rsidRPr="009265EA">
        <w:rPr>
          <w:rFonts w:ascii="Verdana" w:hAnsi="Verdana" w:cs="Arial"/>
          <w:sz w:val="16"/>
          <w:szCs w:val="16"/>
        </w:rPr>
        <w:t xml:space="preserve">El artículo 45 de la Carta de la OEA señala: “Los Estados </w:t>
      </w:r>
      <w:proofErr w:type="gramStart"/>
      <w:r w:rsidRPr="009265EA">
        <w:rPr>
          <w:rFonts w:ascii="Verdana" w:hAnsi="Verdana" w:cs="Arial"/>
          <w:sz w:val="16"/>
          <w:szCs w:val="16"/>
        </w:rPr>
        <w:t xml:space="preserve">miembros </w:t>
      </w:r>
      <w:proofErr w:type="gramEnd"/>
      <w:r w:rsidRPr="009265EA">
        <w:rPr>
          <w:rFonts w:ascii="Verdana" w:hAnsi="Verdana" w:cs="Arial"/>
          <w:sz w:val="16"/>
          <w:szCs w:val="16"/>
        </w:rPr>
        <w:sym w:font="Symbol" w:char="F05B"/>
      </w:r>
      <w:r w:rsidRPr="009265EA">
        <w:rPr>
          <w:rFonts w:ascii="Verdana" w:hAnsi="Verdana" w:cs="Arial"/>
          <w:sz w:val="16"/>
          <w:szCs w:val="16"/>
        </w:rPr>
        <w:t>…</w:t>
      </w:r>
      <w:r w:rsidRPr="009265EA">
        <w:rPr>
          <w:rFonts w:ascii="Verdana" w:hAnsi="Verdana" w:cs="Arial"/>
          <w:sz w:val="16"/>
          <w:szCs w:val="16"/>
        </w:rPr>
        <w:sym w:font="Symbol" w:char="F05D"/>
      </w:r>
      <w:r w:rsidRPr="009265EA">
        <w:rPr>
          <w:rFonts w:ascii="Verdana" w:hAnsi="Verdana" w:cs="Arial"/>
          <w:sz w:val="16"/>
          <w:szCs w:val="16"/>
        </w:rPr>
        <w:t xml:space="preserve"> convienen en dedicar sus máximos esfuerzos a la aplicación de los siguientes principios y mecanismos: </w:t>
      </w:r>
      <w:r w:rsidR="00A06AE4">
        <w:rPr>
          <w:rFonts w:ascii="Verdana" w:hAnsi="Verdana" w:cs="Arial"/>
          <w:sz w:val="16"/>
          <w:szCs w:val="16"/>
        </w:rPr>
        <w:t xml:space="preserve">[…] </w:t>
      </w:r>
      <w:r w:rsidRPr="009265EA">
        <w:rPr>
          <w:rFonts w:ascii="Verdana" w:hAnsi="Verdana" w:cs="Arial"/>
          <w:sz w:val="16"/>
          <w:szCs w:val="16"/>
        </w:rPr>
        <w:t>h) Desarrollo de una política eficiente de seguridad social”.</w:t>
      </w:r>
    </w:p>
  </w:footnote>
  <w:footnote w:id="7">
    <w:p w:rsidR="006473F9" w:rsidRPr="009265EA" w:rsidRDefault="006473F9" w:rsidP="002B644C">
      <w:pPr>
        <w:autoSpaceDE w:val="0"/>
        <w:autoSpaceDN w:val="0"/>
        <w:adjustRightInd w:val="0"/>
        <w:spacing w:after="60" w:line="240" w:lineRule="auto"/>
        <w:jc w:val="both"/>
        <w:rPr>
          <w:rFonts w:ascii="Verdana" w:eastAsiaTheme="minorHAnsi" w:hAnsi="Verdana" w:cs="MinionPro-Semibold"/>
          <w:sz w:val="16"/>
          <w:szCs w:val="16"/>
          <w:lang w:val="en-US"/>
        </w:rPr>
      </w:pPr>
      <w:r w:rsidRPr="009265EA">
        <w:rPr>
          <w:rStyle w:val="FootnoteReference"/>
          <w:rFonts w:ascii="Verdana" w:hAnsi="Verdana"/>
          <w:sz w:val="16"/>
          <w:szCs w:val="16"/>
        </w:rPr>
        <w:footnoteRef/>
      </w:r>
      <w:r w:rsidRPr="009265EA">
        <w:rPr>
          <w:rFonts w:ascii="Verdana" w:hAnsi="Verdana"/>
          <w:sz w:val="16"/>
          <w:szCs w:val="16"/>
          <w:lang w:val="en-US"/>
        </w:rPr>
        <w:t xml:space="preserve"> </w:t>
      </w:r>
      <w:r w:rsidRPr="009265EA">
        <w:rPr>
          <w:rFonts w:ascii="Verdana" w:hAnsi="Verdana"/>
          <w:sz w:val="16"/>
          <w:szCs w:val="16"/>
          <w:lang w:val="en-US"/>
        </w:rPr>
        <w:tab/>
      </w:r>
      <w:r w:rsidR="002603E5" w:rsidRPr="009265EA">
        <w:rPr>
          <w:rFonts w:ascii="Verdana" w:hAnsi="Verdana"/>
          <w:sz w:val="16"/>
          <w:szCs w:val="16"/>
          <w:lang w:val="en-US"/>
        </w:rPr>
        <w:t>“</w:t>
      </w:r>
      <w:r w:rsidR="002603E5" w:rsidRPr="009265EA">
        <w:rPr>
          <w:rFonts w:ascii="Verdana" w:eastAsiaTheme="minorHAnsi" w:hAnsi="Verdana" w:cs="MinionPro-Regular"/>
          <w:sz w:val="16"/>
          <w:szCs w:val="16"/>
          <w:lang w:val="en-US"/>
        </w:rPr>
        <w:t>[I]t is not enough just to infer a right by its name from the Charter, it is also necessary that the Charter provides a minimum content for that right. This minimum content could then be clarified – to a certain extent – by other international instruments. Defining the entire content and scope of a right by means of other instruments would invariably result in a modification of the Charter</w:t>
      </w:r>
      <w:r w:rsidR="002603E5" w:rsidRPr="009265EA">
        <w:rPr>
          <w:rFonts w:ascii="Verdana" w:hAnsi="Verdana"/>
          <w:sz w:val="16"/>
          <w:szCs w:val="16"/>
          <w:lang w:val="en-US"/>
        </w:rPr>
        <w:t>”. (</w:t>
      </w:r>
      <w:proofErr w:type="spellStart"/>
      <w:r w:rsidR="002603E5" w:rsidRPr="009265EA">
        <w:rPr>
          <w:rFonts w:ascii="Verdana" w:hAnsi="Verdana"/>
          <w:sz w:val="16"/>
          <w:szCs w:val="16"/>
          <w:lang w:val="en-US"/>
        </w:rPr>
        <w:t>Traducción</w:t>
      </w:r>
      <w:proofErr w:type="spellEnd"/>
      <w:r w:rsidR="002603E5" w:rsidRPr="009265EA">
        <w:rPr>
          <w:rFonts w:ascii="Verdana" w:hAnsi="Verdana"/>
          <w:sz w:val="16"/>
          <w:szCs w:val="16"/>
          <w:lang w:val="en-US"/>
        </w:rPr>
        <w:t xml:space="preserve"> </w:t>
      </w:r>
      <w:proofErr w:type="spellStart"/>
      <w:r w:rsidR="002603E5" w:rsidRPr="009265EA">
        <w:rPr>
          <w:rFonts w:ascii="Verdana" w:hAnsi="Verdana"/>
          <w:sz w:val="16"/>
          <w:szCs w:val="16"/>
          <w:lang w:val="en-US"/>
        </w:rPr>
        <w:t>propia</w:t>
      </w:r>
      <w:proofErr w:type="spellEnd"/>
      <w:r w:rsidR="002603E5" w:rsidRPr="009265EA">
        <w:rPr>
          <w:rFonts w:ascii="Verdana" w:hAnsi="Verdana"/>
          <w:sz w:val="16"/>
          <w:szCs w:val="16"/>
          <w:lang w:val="en-US"/>
        </w:rPr>
        <w:t xml:space="preserve">) </w:t>
      </w:r>
      <w:r w:rsidRPr="009265EA">
        <w:rPr>
          <w:rFonts w:ascii="Verdana" w:hAnsi="Verdana"/>
          <w:sz w:val="16"/>
          <w:szCs w:val="16"/>
          <w:lang w:val="en-US"/>
        </w:rPr>
        <w:t xml:space="preserve">Oswaldo Ruiz </w:t>
      </w:r>
      <w:proofErr w:type="spellStart"/>
      <w:r w:rsidRPr="009265EA">
        <w:rPr>
          <w:rFonts w:ascii="Verdana" w:hAnsi="Verdana"/>
          <w:sz w:val="16"/>
          <w:szCs w:val="16"/>
          <w:lang w:val="en-US"/>
        </w:rPr>
        <w:t>Chiriboga</w:t>
      </w:r>
      <w:proofErr w:type="spellEnd"/>
      <w:r w:rsidRPr="009265EA">
        <w:rPr>
          <w:rFonts w:ascii="Verdana" w:hAnsi="Verdana"/>
          <w:sz w:val="16"/>
          <w:szCs w:val="16"/>
          <w:lang w:val="en-US"/>
        </w:rPr>
        <w:t xml:space="preserve">, </w:t>
      </w:r>
      <w:proofErr w:type="gramStart"/>
      <w:r w:rsidRPr="009265EA">
        <w:rPr>
          <w:rFonts w:ascii="Verdana" w:eastAsiaTheme="minorHAnsi" w:hAnsi="Verdana" w:cs="MinionPro-Semibold"/>
          <w:sz w:val="16"/>
          <w:szCs w:val="16"/>
          <w:lang w:val="en-US"/>
        </w:rPr>
        <w:t>The</w:t>
      </w:r>
      <w:proofErr w:type="gramEnd"/>
      <w:r w:rsidRPr="009265EA">
        <w:rPr>
          <w:rFonts w:ascii="Verdana" w:eastAsiaTheme="minorHAnsi" w:hAnsi="Verdana" w:cs="MinionPro-Semibold"/>
          <w:sz w:val="16"/>
          <w:szCs w:val="16"/>
          <w:lang w:val="en-US"/>
        </w:rPr>
        <w:t xml:space="preserve"> American Convention And The Protocol Of San Salvador: Two Intertwined Treaties </w:t>
      </w:r>
      <w:r w:rsidRPr="009265EA">
        <w:rPr>
          <w:rFonts w:ascii="Verdana" w:eastAsiaTheme="minorHAnsi" w:hAnsi="Verdana" w:cs="MinionPro-Regular"/>
          <w:sz w:val="16"/>
          <w:szCs w:val="16"/>
          <w:lang w:val="en-US"/>
        </w:rPr>
        <w:t>Non-Enforceability Of Economic, Social And Cultural Rights In The Inter-American System, Netherlands Quarterly of Human Rights, Vol. 31/2 (2013), p. 171.</w:t>
      </w:r>
    </w:p>
  </w:footnote>
  <w:footnote w:id="8">
    <w:p w:rsidR="00FA5852" w:rsidRPr="009265EA" w:rsidRDefault="00FA5852" w:rsidP="002B644C">
      <w:pPr>
        <w:pStyle w:val="FootnoteText"/>
        <w:spacing w:after="60"/>
        <w:jc w:val="both"/>
        <w:rPr>
          <w:rFonts w:ascii="Verdana" w:hAnsi="Verdana"/>
          <w:sz w:val="16"/>
          <w:szCs w:val="16"/>
          <w:lang w:val="es-CO"/>
        </w:rPr>
      </w:pPr>
      <w:r w:rsidRPr="009265EA">
        <w:rPr>
          <w:rStyle w:val="FootnoteReference"/>
          <w:rFonts w:ascii="Verdana" w:hAnsi="Verdana"/>
          <w:sz w:val="16"/>
          <w:szCs w:val="16"/>
        </w:rPr>
        <w:footnoteRef/>
      </w:r>
      <w:r w:rsidRPr="009265EA">
        <w:rPr>
          <w:rFonts w:ascii="Verdana" w:hAnsi="Verdana"/>
          <w:sz w:val="16"/>
          <w:szCs w:val="16"/>
          <w:lang w:val="es-CO"/>
        </w:rPr>
        <w:t xml:space="preserve"> </w:t>
      </w:r>
      <w:r w:rsidR="00EA3768" w:rsidRPr="009265EA">
        <w:rPr>
          <w:rFonts w:ascii="Verdana" w:hAnsi="Verdana"/>
          <w:sz w:val="16"/>
          <w:szCs w:val="16"/>
          <w:lang w:val="es-CO"/>
        </w:rPr>
        <w:tab/>
      </w:r>
      <w:r w:rsidR="00A06AE4">
        <w:rPr>
          <w:rFonts w:ascii="Verdana" w:hAnsi="Verdana"/>
          <w:sz w:val="16"/>
          <w:szCs w:val="16"/>
          <w:lang w:val="es-CO"/>
        </w:rPr>
        <w:t xml:space="preserve">Víctor </w:t>
      </w:r>
      <w:proofErr w:type="spellStart"/>
      <w:r w:rsidRPr="009265EA">
        <w:rPr>
          <w:rFonts w:ascii="Verdana" w:hAnsi="Verdana"/>
          <w:sz w:val="16"/>
          <w:szCs w:val="16"/>
          <w:lang w:val="es-CO"/>
        </w:rPr>
        <w:t>Abramovich</w:t>
      </w:r>
      <w:proofErr w:type="spellEnd"/>
      <w:r w:rsidRPr="009265EA">
        <w:rPr>
          <w:rFonts w:ascii="Verdana" w:hAnsi="Verdana"/>
          <w:sz w:val="16"/>
          <w:szCs w:val="16"/>
          <w:lang w:val="es-CO"/>
        </w:rPr>
        <w:t>,</w:t>
      </w:r>
      <w:r w:rsidR="00A06AE4">
        <w:rPr>
          <w:rFonts w:ascii="Verdana" w:hAnsi="Verdana"/>
          <w:sz w:val="16"/>
          <w:szCs w:val="16"/>
          <w:lang w:val="es-CO"/>
        </w:rPr>
        <w:t xml:space="preserve"> y Julieta</w:t>
      </w:r>
      <w:r w:rsidRPr="009265EA">
        <w:rPr>
          <w:rFonts w:ascii="Verdana" w:hAnsi="Verdana"/>
          <w:sz w:val="16"/>
          <w:szCs w:val="16"/>
          <w:lang w:val="es-CO"/>
        </w:rPr>
        <w:t xml:space="preserve"> </w:t>
      </w:r>
      <w:proofErr w:type="spellStart"/>
      <w:r w:rsidRPr="009265EA">
        <w:rPr>
          <w:rFonts w:ascii="Verdana" w:hAnsi="Verdana"/>
          <w:sz w:val="16"/>
          <w:szCs w:val="16"/>
          <w:lang w:val="es-CO"/>
        </w:rPr>
        <w:t>Rossi</w:t>
      </w:r>
      <w:proofErr w:type="spellEnd"/>
      <w:r w:rsidRPr="009265EA">
        <w:rPr>
          <w:rFonts w:ascii="Verdana" w:hAnsi="Verdana"/>
          <w:sz w:val="16"/>
          <w:szCs w:val="16"/>
          <w:lang w:val="es-CO"/>
        </w:rPr>
        <w:t xml:space="preserve">, ‘La Tutela de los Derechos Económicos, Sociales y Culturales en el Artículo 26 de la Convención Americana sobre Derechos Humanos’, Estudios Socio-Jurídicos, Vol. 9, 2007, p. 37. </w:t>
      </w:r>
    </w:p>
  </w:footnote>
  <w:footnote w:id="9">
    <w:p w:rsidR="00CB6D39" w:rsidRPr="009265EA" w:rsidRDefault="00CB6D39" w:rsidP="002B644C">
      <w:pPr>
        <w:pStyle w:val="FootnoteText"/>
        <w:spacing w:after="60"/>
        <w:jc w:val="both"/>
        <w:rPr>
          <w:rFonts w:ascii="Verdana" w:hAnsi="Verdana"/>
          <w:sz w:val="16"/>
          <w:szCs w:val="16"/>
          <w:lang w:val="es-CR"/>
        </w:rPr>
      </w:pPr>
      <w:r w:rsidRPr="009265EA">
        <w:rPr>
          <w:rStyle w:val="FootnoteReference"/>
          <w:rFonts w:ascii="Verdana" w:hAnsi="Verdana"/>
          <w:sz w:val="16"/>
          <w:szCs w:val="16"/>
        </w:rPr>
        <w:footnoteRef/>
      </w:r>
      <w:r w:rsidRPr="009265EA">
        <w:rPr>
          <w:rFonts w:ascii="Verdana" w:hAnsi="Verdana"/>
          <w:sz w:val="16"/>
          <w:szCs w:val="16"/>
        </w:rPr>
        <w:t xml:space="preserve"> </w:t>
      </w:r>
      <w:r w:rsidRPr="009265EA">
        <w:rPr>
          <w:rFonts w:ascii="Verdana" w:hAnsi="Verdana"/>
          <w:sz w:val="16"/>
          <w:szCs w:val="16"/>
          <w:lang w:val="es-CR"/>
        </w:rPr>
        <w:tab/>
        <w:t xml:space="preserve">A manera de ejemplo, el artículo XI establece que: </w:t>
      </w:r>
      <w:r w:rsidR="00A06AE4">
        <w:rPr>
          <w:rFonts w:ascii="Verdana" w:hAnsi="Verdana"/>
          <w:sz w:val="16"/>
          <w:szCs w:val="16"/>
          <w:lang w:val="es-CR"/>
        </w:rPr>
        <w:t>“</w:t>
      </w:r>
      <w:r w:rsidRPr="009265EA">
        <w:rPr>
          <w:rFonts w:ascii="Verdana" w:hAnsi="Verdana"/>
          <w:sz w:val="16"/>
          <w:szCs w:val="16"/>
        </w:rPr>
        <w:t>Toda persona tiene derecho a que su salud sea preservada por medidas sanitarias y sociales, relativas a la alimentación, el vestido, la vivienda y la asistencia médica, correspondientes al nivel que permitan los recursos públicos y los de la comunidad</w:t>
      </w:r>
      <w:r w:rsidR="00A06AE4">
        <w:rPr>
          <w:rFonts w:ascii="Verdana" w:hAnsi="Verdana"/>
          <w:sz w:val="16"/>
          <w:szCs w:val="16"/>
        </w:rPr>
        <w:t>”</w:t>
      </w:r>
      <w:r w:rsidRPr="009265EA">
        <w:rPr>
          <w:rFonts w:ascii="Verdana" w:hAnsi="Verdana"/>
          <w:sz w:val="16"/>
          <w:szCs w:val="16"/>
        </w:rPr>
        <w:t>.</w:t>
      </w:r>
    </w:p>
  </w:footnote>
  <w:footnote w:id="10">
    <w:p w:rsidR="00286915" w:rsidRPr="009265EA" w:rsidRDefault="00286915" w:rsidP="002B644C">
      <w:pPr>
        <w:pStyle w:val="FootnoteText"/>
        <w:spacing w:after="60"/>
        <w:jc w:val="both"/>
        <w:rPr>
          <w:rFonts w:ascii="Verdana" w:hAnsi="Verdana"/>
          <w:sz w:val="16"/>
          <w:szCs w:val="16"/>
        </w:rPr>
      </w:pPr>
      <w:r w:rsidRPr="009265EA">
        <w:rPr>
          <w:rStyle w:val="FootnoteReference"/>
          <w:rFonts w:ascii="Verdana" w:hAnsi="Verdana"/>
          <w:sz w:val="16"/>
          <w:szCs w:val="16"/>
        </w:rPr>
        <w:footnoteRef/>
      </w:r>
      <w:r w:rsidRPr="009265EA">
        <w:rPr>
          <w:rFonts w:ascii="Verdana" w:hAnsi="Verdana"/>
          <w:sz w:val="16"/>
          <w:szCs w:val="16"/>
        </w:rPr>
        <w:t xml:space="preserve"> </w:t>
      </w:r>
      <w:r w:rsidRPr="009265EA">
        <w:rPr>
          <w:rFonts w:ascii="Verdana" w:hAnsi="Verdana"/>
          <w:sz w:val="16"/>
          <w:szCs w:val="16"/>
        </w:rPr>
        <w:tab/>
        <w:t xml:space="preserve">Al respecto, </w:t>
      </w:r>
      <w:r w:rsidRPr="00D05439">
        <w:rPr>
          <w:rFonts w:ascii="Verdana" w:hAnsi="Verdana"/>
          <w:caps/>
          <w:sz w:val="16"/>
          <w:szCs w:val="16"/>
          <w:lang w:val="es-CO"/>
        </w:rPr>
        <w:t>“</w:t>
      </w:r>
      <w:r w:rsidR="00A06AE4">
        <w:rPr>
          <w:rFonts w:ascii="Verdana" w:hAnsi="Verdana"/>
          <w:caps/>
          <w:sz w:val="16"/>
          <w:szCs w:val="16"/>
          <w:lang w:val="es-CO"/>
        </w:rPr>
        <w:t>[</w:t>
      </w:r>
      <w:r w:rsidRPr="009265EA">
        <w:rPr>
          <w:rFonts w:ascii="Verdana" w:hAnsi="Verdana"/>
          <w:sz w:val="16"/>
          <w:szCs w:val="16"/>
          <w:lang w:val="es-CO"/>
        </w:rPr>
        <w:t>e</w:t>
      </w:r>
      <w:r w:rsidR="00A06AE4">
        <w:rPr>
          <w:rFonts w:ascii="Verdana" w:hAnsi="Verdana"/>
          <w:sz w:val="16"/>
          <w:szCs w:val="16"/>
          <w:lang w:val="es-CO"/>
        </w:rPr>
        <w:t>]</w:t>
      </w:r>
      <w:r w:rsidRPr="009265EA">
        <w:rPr>
          <w:rFonts w:ascii="Verdana" w:hAnsi="Verdana"/>
          <w:sz w:val="16"/>
          <w:szCs w:val="16"/>
          <w:lang w:val="es-CO"/>
        </w:rPr>
        <w:t>n el camino que debe seguirse para determinar si un derecho se encuentra implícito en la Carta es necesario, a nuestro entender, evitar el atajo de apelar directamente a la Declaración Americana como instrumento que informa el contenido de los derechos humanos consagrados en la Carta. [Esto teniendo en cuenta que] el artículo 26 habla de los derechos que se derivan de las normas económicas, sociales, y sobre educación, ciencia y cultura de la Carta y no remite a la Declaración</w:t>
      </w:r>
      <w:r w:rsidRPr="00D05439">
        <w:rPr>
          <w:rFonts w:ascii="Verdana" w:hAnsi="Verdana"/>
          <w:caps/>
          <w:sz w:val="16"/>
          <w:szCs w:val="16"/>
          <w:lang w:val="es-CO"/>
        </w:rPr>
        <w:t>”.</w:t>
      </w:r>
      <w:r w:rsidRPr="009265EA">
        <w:rPr>
          <w:rFonts w:ascii="Verdana" w:hAnsi="Verdana"/>
          <w:b/>
          <w:caps/>
          <w:sz w:val="16"/>
          <w:szCs w:val="16"/>
          <w:lang w:val="es-CO"/>
        </w:rPr>
        <w:t xml:space="preserve"> </w:t>
      </w:r>
      <w:r w:rsidR="00A06AE4">
        <w:rPr>
          <w:rFonts w:ascii="Verdana" w:hAnsi="Verdana"/>
          <w:sz w:val="16"/>
          <w:szCs w:val="16"/>
          <w:lang w:val="es-CO"/>
        </w:rPr>
        <w:t xml:space="preserve">Víctor </w:t>
      </w:r>
      <w:proofErr w:type="spellStart"/>
      <w:r w:rsidR="00A06AE4" w:rsidRPr="009265EA">
        <w:rPr>
          <w:rFonts w:ascii="Verdana" w:hAnsi="Verdana"/>
          <w:sz w:val="16"/>
          <w:szCs w:val="16"/>
          <w:lang w:val="es-CO"/>
        </w:rPr>
        <w:t>Abramovich</w:t>
      </w:r>
      <w:proofErr w:type="spellEnd"/>
      <w:r w:rsidR="00A06AE4" w:rsidRPr="009265EA">
        <w:rPr>
          <w:rFonts w:ascii="Verdana" w:hAnsi="Verdana"/>
          <w:sz w:val="16"/>
          <w:szCs w:val="16"/>
          <w:lang w:val="es-CO"/>
        </w:rPr>
        <w:t>,</w:t>
      </w:r>
      <w:r w:rsidR="00A06AE4">
        <w:rPr>
          <w:rFonts w:ascii="Verdana" w:hAnsi="Verdana"/>
          <w:sz w:val="16"/>
          <w:szCs w:val="16"/>
          <w:lang w:val="es-CO"/>
        </w:rPr>
        <w:t xml:space="preserve"> y Julieta</w:t>
      </w:r>
      <w:r w:rsidR="00A06AE4" w:rsidRPr="009265EA">
        <w:rPr>
          <w:rFonts w:ascii="Verdana" w:hAnsi="Verdana"/>
          <w:sz w:val="16"/>
          <w:szCs w:val="16"/>
          <w:lang w:val="es-CO"/>
        </w:rPr>
        <w:t xml:space="preserve"> </w:t>
      </w:r>
      <w:proofErr w:type="spellStart"/>
      <w:r w:rsidR="00A06AE4" w:rsidRPr="009265EA">
        <w:rPr>
          <w:rFonts w:ascii="Verdana" w:hAnsi="Verdana"/>
          <w:sz w:val="16"/>
          <w:szCs w:val="16"/>
          <w:lang w:val="es-CO"/>
        </w:rPr>
        <w:t>Rossi</w:t>
      </w:r>
      <w:proofErr w:type="spellEnd"/>
      <w:r w:rsidRPr="009265EA">
        <w:rPr>
          <w:rFonts w:ascii="Verdana" w:hAnsi="Verdana"/>
          <w:sz w:val="16"/>
          <w:szCs w:val="16"/>
          <w:lang w:val="es-CO"/>
        </w:rPr>
        <w:t>, ‘La Tutela de los Derechos Económicos, Sociales y Culturales en el Artículo 26 de la Convención Americana sobre Derechos Humanos’, Estudios Socio-Jurídicos, Vol. 9, 2007, p. 47.</w:t>
      </w:r>
    </w:p>
  </w:footnote>
  <w:footnote w:id="11">
    <w:p w:rsidR="00551B5B" w:rsidRPr="009265EA" w:rsidRDefault="00551B5B" w:rsidP="002B644C">
      <w:pPr>
        <w:spacing w:after="60" w:line="240" w:lineRule="auto"/>
        <w:jc w:val="both"/>
        <w:rPr>
          <w:rFonts w:ascii="Verdana" w:hAnsi="Verdana"/>
          <w:sz w:val="16"/>
          <w:szCs w:val="16"/>
        </w:rPr>
      </w:pPr>
      <w:r w:rsidRPr="009265EA">
        <w:rPr>
          <w:rStyle w:val="FootnoteReference"/>
          <w:rFonts w:ascii="Verdana" w:hAnsi="Verdana"/>
          <w:sz w:val="16"/>
          <w:szCs w:val="16"/>
        </w:rPr>
        <w:footnoteRef/>
      </w:r>
      <w:r w:rsidRPr="009265EA">
        <w:rPr>
          <w:rFonts w:ascii="Verdana" w:hAnsi="Verdana"/>
          <w:sz w:val="16"/>
          <w:szCs w:val="16"/>
        </w:rPr>
        <w:t xml:space="preserve"> </w:t>
      </w:r>
      <w:r w:rsidRPr="009265EA">
        <w:rPr>
          <w:rFonts w:ascii="Verdana" w:hAnsi="Verdana"/>
          <w:sz w:val="16"/>
          <w:szCs w:val="16"/>
        </w:rPr>
        <w:tab/>
        <w:t xml:space="preserve">En efecto, la razón por la cual la Sentencia decide que no hay violación es que “teniendo en cuenta que lo que está bajo análisis no es alguna providencia adoptada por el Estado que haya impedido el desarrollo progresivo del derecho a una pensión, sino más bien el incumplimiento estatal del pago ordenado por sus órganos judiciales, el Tribunal considera que los derechos afectados son aquellos protegidos en los artículos 25 y 21 de la Convención y no encuentra motivo para declarar adicionalmente el incumplimiento del artículo 26 de dicho instrumento”. </w:t>
      </w:r>
      <w:r w:rsidRPr="009265EA">
        <w:rPr>
          <w:rStyle w:val="Strong"/>
          <w:rFonts w:ascii="Verdana" w:hAnsi="Verdana"/>
          <w:b w:val="0"/>
          <w:i/>
          <w:sz w:val="16"/>
          <w:szCs w:val="16"/>
          <w:shd w:val="clear" w:color="auto" w:fill="FFFFFF"/>
        </w:rPr>
        <w:t>Caso Acevedo Buendía y otros (“Cesantes y Jubilados de la Contraloría”) Vs. Perú</w:t>
      </w:r>
      <w:r w:rsidRPr="009265EA">
        <w:rPr>
          <w:rStyle w:val="Strong"/>
          <w:rFonts w:ascii="Verdana" w:hAnsi="Verdana"/>
          <w:b w:val="0"/>
          <w:sz w:val="16"/>
          <w:szCs w:val="16"/>
          <w:shd w:val="clear" w:color="auto" w:fill="FFFFFF"/>
        </w:rPr>
        <w:t>, párr. 106.</w:t>
      </w:r>
    </w:p>
  </w:footnote>
  <w:footnote w:id="12">
    <w:p w:rsidR="009068BC" w:rsidRPr="009265EA" w:rsidRDefault="009068BC" w:rsidP="002B644C">
      <w:pPr>
        <w:pStyle w:val="FootnoteText"/>
        <w:spacing w:after="60"/>
        <w:jc w:val="both"/>
        <w:rPr>
          <w:rFonts w:ascii="Verdana" w:hAnsi="Verdana"/>
          <w:sz w:val="16"/>
          <w:szCs w:val="16"/>
          <w:lang w:val="es-CR"/>
        </w:rPr>
      </w:pPr>
      <w:r w:rsidRPr="009265EA">
        <w:rPr>
          <w:rStyle w:val="FootnoteReference"/>
          <w:rFonts w:ascii="Verdana" w:hAnsi="Verdana"/>
          <w:sz w:val="16"/>
          <w:szCs w:val="16"/>
        </w:rPr>
        <w:footnoteRef/>
      </w:r>
      <w:r w:rsidRPr="009265EA">
        <w:rPr>
          <w:rFonts w:ascii="Verdana" w:hAnsi="Verdana"/>
          <w:sz w:val="16"/>
          <w:szCs w:val="16"/>
        </w:rPr>
        <w:t xml:space="preserve"> </w:t>
      </w:r>
      <w:r w:rsidR="00EA3768" w:rsidRPr="009265EA">
        <w:rPr>
          <w:rFonts w:ascii="Verdana" w:hAnsi="Verdana"/>
          <w:sz w:val="16"/>
          <w:szCs w:val="16"/>
        </w:rPr>
        <w:tab/>
      </w:r>
      <w:r w:rsidRPr="009265EA">
        <w:rPr>
          <w:rFonts w:ascii="Verdana" w:hAnsi="Verdana"/>
          <w:sz w:val="16"/>
          <w:szCs w:val="16"/>
        </w:rPr>
        <w:t xml:space="preserve">Por ejemplo, el </w:t>
      </w:r>
      <w:r w:rsidRPr="009265EA">
        <w:rPr>
          <w:rFonts w:ascii="Verdana" w:hAnsi="Verdana"/>
          <w:sz w:val="16"/>
          <w:szCs w:val="16"/>
          <w:lang w:val="es-CR"/>
        </w:rPr>
        <w:t>artículo 45.b de la Carta establece que: “</w:t>
      </w:r>
      <w:r w:rsidRPr="009265EA">
        <w:rPr>
          <w:rFonts w:ascii="Verdana" w:hAnsi="Verdana" w:cs="Tahoma"/>
          <w:color w:val="000000"/>
          <w:sz w:val="16"/>
          <w:szCs w:val="16"/>
        </w:rPr>
        <w:t>El trabajo es un derecho y un deber social, otorga dignidad a quien lo realiza y debe prestarse en condiciones que, incluyendo un régimen de salarios justos, aseguren la vida, la salud y un nivel económico decoroso para el trabajador y su familia, tanto en sus años de trabajo como en su vejez, o cuando cualquier circunstancia lo prive de la posibilidad de trabajar</w:t>
      </w:r>
      <w:r w:rsidRPr="009265EA">
        <w:rPr>
          <w:rFonts w:ascii="Verdana" w:hAnsi="Verdana"/>
          <w:sz w:val="16"/>
          <w:szCs w:val="16"/>
          <w:lang w:val="es-CR"/>
        </w:rPr>
        <w:t>”.</w:t>
      </w:r>
    </w:p>
  </w:footnote>
  <w:footnote w:id="13">
    <w:p w:rsidR="00BC170A" w:rsidRPr="009265EA" w:rsidRDefault="00BC170A" w:rsidP="002B644C">
      <w:pPr>
        <w:pStyle w:val="FootnoteText"/>
        <w:spacing w:after="60"/>
        <w:jc w:val="both"/>
        <w:rPr>
          <w:rFonts w:ascii="Verdana" w:hAnsi="Verdana"/>
          <w:sz w:val="16"/>
          <w:szCs w:val="16"/>
          <w:lang w:val="es-CO"/>
        </w:rPr>
      </w:pPr>
      <w:r w:rsidRPr="009265EA">
        <w:rPr>
          <w:rStyle w:val="FootnoteReference"/>
          <w:rFonts w:ascii="Verdana" w:hAnsi="Verdana"/>
          <w:sz w:val="16"/>
          <w:szCs w:val="16"/>
        </w:rPr>
        <w:footnoteRef/>
      </w:r>
      <w:r w:rsidRPr="009265EA">
        <w:rPr>
          <w:rFonts w:ascii="Verdana" w:hAnsi="Verdana"/>
          <w:sz w:val="16"/>
          <w:szCs w:val="16"/>
          <w:lang w:val="es-CO"/>
        </w:rPr>
        <w:t xml:space="preserve"> </w:t>
      </w:r>
      <w:r w:rsidR="00EA3768" w:rsidRPr="009265EA">
        <w:rPr>
          <w:rFonts w:ascii="Verdana" w:hAnsi="Verdana"/>
          <w:sz w:val="16"/>
          <w:szCs w:val="16"/>
          <w:lang w:val="es-CO"/>
        </w:rPr>
        <w:tab/>
      </w:r>
      <w:r w:rsidRPr="009265EA">
        <w:rPr>
          <w:rFonts w:ascii="Verdana" w:hAnsi="Verdana"/>
          <w:sz w:val="16"/>
          <w:szCs w:val="16"/>
          <w:lang w:val="es-CO"/>
        </w:rPr>
        <w:t xml:space="preserve">Corte Interamericana de Derechos Humanos, </w:t>
      </w:r>
      <w:r w:rsidRPr="009265EA">
        <w:rPr>
          <w:rFonts w:ascii="Verdana" w:hAnsi="Verdana"/>
          <w:i/>
          <w:sz w:val="16"/>
          <w:szCs w:val="16"/>
          <w:lang w:val="es-CO"/>
        </w:rPr>
        <w:t xml:space="preserve">Documentos Básicos en Materia de Derechos Humanos en el Sistema Interamericano (Actualizado a febrero de 2012), </w:t>
      </w:r>
      <w:r w:rsidRPr="009265EA">
        <w:rPr>
          <w:rFonts w:ascii="Verdana" w:hAnsi="Verdana"/>
          <w:sz w:val="16"/>
          <w:szCs w:val="16"/>
          <w:lang w:val="es-CO"/>
        </w:rPr>
        <w:t xml:space="preserve">2012, </w:t>
      </w:r>
      <w:proofErr w:type="spellStart"/>
      <w:r w:rsidRPr="009265EA">
        <w:rPr>
          <w:rFonts w:ascii="Verdana" w:hAnsi="Verdana"/>
          <w:sz w:val="16"/>
          <w:szCs w:val="16"/>
          <w:lang w:val="es-CO"/>
        </w:rPr>
        <w:t>pp</w:t>
      </w:r>
      <w:proofErr w:type="spellEnd"/>
      <w:r w:rsidRPr="009265EA">
        <w:rPr>
          <w:rFonts w:ascii="Verdana" w:hAnsi="Verdana"/>
          <w:sz w:val="16"/>
          <w:szCs w:val="16"/>
          <w:lang w:val="es-CO"/>
        </w:rPr>
        <w:t xml:space="preserve"> 11. </w:t>
      </w:r>
    </w:p>
  </w:footnote>
  <w:footnote w:id="14">
    <w:p w:rsidR="00BC170A" w:rsidRPr="009265EA" w:rsidRDefault="00BC170A" w:rsidP="002B644C">
      <w:pPr>
        <w:pStyle w:val="FootnoteText"/>
        <w:spacing w:after="60"/>
        <w:jc w:val="both"/>
        <w:rPr>
          <w:rFonts w:ascii="Verdana" w:hAnsi="Verdana"/>
          <w:sz w:val="16"/>
          <w:szCs w:val="16"/>
          <w:lang w:val="es-CO"/>
        </w:rPr>
      </w:pPr>
      <w:r w:rsidRPr="009265EA">
        <w:rPr>
          <w:rStyle w:val="FootnoteReference"/>
          <w:rFonts w:ascii="Verdana" w:hAnsi="Verdana"/>
          <w:sz w:val="16"/>
          <w:szCs w:val="16"/>
        </w:rPr>
        <w:footnoteRef/>
      </w:r>
      <w:r w:rsidRPr="009265EA">
        <w:rPr>
          <w:rFonts w:ascii="Verdana" w:hAnsi="Verdana"/>
          <w:sz w:val="16"/>
          <w:szCs w:val="16"/>
          <w:lang w:val="es-CO"/>
        </w:rPr>
        <w:t xml:space="preserve"> </w:t>
      </w:r>
      <w:r w:rsidR="00EA3768" w:rsidRPr="009265EA">
        <w:rPr>
          <w:rFonts w:ascii="Verdana" w:hAnsi="Verdana"/>
          <w:sz w:val="16"/>
          <w:szCs w:val="16"/>
          <w:lang w:val="es-CO"/>
        </w:rPr>
        <w:tab/>
      </w:r>
      <w:r w:rsidRPr="009265EA">
        <w:rPr>
          <w:rFonts w:ascii="Verdana" w:hAnsi="Verdana"/>
          <w:sz w:val="16"/>
          <w:szCs w:val="16"/>
          <w:lang w:val="es-CO"/>
        </w:rPr>
        <w:t xml:space="preserve">Los Estados que han ratificado el Protocolo son: Argentina, Bolivia, Brasil, Colombia, Costa Rica, Ecuador, Honduras, México, Nicaragua, Panamá, Paraguay, Perú, El Salvador, Guatemala, </w:t>
      </w:r>
      <w:proofErr w:type="spellStart"/>
      <w:r w:rsidRPr="009265EA">
        <w:rPr>
          <w:rFonts w:ascii="Verdana" w:hAnsi="Verdana"/>
          <w:sz w:val="16"/>
          <w:szCs w:val="16"/>
          <w:lang w:val="es-CO"/>
        </w:rPr>
        <w:t>Suriname</w:t>
      </w:r>
      <w:proofErr w:type="spellEnd"/>
      <w:r w:rsidRPr="009265EA">
        <w:rPr>
          <w:rFonts w:ascii="Verdana" w:hAnsi="Verdana"/>
          <w:sz w:val="16"/>
          <w:szCs w:val="16"/>
          <w:lang w:val="es-CO"/>
        </w:rPr>
        <w:t xml:space="preserve"> y Uruguay. Extraído el 10 de septiembre de 2015 desde </w:t>
      </w:r>
      <w:hyperlink r:id="rId1" w:history="1">
        <w:r w:rsidRPr="009265EA">
          <w:rPr>
            <w:rStyle w:val="Hyperlink"/>
            <w:rFonts w:ascii="Verdana" w:hAnsi="Verdana"/>
            <w:sz w:val="16"/>
            <w:szCs w:val="16"/>
            <w:lang w:val="es-CO"/>
          </w:rPr>
          <w:t>http://www.oas.org/juridico/spanish/firmas/a-52.html</w:t>
        </w:r>
      </w:hyperlink>
      <w:r w:rsidRPr="009265EA">
        <w:rPr>
          <w:rFonts w:ascii="Verdana" w:hAnsi="Verdana"/>
          <w:sz w:val="16"/>
          <w:szCs w:val="16"/>
          <w:lang w:val="es-CO"/>
        </w:rPr>
        <w:t xml:space="preserve">. </w:t>
      </w:r>
    </w:p>
  </w:footnote>
  <w:footnote w:id="15">
    <w:p w:rsidR="00932D23" w:rsidRPr="009265EA" w:rsidRDefault="00932D23" w:rsidP="002B644C">
      <w:pPr>
        <w:pStyle w:val="FootnoteText"/>
        <w:spacing w:after="60"/>
        <w:jc w:val="both"/>
        <w:rPr>
          <w:rFonts w:ascii="Verdana" w:hAnsi="Verdana"/>
          <w:sz w:val="16"/>
          <w:szCs w:val="16"/>
        </w:rPr>
      </w:pPr>
      <w:r w:rsidRPr="009265EA">
        <w:rPr>
          <w:rStyle w:val="FootnoteReference"/>
          <w:rFonts w:ascii="Verdana" w:hAnsi="Verdana"/>
          <w:sz w:val="16"/>
          <w:szCs w:val="16"/>
        </w:rPr>
        <w:footnoteRef/>
      </w:r>
      <w:r w:rsidRPr="009265EA">
        <w:rPr>
          <w:rFonts w:ascii="Verdana" w:hAnsi="Verdana"/>
          <w:sz w:val="16"/>
          <w:szCs w:val="16"/>
        </w:rPr>
        <w:t xml:space="preserve"> </w:t>
      </w:r>
      <w:r w:rsidR="00983437" w:rsidRPr="009265EA">
        <w:rPr>
          <w:rFonts w:ascii="Verdana" w:hAnsi="Verdana"/>
          <w:sz w:val="16"/>
          <w:szCs w:val="16"/>
        </w:rPr>
        <w:tab/>
      </w:r>
      <w:r w:rsidR="00FE7AD6">
        <w:rPr>
          <w:rFonts w:ascii="Verdana" w:hAnsi="Verdana"/>
          <w:sz w:val="16"/>
          <w:szCs w:val="16"/>
        </w:rPr>
        <w:t xml:space="preserve">Véase, Definiciones de términos fundamentales en la Colección de Tratados de las Naciones Unidas. Consultado en: </w:t>
      </w:r>
      <w:hyperlink r:id="rId2" w:anchor="protocols" w:history="1">
        <w:r w:rsidR="00983437" w:rsidRPr="009265EA">
          <w:rPr>
            <w:rStyle w:val="Hyperlink"/>
            <w:rFonts w:ascii="Verdana" w:hAnsi="Verdana"/>
            <w:sz w:val="16"/>
            <w:szCs w:val="16"/>
            <w:lang w:val="es-CO"/>
          </w:rPr>
          <w:t>http://www.un.org/es/treaty/untc.shtml#protocols</w:t>
        </w:r>
      </w:hyperlink>
      <w:r w:rsidR="00FE7AD6">
        <w:rPr>
          <w:rStyle w:val="Hyperlink"/>
          <w:rFonts w:ascii="Verdana" w:hAnsi="Verdana"/>
          <w:sz w:val="16"/>
          <w:szCs w:val="16"/>
          <w:lang w:val="es-CO"/>
        </w:rPr>
        <w:t>.</w:t>
      </w:r>
    </w:p>
  </w:footnote>
  <w:footnote w:id="16">
    <w:p w:rsidR="002D0239" w:rsidRPr="009265EA" w:rsidRDefault="002D0239" w:rsidP="002B644C">
      <w:pPr>
        <w:pStyle w:val="FootnoteText"/>
        <w:spacing w:after="60"/>
        <w:jc w:val="both"/>
        <w:rPr>
          <w:rFonts w:ascii="Verdana" w:hAnsi="Verdana"/>
          <w:sz w:val="16"/>
          <w:szCs w:val="16"/>
          <w:lang w:val="es-CR"/>
        </w:rPr>
      </w:pPr>
      <w:r w:rsidRPr="009265EA">
        <w:rPr>
          <w:rStyle w:val="FootnoteReference"/>
          <w:rFonts w:ascii="Verdana" w:hAnsi="Verdana"/>
          <w:sz w:val="16"/>
          <w:szCs w:val="16"/>
        </w:rPr>
        <w:footnoteRef/>
      </w:r>
      <w:r w:rsidRPr="009265EA">
        <w:rPr>
          <w:rFonts w:ascii="Verdana" w:hAnsi="Verdana"/>
          <w:sz w:val="16"/>
          <w:szCs w:val="16"/>
        </w:rPr>
        <w:t xml:space="preserve"> </w:t>
      </w:r>
      <w:r w:rsidRPr="009265EA">
        <w:rPr>
          <w:rFonts w:ascii="Verdana" w:hAnsi="Verdana"/>
          <w:sz w:val="16"/>
          <w:szCs w:val="16"/>
        </w:rPr>
        <w:tab/>
      </w:r>
      <w:r w:rsidR="00FE7AD6">
        <w:rPr>
          <w:rFonts w:ascii="Verdana" w:hAnsi="Verdana"/>
          <w:sz w:val="16"/>
          <w:szCs w:val="16"/>
        </w:rPr>
        <w:t xml:space="preserve">Párr. 291 de la Sentencia. </w:t>
      </w:r>
      <w:r w:rsidRPr="009265EA">
        <w:rPr>
          <w:rFonts w:ascii="Verdana" w:hAnsi="Verdana"/>
          <w:sz w:val="16"/>
          <w:szCs w:val="16"/>
          <w:lang w:val="es-CR"/>
        </w:rPr>
        <w:t>.</w:t>
      </w:r>
    </w:p>
  </w:footnote>
  <w:footnote w:id="17">
    <w:p w:rsidR="00031AE9" w:rsidRPr="009265EA" w:rsidRDefault="00031AE9" w:rsidP="002B644C">
      <w:pPr>
        <w:pStyle w:val="FootnoteText"/>
        <w:spacing w:after="60"/>
        <w:jc w:val="both"/>
        <w:rPr>
          <w:rFonts w:ascii="Verdana" w:hAnsi="Verdana"/>
          <w:sz w:val="16"/>
          <w:szCs w:val="16"/>
          <w:lang w:val="es-CO"/>
        </w:rPr>
      </w:pPr>
      <w:r w:rsidRPr="009265EA">
        <w:rPr>
          <w:rStyle w:val="FootnoteReference"/>
          <w:rFonts w:ascii="Verdana" w:hAnsi="Verdana"/>
          <w:sz w:val="16"/>
          <w:szCs w:val="16"/>
        </w:rPr>
        <w:footnoteRef/>
      </w:r>
      <w:r w:rsidRPr="009265EA">
        <w:rPr>
          <w:rFonts w:ascii="Verdana" w:hAnsi="Verdana"/>
          <w:sz w:val="16"/>
          <w:szCs w:val="16"/>
          <w:lang w:val="es-CO"/>
        </w:rPr>
        <w:t xml:space="preserve"> </w:t>
      </w:r>
      <w:r w:rsidRPr="009265EA">
        <w:rPr>
          <w:rFonts w:ascii="Verdana" w:hAnsi="Verdana"/>
          <w:sz w:val="16"/>
          <w:szCs w:val="16"/>
          <w:lang w:val="es-CO"/>
        </w:rPr>
        <w:tab/>
      </w:r>
      <w:r w:rsidR="003F61D7">
        <w:rPr>
          <w:rFonts w:ascii="Verdana" w:hAnsi="Verdana"/>
          <w:sz w:val="16"/>
          <w:szCs w:val="16"/>
          <w:lang w:val="es-CO"/>
        </w:rPr>
        <w:t xml:space="preserve">Ver, por ejemplo, </w:t>
      </w:r>
      <w:r w:rsidRPr="00D05439">
        <w:rPr>
          <w:rFonts w:ascii="Verdana" w:hAnsi="Verdana"/>
          <w:i/>
          <w:sz w:val="16"/>
          <w:szCs w:val="16"/>
          <w:lang w:val="es-CO"/>
        </w:rPr>
        <w:t xml:space="preserve">Caso </w:t>
      </w:r>
      <w:proofErr w:type="spellStart"/>
      <w:r w:rsidRPr="00D05439">
        <w:rPr>
          <w:rFonts w:ascii="Verdana" w:hAnsi="Verdana"/>
          <w:i/>
          <w:sz w:val="16"/>
          <w:szCs w:val="16"/>
          <w:lang w:val="es-CO"/>
        </w:rPr>
        <w:t>Artavia</w:t>
      </w:r>
      <w:proofErr w:type="spellEnd"/>
      <w:r w:rsidRPr="00D05439">
        <w:rPr>
          <w:rFonts w:ascii="Verdana" w:hAnsi="Verdana"/>
          <w:i/>
          <w:sz w:val="16"/>
          <w:szCs w:val="16"/>
          <w:lang w:val="es-CO"/>
        </w:rPr>
        <w:t xml:space="preserve"> Murillo y </w:t>
      </w:r>
      <w:r w:rsidR="00945737">
        <w:rPr>
          <w:rFonts w:ascii="Verdana" w:hAnsi="Verdana"/>
          <w:i/>
          <w:sz w:val="16"/>
          <w:szCs w:val="16"/>
          <w:lang w:val="es-CO"/>
        </w:rPr>
        <w:t>o</w:t>
      </w:r>
      <w:r w:rsidRPr="00D05439">
        <w:rPr>
          <w:rFonts w:ascii="Verdana" w:hAnsi="Verdana"/>
          <w:i/>
          <w:sz w:val="16"/>
          <w:szCs w:val="16"/>
          <w:lang w:val="es-CO"/>
        </w:rPr>
        <w:t>tros</w:t>
      </w:r>
      <w:r w:rsidR="00945737">
        <w:rPr>
          <w:rFonts w:ascii="Verdana" w:hAnsi="Verdana"/>
          <w:i/>
          <w:sz w:val="16"/>
          <w:szCs w:val="16"/>
          <w:lang w:val="es-CO"/>
        </w:rPr>
        <w:t xml:space="preserve"> (Fecundación in vitro)</w:t>
      </w:r>
      <w:r w:rsidRPr="00D05439">
        <w:rPr>
          <w:rFonts w:ascii="Verdana" w:hAnsi="Verdana"/>
          <w:i/>
          <w:sz w:val="16"/>
          <w:szCs w:val="16"/>
          <w:lang w:val="es-CO"/>
        </w:rPr>
        <w:t xml:space="preserve"> Vs</w:t>
      </w:r>
      <w:r w:rsidR="00945737">
        <w:rPr>
          <w:rFonts w:ascii="Verdana" w:hAnsi="Verdana"/>
          <w:i/>
          <w:sz w:val="16"/>
          <w:szCs w:val="16"/>
          <w:lang w:val="es-CO"/>
        </w:rPr>
        <w:t>.</w:t>
      </w:r>
      <w:r w:rsidRPr="00D05439">
        <w:rPr>
          <w:rFonts w:ascii="Verdana" w:hAnsi="Verdana"/>
          <w:i/>
          <w:sz w:val="16"/>
          <w:szCs w:val="16"/>
          <w:lang w:val="es-CO"/>
        </w:rPr>
        <w:t xml:space="preserve"> Costa Rica. Excepci</w:t>
      </w:r>
      <w:r w:rsidR="00945737">
        <w:rPr>
          <w:rFonts w:ascii="Verdana" w:hAnsi="Verdana"/>
          <w:i/>
          <w:sz w:val="16"/>
          <w:szCs w:val="16"/>
          <w:lang w:val="es-CO"/>
        </w:rPr>
        <w:t>o</w:t>
      </w:r>
      <w:r w:rsidRPr="00D05439">
        <w:rPr>
          <w:rFonts w:ascii="Verdana" w:hAnsi="Verdana"/>
          <w:i/>
          <w:sz w:val="16"/>
          <w:szCs w:val="16"/>
          <w:lang w:val="es-CO"/>
        </w:rPr>
        <w:t>n</w:t>
      </w:r>
      <w:r w:rsidR="00945737">
        <w:rPr>
          <w:rFonts w:ascii="Verdana" w:hAnsi="Verdana"/>
          <w:i/>
          <w:sz w:val="16"/>
          <w:szCs w:val="16"/>
          <w:lang w:val="es-CO"/>
        </w:rPr>
        <w:t>es</w:t>
      </w:r>
      <w:r w:rsidRPr="00D05439">
        <w:rPr>
          <w:rFonts w:ascii="Verdana" w:hAnsi="Verdana"/>
          <w:i/>
          <w:sz w:val="16"/>
          <w:szCs w:val="16"/>
          <w:lang w:val="es-CO"/>
        </w:rPr>
        <w:t xml:space="preserve"> Preliminar</w:t>
      </w:r>
      <w:r w:rsidR="00945737">
        <w:rPr>
          <w:rFonts w:ascii="Verdana" w:hAnsi="Verdana"/>
          <w:i/>
          <w:sz w:val="16"/>
          <w:szCs w:val="16"/>
          <w:lang w:val="es-CO"/>
        </w:rPr>
        <w:t>es</w:t>
      </w:r>
      <w:r w:rsidRPr="00D05439">
        <w:rPr>
          <w:rFonts w:ascii="Verdana" w:hAnsi="Verdana"/>
          <w:i/>
          <w:sz w:val="16"/>
          <w:szCs w:val="16"/>
          <w:lang w:val="es-CO"/>
        </w:rPr>
        <w:t>, Fondo, Reparaciones y Costas</w:t>
      </w:r>
      <w:r w:rsidRPr="009265EA">
        <w:rPr>
          <w:rFonts w:ascii="Verdana" w:hAnsi="Verdana"/>
          <w:sz w:val="16"/>
          <w:szCs w:val="16"/>
          <w:lang w:val="es-CO"/>
        </w:rPr>
        <w:t>. Sentencia del 28 de noviembre de 2012. Serie C No</w:t>
      </w:r>
      <w:r w:rsidR="003F61D7">
        <w:rPr>
          <w:rFonts w:ascii="Verdana" w:hAnsi="Verdana"/>
          <w:sz w:val="16"/>
          <w:szCs w:val="16"/>
          <w:lang w:val="es-CO"/>
        </w:rPr>
        <w:t>.</w:t>
      </w:r>
      <w:r w:rsidRPr="009265EA">
        <w:rPr>
          <w:rFonts w:ascii="Verdana" w:hAnsi="Verdana"/>
          <w:sz w:val="16"/>
          <w:szCs w:val="16"/>
          <w:lang w:val="es-CO"/>
        </w:rPr>
        <w:t xml:space="preserve"> 257, párr. 178</w:t>
      </w:r>
      <w:r w:rsidR="00D12221" w:rsidRPr="009265EA">
        <w:rPr>
          <w:rFonts w:ascii="Verdana" w:hAnsi="Verdana" w:cs="Univers"/>
          <w:sz w:val="16"/>
          <w:szCs w:val="16"/>
          <w:lang w:val="es-CO"/>
        </w:rPr>
        <w:t>, y</w:t>
      </w:r>
      <w:r w:rsidRPr="009265EA">
        <w:rPr>
          <w:rFonts w:ascii="Verdana" w:hAnsi="Verdana" w:cs="Univers"/>
          <w:sz w:val="16"/>
          <w:szCs w:val="16"/>
          <w:lang w:val="es-CO"/>
        </w:rPr>
        <w:t xml:space="preserve"> </w:t>
      </w:r>
      <w:r w:rsidRPr="00D05439">
        <w:rPr>
          <w:rFonts w:ascii="Verdana" w:hAnsi="Verdana"/>
          <w:i/>
          <w:sz w:val="16"/>
          <w:szCs w:val="16"/>
          <w:lang w:val="es-CO"/>
        </w:rPr>
        <w:t>Caso Mohamed Vs. Argentina. Excepción Preliminar, Fondo, Reparaciones y Costas</w:t>
      </w:r>
      <w:r w:rsidRPr="009265EA">
        <w:rPr>
          <w:rFonts w:ascii="Verdana" w:hAnsi="Verdana"/>
          <w:sz w:val="16"/>
          <w:szCs w:val="16"/>
          <w:lang w:val="es-CO"/>
        </w:rPr>
        <w:t>. Sentencia del 23 de noviembre de 2012. Serie C No</w:t>
      </w:r>
      <w:r w:rsidR="00945737">
        <w:rPr>
          <w:rFonts w:ascii="Verdana" w:hAnsi="Verdana"/>
          <w:sz w:val="16"/>
          <w:szCs w:val="16"/>
          <w:lang w:val="es-CO"/>
        </w:rPr>
        <w:t>.</w:t>
      </w:r>
      <w:r w:rsidRPr="009265EA">
        <w:rPr>
          <w:rFonts w:ascii="Verdana" w:hAnsi="Verdana"/>
          <w:sz w:val="16"/>
          <w:szCs w:val="16"/>
          <w:lang w:val="es-CO"/>
        </w:rPr>
        <w:t xml:space="preserve"> 255, párr. 93.</w:t>
      </w:r>
    </w:p>
  </w:footnote>
  <w:footnote w:id="18">
    <w:p w:rsidR="00031AE9" w:rsidRPr="009265EA" w:rsidRDefault="00031AE9" w:rsidP="002B644C">
      <w:pPr>
        <w:pStyle w:val="FootnoteText"/>
        <w:spacing w:after="60"/>
        <w:jc w:val="both"/>
        <w:rPr>
          <w:rFonts w:ascii="Verdana" w:hAnsi="Verdana"/>
          <w:sz w:val="16"/>
          <w:szCs w:val="16"/>
          <w:lang w:val="es-CO"/>
        </w:rPr>
      </w:pPr>
      <w:r w:rsidRPr="009265EA">
        <w:rPr>
          <w:rStyle w:val="FootnoteReference"/>
          <w:rFonts w:ascii="Verdana" w:hAnsi="Verdana"/>
          <w:sz w:val="16"/>
          <w:szCs w:val="16"/>
        </w:rPr>
        <w:footnoteRef/>
      </w:r>
      <w:r w:rsidRPr="009265EA">
        <w:rPr>
          <w:rFonts w:ascii="Verdana" w:hAnsi="Verdana"/>
          <w:sz w:val="16"/>
          <w:szCs w:val="16"/>
          <w:lang w:val="es-CO"/>
        </w:rPr>
        <w:t xml:space="preserve"> </w:t>
      </w:r>
      <w:r w:rsidRPr="009265EA">
        <w:rPr>
          <w:rFonts w:ascii="Verdana" w:hAnsi="Verdana"/>
          <w:sz w:val="16"/>
          <w:szCs w:val="16"/>
          <w:lang w:val="es-CO"/>
        </w:rPr>
        <w:tab/>
      </w:r>
      <w:r w:rsidR="00945737">
        <w:rPr>
          <w:rFonts w:ascii="Verdana" w:hAnsi="Verdana"/>
          <w:i/>
          <w:sz w:val="16"/>
          <w:szCs w:val="16"/>
          <w:lang w:val="es-CO"/>
        </w:rPr>
        <w:t xml:space="preserve">Cfr. </w:t>
      </w:r>
      <w:r w:rsidRPr="00D05439">
        <w:rPr>
          <w:rFonts w:ascii="Verdana" w:hAnsi="Verdana"/>
          <w:i/>
          <w:sz w:val="16"/>
          <w:szCs w:val="16"/>
          <w:lang w:val="es-CO"/>
        </w:rPr>
        <w:t xml:space="preserve">Caso </w:t>
      </w:r>
      <w:proofErr w:type="spellStart"/>
      <w:r w:rsidRPr="00D05439">
        <w:rPr>
          <w:rFonts w:ascii="Verdana" w:hAnsi="Verdana"/>
          <w:i/>
          <w:sz w:val="16"/>
          <w:szCs w:val="16"/>
          <w:lang w:val="es-CO"/>
        </w:rPr>
        <w:t>Artavia</w:t>
      </w:r>
      <w:proofErr w:type="spellEnd"/>
      <w:r w:rsidRPr="00D05439">
        <w:rPr>
          <w:rFonts w:ascii="Verdana" w:hAnsi="Verdana"/>
          <w:i/>
          <w:sz w:val="16"/>
          <w:szCs w:val="16"/>
          <w:lang w:val="es-CO"/>
        </w:rPr>
        <w:t xml:space="preserve"> Murillo y </w:t>
      </w:r>
      <w:r w:rsidR="00945737">
        <w:rPr>
          <w:rFonts w:ascii="Verdana" w:hAnsi="Verdana"/>
          <w:i/>
          <w:sz w:val="16"/>
          <w:szCs w:val="16"/>
          <w:lang w:val="es-CO"/>
        </w:rPr>
        <w:t>o</w:t>
      </w:r>
      <w:r w:rsidRPr="00D05439">
        <w:rPr>
          <w:rFonts w:ascii="Verdana" w:hAnsi="Verdana"/>
          <w:i/>
          <w:sz w:val="16"/>
          <w:szCs w:val="16"/>
          <w:lang w:val="es-CO"/>
        </w:rPr>
        <w:t xml:space="preserve">tros </w:t>
      </w:r>
      <w:r w:rsidR="00945737">
        <w:rPr>
          <w:rFonts w:ascii="Verdana" w:hAnsi="Verdana"/>
          <w:i/>
          <w:sz w:val="16"/>
          <w:szCs w:val="16"/>
          <w:lang w:val="es-CO"/>
        </w:rPr>
        <w:t xml:space="preserve">(Fecundación in vitro) </w:t>
      </w:r>
      <w:r w:rsidRPr="00D05439">
        <w:rPr>
          <w:rFonts w:ascii="Verdana" w:hAnsi="Verdana"/>
          <w:i/>
          <w:sz w:val="16"/>
          <w:szCs w:val="16"/>
          <w:lang w:val="es-CO"/>
        </w:rPr>
        <w:t>Vs</w:t>
      </w:r>
      <w:r w:rsidR="00945737">
        <w:rPr>
          <w:rFonts w:ascii="Verdana" w:hAnsi="Verdana"/>
          <w:i/>
          <w:sz w:val="16"/>
          <w:szCs w:val="16"/>
          <w:lang w:val="es-CO"/>
        </w:rPr>
        <w:t>.</w:t>
      </w:r>
      <w:r w:rsidRPr="00D05439">
        <w:rPr>
          <w:rFonts w:ascii="Verdana" w:hAnsi="Verdana"/>
          <w:i/>
          <w:sz w:val="16"/>
          <w:szCs w:val="16"/>
          <w:lang w:val="es-CO"/>
        </w:rPr>
        <w:t xml:space="preserve"> </w:t>
      </w:r>
      <w:r w:rsidR="00D12221" w:rsidRPr="00D05439">
        <w:rPr>
          <w:rFonts w:ascii="Verdana" w:hAnsi="Verdana"/>
          <w:i/>
          <w:sz w:val="16"/>
          <w:szCs w:val="16"/>
          <w:lang w:val="es-CO"/>
        </w:rPr>
        <w:t>Costa Rica</w:t>
      </w:r>
      <w:r w:rsidRPr="009265EA">
        <w:rPr>
          <w:rFonts w:ascii="Verdana" w:hAnsi="Verdana"/>
          <w:sz w:val="16"/>
          <w:szCs w:val="16"/>
          <w:lang w:val="es-CO"/>
        </w:rPr>
        <w:t>,</w:t>
      </w:r>
      <w:r w:rsidR="00D12221" w:rsidRPr="009265EA">
        <w:rPr>
          <w:rFonts w:ascii="Verdana" w:hAnsi="Verdana"/>
          <w:sz w:val="16"/>
          <w:szCs w:val="16"/>
          <w:lang w:val="es-CO"/>
        </w:rPr>
        <w:t xml:space="preserve"> párr. 191, y </w:t>
      </w:r>
      <w:r w:rsidRPr="00D05439">
        <w:rPr>
          <w:rFonts w:ascii="Verdana" w:hAnsi="Verdana"/>
          <w:i/>
          <w:sz w:val="16"/>
          <w:szCs w:val="16"/>
          <w:lang w:val="es-CO"/>
        </w:rPr>
        <w:t>Caso González y otras (“Campo Algodonero”) Vs. México</w:t>
      </w:r>
      <w:r w:rsidRPr="009265EA">
        <w:rPr>
          <w:rFonts w:ascii="Verdana" w:hAnsi="Verdana"/>
          <w:sz w:val="16"/>
          <w:szCs w:val="16"/>
          <w:lang w:val="es-CO"/>
        </w:rPr>
        <w:t xml:space="preserve">. </w:t>
      </w:r>
      <w:r w:rsidRPr="00D05439">
        <w:rPr>
          <w:rFonts w:ascii="Verdana" w:hAnsi="Verdana"/>
          <w:i/>
          <w:sz w:val="16"/>
          <w:szCs w:val="16"/>
          <w:lang w:val="es-CO"/>
        </w:rPr>
        <w:t>Excepción Preliminar, Fondo, Reparaciones y Costas.</w:t>
      </w:r>
      <w:r w:rsidRPr="009265EA">
        <w:rPr>
          <w:rFonts w:ascii="Verdana" w:hAnsi="Verdana"/>
          <w:sz w:val="16"/>
          <w:szCs w:val="16"/>
          <w:lang w:val="es-CO"/>
        </w:rPr>
        <w:t xml:space="preserve"> Sentencia de 16 de noviembre de 2009. </w:t>
      </w:r>
      <w:r w:rsidRPr="009265EA">
        <w:rPr>
          <w:rFonts w:ascii="Verdana" w:hAnsi="Verdana"/>
          <w:sz w:val="16"/>
          <w:szCs w:val="16"/>
        </w:rPr>
        <w:t>Serie C No. 205, párr. 43.</w:t>
      </w:r>
    </w:p>
  </w:footnote>
  <w:footnote w:id="19">
    <w:p w:rsidR="00031AE9" w:rsidRPr="009265EA" w:rsidRDefault="00031AE9" w:rsidP="002B644C">
      <w:pPr>
        <w:pStyle w:val="FootnoteText"/>
        <w:spacing w:after="60"/>
        <w:jc w:val="both"/>
        <w:rPr>
          <w:rFonts w:ascii="Verdana" w:hAnsi="Verdana"/>
          <w:sz w:val="16"/>
          <w:szCs w:val="16"/>
          <w:lang w:val="es-CO"/>
        </w:rPr>
      </w:pPr>
      <w:r w:rsidRPr="009265EA">
        <w:rPr>
          <w:rStyle w:val="FootnoteReference"/>
          <w:rFonts w:ascii="Verdana" w:hAnsi="Verdana"/>
          <w:sz w:val="16"/>
          <w:szCs w:val="16"/>
        </w:rPr>
        <w:footnoteRef/>
      </w:r>
      <w:r w:rsidRPr="009265EA">
        <w:rPr>
          <w:rFonts w:ascii="Verdana" w:hAnsi="Verdana"/>
          <w:sz w:val="16"/>
          <w:szCs w:val="16"/>
          <w:lang w:val="es-CO"/>
        </w:rPr>
        <w:t xml:space="preserve"> </w:t>
      </w:r>
      <w:r w:rsidRPr="009265EA">
        <w:rPr>
          <w:rFonts w:ascii="Verdana" w:hAnsi="Verdana"/>
          <w:sz w:val="16"/>
          <w:szCs w:val="16"/>
          <w:lang w:val="es-CO"/>
        </w:rPr>
        <w:tab/>
      </w:r>
      <w:r w:rsidR="00945737">
        <w:rPr>
          <w:rFonts w:ascii="Verdana" w:hAnsi="Verdana"/>
          <w:i/>
          <w:sz w:val="16"/>
          <w:szCs w:val="16"/>
          <w:lang w:val="es-CO"/>
        </w:rPr>
        <w:t xml:space="preserve">Cfr. </w:t>
      </w:r>
      <w:r w:rsidRPr="00D05439">
        <w:rPr>
          <w:rFonts w:ascii="Verdana" w:hAnsi="Verdana"/>
          <w:i/>
          <w:sz w:val="16"/>
          <w:szCs w:val="16"/>
          <w:lang w:val="es-CO"/>
        </w:rPr>
        <w:t>Caso</w:t>
      </w:r>
      <w:r w:rsidRPr="009265EA">
        <w:rPr>
          <w:rFonts w:ascii="Verdana" w:hAnsi="Verdana"/>
          <w:sz w:val="16"/>
          <w:szCs w:val="16"/>
          <w:lang w:val="es-CO"/>
        </w:rPr>
        <w:t xml:space="preserve"> </w:t>
      </w:r>
      <w:proofErr w:type="spellStart"/>
      <w:r w:rsidRPr="00D05439">
        <w:rPr>
          <w:rFonts w:ascii="Verdana" w:hAnsi="Verdana"/>
          <w:i/>
          <w:sz w:val="16"/>
          <w:szCs w:val="16"/>
          <w:lang w:val="es-CO"/>
        </w:rPr>
        <w:t>Artavia</w:t>
      </w:r>
      <w:proofErr w:type="spellEnd"/>
      <w:r w:rsidRPr="00D05439">
        <w:rPr>
          <w:rFonts w:ascii="Verdana" w:hAnsi="Verdana"/>
          <w:i/>
          <w:sz w:val="16"/>
          <w:szCs w:val="16"/>
          <w:lang w:val="es-CO"/>
        </w:rPr>
        <w:t xml:space="preserve"> Mu</w:t>
      </w:r>
      <w:r w:rsidR="00D12221" w:rsidRPr="00D05439">
        <w:rPr>
          <w:rFonts w:ascii="Verdana" w:hAnsi="Verdana"/>
          <w:i/>
          <w:sz w:val="16"/>
          <w:szCs w:val="16"/>
          <w:lang w:val="es-CO"/>
        </w:rPr>
        <w:t xml:space="preserve">rillo y </w:t>
      </w:r>
      <w:r w:rsidR="00945737">
        <w:rPr>
          <w:rFonts w:ascii="Verdana" w:hAnsi="Verdana"/>
          <w:i/>
          <w:sz w:val="16"/>
          <w:szCs w:val="16"/>
          <w:lang w:val="es-CO"/>
        </w:rPr>
        <w:t>o</w:t>
      </w:r>
      <w:r w:rsidR="00D12221" w:rsidRPr="00D05439">
        <w:rPr>
          <w:rFonts w:ascii="Verdana" w:hAnsi="Verdana"/>
          <w:i/>
          <w:sz w:val="16"/>
          <w:szCs w:val="16"/>
          <w:lang w:val="es-CO"/>
        </w:rPr>
        <w:t>tros</w:t>
      </w:r>
      <w:r w:rsidR="00945737" w:rsidRPr="00D05439">
        <w:rPr>
          <w:rFonts w:ascii="Verdana" w:hAnsi="Verdana"/>
          <w:i/>
          <w:sz w:val="16"/>
          <w:szCs w:val="16"/>
          <w:lang w:val="es-CO"/>
        </w:rPr>
        <w:t xml:space="preserve"> (</w:t>
      </w:r>
      <w:r w:rsidR="00945737" w:rsidRPr="00945737">
        <w:rPr>
          <w:rFonts w:ascii="Verdana" w:hAnsi="Verdana"/>
          <w:i/>
          <w:sz w:val="16"/>
          <w:szCs w:val="16"/>
          <w:lang w:val="es-CO"/>
        </w:rPr>
        <w:t xml:space="preserve">Fecundación in vitro) Vs. </w:t>
      </w:r>
      <w:r w:rsidR="00D12221" w:rsidRPr="00D05439">
        <w:rPr>
          <w:rFonts w:ascii="Verdana" w:hAnsi="Verdana"/>
          <w:i/>
          <w:sz w:val="16"/>
          <w:szCs w:val="16"/>
          <w:lang w:val="es-CO"/>
        </w:rPr>
        <w:t>Costa Rica</w:t>
      </w:r>
      <w:r w:rsidRPr="009265EA">
        <w:rPr>
          <w:rFonts w:ascii="Verdana" w:hAnsi="Verdana"/>
          <w:sz w:val="16"/>
          <w:szCs w:val="16"/>
          <w:lang w:val="es-CO"/>
        </w:rPr>
        <w:t xml:space="preserve">, </w:t>
      </w:r>
      <w:proofErr w:type="spellStart"/>
      <w:r w:rsidR="00D12221" w:rsidRPr="009265EA">
        <w:rPr>
          <w:rFonts w:ascii="Verdana" w:hAnsi="Verdana"/>
          <w:sz w:val="16"/>
          <w:szCs w:val="16"/>
          <w:lang w:val="es-CO"/>
        </w:rPr>
        <w:t>párr</w:t>
      </w:r>
      <w:r w:rsidR="00945737">
        <w:rPr>
          <w:rFonts w:ascii="Verdana" w:hAnsi="Verdana"/>
          <w:sz w:val="16"/>
          <w:szCs w:val="16"/>
          <w:lang w:val="es-CO"/>
        </w:rPr>
        <w:t>s</w:t>
      </w:r>
      <w:proofErr w:type="spellEnd"/>
      <w:r w:rsidR="00D12221" w:rsidRPr="009265EA">
        <w:rPr>
          <w:rFonts w:ascii="Verdana" w:hAnsi="Verdana"/>
          <w:sz w:val="16"/>
          <w:szCs w:val="16"/>
          <w:lang w:val="es-CO"/>
        </w:rPr>
        <w:t xml:space="preserve">. 191 a </w:t>
      </w:r>
      <w:r w:rsidRPr="009265EA">
        <w:rPr>
          <w:rFonts w:ascii="Verdana" w:hAnsi="Verdana"/>
          <w:sz w:val="16"/>
          <w:szCs w:val="16"/>
          <w:lang w:val="es-CO"/>
        </w:rPr>
        <w:t>244.</w:t>
      </w:r>
    </w:p>
  </w:footnote>
  <w:footnote w:id="20">
    <w:p w:rsidR="00FE1D5D" w:rsidRPr="009265EA" w:rsidRDefault="00FE1D5D" w:rsidP="002B644C">
      <w:pPr>
        <w:pStyle w:val="FootnoteText"/>
        <w:spacing w:after="60"/>
        <w:jc w:val="both"/>
        <w:rPr>
          <w:rStyle w:val="Strong"/>
          <w:rFonts w:ascii="Verdana" w:hAnsi="Verdana"/>
          <w:b w:val="0"/>
          <w:color w:val="000000"/>
          <w:sz w:val="16"/>
          <w:szCs w:val="16"/>
          <w:lang w:val="es-CO"/>
        </w:rPr>
      </w:pPr>
      <w:r w:rsidRPr="009265EA">
        <w:rPr>
          <w:rStyle w:val="FootnoteReference"/>
          <w:rFonts w:ascii="Verdana" w:hAnsi="Verdana"/>
          <w:sz w:val="16"/>
          <w:szCs w:val="16"/>
        </w:rPr>
        <w:footnoteRef/>
      </w:r>
      <w:r w:rsidRPr="009265EA">
        <w:rPr>
          <w:rFonts w:ascii="Verdana" w:hAnsi="Verdana"/>
          <w:sz w:val="16"/>
          <w:szCs w:val="16"/>
        </w:rPr>
        <w:t xml:space="preserve"> </w:t>
      </w:r>
      <w:r w:rsidRPr="009265EA">
        <w:rPr>
          <w:rFonts w:ascii="Verdana" w:hAnsi="Verdana"/>
          <w:sz w:val="16"/>
          <w:szCs w:val="16"/>
        </w:rPr>
        <w:tab/>
      </w:r>
      <w:r w:rsidR="00D12221" w:rsidRPr="00D05439">
        <w:rPr>
          <w:rFonts w:ascii="Verdana" w:hAnsi="Verdana"/>
          <w:i/>
          <w:sz w:val="16"/>
          <w:szCs w:val="16"/>
          <w:lang w:val="es-CO"/>
        </w:rPr>
        <w:t xml:space="preserve">Caso </w:t>
      </w:r>
      <w:proofErr w:type="spellStart"/>
      <w:r w:rsidR="00D12221" w:rsidRPr="00D05439">
        <w:rPr>
          <w:rFonts w:ascii="Verdana" w:hAnsi="Verdana"/>
          <w:i/>
          <w:sz w:val="16"/>
          <w:szCs w:val="16"/>
          <w:lang w:val="es-CO"/>
        </w:rPr>
        <w:t>Artavia</w:t>
      </w:r>
      <w:proofErr w:type="spellEnd"/>
      <w:r w:rsidR="00D12221" w:rsidRPr="00D05439">
        <w:rPr>
          <w:rFonts w:ascii="Verdana" w:hAnsi="Verdana"/>
          <w:i/>
          <w:sz w:val="16"/>
          <w:szCs w:val="16"/>
          <w:lang w:val="es-CO"/>
        </w:rPr>
        <w:t xml:space="preserve"> Murillo y </w:t>
      </w:r>
      <w:r w:rsidR="00945737">
        <w:rPr>
          <w:rFonts w:ascii="Verdana" w:hAnsi="Verdana"/>
          <w:i/>
          <w:sz w:val="16"/>
          <w:szCs w:val="16"/>
          <w:lang w:val="es-CO"/>
        </w:rPr>
        <w:t>o</w:t>
      </w:r>
      <w:r w:rsidR="00D12221" w:rsidRPr="00D05439">
        <w:rPr>
          <w:rFonts w:ascii="Verdana" w:hAnsi="Verdana"/>
          <w:i/>
          <w:sz w:val="16"/>
          <w:szCs w:val="16"/>
          <w:lang w:val="es-CO"/>
        </w:rPr>
        <w:t>tros</w:t>
      </w:r>
      <w:r w:rsidR="00945737">
        <w:rPr>
          <w:rFonts w:ascii="Verdana" w:hAnsi="Verdana"/>
          <w:i/>
          <w:sz w:val="16"/>
          <w:szCs w:val="16"/>
          <w:lang w:val="es-CO"/>
        </w:rPr>
        <w:t xml:space="preserve"> (Fecundación in vitro)</w:t>
      </w:r>
      <w:r w:rsidR="00D12221" w:rsidRPr="00D05439">
        <w:rPr>
          <w:rFonts w:ascii="Verdana" w:hAnsi="Verdana"/>
          <w:i/>
          <w:sz w:val="16"/>
          <w:szCs w:val="16"/>
          <w:lang w:val="es-CO"/>
        </w:rPr>
        <w:t xml:space="preserve"> Vs</w:t>
      </w:r>
      <w:r w:rsidR="00945737">
        <w:rPr>
          <w:rFonts w:ascii="Verdana" w:hAnsi="Verdana"/>
          <w:i/>
          <w:sz w:val="16"/>
          <w:szCs w:val="16"/>
          <w:lang w:val="es-CO"/>
        </w:rPr>
        <w:t>.</w:t>
      </w:r>
      <w:r w:rsidR="00D12221" w:rsidRPr="00D05439">
        <w:rPr>
          <w:rFonts w:ascii="Verdana" w:hAnsi="Verdana"/>
          <w:i/>
          <w:sz w:val="16"/>
          <w:szCs w:val="16"/>
          <w:lang w:val="es-CO"/>
        </w:rPr>
        <w:t xml:space="preserve"> Costa Rica</w:t>
      </w:r>
      <w:r w:rsidR="00D12221" w:rsidRPr="009265EA">
        <w:rPr>
          <w:rFonts w:ascii="Verdana" w:hAnsi="Verdana"/>
          <w:sz w:val="16"/>
          <w:szCs w:val="16"/>
          <w:lang w:val="es-CO"/>
        </w:rPr>
        <w:t xml:space="preserve">, párr. 245, y </w:t>
      </w:r>
      <w:r w:rsidRPr="00D05439">
        <w:rPr>
          <w:rStyle w:val="Strong"/>
          <w:rFonts w:ascii="Verdana" w:hAnsi="Verdana"/>
          <w:b w:val="0"/>
          <w:i/>
          <w:color w:val="000000"/>
          <w:sz w:val="16"/>
          <w:szCs w:val="16"/>
          <w:lang w:val="es-CO"/>
        </w:rPr>
        <w:t>El Derecho a la Información sobre la Asistencia Consular en el Marco de las Garantías del Debido Proceso Legal</w:t>
      </w:r>
      <w:r w:rsidRPr="009265EA">
        <w:rPr>
          <w:rStyle w:val="Strong"/>
          <w:rFonts w:ascii="Verdana" w:hAnsi="Verdana"/>
          <w:b w:val="0"/>
          <w:color w:val="000000"/>
          <w:sz w:val="16"/>
          <w:szCs w:val="16"/>
          <w:lang w:val="es-CO"/>
        </w:rPr>
        <w:t>. Opinión Consultiva OC-16/99 de 1 de octubre de 1999. Serie A No. 16, párr. 114.</w:t>
      </w:r>
    </w:p>
  </w:footnote>
  <w:footnote w:id="21">
    <w:p w:rsidR="00307791" w:rsidRPr="009265EA" w:rsidRDefault="00307791" w:rsidP="002B644C">
      <w:pPr>
        <w:autoSpaceDE w:val="0"/>
        <w:autoSpaceDN w:val="0"/>
        <w:spacing w:after="60" w:line="240" w:lineRule="auto"/>
        <w:jc w:val="both"/>
        <w:rPr>
          <w:rFonts w:ascii="Verdana" w:hAnsi="Verdana"/>
          <w:sz w:val="16"/>
          <w:szCs w:val="16"/>
          <w:lang w:val="en-US"/>
        </w:rPr>
      </w:pPr>
      <w:r w:rsidRPr="009265EA">
        <w:rPr>
          <w:rStyle w:val="FootnoteReference"/>
          <w:rFonts w:ascii="Verdana" w:hAnsi="Verdana"/>
          <w:sz w:val="16"/>
          <w:szCs w:val="16"/>
        </w:rPr>
        <w:footnoteRef/>
      </w:r>
      <w:r w:rsidRPr="009265EA">
        <w:rPr>
          <w:rFonts w:ascii="Verdana" w:hAnsi="Verdana"/>
          <w:sz w:val="16"/>
          <w:szCs w:val="16"/>
          <w:lang w:val="en-US"/>
        </w:rPr>
        <w:t xml:space="preserve"> </w:t>
      </w:r>
      <w:r w:rsidR="001F21FE" w:rsidRPr="009265EA">
        <w:rPr>
          <w:rFonts w:ascii="Verdana" w:hAnsi="Verdana"/>
          <w:sz w:val="16"/>
          <w:szCs w:val="16"/>
          <w:lang w:val="en-US"/>
        </w:rPr>
        <w:tab/>
        <w:t>“If the ordinary meaning of a provision is clear in not granting jurisdiction to the IAS bodies, the object and purpose of the Convention cannot be used to overthrown that result”. (</w:t>
      </w:r>
      <w:proofErr w:type="spellStart"/>
      <w:r w:rsidR="001F21FE" w:rsidRPr="009265EA">
        <w:rPr>
          <w:rFonts w:ascii="Verdana" w:hAnsi="Verdana"/>
          <w:sz w:val="16"/>
          <w:szCs w:val="16"/>
          <w:lang w:val="en-US"/>
        </w:rPr>
        <w:t>Traducción</w:t>
      </w:r>
      <w:proofErr w:type="spellEnd"/>
      <w:r w:rsidR="001F21FE" w:rsidRPr="009265EA">
        <w:rPr>
          <w:rFonts w:ascii="Verdana" w:hAnsi="Verdana"/>
          <w:sz w:val="16"/>
          <w:szCs w:val="16"/>
          <w:lang w:val="en-US"/>
        </w:rPr>
        <w:t xml:space="preserve"> </w:t>
      </w:r>
      <w:proofErr w:type="spellStart"/>
      <w:r w:rsidR="001F21FE" w:rsidRPr="009265EA">
        <w:rPr>
          <w:rFonts w:ascii="Verdana" w:hAnsi="Verdana"/>
          <w:sz w:val="16"/>
          <w:szCs w:val="16"/>
          <w:lang w:val="en-US"/>
        </w:rPr>
        <w:t>propia</w:t>
      </w:r>
      <w:proofErr w:type="spellEnd"/>
      <w:r w:rsidR="001F21FE" w:rsidRPr="009265EA">
        <w:rPr>
          <w:rFonts w:ascii="Verdana" w:hAnsi="Verdana"/>
          <w:sz w:val="16"/>
          <w:szCs w:val="16"/>
          <w:lang w:val="en-US"/>
        </w:rPr>
        <w:t xml:space="preserve">) Oswaldo Ruiz </w:t>
      </w:r>
      <w:proofErr w:type="spellStart"/>
      <w:r w:rsidR="001F21FE" w:rsidRPr="009265EA">
        <w:rPr>
          <w:rFonts w:ascii="Verdana" w:hAnsi="Verdana"/>
          <w:sz w:val="16"/>
          <w:szCs w:val="16"/>
          <w:lang w:val="en-US"/>
        </w:rPr>
        <w:t>Chiriboga</w:t>
      </w:r>
      <w:proofErr w:type="spellEnd"/>
      <w:r w:rsidR="001F21FE" w:rsidRPr="009265EA">
        <w:rPr>
          <w:rFonts w:ascii="Verdana" w:hAnsi="Verdana"/>
          <w:sz w:val="16"/>
          <w:szCs w:val="16"/>
          <w:lang w:val="en-US"/>
        </w:rPr>
        <w:t xml:space="preserve">, </w:t>
      </w:r>
      <w:proofErr w:type="gramStart"/>
      <w:r w:rsidR="001F21FE" w:rsidRPr="009265EA">
        <w:rPr>
          <w:rFonts w:ascii="Verdana" w:eastAsiaTheme="minorHAnsi" w:hAnsi="Verdana" w:cs="MinionPro-Semibold"/>
          <w:sz w:val="16"/>
          <w:szCs w:val="16"/>
          <w:lang w:val="en-US"/>
        </w:rPr>
        <w:t>The</w:t>
      </w:r>
      <w:proofErr w:type="gramEnd"/>
      <w:r w:rsidR="001F21FE" w:rsidRPr="009265EA">
        <w:rPr>
          <w:rFonts w:ascii="Verdana" w:eastAsiaTheme="minorHAnsi" w:hAnsi="Verdana" w:cs="MinionPro-Semibold"/>
          <w:sz w:val="16"/>
          <w:szCs w:val="16"/>
          <w:lang w:val="en-US"/>
        </w:rPr>
        <w:t xml:space="preserve"> American Convention And The Protocol Of San Salvador: Two Intertwined Treaties </w:t>
      </w:r>
      <w:r w:rsidR="001F21FE" w:rsidRPr="009265EA">
        <w:rPr>
          <w:rFonts w:ascii="Verdana" w:eastAsiaTheme="minorHAnsi" w:hAnsi="Verdana" w:cs="MinionPro-Regular"/>
          <w:sz w:val="16"/>
          <w:szCs w:val="16"/>
          <w:lang w:val="en-US"/>
        </w:rPr>
        <w:t xml:space="preserve">Non-Enforceability Of Economic, Social And Cultural Rights In The Inter-American System, Netherlands Quarterly of Human </w:t>
      </w:r>
      <w:r w:rsidR="003411A0" w:rsidRPr="009265EA">
        <w:rPr>
          <w:rFonts w:ascii="Verdana" w:eastAsiaTheme="minorHAnsi" w:hAnsi="Verdana" w:cs="MinionPro-Regular"/>
          <w:sz w:val="16"/>
          <w:szCs w:val="16"/>
          <w:lang w:val="en-US"/>
        </w:rPr>
        <w:t>Rights, Vol. 31/2 (2013), p. 170</w:t>
      </w:r>
      <w:r w:rsidR="001F21FE" w:rsidRPr="009265EA">
        <w:rPr>
          <w:rFonts w:ascii="Verdana" w:eastAsiaTheme="minorHAnsi" w:hAnsi="Verdana" w:cs="MinionPro-Regular"/>
          <w:sz w:val="16"/>
          <w:szCs w:val="16"/>
          <w:lang w:val="en-US"/>
        </w:rPr>
        <w:t>.</w:t>
      </w:r>
    </w:p>
  </w:footnote>
  <w:footnote w:id="22">
    <w:p w:rsidR="00030861" w:rsidRPr="009265EA" w:rsidRDefault="00030861" w:rsidP="002B644C">
      <w:pPr>
        <w:autoSpaceDE w:val="0"/>
        <w:autoSpaceDN w:val="0"/>
        <w:spacing w:after="60" w:line="240" w:lineRule="auto"/>
        <w:jc w:val="both"/>
        <w:rPr>
          <w:rFonts w:ascii="Verdana" w:hAnsi="Verdana"/>
          <w:sz w:val="16"/>
          <w:szCs w:val="16"/>
          <w:lang w:val="en-US"/>
        </w:rPr>
      </w:pPr>
      <w:r w:rsidRPr="009265EA">
        <w:rPr>
          <w:rStyle w:val="FootnoteReference"/>
          <w:rFonts w:ascii="Verdana" w:hAnsi="Verdana"/>
          <w:sz w:val="16"/>
          <w:szCs w:val="16"/>
        </w:rPr>
        <w:footnoteRef/>
      </w:r>
      <w:r w:rsidRPr="009265EA">
        <w:rPr>
          <w:rFonts w:ascii="Verdana" w:hAnsi="Verdana"/>
          <w:sz w:val="16"/>
          <w:szCs w:val="16"/>
          <w:lang w:val="en-US"/>
        </w:rPr>
        <w:t xml:space="preserve"> </w:t>
      </w:r>
      <w:r w:rsidRPr="009265EA">
        <w:rPr>
          <w:rFonts w:ascii="Verdana" w:hAnsi="Verdana"/>
          <w:sz w:val="16"/>
          <w:szCs w:val="16"/>
          <w:lang w:val="en-US"/>
        </w:rPr>
        <w:tab/>
        <w:t xml:space="preserve">“The Court put forward the points of view of only those States which tried to </w:t>
      </w:r>
      <w:proofErr w:type="spellStart"/>
      <w:r w:rsidRPr="009265EA">
        <w:rPr>
          <w:rFonts w:ascii="Verdana" w:hAnsi="Verdana"/>
          <w:sz w:val="16"/>
          <w:szCs w:val="16"/>
          <w:lang w:val="en-US"/>
        </w:rPr>
        <w:t>materialise</w:t>
      </w:r>
      <w:proofErr w:type="spellEnd"/>
      <w:r w:rsidRPr="009265EA">
        <w:rPr>
          <w:rFonts w:ascii="Verdana" w:hAnsi="Verdana"/>
          <w:sz w:val="16"/>
          <w:szCs w:val="16"/>
          <w:lang w:val="en-US"/>
        </w:rPr>
        <w:t xml:space="preserve"> the exercise of ESC rights by means of the activity of the Court. No mention was made of the countries which opposed the enforceability of ESC rights and, more importantly, as </w:t>
      </w:r>
      <w:proofErr w:type="spellStart"/>
      <w:r w:rsidRPr="009265EA">
        <w:rPr>
          <w:rFonts w:ascii="Verdana" w:hAnsi="Verdana"/>
          <w:sz w:val="16"/>
          <w:szCs w:val="16"/>
          <w:lang w:val="en-US"/>
        </w:rPr>
        <w:t>Burgorgue</w:t>
      </w:r>
      <w:proofErr w:type="spellEnd"/>
      <w:r w:rsidRPr="009265EA">
        <w:rPr>
          <w:rFonts w:ascii="Verdana" w:hAnsi="Verdana"/>
          <w:sz w:val="16"/>
          <w:szCs w:val="16"/>
          <w:lang w:val="en-US"/>
        </w:rPr>
        <w:t xml:space="preserve">-Larsen recalls: nothing was said about the process which ultimately gave rise to the drafting of Article 26 as such. Nor was anything said about the scope the different States were prepared to confer on this article. Does this mean that the article was the result of a compromise, or did it represent those States which were in </w:t>
      </w:r>
      <w:proofErr w:type="spellStart"/>
      <w:r w:rsidRPr="009265EA">
        <w:rPr>
          <w:rFonts w:ascii="Verdana" w:hAnsi="Verdana"/>
          <w:sz w:val="16"/>
          <w:szCs w:val="16"/>
          <w:lang w:val="en-US"/>
        </w:rPr>
        <w:t>favour</w:t>
      </w:r>
      <w:proofErr w:type="spellEnd"/>
      <w:r w:rsidRPr="009265EA">
        <w:rPr>
          <w:rFonts w:ascii="Verdana" w:hAnsi="Verdana"/>
          <w:sz w:val="16"/>
          <w:szCs w:val="16"/>
          <w:lang w:val="en-US"/>
        </w:rPr>
        <w:t xml:space="preserve"> of giving economic and social rights such an important place? Clearly, the silences of the Court were part of its strategy to reach its objective, </w:t>
      </w:r>
      <w:proofErr w:type="gramStart"/>
      <w:r w:rsidRPr="009265EA">
        <w:rPr>
          <w:rFonts w:ascii="Verdana" w:hAnsi="Verdana"/>
          <w:sz w:val="16"/>
          <w:szCs w:val="16"/>
          <w:lang w:val="en-US"/>
        </w:rPr>
        <w:t>come</w:t>
      </w:r>
      <w:proofErr w:type="gramEnd"/>
      <w:r w:rsidRPr="009265EA">
        <w:rPr>
          <w:rFonts w:ascii="Verdana" w:hAnsi="Verdana"/>
          <w:sz w:val="16"/>
          <w:szCs w:val="16"/>
          <w:lang w:val="en-US"/>
        </w:rPr>
        <w:t xml:space="preserve"> what may, namely conferring the widest scope possible on Article 26. But Brazil and Guatemala aside, the preparatory works show just how reluctant the majority of States were to recognize that what was to become Article 26 should be actionable” (</w:t>
      </w:r>
      <w:proofErr w:type="spellStart"/>
      <w:r w:rsidRPr="009265EA">
        <w:rPr>
          <w:rFonts w:ascii="Verdana" w:hAnsi="Verdana"/>
          <w:sz w:val="16"/>
          <w:szCs w:val="16"/>
          <w:lang w:val="en-US"/>
        </w:rPr>
        <w:t>Traducción</w:t>
      </w:r>
      <w:proofErr w:type="spellEnd"/>
      <w:r w:rsidRPr="009265EA">
        <w:rPr>
          <w:rFonts w:ascii="Verdana" w:hAnsi="Verdana"/>
          <w:sz w:val="16"/>
          <w:szCs w:val="16"/>
          <w:lang w:val="en-US"/>
        </w:rPr>
        <w:t xml:space="preserve"> </w:t>
      </w:r>
      <w:proofErr w:type="spellStart"/>
      <w:r w:rsidRPr="009265EA">
        <w:rPr>
          <w:rFonts w:ascii="Verdana" w:hAnsi="Verdana"/>
          <w:sz w:val="16"/>
          <w:szCs w:val="16"/>
          <w:lang w:val="en-US"/>
        </w:rPr>
        <w:t>propia</w:t>
      </w:r>
      <w:proofErr w:type="spellEnd"/>
      <w:r w:rsidRPr="009265EA">
        <w:rPr>
          <w:rFonts w:ascii="Verdana" w:hAnsi="Verdana"/>
          <w:sz w:val="16"/>
          <w:szCs w:val="16"/>
          <w:lang w:val="en-US"/>
        </w:rPr>
        <w:t xml:space="preserve">) Oswaldo Ruiz </w:t>
      </w:r>
      <w:proofErr w:type="spellStart"/>
      <w:r w:rsidRPr="009265EA">
        <w:rPr>
          <w:rFonts w:ascii="Verdana" w:hAnsi="Verdana"/>
          <w:sz w:val="16"/>
          <w:szCs w:val="16"/>
          <w:lang w:val="en-US"/>
        </w:rPr>
        <w:t>Chiriboga</w:t>
      </w:r>
      <w:proofErr w:type="spellEnd"/>
      <w:r w:rsidRPr="009265EA">
        <w:rPr>
          <w:rFonts w:ascii="Verdana" w:hAnsi="Verdana"/>
          <w:sz w:val="16"/>
          <w:szCs w:val="16"/>
          <w:lang w:val="en-US"/>
        </w:rPr>
        <w:t xml:space="preserve">, </w:t>
      </w:r>
      <w:r w:rsidRPr="009265EA">
        <w:rPr>
          <w:rFonts w:ascii="Verdana" w:eastAsiaTheme="minorHAnsi" w:hAnsi="Verdana" w:cs="MinionPro-Semibold"/>
          <w:sz w:val="16"/>
          <w:szCs w:val="16"/>
          <w:lang w:val="en-US"/>
        </w:rPr>
        <w:t xml:space="preserve">The American Convention And The Protocol Of San Salvador: Two Intertwined Treaties </w:t>
      </w:r>
      <w:r w:rsidRPr="009265EA">
        <w:rPr>
          <w:rFonts w:ascii="Verdana" w:eastAsiaTheme="minorHAnsi" w:hAnsi="Verdana" w:cs="MinionPro-Regular"/>
          <w:sz w:val="16"/>
          <w:szCs w:val="16"/>
          <w:lang w:val="en-US"/>
        </w:rPr>
        <w:t>Non-Enforceability Of Economic, Social And Cultural Rights In The Inter-American System, Netherlands Quarterly of Human Rights, Vol. 31/2 (2013), p. 170.</w:t>
      </w:r>
    </w:p>
  </w:footnote>
  <w:footnote w:id="23">
    <w:p w:rsidR="009B51D1" w:rsidRPr="009265EA" w:rsidRDefault="009B51D1" w:rsidP="002B644C">
      <w:pPr>
        <w:pStyle w:val="FootnoteText"/>
        <w:spacing w:after="60"/>
        <w:jc w:val="both"/>
        <w:rPr>
          <w:rFonts w:ascii="Verdana" w:hAnsi="Verdana"/>
          <w:sz w:val="16"/>
          <w:szCs w:val="16"/>
          <w:lang w:val="es-CR"/>
        </w:rPr>
      </w:pPr>
      <w:r w:rsidRPr="009265EA">
        <w:rPr>
          <w:rStyle w:val="FootnoteReference"/>
          <w:rFonts w:ascii="Verdana" w:hAnsi="Verdana"/>
          <w:sz w:val="16"/>
          <w:szCs w:val="16"/>
        </w:rPr>
        <w:footnoteRef/>
      </w:r>
      <w:r w:rsidRPr="009265EA">
        <w:rPr>
          <w:rFonts w:ascii="Verdana" w:hAnsi="Verdana"/>
          <w:sz w:val="16"/>
          <w:szCs w:val="16"/>
        </w:rPr>
        <w:t xml:space="preserve"> </w:t>
      </w:r>
      <w:r w:rsidRPr="009265EA">
        <w:rPr>
          <w:rFonts w:ascii="Verdana" w:hAnsi="Verdana"/>
          <w:sz w:val="16"/>
          <w:szCs w:val="16"/>
          <w:lang w:val="es-CR"/>
        </w:rPr>
        <w:tab/>
      </w:r>
      <w:r w:rsidRPr="009265EA">
        <w:rPr>
          <w:rFonts w:ascii="Verdana" w:hAnsi="Verdana"/>
          <w:sz w:val="16"/>
          <w:szCs w:val="16"/>
          <w:lang w:val="es-CO"/>
        </w:rPr>
        <w:t xml:space="preserve">Juan Carlos </w:t>
      </w:r>
      <w:proofErr w:type="spellStart"/>
      <w:r w:rsidRPr="009265EA">
        <w:rPr>
          <w:rFonts w:ascii="Verdana" w:hAnsi="Verdana"/>
          <w:sz w:val="16"/>
          <w:szCs w:val="16"/>
          <w:lang w:val="es-CO"/>
        </w:rPr>
        <w:t>Upegui</w:t>
      </w:r>
      <w:proofErr w:type="spellEnd"/>
      <w:r w:rsidRPr="009265EA">
        <w:rPr>
          <w:rFonts w:ascii="Verdana" w:hAnsi="Verdana"/>
          <w:sz w:val="16"/>
          <w:szCs w:val="16"/>
          <w:lang w:val="es-CO"/>
        </w:rPr>
        <w:t xml:space="preserve"> Mejía, </w:t>
      </w:r>
      <w:r w:rsidRPr="009265EA">
        <w:rPr>
          <w:rFonts w:ascii="Verdana" w:hAnsi="Verdana"/>
          <w:i/>
          <w:iCs/>
          <w:sz w:val="16"/>
          <w:szCs w:val="16"/>
          <w:lang w:val="es-CO"/>
        </w:rPr>
        <w:t>Diálogos Judiciales en el Sistema Interamericano de Garantía de los Derechos Humanos</w:t>
      </w:r>
      <w:r w:rsidRPr="009265EA">
        <w:rPr>
          <w:rFonts w:ascii="Verdana" w:hAnsi="Verdana"/>
          <w:sz w:val="16"/>
          <w:szCs w:val="16"/>
          <w:lang w:val="es-CO"/>
        </w:rPr>
        <w:t xml:space="preserve">. Barcelona, España, 26 de febrero de 2015. Disponible en </w:t>
      </w:r>
      <w:hyperlink r:id="rId3" w:history="1">
        <w:r w:rsidRPr="009265EA">
          <w:rPr>
            <w:rStyle w:val="Hyperlink"/>
            <w:rFonts w:ascii="Verdana" w:hAnsi="Verdana"/>
            <w:sz w:val="16"/>
            <w:szCs w:val="16"/>
            <w:lang w:val="es-CO"/>
          </w:rPr>
          <w:t>https://www.youtube.com/watch?v=7cAls8PSzmo&amp;feature=youtu.be</w:t>
        </w:r>
      </w:hyperlink>
    </w:p>
  </w:footnote>
  <w:footnote w:id="24">
    <w:p w:rsidR="00E274DB" w:rsidRPr="009265EA" w:rsidRDefault="00E274DB" w:rsidP="002B644C">
      <w:pPr>
        <w:pStyle w:val="FootnoteText"/>
        <w:spacing w:after="60"/>
        <w:jc w:val="both"/>
        <w:rPr>
          <w:rFonts w:ascii="Verdana" w:hAnsi="Verdana"/>
          <w:sz w:val="16"/>
          <w:szCs w:val="16"/>
        </w:rPr>
      </w:pPr>
      <w:r w:rsidRPr="009265EA">
        <w:rPr>
          <w:rStyle w:val="FootnoteReference"/>
          <w:rFonts w:ascii="Verdana" w:hAnsi="Verdana"/>
          <w:sz w:val="16"/>
          <w:szCs w:val="16"/>
        </w:rPr>
        <w:footnoteRef/>
      </w:r>
      <w:r w:rsidRPr="009265EA">
        <w:rPr>
          <w:rFonts w:ascii="Verdana" w:hAnsi="Verdana"/>
          <w:sz w:val="16"/>
          <w:szCs w:val="16"/>
        </w:rPr>
        <w:t xml:space="preserve"> </w:t>
      </w:r>
      <w:r w:rsidRPr="009265EA">
        <w:rPr>
          <w:rFonts w:ascii="Verdana" w:hAnsi="Verdana"/>
          <w:sz w:val="16"/>
          <w:szCs w:val="16"/>
        </w:rPr>
        <w:tab/>
      </w:r>
      <w:r w:rsidRPr="00D05439">
        <w:rPr>
          <w:rFonts w:ascii="Verdana" w:hAnsi="Verdana"/>
          <w:i/>
          <w:sz w:val="16"/>
          <w:szCs w:val="16"/>
        </w:rPr>
        <w:t>Caso Vélez Loor Vs. Panamá. Excepciones Preliminares, Fondo, Reparaciones y Costas</w:t>
      </w:r>
      <w:r w:rsidRPr="009265EA">
        <w:rPr>
          <w:rFonts w:ascii="Verdana" w:hAnsi="Verdana"/>
          <w:sz w:val="16"/>
          <w:szCs w:val="16"/>
        </w:rPr>
        <w:t>. Sentencia de 23 de noviembre de 2010. Serie C No. 218, párr. 34.</w:t>
      </w:r>
    </w:p>
  </w:footnote>
  <w:footnote w:id="25">
    <w:p w:rsidR="00A76758" w:rsidRPr="009265EA" w:rsidRDefault="00A76758" w:rsidP="002B644C">
      <w:pPr>
        <w:pStyle w:val="FootnoteText"/>
        <w:spacing w:after="60"/>
        <w:jc w:val="both"/>
        <w:rPr>
          <w:rFonts w:ascii="Verdana" w:hAnsi="Verdana"/>
          <w:sz w:val="16"/>
          <w:szCs w:val="16"/>
          <w:lang w:val="es-CR"/>
        </w:rPr>
      </w:pPr>
      <w:r w:rsidRPr="009265EA">
        <w:rPr>
          <w:rStyle w:val="FootnoteReference"/>
          <w:rFonts w:ascii="Verdana" w:hAnsi="Verdana"/>
          <w:sz w:val="16"/>
          <w:szCs w:val="16"/>
        </w:rPr>
        <w:footnoteRef/>
      </w:r>
      <w:r w:rsidRPr="009265EA">
        <w:rPr>
          <w:rFonts w:ascii="Verdana" w:hAnsi="Verdana"/>
          <w:sz w:val="16"/>
          <w:szCs w:val="16"/>
        </w:rPr>
        <w:t xml:space="preserve"> </w:t>
      </w:r>
      <w:r w:rsidRPr="009265EA">
        <w:rPr>
          <w:rFonts w:ascii="Verdana" w:hAnsi="Verdana"/>
          <w:sz w:val="16"/>
          <w:szCs w:val="16"/>
          <w:lang w:val="es-CR"/>
        </w:rPr>
        <w:tab/>
        <w:t xml:space="preserve"> </w:t>
      </w:r>
      <w:r w:rsidR="008E0FD7" w:rsidRPr="009265EA">
        <w:rPr>
          <w:rFonts w:ascii="Verdana" w:hAnsi="Verdana"/>
          <w:sz w:val="16"/>
          <w:szCs w:val="16"/>
          <w:lang w:val="es-CR"/>
        </w:rPr>
        <w:t>En el mismo sentido</w:t>
      </w:r>
      <w:r w:rsidRPr="009265EA">
        <w:rPr>
          <w:rFonts w:ascii="Verdana" w:hAnsi="Verdana"/>
          <w:sz w:val="16"/>
          <w:szCs w:val="16"/>
          <w:lang w:val="es-CR"/>
        </w:rPr>
        <w:t xml:space="preserve">, ver: </w:t>
      </w:r>
      <w:r w:rsidRPr="009265EA">
        <w:rPr>
          <w:rFonts w:ascii="Verdana" w:hAnsi="Verdana"/>
          <w:bCs/>
          <w:i/>
          <w:sz w:val="16"/>
          <w:szCs w:val="16"/>
          <w:lang w:val="es-CR"/>
        </w:rPr>
        <w:t xml:space="preserve">Caso González y otras (“Campo Algodonero”) Vs. México. </w:t>
      </w:r>
      <w:r w:rsidRPr="009265EA">
        <w:rPr>
          <w:rFonts w:ascii="Verdana" w:hAnsi="Verdana"/>
          <w:i/>
          <w:sz w:val="16"/>
          <w:szCs w:val="16"/>
          <w:lang w:val="es-CR"/>
        </w:rPr>
        <w:t>Excepción Preliminar, Fondo, Reparaciones y Costas</w:t>
      </w:r>
      <w:r w:rsidRPr="009265EA">
        <w:rPr>
          <w:rFonts w:ascii="Verdana" w:hAnsi="Verdana"/>
          <w:sz w:val="16"/>
          <w:szCs w:val="16"/>
          <w:lang w:val="es-CR"/>
        </w:rPr>
        <w:t>. Sentencia de 16 de noviembre de 2009. Serie C No. 205, párr. 7</w:t>
      </w:r>
      <w:r w:rsidR="00567296">
        <w:rPr>
          <w:rFonts w:ascii="Verdana" w:hAnsi="Verdana"/>
          <w:sz w:val="16"/>
          <w:szCs w:val="16"/>
          <w:lang w:val="es-CR"/>
        </w:rPr>
        <w:t>9</w:t>
      </w:r>
      <w:r w:rsidRPr="009265EA">
        <w:rPr>
          <w:rFonts w:ascii="Verdana" w:hAnsi="Verdana"/>
          <w:sz w:val="16"/>
          <w:szCs w:val="16"/>
          <w:lang w:val="es-CR"/>
        </w:rPr>
        <w:t>.</w:t>
      </w:r>
    </w:p>
  </w:footnote>
  <w:footnote w:id="26">
    <w:p w:rsidR="001867B8" w:rsidRPr="009265EA" w:rsidRDefault="001867B8" w:rsidP="002B644C">
      <w:pPr>
        <w:tabs>
          <w:tab w:val="left" w:pos="709"/>
        </w:tabs>
        <w:spacing w:after="60" w:line="240" w:lineRule="auto"/>
        <w:jc w:val="both"/>
        <w:rPr>
          <w:rFonts w:ascii="Verdana" w:hAnsi="Verdana"/>
          <w:sz w:val="16"/>
          <w:szCs w:val="16"/>
          <w:lang w:val="es-CO"/>
        </w:rPr>
      </w:pPr>
      <w:r w:rsidRPr="009265EA">
        <w:rPr>
          <w:rStyle w:val="FootnoteReference"/>
          <w:rFonts w:ascii="Verdana" w:hAnsi="Verdana"/>
          <w:sz w:val="16"/>
          <w:szCs w:val="16"/>
        </w:rPr>
        <w:footnoteRef/>
      </w:r>
      <w:r w:rsidRPr="009265EA">
        <w:rPr>
          <w:rFonts w:ascii="Verdana" w:hAnsi="Verdana"/>
          <w:sz w:val="16"/>
          <w:szCs w:val="16"/>
        </w:rPr>
        <w:t xml:space="preserve"> </w:t>
      </w:r>
      <w:r w:rsidRPr="009265EA">
        <w:rPr>
          <w:rFonts w:ascii="Verdana" w:hAnsi="Verdana"/>
          <w:sz w:val="16"/>
          <w:szCs w:val="16"/>
          <w:lang w:val="es-CR"/>
        </w:rPr>
        <w:t xml:space="preserve">  </w:t>
      </w:r>
      <w:r w:rsidR="00B15786" w:rsidRPr="009265EA">
        <w:rPr>
          <w:rFonts w:ascii="Verdana" w:hAnsi="Verdana"/>
          <w:sz w:val="16"/>
          <w:szCs w:val="16"/>
          <w:lang w:val="es-CR"/>
        </w:rPr>
        <w:tab/>
      </w:r>
      <w:r w:rsidRPr="009265EA">
        <w:rPr>
          <w:rFonts w:ascii="Verdana" w:hAnsi="Verdana"/>
          <w:sz w:val="16"/>
          <w:szCs w:val="16"/>
          <w:lang w:val="es-CR"/>
        </w:rPr>
        <w:t xml:space="preserve">En similar sentido, el perito </w:t>
      </w:r>
      <w:proofErr w:type="spellStart"/>
      <w:r w:rsidRPr="009265EA">
        <w:rPr>
          <w:rFonts w:ascii="Verdana" w:hAnsi="Verdana"/>
          <w:sz w:val="16"/>
          <w:szCs w:val="16"/>
          <w:lang w:val="es-CO"/>
        </w:rPr>
        <w:t>Courtis</w:t>
      </w:r>
      <w:proofErr w:type="spellEnd"/>
      <w:r w:rsidRPr="009265EA">
        <w:rPr>
          <w:rFonts w:ascii="Verdana" w:hAnsi="Verdana"/>
          <w:sz w:val="16"/>
          <w:szCs w:val="16"/>
          <w:lang w:val="es-CO"/>
        </w:rPr>
        <w:t xml:space="preserve"> en la audiencia pública del presente caso manifestó que: “No</w:t>
      </w:r>
      <w:r w:rsidR="00567296">
        <w:rPr>
          <w:rFonts w:ascii="Verdana" w:hAnsi="Verdana"/>
          <w:sz w:val="16"/>
          <w:szCs w:val="16"/>
          <w:lang w:val="es-CO"/>
        </w:rPr>
        <w:t xml:space="preserve"> […]</w:t>
      </w:r>
      <w:r w:rsidRPr="009265EA">
        <w:rPr>
          <w:rFonts w:ascii="Verdana" w:hAnsi="Verdana"/>
          <w:sz w:val="16"/>
          <w:szCs w:val="16"/>
          <w:lang w:val="es-CO"/>
        </w:rPr>
        <w:t xml:space="preserve"> </w:t>
      </w:r>
      <w:proofErr w:type="spellStart"/>
      <w:proofErr w:type="gramStart"/>
      <w:r w:rsidRPr="009265EA">
        <w:rPr>
          <w:rFonts w:ascii="Verdana" w:hAnsi="Verdana"/>
          <w:sz w:val="16"/>
          <w:szCs w:val="16"/>
          <w:lang w:val="es-CO"/>
        </w:rPr>
        <w:t>obje</w:t>
      </w:r>
      <w:proofErr w:type="spellEnd"/>
      <w:r w:rsidR="00567296">
        <w:rPr>
          <w:rFonts w:ascii="Verdana" w:hAnsi="Verdana"/>
          <w:sz w:val="16"/>
          <w:szCs w:val="16"/>
          <w:lang w:val="es-CO"/>
        </w:rPr>
        <w:t>[</w:t>
      </w:r>
      <w:proofErr w:type="spellStart"/>
      <w:proofErr w:type="gramEnd"/>
      <w:r w:rsidRPr="009265EA">
        <w:rPr>
          <w:rFonts w:ascii="Verdana" w:hAnsi="Verdana"/>
          <w:sz w:val="16"/>
          <w:szCs w:val="16"/>
          <w:lang w:val="es-CO"/>
        </w:rPr>
        <w:t>ta</w:t>
      </w:r>
      <w:proofErr w:type="spellEnd"/>
      <w:r w:rsidR="00567296">
        <w:rPr>
          <w:rFonts w:ascii="Verdana" w:hAnsi="Verdana"/>
          <w:sz w:val="16"/>
          <w:szCs w:val="16"/>
          <w:lang w:val="es-CO"/>
        </w:rPr>
        <w:t>]</w:t>
      </w:r>
      <w:r w:rsidRPr="009265EA">
        <w:rPr>
          <w:rFonts w:ascii="Verdana" w:hAnsi="Verdana"/>
          <w:sz w:val="16"/>
          <w:szCs w:val="16"/>
          <w:lang w:val="es-CO"/>
        </w:rPr>
        <w:t xml:space="preserve"> de</w:t>
      </w:r>
      <w:r w:rsidR="00567296">
        <w:rPr>
          <w:rFonts w:ascii="Verdana" w:hAnsi="Verdana"/>
          <w:sz w:val="16"/>
          <w:szCs w:val="16"/>
          <w:lang w:val="es-CO"/>
        </w:rPr>
        <w:t>[</w:t>
      </w:r>
      <w:proofErr w:type="spellStart"/>
      <w:r w:rsidRPr="009265EA">
        <w:rPr>
          <w:rFonts w:ascii="Verdana" w:hAnsi="Verdana"/>
          <w:sz w:val="16"/>
          <w:szCs w:val="16"/>
          <w:lang w:val="es-CO"/>
        </w:rPr>
        <w:t>sde</w:t>
      </w:r>
      <w:proofErr w:type="spellEnd"/>
      <w:r w:rsidR="00567296">
        <w:rPr>
          <w:rFonts w:ascii="Verdana" w:hAnsi="Verdana"/>
          <w:sz w:val="16"/>
          <w:szCs w:val="16"/>
          <w:lang w:val="es-CO"/>
        </w:rPr>
        <w:t>]</w:t>
      </w:r>
      <w:r w:rsidRPr="009265EA">
        <w:rPr>
          <w:rFonts w:ascii="Verdana" w:hAnsi="Verdana"/>
          <w:sz w:val="16"/>
          <w:szCs w:val="16"/>
          <w:lang w:val="es-CO"/>
        </w:rPr>
        <w:t xml:space="preserve"> el punto de vista con</w:t>
      </w:r>
      <w:r w:rsidR="00567296">
        <w:rPr>
          <w:rFonts w:ascii="Verdana" w:hAnsi="Verdana"/>
          <w:sz w:val="16"/>
          <w:szCs w:val="16"/>
          <w:lang w:val="es-CO"/>
        </w:rPr>
        <w:t>ceptual</w:t>
      </w:r>
      <w:r w:rsidRPr="009265EA">
        <w:rPr>
          <w:rFonts w:ascii="Verdana" w:hAnsi="Verdana"/>
          <w:sz w:val="16"/>
          <w:szCs w:val="16"/>
          <w:lang w:val="es-CO"/>
        </w:rPr>
        <w:t xml:space="preserve"> </w:t>
      </w:r>
      <w:r w:rsidR="00567296">
        <w:rPr>
          <w:rFonts w:ascii="Verdana" w:hAnsi="Verdana"/>
          <w:sz w:val="16"/>
          <w:szCs w:val="16"/>
          <w:lang w:val="es-CO"/>
        </w:rPr>
        <w:t>[</w:t>
      </w:r>
      <w:r w:rsidRPr="009265EA">
        <w:rPr>
          <w:rFonts w:ascii="Verdana" w:hAnsi="Verdana"/>
          <w:sz w:val="16"/>
          <w:szCs w:val="16"/>
          <w:lang w:val="es-CO"/>
        </w:rPr>
        <w:t>que se interprete el derecho a la salud a través del derecho a la integridad física porque</w:t>
      </w:r>
      <w:r w:rsidR="00567296">
        <w:rPr>
          <w:rFonts w:ascii="Verdana" w:hAnsi="Verdana"/>
          <w:sz w:val="16"/>
          <w:szCs w:val="16"/>
          <w:lang w:val="es-CO"/>
        </w:rPr>
        <w:t>]</w:t>
      </w:r>
      <w:r w:rsidRPr="009265EA">
        <w:rPr>
          <w:rFonts w:ascii="Verdana" w:hAnsi="Verdana"/>
          <w:sz w:val="16"/>
          <w:szCs w:val="16"/>
          <w:lang w:val="es-CO"/>
        </w:rPr>
        <w:t xml:space="preserve"> los derechos </w:t>
      </w:r>
      <w:r w:rsidR="00567296">
        <w:rPr>
          <w:rFonts w:ascii="Verdana" w:hAnsi="Verdana"/>
          <w:sz w:val="16"/>
          <w:szCs w:val="16"/>
          <w:lang w:val="es-CO"/>
        </w:rPr>
        <w:t>[</w:t>
      </w:r>
      <w:r w:rsidRPr="009265EA">
        <w:rPr>
          <w:rFonts w:ascii="Verdana" w:hAnsi="Verdana"/>
          <w:sz w:val="16"/>
          <w:szCs w:val="16"/>
          <w:lang w:val="es-CO"/>
        </w:rPr>
        <w:t>son</w:t>
      </w:r>
      <w:r w:rsidR="00567296">
        <w:rPr>
          <w:rFonts w:ascii="Verdana" w:hAnsi="Verdana"/>
          <w:sz w:val="16"/>
          <w:szCs w:val="16"/>
          <w:lang w:val="es-CO"/>
        </w:rPr>
        <w:t>]</w:t>
      </w:r>
      <w:r w:rsidRPr="009265EA">
        <w:rPr>
          <w:rFonts w:ascii="Verdana" w:hAnsi="Verdana"/>
          <w:sz w:val="16"/>
          <w:szCs w:val="16"/>
          <w:lang w:val="es-CO"/>
        </w:rPr>
        <w:t xml:space="preserve"> indivisibles, interdependientes y de igual jerarquía</w:t>
      </w:r>
      <w:r w:rsidR="002E74BA" w:rsidRPr="009265EA">
        <w:rPr>
          <w:rFonts w:ascii="Verdana" w:hAnsi="Verdana"/>
          <w:sz w:val="16"/>
          <w:szCs w:val="16"/>
          <w:lang w:val="es-CO"/>
        </w:rPr>
        <w:t>”</w:t>
      </w:r>
      <w:r w:rsidRPr="009265EA">
        <w:rPr>
          <w:rFonts w:ascii="Verdana" w:hAnsi="Verdana"/>
          <w:sz w:val="16"/>
          <w:szCs w:val="16"/>
          <w:lang w:val="es-CO"/>
        </w:rPr>
        <w:t xml:space="preserve">. </w:t>
      </w:r>
    </w:p>
  </w:footnote>
  <w:footnote w:id="27">
    <w:p w:rsidR="004664E8" w:rsidRPr="001237C1" w:rsidRDefault="004664E8" w:rsidP="002B644C">
      <w:pPr>
        <w:pStyle w:val="FootnoteText"/>
        <w:spacing w:after="60"/>
        <w:jc w:val="both"/>
        <w:rPr>
          <w:rFonts w:ascii="Verdana" w:hAnsi="Verdana"/>
          <w:sz w:val="16"/>
          <w:szCs w:val="16"/>
          <w:lang w:val="en-US"/>
        </w:rPr>
      </w:pPr>
      <w:r w:rsidRPr="009265EA">
        <w:rPr>
          <w:rStyle w:val="FootnoteReference"/>
          <w:rFonts w:ascii="Verdana" w:hAnsi="Verdana"/>
          <w:sz w:val="16"/>
          <w:szCs w:val="16"/>
        </w:rPr>
        <w:footnoteRef/>
      </w:r>
      <w:r w:rsidRPr="00464D5E">
        <w:rPr>
          <w:rFonts w:ascii="Verdana" w:hAnsi="Verdana"/>
          <w:sz w:val="16"/>
          <w:szCs w:val="16"/>
          <w:lang w:val="en-US"/>
        </w:rPr>
        <w:t xml:space="preserve"> </w:t>
      </w:r>
      <w:r w:rsidRPr="00464D5E">
        <w:rPr>
          <w:rFonts w:ascii="Verdana" w:hAnsi="Verdana"/>
          <w:sz w:val="16"/>
          <w:szCs w:val="16"/>
          <w:lang w:val="en-US"/>
        </w:rPr>
        <w:tab/>
        <w:t>“</w:t>
      </w:r>
      <w:proofErr w:type="gramStart"/>
      <w:r w:rsidRPr="00464D5E">
        <w:rPr>
          <w:rFonts w:ascii="Verdana" w:hAnsi="Verdana"/>
          <w:sz w:val="16"/>
          <w:szCs w:val="16"/>
          <w:lang w:val="en-US"/>
        </w:rPr>
        <w:t>a</w:t>
      </w:r>
      <w:proofErr w:type="gramEnd"/>
      <w:r w:rsidRPr="00464D5E">
        <w:rPr>
          <w:rFonts w:ascii="Verdana" w:hAnsi="Verdana"/>
          <w:sz w:val="16"/>
          <w:szCs w:val="16"/>
          <w:lang w:val="en-US"/>
        </w:rPr>
        <w:t xml:space="preserve"> Court interpretation of the scope of article 26 that would permit direct access for ESC violations could constitute ei</w:t>
      </w:r>
      <w:r w:rsidRPr="009265EA">
        <w:rPr>
          <w:rFonts w:ascii="Verdana" w:hAnsi="Verdana"/>
          <w:sz w:val="16"/>
          <w:szCs w:val="16"/>
          <w:lang w:val="en-US"/>
        </w:rPr>
        <w:t xml:space="preserve">ther broadening of the jurisdiction, or expansion of the "opportunities to detect, expose or remedy noncompliance"-in either case, results likely to produce hostile state reaction. Again, in both cases, a given state's hostility would flow primarily from its belief that the supranational body is engaging in more or a different kind of oversight than the state initially accepted. In this model, state perception is more important than the correctness (to the extent that this may be judged objectively) of the supranational decision. If, as we argue, states understand the terms of the American Convention and the Court's rulings in Five Pensioners and subsequent cases as limits on direct access for ESC litigation via article 26, a broader interpretation of that article by the Court would constitute </w:t>
      </w:r>
      <w:proofErr w:type="spellStart"/>
      <w:r w:rsidR="004E4EBA">
        <w:rPr>
          <w:rFonts w:ascii="Verdana" w:hAnsi="Verdana"/>
          <w:sz w:val="16"/>
          <w:szCs w:val="16"/>
          <w:lang w:val="en-US"/>
        </w:rPr>
        <w:t>overlegalization</w:t>
      </w:r>
      <w:proofErr w:type="spellEnd"/>
      <w:r w:rsidRPr="009265EA">
        <w:rPr>
          <w:rFonts w:ascii="Verdana" w:hAnsi="Verdana"/>
          <w:sz w:val="16"/>
          <w:szCs w:val="16"/>
          <w:lang w:val="en-US"/>
        </w:rPr>
        <w:t>”</w:t>
      </w:r>
      <w:r w:rsidR="009265EA" w:rsidRPr="009265EA">
        <w:rPr>
          <w:rFonts w:ascii="Verdana" w:hAnsi="Verdana"/>
          <w:sz w:val="16"/>
          <w:szCs w:val="16"/>
          <w:lang w:val="en-US"/>
        </w:rPr>
        <w:t xml:space="preserve"> (</w:t>
      </w:r>
      <w:proofErr w:type="spellStart"/>
      <w:r w:rsidR="009265EA" w:rsidRPr="009265EA">
        <w:rPr>
          <w:rFonts w:ascii="Verdana" w:hAnsi="Verdana"/>
          <w:sz w:val="16"/>
          <w:szCs w:val="16"/>
          <w:lang w:val="en-US"/>
        </w:rPr>
        <w:t>Traducción</w:t>
      </w:r>
      <w:proofErr w:type="spellEnd"/>
      <w:r w:rsidR="009265EA" w:rsidRPr="009265EA">
        <w:rPr>
          <w:rFonts w:ascii="Verdana" w:hAnsi="Verdana"/>
          <w:sz w:val="16"/>
          <w:szCs w:val="16"/>
          <w:lang w:val="en-US"/>
        </w:rPr>
        <w:t xml:space="preserve"> </w:t>
      </w:r>
      <w:proofErr w:type="spellStart"/>
      <w:r w:rsidR="009265EA" w:rsidRPr="009265EA">
        <w:rPr>
          <w:rFonts w:ascii="Verdana" w:hAnsi="Verdana"/>
          <w:sz w:val="16"/>
          <w:szCs w:val="16"/>
          <w:lang w:val="en-US"/>
        </w:rPr>
        <w:t>propia</w:t>
      </w:r>
      <w:proofErr w:type="spellEnd"/>
      <w:r w:rsidR="009265EA" w:rsidRPr="009265EA">
        <w:rPr>
          <w:rFonts w:ascii="Verdana" w:hAnsi="Verdana"/>
          <w:sz w:val="16"/>
          <w:szCs w:val="16"/>
          <w:lang w:val="en-US"/>
        </w:rPr>
        <w:t>)</w:t>
      </w:r>
      <w:r w:rsidR="009265EA" w:rsidRPr="009265EA">
        <w:rPr>
          <w:rFonts w:ascii="Verdana" w:hAnsi="Verdana"/>
          <w:sz w:val="16"/>
          <w:szCs w:val="16"/>
          <w:lang w:val="en-US"/>
        </w:rPr>
        <w:tab/>
      </w:r>
      <w:r w:rsidR="003D6DF3">
        <w:rPr>
          <w:rFonts w:ascii="Verdana" w:hAnsi="Verdana"/>
          <w:sz w:val="16"/>
          <w:szCs w:val="16"/>
          <w:lang w:val="en-US"/>
        </w:rPr>
        <w:t xml:space="preserve"> James L. </w:t>
      </w:r>
      <w:proofErr w:type="spellStart"/>
      <w:r w:rsidR="009265EA" w:rsidRPr="009265EA">
        <w:rPr>
          <w:rFonts w:ascii="Verdana" w:hAnsi="Verdana"/>
          <w:sz w:val="16"/>
          <w:szCs w:val="16"/>
          <w:lang w:val="en-US"/>
        </w:rPr>
        <w:t>Cavallaro</w:t>
      </w:r>
      <w:proofErr w:type="spellEnd"/>
      <w:r w:rsidR="003D6DF3">
        <w:rPr>
          <w:rFonts w:ascii="Verdana" w:hAnsi="Verdana"/>
          <w:sz w:val="16"/>
          <w:szCs w:val="16"/>
          <w:lang w:val="en-US"/>
        </w:rPr>
        <w:t xml:space="preserve">, and Emily </w:t>
      </w:r>
      <w:r w:rsidR="009265EA" w:rsidRPr="009265EA">
        <w:rPr>
          <w:rFonts w:ascii="Verdana" w:hAnsi="Verdana"/>
          <w:sz w:val="16"/>
          <w:szCs w:val="16"/>
          <w:lang w:val="en-US"/>
        </w:rPr>
        <w:t xml:space="preserve">Schaffer. Rejoinder: Justice before </w:t>
      </w:r>
      <w:proofErr w:type="spellStart"/>
      <w:r w:rsidR="009265EA" w:rsidRPr="009265EA">
        <w:rPr>
          <w:rFonts w:ascii="Verdana" w:hAnsi="Verdana"/>
          <w:sz w:val="16"/>
          <w:szCs w:val="16"/>
          <w:lang w:val="en-US"/>
        </w:rPr>
        <w:t>Justiciability</w:t>
      </w:r>
      <w:proofErr w:type="spellEnd"/>
      <w:r w:rsidR="009265EA" w:rsidRPr="009265EA">
        <w:rPr>
          <w:rFonts w:ascii="Verdana" w:hAnsi="Verdana"/>
          <w:sz w:val="16"/>
          <w:szCs w:val="16"/>
          <w:lang w:val="en-US"/>
        </w:rPr>
        <w:t xml:space="preserve">: Inter-American Litigation and Social </w:t>
      </w:r>
      <w:r w:rsidR="009265EA" w:rsidRPr="001237C1">
        <w:rPr>
          <w:rFonts w:ascii="Verdana" w:hAnsi="Verdana"/>
          <w:sz w:val="16"/>
          <w:szCs w:val="16"/>
          <w:lang w:val="en-US"/>
        </w:rPr>
        <w:t>Change, New York University Journal of International Law and Politics, Vol. 39, Issue 2 (Winter 2006), p. 365.</w:t>
      </w:r>
    </w:p>
  </w:footnote>
  <w:footnote w:id="28">
    <w:p w:rsidR="00E060F4" w:rsidRPr="00E060F4" w:rsidRDefault="00E060F4" w:rsidP="00001467">
      <w:pPr>
        <w:pStyle w:val="FootnoteText"/>
        <w:spacing w:after="60"/>
        <w:jc w:val="both"/>
        <w:rPr>
          <w:lang w:val="es-CR"/>
        </w:rPr>
      </w:pPr>
      <w:r w:rsidRPr="001237C1">
        <w:rPr>
          <w:rStyle w:val="FootnoteReference"/>
          <w:rFonts w:ascii="Verdana" w:hAnsi="Verdana"/>
          <w:sz w:val="16"/>
          <w:szCs w:val="16"/>
        </w:rPr>
        <w:footnoteRef/>
      </w:r>
      <w:r w:rsidRPr="001237C1">
        <w:rPr>
          <w:rFonts w:ascii="Verdana" w:hAnsi="Verdana"/>
          <w:sz w:val="16"/>
          <w:szCs w:val="16"/>
        </w:rPr>
        <w:t xml:space="preserve"> </w:t>
      </w:r>
      <w:r w:rsidRPr="001237C1">
        <w:rPr>
          <w:rFonts w:ascii="Verdana" w:hAnsi="Verdana"/>
          <w:sz w:val="16"/>
          <w:szCs w:val="16"/>
          <w:lang w:val="es-CR"/>
        </w:rPr>
        <w:t xml:space="preserve"> Al respecto, ver: </w:t>
      </w:r>
      <w:r w:rsidR="001237C1" w:rsidRPr="001237C1">
        <w:rPr>
          <w:rFonts w:ascii="Verdana" w:hAnsi="Verdana"/>
          <w:sz w:val="16"/>
          <w:szCs w:val="16"/>
          <w:lang w:val="es-CO"/>
        </w:rPr>
        <w:t xml:space="preserve">“Sin lugar para la soberanía popular. Democracia, derechos y castigo en el caso </w:t>
      </w:r>
      <w:proofErr w:type="spellStart"/>
      <w:r w:rsidR="001237C1" w:rsidRPr="001237C1">
        <w:rPr>
          <w:rFonts w:ascii="Verdana" w:hAnsi="Verdana"/>
          <w:sz w:val="16"/>
          <w:szCs w:val="16"/>
          <w:lang w:val="es-CO"/>
        </w:rPr>
        <w:t>Gelman</w:t>
      </w:r>
      <w:proofErr w:type="spellEnd"/>
      <w:r w:rsidR="001237C1" w:rsidRPr="001237C1">
        <w:rPr>
          <w:rFonts w:ascii="Verdana" w:hAnsi="Verdana"/>
          <w:sz w:val="16"/>
          <w:szCs w:val="16"/>
          <w:lang w:val="es-CO"/>
        </w:rPr>
        <w:t xml:space="preserve">”. Roberto </w:t>
      </w:r>
      <w:proofErr w:type="spellStart"/>
      <w:r w:rsidR="001237C1" w:rsidRPr="001237C1">
        <w:rPr>
          <w:rFonts w:ascii="Verdana" w:hAnsi="Verdana"/>
          <w:sz w:val="16"/>
          <w:szCs w:val="16"/>
          <w:lang w:val="es-CO"/>
        </w:rPr>
        <w:t>Gargarella</w:t>
      </w:r>
      <w:proofErr w:type="spellEnd"/>
      <w:r w:rsidR="001237C1" w:rsidRPr="001237C1">
        <w:rPr>
          <w:rFonts w:ascii="Verdana" w:hAnsi="Verdana"/>
          <w:sz w:val="16"/>
          <w:szCs w:val="16"/>
          <w:lang w:val="es-CO"/>
        </w:rPr>
        <w:t xml:space="preserve">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220858"/>
      <w:docPartObj>
        <w:docPartGallery w:val="Page Numbers (Top of Page)"/>
        <w:docPartUnique/>
      </w:docPartObj>
    </w:sdtPr>
    <w:sdtEndPr>
      <w:rPr>
        <w:noProof/>
      </w:rPr>
    </w:sdtEndPr>
    <w:sdtContent>
      <w:p w:rsidR="00461BBE" w:rsidRDefault="00461BBE">
        <w:pPr>
          <w:pStyle w:val="Header"/>
          <w:jc w:val="center"/>
        </w:pPr>
        <w:r>
          <w:fldChar w:fldCharType="begin"/>
        </w:r>
        <w:r>
          <w:instrText xml:space="preserve"> PAGE   \* MERGEFORMAT </w:instrText>
        </w:r>
        <w:r>
          <w:fldChar w:fldCharType="separate"/>
        </w:r>
        <w:r w:rsidR="0070757D">
          <w:rPr>
            <w:noProof/>
          </w:rPr>
          <w:t>2</w:t>
        </w:r>
        <w:r>
          <w:rPr>
            <w:noProof/>
          </w:rPr>
          <w:fldChar w:fldCharType="end"/>
        </w:r>
      </w:p>
    </w:sdtContent>
  </w:sdt>
  <w:p w:rsidR="00461BBE" w:rsidRDefault="00461B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D70FF"/>
    <w:multiLevelType w:val="hybridMultilevel"/>
    <w:tmpl w:val="272C298E"/>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691C3116"/>
    <w:multiLevelType w:val="hybridMultilevel"/>
    <w:tmpl w:val="740C6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D71AA3"/>
    <w:multiLevelType w:val="hybridMultilevel"/>
    <w:tmpl w:val="30C8F36E"/>
    <w:lvl w:ilvl="0" w:tplc="4C1433CC">
      <w:start w:val="1"/>
      <w:numFmt w:val="bullet"/>
      <w:lvlText w:val=""/>
      <w:lvlJc w:val="left"/>
      <w:pPr>
        <w:tabs>
          <w:tab w:val="num" w:pos="720"/>
        </w:tabs>
        <w:ind w:left="720" w:hanging="360"/>
      </w:pPr>
      <w:rPr>
        <w:rFonts w:ascii="Webdings" w:hAnsi="Webdings" w:hint="default"/>
      </w:rPr>
    </w:lvl>
    <w:lvl w:ilvl="1" w:tplc="99D4BF9E" w:tentative="1">
      <w:start w:val="1"/>
      <w:numFmt w:val="bullet"/>
      <w:lvlText w:val=""/>
      <w:lvlJc w:val="left"/>
      <w:pPr>
        <w:tabs>
          <w:tab w:val="num" w:pos="1440"/>
        </w:tabs>
        <w:ind w:left="1440" w:hanging="360"/>
      </w:pPr>
      <w:rPr>
        <w:rFonts w:ascii="Webdings" w:hAnsi="Webdings" w:hint="default"/>
      </w:rPr>
    </w:lvl>
    <w:lvl w:ilvl="2" w:tplc="C7FED648" w:tentative="1">
      <w:start w:val="1"/>
      <w:numFmt w:val="bullet"/>
      <w:lvlText w:val=""/>
      <w:lvlJc w:val="left"/>
      <w:pPr>
        <w:tabs>
          <w:tab w:val="num" w:pos="2160"/>
        </w:tabs>
        <w:ind w:left="2160" w:hanging="360"/>
      </w:pPr>
      <w:rPr>
        <w:rFonts w:ascii="Webdings" w:hAnsi="Webdings" w:hint="default"/>
      </w:rPr>
    </w:lvl>
    <w:lvl w:ilvl="3" w:tplc="3658349C" w:tentative="1">
      <w:start w:val="1"/>
      <w:numFmt w:val="bullet"/>
      <w:lvlText w:val=""/>
      <w:lvlJc w:val="left"/>
      <w:pPr>
        <w:tabs>
          <w:tab w:val="num" w:pos="2880"/>
        </w:tabs>
        <w:ind w:left="2880" w:hanging="360"/>
      </w:pPr>
      <w:rPr>
        <w:rFonts w:ascii="Webdings" w:hAnsi="Webdings" w:hint="default"/>
      </w:rPr>
    </w:lvl>
    <w:lvl w:ilvl="4" w:tplc="BDA86BFA" w:tentative="1">
      <w:start w:val="1"/>
      <w:numFmt w:val="bullet"/>
      <w:lvlText w:val=""/>
      <w:lvlJc w:val="left"/>
      <w:pPr>
        <w:tabs>
          <w:tab w:val="num" w:pos="3600"/>
        </w:tabs>
        <w:ind w:left="3600" w:hanging="360"/>
      </w:pPr>
      <w:rPr>
        <w:rFonts w:ascii="Webdings" w:hAnsi="Webdings" w:hint="default"/>
      </w:rPr>
    </w:lvl>
    <w:lvl w:ilvl="5" w:tplc="B8DC801A" w:tentative="1">
      <w:start w:val="1"/>
      <w:numFmt w:val="bullet"/>
      <w:lvlText w:val=""/>
      <w:lvlJc w:val="left"/>
      <w:pPr>
        <w:tabs>
          <w:tab w:val="num" w:pos="4320"/>
        </w:tabs>
        <w:ind w:left="4320" w:hanging="360"/>
      </w:pPr>
      <w:rPr>
        <w:rFonts w:ascii="Webdings" w:hAnsi="Webdings" w:hint="default"/>
      </w:rPr>
    </w:lvl>
    <w:lvl w:ilvl="6" w:tplc="ED5C94C4" w:tentative="1">
      <w:start w:val="1"/>
      <w:numFmt w:val="bullet"/>
      <w:lvlText w:val=""/>
      <w:lvlJc w:val="left"/>
      <w:pPr>
        <w:tabs>
          <w:tab w:val="num" w:pos="5040"/>
        </w:tabs>
        <w:ind w:left="5040" w:hanging="360"/>
      </w:pPr>
      <w:rPr>
        <w:rFonts w:ascii="Webdings" w:hAnsi="Webdings" w:hint="default"/>
      </w:rPr>
    </w:lvl>
    <w:lvl w:ilvl="7" w:tplc="AB62659C" w:tentative="1">
      <w:start w:val="1"/>
      <w:numFmt w:val="bullet"/>
      <w:lvlText w:val=""/>
      <w:lvlJc w:val="left"/>
      <w:pPr>
        <w:tabs>
          <w:tab w:val="num" w:pos="5760"/>
        </w:tabs>
        <w:ind w:left="5760" w:hanging="360"/>
      </w:pPr>
      <w:rPr>
        <w:rFonts w:ascii="Webdings" w:hAnsi="Webdings" w:hint="default"/>
      </w:rPr>
    </w:lvl>
    <w:lvl w:ilvl="8" w:tplc="77CC6F80" w:tentative="1">
      <w:start w:val="1"/>
      <w:numFmt w:val="bullet"/>
      <w:lvlText w:val=""/>
      <w:lvlJc w:val="left"/>
      <w:pPr>
        <w:tabs>
          <w:tab w:val="num" w:pos="6480"/>
        </w:tabs>
        <w:ind w:left="6480" w:hanging="360"/>
      </w:pPr>
      <w:rPr>
        <w:rFonts w:ascii="Webdings" w:hAnsi="Webdings" w:hint="default"/>
      </w:rPr>
    </w:lvl>
  </w:abstractNum>
  <w:abstractNum w:abstractNumId="3">
    <w:nsid w:val="7AC369FF"/>
    <w:multiLevelType w:val="hybridMultilevel"/>
    <w:tmpl w:val="46F4788C"/>
    <w:lvl w:ilvl="0" w:tplc="9F701216">
      <w:start w:val="1"/>
      <w:numFmt w:val="decimal"/>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5AF"/>
    <w:rsid w:val="00001467"/>
    <w:rsid w:val="00001DB9"/>
    <w:rsid w:val="00006F4C"/>
    <w:rsid w:val="00012E98"/>
    <w:rsid w:val="000149CF"/>
    <w:rsid w:val="00021BC6"/>
    <w:rsid w:val="0002706E"/>
    <w:rsid w:val="00030861"/>
    <w:rsid w:val="00031AE9"/>
    <w:rsid w:val="00032C30"/>
    <w:rsid w:val="00043E9F"/>
    <w:rsid w:val="00052F4F"/>
    <w:rsid w:val="00073FDA"/>
    <w:rsid w:val="00075643"/>
    <w:rsid w:val="00080BA1"/>
    <w:rsid w:val="00082EF2"/>
    <w:rsid w:val="0008443A"/>
    <w:rsid w:val="000B1277"/>
    <w:rsid w:val="000B6BD3"/>
    <w:rsid w:val="000D06A0"/>
    <w:rsid w:val="00104C52"/>
    <w:rsid w:val="00106AF5"/>
    <w:rsid w:val="001237C1"/>
    <w:rsid w:val="00127095"/>
    <w:rsid w:val="00142111"/>
    <w:rsid w:val="00142464"/>
    <w:rsid w:val="00142C5E"/>
    <w:rsid w:val="00147B49"/>
    <w:rsid w:val="00152282"/>
    <w:rsid w:val="001573DF"/>
    <w:rsid w:val="001802B9"/>
    <w:rsid w:val="001815A0"/>
    <w:rsid w:val="00185D11"/>
    <w:rsid w:val="001867B8"/>
    <w:rsid w:val="001B4A1D"/>
    <w:rsid w:val="001F21FE"/>
    <w:rsid w:val="001F6E56"/>
    <w:rsid w:val="00244BB7"/>
    <w:rsid w:val="0024563D"/>
    <w:rsid w:val="002603E5"/>
    <w:rsid w:val="00261866"/>
    <w:rsid w:val="00274368"/>
    <w:rsid w:val="00277A2A"/>
    <w:rsid w:val="002804BA"/>
    <w:rsid w:val="00286915"/>
    <w:rsid w:val="00286CD2"/>
    <w:rsid w:val="002B39DB"/>
    <w:rsid w:val="002B644C"/>
    <w:rsid w:val="002B77D9"/>
    <w:rsid w:val="002C096F"/>
    <w:rsid w:val="002D0239"/>
    <w:rsid w:val="002D1823"/>
    <w:rsid w:val="002E31F1"/>
    <w:rsid w:val="002E74BA"/>
    <w:rsid w:val="00305D85"/>
    <w:rsid w:val="00307791"/>
    <w:rsid w:val="00325DC8"/>
    <w:rsid w:val="00331853"/>
    <w:rsid w:val="003411A0"/>
    <w:rsid w:val="0034330C"/>
    <w:rsid w:val="00351B49"/>
    <w:rsid w:val="00354A07"/>
    <w:rsid w:val="00360F5D"/>
    <w:rsid w:val="00362983"/>
    <w:rsid w:val="003735C6"/>
    <w:rsid w:val="00381F92"/>
    <w:rsid w:val="00384557"/>
    <w:rsid w:val="00392281"/>
    <w:rsid w:val="003B7D5F"/>
    <w:rsid w:val="003D26BD"/>
    <w:rsid w:val="003D6DF3"/>
    <w:rsid w:val="003E65FD"/>
    <w:rsid w:val="003F21C7"/>
    <w:rsid w:val="003F61D7"/>
    <w:rsid w:val="00401F84"/>
    <w:rsid w:val="0042541A"/>
    <w:rsid w:val="004332C7"/>
    <w:rsid w:val="00433A20"/>
    <w:rsid w:val="0043677C"/>
    <w:rsid w:val="00461BBE"/>
    <w:rsid w:val="00464D5E"/>
    <w:rsid w:val="004664E8"/>
    <w:rsid w:val="00475430"/>
    <w:rsid w:val="00482F71"/>
    <w:rsid w:val="00487CBE"/>
    <w:rsid w:val="004A011E"/>
    <w:rsid w:val="004A4159"/>
    <w:rsid w:val="004B3B4B"/>
    <w:rsid w:val="004C4D4E"/>
    <w:rsid w:val="004E4EBA"/>
    <w:rsid w:val="004F638D"/>
    <w:rsid w:val="00504451"/>
    <w:rsid w:val="00506F75"/>
    <w:rsid w:val="005422D5"/>
    <w:rsid w:val="00546179"/>
    <w:rsid w:val="00551B5B"/>
    <w:rsid w:val="00567296"/>
    <w:rsid w:val="00574375"/>
    <w:rsid w:val="00580BE1"/>
    <w:rsid w:val="00580FD9"/>
    <w:rsid w:val="005941F9"/>
    <w:rsid w:val="00594AC0"/>
    <w:rsid w:val="005A28DD"/>
    <w:rsid w:val="005B344A"/>
    <w:rsid w:val="005B3DE0"/>
    <w:rsid w:val="005C6548"/>
    <w:rsid w:val="005F135E"/>
    <w:rsid w:val="005F2AE1"/>
    <w:rsid w:val="00603601"/>
    <w:rsid w:val="006122BB"/>
    <w:rsid w:val="006127FC"/>
    <w:rsid w:val="00622238"/>
    <w:rsid w:val="006253F0"/>
    <w:rsid w:val="00630AE4"/>
    <w:rsid w:val="00630CCA"/>
    <w:rsid w:val="00646DC4"/>
    <w:rsid w:val="006473F9"/>
    <w:rsid w:val="00651E88"/>
    <w:rsid w:val="00667A5E"/>
    <w:rsid w:val="00681F58"/>
    <w:rsid w:val="00697E84"/>
    <w:rsid w:val="006A69A5"/>
    <w:rsid w:val="006E0DF2"/>
    <w:rsid w:val="006E59EB"/>
    <w:rsid w:val="006F05D4"/>
    <w:rsid w:val="007014A4"/>
    <w:rsid w:val="0070757D"/>
    <w:rsid w:val="00712D6B"/>
    <w:rsid w:val="0073742B"/>
    <w:rsid w:val="0076453B"/>
    <w:rsid w:val="00765600"/>
    <w:rsid w:val="00767B7F"/>
    <w:rsid w:val="007737B8"/>
    <w:rsid w:val="00774899"/>
    <w:rsid w:val="0077659D"/>
    <w:rsid w:val="00785478"/>
    <w:rsid w:val="0079252E"/>
    <w:rsid w:val="00794422"/>
    <w:rsid w:val="007B714B"/>
    <w:rsid w:val="007C162F"/>
    <w:rsid w:val="007C75C1"/>
    <w:rsid w:val="007E0949"/>
    <w:rsid w:val="007F1F15"/>
    <w:rsid w:val="007F7A6B"/>
    <w:rsid w:val="00810CE7"/>
    <w:rsid w:val="0081441B"/>
    <w:rsid w:val="008149F1"/>
    <w:rsid w:val="00814A2C"/>
    <w:rsid w:val="00816E8A"/>
    <w:rsid w:val="008622D6"/>
    <w:rsid w:val="00863651"/>
    <w:rsid w:val="00892B28"/>
    <w:rsid w:val="008B5770"/>
    <w:rsid w:val="008C101E"/>
    <w:rsid w:val="008E0FD7"/>
    <w:rsid w:val="008F4656"/>
    <w:rsid w:val="009068BC"/>
    <w:rsid w:val="00906FB8"/>
    <w:rsid w:val="00925AF2"/>
    <w:rsid w:val="009265EA"/>
    <w:rsid w:val="00932D23"/>
    <w:rsid w:val="00943574"/>
    <w:rsid w:val="00945737"/>
    <w:rsid w:val="0098062A"/>
    <w:rsid w:val="00983437"/>
    <w:rsid w:val="009903F9"/>
    <w:rsid w:val="009B51D1"/>
    <w:rsid w:val="009C06EC"/>
    <w:rsid w:val="009C43B2"/>
    <w:rsid w:val="00A06AE4"/>
    <w:rsid w:val="00A402C1"/>
    <w:rsid w:val="00A76758"/>
    <w:rsid w:val="00A80BCA"/>
    <w:rsid w:val="00A86FD6"/>
    <w:rsid w:val="00A91572"/>
    <w:rsid w:val="00A96A27"/>
    <w:rsid w:val="00AC046C"/>
    <w:rsid w:val="00AC5255"/>
    <w:rsid w:val="00AC686B"/>
    <w:rsid w:val="00AD1307"/>
    <w:rsid w:val="00AD3D8A"/>
    <w:rsid w:val="00AE0140"/>
    <w:rsid w:val="00AE7629"/>
    <w:rsid w:val="00B014E3"/>
    <w:rsid w:val="00B15786"/>
    <w:rsid w:val="00B23B50"/>
    <w:rsid w:val="00B64229"/>
    <w:rsid w:val="00B6702E"/>
    <w:rsid w:val="00B70FF6"/>
    <w:rsid w:val="00B7729A"/>
    <w:rsid w:val="00BA3494"/>
    <w:rsid w:val="00BA7910"/>
    <w:rsid w:val="00BB1BDF"/>
    <w:rsid w:val="00BB44C5"/>
    <w:rsid w:val="00BB602C"/>
    <w:rsid w:val="00BC170A"/>
    <w:rsid w:val="00BC20D0"/>
    <w:rsid w:val="00BC4211"/>
    <w:rsid w:val="00BE3FCA"/>
    <w:rsid w:val="00BF43BC"/>
    <w:rsid w:val="00C1116D"/>
    <w:rsid w:val="00C11E64"/>
    <w:rsid w:val="00C128CA"/>
    <w:rsid w:val="00C15C3F"/>
    <w:rsid w:val="00C362C9"/>
    <w:rsid w:val="00C558C8"/>
    <w:rsid w:val="00C65295"/>
    <w:rsid w:val="00C71889"/>
    <w:rsid w:val="00C95643"/>
    <w:rsid w:val="00CB3F1D"/>
    <w:rsid w:val="00CB427D"/>
    <w:rsid w:val="00CB6D39"/>
    <w:rsid w:val="00CC7CB9"/>
    <w:rsid w:val="00CD4770"/>
    <w:rsid w:val="00CE3B29"/>
    <w:rsid w:val="00D05439"/>
    <w:rsid w:val="00D12221"/>
    <w:rsid w:val="00D12C9A"/>
    <w:rsid w:val="00D22955"/>
    <w:rsid w:val="00D26712"/>
    <w:rsid w:val="00D36D08"/>
    <w:rsid w:val="00D37FC7"/>
    <w:rsid w:val="00D445AF"/>
    <w:rsid w:val="00D64547"/>
    <w:rsid w:val="00D663D6"/>
    <w:rsid w:val="00D74F7A"/>
    <w:rsid w:val="00D833E7"/>
    <w:rsid w:val="00DA4A1A"/>
    <w:rsid w:val="00DA4ECD"/>
    <w:rsid w:val="00DA78B6"/>
    <w:rsid w:val="00DA7D71"/>
    <w:rsid w:val="00DD5F03"/>
    <w:rsid w:val="00DD6798"/>
    <w:rsid w:val="00E04709"/>
    <w:rsid w:val="00E060F4"/>
    <w:rsid w:val="00E17479"/>
    <w:rsid w:val="00E17AD4"/>
    <w:rsid w:val="00E255E5"/>
    <w:rsid w:val="00E274DB"/>
    <w:rsid w:val="00E61088"/>
    <w:rsid w:val="00E734BA"/>
    <w:rsid w:val="00E754DA"/>
    <w:rsid w:val="00E769E4"/>
    <w:rsid w:val="00E81E69"/>
    <w:rsid w:val="00E93BF5"/>
    <w:rsid w:val="00EA3768"/>
    <w:rsid w:val="00EA473B"/>
    <w:rsid w:val="00EB0FB4"/>
    <w:rsid w:val="00EB142D"/>
    <w:rsid w:val="00EB2B89"/>
    <w:rsid w:val="00ED130A"/>
    <w:rsid w:val="00EE20ED"/>
    <w:rsid w:val="00EF0B16"/>
    <w:rsid w:val="00EF393D"/>
    <w:rsid w:val="00F158D4"/>
    <w:rsid w:val="00F230C7"/>
    <w:rsid w:val="00F272F7"/>
    <w:rsid w:val="00F33DB0"/>
    <w:rsid w:val="00F53156"/>
    <w:rsid w:val="00F67C5E"/>
    <w:rsid w:val="00F875EE"/>
    <w:rsid w:val="00F9360C"/>
    <w:rsid w:val="00FA5852"/>
    <w:rsid w:val="00FA667E"/>
    <w:rsid w:val="00FE1D5D"/>
    <w:rsid w:val="00FE51F2"/>
    <w:rsid w:val="00FE7AD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AD4"/>
    <w:rPr>
      <w:rFonts w:ascii="Times New Roman" w:eastAsia="Calibri" w:hAnsi="Times New Roman" w:cs="Times New Roman"/>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Ca,FA Fu?notentext,C,ft"/>
    <w:basedOn w:val="Normal"/>
    <w:link w:val="FootnoteTextChar1"/>
    <w:unhideWhenUsed/>
    <w:qFormat/>
    <w:rsid w:val="002D1823"/>
    <w:pPr>
      <w:spacing w:after="0" w:line="240" w:lineRule="auto"/>
    </w:pPr>
    <w:rPr>
      <w:rFonts w:asciiTheme="minorHAnsi" w:eastAsiaTheme="minorHAnsi" w:hAnsiTheme="minorHAnsi" w:cstheme="minorBidi"/>
      <w:sz w:val="20"/>
      <w:szCs w:val="20"/>
      <w:lang w:val="es-MX"/>
    </w:rPr>
  </w:style>
  <w:style w:type="character" w:customStyle="1" w:styleId="FootnoteTextChar">
    <w:name w:val="Footnote Text Char"/>
    <w:basedOn w:val="DefaultParagraphFont"/>
    <w:rsid w:val="002D1823"/>
    <w:rPr>
      <w:rFonts w:ascii="Times New Roman" w:eastAsia="Calibri" w:hAnsi="Times New Roman" w:cs="Times New Roman"/>
      <w:sz w:val="20"/>
      <w:szCs w:val="20"/>
      <w:lang w:val="es-ES"/>
    </w:rPr>
  </w:style>
  <w:style w:type="character" w:customStyle="1" w:styleId="FootnoteTextChar1">
    <w:name w:val="Footnote Text Char1"/>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uiPriority w:val="99"/>
    <w:rsid w:val="002D1823"/>
    <w:rPr>
      <w:sz w:val="20"/>
      <w:szCs w:val="20"/>
      <w:lang w:val="es-MX"/>
    </w:rPr>
  </w:style>
  <w:style w:type="character" w:styleId="FootnoteReference">
    <w:name w:val="footnote reference"/>
    <w:aliases w:val="Appel note de bas de page,Footnotes refss,Footnote number,referencia nota al pie,BVI fnr,f,4_G,16 Point,Superscript 6 Point,Texto nota al pie,Footnote Reference Char3,Footnote Reference Char1 Char,Ref. de nota al,Ref. de nota al pi"/>
    <w:basedOn w:val="DefaultParagraphFont"/>
    <w:unhideWhenUsed/>
    <w:qFormat/>
    <w:rsid w:val="002D1823"/>
    <w:rPr>
      <w:vertAlign w:val="superscript"/>
    </w:rPr>
  </w:style>
  <w:style w:type="paragraph" w:styleId="ListParagraph">
    <w:name w:val="List Paragraph"/>
    <w:aliases w:val="Footnote,List Paragraph1,Colorful List - Accent 11"/>
    <w:basedOn w:val="Normal"/>
    <w:link w:val="ListParagraphChar"/>
    <w:qFormat/>
    <w:rsid w:val="00580FD9"/>
    <w:pPr>
      <w:ind w:left="720"/>
      <w:contextualSpacing/>
    </w:pPr>
  </w:style>
  <w:style w:type="paragraph" w:styleId="NormalWeb">
    <w:name w:val="Normal (Web)"/>
    <w:aliases w:val="Normal (Web) Char1,Normal (Web) Char Char,Normal (Web) Char1 Char,Normal (Web) Char Char Char"/>
    <w:basedOn w:val="Normal"/>
    <w:uiPriority w:val="99"/>
    <w:unhideWhenUsed/>
    <w:rsid w:val="008149F1"/>
    <w:pPr>
      <w:spacing w:before="100" w:beforeAutospacing="1" w:after="100" w:afterAutospacing="1" w:line="240" w:lineRule="auto"/>
    </w:pPr>
    <w:rPr>
      <w:rFonts w:eastAsia="Times New Roman"/>
      <w:sz w:val="24"/>
      <w:szCs w:val="24"/>
      <w:lang w:val="es-CR" w:eastAsia="es-CR"/>
    </w:rPr>
  </w:style>
  <w:style w:type="character" w:styleId="Strong">
    <w:name w:val="Strong"/>
    <w:uiPriority w:val="22"/>
    <w:qFormat/>
    <w:rsid w:val="00185D11"/>
    <w:rPr>
      <w:b/>
      <w:bCs/>
    </w:rPr>
  </w:style>
  <w:style w:type="paragraph" w:styleId="Header">
    <w:name w:val="header"/>
    <w:basedOn w:val="Normal"/>
    <w:link w:val="HeaderChar"/>
    <w:uiPriority w:val="99"/>
    <w:unhideWhenUsed/>
    <w:rsid w:val="00461BBE"/>
    <w:pPr>
      <w:tabs>
        <w:tab w:val="center" w:pos="4419"/>
        <w:tab w:val="right" w:pos="8838"/>
      </w:tabs>
      <w:spacing w:after="0" w:line="240" w:lineRule="auto"/>
    </w:pPr>
  </w:style>
  <w:style w:type="character" w:customStyle="1" w:styleId="HeaderChar">
    <w:name w:val="Header Char"/>
    <w:basedOn w:val="DefaultParagraphFont"/>
    <w:link w:val="Header"/>
    <w:uiPriority w:val="99"/>
    <w:rsid w:val="00461BBE"/>
    <w:rPr>
      <w:rFonts w:ascii="Times New Roman" w:eastAsia="Calibri" w:hAnsi="Times New Roman" w:cs="Times New Roman"/>
      <w:lang w:val="es-ES"/>
    </w:rPr>
  </w:style>
  <w:style w:type="paragraph" w:styleId="Footer">
    <w:name w:val="footer"/>
    <w:basedOn w:val="Normal"/>
    <w:link w:val="FooterChar"/>
    <w:uiPriority w:val="99"/>
    <w:unhideWhenUsed/>
    <w:rsid w:val="00461BBE"/>
    <w:pPr>
      <w:tabs>
        <w:tab w:val="center" w:pos="4419"/>
        <w:tab w:val="right" w:pos="8838"/>
      </w:tabs>
      <w:spacing w:after="0" w:line="240" w:lineRule="auto"/>
    </w:pPr>
  </w:style>
  <w:style w:type="character" w:customStyle="1" w:styleId="FooterChar">
    <w:name w:val="Footer Char"/>
    <w:basedOn w:val="DefaultParagraphFont"/>
    <w:link w:val="Footer"/>
    <w:uiPriority w:val="99"/>
    <w:rsid w:val="00461BBE"/>
    <w:rPr>
      <w:rFonts w:ascii="Times New Roman" w:eastAsia="Calibri" w:hAnsi="Times New Roman" w:cs="Times New Roman"/>
      <w:lang w:val="es-ES"/>
    </w:rPr>
  </w:style>
  <w:style w:type="character" w:styleId="Hyperlink">
    <w:name w:val="Hyperlink"/>
    <w:basedOn w:val="DefaultParagraphFont"/>
    <w:uiPriority w:val="99"/>
    <w:unhideWhenUsed/>
    <w:rsid w:val="00BC170A"/>
    <w:rPr>
      <w:color w:val="0000FF" w:themeColor="hyperlink"/>
      <w:u w:val="single"/>
    </w:rPr>
  </w:style>
  <w:style w:type="character" w:customStyle="1" w:styleId="apple-converted-space">
    <w:name w:val="apple-converted-space"/>
    <w:basedOn w:val="DefaultParagraphFont"/>
    <w:rsid w:val="006253F0"/>
  </w:style>
  <w:style w:type="paragraph" w:styleId="BodyText">
    <w:name w:val="Body Text"/>
    <w:basedOn w:val="Normal"/>
    <w:link w:val="BodyTextChar"/>
    <w:unhideWhenUsed/>
    <w:rsid w:val="00FE1D5D"/>
    <w:pPr>
      <w:spacing w:after="0" w:line="240" w:lineRule="auto"/>
      <w:jc w:val="both"/>
    </w:pPr>
    <w:rPr>
      <w:rFonts w:ascii="Garamond" w:eastAsia="Times" w:hAnsi="Garamond"/>
      <w:noProof/>
      <w:szCs w:val="20"/>
      <w:lang w:val="es-ES_tradnl"/>
    </w:rPr>
  </w:style>
  <w:style w:type="character" w:customStyle="1" w:styleId="BodyTextChar">
    <w:name w:val="Body Text Char"/>
    <w:basedOn w:val="DefaultParagraphFont"/>
    <w:link w:val="BodyText"/>
    <w:rsid w:val="00FE1D5D"/>
    <w:rPr>
      <w:rFonts w:ascii="Garamond" w:eastAsia="Times" w:hAnsi="Garamond" w:cs="Times New Roman"/>
      <w:noProof/>
      <w:szCs w:val="20"/>
      <w:lang w:val="es-ES_tradnl"/>
    </w:rPr>
  </w:style>
  <w:style w:type="character" w:styleId="CommentReference">
    <w:name w:val="annotation reference"/>
    <w:basedOn w:val="DefaultParagraphFont"/>
    <w:uiPriority w:val="99"/>
    <w:semiHidden/>
    <w:unhideWhenUsed/>
    <w:rsid w:val="00E060F4"/>
    <w:rPr>
      <w:sz w:val="16"/>
      <w:szCs w:val="16"/>
    </w:rPr>
  </w:style>
  <w:style w:type="paragraph" w:styleId="CommentText">
    <w:name w:val="annotation text"/>
    <w:basedOn w:val="Normal"/>
    <w:link w:val="CommentTextChar"/>
    <w:uiPriority w:val="99"/>
    <w:semiHidden/>
    <w:unhideWhenUsed/>
    <w:rsid w:val="00E060F4"/>
    <w:pPr>
      <w:spacing w:line="240" w:lineRule="auto"/>
    </w:pPr>
    <w:rPr>
      <w:sz w:val="20"/>
      <w:szCs w:val="20"/>
    </w:rPr>
  </w:style>
  <w:style w:type="character" w:customStyle="1" w:styleId="CommentTextChar">
    <w:name w:val="Comment Text Char"/>
    <w:basedOn w:val="DefaultParagraphFont"/>
    <w:link w:val="CommentText"/>
    <w:uiPriority w:val="99"/>
    <w:semiHidden/>
    <w:rsid w:val="00E060F4"/>
    <w:rPr>
      <w:rFonts w:ascii="Times New Roman" w:eastAsia="Calibri"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sid w:val="00E060F4"/>
    <w:rPr>
      <w:b/>
      <w:bCs/>
    </w:rPr>
  </w:style>
  <w:style w:type="character" w:customStyle="1" w:styleId="CommentSubjectChar">
    <w:name w:val="Comment Subject Char"/>
    <w:basedOn w:val="CommentTextChar"/>
    <w:link w:val="CommentSubject"/>
    <w:uiPriority w:val="99"/>
    <w:semiHidden/>
    <w:rsid w:val="00E060F4"/>
    <w:rPr>
      <w:rFonts w:ascii="Times New Roman" w:eastAsia="Calibri" w:hAnsi="Times New Roman" w:cs="Times New Roman"/>
      <w:b/>
      <w:bCs/>
      <w:sz w:val="20"/>
      <w:szCs w:val="20"/>
      <w:lang w:val="es-ES"/>
    </w:rPr>
  </w:style>
  <w:style w:type="paragraph" w:styleId="BalloonText">
    <w:name w:val="Balloon Text"/>
    <w:basedOn w:val="Normal"/>
    <w:link w:val="BalloonTextChar"/>
    <w:uiPriority w:val="99"/>
    <w:semiHidden/>
    <w:unhideWhenUsed/>
    <w:rsid w:val="00E06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0F4"/>
    <w:rPr>
      <w:rFonts w:ascii="Tahoma" w:eastAsia="Calibri" w:hAnsi="Tahoma" w:cs="Tahoma"/>
      <w:sz w:val="16"/>
      <w:szCs w:val="16"/>
      <w:lang w:val="es-ES"/>
    </w:rPr>
  </w:style>
  <w:style w:type="character" w:customStyle="1" w:styleId="ListParagraphChar">
    <w:name w:val="List Paragraph Char"/>
    <w:aliases w:val="Footnote Char,List Paragraph1 Char,Colorful List - Accent 11 Char"/>
    <w:basedOn w:val="DefaultParagraphFont"/>
    <w:link w:val="ListParagraph"/>
    <w:locked/>
    <w:rsid w:val="00464D5E"/>
    <w:rPr>
      <w:rFonts w:ascii="Times New Roman" w:eastAsia="Calibri" w:hAnsi="Times New Roman" w:cs="Times New Roman"/>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AD4"/>
    <w:rPr>
      <w:rFonts w:ascii="Times New Roman" w:eastAsia="Calibri" w:hAnsi="Times New Roman" w:cs="Times New Roman"/>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Ca,FA Fu?notentext,C,ft"/>
    <w:basedOn w:val="Normal"/>
    <w:link w:val="FootnoteTextChar1"/>
    <w:unhideWhenUsed/>
    <w:qFormat/>
    <w:rsid w:val="002D1823"/>
    <w:pPr>
      <w:spacing w:after="0" w:line="240" w:lineRule="auto"/>
    </w:pPr>
    <w:rPr>
      <w:rFonts w:asciiTheme="minorHAnsi" w:eastAsiaTheme="minorHAnsi" w:hAnsiTheme="minorHAnsi" w:cstheme="minorBidi"/>
      <w:sz w:val="20"/>
      <w:szCs w:val="20"/>
      <w:lang w:val="es-MX"/>
    </w:rPr>
  </w:style>
  <w:style w:type="character" w:customStyle="1" w:styleId="FootnoteTextChar">
    <w:name w:val="Footnote Text Char"/>
    <w:basedOn w:val="DefaultParagraphFont"/>
    <w:rsid w:val="002D1823"/>
    <w:rPr>
      <w:rFonts w:ascii="Times New Roman" w:eastAsia="Calibri" w:hAnsi="Times New Roman" w:cs="Times New Roman"/>
      <w:sz w:val="20"/>
      <w:szCs w:val="20"/>
      <w:lang w:val="es-ES"/>
    </w:rPr>
  </w:style>
  <w:style w:type="character" w:customStyle="1" w:styleId="FootnoteTextChar1">
    <w:name w:val="Footnote Text Char1"/>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uiPriority w:val="99"/>
    <w:rsid w:val="002D1823"/>
    <w:rPr>
      <w:sz w:val="20"/>
      <w:szCs w:val="20"/>
      <w:lang w:val="es-MX"/>
    </w:rPr>
  </w:style>
  <w:style w:type="character" w:styleId="FootnoteReference">
    <w:name w:val="footnote reference"/>
    <w:aliases w:val="Appel note de bas de page,Footnotes refss,Footnote number,referencia nota al pie,BVI fnr,f,4_G,16 Point,Superscript 6 Point,Texto nota al pie,Footnote Reference Char3,Footnote Reference Char1 Char,Ref. de nota al,Ref. de nota al pi"/>
    <w:basedOn w:val="DefaultParagraphFont"/>
    <w:unhideWhenUsed/>
    <w:qFormat/>
    <w:rsid w:val="002D1823"/>
    <w:rPr>
      <w:vertAlign w:val="superscript"/>
    </w:rPr>
  </w:style>
  <w:style w:type="paragraph" w:styleId="ListParagraph">
    <w:name w:val="List Paragraph"/>
    <w:aliases w:val="Footnote,List Paragraph1,Colorful List - Accent 11"/>
    <w:basedOn w:val="Normal"/>
    <w:link w:val="ListParagraphChar"/>
    <w:qFormat/>
    <w:rsid w:val="00580FD9"/>
    <w:pPr>
      <w:ind w:left="720"/>
      <w:contextualSpacing/>
    </w:pPr>
  </w:style>
  <w:style w:type="paragraph" w:styleId="NormalWeb">
    <w:name w:val="Normal (Web)"/>
    <w:aliases w:val="Normal (Web) Char1,Normal (Web) Char Char,Normal (Web) Char1 Char,Normal (Web) Char Char Char"/>
    <w:basedOn w:val="Normal"/>
    <w:uiPriority w:val="99"/>
    <w:unhideWhenUsed/>
    <w:rsid w:val="008149F1"/>
    <w:pPr>
      <w:spacing w:before="100" w:beforeAutospacing="1" w:after="100" w:afterAutospacing="1" w:line="240" w:lineRule="auto"/>
    </w:pPr>
    <w:rPr>
      <w:rFonts w:eastAsia="Times New Roman"/>
      <w:sz w:val="24"/>
      <w:szCs w:val="24"/>
      <w:lang w:val="es-CR" w:eastAsia="es-CR"/>
    </w:rPr>
  </w:style>
  <w:style w:type="character" w:styleId="Strong">
    <w:name w:val="Strong"/>
    <w:uiPriority w:val="22"/>
    <w:qFormat/>
    <w:rsid w:val="00185D11"/>
    <w:rPr>
      <w:b/>
      <w:bCs/>
    </w:rPr>
  </w:style>
  <w:style w:type="paragraph" w:styleId="Header">
    <w:name w:val="header"/>
    <w:basedOn w:val="Normal"/>
    <w:link w:val="HeaderChar"/>
    <w:uiPriority w:val="99"/>
    <w:unhideWhenUsed/>
    <w:rsid w:val="00461BBE"/>
    <w:pPr>
      <w:tabs>
        <w:tab w:val="center" w:pos="4419"/>
        <w:tab w:val="right" w:pos="8838"/>
      </w:tabs>
      <w:spacing w:after="0" w:line="240" w:lineRule="auto"/>
    </w:pPr>
  </w:style>
  <w:style w:type="character" w:customStyle="1" w:styleId="HeaderChar">
    <w:name w:val="Header Char"/>
    <w:basedOn w:val="DefaultParagraphFont"/>
    <w:link w:val="Header"/>
    <w:uiPriority w:val="99"/>
    <w:rsid w:val="00461BBE"/>
    <w:rPr>
      <w:rFonts w:ascii="Times New Roman" w:eastAsia="Calibri" w:hAnsi="Times New Roman" w:cs="Times New Roman"/>
      <w:lang w:val="es-ES"/>
    </w:rPr>
  </w:style>
  <w:style w:type="paragraph" w:styleId="Footer">
    <w:name w:val="footer"/>
    <w:basedOn w:val="Normal"/>
    <w:link w:val="FooterChar"/>
    <w:uiPriority w:val="99"/>
    <w:unhideWhenUsed/>
    <w:rsid w:val="00461BBE"/>
    <w:pPr>
      <w:tabs>
        <w:tab w:val="center" w:pos="4419"/>
        <w:tab w:val="right" w:pos="8838"/>
      </w:tabs>
      <w:spacing w:after="0" w:line="240" w:lineRule="auto"/>
    </w:pPr>
  </w:style>
  <w:style w:type="character" w:customStyle="1" w:styleId="FooterChar">
    <w:name w:val="Footer Char"/>
    <w:basedOn w:val="DefaultParagraphFont"/>
    <w:link w:val="Footer"/>
    <w:uiPriority w:val="99"/>
    <w:rsid w:val="00461BBE"/>
    <w:rPr>
      <w:rFonts w:ascii="Times New Roman" w:eastAsia="Calibri" w:hAnsi="Times New Roman" w:cs="Times New Roman"/>
      <w:lang w:val="es-ES"/>
    </w:rPr>
  </w:style>
  <w:style w:type="character" w:styleId="Hyperlink">
    <w:name w:val="Hyperlink"/>
    <w:basedOn w:val="DefaultParagraphFont"/>
    <w:uiPriority w:val="99"/>
    <w:unhideWhenUsed/>
    <w:rsid w:val="00BC170A"/>
    <w:rPr>
      <w:color w:val="0000FF" w:themeColor="hyperlink"/>
      <w:u w:val="single"/>
    </w:rPr>
  </w:style>
  <w:style w:type="character" w:customStyle="1" w:styleId="apple-converted-space">
    <w:name w:val="apple-converted-space"/>
    <w:basedOn w:val="DefaultParagraphFont"/>
    <w:rsid w:val="006253F0"/>
  </w:style>
  <w:style w:type="paragraph" w:styleId="BodyText">
    <w:name w:val="Body Text"/>
    <w:basedOn w:val="Normal"/>
    <w:link w:val="BodyTextChar"/>
    <w:unhideWhenUsed/>
    <w:rsid w:val="00FE1D5D"/>
    <w:pPr>
      <w:spacing w:after="0" w:line="240" w:lineRule="auto"/>
      <w:jc w:val="both"/>
    </w:pPr>
    <w:rPr>
      <w:rFonts w:ascii="Garamond" w:eastAsia="Times" w:hAnsi="Garamond"/>
      <w:noProof/>
      <w:szCs w:val="20"/>
      <w:lang w:val="es-ES_tradnl"/>
    </w:rPr>
  </w:style>
  <w:style w:type="character" w:customStyle="1" w:styleId="BodyTextChar">
    <w:name w:val="Body Text Char"/>
    <w:basedOn w:val="DefaultParagraphFont"/>
    <w:link w:val="BodyText"/>
    <w:rsid w:val="00FE1D5D"/>
    <w:rPr>
      <w:rFonts w:ascii="Garamond" w:eastAsia="Times" w:hAnsi="Garamond" w:cs="Times New Roman"/>
      <w:noProof/>
      <w:szCs w:val="20"/>
      <w:lang w:val="es-ES_tradnl"/>
    </w:rPr>
  </w:style>
  <w:style w:type="character" w:styleId="CommentReference">
    <w:name w:val="annotation reference"/>
    <w:basedOn w:val="DefaultParagraphFont"/>
    <w:uiPriority w:val="99"/>
    <w:semiHidden/>
    <w:unhideWhenUsed/>
    <w:rsid w:val="00E060F4"/>
    <w:rPr>
      <w:sz w:val="16"/>
      <w:szCs w:val="16"/>
    </w:rPr>
  </w:style>
  <w:style w:type="paragraph" w:styleId="CommentText">
    <w:name w:val="annotation text"/>
    <w:basedOn w:val="Normal"/>
    <w:link w:val="CommentTextChar"/>
    <w:uiPriority w:val="99"/>
    <w:semiHidden/>
    <w:unhideWhenUsed/>
    <w:rsid w:val="00E060F4"/>
    <w:pPr>
      <w:spacing w:line="240" w:lineRule="auto"/>
    </w:pPr>
    <w:rPr>
      <w:sz w:val="20"/>
      <w:szCs w:val="20"/>
    </w:rPr>
  </w:style>
  <w:style w:type="character" w:customStyle="1" w:styleId="CommentTextChar">
    <w:name w:val="Comment Text Char"/>
    <w:basedOn w:val="DefaultParagraphFont"/>
    <w:link w:val="CommentText"/>
    <w:uiPriority w:val="99"/>
    <w:semiHidden/>
    <w:rsid w:val="00E060F4"/>
    <w:rPr>
      <w:rFonts w:ascii="Times New Roman" w:eastAsia="Calibri"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sid w:val="00E060F4"/>
    <w:rPr>
      <w:b/>
      <w:bCs/>
    </w:rPr>
  </w:style>
  <w:style w:type="character" w:customStyle="1" w:styleId="CommentSubjectChar">
    <w:name w:val="Comment Subject Char"/>
    <w:basedOn w:val="CommentTextChar"/>
    <w:link w:val="CommentSubject"/>
    <w:uiPriority w:val="99"/>
    <w:semiHidden/>
    <w:rsid w:val="00E060F4"/>
    <w:rPr>
      <w:rFonts w:ascii="Times New Roman" w:eastAsia="Calibri" w:hAnsi="Times New Roman" w:cs="Times New Roman"/>
      <w:b/>
      <w:bCs/>
      <w:sz w:val="20"/>
      <w:szCs w:val="20"/>
      <w:lang w:val="es-ES"/>
    </w:rPr>
  </w:style>
  <w:style w:type="paragraph" w:styleId="BalloonText">
    <w:name w:val="Balloon Text"/>
    <w:basedOn w:val="Normal"/>
    <w:link w:val="BalloonTextChar"/>
    <w:uiPriority w:val="99"/>
    <w:semiHidden/>
    <w:unhideWhenUsed/>
    <w:rsid w:val="00E06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0F4"/>
    <w:rPr>
      <w:rFonts w:ascii="Tahoma" w:eastAsia="Calibri" w:hAnsi="Tahoma" w:cs="Tahoma"/>
      <w:sz w:val="16"/>
      <w:szCs w:val="16"/>
      <w:lang w:val="es-ES"/>
    </w:rPr>
  </w:style>
  <w:style w:type="character" w:customStyle="1" w:styleId="ListParagraphChar">
    <w:name w:val="List Paragraph Char"/>
    <w:aliases w:val="Footnote Char,List Paragraph1 Char,Colorful List - Accent 11 Char"/>
    <w:basedOn w:val="DefaultParagraphFont"/>
    <w:link w:val="ListParagraph"/>
    <w:locked/>
    <w:rsid w:val="00464D5E"/>
    <w:rPr>
      <w:rFonts w:ascii="Times New Roman" w:eastAsia="Calibri"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86661">
      <w:bodyDiv w:val="1"/>
      <w:marLeft w:val="0"/>
      <w:marRight w:val="0"/>
      <w:marTop w:val="0"/>
      <w:marBottom w:val="0"/>
      <w:divBdr>
        <w:top w:val="none" w:sz="0" w:space="0" w:color="auto"/>
        <w:left w:val="none" w:sz="0" w:space="0" w:color="auto"/>
        <w:bottom w:val="none" w:sz="0" w:space="0" w:color="auto"/>
        <w:right w:val="none" w:sz="0" w:space="0" w:color="auto"/>
      </w:divBdr>
    </w:div>
    <w:div w:id="386228615">
      <w:bodyDiv w:val="1"/>
      <w:marLeft w:val="0"/>
      <w:marRight w:val="0"/>
      <w:marTop w:val="0"/>
      <w:marBottom w:val="0"/>
      <w:divBdr>
        <w:top w:val="none" w:sz="0" w:space="0" w:color="auto"/>
        <w:left w:val="none" w:sz="0" w:space="0" w:color="auto"/>
        <w:bottom w:val="none" w:sz="0" w:space="0" w:color="auto"/>
        <w:right w:val="none" w:sz="0" w:space="0" w:color="auto"/>
      </w:divBdr>
    </w:div>
    <w:div w:id="491917890">
      <w:bodyDiv w:val="1"/>
      <w:marLeft w:val="0"/>
      <w:marRight w:val="0"/>
      <w:marTop w:val="0"/>
      <w:marBottom w:val="0"/>
      <w:divBdr>
        <w:top w:val="none" w:sz="0" w:space="0" w:color="auto"/>
        <w:left w:val="none" w:sz="0" w:space="0" w:color="auto"/>
        <w:bottom w:val="none" w:sz="0" w:space="0" w:color="auto"/>
        <w:right w:val="none" w:sz="0" w:space="0" w:color="auto"/>
      </w:divBdr>
    </w:div>
    <w:div w:id="518661176">
      <w:bodyDiv w:val="1"/>
      <w:marLeft w:val="0"/>
      <w:marRight w:val="0"/>
      <w:marTop w:val="0"/>
      <w:marBottom w:val="0"/>
      <w:divBdr>
        <w:top w:val="none" w:sz="0" w:space="0" w:color="auto"/>
        <w:left w:val="none" w:sz="0" w:space="0" w:color="auto"/>
        <w:bottom w:val="none" w:sz="0" w:space="0" w:color="auto"/>
        <w:right w:val="none" w:sz="0" w:space="0" w:color="auto"/>
      </w:divBdr>
    </w:div>
    <w:div w:id="747924062">
      <w:bodyDiv w:val="1"/>
      <w:marLeft w:val="0"/>
      <w:marRight w:val="0"/>
      <w:marTop w:val="0"/>
      <w:marBottom w:val="0"/>
      <w:divBdr>
        <w:top w:val="none" w:sz="0" w:space="0" w:color="auto"/>
        <w:left w:val="none" w:sz="0" w:space="0" w:color="auto"/>
        <w:bottom w:val="none" w:sz="0" w:space="0" w:color="auto"/>
        <w:right w:val="none" w:sz="0" w:space="0" w:color="auto"/>
      </w:divBdr>
    </w:div>
    <w:div w:id="878860446">
      <w:bodyDiv w:val="1"/>
      <w:marLeft w:val="0"/>
      <w:marRight w:val="0"/>
      <w:marTop w:val="0"/>
      <w:marBottom w:val="0"/>
      <w:divBdr>
        <w:top w:val="none" w:sz="0" w:space="0" w:color="auto"/>
        <w:left w:val="none" w:sz="0" w:space="0" w:color="auto"/>
        <w:bottom w:val="none" w:sz="0" w:space="0" w:color="auto"/>
        <w:right w:val="none" w:sz="0" w:space="0" w:color="auto"/>
      </w:divBdr>
    </w:div>
    <w:div w:id="886799633">
      <w:bodyDiv w:val="1"/>
      <w:marLeft w:val="0"/>
      <w:marRight w:val="0"/>
      <w:marTop w:val="0"/>
      <w:marBottom w:val="0"/>
      <w:divBdr>
        <w:top w:val="none" w:sz="0" w:space="0" w:color="auto"/>
        <w:left w:val="none" w:sz="0" w:space="0" w:color="auto"/>
        <w:bottom w:val="none" w:sz="0" w:space="0" w:color="auto"/>
        <w:right w:val="none" w:sz="0" w:space="0" w:color="auto"/>
      </w:divBdr>
    </w:div>
    <w:div w:id="1176307978">
      <w:bodyDiv w:val="1"/>
      <w:marLeft w:val="0"/>
      <w:marRight w:val="0"/>
      <w:marTop w:val="0"/>
      <w:marBottom w:val="0"/>
      <w:divBdr>
        <w:top w:val="none" w:sz="0" w:space="0" w:color="auto"/>
        <w:left w:val="none" w:sz="0" w:space="0" w:color="auto"/>
        <w:bottom w:val="none" w:sz="0" w:space="0" w:color="auto"/>
        <w:right w:val="none" w:sz="0" w:space="0" w:color="auto"/>
      </w:divBdr>
      <w:divsChild>
        <w:div w:id="1238637598">
          <w:marLeft w:val="576"/>
          <w:marRight w:val="0"/>
          <w:marTop w:val="80"/>
          <w:marBottom w:val="0"/>
          <w:divBdr>
            <w:top w:val="none" w:sz="0" w:space="0" w:color="auto"/>
            <w:left w:val="none" w:sz="0" w:space="0" w:color="auto"/>
            <w:bottom w:val="none" w:sz="0" w:space="0" w:color="auto"/>
            <w:right w:val="none" w:sz="0" w:space="0" w:color="auto"/>
          </w:divBdr>
        </w:div>
      </w:divsChild>
    </w:div>
    <w:div w:id="1720592406">
      <w:bodyDiv w:val="1"/>
      <w:marLeft w:val="0"/>
      <w:marRight w:val="0"/>
      <w:marTop w:val="0"/>
      <w:marBottom w:val="0"/>
      <w:divBdr>
        <w:top w:val="none" w:sz="0" w:space="0" w:color="auto"/>
        <w:left w:val="none" w:sz="0" w:space="0" w:color="auto"/>
        <w:bottom w:val="none" w:sz="0" w:space="0" w:color="auto"/>
        <w:right w:val="none" w:sz="0" w:space="0" w:color="auto"/>
      </w:divBdr>
    </w:div>
    <w:div w:id="1783109232">
      <w:bodyDiv w:val="1"/>
      <w:marLeft w:val="0"/>
      <w:marRight w:val="0"/>
      <w:marTop w:val="0"/>
      <w:marBottom w:val="0"/>
      <w:divBdr>
        <w:top w:val="none" w:sz="0" w:space="0" w:color="auto"/>
        <w:left w:val="none" w:sz="0" w:space="0" w:color="auto"/>
        <w:bottom w:val="none" w:sz="0" w:space="0" w:color="auto"/>
        <w:right w:val="none" w:sz="0" w:space="0" w:color="auto"/>
      </w:divBdr>
    </w:div>
    <w:div w:id="1982995283">
      <w:bodyDiv w:val="1"/>
      <w:marLeft w:val="0"/>
      <w:marRight w:val="0"/>
      <w:marTop w:val="0"/>
      <w:marBottom w:val="0"/>
      <w:divBdr>
        <w:top w:val="none" w:sz="0" w:space="0" w:color="auto"/>
        <w:left w:val="none" w:sz="0" w:space="0" w:color="auto"/>
        <w:bottom w:val="none" w:sz="0" w:space="0" w:color="auto"/>
        <w:right w:val="none" w:sz="0" w:space="0" w:color="auto"/>
      </w:divBdr>
    </w:div>
    <w:div w:id="21096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7cAls8PSzmo&amp;feature=youtu.be" TargetMode="External"/><Relationship Id="rId2" Type="http://schemas.openxmlformats.org/officeDocument/2006/relationships/hyperlink" Target="http://www.un.org/es/treaty/untc.shtml" TargetMode="External"/><Relationship Id="rId1" Type="http://schemas.openxmlformats.org/officeDocument/2006/relationships/hyperlink" Target="http://www.oas.org/juridico/spanish/firmas/a-5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CCDF8-3D1F-42AF-AC19-0E3AE513C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5098</Words>
  <Characters>28043</Characters>
  <Application>Microsoft Office Word</Application>
  <DocSecurity>0</DocSecurity>
  <Lines>233</Lines>
  <Paragraphs>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33075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Jairo Guadamuz</cp:lastModifiedBy>
  <cp:revision>2</cp:revision>
  <cp:lastPrinted>2015-09-18T15:50:00Z</cp:lastPrinted>
  <dcterms:created xsi:type="dcterms:W3CDTF">2015-09-18T22:40:00Z</dcterms:created>
  <dcterms:modified xsi:type="dcterms:W3CDTF">2015-09-18T22:40:00Z</dcterms:modified>
</cp:coreProperties>
</file>