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D3" w:rsidRDefault="00A80BD3" w:rsidP="00A80BD3">
      <w:pPr>
        <w:tabs>
          <w:tab w:val="left" w:pos="709"/>
        </w:tabs>
        <w:spacing w:after="0" w:line="240" w:lineRule="auto"/>
        <w:jc w:val="center"/>
        <w:rPr>
          <w:rFonts w:ascii="Verdana" w:hAnsi="Verdana"/>
          <w:b/>
          <w:sz w:val="20"/>
          <w:szCs w:val="20"/>
          <w:lang w:val="es-CR"/>
        </w:rPr>
      </w:pPr>
      <w:bookmarkStart w:id="0" w:name="_GoBack"/>
      <w:bookmarkEnd w:id="0"/>
    </w:p>
    <w:p w:rsidR="00B15EF8" w:rsidRDefault="00B15EF8" w:rsidP="00A80BD3">
      <w:pPr>
        <w:tabs>
          <w:tab w:val="left" w:pos="709"/>
        </w:tabs>
        <w:spacing w:after="0" w:line="240" w:lineRule="auto"/>
        <w:jc w:val="center"/>
        <w:rPr>
          <w:rFonts w:ascii="Verdana" w:hAnsi="Verdana"/>
          <w:b/>
          <w:sz w:val="20"/>
          <w:szCs w:val="20"/>
          <w:lang w:val="es-CR"/>
        </w:rPr>
      </w:pPr>
    </w:p>
    <w:p w:rsidR="00B15EF8" w:rsidRDefault="00B15EF8" w:rsidP="00A80BD3">
      <w:pPr>
        <w:tabs>
          <w:tab w:val="left" w:pos="709"/>
        </w:tabs>
        <w:spacing w:after="0" w:line="240" w:lineRule="auto"/>
        <w:jc w:val="center"/>
        <w:rPr>
          <w:rFonts w:ascii="Verdana" w:hAnsi="Verdana"/>
          <w:b/>
          <w:sz w:val="20"/>
          <w:szCs w:val="20"/>
          <w:lang w:val="es-CR"/>
        </w:rPr>
      </w:pPr>
    </w:p>
    <w:p w:rsidR="00B15EF8" w:rsidRDefault="00B15EF8" w:rsidP="00A80BD3">
      <w:pPr>
        <w:tabs>
          <w:tab w:val="left" w:pos="709"/>
        </w:tabs>
        <w:spacing w:after="0" w:line="240" w:lineRule="auto"/>
        <w:jc w:val="center"/>
        <w:rPr>
          <w:rFonts w:ascii="Verdana" w:hAnsi="Verdana"/>
          <w:b/>
          <w:sz w:val="20"/>
          <w:szCs w:val="20"/>
          <w:lang w:val="es-CR"/>
        </w:rPr>
      </w:pPr>
    </w:p>
    <w:p w:rsidR="00B15EF8" w:rsidRDefault="00B15EF8" w:rsidP="00A80BD3">
      <w:pPr>
        <w:tabs>
          <w:tab w:val="left" w:pos="709"/>
        </w:tabs>
        <w:spacing w:after="0" w:line="240" w:lineRule="auto"/>
        <w:jc w:val="center"/>
        <w:rPr>
          <w:rFonts w:ascii="Verdana" w:hAnsi="Verdana"/>
          <w:b/>
          <w:sz w:val="20"/>
          <w:szCs w:val="20"/>
          <w:lang w:val="es-CR"/>
        </w:rPr>
      </w:pPr>
    </w:p>
    <w:p w:rsidR="00B24072" w:rsidRDefault="00B24072" w:rsidP="00A80BD3">
      <w:pPr>
        <w:tabs>
          <w:tab w:val="left" w:pos="709"/>
        </w:tabs>
        <w:spacing w:after="0" w:line="240" w:lineRule="auto"/>
        <w:jc w:val="center"/>
        <w:rPr>
          <w:rFonts w:ascii="Verdana" w:hAnsi="Verdana"/>
          <w:b/>
          <w:sz w:val="20"/>
          <w:szCs w:val="20"/>
          <w:lang w:val="es-CR"/>
        </w:rPr>
      </w:pPr>
    </w:p>
    <w:p w:rsidR="00B15EF8" w:rsidRPr="00794B5E" w:rsidRDefault="00B15EF8" w:rsidP="00A80BD3">
      <w:pPr>
        <w:tabs>
          <w:tab w:val="left" w:pos="709"/>
        </w:tabs>
        <w:spacing w:after="0" w:line="240" w:lineRule="auto"/>
        <w:jc w:val="center"/>
        <w:rPr>
          <w:rFonts w:ascii="Verdana" w:hAnsi="Verdana"/>
          <w:b/>
          <w:sz w:val="20"/>
          <w:szCs w:val="20"/>
          <w:lang w:val="es-CR"/>
        </w:rPr>
      </w:pPr>
    </w:p>
    <w:p w:rsidR="00A80BD3" w:rsidRPr="00794B5E" w:rsidRDefault="00A80BD3" w:rsidP="00A80BD3">
      <w:pPr>
        <w:tabs>
          <w:tab w:val="left" w:pos="709"/>
        </w:tabs>
        <w:spacing w:after="0" w:line="240" w:lineRule="auto"/>
        <w:jc w:val="center"/>
        <w:rPr>
          <w:rFonts w:ascii="Verdana" w:hAnsi="Verdana"/>
          <w:b/>
          <w:sz w:val="20"/>
          <w:szCs w:val="20"/>
          <w:lang w:val="es-CR"/>
        </w:rPr>
      </w:pPr>
      <w:r w:rsidRPr="00794B5E">
        <w:rPr>
          <w:rFonts w:ascii="Verdana" w:hAnsi="Verdana"/>
          <w:b/>
          <w:sz w:val="20"/>
          <w:szCs w:val="20"/>
          <w:lang w:val="es-CR"/>
        </w:rPr>
        <w:t>VOTO CONCURRENTE DEL JUEZ HUMBERTO ANTONIO SIERRA PORTO</w:t>
      </w:r>
    </w:p>
    <w:p w:rsidR="00A80BD3" w:rsidRPr="00794B5E" w:rsidRDefault="00A80BD3" w:rsidP="00A80BD3">
      <w:pPr>
        <w:tabs>
          <w:tab w:val="left" w:pos="709"/>
        </w:tabs>
        <w:spacing w:after="0" w:line="240" w:lineRule="auto"/>
        <w:jc w:val="center"/>
        <w:rPr>
          <w:rFonts w:ascii="Verdana" w:hAnsi="Verdana"/>
          <w:b/>
          <w:sz w:val="20"/>
          <w:szCs w:val="20"/>
          <w:lang w:val="es-CR"/>
        </w:rPr>
      </w:pPr>
    </w:p>
    <w:p w:rsidR="00637749" w:rsidRPr="00794B5E" w:rsidRDefault="00637749" w:rsidP="00A80BD3">
      <w:pPr>
        <w:tabs>
          <w:tab w:val="left" w:pos="709"/>
        </w:tabs>
        <w:spacing w:after="0" w:line="240" w:lineRule="auto"/>
        <w:jc w:val="center"/>
        <w:rPr>
          <w:rFonts w:ascii="Verdana" w:hAnsi="Verdana"/>
          <w:b/>
          <w:sz w:val="20"/>
          <w:szCs w:val="20"/>
          <w:lang w:val="es-CR"/>
        </w:rPr>
      </w:pPr>
      <w:r w:rsidRPr="00794B5E">
        <w:rPr>
          <w:rFonts w:ascii="Verdana" w:hAnsi="Verdana"/>
          <w:b/>
          <w:sz w:val="20"/>
          <w:szCs w:val="20"/>
          <w:lang w:val="es-CR"/>
        </w:rPr>
        <w:t xml:space="preserve">A LA </w:t>
      </w:r>
      <w:r w:rsidR="00A80BD3" w:rsidRPr="00794B5E">
        <w:rPr>
          <w:rFonts w:ascii="Verdana" w:hAnsi="Verdana"/>
          <w:b/>
          <w:sz w:val="20"/>
          <w:szCs w:val="20"/>
          <w:lang w:val="es-CR"/>
        </w:rPr>
        <w:t xml:space="preserve">SENTENCIA </w:t>
      </w:r>
      <w:r w:rsidRPr="00794B5E">
        <w:rPr>
          <w:rFonts w:ascii="Verdana" w:hAnsi="Verdana"/>
          <w:b/>
          <w:sz w:val="20"/>
          <w:szCs w:val="20"/>
          <w:lang w:val="es-CR"/>
        </w:rPr>
        <w:t>DE 5 DE OCTUBRE DE 2015</w:t>
      </w:r>
    </w:p>
    <w:p w:rsidR="00A80BD3" w:rsidRPr="00794B5E" w:rsidRDefault="00A80BD3" w:rsidP="00A80BD3">
      <w:pPr>
        <w:tabs>
          <w:tab w:val="left" w:pos="709"/>
        </w:tabs>
        <w:spacing w:after="0" w:line="240" w:lineRule="auto"/>
        <w:jc w:val="center"/>
        <w:rPr>
          <w:rFonts w:ascii="Verdana" w:hAnsi="Verdana"/>
          <w:b/>
          <w:sz w:val="20"/>
          <w:szCs w:val="20"/>
          <w:lang w:val="es-CR"/>
        </w:rPr>
      </w:pPr>
      <w:r w:rsidRPr="00794B5E">
        <w:rPr>
          <w:rFonts w:ascii="Verdana" w:hAnsi="Verdana"/>
          <w:b/>
          <w:sz w:val="20"/>
          <w:szCs w:val="20"/>
          <w:lang w:val="es-CR"/>
        </w:rPr>
        <w:t>DE LA CORTE INTERAMERICANA DE DERECHOS HUMANOS</w:t>
      </w:r>
    </w:p>
    <w:p w:rsidR="00A80BD3" w:rsidRPr="00794B5E" w:rsidRDefault="00A80BD3" w:rsidP="00A80BD3">
      <w:pPr>
        <w:tabs>
          <w:tab w:val="left" w:pos="709"/>
        </w:tabs>
        <w:spacing w:after="0" w:line="240" w:lineRule="auto"/>
        <w:jc w:val="center"/>
        <w:rPr>
          <w:rFonts w:ascii="Verdana" w:hAnsi="Verdana"/>
          <w:b/>
          <w:sz w:val="20"/>
          <w:szCs w:val="20"/>
          <w:lang w:val="es-CR"/>
        </w:rPr>
      </w:pPr>
    </w:p>
    <w:p w:rsidR="00637749" w:rsidRPr="00794B5E" w:rsidRDefault="00637749" w:rsidP="00637749">
      <w:pPr>
        <w:tabs>
          <w:tab w:val="left" w:pos="709"/>
        </w:tabs>
        <w:spacing w:after="0" w:line="240" w:lineRule="auto"/>
        <w:jc w:val="center"/>
        <w:rPr>
          <w:rFonts w:ascii="Verdana" w:hAnsi="Verdana"/>
          <w:b/>
          <w:sz w:val="20"/>
          <w:szCs w:val="20"/>
          <w:lang w:val="es-CR"/>
        </w:rPr>
      </w:pPr>
      <w:r w:rsidRPr="00794B5E">
        <w:rPr>
          <w:rFonts w:ascii="Verdana" w:hAnsi="Verdana"/>
          <w:b/>
          <w:sz w:val="20"/>
          <w:szCs w:val="20"/>
          <w:lang w:val="es-CR"/>
        </w:rPr>
        <w:t xml:space="preserve">EN EL CASO RUANO TORRES Y OTROS </w:t>
      </w:r>
      <w:r w:rsidRPr="00794B5E">
        <w:rPr>
          <w:rFonts w:ascii="Verdana" w:hAnsi="Verdana"/>
          <w:b/>
          <w:i/>
          <w:sz w:val="20"/>
          <w:szCs w:val="20"/>
          <w:lang w:val="es-CR"/>
        </w:rPr>
        <w:t>VS.</w:t>
      </w:r>
      <w:r w:rsidRPr="00794B5E">
        <w:rPr>
          <w:rFonts w:ascii="Verdana" w:hAnsi="Verdana"/>
          <w:b/>
          <w:sz w:val="20"/>
          <w:szCs w:val="20"/>
          <w:lang w:val="es-CR"/>
        </w:rPr>
        <w:t xml:space="preserve"> EL SALVADOR</w:t>
      </w:r>
    </w:p>
    <w:p w:rsidR="00637749" w:rsidRPr="00794B5E" w:rsidRDefault="00637749" w:rsidP="00637749">
      <w:pPr>
        <w:tabs>
          <w:tab w:val="left" w:pos="709"/>
        </w:tabs>
        <w:spacing w:after="0" w:line="240" w:lineRule="auto"/>
        <w:jc w:val="center"/>
        <w:rPr>
          <w:rFonts w:ascii="Verdana" w:hAnsi="Verdana"/>
          <w:b/>
          <w:sz w:val="20"/>
          <w:szCs w:val="20"/>
          <w:lang w:val="es-CR"/>
        </w:rPr>
      </w:pPr>
    </w:p>
    <w:p w:rsidR="00A80BD3" w:rsidRPr="00794B5E" w:rsidRDefault="00A80BD3" w:rsidP="00A80BD3">
      <w:pPr>
        <w:pStyle w:val="ListParagraph"/>
        <w:tabs>
          <w:tab w:val="left" w:pos="709"/>
        </w:tabs>
        <w:spacing w:after="0" w:line="240" w:lineRule="auto"/>
        <w:rPr>
          <w:rFonts w:ascii="Verdana" w:hAnsi="Verdana"/>
          <w:b/>
          <w:sz w:val="20"/>
          <w:szCs w:val="20"/>
          <w:lang w:val="es-CR"/>
        </w:rPr>
      </w:pPr>
    </w:p>
    <w:p w:rsidR="008A7EE4" w:rsidRDefault="00637749" w:rsidP="00E93659">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sidRPr="00794B5E">
        <w:rPr>
          <w:rFonts w:ascii="Verdana" w:hAnsi="Verdana"/>
          <w:sz w:val="20"/>
          <w:szCs w:val="20"/>
          <w:lang w:val="es-CR"/>
        </w:rPr>
        <w:t xml:space="preserve">Concurro con los argumentos jurídicos que sustentan la decisión de la Corte en la presente </w:t>
      </w:r>
      <w:r w:rsidR="008A7EE4">
        <w:rPr>
          <w:rFonts w:ascii="Verdana" w:hAnsi="Verdana"/>
          <w:sz w:val="20"/>
          <w:szCs w:val="20"/>
          <w:lang w:val="es-CR"/>
        </w:rPr>
        <w:t>s</w:t>
      </w:r>
      <w:r w:rsidRPr="00794B5E">
        <w:rPr>
          <w:rFonts w:ascii="Verdana" w:hAnsi="Verdana"/>
          <w:sz w:val="20"/>
          <w:szCs w:val="20"/>
          <w:lang w:val="es-CR"/>
        </w:rPr>
        <w:t>entencia</w:t>
      </w:r>
      <w:r w:rsidR="008A7EE4">
        <w:rPr>
          <w:rFonts w:ascii="Verdana" w:hAnsi="Verdana"/>
          <w:sz w:val="20"/>
          <w:szCs w:val="20"/>
          <w:lang w:val="es-CR"/>
        </w:rPr>
        <w:t>, mediante</w:t>
      </w:r>
      <w:r w:rsidR="008A7EE4" w:rsidRPr="008A7EE4">
        <w:rPr>
          <w:rFonts w:ascii="Verdana" w:hAnsi="Verdana"/>
          <w:sz w:val="20"/>
          <w:szCs w:val="20"/>
          <w:lang w:val="es-CR"/>
        </w:rPr>
        <w:t xml:space="preserve"> la cual se acepta el reconocimiento parcial de responsabilidad internacional efectuado por el Estado y se determina que el Estado </w:t>
      </w:r>
      <w:r w:rsidR="000F22BD">
        <w:rPr>
          <w:rFonts w:ascii="Verdana" w:hAnsi="Verdana"/>
          <w:sz w:val="20"/>
          <w:szCs w:val="20"/>
          <w:lang w:val="es-CR"/>
        </w:rPr>
        <w:t xml:space="preserve">es responsable por la </w:t>
      </w:r>
      <w:r w:rsidR="008A7EE4" w:rsidRPr="008A7EE4">
        <w:rPr>
          <w:rFonts w:ascii="Verdana" w:hAnsi="Verdana"/>
          <w:sz w:val="20"/>
          <w:szCs w:val="20"/>
          <w:lang w:val="es-CR"/>
        </w:rPr>
        <w:t>viol</w:t>
      </w:r>
      <w:r w:rsidR="000F22BD">
        <w:rPr>
          <w:rFonts w:ascii="Verdana" w:hAnsi="Verdana"/>
          <w:sz w:val="20"/>
          <w:szCs w:val="20"/>
          <w:lang w:val="es-CR"/>
        </w:rPr>
        <w:t>ación</w:t>
      </w:r>
      <w:r w:rsidR="008A7EE4">
        <w:rPr>
          <w:rFonts w:ascii="Verdana" w:hAnsi="Verdana"/>
          <w:sz w:val="20"/>
          <w:szCs w:val="20"/>
          <w:lang w:val="es-CR"/>
        </w:rPr>
        <w:t>,</w:t>
      </w:r>
      <w:r w:rsidR="008A7EE4" w:rsidRPr="008A7EE4">
        <w:rPr>
          <w:rFonts w:ascii="Verdana" w:eastAsia="Times" w:hAnsi="Verdana"/>
          <w:sz w:val="20"/>
          <w:szCs w:val="20"/>
        </w:rPr>
        <w:t xml:space="preserve"> </w:t>
      </w:r>
      <w:r w:rsidR="008A7EE4" w:rsidRPr="00C00ED0">
        <w:rPr>
          <w:rFonts w:ascii="Verdana" w:eastAsia="Times" w:hAnsi="Verdana"/>
          <w:sz w:val="20"/>
          <w:szCs w:val="20"/>
        </w:rPr>
        <w:t>en perjuicio de José Agapito Ruano Torres</w:t>
      </w:r>
      <w:r w:rsidR="008A7EE4">
        <w:rPr>
          <w:rFonts w:ascii="Verdana" w:eastAsia="Times" w:hAnsi="Verdana"/>
          <w:sz w:val="20"/>
          <w:szCs w:val="20"/>
        </w:rPr>
        <w:t>,</w:t>
      </w:r>
      <w:r w:rsidR="008A7EE4" w:rsidRPr="00C00ED0">
        <w:rPr>
          <w:rFonts w:ascii="Verdana" w:eastAsia="Times" w:hAnsi="Verdana"/>
          <w:sz w:val="20"/>
          <w:szCs w:val="20"/>
        </w:rPr>
        <w:t xml:space="preserve"> </w:t>
      </w:r>
      <w:r w:rsidR="000F22BD">
        <w:rPr>
          <w:rFonts w:ascii="Verdana" w:eastAsia="Times" w:hAnsi="Verdana"/>
          <w:sz w:val="20"/>
          <w:szCs w:val="20"/>
        </w:rPr>
        <w:t>d</w:t>
      </w:r>
      <w:r w:rsidR="008A7EE4" w:rsidRPr="00C00ED0">
        <w:rPr>
          <w:rFonts w:ascii="Verdana" w:eastAsia="Times" w:hAnsi="Verdana"/>
          <w:sz w:val="20"/>
          <w:szCs w:val="20"/>
        </w:rPr>
        <w:t xml:space="preserve">el derecho a la integridad personal y la prohibición de la tortura, del derecho a la libertad personal, de la presunción de inocencia, del derecho a la defensa y a ser oído con las debidas garantías, y del derecho a la protección judicial, así como por la falta de garantía del derecho a la integridad personal respecto de la obligación de investigar los actos de tortura, reconocidos en los artículos 5.1, 5.2, 7.1, 7.3, 7.6, 8.1, 8.2, 8.2.d), 8.2.e) y 25.1 de la Convención Americana sobre Derechos Humanos </w:t>
      </w:r>
      <w:r w:rsidR="008A7EE4" w:rsidRPr="00C00ED0">
        <w:rPr>
          <w:rFonts w:ascii="Verdana" w:eastAsia="Times New Roman" w:hAnsi="Verdana"/>
          <w:sz w:val="20"/>
          <w:szCs w:val="20"/>
        </w:rPr>
        <w:t>(en adelante también “la Convención Americana” o “la Convención”)</w:t>
      </w:r>
      <w:r w:rsidR="008A7EE4" w:rsidRPr="00C00ED0">
        <w:rPr>
          <w:rFonts w:ascii="Verdana" w:eastAsia="Times" w:hAnsi="Verdana"/>
          <w:sz w:val="20"/>
          <w:szCs w:val="20"/>
        </w:rPr>
        <w:t xml:space="preserve"> en relación con el artículo 1.1 de la misma</w:t>
      </w:r>
      <w:r w:rsidRPr="00794B5E">
        <w:rPr>
          <w:rFonts w:ascii="Verdana" w:hAnsi="Verdana"/>
          <w:sz w:val="20"/>
          <w:szCs w:val="20"/>
          <w:lang w:val="es-CR"/>
        </w:rPr>
        <w:t xml:space="preserve">. </w:t>
      </w:r>
    </w:p>
    <w:p w:rsidR="008A7EE4" w:rsidRDefault="008A7EE4" w:rsidP="00E93659">
      <w:pPr>
        <w:pStyle w:val="ListParagraph"/>
        <w:tabs>
          <w:tab w:val="left" w:pos="567"/>
          <w:tab w:val="left" w:pos="709"/>
        </w:tabs>
        <w:spacing w:after="0" w:line="240" w:lineRule="auto"/>
        <w:ind w:left="0"/>
        <w:jc w:val="both"/>
        <w:rPr>
          <w:rFonts w:ascii="Verdana" w:hAnsi="Verdana"/>
          <w:sz w:val="20"/>
          <w:szCs w:val="20"/>
          <w:lang w:val="es-CR"/>
        </w:rPr>
      </w:pPr>
    </w:p>
    <w:p w:rsidR="0055408F" w:rsidRPr="008A7EE4" w:rsidRDefault="00637749" w:rsidP="00E93659">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sidRPr="00794B5E">
        <w:rPr>
          <w:rFonts w:ascii="Verdana" w:hAnsi="Verdana"/>
          <w:sz w:val="20"/>
          <w:szCs w:val="20"/>
          <w:lang w:val="es-CR"/>
        </w:rPr>
        <w:t xml:space="preserve">No obstante, me parece adecuado presentar </w:t>
      </w:r>
      <w:r w:rsidR="005B22DE" w:rsidRPr="00794B5E">
        <w:rPr>
          <w:rFonts w:ascii="Verdana" w:hAnsi="Verdana"/>
          <w:sz w:val="20"/>
          <w:szCs w:val="20"/>
          <w:lang w:val="es-CR"/>
        </w:rPr>
        <w:t>alguna</w:t>
      </w:r>
      <w:r w:rsidR="00794B5E" w:rsidRPr="00794B5E">
        <w:rPr>
          <w:rFonts w:ascii="Verdana" w:hAnsi="Verdana"/>
          <w:sz w:val="20"/>
          <w:szCs w:val="20"/>
          <w:lang w:val="es-CR"/>
        </w:rPr>
        <w:t>s</w:t>
      </w:r>
      <w:r w:rsidR="005B22DE" w:rsidRPr="00794B5E">
        <w:rPr>
          <w:rFonts w:ascii="Verdana" w:hAnsi="Verdana"/>
          <w:sz w:val="20"/>
          <w:szCs w:val="20"/>
          <w:lang w:val="es-CR"/>
        </w:rPr>
        <w:t xml:space="preserve"> reflexiones adicionales en torno a la admisión por parte del tribunal interamericano del reconocimiento de responsabilidad internacional efectuado por el Estado de El Salvador en el presente caso. Algunas preguntas suscitan este voto: ¿Puede la Corte Interamericana no aceptar el reconocimiento de responsabilidad realizado por el Estado sobre algunas pretensiones de derecho? ¿A pesar de que el Estado se haya allanado a una violación de determinado derecho puede la Corte Interamericana decidir que no se configuró tal violación? ¿Puede el Estado mediante un reconocimiento de responsabilidad que contraríe una decisión judicial lograr que la Corte Interamericana revoque decisiones tomadas sin ningún tipo de irregularidad evidente ni demostrada por el máximo tribunal del país?</w:t>
      </w:r>
      <w:r w:rsidR="008A7EE4">
        <w:rPr>
          <w:rFonts w:ascii="Verdana" w:hAnsi="Verdana"/>
          <w:sz w:val="20"/>
          <w:szCs w:val="20"/>
          <w:lang w:val="es-CR"/>
        </w:rPr>
        <w:t xml:space="preserve"> </w:t>
      </w:r>
      <w:r w:rsidR="00CB5273" w:rsidRPr="008A7EE4">
        <w:rPr>
          <w:rFonts w:ascii="Verdana" w:hAnsi="Verdana"/>
          <w:sz w:val="20"/>
          <w:szCs w:val="20"/>
          <w:lang w:val="es-CR"/>
        </w:rPr>
        <w:t>A fin de</w:t>
      </w:r>
      <w:r w:rsidRPr="008A7EE4">
        <w:rPr>
          <w:rFonts w:ascii="Verdana" w:hAnsi="Verdana"/>
          <w:sz w:val="20"/>
          <w:szCs w:val="20"/>
          <w:lang w:val="es-CR"/>
        </w:rPr>
        <w:t xml:space="preserve"> </w:t>
      </w:r>
      <w:r w:rsidR="00CB5273" w:rsidRPr="008A7EE4">
        <w:rPr>
          <w:rFonts w:ascii="Verdana" w:hAnsi="Verdana"/>
          <w:sz w:val="20"/>
          <w:szCs w:val="20"/>
          <w:lang w:val="es-CR"/>
        </w:rPr>
        <w:t xml:space="preserve">aclarar y </w:t>
      </w:r>
      <w:r w:rsidRPr="008A7EE4">
        <w:rPr>
          <w:rFonts w:ascii="Verdana" w:hAnsi="Verdana"/>
          <w:sz w:val="20"/>
          <w:szCs w:val="20"/>
          <w:lang w:val="es-CR"/>
        </w:rPr>
        <w:t>ref</w:t>
      </w:r>
      <w:r w:rsidR="00CB5273" w:rsidRPr="008A7EE4">
        <w:rPr>
          <w:rFonts w:ascii="Verdana" w:hAnsi="Verdana"/>
          <w:sz w:val="20"/>
          <w:szCs w:val="20"/>
          <w:lang w:val="es-CR"/>
        </w:rPr>
        <w:t>o</w:t>
      </w:r>
      <w:r w:rsidRPr="008A7EE4">
        <w:rPr>
          <w:rFonts w:ascii="Verdana" w:hAnsi="Verdana"/>
          <w:sz w:val="20"/>
          <w:szCs w:val="20"/>
          <w:lang w:val="es-CR"/>
        </w:rPr>
        <w:t>rza</w:t>
      </w:r>
      <w:r w:rsidR="00CB5273" w:rsidRPr="008A7EE4">
        <w:rPr>
          <w:rFonts w:ascii="Verdana" w:hAnsi="Verdana"/>
          <w:sz w:val="20"/>
          <w:szCs w:val="20"/>
          <w:lang w:val="es-CR"/>
        </w:rPr>
        <w:t>r</w:t>
      </w:r>
      <w:r w:rsidRPr="008A7EE4">
        <w:rPr>
          <w:rFonts w:ascii="Verdana" w:hAnsi="Verdana"/>
          <w:sz w:val="20"/>
          <w:szCs w:val="20"/>
          <w:lang w:val="es-CR"/>
        </w:rPr>
        <w:t xml:space="preserve"> el sentido de mi posición </w:t>
      </w:r>
      <w:r w:rsidR="00CB5273" w:rsidRPr="008A7EE4">
        <w:rPr>
          <w:rFonts w:ascii="Verdana" w:hAnsi="Verdana"/>
          <w:sz w:val="20"/>
          <w:szCs w:val="20"/>
          <w:lang w:val="es-CR"/>
        </w:rPr>
        <w:t xml:space="preserve">sobre estos cuestionamientos, presento este </w:t>
      </w:r>
      <w:r w:rsidR="00A80BD3" w:rsidRPr="008A7EE4">
        <w:rPr>
          <w:rFonts w:ascii="Verdana" w:hAnsi="Verdana"/>
          <w:sz w:val="20"/>
          <w:szCs w:val="20"/>
          <w:lang w:val="es-CR"/>
        </w:rPr>
        <w:t xml:space="preserve">voto concurrente </w:t>
      </w:r>
      <w:r w:rsidRPr="008A7EE4">
        <w:rPr>
          <w:rFonts w:ascii="Verdana" w:hAnsi="Verdana"/>
          <w:sz w:val="20"/>
          <w:szCs w:val="20"/>
          <w:lang w:val="es-CR"/>
        </w:rPr>
        <w:t>en torno</w:t>
      </w:r>
      <w:r w:rsidR="00A80BD3" w:rsidRPr="008A7EE4">
        <w:rPr>
          <w:rFonts w:ascii="Verdana" w:hAnsi="Verdana"/>
          <w:sz w:val="20"/>
          <w:szCs w:val="20"/>
          <w:lang w:val="es-CR"/>
        </w:rPr>
        <w:t xml:space="preserve"> </w:t>
      </w:r>
      <w:r w:rsidRPr="008A7EE4">
        <w:rPr>
          <w:rFonts w:ascii="Verdana" w:hAnsi="Verdana"/>
          <w:sz w:val="20"/>
          <w:szCs w:val="20"/>
          <w:lang w:val="es-CR"/>
        </w:rPr>
        <w:t>al alcance, la valoración y el efecto jurídico que pudiera tener un reconocimiento de responsabilidad estatal como el</w:t>
      </w:r>
      <w:r w:rsidR="005B22DE" w:rsidRPr="008A7EE4">
        <w:rPr>
          <w:rFonts w:ascii="Verdana" w:hAnsi="Verdana"/>
          <w:sz w:val="20"/>
          <w:szCs w:val="20"/>
          <w:lang w:val="es-CR"/>
        </w:rPr>
        <w:t xml:space="preserve"> realizado en el caso concreto.</w:t>
      </w:r>
    </w:p>
    <w:p w:rsidR="0055408F" w:rsidRPr="00794B5E" w:rsidRDefault="0055408F" w:rsidP="00E93659">
      <w:pPr>
        <w:pStyle w:val="ListParagraph"/>
        <w:tabs>
          <w:tab w:val="left" w:pos="567"/>
          <w:tab w:val="left" w:pos="709"/>
        </w:tabs>
        <w:spacing w:after="0" w:line="240" w:lineRule="auto"/>
        <w:ind w:left="0"/>
        <w:jc w:val="both"/>
        <w:rPr>
          <w:rFonts w:ascii="Verdana" w:hAnsi="Verdana"/>
          <w:sz w:val="20"/>
          <w:szCs w:val="20"/>
          <w:lang w:val="es-CR"/>
        </w:rPr>
      </w:pPr>
    </w:p>
    <w:p w:rsidR="0055408F" w:rsidRPr="00B86F9F" w:rsidRDefault="00C132DA" w:rsidP="00E93659">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sidRPr="00C132DA">
        <w:rPr>
          <w:rFonts w:ascii="Verdana" w:hAnsi="Verdana"/>
          <w:sz w:val="20"/>
          <w:szCs w:val="20"/>
        </w:rPr>
        <w:t xml:space="preserve">El reconocimiento del Estado </w:t>
      </w:r>
      <w:r w:rsidR="00B86F9F">
        <w:rPr>
          <w:rFonts w:ascii="Verdana" w:hAnsi="Verdana"/>
          <w:sz w:val="20"/>
          <w:szCs w:val="20"/>
        </w:rPr>
        <w:t xml:space="preserve">en este caso </w:t>
      </w:r>
      <w:r w:rsidRPr="00C132DA">
        <w:rPr>
          <w:rFonts w:ascii="Verdana" w:hAnsi="Verdana"/>
          <w:sz w:val="20"/>
          <w:szCs w:val="20"/>
        </w:rPr>
        <w:t xml:space="preserve">fue formulado en términos amplios y generales. En </w:t>
      </w:r>
      <w:r>
        <w:rPr>
          <w:rFonts w:ascii="Verdana" w:hAnsi="Verdana"/>
          <w:sz w:val="20"/>
          <w:szCs w:val="20"/>
        </w:rPr>
        <w:t xml:space="preserve">relación con los aspectos fácticos, </w:t>
      </w:r>
      <w:r w:rsidR="00B67188">
        <w:rPr>
          <w:rFonts w:ascii="Verdana" w:hAnsi="Verdana"/>
          <w:sz w:val="20"/>
          <w:szCs w:val="20"/>
        </w:rPr>
        <w:t>el Estado</w:t>
      </w:r>
      <w:r w:rsidRPr="00C132DA">
        <w:rPr>
          <w:rFonts w:ascii="Verdana" w:hAnsi="Verdana"/>
          <w:sz w:val="20"/>
          <w:szCs w:val="20"/>
        </w:rPr>
        <w:t xml:space="preserve"> acept</w:t>
      </w:r>
      <w:r w:rsidR="00B67188">
        <w:rPr>
          <w:rFonts w:ascii="Verdana" w:hAnsi="Verdana"/>
          <w:sz w:val="20"/>
          <w:szCs w:val="20"/>
        </w:rPr>
        <w:t>ó la</w:t>
      </w:r>
      <w:r w:rsidRPr="00C132DA">
        <w:rPr>
          <w:rFonts w:ascii="Verdana" w:hAnsi="Verdana"/>
          <w:sz w:val="20"/>
          <w:szCs w:val="20"/>
        </w:rPr>
        <w:t xml:space="preserve"> total</w:t>
      </w:r>
      <w:r w:rsidR="00B67188">
        <w:rPr>
          <w:rFonts w:ascii="Verdana" w:hAnsi="Verdana"/>
          <w:sz w:val="20"/>
          <w:szCs w:val="20"/>
        </w:rPr>
        <w:t>idad</w:t>
      </w:r>
      <w:r w:rsidRPr="00C132DA">
        <w:rPr>
          <w:rFonts w:ascii="Verdana" w:hAnsi="Verdana"/>
          <w:sz w:val="20"/>
          <w:szCs w:val="20"/>
        </w:rPr>
        <w:t xml:space="preserve"> de los hechos</w:t>
      </w:r>
      <w:r w:rsidR="00B67188">
        <w:rPr>
          <w:rFonts w:ascii="Verdana" w:hAnsi="Verdana"/>
          <w:sz w:val="20"/>
          <w:szCs w:val="20"/>
        </w:rPr>
        <w:t xml:space="preserve"> incluidos en el informe de fondo de la Comisión</w:t>
      </w:r>
      <w:r w:rsidRPr="00C132DA">
        <w:rPr>
          <w:rFonts w:ascii="Verdana" w:hAnsi="Verdana"/>
          <w:sz w:val="20"/>
          <w:szCs w:val="20"/>
        </w:rPr>
        <w:t>.</w:t>
      </w:r>
      <w:r w:rsidR="00B67188">
        <w:rPr>
          <w:rFonts w:ascii="Verdana" w:hAnsi="Verdana"/>
          <w:sz w:val="20"/>
          <w:szCs w:val="20"/>
        </w:rPr>
        <w:t xml:space="preserve"> En cuanto a las pretensiones de derecho</w:t>
      </w:r>
      <w:r w:rsidRPr="00C132DA">
        <w:rPr>
          <w:rFonts w:ascii="Verdana" w:hAnsi="Verdana"/>
          <w:sz w:val="20"/>
          <w:szCs w:val="20"/>
        </w:rPr>
        <w:t>, el E</w:t>
      </w:r>
      <w:r w:rsidR="00B67188">
        <w:rPr>
          <w:rFonts w:ascii="Verdana" w:hAnsi="Verdana"/>
          <w:sz w:val="20"/>
          <w:szCs w:val="20"/>
        </w:rPr>
        <w:t xml:space="preserve">stado especificó que reconocía </w:t>
      </w:r>
      <w:r w:rsidRPr="00C132DA">
        <w:rPr>
          <w:rFonts w:ascii="Verdana" w:hAnsi="Verdana"/>
          <w:sz w:val="20"/>
          <w:szCs w:val="20"/>
        </w:rPr>
        <w:t>las conclusiones contenidas en el informe de fondo.</w:t>
      </w:r>
    </w:p>
    <w:p w:rsidR="00B86F9F" w:rsidRPr="00B86F9F" w:rsidRDefault="00B86F9F" w:rsidP="00E93659">
      <w:pPr>
        <w:pStyle w:val="ListParagraph"/>
        <w:tabs>
          <w:tab w:val="left" w:pos="567"/>
          <w:tab w:val="left" w:pos="709"/>
        </w:tabs>
        <w:spacing w:after="0" w:line="240" w:lineRule="auto"/>
        <w:ind w:left="0"/>
        <w:jc w:val="both"/>
        <w:rPr>
          <w:rFonts w:ascii="Verdana" w:hAnsi="Verdana"/>
          <w:sz w:val="20"/>
          <w:szCs w:val="20"/>
          <w:lang w:val="es-CR"/>
        </w:rPr>
      </w:pPr>
    </w:p>
    <w:p w:rsidR="00B86F9F" w:rsidRPr="00B86F9F" w:rsidRDefault="00B86F9F" w:rsidP="00E93659">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sidRPr="00B86F9F">
        <w:rPr>
          <w:rFonts w:ascii="Verdana" w:hAnsi="Verdana"/>
          <w:sz w:val="20"/>
          <w:szCs w:val="20"/>
          <w:lang w:val="es-CR"/>
        </w:rPr>
        <w:t>Las normas reglamentarias</w:t>
      </w:r>
      <w:r>
        <w:rPr>
          <w:rFonts w:ascii="Verdana" w:hAnsi="Verdana"/>
          <w:sz w:val="20"/>
          <w:szCs w:val="20"/>
          <w:lang w:val="es-CR"/>
        </w:rPr>
        <w:t xml:space="preserve"> que regulan el reconocimiento </w:t>
      </w:r>
      <w:r w:rsidRPr="00B86F9F">
        <w:rPr>
          <w:rFonts w:ascii="Verdana" w:hAnsi="Verdana"/>
          <w:sz w:val="20"/>
          <w:szCs w:val="20"/>
          <w:lang w:val="es-CR"/>
        </w:rPr>
        <w:t xml:space="preserve">indican </w:t>
      </w:r>
      <w:r>
        <w:rPr>
          <w:rFonts w:ascii="Verdana" w:hAnsi="Verdana"/>
          <w:sz w:val="20"/>
          <w:szCs w:val="20"/>
          <w:lang w:val="es-CR"/>
        </w:rPr>
        <w:t>que “[s]</w:t>
      </w:r>
      <w:r w:rsidRPr="00B86F9F">
        <w:rPr>
          <w:rFonts w:ascii="Verdana" w:hAnsi="Verdana"/>
          <w:sz w:val="20"/>
          <w:szCs w:val="20"/>
          <w:lang w:val="es-CR"/>
        </w:rPr>
        <w:t>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r>
        <w:rPr>
          <w:rFonts w:ascii="Verdana" w:hAnsi="Verdana"/>
          <w:sz w:val="20"/>
          <w:szCs w:val="20"/>
          <w:lang w:val="es-CR"/>
        </w:rPr>
        <w:t>”</w:t>
      </w:r>
      <w:r>
        <w:rPr>
          <w:rStyle w:val="FootnoteReference"/>
          <w:rFonts w:ascii="Verdana" w:hAnsi="Verdana"/>
          <w:sz w:val="20"/>
          <w:szCs w:val="20"/>
          <w:lang w:val="es-CR"/>
        </w:rPr>
        <w:footnoteReference w:id="1"/>
      </w:r>
      <w:r w:rsidRPr="00B86F9F">
        <w:rPr>
          <w:rFonts w:ascii="Verdana" w:hAnsi="Verdana"/>
          <w:sz w:val="20"/>
          <w:szCs w:val="20"/>
          <w:lang w:val="es-CR"/>
        </w:rPr>
        <w:t>.</w:t>
      </w:r>
      <w:r>
        <w:rPr>
          <w:rFonts w:ascii="Verdana" w:hAnsi="Verdana"/>
          <w:sz w:val="20"/>
          <w:szCs w:val="20"/>
          <w:lang w:val="es-CR"/>
        </w:rPr>
        <w:t xml:space="preserve"> Por lo tanto, la propia redacción de la disposición indica que compete a la Corte decidir tanto sobre la procedencia de un reconocimiento de responsabilidad estatal como sobre sus efectos jurídicos, “</w:t>
      </w:r>
      <w:r w:rsidRPr="00B86F9F">
        <w:rPr>
          <w:rFonts w:ascii="Verdana" w:hAnsi="Verdana"/>
          <w:sz w:val="20"/>
          <w:szCs w:val="20"/>
          <w:lang w:val="es-CR"/>
        </w:rPr>
        <w:t xml:space="preserve">teniendo en </w:t>
      </w:r>
      <w:r w:rsidRPr="00B86F9F">
        <w:rPr>
          <w:rFonts w:ascii="Verdana" w:hAnsi="Verdana"/>
          <w:sz w:val="20"/>
          <w:szCs w:val="20"/>
          <w:lang w:val="es-CR"/>
        </w:rPr>
        <w:lastRenderedPageBreak/>
        <w:t>cuenta las responsabilidades que le incumben de proteger los</w:t>
      </w:r>
      <w:r>
        <w:rPr>
          <w:rFonts w:ascii="Verdana" w:hAnsi="Verdana"/>
          <w:sz w:val="20"/>
          <w:szCs w:val="20"/>
          <w:lang w:val="es-CR"/>
        </w:rPr>
        <w:t xml:space="preserve"> </w:t>
      </w:r>
      <w:r w:rsidRPr="00B86F9F">
        <w:rPr>
          <w:rFonts w:ascii="Verdana" w:hAnsi="Verdana"/>
          <w:sz w:val="20"/>
          <w:szCs w:val="20"/>
          <w:lang w:val="es-CR"/>
        </w:rPr>
        <w:t>derechos humanos</w:t>
      </w:r>
      <w:r>
        <w:rPr>
          <w:rFonts w:ascii="Verdana" w:hAnsi="Verdana"/>
          <w:sz w:val="20"/>
          <w:szCs w:val="20"/>
          <w:lang w:val="es-CR"/>
        </w:rPr>
        <w:t>”</w:t>
      </w:r>
      <w:r>
        <w:rPr>
          <w:rStyle w:val="FootnoteReference"/>
          <w:rFonts w:ascii="Verdana" w:hAnsi="Verdana"/>
          <w:sz w:val="20"/>
          <w:szCs w:val="20"/>
          <w:lang w:val="es-CR"/>
        </w:rPr>
        <w:footnoteReference w:id="2"/>
      </w:r>
      <w:r>
        <w:rPr>
          <w:rFonts w:ascii="Verdana" w:hAnsi="Verdana"/>
          <w:sz w:val="20"/>
          <w:szCs w:val="20"/>
          <w:lang w:val="es-CR"/>
        </w:rPr>
        <w:t>.</w:t>
      </w:r>
      <w:r w:rsidR="00641D6C">
        <w:rPr>
          <w:rFonts w:ascii="Verdana" w:hAnsi="Verdana"/>
          <w:sz w:val="20"/>
          <w:szCs w:val="20"/>
          <w:lang w:val="es-CR"/>
        </w:rPr>
        <w:t xml:space="preserve"> En estos términos, es posible afirmar que la Corte no se encuentra constreñida a aceptar un reconocimiento de responsabilidad</w:t>
      </w:r>
      <w:r w:rsidR="008E6A74">
        <w:rPr>
          <w:rFonts w:ascii="Verdana" w:hAnsi="Verdana"/>
          <w:sz w:val="20"/>
          <w:szCs w:val="20"/>
          <w:lang w:val="es-CR"/>
        </w:rPr>
        <w:t>,</w:t>
      </w:r>
      <w:r w:rsidR="00641D6C">
        <w:rPr>
          <w:rFonts w:ascii="Verdana" w:hAnsi="Verdana"/>
          <w:sz w:val="20"/>
          <w:szCs w:val="20"/>
          <w:lang w:val="es-CR"/>
        </w:rPr>
        <w:t xml:space="preserve"> sino que deberá analizar</w:t>
      </w:r>
      <w:r w:rsidR="008E6A74">
        <w:rPr>
          <w:rFonts w:ascii="Verdana" w:hAnsi="Verdana"/>
          <w:sz w:val="20"/>
          <w:szCs w:val="20"/>
          <w:lang w:val="es-CR"/>
        </w:rPr>
        <w:t xml:space="preserve"> los términos en que fue efectuado</w:t>
      </w:r>
      <w:r w:rsidR="00641D6C">
        <w:rPr>
          <w:rFonts w:ascii="Verdana" w:hAnsi="Verdana"/>
          <w:sz w:val="20"/>
          <w:szCs w:val="20"/>
          <w:lang w:val="es-CR"/>
        </w:rPr>
        <w:t xml:space="preserve"> bajo la óptica del </w:t>
      </w:r>
      <w:r w:rsidR="00641D6C" w:rsidRPr="00641D6C">
        <w:rPr>
          <w:rFonts w:ascii="Verdana" w:hAnsi="Verdana"/>
          <w:sz w:val="20"/>
          <w:szCs w:val="20"/>
          <w:lang w:val="es-CR"/>
        </w:rPr>
        <w:t>objeto y fin del tratado</w:t>
      </w:r>
      <w:r w:rsidR="00641D6C">
        <w:rPr>
          <w:rFonts w:ascii="Verdana" w:hAnsi="Verdana"/>
          <w:sz w:val="20"/>
          <w:szCs w:val="20"/>
          <w:lang w:val="es-CR"/>
        </w:rPr>
        <w:t>, cual</w:t>
      </w:r>
      <w:r w:rsidR="00641D6C" w:rsidRPr="00641D6C">
        <w:rPr>
          <w:rFonts w:ascii="Verdana" w:hAnsi="Verdana"/>
          <w:sz w:val="20"/>
          <w:szCs w:val="20"/>
          <w:lang w:val="es-CR"/>
        </w:rPr>
        <w:t xml:space="preserve"> es “la protección de los derechos fundam</w:t>
      </w:r>
      <w:r w:rsidR="00641D6C">
        <w:rPr>
          <w:rFonts w:ascii="Verdana" w:hAnsi="Verdana"/>
          <w:sz w:val="20"/>
          <w:szCs w:val="20"/>
          <w:lang w:val="es-CR"/>
        </w:rPr>
        <w:t>entales de los seres humanos”</w:t>
      </w:r>
      <w:r w:rsidR="00641D6C">
        <w:rPr>
          <w:rStyle w:val="FootnoteReference"/>
          <w:rFonts w:ascii="Verdana" w:hAnsi="Verdana"/>
          <w:sz w:val="20"/>
          <w:szCs w:val="20"/>
          <w:lang w:val="es-CR"/>
        </w:rPr>
        <w:footnoteReference w:id="3"/>
      </w:r>
      <w:r w:rsidR="008E6A74">
        <w:rPr>
          <w:rFonts w:ascii="Verdana" w:hAnsi="Verdana"/>
          <w:sz w:val="20"/>
          <w:szCs w:val="20"/>
          <w:lang w:val="es-CR"/>
        </w:rPr>
        <w:t xml:space="preserve"> y</w:t>
      </w:r>
      <w:r w:rsidR="008E6A74" w:rsidRPr="008E6A74">
        <w:rPr>
          <w:rFonts w:ascii="Verdana" w:hAnsi="Verdana"/>
          <w:sz w:val="20"/>
          <w:szCs w:val="20"/>
          <w:lang w:val="es-CR"/>
        </w:rPr>
        <w:t xml:space="preserve"> valorar en su justa dimensión sus</w:t>
      </w:r>
      <w:r w:rsidR="008E6A74">
        <w:rPr>
          <w:rFonts w:ascii="Arial" w:hAnsi="Arial" w:cs="Arial"/>
          <w:sz w:val="20"/>
          <w:szCs w:val="20"/>
          <w:lang w:val="es-CR"/>
        </w:rPr>
        <w:t xml:space="preserve"> </w:t>
      </w:r>
      <w:r w:rsidR="008E6A74" w:rsidRPr="00794B5E">
        <w:rPr>
          <w:rFonts w:ascii="Verdana" w:hAnsi="Verdana"/>
          <w:sz w:val="20"/>
          <w:szCs w:val="20"/>
          <w:lang w:val="es-CR"/>
        </w:rPr>
        <w:t>alcance</w:t>
      </w:r>
      <w:r w:rsidR="008E6A74">
        <w:rPr>
          <w:rFonts w:ascii="Verdana" w:hAnsi="Verdana"/>
          <w:sz w:val="20"/>
          <w:szCs w:val="20"/>
          <w:lang w:val="es-CR"/>
        </w:rPr>
        <w:t>s</w:t>
      </w:r>
      <w:r w:rsidR="008E6A74" w:rsidRPr="00794B5E">
        <w:rPr>
          <w:rFonts w:ascii="Verdana" w:hAnsi="Verdana"/>
          <w:sz w:val="20"/>
          <w:szCs w:val="20"/>
          <w:lang w:val="es-CR"/>
        </w:rPr>
        <w:t xml:space="preserve"> y efecto</w:t>
      </w:r>
      <w:r w:rsidR="008E6A74">
        <w:rPr>
          <w:rFonts w:ascii="Verdana" w:hAnsi="Verdana"/>
          <w:sz w:val="20"/>
          <w:szCs w:val="20"/>
          <w:lang w:val="es-CR"/>
        </w:rPr>
        <w:t>s</w:t>
      </w:r>
      <w:r w:rsidR="008E6A74" w:rsidRPr="00794B5E">
        <w:rPr>
          <w:rFonts w:ascii="Verdana" w:hAnsi="Verdana"/>
          <w:sz w:val="20"/>
          <w:szCs w:val="20"/>
          <w:lang w:val="es-CR"/>
        </w:rPr>
        <w:t xml:space="preserve"> jurídico</w:t>
      </w:r>
      <w:r w:rsidR="008E6A74">
        <w:rPr>
          <w:rFonts w:ascii="Verdana" w:hAnsi="Verdana"/>
          <w:sz w:val="20"/>
          <w:szCs w:val="20"/>
          <w:lang w:val="es-CR"/>
        </w:rPr>
        <w:t>s.</w:t>
      </w:r>
    </w:p>
    <w:p w:rsidR="00B86F9F" w:rsidRDefault="00B86F9F" w:rsidP="00E93659">
      <w:pPr>
        <w:pStyle w:val="ListParagraph"/>
        <w:tabs>
          <w:tab w:val="left" w:pos="567"/>
          <w:tab w:val="left" w:pos="709"/>
        </w:tabs>
        <w:spacing w:after="0" w:line="240" w:lineRule="auto"/>
        <w:ind w:left="0"/>
        <w:jc w:val="both"/>
        <w:rPr>
          <w:rFonts w:ascii="Verdana" w:hAnsi="Verdana"/>
          <w:sz w:val="20"/>
          <w:szCs w:val="20"/>
          <w:lang w:val="es-CR"/>
        </w:rPr>
      </w:pPr>
    </w:p>
    <w:p w:rsidR="0022733F" w:rsidRDefault="00D654D0" w:rsidP="00E93659">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Pr>
          <w:rFonts w:ascii="Verdana" w:hAnsi="Verdana"/>
          <w:sz w:val="20"/>
          <w:szCs w:val="20"/>
          <w:lang w:val="es-CR"/>
        </w:rPr>
        <w:t>En efecto, la Corte ha precisado que</w:t>
      </w:r>
      <w:r w:rsidR="0022733F">
        <w:rPr>
          <w:rFonts w:ascii="Verdana" w:hAnsi="Verdana"/>
          <w:sz w:val="20"/>
          <w:szCs w:val="20"/>
          <w:lang w:val="es-CR"/>
        </w:rPr>
        <w:t xml:space="preserve"> </w:t>
      </w:r>
      <w:r w:rsidR="0022733F" w:rsidRPr="0022733F">
        <w:rPr>
          <w:rFonts w:ascii="Verdana" w:hAnsi="Verdana"/>
          <w:sz w:val="20"/>
          <w:szCs w:val="20"/>
          <w:lang w:val="es-CR"/>
        </w:rPr>
        <w:t>incumbe al Tribunal velar porque los actos de allanamiento resulten aceptables para los fines que busca cumplir el sistema interamericano</w:t>
      </w:r>
      <w:r w:rsidR="0022733F">
        <w:rPr>
          <w:rFonts w:ascii="Verdana" w:hAnsi="Verdana"/>
          <w:sz w:val="20"/>
          <w:szCs w:val="20"/>
          <w:lang w:val="es-CR"/>
        </w:rPr>
        <w:t>, de modo tal que:</w:t>
      </w:r>
    </w:p>
    <w:p w:rsidR="0022733F" w:rsidRDefault="0022733F" w:rsidP="00E93659">
      <w:pPr>
        <w:pStyle w:val="ListParagraph"/>
        <w:tabs>
          <w:tab w:val="left" w:pos="567"/>
          <w:tab w:val="left" w:pos="709"/>
        </w:tabs>
        <w:spacing w:after="0" w:line="240" w:lineRule="auto"/>
        <w:ind w:left="0"/>
        <w:jc w:val="both"/>
        <w:rPr>
          <w:rFonts w:ascii="Verdana" w:hAnsi="Verdana"/>
          <w:sz w:val="20"/>
          <w:szCs w:val="20"/>
          <w:lang w:val="es-CR"/>
        </w:rPr>
      </w:pPr>
    </w:p>
    <w:p w:rsidR="00D654D0" w:rsidRPr="0022733F" w:rsidRDefault="0022733F" w:rsidP="00E93659">
      <w:pPr>
        <w:pStyle w:val="ListParagraph"/>
        <w:tabs>
          <w:tab w:val="left" w:pos="567"/>
          <w:tab w:val="left" w:pos="709"/>
        </w:tabs>
        <w:spacing w:after="0" w:line="240" w:lineRule="auto"/>
        <w:ind w:left="567" w:right="582"/>
        <w:jc w:val="both"/>
        <w:rPr>
          <w:rFonts w:ascii="Verdana" w:hAnsi="Verdana"/>
          <w:sz w:val="16"/>
          <w:szCs w:val="16"/>
          <w:lang w:val="es-EC"/>
        </w:rPr>
      </w:pPr>
      <w:r w:rsidRPr="0022733F">
        <w:rPr>
          <w:rFonts w:ascii="Verdana" w:hAnsi="Verdana"/>
          <w:sz w:val="16"/>
          <w:szCs w:val="16"/>
          <w:lang w:val="es-EC"/>
        </w:rPr>
        <w:t>En esta tarea no se limita únicamente a tomar nota del reconocimiento efectuado por el Estado, o a verificar las condiciones formales de los mencionados actos, sino que los debe confrontar con la naturaleza y gravedad de las violaciones alegadas, las exigencias e interés de la justicia, las circunstancias particulares del caso concreto y la actitud y posición de las partes, de manera tal que pueda precisar, en cuanto sea posible y en el ejercicio de su competencia, la verdad de lo acontecido</w:t>
      </w:r>
      <w:r w:rsidR="00C33C98">
        <w:rPr>
          <w:rStyle w:val="FootnoteReference"/>
          <w:rFonts w:ascii="Verdana" w:hAnsi="Verdana"/>
          <w:sz w:val="16"/>
          <w:szCs w:val="16"/>
          <w:lang w:val="es-EC"/>
        </w:rPr>
        <w:footnoteReference w:id="4"/>
      </w:r>
      <w:r>
        <w:rPr>
          <w:rFonts w:ascii="Verdana" w:hAnsi="Verdana"/>
          <w:sz w:val="16"/>
          <w:szCs w:val="16"/>
          <w:lang w:val="es-EC"/>
        </w:rPr>
        <w:t>.</w:t>
      </w:r>
    </w:p>
    <w:p w:rsidR="00D654D0" w:rsidRDefault="00D654D0" w:rsidP="00E93659">
      <w:pPr>
        <w:pStyle w:val="ListParagraph"/>
        <w:tabs>
          <w:tab w:val="left" w:pos="567"/>
          <w:tab w:val="left" w:pos="709"/>
        </w:tabs>
        <w:spacing w:after="0" w:line="240" w:lineRule="auto"/>
        <w:ind w:left="0"/>
        <w:jc w:val="both"/>
        <w:rPr>
          <w:rFonts w:ascii="Verdana" w:hAnsi="Verdana"/>
          <w:sz w:val="20"/>
          <w:szCs w:val="20"/>
          <w:lang w:val="es-CR"/>
        </w:rPr>
      </w:pPr>
    </w:p>
    <w:p w:rsidR="00133187" w:rsidRPr="00794B5E" w:rsidRDefault="00133187" w:rsidP="00E93659">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Pr>
          <w:rFonts w:ascii="Verdana" w:hAnsi="Verdana"/>
          <w:sz w:val="20"/>
          <w:szCs w:val="20"/>
          <w:lang w:val="es-CR"/>
        </w:rPr>
        <w:t>De lo anterior se advierte que</w:t>
      </w:r>
      <w:r w:rsidRPr="00794B5E">
        <w:rPr>
          <w:rFonts w:ascii="Verdana" w:hAnsi="Verdana"/>
          <w:sz w:val="20"/>
          <w:szCs w:val="20"/>
          <w:lang w:val="es-CR"/>
        </w:rPr>
        <w:t xml:space="preserve"> el fundamento de</w:t>
      </w:r>
      <w:r>
        <w:rPr>
          <w:rFonts w:ascii="Verdana" w:hAnsi="Verdana"/>
          <w:sz w:val="20"/>
          <w:szCs w:val="20"/>
          <w:lang w:val="es-CR"/>
        </w:rPr>
        <w:t xml:space="preserve"> la condena al Estado cuando existe</w:t>
      </w:r>
      <w:r w:rsidRPr="00794B5E">
        <w:rPr>
          <w:rFonts w:ascii="Verdana" w:hAnsi="Verdana"/>
          <w:sz w:val="20"/>
          <w:szCs w:val="20"/>
          <w:lang w:val="es-CR"/>
        </w:rPr>
        <w:t xml:space="preserve"> reconocimiento</w:t>
      </w:r>
      <w:r>
        <w:rPr>
          <w:rFonts w:ascii="Verdana" w:hAnsi="Verdana"/>
          <w:sz w:val="20"/>
          <w:szCs w:val="20"/>
          <w:lang w:val="es-CR"/>
        </w:rPr>
        <w:t xml:space="preserve"> de responsabilidad </w:t>
      </w:r>
      <w:r w:rsidRPr="00794B5E">
        <w:rPr>
          <w:rFonts w:ascii="Verdana" w:hAnsi="Verdana"/>
          <w:sz w:val="20"/>
          <w:szCs w:val="20"/>
          <w:lang w:val="es-CR"/>
        </w:rPr>
        <w:t>es la veracidad</w:t>
      </w:r>
      <w:r>
        <w:rPr>
          <w:rFonts w:ascii="Verdana" w:hAnsi="Verdana"/>
          <w:sz w:val="20"/>
          <w:szCs w:val="20"/>
          <w:lang w:val="es-CR"/>
        </w:rPr>
        <w:t xml:space="preserve"> de los hechos sobre los que se funda la misma</w:t>
      </w:r>
      <w:r w:rsidRPr="00794B5E">
        <w:rPr>
          <w:rFonts w:ascii="Verdana" w:hAnsi="Verdana"/>
          <w:sz w:val="20"/>
          <w:szCs w:val="20"/>
          <w:lang w:val="es-CR"/>
        </w:rPr>
        <w:t>, es decir, requiere que la Corte verifique los hechos del caso concreto.</w:t>
      </w:r>
    </w:p>
    <w:p w:rsidR="00133187" w:rsidRPr="00B86F9F" w:rsidRDefault="00133187" w:rsidP="00E93659">
      <w:pPr>
        <w:pStyle w:val="ListParagraph"/>
        <w:tabs>
          <w:tab w:val="left" w:pos="567"/>
          <w:tab w:val="left" w:pos="709"/>
        </w:tabs>
        <w:spacing w:after="0" w:line="240" w:lineRule="auto"/>
        <w:ind w:left="0"/>
        <w:jc w:val="both"/>
        <w:rPr>
          <w:rFonts w:ascii="Verdana" w:hAnsi="Verdana"/>
          <w:sz w:val="20"/>
          <w:szCs w:val="20"/>
          <w:lang w:val="es-CR"/>
        </w:rPr>
      </w:pPr>
    </w:p>
    <w:p w:rsidR="00A80BD3" w:rsidRPr="00794B5E" w:rsidRDefault="00A80BD3" w:rsidP="00E93659">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sidRPr="00794B5E">
        <w:rPr>
          <w:rFonts w:ascii="Verdana" w:hAnsi="Verdana"/>
          <w:sz w:val="20"/>
          <w:szCs w:val="20"/>
          <w:lang w:val="es-CR"/>
        </w:rPr>
        <w:t>Al respecto, quisiera aclarar que parto de la premisa según la cual</w:t>
      </w:r>
      <w:r w:rsidR="00637749" w:rsidRPr="00794B5E">
        <w:rPr>
          <w:rFonts w:ascii="Verdana" w:hAnsi="Verdana"/>
          <w:sz w:val="20"/>
          <w:szCs w:val="20"/>
          <w:lang w:val="es-CR"/>
        </w:rPr>
        <w:t xml:space="preserve"> </w:t>
      </w:r>
      <w:r w:rsidR="008E6A74">
        <w:rPr>
          <w:rFonts w:ascii="Verdana" w:hAnsi="Verdana"/>
          <w:sz w:val="20"/>
          <w:szCs w:val="20"/>
          <w:lang w:val="es-CR"/>
        </w:rPr>
        <w:t>los Estados al realizar sus reconocimientos de responsabilidad internacional actúan de buena fe</w:t>
      </w:r>
      <w:r w:rsidRPr="00794B5E">
        <w:rPr>
          <w:rFonts w:ascii="Verdana" w:hAnsi="Verdana"/>
          <w:sz w:val="20"/>
          <w:szCs w:val="20"/>
          <w:lang w:val="es-CR"/>
        </w:rPr>
        <w:t xml:space="preserve">. Sin embargo, </w:t>
      </w:r>
      <w:r w:rsidR="00E6488E">
        <w:rPr>
          <w:rFonts w:ascii="Verdana" w:hAnsi="Verdana"/>
          <w:sz w:val="20"/>
          <w:szCs w:val="20"/>
          <w:lang w:val="es-CR"/>
        </w:rPr>
        <w:t xml:space="preserve">con base en la situación planteada en el caso </w:t>
      </w:r>
      <w:r w:rsidR="00E6488E">
        <w:rPr>
          <w:rFonts w:ascii="Verdana" w:hAnsi="Verdana"/>
          <w:i/>
          <w:sz w:val="20"/>
          <w:szCs w:val="20"/>
          <w:lang w:val="es-CR"/>
        </w:rPr>
        <w:t>sub judice,</w:t>
      </w:r>
      <w:r w:rsidR="00E6488E">
        <w:rPr>
          <w:rFonts w:ascii="Verdana" w:hAnsi="Verdana"/>
          <w:sz w:val="20"/>
          <w:szCs w:val="20"/>
          <w:lang w:val="es-CR"/>
        </w:rPr>
        <w:t xml:space="preserve"> </w:t>
      </w:r>
      <w:r w:rsidRPr="00794B5E">
        <w:rPr>
          <w:rFonts w:ascii="Verdana" w:hAnsi="Verdana"/>
          <w:sz w:val="20"/>
          <w:szCs w:val="20"/>
          <w:lang w:val="es-CR"/>
        </w:rPr>
        <w:t xml:space="preserve">me parece importante señalar </w:t>
      </w:r>
      <w:r w:rsidR="00637749" w:rsidRPr="00794B5E">
        <w:rPr>
          <w:rFonts w:ascii="Verdana" w:hAnsi="Verdana"/>
          <w:sz w:val="20"/>
          <w:szCs w:val="20"/>
          <w:lang w:val="es-CR"/>
        </w:rPr>
        <w:t>algunos lineamientos que debieran guiar las decisiones de la Corte</w:t>
      </w:r>
      <w:r w:rsidR="00D654D0">
        <w:rPr>
          <w:rFonts w:ascii="Verdana" w:hAnsi="Verdana"/>
          <w:sz w:val="20"/>
          <w:szCs w:val="20"/>
          <w:lang w:val="es-CR"/>
        </w:rPr>
        <w:t xml:space="preserve"> respecto a la procedencia de un reconocimiento de responsabilidad estatal y su</w:t>
      </w:r>
      <w:r w:rsidR="00EE647D">
        <w:rPr>
          <w:rFonts w:ascii="Verdana" w:hAnsi="Verdana"/>
          <w:sz w:val="20"/>
          <w:szCs w:val="20"/>
          <w:lang w:val="es-CR"/>
        </w:rPr>
        <w:t>s efectos</w:t>
      </w:r>
      <w:r w:rsidR="00D654D0">
        <w:rPr>
          <w:rFonts w:ascii="Verdana" w:hAnsi="Verdana"/>
          <w:sz w:val="20"/>
          <w:szCs w:val="20"/>
          <w:lang w:val="es-CR"/>
        </w:rPr>
        <w:t xml:space="preserve"> </w:t>
      </w:r>
      <w:r w:rsidR="00EE647D">
        <w:rPr>
          <w:rFonts w:ascii="Verdana" w:hAnsi="Verdana"/>
          <w:sz w:val="20"/>
          <w:szCs w:val="20"/>
          <w:lang w:val="es-CR"/>
        </w:rPr>
        <w:t>en e</w:t>
      </w:r>
      <w:r w:rsidR="00D654D0">
        <w:rPr>
          <w:rFonts w:ascii="Verdana" w:hAnsi="Verdana"/>
          <w:sz w:val="20"/>
          <w:szCs w:val="20"/>
          <w:lang w:val="es-CR"/>
        </w:rPr>
        <w:t>l caso concreto</w:t>
      </w:r>
      <w:r w:rsidR="00836689">
        <w:rPr>
          <w:rFonts w:ascii="Verdana" w:hAnsi="Verdana"/>
          <w:sz w:val="20"/>
          <w:szCs w:val="20"/>
          <w:lang w:val="es-CR"/>
        </w:rPr>
        <w:t xml:space="preserve">, cuando tal posición implica en la práctica </w:t>
      </w:r>
      <w:r w:rsidR="00836689" w:rsidRPr="00794B5E">
        <w:rPr>
          <w:rFonts w:ascii="Verdana" w:hAnsi="Verdana"/>
          <w:sz w:val="20"/>
          <w:szCs w:val="20"/>
          <w:lang w:val="es-CR"/>
        </w:rPr>
        <w:t>contrar</w:t>
      </w:r>
      <w:r w:rsidR="00836689">
        <w:rPr>
          <w:rFonts w:ascii="Verdana" w:hAnsi="Verdana"/>
          <w:sz w:val="20"/>
          <w:szCs w:val="20"/>
          <w:lang w:val="es-CR"/>
        </w:rPr>
        <w:t>iar</w:t>
      </w:r>
      <w:r w:rsidR="00836689" w:rsidRPr="00794B5E">
        <w:rPr>
          <w:rFonts w:ascii="Verdana" w:hAnsi="Verdana"/>
          <w:sz w:val="20"/>
          <w:szCs w:val="20"/>
          <w:lang w:val="es-CR"/>
        </w:rPr>
        <w:t xml:space="preserve"> una decisión judicial </w:t>
      </w:r>
      <w:r w:rsidR="00836689">
        <w:rPr>
          <w:rFonts w:ascii="Verdana" w:hAnsi="Verdana"/>
          <w:sz w:val="20"/>
          <w:szCs w:val="20"/>
          <w:lang w:val="es-CR"/>
        </w:rPr>
        <w:t>adoptada por los tribunales nacionales y puede desembocar en una decisión de</w:t>
      </w:r>
      <w:r w:rsidR="00836689" w:rsidRPr="00794B5E">
        <w:rPr>
          <w:rFonts w:ascii="Verdana" w:hAnsi="Verdana"/>
          <w:sz w:val="20"/>
          <w:szCs w:val="20"/>
          <w:lang w:val="es-CR"/>
        </w:rPr>
        <w:t xml:space="preserve"> la Corte Interamericana </w:t>
      </w:r>
      <w:r w:rsidR="00836689">
        <w:rPr>
          <w:rFonts w:ascii="Verdana" w:hAnsi="Verdana"/>
          <w:sz w:val="20"/>
          <w:szCs w:val="20"/>
          <w:lang w:val="es-CR"/>
        </w:rPr>
        <w:t xml:space="preserve">que </w:t>
      </w:r>
      <w:r w:rsidR="00C847E3">
        <w:rPr>
          <w:rFonts w:ascii="Verdana" w:hAnsi="Verdana"/>
          <w:sz w:val="20"/>
          <w:szCs w:val="20"/>
          <w:lang w:val="es-CR"/>
        </w:rPr>
        <w:t xml:space="preserve">deje sin efecto </w:t>
      </w:r>
      <w:r w:rsidR="00836689" w:rsidRPr="00794B5E">
        <w:rPr>
          <w:rFonts w:ascii="Verdana" w:hAnsi="Verdana"/>
          <w:sz w:val="20"/>
          <w:szCs w:val="20"/>
          <w:lang w:val="es-CR"/>
        </w:rPr>
        <w:t xml:space="preserve">decisiones tomadas </w:t>
      </w:r>
      <w:r w:rsidR="00836689">
        <w:rPr>
          <w:rFonts w:ascii="Verdana" w:hAnsi="Verdana"/>
          <w:sz w:val="20"/>
          <w:szCs w:val="20"/>
          <w:lang w:val="es-CR"/>
        </w:rPr>
        <w:t>a nivel interno</w:t>
      </w:r>
      <w:r w:rsidR="00D654D0">
        <w:rPr>
          <w:rFonts w:ascii="Verdana" w:hAnsi="Verdana"/>
          <w:sz w:val="20"/>
          <w:szCs w:val="20"/>
          <w:lang w:val="es-CR"/>
        </w:rPr>
        <w:t>:</w:t>
      </w:r>
    </w:p>
    <w:p w:rsidR="00A80BD3" w:rsidRPr="00794B5E" w:rsidRDefault="00A80BD3" w:rsidP="00E93659">
      <w:pPr>
        <w:pStyle w:val="ListParagraph"/>
        <w:tabs>
          <w:tab w:val="left" w:pos="567"/>
          <w:tab w:val="left" w:pos="709"/>
        </w:tabs>
        <w:spacing w:after="0" w:line="240" w:lineRule="auto"/>
        <w:jc w:val="both"/>
        <w:rPr>
          <w:rFonts w:ascii="Verdana" w:hAnsi="Verdana"/>
          <w:sz w:val="20"/>
          <w:szCs w:val="20"/>
          <w:lang w:val="es-CR"/>
        </w:rPr>
      </w:pPr>
    </w:p>
    <w:p w:rsidR="00637749" w:rsidRDefault="00E6488E" w:rsidP="00E93659">
      <w:pPr>
        <w:pStyle w:val="ListParagraph"/>
        <w:numPr>
          <w:ilvl w:val="0"/>
          <w:numId w:val="4"/>
        </w:numPr>
        <w:tabs>
          <w:tab w:val="left" w:pos="567"/>
          <w:tab w:val="left" w:pos="1418"/>
        </w:tabs>
        <w:spacing w:after="0" w:line="240" w:lineRule="auto"/>
        <w:ind w:firstLine="0"/>
        <w:jc w:val="both"/>
        <w:rPr>
          <w:rFonts w:ascii="Verdana" w:hAnsi="Verdana"/>
          <w:sz w:val="20"/>
          <w:szCs w:val="20"/>
          <w:lang w:val="es-CR"/>
        </w:rPr>
      </w:pPr>
      <w:r>
        <w:rPr>
          <w:rFonts w:ascii="Verdana" w:hAnsi="Verdana"/>
          <w:sz w:val="20"/>
          <w:szCs w:val="20"/>
          <w:lang w:val="es-CR"/>
        </w:rPr>
        <w:t>E</w:t>
      </w:r>
      <w:r w:rsidR="00637749" w:rsidRPr="00794B5E">
        <w:rPr>
          <w:rFonts w:ascii="Verdana" w:hAnsi="Verdana"/>
          <w:sz w:val="20"/>
          <w:szCs w:val="20"/>
          <w:lang w:val="es-CR"/>
        </w:rPr>
        <w:t>l reconocimiento del Estado</w:t>
      </w:r>
      <w:r>
        <w:rPr>
          <w:rFonts w:ascii="Verdana" w:hAnsi="Verdana"/>
          <w:sz w:val="20"/>
          <w:szCs w:val="20"/>
          <w:lang w:val="es-CR"/>
        </w:rPr>
        <w:t xml:space="preserve"> en el presente caso</w:t>
      </w:r>
      <w:r w:rsidR="00637749" w:rsidRPr="00794B5E">
        <w:rPr>
          <w:rFonts w:ascii="Verdana" w:hAnsi="Verdana"/>
          <w:sz w:val="20"/>
          <w:szCs w:val="20"/>
          <w:lang w:val="es-CR"/>
        </w:rPr>
        <w:t xml:space="preserve"> es razonable porque no se evidencia en principio ninguna connotación de carácter político o intención diferente de hacer justicia en el caso de una persona concreta que desempeñaba una función o actividad que no provoca ninguna inquietud.</w:t>
      </w:r>
    </w:p>
    <w:p w:rsidR="008E6A74" w:rsidRPr="00794B5E" w:rsidRDefault="008E6A74" w:rsidP="00E93659">
      <w:pPr>
        <w:pStyle w:val="ListParagraph"/>
        <w:tabs>
          <w:tab w:val="left" w:pos="567"/>
          <w:tab w:val="left" w:pos="1418"/>
        </w:tabs>
        <w:spacing w:after="0" w:line="240" w:lineRule="auto"/>
        <w:ind w:left="426"/>
        <w:jc w:val="both"/>
        <w:rPr>
          <w:rFonts w:ascii="Verdana" w:hAnsi="Verdana"/>
          <w:sz w:val="20"/>
          <w:szCs w:val="20"/>
          <w:lang w:val="es-CR"/>
        </w:rPr>
      </w:pPr>
    </w:p>
    <w:p w:rsidR="00637749" w:rsidRDefault="00D654D0" w:rsidP="00E93659">
      <w:pPr>
        <w:pStyle w:val="ListParagraph"/>
        <w:numPr>
          <w:ilvl w:val="0"/>
          <w:numId w:val="4"/>
        </w:numPr>
        <w:tabs>
          <w:tab w:val="left" w:pos="567"/>
          <w:tab w:val="left" w:pos="1418"/>
        </w:tabs>
        <w:spacing w:after="0" w:line="240" w:lineRule="auto"/>
        <w:ind w:firstLine="0"/>
        <w:jc w:val="both"/>
        <w:rPr>
          <w:rFonts w:ascii="Verdana" w:hAnsi="Verdana"/>
          <w:sz w:val="20"/>
          <w:szCs w:val="20"/>
          <w:lang w:val="es-CR"/>
        </w:rPr>
      </w:pPr>
      <w:r>
        <w:rPr>
          <w:rFonts w:ascii="Verdana" w:hAnsi="Verdana"/>
          <w:sz w:val="20"/>
          <w:szCs w:val="20"/>
          <w:lang w:val="es-CR"/>
        </w:rPr>
        <w:t>En segundo término, n</w:t>
      </w:r>
      <w:r w:rsidR="00637749" w:rsidRPr="00794B5E">
        <w:rPr>
          <w:rFonts w:ascii="Verdana" w:hAnsi="Verdana"/>
          <w:sz w:val="20"/>
          <w:szCs w:val="20"/>
          <w:lang w:val="es-CR"/>
        </w:rPr>
        <w:t xml:space="preserve">o </w:t>
      </w:r>
      <w:r w:rsidR="006D43C4">
        <w:rPr>
          <w:rFonts w:ascii="Verdana" w:hAnsi="Verdana"/>
          <w:sz w:val="20"/>
          <w:szCs w:val="20"/>
          <w:lang w:val="es-CR"/>
        </w:rPr>
        <w:t>se evidencian</w:t>
      </w:r>
      <w:r w:rsidR="00637749" w:rsidRPr="00794B5E">
        <w:rPr>
          <w:rFonts w:ascii="Verdana" w:hAnsi="Verdana"/>
          <w:sz w:val="20"/>
          <w:szCs w:val="20"/>
          <w:lang w:val="es-CR"/>
        </w:rPr>
        <w:t xml:space="preserve"> elementos de “indulto encubierto”.</w:t>
      </w:r>
    </w:p>
    <w:p w:rsidR="00D654D0" w:rsidRPr="00794B5E" w:rsidRDefault="00D654D0" w:rsidP="00E93659">
      <w:pPr>
        <w:pStyle w:val="ListParagraph"/>
        <w:tabs>
          <w:tab w:val="left" w:pos="567"/>
          <w:tab w:val="left" w:pos="1418"/>
        </w:tabs>
        <w:spacing w:after="0" w:line="240" w:lineRule="auto"/>
        <w:ind w:left="426"/>
        <w:jc w:val="both"/>
        <w:rPr>
          <w:rFonts w:ascii="Verdana" w:hAnsi="Verdana"/>
          <w:sz w:val="20"/>
          <w:szCs w:val="20"/>
          <w:lang w:val="es-CR"/>
        </w:rPr>
      </w:pPr>
    </w:p>
    <w:p w:rsidR="00637749" w:rsidRDefault="00637749" w:rsidP="00E93659">
      <w:pPr>
        <w:pStyle w:val="ListParagraph"/>
        <w:numPr>
          <w:ilvl w:val="0"/>
          <w:numId w:val="4"/>
        </w:numPr>
        <w:tabs>
          <w:tab w:val="left" w:pos="567"/>
          <w:tab w:val="left" w:pos="1418"/>
        </w:tabs>
        <w:spacing w:after="0" w:line="240" w:lineRule="auto"/>
        <w:ind w:firstLine="0"/>
        <w:jc w:val="both"/>
        <w:rPr>
          <w:rFonts w:ascii="Verdana" w:hAnsi="Verdana"/>
          <w:sz w:val="20"/>
          <w:szCs w:val="20"/>
          <w:lang w:val="es-CR"/>
        </w:rPr>
      </w:pPr>
      <w:r w:rsidRPr="00794B5E">
        <w:rPr>
          <w:rFonts w:ascii="Verdana" w:hAnsi="Verdana"/>
          <w:sz w:val="20"/>
          <w:szCs w:val="20"/>
          <w:lang w:val="es-CR"/>
        </w:rPr>
        <w:t>Las irregularidades que se señalan en este caso no generan inquietud sobre</w:t>
      </w:r>
      <w:r w:rsidR="00D654D0">
        <w:rPr>
          <w:rFonts w:ascii="Verdana" w:hAnsi="Verdana"/>
          <w:sz w:val="20"/>
          <w:szCs w:val="20"/>
          <w:lang w:val="es-CR"/>
        </w:rPr>
        <w:t xml:space="preserve"> la</w:t>
      </w:r>
      <w:r w:rsidRPr="00794B5E">
        <w:rPr>
          <w:rFonts w:ascii="Verdana" w:hAnsi="Verdana"/>
          <w:sz w:val="20"/>
          <w:szCs w:val="20"/>
          <w:lang w:val="es-CR"/>
        </w:rPr>
        <w:t xml:space="preserve"> veracidad por las connotaciones específicas del caso.</w:t>
      </w:r>
    </w:p>
    <w:p w:rsidR="00D654D0" w:rsidRPr="00794B5E" w:rsidRDefault="00D654D0" w:rsidP="00E93659">
      <w:pPr>
        <w:pStyle w:val="ListParagraph"/>
        <w:tabs>
          <w:tab w:val="left" w:pos="567"/>
          <w:tab w:val="left" w:pos="1418"/>
        </w:tabs>
        <w:spacing w:after="0" w:line="240" w:lineRule="auto"/>
        <w:ind w:left="426"/>
        <w:jc w:val="both"/>
        <w:rPr>
          <w:rFonts w:ascii="Verdana" w:hAnsi="Verdana"/>
          <w:sz w:val="20"/>
          <w:szCs w:val="20"/>
          <w:lang w:val="es-CR"/>
        </w:rPr>
      </w:pPr>
    </w:p>
    <w:p w:rsidR="00637749" w:rsidRDefault="00637749" w:rsidP="00E93659">
      <w:pPr>
        <w:pStyle w:val="ListParagraph"/>
        <w:numPr>
          <w:ilvl w:val="0"/>
          <w:numId w:val="4"/>
        </w:numPr>
        <w:tabs>
          <w:tab w:val="left" w:pos="567"/>
          <w:tab w:val="left" w:pos="1418"/>
        </w:tabs>
        <w:spacing w:after="0" w:line="240" w:lineRule="auto"/>
        <w:ind w:firstLine="0"/>
        <w:jc w:val="both"/>
        <w:rPr>
          <w:rFonts w:ascii="Verdana" w:hAnsi="Verdana"/>
          <w:sz w:val="20"/>
          <w:szCs w:val="20"/>
          <w:lang w:val="es-CR"/>
        </w:rPr>
      </w:pPr>
      <w:r w:rsidRPr="00794B5E">
        <w:rPr>
          <w:rFonts w:ascii="Verdana" w:hAnsi="Verdana"/>
          <w:sz w:val="20"/>
          <w:szCs w:val="20"/>
          <w:lang w:val="es-CR"/>
        </w:rPr>
        <w:t>No le correspondería a la Corte dejar sin efecto decisiones de los tribunales nacionales</w:t>
      </w:r>
      <w:r w:rsidR="00D654D0">
        <w:rPr>
          <w:rFonts w:ascii="Verdana" w:hAnsi="Verdana"/>
          <w:sz w:val="20"/>
          <w:szCs w:val="20"/>
          <w:lang w:val="es-CR"/>
        </w:rPr>
        <w:t>,</w:t>
      </w:r>
      <w:r w:rsidRPr="00794B5E">
        <w:rPr>
          <w:rFonts w:ascii="Verdana" w:hAnsi="Verdana"/>
          <w:sz w:val="20"/>
          <w:szCs w:val="20"/>
          <w:lang w:val="es-CR"/>
        </w:rPr>
        <w:t xml:space="preserve"> fundada única y exclusivamente en el reconocimiento del Estado, pues siempre que hay reconocimiento </w:t>
      </w:r>
      <w:r w:rsidR="00D654D0">
        <w:rPr>
          <w:rFonts w:ascii="Verdana" w:hAnsi="Verdana"/>
          <w:sz w:val="20"/>
          <w:szCs w:val="20"/>
          <w:lang w:val="es-CR"/>
        </w:rPr>
        <w:t xml:space="preserve">es preciso que la Corte </w:t>
      </w:r>
      <w:r w:rsidRPr="00794B5E">
        <w:rPr>
          <w:rFonts w:ascii="Verdana" w:hAnsi="Verdana"/>
          <w:sz w:val="20"/>
          <w:szCs w:val="20"/>
          <w:lang w:val="es-CR"/>
        </w:rPr>
        <w:t>anali</w:t>
      </w:r>
      <w:r w:rsidR="00D654D0">
        <w:rPr>
          <w:rFonts w:ascii="Verdana" w:hAnsi="Verdana"/>
          <w:sz w:val="20"/>
          <w:szCs w:val="20"/>
          <w:lang w:val="es-CR"/>
        </w:rPr>
        <w:t>ce</w:t>
      </w:r>
      <w:r w:rsidRPr="00794B5E">
        <w:rPr>
          <w:rFonts w:ascii="Verdana" w:hAnsi="Verdana"/>
          <w:sz w:val="20"/>
          <w:szCs w:val="20"/>
          <w:lang w:val="es-CR"/>
        </w:rPr>
        <w:t xml:space="preserve"> los hechos</w:t>
      </w:r>
      <w:r w:rsidR="00D654D0">
        <w:rPr>
          <w:rFonts w:ascii="Verdana" w:hAnsi="Verdana"/>
          <w:sz w:val="20"/>
          <w:szCs w:val="20"/>
          <w:lang w:val="es-CR"/>
        </w:rPr>
        <w:t xml:space="preserve"> sobre los que se funda la actuación del Estado</w:t>
      </w:r>
      <w:r w:rsidRPr="00794B5E">
        <w:rPr>
          <w:rFonts w:ascii="Verdana" w:hAnsi="Verdana"/>
          <w:sz w:val="20"/>
          <w:szCs w:val="20"/>
          <w:lang w:val="es-CR"/>
        </w:rPr>
        <w:t>.</w:t>
      </w:r>
    </w:p>
    <w:p w:rsidR="00D654D0" w:rsidRPr="00794B5E" w:rsidRDefault="00D654D0" w:rsidP="00E93659">
      <w:pPr>
        <w:pStyle w:val="ListParagraph"/>
        <w:tabs>
          <w:tab w:val="left" w:pos="567"/>
          <w:tab w:val="left" w:pos="1418"/>
        </w:tabs>
        <w:spacing w:after="0" w:line="240" w:lineRule="auto"/>
        <w:ind w:left="1065"/>
        <w:jc w:val="both"/>
        <w:rPr>
          <w:rFonts w:ascii="Verdana" w:hAnsi="Verdana"/>
          <w:sz w:val="20"/>
          <w:szCs w:val="20"/>
          <w:lang w:val="es-CR"/>
        </w:rPr>
      </w:pPr>
    </w:p>
    <w:p w:rsidR="00637749" w:rsidRPr="00794B5E" w:rsidRDefault="00637749" w:rsidP="00E93659">
      <w:pPr>
        <w:pStyle w:val="ListParagraph"/>
        <w:numPr>
          <w:ilvl w:val="0"/>
          <w:numId w:val="4"/>
        </w:numPr>
        <w:tabs>
          <w:tab w:val="left" w:pos="567"/>
          <w:tab w:val="left" w:pos="1418"/>
        </w:tabs>
        <w:spacing w:after="0" w:line="240" w:lineRule="auto"/>
        <w:ind w:firstLine="0"/>
        <w:jc w:val="both"/>
        <w:rPr>
          <w:rFonts w:ascii="Verdana" w:hAnsi="Verdana"/>
          <w:sz w:val="20"/>
          <w:szCs w:val="20"/>
          <w:lang w:val="es-CR"/>
        </w:rPr>
      </w:pPr>
      <w:r w:rsidRPr="00794B5E">
        <w:rPr>
          <w:rFonts w:ascii="Verdana" w:hAnsi="Verdana"/>
          <w:sz w:val="20"/>
          <w:szCs w:val="20"/>
          <w:lang w:val="es-CR"/>
        </w:rPr>
        <w:t xml:space="preserve">Solo puede revocar </w:t>
      </w:r>
      <w:r w:rsidR="00D654D0">
        <w:rPr>
          <w:rFonts w:ascii="Verdana" w:hAnsi="Verdana"/>
          <w:sz w:val="20"/>
          <w:szCs w:val="20"/>
          <w:lang w:val="es-CR"/>
        </w:rPr>
        <w:t xml:space="preserve">o </w:t>
      </w:r>
      <w:r w:rsidRPr="00794B5E">
        <w:rPr>
          <w:rFonts w:ascii="Verdana" w:hAnsi="Verdana"/>
          <w:sz w:val="20"/>
          <w:szCs w:val="20"/>
          <w:lang w:val="es-CR"/>
        </w:rPr>
        <w:t>dejar sin efecto</w:t>
      </w:r>
      <w:r w:rsidR="00D654D0">
        <w:rPr>
          <w:rFonts w:ascii="Verdana" w:hAnsi="Verdana"/>
          <w:sz w:val="20"/>
          <w:szCs w:val="20"/>
          <w:lang w:val="es-CR"/>
        </w:rPr>
        <w:t xml:space="preserve"> una sentencia dictada a nivel nacional</w:t>
      </w:r>
      <w:r w:rsidRPr="00794B5E">
        <w:rPr>
          <w:rFonts w:ascii="Verdana" w:hAnsi="Verdana"/>
          <w:sz w:val="20"/>
          <w:szCs w:val="20"/>
          <w:lang w:val="es-CR"/>
        </w:rPr>
        <w:t xml:space="preserve"> cuando </w:t>
      </w:r>
      <w:r w:rsidR="001F77F7">
        <w:rPr>
          <w:rFonts w:ascii="Verdana" w:hAnsi="Verdana"/>
          <w:sz w:val="20"/>
          <w:szCs w:val="20"/>
          <w:lang w:val="es-CR"/>
        </w:rPr>
        <w:t>existen</w:t>
      </w:r>
      <w:r w:rsidRPr="00794B5E">
        <w:rPr>
          <w:rFonts w:ascii="Verdana" w:hAnsi="Verdana"/>
          <w:sz w:val="20"/>
          <w:szCs w:val="20"/>
          <w:lang w:val="es-CR"/>
        </w:rPr>
        <w:t xml:space="preserve"> elementos de convicción o certeza respecto de los elementos fácticos que determinan la voluntad del Estado.</w:t>
      </w:r>
    </w:p>
    <w:p w:rsidR="008E6A74" w:rsidRDefault="008E6A74" w:rsidP="00E93659">
      <w:pPr>
        <w:pStyle w:val="ListParagraph"/>
        <w:tabs>
          <w:tab w:val="left" w:pos="567"/>
          <w:tab w:val="left" w:pos="709"/>
        </w:tabs>
        <w:spacing w:after="0" w:line="240" w:lineRule="auto"/>
        <w:ind w:left="426"/>
        <w:jc w:val="both"/>
        <w:rPr>
          <w:rFonts w:ascii="Verdana" w:hAnsi="Verdana"/>
          <w:sz w:val="20"/>
          <w:szCs w:val="20"/>
          <w:lang w:val="es-CR"/>
        </w:rPr>
      </w:pPr>
    </w:p>
    <w:p w:rsidR="00800357" w:rsidRDefault="002463BA" w:rsidP="00E93659">
      <w:pPr>
        <w:pStyle w:val="ListParagraph"/>
        <w:numPr>
          <w:ilvl w:val="0"/>
          <w:numId w:val="1"/>
        </w:numPr>
        <w:tabs>
          <w:tab w:val="left" w:pos="567"/>
          <w:tab w:val="left" w:pos="709"/>
        </w:tabs>
        <w:spacing w:after="0" w:line="240" w:lineRule="auto"/>
        <w:ind w:left="0" w:firstLine="0"/>
        <w:jc w:val="both"/>
        <w:rPr>
          <w:rFonts w:ascii="Verdana" w:hAnsi="Verdana"/>
          <w:sz w:val="20"/>
          <w:szCs w:val="20"/>
          <w:lang w:val="es-CR"/>
        </w:rPr>
      </w:pPr>
      <w:r>
        <w:rPr>
          <w:rFonts w:ascii="Verdana" w:hAnsi="Verdana"/>
          <w:sz w:val="20"/>
          <w:szCs w:val="20"/>
          <w:lang w:val="es-CR"/>
        </w:rPr>
        <w:lastRenderedPageBreak/>
        <w:t>Con base en</w:t>
      </w:r>
      <w:r w:rsidR="00800357">
        <w:rPr>
          <w:rFonts w:ascii="Verdana" w:hAnsi="Verdana"/>
          <w:sz w:val="20"/>
          <w:szCs w:val="20"/>
          <w:lang w:val="es-CR"/>
        </w:rPr>
        <w:t xml:space="preserve"> las consideraciones vertidas </w:t>
      </w:r>
      <w:r>
        <w:rPr>
          <w:rFonts w:ascii="Verdana" w:hAnsi="Verdana"/>
          <w:sz w:val="20"/>
          <w:szCs w:val="20"/>
          <w:lang w:val="es-CR"/>
        </w:rPr>
        <w:t xml:space="preserve">es que </w:t>
      </w:r>
      <w:r w:rsidR="00800357">
        <w:rPr>
          <w:rFonts w:ascii="Verdana" w:hAnsi="Verdana"/>
          <w:sz w:val="20"/>
          <w:szCs w:val="20"/>
          <w:lang w:val="es-CR"/>
        </w:rPr>
        <w:t xml:space="preserve">manifiesto mi acuerdo con la decisión adoptada por la Corte en el presente caso en cuanto a </w:t>
      </w:r>
      <w:r w:rsidR="00D86214">
        <w:rPr>
          <w:rFonts w:ascii="Verdana" w:hAnsi="Verdana"/>
          <w:sz w:val="20"/>
          <w:szCs w:val="20"/>
          <w:lang w:val="es-CR"/>
        </w:rPr>
        <w:t xml:space="preserve">que procedía </w:t>
      </w:r>
      <w:r w:rsidR="00800357">
        <w:rPr>
          <w:rFonts w:ascii="Verdana" w:hAnsi="Verdana"/>
          <w:sz w:val="20"/>
          <w:szCs w:val="20"/>
          <w:lang w:val="es-CR"/>
        </w:rPr>
        <w:t>aceptar el reconocimiento de responsabilidad estatal</w:t>
      </w:r>
      <w:r w:rsidR="00D86214">
        <w:rPr>
          <w:rFonts w:ascii="Verdana" w:hAnsi="Verdana"/>
          <w:sz w:val="20"/>
          <w:szCs w:val="20"/>
          <w:lang w:val="es-CR"/>
        </w:rPr>
        <w:t xml:space="preserve"> efectuado por El Salvador</w:t>
      </w:r>
      <w:r w:rsidR="00800357">
        <w:rPr>
          <w:rFonts w:ascii="Verdana" w:hAnsi="Verdana"/>
          <w:sz w:val="20"/>
          <w:szCs w:val="20"/>
          <w:lang w:val="es-CR"/>
        </w:rPr>
        <w:t>.</w:t>
      </w:r>
    </w:p>
    <w:p w:rsidR="001A471D" w:rsidRPr="00E657DE"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Default="001A471D" w:rsidP="001A471D">
      <w:pPr>
        <w:pStyle w:val="ListParagraph"/>
        <w:spacing w:after="240"/>
        <w:ind w:left="0" w:right="96"/>
        <w:contextualSpacing w:val="0"/>
        <w:rPr>
          <w:lang w:val="es-CR"/>
        </w:rPr>
      </w:pPr>
    </w:p>
    <w:p w:rsidR="001A471D" w:rsidRDefault="001A471D" w:rsidP="00E657DE">
      <w:pPr>
        <w:pStyle w:val="NormalWeb"/>
        <w:ind w:left="3600" w:right="96" w:firstLine="720"/>
        <w:rPr>
          <w:rFonts w:ascii="Verdana" w:eastAsia="Calibri" w:hAnsi="Verdana"/>
          <w:sz w:val="20"/>
          <w:szCs w:val="20"/>
        </w:rPr>
      </w:pPr>
    </w:p>
    <w:p w:rsidR="001A471D" w:rsidRPr="001B4A16" w:rsidRDefault="001A471D" w:rsidP="001A471D">
      <w:pPr>
        <w:pStyle w:val="NormalWeb"/>
        <w:ind w:left="3600" w:right="96" w:firstLine="720"/>
        <w:jc w:val="center"/>
        <w:rPr>
          <w:rFonts w:ascii="Verdana" w:eastAsia="Calibri" w:hAnsi="Verdana"/>
          <w:sz w:val="20"/>
          <w:szCs w:val="20"/>
        </w:rPr>
      </w:pPr>
      <w:r>
        <w:rPr>
          <w:rFonts w:ascii="Verdana" w:eastAsia="Calibri" w:hAnsi="Verdana"/>
          <w:sz w:val="20"/>
          <w:szCs w:val="20"/>
        </w:rPr>
        <w:t>Humberto Antonio Sierra Porto</w:t>
      </w:r>
    </w:p>
    <w:p w:rsidR="001A471D" w:rsidRPr="00650FAD" w:rsidRDefault="001A471D" w:rsidP="001A471D">
      <w:pPr>
        <w:pStyle w:val="NormalWeb"/>
        <w:ind w:left="3960" w:right="96" w:firstLine="360"/>
        <w:jc w:val="center"/>
        <w:rPr>
          <w:rFonts w:ascii="Verdana" w:eastAsia="Calibri" w:hAnsi="Verdana"/>
          <w:sz w:val="20"/>
          <w:szCs w:val="20"/>
        </w:rPr>
      </w:pPr>
      <w:r w:rsidRPr="001B4A16">
        <w:rPr>
          <w:rFonts w:ascii="Verdana" w:eastAsia="Calibri" w:hAnsi="Verdana"/>
          <w:sz w:val="20"/>
          <w:szCs w:val="20"/>
        </w:rPr>
        <w:t>Juez</w:t>
      </w:r>
    </w:p>
    <w:p w:rsidR="001A471D" w:rsidRDefault="001A471D" w:rsidP="001A471D">
      <w:pPr>
        <w:spacing w:after="0" w:line="240" w:lineRule="auto"/>
        <w:rPr>
          <w:rFonts w:ascii="Verdana" w:hAnsi="Verdana"/>
          <w:sz w:val="20"/>
          <w:szCs w:val="20"/>
          <w:lang w:val="es-CR"/>
        </w:rPr>
      </w:pPr>
    </w:p>
    <w:p w:rsidR="001A471D" w:rsidRDefault="001A471D" w:rsidP="001A471D">
      <w:pPr>
        <w:spacing w:after="0" w:line="240" w:lineRule="auto"/>
        <w:rPr>
          <w:rFonts w:ascii="Verdana" w:hAnsi="Verdana"/>
          <w:sz w:val="20"/>
          <w:szCs w:val="20"/>
          <w:lang w:val="es-CR"/>
        </w:rPr>
      </w:pPr>
    </w:p>
    <w:p w:rsidR="001A471D" w:rsidRDefault="001A471D" w:rsidP="001A471D">
      <w:pPr>
        <w:spacing w:after="0" w:line="240" w:lineRule="auto"/>
        <w:rPr>
          <w:rFonts w:ascii="Verdana" w:hAnsi="Verdana"/>
          <w:sz w:val="20"/>
          <w:szCs w:val="20"/>
          <w:lang w:val="es-CR"/>
        </w:rPr>
      </w:pPr>
    </w:p>
    <w:p w:rsidR="001A471D" w:rsidRDefault="001A471D" w:rsidP="001A471D">
      <w:pPr>
        <w:spacing w:after="0" w:line="240" w:lineRule="auto"/>
        <w:rPr>
          <w:rFonts w:ascii="Verdana" w:hAnsi="Verdana"/>
          <w:sz w:val="20"/>
          <w:szCs w:val="20"/>
          <w:lang w:val="es-CR"/>
        </w:rPr>
      </w:pPr>
    </w:p>
    <w:p w:rsidR="001A471D" w:rsidRDefault="001A471D" w:rsidP="001A471D">
      <w:pPr>
        <w:spacing w:after="0" w:line="240" w:lineRule="auto"/>
        <w:rPr>
          <w:rFonts w:ascii="Verdana" w:hAnsi="Verdana"/>
          <w:sz w:val="20"/>
          <w:szCs w:val="20"/>
          <w:lang w:val="es-CR"/>
        </w:rPr>
      </w:pPr>
    </w:p>
    <w:p w:rsidR="001A471D" w:rsidRPr="00464D5E" w:rsidRDefault="00B15EF8" w:rsidP="001A471D">
      <w:pPr>
        <w:spacing w:after="0" w:line="240" w:lineRule="auto"/>
        <w:rPr>
          <w:rFonts w:ascii="Verdana" w:hAnsi="Verdana"/>
          <w:sz w:val="20"/>
          <w:szCs w:val="20"/>
          <w:lang w:val="es-CR"/>
        </w:rPr>
      </w:pPr>
      <w:r>
        <w:rPr>
          <w:rFonts w:ascii="Verdana" w:hAnsi="Verdana"/>
          <w:sz w:val="20"/>
          <w:szCs w:val="20"/>
          <w:lang w:val="es-CR"/>
        </w:rPr>
        <w:t xml:space="preserve">    </w:t>
      </w:r>
      <w:r w:rsidR="001A471D" w:rsidRPr="00464D5E">
        <w:rPr>
          <w:rFonts w:ascii="Verdana" w:hAnsi="Verdana"/>
          <w:sz w:val="20"/>
          <w:szCs w:val="20"/>
          <w:lang w:val="es-CR"/>
        </w:rPr>
        <w:t>Pablo Saavedra Alessandri</w:t>
      </w:r>
    </w:p>
    <w:p w:rsidR="001A471D" w:rsidRPr="00464D5E" w:rsidRDefault="001A471D" w:rsidP="001A471D">
      <w:pPr>
        <w:spacing w:after="0" w:line="240" w:lineRule="auto"/>
        <w:rPr>
          <w:rFonts w:ascii="Verdana" w:hAnsi="Verdana"/>
          <w:sz w:val="20"/>
          <w:szCs w:val="20"/>
          <w:lang w:val="es-CR"/>
        </w:rPr>
      </w:pPr>
      <w:r w:rsidRPr="00464D5E">
        <w:rPr>
          <w:rFonts w:ascii="Verdana" w:hAnsi="Verdana"/>
          <w:sz w:val="20"/>
          <w:szCs w:val="20"/>
          <w:lang w:val="es-CR"/>
        </w:rPr>
        <w:tab/>
      </w:r>
      <w:r w:rsidR="00B15EF8">
        <w:rPr>
          <w:rFonts w:ascii="Verdana" w:hAnsi="Verdana"/>
          <w:sz w:val="20"/>
          <w:szCs w:val="20"/>
          <w:lang w:val="es-CR"/>
        </w:rPr>
        <w:t xml:space="preserve">    </w:t>
      </w:r>
      <w:r w:rsidRPr="00464D5E">
        <w:rPr>
          <w:rFonts w:ascii="Verdana" w:hAnsi="Verdana"/>
          <w:sz w:val="20"/>
          <w:szCs w:val="20"/>
          <w:lang w:val="es-CR"/>
        </w:rPr>
        <w:t>Secretario</w:t>
      </w: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Pr="001A471D" w:rsidRDefault="001A471D" w:rsidP="001A471D">
      <w:pPr>
        <w:pStyle w:val="ListParagraph"/>
        <w:tabs>
          <w:tab w:val="left" w:pos="426"/>
          <w:tab w:val="left" w:pos="709"/>
        </w:tabs>
        <w:spacing w:after="0" w:line="240" w:lineRule="auto"/>
        <w:jc w:val="both"/>
        <w:rPr>
          <w:rFonts w:ascii="Verdana" w:hAnsi="Verdana"/>
          <w:sz w:val="20"/>
          <w:szCs w:val="20"/>
          <w:lang w:val="es-CR"/>
        </w:rPr>
      </w:pPr>
    </w:p>
    <w:p w:rsidR="001A471D" w:rsidRPr="001A471D" w:rsidRDefault="001A471D" w:rsidP="001A471D">
      <w:pPr>
        <w:tabs>
          <w:tab w:val="left" w:pos="426"/>
          <w:tab w:val="left" w:pos="709"/>
        </w:tabs>
        <w:spacing w:after="0" w:line="240" w:lineRule="auto"/>
        <w:jc w:val="both"/>
        <w:rPr>
          <w:rFonts w:ascii="Verdana" w:hAnsi="Verdana"/>
          <w:sz w:val="20"/>
          <w:szCs w:val="20"/>
          <w:lang w:val="es-CR"/>
        </w:rPr>
      </w:pPr>
      <w:r>
        <w:rPr>
          <w:rFonts w:ascii="Verdana" w:hAnsi="Verdana"/>
          <w:sz w:val="20"/>
          <w:szCs w:val="20"/>
          <w:lang w:val="es-CR"/>
        </w:rPr>
        <w:t>El</w:t>
      </w:r>
      <w:r w:rsidRPr="001A471D">
        <w:rPr>
          <w:rFonts w:ascii="Verdana" w:hAnsi="Verdana"/>
          <w:sz w:val="20"/>
          <w:szCs w:val="20"/>
          <w:lang w:val="es-CR"/>
        </w:rPr>
        <w:t xml:space="preserve"> Jue</w:t>
      </w:r>
      <w:r>
        <w:rPr>
          <w:rFonts w:ascii="Verdana" w:hAnsi="Verdana"/>
          <w:sz w:val="20"/>
          <w:szCs w:val="20"/>
          <w:lang w:val="es-CR"/>
        </w:rPr>
        <w:t xml:space="preserve">z </w:t>
      </w:r>
      <w:r w:rsidRPr="001A471D">
        <w:rPr>
          <w:rFonts w:ascii="Verdana" w:hAnsi="Verdana"/>
          <w:sz w:val="20"/>
          <w:szCs w:val="20"/>
          <w:lang w:val="es-CR"/>
        </w:rPr>
        <w:t xml:space="preserve">Eduardo Ferrer Mac-Gregor Poisot se adhirió al presente Voto del Juez </w:t>
      </w:r>
      <w:r>
        <w:rPr>
          <w:rFonts w:ascii="Verdana" w:hAnsi="Verdana"/>
          <w:sz w:val="20"/>
          <w:szCs w:val="20"/>
          <w:lang w:val="es-CR"/>
        </w:rPr>
        <w:t>Humberto Antonio Sierra Porto</w:t>
      </w:r>
      <w:r w:rsidRPr="001A471D">
        <w:rPr>
          <w:rFonts w:ascii="Verdana" w:hAnsi="Verdana"/>
          <w:sz w:val="20"/>
          <w:szCs w:val="20"/>
          <w:lang w:val="es-CR"/>
        </w:rPr>
        <w:t>.</w:t>
      </w: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B15EF8" w:rsidRDefault="00B15EF8" w:rsidP="001A471D">
      <w:pPr>
        <w:pStyle w:val="ListParagraph"/>
        <w:tabs>
          <w:tab w:val="left" w:pos="426"/>
          <w:tab w:val="left" w:pos="709"/>
        </w:tabs>
        <w:spacing w:after="0" w:line="240" w:lineRule="auto"/>
        <w:ind w:left="0"/>
        <w:jc w:val="both"/>
        <w:rPr>
          <w:rFonts w:ascii="Verdana" w:hAnsi="Verdana"/>
          <w:sz w:val="20"/>
          <w:szCs w:val="20"/>
          <w:lang w:val="es-CR"/>
        </w:rPr>
      </w:pPr>
    </w:p>
    <w:p w:rsidR="00B15EF8" w:rsidRDefault="00B15EF8" w:rsidP="001A471D">
      <w:pPr>
        <w:pStyle w:val="ListParagraph"/>
        <w:tabs>
          <w:tab w:val="left" w:pos="426"/>
          <w:tab w:val="left" w:pos="709"/>
        </w:tabs>
        <w:spacing w:after="0" w:line="240" w:lineRule="auto"/>
        <w:ind w:left="0"/>
        <w:jc w:val="both"/>
        <w:rPr>
          <w:rFonts w:ascii="Verdana" w:hAnsi="Verdana"/>
          <w:sz w:val="20"/>
          <w:szCs w:val="20"/>
          <w:lang w:val="es-CR"/>
        </w:rPr>
      </w:pPr>
    </w:p>
    <w:p w:rsidR="00B15EF8" w:rsidRDefault="00B15EF8" w:rsidP="001A471D">
      <w:pPr>
        <w:pStyle w:val="ListParagraph"/>
        <w:tabs>
          <w:tab w:val="left" w:pos="426"/>
          <w:tab w:val="left" w:pos="709"/>
        </w:tabs>
        <w:spacing w:after="0" w:line="240" w:lineRule="auto"/>
        <w:ind w:left="0"/>
        <w:jc w:val="both"/>
        <w:rPr>
          <w:rFonts w:ascii="Verdana" w:hAnsi="Verdana"/>
          <w:sz w:val="20"/>
          <w:szCs w:val="20"/>
          <w:lang w:val="es-CR"/>
        </w:rPr>
      </w:pPr>
    </w:p>
    <w:p w:rsidR="00B15EF8" w:rsidRDefault="00B15EF8"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p w:rsidR="001A471D" w:rsidRPr="00514681" w:rsidRDefault="001A471D" w:rsidP="001A471D">
      <w:pPr>
        <w:pStyle w:val="NormalWeb"/>
        <w:tabs>
          <w:tab w:val="left" w:pos="8789"/>
        </w:tabs>
        <w:ind w:left="3969" w:right="96"/>
        <w:jc w:val="center"/>
        <w:rPr>
          <w:rFonts w:ascii="Verdana" w:hAnsi="Verdana" w:cs="Tahoma"/>
          <w:sz w:val="20"/>
          <w:szCs w:val="20"/>
          <w:lang w:val="es-VE"/>
        </w:rPr>
      </w:pPr>
      <w:r w:rsidRPr="00514681">
        <w:rPr>
          <w:rFonts w:ascii="Verdana" w:hAnsi="Verdana" w:cs="Tahoma"/>
          <w:sz w:val="20"/>
          <w:szCs w:val="20"/>
          <w:lang w:val="es-VE"/>
        </w:rPr>
        <w:t>Eduardo Ferrer Mac-Gregor Poisot</w:t>
      </w:r>
    </w:p>
    <w:p w:rsidR="001A471D" w:rsidRPr="00514681" w:rsidRDefault="001A471D" w:rsidP="001A471D">
      <w:pPr>
        <w:pStyle w:val="NormalWeb"/>
        <w:tabs>
          <w:tab w:val="left" w:pos="8789"/>
        </w:tabs>
        <w:ind w:left="3969" w:right="96"/>
        <w:jc w:val="center"/>
        <w:rPr>
          <w:rFonts w:ascii="Verdana" w:hAnsi="Verdana" w:cs="Tahoma"/>
          <w:sz w:val="20"/>
          <w:szCs w:val="20"/>
          <w:lang w:val="es-VE"/>
        </w:rPr>
      </w:pPr>
      <w:r w:rsidRPr="00514681">
        <w:rPr>
          <w:rFonts w:ascii="Verdana" w:hAnsi="Verdana" w:cs="Tahoma"/>
          <w:sz w:val="20"/>
          <w:szCs w:val="20"/>
          <w:lang w:val="es-VE"/>
        </w:rPr>
        <w:t>Juez</w:t>
      </w:r>
    </w:p>
    <w:p w:rsidR="00B15EF8" w:rsidRDefault="00B15EF8" w:rsidP="00B15EF8">
      <w:pPr>
        <w:tabs>
          <w:tab w:val="left" w:pos="709"/>
          <w:tab w:val="left" w:pos="8789"/>
          <w:tab w:val="left" w:pos="9356"/>
        </w:tabs>
        <w:ind w:right="5058"/>
        <w:outlineLvl w:val="0"/>
        <w:rPr>
          <w:rFonts w:ascii="Verdana" w:hAnsi="Verdana" w:cs="Verdana"/>
          <w:sz w:val="20"/>
          <w:szCs w:val="20"/>
          <w:lang w:val="es-CR"/>
        </w:rPr>
      </w:pPr>
    </w:p>
    <w:p w:rsidR="00B15EF8" w:rsidRDefault="00B15EF8" w:rsidP="00B15EF8">
      <w:pPr>
        <w:tabs>
          <w:tab w:val="left" w:pos="709"/>
          <w:tab w:val="left" w:pos="8789"/>
          <w:tab w:val="left" w:pos="9356"/>
        </w:tabs>
        <w:ind w:right="5058"/>
        <w:outlineLvl w:val="0"/>
        <w:rPr>
          <w:rFonts w:ascii="Verdana" w:hAnsi="Verdana" w:cs="Verdana"/>
          <w:sz w:val="20"/>
          <w:szCs w:val="20"/>
          <w:lang w:val="es-CR"/>
        </w:rPr>
      </w:pPr>
    </w:p>
    <w:p w:rsidR="00B15EF8" w:rsidRDefault="00B15EF8" w:rsidP="00B15EF8">
      <w:pPr>
        <w:tabs>
          <w:tab w:val="left" w:pos="709"/>
          <w:tab w:val="left" w:pos="8789"/>
          <w:tab w:val="left" w:pos="9356"/>
        </w:tabs>
        <w:ind w:right="5058"/>
        <w:outlineLvl w:val="0"/>
        <w:rPr>
          <w:rFonts w:ascii="Verdana" w:hAnsi="Verdana" w:cs="Verdana"/>
          <w:sz w:val="20"/>
          <w:szCs w:val="20"/>
          <w:lang w:val="es-CR"/>
        </w:rPr>
      </w:pPr>
    </w:p>
    <w:p w:rsidR="00B15EF8" w:rsidRDefault="00B15EF8" w:rsidP="00B15EF8">
      <w:pPr>
        <w:tabs>
          <w:tab w:val="left" w:pos="709"/>
          <w:tab w:val="left" w:pos="8789"/>
          <w:tab w:val="left" w:pos="9356"/>
        </w:tabs>
        <w:ind w:right="5058"/>
        <w:outlineLvl w:val="0"/>
        <w:rPr>
          <w:rFonts w:ascii="Verdana" w:hAnsi="Verdana" w:cs="Verdana"/>
          <w:sz w:val="20"/>
          <w:szCs w:val="20"/>
          <w:lang w:val="es-CR"/>
        </w:rPr>
      </w:pPr>
    </w:p>
    <w:p w:rsidR="00B15EF8" w:rsidRDefault="00B15EF8" w:rsidP="00B15EF8">
      <w:pPr>
        <w:tabs>
          <w:tab w:val="left" w:pos="709"/>
          <w:tab w:val="left" w:pos="8789"/>
          <w:tab w:val="left" w:pos="9356"/>
        </w:tabs>
        <w:spacing w:after="0"/>
        <w:ind w:right="5058"/>
        <w:outlineLvl w:val="0"/>
        <w:rPr>
          <w:rFonts w:ascii="Verdana" w:hAnsi="Verdana" w:cs="Verdana"/>
          <w:sz w:val="20"/>
          <w:szCs w:val="20"/>
          <w:lang w:val="es-CR"/>
        </w:rPr>
      </w:pPr>
      <w:r>
        <w:rPr>
          <w:rFonts w:ascii="Verdana" w:hAnsi="Verdana" w:cs="Verdana"/>
          <w:sz w:val="20"/>
          <w:szCs w:val="20"/>
          <w:lang w:val="es-CR"/>
        </w:rPr>
        <w:t xml:space="preserve">     </w:t>
      </w:r>
      <w:r w:rsidR="001A471D" w:rsidRPr="00B15EF8">
        <w:rPr>
          <w:rFonts w:ascii="Verdana" w:hAnsi="Verdana" w:cs="Verdana"/>
          <w:sz w:val="20"/>
          <w:szCs w:val="20"/>
          <w:lang w:val="es-CR"/>
        </w:rPr>
        <w:t>Pablo Saavedra Alessandri</w:t>
      </w:r>
    </w:p>
    <w:p w:rsidR="001A471D" w:rsidRPr="00B15EF8" w:rsidRDefault="00B15EF8" w:rsidP="00B15EF8">
      <w:pPr>
        <w:tabs>
          <w:tab w:val="left" w:pos="709"/>
          <w:tab w:val="left" w:pos="8789"/>
          <w:tab w:val="left" w:pos="9356"/>
        </w:tabs>
        <w:spacing w:after="0"/>
        <w:ind w:right="5058"/>
        <w:outlineLvl w:val="0"/>
        <w:rPr>
          <w:rFonts w:ascii="Verdana" w:hAnsi="Verdana" w:cs="Verdana"/>
          <w:sz w:val="20"/>
          <w:szCs w:val="20"/>
          <w:lang w:val="es-CR"/>
        </w:rPr>
      </w:pPr>
      <w:r>
        <w:rPr>
          <w:rFonts w:ascii="Verdana" w:hAnsi="Verdana" w:cs="Verdana"/>
          <w:sz w:val="20"/>
          <w:szCs w:val="20"/>
          <w:lang w:val="es-CR"/>
        </w:rPr>
        <w:t xml:space="preserve">              </w:t>
      </w:r>
      <w:r w:rsidR="001A471D" w:rsidRPr="00B15EF8">
        <w:rPr>
          <w:rFonts w:ascii="Verdana" w:hAnsi="Verdana" w:cs="Verdana"/>
          <w:sz w:val="20"/>
          <w:szCs w:val="20"/>
          <w:lang w:val="es-CR"/>
        </w:rPr>
        <w:t>Secretario</w:t>
      </w:r>
    </w:p>
    <w:p w:rsidR="001A471D" w:rsidRPr="001A471D" w:rsidRDefault="001A471D" w:rsidP="001A471D">
      <w:pPr>
        <w:pStyle w:val="ListParagraph"/>
        <w:tabs>
          <w:tab w:val="left" w:pos="8789"/>
        </w:tabs>
        <w:ind w:right="5058"/>
        <w:jc w:val="center"/>
        <w:rPr>
          <w:rFonts w:ascii="Verdana" w:hAnsi="Verdana" w:cs="Verdana"/>
          <w:sz w:val="20"/>
          <w:szCs w:val="20"/>
          <w:lang w:val="es-CR"/>
        </w:rPr>
      </w:pPr>
    </w:p>
    <w:p w:rsidR="001A471D" w:rsidRDefault="001A471D" w:rsidP="001A471D">
      <w:pPr>
        <w:pStyle w:val="ListParagraph"/>
        <w:tabs>
          <w:tab w:val="left" w:pos="426"/>
          <w:tab w:val="left" w:pos="709"/>
        </w:tabs>
        <w:spacing w:after="0" w:line="240" w:lineRule="auto"/>
        <w:ind w:left="0"/>
        <w:jc w:val="both"/>
        <w:rPr>
          <w:rFonts w:ascii="Verdana" w:hAnsi="Verdana"/>
          <w:sz w:val="20"/>
          <w:szCs w:val="20"/>
          <w:lang w:val="es-CR"/>
        </w:rPr>
      </w:pPr>
    </w:p>
    <w:sectPr w:rsidR="001A471D" w:rsidSect="001D623D">
      <w:headerReference w:type="default" r:id="rId9"/>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6D" w:rsidRDefault="00D9166D" w:rsidP="00A80BD3">
      <w:pPr>
        <w:spacing w:after="0" w:line="240" w:lineRule="auto"/>
      </w:pPr>
      <w:r>
        <w:separator/>
      </w:r>
    </w:p>
  </w:endnote>
  <w:endnote w:type="continuationSeparator" w:id="0">
    <w:p w:rsidR="00D9166D" w:rsidRDefault="00D9166D" w:rsidP="00A8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6D" w:rsidRDefault="00D9166D" w:rsidP="00A80BD3">
      <w:pPr>
        <w:spacing w:after="0" w:line="240" w:lineRule="auto"/>
      </w:pPr>
      <w:r>
        <w:separator/>
      </w:r>
    </w:p>
  </w:footnote>
  <w:footnote w:type="continuationSeparator" w:id="0">
    <w:p w:rsidR="00D9166D" w:rsidRDefault="00D9166D" w:rsidP="00A80BD3">
      <w:pPr>
        <w:spacing w:after="0" w:line="240" w:lineRule="auto"/>
      </w:pPr>
      <w:r>
        <w:continuationSeparator/>
      </w:r>
    </w:p>
  </w:footnote>
  <w:footnote w:id="1">
    <w:p w:rsidR="00B86F9F" w:rsidRPr="00641D6C" w:rsidRDefault="00B86F9F" w:rsidP="00641D6C">
      <w:pPr>
        <w:pStyle w:val="FootnoteText"/>
        <w:jc w:val="both"/>
        <w:rPr>
          <w:rFonts w:ascii="Verdana" w:hAnsi="Verdana"/>
          <w:sz w:val="16"/>
          <w:szCs w:val="16"/>
          <w:lang w:val="es-CR"/>
        </w:rPr>
      </w:pPr>
      <w:r w:rsidRPr="00641D6C">
        <w:rPr>
          <w:rStyle w:val="FootnoteReference"/>
          <w:rFonts w:ascii="Verdana" w:hAnsi="Verdana"/>
          <w:sz w:val="16"/>
          <w:szCs w:val="16"/>
        </w:rPr>
        <w:footnoteRef/>
      </w:r>
      <w:r w:rsidRPr="00641D6C">
        <w:rPr>
          <w:rFonts w:ascii="Verdana" w:hAnsi="Verdana"/>
          <w:sz w:val="16"/>
          <w:szCs w:val="16"/>
        </w:rPr>
        <w:t xml:space="preserve"> </w:t>
      </w:r>
      <w:r w:rsidRPr="00641D6C">
        <w:rPr>
          <w:rFonts w:ascii="Verdana" w:hAnsi="Verdana"/>
          <w:sz w:val="16"/>
          <w:szCs w:val="16"/>
          <w:lang w:val="es-CR"/>
        </w:rPr>
        <w:t>Artículo 62 del Reglamento de la Corte.</w:t>
      </w:r>
    </w:p>
  </w:footnote>
  <w:footnote w:id="2">
    <w:p w:rsidR="00B86F9F" w:rsidRPr="00641D6C" w:rsidRDefault="00B86F9F" w:rsidP="00641D6C">
      <w:pPr>
        <w:pStyle w:val="FootnoteText"/>
        <w:jc w:val="both"/>
        <w:rPr>
          <w:rFonts w:ascii="Verdana" w:hAnsi="Verdana"/>
          <w:sz w:val="16"/>
          <w:szCs w:val="16"/>
          <w:lang w:val="es-CR"/>
        </w:rPr>
      </w:pPr>
      <w:r w:rsidRPr="00641D6C">
        <w:rPr>
          <w:rStyle w:val="FootnoteReference"/>
          <w:rFonts w:ascii="Verdana" w:hAnsi="Verdana"/>
          <w:sz w:val="16"/>
          <w:szCs w:val="16"/>
        </w:rPr>
        <w:footnoteRef/>
      </w:r>
      <w:r w:rsidRPr="00641D6C">
        <w:rPr>
          <w:rFonts w:ascii="Verdana" w:hAnsi="Verdana"/>
          <w:sz w:val="16"/>
          <w:szCs w:val="16"/>
        </w:rPr>
        <w:t xml:space="preserve"> </w:t>
      </w:r>
      <w:r w:rsidRPr="00641D6C">
        <w:rPr>
          <w:rFonts w:ascii="Verdana" w:hAnsi="Verdana"/>
          <w:sz w:val="16"/>
          <w:szCs w:val="16"/>
          <w:lang w:val="es-CR"/>
        </w:rPr>
        <w:t>Artículo 64 del Reglamento de la Corte.</w:t>
      </w:r>
    </w:p>
  </w:footnote>
  <w:footnote w:id="3">
    <w:p w:rsidR="00641D6C" w:rsidRPr="00641D6C" w:rsidRDefault="00641D6C" w:rsidP="00641D6C">
      <w:pPr>
        <w:pStyle w:val="FootnoteText"/>
        <w:jc w:val="both"/>
        <w:rPr>
          <w:rFonts w:ascii="Verdana" w:hAnsi="Verdana"/>
          <w:sz w:val="16"/>
          <w:szCs w:val="16"/>
          <w:lang w:val="es-CR"/>
        </w:rPr>
      </w:pPr>
      <w:r w:rsidRPr="00641D6C">
        <w:rPr>
          <w:rStyle w:val="FootnoteReference"/>
          <w:rFonts w:ascii="Verdana" w:hAnsi="Verdana"/>
          <w:sz w:val="16"/>
          <w:szCs w:val="16"/>
        </w:rPr>
        <w:footnoteRef/>
      </w:r>
      <w:r w:rsidRPr="00641D6C">
        <w:rPr>
          <w:rFonts w:ascii="Verdana" w:hAnsi="Verdana"/>
          <w:sz w:val="16"/>
          <w:szCs w:val="16"/>
        </w:rPr>
        <w:t xml:space="preserve"> </w:t>
      </w:r>
      <w:r w:rsidRPr="00641D6C">
        <w:rPr>
          <w:rFonts w:ascii="Verdana" w:hAnsi="Verdana"/>
          <w:i/>
          <w:sz w:val="16"/>
          <w:szCs w:val="16"/>
        </w:rPr>
        <w:t xml:space="preserve">El Efecto de las Reservas sobre la Entrada en Vigencia de la Convención Americana sobre Derechos Humanos </w:t>
      </w:r>
      <w:r w:rsidRPr="00641D6C">
        <w:rPr>
          <w:rFonts w:ascii="Verdana" w:hAnsi="Verdana"/>
          <w:sz w:val="16"/>
          <w:szCs w:val="16"/>
        </w:rPr>
        <w:t xml:space="preserve">(arts. 74 y 75). Opinión Consultiva OC-2/82 del 24 de septiembre de 1982. Serie A No. 2, párr. 29, y </w:t>
      </w:r>
      <w:r w:rsidRPr="00641D6C">
        <w:rPr>
          <w:rStyle w:val="Strong"/>
          <w:rFonts w:ascii="Verdana" w:hAnsi="Verdana"/>
          <w:b w:val="0"/>
          <w:i/>
          <w:sz w:val="16"/>
          <w:szCs w:val="16"/>
        </w:rPr>
        <w:t>Derechos y garantías de niñas y niños en el contexto de la migración y/o en necesidad de protección internacional</w:t>
      </w:r>
      <w:r w:rsidRPr="00641D6C">
        <w:rPr>
          <w:rStyle w:val="Strong"/>
          <w:rFonts w:ascii="Verdana" w:hAnsi="Verdana"/>
          <w:b w:val="0"/>
          <w:sz w:val="16"/>
          <w:szCs w:val="16"/>
        </w:rPr>
        <w:t xml:space="preserve">. Opinión Consultiva OC-21/14 de 19 de agosto de 2014. Serie A No. 21, párr. 53. </w:t>
      </w:r>
    </w:p>
  </w:footnote>
  <w:footnote w:id="4">
    <w:p w:rsidR="00C33C98" w:rsidRPr="00C33C98" w:rsidRDefault="00C33C98">
      <w:pPr>
        <w:pStyle w:val="FootnoteText"/>
        <w:rPr>
          <w:rFonts w:ascii="Verdana" w:hAnsi="Verdana"/>
          <w:sz w:val="16"/>
          <w:szCs w:val="16"/>
          <w:lang w:val="es-CR"/>
        </w:rPr>
      </w:pPr>
      <w:r w:rsidRPr="00C33C98">
        <w:rPr>
          <w:rStyle w:val="FootnoteReference"/>
          <w:rFonts w:ascii="Verdana" w:hAnsi="Verdana"/>
          <w:sz w:val="16"/>
          <w:szCs w:val="16"/>
        </w:rPr>
        <w:footnoteRef/>
      </w:r>
      <w:r w:rsidRPr="00C33C98">
        <w:rPr>
          <w:rFonts w:ascii="Verdana" w:hAnsi="Verdana"/>
          <w:sz w:val="16"/>
          <w:szCs w:val="16"/>
        </w:rPr>
        <w:t xml:space="preserve"> </w:t>
      </w:r>
      <w:r w:rsidRPr="00C33C98">
        <w:rPr>
          <w:rFonts w:ascii="Verdana" w:hAnsi="Verdana"/>
          <w:sz w:val="16"/>
          <w:szCs w:val="16"/>
          <w:lang w:val="es-CR"/>
        </w:rPr>
        <w:t xml:space="preserve">Párrafo 21 de </w:t>
      </w:r>
      <w:r>
        <w:rPr>
          <w:rFonts w:ascii="Verdana" w:hAnsi="Verdana"/>
          <w:sz w:val="16"/>
          <w:szCs w:val="16"/>
          <w:lang w:val="es-CR"/>
        </w:rPr>
        <w:t>l</w:t>
      </w:r>
      <w:r w:rsidRPr="00C33C98">
        <w:rPr>
          <w:rFonts w:ascii="Verdana" w:hAnsi="Verdana"/>
          <w:sz w:val="16"/>
          <w:szCs w:val="16"/>
          <w:lang w:val="es-CR"/>
        </w:rPr>
        <w:t>a Sentencia.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80986"/>
      <w:docPartObj>
        <w:docPartGallery w:val="Page Numbers (Top of Page)"/>
        <w:docPartUnique/>
      </w:docPartObj>
    </w:sdtPr>
    <w:sdtEndPr>
      <w:rPr>
        <w:noProof/>
      </w:rPr>
    </w:sdtEndPr>
    <w:sdtContent>
      <w:p w:rsidR="001D623D" w:rsidRDefault="001D623D">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1D623D" w:rsidRDefault="001D6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CA4"/>
    <w:multiLevelType w:val="hybridMultilevel"/>
    <w:tmpl w:val="877CFF1A"/>
    <w:lvl w:ilvl="0" w:tplc="140A0017">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6145BDF"/>
    <w:multiLevelType w:val="hybridMultilevel"/>
    <w:tmpl w:val="8886ECA2"/>
    <w:lvl w:ilvl="0" w:tplc="C41C0E5C">
      <w:start w:val="1"/>
      <w:numFmt w:val="decimal"/>
      <w:lvlText w:val="%1."/>
      <w:lvlJc w:val="left"/>
      <w:pPr>
        <w:ind w:left="0" w:firstLine="0"/>
      </w:pPr>
      <w:rPr>
        <w:rFonts w:ascii="Verdana" w:hAnsi="Verdana" w:hint="default"/>
        <w:b w:val="0"/>
        <w:i w:val="0"/>
        <w:strike w:val="0"/>
        <w:color w:val="auto"/>
        <w:sz w:val="20"/>
        <w:szCs w:val="20"/>
        <w:lang w:val="es-AR"/>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7AC369FF"/>
    <w:multiLevelType w:val="hybridMultilevel"/>
    <w:tmpl w:val="46F4788C"/>
    <w:lvl w:ilvl="0" w:tplc="9F701216">
      <w:start w:val="1"/>
      <w:numFmt w:val="decimal"/>
      <w:lvlText w:val="%1."/>
      <w:lvlJc w:val="left"/>
      <w:pPr>
        <w:ind w:left="847"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D3"/>
    <w:rsid w:val="000A3293"/>
    <w:rsid w:val="000F22BD"/>
    <w:rsid w:val="00133187"/>
    <w:rsid w:val="001A471D"/>
    <w:rsid w:val="001D623D"/>
    <w:rsid w:val="001F77F7"/>
    <w:rsid w:val="00217E40"/>
    <w:rsid w:val="0022733F"/>
    <w:rsid w:val="002463BA"/>
    <w:rsid w:val="00392E86"/>
    <w:rsid w:val="00491494"/>
    <w:rsid w:val="0055408F"/>
    <w:rsid w:val="005B22DE"/>
    <w:rsid w:val="00637749"/>
    <w:rsid w:val="00641D6C"/>
    <w:rsid w:val="00651E3B"/>
    <w:rsid w:val="006D43C4"/>
    <w:rsid w:val="006F5B8D"/>
    <w:rsid w:val="00794B5E"/>
    <w:rsid w:val="007C7285"/>
    <w:rsid w:val="007E08D6"/>
    <w:rsid w:val="007F064B"/>
    <w:rsid w:val="00800357"/>
    <w:rsid w:val="00836689"/>
    <w:rsid w:val="008628A6"/>
    <w:rsid w:val="008A7EE4"/>
    <w:rsid w:val="008E6A74"/>
    <w:rsid w:val="00A80BD3"/>
    <w:rsid w:val="00A8683C"/>
    <w:rsid w:val="00B15EF8"/>
    <w:rsid w:val="00B24072"/>
    <w:rsid w:val="00B67188"/>
    <w:rsid w:val="00B6736E"/>
    <w:rsid w:val="00B86F9F"/>
    <w:rsid w:val="00C007D5"/>
    <w:rsid w:val="00C132DA"/>
    <w:rsid w:val="00C30FB9"/>
    <w:rsid w:val="00C33C98"/>
    <w:rsid w:val="00C847E3"/>
    <w:rsid w:val="00CB5273"/>
    <w:rsid w:val="00D654D0"/>
    <w:rsid w:val="00D86214"/>
    <w:rsid w:val="00D9166D"/>
    <w:rsid w:val="00E37695"/>
    <w:rsid w:val="00E56B55"/>
    <w:rsid w:val="00E6488E"/>
    <w:rsid w:val="00E657DE"/>
    <w:rsid w:val="00E71949"/>
    <w:rsid w:val="00E93659"/>
    <w:rsid w:val="00EE647D"/>
    <w:rsid w:val="00F226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D3"/>
    <w:rPr>
      <w:rFonts w:ascii="Times New Roman" w:eastAsia="Calibri"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1"/>
    <w:unhideWhenUsed/>
    <w:qFormat/>
    <w:rsid w:val="00A80BD3"/>
    <w:pPr>
      <w:spacing w:after="0" w:line="240" w:lineRule="auto"/>
    </w:pPr>
    <w:rPr>
      <w:rFonts w:asciiTheme="minorHAnsi" w:eastAsiaTheme="minorHAnsi" w:hAnsiTheme="minorHAnsi" w:cstheme="minorBidi"/>
      <w:sz w:val="20"/>
      <w:szCs w:val="20"/>
      <w:lang w:val="es-MX"/>
    </w:rPr>
  </w:style>
  <w:style w:type="character" w:customStyle="1" w:styleId="FootnoteTextChar">
    <w:name w:val="Footnote Text Char"/>
    <w:basedOn w:val="DefaultParagraphFont"/>
    <w:semiHidden/>
    <w:rsid w:val="00A80BD3"/>
    <w:rPr>
      <w:rFonts w:ascii="Times New Roman" w:eastAsia="Calibri" w:hAnsi="Times New Roman" w:cs="Times New Roman"/>
      <w:sz w:val="20"/>
      <w:szCs w:val="20"/>
      <w:lang w:val="es-ES"/>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A80BD3"/>
    <w:rPr>
      <w:sz w:val="20"/>
      <w:szCs w:val="20"/>
      <w:lang w:val="es-MX"/>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unhideWhenUsed/>
    <w:qFormat/>
    <w:rsid w:val="00A80BD3"/>
    <w:rPr>
      <w:vertAlign w:val="superscript"/>
    </w:rPr>
  </w:style>
  <w:style w:type="paragraph" w:styleId="ListParagraph">
    <w:name w:val="List Paragraph"/>
    <w:aliases w:val="Footnote,List Paragraph1,Colorful List - Accent 11,Párrafo de lista1"/>
    <w:basedOn w:val="Normal"/>
    <w:link w:val="ListParagraphChar"/>
    <w:qFormat/>
    <w:rsid w:val="00A80BD3"/>
    <w:pPr>
      <w:ind w:left="720"/>
      <w:contextualSpacing/>
    </w:pPr>
  </w:style>
  <w:style w:type="character" w:customStyle="1" w:styleId="ListParagraphChar">
    <w:name w:val="List Paragraph Char"/>
    <w:aliases w:val="Footnote Char,List Paragraph1 Char,Colorful List - Accent 11 Char,Párrafo de lista1 Char"/>
    <w:basedOn w:val="DefaultParagraphFont"/>
    <w:link w:val="ListParagraph"/>
    <w:locked/>
    <w:rsid w:val="00A80BD3"/>
    <w:rPr>
      <w:rFonts w:ascii="Times New Roman" w:eastAsia="Calibri" w:hAnsi="Times New Roman" w:cs="Times New Roman"/>
      <w:lang w:val="es-ES"/>
    </w:rPr>
  </w:style>
  <w:style w:type="character" w:styleId="Strong">
    <w:name w:val="Strong"/>
    <w:uiPriority w:val="22"/>
    <w:qFormat/>
    <w:rsid w:val="00641D6C"/>
    <w:rPr>
      <w:b/>
      <w:bCs/>
    </w:rPr>
  </w:style>
  <w:style w:type="paragraph" w:styleId="NormalWeb">
    <w:name w:val="Normal (Web)"/>
    <w:aliases w:val="Normal (Web) Char1,Normal (Web) Char Char,Normal (Web) Char1 Char,Normal (Web) Char Char Char"/>
    <w:basedOn w:val="Normal"/>
    <w:uiPriority w:val="99"/>
    <w:rsid w:val="001A471D"/>
    <w:pPr>
      <w:spacing w:after="0" w:line="240" w:lineRule="auto"/>
    </w:pPr>
    <w:rPr>
      <w:rFonts w:eastAsia="Batang"/>
      <w:sz w:val="24"/>
      <w:szCs w:val="24"/>
      <w:lang w:val="es-ES_tradnl"/>
    </w:rPr>
  </w:style>
  <w:style w:type="paragraph" w:styleId="BalloonText">
    <w:name w:val="Balloon Text"/>
    <w:basedOn w:val="Normal"/>
    <w:link w:val="BalloonTextChar"/>
    <w:uiPriority w:val="99"/>
    <w:semiHidden/>
    <w:unhideWhenUsed/>
    <w:rsid w:val="00B1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F8"/>
    <w:rPr>
      <w:rFonts w:ascii="Tahoma" w:eastAsia="Calibri" w:hAnsi="Tahoma" w:cs="Tahoma"/>
      <w:sz w:val="16"/>
      <w:szCs w:val="16"/>
      <w:lang w:val="es-ES"/>
    </w:rPr>
  </w:style>
  <w:style w:type="paragraph" w:styleId="Header">
    <w:name w:val="header"/>
    <w:basedOn w:val="Normal"/>
    <w:link w:val="HeaderChar"/>
    <w:uiPriority w:val="99"/>
    <w:unhideWhenUsed/>
    <w:rsid w:val="001D62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1D623D"/>
    <w:rPr>
      <w:rFonts w:ascii="Times New Roman" w:eastAsia="Calibri" w:hAnsi="Times New Roman" w:cs="Times New Roman"/>
      <w:lang w:val="es-ES"/>
    </w:rPr>
  </w:style>
  <w:style w:type="paragraph" w:styleId="Footer">
    <w:name w:val="footer"/>
    <w:basedOn w:val="Normal"/>
    <w:link w:val="FooterChar"/>
    <w:uiPriority w:val="99"/>
    <w:unhideWhenUsed/>
    <w:rsid w:val="001D62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1D623D"/>
    <w:rPr>
      <w:rFonts w:ascii="Times New Roman" w:eastAsia="Calibri" w:hAnsi="Times New Roman"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D3"/>
    <w:rPr>
      <w:rFonts w:ascii="Times New Roman" w:eastAsia="Calibri"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1"/>
    <w:unhideWhenUsed/>
    <w:qFormat/>
    <w:rsid w:val="00A80BD3"/>
    <w:pPr>
      <w:spacing w:after="0" w:line="240" w:lineRule="auto"/>
    </w:pPr>
    <w:rPr>
      <w:rFonts w:asciiTheme="minorHAnsi" w:eastAsiaTheme="minorHAnsi" w:hAnsiTheme="minorHAnsi" w:cstheme="minorBidi"/>
      <w:sz w:val="20"/>
      <w:szCs w:val="20"/>
      <w:lang w:val="es-MX"/>
    </w:rPr>
  </w:style>
  <w:style w:type="character" w:customStyle="1" w:styleId="FootnoteTextChar">
    <w:name w:val="Footnote Text Char"/>
    <w:basedOn w:val="DefaultParagraphFont"/>
    <w:semiHidden/>
    <w:rsid w:val="00A80BD3"/>
    <w:rPr>
      <w:rFonts w:ascii="Times New Roman" w:eastAsia="Calibri" w:hAnsi="Times New Roman" w:cs="Times New Roman"/>
      <w:sz w:val="20"/>
      <w:szCs w:val="20"/>
      <w:lang w:val="es-ES"/>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A80BD3"/>
    <w:rPr>
      <w:sz w:val="20"/>
      <w:szCs w:val="20"/>
      <w:lang w:val="es-MX"/>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unhideWhenUsed/>
    <w:qFormat/>
    <w:rsid w:val="00A80BD3"/>
    <w:rPr>
      <w:vertAlign w:val="superscript"/>
    </w:rPr>
  </w:style>
  <w:style w:type="paragraph" w:styleId="ListParagraph">
    <w:name w:val="List Paragraph"/>
    <w:aliases w:val="Footnote,List Paragraph1,Colorful List - Accent 11,Párrafo de lista1"/>
    <w:basedOn w:val="Normal"/>
    <w:link w:val="ListParagraphChar"/>
    <w:qFormat/>
    <w:rsid w:val="00A80BD3"/>
    <w:pPr>
      <w:ind w:left="720"/>
      <w:contextualSpacing/>
    </w:pPr>
  </w:style>
  <w:style w:type="character" w:customStyle="1" w:styleId="ListParagraphChar">
    <w:name w:val="List Paragraph Char"/>
    <w:aliases w:val="Footnote Char,List Paragraph1 Char,Colorful List - Accent 11 Char,Párrafo de lista1 Char"/>
    <w:basedOn w:val="DefaultParagraphFont"/>
    <w:link w:val="ListParagraph"/>
    <w:locked/>
    <w:rsid w:val="00A80BD3"/>
    <w:rPr>
      <w:rFonts w:ascii="Times New Roman" w:eastAsia="Calibri" w:hAnsi="Times New Roman" w:cs="Times New Roman"/>
      <w:lang w:val="es-ES"/>
    </w:rPr>
  </w:style>
  <w:style w:type="character" w:styleId="Strong">
    <w:name w:val="Strong"/>
    <w:uiPriority w:val="22"/>
    <w:qFormat/>
    <w:rsid w:val="00641D6C"/>
    <w:rPr>
      <w:b/>
      <w:bCs/>
    </w:rPr>
  </w:style>
  <w:style w:type="paragraph" w:styleId="NormalWeb">
    <w:name w:val="Normal (Web)"/>
    <w:aliases w:val="Normal (Web) Char1,Normal (Web) Char Char,Normal (Web) Char1 Char,Normal (Web) Char Char Char"/>
    <w:basedOn w:val="Normal"/>
    <w:uiPriority w:val="99"/>
    <w:rsid w:val="001A471D"/>
    <w:pPr>
      <w:spacing w:after="0" w:line="240" w:lineRule="auto"/>
    </w:pPr>
    <w:rPr>
      <w:rFonts w:eastAsia="Batang"/>
      <w:sz w:val="24"/>
      <w:szCs w:val="24"/>
      <w:lang w:val="es-ES_tradnl"/>
    </w:rPr>
  </w:style>
  <w:style w:type="paragraph" w:styleId="BalloonText">
    <w:name w:val="Balloon Text"/>
    <w:basedOn w:val="Normal"/>
    <w:link w:val="BalloonTextChar"/>
    <w:uiPriority w:val="99"/>
    <w:semiHidden/>
    <w:unhideWhenUsed/>
    <w:rsid w:val="00B1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F8"/>
    <w:rPr>
      <w:rFonts w:ascii="Tahoma" w:eastAsia="Calibri" w:hAnsi="Tahoma" w:cs="Tahoma"/>
      <w:sz w:val="16"/>
      <w:szCs w:val="16"/>
      <w:lang w:val="es-ES"/>
    </w:rPr>
  </w:style>
  <w:style w:type="paragraph" w:styleId="Header">
    <w:name w:val="header"/>
    <w:basedOn w:val="Normal"/>
    <w:link w:val="HeaderChar"/>
    <w:uiPriority w:val="99"/>
    <w:unhideWhenUsed/>
    <w:rsid w:val="001D62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1D623D"/>
    <w:rPr>
      <w:rFonts w:ascii="Times New Roman" w:eastAsia="Calibri" w:hAnsi="Times New Roman" w:cs="Times New Roman"/>
      <w:lang w:val="es-ES"/>
    </w:rPr>
  </w:style>
  <w:style w:type="paragraph" w:styleId="Footer">
    <w:name w:val="footer"/>
    <w:basedOn w:val="Normal"/>
    <w:link w:val="FooterChar"/>
    <w:uiPriority w:val="99"/>
    <w:unhideWhenUsed/>
    <w:rsid w:val="001D62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1D623D"/>
    <w:rPr>
      <w:rFonts w:ascii="Times New Roman" w:eastAsia="Calibr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3344">
      <w:bodyDiv w:val="1"/>
      <w:marLeft w:val="0"/>
      <w:marRight w:val="0"/>
      <w:marTop w:val="0"/>
      <w:marBottom w:val="0"/>
      <w:divBdr>
        <w:top w:val="none" w:sz="0" w:space="0" w:color="auto"/>
        <w:left w:val="none" w:sz="0" w:space="0" w:color="auto"/>
        <w:bottom w:val="none" w:sz="0" w:space="0" w:color="auto"/>
        <w:right w:val="none" w:sz="0" w:space="0" w:color="auto"/>
      </w:divBdr>
    </w:div>
    <w:div w:id="679741048">
      <w:bodyDiv w:val="1"/>
      <w:marLeft w:val="0"/>
      <w:marRight w:val="0"/>
      <w:marTop w:val="0"/>
      <w:marBottom w:val="0"/>
      <w:divBdr>
        <w:top w:val="none" w:sz="0" w:space="0" w:color="auto"/>
        <w:left w:val="none" w:sz="0" w:space="0" w:color="auto"/>
        <w:bottom w:val="none" w:sz="0" w:space="0" w:color="auto"/>
        <w:right w:val="none" w:sz="0" w:space="0" w:color="auto"/>
      </w:divBdr>
    </w:div>
    <w:div w:id="14963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6E4F-79BC-4ED7-89B5-F10377B3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2015-12-18T16:54:00Z</cp:lastPrinted>
  <dcterms:created xsi:type="dcterms:W3CDTF">2015-12-18T19:22:00Z</dcterms:created>
  <dcterms:modified xsi:type="dcterms:W3CDTF">2015-12-18T19:51:00Z</dcterms:modified>
</cp:coreProperties>
</file>