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E3" w:rsidRDefault="00F83DE3" w:rsidP="000F36F3">
      <w:pPr>
        <w:ind w:right="96"/>
        <w:jc w:val="center"/>
        <w:rPr>
          <w:b/>
          <w:szCs w:val="20"/>
          <w:lang w:val="es-CR"/>
        </w:rPr>
      </w:pPr>
    </w:p>
    <w:p w:rsidR="00F83DE3" w:rsidRDefault="00F83DE3" w:rsidP="000F36F3">
      <w:pPr>
        <w:ind w:right="96"/>
        <w:jc w:val="center"/>
        <w:rPr>
          <w:b/>
          <w:szCs w:val="20"/>
          <w:lang w:val="es-CR"/>
        </w:rPr>
      </w:pPr>
    </w:p>
    <w:p w:rsidR="00F83DE3" w:rsidRDefault="00F83DE3" w:rsidP="000F36F3">
      <w:pPr>
        <w:ind w:right="96"/>
        <w:jc w:val="center"/>
        <w:rPr>
          <w:b/>
          <w:szCs w:val="20"/>
          <w:lang w:val="es-CR"/>
        </w:rPr>
      </w:pPr>
    </w:p>
    <w:p w:rsidR="00F83DE3" w:rsidRDefault="00F83DE3" w:rsidP="000F36F3">
      <w:pPr>
        <w:ind w:right="96"/>
        <w:jc w:val="center"/>
        <w:rPr>
          <w:b/>
          <w:szCs w:val="20"/>
          <w:lang w:val="es-CR"/>
        </w:rPr>
      </w:pPr>
    </w:p>
    <w:p w:rsidR="00F31BDF" w:rsidRDefault="00F31BDF" w:rsidP="000F36F3">
      <w:pPr>
        <w:ind w:right="96"/>
        <w:jc w:val="center"/>
        <w:rPr>
          <w:b/>
          <w:szCs w:val="20"/>
          <w:lang w:val="es-CR"/>
        </w:rPr>
      </w:pPr>
      <w:r w:rsidRPr="00752E8A">
        <w:rPr>
          <w:b/>
          <w:szCs w:val="20"/>
          <w:lang w:val="es-CR"/>
        </w:rPr>
        <w:t xml:space="preserve">VOTO </w:t>
      </w:r>
      <w:r>
        <w:rPr>
          <w:b/>
          <w:szCs w:val="20"/>
          <w:lang w:val="es-CR"/>
        </w:rPr>
        <w:t xml:space="preserve">CONCURRENTE </w:t>
      </w:r>
      <w:r w:rsidRPr="00752E8A">
        <w:rPr>
          <w:b/>
          <w:szCs w:val="20"/>
          <w:lang w:val="es-CR"/>
        </w:rPr>
        <w:t xml:space="preserve">DEL JUEZ </w:t>
      </w:r>
      <w:r>
        <w:rPr>
          <w:b/>
          <w:szCs w:val="20"/>
          <w:lang w:val="es-CR"/>
        </w:rPr>
        <w:t>HUMBERTO ANTONIO SIERRA PORTO</w:t>
      </w:r>
      <w:r w:rsidRPr="00752E8A">
        <w:rPr>
          <w:b/>
          <w:szCs w:val="20"/>
          <w:lang w:val="es-CR"/>
        </w:rPr>
        <w:t xml:space="preserve"> </w:t>
      </w:r>
    </w:p>
    <w:p w:rsidR="00F31BDF" w:rsidRDefault="00F31BDF" w:rsidP="00F31BDF">
      <w:pPr>
        <w:ind w:right="96"/>
        <w:jc w:val="center"/>
        <w:rPr>
          <w:b/>
          <w:szCs w:val="20"/>
          <w:lang w:val="es-CR"/>
        </w:rPr>
      </w:pPr>
    </w:p>
    <w:p w:rsidR="000F36F3" w:rsidRPr="000F36F3" w:rsidRDefault="000F36F3" w:rsidP="000F36F3">
      <w:pPr>
        <w:tabs>
          <w:tab w:val="left" w:pos="709"/>
        </w:tabs>
        <w:jc w:val="center"/>
        <w:rPr>
          <w:rFonts w:eastAsia="Calibri" w:cs="Times New Roman"/>
          <w:b/>
          <w:noProof w:val="0"/>
          <w:szCs w:val="20"/>
          <w:lang w:val="es-CR"/>
        </w:rPr>
      </w:pPr>
      <w:r w:rsidRPr="000F36F3">
        <w:rPr>
          <w:rFonts w:eastAsia="Calibri" w:cs="Times New Roman"/>
          <w:b/>
          <w:noProof w:val="0"/>
          <w:szCs w:val="20"/>
          <w:lang w:val="es-CR"/>
        </w:rPr>
        <w:t>SENTENCIA DE LA CORTE INTERAMERICANA DE DERECHOS HUMANOS</w:t>
      </w:r>
    </w:p>
    <w:p w:rsidR="000F36F3" w:rsidRPr="000F36F3" w:rsidRDefault="000F36F3" w:rsidP="000F36F3">
      <w:pPr>
        <w:tabs>
          <w:tab w:val="left" w:pos="709"/>
        </w:tabs>
        <w:jc w:val="center"/>
        <w:rPr>
          <w:rFonts w:eastAsia="Calibri" w:cs="Times New Roman"/>
          <w:b/>
          <w:noProof w:val="0"/>
          <w:szCs w:val="20"/>
          <w:lang w:val="es-CR"/>
        </w:rPr>
      </w:pPr>
    </w:p>
    <w:p w:rsidR="00F31BDF" w:rsidRPr="00F31BDF" w:rsidRDefault="00F31BDF" w:rsidP="00F31BDF">
      <w:pPr>
        <w:pStyle w:val="Title"/>
        <w:ind w:left="-142" w:right="-138"/>
        <w:rPr>
          <w:rFonts w:eastAsia="MS Mincho"/>
          <w:noProof w:val="0"/>
          <w:sz w:val="16"/>
          <w:u w:val="single"/>
        </w:rPr>
      </w:pPr>
      <w:r w:rsidRPr="000F36F3">
        <w:rPr>
          <w:rFonts w:eastAsia="MS Mincho"/>
          <w:i/>
          <w:noProof w:val="0"/>
          <w:u w:val="single"/>
        </w:rPr>
        <w:t>CASO C</w:t>
      </w:r>
      <w:r w:rsidRPr="00F31BDF">
        <w:rPr>
          <w:rFonts w:eastAsia="MS Mincho"/>
          <w:i/>
          <w:noProof w:val="0"/>
          <w:u w:val="single"/>
        </w:rPr>
        <w:t>OMUNIDAD GARÍFUNA TRIUNFO DE LA CRUZ Y SUS MIEMBROS VS. HONDURAS</w:t>
      </w:r>
    </w:p>
    <w:p w:rsidR="00F31BDF" w:rsidRPr="00F31BDF" w:rsidRDefault="00F31BDF" w:rsidP="00F31BDF">
      <w:pPr>
        <w:pStyle w:val="Title"/>
        <w:ind w:left="-142" w:right="-138"/>
        <w:rPr>
          <w:rFonts w:eastAsia="MS Mincho"/>
          <w:noProof w:val="0"/>
          <w:u w:val="single"/>
        </w:rPr>
      </w:pPr>
    </w:p>
    <w:p w:rsidR="00F31BDF" w:rsidRPr="00897CBE" w:rsidRDefault="00F31BDF" w:rsidP="00F31BDF">
      <w:pPr>
        <w:pStyle w:val="Title"/>
        <w:ind w:left="-142" w:right="-138" w:firstLine="850"/>
        <w:rPr>
          <w:rFonts w:eastAsia="MS Mincho"/>
          <w:noProof w:val="0"/>
        </w:rPr>
      </w:pPr>
      <w:r w:rsidRPr="00897CBE">
        <w:rPr>
          <w:rFonts w:eastAsia="MS Mincho"/>
          <w:noProof w:val="0"/>
        </w:rPr>
        <w:t xml:space="preserve">SENTENCIA DE </w:t>
      </w:r>
      <w:r>
        <w:rPr>
          <w:rFonts w:eastAsia="MS Mincho"/>
          <w:noProof w:val="0"/>
        </w:rPr>
        <w:t xml:space="preserve">8 </w:t>
      </w:r>
      <w:r w:rsidRPr="00897CBE">
        <w:rPr>
          <w:rFonts w:eastAsia="MS Mincho"/>
          <w:noProof w:val="0"/>
        </w:rPr>
        <w:t xml:space="preserve">DE </w:t>
      </w:r>
      <w:r>
        <w:rPr>
          <w:rFonts w:eastAsia="MS Mincho"/>
          <w:noProof w:val="0"/>
        </w:rPr>
        <w:t>OCTUBRE DE 2015</w:t>
      </w:r>
    </w:p>
    <w:p w:rsidR="000F36F3" w:rsidRDefault="000F36F3" w:rsidP="00F31BDF">
      <w:pPr>
        <w:pStyle w:val="Subtitle"/>
        <w:ind w:left="-142" w:right="-138"/>
        <w:rPr>
          <w:noProof w:val="0"/>
        </w:rPr>
      </w:pPr>
    </w:p>
    <w:p w:rsidR="00F31BDF" w:rsidRPr="00897CBE" w:rsidRDefault="00F31BDF" w:rsidP="0073269F">
      <w:pPr>
        <w:pStyle w:val="Title"/>
        <w:ind w:left="-142" w:right="-138" w:firstLine="850"/>
        <w:rPr>
          <w:noProof w:val="0"/>
        </w:rPr>
      </w:pPr>
      <w:r w:rsidRPr="00897CBE">
        <w:rPr>
          <w:noProof w:val="0"/>
        </w:rPr>
        <w:t>(</w:t>
      </w:r>
      <w:r w:rsidRPr="00FA06C5">
        <w:rPr>
          <w:i/>
          <w:noProof w:val="0"/>
        </w:rPr>
        <w:t xml:space="preserve">Fondo, </w:t>
      </w:r>
      <w:r w:rsidRPr="00FA06C5">
        <w:rPr>
          <w:rFonts w:eastAsia="MS Mincho"/>
          <w:i/>
          <w:noProof w:val="0"/>
        </w:rPr>
        <w:t>Reparaciones</w:t>
      </w:r>
      <w:r w:rsidRPr="00FA06C5">
        <w:rPr>
          <w:i/>
          <w:noProof w:val="0"/>
        </w:rPr>
        <w:t xml:space="preserve"> y Costas</w:t>
      </w:r>
      <w:r w:rsidRPr="00897CBE">
        <w:rPr>
          <w:noProof w:val="0"/>
        </w:rPr>
        <w:t>)</w:t>
      </w:r>
    </w:p>
    <w:p w:rsidR="00F31BDF" w:rsidRDefault="00F31BDF" w:rsidP="00F31BDF">
      <w:pPr>
        <w:spacing w:line="360" w:lineRule="auto"/>
        <w:jc w:val="center"/>
        <w:rPr>
          <w:b/>
          <w:szCs w:val="20"/>
        </w:rPr>
      </w:pPr>
    </w:p>
    <w:p w:rsidR="00F31BDF" w:rsidRPr="00C90BF0" w:rsidRDefault="00F31BDF" w:rsidP="004B201D">
      <w:pPr>
        <w:pStyle w:val="ListParagraph"/>
        <w:numPr>
          <w:ilvl w:val="0"/>
          <w:numId w:val="3"/>
        </w:numPr>
        <w:tabs>
          <w:tab w:val="left" w:pos="709"/>
        </w:tabs>
        <w:rPr>
          <w:b/>
          <w:szCs w:val="20"/>
        </w:rPr>
      </w:pPr>
      <w:r w:rsidRPr="00C72CE1">
        <w:rPr>
          <w:rFonts w:eastAsia="Calibri" w:cs="Times New Roman"/>
          <w:b/>
          <w:noProof w:val="0"/>
          <w:szCs w:val="20"/>
          <w:lang w:val="es-CR"/>
        </w:rPr>
        <w:t>I</w:t>
      </w:r>
      <w:r w:rsidR="00C72CE1" w:rsidRPr="00C72CE1">
        <w:rPr>
          <w:rFonts w:eastAsia="Calibri" w:cs="Times New Roman"/>
          <w:b/>
          <w:noProof w:val="0"/>
          <w:szCs w:val="20"/>
          <w:lang w:val="es-CR"/>
        </w:rPr>
        <w:t xml:space="preserve">ntroducción </w:t>
      </w:r>
    </w:p>
    <w:p w:rsidR="00C90BF0" w:rsidRPr="00C72CE1" w:rsidRDefault="00C90BF0" w:rsidP="00C90BF0">
      <w:pPr>
        <w:pStyle w:val="ListParagraph"/>
        <w:tabs>
          <w:tab w:val="left" w:pos="709"/>
        </w:tabs>
        <w:ind w:left="502"/>
        <w:jc w:val="left"/>
        <w:rPr>
          <w:b/>
          <w:szCs w:val="20"/>
        </w:rPr>
      </w:pPr>
    </w:p>
    <w:p w:rsidR="00901D77" w:rsidRPr="00B90BF6" w:rsidRDefault="003B3196" w:rsidP="00B90BF6">
      <w:pPr>
        <w:pStyle w:val="ListParagraph"/>
        <w:numPr>
          <w:ilvl w:val="0"/>
          <w:numId w:val="5"/>
        </w:numPr>
        <w:tabs>
          <w:tab w:val="left" w:pos="426"/>
          <w:tab w:val="left" w:pos="709"/>
        </w:tabs>
        <w:ind w:left="0" w:firstLine="0"/>
        <w:rPr>
          <w:szCs w:val="20"/>
        </w:rPr>
      </w:pPr>
      <w:r w:rsidRPr="003F21C7">
        <w:rPr>
          <w:szCs w:val="20"/>
        </w:rPr>
        <w:t xml:space="preserve">La </w:t>
      </w:r>
      <w:r w:rsidRPr="003B3196">
        <w:rPr>
          <w:rFonts w:eastAsia="Calibri" w:cs="Times New Roman"/>
          <w:noProof w:val="0"/>
          <w:szCs w:val="20"/>
          <w:lang w:val="es-ES"/>
        </w:rPr>
        <w:t>finalidad</w:t>
      </w:r>
      <w:r w:rsidRPr="003F21C7">
        <w:rPr>
          <w:szCs w:val="20"/>
        </w:rPr>
        <w:t xml:space="preserve"> del presente voto concurrente es </w:t>
      </w:r>
      <w:r w:rsidR="00B90BF6">
        <w:rPr>
          <w:szCs w:val="20"/>
        </w:rPr>
        <w:t>señalar algunos aspectos del caso que, en mi opinión, merecen especial atención. Estos aspectos se refieren a</w:t>
      </w:r>
      <w:r w:rsidR="00901D77" w:rsidRPr="00B90BF6">
        <w:rPr>
          <w:szCs w:val="20"/>
        </w:rPr>
        <w:t xml:space="preserve">: i) </w:t>
      </w:r>
      <w:r w:rsidR="002E75E6">
        <w:rPr>
          <w:szCs w:val="20"/>
        </w:rPr>
        <w:t>l</w:t>
      </w:r>
      <w:r w:rsidR="00B90BF6">
        <w:rPr>
          <w:szCs w:val="20"/>
        </w:rPr>
        <w:t xml:space="preserve">as </w:t>
      </w:r>
      <w:r w:rsidR="003C0D77">
        <w:rPr>
          <w:szCs w:val="20"/>
        </w:rPr>
        <w:t>inconsistenc</w:t>
      </w:r>
      <w:r w:rsidR="00B90BF6">
        <w:rPr>
          <w:szCs w:val="20"/>
        </w:rPr>
        <w:t>ias en l</w:t>
      </w:r>
      <w:r w:rsidR="00901D77" w:rsidRPr="00B90BF6">
        <w:rPr>
          <w:szCs w:val="20"/>
        </w:rPr>
        <w:t>a presentación del caso</w:t>
      </w:r>
      <w:r w:rsidR="00B90BF6">
        <w:rPr>
          <w:szCs w:val="20"/>
        </w:rPr>
        <w:t xml:space="preserve"> y la importancia de la diligencia </w:t>
      </w:r>
      <w:r w:rsidR="00B90BF6" w:rsidRPr="00B90BF6">
        <w:rPr>
          <w:i/>
          <w:szCs w:val="20"/>
        </w:rPr>
        <w:t>in situ</w:t>
      </w:r>
      <w:r w:rsidR="00901D77" w:rsidRPr="00B90BF6">
        <w:rPr>
          <w:szCs w:val="20"/>
        </w:rPr>
        <w:t xml:space="preserve">; ii) la lógica de la medida de reparación </w:t>
      </w:r>
      <w:r w:rsidR="00B90BF6">
        <w:rPr>
          <w:szCs w:val="20"/>
        </w:rPr>
        <w:t xml:space="preserve">colectiva </w:t>
      </w:r>
      <w:r w:rsidR="00356D69" w:rsidRPr="00B90BF6">
        <w:rPr>
          <w:szCs w:val="20"/>
        </w:rPr>
        <w:t xml:space="preserve">consistente en </w:t>
      </w:r>
      <w:r w:rsidR="00901D77" w:rsidRPr="00B90BF6">
        <w:rPr>
          <w:szCs w:val="20"/>
        </w:rPr>
        <w:t>la creación de un fondo de desarrollo</w:t>
      </w:r>
      <w:r w:rsidR="00356D69" w:rsidRPr="00B90BF6">
        <w:rPr>
          <w:szCs w:val="20"/>
        </w:rPr>
        <w:t xml:space="preserve"> comunitario</w:t>
      </w:r>
      <w:r w:rsidR="00901D77" w:rsidRPr="00B90BF6">
        <w:rPr>
          <w:szCs w:val="20"/>
        </w:rPr>
        <w:t>, y iii) los problemas de delimitación y “saneamiento</w:t>
      </w:r>
      <w:r w:rsidR="00B90BF6">
        <w:rPr>
          <w:szCs w:val="20"/>
        </w:rPr>
        <w:t>” de tierras</w:t>
      </w:r>
      <w:r w:rsidR="00901D77" w:rsidRPr="00B90BF6">
        <w:rPr>
          <w:szCs w:val="20"/>
        </w:rPr>
        <w:t xml:space="preserve"> como expresión de un</w:t>
      </w:r>
      <w:r w:rsidR="00B90BF6">
        <w:rPr>
          <w:szCs w:val="20"/>
        </w:rPr>
        <w:t xml:space="preserve">a situación </w:t>
      </w:r>
      <w:r w:rsidR="00901D77" w:rsidRPr="00B90BF6">
        <w:rPr>
          <w:szCs w:val="20"/>
        </w:rPr>
        <w:t>social.</w:t>
      </w:r>
      <w:r w:rsidR="00B0242A">
        <w:rPr>
          <w:szCs w:val="20"/>
        </w:rPr>
        <w:t xml:space="preserve"> </w:t>
      </w:r>
    </w:p>
    <w:p w:rsidR="00901D77" w:rsidRDefault="00901D77" w:rsidP="00107370">
      <w:pPr>
        <w:pStyle w:val="ListParagraph"/>
        <w:tabs>
          <w:tab w:val="left" w:pos="426"/>
          <w:tab w:val="left" w:pos="709"/>
        </w:tabs>
        <w:ind w:left="0"/>
        <w:rPr>
          <w:b/>
          <w:szCs w:val="20"/>
        </w:rPr>
      </w:pPr>
    </w:p>
    <w:p w:rsidR="00901D77" w:rsidRPr="00901D77" w:rsidRDefault="00901D77" w:rsidP="00107370">
      <w:pPr>
        <w:pStyle w:val="ListParagraph"/>
        <w:tabs>
          <w:tab w:val="left" w:pos="426"/>
          <w:tab w:val="left" w:pos="709"/>
        </w:tabs>
        <w:ind w:left="0"/>
        <w:rPr>
          <w:b/>
          <w:szCs w:val="20"/>
        </w:rPr>
      </w:pPr>
    </w:p>
    <w:p w:rsidR="005D1512" w:rsidRPr="00503801" w:rsidRDefault="002E75E6" w:rsidP="004B201D">
      <w:pPr>
        <w:pStyle w:val="ListParagraph"/>
        <w:numPr>
          <w:ilvl w:val="0"/>
          <w:numId w:val="3"/>
        </w:numPr>
        <w:tabs>
          <w:tab w:val="left" w:pos="709"/>
        </w:tabs>
        <w:rPr>
          <w:rFonts w:eastAsia="Calibri" w:cs="Times New Roman"/>
          <w:b/>
          <w:noProof w:val="0"/>
          <w:szCs w:val="20"/>
          <w:lang w:val="es-CR"/>
        </w:rPr>
      </w:pPr>
      <w:r>
        <w:rPr>
          <w:rFonts w:eastAsia="Calibri" w:cs="Times New Roman"/>
          <w:b/>
          <w:noProof w:val="0"/>
          <w:szCs w:val="20"/>
          <w:lang w:val="es-CR"/>
        </w:rPr>
        <w:t>Las</w:t>
      </w:r>
      <w:r w:rsidR="00101B7D">
        <w:rPr>
          <w:rFonts w:eastAsia="Calibri" w:cs="Times New Roman"/>
          <w:b/>
          <w:noProof w:val="0"/>
          <w:szCs w:val="20"/>
          <w:lang w:val="es-CR"/>
        </w:rPr>
        <w:t xml:space="preserve"> </w:t>
      </w:r>
      <w:r w:rsidR="00287D3E">
        <w:rPr>
          <w:rFonts w:eastAsia="Calibri" w:cs="Times New Roman"/>
          <w:b/>
          <w:noProof w:val="0"/>
          <w:szCs w:val="20"/>
          <w:lang w:val="es-CR"/>
        </w:rPr>
        <w:t>inconsistenc</w:t>
      </w:r>
      <w:r w:rsidR="00101B7D">
        <w:rPr>
          <w:rFonts w:eastAsia="Calibri" w:cs="Times New Roman"/>
          <w:b/>
          <w:noProof w:val="0"/>
          <w:szCs w:val="20"/>
          <w:lang w:val="es-CR"/>
        </w:rPr>
        <w:t xml:space="preserve">ias </w:t>
      </w:r>
      <w:r>
        <w:rPr>
          <w:rFonts w:eastAsia="Calibri" w:cs="Times New Roman"/>
          <w:b/>
          <w:noProof w:val="0"/>
          <w:szCs w:val="20"/>
          <w:lang w:val="es-CR"/>
        </w:rPr>
        <w:t>en</w:t>
      </w:r>
      <w:r w:rsidR="00101B7D">
        <w:rPr>
          <w:rFonts w:eastAsia="Calibri" w:cs="Times New Roman"/>
          <w:b/>
          <w:noProof w:val="0"/>
          <w:szCs w:val="20"/>
          <w:lang w:val="es-CR"/>
        </w:rPr>
        <w:t xml:space="preserve"> la </w:t>
      </w:r>
      <w:r w:rsidR="00503801">
        <w:rPr>
          <w:rFonts w:eastAsia="Calibri" w:cs="Times New Roman"/>
          <w:b/>
          <w:noProof w:val="0"/>
          <w:szCs w:val="20"/>
          <w:lang w:val="es-CR"/>
        </w:rPr>
        <w:t xml:space="preserve">presentación del caso </w:t>
      </w:r>
      <w:r w:rsidR="00BF2788">
        <w:rPr>
          <w:rFonts w:eastAsia="Calibri" w:cs="Times New Roman"/>
          <w:b/>
          <w:noProof w:val="0"/>
          <w:szCs w:val="20"/>
          <w:lang w:val="es-CR"/>
        </w:rPr>
        <w:t xml:space="preserve">y la importancia de la diligencia </w:t>
      </w:r>
      <w:r w:rsidR="00BF2788" w:rsidRPr="00BF2788">
        <w:rPr>
          <w:rFonts w:eastAsia="Calibri" w:cs="Times New Roman"/>
          <w:b/>
          <w:i/>
          <w:noProof w:val="0"/>
          <w:szCs w:val="20"/>
          <w:lang w:val="es-CR"/>
        </w:rPr>
        <w:t>in situ</w:t>
      </w:r>
    </w:p>
    <w:p w:rsidR="00F31BDF" w:rsidRPr="00C72CE1" w:rsidRDefault="00F31BDF" w:rsidP="00107370">
      <w:pPr>
        <w:pStyle w:val="ListParagraph"/>
        <w:ind w:left="0"/>
        <w:jc w:val="center"/>
        <w:rPr>
          <w:b/>
        </w:rPr>
      </w:pPr>
    </w:p>
    <w:p w:rsidR="00DE52BA" w:rsidRDefault="002E75E6" w:rsidP="00101B7D">
      <w:pPr>
        <w:pStyle w:val="ListParagraph"/>
        <w:numPr>
          <w:ilvl w:val="0"/>
          <w:numId w:val="5"/>
        </w:numPr>
        <w:tabs>
          <w:tab w:val="left" w:pos="426"/>
          <w:tab w:val="left" w:pos="709"/>
        </w:tabs>
        <w:ind w:left="0" w:firstLine="0"/>
        <w:rPr>
          <w:szCs w:val="20"/>
        </w:rPr>
      </w:pPr>
      <w:r>
        <w:rPr>
          <w:szCs w:val="20"/>
        </w:rPr>
        <w:t>Es</w:t>
      </w:r>
      <w:r w:rsidR="00BF2BA4">
        <w:rPr>
          <w:szCs w:val="20"/>
        </w:rPr>
        <w:t xml:space="preserve"> </w:t>
      </w:r>
      <w:r w:rsidR="00DE52BA">
        <w:rPr>
          <w:szCs w:val="20"/>
        </w:rPr>
        <w:t>importante señalar un</w:t>
      </w:r>
      <w:r w:rsidR="00BF2BA4">
        <w:rPr>
          <w:szCs w:val="20"/>
        </w:rPr>
        <w:t xml:space="preserve"> aspecto</w:t>
      </w:r>
      <w:r w:rsidR="00DE52BA">
        <w:rPr>
          <w:szCs w:val="20"/>
        </w:rPr>
        <w:t xml:space="preserve"> del caso que trata </w:t>
      </w:r>
      <w:r w:rsidR="00EF4336">
        <w:rPr>
          <w:szCs w:val="20"/>
        </w:rPr>
        <w:t>sobre todo</w:t>
      </w:r>
      <w:r w:rsidR="00DE52BA">
        <w:rPr>
          <w:szCs w:val="20"/>
        </w:rPr>
        <w:t xml:space="preserve"> del proceso y las circunstancias en las cuales la Corte tiene que decidir los casos sometidos a su jurisdicción. En este sentido, procederé a analizar: i) las </w:t>
      </w:r>
      <w:r w:rsidR="00287D3E">
        <w:rPr>
          <w:szCs w:val="20"/>
        </w:rPr>
        <w:t>inconsistenci</w:t>
      </w:r>
      <w:r w:rsidR="00DE52BA">
        <w:rPr>
          <w:szCs w:val="20"/>
        </w:rPr>
        <w:t xml:space="preserve">as en la presentación del caso, y </w:t>
      </w:r>
      <w:r w:rsidR="00C12F67">
        <w:rPr>
          <w:szCs w:val="20"/>
        </w:rPr>
        <w:t xml:space="preserve">–relacionado </w:t>
      </w:r>
      <w:r w:rsidR="00F304AA">
        <w:rPr>
          <w:szCs w:val="20"/>
        </w:rPr>
        <w:t>con</w:t>
      </w:r>
      <w:r w:rsidR="00C12F67">
        <w:rPr>
          <w:szCs w:val="20"/>
        </w:rPr>
        <w:t xml:space="preserve"> esto- </w:t>
      </w:r>
      <w:r w:rsidR="00DE52BA">
        <w:rPr>
          <w:szCs w:val="20"/>
        </w:rPr>
        <w:t xml:space="preserve">ii) la importancia de la diligencia </w:t>
      </w:r>
      <w:r w:rsidR="00DE52BA" w:rsidRPr="00DE52BA">
        <w:rPr>
          <w:i/>
          <w:szCs w:val="20"/>
        </w:rPr>
        <w:t>in situ</w:t>
      </w:r>
      <w:r w:rsidR="00DE52BA">
        <w:rPr>
          <w:szCs w:val="20"/>
        </w:rPr>
        <w:t>.</w:t>
      </w:r>
    </w:p>
    <w:p w:rsidR="00BF2788" w:rsidRDefault="00BF2788" w:rsidP="00BF2788">
      <w:pPr>
        <w:pStyle w:val="ListParagraph"/>
        <w:tabs>
          <w:tab w:val="left" w:pos="426"/>
          <w:tab w:val="left" w:pos="709"/>
        </w:tabs>
        <w:ind w:left="0"/>
        <w:rPr>
          <w:szCs w:val="20"/>
        </w:rPr>
      </w:pPr>
    </w:p>
    <w:p w:rsidR="00BF2788" w:rsidRPr="0073269F" w:rsidRDefault="00BF2788" w:rsidP="00BF2788">
      <w:pPr>
        <w:pStyle w:val="ListParagraph"/>
        <w:numPr>
          <w:ilvl w:val="0"/>
          <w:numId w:val="13"/>
        </w:numPr>
        <w:tabs>
          <w:tab w:val="left" w:pos="426"/>
          <w:tab w:val="left" w:pos="709"/>
        </w:tabs>
        <w:rPr>
          <w:i/>
          <w:szCs w:val="20"/>
        </w:rPr>
      </w:pPr>
      <w:r w:rsidRPr="0073269F">
        <w:rPr>
          <w:i/>
          <w:szCs w:val="20"/>
        </w:rPr>
        <w:t xml:space="preserve">Las </w:t>
      </w:r>
      <w:r w:rsidR="00287D3E" w:rsidRPr="00287D3E">
        <w:rPr>
          <w:i/>
          <w:szCs w:val="20"/>
        </w:rPr>
        <w:t>inconsistencias</w:t>
      </w:r>
      <w:r w:rsidRPr="0073269F">
        <w:rPr>
          <w:i/>
          <w:szCs w:val="20"/>
        </w:rPr>
        <w:t xml:space="preserve"> </w:t>
      </w:r>
      <w:r w:rsidR="00D7562A">
        <w:rPr>
          <w:i/>
          <w:szCs w:val="20"/>
        </w:rPr>
        <w:t>en</w:t>
      </w:r>
      <w:r w:rsidR="004A7BE8" w:rsidRPr="0073269F">
        <w:rPr>
          <w:i/>
          <w:szCs w:val="20"/>
        </w:rPr>
        <w:t xml:space="preserve"> </w:t>
      </w:r>
      <w:r w:rsidRPr="0073269F">
        <w:rPr>
          <w:i/>
          <w:szCs w:val="20"/>
        </w:rPr>
        <w:t>l</w:t>
      </w:r>
      <w:r w:rsidR="004A7BE8" w:rsidRPr="0073269F">
        <w:rPr>
          <w:i/>
          <w:szCs w:val="20"/>
        </w:rPr>
        <w:t>a presentación</w:t>
      </w:r>
      <w:r w:rsidRPr="0073269F">
        <w:rPr>
          <w:i/>
          <w:szCs w:val="20"/>
        </w:rPr>
        <w:t xml:space="preserve"> </w:t>
      </w:r>
      <w:r w:rsidR="004A7BE8" w:rsidRPr="0073269F">
        <w:rPr>
          <w:i/>
          <w:szCs w:val="20"/>
        </w:rPr>
        <w:t xml:space="preserve">del </w:t>
      </w:r>
      <w:r w:rsidRPr="0073269F">
        <w:rPr>
          <w:i/>
          <w:szCs w:val="20"/>
        </w:rPr>
        <w:t>caso</w:t>
      </w:r>
    </w:p>
    <w:p w:rsidR="00DE52BA" w:rsidRDefault="00DE52BA" w:rsidP="00DE52BA">
      <w:pPr>
        <w:pStyle w:val="ListParagraph"/>
        <w:tabs>
          <w:tab w:val="left" w:pos="426"/>
          <w:tab w:val="left" w:pos="709"/>
        </w:tabs>
        <w:ind w:left="0"/>
        <w:rPr>
          <w:szCs w:val="20"/>
        </w:rPr>
      </w:pPr>
    </w:p>
    <w:p w:rsidR="00503801" w:rsidRPr="00C75716" w:rsidRDefault="00503801" w:rsidP="00C75716">
      <w:pPr>
        <w:pStyle w:val="ListParagraph"/>
        <w:numPr>
          <w:ilvl w:val="0"/>
          <w:numId w:val="5"/>
        </w:numPr>
        <w:tabs>
          <w:tab w:val="left" w:pos="426"/>
          <w:tab w:val="left" w:pos="709"/>
        </w:tabs>
        <w:ind w:left="0" w:firstLine="0"/>
        <w:rPr>
          <w:szCs w:val="20"/>
        </w:rPr>
      </w:pPr>
      <w:r>
        <w:rPr>
          <w:szCs w:val="20"/>
        </w:rPr>
        <w:t>Las decisiones de la Corte Interamericana</w:t>
      </w:r>
      <w:r w:rsidR="00180610">
        <w:rPr>
          <w:szCs w:val="20"/>
        </w:rPr>
        <w:t>, consideradas de manera amplia,</w:t>
      </w:r>
      <w:r>
        <w:rPr>
          <w:szCs w:val="20"/>
        </w:rPr>
        <w:t xml:space="preserve"> </w:t>
      </w:r>
      <w:r w:rsidR="00180610">
        <w:rPr>
          <w:szCs w:val="20"/>
        </w:rPr>
        <w:t>tienen varios propósitos.</w:t>
      </w:r>
      <w:r>
        <w:rPr>
          <w:szCs w:val="20"/>
        </w:rPr>
        <w:t xml:space="preserve"> </w:t>
      </w:r>
      <w:r w:rsidR="00180610">
        <w:rPr>
          <w:szCs w:val="20"/>
        </w:rPr>
        <w:t>E</w:t>
      </w:r>
      <w:r>
        <w:rPr>
          <w:szCs w:val="20"/>
        </w:rPr>
        <w:t xml:space="preserve">ntre ellos </w:t>
      </w:r>
      <w:r w:rsidR="00180610">
        <w:rPr>
          <w:szCs w:val="20"/>
        </w:rPr>
        <w:t xml:space="preserve">se puede </w:t>
      </w:r>
      <w:r>
        <w:rPr>
          <w:szCs w:val="20"/>
        </w:rPr>
        <w:t xml:space="preserve">destacar </w:t>
      </w:r>
      <w:r w:rsidR="00180610">
        <w:rPr>
          <w:szCs w:val="20"/>
        </w:rPr>
        <w:t xml:space="preserve">de manera indicativa </w:t>
      </w:r>
      <w:r>
        <w:rPr>
          <w:szCs w:val="20"/>
        </w:rPr>
        <w:t xml:space="preserve">los siguientes: i) la </w:t>
      </w:r>
      <w:r w:rsidR="003C0D77">
        <w:rPr>
          <w:szCs w:val="20"/>
        </w:rPr>
        <w:t>declarac</w:t>
      </w:r>
      <w:r>
        <w:rPr>
          <w:szCs w:val="20"/>
        </w:rPr>
        <w:t xml:space="preserve">ión </w:t>
      </w:r>
      <w:r w:rsidR="003C0D77">
        <w:rPr>
          <w:szCs w:val="20"/>
        </w:rPr>
        <w:t xml:space="preserve">y condena de los Estados por </w:t>
      </w:r>
      <w:r>
        <w:rPr>
          <w:szCs w:val="20"/>
        </w:rPr>
        <w:t xml:space="preserve">la existencia de violaciones a los derechos humanos establecidos en la Convención Americana; ii) la construcción de lógicas de comprensión </w:t>
      </w:r>
      <w:r w:rsidR="003C0D77">
        <w:rPr>
          <w:szCs w:val="20"/>
        </w:rPr>
        <w:t xml:space="preserve">de los derechos humanos </w:t>
      </w:r>
      <w:r>
        <w:rPr>
          <w:szCs w:val="20"/>
        </w:rPr>
        <w:t xml:space="preserve">y de actuación </w:t>
      </w:r>
      <w:r w:rsidR="003C0D77" w:rsidRPr="003C0D77">
        <w:rPr>
          <w:szCs w:val="20"/>
          <w:lang w:val="es-ES"/>
        </w:rPr>
        <w:t>(expresadas como garantías de no repetición)</w:t>
      </w:r>
      <w:r w:rsidR="003C0D77" w:rsidRPr="003C0D77">
        <w:rPr>
          <w:szCs w:val="20"/>
        </w:rPr>
        <w:t xml:space="preserve"> </w:t>
      </w:r>
      <w:r>
        <w:rPr>
          <w:szCs w:val="20"/>
        </w:rPr>
        <w:t>para la Corte y para los Estados, así como la creación y el perfeccionamiento de los estándares o líneas jurisprudenciales</w:t>
      </w:r>
      <w:r w:rsidR="00180610">
        <w:rPr>
          <w:szCs w:val="20"/>
        </w:rPr>
        <w:t xml:space="preserve"> que contribuye</w:t>
      </w:r>
      <w:r w:rsidR="00D7562A">
        <w:rPr>
          <w:szCs w:val="20"/>
        </w:rPr>
        <w:t>n</w:t>
      </w:r>
      <w:r w:rsidR="00180610">
        <w:rPr>
          <w:szCs w:val="20"/>
        </w:rPr>
        <w:t xml:space="preserve"> a </w:t>
      </w:r>
      <w:r>
        <w:rPr>
          <w:szCs w:val="20"/>
        </w:rPr>
        <w:t>constru</w:t>
      </w:r>
      <w:r w:rsidR="00180610">
        <w:rPr>
          <w:szCs w:val="20"/>
        </w:rPr>
        <w:t>ir</w:t>
      </w:r>
      <w:r>
        <w:rPr>
          <w:szCs w:val="20"/>
        </w:rPr>
        <w:t xml:space="preserve"> el </w:t>
      </w:r>
      <w:r w:rsidRPr="00180610">
        <w:rPr>
          <w:i/>
          <w:szCs w:val="20"/>
        </w:rPr>
        <w:t>corpus iuris interamericano</w:t>
      </w:r>
      <w:r w:rsidR="003C0D77">
        <w:rPr>
          <w:i/>
          <w:szCs w:val="20"/>
        </w:rPr>
        <w:t xml:space="preserve"> </w:t>
      </w:r>
      <w:r w:rsidR="003C0D77" w:rsidRPr="003C0D77">
        <w:rPr>
          <w:szCs w:val="20"/>
          <w:lang w:val="es-ES"/>
        </w:rPr>
        <w:t>(entendido como unos elementos mínimos o básicos relativos al alcance de l</w:t>
      </w:r>
      <w:r w:rsidR="003C0D77">
        <w:rPr>
          <w:szCs w:val="20"/>
          <w:lang w:val="es-ES"/>
        </w:rPr>
        <w:t>os derechos contenidos en la C</w:t>
      </w:r>
      <w:r w:rsidR="003C0D77" w:rsidRPr="003C0D77">
        <w:rPr>
          <w:szCs w:val="20"/>
          <w:lang w:val="es-ES"/>
        </w:rPr>
        <w:t>onvención)</w:t>
      </w:r>
      <w:r w:rsidRPr="003C0D77">
        <w:rPr>
          <w:szCs w:val="20"/>
        </w:rPr>
        <w:t>;</w:t>
      </w:r>
      <w:r>
        <w:rPr>
          <w:szCs w:val="20"/>
        </w:rPr>
        <w:t xml:space="preserve"> </w:t>
      </w:r>
      <w:r w:rsidR="00180610">
        <w:rPr>
          <w:szCs w:val="20"/>
        </w:rPr>
        <w:t>iii) la procuración de justicia mediante</w:t>
      </w:r>
      <w:r>
        <w:rPr>
          <w:szCs w:val="20"/>
        </w:rPr>
        <w:t xml:space="preserve"> la toma de decisiones que sean </w:t>
      </w:r>
      <w:r w:rsidR="003C0D77">
        <w:rPr>
          <w:szCs w:val="20"/>
        </w:rPr>
        <w:t>equitativ</w:t>
      </w:r>
      <w:r>
        <w:rPr>
          <w:szCs w:val="20"/>
        </w:rPr>
        <w:t xml:space="preserve">as con las </w:t>
      </w:r>
      <w:r w:rsidR="00180610">
        <w:rPr>
          <w:szCs w:val="20"/>
        </w:rPr>
        <w:t>partes en el litigio y, de manera indirecta, con los demás ciudadanos</w:t>
      </w:r>
      <w:r>
        <w:rPr>
          <w:szCs w:val="20"/>
        </w:rPr>
        <w:t xml:space="preserve">, y iv) </w:t>
      </w:r>
      <w:r w:rsidR="00180610">
        <w:rPr>
          <w:szCs w:val="20"/>
        </w:rPr>
        <w:t xml:space="preserve">la </w:t>
      </w:r>
      <w:r>
        <w:rPr>
          <w:szCs w:val="20"/>
        </w:rPr>
        <w:t>resol</w:t>
      </w:r>
      <w:r w:rsidR="00180610">
        <w:rPr>
          <w:szCs w:val="20"/>
        </w:rPr>
        <w:t xml:space="preserve">ución </w:t>
      </w:r>
      <w:r>
        <w:rPr>
          <w:szCs w:val="20"/>
        </w:rPr>
        <w:t xml:space="preserve">y </w:t>
      </w:r>
      <w:r w:rsidR="00A304CE">
        <w:rPr>
          <w:szCs w:val="20"/>
        </w:rPr>
        <w:t xml:space="preserve">la prevención de </w:t>
      </w:r>
      <w:r>
        <w:rPr>
          <w:szCs w:val="20"/>
        </w:rPr>
        <w:t xml:space="preserve">conflictos, o por lo menos </w:t>
      </w:r>
      <w:r w:rsidR="00061C40">
        <w:rPr>
          <w:szCs w:val="20"/>
        </w:rPr>
        <w:t xml:space="preserve">la contribución </w:t>
      </w:r>
      <w:r w:rsidRPr="00C75716">
        <w:rPr>
          <w:szCs w:val="20"/>
        </w:rPr>
        <w:t xml:space="preserve">a </w:t>
      </w:r>
      <w:r w:rsidR="00512A2F" w:rsidRPr="00C75716">
        <w:rPr>
          <w:szCs w:val="20"/>
        </w:rPr>
        <w:t>ello</w:t>
      </w:r>
      <w:r w:rsidR="003C0D77" w:rsidRPr="00C75716">
        <w:rPr>
          <w:szCs w:val="20"/>
          <w:lang w:val="es-ES"/>
        </w:rPr>
        <w:t xml:space="preserve"> (las Sentencias no pueden perpetuar, ni crear nuevos conflictos sociales</w:t>
      </w:r>
      <w:r w:rsidR="003C0D77" w:rsidRPr="00C75716">
        <w:rPr>
          <w:szCs w:val="20"/>
        </w:rPr>
        <w:t>)</w:t>
      </w:r>
      <w:r w:rsidRPr="00C75716">
        <w:rPr>
          <w:szCs w:val="20"/>
        </w:rPr>
        <w:t>.</w:t>
      </w:r>
    </w:p>
    <w:p w:rsidR="00503801" w:rsidRDefault="00503801" w:rsidP="00503801">
      <w:pPr>
        <w:pStyle w:val="ListParagraph"/>
        <w:spacing w:after="160" w:line="256" w:lineRule="auto"/>
        <w:ind w:left="0"/>
        <w:rPr>
          <w:szCs w:val="20"/>
        </w:rPr>
      </w:pPr>
    </w:p>
    <w:p w:rsidR="00503801" w:rsidRDefault="00503801" w:rsidP="00503801">
      <w:pPr>
        <w:pStyle w:val="ListParagraph"/>
        <w:numPr>
          <w:ilvl w:val="0"/>
          <w:numId w:val="5"/>
        </w:numPr>
        <w:tabs>
          <w:tab w:val="left" w:pos="426"/>
          <w:tab w:val="left" w:pos="709"/>
        </w:tabs>
        <w:spacing w:after="160" w:line="256" w:lineRule="auto"/>
        <w:ind w:left="0" w:firstLine="0"/>
        <w:rPr>
          <w:szCs w:val="20"/>
        </w:rPr>
      </w:pPr>
      <w:r w:rsidRPr="004D2537">
        <w:rPr>
          <w:szCs w:val="20"/>
        </w:rPr>
        <w:t>Para conseguir estos propósitos es necesario que la Corte cuente con todos los elementos fácticos in</w:t>
      </w:r>
      <w:r w:rsidR="004D2537" w:rsidRPr="004D2537">
        <w:rPr>
          <w:szCs w:val="20"/>
        </w:rPr>
        <w:t>dispensables para poder emitir S</w:t>
      </w:r>
      <w:r w:rsidRPr="004D2537">
        <w:rPr>
          <w:szCs w:val="20"/>
        </w:rPr>
        <w:t>entencias qu</w:t>
      </w:r>
      <w:r w:rsidR="004D2537" w:rsidRPr="004D2537">
        <w:rPr>
          <w:szCs w:val="20"/>
        </w:rPr>
        <w:t xml:space="preserve">e sean justas y que </w:t>
      </w:r>
      <w:r w:rsidR="004D2537" w:rsidRPr="004D2537">
        <w:rPr>
          <w:szCs w:val="20"/>
        </w:rPr>
        <w:lastRenderedPageBreak/>
        <w:t>resuelvan la</w:t>
      </w:r>
      <w:r w:rsidRPr="004D2537">
        <w:rPr>
          <w:szCs w:val="20"/>
        </w:rPr>
        <w:t>s con</w:t>
      </w:r>
      <w:r w:rsidR="004D2537" w:rsidRPr="004D2537">
        <w:rPr>
          <w:szCs w:val="20"/>
        </w:rPr>
        <w:t xml:space="preserve">troversias </w:t>
      </w:r>
      <w:r w:rsidRPr="004D2537">
        <w:rPr>
          <w:szCs w:val="20"/>
        </w:rPr>
        <w:t>que se le plantean</w:t>
      </w:r>
      <w:r w:rsidR="004D2537">
        <w:rPr>
          <w:szCs w:val="20"/>
        </w:rPr>
        <w:t xml:space="preserve">. Esto significa que la presentación del caso ante la Corte, sobre todo en lo que se refiere a “Hechos </w:t>
      </w:r>
      <w:r w:rsidR="004D2537" w:rsidRPr="00505FFD">
        <w:rPr>
          <w:szCs w:val="20"/>
        </w:rPr>
        <w:t>probados”, tiene</w:t>
      </w:r>
      <w:r w:rsidR="004D2537">
        <w:rPr>
          <w:szCs w:val="20"/>
        </w:rPr>
        <w:t xml:space="preserve"> que incluir la información necesaria para que la Corte </w:t>
      </w:r>
      <w:r w:rsidR="00EF6524">
        <w:rPr>
          <w:szCs w:val="20"/>
        </w:rPr>
        <w:t>pueda cumplir con su función</w:t>
      </w:r>
      <w:r w:rsidR="004D2537">
        <w:rPr>
          <w:szCs w:val="20"/>
        </w:rPr>
        <w:t xml:space="preserve"> a cabalidad. Especialmente, cuando un caso se refiere a reclamaciones sobre tierras que </w:t>
      </w:r>
      <w:r w:rsidR="00EF6524">
        <w:rPr>
          <w:szCs w:val="20"/>
        </w:rPr>
        <w:t>posiblemente están</w:t>
      </w:r>
      <w:r w:rsidR="004D2537">
        <w:rPr>
          <w:szCs w:val="20"/>
        </w:rPr>
        <w:t xml:space="preserve"> habitadas por diferentes grupos de personas</w:t>
      </w:r>
      <w:r w:rsidR="003C0D77">
        <w:rPr>
          <w:szCs w:val="20"/>
        </w:rPr>
        <w:t xml:space="preserve"> </w:t>
      </w:r>
      <w:r w:rsidR="003C0D77" w:rsidRPr="003C0D77">
        <w:rPr>
          <w:szCs w:val="20"/>
        </w:rPr>
        <w:t xml:space="preserve">(grupos </w:t>
      </w:r>
      <w:r w:rsidR="003C0D77">
        <w:rPr>
          <w:szCs w:val="20"/>
        </w:rPr>
        <w:t xml:space="preserve">indígenas o </w:t>
      </w:r>
      <w:r w:rsidR="003C0D77" w:rsidRPr="003C0D77">
        <w:rPr>
          <w:szCs w:val="20"/>
        </w:rPr>
        <w:t>tribales y campesinos o colonos</w:t>
      </w:r>
      <w:r w:rsidR="003C0D77">
        <w:rPr>
          <w:szCs w:val="20"/>
        </w:rPr>
        <w:t>,</w:t>
      </w:r>
      <w:r w:rsidR="003C0D77" w:rsidRPr="003C0D77">
        <w:rPr>
          <w:szCs w:val="20"/>
        </w:rPr>
        <w:t xml:space="preserve"> como en este caso)</w:t>
      </w:r>
      <w:r w:rsidR="00EF6524">
        <w:rPr>
          <w:szCs w:val="20"/>
        </w:rPr>
        <w:t>,</w:t>
      </w:r>
      <w:r w:rsidR="004D2537">
        <w:rPr>
          <w:szCs w:val="20"/>
        </w:rPr>
        <w:t xml:space="preserve"> las circunstancias fácticas</w:t>
      </w:r>
      <w:r w:rsidR="00EF6524">
        <w:rPr>
          <w:szCs w:val="20"/>
        </w:rPr>
        <w:t xml:space="preserve"> </w:t>
      </w:r>
      <w:r w:rsidR="004D2537">
        <w:rPr>
          <w:szCs w:val="20"/>
        </w:rPr>
        <w:t>tendrían que ser verificadas</w:t>
      </w:r>
      <w:r w:rsidR="00EF6524">
        <w:rPr>
          <w:szCs w:val="20"/>
        </w:rPr>
        <w:t>,</w:t>
      </w:r>
      <w:r w:rsidR="004D2537">
        <w:rPr>
          <w:szCs w:val="20"/>
        </w:rPr>
        <w:t xml:space="preserve"> dentro de lo posible</w:t>
      </w:r>
      <w:r w:rsidR="00EF6524">
        <w:rPr>
          <w:szCs w:val="20"/>
        </w:rPr>
        <w:t>,</w:t>
      </w:r>
      <w:r w:rsidR="004D2537">
        <w:rPr>
          <w:szCs w:val="20"/>
        </w:rPr>
        <w:t xml:space="preserve"> previamente a la referida presentación del caso ante la Corte.   </w:t>
      </w:r>
    </w:p>
    <w:p w:rsidR="004D2537" w:rsidRPr="004D2537" w:rsidRDefault="004D2537" w:rsidP="004D2537">
      <w:pPr>
        <w:pStyle w:val="ListParagraph"/>
        <w:tabs>
          <w:tab w:val="left" w:pos="426"/>
          <w:tab w:val="left" w:pos="709"/>
        </w:tabs>
        <w:spacing w:after="160" w:line="256" w:lineRule="auto"/>
        <w:ind w:left="0"/>
        <w:rPr>
          <w:szCs w:val="20"/>
        </w:rPr>
      </w:pPr>
    </w:p>
    <w:p w:rsidR="00503801" w:rsidRDefault="00503801" w:rsidP="00101B7D">
      <w:pPr>
        <w:pStyle w:val="ListParagraph"/>
        <w:numPr>
          <w:ilvl w:val="0"/>
          <w:numId w:val="5"/>
        </w:numPr>
        <w:tabs>
          <w:tab w:val="left" w:pos="426"/>
          <w:tab w:val="left" w:pos="709"/>
        </w:tabs>
        <w:ind w:left="0" w:firstLine="0"/>
        <w:rPr>
          <w:szCs w:val="20"/>
        </w:rPr>
      </w:pPr>
      <w:r>
        <w:rPr>
          <w:szCs w:val="20"/>
        </w:rPr>
        <w:t xml:space="preserve">En </w:t>
      </w:r>
      <w:r w:rsidR="00EF6524">
        <w:rPr>
          <w:szCs w:val="20"/>
        </w:rPr>
        <w:t>este</w:t>
      </w:r>
      <w:r>
        <w:rPr>
          <w:szCs w:val="20"/>
        </w:rPr>
        <w:t xml:space="preserve"> caso, </w:t>
      </w:r>
      <w:r w:rsidR="00EF6524">
        <w:rPr>
          <w:szCs w:val="20"/>
        </w:rPr>
        <w:t>d</w:t>
      </w:r>
      <w:r>
        <w:rPr>
          <w:szCs w:val="20"/>
        </w:rPr>
        <w:t xml:space="preserve">el planteamiento de los hechos en el marco fáctico del Informe de Fondo de la Comisión Interamericana </w:t>
      </w:r>
      <w:r w:rsidR="00F7391E">
        <w:rPr>
          <w:szCs w:val="20"/>
        </w:rPr>
        <w:t xml:space="preserve">no quedó claro </w:t>
      </w:r>
      <w:r>
        <w:rPr>
          <w:szCs w:val="20"/>
        </w:rPr>
        <w:t xml:space="preserve">la </w:t>
      </w:r>
      <w:r w:rsidR="00F7391E">
        <w:rPr>
          <w:szCs w:val="20"/>
        </w:rPr>
        <w:t xml:space="preserve">situación </w:t>
      </w:r>
      <w:r w:rsidR="00772C20">
        <w:rPr>
          <w:szCs w:val="20"/>
        </w:rPr>
        <w:t>real</w:t>
      </w:r>
      <w:r w:rsidR="00F7391E">
        <w:rPr>
          <w:szCs w:val="20"/>
        </w:rPr>
        <w:t xml:space="preserve"> del territorio reclamado por la Comunidad Garífuna Triunfo de la Cruz, sobr</w:t>
      </w:r>
      <w:r w:rsidR="00236891">
        <w:rPr>
          <w:szCs w:val="20"/>
        </w:rPr>
        <w:t>e todo en lo que se refiere a los</w:t>
      </w:r>
      <w:r w:rsidR="00F7391E">
        <w:rPr>
          <w:szCs w:val="20"/>
        </w:rPr>
        <w:t xml:space="preserve"> </w:t>
      </w:r>
      <w:r>
        <w:rPr>
          <w:szCs w:val="20"/>
        </w:rPr>
        <w:t>terceros habitantes de las tierras en disputa</w:t>
      </w:r>
      <w:r w:rsidR="00236891">
        <w:rPr>
          <w:szCs w:val="20"/>
        </w:rPr>
        <w:t xml:space="preserve"> y </w:t>
      </w:r>
      <w:r w:rsidR="00236891">
        <w:rPr>
          <w:lang w:val="es-ES"/>
        </w:rPr>
        <w:t xml:space="preserve">la dimensión de esta situación, </w:t>
      </w:r>
      <w:r w:rsidR="00BC5C25">
        <w:rPr>
          <w:lang w:val="es-ES"/>
        </w:rPr>
        <w:t>la cantidad</w:t>
      </w:r>
      <w:r w:rsidR="00236891">
        <w:rPr>
          <w:lang w:val="es-ES"/>
        </w:rPr>
        <w:t xml:space="preserve"> de dichos teceros</w:t>
      </w:r>
      <w:r w:rsidR="00BC5C25">
        <w:rPr>
          <w:lang w:val="es-ES"/>
        </w:rPr>
        <w:t xml:space="preserve"> habitantes</w:t>
      </w:r>
      <w:r w:rsidR="00236891">
        <w:rPr>
          <w:lang w:val="es-ES"/>
        </w:rPr>
        <w:t>, la extensión de las tierras que ocupaban y las circunstancias que alegaban como fundamento para su presencia</w:t>
      </w:r>
      <w:r>
        <w:rPr>
          <w:szCs w:val="20"/>
        </w:rPr>
        <w:t xml:space="preserve">. </w:t>
      </w:r>
      <w:r w:rsidR="00F7391E">
        <w:rPr>
          <w:szCs w:val="20"/>
        </w:rPr>
        <w:t>Dicha situación tampoco fue aclarada en los demás escritos e intervenciones</w:t>
      </w:r>
      <w:r w:rsidR="00BC5C25">
        <w:rPr>
          <w:szCs w:val="20"/>
        </w:rPr>
        <w:t xml:space="preserve"> de la Comisión</w:t>
      </w:r>
      <w:r>
        <w:rPr>
          <w:szCs w:val="20"/>
        </w:rPr>
        <w:t>.</w:t>
      </w:r>
      <w:r w:rsidR="00F7391E">
        <w:rPr>
          <w:szCs w:val="20"/>
        </w:rPr>
        <w:t xml:space="preserve"> Esto signifi</w:t>
      </w:r>
      <w:r w:rsidR="00EF6524">
        <w:rPr>
          <w:szCs w:val="20"/>
        </w:rPr>
        <w:t>caba que, en la ausencia de otros medio</w:t>
      </w:r>
      <w:r w:rsidR="00F7391E">
        <w:rPr>
          <w:szCs w:val="20"/>
        </w:rPr>
        <w:t xml:space="preserve">s de prueba en el expediente del caso, la Corte </w:t>
      </w:r>
      <w:r w:rsidR="00601140">
        <w:rPr>
          <w:szCs w:val="20"/>
        </w:rPr>
        <w:t xml:space="preserve">inicialmente </w:t>
      </w:r>
      <w:r w:rsidR="00F7391E">
        <w:rPr>
          <w:szCs w:val="20"/>
        </w:rPr>
        <w:t xml:space="preserve">no </w:t>
      </w:r>
      <w:r w:rsidR="00601140">
        <w:rPr>
          <w:szCs w:val="20"/>
        </w:rPr>
        <w:t>tenía</w:t>
      </w:r>
      <w:r w:rsidR="00F7391E">
        <w:rPr>
          <w:szCs w:val="20"/>
        </w:rPr>
        <w:t xml:space="preserve"> suficiente claridad sobre la situación fáctica en la cual alegadamente se produjeron las violaciones de derechos humanos objeto de la controversia. </w:t>
      </w:r>
      <w:r>
        <w:rPr>
          <w:szCs w:val="20"/>
        </w:rPr>
        <w:t xml:space="preserve"> </w:t>
      </w:r>
    </w:p>
    <w:p w:rsidR="00503801" w:rsidRDefault="00503801" w:rsidP="00503801">
      <w:pPr>
        <w:pStyle w:val="ListParagraph"/>
        <w:rPr>
          <w:szCs w:val="20"/>
        </w:rPr>
      </w:pPr>
    </w:p>
    <w:p w:rsidR="00503801" w:rsidRPr="00EF52CD" w:rsidRDefault="00EF52CD" w:rsidP="00EF52CD">
      <w:pPr>
        <w:pStyle w:val="ListParagraph"/>
        <w:numPr>
          <w:ilvl w:val="0"/>
          <w:numId w:val="5"/>
        </w:numPr>
        <w:tabs>
          <w:tab w:val="left" w:pos="426"/>
          <w:tab w:val="left" w:pos="709"/>
        </w:tabs>
        <w:ind w:left="0" w:firstLine="0"/>
        <w:rPr>
          <w:szCs w:val="20"/>
        </w:rPr>
      </w:pPr>
      <w:r>
        <w:rPr>
          <w:szCs w:val="20"/>
        </w:rPr>
        <w:t>Las referencias en el Informe de Fondo</w:t>
      </w:r>
      <w:r w:rsidR="00602268">
        <w:rPr>
          <w:szCs w:val="20"/>
        </w:rPr>
        <w:t xml:space="preserve">, </w:t>
      </w:r>
      <w:r>
        <w:rPr>
          <w:szCs w:val="20"/>
        </w:rPr>
        <w:t xml:space="preserve">especialmente respecto de la presencia de terceros en </w:t>
      </w:r>
      <w:r w:rsidR="00602268">
        <w:rPr>
          <w:szCs w:val="20"/>
        </w:rPr>
        <w:t>el territorio reclamado por la Comunidad</w:t>
      </w:r>
      <w:r>
        <w:rPr>
          <w:szCs w:val="20"/>
        </w:rPr>
        <w:t>, estaban relacionadas en su mayoría a ciertas ventas de tierras a dichos terceros. Por ejemplo, l</w:t>
      </w:r>
      <w:r w:rsidR="00503801" w:rsidRPr="00EF52CD">
        <w:rPr>
          <w:szCs w:val="20"/>
        </w:rPr>
        <w:t xml:space="preserve">a Comisión señaló </w:t>
      </w:r>
      <w:r>
        <w:rPr>
          <w:szCs w:val="20"/>
        </w:rPr>
        <w:t xml:space="preserve">en términos generales </w:t>
      </w:r>
      <w:r w:rsidR="00503801" w:rsidRPr="00EF52CD">
        <w:rPr>
          <w:szCs w:val="20"/>
        </w:rPr>
        <w:t>que se había realizado un “</w:t>
      </w:r>
      <w:r w:rsidR="00503801" w:rsidRPr="00EF52CD">
        <w:t xml:space="preserve">despojo paulatino de las tierras ancestrales, </w:t>
      </w:r>
      <w:r w:rsidR="00503801" w:rsidRPr="00EF52CD">
        <w:rPr>
          <w:szCs w:val="20"/>
        </w:rPr>
        <w:t>realizada</w:t>
      </w:r>
      <w:r w:rsidR="00503801" w:rsidRPr="00EF52CD">
        <w:t xml:space="preserve"> por parte de las mismas autoridades estatales y, con su aquiescencia, por particulares”</w:t>
      </w:r>
      <w:r w:rsidR="00503801" w:rsidRPr="00EF52CD">
        <w:rPr>
          <w:rStyle w:val="FootnoteReference"/>
        </w:rPr>
        <w:footnoteReference w:id="1"/>
      </w:r>
      <w:r w:rsidR="00BC5C25">
        <w:t>,</w:t>
      </w:r>
      <w:r>
        <w:t xml:space="preserve"> e indicó de manera más específica que </w:t>
      </w:r>
      <w:r w:rsidR="00503801" w:rsidRPr="00EF52CD">
        <w:t>“la situación se agravó notoriamente frente al otorgamiento por parte de autoridades públicas a grupos empresariales de turismo</w:t>
      </w:r>
      <w:r w:rsidR="00503801">
        <w:t xml:space="preserve"> y a particulares de títulos de propiedad sobre áreas poseídas por la Comunidad”</w:t>
      </w:r>
      <w:r w:rsidR="00503801">
        <w:rPr>
          <w:rStyle w:val="FootnoteReference"/>
        </w:rPr>
        <w:footnoteReference w:id="2"/>
      </w:r>
      <w:r w:rsidR="00503801">
        <w:t>. A</w:t>
      </w:r>
      <w:r>
        <w:t>dicionalmente</w:t>
      </w:r>
      <w:r w:rsidR="00503801">
        <w:t>, la Comisión manifestó que “en virtud de la ampliación de su casco urbano […] la Municipalidad transfirió a particulares diferentes predios pertenecientes al territorio ancestral de la Comunidad Garífuna”</w:t>
      </w:r>
      <w:r w:rsidR="00503801">
        <w:rPr>
          <w:rStyle w:val="FootnoteReference"/>
        </w:rPr>
        <w:footnoteReference w:id="3"/>
      </w:r>
      <w:r>
        <w:t xml:space="preserve"> y que </w:t>
      </w:r>
      <w:r w:rsidR="00503801">
        <w:t>“uno de los mayores problemas que enfrenta la Comunidad actualmente es la presencia de múltiples personas ladinas o no garífunas dentro de su territorio ancestral, incluso en aquellas áreas otorgadas en dominio pleno”</w:t>
      </w:r>
      <w:r w:rsidR="00503801">
        <w:rPr>
          <w:rStyle w:val="FootnoteReference"/>
        </w:rPr>
        <w:footnoteReference w:id="4"/>
      </w:r>
      <w:r w:rsidR="00503801">
        <w:t>.</w:t>
      </w:r>
    </w:p>
    <w:p w:rsidR="00503801" w:rsidRDefault="00503801" w:rsidP="00503801">
      <w:pPr>
        <w:pStyle w:val="ListParagraph"/>
        <w:spacing w:after="160" w:line="256" w:lineRule="auto"/>
        <w:ind w:left="0"/>
        <w:rPr>
          <w:szCs w:val="20"/>
        </w:rPr>
      </w:pPr>
    </w:p>
    <w:p w:rsidR="00503801" w:rsidRDefault="00EF52CD" w:rsidP="00101B7D">
      <w:pPr>
        <w:pStyle w:val="ListParagraph"/>
        <w:numPr>
          <w:ilvl w:val="0"/>
          <w:numId w:val="5"/>
        </w:numPr>
        <w:tabs>
          <w:tab w:val="left" w:pos="426"/>
          <w:tab w:val="left" w:pos="709"/>
        </w:tabs>
        <w:ind w:left="0" w:firstLine="0"/>
        <w:rPr>
          <w:szCs w:val="20"/>
        </w:rPr>
      </w:pPr>
      <w:r>
        <w:rPr>
          <w:szCs w:val="20"/>
        </w:rPr>
        <w:t>A pesar de dichas referencias, n</w:t>
      </w:r>
      <w:r w:rsidR="00503801">
        <w:rPr>
          <w:szCs w:val="20"/>
        </w:rPr>
        <w:t>o resultaba claro</w:t>
      </w:r>
      <w:r>
        <w:rPr>
          <w:szCs w:val="20"/>
        </w:rPr>
        <w:t xml:space="preserve"> </w:t>
      </w:r>
      <w:r w:rsidR="009B7666">
        <w:rPr>
          <w:szCs w:val="20"/>
        </w:rPr>
        <w:t>cual era la situación actual respecto de las diferentes áreas ni dónde precisamente estaban asentados los terceros y los miembros de la Comunidad, respectivamente. D</w:t>
      </w:r>
      <w:r w:rsidR="00503801">
        <w:rPr>
          <w:szCs w:val="20"/>
        </w:rPr>
        <w:t xml:space="preserve">e la información proporcionada </w:t>
      </w:r>
      <w:r w:rsidR="009B7666">
        <w:rPr>
          <w:szCs w:val="20"/>
        </w:rPr>
        <w:t>tampoco se podía apreciar de manera adecuada</w:t>
      </w:r>
      <w:r w:rsidR="00503801">
        <w:rPr>
          <w:szCs w:val="20"/>
        </w:rPr>
        <w:t xml:space="preserve"> </w:t>
      </w:r>
      <w:r w:rsidR="009B7666">
        <w:rPr>
          <w:szCs w:val="20"/>
        </w:rPr>
        <w:t xml:space="preserve">quienes eran </w:t>
      </w:r>
      <w:r w:rsidR="00503801">
        <w:rPr>
          <w:szCs w:val="20"/>
        </w:rPr>
        <w:t xml:space="preserve">los diferentes propietarios y ocupantes de las tierras </w:t>
      </w:r>
      <w:r w:rsidR="009B7666">
        <w:rPr>
          <w:szCs w:val="20"/>
        </w:rPr>
        <w:t xml:space="preserve">reclamadas por la </w:t>
      </w:r>
      <w:r w:rsidR="00503801">
        <w:rPr>
          <w:szCs w:val="20"/>
        </w:rPr>
        <w:t>Comunidad</w:t>
      </w:r>
      <w:r w:rsidR="009B7666">
        <w:rPr>
          <w:szCs w:val="20"/>
        </w:rPr>
        <w:t xml:space="preserve"> </w:t>
      </w:r>
      <w:r w:rsidR="00602268">
        <w:rPr>
          <w:szCs w:val="20"/>
        </w:rPr>
        <w:t>ni</w:t>
      </w:r>
      <w:r w:rsidR="009B7666">
        <w:rPr>
          <w:szCs w:val="20"/>
        </w:rPr>
        <w:t xml:space="preserve"> </w:t>
      </w:r>
      <w:r w:rsidR="00503801">
        <w:rPr>
          <w:szCs w:val="20"/>
        </w:rPr>
        <w:t xml:space="preserve">sus distintas realidades referentes al uso y ocupación de las </w:t>
      </w:r>
      <w:r w:rsidR="009B7666">
        <w:rPr>
          <w:szCs w:val="20"/>
        </w:rPr>
        <w:t>mism</w:t>
      </w:r>
      <w:r w:rsidR="00503801">
        <w:rPr>
          <w:szCs w:val="20"/>
        </w:rPr>
        <w:t xml:space="preserve">as. </w:t>
      </w:r>
    </w:p>
    <w:p w:rsidR="00503801" w:rsidRDefault="00503801" w:rsidP="00503801">
      <w:pPr>
        <w:pStyle w:val="ListParagraph"/>
        <w:spacing w:after="160" w:line="256" w:lineRule="auto"/>
        <w:ind w:left="0"/>
        <w:rPr>
          <w:szCs w:val="20"/>
        </w:rPr>
      </w:pPr>
    </w:p>
    <w:p w:rsidR="00503801" w:rsidRPr="007C7FD2" w:rsidRDefault="00503801" w:rsidP="007C7FD2">
      <w:pPr>
        <w:pStyle w:val="ListParagraph"/>
        <w:numPr>
          <w:ilvl w:val="0"/>
          <w:numId w:val="5"/>
        </w:numPr>
        <w:tabs>
          <w:tab w:val="left" w:pos="426"/>
          <w:tab w:val="left" w:pos="709"/>
        </w:tabs>
        <w:ind w:left="0" w:firstLine="0"/>
        <w:rPr>
          <w:szCs w:val="20"/>
        </w:rPr>
      </w:pPr>
      <w:r>
        <w:rPr>
          <w:szCs w:val="20"/>
        </w:rPr>
        <w:t xml:space="preserve">Al respecto, debe ponderarse que </w:t>
      </w:r>
      <w:r w:rsidR="009B7666">
        <w:rPr>
          <w:szCs w:val="20"/>
        </w:rPr>
        <w:t xml:space="preserve">si </w:t>
      </w:r>
      <w:r>
        <w:rPr>
          <w:szCs w:val="20"/>
        </w:rPr>
        <w:t xml:space="preserve">el Tribunal no </w:t>
      </w:r>
      <w:r w:rsidR="009B7666">
        <w:rPr>
          <w:szCs w:val="20"/>
        </w:rPr>
        <w:t xml:space="preserve">tiene suficiente información respecto de la situación </w:t>
      </w:r>
      <w:r w:rsidR="00560C13">
        <w:rPr>
          <w:szCs w:val="20"/>
        </w:rPr>
        <w:t xml:space="preserve">en que viven </w:t>
      </w:r>
      <w:r w:rsidR="009B7666">
        <w:rPr>
          <w:szCs w:val="20"/>
        </w:rPr>
        <w:t>las</w:t>
      </w:r>
      <w:r>
        <w:rPr>
          <w:szCs w:val="20"/>
        </w:rPr>
        <w:t xml:space="preserve"> personas involucradas en los </w:t>
      </w:r>
      <w:r w:rsidR="0048075B">
        <w:rPr>
          <w:szCs w:val="20"/>
        </w:rPr>
        <w:t>acontecimientos</w:t>
      </w:r>
      <w:r>
        <w:rPr>
          <w:szCs w:val="20"/>
        </w:rPr>
        <w:t xml:space="preserve"> del caso, </w:t>
      </w:r>
      <w:r w:rsidR="009B7666">
        <w:rPr>
          <w:szCs w:val="20"/>
        </w:rPr>
        <w:t xml:space="preserve">difícilmente puede dictar una Sentencia que tome en cuenta todas las circunstancias que son relevantes para la resolución de la controversia planteada. </w:t>
      </w:r>
      <w:r w:rsidR="00560C13">
        <w:rPr>
          <w:szCs w:val="20"/>
        </w:rPr>
        <w:t>A</w:t>
      </w:r>
      <w:r w:rsidR="0048075B">
        <w:rPr>
          <w:szCs w:val="20"/>
        </w:rPr>
        <w:t>demás</w:t>
      </w:r>
      <w:r w:rsidR="00560C13">
        <w:rPr>
          <w:szCs w:val="20"/>
        </w:rPr>
        <w:t xml:space="preserve">, </w:t>
      </w:r>
      <w:r w:rsidR="004A7BE8">
        <w:rPr>
          <w:szCs w:val="20"/>
        </w:rPr>
        <w:t>es necesario evitar</w:t>
      </w:r>
      <w:r w:rsidR="00560C13">
        <w:rPr>
          <w:szCs w:val="20"/>
        </w:rPr>
        <w:t>,</w:t>
      </w:r>
      <w:r w:rsidR="004A7BE8">
        <w:rPr>
          <w:szCs w:val="20"/>
        </w:rPr>
        <w:t xml:space="preserve"> dentro de lo posible, que </w:t>
      </w:r>
      <w:r w:rsidR="00560C13">
        <w:rPr>
          <w:szCs w:val="20"/>
        </w:rPr>
        <w:t xml:space="preserve">las </w:t>
      </w:r>
      <w:r w:rsidR="007C7FD2">
        <w:rPr>
          <w:szCs w:val="20"/>
        </w:rPr>
        <w:t xml:space="preserve">decisiones </w:t>
      </w:r>
      <w:r w:rsidR="004A7BE8">
        <w:rPr>
          <w:szCs w:val="20"/>
        </w:rPr>
        <w:t xml:space="preserve">judiciales </w:t>
      </w:r>
      <w:r w:rsidR="007C7FD2">
        <w:rPr>
          <w:szCs w:val="20"/>
        </w:rPr>
        <w:t xml:space="preserve">sean </w:t>
      </w:r>
      <w:r w:rsidR="007C7FD2">
        <w:rPr>
          <w:szCs w:val="20"/>
        </w:rPr>
        <w:lastRenderedPageBreak/>
        <w:t xml:space="preserve">germen para una confrontación social o para incentivar situaciones de conflicto. </w:t>
      </w:r>
      <w:r w:rsidR="00560C13">
        <w:rPr>
          <w:szCs w:val="20"/>
        </w:rPr>
        <w:t xml:space="preserve">Como se ha notado anteriormente, </w:t>
      </w:r>
      <w:r w:rsidR="007C7FD2">
        <w:rPr>
          <w:szCs w:val="20"/>
        </w:rPr>
        <w:t xml:space="preserve">las </w:t>
      </w:r>
      <w:r w:rsidR="00560C13">
        <w:rPr>
          <w:szCs w:val="20"/>
        </w:rPr>
        <w:t>S</w:t>
      </w:r>
      <w:r w:rsidR="007C7FD2">
        <w:rPr>
          <w:szCs w:val="20"/>
        </w:rPr>
        <w:t xml:space="preserve">entencias de la Corte Interamericana </w:t>
      </w:r>
      <w:r w:rsidR="004A7BE8">
        <w:rPr>
          <w:szCs w:val="20"/>
        </w:rPr>
        <w:t>tratan de hacer justicia en el caso sometido a su jurisdicción</w:t>
      </w:r>
      <w:r w:rsidR="00DD2E38">
        <w:rPr>
          <w:szCs w:val="20"/>
        </w:rPr>
        <w:t xml:space="preserve">, evitando que se generan </w:t>
      </w:r>
      <w:r w:rsidR="007C7FD2">
        <w:rPr>
          <w:szCs w:val="20"/>
        </w:rPr>
        <w:t>daños a terceros</w:t>
      </w:r>
      <w:r w:rsidR="004A7BE8">
        <w:rPr>
          <w:szCs w:val="20"/>
        </w:rPr>
        <w:t xml:space="preserve"> </w:t>
      </w:r>
      <w:r w:rsidR="00560C13">
        <w:rPr>
          <w:szCs w:val="20"/>
        </w:rPr>
        <w:t xml:space="preserve">que </w:t>
      </w:r>
      <w:r w:rsidR="004A7BE8">
        <w:rPr>
          <w:szCs w:val="20"/>
        </w:rPr>
        <w:t xml:space="preserve">no </w:t>
      </w:r>
      <w:r w:rsidR="00DD2E38">
        <w:rPr>
          <w:szCs w:val="20"/>
        </w:rPr>
        <w:t xml:space="preserve">participan en </w:t>
      </w:r>
      <w:r w:rsidR="004A7BE8">
        <w:rPr>
          <w:szCs w:val="20"/>
        </w:rPr>
        <w:t>el litigio</w:t>
      </w:r>
      <w:r w:rsidR="00560C13">
        <w:rPr>
          <w:szCs w:val="20"/>
        </w:rPr>
        <w:t xml:space="preserve"> del caso</w:t>
      </w:r>
      <w:r w:rsidR="007C7FD2">
        <w:rPr>
          <w:szCs w:val="20"/>
        </w:rPr>
        <w:t>.</w:t>
      </w:r>
    </w:p>
    <w:p w:rsidR="00503801" w:rsidRDefault="00503801" w:rsidP="00503801">
      <w:pPr>
        <w:pStyle w:val="ListParagraph"/>
        <w:rPr>
          <w:szCs w:val="20"/>
        </w:rPr>
      </w:pPr>
    </w:p>
    <w:p w:rsidR="00503801" w:rsidRDefault="004A7BE8" w:rsidP="00101B7D">
      <w:pPr>
        <w:pStyle w:val="ListParagraph"/>
        <w:numPr>
          <w:ilvl w:val="0"/>
          <w:numId w:val="5"/>
        </w:numPr>
        <w:tabs>
          <w:tab w:val="left" w:pos="426"/>
          <w:tab w:val="left" w:pos="709"/>
        </w:tabs>
        <w:ind w:left="0" w:firstLine="0"/>
        <w:rPr>
          <w:szCs w:val="20"/>
        </w:rPr>
      </w:pPr>
      <w:r>
        <w:rPr>
          <w:szCs w:val="20"/>
        </w:rPr>
        <w:t xml:space="preserve">Dicho lo anterior, </w:t>
      </w:r>
      <w:r w:rsidR="00560C13">
        <w:rPr>
          <w:szCs w:val="20"/>
        </w:rPr>
        <w:t xml:space="preserve">la Corte </w:t>
      </w:r>
      <w:r w:rsidR="00CC1FE8">
        <w:rPr>
          <w:szCs w:val="20"/>
        </w:rPr>
        <w:t xml:space="preserve">recuerda que </w:t>
      </w:r>
      <w:r w:rsidR="00560C13">
        <w:rPr>
          <w:szCs w:val="20"/>
        </w:rPr>
        <w:t>es un Tribunal internacional y su función no es decidir sobre los conflictos internos relativos a la propiedad de las tierras que forman parte del territorio nacional de los Estados. En este sentido, el Tribunal ha establecido en su jurisprudencia que</w:t>
      </w:r>
      <w:r w:rsidR="00503801">
        <w:rPr>
          <w:szCs w:val="20"/>
        </w:rPr>
        <w:t xml:space="preserve"> no puede decidir que el derecho a la propiedad tradicional de los miembros de las Comunidades indígenas</w:t>
      </w:r>
      <w:r w:rsidR="002F0154">
        <w:rPr>
          <w:szCs w:val="20"/>
        </w:rPr>
        <w:t xml:space="preserve"> o tribales</w:t>
      </w:r>
      <w:r w:rsidR="00503801">
        <w:rPr>
          <w:szCs w:val="20"/>
        </w:rPr>
        <w:t xml:space="preserve"> está</w:t>
      </w:r>
      <w:r>
        <w:rPr>
          <w:szCs w:val="20"/>
        </w:rPr>
        <w:t>n</w:t>
      </w:r>
      <w:r w:rsidR="00503801">
        <w:rPr>
          <w:szCs w:val="20"/>
        </w:rPr>
        <w:t xml:space="preserve"> por sobre el derecho a la propiedad privada de los </w:t>
      </w:r>
      <w:r>
        <w:rPr>
          <w:szCs w:val="20"/>
        </w:rPr>
        <w:t>otros</w:t>
      </w:r>
      <w:r w:rsidR="00503801">
        <w:rPr>
          <w:szCs w:val="20"/>
        </w:rPr>
        <w:t xml:space="preserve"> dueños o viceversa, por cuanto la Corte no es un tribunal de derecho interno que dirime las controversias entre particulares, ya que esa es una tarea </w:t>
      </w:r>
      <w:r w:rsidR="00560C13">
        <w:rPr>
          <w:szCs w:val="20"/>
        </w:rPr>
        <w:t xml:space="preserve">que </w:t>
      </w:r>
      <w:r w:rsidR="00503801">
        <w:rPr>
          <w:szCs w:val="20"/>
        </w:rPr>
        <w:t>corresponde exclusivamente al Estado</w:t>
      </w:r>
      <w:r w:rsidR="00503801">
        <w:rPr>
          <w:rStyle w:val="FootnoteReference"/>
        </w:rPr>
        <w:footnoteReference w:id="5"/>
      </w:r>
      <w:r w:rsidR="00503801">
        <w:rPr>
          <w:szCs w:val="20"/>
        </w:rPr>
        <w:t xml:space="preserve">. </w:t>
      </w:r>
    </w:p>
    <w:p w:rsidR="00503801" w:rsidRDefault="00503801" w:rsidP="00503801">
      <w:pPr>
        <w:pStyle w:val="ListParagraph"/>
        <w:rPr>
          <w:szCs w:val="20"/>
        </w:rPr>
      </w:pPr>
    </w:p>
    <w:p w:rsidR="004D2537" w:rsidRPr="00536AD7" w:rsidRDefault="00096DD4" w:rsidP="00510E65">
      <w:pPr>
        <w:pStyle w:val="ListParagraph"/>
        <w:numPr>
          <w:ilvl w:val="0"/>
          <w:numId w:val="5"/>
        </w:numPr>
        <w:tabs>
          <w:tab w:val="left" w:pos="426"/>
          <w:tab w:val="left" w:pos="709"/>
        </w:tabs>
        <w:ind w:left="0" w:firstLine="0"/>
        <w:rPr>
          <w:szCs w:val="20"/>
        </w:rPr>
      </w:pPr>
      <w:r>
        <w:rPr>
          <w:szCs w:val="20"/>
        </w:rPr>
        <w:t>A</w:t>
      </w:r>
      <w:r w:rsidR="00787CD2">
        <w:rPr>
          <w:szCs w:val="20"/>
        </w:rPr>
        <w:t xml:space="preserve">unque los </w:t>
      </w:r>
      <w:r w:rsidR="004A7BE8">
        <w:rPr>
          <w:szCs w:val="20"/>
        </w:rPr>
        <w:t>objetivo</w:t>
      </w:r>
      <w:r w:rsidR="00787CD2">
        <w:rPr>
          <w:szCs w:val="20"/>
        </w:rPr>
        <w:t>s principales</w:t>
      </w:r>
      <w:r w:rsidR="004A7BE8">
        <w:rPr>
          <w:szCs w:val="20"/>
        </w:rPr>
        <w:t xml:space="preserve"> de </w:t>
      </w:r>
      <w:r w:rsidR="00503801">
        <w:rPr>
          <w:szCs w:val="20"/>
        </w:rPr>
        <w:t xml:space="preserve">las </w:t>
      </w:r>
      <w:r w:rsidR="00787CD2">
        <w:rPr>
          <w:szCs w:val="20"/>
        </w:rPr>
        <w:t>S</w:t>
      </w:r>
      <w:r w:rsidR="00503801">
        <w:rPr>
          <w:szCs w:val="20"/>
        </w:rPr>
        <w:t xml:space="preserve">entencias </w:t>
      </w:r>
      <w:r w:rsidR="004A7BE8">
        <w:rPr>
          <w:szCs w:val="20"/>
        </w:rPr>
        <w:t xml:space="preserve">que dicta </w:t>
      </w:r>
      <w:r w:rsidR="00787CD2">
        <w:rPr>
          <w:szCs w:val="20"/>
        </w:rPr>
        <w:t>la Corte son</w:t>
      </w:r>
      <w:r w:rsidR="004A7BE8">
        <w:rPr>
          <w:szCs w:val="20"/>
        </w:rPr>
        <w:t xml:space="preserve"> </w:t>
      </w:r>
      <w:r w:rsidR="00787CD2">
        <w:rPr>
          <w:szCs w:val="20"/>
        </w:rPr>
        <w:t>la evaluación respecto de si se han violado o</w:t>
      </w:r>
      <w:r w:rsidR="00511D62">
        <w:rPr>
          <w:szCs w:val="20"/>
        </w:rPr>
        <w:t xml:space="preserve"> no los derechos humanos establ</w:t>
      </w:r>
      <w:r w:rsidR="00787CD2">
        <w:rPr>
          <w:szCs w:val="20"/>
        </w:rPr>
        <w:t>e</w:t>
      </w:r>
      <w:r w:rsidR="00511D62">
        <w:rPr>
          <w:szCs w:val="20"/>
        </w:rPr>
        <w:t>c</w:t>
      </w:r>
      <w:r w:rsidR="00787CD2">
        <w:rPr>
          <w:szCs w:val="20"/>
        </w:rPr>
        <w:t xml:space="preserve">idos en la Convención Americana y </w:t>
      </w:r>
      <w:r w:rsidR="00503801">
        <w:rPr>
          <w:szCs w:val="20"/>
        </w:rPr>
        <w:t xml:space="preserve">la </w:t>
      </w:r>
      <w:r w:rsidR="004A7BE8">
        <w:rPr>
          <w:szCs w:val="20"/>
        </w:rPr>
        <w:t>resolución de</w:t>
      </w:r>
      <w:r w:rsidR="00503801">
        <w:rPr>
          <w:szCs w:val="20"/>
        </w:rPr>
        <w:t xml:space="preserve"> l</w:t>
      </w:r>
      <w:r w:rsidR="004A7BE8">
        <w:rPr>
          <w:szCs w:val="20"/>
        </w:rPr>
        <w:t xml:space="preserve">as controversias </w:t>
      </w:r>
      <w:r w:rsidR="00787CD2">
        <w:rPr>
          <w:szCs w:val="20"/>
        </w:rPr>
        <w:t>planteadas</w:t>
      </w:r>
      <w:r w:rsidR="00FE65FE">
        <w:rPr>
          <w:szCs w:val="20"/>
        </w:rPr>
        <w:t xml:space="preserve">, </w:t>
      </w:r>
      <w:r w:rsidR="00936E8D">
        <w:rPr>
          <w:lang w:val="es-ES"/>
        </w:rPr>
        <w:t>un propósito adicional o complementario</w:t>
      </w:r>
      <w:r w:rsidR="00936E8D">
        <w:rPr>
          <w:szCs w:val="20"/>
        </w:rPr>
        <w:t xml:space="preserve"> </w:t>
      </w:r>
      <w:r w:rsidR="00FE65FE">
        <w:rPr>
          <w:szCs w:val="20"/>
        </w:rPr>
        <w:t xml:space="preserve">es </w:t>
      </w:r>
      <w:r w:rsidR="00936E8D">
        <w:rPr>
          <w:szCs w:val="20"/>
        </w:rPr>
        <w:t>la</w:t>
      </w:r>
      <w:r w:rsidR="004A7BE8">
        <w:rPr>
          <w:szCs w:val="20"/>
        </w:rPr>
        <w:t xml:space="preserve"> preven</w:t>
      </w:r>
      <w:r w:rsidR="00936E8D">
        <w:rPr>
          <w:szCs w:val="20"/>
        </w:rPr>
        <w:t>ción de</w:t>
      </w:r>
      <w:r w:rsidR="004A7BE8">
        <w:rPr>
          <w:szCs w:val="20"/>
        </w:rPr>
        <w:t xml:space="preserve"> posibles conflictos entre los diferentes habitantes de las zonas en disputa. </w:t>
      </w:r>
      <w:r w:rsidR="00BD13EC">
        <w:rPr>
          <w:szCs w:val="20"/>
        </w:rPr>
        <w:t xml:space="preserve">Para poder lograr que se realicen dichos objetivos, </w:t>
      </w:r>
      <w:r w:rsidR="004A7BE8">
        <w:rPr>
          <w:szCs w:val="20"/>
        </w:rPr>
        <w:t xml:space="preserve">es </w:t>
      </w:r>
      <w:r w:rsidR="00503801">
        <w:rPr>
          <w:szCs w:val="20"/>
        </w:rPr>
        <w:t>necesario que previamente a la presentación de</w:t>
      </w:r>
      <w:r w:rsidR="004A7BE8">
        <w:rPr>
          <w:szCs w:val="20"/>
        </w:rPr>
        <w:t>l</w:t>
      </w:r>
      <w:r w:rsidR="00503801">
        <w:rPr>
          <w:szCs w:val="20"/>
        </w:rPr>
        <w:t xml:space="preserve"> </w:t>
      </w:r>
      <w:r w:rsidR="004A7BE8">
        <w:rPr>
          <w:szCs w:val="20"/>
        </w:rPr>
        <w:t>caso</w:t>
      </w:r>
      <w:r w:rsidR="00503801">
        <w:rPr>
          <w:szCs w:val="20"/>
        </w:rPr>
        <w:t xml:space="preserve"> </w:t>
      </w:r>
      <w:r w:rsidR="004A7BE8">
        <w:rPr>
          <w:szCs w:val="20"/>
        </w:rPr>
        <w:t>ante la Corte se verifique</w:t>
      </w:r>
      <w:r w:rsidR="00BD13EC">
        <w:rPr>
          <w:szCs w:val="20"/>
        </w:rPr>
        <w:t>n</w:t>
      </w:r>
      <w:r w:rsidR="004A7BE8">
        <w:rPr>
          <w:szCs w:val="20"/>
        </w:rPr>
        <w:t xml:space="preserve"> </w:t>
      </w:r>
      <w:r w:rsidR="00503801">
        <w:rPr>
          <w:szCs w:val="20"/>
        </w:rPr>
        <w:t>las circunstancias fácticas</w:t>
      </w:r>
      <w:r w:rsidR="00BD13EC">
        <w:rPr>
          <w:szCs w:val="20"/>
        </w:rPr>
        <w:t>, especialmente cuando se trata</w:t>
      </w:r>
      <w:r w:rsidR="00503801">
        <w:rPr>
          <w:szCs w:val="20"/>
        </w:rPr>
        <w:t xml:space="preserve"> de reclamaciones </w:t>
      </w:r>
      <w:r w:rsidR="006F1ED7" w:rsidRPr="006F1ED7">
        <w:rPr>
          <w:szCs w:val="20"/>
        </w:rPr>
        <w:t>de derechos humanos en los que esté relacionado el derecho de propiedad y</w:t>
      </w:r>
      <w:r w:rsidR="006F1ED7">
        <w:rPr>
          <w:szCs w:val="20"/>
        </w:rPr>
        <w:t>,</w:t>
      </w:r>
      <w:r w:rsidR="006F1ED7" w:rsidRPr="006F1ED7">
        <w:rPr>
          <w:szCs w:val="20"/>
        </w:rPr>
        <w:t xml:space="preserve"> en general</w:t>
      </w:r>
      <w:r w:rsidR="006F1ED7">
        <w:rPr>
          <w:szCs w:val="20"/>
        </w:rPr>
        <w:t>,</w:t>
      </w:r>
      <w:r w:rsidR="006F1ED7" w:rsidRPr="006F1ED7">
        <w:rPr>
          <w:szCs w:val="20"/>
        </w:rPr>
        <w:t xml:space="preserve"> </w:t>
      </w:r>
      <w:r w:rsidR="00503801">
        <w:rPr>
          <w:szCs w:val="20"/>
        </w:rPr>
        <w:t>materia</w:t>
      </w:r>
      <w:r w:rsidR="006F1ED7">
        <w:rPr>
          <w:szCs w:val="20"/>
        </w:rPr>
        <w:t>s</w:t>
      </w:r>
      <w:r w:rsidR="00503801">
        <w:rPr>
          <w:szCs w:val="20"/>
        </w:rPr>
        <w:t xml:space="preserve"> de tierra</w:t>
      </w:r>
      <w:r w:rsidR="004A7BE8">
        <w:rPr>
          <w:szCs w:val="20"/>
        </w:rPr>
        <w:t>s</w:t>
      </w:r>
      <w:r w:rsidR="00503801">
        <w:rPr>
          <w:szCs w:val="20"/>
        </w:rPr>
        <w:t xml:space="preserve">, de manera que la información presentada en el Informe de Fondo plasme con claridad </w:t>
      </w:r>
      <w:r w:rsidR="00BD13EC">
        <w:rPr>
          <w:szCs w:val="20"/>
        </w:rPr>
        <w:t xml:space="preserve">la ubicación de dichas tierras y </w:t>
      </w:r>
      <w:r w:rsidR="00503801">
        <w:rPr>
          <w:szCs w:val="20"/>
        </w:rPr>
        <w:t xml:space="preserve">las particularidades de </w:t>
      </w:r>
      <w:r w:rsidR="00BD13EC">
        <w:rPr>
          <w:szCs w:val="20"/>
        </w:rPr>
        <w:t>su</w:t>
      </w:r>
      <w:r w:rsidR="00503801">
        <w:rPr>
          <w:szCs w:val="20"/>
        </w:rPr>
        <w:t xml:space="preserve"> posesión</w:t>
      </w:r>
      <w:r w:rsidR="00BD13EC">
        <w:rPr>
          <w:szCs w:val="20"/>
        </w:rPr>
        <w:t xml:space="preserve">, uso y propiedad </w:t>
      </w:r>
      <w:r w:rsidR="00503801">
        <w:rPr>
          <w:szCs w:val="20"/>
        </w:rPr>
        <w:t xml:space="preserve">por parte de </w:t>
      </w:r>
      <w:r w:rsidR="004A7BE8">
        <w:rPr>
          <w:szCs w:val="20"/>
        </w:rPr>
        <w:t>la Comunidad</w:t>
      </w:r>
      <w:r w:rsidR="00BD13EC">
        <w:rPr>
          <w:szCs w:val="20"/>
        </w:rPr>
        <w:t xml:space="preserve"> indígena o tribal </w:t>
      </w:r>
      <w:r w:rsidR="004A7BE8">
        <w:rPr>
          <w:szCs w:val="20"/>
        </w:rPr>
        <w:t xml:space="preserve">y </w:t>
      </w:r>
      <w:r w:rsidR="00503801">
        <w:rPr>
          <w:szCs w:val="20"/>
        </w:rPr>
        <w:t>terceros</w:t>
      </w:r>
      <w:r w:rsidR="00BD13EC">
        <w:rPr>
          <w:szCs w:val="20"/>
        </w:rPr>
        <w:t>, así como</w:t>
      </w:r>
      <w:r w:rsidR="00503801">
        <w:rPr>
          <w:szCs w:val="20"/>
        </w:rPr>
        <w:t xml:space="preserve"> los conflictos derivados de </w:t>
      </w:r>
      <w:r w:rsidR="00BD13EC">
        <w:rPr>
          <w:szCs w:val="20"/>
        </w:rPr>
        <w:t>ello</w:t>
      </w:r>
      <w:r w:rsidR="00503801">
        <w:rPr>
          <w:szCs w:val="20"/>
        </w:rPr>
        <w:t>.</w:t>
      </w:r>
    </w:p>
    <w:p w:rsidR="00BF2788" w:rsidRDefault="00BF2788" w:rsidP="00BF2788">
      <w:pPr>
        <w:pStyle w:val="ListParagraph"/>
        <w:tabs>
          <w:tab w:val="left" w:pos="426"/>
          <w:tab w:val="left" w:pos="709"/>
        </w:tabs>
        <w:ind w:left="0"/>
        <w:rPr>
          <w:szCs w:val="20"/>
        </w:rPr>
      </w:pPr>
    </w:p>
    <w:p w:rsidR="00BF2788" w:rsidRPr="00725179" w:rsidRDefault="00BF2788" w:rsidP="00BF2788">
      <w:pPr>
        <w:pStyle w:val="ListParagraph"/>
        <w:numPr>
          <w:ilvl w:val="0"/>
          <w:numId w:val="13"/>
        </w:numPr>
        <w:tabs>
          <w:tab w:val="left" w:pos="426"/>
          <w:tab w:val="left" w:pos="709"/>
        </w:tabs>
        <w:rPr>
          <w:i/>
          <w:szCs w:val="20"/>
        </w:rPr>
      </w:pPr>
      <w:r w:rsidRPr="00CC1FE8">
        <w:rPr>
          <w:i/>
          <w:szCs w:val="20"/>
        </w:rPr>
        <w:t xml:space="preserve">La importancia de la diligencia </w:t>
      </w:r>
      <w:r w:rsidRPr="00725179">
        <w:rPr>
          <w:i/>
          <w:szCs w:val="20"/>
        </w:rPr>
        <w:t>in situ</w:t>
      </w:r>
    </w:p>
    <w:p w:rsidR="00503801" w:rsidRDefault="00503801" w:rsidP="00503801">
      <w:pPr>
        <w:pStyle w:val="ListParagraph"/>
        <w:spacing w:after="160" w:line="256" w:lineRule="auto"/>
        <w:ind w:left="0"/>
        <w:rPr>
          <w:szCs w:val="20"/>
        </w:rPr>
      </w:pPr>
    </w:p>
    <w:p w:rsidR="007C7FD2" w:rsidRDefault="00CE7DB3" w:rsidP="00101B7D">
      <w:pPr>
        <w:pStyle w:val="ListParagraph"/>
        <w:numPr>
          <w:ilvl w:val="0"/>
          <w:numId w:val="5"/>
        </w:numPr>
        <w:tabs>
          <w:tab w:val="left" w:pos="426"/>
          <w:tab w:val="left" w:pos="709"/>
        </w:tabs>
        <w:ind w:left="0" w:firstLine="0"/>
        <w:rPr>
          <w:szCs w:val="20"/>
        </w:rPr>
      </w:pPr>
      <w:r>
        <w:rPr>
          <w:szCs w:val="20"/>
        </w:rPr>
        <w:t xml:space="preserve">Cuando </w:t>
      </w:r>
      <w:r w:rsidR="007F6F79">
        <w:rPr>
          <w:szCs w:val="20"/>
        </w:rPr>
        <w:t xml:space="preserve">no existe claridad </w:t>
      </w:r>
      <w:r>
        <w:rPr>
          <w:szCs w:val="20"/>
        </w:rPr>
        <w:t>sobre la situación fáctica del caso que permit</w:t>
      </w:r>
      <w:r w:rsidR="00B30FEB">
        <w:rPr>
          <w:szCs w:val="20"/>
        </w:rPr>
        <w:t>a</w:t>
      </w:r>
      <w:r w:rsidR="007F6F79">
        <w:rPr>
          <w:szCs w:val="20"/>
        </w:rPr>
        <w:t xml:space="preserve"> a la Corte dictar su Sentencia tomando en cuenta de manera adecuada</w:t>
      </w:r>
      <w:r>
        <w:rPr>
          <w:szCs w:val="20"/>
        </w:rPr>
        <w:t xml:space="preserve"> dicha situación</w:t>
      </w:r>
      <w:r w:rsidR="007F6F79">
        <w:rPr>
          <w:szCs w:val="20"/>
        </w:rPr>
        <w:t xml:space="preserve">, </w:t>
      </w:r>
      <w:r>
        <w:rPr>
          <w:szCs w:val="20"/>
        </w:rPr>
        <w:t xml:space="preserve">se hace más </w:t>
      </w:r>
      <w:r w:rsidR="00503801">
        <w:rPr>
          <w:szCs w:val="20"/>
        </w:rPr>
        <w:t xml:space="preserve">importante </w:t>
      </w:r>
      <w:r>
        <w:rPr>
          <w:szCs w:val="20"/>
        </w:rPr>
        <w:t xml:space="preserve">recabar la prueba necesaria al respecto. En este sentido, quiero </w:t>
      </w:r>
      <w:r w:rsidR="00503801">
        <w:rPr>
          <w:szCs w:val="20"/>
        </w:rPr>
        <w:t xml:space="preserve">resaltar la conveniencia de las visitas </w:t>
      </w:r>
      <w:r w:rsidR="00503801" w:rsidRPr="002D7EB4">
        <w:rPr>
          <w:i/>
          <w:szCs w:val="20"/>
        </w:rPr>
        <w:t>in situ</w:t>
      </w:r>
      <w:r w:rsidR="00503801">
        <w:rPr>
          <w:szCs w:val="20"/>
        </w:rPr>
        <w:t xml:space="preserve"> </w:t>
      </w:r>
      <w:r>
        <w:rPr>
          <w:szCs w:val="20"/>
        </w:rPr>
        <w:t xml:space="preserve">que </w:t>
      </w:r>
      <w:r w:rsidR="00503801">
        <w:rPr>
          <w:szCs w:val="20"/>
        </w:rPr>
        <w:t>el Tribunal</w:t>
      </w:r>
      <w:r>
        <w:rPr>
          <w:szCs w:val="20"/>
        </w:rPr>
        <w:t xml:space="preserve"> ha realizado</w:t>
      </w:r>
      <w:r w:rsidR="00503801">
        <w:rPr>
          <w:szCs w:val="20"/>
        </w:rPr>
        <w:t xml:space="preserve">. </w:t>
      </w:r>
      <w:r w:rsidR="002D7EB4">
        <w:rPr>
          <w:szCs w:val="20"/>
        </w:rPr>
        <w:t xml:space="preserve">Dichas </w:t>
      </w:r>
      <w:r w:rsidR="00503801">
        <w:rPr>
          <w:szCs w:val="20"/>
        </w:rPr>
        <w:t>visitas permiten a la Corte obtener un conocimiento de primera mano de las particularidades de l</w:t>
      </w:r>
      <w:r w:rsidR="002D7EB4">
        <w:rPr>
          <w:szCs w:val="20"/>
        </w:rPr>
        <w:t>as localidades en disputa y su ubicación</w:t>
      </w:r>
      <w:r w:rsidR="00503801">
        <w:rPr>
          <w:szCs w:val="20"/>
        </w:rPr>
        <w:t xml:space="preserve">. </w:t>
      </w:r>
      <w:r>
        <w:rPr>
          <w:szCs w:val="20"/>
        </w:rPr>
        <w:t>Específicamente</w:t>
      </w:r>
      <w:r w:rsidR="00503801">
        <w:rPr>
          <w:szCs w:val="20"/>
        </w:rPr>
        <w:t>, resulta valiosa la oportunidad que recibe la Corte a través de estas visitas para adquirir información que únicamente mediante este mecanismo podría obtenerse</w:t>
      </w:r>
      <w:r w:rsidR="002D7EB4">
        <w:rPr>
          <w:szCs w:val="20"/>
        </w:rPr>
        <w:t>, incluyendo de los pobladores de las tierras y de las autoridades</w:t>
      </w:r>
      <w:r w:rsidR="00503801">
        <w:rPr>
          <w:szCs w:val="20"/>
        </w:rPr>
        <w:t xml:space="preserve">. </w:t>
      </w:r>
      <w:r w:rsidR="00F4680C">
        <w:rPr>
          <w:szCs w:val="20"/>
        </w:rPr>
        <w:t xml:space="preserve">Al respecto, es importante señalar </w:t>
      </w:r>
      <w:r w:rsidR="00F4680C">
        <w:rPr>
          <w:lang w:val="es-ES"/>
        </w:rPr>
        <w:t>la importancia del principio de inmediación, el cual no se tiene por qué reducir a las declaraciones recibidas por la Corte en las audiencias públicas, especialmente en casos que involucran semejantes complejidades.</w:t>
      </w:r>
    </w:p>
    <w:p w:rsidR="007C7FD2" w:rsidRDefault="007C7FD2" w:rsidP="007C7FD2">
      <w:pPr>
        <w:pStyle w:val="ListParagraph"/>
        <w:tabs>
          <w:tab w:val="left" w:pos="426"/>
          <w:tab w:val="left" w:pos="709"/>
        </w:tabs>
        <w:ind w:left="0"/>
        <w:rPr>
          <w:szCs w:val="20"/>
        </w:rPr>
      </w:pPr>
    </w:p>
    <w:p w:rsidR="00A76642" w:rsidRDefault="002F0154" w:rsidP="00A76642">
      <w:pPr>
        <w:pStyle w:val="ListParagraph"/>
        <w:numPr>
          <w:ilvl w:val="0"/>
          <w:numId w:val="5"/>
        </w:numPr>
        <w:tabs>
          <w:tab w:val="left" w:pos="426"/>
          <w:tab w:val="left" w:pos="709"/>
        </w:tabs>
        <w:ind w:left="0" w:firstLine="0"/>
        <w:rPr>
          <w:szCs w:val="20"/>
        </w:rPr>
      </w:pPr>
      <w:r w:rsidRPr="004460BD">
        <w:rPr>
          <w:szCs w:val="20"/>
        </w:rPr>
        <w:t xml:space="preserve">Por primera vez en el </w:t>
      </w:r>
      <w:r w:rsidRPr="004460BD">
        <w:rPr>
          <w:i/>
          <w:szCs w:val="20"/>
        </w:rPr>
        <w:t>Caso Pueblo Indígena Kichwa de Sarayaku Vs. Ecuador</w:t>
      </w:r>
      <w:r w:rsidRPr="004460BD">
        <w:rPr>
          <w:szCs w:val="20"/>
        </w:rPr>
        <w:t xml:space="preserve">, la Corte realizó una diligencia </w:t>
      </w:r>
      <w:r w:rsidRPr="004460BD">
        <w:rPr>
          <w:i/>
          <w:szCs w:val="20"/>
        </w:rPr>
        <w:t>in situ</w:t>
      </w:r>
      <w:r w:rsidRPr="004460BD">
        <w:rPr>
          <w:szCs w:val="20"/>
        </w:rPr>
        <w:t xml:space="preserve"> que tenía principalmente</w:t>
      </w:r>
      <w:r w:rsidR="00503801" w:rsidRPr="004460BD">
        <w:rPr>
          <w:szCs w:val="20"/>
        </w:rPr>
        <w:t xml:space="preserve"> el propósito de realizar diligencias encaminadas a obtener información adicional acerca de la situación de las presuntas víctimas y lugares en que habrían ocurrido algunos de los hechos alegados</w:t>
      </w:r>
      <w:r w:rsidR="00503801">
        <w:rPr>
          <w:rStyle w:val="FootnoteReference"/>
        </w:rPr>
        <w:footnoteReference w:id="6"/>
      </w:r>
      <w:r w:rsidR="00503801" w:rsidRPr="004460BD">
        <w:rPr>
          <w:szCs w:val="20"/>
        </w:rPr>
        <w:t>.</w:t>
      </w:r>
      <w:r w:rsidR="00A76642" w:rsidRPr="004460BD">
        <w:rPr>
          <w:szCs w:val="20"/>
        </w:rPr>
        <w:t xml:space="preserve"> </w:t>
      </w:r>
    </w:p>
    <w:p w:rsidR="00CE7DB3" w:rsidRPr="004460BD" w:rsidRDefault="00CE7DB3" w:rsidP="00CE7DB3">
      <w:pPr>
        <w:pStyle w:val="ListParagraph"/>
        <w:tabs>
          <w:tab w:val="left" w:pos="426"/>
          <w:tab w:val="left" w:pos="709"/>
        </w:tabs>
        <w:ind w:left="0"/>
        <w:rPr>
          <w:szCs w:val="20"/>
        </w:rPr>
      </w:pPr>
    </w:p>
    <w:p w:rsidR="00A76642" w:rsidRPr="004460BD" w:rsidRDefault="00A76642" w:rsidP="004460BD">
      <w:pPr>
        <w:pStyle w:val="ListParagraph"/>
        <w:numPr>
          <w:ilvl w:val="0"/>
          <w:numId w:val="5"/>
        </w:numPr>
        <w:tabs>
          <w:tab w:val="left" w:pos="426"/>
          <w:tab w:val="left" w:pos="709"/>
        </w:tabs>
        <w:ind w:left="0" w:firstLine="0"/>
        <w:rPr>
          <w:szCs w:val="20"/>
        </w:rPr>
      </w:pPr>
      <w:r>
        <w:rPr>
          <w:szCs w:val="20"/>
        </w:rPr>
        <w:t>En e</w:t>
      </w:r>
      <w:r w:rsidR="00CE7DB3">
        <w:rPr>
          <w:szCs w:val="20"/>
        </w:rPr>
        <w:t>l presente caso</w:t>
      </w:r>
      <w:r>
        <w:rPr>
          <w:szCs w:val="20"/>
        </w:rPr>
        <w:t>, el Estado</w:t>
      </w:r>
      <w:r w:rsidR="00D63E56">
        <w:rPr>
          <w:szCs w:val="20"/>
        </w:rPr>
        <w:t xml:space="preserve"> </w:t>
      </w:r>
      <w:r w:rsidR="00CE7DB3">
        <w:rPr>
          <w:szCs w:val="20"/>
        </w:rPr>
        <w:t xml:space="preserve">había </w:t>
      </w:r>
      <w:r w:rsidR="00D63E56">
        <w:rPr>
          <w:szCs w:val="20"/>
        </w:rPr>
        <w:t>solicit</w:t>
      </w:r>
      <w:r w:rsidR="00CE7DB3">
        <w:rPr>
          <w:szCs w:val="20"/>
        </w:rPr>
        <w:t>ado</w:t>
      </w:r>
      <w:r w:rsidR="00D63E56">
        <w:rPr>
          <w:szCs w:val="20"/>
        </w:rPr>
        <w:t xml:space="preserve"> la realización de la diligencia </w:t>
      </w:r>
      <w:r w:rsidR="00D63E56">
        <w:t xml:space="preserve">en los siguientes términos: </w:t>
      </w:r>
      <w:r w:rsidR="00D63E56" w:rsidRPr="00D65069">
        <w:t xml:space="preserve">“como para mejor proveer, […] para que haya un fallo justo y apegado a la </w:t>
      </w:r>
      <w:r w:rsidR="00D63E56" w:rsidRPr="004460BD">
        <w:rPr>
          <w:szCs w:val="20"/>
        </w:rPr>
        <w:t>realidad</w:t>
      </w:r>
      <w:r w:rsidR="00D63E56" w:rsidRPr="00D65069">
        <w:t xml:space="preserve"> legal, […] hacer una inspección </w:t>
      </w:r>
      <w:r w:rsidR="00D63E56" w:rsidRPr="00D65069">
        <w:rPr>
          <w:i/>
        </w:rPr>
        <w:t>in loco</w:t>
      </w:r>
      <w:r w:rsidR="00D63E56" w:rsidRPr="00D65069">
        <w:t xml:space="preserve"> para que constate el respeto a las medidas cautelares ordenadas por la Comisión Interamericana, […] la realidad física de las comunidades, de las áreas protegidas decretadas y convertidas en parques nacionales, de la forma de vida y como cohabitamos Garífunas y no Garífunas”.</w:t>
      </w:r>
      <w:r w:rsidR="00D63E56">
        <w:t xml:space="preserve"> </w:t>
      </w:r>
      <w:r w:rsidR="00510E65">
        <w:t>L</w:t>
      </w:r>
      <w:r w:rsidR="00D63E56">
        <w:rPr>
          <w:szCs w:val="20"/>
        </w:rPr>
        <w:t xml:space="preserve">a Corte </w:t>
      </w:r>
      <w:r w:rsidR="00510E65">
        <w:rPr>
          <w:szCs w:val="20"/>
        </w:rPr>
        <w:t xml:space="preserve">concedió la </w:t>
      </w:r>
      <w:r w:rsidR="00CE7DB3">
        <w:rPr>
          <w:szCs w:val="20"/>
        </w:rPr>
        <w:t xml:space="preserve">referida </w:t>
      </w:r>
      <w:r w:rsidR="00510E65">
        <w:rPr>
          <w:szCs w:val="20"/>
        </w:rPr>
        <w:t xml:space="preserve">solicitud y </w:t>
      </w:r>
      <w:r>
        <w:rPr>
          <w:szCs w:val="20"/>
        </w:rPr>
        <w:t xml:space="preserve">ordenó la diligencia </w:t>
      </w:r>
      <w:r w:rsidRPr="00725179">
        <w:rPr>
          <w:i/>
          <w:szCs w:val="20"/>
        </w:rPr>
        <w:t>in situ</w:t>
      </w:r>
      <w:r>
        <w:rPr>
          <w:szCs w:val="20"/>
        </w:rPr>
        <w:t xml:space="preserve"> </w:t>
      </w:r>
      <w:r w:rsidR="004460BD" w:rsidRPr="00CE7DB3">
        <w:rPr>
          <w:szCs w:val="20"/>
        </w:rPr>
        <w:t>dada la naturaleza de las controversias</w:t>
      </w:r>
      <w:r w:rsidR="0056131F">
        <w:rPr>
          <w:szCs w:val="20"/>
        </w:rPr>
        <w:t xml:space="preserve"> y</w:t>
      </w:r>
      <w:r w:rsidR="004460BD" w:rsidRPr="00CE7DB3">
        <w:rPr>
          <w:szCs w:val="20"/>
        </w:rPr>
        <w:t xml:space="preserve"> las complejidades, así como la necesidad de contar con mayores elementos de prueba</w:t>
      </w:r>
      <w:r w:rsidR="004460BD">
        <w:rPr>
          <w:szCs w:val="20"/>
        </w:rPr>
        <w:t xml:space="preserve">. Especialmente, el </w:t>
      </w:r>
      <w:r w:rsidRPr="00CE7DB3">
        <w:rPr>
          <w:szCs w:val="20"/>
        </w:rPr>
        <w:t>objetivo de</w:t>
      </w:r>
      <w:r w:rsidR="004460BD" w:rsidRPr="00CE7DB3">
        <w:rPr>
          <w:szCs w:val="20"/>
        </w:rPr>
        <w:t xml:space="preserve"> la misma era:</w:t>
      </w:r>
      <w:r w:rsidRPr="00CE7DB3">
        <w:rPr>
          <w:szCs w:val="20"/>
        </w:rPr>
        <w:t xml:space="preserve"> a) observar algunas de las áreas del territorio</w:t>
      </w:r>
      <w:r>
        <w:t xml:space="preserve"> reclamado</w:t>
      </w:r>
      <w:r w:rsidRPr="00AA116E">
        <w:t xml:space="preserve"> por la Comunidad</w:t>
      </w:r>
      <w:r>
        <w:t>, y b) e</w:t>
      </w:r>
      <w:r w:rsidRPr="00AA116E">
        <w:t>stablecer una reunión con las partes, la Comisión y diversas autoridades y pobladores</w:t>
      </w:r>
      <w:r>
        <w:rPr>
          <w:rStyle w:val="FootnoteReference"/>
        </w:rPr>
        <w:footnoteReference w:id="7"/>
      </w:r>
      <w:r>
        <w:t>.</w:t>
      </w:r>
    </w:p>
    <w:p w:rsidR="00503801" w:rsidRDefault="00503801" w:rsidP="00503801">
      <w:pPr>
        <w:pStyle w:val="ListParagraph"/>
        <w:rPr>
          <w:szCs w:val="20"/>
        </w:rPr>
      </w:pPr>
    </w:p>
    <w:p w:rsidR="00321DB4" w:rsidRPr="006D65D0" w:rsidRDefault="006D65D0" w:rsidP="006D65D0">
      <w:pPr>
        <w:pStyle w:val="ListParagraph"/>
        <w:numPr>
          <w:ilvl w:val="0"/>
          <w:numId w:val="5"/>
        </w:numPr>
        <w:tabs>
          <w:tab w:val="left" w:pos="426"/>
          <w:tab w:val="left" w:pos="709"/>
        </w:tabs>
        <w:ind w:left="0" w:firstLine="0"/>
        <w:rPr>
          <w:szCs w:val="20"/>
        </w:rPr>
      </w:pPr>
      <w:r>
        <w:rPr>
          <w:szCs w:val="20"/>
        </w:rPr>
        <w:t xml:space="preserve">En </w:t>
      </w:r>
      <w:r w:rsidR="00CE7DB3">
        <w:rPr>
          <w:szCs w:val="20"/>
        </w:rPr>
        <w:t xml:space="preserve">esta </w:t>
      </w:r>
      <w:r>
        <w:rPr>
          <w:szCs w:val="20"/>
        </w:rPr>
        <w:t>Sentencia</w:t>
      </w:r>
      <w:r w:rsidR="00510E65" w:rsidRPr="00510E65">
        <w:rPr>
          <w:szCs w:val="20"/>
        </w:rPr>
        <w:t xml:space="preserve">, la Corte estableció que </w:t>
      </w:r>
      <w:r w:rsidR="00510E65" w:rsidRPr="00510E65">
        <w:rPr>
          <w:rFonts w:eastAsia="Verdana" w:cs="Verdana"/>
          <w:spacing w:val="3"/>
          <w:szCs w:val="20"/>
          <w:lang w:val="es-ES"/>
        </w:rPr>
        <w:t>l</w:t>
      </w:r>
      <w:r w:rsidR="00510E65" w:rsidRPr="00510E65">
        <w:rPr>
          <w:rFonts w:eastAsia="Verdana" w:cs="Verdana"/>
          <w:szCs w:val="20"/>
          <w:lang w:val="es-ES"/>
        </w:rPr>
        <w:t>a</w:t>
      </w:r>
      <w:r>
        <w:rPr>
          <w:rFonts w:eastAsia="Verdana" w:cs="Verdana"/>
          <w:szCs w:val="20"/>
          <w:lang w:val="es-ES"/>
        </w:rPr>
        <w:t xml:space="preserve"> diligencia </w:t>
      </w:r>
      <w:r w:rsidR="00CE7DB3" w:rsidRPr="00CE7DB3">
        <w:rPr>
          <w:rFonts w:eastAsia="Verdana" w:cs="Verdana"/>
          <w:i/>
          <w:szCs w:val="20"/>
          <w:lang w:val="es-ES"/>
        </w:rPr>
        <w:t>in situ</w:t>
      </w:r>
      <w:r w:rsidR="00CE7DB3">
        <w:rPr>
          <w:rFonts w:eastAsia="Verdana" w:cs="Verdana"/>
          <w:szCs w:val="20"/>
          <w:lang w:val="es-ES"/>
        </w:rPr>
        <w:t xml:space="preserve"> </w:t>
      </w:r>
      <w:r w:rsidRPr="00CE7DB3">
        <w:rPr>
          <w:szCs w:val="20"/>
        </w:rPr>
        <w:t>había</w:t>
      </w:r>
      <w:r w:rsidR="00510E65" w:rsidRPr="00CE7DB3">
        <w:rPr>
          <w:szCs w:val="20"/>
        </w:rPr>
        <w:t xml:space="preserve"> </w:t>
      </w:r>
      <w:r w:rsidR="00CE7DB3" w:rsidRPr="00CE7DB3">
        <w:rPr>
          <w:szCs w:val="20"/>
        </w:rPr>
        <w:t xml:space="preserve">sido valiosa </w:t>
      </w:r>
      <w:r w:rsidR="0056131F">
        <w:rPr>
          <w:szCs w:val="20"/>
        </w:rPr>
        <w:t>ya</w:t>
      </w:r>
      <w:r w:rsidR="0056131F" w:rsidRPr="00CE7DB3">
        <w:rPr>
          <w:szCs w:val="20"/>
        </w:rPr>
        <w:t xml:space="preserve"> </w:t>
      </w:r>
      <w:r w:rsidR="00CE7DB3" w:rsidRPr="00CE7DB3">
        <w:rPr>
          <w:szCs w:val="20"/>
        </w:rPr>
        <w:t>que</w:t>
      </w:r>
      <w:r w:rsidR="00CE7DB3">
        <w:rPr>
          <w:szCs w:val="20"/>
        </w:rPr>
        <w:t xml:space="preserve"> </w:t>
      </w:r>
      <w:r w:rsidRPr="00CE7DB3">
        <w:rPr>
          <w:szCs w:val="20"/>
        </w:rPr>
        <w:t>“</w:t>
      </w:r>
      <w:r w:rsidR="00510E65" w:rsidRPr="00CE7DB3">
        <w:rPr>
          <w:szCs w:val="20"/>
        </w:rPr>
        <w:t>brind</w:t>
      </w:r>
      <w:r w:rsidR="00CE7DB3" w:rsidRPr="00CE7DB3">
        <w:rPr>
          <w:szCs w:val="20"/>
        </w:rPr>
        <w:t>[ó]</w:t>
      </w:r>
      <w:r w:rsidR="00510E65" w:rsidRPr="00CE7DB3">
        <w:rPr>
          <w:szCs w:val="20"/>
        </w:rPr>
        <w:t xml:space="preserve"> una visión general de importante carácter ilustrativo a fin de dimensionar, comprender y enmarcar los hechos específicos que constituyen la base de las alegadas violaciones sometidas a su conocimiento”</w:t>
      </w:r>
      <w:r w:rsidR="00510E65" w:rsidRPr="00E90654">
        <w:rPr>
          <w:rStyle w:val="FootnoteReference"/>
        </w:rPr>
        <w:footnoteReference w:id="8"/>
      </w:r>
      <w:r w:rsidR="00E90654">
        <w:rPr>
          <w:szCs w:val="20"/>
        </w:rPr>
        <w:t xml:space="preserve">. Más específicamente, </w:t>
      </w:r>
      <w:r w:rsidR="00370DD9" w:rsidRPr="006D65D0">
        <w:rPr>
          <w:szCs w:val="20"/>
        </w:rPr>
        <w:t xml:space="preserve">mediante la </w:t>
      </w:r>
      <w:r w:rsidR="00E90654">
        <w:rPr>
          <w:szCs w:val="20"/>
        </w:rPr>
        <w:t xml:space="preserve">información obtenida durante la </w:t>
      </w:r>
      <w:r>
        <w:rPr>
          <w:szCs w:val="20"/>
        </w:rPr>
        <w:t xml:space="preserve">referida </w:t>
      </w:r>
      <w:r w:rsidR="00370DD9" w:rsidRPr="006D65D0">
        <w:rPr>
          <w:szCs w:val="20"/>
        </w:rPr>
        <w:t xml:space="preserve">diligencia se pudo constatar que </w:t>
      </w:r>
      <w:r>
        <w:rPr>
          <w:szCs w:val="20"/>
        </w:rPr>
        <w:t xml:space="preserve">el proyecto turístico </w:t>
      </w:r>
      <w:r>
        <w:t>“</w:t>
      </w:r>
      <w:r w:rsidRPr="007E246C">
        <w:t>Indura Beach and Golf Resort</w:t>
      </w:r>
      <w:r w:rsidR="00E90654">
        <w:t>”</w:t>
      </w:r>
      <w:r w:rsidR="00510E65" w:rsidRPr="006D65D0">
        <w:rPr>
          <w:szCs w:val="20"/>
        </w:rPr>
        <w:t xml:space="preserve"> no estaba situad</w:t>
      </w:r>
      <w:r w:rsidR="00370DD9" w:rsidRPr="006D65D0">
        <w:rPr>
          <w:szCs w:val="20"/>
        </w:rPr>
        <w:t xml:space="preserve">o dentro del territorio </w:t>
      </w:r>
      <w:r w:rsidR="00E90654">
        <w:rPr>
          <w:szCs w:val="20"/>
        </w:rPr>
        <w:t xml:space="preserve">tradicional </w:t>
      </w:r>
      <w:r w:rsidR="00370DD9" w:rsidRPr="006D65D0">
        <w:rPr>
          <w:szCs w:val="20"/>
        </w:rPr>
        <w:t xml:space="preserve">reclamado por la Comunidad. </w:t>
      </w:r>
      <w:r>
        <w:rPr>
          <w:szCs w:val="20"/>
        </w:rPr>
        <w:t xml:space="preserve">Por haber realizado la diligencia </w:t>
      </w:r>
      <w:r w:rsidRPr="006D65D0">
        <w:rPr>
          <w:i/>
          <w:szCs w:val="20"/>
        </w:rPr>
        <w:t>in situ</w:t>
      </w:r>
      <w:r>
        <w:rPr>
          <w:i/>
          <w:szCs w:val="20"/>
        </w:rPr>
        <w:t>,</w:t>
      </w:r>
      <w:r>
        <w:rPr>
          <w:szCs w:val="20"/>
        </w:rPr>
        <w:t xml:space="preserve"> e</w:t>
      </w:r>
      <w:r w:rsidR="00510E65" w:rsidRPr="006D65D0">
        <w:rPr>
          <w:szCs w:val="20"/>
        </w:rPr>
        <w:t xml:space="preserve">l Tribunal </w:t>
      </w:r>
      <w:r>
        <w:rPr>
          <w:szCs w:val="20"/>
        </w:rPr>
        <w:t xml:space="preserve">pudo establecer </w:t>
      </w:r>
      <w:r w:rsidR="00510E65" w:rsidRPr="006D65D0">
        <w:rPr>
          <w:szCs w:val="20"/>
        </w:rPr>
        <w:t xml:space="preserve">que </w:t>
      </w:r>
      <w:r w:rsidR="00321DB4">
        <w:t>“ese proyecto turístico se encontraba del otro lado de la Bahía de Tela, alejado varios kilómetros de la Comunidad Triunfo de la Cruz y de los territorios sobre los cuales versa la controversia del presente caso</w:t>
      </w:r>
      <w:r>
        <w:t>”</w:t>
      </w:r>
      <w:r w:rsidR="00321DB4">
        <w:t xml:space="preserve">. En consecuencia, </w:t>
      </w:r>
      <w:r>
        <w:t xml:space="preserve">la Corte </w:t>
      </w:r>
      <w:r w:rsidR="00321DB4">
        <w:t>no se pronunci</w:t>
      </w:r>
      <w:r>
        <w:t>ó</w:t>
      </w:r>
      <w:r w:rsidR="00321DB4">
        <w:t xml:space="preserve"> sobre las alegadas violaciones relacion</w:t>
      </w:r>
      <w:r>
        <w:t>adas con ese proyecto turístico</w:t>
      </w:r>
      <w:r w:rsidR="00321DB4">
        <w:rPr>
          <w:rStyle w:val="FootnoteReference"/>
        </w:rPr>
        <w:footnoteReference w:id="9"/>
      </w:r>
      <w:r w:rsidR="00321DB4">
        <w:t>.</w:t>
      </w:r>
    </w:p>
    <w:p w:rsidR="00265C8F" w:rsidRDefault="00265C8F" w:rsidP="00321DB4">
      <w:pPr>
        <w:tabs>
          <w:tab w:val="left" w:pos="426"/>
          <w:tab w:val="left" w:pos="709"/>
        </w:tabs>
      </w:pPr>
    </w:p>
    <w:p w:rsidR="00265C8F" w:rsidRPr="00510E65" w:rsidRDefault="0056131F" w:rsidP="00510E65">
      <w:pPr>
        <w:pStyle w:val="ListParagraph"/>
        <w:numPr>
          <w:ilvl w:val="0"/>
          <w:numId w:val="5"/>
        </w:numPr>
        <w:tabs>
          <w:tab w:val="left" w:pos="426"/>
          <w:tab w:val="left" w:pos="709"/>
        </w:tabs>
        <w:ind w:left="0" w:firstLine="0"/>
      </w:pPr>
      <w:r>
        <w:rPr>
          <w:rFonts w:eastAsia="Calibri"/>
          <w:szCs w:val="20"/>
        </w:rPr>
        <w:t>Además, d</w:t>
      </w:r>
      <w:r w:rsidR="001B1B55">
        <w:rPr>
          <w:rFonts w:eastAsia="Calibri"/>
          <w:szCs w:val="20"/>
        </w:rPr>
        <w:t>e l</w:t>
      </w:r>
      <w:r w:rsidR="00510E65">
        <w:rPr>
          <w:rFonts w:eastAsia="Calibri"/>
          <w:szCs w:val="20"/>
        </w:rPr>
        <w:t>a</w:t>
      </w:r>
      <w:r w:rsidR="006D65D0">
        <w:rPr>
          <w:rFonts w:eastAsia="Calibri"/>
          <w:szCs w:val="20"/>
        </w:rPr>
        <w:t xml:space="preserve"> información obtenida</w:t>
      </w:r>
      <w:r w:rsidR="001B1B55">
        <w:rPr>
          <w:rFonts w:eastAsia="Calibri"/>
          <w:szCs w:val="20"/>
        </w:rPr>
        <w:t xml:space="preserve"> durante la referida diligencia</w:t>
      </w:r>
      <w:r w:rsidR="006D65D0">
        <w:rPr>
          <w:rFonts w:eastAsia="Calibri"/>
          <w:szCs w:val="20"/>
        </w:rPr>
        <w:t xml:space="preserve"> respecto del proyecto turístico “</w:t>
      </w:r>
      <w:r w:rsidR="00510E65">
        <w:t>Playa Escondida</w:t>
      </w:r>
      <w:r w:rsidR="006D65D0">
        <w:t>”, la Corte “</w:t>
      </w:r>
      <w:r w:rsidR="00510E65">
        <w:t>pudo verificar el emplazamiento y la naturaleza de las edificaciones”</w:t>
      </w:r>
      <w:r w:rsidR="00510E65">
        <w:rPr>
          <w:rStyle w:val="FootnoteReference"/>
        </w:rPr>
        <w:footnoteReference w:id="10"/>
      </w:r>
      <w:r w:rsidR="00510E65">
        <w:t xml:space="preserve"> </w:t>
      </w:r>
      <w:r w:rsidR="006D65D0">
        <w:t xml:space="preserve">y </w:t>
      </w:r>
      <w:r w:rsidR="00510E65">
        <w:t>“</w:t>
      </w:r>
      <w:r w:rsidR="00510E65" w:rsidRPr="00305029">
        <w:t>se pudo constatar que la construcción había terminado y que estaba habitado</w:t>
      </w:r>
      <w:r w:rsidR="00510E65">
        <w:t>”</w:t>
      </w:r>
      <w:r w:rsidR="00510E65">
        <w:rPr>
          <w:rStyle w:val="FootnoteReference"/>
        </w:rPr>
        <w:footnoteReference w:id="11"/>
      </w:r>
      <w:r w:rsidR="00510E65" w:rsidRPr="00677BFA">
        <w:t xml:space="preserve">. </w:t>
      </w:r>
      <w:r w:rsidR="00BC7E32">
        <w:t xml:space="preserve">Por otro lado, </w:t>
      </w:r>
      <w:r w:rsidR="00510E65">
        <w:t>no se pudo com</w:t>
      </w:r>
      <w:r w:rsidR="00BC7E32">
        <w:t xml:space="preserve">probar </w:t>
      </w:r>
      <w:r w:rsidR="00E90654">
        <w:t xml:space="preserve">durante la visita </w:t>
      </w:r>
      <w:r w:rsidR="00BC7E32">
        <w:t xml:space="preserve">la ubicación exacta del </w:t>
      </w:r>
      <w:r w:rsidR="00510E65" w:rsidRPr="00AC1EC9">
        <w:t>proyecto inmobili</w:t>
      </w:r>
      <w:r w:rsidR="00510E65">
        <w:t>a</w:t>
      </w:r>
      <w:r w:rsidR="00510E65" w:rsidRPr="00AC1EC9">
        <w:t xml:space="preserve">rio </w:t>
      </w:r>
      <w:r w:rsidR="00510E65">
        <w:t>“</w:t>
      </w:r>
      <w:r w:rsidR="00510E65" w:rsidRPr="00AC1EC9">
        <w:t>Laguna Negra</w:t>
      </w:r>
      <w:r w:rsidR="00510E65">
        <w:t>”</w:t>
      </w:r>
      <w:r w:rsidR="00510E65">
        <w:rPr>
          <w:rStyle w:val="FootnoteReference"/>
        </w:rPr>
        <w:footnoteReference w:id="12"/>
      </w:r>
      <w:r w:rsidR="00265C8F">
        <w:rPr>
          <w:rFonts w:eastAsia="Calibri"/>
          <w:szCs w:val="20"/>
        </w:rPr>
        <w:t>.</w:t>
      </w:r>
    </w:p>
    <w:p w:rsidR="00265C8F" w:rsidRDefault="00265C8F" w:rsidP="00321DB4">
      <w:pPr>
        <w:tabs>
          <w:tab w:val="left" w:pos="426"/>
          <w:tab w:val="left" w:pos="709"/>
        </w:tabs>
        <w:rPr>
          <w:szCs w:val="20"/>
        </w:rPr>
      </w:pPr>
    </w:p>
    <w:p w:rsidR="008B0293" w:rsidRDefault="00E90654" w:rsidP="008B0293">
      <w:pPr>
        <w:pStyle w:val="ListParagraph"/>
        <w:numPr>
          <w:ilvl w:val="0"/>
          <w:numId w:val="5"/>
        </w:numPr>
        <w:tabs>
          <w:tab w:val="left" w:pos="426"/>
          <w:tab w:val="left" w:pos="709"/>
        </w:tabs>
        <w:ind w:left="0" w:firstLine="0"/>
        <w:rPr>
          <w:szCs w:val="20"/>
        </w:rPr>
      </w:pPr>
      <w:r>
        <w:rPr>
          <w:szCs w:val="20"/>
        </w:rPr>
        <w:t>S</w:t>
      </w:r>
      <w:r w:rsidR="00510E65">
        <w:rPr>
          <w:szCs w:val="20"/>
        </w:rPr>
        <w:t xml:space="preserve">i </w:t>
      </w:r>
      <w:r w:rsidR="00BC7E32">
        <w:rPr>
          <w:szCs w:val="20"/>
        </w:rPr>
        <w:t xml:space="preserve">el Tribunal </w:t>
      </w:r>
      <w:r w:rsidR="00510E65">
        <w:rPr>
          <w:szCs w:val="20"/>
        </w:rPr>
        <w:t xml:space="preserve">no hubiera realizado la diligencia </w:t>
      </w:r>
      <w:r w:rsidR="00BC7E32" w:rsidRPr="00BC7E32">
        <w:rPr>
          <w:i/>
          <w:szCs w:val="20"/>
        </w:rPr>
        <w:t>in situ</w:t>
      </w:r>
      <w:r w:rsidR="00BC7E32">
        <w:rPr>
          <w:szCs w:val="20"/>
        </w:rPr>
        <w:t xml:space="preserve"> </w:t>
      </w:r>
      <w:r w:rsidR="00510E65">
        <w:rPr>
          <w:szCs w:val="20"/>
        </w:rPr>
        <w:t>y</w:t>
      </w:r>
      <w:r>
        <w:rPr>
          <w:szCs w:val="20"/>
        </w:rPr>
        <w:t>, de esa manera obtenido</w:t>
      </w:r>
      <w:r w:rsidR="00BC7E32">
        <w:rPr>
          <w:szCs w:val="20"/>
        </w:rPr>
        <w:t xml:space="preserve"> la información necesaria</w:t>
      </w:r>
      <w:r w:rsidR="00510E65">
        <w:rPr>
          <w:szCs w:val="20"/>
        </w:rPr>
        <w:t>, no podría haber verificado las circunstancias y los hechos del caso correspondiente</w:t>
      </w:r>
      <w:r w:rsidR="00BC7E32">
        <w:rPr>
          <w:szCs w:val="20"/>
        </w:rPr>
        <w:t>s</w:t>
      </w:r>
      <w:r w:rsidR="00510E65">
        <w:rPr>
          <w:szCs w:val="20"/>
        </w:rPr>
        <w:t xml:space="preserve"> a las tierras en disputa y no podría haber establecido </w:t>
      </w:r>
      <w:r w:rsidR="00BC7E32">
        <w:rPr>
          <w:szCs w:val="20"/>
        </w:rPr>
        <w:t>el mérito de las violaciones de los</w:t>
      </w:r>
      <w:r w:rsidR="00510E65">
        <w:rPr>
          <w:szCs w:val="20"/>
        </w:rPr>
        <w:t xml:space="preserve"> derechos humanos </w:t>
      </w:r>
      <w:r w:rsidR="00BC7E32">
        <w:rPr>
          <w:szCs w:val="20"/>
        </w:rPr>
        <w:t xml:space="preserve">alegadas, así como </w:t>
      </w:r>
      <w:r w:rsidR="00510E65">
        <w:rPr>
          <w:szCs w:val="20"/>
        </w:rPr>
        <w:t xml:space="preserve">la eventual pertinencia de </w:t>
      </w:r>
      <w:r w:rsidR="003D5872">
        <w:rPr>
          <w:szCs w:val="20"/>
        </w:rPr>
        <w:t xml:space="preserve">ciertas </w:t>
      </w:r>
      <w:r w:rsidR="00510E65">
        <w:rPr>
          <w:szCs w:val="20"/>
        </w:rPr>
        <w:t xml:space="preserve">medidas de reparaciones. </w:t>
      </w:r>
    </w:p>
    <w:p w:rsidR="008B0293" w:rsidRPr="008B0293" w:rsidRDefault="008B0293" w:rsidP="008B0293">
      <w:pPr>
        <w:pStyle w:val="ListParagraph"/>
        <w:rPr>
          <w:szCs w:val="20"/>
        </w:rPr>
      </w:pPr>
    </w:p>
    <w:p w:rsidR="008B0293" w:rsidRPr="008B0293" w:rsidRDefault="00510E65" w:rsidP="008B0293">
      <w:pPr>
        <w:pStyle w:val="ListParagraph"/>
        <w:numPr>
          <w:ilvl w:val="0"/>
          <w:numId w:val="5"/>
        </w:numPr>
        <w:tabs>
          <w:tab w:val="left" w:pos="426"/>
          <w:tab w:val="left" w:pos="709"/>
        </w:tabs>
        <w:ind w:left="0" w:firstLine="0"/>
        <w:rPr>
          <w:szCs w:val="20"/>
        </w:rPr>
      </w:pPr>
      <w:r w:rsidRPr="008B0293">
        <w:rPr>
          <w:szCs w:val="20"/>
        </w:rPr>
        <w:t xml:space="preserve">Por la complejidad de los casos que se relacionan con tierras tradicionales de pueblos indígenas y tribales, especialmente cuando estas están parcialmente ocupadas por terceros, </w:t>
      </w:r>
      <w:r w:rsidR="007C7FD2" w:rsidRPr="008B0293">
        <w:rPr>
          <w:szCs w:val="20"/>
        </w:rPr>
        <w:t xml:space="preserve">es conveniente </w:t>
      </w:r>
      <w:r w:rsidRPr="008B0293">
        <w:rPr>
          <w:szCs w:val="20"/>
        </w:rPr>
        <w:t>que los órganos del Sistema Interameri</w:t>
      </w:r>
      <w:r w:rsidR="00143E3C" w:rsidRPr="008B0293">
        <w:rPr>
          <w:szCs w:val="20"/>
        </w:rPr>
        <w:t>ca</w:t>
      </w:r>
      <w:r w:rsidRPr="008B0293">
        <w:rPr>
          <w:szCs w:val="20"/>
        </w:rPr>
        <w:t xml:space="preserve">no </w:t>
      </w:r>
      <w:r w:rsidR="007C7FD2" w:rsidRPr="008B0293">
        <w:rPr>
          <w:szCs w:val="20"/>
        </w:rPr>
        <w:t>actu</w:t>
      </w:r>
      <w:r w:rsidRPr="008B0293">
        <w:rPr>
          <w:szCs w:val="20"/>
        </w:rPr>
        <w:t>en</w:t>
      </w:r>
      <w:r w:rsidR="007C7FD2" w:rsidRPr="008B0293">
        <w:rPr>
          <w:szCs w:val="20"/>
        </w:rPr>
        <w:t xml:space="preserve"> con </w:t>
      </w:r>
      <w:r w:rsidR="008B0293" w:rsidRPr="008B0293">
        <w:rPr>
          <w:szCs w:val="20"/>
        </w:rPr>
        <w:t>el mayor cuidado posible</w:t>
      </w:r>
      <w:r w:rsidRPr="008B0293">
        <w:rPr>
          <w:szCs w:val="20"/>
        </w:rPr>
        <w:t xml:space="preserve"> y que se verifique con mayor atención los alegatos de las partes y la prueba que se refiere a la</w:t>
      </w:r>
      <w:r w:rsidR="00CE1DE3" w:rsidRPr="008B0293">
        <w:rPr>
          <w:szCs w:val="20"/>
        </w:rPr>
        <w:t>s</w:t>
      </w:r>
      <w:r w:rsidRPr="008B0293">
        <w:rPr>
          <w:szCs w:val="20"/>
        </w:rPr>
        <w:t xml:space="preserve"> </w:t>
      </w:r>
      <w:r w:rsidR="00CE1DE3" w:rsidRPr="008B0293">
        <w:rPr>
          <w:szCs w:val="20"/>
        </w:rPr>
        <w:t>áreas</w:t>
      </w:r>
      <w:r w:rsidRPr="008B0293">
        <w:rPr>
          <w:szCs w:val="20"/>
        </w:rPr>
        <w:t xml:space="preserve"> en disputa</w:t>
      </w:r>
      <w:r w:rsidR="007C7FD2" w:rsidRPr="008B0293">
        <w:rPr>
          <w:szCs w:val="20"/>
        </w:rPr>
        <w:t>. A esto puede contribuir l</w:t>
      </w:r>
      <w:r w:rsidR="00503801" w:rsidRPr="008B0293">
        <w:rPr>
          <w:szCs w:val="20"/>
        </w:rPr>
        <w:t xml:space="preserve">a realización de visitas </w:t>
      </w:r>
      <w:r w:rsidR="00503801" w:rsidRPr="008B0293">
        <w:rPr>
          <w:i/>
          <w:szCs w:val="20"/>
        </w:rPr>
        <w:t>in situ</w:t>
      </w:r>
      <w:r w:rsidR="00503801" w:rsidRPr="008B0293">
        <w:rPr>
          <w:szCs w:val="20"/>
        </w:rPr>
        <w:t xml:space="preserve"> por parte de la Corte, </w:t>
      </w:r>
      <w:r w:rsidR="008B0293" w:rsidRPr="008B0293">
        <w:rPr>
          <w:szCs w:val="20"/>
        </w:rPr>
        <w:t>que le permite</w:t>
      </w:r>
      <w:r w:rsidR="008B0293">
        <w:rPr>
          <w:szCs w:val="20"/>
        </w:rPr>
        <w:t>n</w:t>
      </w:r>
      <w:r w:rsidR="008B0293" w:rsidRPr="008B0293">
        <w:rPr>
          <w:szCs w:val="20"/>
        </w:rPr>
        <w:t xml:space="preserve"> </w:t>
      </w:r>
      <w:r w:rsidR="008B0293">
        <w:rPr>
          <w:szCs w:val="20"/>
        </w:rPr>
        <w:t xml:space="preserve">conocer, ponderar, y profundizar su comprensión de las situaciones de terceros habitantes de las tierras </w:t>
      </w:r>
      <w:r w:rsidR="008B0293">
        <w:rPr>
          <w:szCs w:val="20"/>
        </w:rPr>
        <w:lastRenderedPageBreak/>
        <w:t>reclamadas por la Comunidad. Lo anterior es necesario para intentar evitar,</w:t>
      </w:r>
      <w:r w:rsidR="008B0293" w:rsidRPr="008B0293">
        <w:rPr>
          <w:szCs w:val="20"/>
        </w:rPr>
        <w:t xml:space="preserve"> dentro de las atribuciones o competencias procesales</w:t>
      </w:r>
      <w:r w:rsidR="008B0293">
        <w:rPr>
          <w:szCs w:val="20"/>
        </w:rPr>
        <w:t xml:space="preserve"> de la Corte, </w:t>
      </w:r>
      <w:r w:rsidR="008B0293" w:rsidRPr="008B0293">
        <w:rPr>
          <w:szCs w:val="20"/>
        </w:rPr>
        <w:t xml:space="preserve">que la decisión </w:t>
      </w:r>
      <w:r w:rsidR="008B0293">
        <w:rPr>
          <w:szCs w:val="20"/>
        </w:rPr>
        <w:t xml:space="preserve">rendida por esta </w:t>
      </w:r>
      <w:r w:rsidR="008B0293" w:rsidRPr="008B0293">
        <w:rPr>
          <w:szCs w:val="20"/>
        </w:rPr>
        <w:t>sea ineficaz o injusta</w:t>
      </w:r>
      <w:r w:rsidR="008B0293" w:rsidRPr="008B0293">
        <w:rPr>
          <w:sz w:val="24"/>
          <w:lang w:val="es-ES"/>
        </w:rPr>
        <w:t xml:space="preserve"> </w:t>
      </w:r>
      <w:r w:rsidR="008B0293" w:rsidRPr="008B0293">
        <w:rPr>
          <w:szCs w:val="20"/>
        </w:rPr>
        <w:t xml:space="preserve">respecto de </w:t>
      </w:r>
      <w:r w:rsidR="008B0293">
        <w:rPr>
          <w:szCs w:val="20"/>
        </w:rPr>
        <w:t xml:space="preserve">los referidos </w:t>
      </w:r>
      <w:r w:rsidR="008B0293" w:rsidRPr="008B0293">
        <w:rPr>
          <w:szCs w:val="20"/>
        </w:rPr>
        <w:t>tercer</w:t>
      </w:r>
      <w:r w:rsidR="008B0293">
        <w:rPr>
          <w:szCs w:val="20"/>
        </w:rPr>
        <w:t>os que no son parte en el liti</w:t>
      </w:r>
      <w:r w:rsidR="008B0293" w:rsidRPr="008B0293">
        <w:rPr>
          <w:szCs w:val="20"/>
        </w:rPr>
        <w:t>gio del caso ante la Corte</w:t>
      </w:r>
      <w:r w:rsidR="008B0293">
        <w:rPr>
          <w:szCs w:val="20"/>
        </w:rPr>
        <w:t>.</w:t>
      </w:r>
      <w:r w:rsidR="008B0293" w:rsidRPr="008B0293">
        <w:rPr>
          <w:szCs w:val="20"/>
        </w:rPr>
        <w:t xml:space="preserve"> </w:t>
      </w:r>
    </w:p>
    <w:p w:rsidR="008B0293" w:rsidRPr="008B0293" w:rsidRDefault="008B0293" w:rsidP="008B0293">
      <w:pPr>
        <w:pStyle w:val="ListParagraph"/>
        <w:tabs>
          <w:tab w:val="left" w:pos="426"/>
          <w:tab w:val="left" w:pos="709"/>
        </w:tabs>
        <w:ind w:left="0"/>
        <w:rPr>
          <w:szCs w:val="20"/>
        </w:rPr>
      </w:pPr>
    </w:p>
    <w:p w:rsidR="003D5872" w:rsidRDefault="003D5872" w:rsidP="00101B7D">
      <w:pPr>
        <w:pStyle w:val="ListParagraph"/>
        <w:numPr>
          <w:ilvl w:val="0"/>
          <w:numId w:val="5"/>
        </w:numPr>
        <w:tabs>
          <w:tab w:val="left" w:pos="426"/>
          <w:tab w:val="left" w:pos="709"/>
        </w:tabs>
        <w:ind w:left="0" w:firstLine="0"/>
        <w:rPr>
          <w:szCs w:val="20"/>
        </w:rPr>
      </w:pPr>
      <w:r>
        <w:rPr>
          <w:szCs w:val="20"/>
        </w:rPr>
        <w:t>D</w:t>
      </w:r>
      <w:r w:rsidR="00143E3C">
        <w:rPr>
          <w:szCs w:val="20"/>
        </w:rPr>
        <w:t xml:space="preserve">ichos terceros </w:t>
      </w:r>
      <w:r w:rsidR="00503801">
        <w:rPr>
          <w:szCs w:val="20"/>
        </w:rPr>
        <w:t xml:space="preserve">no </w:t>
      </w:r>
      <w:r w:rsidR="00143E3C">
        <w:rPr>
          <w:szCs w:val="20"/>
        </w:rPr>
        <w:t xml:space="preserve">son parte </w:t>
      </w:r>
      <w:r w:rsidR="00CE1DE3">
        <w:rPr>
          <w:szCs w:val="20"/>
        </w:rPr>
        <w:t xml:space="preserve">en </w:t>
      </w:r>
      <w:r w:rsidR="00143E3C">
        <w:rPr>
          <w:szCs w:val="20"/>
        </w:rPr>
        <w:t>el litigio</w:t>
      </w:r>
      <w:r w:rsidR="00CE1DE3">
        <w:rPr>
          <w:szCs w:val="20"/>
        </w:rPr>
        <w:t xml:space="preserve"> del caso ante la Corte</w:t>
      </w:r>
      <w:r w:rsidR="00143E3C">
        <w:rPr>
          <w:szCs w:val="20"/>
        </w:rPr>
        <w:t>, por lo que posibles violaciones a sus derechos no forman parte del marco fáctico del caso sometido a l</w:t>
      </w:r>
      <w:r w:rsidR="00CE1DE3">
        <w:rPr>
          <w:szCs w:val="20"/>
        </w:rPr>
        <w:t>a Corte y no pueden ser resuelta</w:t>
      </w:r>
      <w:r w:rsidR="00143E3C">
        <w:rPr>
          <w:szCs w:val="20"/>
        </w:rPr>
        <w:t xml:space="preserve">s por esta </w:t>
      </w:r>
      <w:r w:rsidR="00503801">
        <w:rPr>
          <w:szCs w:val="20"/>
        </w:rPr>
        <w:t xml:space="preserve">por consideraciones formales de diseño del Sistema Interamericano de Derechos Humanos. </w:t>
      </w:r>
    </w:p>
    <w:p w:rsidR="003D5872" w:rsidRPr="003D5872" w:rsidRDefault="003D5872" w:rsidP="003D5872">
      <w:pPr>
        <w:pStyle w:val="ListParagraph"/>
        <w:rPr>
          <w:szCs w:val="20"/>
        </w:rPr>
      </w:pPr>
    </w:p>
    <w:p w:rsidR="00536AD7" w:rsidRDefault="00143E3C" w:rsidP="00536AD7">
      <w:pPr>
        <w:pStyle w:val="ListParagraph"/>
        <w:numPr>
          <w:ilvl w:val="0"/>
          <w:numId w:val="5"/>
        </w:numPr>
        <w:tabs>
          <w:tab w:val="left" w:pos="426"/>
          <w:tab w:val="left" w:pos="709"/>
        </w:tabs>
        <w:ind w:left="0" w:firstLine="0"/>
        <w:rPr>
          <w:szCs w:val="20"/>
        </w:rPr>
      </w:pPr>
      <w:r>
        <w:rPr>
          <w:szCs w:val="20"/>
        </w:rPr>
        <w:t xml:space="preserve">Tomando en cuenta todo lo anterior, </w:t>
      </w:r>
      <w:r w:rsidR="00503801">
        <w:rPr>
          <w:szCs w:val="20"/>
        </w:rPr>
        <w:t xml:space="preserve">es deseable que la Corte continúe con </w:t>
      </w:r>
      <w:r>
        <w:rPr>
          <w:szCs w:val="20"/>
        </w:rPr>
        <w:t>su</w:t>
      </w:r>
      <w:r w:rsidR="00503801">
        <w:rPr>
          <w:szCs w:val="20"/>
        </w:rPr>
        <w:t xml:space="preserve"> práctica de </w:t>
      </w:r>
      <w:r>
        <w:rPr>
          <w:szCs w:val="20"/>
        </w:rPr>
        <w:t xml:space="preserve">realizar </w:t>
      </w:r>
      <w:r w:rsidR="00503801">
        <w:rPr>
          <w:szCs w:val="20"/>
        </w:rPr>
        <w:t>diligencias de este tipo</w:t>
      </w:r>
      <w:r>
        <w:rPr>
          <w:szCs w:val="20"/>
        </w:rPr>
        <w:t xml:space="preserve"> en casos en los cuales esto sea útil o </w:t>
      </w:r>
      <w:r w:rsidR="009E31E7">
        <w:rPr>
          <w:szCs w:val="20"/>
        </w:rPr>
        <w:t>necesario</w:t>
      </w:r>
      <w:r>
        <w:rPr>
          <w:szCs w:val="20"/>
        </w:rPr>
        <w:t xml:space="preserve"> para clarificar la situación fáctica</w:t>
      </w:r>
      <w:r w:rsidR="00503801">
        <w:rPr>
          <w:szCs w:val="20"/>
        </w:rPr>
        <w:t xml:space="preserve">, </w:t>
      </w:r>
      <w:r>
        <w:rPr>
          <w:szCs w:val="20"/>
        </w:rPr>
        <w:t xml:space="preserve">para contribuir a que las </w:t>
      </w:r>
      <w:r w:rsidR="003D5872">
        <w:rPr>
          <w:szCs w:val="20"/>
        </w:rPr>
        <w:t>Sentencias que el Tribunal dicte</w:t>
      </w:r>
      <w:r>
        <w:rPr>
          <w:szCs w:val="20"/>
        </w:rPr>
        <w:t xml:space="preserve"> cumpl</w:t>
      </w:r>
      <w:r w:rsidR="00491D49">
        <w:rPr>
          <w:szCs w:val="20"/>
        </w:rPr>
        <w:t>a</w:t>
      </w:r>
      <w:r>
        <w:rPr>
          <w:szCs w:val="20"/>
        </w:rPr>
        <w:t xml:space="preserve">n con </w:t>
      </w:r>
      <w:r w:rsidR="009E31E7">
        <w:rPr>
          <w:szCs w:val="20"/>
        </w:rPr>
        <w:t>su</w:t>
      </w:r>
      <w:r>
        <w:rPr>
          <w:szCs w:val="20"/>
        </w:rPr>
        <w:t>s objetivos, en particular en lo que se refiere a la determinación de eventuales infracciones a los derechos humanos y la resolución de la</w:t>
      </w:r>
      <w:r w:rsidR="003D5872">
        <w:rPr>
          <w:szCs w:val="20"/>
        </w:rPr>
        <w:t>s</w:t>
      </w:r>
      <w:r>
        <w:rPr>
          <w:szCs w:val="20"/>
        </w:rPr>
        <w:t xml:space="preserve"> controversia</w:t>
      </w:r>
      <w:r w:rsidR="003D5872">
        <w:rPr>
          <w:szCs w:val="20"/>
        </w:rPr>
        <w:t>s</w:t>
      </w:r>
      <w:r>
        <w:rPr>
          <w:szCs w:val="20"/>
        </w:rPr>
        <w:t xml:space="preserve"> planteada</w:t>
      </w:r>
      <w:r w:rsidR="003D5872">
        <w:rPr>
          <w:szCs w:val="20"/>
        </w:rPr>
        <w:t>s</w:t>
      </w:r>
      <w:r w:rsidR="00503801">
        <w:rPr>
          <w:szCs w:val="20"/>
        </w:rPr>
        <w:t xml:space="preserve">. </w:t>
      </w:r>
      <w:r w:rsidR="008067CE">
        <w:rPr>
          <w:szCs w:val="20"/>
        </w:rPr>
        <w:t xml:space="preserve">De la misma manera, </w:t>
      </w:r>
      <w:r w:rsidR="008067CE">
        <w:rPr>
          <w:szCs w:val="20"/>
          <w:lang w:val="es-ES"/>
        </w:rPr>
        <w:t xml:space="preserve">puede ser conveniente, y en ocasiones necesario, considerar la posibilidad de realizar este tipo de diligencias judiciales durante la fase de supervisión de cumplimiento de Sentencias por la Corte, precisamente para verificar la situación </w:t>
      </w:r>
      <w:r w:rsidR="008067CE" w:rsidRPr="008067CE">
        <w:rPr>
          <w:i/>
          <w:szCs w:val="20"/>
          <w:lang w:val="es-ES"/>
        </w:rPr>
        <w:t>in situ</w:t>
      </w:r>
      <w:r w:rsidR="008067CE">
        <w:rPr>
          <w:szCs w:val="20"/>
          <w:lang w:val="es-ES"/>
        </w:rPr>
        <w:t xml:space="preserve"> posterior a la emisión de la Sentencia y para asegurar que la implementación de la misma a nivel interno </w:t>
      </w:r>
      <w:r w:rsidR="006E0AA5">
        <w:rPr>
          <w:szCs w:val="20"/>
          <w:lang w:val="es-ES"/>
        </w:rPr>
        <w:t xml:space="preserve">no conlleva </w:t>
      </w:r>
      <w:r w:rsidR="008067CE">
        <w:rPr>
          <w:szCs w:val="20"/>
          <w:lang w:val="es-ES"/>
        </w:rPr>
        <w:t xml:space="preserve"> actividades que puedan generar daños a terceros. </w:t>
      </w:r>
    </w:p>
    <w:p w:rsidR="00C72CE1" w:rsidRDefault="00C72CE1" w:rsidP="00536AD7">
      <w:pPr>
        <w:pStyle w:val="ListParagraph"/>
        <w:tabs>
          <w:tab w:val="left" w:pos="426"/>
          <w:tab w:val="left" w:pos="709"/>
        </w:tabs>
        <w:ind w:left="0"/>
        <w:rPr>
          <w:szCs w:val="20"/>
        </w:rPr>
      </w:pPr>
    </w:p>
    <w:p w:rsidR="00536AD7" w:rsidRPr="00536AD7" w:rsidRDefault="00536AD7" w:rsidP="00536AD7">
      <w:pPr>
        <w:pStyle w:val="ListParagraph"/>
        <w:tabs>
          <w:tab w:val="left" w:pos="426"/>
          <w:tab w:val="left" w:pos="709"/>
        </w:tabs>
        <w:ind w:left="0"/>
        <w:rPr>
          <w:szCs w:val="20"/>
        </w:rPr>
      </w:pPr>
    </w:p>
    <w:p w:rsidR="00FC3BF8" w:rsidRDefault="00F31BDF" w:rsidP="004B201D">
      <w:pPr>
        <w:pStyle w:val="ListParagraph"/>
        <w:numPr>
          <w:ilvl w:val="0"/>
          <w:numId w:val="3"/>
        </w:numPr>
        <w:tabs>
          <w:tab w:val="left" w:pos="709"/>
        </w:tabs>
        <w:rPr>
          <w:rFonts w:eastAsia="Calibri" w:cs="Times New Roman"/>
          <w:b/>
          <w:noProof w:val="0"/>
          <w:szCs w:val="20"/>
          <w:lang w:val="es-CR"/>
        </w:rPr>
      </w:pPr>
      <w:r w:rsidRPr="00C72CE1">
        <w:rPr>
          <w:rFonts w:eastAsia="Calibri" w:cs="Times New Roman"/>
          <w:b/>
          <w:noProof w:val="0"/>
          <w:szCs w:val="20"/>
          <w:lang w:val="es-CR"/>
        </w:rPr>
        <w:t xml:space="preserve">La lógica de la medida de reparación </w:t>
      </w:r>
      <w:r w:rsidR="000D3035">
        <w:rPr>
          <w:rFonts w:eastAsia="Calibri" w:cs="Times New Roman"/>
          <w:b/>
          <w:noProof w:val="0"/>
          <w:szCs w:val="20"/>
          <w:lang w:val="es-CR"/>
        </w:rPr>
        <w:t xml:space="preserve">colectiva </w:t>
      </w:r>
      <w:r w:rsidRPr="00C72CE1">
        <w:rPr>
          <w:rFonts w:eastAsia="Calibri" w:cs="Times New Roman"/>
          <w:b/>
          <w:noProof w:val="0"/>
          <w:szCs w:val="20"/>
          <w:lang w:val="es-CR"/>
        </w:rPr>
        <w:t>consistente en la creación de un fondo de desarrollo</w:t>
      </w:r>
      <w:r w:rsidR="00452832">
        <w:rPr>
          <w:rFonts w:eastAsia="Calibri" w:cs="Times New Roman"/>
          <w:b/>
          <w:noProof w:val="0"/>
          <w:szCs w:val="20"/>
          <w:lang w:val="es-CR"/>
        </w:rPr>
        <w:t xml:space="preserve"> comunitario</w:t>
      </w:r>
    </w:p>
    <w:p w:rsidR="00F31BDF" w:rsidRDefault="00F31BDF" w:rsidP="00536AD7">
      <w:pPr>
        <w:rPr>
          <w:b/>
          <w:caps/>
          <w:szCs w:val="20"/>
        </w:rPr>
      </w:pPr>
    </w:p>
    <w:p w:rsidR="00287D3E" w:rsidRPr="00287D3E" w:rsidRDefault="00B23B98" w:rsidP="00107370">
      <w:pPr>
        <w:pStyle w:val="ListParagraph"/>
        <w:numPr>
          <w:ilvl w:val="0"/>
          <w:numId w:val="5"/>
        </w:numPr>
        <w:tabs>
          <w:tab w:val="left" w:pos="426"/>
          <w:tab w:val="left" w:pos="709"/>
        </w:tabs>
        <w:ind w:left="0" w:firstLine="0"/>
        <w:rPr>
          <w:szCs w:val="20"/>
        </w:rPr>
      </w:pPr>
      <w:r>
        <w:rPr>
          <w:szCs w:val="20"/>
        </w:rPr>
        <w:t xml:space="preserve">En </w:t>
      </w:r>
      <w:r w:rsidR="00C23EE9">
        <w:rPr>
          <w:szCs w:val="20"/>
        </w:rPr>
        <w:t>la</w:t>
      </w:r>
      <w:r w:rsidR="00C025F4">
        <w:rPr>
          <w:szCs w:val="20"/>
        </w:rPr>
        <w:t xml:space="preserve"> Sentencia</w:t>
      </w:r>
      <w:r>
        <w:rPr>
          <w:szCs w:val="20"/>
        </w:rPr>
        <w:t xml:space="preserve"> la Corte ordenó </w:t>
      </w:r>
      <w:r w:rsidR="006A4EE9">
        <w:rPr>
          <w:szCs w:val="20"/>
        </w:rPr>
        <w:t xml:space="preserve">como medida de reparación por daños materiales e inmateriales </w:t>
      </w:r>
      <w:r>
        <w:rPr>
          <w:szCs w:val="20"/>
        </w:rPr>
        <w:t>una compensación colectiva a través de un fondo de desarrollo comun</w:t>
      </w:r>
      <w:r w:rsidR="00C23EE9">
        <w:rPr>
          <w:szCs w:val="20"/>
        </w:rPr>
        <w:t>i</w:t>
      </w:r>
      <w:r>
        <w:rPr>
          <w:szCs w:val="20"/>
        </w:rPr>
        <w:t xml:space="preserve">tario. </w:t>
      </w:r>
      <w:r w:rsidR="006A4EE9">
        <w:rPr>
          <w:szCs w:val="20"/>
        </w:rPr>
        <w:t>En lo</w:t>
      </w:r>
      <w:r w:rsidR="000E2606">
        <w:rPr>
          <w:szCs w:val="20"/>
        </w:rPr>
        <w:t>s párrafos siguientes</w:t>
      </w:r>
      <w:r w:rsidR="006A4EE9">
        <w:rPr>
          <w:szCs w:val="20"/>
        </w:rPr>
        <w:t>, q</w:t>
      </w:r>
      <w:r w:rsidR="00FC3BF8">
        <w:rPr>
          <w:szCs w:val="20"/>
        </w:rPr>
        <w:t xml:space="preserve">uiero </w:t>
      </w:r>
      <w:r w:rsidR="00B62B41">
        <w:rPr>
          <w:lang w:val="es-ES"/>
        </w:rPr>
        <w:t>precisar algunos aspectos sobre la naturaleza jurídica de esta medida de reparación y</w:t>
      </w:r>
      <w:r w:rsidR="00C23EE9">
        <w:rPr>
          <w:lang w:val="es-ES"/>
        </w:rPr>
        <w:t>,</w:t>
      </w:r>
      <w:r w:rsidR="00B62B41">
        <w:rPr>
          <w:lang w:val="es-ES"/>
        </w:rPr>
        <w:t xml:space="preserve"> en particular</w:t>
      </w:r>
      <w:r w:rsidR="00C23EE9">
        <w:rPr>
          <w:lang w:val="es-ES"/>
        </w:rPr>
        <w:t>,</w:t>
      </w:r>
      <w:r w:rsidR="00B62B41">
        <w:rPr>
          <w:lang w:val="es-ES"/>
        </w:rPr>
        <w:t xml:space="preserve"> destacar la distinción o diferencia entre esta medida de reparación y las obligaciones permanentes y generales de los Estados </w:t>
      </w:r>
      <w:r w:rsidR="00C23EE9">
        <w:rPr>
          <w:lang w:val="es-ES"/>
        </w:rPr>
        <w:t>para</w:t>
      </w:r>
      <w:r w:rsidR="00B62B41">
        <w:rPr>
          <w:lang w:val="es-ES"/>
        </w:rPr>
        <w:t xml:space="preserve"> garantizar los derechos </w:t>
      </w:r>
      <w:r w:rsidR="00C23EE9">
        <w:rPr>
          <w:lang w:val="es-ES"/>
        </w:rPr>
        <w:t>humanos de sus ciudadanos</w:t>
      </w:r>
      <w:r w:rsidR="00B62B41">
        <w:rPr>
          <w:lang w:val="es-ES"/>
        </w:rPr>
        <w:t xml:space="preserve">. </w:t>
      </w:r>
    </w:p>
    <w:p w:rsidR="00287D3E" w:rsidRPr="00287D3E" w:rsidRDefault="00287D3E" w:rsidP="00287D3E">
      <w:pPr>
        <w:pStyle w:val="ListParagraph"/>
        <w:tabs>
          <w:tab w:val="left" w:pos="426"/>
          <w:tab w:val="left" w:pos="709"/>
        </w:tabs>
        <w:ind w:left="0"/>
        <w:rPr>
          <w:szCs w:val="20"/>
        </w:rPr>
      </w:pPr>
    </w:p>
    <w:p w:rsidR="003B0B4C" w:rsidRPr="009A0B09" w:rsidRDefault="00B62B41" w:rsidP="003B0B4C">
      <w:pPr>
        <w:pStyle w:val="ListParagraph"/>
        <w:numPr>
          <w:ilvl w:val="0"/>
          <w:numId w:val="5"/>
        </w:numPr>
        <w:tabs>
          <w:tab w:val="left" w:pos="426"/>
          <w:tab w:val="left" w:pos="709"/>
        </w:tabs>
        <w:ind w:left="0" w:firstLine="0"/>
        <w:rPr>
          <w:szCs w:val="20"/>
        </w:rPr>
      </w:pPr>
      <w:r>
        <w:rPr>
          <w:szCs w:val="20"/>
        </w:rPr>
        <w:t xml:space="preserve">Para tales fines, </w:t>
      </w:r>
      <w:r>
        <w:rPr>
          <w:lang w:val="es-ES"/>
        </w:rPr>
        <w:t>a continuación</w:t>
      </w:r>
      <w:r w:rsidR="000D3035">
        <w:rPr>
          <w:szCs w:val="20"/>
        </w:rPr>
        <w:t xml:space="preserve"> </w:t>
      </w:r>
      <w:r>
        <w:rPr>
          <w:szCs w:val="20"/>
        </w:rPr>
        <w:t>se analizará</w:t>
      </w:r>
      <w:r w:rsidR="006A4EE9">
        <w:rPr>
          <w:szCs w:val="20"/>
        </w:rPr>
        <w:t xml:space="preserve">: </w:t>
      </w:r>
      <w:r w:rsidR="00FC3BF8" w:rsidRPr="00FC3BF8">
        <w:rPr>
          <w:szCs w:val="20"/>
        </w:rPr>
        <w:t xml:space="preserve">i) la </w:t>
      </w:r>
      <w:r w:rsidR="003B0B4C">
        <w:rPr>
          <w:szCs w:val="20"/>
        </w:rPr>
        <w:t xml:space="preserve">diferencia entre la reparación colectiva y las obligaciones generales </w:t>
      </w:r>
      <w:r w:rsidR="00287D3E">
        <w:rPr>
          <w:szCs w:val="20"/>
        </w:rPr>
        <w:t>de los Estados en materia de derechos humanos</w:t>
      </w:r>
      <w:r w:rsidR="00AB6634">
        <w:rPr>
          <w:szCs w:val="20"/>
        </w:rPr>
        <w:t>;</w:t>
      </w:r>
      <w:r w:rsidR="003B0B4C">
        <w:rPr>
          <w:szCs w:val="20"/>
        </w:rPr>
        <w:t xml:space="preserve"> ii) el desarrollo jurisprudencial de la Corte respecto de</w:t>
      </w:r>
      <w:r w:rsidR="00287D3E">
        <w:rPr>
          <w:szCs w:val="20"/>
        </w:rPr>
        <w:t xml:space="preserve"> </w:t>
      </w:r>
      <w:r w:rsidR="003B0B4C">
        <w:rPr>
          <w:szCs w:val="20"/>
        </w:rPr>
        <w:t>l</w:t>
      </w:r>
      <w:r w:rsidR="00287D3E">
        <w:rPr>
          <w:szCs w:val="20"/>
        </w:rPr>
        <w:t>a</w:t>
      </w:r>
      <w:r w:rsidR="003B0B4C">
        <w:rPr>
          <w:szCs w:val="20"/>
        </w:rPr>
        <w:t xml:space="preserve"> </w:t>
      </w:r>
      <w:r w:rsidR="00287D3E">
        <w:rPr>
          <w:szCs w:val="20"/>
        </w:rPr>
        <w:t>personalidad jurídica de los pueblos indígenas o tribales y el daño colectivo</w:t>
      </w:r>
      <w:r w:rsidR="003B0B4C">
        <w:rPr>
          <w:szCs w:val="20"/>
        </w:rPr>
        <w:t xml:space="preserve">, </w:t>
      </w:r>
      <w:r w:rsidR="00FC3BF8" w:rsidRPr="00FC3BF8">
        <w:rPr>
          <w:szCs w:val="20"/>
        </w:rPr>
        <w:t>y ii</w:t>
      </w:r>
      <w:r w:rsidR="003B0B4C">
        <w:rPr>
          <w:szCs w:val="20"/>
        </w:rPr>
        <w:t>i</w:t>
      </w:r>
      <w:r w:rsidR="00FC3BF8" w:rsidRPr="00FC3BF8">
        <w:rPr>
          <w:szCs w:val="20"/>
        </w:rPr>
        <w:t>) aspectos relacionados con la administración de</w:t>
      </w:r>
      <w:r w:rsidR="003B0B4C">
        <w:rPr>
          <w:szCs w:val="20"/>
        </w:rPr>
        <w:t>l</w:t>
      </w:r>
      <w:r w:rsidR="00FC3BF8" w:rsidRPr="00FC3BF8">
        <w:rPr>
          <w:szCs w:val="20"/>
        </w:rPr>
        <w:t xml:space="preserve"> Fondo</w:t>
      </w:r>
      <w:r w:rsidR="003B0B4C">
        <w:rPr>
          <w:szCs w:val="20"/>
        </w:rPr>
        <w:t xml:space="preserve"> de desarrollo comunitario</w:t>
      </w:r>
      <w:r w:rsidR="00FC3BF8" w:rsidRPr="00FC3BF8">
        <w:rPr>
          <w:szCs w:val="20"/>
        </w:rPr>
        <w:t xml:space="preserve">. </w:t>
      </w:r>
    </w:p>
    <w:p w:rsidR="002B2571" w:rsidRDefault="002B2571" w:rsidP="00107370">
      <w:pPr>
        <w:tabs>
          <w:tab w:val="left" w:pos="426"/>
          <w:tab w:val="left" w:pos="709"/>
        </w:tabs>
        <w:rPr>
          <w:szCs w:val="20"/>
        </w:rPr>
      </w:pPr>
    </w:p>
    <w:p w:rsidR="003B0B4C" w:rsidRPr="009A0B09" w:rsidRDefault="00F67C4B" w:rsidP="009A0B09">
      <w:pPr>
        <w:pStyle w:val="ListParagraph"/>
        <w:numPr>
          <w:ilvl w:val="0"/>
          <w:numId w:val="16"/>
        </w:numPr>
        <w:tabs>
          <w:tab w:val="left" w:pos="426"/>
        </w:tabs>
        <w:ind w:left="1080"/>
        <w:rPr>
          <w:i/>
          <w:szCs w:val="20"/>
        </w:rPr>
      </w:pPr>
      <w:r>
        <w:rPr>
          <w:i/>
          <w:szCs w:val="20"/>
        </w:rPr>
        <w:t>L</w:t>
      </w:r>
      <w:r w:rsidR="003B0B4C" w:rsidRPr="003B0B4C">
        <w:rPr>
          <w:i/>
          <w:szCs w:val="20"/>
        </w:rPr>
        <w:t xml:space="preserve">a diferencia entre la reparación colectiva y las obligaciones generales de </w:t>
      </w:r>
      <w:r w:rsidR="00536AD7">
        <w:rPr>
          <w:i/>
          <w:szCs w:val="20"/>
        </w:rPr>
        <w:t xml:space="preserve">los </w:t>
      </w:r>
      <w:r w:rsidR="003B0B4C" w:rsidRPr="003B0B4C">
        <w:rPr>
          <w:i/>
          <w:szCs w:val="20"/>
        </w:rPr>
        <w:t>Estados</w:t>
      </w:r>
      <w:r w:rsidR="00287D3E" w:rsidRPr="00287D3E">
        <w:rPr>
          <w:szCs w:val="20"/>
        </w:rPr>
        <w:t xml:space="preserve"> </w:t>
      </w:r>
      <w:r w:rsidR="00287D3E" w:rsidRPr="00287D3E">
        <w:rPr>
          <w:i/>
          <w:szCs w:val="20"/>
        </w:rPr>
        <w:t>en materia de derechos humanos</w:t>
      </w:r>
    </w:p>
    <w:p w:rsidR="00DD7A7F" w:rsidRDefault="00DD7A7F" w:rsidP="00DD7A7F">
      <w:pPr>
        <w:tabs>
          <w:tab w:val="left" w:pos="426"/>
          <w:tab w:val="left" w:pos="709"/>
        </w:tabs>
        <w:rPr>
          <w:szCs w:val="20"/>
        </w:rPr>
      </w:pPr>
    </w:p>
    <w:p w:rsidR="00DD7A7F" w:rsidRPr="00B86193" w:rsidRDefault="00CA401F" w:rsidP="00BA1828">
      <w:pPr>
        <w:pStyle w:val="ListParagraph"/>
        <w:numPr>
          <w:ilvl w:val="0"/>
          <w:numId w:val="5"/>
        </w:numPr>
        <w:tabs>
          <w:tab w:val="left" w:pos="426"/>
          <w:tab w:val="left" w:pos="709"/>
        </w:tabs>
        <w:ind w:left="0" w:firstLine="0"/>
        <w:rPr>
          <w:szCs w:val="20"/>
        </w:rPr>
      </w:pPr>
      <w:r>
        <w:rPr>
          <w:szCs w:val="20"/>
        </w:rPr>
        <w:t xml:space="preserve">En la </w:t>
      </w:r>
      <w:r w:rsidRPr="00BA1828">
        <w:rPr>
          <w:lang w:val="es-ES"/>
        </w:rPr>
        <w:t>Sentencia</w:t>
      </w:r>
      <w:r>
        <w:rPr>
          <w:szCs w:val="20"/>
        </w:rPr>
        <w:t xml:space="preserve"> </w:t>
      </w:r>
      <w:r w:rsidRPr="00B86193">
        <w:rPr>
          <w:szCs w:val="20"/>
        </w:rPr>
        <w:t>se ordenó la siguiente medida de reparación:</w:t>
      </w:r>
    </w:p>
    <w:p w:rsidR="00CA401F" w:rsidRDefault="00CA401F" w:rsidP="00CA401F">
      <w:pPr>
        <w:pStyle w:val="ListParagraph"/>
        <w:rPr>
          <w:szCs w:val="20"/>
        </w:rPr>
      </w:pPr>
    </w:p>
    <w:p w:rsidR="00CA401F" w:rsidRDefault="00CA401F" w:rsidP="00CA401F">
      <w:pPr>
        <w:pStyle w:val="ListParagraph"/>
        <w:rPr>
          <w:rFonts w:eastAsia="Times New Roman" w:cs="Tahoma"/>
          <w:noProof w:val="0"/>
          <w:color w:val="000000"/>
          <w:sz w:val="16"/>
          <w:szCs w:val="16"/>
          <w:lang w:val="es-CR" w:eastAsia="es-CR"/>
        </w:rPr>
      </w:pPr>
      <w:r w:rsidRPr="00B86193">
        <w:rPr>
          <w:rFonts w:eastAsia="Times New Roman" w:cs="Tahoma"/>
          <w:noProof w:val="0"/>
          <w:color w:val="000000"/>
          <w:sz w:val="16"/>
          <w:szCs w:val="16"/>
          <w:lang w:val="es-CR" w:eastAsia="es-CR"/>
        </w:rPr>
        <w:t>En vista de que el Estado fue encontrado responsable por la violación de los artículos 2, 21, 8 y 25 de la Convención, así como con motivo de que la variedad de las medidas de reparación solicitadas por los representantes pretenden en su conjunto beneficiar a la Comunidad Triunfo de la Cruz, la Corte estima apropiado analizar dichas medidas a la luz de la creación de un Fondo de desarrollo comunitario como compensación por el daño material e inmaterial que los miembros de la Comunidad han sufrido. En este sentido, dicho Fondo es adicional a cualquier otro beneficio presente o futuro que le corresponda a la Comunidad Triunfo de la Cruz en relación con los deberes generales de desarrollo del Estado</w:t>
      </w:r>
      <w:r w:rsidR="00B86193">
        <w:rPr>
          <w:rStyle w:val="FootnoteReference"/>
          <w:szCs w:val="20"/>
        </w:rPr>
        <w:footnoteReference w:id="13"/>
      </w:r>
      <w:r w:rsidRPr="00B86193">
        <w:rPr>
          <w:rFonts w:eastAsia="Times New Roman" w:cs="Tahoma"/>
          <w:noProof w:val="0"/>
          <w:color w:val="000000"/>
          <w:sz w:val="16"/>
          <w:szCs w:val="16"/>
          <w:lang w:val="es-CR" w:eastAsia="es-CR"/>
        </w:rPr>
        <w:t xml:space="preserve">. </w:t>
      </w:r>
    </w:p>
    <w:p w:rsidR="00B86193" w:rsidRPr="00B86193" w:rsidRDefault="00B86193" w:rsidP="00CA401F">
      <w:pPr>
        <w:pStyle w:val="ListParagraph"/>
        <w:rPr>
          <w:rFonts w:eastAsia="Times New Roman" w:cs="Tahoma"/>
          <w:noProof w:val="0"/>
          <w:color w:val="000000"/>
          <w:sz w:val="16"/>
          <w:szCs w:val="16"/>
          <w:lang w:val="es-CR" w:eastAsia="es-CR"/>
        </w:rPr>
      </w:pPr>
    </w:p>
    <w:p w:rsidR="00CA401F" w:rsidRDefault="00B86193" w:rsidP="00B86193">
      <w:pPr>
        <w:pStyle w:val="ListParagraph"/>
        <w:numPr>
          <w:ilvl w:val="0"/>
          <w:numId w:val="5"/>
        </w:numPr>
        <w:tabs>
          <w:tab w:val="left" w:pos="426"/>
          <w:tab w:val="left" w:pos="709"/>
        </w:tabs>
        <w:ind w:left="0" w:firstLine="0"/>
        <w:rPr>
          <w:szCs w:val="20"/>
        </w:rPr>
      </w:pPr>
      <w:r>
        <w:rPr>
          <w:szCs w:val="20"/>
        </w:rPr>
        <w:lastRenderedPageBreak/>
        <w:t>Asimismo, tomando en cuenta</w:t>
      </w:r>
      <w:r w:rsidR="00CA401F" w:rsidRPr="00CA401F">
        <w:rPr>
          <w:szCs w:val="20"/>
        </w:rPr>
        <w:t xml:space="preserve">: </w:t>
      </w:r>
      <w:r>
        <w:rPr>
          <w:szCs w:val="20"/>
        </w:rPr>
        <w:t>“</w:t>
      </w:r>
      <w:r w:rsidR="00CA401F" w:rsidRPr="00CA401F">
        <w:rPr>
          <w:szCs w:val="20"/>
        </w:rPr>
        <w:t xml:space="preserve">i) la desposesión de su territorio; ii) los daños ocasionados al mismo y iii) que los pueblos indígenas tienen derecho a la conservación y protección de su medio ambiente y de la capacidad </w:t>
      </w:r>
      <w:r w:rsidR="00CA401F" w:rsidRPr="00B86193">
        <w:rPr>
          <w:lang w:val="es-ES"/>
        </w:rPr>
        <w:t>productiva</w:t>
      </w:r>
      <w:r w:rsidR="00CA401F" w:rsidRPr="00CA401F">
        <w:rPr>
          <w:szCs w:val="20"/>
        </w:rPr>
        <w:t xml:space="preserve"> de sus territorios y recursos naturales</w:t>
      </w:r>
      <w:r>
        <w:rPr>
          <w:szCs w:val="20"/>
        </w:rPr>
        <w:t>”</w:t>
      </w:r>
      <w:r w:rsidR="002B4BB5">
        <w:rPr>
          <w:szCs w:val="20"/>
        </w:rPr>
        <w:t>, la Corte</w:t>
      </w:r>
      <w:r>
        <w:rPr>
          <w:szCs w:val="20"/>
        </w:rPr>
        <w:t xml:space="preserve"> estableció que “</w:t>
      </w:r>
      <w:r w:rsidR="00CA401F" w:rsidRPr="00CA401F">
        <w:rPr>
          <w:szCs w:val="20"/>
        </w:rPr>
        <w:t>el Fondo deberá ser destinado, conforme se acuerde con la Comunidad Triunfo de la Cruz, a: i) desarrollar proyectos orientados a aumentar la productividad agrícola o de otra índole en la Comunidad; ii) mejorar la infraestructura de la Comunidad de acuerdo con sus necesidades presentes y futuras; iii) restaurar las áreas deforestadas, y iv) otros que consideren pertinentes en beneficio de la Comunidad Triunfo de la Cruz</w:t>
      </w:r>
      <w:r>
        <w:rPr>
          <w:szCs w:val="20"/>
        </w:rPr>
        <w:t>”</w:t>
      </w:r>
      <w:r w:rsidR="002B4BB5">
        <w:rPr>
          <w:rStyle w:val="FootnoteReference"/>
          <w:szCs w:val="20"/>
        </w:rPr>
        <w:footnoteReference w:id="14"/>
      </w:r>
      <w:r w:rsidR="00CA401F" w:rsidRPr="00CA401F">
        <w:rPr>
          <w:szCs w:val="20"/>
        </w:rPr>
        <w:t>.</w:t>
      </w:r>
    </w:p>
    <w:p w:rsidR="00B86193" w:rsidRPr="00CA401F" w:rsidRDefault="00B86193" w:rsidP="00B86193">
      <w:pPr>
        <w:pStyle w:val="ListParagraph"/>
        <w:tabs>
          <w:tab w:val="left" w:pos="426"/>
          <w:tab w:val="left" w:pos="709"/>
        </w:tabs>
        <w:ind w:left="0"/>
        <w:rPr>
          <w:szCs w:val="20"/>
        </w:rPr>
      </w:pPr>
    </w:p>
    <w:p w:rsidR="00CA401F" w:rsidRPr="00723FF6" w:rsidRDefault="00B86193" w:rsidP="00723FF6">
      <w:pPr>
        <w:pStyle w:val="ListParagraph"/>
        <w:numPr>
          <w:ilvl w:val="0"/>
          <w:numId w:val="5"/>
        </w:numPr>
        <w:tabs>
          <w:tab w:val="left" w:pos="426"/>
          <w:tab w:val="left" w:pos="709"/>
        </w:tabs>
        <w:ind w:left="0" w:firstLine="0"/>
        <w:rPr>
          <w:szCs w:val="20"/>
        </w:rPr>
      </w:pPr>
      <w:r>
        <w:rPr>
          <w:szCs w:val="20"/>
        </w:rPr>
        <w:t xml:space="preserve">Adicionalmente, la Sentencia </w:t>
      </w:r>
      <w:r w:rsidR="00723FF6">
        <w:rPr>
          <w:szCs w:val="20"/>
        </w:rPr>
        <w:t>establec</w:t>
      </w:r>
      <w:r w:rsidR="00CB1377">
        <w:rPr>
          <w:szCs w:val="20"/>
        </w:rPr>
        <w:t>e</w:t>
      </w:r>
      <w:r w:rsidR="00723FF6">
        <w:rPr>
          <w:szCs w:val="20"/>
        </w:rPr>
        <w:t xml:space="preserve"> que el Estado deberá destinar cierta suma para inversión “</w:t>
      </w:r>
      <w:r w:rsidR="00CA401F" w:rsidRPr="00CA401F">
        <w:rPr>
          <w:szCs w:val="20"/>
        </w:rPr>
        <w:t>para el beneficio del territorio titulado de la Comunidad Triunfo de la Cruz</w:t>
      </w:r>
      <w:r w:rsidR="00723FF6">
        <w:rPr>
          <w:szCs w:val="20"/>
        </w:rPr>
        <w:t>” y que las partes deberán “</w:t>
      </w:r>
      <w:r w:rsidR="00CA401F" w:rsidRPr="00723FF6">
        <w:rPr>
          <w:szCs w:val="20"/>
        </w:rPr>
        <w:t>remitir a la Corte un informe anual durante el per</w:t>
      </w:r>
      <w:r w:rsidR="00AB6634">
        <w:rPr>
          <w:szCs w:val="20"/>
        </w:rPr>
        <w:t>í</w:t>
      </w:r>
      <w:r w:rsidR="00CA401F" w:rsidRPr="00723FF6">
        <w:rPr>
          <w:szCs w:val="20"/>
        </w:rPr>
        <w:t>odo de ejecución en el cual se detallen los proyectos en los que se invertirá el monto destinado al Fondo</w:t>
      </w:r>
      <w:r w:rsidR="00723FF6">
        <w:rPr>
          <w:szCs w:val="20"/>
        </w:rPr>
        <w:t>”</w:t>
      </w:r>
      <w:r w:rsidR="002B4BB5">
        <w:rPr>
          <w:rStyle w:val="FootnoteReference"/>
          <w:szCs w:val="20"/>
        </w:rPr>
        <w:footnoteReference w:id="15"/>
      </w:r>
      <w:r w:rsidR="00CA401F" w:rsidRPr="00723FF6">
        <w:rPr>
          <w:szCs w:val="20"/>
        </w:rPr>
        <w:t>.</w:t>
      </w:r>
    </w:p>
    <w:p w:rsidR="00DD7A7F" w:rsidRDefault="00DD7A7F" w:rsidP="00DD7A7F">
      <w:pPr>
        <w:tabs>
          <w:tab w:val="left" w:pos="426"/>
          <w:tab w:val="left" w:pos="709"/>
        </w:tabs>
        <w:rPr>
          <w:szCs w:val="20"/>
        </w:rPr>
      </w:pPr>
    </w:p>
    <w:p w:rsidR="00E5116B" w:rsidRDefault="006D4A63" w:rsidP="00E5116B">
      <w:pPr>
        <w:pStyle w:val="ListParagraph"/>
        <w:numPr>
          <w:ilvl w:val="0"/>
          <w:numId w:val="5"/>
        </w:numPr>
        <w:tabs>
          <w:tab w:val="left" w:pos="426"/>
          <w:tab w:val="left" w:pos="709"/>
        </w:tabs>
        <w:ind w:left="0" w:firstLine="0"/>
        <w:rPr>
          <w:szCs w:val="20"/>
        </w:rPr>
      </w:pPr>
      <w:r>
        <w:rPr>
          <w:szCs w:val="20"/>
        </w:rPr>
        <w:t xml:space="preserve">Ahora, la razón de ser de la referida </w:t>
      </w:r>
      <w:r w:rsidR="00723FF6">
        <w:rPr>
          <w:szCs w:val="20"/>
        </w:rPr>
        <w:t>medida de reparación ordenada por la Corte</w:t>
      </w:r>
      <w:r w:rsidR="00E5116B">
        <w:rPr>
          <w:szCs w:val="20"/>
        </w:rPr>
        <w:t xml:space="preserve"> es que </w:t>
      </w:r>
      <w:r w:rsidR="00C025F4">
        <w:rPr>
          <w:szCs w:val="20"/>
        </w:rPr>
        <w:t>esta</w:t>
      </w:r>
      <w:r w:rsidR="00E5116B">
        <w:rPr>
          <w:szCs w:val="20"/>
        </w:rPr>
        <w:t xml:space="preserve"> </w:t>
      </w:r>
      <w:r w:rsidR="00723FF6" w:rsidRPr="00E5116B">
        <w:rPr>
          <w:szCs w:val="20"/>
        </w:rPr>
        <w:t xml:space="preserve">refleja el entendimiento </w:t>
      </w:r>
      <w:r w:rsidR="00854403">
        <w:rPr>
          <w:szCs w:val="20"/>
        </w:rPr>
        <w:t xml:space="preserve">de </w:t>
      </w:r>
      <w:r w:rsidR="00723FF6" w:rsidRPr="00E5116B">
        <w:rPr>
          <w:szCs w:val="20"/>
        </w:rPr>
        <w:t xml:space="preserve">que la </w:t>
      </w:r>
      <w:r w:rsidR="001B0973">
        <w:rPr>
          <w:szCs w:val="20"/>
        </w:rPr>
        <w:t>principal</w:t>
      </w:r>
      <w:r w:rsidR="000D5FAB">
        <w:rPr>
          <w:szCs w:val="20"/>
        </w:rPr>
        <w:t xml:space="preserve"> o primera</w:t>
      </w:r>
      <w:r w:rsidR="00723FF6" w:rsidRPr="00E5116B">
        <w:rPr>
          <w:szCs w:val="20"/>
        </w:rPr>
        <w:t xml:space="preserve"> reparación adecuada p</w:t>
      </w:r>
      <w:r w:rsidR="001D7D4A">
        <w:rPr>
          <w:szCs w:val="20"/>
        </w:rPr>
        <w:t>a</w:t>
      </w:r>
      <w:r w:rsidR="00723FF6" w:rsidRPr="00E5116B">
        <w:rPr>
          <w:szCs w:val="20"/>
        </w:rPr>
        <w:t>r</w:t>
      </w:r>
      <w:r w:rsidR="001D7D4A">
        <w:rPr>
          <w:szCs w:val="20"/>
        </w:rPr>
        <w:t>a</w:t>
      </w:r>
      <w:r w:rsidR="00723FF6" w:rsidRPr="00E5116B">
        <w:rPr>
          <w:szCs w:val="20"/>
        </w:rPr>
        <w:t xml:space="preserve"> </w:t>
      </w:r>
      <w:r w:rsidR="00854403">
        <w:rPr>
          <w:szCs w:val="20"/>
        </w:rPr>
        <w:t>resarcir</w:t>
      </w:r>
      <w:r w:rsidR="001D7D4A">
        <w:rPr>
          <w:szCs w:val="20"/>
        </w:rPr>
        <w:t xml:space="preserve"> </w:t>
      </w:r>
      <w:r w:rsidR="00723FF6" w:rsidRPr="00E5116B">
        <w:rPr>
          <w:szCs w:val="20"/>
        </w:rPr>
        <w:t>un daño sufrido por una Comunidad indígena o tribal de manera colectiva</w:t>
      </w:r>
      <w:r w:rsidR="001D7D4A">
        <w:rPr>
          <w:szCs w:val="20"/>
        </w:rPr>
        <w:t>,</w:t>
      </w:r>
      <w:r w:rsidR="00723FF6" w:rsidRPr="00E5116B">
        <w:rPr>
          <w:szCs w:val="20"/>
        </w:rPr>
        <w:t xml:space="preserve"> es la reparación colectiva. </w:t>
      </w:r>
    </w:p>
    <w:p w:rsidR="00E5116B" w:rsidRPr="00E5116B" w:rsidRDefault="00E5116B" w:rsidP="00E5116B">
      <w:pPr>
        <w:pStyle w:val="ListParagraph"/>
        <w:rPr>
          <w:szCs w:val="20"/>
        </w:rPr>
      </w:pPr>
    </w:p>
    <w:p w:rsidR="003C241E" w:rsidRPr="00E5116B" w:rsidRDefault="00247A8A" w:rsidP="00E5116B">
      <w:pPr>
        <w:pStyle w:val="ListParagraph"/>
        <w:numPr>
          <w:ilvl w:val="0"/>
          <w:numId w:val="5"/>
        </w:numPr>
        <w:tabs>
          <w:tab w:val="left" w:pos="426"/>
          <w:tab w:val="left" w:pos="709"/>
        </w:tabs>
        <w:ind w:left="0" w:firstLine="0"/>
        <w:rPr>
          <w:szCs w:val="20"/>
        </w:rPr>
      </w:pPr>
      <w:r>
        <w:rPr>
          <w:szCs w:val="20"/>
        </w:rPr>
        <w:t>En este sentido, e</w:t>
      </w:r>
      <w:r w:rsidR="00712425">
        <w:rPr>
          <w:szCs w:val="20"/>
        </w:rPr>
        <w:t>s importante señalar</w:t>
      </w:r>
      <w:r w:rsidR="0015456E" w:rsidRPr="00E5116B">
        <w:rPr>
          <w:szCs w:val="20"/>
        </w:rPr>
        <w:t xml:space="preserve"> algunas carácterísticas de </w:t>
      </w:r>
      <w:r w:rsidR="00712425">
        <w:rPr>
          <w:szCs w:val="20"/>
        </w:rPr>
        <w:t>l</w:t>
      </w:r>
      <w:r w:rsidR="0015456E" w:rsidRPr="00E5116B">
        <w:rPr>
          <w:szCs w:val="20"/>
        </w:rPr>
        <w:t xml:space="preserve">a reparación colectiva, por ejemplo que: i) </w:t>
      </w:r>
      <w:r w:rsidR="00750D44">
        <w:rPr>
          <w:szCs w:val="20"/>
        </w:rPr>
        <w:t>debe ser considerada</w:t>
      </w:r>
      <w:r w:rsidR="0015456E" w:rsidRPr="00E5116B">
        <w:rPr>
          <w:szCs w:val="20"/>
        </w:rPr>
        <w:t xml:space="preserve"> independientemente de la reparación por </w:t>
      </w:r>
      <w:r w:rsidR="00723FF6" w:rsidRPr="00E5116B">
        <w:rPr>
          <w:szCs w:val="20"/>
        </w:rPr>
        <w:t xml:space="preserve">las </w:t>
      </w:r>
      <w:r w:rsidR="003C241E" w:rsidRPr="00E5116B">
        <w:rPr>
          <w:szCs w:val="20"/>
        </w:rPr>
        <w:t xml:space="preserve">afectaciones </w:t>
      </w:r>
      <w:r w:rsidR="00750D44">
        <w:rPr>
          <w:szCs w:val="20"/>
        </w:rPr>
        <w:t>que puede</w:t>
      </w:r>
      <w:r w:rsidR="00723FF6" w:rsidRPr="00E5116B">
        <w:rPr>
          <w:szCs w:val="20"/>
        </w:rPr>
        <w:t xml:space="preserve">n haber sufrido los miembros de la Comunidad como </w:t>
      </w:r>
      <w:r w:rsidR="003C241E" w:rsidRPr="00E5116B">
        <w:rPr>
          <w:szCs w:val="20"/>
        </w:rPr>
        <w:t>individu</w:t>
      </w:r>
      <w:r w:rsidR="00723FF6" w:rsidRPr="00E5116B">
        <w:rPr>
          <w:szCs w:val="20"/>
        </w:rPr>
        <w:t>os</w:t>
      </w:r>
      <w:r w:rsidR="008D4121">
        <w:rPr>
          <w:szCs w:val="20"/>
        </w:rPr>
        <w:t>;</w:t>
      </w:r>
      <w:r w:rsidR="0015456E" w:rsidRPr="00E5116B">
        <w:rPr>
          <w:szCs w:val="20"/>
        </w:rPr>
        <w:t xml:space="preserve"> ii) su objetivo es la reparación de </w:t>
      </w:r>
      <w:r w:rsidR="00723FF6" w:rsidRPr="00E5116B">
        <w:rPr>
          <w:szCs w:val="20"/>
        </w:rPr>
        <w:t xml:space="preserve">afectaciones que, por las características de </w:t>
      </w:r>
      <w:r w:rsidR="003C241E" w:rsidRPr="00E5116B">
        <w:rPr>
          <w:szCs w:val="20"/>
        </w:rPr>
        <w:t xml:space="preserve">los pueblos indígenas </w:t>
      </w:r>
      <w:r w:rsidR="00723FF6" w:rsidRPr="00E5116B">
        <w:rPr>
          <w:szCs w:val="20"/>
        </w:rPr>
        <w:t>o tribales mismos (especialmente su relación con sus tierras tradicionales)</w:t>
      </w:r>
      <w:r w:rsidR="0015456E" w:rsidRPr="00E5116B">
        <w:rPr>
          <w:szCs w:val="20"/>
        </w:rPr>
        <w:t xml:space="preserve">, </w:t>
      </w:r>
      <w:r w:rsidR="00F74464">
        <w:rPr>
          <w:szCs w:val="20"/>
        </w:rPr>
        <w:t xml:space="preserve">son colectivas y </w:t>
      </w:r>
      <w:r w:rsidR="003C241E" w:rsidRPr="00E5116B">
        <w:rPr>
          <w:szCs w:val="20"/>
        </w:rPr>
        <w:t xml:space="preserve">requieren medidas específicas </w:t>
      </w:r>
      <w:r w:rsidR="00723FF6" w:rsidRPr="00E5116B">
        <w:rPr>
          <w:szCs w:val="20"/>
        </w:rPr>
        <w:t>de reparación</w:t>
      </w:r>
      <w:r w:rsidR="008D4121">
        <w:rPr>
          <w:szCs w:val="20"/>
        </w:rPr>
        <w:t>;</w:t>
      </w:r>
      <w:r w:rsidR="0015456E" w:rsidRPr="00E5116B">
        <w:rPr>
          <w:szCs w:val="20"/>
        </w:rPr>
        <w:t xml:space="preserve"> iii) tiene la finalidad de </w:t>
      </w:r>
      <w:r w:rsidR="00E5116B" w:rsidRPr="00E5116B">
        <w:rPr>
          <w:szCs w:val="20"/>
        </w:rPr>
        <w:t xml:space="preserve">proteger, y </w:t>
      </w:r>
      <w:r w:rsidR="0015456E" w:rsidRPr="00E5116B">
        <w:rPr>
          <w:szCs w:val="20"/>
        </w:rPr>
        <w:t xml:space="preserve">ser </w:t>
      </w:r>
      <w:r w:rsidR="00E5116B" w:rsidRPr="00E5116B">
        <w:rPr>
          <w:szCs w:val="20"/>
        </w:rPr>
        <w:t xml:space="preserve">implementada </w:t>
      </w:r>
      <w:r w:rsidR="0015456E" w:rsidRPr="00E5116B">
        <w:rPr>
          <w:szCs w:val="20"/>
        </w:rPr>
        <w:t xml:space="preserve">acorde a </w:t>
      </w:r>
      <w:r w:rsidR="00E5116B" w:rsidRPr="00E5116B">
        <w:rPr>
          <w:szCs w:val="20"/>
        </w:rPr>
        <w:t xml:space="preserve">los costumbres y </w:t>
      </w:r>
      <w:r w:rsidR="0015456E" w:rsidRPr="00E5116B">
        <w:rPr>
          <w:szCs w:val="20"/>
        </w:rPr>
        <w:t>la identidad cultural de la Comunidad</w:t>
      </w:r>
      <w:r w:rsidR="008D4121">
        <w:rPr>
          <w:szCs w:val="20"/>
        </w:rPr>
        <w:t>;</w:t>
      </w:r>
      <w:r w:rsidR="0015456E" w:rsidRPr="00E5116B">
        <w:rPr>
          <w:szCs w:val="20"/>
        </w:rPr>
        <w:t xml:space="preserve"> iv) tiene </w:t>
      </w:r>
      <w:r w:rsidR="00E5116B" w:rsidRPr="00E5116B">
        <w:rPr>
          <w:szCs w:val="20"/>
        </w:rPr>
        <w:t xml:space="preserve">un objetivo </w:t>
      </w:r>
      <w:r w:rsidR="0015456E" w:rsidRPr="00E5116B">
        <w:rPr>
          <w:szCs w:val="20"/>
        </w:rPr>
        <w:t>relacionad</w:t>
      </w:r>
      <w:r w:rsidR="00E5116B" w:rsidRPr="00E5116B">
        <w:rPr>
          <w:szCs w:val="20"/>
        </w:rPr>
        <w:t>o</w:t>
      </w:r>
      <w:r w:rsidR="0015456E" w:rsidRPr="00E5116B">
        <w:rPr>
          <w:szCs w:val="20"/>
        </w:rPr>
        <w:t xml:space="preserve"> con el </w:t>
      </w:r>
      <w:r w:rsidR="001737AF" w:rsidRPr="00E5116B">
        <w:rPr>
          <w:rFonts w:eastAsiaTheme="minorHAnsi" w:cstheme="minorBidi"/>
          <w:noProof w:val="0"/>
          <w:szCs w:val="20"/>
          <w:lang w:val="es-ES"/>
        </w:rPr>
        <w:t xml:space="preserve">fortalecimiento </w:t>
      </w:r>
      <w:r w:rsidR="0015456E" w:rsidRPr="00E5116B">
        <w:rPr>
          <w:rFonts w:eastAsiaTheme="minorHAnsi" w:cstheme="minorBidi"/>
          <w:noProof w:val="0"/>
          <w:szCs w:val="20"/>
          <w:lang w:val="es-ES"/>
        </w:rPr>
        <w:t xml:space="preserve">de la situación social y económico de la </w:t>
      </w:r>
      <w:r w:rsidR="00E5116B" w:rsidRPr="00E5116B">
        <w:rPr>
          <w:rFonts w:eastAsiaTheme="minorHAnsi" w:cstheme="minorBidi"/>
          <w:noProof w:val="0"/>
          <w:szCs w:val="20"/>
          <w:lang w:val="es-ES"/>
        </w:rPr>
        <w:t>Comunidad</w:t>
      </w:r>
      <w:r w:rsidR="0015456E" w:rsidRPr="00E5116B">
        <w:rPr>
          <w:rFonts w:eastAsiaTheme="minorHAnsi" w:cstheme="minorBidi"/>
          <w:noProof w:val="0"/>
          <w:szCs w:val="20"/>
          <w:lang w:val="es-ES"/>
        </w:rPr>
        <w:t xml:space="preserve">, </w:t>
      </w:r>
      <w:r w:rsidR="00E5116B">
        <w:rPr>
          <w:rFonts w:eastAsiaTheme="minorHAnsi" w:cstheme="minorBidi"/>
          <w:noProof w:val="0"/>
          <w:szCs w:val="20"/>
          <w:lang w:val="es-ES"/>
        </w:rPr>
        <w:t xml:space="preserve">y </w:t>
      </w:r>
      <w:r w:rsidR="0015456E" w:rsidRPr="00E5116B">
        <w:rPr>
          <w:rFonts w:eastAsiaTheme="minorHAnsi" w:cstheme="minorBidi"/>
          <w:noProof w:val="0"/>
          <w:szCs w:val="20"/>
          <w:lang w:val="es-ES"/>
        </w:rPr>
        <w:t xml:space="preserve">v) </w:t>
      </w:r>
      <w:r w:rsidR="00C025F4">
        <w:rPr>
          <w:rFonts w:eastAsiaTheme="minorHAnsi" w:cstheme="minorBidi"/>
          <w:noProof w:val="0"/>
          <w:szCs w:val="20"/>
          <w:lang w:val="es-ES"/>
        </w:rPr>
        <w:t>la Comunidad</w:t>
      </w:r>
      <w:r w:rsidR="00E5116B" w:rsidRPr="00E5116B">
        <w:rPr>
          <w:rFonts w:eastAsiaTheme="minorHAnsi" w:cstheme="minorBidi"/>
          <w:noProof w:val="0"/>
          <w:szCs w:val="20"/>
          <w:lang w:val="es-ES"/>
        </w:rPr>
        <w:t xml:space="preserve"> participa de manera efectiva</w:t>
      </w:r>
      <w:r w:rsidR="00750D44">
        <w:rPr>
          <w:rFonts w:eastAsiaTheme="minorHAnsi" w:cstheme="minorBidi"/>
          <w:noProof w:val="0"/>
          <w:szCs w:val="20"/>
          <w:lang w:val="es-ES"/>
        </w:rPr>
        <w:t>,</w:t>
      </w:r>
      <w:r w:rsidR="00E5116B" w:rsidRPr="00E5116B">
        <w:rPr>
          <w:rFonts w:eastAsiaTheme="minorHAnsi" w:cstheme="minorBidi"/>
          <w:noProof w:val="0"/>
          <w:szCs w:val="20"/>
          <w:lang w:val="es-ES"/>
        </w:rPr>
        <w:t xml:space="preserve"> por medio de sus legítimos representantes</w:t>
      </w:r>
      <w:r w:rsidR="00750D44">
        <w:rPr>
          <w:rFonts w:eastAsiaTheme="minorHAnsi" w:cstheme="minorBidi"/>
          <w:noProof w:val="0"/>
          <w:szCs w:val="20"/>
          <w:lang w:val="es-ES"/>
        </w:rPr>
        <w:t>,</w:t>
      </w:r>
      <w:r w:rsidR="00E5116B" w:rsidRPr="00E5116B">
        <w:rPr>
          <w:rFonts w:eastAsiaTheme="minorHAnsi" w:cstheme="minorBidi"/>
          <w:noProof w:val="0"/>
          <w:szCs w:val="20"/>
          <w:lang w:val="es-ES"/>
        </w:rPr>
        <w:t xml:space="preserve"> en </w:t>
      </w:r>
      <w:r w:rsidR="0015456E" w:rsidRPr="00E5116B">
        <w:rPr>
          <w:rFonts w:eastAsiaTheme="minorHAnsi" w:cstheme="minorBidi"/>
          <w:noProof w:val="0"/>
          <w:szCs w:val="20"/>
          <w:lang w:val="es-ES"/>
        </w:rPr>
        <w:t xml:space="preserve">las decisiones que se toman respecto de la </w:t>
      </w:r>
      <w:r w:rsidR="00E5116B" w:rsidRPr="00E5116B">
        <w:rPr>
          <w:rFonts w:eastAsiaTheme="minorHAnsi" w:cstheme="minorBidi"/>
          <w:noProof w:val="0"/>
          <w:szCs w:val="20"/>
          <w:lang w:val="es-ES"/>
        </w:rPr>
        <w:t xml:space="preserve">implementación de la </w:t>
      </w:r>
      <w:r w:rsidR="0015456E" w:rsidRPr="00E5116B">
        <w:rPr>
          <w:rFonts w:eastAsiaTheme="minorHAnsi" w:cstheme="minorBidi"/>
          <w:noProof w:val="0"/>
          <w:szCs w:val="20"/>
          <w:lang w:val="es-ES"/>
        </w:rPr>
        <w:t xml:space="preserve">reparación </w:t>
      </w:r>
      <w:r w:rsidR="00E5116B" w:rsidRPr="00E5116B">
        <w:rPr>
          <w:rFonts w:eastAsiaTheme="minorHAnsi" w:cstheme="minorBidi"/>
          <w:noProof w:val="0"/>
          <w:szCs w:val="20"/>
          <w:lang w:val="es-ES"/>
        </w:rPr>
        <w:t xml:space="preserve">colectiva </w:t>
      </w:r>
      <w:r w:rsidR="0015456E" w:rsidRPr="00E5116B">
        <w:rPr>
          <w:rFonts w:eastAsiaTheme="minorHAnsi" w:cstheme="minorBidi"/>
          <w:noProof w:val="0"/>
          <w:szCs w:val="20"/>
          <w:lang w:val="es-ES"/>
        </w:rPr>
        <w:t xml:space="preserve">otorgada. </w:t>
      </w:r>
    </w:p>
    <w:p w:rsidR="00BD05DA" w:rsidRDefault="00BD05DA" w:rsidP="00BD05DA">
      <w:pPr>
        <w:pStyle w:val="ListParagraph"/>
        <w:tabs>
          <w:tab w:val="left" w:pos="426"/>
          <w:tab w:val="left" w:pos="709"/>
        </w:tabs>
        <w:ind w:left="0"/>
        <w:rPr>
          <w:szCs w:val="20"/>
        </w:rPr>
      </w:pPr>
    </w:p>
    <w:p w:rsidR="00503E7B" w:rsidRDefault="00E5116B" w:rsidP="00F74464">
      <w:pPr>
        <w:pStyle w:val="ListParagraph"/>
        <w:numPr>
          <w:ilvl w:val="0"/>
          <w:numId w:val="5"/>
        </w:numPr>
        <w:tabs>
          <w:tab w:val="left" w:pos="426"/>
          <w:tab w:val="left" w:pos="709"/>
        </w:tabs>
        <w:ind w:left="0" w:firstLine="0"/>
        <w:rPr>
          <w:szCs w:val="20"/>
        </w:rPr>
      </w:pPr>
      <w:r>
        <w:rPr>
          <w:szCs w:val="20"/>
        </w:rPr>
        <w:t xml:space="preserve">El reconocimiento </w:t>
      </w:r>
      <w:r w:rsidR="004B3AD2">
        <w:rPr>
          <w:szCs w:val="20"/>
        </w:rPr>
        <w:t xml:space="preserve">de </w:t>
      </w:r>
      <w:r w:rsidR="00630EA2">
        <w:rPr>
          <w:szCs w:val="20"/>
        </w:rPr>
        <w:t>que</w:t>
      </w:r>
      <w:r>
        <w:rPr>
          <w:szCs w:val="20"/>
        </w:rPr>
        <w:t xml:space="preserve"> los pueblos indígenas o tribales</w:t>
      </w:r>
      <w:r w:rsidR="00630EA2">
        <w:rPr>
          <w:szCs w:val="20"/>
        </w:rPr>
        <w:t>,</w:t>
      </w:r>
      <w:r>
        <w:rPr>
          <w:szCs w:val="20"/>
        </w:rPr>
        <w:t xml:space="preserve"> como tales</w:t>
      </w:r>
      <w:r w:rsidR="00630EA2">
        <w:rPr>
          <w:szCs w:val="20"/>
        </w:rPr>
        <w:t>,</w:t>
      </w:r>
      <w:r>
        <w:rPr>
          <w:szCs w:val="20"/>
        </w:rPr>
        <w:t xml:space="preserve"> </w:t>
      </w:r>
      <w:r w:rsidR="00630EA2">
        <w:rPr>
          <w:szCs w:val="20"/>
        </w:rPr>
        <w:t>pueden ser titulares de un derecho a</w:t>
      </w:r>
      <w:r>
        <w:rPr>
          <w:szCs w:val="20"/>
        </w:rPr>
        <w:t xml:space="preserve"> la reparación está establecido, </w:t>
      </w:r>
      <w:r w:rsidR="00712425" w:rsidRPr="00712425">
        <w:rPr>
          <w:i/>
          <w:szCs w:val="20"/>
        </w:rPr>
        <w:t>inter alia</w:t>
      </w:r>
      <w:r>
        <w:rPr>
          <w:szCs w:val="20"/>
        </w:rPr>
        <w:t xml:space="preserve">, </w:t>
      </w:r>
      <w:r w:rsidR="004B3AD2">
        <w:rPr>
          <w:szCs w:val="20"/>
        </w:rPr>
        <w:t xml:space="preserve">en el </w:t>
      </w:r>
      <w:r>
        <w:rPr>
          <w:szCs w:val="20"/>
        </w:rPr>
        <w:t>artículo 28(1) de la Declaración de las Naciones Unidas sobre los Derechos de los Pueblos Indígenas que dispone que: “[l]</w:t>
      </w:r>
      <w:r w:rsidRPr="00E5116B">
        <w:rPr>
          <w:szCs w:val="20"/>
        </w:rPr>
        <w:t>os</w:t>
      </w:r>
      <w:r>
        <w:rPr>
          <w:rFonts w:ascii="GalliardStd-Roman" w:eastAsiaTheme="minorHAnsi" w:hAnsi="GalliardStd-Roman" w:cs="GalliardStd-Roman"/>
          <w:noProof w:val="0"/>
          <w:szCs w:val="20"/>
          <w:lang w:val="es-CR"/>
        </w:rPr>
        <w:t xml:space="preserve"> </w:t>
      </w:r>
      <w:r w:rsidRPr="00E5116B">
        <w:rPr>
          <w:szCs w:val="20"/>
        </w:rPr>
        <w:t>pueblos indígenas tienen derecho a la reparación, por medios</w:t>
      </w:r>
      <w:r>
        <w:rPr>
          <w:szCs w:val="20"/>
        </w:rPr>
        <w:t xml:space="preserve"> </w:t>
      </w:r>
      <w:r w:rsidRPr="00E5116B">
        <w:rPr>
          <w:szCs w:val="20"/>
        </w:rPr>
        <w:t>que pueden incluir la restitución o, cuando ello no sea posible, una</w:t>
      </w:r>
      <w:r>
        <w:rPr>
          <w:szCs w:val="20"/>
        </w:rPr>
        <w:t xml:space="preserve"> </w:t>
      </w:r>
      <w:r w:rsidRPr="00E5116B">
        <w:rPr>
          <w:szCs w:val="20"/>
        </w:rPr>
        <w:t>indemnización justa y equitativa</w:t>
      </w:r>
      <w:r>
        <w:rPr>
          <w:szCs w:val="20"/>
        </w:rPr>
        <w:t>”. Asimismo, su artículo 40 establece que “[l]</w:t>
      </w:r>
      <w:r w:rsidR="00D46899" w:rsidRPr="00E5116B">
        <w:rPr>
          <w:szCs w:val="20"/>
        </w:rPr>
        <w:t xml:space="preserve">os pueblos indígenas tienen derecho a </w:t>
      </w:r>
      <w:r w:rsidRPr="00E5116B">
        <w:rPr>
          <w:szCs w:val="20"/>
        </w:rPr>
        <w:t>[…]</w:t>
      </w:r>
      <w:r w:rsidR="00D46899" w:rsidRPr="00E5116B">
        <w:rPr>
          <w:szCs w:val="20"/>
        </w:rPr>
        <w:t xml:space="preserve"> una reparación efectiva de toda lesión de sus derechos</w:t>
      </w:r>
      <w:r>
        <w:rPr>
          <w:szCs w:val="20"/>
        </w:rPr>
        <w:t xml:space="preserve"> </w:t>
      </w:r>
      <w:r w:rsidR="00D46899" w:rsidRPr="00E5116B">
        <w:rPr>
          <w:szCs w:val="20"/>
        </w:rPr>
        <w:t>individuales y colectivos</w:t>
      </w:r>
      <w:r>
        <w:rPr>
          <w:szCs w:val="20"/>
        </w:rPr>
        <w:t>” y que “[e]</w:t>
      </w:r>
      <w:r w:rsidR="00D46899" w:rsidRPr="00E5116B">
        <w:rPr>
          <w:szCs w:val="20"/>
        </w:rPr>
        <w:t>n esas decisiones se tendrán debidamente</w:t>
      </w:r>
      <w:r>
        <w:rPr>
          <w:szCs w:val="20"/>
        </w:rPr>
        <w:t xml:space="preserve"> </w:t>
      </w:r>
      <w:r w:rsidR="00D46899" w:rsidRPr="00E5116B">
        <w:rPr>
          <w:szCs w:val="20"/>
        </w:rPr>
        <w:t>en consideración las costumbres, las tradiciones, las normas y los</w:t>
      </w:r>
      <w:r>
        <w:rPr>
          <w:szCs w:val="20"/>
        </w:rPr>
        <w:t xml:space="preserve"> </w:t>
      </w:r>
      <w:r w:rsidR="00D46899" w:rsidRPr="00E5116B">
        <w:rPr>
          <w:szCs w:val="20"/>
        </w:rPr>
        <w:t>sistemas jurídicos de los pueblos indígenas interesados</w:t>
      </w:r>
      <w:r>
        <w:rPr>
          <w:szCs w:val="20"/>
        </w:rPr>
        <w:t>”</w:t>
      </w:r>
      <w:r>
        <w:rPr>
          <w:rStyle w:val="FootnoteReference"/>
          <w:szCs w:val="20"/>
        </w:rPr>
        <w:footnoteReference w:id="16"/>
      </w:r>
      <w:r>
        <w:rPr>
          <w:szCs w:val="20"/>
        </w:rPr>
        <w:t>.</w:t>
      </w:r>
      <w:r w:rsidR="00D46899" w:rsidRPr="00E5116B">
        <w:rPr>
          <w:szCs w:val="20"/>
        </w:rPr>
        <w:t xml:space="preserve"> </w:t>
      </w:r>
      <w:r w:rsidR="006B309B">
        <w:rPr>
          <w:szCs w:val="20"/>
        </w:rPr>
        <w:t>En el mismo sentido</w:t>
      </w:r>
      <w:r w:rsidR="00630EA2">
        <w:rPr>
          <w:szCs w:val="20"/>
        </w:rPr>
        <w:t>,</w:t>
      </w:r>
      <w:r w:rsidR="006B309B">
        <w:rPr>
          <w:szCs w:val="20"/>
        </w:rPr>
        <w:t xml:space="preserve"> los artículos 15 y 16 del Convenio 169 de la OIT </w:t>
      </w:r>
      <w:r w:rsidR="00630EA2">
        <w:rPr>
          <w:szCs w:val="20"/>
        </w:rPr>
        <w:t xml:space="preserve">se refieren </w:t>
      </w:r>
      <w:r w:rsidR="006B309B">
        <w:rPr>
          <w:szCs w:val="20"/>
        </w:rPr>
        <w:t>a indemnizaciones de las cuales los pueblos o comunidades s</w:t>
      </w:r>
      <w:r w:rsidR="00630EA2">
        <w:rPr>
          <w:szCs w:val="20"/>
        </w:rPr>
        <w:t>o</w:t>
      </w:r>
      <w:r w:rsidR="00F74464">
        <w:rPr>
          <w:szCs w:val="20"/>
        </w:rPr>
        <w:t>n los beneficiarios.</w:t>
      </w:r>
    </w:p>
    <w:p w:rsidR="00F74464" w:rsidRPr="00F74464" w:rsidRDefault="00F74464" w:rsidP="00F74464">
      <w:pPr>
        <w:pStyle w:val="ListParagraph"/>
        <w:rPr>
          <w:szCs w:val="20"/>
        </w:rPr>
      </w:pPr>
    </w:p>
    <w:p w:rsidR="00BD7485" w:rsidRDefault="00896972" w:rsidP="00BD7485">
      <w:pPr>
        <w:pStyle w:val="ListParagraph"/>
        <w:numPr>
          <w:ilvl w:val="0"/>
          <w:numId w:val="5"/>
        </w:numPr>
        <w:tabs>
          <w:tab w:val="left" w:pos="426"/>
          <w:tab w:val="left" w:pos="709"/>
        </w:tabs>
        <w:ind w:left="0" w:firstLine="0"/>
        <w:rPr>
          <w:szCs w:val="20"/>
        </w:rPr>
      </w:pPr>
      <w:r>
        <w:rPr>
          <w:szCs w:val="20"/>
        </w:rPr>
        <w:t xml:space="preserve">La figura jurídica de la reparación colectiva corresponde con el entendimiento </w:t>
      </w:r>
      <w:r w:rsidR="00912E28">
        <w:rPr>
          <w:szCs w:val="20"/>
        </w:rPr>
        <w:t xml:space="preserve">de </w:t>
      </w:r>
      <w:r>
        <w:rPr>
          <w:szCs w:val="20"/>
        </w:rPr>
        <w:t>que</w:t>
      </w:r>
      <w:r w:rsidR="00912E28">
        <w:rPr>
          <w:szCs w:val="20"/>
        </w:rPr>
        <w:t>:</w:t>
      </w:r>
      <w:r>
        <w:rPr>
          <w:szCs w:val="20"/>
        </w:rPr>
        <w:t xml:space="preserve"> </w:t>
      </w:r>
      <w:r w:rsidR="00503E7B" w:rsidRPr="00896972">
        <w:rPr>
          <w:szCs w:val="20"/>
        </w:rPr>
        <w:t xml:space="preserve">i) las </w:t>
      </w:r>
      <w:r>
        <w:rPr>
          <w:szCs w:val="20"/>
        </w:rPr>
        <w:t>C</w:t>
      </w:r>
      <w:r w:rsidR="00503E7B" w:rsidRPr="00896972">
        <w:rPr>
          <w:szCs w:val="20"/>
        </w:rPr>
        <w:t>omunidades</w:t>
      </w:r>
      <w:r>
        <w:rPr>
          <w:szCs w:val="20"/>
        </w:rPr>
        <w:t xml:space="preserve"> </w:t>
      </w:r>
      <w:r w:rsidR="00503E7B" w:rsidRPr="00896972">
        <w:rPr>
          <w:szCs w:val="20"/>
        </w:rPr>
        <w:t xml:space="preserve">indígenas son titulares de derechos </w:t>
      </w:r>
      <w:r>
        <w:rPr>
          <w:szCs w:val="20"/>
        </w:rPr>
        <w:t>humanos</w:t>
      </w:r>
      <w:r w:rsidR="00912E28">
        <w:rPr>
          <w:szCs w:val="20"/>
        </w:rPr>
        <w:t>;</w:t>
      </w:r>
      <w:r w:rsidR="00503E7B" w:rsidRPr="00896972">
        <w:rPr>
          <w:szCs w:val="20"/>
        </w:rPr>
        <w:t xml:space="preserve"> ii) estos </w:t>
      </w:r>
      <w:r w:rsidR="00503E7B" w:rsidRPr="00896972">
        <w:rPr>
          <w:szCs w:val="20"/>
        </w:rPr>
        <w:lastRenderedPageBreak/>
        <w:t>derechos son</w:t>
      </w:r>
      <w:r>
        <w:rPr>
          <w:szCs w:val="20"/>
        </w:rPr>
        <w:t xml:space="preserve"> </w:t>
      </w:r>
      <w:r w:rsidR="00503E7B" w:rsidRPr="00896972">
        <w:rPr>
          <w:szCs w:val="20"/>
        </w:rPr>
        <w:t xml:space="preserve">diferentes a los derechos de cada miembro de la </w:t>
      </w:r>
      <w:r>
        <w:rPr>
          <w:szCs w:val="20"/>
        </w:rPr>
        <w:t>C</w:t>
      </w:r>
      <w:r w:rsidR="00503E7B" w:rsidRPr="00896972">
        <w:rPr>
          <w:szCs w:val="20"/>
        </w:rPr>
        <w:t>omunidad y también a la</w:t>
      </w:r>
      <w:r>
        <w:rPr>
          <w:szCs w:val="20"/>
        </w:rPr>
        <w:t xml:space="preserve"> </w:t>
      </w:r>
      <w:r w:rsidR="00503E7B" w:rsidRPr="00896972">
        <w:rPr>
          <w:szCs w:val="20"/>
        </w:rPr>
        <w:t>sumatoria de aquellos</w:t>
      </w:r>
      <w:r>
        <w:rPr>
          <w:szCs w:val="20"/>
        </w:rPr>
        <w:t>, y iii)</w:t>
      </w:r>
      <w:r w:rsidR="00503E7B" w:rsidRPr="00896972">
        <w:rPr>
          <w:szCs w:val="20"/>
        </w:rPr>
        <w:t xml:space="preserve"> no son derechos asimilables a los derechos</w:t>
      </w:r>
      <w:r>
        <w:rPr>
          <w:szCs w:val="20"/>
        </w:rPr>
        <w:t xml:space="preserve"> </w:t>
      </w:r>
      <w:r w:rsidR="00503E7B" w:rsidRPr="00896972">
        <w:rPr>
          <w:szCs w:val="20"/>
        </w:rPr>
        <w:t>colectivos de otros grupos sociales</w:t>
      </w:r>
      <w:r w:rsidR="00C63676">
        <w:rPr>
          <w:rStyle w:val="FootnoteReference"/>
          <w:szCs w:val="20"/>
        </w:rPr>
        <w:footnoteReference w:id="17"/>
      </w:r>
      <w:r w:rsidR="00E643F2">
        <w:rPr>
          <w:szCs w:val="20"/>
        </w:rPr>
        <w:t xml:space="preserve">. Asimismo, </w:t>
      </w:r>
      <w:r w:rsidR="00BD7485">
        <w:rPr>
          <w:szCs w:val="20"/>
        </w:rPr>
        <w:t xml:space="preserve">es necesario recordar que </w:t>
      </w:r>
      <w:r w:rsidR="00E643F2">
        <w:rPr>
          <w:szCs w:val="20"/>
        </w:rPr>
        <w:t>el daño sufrido por una Comunidad ind</w:t>
      </w:r>
      <w:r w:rsidR="00BD7485">
        <w:rPr>
          <w:szCs w:val="20"/>
        </w:rPr>
        <w:t>ígena o tribal</w:t>
      </w:r>
      <w:r w:rsidR="00E643F2">
        <w:rPr>
          <w:szCs w:val="20"/>
        </w:rPr>
        <w:t xml:space="preserve"> es colectivo</w:t>
      </w:r>
      <w:r w:rsidR="00BD7485">
        <w:rPr>
          <w:szCs w:val="20"/>
        </w:rPr>
        <w:t>,</w:t>
      </w:r>
      <w:r w:rsidR="00E643F2">
        <w:rPr>
          <w:szCs w:val="20"/>
        </w:rPr>
        <w:t xml:space="preserve"> pero </w:t>
      </w:r>
      <w:r w:rsidR="004B1A0A">
        <w:rPr>
          <w:szCs w:val="20"/>
        </w:rPr>
        <w:t xml:space="preserve">no </w:t>
      </w:r>
      <w:r w:rsidR="00E643F2">
        <w:rPr>
          <w:szCs w:val="20"/>
        </w:rPr>
        <w:t xml:space="preserve">por ello </w:t>
      </w:r>
      <w:r w:rsidR="004B1A0A">
        <w:rPr>
          <w:szCs w:val="20"/>
        </w:rPr>
        <w:t>es</w:t>
      </w:r>
      <w:r w:rsidR="00E643F2">
        <w:rPr>
          <w:szCs w:val="20"/>
        </w:rPr>
        <w:t xml:space="preserve">menos </w:t>
      </w:r>
      <w:r w:rsidR="00CB19AA" w:rsidRPr="00E643F2">
        <w:rPr>
          <w:szCs w:val="20"/>
        </w:rPr>
        <w:t>concreto.</w:t>
      </w:r>
      <w:r w:rsidR="00E643F2">
        <w:rPr>
          <w:szCs w:val="20"/>
        </w:rPr>
        <w:t xml:space="preserve"> </w:t>
      </w:r>
      <w:r w:rsidR="00BD7485">
        <w:rPr>
          <w:szCs w:val="20"/>
        </w:rPr>
        <w:t>La</w:t>
      </w:r>
      <w:r w:rsidR="00E643F2">
        <w:rPr>
          <w:szCs w:val="20"/>
        </w:rPr>
        <w:t xml:space="preserve"> diferencia </w:t>
      </w:r>
      <w:r w:rsidR="00BD7485">
        <w:rPr>
          <w:szCs w:val="20"/>
        </w:rPr>
        <w:t>con un</w:t>
      </w:r>
      <w:r w:rsidR="00E643F2">
        <w:rPr>
          <w:szCs w:val="20"/>
        </w:rPr>
        <w:t xml:space="preserve"> daño sufrido por un individuo, </w:t>
      </w:r>
      <w:r w:rsidR="00BD7485">
        <w:rPr>
          <w:szCs w:val="20"/>
        </w:rPr>
        <w:t xml:space="preserve">es que </w:t>
      </w:r>
      <w:r w:rsidR="00E643F2">
        <w:rPr>
          <w:szCs w:val="20"/>
        </w:rPr>
        <w:t>el daño colectivo</w:t>
      </w:r>
      <w:r w:rsidR="00CB19AA" w:rsidRPr="00E643F2">
        <w:rPr>
          <w:szCs w:val="20"/>
        </w:rPr>
        <w:t xml:space="preserve"> </w:t>
      </w:r>
      <w:r w:rsidR="00E643F2">
        <w:rPr>
          <w:szCs w:val="20"/>
        </w:rPr>
        <w:t xml:space="preserve">es causado a </w:t>
      </w:r>
      <w:r w:rsidR="00CB19AA" w:rsidRPr="00E643F2">
        <w:rPr>
          <w:szCs w:val="20"/>
        </w:rPr>
        <w:t xml:space="preserve">una colectividad </w:t>
      </w:r>
      <w:r w:rsidR="00E643F2">
        <w:rPr>
          <w:szCs w:val="20"/>
        </w:rPr>
        <w:t>como tal y</w:t>
      </w:r>
      <w:r w:rsidR="00BD7485">
        <w:rPr>
          <w:szCs w:val="20"/>
        </w:rPr>
        <w:t xml:space="preserve"> no es </w:t>
      </w:r>
      <w:r w:rsidR="00E643F2">
        <w:rPr>
          <w:szCs w:val="20"/>
        </w:rPr>
        <w:t>equiparable a la</w:t>
      </w:r>
      <w:r w:rsidR="00CB19AA" w:rsidRPr="00E643F2">
        <w:rPr>
          <w:szCs w:val="20"/>
        </w:rPr>
        <w:t xml:space="preserve"> suma de daños individuales</w:t>
      </w:r>
      <w:r w:rsidR="00E643F2">
        <w:rPr>
          <w:szCs w:val="20"/>
        </w:rPr>
        <w:t>.</w:t>
      </w:r>
    </w:p>
    <w:p w:rsidR="00BD7485" w:rsidRPr="00BD7485" w:rsidRDefault="00BD7485" w:rsidP="00BD7485">
      <w:pPr>
        <w:pStyle w:val="ListParagraph"/>
        <w:rPr>
          <w:szCs w:val="20"/>
        </w:rPr>
      </w:pPr>
    </w:p>
    <w:p w:rsidR="00E643F2" w:rsidRPr="00BD7485" w:rsidRDefault="00712425" w:rsidP="00BD7485">
      <w:pPr>
        <w:pStyle w:val="ListParagraph"/>
        <w:numPr>
          <w:ilvl w:val="0"/>
          <w:numId w:val="5"/>
        </w:numPr>
        <w:tabs>
          <w:tab w:val="left" w:pos="426"/>
          <w:tab w:val="left" w:pos="709"/>
        </w:tabs>
        <w:ind w:left="0" w:firstLine="0"/>
        <w:rPr>
          <w:szCs w:val="20"/>
        </w:rPr>
      </w:pPr>
      <w:r w:rsidRPr="00BD7485">
        <w:rPr>
          <w:szCs w:val="20"/>
        </w:rPr>
        <w:t xml:space="preserve">Ahora, </w:t>
      </w:r>
      <w:r w:rsidR="005179EF">
        <w:rPr>
          <w:szCs w:val="20"/>
        </w:rPr>
        <w:t xml:space="preserve">al haber destacado algunos elementos de la reparación colectiva, </w:t>
      </w:r>
      <w:r w:rsidRPr="00BD7485">
        <w:rPr>
          <w:szCs w:val="20"/>
        </w:rPr>
        <w:t xml:space="preserve">es de </w:t>
      </w:r>
      <w:r w:rsidR="005179EF">
        <w:rPr>
          <w:szCs w:val="20"/>
        </w:rPr>
        <w:t>especial</w:t>
      </w:r>
      <w:r w:rsidRPr="00BD7485">
        <w:rPr>
          <w:szCs w:val="20"/>
        </w:rPr>
        <w:t xml:space="preserve"> importancia </w:t>
      </w:r>
      <w:r w:rsidR="005179EF">
        <w:rPr>
          <w:szCs w:val="20"/>
        </w:rPr>
        <w:t>hacer énfasis en</w:t>
      </w:r>
      <w:r w:rsidRPr="00BD7485">
        <w:rPr>
          <w:szCs w:val="20"/>
        </w:rPr>
        <w:t xml:space="preserve"> </w:t>
      </w:r>
      <w:r w:rsidR="005179EF">
        <w:rPr>
          <w:szCs w:val="20"/>
        </w:rPr>
        <w:t>la diferencia entre esta y</w:t>
      </w:r>
      <w:r w:rsidR="00E643F2" w:rsidRPr="00BD7485">
        <w:rPr>
          <w:szCs w:val="20"/>
        </w:rPr>
        <w:t xml:space="preserve"> los deberes generales </w:t>
      </w:r>
      <w:r w:rsidRPr="00BD7485">
        <w:rPr>
          <w:szCs w:val="20"/>
        </w:rPr>
        <w:t xml:space="preserve">que tienen </w:t>
      </w:r>
      <w:r w:rsidR="00E643F2" w:rsidRPr="00BD7485">
        <w:rPr>
          <w:szCs w:val="20"/>
        </w:rPr>
        <w:t xml:space="preserve">los Estados en materia de derechos humanos. </w:t>
      </w:r>
      <w:r w:rsidRPr="00BD7485">
        <w:rPr>
          <w:szCs w:val="20"/>
        </w:rPr>
        <w:t xml:space="preserve">Los beneficiarios de </w:t>
      </w:r>
      <w:r w:rsidR="005179EF">
        <w:rPr>
          <w:szCs w:val="20"/>
        </w:rPr>
        <w:t>es</w:t>
      </w:r>
      <w:r w:rsidRPr="00BD7485">
        <w:rPr>
          <w:szCs w:val="20"/>
        </w:rPr>
        <w:t>a</w:t>
      </w:r>
      <w:r w:rsidR="00E643F2" w:rsidRPr="00BD7485">
        <w:rPr>
          <w:szCs w:val="20"/>
        </w:rPr>
        <w:t xml:space="preserve">s </w:t>
      </w:r>
      <w:r w:rsidRPr="00BD7485">
        <w:rPr>
          <w:szCs w:val="20"/>
        </w:rPr>
        <w:t>obligaciones</w:t>
      </w:r>
      <w:r w:rsidR="005179EF">
        <w:rPr>
          <w:szCs w:val="20"/>
        </w:rPr>
        <w:t xml:space="preserve"> del Estado</w:t>
      </w:r>
      <w:r w:rsidR="00E643F2" w:rsidRPr="00BD7485">
        <w:rPr>
          <w:szCs w:val="20"/>
        </w:rPr>
        <w:t xml:space="preserve">, por lo general, </w:t>
      </w:r>
      <w:r w:rsidRPr="00BD7485">
        <w:rPr>
          <w:szCs w:val="20"/>
        </w:rPr>
        <w:t xml:space="preserve">son </w:t>
      </w:r>
      <w:r w:rsidR="00E643F2" w:rsidRPr="00BD7485">
        <w:rPr>
          <w:szCs w:val="20"/>
        </w:rPr>
        <w:t>los ciudadanos y las demás personas que se encuentran bajo la jurisdicción de</w:t>
      </w:r>
      <w:r w:rsidRPr="00BD7485">
        <w:rPr>
          <w:szCs w:val="20"/>
        </w:rPr>
        <w:t>l</w:t>
      </w:r>
      <w:r w:rsidR="00E643F2" w:rsidRPr="00BD7485">
        <w:rPr>
          <w:szCs w:val="20"/>
        </w:rPr>
        <w:t xml:space="preserve"> Estado. A</w:t>
      </w:r>
      <w:r w:rsidR="005179EF">
        <w:rPr>
          <w:szCs w:val="20"/>
        </w:rPr>
        <w:t xml:space="preserve">simismo, </w:t>
      </w:r>
      <w:r w:rsidR="00E643F2" w:rsidRPr="00BD7485">
        <w:rPr>
          <w:szCs w:val="20"/>
        </w:rPr>
        <w:t>los Estados pueden implementar p</w:t>
      </w:r>
      <w:r w:rsidR="00F41317" w:rsidRPr="00BD7485">
        <w:rPr>
          <w:szCs w:val="20"/>
        </w:rPr>
        <w:t xml:space="preserve">olíticas </w:t>
      </w:r>
      <w:r w:rsidR="000275B3" w:rsidRPr="00BD7485">
        <w:rPr>
          <w:szCs w:val="20"/>
        </w:rPr>
        <w:t xml:space="preserve">públicas </w:t>
      </w:r>
      <w:r w:rsidR="00F41317" w:rsidRPr="00BD7485">
        <w:rPr>
          <w:szCs w:val="20"/>
        </w:rPr>
        <w:t>dirigidas a favorecer a determinad</w:t>
      </w:r>
      <w:r w:rsidR="00E643F2" w:rsidRPr="00BD7485">
        <w:rPr>
          <w:szCs w:val="20"/>
        </w:rPr>
        <w:t>o</w:t>
      </w:r>
      <w:r w:rsidR="00F41317" w:rsidRPr="00BD7485">
        <w:rPr>
          <w:szCs w:val="20"/>
        </w:rPr>
        <w:t xml:space="preserve">s grupos </w:t>
      </w:r>
      <w:r w:rsidR="00E643F2" w:rsidRPr="00BD7485">
        <w:rPr>
          <w:szCs w:val="20"/>
        </w:rPr>
        <w:t>para enfrentar</w:t>
      </w:r>
      <w:r w:rsidR="00F41317" w:rsidRPr="00BD7485">
        <w:rPr>
          <w:szCs w:val="20"/>
        </w:rPr>
        <w:t xml:space="preserve"> desigualdades de </w:t>
      </w:r>
      <w:r w:rsidR="00E643F2" w:rsidRPr="00BD7485">
        <w:rPr>
          <w:szCs w:val="20"/>
        </w:rPr>
        <w:t xml:space="preserve">carácter </w:t>
      </w:r>
      <w:r w:rsidR="00F41317" w:rsidRPr="00BD7485">
        <w:rPr>
          <w:szCs w:val="20"/>
        </w:rPr>
        <w:t>social</w:t>
      </w:r>
      <w:r w:rsidR="00E643F2" w:rsidRPr="00BD7485">
        <w:rPr>
          <w:szCs w:val="20"/>
        </w:rPr>
        <w:t xml:space="preserve"> y </w:t>
      </w:r>
      <w:r w:rsidR="00F41317" w:rsidRPr="00BD7485">
        <w:rPr>
          <w:szCs w:val="20"/>
        </w:rPr>
        <w:t xml:space="preserve">economico. </w:t>
      </w:r>
    </w:p>
    <w:p w:rsidR="000275B3" w:rsidRPr="005179EF" w:rsidRDefault="000275B3" w:rsidP="000275B3">
      <w:pPr>
        <w:pStyle w:val="ListParagraph"/>
        <w:tabs>
          <w:tab w:val="left" w:pos="426"/>
          <w:tab w:val="left" w:pos="709"/>
        </w:tabs>
        <w:ind w:left="0"/>
        <w:rPr>
          <w:rFonts w:ascii="TimesNewRomanPSMT" w:eastAsiaTheme="minorHAnsi" w:hAnsi="TimesNewRomanPSMT" w:cs="TimesNewRomanPSMT"/>
          <w:noProof w:val="0"/>
          <w:sz w:val="28"/>
          <w:szCs w:val="28"/>
        </w:rPr>
      </w:pPr>
    </w:p>
    <w:p w:rsidR="00C96D19" w:rsidRPr="000275B3" w:rsidRDefault="000275B3" w:rsidP="000275B3">
      <w:pPr>
        <w:pStyle w:val="ListParagraph"/>
        <w:numPr>
          <w:ilvl w:val="0"/>
          <w:numId w:val="5"/>
        </w:numPr>
        <w:tabs>
          <w:tab w:val="left" w:pos="426"/>
          <w:tab w:val="left" w:pos="709"/>
        </w:tabs>
        <w:ind w:left="0" w:firstLine="0"/>
        <w:rPr>
          <w:szCs w:val="20"/>
        </w:rPr>
      </w:pPr>
      <w:r>
        <w:rPr>
          <w:szCs w:val="20"/>
        </w:rPr>
        <w:t>Por ejemplo</w:t>
      </w:r>
      <w:r w:rsidR="00E643F2" w:rsidRPr="007A111F">
        <w:rPr>
          <w:szCs w:val="20"/>
        </w:rPr>
        <w:t xml:space="preserve">, el artículo 2 del Convenio 169 de la OIT </w:t>
      </w:r>
      <w:r w:rsidR="00E1556E" w:rsidRPr="007A111F">
        <w:rPr>
          <w:szCs w:val="20"/>
        </w:rPr>
        <w:t xml:space="preserve">establece el deber de los </w:t>
      </w:r>
      <w:r w:rsidR="007A111F" w:rsidRPr="007A111F">
        <w:rPr>
          <w:szCs w:val="20"/>
        </w:rPr>
        <w:t xml:space="preserve">Estados para adoptar medidas </w:t>
      </w:r>
      <w:r w:rsidR="00E1556E" w:rsidRPr="007A111F">
        <w:rPr>
          <w:szCs w:val="20"/>
        </w:rPr>
        <w:t>que</w:t>
      </w:r>
      <w:r w:rsidR="004B1A0A">
        <w:rPr>
          <w:szCs w:val="20"/>
        </w:rPr>
        <w:t>,</w:t>
      </w:r>
      <w:r>
        <w:rPr>
          <w:szCs w:val="20"/>
        </w:rPr>
        <w:t xml:space="preserve"> </w:t>
      </w:r>
      <w:r w:rsidRPr="000275B3">
        <w:rPr>
          <w:i/>
          <w:szCs w:val="20"/>
        </w:rPr>
        <w:t>inter alia</w:t>
      </w:r>
      <w:r w:rsidR="004B1A0A">
        <w:rPr>
          <w:i/>
          <w:szCs w:val="20"/>
        </w:rPr>
        <w:t>,</w:t>
      </w:r>
      <w:r w:rsidR="00E1556E" w:rsidRPr="007A111F">
        <w:rPr>
          <w:szCs w:val="20"/>
        </w:rPr>
        <w:t xml:space="preserve"> </w:t>
      </w:r>
      <w:r w:rsidR="007A111F" w:rsidRPr="007A111F">
        <w:rPr>
          <w:szCs w:val="20"/>
        </w:rPr>
        <w:t>promuev</w:t>
      </w:r>
      <w:r w:rsidR="004B1A0A">
        <w:rPr>
          <w:szCs w:val="20"/>
        </w:rPr>
        <w:t>a</w:t>
      </w:r>
      <w:r w:rsidR="007A111F" w:rsidRPr="007A111F">
        <w:rPr>
          <w:szCs w:val="20"/>
        </w:rPr>
        <w:t>n “</w:t>
      </w:r>
      <w:r w:rsidR="00E1556E" w:rsidRPr="007A111F">
        <w:rPr>
          <w:szCs w:val="20"/>
        </w:rPr>
        <w:t>la plena efectividad de los</w:t>
      </w:r>
      <w:r w:rsidR="007A111F" w:rsidRPr="007A111F">
        <w:rPr>
          <w:szCs w:val="20"/>
        </w:rPr>
        <w:t xml:space="preserve"> </w:t>
      </w:r>
      <w:r w:rsidR="00E1556E" w:rsidRPr="007A111F">
        <w:rPr>
          <w:szCs w:val="20"/>
        </w:rPr>
        <w:t>derechos sociales, económicos y culturales de esos pueblos, respetando su</w:t>
      </w:r>
      <w:r w:rsidR="007A111F" w:rsidRPr="007A111F">
        <w:rPr>
          <w:szCs w:val="20"/>
        </w:rPr>
        <w:t xml:space="preserve"> </w:t>
      </w:r>
      <w:r w:rsidR="00E1556E" w:rsidRPr="007A111F">
        <w:rPr>
          <w:szCs w:val="20"/>
        </w:rPr>
        <w:t>identidad social y cultural, sus costumbres y tradiciones, y sus instituciones; y</w:t>
      </w:r>
      <w:r w:rsidR="007A111F" w:rsidRPr="007A111F">
        <w:rPr>
          <w:szCs w:val="20"/>
        </w:rPr>
        <w:t xml:space="preserve"> […]</w:t>
      </w:r>
      <w:r w:rsidR="00E1556E" w:rsidRPr="007A111F">
        <w:rPr>
          <w:szCs w:val="20"/>
        </w:rPr>
        <w:t xml:space="preserve"> que ayuden a los miembros de los pueblos interesados a eliminar las</w:t>
      </w:r>
      <w:r w:rsidR="007A111F" w:rsidRPr="007A111F">
        <w:rPr>
          <w:szCs w:val="20"/>
        </w:rPr>
        <w:t xml:space="preserve"> </w:t>
      </w:r>
      <w:r w:rsidR="00E1556E" w:rsidRPr="007A111F">
        <w:rPr>
          <w:szCs w:val="20"/>
        </w:rPr>
        <w:t>diferencias socioeconómicas que puedan existir entre los miembros indígenas</w:t>
      </w:r>
      <w:r w:rsidR="007A111F" w:rsidRPr="007A111F">
        <w:rPr>
          <w:szCs w:val="20"/>
        </w:rPr>
        <w:t xml:space="preserve"> </w:t>
      </w:r>
      <w:r w:rsidR="00E1556E" w:rsidRPr="007A111F">
        <w:rPr>
          <w:szCs w:val="20"/>
        </w:rPr>
        <w:t>y los demás miembros de la comunidad nacional, de una manera compatible</w:t>
      </w:r>
      <w:r w:rsidR="007A111F" w:rsidRPr="007A111F">
        <w:rPr>
          <w:szCs w:val="20"/>
        </w:rPr>
        <w:t xml:space="preserve"> </w:t>
      </w:r>
      <w:r w:rsidR="00E1556E" w:rsidRPr="007A111F">
        <w:rPr>
          <w:szCs w:val="20"/>
        </w:rPr>
        <w:t>con sus aspiraciones y formas de vida”.</w:t>
      </w:r>
      <w:r w:rsidR="007A111F" w:rsidRPr="007A111F">
        <w:rPr>
          <w:szCs w:val="20"/>
        </w:rPr>
        <w:t xml:space="preserve"> </w:t>
      </w:r>
      <w:r w:rsidR="004B3ECC">
        <w:rPr>
          <w:szCs w:val="20"/>
        </w:rPr>
        <w:t>Este tipo de</w:t>
      </w:r>
      <w:r w:rsidR="007A111F" w:rsidRPr="007A111F">
        <w:rPr>
          <w:szCs w:val="20"/>
        </w:rPr>
        <w:t xml:space="preserve"> medidas </w:t>
      </w:r>
      <w:r w:rsidR="004B3ECC">
        <w:rPr>
          <w:szCs w:val="20"/>
        </w:rPr>
        <w:t xml:space="preserve">están </w:t>
      </w:r>
      <w:r w:rsidR="007A111F" w:rsidRPr="007A111F">
        <w:rPr>
          <w:szCs w:val="20"/>
        </w:rPr>
        <w:t xml:space="preserve">dirigidas a </w:t>
      </w:r>
      <w:r w:rsidR="007D27C0" w:rsidRPr="007A111F">
        <w:rPr>
          <w:szCs w:val="20"/>
        </w:rPr>
        <w:t xml:space="preserve">mejorar </w:t>
      </w:r>
      <w:r w:rsidR="007A111F" w:rsidRPr="007A111F">
        <w:rPr>
          <w:szCs w:val="20"/>
        </w:rPr>
        <w:t>la</w:t>
      </w:r>
      <w:r w:rsidR="007D27C0" w:rsidRPr="007A111F">
        <w:rPr>
          <w:szCs w:val="20"/>
        </w:rPr>
        <w:t xml:space="preserve"> calidad de vida y bienestar general</w:t>
      </w:r>
      <w:r w:rsidR="007A111F" w:rsidRPr="007A111F">
        <w:rPr>
          <w:szCs w:val="20"/>
        </w:rPr>
        <w:t xml:space="preserve"> de los miembros de pueblos indígenas y tribales </w:t>
      </w:r>
      <w:r>
        <w:rPr>
          <w:szCs w:val="20"/>
        </w:rPr>
        <w:t xml:space="preserve">y, por tanto, pueden tener un efecto compensador. </w:t>
      </w:r>
      <w:r w:rsidR="004B3ECC">
        <w:rPr>
          <w:szCs w:val="20"/>
        </w:rPr>
        <w:t xml:space="preserve">No obstante, las mismas </w:t>
      </w:r>
      <w:r>
        <w:rPr>
          <w:szCs w:val="20"/>
        </w:rPr>
        <w:t xml:space="preserve">no </w:t>
      </w:r>
      <w:r w:rsidR="004B3ECC">
        <w:rPr>
          <w:szCs w:val="20"/>
        </w:rPr>
        <w:t>pueden ser confundidas con la</w:t>
      </w:r>
      <w:r>
        <w:rPr>
          <w:szCs w:val="20"/>
        </w:rPr>
        <w:t xml:space="preserve"> reparación colectiva</w:t>
      </w:r>
      <w:r w:rsidRPr="00E643F2">
        <w:rPr>
          <w:szCs w:val="20"/>
        </w:rPr>
        <w:t>.</w:t>
      </w:r>
    </w:p>
    <w:p w:rsidR="007A111F" w:rsidRPr="007A111F" w:rsidRDefault="007A111F" w:rsidP="007A111F">
      <w:pPr>
        <w:pStyle w:val="ListParagraph"/>
        <w:rPr>
          <w:szCs w:val="20"/>
        </w:rPr>
      </w:pPr>
    </w:p>
    <w:p w:rsidR="00723FF6" w:rsidRDefault="00377BB0" w:rsidP="00723FF6">
      <w:pPr>
        <w:pStyle w:val="ListParagraph"/>
        <w:numPr>
          <w:ilvl w:val="0"/>
          <w:numId w:val="5"/>
        </w:numPr>
        <w:tabs>
          <w:tab w:val="left" w:pos="426"/>
          <w:tab w:val="left" w:pos="709"/>
        </w:tabs>
        <w:ind w:left="0" w:firstLine="0"/>
        <w:rPr>
          <w:szCs w:val="20"/>
        </w:rPr>
      </w:pPr>
      <w:r>
        <w:rPr>
          <w:szCs w:val="20"/>
        </w:rPr>
        <w:t>E</w:t>
      </w:r>
      <w:r w:rsidR="007A111F">
        <w:rPr>
          <w:szCs w:val="20"/>
        </w:rPr>
        <w:t xml:space="preserve">n este caso, </w:t>
      </w:r>
      <w:r>
        <w:rPr>
          <w:szCs w:val="20"/>
        </w:rPr>
        <w:t>l</w:t>
      </w:r>
      <w:r w:rsidRPr="0015777C">
        <w:rPr>
          <w:szCs w:val="20"/>
        </w:rPr>
        <w:t xml:space="preserve">a medida de reparación </w:t>
      </w:r>
      <w:r>
        <w:rPr>
          <w:szCs w:val="20"/>
        </w:rPr>
        <w:t xml:space="preserve">ordenada que consiste en </w:t>
      </w:r>
      <w:r w:rsidR="007A111F">
        <w:rPr>
          <w:szCs w:val="20"/>
        </w:rPr>
        <w:t xml:space="preserve">la creación de un </w:t>
      </w:r>
      <w:r>
        <w:rPr>
          <w:szCs w:val="20"/>
        </w:rPr>
        <w:t>Fondo de desarrollo comunitario</w:t>
      </w:r>
      <w:r w:rsidR="007A111F">
        <w:rPr>
          <w:szCs w:val="20"/>
        </w:rPr>
        <w:t xml:space="preserve"> </w:t>
      </w:r>
      <w:r w:rsidR="000275B3">
        <w:rPr>
          <w:szCs w:val="20"/>
        </w:rPr>
        <w:t xml:space="preserve">no </w:t>
      </w:r>
      <w:r w:rsidR="0015777C" w:rsidRPr="0015777C">
        <w:rPr>
          <w:szCs w:val="20"/>
        </w:rPr>
        <w:t xml:space="preserve">está dirigida a que </w:t>
      </w:r>
      <w:r w:rsidR="00723FF6" w:rsidRPr="0015777C">
        <w:rPr>
          <w:szCs w:val="20"/>
        </w:rPr>
        <w:t xml:space="preserve">el Estado </w:t>
      </w:r>
      <w:r>
        <w:rPr>
          <w:szCs w:val="20"/>
        </w:rPr>
        <w:t>implemente</w:t>
      </w:r>
      <w:r w:rsidR="00723FF6" w:rsidRPr="0015777C">
        <w:rPr>
          <w:szCs w:val="20"/>
        </w:rPr>
        <w:t xml:space="preserve"> medidas </w:t>
      </w:r>
      <w:r w:rsidR="0015777C" w:rsidRPr="0015777C">
        <w:rPr>
          <w:szCs w:val="20"/>
        </w:rPr>
        <w:t>para mejorar la situación de vida de la Comunidad Garífuna Tr</w:t>
      </w:r>
      <w:r w:rsidR="007A111F">
        <w:rPr>
          <w:szCs w:val="20"/>
        </w:rPr>
        <w:t>i</w:t>
      </w:r>
      <w:r w:rsidR="0015777C" w:rsidRPr="0015777C">
        <w:rPr>
          <w:szCs w:val="20"/>
        </w:rPr>
        <w:t xml:space="preserve">unfo de la Cruz </w:t>
      </w:r>
      <w:r w:rsidR="000275B3">
        <w:rPr>
          <w:szCs w:val="20"/>
        </w:rPr>
        <w:t>y los demás habitantes de la zona</w:t>
      </w:r>
      <w:r w:rsidR="0015777C" w:rsidRPr="0015777C">
        <w:rPr>
          <w:szCs w:val="20"/>
        </w:rPr>
        <w:t xml:space="preserve">. </w:t>
      </w:r>
      <w:r>
        <w:rPr>
          <w:szCs w:val="20"/>
        </w:rPr>
        <w:t>Lo anterior es</w:t>
      </w:r>
      <w:r w:rsidR="000275B3">
        <w:rPr>
          <w:szCs w:val="20"/>
        </w:rPr>
        <w:t xml:space="preserve">, finalmente, una obligación permanente del Estado respecto de </w:t>
      </w:r>
      <w:r w:rsidR="00723FF6" w:rsidRPr="0015777C">
        <w:rPr>
          <w:szCs w:val="20"/>
        </w:rPr>
        <w:t>todos sus ciudadanos</w:t>
      </w:r>
      <w:r w:rsidR="00842BEC">
        <w:rPr>
          <w:szCs w:val="20"/>
        </w:rPr>
        <w:t>,</w:t>
      </w:r>
      <w:r w:rsidR="0015777C" w:rsidRPr="0015777C">
        <w:rPr>
          <w:szCs w:val="20"/>
        </w:rPr>
        <w:t xml:space="preserve"> </w:t>
      </w:r>
      <w:r w:rsidR="000275B3">
        <w:rPr>
          <w:szCs w:val="20"/>
        </w:rPr>
        <w:t>y</w:t>
      </w:r>
      <w:r w:rsidR="0015777C" w:rsidRPr="0015777C">
        <w:rPr>
          <w:szCs w:val="20"/>
        </w:rPr>
        <w:t xml:space="preserve"> los ciudadanos Garífunas en particular</w:t>
      </w:r>
      <w:r w:rsidR="00723FF6" w:rsidRPr="0015777C">
        <w:rPr>
          <w:szCs w:val="20"/>
        </w:rPr>
        <w:t xml:space="preserve">. </w:t>
      </w:r>
    </w:p>
    <w:p w:rsidR="0015777C" w:rsidRPr="0015777C" w:rsidRDefault="0015777C" w:rsidP="0015777C">
      <w:pPr>
        <w:pStyle w:val="ListParagraph"/>
        <w:tabs>
          <w:tab w:val="left" w:pos="426"/>
          <w:tab w:val="left" w:pos="709"/>
        </w:tabs>
        <w:ind w:left="0"/>
        <w:rPr>
          <w:szCs w:val="20"/>
        </w:rPr>
      </w:pPr>
    </w:p>
    <w:p w:rsidR="00085896" w:rsidRDefault="000275B3" w:rsidP="00353BBE">
      <w:pPr>
        <w:pStyle w:val="ListParagraph"/>
        <w:numPr>
          <w:ilvl w:val="0"/>
          <w:numId w:val="5"/>
        </w:numPr>
        <w:tabs>
          <w:tab w:val="left" w:pos="426"/>
          <w:tab w:val="left" w:pos="709"/>
        </w:tabs>
        <w:ind w:left="0" w:firstLine="0"/>
        <w:rPr>
          <w:szCs w:val="20"/>
        </w:rPr>
      </w:pPr>
      <w:r>
        <w:rPr>
          <w:szCs w:val="20"/>
        </w:rPr>
        <w:t xml:space="preserve">La principal diferencia entre la reparación colectiva y </w:t>
      </w:r>
      <w:r w:rsidR="00660E6A">
        <w:rPr>
          <w:szCs w:val="20"/>
        </w:rPr>
        <w:t>un</w:t>
      </w:r>
      <w:r>
        <w:rPr>
          <w:szCs w:val="20"/>
        </w:rPr>
        <w:t xml:space="preserve">a política pública </w:t>
      </w:r>
      <w:r w:rsidR="00660E6A">
        <w:rPr>
          <w:szCs w:val="20"/>
        </w:rPr>
        <w:t>dirigida al</w:t>
      </w:r>
      <w:r>
        <w:rPr>
          <w:szCs w:val="20"/>
        </w:rPr>
        <w:t xml:space="preserve"> desarrollo </w:t>
      </w:r>
      <w:r w:rsidR="00660E6A">
        <w:rPr>
          <w:szCs w:val="20"/>
        </w:rPr>
        <w:t xml:space="preserve">economico y social </w:t>
      </w:r>
      <w:r>
        <w:rPr>
          <w:szCs w:val="20"/>
        </w:rPr>
        <w:t xml:space="preserve">reside en que </w:t>
      </w:r>
      <w:r w:rsidR="00660E6A">
        <w:rPr>
          <w:szCs w:val="20"/>
        </w:rPr>
        <w:t xml:space="preserve">el objetivo de </w:t>
      </w:r>
      <w:r>
        <w:rPr>
          <w:szCs w:val="20"/>
        </w:rPr>
        <w:t>la primera</w:t>
      </w:r>
      <w:r w:rsidR="00CF665C" w:rsidRPr="00353BBE">
        <w:rPr>
          <w:szCs w:val="20"/>
        </w:rPr>
        <w:t xml:space="preserve"> </w:t>
      </w:r>
      <w:r w:rsidR="00660E6A">
        <w:rPr>
          <w:szCs w:val="20"/>
        </w:rPr>
        <w:t xml:space="preserve">es </w:t>
      </w:r>
      <w:r w:rsidR="00CF665C" w:rsidRPr="00353BBE">
        <w:rPr>
          <w:szCs w:val="20"/>
        </w:rPr>
        <w:t>reparar un daño específico causado por una violación perpetrada por el Estado de un derecho contenido en la Convención</w:t>
      </w:r>
      <w:r w:rsidR="00660E6A">
        <w:rPr>
          <w:szCs w:val="20"/>
        </w:rPr>
        <w:t xml:space="preserve"> Americana</w:t>
      </w:r>
      <w:r w:rsidR="00353BBE">
        <w:rPr>
          <w:szCs w:val="20"/>
        </w:rPr>
        <w:t xml:space="preserve">, en </w:t>
      </w:r>
      <w:r w:rsidR="00CF665C" w:rsidRPr="00353BBE">
        <w:rPr>
          <w:szCs w:val="20"/>
        </w:rPr>
        <w:t>p</w:t>
      </w:r>
      <w:r w:rsidR="00353BBE">
        <w:rPr>
          <w:szCs w:val="20"/>
        </w:rPr>
        <w:t>e</w:t>
      </w:r>
      <w:r w:rsidR="00CF665C" w:rsidRPr="00353BBE">
        <w:rPr>
          <w:szCs w:val="20"/>
        </w:rPr>
        <w:t>rjuicio de la Comunidad y sus miembros</w:t>
      </w:r>
      <w:r w:rsidR="00353BBE">
        <w:rPr>
          <w:szCs w:val="20"/>
        </w:rPr>
        <w:t>, mientras que</w:t>
      </w:r>
      <w:r w:rsidR="00CF665C" w:rsidRPr="00353BBE">
        <w:rPr>
          <w:szCs w:val="20"/>
        </w:rPr>
        <w:t xml:space="preserve"> </w:t>
      </w:r>
      <w:r>
        <w:rPr>
          <w:szCs w:val="20"/>
        </w:rPr>
        <w:t>la segunda está dirigida a implementar una obligación general del</w:t>
      </w:r>
      <w:r w:rsidR="00CF665C" w:rsidRPr="00353BBE">
        <w:rPr>
          <w:szCs w:val="20"/>
        </w:rPr>
        <w:t xml:space="preserve"> Estado en </w:t>
      </w:r>
      <w:r>
        <w:rPr>
          <w:szCs w:val="20"/>
        </w:rPr>
        <w:t xml:space="preserve">materia de </w:t>
      </w:r>
      <w:r w:rsidR="00CF665C" w:rsidRPr="00353BBE">
        <w:rPr>
          <w:szCs w:val="20"/>
        </w:rPr>
        <w:t>derechos humanos</w:t>
      </w:r>
      <w:r>
        <w:rPr>
          <w:szCs w:val="20"/>
        </w:rPr>
        <w:t xml:space="preserve"> (específicamente </w:t>
      </w:r>
      <w:r w:rsidR="00660E6A">
        <w:rPr>
          <w:szCs w:val="20"/>
        </w:rPr>
        <w:t xml:space="preserve">los </w:t>
      </w:r>
      <w:r>
        <w:rPr>
          <w:szCs w:val="20"/>
        </w:rPr>
        <w:t>derechos económicos, sociales y culturales)</w:t>
      </w:r>
      <w:r w:rsidR="00CF665C" w:rsidRPr="00353BBE">
        <w:rPr>
          <w:szCs w:val="20"/>
        </w:rPr>
        <w:t xml:space="preserve">. </w:t>
      </w:r>
    </w:p>
    <w:p w:rsidR="00723FF6" w:rsidRPr="00353BBE" w:rsidRDefault="00723FF6" w:rsidP="00353BBE">
      <w:pPr>
        <w:tabs>
          <w:tab w:val="left" w:pos="426"/>
          <w:tab w:val="left" w:pos="709"/>
        </w:tabs>
        <w:rPr>
          <w:szCs w:val="20"/>
        </w:rPr>
      </w:pPr>
    </w:p>
    <w:p w:rsidR="00723FF6" w:rsidRPr="00BF28EF" w:rsidRDefault="003974A7" w:rsidP="00BF28EF">
      <w:pPr>
        <w:pStyle w:val="ListParagraph"/>
        <w:numPr>
          <w:ilvl w:val="0"/>
          <w:numId w:val="5"/>
        </w:numPr>
        <w:tabs>
          <w:tab w:val="left" w:pos="426"/>
          <w:tab w:val="left" w:pos="709"/>
        </w:tabs>
        <w:ind w:left="0" w:firstLine="0"/>
        <w:rPr>
          <w:szCs w:val="20"/>
        </w:rPr>
      </w:pPr>
      <w:r>
        <w:rPr>
          <w:szCs w:val="20"/>
        </w:rPr>
        <w:t xml:space="preserve">En la Sentencia quedó plasmado que </w:t>
      </w:r>
      <w:r w:rsidR="000275B3">
        <w:rPr>
          <w:szCs w:val="20"/>
        </w:rPr>
        <w:t>l</w:t>
      </w:r>
      <w:r w:rsidR="00085896">
        <w:rPr>
          <w:szCs w:val="20"/>
        </w:rPr>
        <w:t xml:space="preserve">a </w:t>
      </w:r>
      <w:r w:rsidR="00723FF6" w:rsidRPr="00BD05DA">
        <w:rPr>
          <w:szCs w:val="20"/>
        </w:rPr>
        <w:t xml:space="preserve">medida de reparación </w:t>
      </w:r>
      <w:r w:rsidR="00085896">
        <w:rPr>
          <w:szCs w:val="20"/>
        </w:rPr>
        <w:t xml:space="preserve">de la creación de un Fondo de desarrollo comunitario </w:t>
      </w:r>
      <w:r w:rsidR="00723FF6" w:rsidRPr="00BD05DA">
        <w:rPr>
          <w:szCs w:val="20"/>
        </w:rPr>
        <w:t xml:space="preserve">es consecuencia de una violación </w:t>
      </w:r>
      <w:r w:rsidR="000275B3">
        <w:rPr>
          <w:szCs w:val="20"/>
        </w:rPr>
        <w:t xml:space="preserve">por el Estado </w:t>
      </w:r>
      <w:r w:rsidR="00723FF6" w:rsidRPr="00BD05DA">
        <w:rPr>
          <w:szCs w:val="20"/>
        </w:rPr>
        <w:t xml:space="preserve">de </w:t>
      </w:r>
      <w:r w:rsidR="00085896">
        <w:rPr>
          <w:szCs w:val="20"/>
        </w:rPr>
        <w:t>varios</w:t>
      </w:r>
      <w:r w:rsidR="00723FF6" w:rsidRPr="00BD05DA">
        <w:rPr>
          <w:szCs w:val="20"/>
        </w:rPr>
        <w:t xml:space="preserve"> derecho</w:t>
      </w:r>
      <w:r w:rsidR="00085896">
        <w:rPr>
          <w:szCs w:val="20"/>
        </w:rPr>
        <w:t>s</w:t>
      </w:r>
      <w:r w:rsidR="00723FF6" w:rsidRPr="00BD05DA">
        <w:rPr>
          <w:szCs w:val="20"/>
        </w:rPr>
        <w:t xml:space="preserve"> </w:t>
      </w:r>
      <w:r>
        <w:rPr>
          <w:szCs w:val="20"/>
        </w:rPr>
        <w:t>establecid</w:t>
      </w:r>
      <w:r w:rsidR="00723FF6" w:rsidRPr="00BD05DA">
        <w:rPr>
          <w:szCs w:val="20"/>
        </w:rPr>
        <w:t>o</w:t>
      </w:r>
      <w:r w:rsidR="00085896">
        <w:rPr>
          <w:szCs w:val="20"/>
        </w:rPr>
        <w:t>s</w:t>
      </w:r>
      <w:r w:rsidR="00723FF6" w:rsidRPr="00BD05DA">
        <w:rPr>
          <w:szCs w:val="20"/>
        </w:rPr>
        <w:t xml:space="preserve"> en la Convención </w:t>
      </w:r>
      <w:r w:rsidR="00085896" w:rsidRPr="00353BBE">
        <w:rPr>
          <w:szCs w:val="20"/>
        </w:rPr>
        <w:t>(</w:t>
      </w:r>
      <w:r w:rsidR="000275B3">
        <w:rPr>
          <w:szCs w:val="20"/>
        </w:rPr>
        <w:t>a saber</w:t>
      </w:r>
      <w:r w:rsidR="00085896" w:rsidRPr="00353BBE">
        <w:rPr>
          <w:szCs w:val="20"/>
        </w:rPr>
        <w:t xml:space="preserve"> los derechos contenidos en los artículos 2, 21, 8 y 25 de la </w:t>
      </w:r>
      <w:r w:rsidR="00085896">
        <w:rPr>
          <w:szCs w:val="20"/>
        </w:rPr>
        <w:t>misma)</w:t>
      </w:r>
      <w:r w:rsidR="00723FF6" w:rsidRPr="00BD05DA">
        <w:rPr>
          <w:szCs w:val="20"/>
        </w:rPr>
        <w:t xml:space="preserve">. Por tanto, la implementación de este Fondo no puede sustituir o reemplazar las medidas de política pública tomadas, o a tomar, por el Estado para mejorar la situación de la Comunidad Garífuna Triunfo de la Cruz y los demás hondureños que viven en la zona de que se trata la Sentencia. </w:t>
      </w:r>
      <w:r w:rsidR="00723FF6" w:rsidRPr="000275B3">
        <w:rPr>
          <w:szCs w:val="20"/>
        </w:rPr>
        <w:t>Dichas medidas de política pública son una reponsabilidad del Estado</w:t>
      </w:r>
      <w:r w:rsidR="00F661E0">
        <w:rPr>
          <w:szCs w:val="20"/>
        </w:rPr>
        <w:t xml:space="preserve"> y </w:t>
      </w:r>
      <w:r w:rsidR="00723FF6" w:rsidRPr="000275B3">
        <w:rPr>
          <w:szCs w:val="20"/>
        </w:rPr>
        <w:t xml:space="preserve">son necesarias para mejorar el nivel de vida de los habitantes de la </w:t>
      </w:r>
      <w:r w:rsidR="00F661E0">
        <w:rPr>
          <w:szCs w:val="20"/>
        </w:rPr>
        <w:t>región, así como</w:t>
      </w:r>
      <w:r w:rsidR="00723FF6" w:rsidRPr="000275B3">
        <w:rPr>
          <w:szCs w:val="20"/>
        </w:rPr>
        <w:t xml:space="preserve"> para evitar conflictos entre estos</w:t>
      </w:r>
      <w:r w:rsidR="00F661E0">
        <w:rPr>
          <w:szCs w:val="20"/>
        </w:rPr>
        <w:t>. De esa manera</w:t>
      </w:r>
      <w:r w:rsidR="00842BEC">
        <w:rPr>
          <w:szCs w:val="20"/>
        </w:rPr>
        <w:t>, dichas políticas públicas</w:t>
      </w:r>
      <w:r w:rsidR="00F661E0">
        <w:rPr>
          <w:szCs w:val="20"/>
        </w:rPr>
        <w:t xml:space="preserve"> pueden</w:t>
      </w:r>
      <w:r w:rsidR="00BF28EF">
        <w:rPr>
          <w:szCs w:val="20"/>
        </w:rPr>
        <w:t xml:space="preserve"> promov</w:t>
      </w:r>
      <w:r w:rsidR="00F661E0">
        <w:rPr>
          <w:szCs w:val="20"/>
        </w:rPr>
        <w:t>er</w:t>
      </w:r>
      <w:r w:rsidR="00723FF6" w:rsidRPr="000275B3">
        <w:rPr>
          <w:szCs w:val="20"/>
        </w:rPr>
        <w:t xml:space="preserve"> </w:t>
      </w:r>
      <w:r w:rsidR="00BF28EF">
        <w:rPr>
          <w:szCs w:val="20"/>
        </w:rPr>
        <w:t xml:space="preserve">la </w:t>
      </w:r>
      <w:r w:rsidR="00BF28EF" w:rsidRPr="00723FF6">
        <w:rPr>
          <w:szCs w:val="20"/>
        </w:rPr>
        <w:t xml:space="preserve">pacífica convivencia entre </w:t>
      </w:r>
      <w:r w:rsidR="00BF28EF" w:rsidRPr="00723FF6">
        <w:rPr>
          <w:szCs w:val="20"/>
        </w:rPr>
        <w:lastRenderedPageBreak/>
        <w:t xml:space="preserve">los diferentes grupos étnicos que </w:t>
      </w:r>
      <w:r w:rsidR="00BF28EF">
        <w:rPr>
          <w:szCs w:val="20"/>
        </w:rPr>
        <w:t xml:space="preserve">habitan el país </w:t>
      </w:r>
      <w:r w:rsidR="00723FF6" w:rsidRPr="00BF28EF">
        <w:rPr>
          <w:szCs w:val="20"/>
        </w:rPr>
        <w:t>(v</w:t>
      </w:r>
      <w:r w:rsidR="00784A09">
        <w:rPr>
          <w:szCs w:val="20"/>
        </w:rPr>
        <w:t>é</w:t>
      </w:r>
      <w:r w:rsidR="00723FF6" w:rsidRPr="00BF28EF">
        <w:rPr>
          <w:szCs w:val="20"/>
        </w:rPr>
        <w:t>a</w:t>
      </w:r>
      <w:r w:rsidR="00784A09">
        <w:rPr>
          <w:szCs w:val="20"/>
        </w:rPr>
        <w:t>nse</w:t>
      </w:r>
      <w:r w:rsidR="00723FF6" w:rsidRPr="00BF28EF">
        <w:rPr>
          <w:szCs w:val="20"/>
        </w:rPr>
        <w:t xml:space="preserve"> mis comentarios </w:t>
      </w:r>
      <w:r w:rsidR="00723FF6" w:rsidRPr="00BF28EF">
        <w:rPr>
          <w:i/>
          <w:szCs w:val="20"/>
        </w:rPr>
        <w:t>infra</w:t>
      </w:r>
      <w:r w:rsidR="00723FF6" w:rsidRPr="00BF28EF">
        <w:rPr>
          <w:szCs w:val="20"/>
        </w:rPr>
        <w:t xml:space="preserve"> sobre la delimitación de tierras como un tema social). </w:t>
      </w:r>
    </w:p>
    <w:p w:rsidR="00723FF6" w:rsidRPr="00A02385" w:rsidRDefault="00723FF6" w:rsidP="00723FF6">
      <w:pPr>
        <w:pStyle w:val="ListParagraph"/>
        <w:rPr>
          <w:szCs w:val="20"/>
        </w:rPr>
      </w:pPr>
    </w:p>
    <w:p w:rsidR="00723FF6" w:rsidRPr="003719FE" w:rsidRDefault="00723FF6" w:rsidP="00723FF6">
      <w:pPr>
        <w:pStyle w:val="ListParagraph"/>
        <w:numPr>
          <w:ilvl w:val="0"/>
          <w:numId w:val="5"/>
        </w:numPr>
        <w:tabs>
          <w:tab w:val="left" w:pos="426"/>
          <w:tab w:val="left" w:pos="709"/>
        </w:tabs>
        <w:ind w:left="0" w:firstLine="0"/>
        <w:rPr>
          <w:rFonts w:eastAsiaTheme="minorHAnsi" w:cstheme="minorBidi"/>
          <w:noProof w:val="0"/>
          <w:szCs w:val="22"/>
          <w:lang w:val="es-CR"/>
        </w:rPr>
      </w:pPr>
      <w:r>
        <w:rPr>
          <w:szCs w:val="20"/>
        </w:rPr>
        <w:t xml:space="preserve">Lo anterior quiere decir que la creación del Fondo es una medida de reparación pecuniaria que se </w:t>
      </w:r>
      <w:r w:rsidRPr="00725179">
        <w:rPr>
          <w:szCs w:val="20"/>
        </w:rPr>
        <w:t>suma</w:t>
      </w:r>
      <w:r>
        <w:rPr>
          <w:szCs w:val="20"/>
        </w:rPr>
        <w:t xml:space="preserve"> a las referidas obligaciones generales del Estado. </w:t>
      </w:r>
      <w:r w:rsidR="00A9783A">
        <w:rPr>
          <w:szCs w:val="20"/>
        </w:rPr>
        <w:t>Esto quedó expresado en la Sentencia cuando la Corte establece que el Fondo debe ser</w:t>
      </w:r>
      <w:r>
        <w:rPr>
          <w:szCs w:val="20"/>
        </w:rPr>
        <w:t xml:space="preserve"> utilizado para realizar obras y servicios de interés colectivo “</w:t>
      </w:r>
      <w:r w:rsidRPr="00A1277D">
        <w:rPr>
          <w:rFonts w:eastAsiaTheme="minorHAnsi" w:cstheme="minorBidi"/>
          <w:noProof w:val="0"/>
          <w:szCs w:val="22"/>
          <w:lang w:val="es-CR"/>
        </w:rPr>
        <w:t>independientemente de las obras públicas del presupuesto nacional que se destinen para esa región</w:t>
      </w:r>
      <w:r>
        <w:rPr>
          <w:rFonts w:eastAsiaTheme="minorHAnsi" w:cstheme="minorBidi"/>
          <w:noProof w:val="0"/>
          <w:szCs w:val="22"/>
          <w:lang w:val="es-CR"/>
        </w:rPr>
        <w:t>”</w:t>
      </w:r>
      <w:r>
        <w:rPr>
          <w:rStyle w:val="FootnoteReference"/>
          <w:rFonts w:eastAsiaTheme="minorHAnsi" w:cstheme="minorBidi"/>
          <w:noProof w:val="0"/>
          <w:szCs w:val="22"/>
          <w:lang w:val="es-CR"/>
        </w:rPr>
        <w:footnoteReference w:id="18"/>
      </w:r>
      <w:r w:rsidRPr="00A1277D">
        <w:rPr>
          <w:rFonts w:eastAsiaTheme="minorHAnsi" w:cstheme="minorBidi"/>
          <w:noProof w:val="0"/>
          <w:szCs w:val="22"/>
          <w:lang w:val="es-CR"/>
        </w:rPr>
        <w:t>.</w:t>
      </w:r>
      <w:r>
        <w:rPr>
          <w:rFonts w:eastAsiaTheme="minorHAnsi" w:cstheme="minorBidi"/>
          <w:noProof w:val="0"/>
          <w:szCs w:val="22"/>
          <w:lang w:val="es-CR"/>
        </w:rPr>
        <w:t xml:space="preserve"> De manera similar </w:t>
      </w:r>
      <w:r w:rsidR="00784A09">
        <w:rPr>
          <w:rFonts w:eastAsiaTheme="minorHAnsi" w:cstheme="minorBidi"/>
          <w:noProof w:val="0"/>
          <w:szCs w:val="22"/>
          <w:lang w:val="es-CR"/>
        </w:rPr>
        <w:t xml:space="preserve">se </w:t>
      </w:r>
      <w:r w:rsidR="00A9783A">
        <w:rPr>
          <w:rFonts w:eastAsiaTheme="minorHAnsi" w:cstheme="minorBidi"/>
          <w:noProof w:val="0"/>
          <w:szCs w:val="22"/>
          <w:lang w:val="es-CR"/>
        </w:rPr>
        <w:t xml:space="preserve">consideró que </w:t>
      </w:r>
      <w:r>
        <w:rPr>
          <w:szCs w:val="20"/>
        </w:rPr>
        <w:t xml:space="preserve">el Fondo de desarrollo comunitario es </w:t>
      </w:r>
      <w:r w:rsidRPr="00A1277D">
        <w:rPr>
          <w:szCs w:val="20"/>
        </w:rPr>
        <w:t>“adicional a cualquier otro beneficio presente o futuro que le corresponda a la Comunidad Triunfo de la Cruz en relación con los deberes generales de desarrollo del Estado”</w:t>
      </w:r>
      <w:r>
        <w:rPr>
          <w:rStyle w:val="FootnoteReference"/>
          <w:szCs w:val="20"/>
        </w:rPr>
        <w:footnoteReference w:id="19"/>
      </w:r>
      <w:r w:rsidRPr="00A1277D">
        <w:rPr>
          <w:szCs w:val="20"/>
        </w:rPr>
        <w:t xml:space="preserve">. </w:t>
      </w:r>
    </w:p>
    <w:p w:rsidR="00723FF6" w:rsidRPr="00A9783A" w:rsidRDefault="00723FF6" w:rsidP="00723FF6">
      <w:pPr>
        <w:pStyle w:val="ListParagraph"/>
        <w:rPr>
          <w:szCs w:val="20"/>
          <w:lang w:val="es-CR"/>
        </w:rPr>
      </w:pPr>
    </w:p>
    <w:p w:rsidR="006D4A63" w:rsidRPr="00F67C4B" w:rsidRDefault="00A9783A" w:rsidP="00DD7A7F">
      <w:pPr>
        <w:pStyle w:val="ListParagraph"/>
        <w:numPr>
          <w:ilvl w:val="0"/>
          <w:numId w:val="5"/>
        </w:numPr>
        <w:tabs>
          <w:tab w:val="left" w:pos="426"/>
          <w:tab w:val="left" w:pos="709"/>
        </w:tabs>
        <w:ind w:left="0" w:firstLine="0"/>
        <w:rPr>
          <w:szCs w:val="20"/>
        </w:rPr>
      </w:pPr>
      <w:r>
        <w:rPr>
          <w:szCs w:val="20"/>
        </w:rPr>
        <w:t xml:space="preserve">Por tanto, </w:t>
      </w:r>
      <w:r w:rsidR="000275B3" w:rsidRPr="00353BBE">
        <w:rPr>
          <w:szCs w:val="20"/>
        </w:rPr>
        <w:t>el Estado no puede equi</w:t>
      </w:r>
      <w:r w:rsidR="000275B3">
        <w:rPr>
          <w:szCs w:val="20"/>
        </w:rPr>
        <w:t>parar</w:t>
      </w:r>
      <w:r w:rsidR="000275B3" w:rsidRPr="00353BBE">
        <w:rPr>
          <w:szCs w:val="20"/>
        </w:rPr>
        <w:t xml:space="preserve"> </w:t>
      </w:r>
      <w:r>
        <w:rPr>
          <w:szCs w:val="20"/>
        </w:rPr>
        <w:t>est</w:t>
      </w:r>
      <w:r w:rsidR="000275B3" w:rsidRPr="00353BBE">
        <w:rPr>
          <w:szCs w:val="20"/>
        </w:rPr>
        <w:t>a medida de reparación con sus deberes generales</w:t>
      </w:r>
      <w:r>
        <w:rPr>
          <w:szCs w:val="20"/>
        </w:rPr>
        <w:t xml:space="preserve"> en materia de derechos humanos. </w:t>
      </w:r>
      <w:r w:rsidR="00842BEC">
        <w:rPr>
          <w:szCs w:val="20"/>
        </w:rPr>
        <w:t xml:space="preserve">Una confusión </w:t>
      </w:r>
      <w:r w:rsidR="00784A09">
        <w:rPr>
          <w:szCs w:val="20"/>
        </w:rPr>
        <w:t xml:space="preserve">semejante </w:t>
      </w:r>
      <w:r w:rsidR="000275B3" w:rsidRPr="00353BBE">
        <w:rPr>
          <w:szCs w:val="20"/>
        </w:rPr>
        <w:t>podría dar lugar a una situación en la cual no se otorga</w:t>
      </w:r>
      <w:r>
        <w:rPr>
          <w:szCs w:val="20"/>
        </w:rPr>
        <w:t>ría</w:t>
      </w:r>
      <w:r w:rsidR="000275B3" w:rsidRPr="00353BBE">
        <w:rPr>
          <w:szCs w:val="20"/>
        </w:rPr>
        <w:t xml:space="preserve"> ninguna indemnización en particular a la Comunidad Garífuna Triunfo de la Cruz</w:t>
      </w:r>
      <w:r w:rsidR="00842BEC">
        <w:rPr>
          <w:szCs w:val="20"/>
        </w:rPr>
        <w:t>,</w:t>
      </w:r>
      <w:r w:rsidR="000275B3">
        <w:rPr>
          <w:szCs w:val="20"/>
        </w:rPr>
        <w:t xml:space="preserve"> o se debilitarían </w:t>
      </w:r>
      <w:r w:rsidR="000275B3" w:rsidRPr="00723FF6">
        <w:rPr>
          <w:szCs w:val="20"/>
        </w:rPr>
        <w:t xml:space="preserve">las políticas públicas dirigidas a mejorar </w:t>
      </w:r>
      <w:r w:rsidR="000275B3">
        <w:rPr>
          <w:szCs w:val="20"/>
        </w:rPr>
        <w:t>sus</w:t>
      </w:r>
      <w:r w:rsidR="000275B3" w:rsidRPr="00723FF6">
        <w:rPr>
          <w:szCs w:val="20"/>
        </w:rPr>
        <w:t xml:space="preserve"> condiciones de vida</w:t>
      </w:r>
      <w:r w:rsidR="000275B3" w:rsidRPr="00353BBE">
        <w:rPr>
          <w:szCs w:val="20"/>
        </w:rPr>
        <w:t>. Si eso fuera el caso, el Estado faltaría a su deber de cumplir con las medidas de reparación o</w:t>
      </w:r>
      <w:r>
        <w:rPr>
          <w:szCs w:val="20"/>
        </w:rPr>
        <w:t xml:space="preserve">rdenadas </w:t>
      </w:r>
      <w:r w:rsidR="000275B3" w:rsidRPr="00353BBE">
        <w:rPr>
          <w:szCs w:val="20"/>
        </w:rPr>
        <w:t>en la Sentencia.</w:t>
      </w:r>
    </w:p>
    <w:p w:rsidR="006D4A63" w:rsidRDefault="006D4A63" w:rsidP="00DD7A7F">
      <w:pPr>
        <w:tabs>
          <w:tab w:val="left" w:pos="426"/>
          <w:tab w:val="left" w:pos="709"/>
        </w:tabs>
        <w:rPr>
          <w:szCs w:val="20"/>
        </w:rPr>
      </w:pPr>
    </w:p>
    <w:p w:rsidR="00BA1828" w:rsidRPr="00725179" w:rsidRDefault="00287D3E" w:rsidP="00F67C4B">
      <w:pPr>
        <w:tabs>
          <w:tab w:val="left" w:pos="426"/>
          <w:tab w:val="left" w:pos="709"/>
        </w:tabs>
        <w:ind w:left="1260" w:hanging="900"/>
        <w:rPr>
          <w:i/>
          <w:szCs w:val="20"/>
        </w:rPr>
      </w:pPr>
      <w:r w:rsidRPr="00725179">
        <w:rPr>
          <w:i/>
          <w:szCs w:val="20"/>
        </w:rPr>
        <w:t xml:space="preserve">(ii) </w:t>
      </w:r>
      <w:r w:rsidR="00F67C4B" w:rsidRPr="00725179">
        <w:rPr>
          <w:i/>
          <w:szCs w:val="20"/>
        </w:rPr>
        <w:t xml:space="preserve">      </w:t>
      </w:r>
      <w:r w:rsidR="00F67C4B">
        <w:rPr>
          <w:i/>
          <w:szCs w:val="20"/>
        </w:rPr>
        <w:t>E</w:t>
      </w:r>
      <w:r w:rsidR="00BA1828" w:rsidRPr="00F67C4B">
        <w:rPr>
          <w:i/>
          <w:szCs w:val="20"/>
        </w:rPr>
        <w:t xml:space="preserve">l desarrollo jurisprudencial de la Corte </w:t>
      </w:r>
      <w:r w:rsidR="000E1095" w:rsidRPr="00F67C4B">
        <w:rPr>
          <w:i/>
          <w:szCs w:val="20"/>
        </w:rPr>
        <w:t>sobre la personalidad jurídica de los pueblos indígenas o tribales y el daño colectivo</w:t>
      </w:r>
    </w:p>
    <w:p w:rsidR="00BA1828" w:rsidRPr="00DD7A7F" w:rsidRDefault="00BA1828" w:rsidP="00DD7A7F">
      <w:pPr>
        <w:tabs>
          <w:tab w:val="left" w:pos="426"/>
          <w:tab w:val="left" w:pos="709"/>
        </w:tabs>
        <w:rPr>
          <w:szCs w:val="20"/>
        </w:rPr>
      </w:pPr>
    </w:p>
    <w:p w:rsidR="007A111F" w:rsidRDefault="007A111F" w:rsidP="007A111F">
      <w:pPr>
        <w:pStyle w:val="ListParagraph"/>
        <w:numPr>
          <w:ilvl w:val="0"/>
          <w:numId w:val="5"/>
        </w:numPr>
        <w:tabs>
          <w:tab w:val="left" w:pos="426"/>
          <w:tab w:val="left" w:pos="709"/>
        </w:tabs>
        <w:ind w:left="0" w:firstLine="0"/>
        <w:rPr>
          <w:szCs w:val="20"/>
        </w:rPr>
      </w:pPr>
      <w:r>
        <w:rPr>
          <w:szCs w:val="20"/>
        </w:rPr>
        <w:t xml:space="preserve">La regla general cuando se violan los derechos humanos de </w:t>
      </w:r>
      <w:r w:rsidR="00513E6B">
        <w:rPr>
          <w:szCs w:val="20"/>
        </w:rPr>
        <w:t xml:space="preserve">los </w:t>
      </w:r>
      <w:r>
        <w:rPr>
          <w:szCs w:val="20"/>
        </w:rPr>
        <w:t xml:space="preserve">pueblos indígenas y tribales, causando un daño de carácter colectivo, debe ser el otorgamiento de una reparación colectiva y no una indemnización a individuos o miembros de los mismos. Este entendimiento también queda reflejado en el desarrollo de la jurisprudencia de la Corte al respecto. </w:t>
      </w:r>
    </w:p>
    <w:p w:rsidR="007A111F" w:rsidRDefault="007A111F" w:rsidP="007A111F">
      <w:pPr>
        <w:pStyle w:val="ListParagraph"/>
        <w:tabs>
          <w:tab w:val="left" w:pos="426"/>
          <w:tab w:val="left" w:pos="709"/>
        </w:tabs>
        <w:rPr>
          <w:szCs w:val="20"/>
        </w:rPr>
      </w:pPr>
    </w:p>
    <w:p w:rsidR="00FC3BF8" w:rsidRDefault="001932A6" w:rsidP="00BA1828">
      <w:pPr>
        <w:pStyle w:val="ListParagraph"/>
        <w:numPr>
          <w:ilvl w:val="0"/>
          <w:numId w:val="5"/>
        </w:numPr>
        <w:tabs>
          <w:tab w:val="left" w:pos="426"/>
          <w:tab w:val="left" w:pos="709"/>
        </w:tabs>
        <w:ind w:left="0" w:firstLine="0"/>
        <w:rPr>
          <w:szCs w:val="20"/>
        </w:rPr>
      </w:pPr>
      <w:r>
        <w:rPr>
          <w:szCs w:val="20"/>
        </w:rPr>
        <w:t>E</w:t>
      </w:r>
      <w:r w:rsidR="00A51BC4">
        <w:rPr>
          <w:szCs w:val="20"/>
        </w:rPr>
        <w:t xml:space="preserve">n el </w:t>
      </w:r>
      <w:r w:rsidR="00A51BC4" w:rsidRPr="00A51BC4">
        <w:rPr>
          <w:rFonts w:eastAsia="Times New Roman" w:cs="Times New Roman"/>
          <w:i/>
          <w:szCs w:val="20"/>
          <w:lang w:eastAsia="es-ES"/>
        </w:rPr>
        <w:t>Caso de la Comunidad Mayagna (Sumo) Awas Tingni Vs. Nicaragua</w:t>
      </w:r>
      <w:r w:rsidR="00A51BC4">
        <w:rPr>
          <w:szCs w:val="20"/>
        </w:rPr>
        <w:t xml:space="preserve"> </w:t>
      </w:r>
      <w:r>
        <w:rPr>
          <w:szCs w:val="20"/>
        </w:rPr>
        <w:t xml:space="preserve">el Tribunal </w:t>
      </w:r>
      <w:r w:rsidR="00A51BC4">
        <w:rPr>
          <w:szCs w:val="20"/>
        </w:rPr>
        <w:t>ordenó al Estado</w:t>
      </w:r>
      <w:r>
        <w:rPr>
          <w:szCs w:val="20"/>
        </w:rPr>
        <w:t>,</w:t>
      </w:r>
      <w:r w:rsidR="00A51BC4">
        <w:rPr>
          <w:szCs w:val="20"/>
        </w:rPr>
        <w:t xml:space="preserve"> como medida de reparación pecuniaria por daño inmaterial</w:t>
      </w:r>
      <w:r>
        <w:rPr>
          <w:szCs w:val="20"/>
        </w:rPr>
        <w:t>,</w:t>
      </w:r>
      <w:r w:rsidR="00A51BC4">
        <w:rPr>
          <w:szCs w:val="20"/>
        </w:rPr>
        <w:t xml:space="preserve"> invertir cierta suma en “</w:t>
      </w:r>
      <w:r w:rsidR="00A51BC4" w:rsidRPr="0078451E">
        <w:rPr>
          <w:rFonts w:eastAsia="Times New Roman" w:cs="Times New Roman"/>
          <w:szCs w:val="20"/>
          <w:lang w:eastAsia="es-ES"/>
        </w:rPr>
        <w:t>obras o servicios de interés colectivo en beneficio de la Comunidad</w:t>
      </w:r>
      <w:r w:rsidR="00A51BC4">
        <w:rPr>
          <w:rFonts w:eastAsia="Times New Roman" w:cs="Times New Roman"/>
          <w:szCs w:val="20"/>
          <w:lang w:eastAsia="es-ES"/>
        </w:rPr>
        <w:t>”</w:t>
      </w:r>
      <w:r w:rsidR="00A51BC4">
        <w:rPr>
          <w:rStyle w:val="FootnoteReference"/>
          <w:rFonts w:eastAsia="Times New Roman" w:cs="Times New Roman"/>
          <w:szCs w:val="20"/>
          <w:lang w:eastAsia="es-ES"/>
        </w:rPr>
        <w:footnoteReference w:id="20"/>
      </w:r>
      <w:r>
        <w:rPr>
          <w:rFonts w:eastAsia="Times New Roman" w:cs="Times New Roman"/>
          <w:szCs w:val="20"/>
          <w:lang w:eastAsia="es-ES"/>
        </w:rPr>
        <w:t xml:space="preserve">. Posteriormente, </w:t>
      </w:r>
      <w:r w:rsidR="00646102">
        <w:rPr>
          <w:szCs w:val="20"/>
        </w:rPr>
        <w:t xml:space="preserve">en </w:t>
      </w:r>
      <w:r w:rsidR="00DE7D3F">
        <w:rPr>
          <w:szCs w:val="20"/>
        </w:rPr>
        <w:t>el</w:t>
      </w:r>
      <w:r w:rsidR="00646102">
        <w:rPr>
          <w:szCs w:val="20"/>
        </w:rPr>
        <w:t xml:space="preserve"> </w:t>
      </w:r>
      <w:r w:rsidR="00DE7D3F" w:rsidRPr="00725179">
        <w:rPr>
          <w:i/>
          <w:szCs w:val="20"/>
        </w:rPr>
        <w:t>C</w:t>
      </w:r>
      <w:r w:rsidR="00646102" w:rsidRPr="00725179">
        <w:rPr>
          <w:i/>
          <w:szCs w:val="20"/>
        </w:rPr>
        <w:t>aso</w:t>
      </w:r>
      <w:r w:rsidR="00646102">
        <w:rPr>
          <w:szCs w:val="20"/>
        </w:rPr>
        <w:t xml:space="preserve"> </w:t>
      </w:r>
      <w:r w:rsidR="00646102" w:rsidRPr="00DE7D3F">
        <w:rPr>
          <w:i/>
          <w:szCs w:val="20"/>
        </w:rPr>
        <w:t>Comunidad Indígena Yakye Axa Vs. Paraguay</w:t>
      </w:r>
      <w:r>
        <w:rPr>
          <w:i/>
          <w:szCs w:val="20"/>
        </w:rPr>
        <w:t xml:space="preserve"> </w:t>
      </w:r>
      <w:r w:rsidR="00A51BC4">
        <w:rPr>
          <w:rFonts w:eastAsia="Times New Roman" w:cs="Times New Roman"/>
          <w:szCs w:val="20"/>
          <w:lang w:eastAsia="es-ES"/>
        </w:rPr>
        <w:t>ordenó la creación de un “fondo de desarrollo comunitario” para tales fines</w:t>
      </w:r>
      <w:r w:rsidRPr="00096A18">
        <w:rPr>
          <w:rStyle w:val="FootnoteReference"/>
          <w:szCs w:val="20"/>
        </w:rPr>
        <w:footnoteReference w:id="21"/>
      </w:r>
      <w:r>
        <w:rPr>
          <w:rFonts w:eastAsia="Times New Roman" w:cs="Times New Roman"/>
          <w:szCs w:val="20"/>
          <w:lang w:eastAsia="es-ES"/>
        </w:rPr>
        <w:t>, lo cual ha repetido en otros casos que tratan sobre pueblos indígenas</w:t>
      </w:r>
      <w:r w:rsidR="00646102">
        <w:rPr>
          <w:rStyle w:val="FootnoteReference"/>
          <w:szCs w:val="20"/>
        </w:rPr>
        <w:footnoteReference w:id="22"/>
      </w:r>
      <w:r w:rsidR="00646102">
        <w:rPr>
          <w:szCs w:val="20"/>
        </w:rPr>
        <w:t xml:space="preserve">. </w:t>
      </w:r>
    </w:p>
    <w:p w:rsidR="00FC3BF8" w:rsidRPr="00FC3BF8" w:rsidRDefault="00FC3BF8" w:rsidP="00107370">
      <w:pPr>
        <w:pStyle w:val="ListParagraph"/>
        <w:rPr>
          <w:szCs w:val="20"/>
        </w:rPr>
      </w:pPr>
    </w:p>
    <w:p w:rsidR="00FA53F9" w:rsidRPr="00FA53F9" w:rsidRDefault="00FA53F9" w:rsidP="00BA1828">
      <w:pPr>
        <w:pStyle w:val="ListParagraph"/>
        <w:numPr>
          <w:ilvl w:val="0"/>
          <w:numId w:val="5"/>
        </w:numPr>
        <w:tabs>
          <w:tab w:val="left" w:pos="426"/>
          <w:tab w:val="left" w:pos="709"/>
        </w:tabs>
        <w:ind w:left="0" w:firstLine="0"/>
        <w:rPr>
          <w:rFonts w:eastAsia="Times New Roman" w:cs="Times New Roman"/>
          <w:noProof w:val="0"/>
          <w:szCs w:val="20"/>
          <w:lang w:eastAsia="es-ES"/>
        </w:rPr>
      </w:pPr>
      <w:r>
        <w:rPr>
          <w:szCs w:val="20"/>
        </w:rPr>
        <w:t>Ahora, el significado de esta medida de reparación reside en la relación particular que existe entre</w:t>
      </w:r>
      <w:r w:rsidR="00986829">
        <w:rPr>
          <w:szCs w:val="20"/>
        </w:rPr>
        <w:t>:</w:t>
      </w:r>
      <w:r>
        <w:rPr>
          <w:szCs w:val="20"/>
        </w:rPr>
        <w:t xml:space="preserve"> i) los derechos de los pueblos indígenas que se ejercen de manera comunal, especialmente el derecho a la propiedad colectiva, ii) los titulares de esos derechos y, por tanto, los beneficiarios de la medida de reparación cuando </w:t>
      </w:r>
      <w:r w:rsidR="00745775">
        <w:rPr>
          <w:szCs w:val="20"/>
        </w:rPr>
        <w:t>estos</w:t>
      </w:r>
      <w:r>
        <w:rPr>
          <w:szCs w:val="20"/>
        </w:rPr>
        <w:t xml:space="preserve"> son violados, y iii) el daño específico que genera la violación a los referidos derechos. </w:t>
      </w:r>
    </w:p>
    <w:p w:rsidR="00FA53F9" w:rsidRPr="00FA53F9" w:rsidRDefault="00FA53F9" w:rsidP="00107370">
      <w:pPr>
        <w:pStyle w:val="ListParagraph"/>
        <w:rPr>
          <w:szCs w:val="20"/>
        </w:rPr>
      </w:pPr>
    </w:p>
    <w:p w:rsidR="00A772CD" w:rsidRPr="00A772CD" w:rsidRDefault="00FA53F9" w:rsidP="00BA1828">
      <w:pPr>
        <w:pStyle w:val="ListParagraph"/>
        <w:numPr>
          <w:ilvl w:val="0"/>
          <w:numId w:val="5"/>
        </w:numPr>
        <w:tabs>
          <w:tab w:val="left" w:pos="426"/>
          <w:tab w:val="left" w:pos="709"/>
        </w:tabs>
        <w:ind w:left="0" w:firstLine="0"/>
        <w:rPr>
          <w:rFonts w:eastAsia="Times New Roman" w:cs="Times New Roman"/>
          <w:noProof w:val="0"/>
          <w:szCs w:val="20"/>
          <w:lang w:eastAsia="es-ES"/>
        </w:rPr>
      </w:pPr>
      <w:r>
        <w:rPr>
          <w:szCs w:val="20"/>
        </w:rPr>
        <w:t>Respecto del derecho a la propiedad colectiva, e</w:t>
      </w:r>
      <w:r w:rsidR="00646102" w:rsidRPr="00FC3BF8">
        <w:rPr>
          <w:szCs w:val="20"/>
        </w:rPr>
        <w:t xml:space="preserve">n el </w:t>
      </w:r>
      <w:r w:rsidR="00646102" w:rsidRPr="00725179">
        <w:rPr>
          <w:i/>
          <w:szCs w:val="20"/>
        </w:rPr>
        <w:t>Caso</w:t>
      </w:r>
      <w:r w:rsidR="00646102" w:rsidRPr="00FC3BF8">
        <w:rPr>
          <w:szCs w:val="20"/>
        </w:rPr>
        <w:t xml:space="preserve"> </w:t>
      </w:r>
      <w:r w:rsidR="00646102" w:rsidRPr="00A772CD">
        <w:rPr>
          <w:i/>
          <w:szCs w:val="20"/>
        </w:rPr>
        <w:t>Mayagna Vs. Nicaragua</w:t>
      </w:r>
      <w:r w:rsidR="00646102" w:rsidRPr="00FC3BF8">
        <w:rPr>
          <w:szCs w:val="20"/>
        </w:rPr>
        <w:t xml:space="preserve"> se reconoció que la protección que brinda el artículo 21 de la Convención Americana, se extiende a la propiedad colectiva de los pueblos indígenas. E</w:t>
      </w:r>
      <w:r w:rsidR="00506D59">
        <w:rPr>
          <w:szCs w:val="20"/>
        </w:rPr>
        <w:t>l</w:t>
      </w:r>
      <w:r w:rsidR="00646102" w:rsidRPr="00FC3BF8">
        <w:rPr>
          <w:szCs w:val="20"/>
        </w:rPr>
        <w:t xml:space="preserve"> Tribunal </w:t>
      </w:r>
      <w:r w:rsidR="00506D59">
        <w:rPr>
          <w:szCs w:val="20"/>
        </w:rPr>
        <w:t>estableció</w:t>
      </w:r>
      <w:r w:rsidR="00646102" w:rsidRPr="00FC3BF8">
        <w:rPr>
          <w:szCs w:val="20"/>
        </w:rPr>
        <w:t xml:space="preserve"> al respecto que</w:t>
      </w:r>
      <w:r w:rsidR="00BD4BE0">
        <w:rPr>
          <w:szCs w:val="20"/>
        </w:rPr>
        <w:t>:</w:t>
      </w:r>
      <w:r w:rsidR="00646102" w:rsidRPr="00FC3BF8">
        <w:rPr>
          <w:szCs w:val="20"/>
        </w:rPr>
        <w:t xml:space="preserve"> </w:t>
      </w:r>
    </w:p>
    <w:p w:rsidR="00A772CD" w:rsidRPr="00A772CD" w:rsidRDefault="00A772CD" w:rsidP="00107370">
      <w:pPr>
        <w:pStyle w:val="ListParagraph"/>
        <w:rPr>
          <w:szCs w:val="20"/>
        </w:rPr>
      </w:pPr>
    </w:p>
    <w:p w:rsidR="00646102" w:rsidRPr="00A772CD" w:rsidRDefault="00A772CD" w:rsidP="001F23B5">
      <w:pPr>
        <w:pStyle w:val="ListParagraph"/>
        <w:tabs>
          <w:tab w:val="left" w:pos="426"/>
          <w:tab w:val="left" w:pos="709"/>
        </w:tabs>
        <w:ind w:left="426" w:right="558"/>
        <w:rPr>
          <w:rFonts w:eastAsia="Times New Roman" w:cs="Times New Roman"/>
          <w:noProof w:val="0"/>
          <w:szCs w:val="20"/>
          <w:lang w:eastAsia="es-ES"/>
        </w:rPr>
      </w:pPr>
      <w:r w:rsidRPr="00A772CD">
        <w:rPr>
          <w:rFonts w:eastAsia="Times New Roman" w:cs="Tahoma"/>
          <w:noProof w:val="0"/>
          <w:color w:val="000000"/>
          <w:sz w:val="16"/>
          <w:szCs w:val="16"/>
          <w:lang w:val="es-CR" w:eastAsia="es-CR"/>
        </w:rPr>
        <w:t>[</w:t>
      </w:r>
      <w:proofErr w:type="gramStart"/>
      <w:r w:rsidRPr="00A772CD">
        <w:rPr>
          <w:rFonts w:eastAsia="Times New Roman" w:cs="Tahoma"/>
          <w:noProof w:val="0"/>
          <w:color w:val="000000"/>
          <w:sz w:val="16"/>
          <w:szCs w:val="16"/>
          <w:lang w:val="es-CR" w:eastAsia="es-CR"/>
        </w:rPr>
        <w:t>e]</w:t>
      </w:r>
      <w:proofErr w:type="spellStart"/>
      <w:proofErr w:type="gramEnd"/>
      <w:r w:rsidRPr="00A772CD">
        <w:rPr>
          <w:rFonts w:eastAsia="Times New Roman" w:cs="Tahoma"/>
          <w:noProof w:val="0"/>
          <w:color w:val="000000"/>
          <w:sz w:val="16"/>
          <w:szCs w:val="16"/>
          <w:lang w:val="es-CR" w:eastAsia="es-CR"/>
        </w:rPr>
        <w:t>ntre</w:t>
      </w:r>
      <w:proofErr w:type="spellEnd"/>
      <w:r w:rsidRPr="00A772CD">
        <w:rPr>
          <w:rFonts w:eastAsia="Times New Roman" w:cs="Tahoma"/>
          <w:noProof w:val="0"/>
          <w:color w:val="000000"/>
          <w:sz w:val="16"/>
          <w:szCs w:val="16"/>
          <w:lang w:val="es-CR" w:eastAsia="es-CR"/>
        </w:rPr>
        <w:t xml:space="preserve"> los indígenas existe una tradición comunitaria sobre una forma comunal de la propiedad colectiva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cultural y transmit</w:t>
      </w:r>
      <w:r w:rsidR="0073269F">
        <w:rPr>
          <w:rFonts w:eastAsia="Times New Roman" w:cs="Tahoma"/>
          <w:noProof w:val="0"/>
          <w:color w:val="000000"/>
          <w:sz w:val="16"/>
          <w:szCs w:val="16"/>
          <w:lang w:val="es-CR" w:eastAsia="es-CR"/>
        </w:rPr>
        <w:t>irlo a las generaciones futuras</w:t>
      </w:r>
      <w:r w:rsidRPr="00A772CD">
        <w:rPr>
          <w:rFonts w:eastAsia="Times New Roman" w:cs="Times New Roman"/>
          <w:noProof w:val="0"/>
          <w:szCs w:val="20"/>
          <w:lang w:eastAsia="es-ES"/>
        </w:rPr>
        <w:t>.</w:t>
      </w:r>
      <w:r>
        <w:rPr>
          <w:rStyle w:val="FootnoteReference"/>
          <w:szCs w:val="20"/>
        </w:rPr>
        <w:footnoteReference w:id="23"/>
      </w:r>
    </w:p>
    <w:p w:rsidR="00147547" w:rsidRDefault="00147547" w:rsidP="00107370">
      <w:pPr>
        <w:pStyle w:val="ListParagraph"/>
        <w:tabs>
          <w:tab w:val="left" w:pos="426"/>
          <w:tab w:val="left" w:pos="709"/>
        </w:tabs>
        <w:ind w:left="0"/>
        <w:rPr>
          <w:szCs w:val="20"/>
        </w:rPr>
      </w:pPr>
    </w:p>
    <w:p w:rsidR="00FC3BF8" w:rsidRDefault="00506D59" w:rsidP="00BA1828">
      <w:pPr>
        <w:pStyle w:val="ListParagraph"/>
        <w:numPr>
          <w:ilvl w:val="0"/>
          <w:numId w:val="5"/>
        </w:numPr>
        <w:tabs>
          <w:tab w:val="left" w:pos="426"/>
          <w:tab w:val="left" w:pos="709"/>
        </w:tabs>
        <w:ind w:left="0" w:firstLine="0"/>
        <w:rPr>
          <w:szCs w:val="20"/>
        </w:rPr>
      </w:pPr>
      <w:r>
        <w:rPr>
          <w:szCs w:val="20"/>
        </w:rPr>
        <w:t xml:space="preserve">En consideración de lo anterior y de </w:t>
      </w:r>
      <w:r w:rsidR="00A772CD">
        <w:rPr>
          <w:szCs w:val="20"/>
        </w:rPr>
        <w:t xml:space="preserve">la legislación nacional, </w:t>
      </w:r>
      <w:r>
        <w:rPr>
          <w:szCs w:val="20"/>
        </w:rPr>
        <w:t xml:space="preserve">la Corte estableció que </w:t>
      </w:r>
      <w:r w:rsidR="00A772CD">
        <w:rPr>
          <w:szCs w:val="20"/>
        </w:rPr>
        <w:t>“</w:t>
      </w:r>
      <w:r w:rsidR="00A772CD">
        <w:t>los miembros de la Comunidad Awas Tingni tienen un derecho de propiedad comunal sobre las tierras donde actualmente habitan”</w:t>
      </w:r>
      <w:r w:rsidR="00A772CD">
        <w:rPr>
          <w:rStyle w:val="FootnoteReference"/>
        </w:rPr>
        <w:footnoteReference w:id="24"/>
      </w:r>
      <w:r w:rsidR="00A772CD">
        <w:t>.</w:t>
      </w:r>
      <w:r w:rsidR="00A772CD">
        <w:rPr>
          <w:szCs w:val="20"/>
        </w:rPr>
        <w:t xml:space="preserve"> </w:t>
      </w:r>
      <w:r w:rsidR="00646102">
        <w:rPr>
          <w:szCs w:val="20"/>
        </w:rPr>
        <w:t xml:space="preserve">Dicho reconocimiento </w:t>
      </w:r>
      <w:r w:rsidR="00B95111">
        <w:rPr>
          <w:szCs w:val="20"/>
        </w:rPr>
        <w:t xml:space="preserve">del derecho a la propiedad colectiva </w:t>
      </w:r>
      <w:r w:rsidR="00A772CD">
        <w:rPr>
          <w:szCs w:val="20"/>
        </w:rPr>
        <w:t xml:space="preserve">desde entonces </w:t>
      </w:r>
      <w:r w:rsidR="00646102">
        <w:rPr>
          <w:szCs w:val="20"/>
        </w:rPr>
        <w:t xml:space="preserve">ha sido repetido en casos posteriores </w:t>
      </w:r>
      <w:r>
        <w:rPr>
          <w:szCs w:val="20"/>
        </w:rPr>
        <w:t xml:space="preserve">que tratan de pueblos indígenas y tribales </w:t>
      </w:r>
      <w:r w:rsidR="00646102">
        <w:rPr>
          <w:szCs w:val="20"/>
        </w:rPr>
        <w:t xml:space="preserve">y </w:t>
      </w:r>
      <w:r>
        <w:rPr>
          <w:szCs w:val="20"/>
        </w:rPr>
        <w:t>constituye</w:t>
      </w:r>
      <w:r w:rsidR="00646102">
        <w:rPr>
          <w:szCs w:val="20"/>
        </w:rPr>
        <w:t xml:space="preserve"> un</w:t>
      </w:r>
      <w:r>
        <w:rPr>
          <w:szCs w:val="20"/>
        </w:rPr>
        <w:t>o</w:t>
      </w:r>
      <w:r w:rsidR="00646102">
        <w:rPr>
          <w:szCs w:val="20"/>
        </w:rPr>
        <w:t xml:space="preserve"> de los avances </w:t>
      </w:r>
      <w:r>
        <w:rPr>
          <w:szCs w:val="20"/>
        </w:rPr>
        <w:t>más significativos en temas de derechos humanos,</w:t>
      </w:r>
      <w:r w:rsidR="00646102">
        <w:rPr>
          <w:szCs w:val="20"/>
        </w:rPr>
        <w:t xml:space="preserve"> por lo que se destaca la jurisprudencia de</w:t>
      </w:r>
      <w:r>
        <w:rPr>
          <w:szCs w:val="20"/>
        </w:rPr>
        <w:t xml:space="preserve"> este</w:t>
      </w:r>
      <w:r w:rsidR="00646102">
        <w:rPr>
          <w:szCs w:val="20"/>
        </w:rPr>
        <w:t xml:space="preserve"> Tribunal. </w:t>
      </w:r>
    </w:p>
    <w:p w:rsidR="00FC3BF8" w:rsidRDefault="00FC3BF8" w:rsidP="00107370">
      <w:pPr>
        <w:pStyle w:val="ListParagraph"/>
        <w:tabs>
          <w:tab w:val="left" w:pos="426"/>
          <w:tab w:val="left" w:pos="709"/>
        </w:tabs>
        <w:ind w:left="0"/>
        <w:rPr>
          <w:szCs w:val="20"/>
        </w:rPr>
      </w:pPr>
    </w:p>
    <w:p w:rsidR="00FE2C98" w:rsidRDefault="00320D7F" w:rsidP="00BA1828">
      <w:pPr>
        <w:pStyle w:val="ListParagraph"/>
        <w:numPr>
          <w:ilvl w:val="0"/>
          <w:numId w:val="5"/>
        </w:numPr>
        <w:tabs>
          <w:tab w:val="left" w:pos="426"/>
          <w:tab w:val="left" w:pos="709"/>
        </w:tabs>
        <w:ind w:left="0" w:firstLine="0"/>
        <w:rPr>
          <w:szCs w:val="20"/>
        </w:rPr>
      </w:pPr>
      <w:r>
        <w:rPr>
          <w:szCs w:val="20"/>
        </w:rPr>
        <w:t>Respecto de los titulares del derecho a la propiedad comunal, n</w:t>
      </w:r>
      <w:r w:rsidR="00646102" w:rsidRPr="00C23B1A">
        <w:rPr>
          <w:szCs w:val="20"/>
        </w:rPr>
        <w:t>o obstante</w:t>
      </w:r>
      <w:r>
        <w:rPr>
          <w:szCs w:val="20"/>
        </w:rPr>
        <w:t xml:space="preserve"> el reconocimiento de las características esp</w:t>
      </w:r>
      <w:r w:rsidR="0073282F">
        <w:rPr>
          <w:szCs w:val="20"/>
        </w:rPr>
        <w:t>e</w:t>
      </w:r>
      <w:r>
        <w:rPr>
          <w:szCs w:val="20"/>
        </w:rPr>
        <w:t>ciales de la cultura indígena respecto de la propiedad de sus tierras, la Corte</w:t>
      </w:r>
      <w:r w:rsidR="00646102" w:rsidRPr="00C23B1A">
        <w:rPr>
          <w:szCs w:val="20"/>
        </w:rPr>
        <w:t xml:space="preserve"> </w:t>
      </w:r>
      <w:r>
        <w:rPr>
          <w:szCs w:val="20"/>
        </w:rPr>
        <w:t xml:space="preserve">consideraba que </w:t>
      </w:r>
      <w:r w:rsidR="00646102" w:rsidRPr="00C23B1A">
        <w:rPr>
          <w:szCs w:val="20"/>
        </w:rPr>
        <w:t xml:space="preserve">los </w:t>
      </w:r>
      <w:r w:rsidR="00745775">
        <w:rPr>
          <w:szCs w:val="20"/>
        </w:rPr>
        <w:t>titulares</w:t>
      </w:r>
      <w:r w:rsidR="00646102" w:rsidRPr="00C23B1A">
        <w:rPr>
          <w:szCs w:val="20"/>
        </w:rPr>
        <w:t xml:space="preserve"> de dicho derecho eran los miembros de</w:t>
      </w:r>
      <w:r>
        <w:rPr>
          <w:szCs w:val="20"/>
        </w:rPr>
        <w:t xml:space="preserve"> la Comunidad indígena o tribal</w:t>
      </w:r>
      <w:r w:rsidR="00646102" w:rsidRPr="00C23B1A">
        <w:rPr>
          <w:szCs w:val="20"/>
        </w:rPr>
        <w:t xml:space="preserve"> y no la Comunidad </w:t>
      </w:r>
      <w:r>
        <w:rPr>
          <w:szCs w:val="20"/>
        </w:rPr>
        <w:t>como tal</w:t>
      </w:r>
      <w:r w:rsidR="00646102" w:rsidRPr="00C23B1A">
        <w:rPr>
          <w:szCs w:val="20"/>
        </w:rPr>
        <w:t xml:space="preserve">. De esta manera, la violación al artículo 21 </w:t>
      </w:r>
      <w:r>
        <w:rPr>
          <w:szCs w:val="20"/>
        </w:rPr>
        <w:t>de la Convención Americana fue declarada</w:t>
      </w:r>
      <w:r w:rsidR="00646102" w:rsidRPr="00C23B1A">
        <w:rPr>
          <w:szCs w:val="20"/>
        </w:rPr>
        <w:t xml:space="preserve"> en perjuicio de los miembros de la Comunidad</w:t>
      </w:r>
      <w:r w:rsidR="00646102">
        <w:rPr>
          <w:rStyle w:val="FootnoteReference"/>
          <w:szCs w:val="20"/>
        </w:rPr>
        <w:footnoteReference w:id="25"/>
      </w:r>
      <w:r w:rsidR="009F0AFA" w:rsidRPr="00C23B1A">
        <w:rPr>
          <w:szCs w:val="20"/>
        </w:rPr>
        <w:t xml:space="preserve">, </w:t>
      </w:r>
      <w:r>
        <w:rPr>
          <w:szCs w:val="20"/>
        </w:rPr>
        <w:t xml:space="preserve">los cuales fueron por lo general identificados, pero también designados sencillamente con referencia a </w:t>
      </w:r>
      <w:r w:rsidR="00745775">
        <w:rPr>
          <w:szCs w:val="20"/>
        </w:rPr>
        <w:t>esta</w:t>
      </w:r>
      <w:r>
        <w:rPr>
          <w:szCs w:val="20"/>
        </w:rPr>
        <w:t xml:space="preserve"> condición</w:t>
      </w:r>
      <w:r w:rsidR="009F0AFA">
        <w:rPr>
          <w:rStyle w:val="FootnoteReference"/>
          <w:szCs w:val="20"/>
        </w:rPr>
        <w:footnoteReference w:id="26"/>
      </w:r>
      <w:r w:rsidR="00646102" w:rsidRPr="00C23B1A">
        <w:rPr>
          <w:szCs w:val="20"/>
        </w:rPr>
        <w:t>.</w:t>
      </w:r>
      <w:r w:rsidR="009F0AFA" w:rsidRPr="00C23B1A">
        <w:rPr>
          <w:szCs w:val="20"/>
        </w:rPr>
        <w:t xml:space="preserve"> </w:t>
      </w:r>
    </w:p>
    <w:p w:rsidR="00FE2C98" w:rsidRPr="00FE2C98" w:rsidRDefault="00FE2C98" w:rsidP="00107370">
      <w:pPr>
        <w:pStyle w:val="ListParagraph"/>
        <w:rPr>
          <w:szCs w:val="20"/>
        </w:rPr>
      </w:pPr>
    </w:p>
    <w:p w:rsidR="00646102" w:rsidRPr="00FE2C98" w:rsidRDefault="00646102" w:rsidP="00BA1828">
      <w:pPr>
        <w:pStyle w:val="ListParagraph"/>
        <w:numPr>
          <w:ilvl w:val="0"/>
          <w:numId w:val="5"/>
        </w:numPr>
        <w:tabs>
          <w:tab w:val="left" w:pos="426"/>
          <w:tab w:val="left" w:pos="709"/>
        </w:tabs>
        <w:ind w:left="0" w:firstLine="0"/>
        <w:rPr>
          <w:szCs w:val="20"/>
        </w:rPr>
      </w:pPr>
      <w:r w:rsidRPr="00FE2C98">
        <w:rPr>
          <w:szCs w:val="20"/>
        </w:rPr>
        <w:t xml:space="preserve">Dicha postura </w:t>
      </w:r>
      <w:r w:rsidR="00F66854">
        <w:rPr>
          <w:szCs w:val="20"/>
        </w:rPr>
        <w:t xml:space="preserve">del Tribunal </w:t>
      </w:r>
      <w:r w:rsidRPr="00FE2C98">
        <w:rPr>
          <w:szCs w:val="20"/>
        </w:rPr>
        <w:t xml:space="preserve">correspondía </w:t>
      </w:r>
      <w:r w:rsidR="00F66854">
        <w:rPr>
          <w:szCs w:val="20"/>
        </w:rPr>
        <w:t>con</w:t>
      </w:r>
      <w:r w:rsidRPr="00FE2C98">
        <w:rPr>
          <w:szCs w:val="20"/>
        </w:rPr>
        <w:t xml:space="preserve"> la idea que regía en esa </w:t>
      </w:r>
      <w:r w:rsidR="004A12B1">
        <w:rPr>
          <w:szCs w:val="20"/>
        </w:rPr>
        <w:t>é</w:t>
      </w:r>
      <w:r w:rsidRPr="00FE2C98">
        <w:rPr>
          <w:szCs w:val="20"/>
        </w:rPr>
        <w:t xml:space="preserve">poca </w:t>
      </w:r>
      <w:r w:rsidR="00F66854">
        <w:rPr>
          <w:szCs w:val="20"/>
        </w:rPr>
        <w:t xml:space="preserve">según la cual </w:t>
      </w:r>
      <w:r w:rsidRPr="00FE2C98">
        <w:rPr>
          <w:szCs w:val="20"/>
        </w:rPr>
        <w:t xml:space="preserve">los derechos humanos siempre </w:t>
      </w:r>
      <w:r w:rsidR="00F66854">
        <w:rPr>
          <w:szCs w:val="20"/>
        </w:rPr>
        <w:t xml:space="preserve">y únicamente </w:t>
      </w:r>
      <w:r w:rsidRPr="00FE2C98">
        <w:rPr>
          <w:szCs w:val="20"/>
        </w:rPr>
        <w:t>son derechos individu</w:t>
      </w:r>
      <w:r w:rsidR="00F66854">
        <w:rPr>
          <w:szCs w:val="20"/>
        </w:rPr>
        <w:t>ales</w:t>
      </w:r>
      <w:r w:rsidRPr="00FE2C98">
        <w:rPr>
          <w:szCs w:val="20"/>
        </w:rPr>
        <w:t>, incluso cuando se trata de pueblos indígenas</w:t>
      </w:r>
      <w:r w:rsidR="00F66854">
        <w:rPr>
          <w:szCs w:val="20"/>
        </w:rPr>
        <w:t xml:space="preserve"> o tribales</w:t>
      </w:r>
      <w:r w:rsidRPr="00FE2C98">
        <w:rPr>
          <w:szCs w:val="20"/>
        </w:rPr>
        <w:t>. En esta l</w:t>
      </w:r>
      <w:r w:rsidR="004A12B1">
        <w:rPr>
          <w:szCs w:val="20"/>
        </w:rPr>
        <w:t>í</w:t>
      </w:r>
      <w:r w:rsidRPr="00FE2C98">
        <w:rPr>
          <w:szCs w:val="20"/>
        </w:rPr>
        <w:t>nea de ideas, el Comité de Derechos Humanos de la</w:t>
      </w:r>
      <w:r w:rsidR="00F66854">
        <w:rPr>
          <w:szCs w:val="20"/>
        </w:rPr>
        <w:t xml:space="preserve">s Naciones Unidas </w:t>
      </w:r>
      <w:r w:rsidR="00FC3BF8" w:rsidRPr="00FE2C98">
        <w:rPr>
          <w:szCs w:val="20"/>
        </w:rPr>
        <w:t>estableció</w:t>
      </w:r>
      <w:r w:rsidR="008D221D" w:rsidRPr="00FE2C98">
        <w:rPr>
          <w:szCs w:val="20"/>
        </w:rPr>
        <w:t>, respecto del artículo 27 del Pacto Internacional de Derechos Civiles y Pol</w:t>
      </w:r>
      <w:r w:rsidR="004A12B1">
        <w:rPr>
          <w:szCs w:val="20"/>
        </w:rPr>
        <w:t>í</w:t>
      </w:r>
      <w:r w:rsidR="008D221D" w:rsidRPr="00FE2C98">
        <w:rPr>
          <w:szCs w:val="20"/>
        </w:rPr>
        <w:t>ticos</w:t>
      </w:r>
      <w:r w:rsidR="00F66854">
        <w:rPr>
          <w:szCs w:val="20"/>
        </w:rPr>
        <w:t>,</w:t>
      </w:r>
      <w:r w:rsidR="00FC3BF8" w:rsidRPr="00FE2C98">
        <w:rPr>
          <w:szCs w:val="20"/>
        </w:rPr>
        <w:t xml:space="preserve"> que:</w:t>
      </w:r>
      <w:r w:rsidR="008D221D" w:rsidRPr="00FE2C98">
        <w:rPr>
          <w:szCs w:val="20"/>
        </w:rPr>
        <w:t xml:space="preserve"> “</w:t>
      </w:r>
      <w:r w:rsidR="00A31F07" w:rsidRPr="00FE2C98">
        <w:rPr>
          <w:szCs w:val="20"/>
        </w:rPr>
        <w:t>no se negara a las personas que</w:t>
      </w:r>
      <w:r w:rsidR="008D221D" w:rsidRPr="00FE2C98">
        <w:rPr>
          <w:szCs w:val="20"/>
        </w:rPr>
        <w:t xml:space="preserve"> pertenezcan a dichas minorí</w:t>
      </w:r>
      <w:r w:rsidR="00A31F07" w:rsidRPr="00FE2C98">
        <w:rPr>
          <w:szCs w:val="20"/>
        </w:rPr>
        <w:t xml:space="preserve">as </w:t>
      </w:r>
      <w:r w:rsidR="008D221D" w:rsidRPr="00FE2C98">
        <w:rPr>
          <w:szCs w:val="20"/>
        </w:rPr>
        <w:t xml:space="preserve">[etnicas, religiosas o lingüísticas] </w:t>
      </w:r>
      <w:r w:rsidR="00A31F07" w:rsidRPr="00FE2C98">
        <w:rPr>
          <w:szCs w:val="20"/>
        </w:rPr>
        <w:t>el dere</w:t>
      </w:r>
      <w:r w:rsidR="008D221D" w:rsidRPr="00FE2C98">
        <w:rPr>
          <w:szCs w:val="20"/>
        </w:rPr>
        <w:t>cho que les corresponde, en comú</w:t>
      </w:r>
      <w:r w:rsidR="00A31F07" w:rsidRPr="00FE2C98">
        <w:rPr>
          <w:szCs w:val="20"/>
        </w:rPr>
        <w:t>n con los</w:t>
      </w:r>
      <w:r w:rsidR="008D221D" w:rsidRPr="00FE2C98">
        <w:rPr>
          <w:szCs w:val="20"/>
        </w:rPr>
        <w:t xml:space="preserve"> </w:t>
      </w:r>
      <w:r w:rsidR="00A31F07" w:rsidRPr="00FE2C98">
        <w:rPr>
          <w:szCs w:val="20"/>
        </w:rPr>
        <w:t>demas miembros de su grupo</w:t>
      </w:r>
      <w:r w:rsidR="008D221D" w:rsidRPr="00FE2C98">
        <w:rPr>
          <w:szCs w:val="20"/>
        </w:rPr>
        <w:t xml:space="preserve">” y que </w:t>
      </w:r>
      <w:r w:rsidR="00F66854">
        <w:rPr>
          <w:szCs w:val="20"/>
        </w:rPr>
        <w:t>el referido</w:t>
      </w:r>
      <w:r w:rsidR="008D221D" w:rsidRPr="00FE2C98">
        <w:rPr>
          <w:szCs w:val="20"/>
        </w:rPr>
        <w:t xml:space="preserve"> artí</w:t>
      </w:r>
      <w:r w:rsidR="00A31F07" w:rsidRPr="00FE2C98">
        <w:rPr>
          <w:szCs w:val="20"/>
        </w:rPr>
        <w:t xml:space="preserve">culo </w:t>
      </w:r>
      <w:r w:rsidR="000C3A9F" w:rsidRPr="00FE2C98">
        <w:rPr>
          <w:szCs w:val="20"/>
        </w:rPr>
        <w:t>“</w:t>
      </w:r>
      <w:r w:rsidR="00A31F07" w:rsidRPr="00FE2C98">
        <w:rPr>
          <w:szCs w:val="20"/>
        </w:rPr>
        <w:t>establece y reconoce un derecho que se confiere a las</w:t>
      </w:r>
      <w:r w:rsidR="008D221D" w:rsidRPr="00FE2C98">
        <w:rPr>
          <w:szCs w:val="20"/>
        </w:rPr>
        <w:t xml:space="preserve"> </w:t>
      </w:r>
      <w:r w:rsidR="00A31F07" w:rsidRPr="00FE2C98">
        <w:rPr>
          <w:szCs w:val="20"/>
        </w:rPr>
        <w:t>personas pertenecientes a grupos de</w:t>
      </w:r>
      <w:r w:rsidR="008D221D" w:rsidRPr="00FE2C98">
        <w:rPr>
          <w:szCs w:val="20"/>
        </w:rPr>
        <w:t xml:space="preserve"> minorí</w:t>
      </w:r>
      <w:r w:rsidR="00A31F07" w:rsidRPr="00FE2C98">
        <w:rPr>
          <w:szCs w:val="20"/>
        </w:rPr>
        <w:t>as</w:t>
      </w:r>
      <w:r w:rsidR="008D221D" w:rsidRPr="00FE2C98">
        <w:rPr>
          <w:szCs w:val="20"/>
        </w:rPr>
        <w:t>”</w:t>
      </w:r>
      <w:r w:rsidR="00FC3BF8" w:rsidRPr="00A31F07">
        <w:rPr>
          <w:rStyle w:val="FootnoteReference"/>
          <w:szCs w:val="20"/>
        </w:rPr>
        <w:footnoteReference w:id="27"/>
      </w:r>
      <w:r w:rsidR="008D221D" w:rsidRPr="00FE2C98">
        <w:rPr>
          <w:rFonts w:ascii="Times New Roman" w:eastAsiaTheme="minorHAnsi" w:hAnsi="Times New Roman" w:cs="Times New Roman"/>
          <w:noProof w:val="0"/>
          <w:szCs w:val="20"/>
        </w:rPr>
        <w:t>.</w:t>
      </w:r>
    </w:p>
    <w:p w:rsidR="00FC3BF8" w:rsidRPr="00FC3BF8" w:rsidRDefault="00FC3BF8" w:rsidP="00107370">
      <w:pPr>
        <w:pStyle w:val="ListParagraph"/>
        <w:rPr>
          <w:szCs w:val="20"/>
        </w:rPr>
      </w:pPr>
    </w:p>
    <w:p w:rsidR="00FC3BF8" w:rsidRDefault="006F2BC4" w:rsidP="00BA1828">
      <w:pPr>
        <w:pStyle w:val="ListParagraph"/>
        <w:numPr>
          <w:ilvl w:val="0"/>
          <w:numId w:val="5"/>
        </w:numPr>
        <w:tabs>
          <w:tab w:val="left" w:pos="426"/>
          <w:tab w:val="left" w:pos="709"/>
        </w:tabs>
        <w:ind w:left="0" w:firstLine="0"/>
        <w:rPr>
          <w:szCs w:val="20"/>
        </w:rPr>
      </w:pPr>
      <w:r>
        <w:rPr>
          <w:szCs w:val="20"/>
        </w:rPr>
        <w:t xml:space="preserve">Siguiendo este razonamiento, en casos anteriores, </w:t>
      </w:r>
      <w:r w:rsidR="00FC3BF8">
        <w:rPr>
          <w:szCs w:val="20"/>
        </w:rPr>
        <w:t xml:space="preserve">la Corte </w:t>
      </w:r>
      <w:r>
        <w:rPr>
          <w:szCs w:val="20"/>
        </w:rPr>
        <w:t xml:space="preserve">ha </w:t>
      </w:r>
      <w:r w:rsidR="00FC3BF8">
        <w:rPr>
          <w:szCs w:val="20"/>
        </w:rPr>
        <w:t>orden</w:t>
      </w:r>
      <w:r>
        <w:rPr>
          <w:szCs w:val="20"/>
        </w:rPr>
        <w:t>ado</w:t>
      </w:r>
      <w:r w:rsidR="00FC3BF8">
        <w:rPr>
          <w:szCs w:val="20"/>
        </w:rPr>
        <w:t xml:space="preserve"> </w:t>
      </w:r>
      <w:r>
        <w:rPr>
          <w:szCs w:val="20"/>
        </w:rPr>
        <w:t xml:space="preserve">–por ejemplo- </w:t>
      </w:r>
      <w:r w:rsidR="00FC3BF8">
        <w:rPr>
          <w:szCs w:val="20"/>
        </w:rPr>
        <w:t xml:space="preserve">la creación de </w:t>
      </w:r>
      <w:r w:rsidR="00224688" w:rsidRPr="008526FD">
        <w:rPr>
          <w:rFonts w:eastAsia="Times New Roman" w:cs="Times New Roman"/>
          <w:lang w:eastAsia="es-ES"/>
        </w:rPr>
        <w:t>fideicomiso</w:t>
      </w:r>
      <w:r w:rsidR="00224688">
        <w:rPr>
          <w:rFonts w:eastAsia="Times New Roman" w:cs="Times New Roman"/>
          <w:lang w:eastAsia="es-ES"/>
        </w:rPr>
        <w:t>s</w:t>
      </w:r>
      <w:r w:rsidR="00224688">
        <w:rPr>
          <w:szCs w:val="20"/>
        </w:rPr>
        <w:t xml:space="preserve"> </w:t>
      </w:r>
      <w:r w:rsidR="00FC3BF8">
        <w:rPr>
          <w:szCs w:val="20"/>
        </w:rPr>
        <w:t xml:space="preserve">en </w:t>
      </w:r>
      <w:r>
        <w:rPr>
          <w:szCs w:val="20"/>
        </w:rPr>
        <w:t xml:space="preserve">un </w:t>
      </w:r>
      <w:r w:rsidR="00FC3BF8">
        <w:rPr>
          <w:szCs w:val="20"/>
        </w:rPr>
        <w:t xml:space="preserve">caso </w:t>
      </w:r>
      <w:r>
        <w:rPr>
          <w:szCs w:val="20"/>
        </w:rPr>
        <w:t xml:space="preserve">que trataba de un pueblo tribal, </w:t>
      </w:r>
      <w:r w:rsidR="00224688">
        <w:rPr>
          <w:rFonts w:eastAsia="Times New Roman" w:cs="Times New Roman"/>
          <w:lang w:eastAsia="es-ES"/>
        </w:rPr>
        <w:t xml:space="preserve">con una Fundación como </w:t>
      </w:r>
      <w:r w:rsidR="00224688" w:rsidRPr="008526FD">
        <w:rPr>
          <w:rFonts w:eastAsia="Times New Roman" w:cs="Times New Roman"/>
          <w:lang w:eastAsia="es-ES"/>
        </w:rPr>
        <w:t>fideicomitente</w:t>
      </w:r>
      <w:r w:rsidR="00FC3BF8">
        <w:rPr>
          <w:szCs w:val="20"/>
        </w:rPr>
        <w:t xml:space="preserve"> dirigido a administrar o distribuir reparaciones por daño material o inmaterial</w:t>
      </w:r>
      <w:r>
        <w:rPr>
          <w:szCs w:val="20"/>
        </w:rPr>
        <w:t>. Dichas reparaciones habían sido ordenadas</w:t>
      </w:r>
      <w:r w:rsidR="00FC3BF8">
        <w:rPr>
          <w:szCs w:val="20"/>
        </w:rPr>
        <w:t xml:space="preserve"> en beneficio de ciertos individuos, miembros de la Comunidad, pero no </w:t>
      </w:r>
      <w:r>
        <w:rPr>
          <w:szCs w:val="20"/>
        </w:rPr>
        <w:t>en</w:t>
      </w:r>
      <w:r w:rsidR="00FC3BF8">
        <w:rPr>
          <w:szCs w:val="20"/>
        </w:rPr>
        <w:t xml:space="preserve"> beneficio de esta misma</w:t>
      </w:r>
      <w:r w:rsidR="00224688">
        <w:rPr>
          <w:rStyle w:val="FootnoteReference"/>
          <w:szCs w:val="20"/>
        </w:rPr>
        <w:footnoteReference w:id="28"/>
      </w:r>
      <w:r w:rsidR="00FC3BF8">
        <w:rPr>
          <w:szCs w:val="20"/>
        </w:rPr>
        <w:t>.</w:t>
      </w:r>
      <w:r w:rsidR="00746DBD">
        <w:rPr>
          <w:szCs w:val="20"/>
        </w:rPr>
        <w:t xml:space="preserve"> De la misma manera, </w:t>
      </w:r>
      <w:r>
        <w:rPr>
          <w:szCs w:val="20"/>
        </w:rPr>
        <w:t>el Tribunal</w:t>
      </w:r>
      <w:r w:rsidR="00746DBD">
        <w:rPr>
          <w:szCs w:val="20"/>
        </w:rPr>
        <w:t xml:space="preserve"> ha </w:t>
      </w:r>
      <w:r w:rsidR="009B0897">
        <w:rPr>
          <w:szCs w:val="20"/>
        </w:rPr>
        <w:t>ordenado el pago de cierta suma</w:t>
      </w:r>
      <w:r w:rsidR="00746DBD">
        <w:rPr>
          <w:szCs w:val="20"/>
        </w:rPr>
        <w:t xml:space="preserve"> por concepto de daños materiales e inmateriales a una organización de </w:t>
      </w:r>
      <w:r>
        <w:rPr>
          <w:szCs w:val="20"/>
        </w:rPr>
        <w:t>un</w:t>
      </w:r>
      <w:r w:rsidR="00746DBD">
        <w:rPr>
          <w:szCs w:val="20"/>
        </w:rPr>
        <w:t>a Comunidad indígena para su posterior distribución a los miembros de la Comunidad</w:t>
      </w:r>
      <w:r>
        <w:rPr>
          <w:szCs w:val="20"/>
        </w:rPr>
        <w:t>, beneficiarios de la indemnización</w:t>
      </w:r>
      <w:r w:rsidR="00746DBD">
        <w:rPr>
          <w:rStyle w:val="FootnoteReference"/>
          <w:szCs w:val="20"/>
        </w:rPr>
        <w:footnoteReference w:id="29"/>
      </w:r>
      <w:r w:rsidR="00746DBD">
        <w:rPr>
          <w:szCs w:val="20"/>
        </w:rPr>
        <w:t>.</w:t>
      </w:r>
    </w:p>
    <w:p w:rsidR="00FC3BF8" w:rsidRPr="00FC3BF8" w:rsidRDefault="00FC3BF8" w:rsidP="00107370">
      <w:pPr>
        <w:pStyle w:val="ListParagraph"/>
        <w:rPr>
          <w:szCs w:val="20"/>
        </w:rPr>
      </w:pPr>
    </w:p>
    <w:p w:rsidR="008726D6" w:rsidRDefault="00212291" w:rsidP="00BA1828">
      <w:pPr>
        <w:pStyle w:val="ListParagraph"/>
        <w:numPr>
          <w:ilvl w:val="0"/>
          <w:numId w:val="5"/>
        </w:numPr>
        <w:tabs>
          <w:tab w:val="left" w:pos="426"/>
          <w:tab w:val="left" w:pos="709"/>
        </w:tabs>
        <w:ind w:left="0" w:firstLine="0"/>
        <w:rPr>
          <w:rFonts w:eastAsia="Times" w:cs="Times New Roman"/>
          <w:szCs w:val="20"/>
        </w:rPr>
      </w:pPr>
      <w:r>
        <w:rPr>
          <w:szCs w:val="20"/>
        </w:rPr>
        <w:t>Respecto del daño específico generado por la violación de derechos humanos en casos que tratan de</w:t>
      </w:r>
      <w:r w:rsidR="00E3286C">
        <w:rPr>
          <w:szCs w:val="20"/>
        </w:rPr>
        <w:t xml:space="preserve"> pueblos indígenas y tribales, </w:t>
      </w:r>
      <w:r>
        <w:rPr>
          <w:szCs w:val="20"/>
        </w:rPr>
        <w:t xml:space="preserve">en Sentencias anteriores no </w:t>
      </w:r>
      <w:r w:rsidR="005D1512" w:rsidRPr="000219C1">
        <w:rPr>
          <w:szCs w:val="20"/>
        </w:rPr>
        <w:t xml:space="preserve">siempre </w:t>
      </w:r>
      <w:r>
        <w:rPr>
          <w:szCs w:val="20"/>
        </w:rPr>
        <w:t xml:space="preserve">se reconoció </w:t>
      </w:r>
      <w:r w:rsidR="00E3286C">
        <w:rPr>
          <w:szCs w:val="20"/>
        </w:rPr>
        <w:t>que</w:t>
      </w:r>
      <w:r>
        <w:rPr>
          <w:szCs w:val="20"/>
        </w:rPr>
        <w:t xml:space="preserve"> </w:t>
      </w:r>
      <w:r w:rsidR="00D74D74">
        <w:rPr>
          <w:szCs w:val="20"/>
        </w:rPr>
        <w:t xml:space="preserve">se </w:t>
      </w:r>
      <w:r w:rsidR="00E3286C">
        <w:rPr>
          <w:szCs w:val="20"/>
        </w:rPr>
        <w:t xml:space="preserve">había causado </w:t>
      </w:r>
      <w:r w:rsidR="00D74D74">
        <w:rPr>
          <w:szCs w:val="20"/>
        </w:rPr>
        <w:t xml:space="preserve">un daño inmaterial </w:t>
      </w:r>
      <w:r w:rsidR="005D1512" w:rsidRPr="000219C1">
        <w:rPr>
          <w:szCs w:val="20"/>
        </w:rPr>
        <w:t>a la Comunidad como tal</w:t>
      </w:r>
      <w:r w:rsidR="005D1512">
        <w:rPr>
          <w:rStyle w:val="FootnoteReference"/>
          <w:szCs w:val="20"/>
        </w:rPr>
        <w:footnoteReference w:id="30"/>
      </w:r>
      <w:r w:rsidR="00E3286C">
        <w:rPr>
          <w:szCs w:val="20"/>
        </w:rPr>
        <w:t xml:space="preserve">. No obstante, </w:t>
      </w:r>
      <w:r w:rsidR="00FC3BF8" w:rsidRPr="000219C1">
        <w:rPr>
          <w:szCs w:val="20"/>
        </w:rPr>
        <w:t xml:space="preserve">al menos </w:t>
      </w:r>
      <w:r w:rsidR="00E3286C">
        <w:rPr>
          <w:szCs w:val="20"/>
        </w:rPr>
        <w:t xml:space="preserve">desde </w:t>
      </w:r>
      <w:r w:rsidR="008A3D4B" w:rsidRPr="000219C1">
        <w:rPr>
          <w:szCs w:val="20"/>
        </w:rPr>
        <w:t xml:space="preserve">el </w:t>
      </w:r>
      <w:r w:rsidR="008A3D4B" w:rsidRPr="000219C1">
        <w:rPr>
          <w:i/>
          <w:szCs w:val="20"/>
        </w:rPr>
        <w:t>Caso Masacre Plan de Sánchez Vs. Guatemala</w:t>
      </w:r>
      <w:r w:rsidR="00FC3BF8" w:rsidRPr="000219C1">
        <w:rPr>
          <w:szCs w:val="20"/>
        </w:rPr>
        <w:t xml:space="preserve">, la Corte ha </w:t>
      </w:r>
      <w:r>
        <w:rPr>
          <w:szCs w:val="20"/>
        </w:rPr>
        <w:t>establecido que</w:t>
      </w:r>
      <w:r w:rsidR="008A3D4B" w:rsidRPr="000219C1">
        <w:rPr>
          <w:szCs w:val="20"/>
        </w:rPr>
        <w:t xml:space="preserve">: </w:t>
      </w:r>
      <w:r w:rsidR="00470FC3" w:rsidRPr="000219C1">
        <w:rPr>
          <w:rFonts w:eastAsia="Times" w:cs="Times New Roman"/>
          <w:noProof w:val="0"/>
          <w:szCs w:val="20"/>
          <w:lang w:eastAsia="es-ES"/>
        </w:rPr>
        <w:t>“[d]</w:t>
      </w:r>
      <w:proofErr w:type="spellStart"/>
      <w:r w:rsidR="00470FC3" w:rsidRPr="000219C1">
        <w:rPr>
          <w:rFonts w:eastAsia="Times" w:cs="Times New Roman"/>
          <w:noProof w:val="0"/>
          <w:szCs w:val="20"/>
          <w:lang w:eastAsia="es-ES"/>
        </w:rPr>
        <w:t>ado</w:t>
      </w:r>
      <w:proofErr w:type="spellEnd"/>
      <w:r w:rsidR="00470FC3" w:rsidRPr="000219C1">
        <w:rPr>
          <w:rFonts w:eastAsia="Times" w:cs="Times New Roman"/>
          <w:noProof w:val="0"/>
          <w:szCs w:val="20"/>
          <w:lang w:eastAsia="es-ES"/>
        </w:rPr>
        <w:t xml:space="preserve"> que las víctimas en este caso son parte del pueblo maya, este Tribunal considera que la reparación individual tiene como un componente importante las reparaciones que esta Corte otorga más adelante a los miembros de las comunidades en su conjunto”</w:t>
      </w:r>
      <w:r w:rsidR="00470FC3">
        <w:rPr>
          <w:rStyle w:val="FootnoteReference"/>
          <w:rFonts w:eastAsia="Times" w:cs="Times New Roman"/>
          <w:noProof w:val="0"/>
          <w:szCs w:val="20"/>
          <w:lang w:eastAsia="es-ES"/>
        </w:rPr>
        <w:footnoteReference w:id="31"/>
      </w:r>
      <w:r w:rsidR="00470FC3" w:rsidRPr="000219C1">
        <w:rPr>
          <w:rFonts w:eastAsia="Times" w:cs="Times New Roman"/>
          <w:noProof w:val="0"/>
          <w:szCs w:val="20"/>
          <w:lang w:eastAsia="es-ES"/>
        </w:rPr>
        <w:t xml:space="preserve">. </w:t>
      </w:r>
    </w:p>
    <w:p w:rsidR="000219C1" w:rsidRPr="000219C1" w:rsidRDefault="000219C1" w:rsidP="00107370">
      <w:pPr>
        <w:pStyle w:val="ListParagraph"/>
        <w:tabs>
          <w:tab w:val="left" w:pos="426"/>
          <w:tab w:val="left" w:pos="709"/>
        </w:tabs>
        <w:ind w:left="0"/>
        <w:rPr>
          <w:rFonts w:eastAsia="Times" w:cs="Times New Roman"/>
          <w:szCs w:val="20"/>
        </w:rPr>
      </w:pPr>
    </w:p>
    <w:p w:rsidR="00FC3BF8" w:rsidRPr="00D4688C" w:rsidRDefault="00154360" w:rsidP="00BA1828">
      <w:pPr>
        <w:pStyle w:val="ListParagraph"/>
        <w:numPr>
          <w:ilvl w:val="0"/>
          <w:numId w:val="5"/>
        </w:numPr>
        <w:tabs>
          <w:tab w:val="left" w:pos="426"/>
          <w:tab w:val="left" w:pos="709"/>
        </w:tabs>
        <w:ind w:left="0" w:firstLine="0"/>
        <w:rPr>
          <w:szCs w:val="20"/>
        </w:rPr>
      </w:pPr>
      <w:r>
        <w:rPr>
          <w:rFonts w:eastAsia="Times" w:cs="Times New Roman"/>
          <w:szCs w:val="20"/>
        </w:rPr>
        <w:t>Posteriormente, e</w:t>
      </w:r>
      <w:r w:rsidR="005B2005" w:rsidRPr="00D4688C">
        <w:rPr>
          <w:rFonts w:eastAsia="Times" w:cs="Times New Roman"/>
          <w:szCs w:val="20"/>
        </w:rPr>
        <w:t xml:space="preserve">n el </w:t>
      </w:r>
      <w:r w:rsidR="005B2005" w:rsidRPr="00D4688C">
        <w:rPr>
          <w:rFonts w:eastAsia="Times" w:cs="Times New Roman"/>
          <w:i/>
          <w:szCs w:val="20"/>
        </w:rPr>
        <w:t xml:space="preserve">Caso </w:t>
      </w:r>
      <w:r w:rsidR="008726D6" w:rsidRPr="00D4688C">
        <w:rPr>
          <w:rFonts w:eastAsia="Times" w:cs="Times New Roman"/>
          <w:i/>
          <w:szCs w:val="20"/>
        </w:rPr>
        <w:t xml:space="preserve">del Pueblo Saramaka Vs. Surinam </w:t>
      </w:r>
      <w:r w:rsidR="008726D6" w:rsidRPr="00D4688C">
        <w:rPr>
          <w:rFonts w:eastAsia="Times" w:cs="Times New Roman"/>
          <w:szCs w:val="20"/>
        </w:rPr>
        <w:t xml:space="preserve">la Corte reconoció, para determinar el daño inmaterial, </w:t>
      </w:r>
      <w:r>
        <w:rPr>
          <w:rFonts w:eastAsia="Times" w:cs="Times New Roman"/>
          <w:szCs w:val="20"/>
        </w:rPr>
        <w:t xml:space="preserve">la manera específica en que se manifiesta dicho daño cuando se </w:t>
      </w:r>
      <w:r w:rsidRPr="00BA1828">
        <w:rPr>
          <w:szCs w:val="20"/>
        </w:rPr>
        <w:t>trata</w:t>
      </w:r>
      <w:r>
        <w:rPr>
          <w:rFonts w:eastAsia="Times" w:cs="Times New Roman"/>
          <w:szCs w:val="20"/>
        </w:rPr>
        <w:t xml:space="preserve"> de un pueblo indígena o tribal y consideró </w:t>
      </w:r>
      <w:r w:rsidR="008726D6" w:rsidRPr="00D4688C">
        <w:rPr>
          <w:rFonts w:eastAsia="Times" w:cs="Times New Roman"/>
          <w:szCs w:val="20"/>
        </w:rPr>
        <w:t>el impacto que las violaciones de los derechos humanos en ese caso había</w:t>
      </w:r>
      <w:r w:rsidR="00E3286C">
        <w:rPr>
          <w:rFonts w:eastAsia="Times" w:cs="Times New Roman"/>
          <w:szCs w:val="20"/>
        </w:rPr>
        <w:t>n</w:t>
      </w:r>
      <w:r w:rsidR="008726D6" w:rsidRPr="00D4688C">
        <w:rPr>
          <w:rFonts w:eastAsia="Times" w:cs="Times New Roman"/>
          <w:szCs w:val="20"/>
        </w:rPr>
        <w:t xml:space="preserve"> tenido en el </w:t>
      </w:r>
      <w:r>
        <w:rPr>
          <w:rFonts w:eastAsia="Times" w:cs="Times New Roman"/>
          <w:szCs w:val="20"/>
        </w:rPr>
        <w:t>P</w:t>
      </w:r>
      <w:r w:rsidR="008726D6" w:rsidRPr="00D4688C">
        <w:rPr>
          <w:rFonts w:eastAsia="Times" w:cs="Times New Roman"/>
          <w:szCs w:val="20"/>
        </w:rPr>
        <w:t>ueblo como tal</w:t>
      </w:r>
      <w:r>
        <w:rPr>
          <w:rFonts w:eastAsia="Times" w:cs="Times New Roman"/>
          <w:szCs w:val="20"/>
        </w:rPr>
        <w:t xml:space="preserve">. Al respecto, estableció que dichas violaciones </w:t>
      </w:r>
      <w:r w:rsidR="005B2005" w:rsidRPr="00D4688C">
        <w:rPr>
          <w:rFonts w:eastAsia="Times New Roman" w:cs="Times New Roman"/>
          <w:snapToGrid w:val="0"/>
          <w:lang w:eastAsia="es-ES"/>
        </w:rPr>
        <w:t>constituye</w:t>
      </w:r>
      <w:r w:rsidR="008726D6" w:rsidRPr="00D4688C">
        <w:rPr>
          <w:rFonts w:eastAsia="Times New Roman" w:cs="Times New Roman"/>
          <w:snapToGrid w:val="0"/>
          <w:lang w:eastAsia="es-ES"/>
        </w:rPr>
        <w:t>ron</w:t>
      </w:r>
      <w:r w:rsidR="005B2005" w:rsidRPr="00D4688C">
        <w:rPr>
          <w:rFonts w:eastAsia="Times New Roman" w:cs="Times New Roman"/>
          <w:snapToGrid w:val="0"/>
          <w:lang w:eastAsia="es-ES"/>
        </w:rPr>
        <w:t xml:space="preserve"> </w:t>
      </w:r>
      <w:r w:rsidR="008726D6" w:rsidRPr="00D4688C">
        <w:rPr>
          <w:rFonts w:eastAsia="Times New Roman" w:cs="Times New Roman"/>
          <w:snapToGrid w:val="0"/>
          <w:lang w:eastAsia="es-ES"/>
        </w:rPr>
        <w:t>“</w:t>
      </w:r>
      <w:r w:rsidR="005B2005" w:rsidRPr="00D4688C">
        <w:rPr>
          <w:rFonts w:eastAsia="Times New Roman" w:cs="Times New Roman"/>
          <w:snapToGrid w:val="0"/>
          <w:lang w:eastAsia="es-ES"/>
        </w:rPr>
        <w:t>una denigración de sus valor</w:t>
      </w:r>
      <w:r w:rsidR="008726D6" w:rsidRPr="00D4688C">
        <w:rPr>
          <w:rFonts w:eastAsia="Times New Roman" w:cs="Times New Roman"/>
          <w:snapToGrid w:val="0"/>
          <w:lang w:eastAsia="es-ES"/>
        </w:rPr>
        <w:t xml:space="preserve">es culturales y espirituales” y </w:t>
      </w:r>
      <w:r w:rsidR="005B2005" w:rsidRPr="00D4688C">
        <w:rPr>
          <w:rFonts w:eastAsia="Times New Roman" w:cs="Times New Roman"/>
          <w:snapToGrid w:val="0"/>
          <w:lang w:eastAsia="es-ES"/>
        </w:rPr>
        <w:t xml:space="preserve">que </w:t>
      </w:r>
      <w:r w:rsidR="008726D6" w:rsidRPr="00D4688C">
        <w:rPr>
          <w:rFonts w:eastAsia="Times New Roman" w:cs="Times New Roman"/>
          <w:snapToGrid w:val="0"/>
          <w:lang w:eastAsia="es-ES"/>
        </w:rPr>
        <w:t>“</w:t>
      </w:r>
      <w:r w:rsidR="005B2005" w:rsidRPr="00D4688C">
        <w:rPr>
          <w:rFonts w:eastAsia="Times New Roman" w:cs="Times New Roman"/>
          <w:snapToGrid w:val="0"/>
          <w:lang w:eastAsia="es-ES"/>
        </w:rPr>
        <w:t>el daño inmaterial que estas alteraciones causaron en el tejido de la sociedad misma del pueblo Saramaka les da el derecho de obtener una justa indemnización</w:t>
      </w:r>
      <w:r w:rsidR="008726D6" w:rsidRPr="00D4688C">
        <w:rPr>
          <w:rFonts w:eastAsia="Times New Roman" w:cs="Times New Roman"/>
          <w:snapToGrid w:val="0"/>
          <w:lang w:eastAsia="es-ES"/>
        </w:rPr>
        <w:t>”</w:t>
      </w:r>
      <w:r w:rsidR="008726D6">
        <w:rPr>
          <w:rStyle w:val="FootnoteReference"/>
          <w:rFonts w:eastAsia="Times New Roman" w:cs="Times New Roman"/>
          <w:snapToGrid w:val="0"/>
          <w:lang w:eastAsia="es-ES"/>
        </w:rPr>
        <w:footnoteReference w:id="32"/>
      </w:r>
      <w:r w:rsidR="008726D6" w:rsidRPr="00D4688C">
        <w:rPr>
          <w:rFonts w:eastAsia="Times New Roman" w:cs="Times New Roman"/>
          <w:snapToGrid w:val="0"/>
          <w:lang w:eastAsia="es-ES"/>
        </w:rPr>
        <w:t xml:space="preserve">. </w:t>
      </w:r>
      <w:r w:rsidR="00FC3BF8" w:rsidRPr="00D4688C">
        <w:rPr>
          <w:szCs w:val="20"/>
        </w:rPr>
        <w:t xml:space="preserve">No obstante, se ordenaba el pago de las reparaciones a </w:t>
      </w:r>
      <w:r w:rsidR="00CD002F">
        <w:rPr>
          <w:szCs w:val="20"/>
        </w:rPr>
        <w:t xml:space="preserve">los </w:t>
      </w:r>
      <w:r w:rsidR="00FC3BF8" w:rsidRPr="00D4688C">
        <w:rPr>
          <w:szCs w:val="20"/>
        </w:rPr>
        <w:t>miembros de la Comunidad.</w:t>
      </w:r>
    </w:p>
    <w:p w:rsidR="00C03187" w:rsidRPr="00C03187" w:rsidRDefault="00C03187" w:rsidP="00107370">
      <w:pPr>
        <w:pStyle w:val="ListParagraph"/>
        <w:rPr>
          <w:szCs w:val="20"/>
        </w:rPr>
      </w:pPr>
    </w:p>
    <w:p w:rsidR="00994386" w:rsidRPr="001D0BBE" w:rsidRDefault="00FC126F" w:rsidP="00BA1828">
      <w:pPr>
        <w:pStyle w:val="ListParagraph"/>
        <w:numPr>
          <w:ilvl w:val="0"/>
          <w:numId w:val="5"/>
        </w:numPr>
        <w:tabs>
          <w:tab w:val="left" w:pos="426"/>
          <w:tab w:val="left" w:pos="709"/>
        </w:tabs>
        <w:ind w:left="0" w:firstLine="0"/>
        <w:rPr>
          <w:szCs w:val="20"/>
        </w:rPr>
      </w:pPr>
      <w:r>
        <w:rPr>
          <w:szCs w:val="20"/>
        </w:rPr>
        <w:lastRenderedPageBreak/>
        <w:t>La Corte</w:t>
      </w:r>
      <w:r w:rsidR="0084294C">
        <w:rPr>
          <w:szCs w:val="20"/>
        </w:rPr>
        <w:t xml:space="preserve"> ya había establecido</w:t>
      </w:r>
      <w:r w:rsidR="00C03187">
        <w:rPr>
          <w:szCs w:val="20"/>
        </w:rPr>
        <w:t xml:space="preserve"> la importancia de</w:t>
      </w:r>
      <w:r w:rsidR="0074542A">
        <w:rPr>
          <w:szCs w:val="20"/>
        </w:rPr>
        <w:t>l reconocimiento de la p</w:t>
      </w:r>
      <w:r w:rsidR="00C03187">
        <w:rPr>
          <w:szCs w:val="20"/>
        </w:rPr>
        <w:t>ersonalidad jurídica</w:t>
      </w:r>
      <w:r w:rsidR="00E32694">
        <w:rPr>
          <w:szCs w:val="20"/>
        </w:rPr>
        <w:t xml:space="preserve"> de </w:t>
      </w:r>
      <w:r w:rsidR="0084294C">
        <w:rPr>
          <w:szCs w:val="20"/>
        </w:rPr>
        <w:t xml:space="preserve">los </w:t>
      </w:r>
      <w:r w:rsidR="00E32694">
        <w:rPr>
          <w:szCs w:val="20"/>
        </w:rPr>
        <w:t>miembros de un pueblo indígena</w:t>
      </w:r>
      <w:r w:rsidR="00E32694">
        <w:rPr>
          <w:rStyle w:val="FootnoteReference"/>
          <w:szCs w:val="20"/>
        </w:rPr>
        <w:footnoteReference w:id="33"/>
      </w:r>
      <w:r w:rsidR="00FF1236">
        <w:rPr>
          <w:szCs w:val="20"/>
        </w:rPr>
        <w:t>,</w:t>
      </w:r>
      <w:r w:rsidR="00C03187">
        <w:rPr>
          <w:szCs w:val="20"/>
        </w:rPr>
        <w:t xml:space="preserve"> </w:t>
      </w:r>
      <w:r w:rsidR="0084294C">
        <w:rPr>
          <w:szCs w:val="20"/>
        </w:rPr>
        <w:t xml:space="preserve">y en el </w:t>
      </w:r>
      <w:r w:rsidR="0084294C" w:rsidRPr="0084294C">
        <w:rPr>
          <w:i/>
          <w:szCs w:val="20"/>
        </w:rPr>
        <w:t>Caso Saramaka</w:t>
      </w:r>
      <w:r w:rsidR="0084294C">
        <w:rPr>
          <w:szCs w:val="20"/>
        </w:rPr>
        <w:t xml:space="preserve"> reconoció dicha importancia </w:t>
      </w:r>
      <w:r>
        <w:rPr>
          <w:szCs w:val="20"/>
        </w:rPr>
        <w:t xml:space="preserve">específicamente </w:t>
      </w:r>
      <w:r w:rsidR="0084294C">
        <w:rPr>
          <w:szCs w:val="20"/>
        </w:rPr>
        <w:t xml:space="preserve">respecto </w:t>
      </w:r>
      <w:r w:rsidR="00CE1BBB">
        <w:rPr>
          <w:szCs w:val="20"/>
        </w:rPr>
        <w:t xml:space="preserve">del pueblo indígena </w:t>
      </w:r>
      <w:r w:rsidR="0084294C">
        <w:rPr>
          <w:szCs w:val="20"/>
        </w:rPr>
        <w:t>o tribal como tal,</w:t>
      </w:r>
      <w:r w:rsidR="00C03187">
        <w:rPr>
          <w:szCs w:val="20"/>
        </w:rPr>
        <w:t xml:space="preserve"> para </w:t>
      </w:r>
      <w:r w:rsidR="00FF1236">
        <w:rPr>
          <w:szCs w:val="20"/>
        </w:rPr>
        <w:t>poder ejercer ciertos derechos</w:t>
      </w:r>
      <w:r w:rsidR="00B725D8">
        <w:rPr>
          <w:szCs w:val="20"/>
        </w:rPr>
        <w:t>,</w:t>
      </w:r>
      <w:r w:rsidR="00FF1236">
        <w:rPr>
          <w:szCs w:val="20"/>
        </w:rPr>
        <w:t xml:space="preserve"> </w:t>
      </w:r>
      <w:r w:rsidR="00C03187">
        <w:rPr>
          <w:szCs w:val="20"/>
        </w:rPr>
        <w:t>tales como su derecho a la propiedad colectiva</w:t>
      </w:r>
      <w:r w:rsidR="0079591F" w:rsidRPr="00782685">
        <w:rPr>
          <w:rFonts w:eastAsia="Times New Roman" w:cs="Times New Roman"/>
          <w:noProof w:val="0"/>
          <w:snapToGrid w:val="0"/>
          <w:vertAlign w:val="superscript"/>
          <w:lang w:eastAsia="es-ES"/>
        </w:rPr>
        <w:footnoteReference w:id="34"/>
      </w:r>
      <w:r w:rsidR="00FF1236">
        <w:rPr>
          <w:rFonts w:eastAsia="Times New Roman" w:cs="Times New Roman"/>
          <w:noProof w:val="0"/>
          <w:snapToGrid w:val="0"/>
          <w:lang w:eastAsia="es-ES"/>
        </w:rPr>
        <w:t xml:space="preserve">. </w:t>
      </w:r>
      <w:r w:rsidR="0084294C">
        <w:rPr>
          <w:rFonts w:eastAsia="Times New Roman" w:cs="Times New Roman"/>
          <w:noProof w:val="0"/>
          <w:snapToGrid w:val="0"/>
          <w:lang w:eastAsia="es-ES"/>
        </w:rPr>
        <w:t>La Corte estableció que el</w:t>
      </w:r>
      <w:r w:rsidR="00FF1236">
        <w:rPr>
          <w:rFonts w:eastAsia="Times New Roman" w:cs="Times New Roman"/>
          <w:noProof w:val="0"/>
          <w:snapToGrid w:val="0"/>
          <w:lang w:eastAsia="es-ES"/>
        </w:rPr>
        <w:t xml:space="preserve"> reconocimiento </w:t>
      </w:r>
      <w:r w:rsidR="0084294C">
        <w:rPr>
          <w:rFonts w:eastAsia="Times New Roman" w:cs="Times New Roman"/>
          <w:noProof w:val="0"/>
          <w:snapToGrid w:val="0"/>
          <w:lang w:eastAsia="es-ES"/>
        </w:rPr>
        <w:t xml:space="preserve">de la personalidad jurídica del Pueblo </w:t>
      </w:r>
      <w:r w:rsidR="00FF1236">
        <w:rPr>
          <w:rFonts w:eastAsia="Times New Roman" w:cs="Tahoma"/>
          <w:noProof w:val="0"/>
          <w:color w:val="000000"/>
          <w:sz w:val="16"/>
          <w:szCs w:val="16"/>
          <w:lang w:val="es-CR" w:eastAsia="es-CR"/>
        </w:rPr>
        <w:t>“</w:t>
      </w:r>
      <w:r w:rsidR="00FF1236" w:rsidRPr="00FF1236">
        <w:rPr>
          <w:rFonts w:eastAsia="Times New Roman" w:cs="Times New Roman"/>
          <w:noProof w:val="0"/>
          <w:snapToGrid w:val="0"/>
          <w:lang w:eastAsia="es-ES"/>
        </w:rPr>
        <w:t>es la consecuencia natural del reconocimiento del derecho que tienen los miembros de los grupos indígenas y tribales a gozar de ciertos derechos de forma comunitaria”</w:t>
      </w:r>
      <w:r w:rsidR="00FF1236" w:rsidRPr="00FF1236">
        <w:rPr>
          <w:rFonts w:eastAsia="Times New Roman" w:cs="Times New Roman"/>
          <w:noProof w:val="0"/>
          <w:snapToGrid w:val="0"/>
          <w:vertAlign w:val="superscript"/>
          <w:lang w:eastAsia="es-ES"/>
        </w:rPr>
        <w:footnoteReference w:id="35"/>
      </w:r>
      <w:r w:rsidR="00FF1236" w:rsidRPr="00FF1236">
        <w:rPr>
          <w:rFonts w:eastAsia="Times New Roman" w:cs="Times New Roman"/>
          <w:noProof w:val="0"/>
          <w:snapToGrid w:val="0"/>
          <w:lang w:eastAsia="es-ES"/>
        </w:rPr>
        <w:t>.</w:t>
      </w:r>
      <w:r w:rsidR="00FF1236">
        <w:rPr>
          <w:rFonts w:eastAsia="Times New Roman" w:cs="Tahoma"/>
          <w:noProof w:val="0"/>
          <w:color w:val="000000"/>
          <w:sz w:val="16"/>
          <w:szCs w:val="16"/>
          <w:lang w:val="es-CR" w:eastAsia="es-CR"/>
        </w:rPr>
        <w:t xml:space="preserve"> </w:t>
      </w:r>
      <w:r w:rsidR="00782685" w:rsidRPr="00FF1236">
        <w:rPr>
          <w:rFonts w:eastAsia="Times New Roman" w:cs="Times New Roman"/>
          <w:noProof w:val="0"/>
          <w:snapToGrid w:val="0"/>
          <w:lang w:eastAsia="es-ES"/>
        </w:rPr>
        <w:t xml:space="preserve">Además, estableció </w:t>
      </w:r>
      <w:r w:rsidR="000D6226" w:rsidRPr="00FF1236">
        <w:rPr>
          <w:rFonts w:eastAsia="Times New Roman" w:cs="Times New Roman"/>
          <w:noProof w:val="0"/>
          <w:snapToGrid w:val="0"/>
          <w:lang w:eastAsia="es-ES"/>
        </w:rPr>
        <w:t xml:space="preserve">que el reconocimiento de la personalidad jurídica de </w:t>
      </w:r>
      <w:r w:rsidR="00FF1236">
        <w:rPr>
          <w:rFonts w:eastAsia="Times New Roman" w:cs="Times New Roman"/>
          <w:noProof w:val="0"/>
          <w:snapToGrid w:val="0"/>
          <w:lang w:eastAsia="es-ES"/>
        </w:rPr>
        <w:t xml:space="preserve">únicamente </w:t>
      </w:r>
      <w:r w:rsidR="000D6226" w:rsidRPr="00FF1236">
        <w:rPr>
          <w:rFonts w:eastAsia="Times New Roman" w:cs="Times New Roman"/>
          <w:noProof w:val="0"/>
          <w:snapToGrid w:val="0"/>
          <w:lang w:eastAsia="es-ES"/>
        </w:rPr>
        <w:t xml:space="preserve">los miembros de </w:t>
      </w:r>
      <w:r w:rsidR="00FF1236">
        <w:rPr>
          <w:rFonts w:eastAsia="Times New Roman" w:cs="Times New Roman"/>
          <w:noProof w:val="0"/>
          <w:snapToGrid w:val="0"/>
          <w:lang w:eastAsia="es-ES"/>
        </w:rPr>
        <w:t>un</w:t>
      </w:r>
      <w:r w:rsidR="000D6226" w:rsidRPr="00FF1236">
        <w:rPr>
          <w:rFonts w:eastAsia="Times New Roman" w:cs="Times New Roman"/>
          <w:noProof w:val="0"/>
          <w:snapToGrid w:val="0"/>
          <w:lang w:eastAsia="es-ES"/>
        </w:rPr>
        <w:t xml:space="preserve">a </w:t>
      </w:r>
      <w:r w:rsidR="00FF1236">
        <w:rPr>
          <w:rFonts w:eastAsia="Times New Roman" w:cs="Times New Roman"/>
          <w:noProof w:val="0"/>
          <w:snapToGrid w:val="0"/>
          <w:lang w:eastAsia="es-ES"/>
        </w:rPr>
        <w:t>C</w:t>
      </w:r>
      <w:r w:rsidR="000D6226" w:rsidRPr="00FF1236">
        <w:rPr>
          <w:rFonts w:eastAsia="Times New Roman" w:cs="Times New Roman"/>
          <w:noProof w:val="0"/>
          <w:snapToGrid w:val="0"/>
          <w:lang w:eastAsia="es-ES"/>
        </w:rPr>
        <w:t xml:space="preserve">omunidad </w:t>
      </w:r>
      <w:r w:rsidR="00FF1236">
        <w:rPr>
          <w:rFonts w:eastAsia="Times New Roman" w:cs="Times New Roman"/>
          <w:noProof w:val="0"/>
          <w:snapToGrid w:val="0"/>
          <w:lang w:eastAsia="es-ES"/>
        </w:rPr>
        <w:t xml:space="preserve">indígena o tribal </w:t>
      </w:r>
      <w:r w:rsidR="00782685" w:rsidRPr="00FF1236">
        <w:rPr>
          <w:rFonts w:eastAsia="Times New Roman" w:cs="Times New Roman"/>
          <w:noProof w:val="0"/>
          <w:snapToGrid w:val="0"/>
          <w:lang w:eastAsia="es-ES"/>
        </w:rPr>
        <w:t>“</w:t>
      </w:r>
      <w:r w:rsidR="000D6226" w:rsidRPr="00FF1236">
        <w:rPr>
          <w:rFonts w:eastAsia="Times New Roman" w:cs="Times New Roman"/>
          <w:noProof w:val="0"/>
          <w:snapToGrid w:val="0"/>
          <w:lang w:eastAsia="es-ES"/>
        </w:rPr>
        <w:t>no toma en cuenta el modo en que los miembros de los</w:t>
      </w:r>
      <w:r w:rsidR="000D6226" w:rsidRPr="00FF1236">
        <w:rPr>
          <w:rFonts w:eastAsia="Times New Roman" w:cs="Times New Roman"/>
          <w:b/>
          <w:noProof w:val="0"/>
          <w:snapToGrid w:val="0"/>
          <w:lang w:eastAsia="es-ES"/>
        </w:rPr>
        <w:t xml:space="preserve"> </w:t>
      </w:r>
      <w:r w:rsidR="000D6226" w:rsidRPr="00FF1236">
        <w:rPr>
          <w:rFonts w:eastAsia="Times New Roman" w:cs="Times New Roman"/>
          <w:noProof w:val="0"/>
          <w:snapToGrid w:val="0"/>
          <w:lang w:eastAsia="es-ES"/>
        </w:rPr>
        <w:t>pueblos indígenas y tribales en general</w:t>
      </w:r>
      <w:r w:rsidR="00782685" w:rsidRPr="00FF1236">
        <w:rPr>
          <w:rFonts w:eastAsia="Times New Roman" w:cs="Times New Roman"/>
          <w:noProof w:val="0"/>
          <w:snapToGrid w:val="0"/>
          <w:lang w:eastAsia="es-ES"/>
        </w:rPr>
        <w:t xml:space="preserve"> […]</w:t>
      </w:r>
      <w:r w:rsidR="000D6226" w:rsidRPr="00FF1236">
        <w:rPr>
          <w:rFonts w:eastAsia="Times New Roman" w:cs="Times New Roman"/>
          <w:noProof w:val="0"/>
          <w:snapToGrid w:val="0"/>
          <w:lang w:eastAsia="es-ES"/>
        </w:rPr>
        <w:t xml:space="preserve"> gozan y ejercen un derecho en especial; es decir, el derecho a usar y gozar colectivamente de la propiedad de conformidad con sus tradiciones ancestrales</w:t>
      </w:r>
      <w:r w:rsidR="00782685" w:rsidRPr="00FF1236">
        <w:rPr>
          <w:rFonts w:eastAsia="Times New Roman" w:cs="Times New Roman"/>
          <w:noProof w:val="0"/>
          <w:snapToGrid w:val="0"/>
          <w:lang w:eastAsia="es-ES"/>
        </w:rPr>
        <w:t>”</w:t>
      </w:r>
      <w:r w:rsidR="000D6226" w:rsidRPr="00B44FE9">
        <w:rPr>
          <w:rStyle w:val="FootnoteReference"/>
          <w:rFonts w:eastAsia="Times New Roman" w:cs="Times New Roman"/>
          <w:noProof w:val="0"/>
          <w:snapToGrid w:val="0"/>
          <w:lang w:eastAsia="es-ES"/>
        </w:rPr>
        <w:footnoteReference w:id="36"/>
      </w:r>
      <w:r w:rsidR="000D6226" w:rsidRPr="00FF1236">
        <w:rPr>
          <w:rFonts w:eastAsia="Times New Roman" w:cs="Times New Roman"/>
          <w:noProof w:val="0"/>
          <w:snapToGrid w:val="0"/>
          <w:lang w:eastAsia="es-ES"/>
        </w:rPr>
        <w:t xml:space="preserve">. </w:t>
      </w:r>
    </w:p>
    <w:p w:rsidR="001D0BBE" w:rsidRPr="001D0BBE" w:rsidRDefault="001D0BBE" w:rsidP="00107370">
      <w:pPr>
        <w:pStyle w:val="ListParagraph"/>
        <w:rPr>
          <w:szCs w:val="20"/>
        </w:rPr>
      </w:pPr>
    </w:p>
    <w:p w:rsidR="001D0BBE" w:rsidRPr="001D0BBE" w:rsidRDefault="00BB0F77" w:rsidP="00BA1828">
      <w:pPr>
        <w:pStyle w:val="ListParagraph"/>
        <w:numPr>
          <w:ilvl w:val="0"/>
          <w:numId w:val="5"/>
        </w:numPr>
        <w:tabs>
          <w:tab w:val="left" w:pos="426"/>
          <w:tab w:val="left" w:pos="709"/>
        </w:tabs>
        <w:ind w:left="0" w:firstLine="0"/>
        <w:rPr>
          <w:rFonts w:eastAsia="Times New Roman" w:cs="Times New Roman"/>
          <w:noProof w:val="0"/>
          <w:szCs w:val="26"/>
          <w:lang w:bidi="x-none"/>
        </w:rPr>
      </w:pPr>
      <w:r>
        <w:t>Como había señalado la Corte anteriormente, e</w:t>
      </w:r>
      <w:r w:rsidR="008421DC">
        <w:t xml:space="preserve">l reconocimiento de la personalidad jurídica es esencial, ya que la falta del mismo </w:t>
      </w:r>
      <w:r w:rsidR="00751FFA">
        <w:t>“</w:t>
      </w:r>
      <w:r w:rsidR="001D0BBE">
        <w:t>supone desconocer en términos absolutos la posibilidad de ser titular de esos derechos y contraer obligaciones, y hace al individuo vulnerable frente a la no observancia de los mismos por parte del Estado o de particulares</w:t>
      </w:r>
      <w:r w:rsidR="00751FFA">
        <w:t>”</w:t>
      </w:r>
      <w:r w:rsidR="008421DC">
        <w:t xml:space="preserve">. </w:t>
      </w:r>
      <w:r>
        <w:t>Los Estados</w:t>
      </w:r>
      <w:r w:rsidR="008421DC">
        <w:t xml:space="preserve"> </w:t>
      </w:r>
      <w:r w:rsidR="00807470">
        <w:t xml:space="preserve">tienen </w:t>
      </w:r>
      <w:r w:rsidR="008421DC">
        <w:t xml:space="preserve">que garantizar </w:t>
      </w:r>
      <w:r w:rsidR="008421DC">
        <w:rPr>
          <w:rFonts w:eastAsia="Times New Roman" w:cs="Times New Roman"/>
          <w:noProof w:val="0"/>
          <w:szCs w:val="26"/>
          <w:lang w:bidi="x-none"/>
        </w:rPr>
        <w:t>“</w:t>
      </w:r>
      <w:r w:rsidR="008421DC" w:rsidRPr="001D0BBE">
        <w:rPr>
          <w:rFonts w:eastAsia="Times New Roman" w:cs="Times New Roman"/>
          <w:noProof w:val="0"/>
          <w:szCs w:val="26"/>
          <w:lang w:bidi="x-none"/>
        </w:rPr>
        <w:t>las condiciones jurídicas y administrativas que les aseguren el ejercicio de este derecho</w:t>
      </w:r>
      <w:r w:rsidR="008421DC">
        <w:rPr>
          <w:rFonts w:eastAsia="Times New Roman" w:cs="Times New Roman"/>
          <w:noProof w:val="0"/>
          <w:szCs w:val="26"/>
          <w:lang w:bidi="x-none"/>
        </w:rPr>
        <w:t>”</w:t>
      </w:r>
      <w:r w:rsidR="008421DC" w:rsidRPr="001D0BBE">
        <w:rPr>
          <w:rFonts w:eastAsia="Times New Roman" w:cs="Times New Roman"/>
          <w:noProof w:val="0"/>
          <w:szCs w:val="26"/>
          <w:lang w:bidi="x-none"/>
        </w:rPr>
        <w:t xml:space="preserve"> </w:t>
      </w:r>
      <w:r w:rsidR="00807470">
        <w:rPr>
          <w:rFonts w:eastAsia="Times New Roman" w:cs="Times New Roman"/>
          <w:noProof w:val="0"/>
          <w:szCs w:val="26"/>
          <w:lang w:bidi="x-none"/>
        </w:rPr>
        <w:t xml:space="preserve">especialmente </w:t>
      </w:r>
      <w:r w:rsidR="001D0BBE" w:rsidRPr="001D0BBE">
        <w:rPr>
          <w:rFonts w:eastAsia="Times New Roman" w:cs="Times New Roman"/>
          <w:noProof w:val="0"/>
          <w:szCs w:val="26"/>
          <w:lang w:bidi="x-none"/>
        </w:rPr>
        <w:t xml:space="preserve">a </w:t>
      </w:r>
      <w:r w:rsidR="008421DC">
        <w:rPr>
          <w:rFonts w:eastAsia="Times New Roman" w:cs="Times New Roman"/>
          <w:noProof w:val="0"/>
          <w:szCs w:val="26"/>
          <w:lang w:bidi="x-none"/>
        </w:rPr>
        <w:t>“</w:t>
      </w:r>
      <w:r w:rsidR="001D0BBE" w:rsidRPr="001D0BBE">
        <w:rPr>
          <w:rFonts w:eastAsia="Times New Roman" w:cs="Times New Roman"/>
          <w:noProof w:val="0"/>
          <w:szCs w:val="26"/>
          <w:lang w:bidi="x-none"/>
        </w:rPr>
        <w:t>aquellas personas en situación de vulnerabilidad, marginalización y discriminación</w:t>
      </w:r>
      <w:r w:rsidR="008421DC">
        <w:rPr>
          <w:rFonts w:eastAsia="Times New Roman" w:cs="Times New Roman"/>
          <w:noProof w:val="0"/>
          <w:szCs w:val="26"/>
          <w:lang w:bidi="x-none"/>
        </w:rPr>
        <w:t>”</w:t>
      </w:r>
      <w:r w:rsidR="001D0BBE">
        <w:rPr>
          <w:rStyle w:val="FootnoteReference"/>
          <w:rFonts w:eastAsia="Times New Roman" w:cs="Times New Roman"/>
          <w:noProof w:val="0"/>
          <w:szCs w:val="26"/>
          <w:lang w:bidi="x-none"/>
        </w:rPr>
        <w:footnoteReference w:id="37"/>
      </w:r>
      <w:r w:rsidR="001D0BBE" w:rsidRPr="001D0BBE">
        <w:rPr>
          <w:rFonts w:eastAsia="Times New Roman" w:cs="Times New Roman"/>
          <w:noProof w:val="0"/>
          <w:szCs w:val="26"/>
          <w:lang w:bidi="x-none"/>
        </w:rPr>
        <w:t>.</w:t>
      </w:r>
    </w:p>
    <w:p w:rsidR="00FC3BF8" w:rsidRPr="00FC3BF8" w:rsidRDefault="00FC3BF8" w:rsidP="00107370">
      <w:pPr>
        <w:pStyle w:val="ListParagraph"/>
        <w:rPr>
          <w:szCs w:val="20"/>
        </w:rPr>
      </w:pPr>
    </w:p>
    <w:p w:rsidR="00911431" w:rsidRPr="00911431" w:rsidRDefault="00911431" w:rsidP="00BA1828">
      <w:pPr>
        <w:pStyle w:val="ListParagraph"/>
        <w:numPr>
          <w:ilvl w:val="0"/>
          <w:numId w:val="5"/>
        </w:numPr>
        <w:tabs>
          <w:tab w:val="left" w:pos="426"/>
          <w:tab w:val="left" w:pos="709"/>
        </w:tabs>
        <w:ind w:left="0" w:firstLine="0"/>
        <w:rPr>
          <w:rFonts w:eastAsia="Times New Roman" w:cs="Times New Roman"/>
          <w:snapToGrid w:val="0"/>
          <w:lang w:eastAsia="es-ES"/>
        </w:rPr>
      </w:pPr>
      <w:r>
        <w:rPr>
          <w:szCs w:val="20"/>
        </w:rPr>
        <w:t xml:space="preserve">Por </w:t>
      </w:r>
      <w:r w:rsidRPr="00BA1828">
        <w:t>primera</w:t>
      </w:r>
      <w:r>
        <w:rPr>
          <w:szCs w:val="20"/>
        </w:rPr>
        <w:t xml:space="preserve"> vez en </w:t>
      </w:r>
      <w:r w:rsidR="00FC3BF8">
        <w:rPr>
          <w:szCs w:val="20"/>
        </w:rPr>
        <w:t xml:space="preserve">el </w:t>
      </w:r>
      <w:r w:rsidR="00FC3BF8" w:rsidRPr="00FF1236">
        <w:rPr>
          <w:i/>
          <w:szCs w:val="20"/>
        </w:rPr>
        <w:t>Caso Comunidad Indígena Kichwa de Sarayaku Vs. Ecuador</w:t>
      </w:r>
      <w:r w:rsidR="00FC3BF8">
        <w:rPr>
          <w:szCs w:val="20"/>
        </w:rPr>
        <w:t xml:space="preserve">, </w:t>
      </w:r>
      <w:r>
        <w:rPr>
          <w:szCs w:val="20"/>
        </w:rPr>
        <w:t xml:space="preserve">el Tribunal estableció que la violación de </w:t>
      </w:r>
      <w:r>
        <w:t xml:space="preserve">los derechos a la consulta, a </w:t>
      </w:r>
      <w:r w:rsidRPr="004A34DD">
        <w:t xml:space="preserve">la propiedad </w:t>
      </w:r>
      <w:r>
        <w:t>comunal indígena</w:t>
      </w:r>
      <w:r w:rsidRPr="00485171">
        <w:t xml:space="preserve"> </w:t>
      </w:r>
      <w:r>
        <w:t>y a la identidad cultural</w:t>
      </w:r>
      <w:r>
        <w:rPr>
          <w:szCs w:val="20"/>
        </w:rPr>
        <w:t>, pero también a las garantías judiciales y a la protección judicial, había sido perpetrada en perjuicio del Pueblo indígena Kichwa de Sarayaku</w:t>
      </w:r>
      <w:r w:rsidRPr="00EA1E84">
        <w:rPr>
          <w:rStyle w:val="FootnoteReference"/>
          <w:szCs w:val="20"/>
        </w:rPr>
        <w:footnoteReference w:id="38"/>
      </w:r>
      <w:r w:rsidRPr="00EA1E84">
        <w:rPr>
          <w:szCs w:val="20"/>
        </w:rPr>
        <w:t>.</w:t>
      </w:r>
      <w:r>
        <w:rPr>
          <w:szCs w:val="20"/>
        </w:rPr>
        <w:t xml:space="preserve"> </w:t>
      </w:r>
    </w:p>
    <w:p w:rsidR="00911431" w:rsidRPr="00911431" w:rsidRDefault="00911431" w:rsidP="00107370">
      <w:pPr>
        <w:pStyle w:val="ListParagraph"/>
        <w:rPr>
          <w:szCs w:val="20"/>
        </w:rPr>
      </w:pPr>
    </w:p>
    <w:p w:rsidR="00E4596F" w:rsidRPr="000B5CF5" w:rsidRDefault="00754623" w:rsidP="000B5CF5">
      <w:pPr>
        <w:pStyle w:val="ListParagraph"/>
        <w:numPr>
          <w:ilvl w:val="0"/>
          <w:numId w:val="5"/>
        </w:numPr>
        <w:tabs>
          <w:tab w:val="left" w:pos="426"/>
          <w:tab w:val="left" w:pos="709"/>
        </w:tabs>
        <w:ind w:left="0" w:firstLine="0"/>
        <w:rPr>
          <w:rFonts w:eastAsia="Times New Roman" w:cs="Times New Roman"/>
          <w:snapToGrid w:val="0"/>
          <w:lang w:eastAsia="es-ES"/>
        </w:rPr>
      </w:pPr>
      <w:r w:rsidRPr="00BA1828">
        <w:t>Asimismo</w:t>
      </w:r>
      <w:r w:rsidR="00911431">
        <w:rPr>
          <w:szCs w:val="20"/>
        </w:rPr>
        <w:t xml:space="preserve">, </w:t>
      </w:r>
      <w:r w:rsidR="00FC3BF8">
        <w:rPr>
          <w:szCs w:val="20"/>
        </w:rPr>
        <w:t>la Corte estableció que la p</w:t>
      </w:r>
      <w:r w:rsidR="00FF1236">
        <w:rPr>
          <w:szCs w:val="20"/>
        </w:rPr>
        <w:t>arte lesionada era la Comunidad</w:t>
      </w:r>
      <w:r w:rsidR="00911431">
        <w:rPr>
          <w:szCs w:val="20"/>
        </w:rPr>
        <w:t xml:space="preserve"> y consideró que</w:t>
      </w:r>
      <w:r w:rsidR="00FC3BF8">
        <w:rPr>
          <w:szCs w:val="20"/>
        </w:rPr>
        <w:t>:</w:t>
      </w:r>
    </w:p>
    <w:p w:rsidR="00E4596F" w:rsidRPr="00061F84" w:rsidRDefault="00E4596F" w:rsidP="00EB1352">
      <w:pPr>
        <w:spacing w:before="120" w:after="120"/>
        <w:ind w:left="708" w:right="558"/>
        <w:rPr>
          <w:rFonts w:eastAsia="Times New Roman" w:cs="Tahoma"/>
          <w:noProof w:val="0"/>
          <w:color w:val="000000"/>
          <w:sz w:val="16"/>
          <w:szCs w:val="16"/>
          <w:lang w:val="es-CR" w:eastAsia="es-CR"/>
        </w:rPr>
      </w:pPr>
      <w:r w:rsidRPr="00E4596F">
        <w:rPr>
          <w:rFonts w:eastAsia="Times New Roman" w:cs="Tahoma"/>
          <w:noProof w:val="0"/>
          <w:color w:val="000000"/>
          <w:sz w:val="16"/>
          <w:szCs w:val="16"/>
          <w:lang w:val="es-CR" w:eastAsia="es-CR"/>
        </w:rPr>
        <w:t>En anteriores oportunidades, en casos relativos a comunidades o pueblos indígenas y tribales el Tribunal ha declarado violaciones en perjuicio de los integrantes o miembros de las comunidades y pueblos indígenas o tribales.</w:t>
      </w:r>
      <w:bookmarkStart w:id="0" w:name="_Ref267485936"/>
      <w:r w:rsidRPr="00E4596F">
        <w:rPr>
          <w:rFonts w:eastAsia="Times New Roman" w:cs="Tahoma"/>
          <w:noProof w:val="0"/>
          <w:color w:val="000000"/>
          <w:sz w:val="16"/>
          <w:szCs w:val="16"/>
          <w:lang w:val="es-CR" w:eastAsia="es-CR"/>
        </w:rPr>
        <w:t xml:space="preserve"> Sin embargo, </w:t>
      </w:r>
      <w:bookmarkEnd w:id="0"/>
      <w:r w:rsidRPr="00E4596F">
        <w:rPr>
          <w:rFonts w:eastAsia="Times New Roman" w:cs="Tahoma"/>
          <w:noProof w:val="0"/>
          <w:color w:val="000000"/>
          <w:sz w:val="16"/>
          <w:szCs w:val="16"/>
          <w:lang w:val="es-CR" w:eastAsia="es-CR"/>
        </w:rPr>
        <w:t>la normativa internacional relativa a pueblos y comunidades indígenas o tribales reconoce derechos a los pueblos como sujetos colectivos del Derecho Internacional y no únicamente a sus miembros. Puesto que los pueblos y comunidades indígenas o tribales, cohesionados por sus particulares formas de vida e identidad, ejercen algunos derechos reconocidos por la Convención desde una dimensión colectiva, la Corte señala que las consideraciones de derecho expresadas o vertidas en la presente Sentencia deben entenderse desde dicha perspectiva colectiva</w:t>
      </w:r>
      <w:r>
        <w:rPr>
          <w:rStyle w:val="FootnoteReference"/>
          <w:rFonts w:eastAsia="Times New Roman" w:cs="Tahoma"/>
          <w:noProof w:val="0"/>
          <w:color w:val="000000"/>
          <w:sz w:val="16"/>
          <w:szCs w:val="16"/>
          <w:lang w:val="es-CR" w:eastAsia="es-CR"/>
        </w:rPr>
        <w:footnoteReference w:id="39"/>
      </w:r>
      <w:r w:rsidRPr="00E4596F">
        <w:rPr>
          <w:rFonts w:eastAsia="Times New Roman" w:cs="Tahoma"/>
          <w:noProof w:val="0"/>
          <w:color w:val="000000"/>
          <w:sz w:val="16"/>
          <w:szCs w:val="16"/>
          <w:lang w:val="es-CR" w:eastAsia="es-CR"/>
        </w:rPr>
        <w:t xml:space="preserve">. </w:t>
      </w:r>
    </w:p>
    <w:p w:rsidR="00FC3BF8" w:rsidRPr="00D4688C" w:rsidRDefault="009B01C7" w:rsidP="00BA1828">
      <w:pPr>
        <w:pStyle w:val="ListParagraph"/>
        <w:numPr>
          <w:ilvl w:val="0"/>
          <w:numId w:val="5"/>
        </w:numPr>
        <w:tabs>
          <w:tab w:val="left" w:pos="426"/>
          <w:tab w:val="left" w:pos="709"/>
        </w:tabs>
        <w:ind w:left="0" w:firstLine="0"/>
        <w:rPr>
          <w:rFonts w:eastAsia="Times New Roman" w:cs="Times New Roman"/>
          <w:snapToGrid w:val="0"/>
          <w:lang w:eastAsia="es-ES"/>
        </w:rPr>
      </w:pPr>
      <w:r>
        <w:rPr>
          <w:szCs w:val="20"/>
        </w:rPr>
        <w:t>Al</w:t>
      </w:r>
      <w:r w:rsidR="00D4688C">
        <w:rPr>
          <w:szCs w:val="20"/>
        </w:rPr>
        <w:t xml:space="preserve"> </w:t>
      </w:r>
      <w:r w:rsidR="00D4688C" w:rsidRPr="00BA1828">
        <w:t>ordenar</w:t>
      </w:r>
      <w:r w:rsidR="00D4688C">
        <w:rPr>
          <w:szCs w:val="20"/>
        </w:rPr>
        <w:t xml:space="preserve"> reparaciones pecuniarias </w:t>
      </w:r>
      <w:r w:rsidR="00094C58">
        <w:rPr>
          <w:szCs w:val="20"/>
        </w:rPr>
        <w:t>por</w:t>
      </w:r>
      <w:r w:rsidR="00D4688C">
        <w:rPr>
          <w:szCs w:val="20"/>
        </w:rPr>
        <w:t xml:space="preserve"> daño inmaterial</w:t>
      </w:r>
      <w:r w:rsidR="00094C58">
        <w:rPr>
          <w:szCs w:val="20"/>
        </w:rPr>
        <w:t>,</w:t>
      </w:r>
      <w:r w:rsidR="00D4688C">
        <w:rPr>
          <w:szCs w:val="20"/>
        </w:rPr>
        <w:t xml:space="preserve"> el Tribunal consideró </w:t>
      </w:r>
      <w:r w:rsidR="00094C58">
        <w:rPr>
          <w:szCs w:val="20"/>
        </w:rPr>
        <w:t xml:space="preserve">el daño específico generado en perjuicio de la Comunidad, haciendo referencia a </w:t>
      </w:r>
      <w:r w:rsidR="00D4688C">
        <w:rPr>
          <w:rFonts w:eastAsia="Times New Roman" w:cs="Times New Roman"/>
          <w:snapToGrid w:val="0"/>
          <w:lang w:eastAsia="es-ES"/>
        </w:rPr>
        <w:t>“</w:t>
      </w:r>
      <w:r w:rsidR="00D4688C" w:rsidRPr="008726D6">
        <w:rPr>
          <w:rFonts w:eastAsia="Times New Roman" w:cs="Times New Roman"/>
          <w:snapToGrid w:val="0"/>
          <w:lang w:eastAsia="es-ES"/>
        </w:rPr>
        <w:t xml:space="preserve">los sufrimientos ocasionados al Pueblo, a su identidad cultural, las afectaciones a su </w:t>
      </w:r>
      <w:r w:rsidR="00D4688C" w:rsidRPr="008726D6">
        <w:rPr>
          <w:rFonts w:eastAsia="Times New Roman" w:cs="Times New Roman"/>
          <w:snapToGrid w:val="0"/>
          <w:lang w:eastAsia="es-ES"/>
        </w:rPr>
        <w:lastRenderedPageBreak/>
        <w:t xml:space="preserve">territorio, </w:t>
      </w:r>
      <w:r w:rsidR="00D4688C">
        <w:rPr>
          <w:rFonts w:eastAsia="Times New Roman" w:cs="Times New Roman"/>
          <w:snapToGrid w:val="0"/>
          <w:lang w:eastAsia="es-ES"/>
        </w:rPr>
        <w:t>[…]</w:t>
      </w:r>
      <w:r w:rsidR="00D4688C" w:rsidRPr="008726D6">
        <w:rPr>
          <w:rFonts w:eastAsia="Times New Roman" w:cs="Times New Roman"/>
          <w:snapToGrid w:val="0"/>
          <w:lang w:eastAsia="es-ES"/>
        </w:rPr>
        <w:t xml:space="preserve"> así como el cambio ocasionado en las condiciones y modo de vida de las mismas</w:t>
      </w:r>
      <w:r w:rsidR="00D4688C">
        <w:rPr>
          <w:rFonts w:eastAsia="Times New Roman" w:cs="Times New Roman"/>
          <w:snapToGrid w:val="0"/>
          <w:lang w:eastAsia="es-ES"/>
        </w:rPr>
        <w:t>”</w:t>
      </w:r>
      <w:r w:rsidR="00D4688C">
        <w:rPr>
          <w:rStyle w:val="FootnoteReference"/>
          <w:rFonts w:eastAsia="Times New Roman" w:cs="Times New Roman"/>
          <w:snapToGrid w:val="0"/>
          <w:lang w:eastAsia="es-ES"/>
        </w:rPr>
        <w:footnoteReference w:id="40"/>
      </w:r>
      <w:r w:rsidR="00D4688C">
        <w:rPr>
          <w:rFonts w:eastAsia="Times New Roman" w:cs="Times New Roman"/>
          <w:snapToGrid w:val="0"/>
          <w:lang w:eastAsia="es-ES"/>
        </w:rPr>
        <w:t>.</w:t>
      </w:r>
    </w:p>
    <w:p w:rsidR="00FC3BF8" w:rsidRPr="00FC3BF8" w:rsidRDefault="00FC3BF8" w:rsidP="00107370">
      <w:pPr>
        <w:pStyle w:val="ListParagraph"/>
        <w:rPr>
          <w:szCs w:val="20"/>
        </w:rPr>
      </w:pPr>
    </w:p>
    <w:p w:rsidR="00FC3BF8" w:rsidRDefault="00FC3BF8" w:rsidP="00BA1828">
      <w:pPr>
        <w:pStyle w:val="ListParagraph"/>
        <w:numPr>
          <w:ilvl w:val="0"/>
          <w:numId w:val="5"/>
        </w:numPr>
        <w:tabs>
          <w:tab w:val="left" w:pos="426"/>
          <w:tab w:val="left" w:pos="709"/>
        </w:tabs>
        <w:ind w:left="0" w:firstLine="0"/>
        <w:rPr>
          <w:szCs w:val="20"/>
        </w:rPr>
      </w:pPr>
      <w:r>
        <w:rPr>
          <w:szCs w:val="20"/>
        </w:rPr>
        <w:t xml:space="preserve">Este </w:t>
      </w:r>
      <w:r w:rsidRPr="00BA1828">
        <w:t>importante</w:t>
      </w:r>
      <w:r>
        <w:rPr>
          <w:szCs w:val="20"/>
        </w:rPr>
        <w:t xml:space="preserve"> desarrollo se dio, como lo estableció el Tribunal, siguiendo </w:t>
      </w:r>
      <w:r w:rsidR="00ED0C9E">
        <w:rPr>
          <w:szCs w:val="20"/>
        </w:rPr>
        <w:t>la n</w:t>
      </w:r>
      <w:r w:rsidR="00AC7354">
        <w:rPr>
          <w:szCs w:val="20"/>
        </w:rPr>
        <w:t>o</w:t>
      </w:r>
      <w:r w:rsidR="00ED0C9E">
        <w:rPr>
          <w:szCs w:val="20"/>
        </w:rPr>
        <w:t>r</w:t>
      </w:r>
      <w:r w:rsidR="00AC7354">
        <w:rPr>
          <w:szCs w:val="20"/>
        </w:rPr>
        <w:t>mativa</w:t>
      </w:r>
      <w:r>
        <w:rPr>
          <w:szCs w:val="20"/>
        </w:rPr>
        <w:t xml:space="preserve"> internacional al respecto</w:t>
      </w:r>
      <w:r w:rsidR="00E4596F">
        <w:rPr>
          <w:szCs w:val="20"/>
        </w:rPr>
        <w:t>, referiéndose específicamente a</w:t>
      </w:r>
      <w:r>
        <w:rPr>
          <w:szCs w:val="20"/>
        </w:rPr>
        <w:t xml:space="preserve">l artículo </w:t>
      </w:r>
      <w:r w:rsidR="00E4596F">
        <w:rPr>
          <w:szCs w:val="20"/>
        </w:rPr>
        <w:t>3.1</w:t>
      </w:r>
      <w:r>
        <w:rPr>
          <w:szCs w:val="20"/>
        </w:rPr>
        <w:t xml:space="preserve"> del Convenio 169 de la OIT </w:t>
      </w:r>
      <w:r w:rsidR="00E4596F">
        <w:rPr>
          <w:szCs w:val="20"/>
        </w:rPr>
        <w:t xml:space="preserve">que </w:t>
      </w:r>
      <w:r>
        <w:rPr>
          <w:szCs w:val="20"/>
        </w:rPr>
        <w:t xml:space="preserve">establece que: </w:t>
      </w:r>
      <w:r w:rsidR="00E4596F">
        <w:t>“[l]</w:t>
      </w:r>
      <w:r w:rsidR="00E4596F" w:rsidRPr="00AB5B23">
        <w:t>os pueblos indígenas y tribales deberán gozar plenamente de los derechos humanos y libertades fundamentales, sin obstáculos ni discriminación</w:t>
      </w:r>
      <w:r w:rsidR="00E4596F">
        <w:t>.</w:t>
      </w:r>
      <w:r w:rsidR="00E4596F" w:rsidRPr="00AB5B23">
        <w:t xml:space="preserve"> Las disposiciones de este Convenio se aplicarán sin discriminación a los hombres y mujeres de esos pueblos</w:t>
      </w:r>
      <w:r w:rsidR="00E4596F">
        <w:t>”</w:t>
      </w:r>
      <w:r w:rsidR="001202E0">
        <w:rPr>
          <w:rStyle w:val="FootnoteReference"/>
          <w:szCs w:val="20"/>
        </w:rPr>
        <w:footnoteReference w:id="41"/>
      </w:r>
      <w:r w:rsidR="001B549C">
        <w:t>;</w:t>
      </w:r>
      <w:r w:rsidR="00E4596F">
        <w:t xml:space="preserve"> y al artículo 1 de </w:t>
      </w:r>
      <w:r>
        <w:rPr>
          <w:szCs w:val="20"/>
        </w:rPr>
        <w:t xml:space="preserve">la Declaración de las Naciones Unidas sobre los Derechos de los Pueblos Indígenas: </w:t>
      </w:r>
      <w:r w:rsidR="00E4596F">
        <w:t>“[l]</w:t>
      </w:r>
      <w:r w:rsidR="00E4596F" w:rsidRPr="00AB5B23">
        <w:t>os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r w:rsidR="00E4596F">
        <w:t>”</w:t>
      </w:r>
      <w:r w:rsidR="001202E0">
        <w:rPr>
          <w:rStyle w:val="FootnoteReference"/>
          <w:szCs w:val="20"/>
        </w:rPr>
        <w:footnoteReference w:id="42"/>
      </w:r>
      <w:r w:rsidR="00E4596F">
        <w:t>.</w:t>
      </w:r>
    </w:p>
    <w:p w:rsidR="00AC7354" w:rsidRPr="00AC7354" w:rsidRDefault="00AC7354" w:rsidP="00107370">
      <w:pPr>
        <w:pStyle w:val="ListParagraph"/>
        <w:rPr>
          <w:szCs w:val="20"/>
        </w:rPr>
      </w:pPr>
    </w:p>
    <w:p w:rsidR="00AC7354" w:rsidRDefault="00AC7354" w:rsidP="00BA1828">
      <w:pPr>
        <w:pStyle w:val="ListParagraph"/>
        <w:numPr>
          <w:ilvl w:val="0"/>
          <w:numId w:val="5"/>
        </w:numPr>
        <w:tabs>
          <w:tab w:val="left" w:pos="426"/>
          <w:tab w:val="left" w:pos="709"/>
        </w:tabs>
        <w:ind w:left="0" w:firstLine="0"/>
        <w:rPr>
          <w:szCs w:val="20"/>
        </w:rPr>
      </w:pPr>
      <w:r>
        <w:rPr>
          <w:szCs w:val="20"/>
        </w:rPr>
        <w:t xml:space="preserve">En </w:t>
      </w:r>
      <w:r w:rsidRPr="00BA1828">
        <w:t>caso</w:t>
      </w:r>
      <w:r w:rsidR="003874AA" w:rsidRPr="00BA1828">
        <w:t>s</w:t>
      </w:r>
      <w:r>
        <w:rPr>
          <w:szCs w:val="20"/>
        </w:rPr>
        <w:t xml:space="preserve"> posterior</w:t>
      </w:r>
      <w:r w:rsidR="003874AA">
        <w:rPr>
          <w:szCs w:val="20"/>
        </w:rPr>
        <w:t>es</w:t>
      </w:r>
      <w:r>
        <w:rPr>
          <w:szCs w:val="20"/>
        </w:rPr>
        <w:t xml:space="preserve">, </w:t>
      </w:r>
      <w:r w:rsidR="003874AA">
        <w:rPr>
          <w:szCs w:val="20"/>
        </w:rPr>
        <w:t>así</w:t>
      </w:r>
      <w:r>
        <w:rPr>
          <w:szCs w:val="20"/>
        </w:rPr>
        <w:t xml:space="preserve"> como en la presente Sentencia, la Corte ha repetido que la parte lesionada es el Pueblo indígena o tribal y sus miembros</w:t>
      </w:r>
      <w:r w:rsidR="00E4596F">
        <w:rPr>
          <w:rStyle w:val="FootnoteReference"/>
          <w:szCs w:val="20"/>
        </w:rPr>
        <w:footnoteReference w:id="43"/>
      </w:r>
      <w:r>
        <w:rPr>
          <w:szCs w:val="20"/>
        </w:rPr>
        <w:t xml:space="preserve">. </w:t>
      </w:r>
    </w:p>
    <w:p w:rsidR="00AC7354" w:rsidRPr="00AC7354" w:rsidRDefault="00AC7354" w:rsidP="00107370">
      <w:pPr>
        <w:pStyle w:val="ListParagraph"/>
        <w:rPr>
          <w:szCs w:val="20"/>
        </w:rPr>
      </w:pPr>
    </w:p>
    <w:p w:rsidR="00AC7354" w:rsidRDefault="00754623" w:rsidP="00BA1828">
      <w:pPr>
        <w:pStyle w:val="ListParagraph"/>
        <w:numPr>
          <w:ilvl w:val="0"/>
          <w:numId w:val="5"/>
        </w:numPr>
        <w:tabs>
          <w:tab w:val="left" w:pos="426"/>
          <w:tab w:val="left" w:pos="709"/>
        </w:tabs>
        <w:ind w:left="0" w:firstLine="0"/>
        <w:rPr>
          <w:szCs w:val="20"/>
        </w:rPr>
      </w:pPr>
      <w:r w:rsidRPr="00BA1828">
        <w:t>Tomando</w:t>
      </w:r>
      <w:r>
        <w:rPr>
          <w:szCs w:val="20"/>
        </w:rPr>
        <w:t xml:space="preserve"> en cuenta lo anterior, se puede constatar que ahora</w:t>
      </w:r>
      <w:r w:rsidR="00AC7354">
        <w:rPr>
          <w:szCs w:val="20"/>
        </w:rPr>
        <w:t xml:space="preserve"> </w:t>
      </w:r>
      <w:r w:rsidR="007814AD">
        <w:rPr>
          <w:szCs w:val="20"/>
        </w:rPr>
        <w:t xml:space="preserve">existe en la jurisprudencia de la Corte una congruencia entre </w:t>
      </w:r>
      <w:r w:rsidR="00AC7354">
        <w:rPr>
          <w:szCs w:val="20"/>
        </w:rPr>
        <w:t>el d</w:t>
      </w:r>
      <w:r w:rsidR="007814AD">
        <w:rPr>
          <w:szCs w:val="20"/>
        </w:rPr>
        <w:t xml:space="preserve">erecho a la propiedad colectiva y los titulares de dicho derecho, que son la Comunidad y sus miembros, los cuales son a la vez beneficiarios de las medidas de reparación. También se reconoce que </w:t>
      </w:r>
      <w:r w:rsidR="00AC7354">
        <w:rPr>
          <w:szCs w:val="20"/>
        </w:rPr>
        <w:t xml:space="preserve">el impacto </w:t>
      </w:r>
      <w:r w:rsidR="007814AD">
        <w:rPr>
          <w:szCs w:val="20"/>
        </w:rPr>
        <w:t xml:space="preserve">de las violaciones en </w:t>
      </w:r>
      <w:r w:rsidR="00AC7354">
        <w:rPr>
          <w:szCs w:val="20"/>
        </w:rPr>
        <w:t xml:space="preserve">la Comunidad tiene un </w:t>
      </w:r>
      <w:r w:rsidR="007814AD">
        <w:rPr>
          <w:szCs w:val="20"/>
        </w:rPr>
        <w:t>carácter</w:t>
      </w:r>
      <w:r w:rsidR="00AC7354">
        <w:rPr>
          <w:szCs w:val="20"/>
        </w:rPr>
        <w:t xml:space="preserve"> específic</w:t>
      </w:r>
      <w:r w:rsidR="007814AD">
        <w:rPr>
          <w:szCs w:val="20"/>
        </w:rPr>
        <w:t>o</w:t>
      </w:r>
      <w:r w:rsidR="00AC7354">
        <w:rPr>
          <w:szCs w:val="20"/>
        </w:rPr>
        <w:t xml:space="preserve"> que debe ser reconocido. </w:t>
      </w:r>
      <w:r>
        <w:rPr>
          <w:szCs w:val="20"/>
        </w:rPr>
        <w:t>E</w:t>
      </w:r>
      <w:r w:rsidR="007814AD">
        <w:rPr>
          <w:szCs w:val="20"/>
        </w:rPr>
        <w:t xml:space="preserve">s </w:t>
      </w:r>
      <w:r>
        <w:rPr>
          <w:szCs w:val="20"/>
        </w:rPr>
        <w:t>necesario</w:t>
      </w:r>
      <w:r w:rsidR="007814AD">
        <w:rPr>
          <w:szCs w:val="20"/>
        </w:rPr>
        <w:t xml:space="preserve"> sumar a esto </w:t>
      </w:r>
      <w:r w:rsidR="00AC7354">
        <w:rPr>
          <w:szCs w:val="20"/>
        </w:rPr>
        <w:t>la compensación colectiva.</w:t>
      </w:r>
    </w:p>
    <w:p w:rsidR="00AC7354" w:rsidRPr="00AC7354" w:rsidRDefault="00AC7354" w:rsidP="00107370">
      <w:pPr>
        <w:pStyle w:val="ListParagraph"/>
        <w:rPr>
          <w:szCs w:val="20"/>
        </w:rPr>
      </w:pPr>
    </w:p>
    <w:p w:rsidR="00D27ECA" w:rsidRPr="000219C1" w:rsidRDefault="00754623" w:rsidP="00BA1828">
      <w:pPr>
        <w:pStyle w:val="ListParagraph"/>
        <w:numPr>
          <w:ilvl w:val="0"/>
          <w:numId w:val="5"/>
        </w:numPr>
        <w:tabs>
          <w:tab w:val="left" w:pos="426"/>
          <w:tab w:val="left" w:pos="709"/>
        </w:tabs>
        <w:ind w:left="0" w:firstLine="0"/>
        <w:rPr>
          <w:szCs w:val="20"/>
        </w:rPr>
      </w:pPr>
      <w:r>
        <w:rPr>
          <w:szCs w:val="20"/>
        </w:rPr>
        <w:t>L</w:t>
      </w:r>
      <w:r w:rsidR="00AC7354" w:rsidRPr="000219C1">
        <w:rPr>
          <w:szCs w:val="20"/>
        </w:rPr>
        <w:t xml:space="preserve">a </w:t>
      </w:r>
      <w:r w:rsidR="00AC7354" w:rsidRPr="00BA1828">
        <w:t>compensación</w:t>
      </w:r>
      <w:r w:rsidR="00AC7354" w:rsidRPr="000219C1">
        <w:rPr>
          <w:szCs w:val="20"/>
        </w:rPr>
        <w:t xml:space="preserve"> colectiva es tal vez la única manera en que se puede reparar de manera adecuada el daño específico sufri</w:t>
      </w:r>
      <w:r w:rsidR="007814AD">
        <w:rPr>
          <w:szCs w:val="20"/>
        </w:rPr>
        <w:t>do</w:t>
      </w:r>
      <w:r w:rsidR="00AC7354" w:rsidRPr="000219C1">
        <w:rPr>
          <w:szCs w:val="20"/>
        </w:rPr>
        <w:t xml:space="preserve"> </w:t>
      </w:r>
      <w:r w:rsidR="007814AD">
        <w:rPr>
          <w:szCs w:val="20"/>
        </w:rPr>
        <w:t xml:space="preserve">por </w:t>
      </w:r>
      <w:r w:rsidR="00AC7354" w:rsidRPr="000219C1">
        <w:rPr>
          <w:szCs w:val="20"/>
        </w:rPr>
        <w:t>la Comunidad como tal, que se</w:t>
      </w:r>
      <w:r w:rsidR="00AC7354">
        <w:rPr>
          <w:szCs w:val="20"/>
        </w:rPr>
        <w:t xml:space="preserve"> distingue del daño sufrido por </w:t>
      </w:r>
      <w:r w:rsidR="007814AD">
        <w:rPr>
          <w:szCs w:val="20"/>
        </w:rPr>
        <w:t>sus miembros como individuos</w:t>
      </w:r>
      <w:r w:rsidR="00AC7354">
        <w:rPr>
          <w:szCs w:val="20"/>
        </w:rPr>
        <w:t xml:space="preserve">, aunque está </w:t>
      </w:r>
      <w:r w:rsidR="006E6D49">
        <w:rPr>
          <w:szCs w:val="20"/>
        </w:rPr>
        <w:t>í</w:t>
      </w:r>
      <w:r w:rsidR="00B221B8">
        <w:rPr>
          <w:szCs w:val="20"/>
        </w:rPr>
        <w:t>nti</w:t>
      </w:r>
      <w:r w:rsidR="00AC7354">
        <w:rPr>
          <w:szCs w:val="20"/>
        </w:rPr>
        <w:t xml:space="preserve">mamente relacionado con </w:t>
      </w:r>
      <w:r>
        <w:rPr>
          <w:szCs w:val="20"/>
        </w:rPr>
        <w:t>el mismo</w:t>
      </w:r>
      <w:r w:rsidR="005758AE">
        <w:rPr>
          <w:rStyle w:val="FootnoteReference"/>
          <w:szCs w:val="20"/>
        </w:rPr>
        <w:footnoteReference w:id="44"/>
      </w:r>
      <w:r w:rsidR="000219C1">
        <w:rPr>
          <w:szCs w:val="20"/>
        </w:rPr>
        <w:t xml:space="preserve">. Como la Corte estableció en </w:t>
      </w:r>
      <w:r w:rsidR="000219C1" w:rsidRPr="008726D6">
        <w:rPr>
          <w:rFonts w:eastAsia="Times" w:cs="Times New Roman"/>
          <w:noProof w:val="0"/>
          <w:szCs w:val="20"/>
          <w:lang w:eastAsia="es-ES"/>
        </w:rPr>
        <w:t xml:space="preserve">el </w:t>
      </w:r>
      <w:r w:rsidR="000219C1" w:rsidRPr="008726D6">
        <w:rPr>
          <w:rFonts w:eastAsia="Times" w:cs="Times New Roman"/>
          <w:i/>
          <w:noProof w:val="0"/>
          <w:szCs w:val="20"/>
          <w:lang w:eastAsia="es-ES"/>
        </w:rPr>
        <w:t xml:space="preserve">Caso Comunidad indígena </w:t>
      </w:r>
      <w:proofErr w:type="spellStart"/>
      <w:r w:rsidR="000219C1" w:rsidRPr="008726D6">
        <w:rPr>
          <w:rFonts w:eastAsia="Times" w:cs="Times New Roman"/>
          <w:i/>
          <w:noProof w:val="0"/>
          <w:szCs w:val="20"/>
          <w:lang w:eastAsia="es-ES"/>
        </w:rPr>
        <w:t>Yakye</w:t>
      </w:r>
      <w:proofErr w:type="spellEnd"/>
      <w:r w:rsidR="000219C1" w:rsidRPr="008726D6">
        <w:rPr>
          <w:rFonts w:eastAsia="Times" w:cs="Times New Roman"/>
          <w:i/>
          <w:noProof w:val="0"/>
          <w:szCs w:val="20"/>
          <w:lang w:eastAsia="es-ES"/>
        </w:rPr>
        <w:t xml:space="preserve"> Axa Vs. Paraguay</w:t>
      </w:r>
      <w:r w:rsidR="002B3C85">
        <w:rPr>
          <w:rFonts w:eastAsia="Times" w:cs="Times New Roman"/>
          <w:i/>
          <w:noProof w:val="0"/>
          <w:szCs w:val="20"/>
          <w:lang w:eastAsia="es-ES"/>
        </w:rPr>
        <w:t>:</w:t>
      </w:r>
      <w:r w:rsidR="000219C1" w:rsidRPr="008726D6">
        <w:rPr>
          <w:rFonts w:eastAsia="Times" w:cs="Times New Roman"/>
          <w:noProof w:val="0"/>
          <w:szCs w:val="20"/>
          <w:lang w:eastAsia="es-ES"/>
        </w:rPr>
        <w:t xml:space="preserve"> </w:t>
      </w:r>
      <w:r w:rsidR="000219C1">
        <w:rPr>
          <w:rFonts w:eastAsia="Times" w:cs="Times New Roman"/>
          <w:noProof w:val="0"/>
          <w:szCs w:val="20"/>
          <w:lang w:eastAsia="es-ES"/>
        </w:rPr>
        <w:t>“</w:t>
      </w:r>
      <w:r w:rsidR="000219C1" w:rsidRPr="008726D6">
        <w:rPr>
          <w:rFonts w:eastAsia="Times" w:cs="Times New Roman"/>
          <w:szCs w:val="20"/>
        </w:rPr>
        <w:t>las reparaciones adquieren una especial significación colectiva”</w:t>
      </w:r>
      <w:r w:rsidR="000219C1">
        <w:rPr>
          <w:rStyle w:val="FootnoteReference"/>
          <w:rFonts w:eastAsia="Times" w:cs="Times New Roman"/>
          <w:szCs w:val="20"/>
        </w:rPr>
        <w:footnoteReference w:id="45"/>
      </w:r>
      <w:r w:rsidR="000219C1">
        <w:rPr>
          <w:rFonts w:eastAsia="Times" w:cs="Times New Roman"/>
          <w:szCs w:val="20"/>
        </w:rPr>
        <w:t xml:space="preserve"> cuando se trata de un pueblo indígena</w:t>
      </w:r>
      <w:r w:rsidR="002B3C85">
        <w:rPr>
          <w:rFonts w:eastAsia="Times" w:cs="Times New Roman"/>
          <w:szCs w:val="20"/>
        </w:rPr>
        <w:t xml:space="preserve"> o tribal</w:t>
      </w:r>
      <w:r w:rsidR="000219C1" w:rsidRPr="008726D6">
        <w:rPr>
          <w:rFonts w:eastAsia="Times" w:cs="Times New Roman"/>
          <w:szCs w:val="20"/>
        </w:rPr>
        <w:t>.</w:t>
      </w:r>
    </w:p>
    <w:p w:rsidR="00D27ECA" w:rsidRPr="00D27ECA" w:rsidRDefault="00D27ECA" w:rsidP="00107370">
      <w:pPr>
        <w:pStyle w:val="ListParagraph"/>
        <w:rPr>
          <w:szCs w:val="20"/>
        </w:rPr>
      </w:pPr>
    </w:p>
    <w:p w:rsidR="00B23B98" w:rsidRDefault="00E703F6" w:rsidP="00107370">
      <w:pPr>
        <w:pStyle w:val="ListParagraph"/>
        <w:numPr>
          <w:ilvl w:val="0"/>
          <w:numId w:val="5"/>
        </w:numPr>
        <w:tabs>
          <w:tab w:val="left" w:pos="426"/>
          <w:tab w:val="left" w:pos="709"/>
        </w:tabs>
        <w:ind w:left="0" w:firstLine="0"/>
        <w:rPr>
          <w:szCs w:val="20"/>
        </w:rPr>
      </w:pPr>
      <w:r>
        <w:rPr>
          <w:szCs w:val="20"/>
        </w:rPr>
        <w:t xml:space="preserve">Es </w:t>
      </w:r>
      <w:r w:rsidRPr="00BA1828">
        <w:t>más</w:t>
      </w:r>
      <w:r>
        <w:rPr>
          <w:szCs w:val="20"/>
        </w:rPr>
        <w:t>, solo otorgar reparaciones individuales en casos de pueblos indígenas</w:t>
      </w:r>
      <w:r w:rsidR="002B3C85">
        <w:rPr>
          <w:szCs w:val="20"/>
        </w:rPr>
        <w:t xml:space="preserve"> o tribales</w:t>
      </w:r>
      <w:r>
        <w:rPr>
          <w:szCs w:val="20"/>
        </w:rPr>
        <w:t xml:space="preserve">, </w:t>
      </w:r>
      <w:r w:rsidR="006E6D49">
        <w:rPr>
          <w:szCs w:val="20"/>
        </w:rPr>
        <w:t xml:space="preserve">además </w:t>
      </w:r>
      <w:r>
        <w:rPr>
          <w:szCs w:val="20"/>
        </w:rPr>
        <w:t xml:space="preserve">de ser inconsistente con su cosmovisón y modo colectivo de vivir, puede perjudicar </w:t>
      </w:r>
      <w:r w:rsidR="00FD6EBE">
        <w:rPr>
          <w:szCs w:val="20"/>
        </w:rPr>
        <w:t>el</w:t>
      </w:r>
      <w:r>
        <w:rPr>
          <w:szCs w:val="20"/>
        </w:rPr>
        <w:t xml:space="preserve"> </w:t>
      </w:r>
      <w:r w:rsidR="002B0223">
        <w:rPr>
          <w:szCs w:val="20"/>
        </w:rPr>
        <w:t>tejido</w:t>
      </w:r>
      <w:r>
        <w:rPr>
          <w:szCs w:val="20"/>
        </w:rPr>
        <w:t xml:space="preserve"> </w:t>
      </w:r>
      <w:r w:rsidR="00FD6EBE">
        <w:rPr>
          <w:szCs w:val="20"/>
        </w:rPr>
        <w:t xml:space="preserve">social y </w:t>
      </w:r>
      <w:r>
        <w:rPr>
          <w:szCs w:val="20"/>
        </w:rPr>
        <w:t xml:space="preserve">cultural de </w:t>
      </w:r>
      <w:r w:rsidR="002B3C85">
        <w:rPr>
          <w:szCs w:val="20"/>
        </w:rPr>
        <w:t>las</w:t>
      </w:r>
      <w:r>
        <w:rPr>
          <w:szCs w:val="20"/>
        </w:rPr>
        <w:t xml:space="preserve"> comunidades</w:t>
      </w:r>
      <w:r w:rsidR="002B3C85">
        <w:rPr>
          <w:szCs w:val="20"/>
        </w:rPr>
        <w:t xml:space="preserve"> y</w:t>
      </w:r>
      <w:r>
        <w:rPr>
          <w:szCs w:val="20"/>
        </w:rPr>
        <w:t xml:space="preserve"> </w:t>
      </w:r>
      <w:r w:rsidR="00A93A88">
        <w:rPr>
          <w:szCs w:val="20"/>
        </w:rPr>
        <w:t xml:space="preserve">generar división </w:t>
      </w:r>
      <w:r w:rsidR="002B0223">
        <w:rPr>
          <w:szCs w:val="20"/>
        </w:rPr>
        <w:t xml:space="preserve">entre </w:t>
      </w:r>
      <w:r w:rsidR="002B0223">
        <w:rPr>
          <w:szCs w:val="20"/>
        </w:rPr>
        <w:lastRenderedPageBreak/>
        <w:t>sus miembros</w:t>
      </w:r>
      <w:r w:rsidR="00A93A88">
        <w:rPr>
          <w:szCs w:val="20"/>
        </w:rPr>
        <w:t xml:space="preserve"> </w:t>
      </w:r>
      <w:r w:rsidR="002B3C85">
        <w:rPr>
          <w:szCs w:val="20"/>
        </w:rPr>
        <w:t>por</w:t>
      </w:r>
      <w:r w:rsidR="00D72D37">
        <w:rPr>
          <w:szCs w:val="20"/>
        </w:rPr>
        <w:t xml:space="preserve"> ir</w:t>
      </w:r>
      <w:r w:rsidR="002B3C85">
        <w:rPr>
          <w:szCs w:val="20"/>
        </w:rPr>
        <w:t xml:space="preserve"> en contra de sus co</w:t>
      </w:r>
      <w:r w:rsidR="00A93A88">
        <w:rPr>
          <w:szCs w:val="20"/>
        </w:rPr>
        <w:t>stumbres y tradiciones</w:t>
      </w:r>
      <w:r>
        <w:rPr>
          <w:szCs w:val="20"/>
        </w:rPr>
        <w:t xml:space="preserve">. </w:t>
      </w:r>
      <w:r w:rsidR="00452832">
        <w:rPr>
          <w:szCs w:val="20"/>
        </w:rPr>
        <w:t xml:space="preserve">Por tanto, </w:t>
      </w:r>
      <w:r w:rsidR="002B3C85">
        <w:rPr>
          <w:szCs w:val="20"/>
        </w:rPr>
        <w:t>l</w:t>
      </w:r>
      <w:r w:rsidR="00452832">
        <w:rPr>
          <w:szCs w:val="20"/>
        </w:rPr>
        <w:t>a medida de compensación colectiva</w:t>
      </w:r>
      <w:r w:rsidR="002B3C85">
        <w:rPr>
          <w:szCs w:val="20"/>
        </w:rPr>
        <w:t>,</w:t>
      </w:r>
      <w:r w:rsidR="00452832">
        <w:rPr>
          <w:szCs w:val="20"/>
        </w:rPr>
        <w:t xml:space="preserve"> </w:t>
      </w:r>
      <w:r w:rsidR="002B3C85">
        <w:rPr>
          <w:szCs w:val="20"/>
        </w:rPr>
        <w:t xml:space="preserve">ordenada en este caso a través de un Fondo de desarrollo comuntario, </w:t>
      </w:r>
      <w:r w:rsidR="00452832">
        <w:rPr>
          <w:szCs w:val="20"/>
        </w:rPr>
        <w:t xml:space="preserve">debe ser la regla general en casos que se tratan de pueblos indígenas y tribales y no el pago de reparaciones individuales a miembros de las mismas. </w:t>
      </w:r>
      <w:r w:rsidR="002B3C85">
        <w:rPr>
          <w:szCs w:val="20"/>
        </w:rPr>
        <w:t>La</w:t>
      </w:r>
      <w:r w:rsidR="00452832">
        <w:rPr>
          <w:szCs w:val="20"/>
        </w:rPr>
        <w:t xml:space="preserve"> excepción </w:t>
      </w:r>
      <w:r w:rsidR="002B3C85">
        <w:rPr>
          <w:szCs w:val="20"/>
        </w:rPr>
        <w:t xml:space="preserve">más obvia a esta regla general </w:t>
      </w:r>
      <w:r w:rsidR="00754623">
        <w:rPr>
          <w:szCs w:val="20"/>
        </w:rPr>
        <w:t>serían</w:t>
      </w:r>
      <w:r w:rsidR="00452832">
        <w:rPr>
          <w:szCs w:val="20"/>
        </w:rPr>
        <w:t xml:space="preserve"> los casos que trata</w:t>
      </w:r>
      <w:r w:rsidR="00754623">
        <w:rPr>
          <w:szCs w:val="20"/>
        </w:rPr>
        <w:t>n</w:t>
      </w:r>
      <w:r w:rsidR="00452832">
        <w:rPr>
          <w:szCs w:val="20"/>
        </w:rPr>
        <w:t xml:space="preserve"> de daños espe</w:t>
      </w:r>
      <w:r w:rsidR="002B3C85">
        <w:rPr>
          <w:szCs w:val="20"/>
        </w:rPr>
        <w:t>cífico</w:t>
      </w:r>
      <w:r w:rsidR="00452832">
        <w:rPr>
          <w:szCs w:val="20"/>
        </w:rPr>
        <w:t xml:space="preserve">s </w:t>
      </w:r>
      <w:r w:rsidR="002B3C85">
        <w:rPr>
          <w:szCs w:val="20"/>
        </w:rPr>
        <w:t>generados en perjuicio de</w:t>
      </w:r>
      <w:r w:rsidR="00452832">
        <w:rPr>
          <w:szCs w:val="20"/>
        </w:rPr>
        <w:t xml:space="preserve"> ciertos individuos</w:t>
      </w:r>
      <w:r w:rsidR="00D72D37">
        <w:rPr>
          <w:szCs w:val="20"/>
        </w:rPr>
        <w:t>, miembros de una Comunidad</w:t>
      </w:r>
      <w:r w:rsidR="00452832">
        <w:rPr>
          <w:szCs w:val="20"/>
        </w:rPr>
        <w:t>.</w:t>
      </w:r>
    </w:p>
    <w:p w:rsidR="00C02B5C" w:rsidRPr="00C02B5C" w:rsidRDefault="00C02B5C" w:rsidP="00C02B5C">
      <w:pPr>
        <w:pStyle w:val="ListParagraph"/>
        <w:tabs>
          <w:tab w:val="left" w:pos="426"/>
          <w:tab w:val="left" w:pos="709"/>
        </w:tabs>
        <w:ind w:left="0"/>
        <w:rPr>
          <w:szCs w:val="20"/>
        </w:rPr>
      </w:pPr>
    </w:p>
    <w:p w:rsidR="002B2571" w:rsidRPr="00C02B5C" w:rsidRDefault="00061F84" w:rsidP="00C02B5C">
      <w:pPr>
        <w:pStyle w:val="ListParagraph"/>
        <w:numPr>
          <w:ilvl w:val="0"/>
          <w:numId w:val="13"/>
        </w:numPr>
        <w:tabs>
          <w:tab w:val="left" w:pos="426"/>
          <w:tab w:val="left" w:pos="709"/>
        </w:tabs>
        <w:rPr>
          <w:i/>
          <w:szCs w:val="20"/>
        </w:rPr>
      </w:pPr>
      <w:r>
        <w:rPr>
          <w:i/>
          <w:szCs w:val="20"/>
        </w:rPr>
        <w:t xml:space="preserve">      </w:t>
      </w:r>
      <w:r w:rsidR="00C02B5C">
        <w:rPr>
          <w:i/>
          <w:szCs w:val="20"/>
        </w:rPr>
        <w:t>A</w:t>
      </w:r>
      <w:r w:rsidR="002B2571" w:rsidRPr="00C02B5C">
        <w:rPr>
          <w:i/>
          <w:szCs w:val="20"/>
        </w:rPr>
        <w:t>spectos relacionados con la administración del Fondo de desarrollo comunitario</w:t>
      </w:r>
    </w:p>
    <w:p w:rsidR="00B23B98" w:rsidRDefault="00B23B98" w:rsidP="00107370">
      <w:pPr>
        <w:rPr>
          <w:b/>
          <w:caps/>
          <w:szCs w:val="20"/>
        </w:rPr>
      </w:pPr>
    </w:p>
    <w:p w:rsidR="00B23B98" w:rsidRPr="00FA2E8F" w:rsidRDefault="00946B0C" w:rsidP="00BA1828">
      <w:pPr>
        <w:pStyle w:val="ListParagraph"/>
        <w:numPr>
          <w:ilvl w:val="0"/>
          <w:numId w:val="5"/>
        </w:numPr>
        <w:tabs>
          <w:tab w:val="left" w:pos="426"/>
          <w:tab w:val="left" w:pos="709"/>
        </w:tabs>
        <w:ind w:left="0" w:firstLine="0"/>
        <w:rPr>
          <w:szCs w:val="20"/>
        </w:rPr>
      </w:pPr>
      <w:r>
        <w:rPr>
          <w:szCs w:val="20"/>
        </w:rPr>
        <w:t xml:space="preserve">En </w:t>
      </w:r>
      <w:r w:rsidRPr="00BA1828">
        <w:t>casos</w:t>
      </w:r>
      <w:r>
        <w:rPr>
          <w:szCs w:val="20"/>
        </w:rPr>
        <w:t xml:space="preserve"> anteriores, por primera vez en el </w:t>
      </w:r>
      <w:r w:rsidRPr="006C1DF9">
        <w:rPr>
          <w:i/>
          <w:szCs w:val="20"/>
        </w:rPr>
        <w:t>Caso Comunidad Indígena Yakye Axa Vs. Par</w:t>
      </w:r>
      <w:r w:rsidR="001C2757" w:rsidRPr="006C1DF9">
        <w:rPr>
          <w:i/>
          <w:szCs w:val="20"/>
        </w:rPr>
        <w:t>aguay</w:t>
      </w:r>
      <w:r w:rsidR="001C2757">
        <w:rPr>
          <w:szCs w:val="20"/>
        </w:rPr>
        <w:t>, la Corte</w:t>
      </w:r>
      <w:r w:rsidR="00845E71">
        <w:rPr>
          <w:szCs w:val="20"/>
        </w:rPr>
        <w:t xml:space="preserve"> </w:t>
      </w:r>
      <w:r w:rsidR="001C2757">
        <w:rPr>
          <w:szCs w:val="20"/>
        </w:rPr>
        <w:t>ordenó</w:t>
      </w:r>
      <w:r w:rsidR="00845E71">
        <w:rPr>
          <w:szCs w:val="20"/>
        </w:rPr>
        <w:t>, conjuntamente con la creación de un Fondo de desarrollo comunitario,</w:t>
      </w:r>
      <w:r w:rsidR="001C2757">
        <w:rPr>
          <w:szCs w:val="20"/>
        </w:rPr>
        <w:t xml:space="preserve"> el establecimiento de un </w:t>
      </w:r>
      <w:r w:rsidR="00FA2E8F">
        <w:rPr>
          <w:szCs w:val="20"/>
        </w:rPr>
        <w:t>“c</w:t>
      </w:r>
      <w:r w:rsidR="001C2757">
        <w:rPr>
          <w:szCs w:val="20"/>
        </w:rPr>
        <w:t>omité</w:t>
      </w:r>
      <w:r w:rsidR="00FA2E8F">
        <w:rPr>
          <w:szCs w:val="20"/>
        </w:rPr>
        <w:t xml:space="preserve"> de implementación” el cual determinaría “[l]</w:t>
      </w:r>
      <w:r w:rsidR="006C1DF9" w:rsidRPr="00FA2187">
        <w:t xml:space="preserve">os elementos específicos de dichos proyectos </w:t>
      </w:r>
      <w:r w:rsidR="00FA2E8F">
        <w:t>[</w:t>
      </w:r>
      <w:r w:rsidR="00FA2E8F" w:rsidRPr="00FA2187">
        <w:t>educacionales, habitacionales, agrícolas y de salud en beneficio de los miembros de la Comunidad</w:t>
      </w:r>
      <w:r w:rsidR="00FA2E8F">
        <w:t>]</w:t>
      </w:r>
      <w:r w:rsidR="00845E71">
        <w:t>”</w:t>
      </w:r>
      <w:r w:rsidR="00FA2E8F">
        <w:t xml:space="preserve">. </w:t>
      </w:r>
      <w:r w:rsidR="00845E71">
        <w:t xml:space="preserve">Dicho </w:t>
      </w:r>
      <w:r w:rsidR="006C1DF9" w:rsidRPr="006531B6">
        <w:t>comité contar</w:t>
      </w:r>
      <w:r w:rsidR="00FA2E8F">
        <w:t>ía</w:t>
      </w:r>
      <w:r w:rsidR="006C1DF9" w:rsidRPr="006531B6">
        <w:t xml:space="preserve"> con un representante designado por las víctimas</w:t>
      </w:r>
      <w:r w:rsidR="00FA2E8F">
        <w:t>,</w:t>
      </w:r>
      <w:r w:rsidR="006C1DF9" w:rsidRPr="006531B6">
        <w:t xml:space="preserve"> otro por el Estado</w:t>
      </w:r>
      <w:r w:rsidR="00FA2E8F">
        <w:t>, y un</w:t>
      </w:r>
      <w:r w:rsidR="006C1DF9" w:rsidRPr="006531B6">
        <w:t xml:space="preserve"> </w:t>
      </w:r>
      <w:r w:rsidR="00FA2E8F">
        <w:t>“</w:t>
      </w:r>
      <w:r w:rsidR="006C1DF9" w:rsidRPr="006531B6">
        <w:t>tercer miembro designado de común acuerdo entre las víctimas y el Estado</w:t>
      </w:r>
      <w:r w:rsidR="006C1DF9">
        <w:t>”</w:t>
      </w:r>
      <w:r w:rsidR="001C2757">
        <w:rPr>
          <w:rStyle w:val="FootnoteReference"/>
          <w:szCs w:val="20"/>
        </w:rPr>
        <w:footnoteReference w:id="46"/>
      </w:r>
      <w:r w:rsidR="001C2757" w:rsidRPr="00FA2E8F">
        <w:rPr>
          <w:szCs w:val="20"/>
        </w:rPr>
        <w:t>.</w:t>
      </w:r>
    </w:p>
    <w:p w:rsidR="001C2757" w:rsidRDefault="001C2757" w:rsidP="00107370">
      <w:pPr>
        <w:pStyle w:val="ListParagraph"/>
        <w:tabs>
          <w:tab w:val="left" w:pos="426"/>
          <w:tab w:val="left" w:pos="709"/>
        </w:tabs>
        <w:ind w:left="0"/>
        <w:rPr>
          <w:szCs w:val="20"/>
        </w:rPr>
      </w:pPr>
    </w:p>
    <w:p w:rsidR="00F13DC7" w:rsidRPr="00845E71" w:rsidRDefault="001C2757" w:rsidP="00BA1828">
      <w:pPr>
        <w:pStyle w:val="ListParagraph"/>
        <w:numPr>
          <w:ilvl w:val="0"/>
          <w:numId w:val="5"/>
        </w:numPr>
        <w:tabs>
          <w:tab w:val="left" w:pos="426"/>
          <w:tab w:val="left" w:pos="709"/>
        </w:tabs>
        <w:ind w:left="0" w:firstLine="0"/>
        <w:rPr>
          <w:szCs w:val="20"/>
        </w:rPr>
      </w:pPr>
      <w:r>
        <w:rPr>
          <w:szCs w:val="20"/>
        </w:rPr>
        <w:t>En el pre</w:t>
      </w:r>
      <w:r w:rsidR="00D1127E">
        <w:rPr>
          <w:szCs w:val="20"/>
        </w:rPr>
        <w:t>sente caso, la Corte ordenó que</w:t>
      </w:r>
      <w:r>
        <w:rPr>
          <w:szCs w:val="20"/>
        </w:rPr>
        <w:t xml:space="preserve"> </w:t>
      </w:r>
      <w:r w:rsidR="00845E71">
        <w:rPr>
          <w:szCs w:val="20"/>
        </w:rPr>
        <w:t>e</w:t>
      </w:r>
      <w:r w:rsidR="00D1127E" w:rsidRPr="00A57630">
        <w:rPr>
          <w:szCs w:val="20"/>
        </w:rPr>
        <w:t xml:space="preserve">l Estado deberá </w:t>
      </w:r>
      <w:r w:rsidR="00845E71">
        <w:rPr>
          <w:szCs w:val="20"/>
        </w:rPr>
        <w:t>“</w:t>
      </w:r>
      <w:r w:rsidR="00D1127E" w:rsidRPr="00A57630">
        <w:rPr>
          <w:szCs w:val="20"/>
        </w:rPr>
        <w:t>nombrar una autoridad con competencia en la materia, a cargo de la administración</w:t>
      </w:r>
      <w:r w:rsidR="00845E71">
        <w:rPr>
          <w:szCs w:val="20"/>
        </w:rPr>
        <w:t>” del Fondo</w:t>
      </w:r>
      <w:r w:rsidR="002F3385">
        <w:rPr>
          <w:szCs w:val="20"/>
        </w:rPr>
        <w:t xml:space="preserve"> de desarrollo comunitario</w:t>
      </w:r>
      <w:r w:rsidR="00D1127E" w:rsidRPr="00A57630">
        <w:rPr>
          <w:szCs w:val="20"/>
        </w:rPr>
        <w:t xml:space="preserve">. Por su parte, la Comunidad Triunfo de la Cruz </w:t>
      </w:r>
      <w:r w:rsidR="00845E71">
        <w:rPr>
          <w:szCs w:val="20"/>
        </w:rPr>
        <w:t>“</w:t>
      </w:r>
      <w:r w:rsidR="00D1127E" w:rsidRPr="00A57630">
        <w:rPr>
          <w:szCs w:val="20"/>
        </w:rPr>
        <w:t>deberá nombrar una representación para la interlocución con el Estado</w:t>
      </w:r>
      <w:r w:rsidR="00845E71">
        <w:rPr>
          <w:szCs w:val="20"/>
        </w:rPr>
        <w:t>”</w:t>
      </w:r>
      <w:r>
        <w:rPr>
          <w:rStyle w:val="FootnoteReference"/>
          <w:szCs w:val="20"/>
        </w:rPr>
        <w:footnoteReference w:id="47"/>
      </w:r>
      <w:r w:rsidR="00F13DC7">
        <w:rPr>
          <w:szCs w:val="20"/>
        </w:rPr>
        <w:t>.</w:t>
      </w:r>
      <w:r w:rsidR="00845E71">
        <w:rPr>
          <w:szCs w:val="20"/>
        </w:rPr>
        <w:t xml:space="preserve"> </w:t>
      </w:r>
      <w:r w:rsidR="009372B0">
        <w:rPr>
          <w:szCs w:val="20"/>
        </w:rPr>
        <w:t>Aunque</w:t>
      </w:r>
      <w:r w:rsidR="00F13DC7" w:rsidRPr="00845E71">
        <w:rPr>
          <w:szCs w:val="20"/>
        </w:rPr>
        <w:t xml:space="preserve"> la importancia de la reparación colectiva en casos de pueblos inígenas o tribales</w:t>
      </w:r>
      <w:r w:rsidR="009372B0">
        <w:rPr>
          <w:szCs w:val="20"/>
        </w:rPr>
        <w:t xml:space="preserve"> ha sido señalad</w:t>
      </w:r>
      <w:r w:rsidR="002651E8">
        <w:rPr>
          <w:szCs w:val="20"/>
        </w:rPr>
        <w:t>a</w:t>
      </w:r>
      <w:r w:rsidR="00F13DC7" w:rsidRPr="00845E71">
        <w:rPr>
          <w:szCs w:val="20"/>
        </w:rPr>
        <w:t xml:space="preserve">, </w:t>
      </w:r>
      <w:r w:rsidR="009372B0">
        <w:rPr>
          <w:szCs w:val="20"/>
        </w:rPr>
        <w:t xml:space="preserve">la utilidad de esa medida de reparación </w:t>
      </w:r>
      <w:r w:rsidR="00F13DC7" w:rsidRPr="00845E71">
        <w:rPr>
          <w:szCs w:val="20"/>
        </w:rPr>
        <w:t xml:space="preserve">depende de su efectiva implementación. Eso requiere una comunicación </w:t>
      </w:r>
      <w:r w:rsidR="009372B0">
        <w:rPr>
          <w:szCs w:val="20"/>
        </w:rPr>
        <w:t>cont</w:t>
      </w:r>
      <w:r w:rsidR="002651E8">
        <w:rPr>
          <w:szCs w:val="20"/>
        </w:rPr>
        <w:t>i</w:t>
      </w:r>
      <w:r w:rsidR="009372B0">
        <w:rPr>
          <w:szCs w:val="20"/>
        </w:rPr>
        <w:t xml:space="preserve">nua y transparente </w:t>
      </w:r>
      <w:r w:rsidR="00F13DC7" w:rsidRPr="00845E71">
        <w:rPr>
          <w:szCs w:val="20"/>
        </w:rPr>
        <w:t xml:space="preserve">entre el Estado y </w:t>
      </w:r>
      <w:r w:rsidR="009372B0">
        <w:rPr>
          <w:szCs w:val="20"/>
        </w:rPr>
        <w:t xml:space="preserve">los </w:t>
      </w:r>
      <w:r w:rsidR="00F13DC7" w:rsidRPr="00845E71">
        <w:rPr>
          <w:szCs w:val="20"/>
        </w:rPr>
        <w:t xml:space="preserve">representantes de la Comunidad, </w:t>
      </w:r>
      <w:r w:rsidR="004128AB">
        <w:rPr>
          <w:szCs w:val="20"/>
        </w:rPr>
        <w:t xml:space="preserve">y también que </w:t>
      </w:r>
      <w:r w:rsidR="009372B0">
        <w:rPr>
          <w:szCs w:val="20"/>
        </w:rPr>
        <w:t>ambas partes brind</w:t>
      </w:r>
      <w:r w:rsidR="002651E8">
        <w:rPr>
          <w:szCs w:val="20"/>
        </w:rPr>
        <w:t>e</w:t>
      </w:r>
      <w:r w:rsidR="009372B0">
        <w:rPr>
          <w:szCs w:val="20"/>
        </w:rPr>
        <w:t xml:space="preserve">n suficiente información respecto de </w:t>
      </w:r>
      <w:r w:rsidR="00F13DC7" w:rsidRPr="00845E71">
        <w:rPr>
          <w:szCs w:val="20"/>
        </w:rPr>
        <w:t>las actividades realizadas para la implementación</w:t>
      </w:r>
      <w:r w:rsidR="009372B0">
        <w:rPr>
          <w:szCs w:val="20"/>
        </w:rPr>
        <w:t xml:space="preserve"> del Fondo y los planes de inversión y desarrollo que se ejecutan en el marco del mismo</w:t>
      </w:r>
      <w:r w:rsidR="00F13DC7" w:rsidRPr="00845E71">
        <w:rPr>
          <w:szCs w:val="20"/>
        </w:rPr>
        <w:t>.</w:t>
      </w:r>
    </w:p>
    <w:p w:rsidR="00F13DC7" w:rsidRPr="00F13DC7" w:rsidRDefault="00F13DC7" w:rsidP="00107370">
      <w:pPr>
        <w:pStyle w:val="ListParagraph"/>
        <w:rPr>
          <w:szCs w:val="20"/>
        </w:rPr>
      </w:pPr>
    </w:p>
    <w:p w:rsidR="00F13DC7" w:rsidRDefault="00F13DC7" w:rsidP="00BA1828">
      <w:pPr>
        <w:pStyle w:val="ListParagraph"/>
        <w:numPr>
          <w:ilvl w:val="0"/>
          <w:numId w:val="5"/>
        </w:numPr>
        <w:tabs>
          <w:tab w:val="left" w:pos="426"/>
          <w:tab w:val="left" w:pos="709"/>
        </w:tabs>
        <w:ind w:left="0" w:firstLine="0"/>
        <w:rPr>
          <w:szCs w:val="20"/>
        </w:rPr>
      </w:pPr>
      <w:r>
        <w:rPr>
          <w:szCs w:val="20"/>
        </w:rPr>
        <w:t xml:space="preserve">Para </w:t>
      </w:r>
      <w:r w:rsidR="006A6D5C">
        <w:rPr>
          <w:szCs w:val="20"/>
        </w:rPr>
        <w:t>dich</w:t>
      </w:r>
      <w:r>
        <w:rPr>
          <w:szCs w:val="20"/>
        </w:rPr>
        <w:t xml:space="preserve">a implementación es importante </w:t>
      </w:r>
      <w:r w:rsidR="006A6D5C">
        <w:rPr>
          <w:szCs w:val="20"/>
        </w:rPr>
        <w:t>que se ha</w:t>
      </w:r>
      <w:r w:rsidR="005B5109">
        <w:rPr>
          <w:szCs w:val="20"/>
        </w:rPr>
        <w:t>ga</w:t>
      </w:r>
      <w:r w:rsidR="006A6D5C">
        <w:rPr>
          <w:szCs w:val="20"/>
        </w:rPr>
        <w:t xml:space="preserve"> uso efectivo de</w:t>
      </w:r>
      <w:r>
        <w:rPr>
          <w:szCs w:val="20"/>
        </w:rPr>
        <w:t xml:space="preserve"> la infraestructura, el conocimiento y los medios que tiene el Estado </w:t>
      </w:r>
      <w:r w:rsidR="006A6D5C">
        <w:rPr>
          <w:szCs w:val="20"/>
        </w:rPr>
        <w:t xml:space="preserve">a su disposición. Esto facilita la </w:t>
      </w:r>
      <w:r>
        <w:rPr>
          <w:szCs w:val="20"/>
        </w:rPr>
        <w:t>agiliza</w:t>
      </w:r>
      <w:r w:rsidR="006A6D5C">
        <w:rPr>
          <w:szCs w:val="20"/>
        </w:rPr>
        <w:t xml:space="preserve">ción </w:t>
      </w:r>
      <w:r>
        <w:rPr>
          <w:szCs w:val="20"/>
        </w:rPr>
        <w:t>y coordina</w:t>
      </w:r>
      <w:r w:rsidR="006A6D5C">
        <w:rPr>
          <w:szCs w:val="20"/>
        </w:rPr>
        <w:t>ción</w:t>
      </w:r>
      <w:r>
        <w:rPr>
          <w:szCs w:val="20"/>
        </w:rPr>
        <w:t xml:space="preserve"> </w:t>
      </w:r>
      <w:r w:rsidR="006A6D5C">
        <w:rPr>
          <w:szCs w:val="20"/>
        </w:rPr>
        <w:t xml:space="preserve">necesaria para </w:t>
      </w:r>
      <w:r>
        <w:rPr>
          <w:szCs w:val="20"/>
        </w:rPr>
        <w:t xml:space="preserve">la creación del Fondo y </w:t>
      </w:r>
      <w:r w:rsidR="006A6D5C">
        <w:rPr>
          <w:szCs w:val="20"/>
        </w:rPr>
        <w:t xml:space="preserve">para la </w:t>
      </w:r>
      <w:r>
        <w:rPr>
          <w:szCs w:val="20"/>
        </w:rPr>
        <w:t>implementación</w:t>
      </w:r>
      <w:r w:rsidR="006A6D5C">
        <w:rPr>
          <w:szCs w:val="20"/>
        </w:rPr>
        <w:t xml:space="preserve"> de los proyectos</w:t>
      </w:r>
      <w:r>
        <w:rPr>
          <w:szCs w:val="20"/>
        </w:rPr>
        <w:t xml:space="preserve">. </w:t>
      </w:r>
      <w:r w:rsidR="006A6D5C">
        <w:rPr>
          <w:szCs w:val="20"/>
        </w:rPr>
        <w:t>En este sentido</w:t>
      </w:r>
      <w:r w:rsidR="00A02385">
        <w:rPr>
          <w:szCs w:val="20"/>
        </w:rPr>
        <w:t xml:space="preserve">, </w:t>
      </w:r>
      <w:r w:rsidR="006A6D5C">
        <w:rPr>
          <w:szCs w:val="20"/>
        </w:rPr>
        <w:t xml:space="preserve">el </w:t>
      </w:r>
      <w:r w:rsidR="00A02385">
        <w:rPr>
          <w:szCs w:val="20"/>
        </w:rPr>
        <w:t xml:space="preserve">Fondo </w:t>
      </w:r>
      <w:r w:rsidR="006A6D5C">
        <w:rPr>
          <w:szCs w:val="20"/>
        </w:rPr>
        <w:t xml:space="preserve">de desarrollo comunitario </w:t>
      </w:r>
      <w:r w:rsidR="00A02385">
        <w:rPr>
          <w:szCs w:val="20"/>
        </w:rPr>
        <w:t>es una figura que aprovecha el aparat</w:t>
      </w:r>
      <w:r w:rsidR="006A6D5C">
        <w:rPr>
          <w:szCs w:val="20"/>
        </w:rPr>
        <w:t>a</w:t>
      </w:r>
      <w:r w:rsidR="00A02385">
        <w:rPr>
          <w:szCs w:val="20"/>
        </w:rPr>
        <w:t>je estatal</w:t>
      </w:r>
      <w:r w:rsidR="006A6D5C">
        <w:rPr>
          <w:szCs w:val="20"/>
        </w:rPr>
        <w:t xml:space="preserve"> y su </w:t>
      </w:r>
      <w:r w:rsidR="00A02385">
        <w:rPr>
          <w:szCs w:val="20"/>
        </w:rPr>
        <w:t>eficacia, eficiencia y economía.</w:t>
      </w:r>
    </w:p>
    <w:p w:rsidR="00F13DC7" w:rsidRPr="00F13DC7" w:rsidRDefault="00F13DC7" w:rsidP="00107370">
      <w:pPr>
        <w:pStyle w:val="ListParagraph"/>
        <w:rPr>
          <w:szCs w:val="20"/>
        </w:rPr>
      </w:pPr>
    </w:p>
    <w:p w:rsidR="00F13DC7" w:rsidRPr="00BD05DA" w:rsidRDefault="00F13DC7" w:rsidP="00BA1828">
      <w:pPr>
        <w:pStyle w:val="ListParagraph"/>
        <w:numPr>
          <w:ilvl w:val="0"/>
          <w:numId w:val="5"/>
        </w:numPr>
        <w:tabs>
          <w:tab w:val="left" w:pos="426"/>
          <w:tab w:val="left" w:pos="709"/>
        </w:tabs>
        <w:ind w:left="0" w:firstLine="0"/>
        <w:rPr>
          <w:szCs w:val="20"/>
        </w:rPr>
      </w:pPr>
      <w:r>
        <w:rPr>
          <w:szCs w:val="20"/>
        </w:rPr>
        <w:t xml:space="preserve">Dicho lo </w:t>
      </w:r>
      <w:r w:rsidR="00BD05DA">
        <w:rPr>
          <w:szCs w:val="20"/>
        </w:rPr>
        <w:t xml:space="preserve">anterior, es importante señalar </w:t>
      </w:r>
      <w:r w:rsidRPr="00BD05DA">
        <w:rPr>
          <w:szCs w:val="20"/>
        </w:rPr>
        <w:t>que es la Comunidad qu</w:t>
      </w:r>
      <w:r w:rsidR="004A4A7F">
        <w:rPr>
          <w:szCs w:val="20"/>
        </w:rPr>
        <w:t>i</w:t>
      </w:r>
      <w:r w:rsidRPr="00BD05DA">
        <w:rPr>
          <w:szCs w:val="20"/>
        </w:rPr>
        <w:t>e</w:t>
      </w:r>
      <w:r w:rsidR="004A4A7F">
        <w:rPr>
          <w:szCs w:val="20"/>
        </w:rPr>
        <w:t>n</w:t>
      </w:r>
      <w:r w:rsidRPr="00BD05DA">
        <w:rPr>
          <w:szCs w:val="20"/>
        </w:rPr>
        <w:t xml:space="preserve"> tiene que decidir sobre su propio desarrollo. E</w:t>
      </w:r>
      <w:r w:rsidR="00B15926" w:rsidRPr="00BD05DA">
        <w:rPr>
          <w:szCs w:val="20"/>
        </w:rPr>
        <w:t>n</w:t>
      </w:r>
      <w:r w:rsidRPr="00BD05DA">
        <w:rPr>
          <w:szCs w:val="20"/>
        </w:rPr>
        <w:t xml:space="preserve"> la Sentencia se </w:t>
      </w:r>
      <w:r w:rsidR="0058740C" w:rsidRPr="00BD05DA">
        <w:rPr>
          <w:szCs w:val="20"/>
        </w:rPr>
        <w:t>establece</w:t>
      </w:r>
      <w:r w:rsidRPr="00BD05DA">
        <w:rPr>
          <w:szCs w:val="20"/>
        </w:rPr>
        <w:t xml:space="preserve"> que el Fondo es primeramente para</w:t>
      </w:r>
      <w:r w:rsidR="004A4A7F">
        <w:rPr>
          <w:szCs w:val="20"/>
        </w:rPr>
        <w:t>:</w:t>
      </w:r>
      <w:r w:rsidRPr="00BD05DA">
        <w:rPr>
          <w:szCs w:val="20"/>
        </w:rPr>
        <w:t xml:space="preserve"> </w:t>
      </w:r>
      <w:r w:rsidR="00B15926" w:rsidRPr="00BD05DA">
        <w:rPr>
          <w:szCs w:val="20"/>
        </w:rPr>
        <w:t>“i) desarrollar proyectos orientados a aumentar la productividad agrícola o de otra índole en la Comunidad; ii) mejorar la infraestructura de la Comunidad de acuerdo con sus necesidades presentes y futuras; iii) restaurar las áreas deforestadas, y iv) otros que consideren pertinentes en beneficio de la Comunidad Triunfo de la Cruz</w:t>
      </w:r>
      <w:r w:rsidR="00EA30BD" w:rsidRPr="00BD05DA">
        <w:rPr>
          <w:szCs w:val="20"/>
        </w:rPr>
        <w:t>”</w:t>
      </w:r>
      <w:r>
        <w:rPr>
          <w:rStyle w:val="FootnoteReference"/>
          <w:szCs w:val="20"/>
        </w:rPr>
        <w:footnoteReference w:id="48"/>
      </w:r>
      <w:r w:rsidRPr="00BD05DA">
        <w:rPr>
          <w:szCs w:val="20"/>
        </w:rPr>
        <w:t xml:space="preserve">. </w:t>
      </w:r>
    </w:p>
    <w:p w:rsidR="00F13DC7" w:rsidRPr="00F13DC7" w:rsidRDefault="00F13DC7" w:rsidP="00107370">
      <w:pPr>
        <w:pStyle w:val="ListParagraph"/>
        <w:rPr>
          <w:szCs w:val="20"/>
        </w:rPr>
      </w:pPr>
    </w:p>
    <w:p w:rsidR="00BE3763" w:rsidRPr="00BE3763" w:rsidRDefault="0058740C" w:rsidP="00BA1828">
      <w:pPr>
        <w:pStyle w:val="ListParagraph"/>
        <w:numPr>
          <w:ilvl w:val="0"/>
          <w:numId w:val="5"/>
        </w:numPr>
        <w:tabs>
          <w:tab w:val="left" w:pos="426"/>
          <w:tab w:val="left" w:pos="709"/>
        </w:tabs>
        <w:ind w:left="0" w:firstLine="0"/>
        <w:rPr>
          <w:rFonts w:cs="Times New Roman"/>
          <w:noProof w:val="0"/>
          <w:szCs w:val="20"/>
          <w:lang w:val="es-CL" w:eastAsia="es-MX"/>
        </w:rPr>
      </w:pPr>
      <w:r>
        <w:rPr>
          <w:szCs w:val="20"/>
        </w:rPr>
        <w:lastRenderedPageBreak/>
        <w:t>Al respecto</w:t>
      </w:r>
      <w:r w:rsidR="00A66D9B" w:rsidRPr="00BE3763">
        <w:rPr>
          <w:szCs w:val="20"/>
        </w:rPr>
        <w:t xml:space="preserve">, </w:t>
      </w:r>
      <w:r w:rsidR="00996642">
        <w:rPr>
          <w:szCs w:val="20"/>
        </w:rPr>
        <w:t>es importante señal</w:t>
      </w:r>
      <w:r w:rsidR="00F13DC7" w:rsidRPr="00BE3763">
        <w:rPr>
          <w:szCs w:val="20"/>
        </w:rPr>
        <w:t xml:space="preserve">ar que el Convenio 169 de la OIT </w:t>
      </w:r>
      <w:r w:rsidR="00BE3763" w:rsidRPr="00892B10">
        <w:rPr>
          <w:szCs w:val="20"/>
        </w:rPr>
        <w:t>reconoce las aspiraciones de los Pueblos indígenas a “</w:t>
      </w:r>
      <w:r w:rsidR="00BE3763" w:rsidRPr="00892B10">
        <w:rPr>
          <w:rFonts w:cs="Times New Roman"/>
          <w:noProof w:val="0"/>
          <w:szCs w:val="20"/>
          <w:lang w:val="es-ES" w:eastAsia="es-MX"/>
        </w:rPr>
        <w:t>asumir el control de sus propias instituciones y formas de vida y de su desarrollo económico y a mantener y fortalecer sus identidades, lenguas y religiones, dentro del marco de los Estados en que viven”</w:t>
      </w:r>
      <w:r w:rsidR="00BE3763" w:rsidRPr="00892B10">
        <w:rPr>
          <w:rFonts w:cs="Times New Roman"/>
          <w:noProof w:val="0"/>
          <w:szCs w:val="20"/>
          <w:vertAlign w:val="superscript"/>
          <w:lang w:val="es-ES" w:eastAsia="es-MX"/>
        </w:rPr>
        <w:footnoteReference w:id="49"/>
      </w:r>
      <w:r w:rsidR="00BE3763">
        <w:rPr>
          <w:rFonts w:cs="Times New Roman"/>
          <w:noProof w:val="0"/>
          <w:szCs w:val="20"/>
          <w:lang w:val="es-ES" w:eastAsia="es-MX"/>
        </w:rPr>
        <w:t xml:space="preserve"> </w:t>
      </w:r>
      <w:r w:rsidR="00F13DC7" w:rsidRPr="00BE3763">
        <w:rPr>
          <w:szCs w:val="20"/>
        </w:rPr>
        <w:t xml:space="preserve">y que </w:t>
      </w:r>
      <w:r w:rsidR="008E64BE">
        <w:rPr>
          <w:szCs w:val="20"/>
        </w:rPr>
        <w:t xml:space="preserve">el Pacto Internacional de Derechos Civiles y Políticos, el Pacto Internacional de Derechos Económicos, Sociales y Culturales, así como </w:t>
      </w:r>
      <w:r w:rsidR="00F13DC7" w:rsidRPr="00BE3763">
        <w:rPr>
          <w:szCs w:val="20"/>
        </w:rPr>
        <w:t xml:space="preserve">la Declaración de las Naciones Unidas sobre los Derechos de los Pueblos Indígenas </w:t>
      </w:r>
      <w:r w:rsidR="00892B10" w:rsidRPr="005F2CAB">
        <w:t>contempla</w:t>
      </w:r>
      <w:r w:rsidR="008E64BE">
        <w:t>n</w:t>
      </w:r>
      <w:r w:rsidR="00892B10" w:rsidRPr="005F2CAB">
        <w:t xml:space="preserve"> el derecho de </w:t>
      </w:r>
      <w:r w:rsidR="008E64BE">
        <w:t>l</w:t>
      </w:r>
      <w:r w:rsidR="00892B10" w:rsidRPr="005F2CAB">
        <w:t>os Pueblos a perseguir libremente su desarrollo económico, social y cultural</w:t>
      </w:r>
      <w:r w:rsidR="00F13DC7">
        <w:rPr>
          <w:rStyle w:val="FootnoteReference"/>
          <w:szCs w:val="20"/>
        </w:rPr>
        <w:footnoteReference w:id="50"/>
      </w:r>
      <w:r w:rsidR="00F13DC7" w:rsidRPr="00BE3763">
        <w:rPr>
          <w:szCs w:val="20"/>
        </w:rPr>
        <w:t xml:space="preserve">. </w:t>
      </w:r>
    </w:p>
    <w:p w:rsidR="00BE3763" w:rsidRPr="00A10527" w:rsidRDefault="00A10527" w:rsidP="00A10527">
      <w:pPr>
        <w:rPr>
          <w:szCs w:val="20"/>
        </w:rPr>
      </w:pPr>
      <w:r>
        <w:rPr>
          <w:szCs w:val="20"/>
        </w:rPr>
        <w:t xml:space="preserve"> </w:t>
      </w:r>
    </w:p>
    <w:p w:rsidR="00892B10" w:rsidRPr="00B971FC" w:rsidRDefault="00F13DC7" w:rsidP="00BA1828">
      <w:pPr>
        <w:pStyle w:val="ListParagraph"/>
        <w:numPr>
          <w:ilvl w:val="0"/>
          <w:numId w:val="5"/>
        </w:numPr>
        <w:tabs>
          <w:tab w:val="left" w:pos="426"/>
          <w:tab w:val="left" w:pos="709"/>
        </w:tabs>
        <w:ind w:left="0" w:firstLine="0"/>
        <w:rPr>
          <w:rFonts w:cs="Times New Roman"/>
          <w:noProof w:val="0"/>
          <w:szCs w:val="20"/>
          <w:lang w:val="es-CL" w:eastAsia="es-MX"/>
        </w:rPr>
      </w:pPr>
      <w:r w:rsidRPr="00BE3763">
        <w:rPr>
          <w:szCs w:val="20"/>
        </w:rPr>
        <w:t>En el mismo sentido, la Corte ha establecido en casos anteriores que</w:t>
      </w:r>
      <w:r w:rsidR="00CB6D06">
        <w:rPr>
          <w:szCs w:val="20"/>
        </w:rPr>
        <w:t>, respecto del Fondo</w:t>
      </w:r>
      <w:r w:rsidR="00CB6D06" w:rsidRPr="00CB6D06">
        <w:rPr>
          <w:szCs w:val="20"/>
        </w:rPr>
        <w:t xml:space="preserve"> </w:t>
      </w:r>
      <w:r w:rsidR="00CB6D06">
        <w:rPr>
          <w:szCs w:val="20"/>
        </w:rPr>
        <w:t>“[l]</w:t>
      </w:r>
      <w:r w:rsidR="00CB6D06" w:rsidRPr="00CB6D06">
        <w:rPr>
          <w:szCs w:val="20"/>
        </w:rPr>
        <w:t xml:space="preserve">a forma en que el Estado lleve a cabo esta reparación le compete al propio Estado, siempre y cuando se respete el espíritu de la reparación que era </w:t>
      </w:r>
      <w:r w:rsidR="00CB6D06">
        <w:rPr>
          <w:szCs w:val="20"/>
        </w:rPr>
        <w:t>[…]</w:t>
      </w:r>
      <w:r w:rsidR="00CB6D06" w:rsidRPr="00CB6D06">
        <w:rPr>
          <w:szCs w:val="20"/>
        </w:rPr>
        <w:t xml:space="preserve"> permitir que la Comunidad a la que perteneció se beneficie con obras o proyectos de su propia elección sin que el Estado tenga injerencia en el destino que la Comunidad quiera dar a esos fondos</w:t>
      </w:r>
      <w:r w:rsidR="00CB6D06">
        <w:rPr>
          <w:szCs w:val="20"/>
        </w:rPr>
        <w:t>”</w:t>
      </w:r>
      <w:r>
        <w:rPr>
          <w:rStyle w:val="FootnoteReference"/>
          <w:szCs w:val="20"/>
        </w:rPr>
        <w:footnoteReference w:id="51"/>
      </w:r>
      <w:r w:rsidRPr="00BE3763">
        <w:rPr>
          <w:szCs w:val="20"/>
        </w:rPr>
        <w:t>.</w:t>
      </w:r>
    </w:p>
    <w:p w:rsidR="00F13DC7" w:rsidRPr="00F13DC7" w:rsidRDefault="00F13DC7" w:rsidP="00107370">
      <w:pPr>
        <w:pStyle w:val="ListParagraph"/>
        <w:rPr>
          <w:szCs w:val="20"/>
        </w:rPr>
      </w:pPr>
    </w:p>
    <w:p w:rsidR="00845E71" w:rsidRDefault="00F13DC7" w:rsidP="00BA1828">
      <w:pPr>
        <w:pStyle w:val="ListParagraph"/>
        <w:numPr>
          <w:ilvl w:val="0"/>
          <w:numId w:val="5"/>
        </w:numPr>
        <w:tabs>
          <w:tab w:val="left" w:pos="426"/>
          <w:tab w:val="left" w:pos="709"/>
        </w:tabs>
        <w:ind w:left="0" w:firstLine="0"/>
        <w:rPr>
          <w:szCs w:val="20"/>
        </w:rPr>
      </w:pPr>
      <w:r>
        <w:rPr>
          <w:szCs w:val="20"/>
        </w:rPr>
        <w:t>Por esto, es importante que la implementación del Fondo</w:t>
      </w:r>
      <w:r w:rsidR="00C57D0B">
        <w:rPr>
          <w:szCs w:val="20"/>
        </w:rPr>
        <w:t>,</w:t>
      </w:r>
      <w:r>
        <w:rPr>
          <w:szCs w:val="20"/>
        </w:rPr>
        <w:t xml:space="preserve"> </w:t>
      </w:r>
      <w:r w:rsidR="00A02385">
        <w:rPr>
          <w:szCs w:val="20"/>
        </w:rPr>
        <w:t>y cualq</w:t>
      </w:r>
      <w:r w:rsidR="00CE5541">
        <w:rPr>
          <w:szCs w:val="20"/>
        </w:rPr>
        <w:t>u</w:t>
      </w:r>
      <w:r w:rsidR="00A02385">
        <w:rPr>
          <w:szCs w:val="20"/>
        </w:rPr>
        <w:t>ier plan de in</w:t>
      </w:r>
      <w:r w:rsidR="00C57D0B">
        <w:rPr>
          <w:szCs w:val="20"/>
        </w:rPr>
        <w:t>v</w:t>
      </w:r>
      <w:r w:rsidR="00A02385">
        <w:rPr>
          <w:szCs w:val="20"/>
        </w:rPr>
        <w:t>ersión que se elabora</w:t>
      </w:r>
      <w:r w:rsidR="00C57D0B">
        <w:rPr>
          <w:szCs w:val="20"/>
        </w:rPr>
        <w:t>,</w:t>
      </w:r>
      <w:r w:rsidR="00A02385">
        <w:rPr>
          <w:szCs w:val="20"/>
        </w:rPr>
        <w:t xml:space="preserve"> </w:t>
      </w:r>
      <w:r>
        <w:rPr>
          <w:szCs w:val="20"/>
        </w:rPr>
        <w:t xml:space="preserve">sea consultado </w:t>
      </w:r>
      <w:r w:rsidR="00A02385">
        <w:rPr>
          <w:szCs w:val="20"/>
        </w:rPr>
        <w:t>y cuent</w:t>
      </w:r>
      <w:r w:rsidR="008124DF">
        <w:rPr>
          <w:szCs w:val="20"/>
        </w:rPr>
        <w:t>e</w:t>
      </w:r>
      <w:r w:rsidR="00A02385">
        <w:rPr>
          <w:szCs w:val="20"/>
        </w:rPr>
        <w:t xml:space="preserve"> con la participación efectiva de </w:t>
      </w:r>
      <w:r>
        <w:rPr>
          <w:szCs w:val="20"/>
        </w:rPr>
        <w:t>la Comunidad, tomando en cuenta los estándares internacionales de la consulta</w:t>
      </w:r>
      <w:r w:rsidR="00C57D0B">
        <w:rPr>
          <w:szCs w:val="20"/>
        </w:rPr>
        <w:t xml:space="preserve">. A saber, que dicha consulta </w:t>
      </w:r>
      <w:r>
        <w:rPr>
          <w:szCs w:val="20"/>
        </w:rPr>
        <w:t>deb</w:t>
      </w:r>
      <w:r w:rsidR="008124DF">
        <w:rPr>
          <w:szCs w:val="20"/>
        </w:rPr>
        <w:t>a</w:t>
      </w:r>
      <w:r>
        <w:rPr>
          <w:szCs w:val="20"/>
        </w:rPr>
        <w:t xml:space="preserve"> ser </w:t>
      </w:r>
      <w:r w:rsidR="005B23B7">
        <w:rPr>
          <w:szCs w:val="20"/>
        </w:rPr>
        <w:t xml:space="preserve">de </w:t>
      </w:r>
      <w:r w:rsidR="005B23B7" w:rsidRPr="00677BFA">
        <w:t>carácter previo, de buena fe, con la finalidad de llegar a un acuerdo, adecuada, accesible e informada</w:t>
      </w:r>
      <w:r w:rsidR="00CE5541">
        <w:rPr>
          <w:rStyle w:val="FootnoteReference"/>
          <w:szCs w:val="20"/>
        </w:rPr>
        <w:footnoteReference w:id="52"/>
      </w:r>
      <w:r>
        <w:rPr>
          <w:szCs w:val="20"/>
        </w:rPr>
        <w:t xml:space="preserve">. </w:t>
      </w:r>
    </w:p>
    <w:p w:rsidR="00845E71" w:rsidRPr="00845E71" w:rsidRDefault="00845E71" w:rsidP="00107370">
      <w:pPr>
        <w:pStyle w:val="ListParagraph"/>
        <w:rPr>
          <w:szCs w:val="20"/>
        </w:rPr>
      </w:pPr>
    </w:p>
    <w:p w:rsidR="00F13DC7" w:rsidRDefault="00C57D0B" w:rsidP="00BA1828">
      <w:pPr>
        <w:pStyle w:val="ListParagraph"/>
        <w:numPr>
          <w:ilvl w:val="0"/>
          <w:numId w:val="5"/>
        </w:numPr>
        <w:tabs>
          <w:tab w:val="left" w:pos="426"/>
          <w:tab w:val="left" w:pos="709"/>
        </w:tabs>
        <w:ind w:left="0" w:firstLine="0"/>
        <w:rPr>
          <w:szCs w:val="20"/>
        </w:rPr>
      </w:pPr>
      <w:r>
        <w:rPr>
          <w:szCs w:val="20"/>
        </w:rPr>
        <w:t xml:space="preserve">Lo anterior quedó plasmado en la Sentencia respecto de los </w:t>
      </w:r>
      <w:r w:rsidR="00CE5541">
        <w:rPr>
          <w:szCs w:val="20"/>
        </w:rPr>
        <w:t>proyectos de desarrollo</w:t>
      </w:r>
      <w:r>
        <w:rPr>
          <w:szCs w:val="20"/>
        </w:rPr>
        <w:t>, haciendo mención de que estos se darían</w:t>
      </w:r>
      <w:r w:rsidR="00CE5541">
        <w:rPr>
          <w:szCs w:val="20"/>
        </w:rPr>
        <w:t xml:space="preserve"> “</w:t>
      </w:r>
      <w:r w:rsidR="00CE5541" w:rsidRPr="00A57630">
        <w:rPr>
          <w:szCs w:val="20"/>
        </w:rPr>
        <w:t>conforme se acuerde con la Comunidad Triunfo de la Cruz</w:t>
      </w:r>
      <w:r w:rsidR="00CE5541">
        <w:rPr>
          <w:szCs w:val="20"/>
        </w:rPr>
        <w:t>” y que “</w:t>
      </w:r>
      <w:r w:rsidR="00CE5541" w:rsidRPr="00A57630">
        <w:rPr>
          <w:szCs w:val="20"/>
        </w:rPr>
        <w:t xml:space="preserve">la implementación del </w:t>
      </w:r>
      <w:r w:rsidR="00CE5541">
        <w:rPr>
          <w:szCs w:val="20"/>
        </w:rPr>
        <w:t>F</w:t>
      </w:r>
      <w:r w:rsidR="00CE5541" w:rsidRPr="00A57630">
        <w:rPr>
          <w:szCs w:val="20"/>
        </w:rPr>
        <w:t>ondo se realice conforme lo disponga la Comunidad</w:t>
      </w:r>
      <w:r w:rsidR="00CE5541">
        <w:rPr>
          <w:szCs w:val="20"/>
        </w:rPr>
        <w:t>”</w:t>
      </w:r>
      <w:r w:rsidR="00CE5541">
        <w:rPr>
          <w:rStyle w:val="FootnoteReference"/>
          <w:szCs w:val="20"/>
        </w:rPr>
        <w:footnoteReference w:id="53"/>
      </w:r>
      <w:r w:rsidR="00CE5541">
        <w:rPr>
          <w:szCs w:val="20"/>
        </w:rPr>
        <w:t xml:space="preserve">. </w:t>
      </w:r>
      <w:r>
        <w:rPr>
          <w:szCs w:val="20"/>
        </w:rPr>
        <w:t>E</w:t>
      </w:r>
      <w:r w:rsidR="00F13DC7">
        <w:rPr>
          <w:szCs w:val="20"/>
        </w:rPr>
        <w:t xml:space="preserve">s </w:t>
      </w:r>
      <w:r w:rsidR="004128AB">
        <w:rPr>
          <w:szCs w:val="20"/>
        </w:rPr>
        <w:t>importante</w:t>
      </w:r>
      <w:r w:rsidR="00F13DC7">
        <w:rPr>
          <w:szCs w:val="20"/>
        </w:rPr>
        <w:t xml:space="preserve"> que la implementación sea acorde a los costumbres de la Comunidad. </w:t>
      </w:r>
      <w:r w:rsidR="000E4383">
        <w:rPr>
          <w:szCs w:val="20"/>
        </w:rPr>
        <w:t xml:space="preserve">Si no, se desvirtuaría el propio sentido de esta forma de compensación colectiva como una medida de reparar el daño específico </w:t>
      </w:r>
      <w:r>
        <w:rPr>
          <w:szCs w:val="20"/>
        </w:rPr>
        <w:t>generado en perjuicio del Pueblo</w:t>
      </w:r>
      <w:r w:rsidR="00131E5B">
        <w:rPr>
          <w:szCs w:val="20"/>
        </w:rPr>
        <w:t xml:space="preserve"> indígena o tribal</w:t>
      </w:r>
      <w:r w:rsidR="000E4383">
        <w:rPr>
          <w:szCs w:val="20"/>
        </w:rPr>
        <w:t>.</w:t>
      </w:r>
    </w:p>
    <w:p w:rsidR="000E4383" w:rsidRPr="000E4383" w:rsidRDefault="000E4383" w:rsidP="00107370">
      <w:pPr>
        <w:pStyle w:val="ListParagraph"/>
        <w:rPr>
          <w:szCs w:val="20"/>
        </w:rPr>
      </w:pPr>
    </w:p>
    <w:p w:rsidR="00287D3E" w:rsidRDefault="00287D3E" w:rsidP="00107370">
      <w:pPr>
        <w:rPr>
          <w:b/>
          <w:caps/>
          <w:szCs w:val="20"/>
        </w:rPr>
      </w:pPr>
    </w:p>
    <w:p w:rsidR="00F31BDF" w:rsidRPr="00C72CE1" w:rsidRDefault="00F31BDF" w:rsidP="004B201D">
      <w:pPr>
        <w:pStyle w:val="ListParagraph"/>
        <w:numPr>
          <w:ilvl w:val="0"/>
          <w:numId w:val="3"/>
        </w:numPr>
        <w:tabs>
          <w:tab w:val="left" w:pos="709"/>
        </w:tabs>
        <w:rPr>
          <w:rFonts w:eastAsia="Calibri" w:cs="Times New Roman"/>
          <w:b/>
          <w:noProof w:val="0"/>
          <w:szCs w:val="20"/>
          <w:lang w:val="es-CR"/>
        </w:rPr>
      </w:pPr>
      <w:r w:rsidRPr="00C72CE1">
        <w:rPr>
          <w:rFonts w:eastAsia="Calibri" w:cs="Times New Roman"/>
          <w:b/>
          <w:noProof w:val="0"/>
          <w:szCs w:val="20"/>
          <w:lang w:val="es-CR"/>
        </w:rPr>
        <w:t>Los problemas de delimitación y “saneamiento</w:t>
      </w:r>
      <w:r w:rsidR="00D72915">
        <w:rPr>
          <w:rFonts w:eastAsia="Calibri" w:cs="Times New Roman"/>
          <w:b/>
          <w:noProof w:val="0"/>
          <w:szCs w:val="20"/>
          <w:lang w:val="es-CR"/>
        </w:rPr>
        <w:t>”</w:t>
      </w:r>
      <w:r w:rsidRPr="00C72CE1">
        <w:rPr>
          <w:rFonts w:eastAsia="Calibri" w:cs="Times New Roman"/>
          <w:b/>
          <w:noProof w:val="0"/>
          <w:szCs w:val="20"/>
          <w:lang w:val="es-CR"/>
        </w:rPr>
        <w:t xml:space="preserve"> de tierras </w:t>
      </w:r>
      <w:r w:rsidR="003C4156">
        <w:rPr>
          <w:rFonts w:eastAsia="Calibri" w:cs="Times New Roman"/>
          <w:b/>
          <w:noProof w:val="0"/>
          <w:szCs w:val="20"/>
          <w:lang w:val="es-CR"/>
        </w:rPr>
        <w:t xml:space="preserve">como </w:t>
      </w:r>
      <w:r w:rsidRPr="00C72CE1">
        <w:rPr>
          <w:rFonts w:eastAsia="Calibri" w:cs="Times New Roman"/>
          <w:b/>
          <w:noProof w:val="0"/>
          <w:szCs w:val="20"/>
          <w:lang w:val="es-CR"/>
        </w:rPr>
        <w:t>expresión de un</w:t>
      </w:r>
      <w:r w:rsidR="00D72915">
        <w:rPr>
          <w:rFonts w:eastAsia="Calibri" w:cs="Times New Roman"/>
          <w:b/>
          <w:noProof w:val="0"/>
          <w:szCs w:val="20"/>
          <w:lang w:val="es-CR"/>
        </w:rPr>
        <w:t>a situación</w:t>
      </w:r>
      <w:r w:rsidRPr="00C72CE1">
        <w:rPr>
          <w:rFonts w:eastAsia="Calibri" w:cs="Times New Roman"/>
          <w:b/>
          <w:noProof w:val="0"/>
          <w:szCs w:val="20"/>
          <w:lang w:val="es-CR"/>
        </w:rPr>
        <w:t xml:space="preserve"> social</w:t>
      </w:r>
    </w:p>
    <w:p w:rsidR="00F10D35" w:rsidRPr="0073269F" w:rsidRDefault="00F10D35" w:rsidP="0073269F">
      <w:pPr>
        <w:rPr>
          <w:rFonts w:eastAsia="Calibri" w:cs="Times New Roman"/>
          <w:b/>
          <w:noProof w:val="0"/>
          <w:szCs w:val="20"/>
          <w:lang w:val="es-CR"/>
        </w:rPr>
      </w:pPr>
    </w:p>
    <w:p w:rsidR="00E8341E" w:rsidRDefault="00B84500" w:rsidP="00BA1828">
      <w:pPr>
        <w:pStyle w:val="ListParagraph"/>
        <w:numPr>
          <w:ilvl w:val="0"/>
          <w:numId w:val="5"/>
        </w:numPr>
        <w:tabs>
          <w:tab w:val="left" w:pos="426"/>
          <w:tab w:val="left" w:pos="709"/>
        </w:tabs>
        <w:ind w:left="0" w:firstLine="0"/>
        <w:rPr>
          <w:rFonts w:cs="Times New Roman"/>
          <w:noProof w:val="0"/>
          <w:szCs w:val="20"/>
          <w:lang w:val="es-CL" w:eastAsia="es-MX"/>
        </w:rPr>
      </w:pPr>
      <w:r>
        <w:rPr>
          <w:rFonts w:cs="Times New Roman"/>
          <w:noProof w:val="0"/>
          <w:szCs w:val="20"/>
          <w:lang w:val="es-CL" w:eastAsia="es-MX"/>
        </w:rPr>
        <w:t xml:space="preserve">La mayoría de los casos que tratan de </w:t>
      </w:r>
      <w:r w:rsidR="00E8341E">
        <w:rPr>
          <w:rFonts w:cs="Times New Roman"/>
          <w:noProof w:val="0"/>
          <w:szCs w:val="20"/>
          <w:lang w:val="es-CL" w:eastAsia="es-MX"/>
        </w:rPr>
        <w:t xml:space="preserve">violaciones de derechos humanos cometidos en perjuicio de </w:t>
      </w:r>
      <w:r>
        <w:rPr>
          <w:rFonts w:cs="Times New Roman"/>
          <w:noProof w:val="0"/>
          <w:szCs w:val="20"/>
          <w:lang w:val="es-CL" w:eastAsia="es-MX"/>
        </w:rPr>
        <w:t xml:space="preserve">pueblos indígenas y tribales </w:t>
      </w:r>
      <w:r w:rsidR="00E8341E">
        <w:rPr>
          <w:rFonts w:cs="Times New Roman"/>
          <w:noProof w:val="0"/>
          <w:szCs w:val="20"/>
          <w:lang w:val="es-CL" w:eastAsia="es-MX"/>
        </w:rPr>
        <w:t xml:space="preserve">o sus miembros </w:t>
      </w:r>
      <w:r>
        <w:rPr>
          <w:rFonts w:cs="Times New Roman"/>
          <w:noProof w:val="0"/>
          <w:szCs w:val="20"/>
          <w:lang w:val="es-CL" w:eastAsia="es-MX"/>
        </w:rPr>
        <w:t xml:space="preserve">que han sido sometidos a </w:t>
      </w:r>
      <w:r w:rsidRPr="00BA1828">
        <w:rPr>
          <w:szCs w:val="20"/>
        </w:rPr>
        <w:t>la</w:t>
      </w:r>
      <w:r>
        <w:rPr>
          <w:rFonts w:cs="Times New Roman"/>
          <w:noProof w:val="0"/>
          <w:szCs w:val="20"/>
          <w:lang w:val="es-CL" w:eastAsia="es-MX"/>
        </w:rPr>
        <w:t xml:space="preserve"> jurisdicción de la Corte </w:t>
      </w:r>
      <w:r w:rsidR="00996EB8">
        <w:rPr>
          <w:rFonts w:cs="Times New Roman"/>
          <w:noProof w:val="0"/>
          <w:szCs w:val="20"/>
          <w:lang w:val="es-CL" w:eastAsia="es-MX"/>
        </w:rPr>
        <w:t>versan</w:t>
      </w:r>
      <w:r>
        <w:rPr>
          <w:rFonts w:cs="Times New Roman"/>
          <w:noProof w:val="0"/>
          <w:szCs w:val="20"/>
          <w:lang w:val="es-CL" w:eastAsia="es-MX"/>
        </w:rPr>
        <w:t>, entre otros, sobre la delimitación, demarcación, y titulación de tierras tradicionales</w:t>
      </w:r>
      <w:r>
        <w:rPr>
          <w:rStyle w:val="FootnoteReference"/>
          <w:rFonts w:cs="Times New Roman"/>
          <w:noProof w:val="0"/>
          <w:szCs w:val="20"/>
          <w:lang w:val="es-CL" w:eastAsia="es-MX"/>
        </w:rPr>
        <w:footnoteReference w:id="54"/>
      </w:r>
      <w:r>
        <w:rPr>
          <w:rFonts w:cs="Times New Roman"/>
          <w:noProof w:val="0"/>
          <w:szCs w:val="20"/>
          <w:lang w:val="es-CL" w:eastAsia="es-MX"/>
        </w:rPr>
        <w:t xml:space="preserve">. </w:t>
      </w:r>
      <w:r w:rsidR="00996EB8">
        <w:rPr>
          <w:rFonts w:cs="Times New Roman"/>
          <w:noProof w:val="0"/>
          <w:szCs w:val="20"/>
          <w:lang w:val="es-CL" w:eastAsia="es-MX"/>
        </w:rPr>
        <w:t xml:space="preserve">Del marco fáctico de varios de dichos casos surgen </w:t>
      </w:r>
      <w:r w:rsidR="00996EB8">
        <w:rPr>
          <w:rFonts w:cs="Times New Roman"/>
          <w:noProof w:val="0"/>
          <w:szCs w:val="20"/>
          <w:lang w:val="es-CL" w:eastAsia="es-MX"/>
        </w:rPr>
        <w:lastRenderedPageBreak/>
        <w:t>las circunstancias históricas que dieron lugar, al menos parcialmente, a la situación actual en que viven los referidos pueblos</w:t>
      </w:r>
      <w:r w:rsidR="00E8341E">
        <w:rPr>
          <w:rFonts w:cs="Times New Roman"/>
          <w:noProof w:val="0"/>
          <w:szCs w:val="20"/>
          <w:lang w:val="es-CL" w:eastAsia="es-MX"/>
        </w:rPr>
        <w:t>, incluyendo la inseguridad respecto del uso y la propiedad de sus tierras</w:t>
      </w:r>
      <w:r w:rsidR="00996EB8">
        <w:rPr>
          <w:rFonts w:cs="Times New Roman"/>
          <w:noProof w:val="0"/>
          <w:szCs w:val="20"/>
          <w:lang w:val="es-CL" w:eastAsia="es-MX"/>
        </w:rPr>
        <w:t xml:space="preserve">. </w:t>
      </w:r>
      <w:r w:rsidR="005823A9">
        <w:rPr>
          <w:rFonts w:cs="Times New Roman"/>
          <w:noProof w:val="0"/>
          <w:szCs w:val="20"/>
          <w:lang w:val="es-CL" w:eastAsia="es-MX"/>
        </w:rPr>
        <w:t>De esos marco</w:t>
      </w:r>
      <w:r w:rsidR="000339F9">
        <w:rPr>
          <w:rFonts w:cs="Times New Roman"/>
          <w:noProof w:val="0"/>
          <w:szCs w:val="20"/>
          <w:lang w:val="es-CL" w:eastAsia="es-MX"/>
        </w:rPr>
        <w:t>s</w:t>
      </w:r>
      <w:r w:rsidR="005823A9">
        <w:rPr>
          <w:rFonts w:cs="Times New Roman"/>
          <w:noProof w:val="0"/>
          <w:szCs w:val="20"/>
          <w:lang w:val="es-CL" w:eastAsia="es-MX"/>
        </w:rPr>
        <w:t xml:space="preserve"> fácticos también surgen las situaciones de carácter interno en los respectivos países que </w:t>
      </w:r>
      <w:r w:rsidR="000339F9">
        <w:rPr>
          <w:rFonts w:cs="Times New Roman"/>
          <w:noProof w:val="0"/>
          <w:szCs w:val="20"/>
          <w:lang w:val="es-CL" w:eastAsia="es-MX"/>
        </w:rPr>
        <w:t xml:space="preserve">probablemente </w:t>
      </w:r>
      <w:r w:rsidR="005823A9">
        <w:rPr>
          <w:rFonts w:cs="Times New Roman"/>
          <w:noProof w:val="0"/>
          <w:szCs w:val="20"/>
          <w:lang w:val="es-CL" w:eastAsia="es-MX"/>
        </w:rPr>
        <w:t xml:space="preserve">contribuyen a mantener </w:t>
      </w:r>
      <w:r w:rsidR="009A572B">
        <w:rPr>
          <w:rFonts w:cs="Times New Roman"/>
          <w:noProof w:val="0"/>
          <w:szCs w:val="20"/>
          <w:lang w:val="es-CL" w:eastAsia="es-MX"/>
        </w:rPr>
        <w:t xml:space="preserve">sus </w:t>
      </w:r>
      <w:r w:rsidR="005823A9">
        <w:rPr>
          <w:rFonts w:cs="Times New Roman"/>
          <w:noProof w:val="0"/>
          <w:szCs w:val="20"/>
          <w:lang w:val="es-CL" w:eastAsia="es-MX"/>
        </w:rPr>
        <w:t>situaciones de inseguridad y marginalización.</w:t>
      </w:r>
    </w:p>
    <w:p w:rsidR="00E8341E" w:rsidRDefault="00E8341E" w:rsidP="00E8341E">
      <w:pPr>
        <w:pStyle w:val="ListParagraph"/>
        <w:ind w:left="0"/>
        <w:rPr>
          <w:rFonts w:cs="Times New Roman"/>
          <w:noProof w:val="0"/>
          <w:szCs w:val="20"/>
          <w:lang w:val="es-CL" w:eastAsia="es-MX"/>
        </w:rPr>
      </w:pPr>
    </w:p>
    <w:p w:rsidR="00E8341E" w:rsidRDefault="00D7562A" w:rsidP="00BA1828">
      <w:pPr>
        <w:pStyle w:val="ListParagraph"/>
        <w:numPr>
          <w:ilvl w:val="0"/>
          <w:numId w:val="5"/>
        </w:numPr>
        <w:tabs>
          <w:tab w:val="left" w:pos="426"/>
          <w:tab w:val="left" w:pos="709"/>
        </w:tabs>
        <w:ind w:left="0" w:firstLine="0"/>
        <w:rPr>
          <w:rFonts w:cs="Times New Roman"/>
          <w:noProof w:val="0"/>
          <w:szCs w:val="20"/>
          <w:lang w:val="es-CL" w:eastAsia="es-MX"/>
        </w:rPr>
      </w:pPr>
      <w:r>
        <w:rPr>
          <w:rFonts w:cs="Times New Roman"/>
          <w:noProof w:val="0"/>
          <w:szCs w:val="20"/>
          <w:lang w:val="es-CL" w:eastAsia="es-MX"/>
        </w:rPr>
        <w:t>En es</w:t>
      </w:r>
      <w:r w:rsidR="00E8341E">
        <w:rPr>
          <w:rFonts w:cs="Times New Roman"/>
          <w:noProof w:val="0"/>
          <w:szCs w:val="20"/>
          <w:lang w:val="es-CL" w:eastAsia="es-MX"/>
        </w:rPr>
        <w:t>t</w:t>
      </w:r>
      <w:r>
        <w:rPr>
          <w:rFonts w:cs="Times New Roman"/>
          <w:noProof w:val="0"/>
          <w:szCs w:val="20"/>
          <w:lang w:val="es-CL" w:eastAsia="es-MX"/>
        </w:rPr>
        <w:t xml:space="preserve">e sentido, los problemas de </w:t>
      </w:r>
      <w:r w:rsidR="00996EB8">
        <w:rPr>
          <w:rFonts w:cs="Times New Roman"/>
          <w:noProof w:val="0"/>
          <w:szCs w:val="20"/>
          <w:lang w:val="es-CL" w:eastAsia="es-MX"/>
        </w:rPr>
        <w:t>de</w:t>
      </w:r>
      <w:r>
        <w:rPr>
          <w:rFonts w:cs="Times New Roman"/>
          <w:noProof w:val="0"/>
          <w:szCs w:val="20"/>
          <w:lang w:val="es-CL" w:eastAsia="es-MX"/>
        </w:rPr>
        <w:t>limitación</w:t>
      </w:r>
      <w:r w:rsidR="00996EB8">
        <w:rPr>
          <w:rFonts w:cs="Times New Roman"/>
          <w:noProof w:val="0"/>
          <w:szCs w:val="20"/>
          <w:lang w:val="es-CL" w:eastAsia="es-MX"/>
        </w:rPr>
        <w:t xml:space="preserve">, demarcación, titulación y </w:t>
      </w:r>
      <w:r>
        <w:rPr>
          <w:rFonts w:cs="Times New Roman"/>
          <w:noProof w:val="0"/>
          <w:szCs w:val="20"/>
          <w:lang w:val="es-CL" w:eastAsia="es-MX"/>
        </w:rPr>
        <w:t>“saneamiento</w:t>
      </w:r>
      <w:r w:rsidR="00996EB8">
        <w:rPr>
          <w:rFonts w:cs="Times New Roman"/>
          <w:noProof w:val="0"/>
          <w:szCs w:val="20"/>
          <w:lang w:val="es-CL" w:eastAsia="es-MX"/>
        </w:rPr>
        <w:t>” de tierras habitadas por comunidades indígenas o tribales y terceros</w:t>
      </w:r>
      <w:r>
        <w:rPr>
          <w:rFonts w:cs="Times New Roman"/>
          <w:noProof w:val="0"/>
          <w:szCs w:val="20"/>
          <w:lang w:val="es-CL" w:eastAsia="es-MX"/>
        </w:rPr>
        <w:t xml:space="preserve"> no deben ser </w:t>
      </w:r>
      <w:r w:rsidRPr="00BA1828">
        <w:rPr>
          <w:szCs w:val="20"/>
        </w:rPr>
        <w:t>entendidos</w:t>
      </w:r>
      <w:r>
        <w:rPr>
          <w:rFonts w:cs="Times New Roman"/>
          <w:noProof w:val="0"/>
          <w:szCs w:val="20"/>
          <w:lang w:val="es-CL" w:eastAsia="es-MX"/>
        </w:rPr>
        <w:t xml:space="preserve"> como problema</w:t>
      </w:r>
      <w:r w:rsidR="00EA6F00">
        <w:rPr>
          <w:rFonts w:cs="Times New Roman"/>
          <w:noProof w:val="0"/>
          <w:szCs w:val="20"/>
          <w:lang w:val="es-CL" w:eastAsia="es-MX"/>
        </w:rPr>
        <w:t>s</w:t>
      </w:r>
      <w:r>
        <w:rPr>
          <w:rFonts w:cs="Times New Roman"/>
          <w:noProof w:val="0"/>
          <w:szCs w:val="20"/>
          <w:lang w:val="es-CL" w:eastAsia="es-MX"/>
        </w:rPr>
        <w:t xml:space="preserve"> meramente jurídico</w:t>
      </w:r>
      <w:r w:rsidR="00EA6F00">
        <w:rPr>
          <w:rFonts w:cs="Times New Roman"/>
          <w:noProof w:val="0"/>
          <w:szCs w:val="20"/>
          <w:lang w:val="es-CL" w:eastAsia="es-MX"/>
        </w:rPr>
        <w:t>s</w:t>
      </w:r>
      <w:r>
        <w:rPr>
          <w:rFonts w:cs="Times New Roman"/>
          <w:noProof w:val="0"/>
          <w:szCs w:val="20"/>
          <w:lang w:val="es-CL" w:eastAsia="es-MX"/>
        </w:rPr>
        <w:t xml:space="preserve">, sino </w:t>
      </w:r>
      <w:r w:rsidR="00EA6F00">
        <w:rPr>
          <w:rFonts w:cs="Times New Roman"/>
          <w:noProof w:val="0"/>
          <w:szCs w:val="20"/>
          <w:lang w:val="es-CL" w:eastAsia="es-MX"/>
        </w:rPr>
        <w:t>como</w:t>
      </w:r>
      <w:r w:rsidR="00996EB8">
        <w:rPr>
          <w:rFonts w:cs="Times New Roman"/>
          <w:noProof w:val="0"/>
          <w:szCs w:val="20"/>
          <w:lang w:val="es-CL" w:eastAsia="es-MX"/>
        </w:rPr>
        <w:t xml:space="preserve"> </w:t>
      </w:r>
      <w:r>
        <w:rPr>
          <w:rFonts w:cs="Times New Roman"/>
          <w:noProof w:val="0"/>
          <w:szCs w:val="20"/>
          <w:lang w:val="es-CL" w:eastAsia="es-MX"/>
        </w:rPr>
        <w:t xml:space="preserve">expresiones de </w:t>
      </w:r>
      <w:r w:rsidR="00996EB8">
        <w:rPr>
          <w:rFonts w:cs="Times New Roman"/>
          <w:noProof w:val="0"/>
          <w:szCs w:val="20"/>
          <w:lang w:val="es-CL" w:eastAsia="es-MX"/>
        </w:rPr>
        <w:t xml:space="preserve">situaciones </w:t>
      </w:r>
      <w:r>
        <w:rPr>
          <w:rFonts w:cs="Times New Roman"/>
          <w:noProof w:val="0"/>
          <w:szCs w:val="20"/>
          <w:lang w:val="es-CL" w:eastAsia="es-MX"/>
        </w:rPr>
        <w:t>sociales más complejos</w:t>
      </w:r>
      <w:r w:rsidR="00996EB8">
        <w:rPr>
          <w:rFonts w:cs="Times New Roman"/>
          <w:noProof w:val="0"/>
          <w:szCs w:val="20"/>
          <w:lang w:val="es-CL" w:eastAsia="es-MX"/>
        </w:rPr>
        <w:t xml:space="preserve">, tales como la convivencia de diferentes grupos étnicos en </w:t>
      </w:r>
      <w:r w:rsidR="00EA6F00">
        <w:rPr>
          <w:rFonts w:cs="Times New Roman"/>
          <w:noProof w:val="0"/>
          <w:szCs w:val="20"/>
          <w:lang w:val="es-CL" w:eastAsia="es-MX"/>
        </w:rPr>
        <w:t>much</w:t>
      </w:r>
      <w:r w:rsidR="00996EB8">
        <w:rPr>
          <w:rFonts w:cs="Times New Roman"/>
          <w:noProof w:val="0"/>
          <w:szCs w:val="20"/>
          <w:lang w:val="es-CL" w:eastAsia="es-MX"/>
        </w:rPr>
        <w:t xml:space="preserve">os países de la región. </w:t>
      </w:r>
      <w:r w:rsidR="00E8341E" w:rsidRPr="00E8341E">
        <w:rPr>
          <w:rFonts w:cs="Times New Roman"/>
          <w:noProof w:val="0"/>
          <w:szCs w:val="20"/>
          <w:lang w:val="es-CL" w:eastAsia="es-MX"/>
        </w:rPr>
        <w:t>Al respecto</w:t>
      </w:r>
      <w:r w:rsidR="00996EB8" w:rsidRPr="00E8341E">
        <w:rPr>
          <w:rFonts w:cs="Times New Roman"/>
          <w:noProof w:val="0"/>
          <w:szCs w:val="20"/>
          <w:lang w:val="es-CL" w:eastAsia="es-MX"/>
        </w:rPr>
        <w:t>, la Corte ha señalado anteriormente que el derecho a la identidad cultural</w:t>
      </w:r>
      <w:r w:rsidR="00E8341E">
        <w:rPr>
          <w:rFonts w:cs="Times New Roman"/>
          <w:noProof w:val="0"/>
          <w:szCs w:val="20"/>
          <w:lang w:val="es-CL" w:eastAsia="es-MX"/>
        </w:rPr>
        <w:t xml:space="preserve"> de los pueblos indígenas</w:t>
      </w:r>
      <w:r w:rsidR="00996EB8" w:rsidRPr="00E8341E">
        <w:rPr>
          <w:rFonts w:cs="Times New Roman"/>
          <w:noProof w:val="0"/>
          <w:szCs w:val="20"/>
          <w:lang w:val="es-CL" w:eastAsia="es-MX"/>
        </w:rPr>
        <w:t xml:space="preserve"> </w:t>
      </w:r>
      <w:r w:rsidR="00E8341E">
        <w:rPr>
          <w:rFonts w:cs="Times New Roman"/>
          <w:noProof w:val="0"/>
          <w:szCs w:val="20"/>
          <w:lang w:val="es-CL" w:eastAsia="es-MX"/>
        </w:rPr>
        <w:t xml:space="preserve">debe ser garantizado </w:t>
      </w:r>
      <w:r w:rsidR="00996EB8" w:rsidRPr="00E8341E">
        <w:rPr>
          <w:rFonts w:cs="Times New Roman"/>
          <w:noProof w:val="0"/>
          <w:szCs w:val="20"/>
          <w:lang w:val="es-CL" w:eastAsia="es-MX"/>
        </w:rPr>
        <w:t>en una sociedad multicultural, pluralista y democrática</w:t>
      </w:r>
      <w:r w:rsidR="00996EB8">
        <w:rPr>
          <w:rStyle w:val="FootnoteReference"/>
          <w:rFonts w:cs="Times New Roman"/>
          <w:noProof w:val="0"/>
          <w:szCs w:val="20"/>
          <w:lang w:val="es-CL" w:eastAsia="es-MX"/>
        </w:rPr>
        <w:footnoteReference w:id="55"/>
      </w:r>
      <w:r w:rsidR="00996EB8" w:rsidRPr="00E8341E">
        <w:rPr>
          <w:rFonts w:cs="Times New Roman"/>
          <w:noProof w:val="0"/>
          <w:szCs w:val="20"/>
          <w:lang w:val="es-CL" w:eastAsia="es-MX"/>
        </w:rPr>
        <w:t xml:space="preserve">. </w:t>
      </w:r>
    </w:p>
    <w:p w:rsidR="00E8341E" w:rsidRPr="00E8341E" w:rsidRDefault="00E8341E" w:rsidP="00E8341E">
      <w:pPr>
        <w:pStyle w:val="ListParagraph"/>
        <w:rPr>
          <w:rFonts w:cs="Times New Roman"/>
          <w:noProof w:val="0"/>
          <w:szCs w:val="20"/>
          <w:lang w:val="es-CL" w:eastAsia="es-MX"/>
        </w:rPr>
      </w:pPr>
    </w:p>
    <w:p w:rsidR="00D7562A" w:rsidRPr="00E8341E" w:rsidRDefault="00E8341E" w:rsidP="00BA1828">
      <w:pPr>
        <w:pStyle w:val="ListParagraph"/>
        <w:numPr>
          <w:ilvl w:val="0"/>
          <w:numId w:val="5"/>
        </w:numPr>
        <w:tabs>
          <w:tab w:val="left" w:pos="426"/>
          <w:tab w:val="left" w:pos="709"/>
        </w:tabs>
        <w:ind w:left="0" w:firstLine="0"/>
        <w:rPr>
          <w:rFonts w:cs="Times New Roman"/>
          <w:noProof w:val="0"/>
          <w:szCs w:val="20"/>
          <w:lang w:val="es-CL" w:eastAsia="es-MX"/>
        </w:rPr>
      </w:pPr>
      <w:r>
        <w:rPr>
          <w:rFonts w:cs="Times New Roman"/>
          <w:noProof w:val="0"/>
          <w:szCs w:val="20"/>
          <w:lang w:val="es-CL" w:eastAsia="es-MX"/>
        </w:rPr>
        <w:t xml:space="preserve">Lo anterior </w:t>
      </w:r>
      <w:r w:rsidR="004B081A">
        <w:rPr>
          <w:rFonts w:cs="Times New Roman"/>
          <w:noProof w:val="0"/>
          <w:szCs w:val="20"/>
          <w:lang w:val="es-CL" w:eastAsia="es-MX"/>
        </w:rPr>
        <w:t xml:space="preserve">también </w:t>
      </w:r>
      <w:r>
        <w:rPr>
          <w:rFonts w:cs="Times New Roman"/>
          <w:noProof w:val="0"/>
          <w:szCs w:val="20"/>
          <w:lang w:val="es-CL" w:eastAsia="es-MX"/>
        </w:rPr>
        <w:t xml:space="preserve">significa que </w:t>
      </w:r>
      <w:r w:rsidR="00D7562A" w:rsidRPr="00E8341E">
        <w:rPr>
          <w:rFonts w:cs="Times New Roman"/>
          <w:noProof w:val="0"/>
          <w:szCs w:val="20"/>
          <w:lang w:val="es-CL" w:eastAsia="es-MX"/>
        </w:rPr>
        <w:t xml:space="preserve">la </w:t>
      </w:r>
      <w:r w:rsidR="00D7562A">
        <w:t xml:space="preserve">solución a este tipo de problemas debe ser enfrentada </w:t>
      </w:r>
      <w:r w:rsidR="00D7562A" w:rsidRPr="00BA1828">
        <w:rPr>
          <w:szCs w:val="20"/>
        </w:rPr>
        <w:t>por</w:t>
      </w:r>
      <w:r w:rsidR="00D7562A">
        <w:t xml:space="preserve"> l</w:t>
      </w:r>
      <w:r>
        <w:t>os</w:t>
      </w:r>
      <w:r w:rsidR="00D7562A">
        <w:t xml:space="preserve"> Estado</w:t>
      </w:r>
      <w:r>
        <w:t>s</w:t>
      </w:r>
      <w:r w:rsidR="00D7562A">
        <w:t xml:space="preserve"> de una manera integral, no </w:t>
      </w:r>
      <w:r>
        <w:t>únicamente</w:t>
      </w:r>
      <w:r w:rsidR="00D7562A">
        <w:t xml:space="preserve"> como un asunto jurídico.</w:t>
      </w:r>
    </w:p>
    <w:p w:rsidR="00D7562A" w:rsidRPr="001F0FCC" w:rsidRDefault="00D7562A" w:rsidP="00D7562A">
      <w:pPr>
        <w:rPr>
          <w:rFonts w:cs="Times New Roman"/>
          <w:noProof w:val="0"/>
          <w:szCs w:val="20"/>
          <w:lang w:val="es-CL" w:eastAsia="es-MX"/>
        </w:rPr>
      </w:pPr>
    </w:p>
    <w:p w:rsidR="00E8341E" w:rsidRPr="00E8341E" w:rsidRDefault="00E8341E" w:rsidP="00BA1828">
      <w:pPr>
        <w:pStyle w:val="ListParagraph"/>
        <w:numPr>
          <w:ilvl w:val="0"/>
          <w:numId w:val="5"/>
        </w:numPr>
        <w:tabs>
          <w:tab w:val="left" w:pos="426"/>
          <w:tab w:val="left" w:pos="709"/>
        </w:tabs>
        <w:ind w:left="0" w:firstLine="0"/>
        <w:rPr>
          <w:rFonts w:cs="Times New Roman"/>
          <w:noProof w:val="0"/>
          <w:szCs w:val="20"/>
          <w:lang w:val="es-CL" w:eastAsia="es-MX"/>
        </w:rPr>
      </w:pPr>
      <w:r>
        <w:t>Se puede derivar de los hechos de</w:t>
      </w:r>
      <w:r w:rsidR="00367B7C">
        <w:t xml:space="preserve"> este caso</w:t>
      </w:r>
      <w:r>
        <w:t xml:space="preserve"> que </w:t>
      </w:r>
      <w:r w:rsidR="00D7562A">
        <w:t>l</w:t>
      </w:r>
      <w:r>
        <w:t>os problemas y conflictos respecto del derecho a la propiedad y el uso del territorio tradicional de la Comunidad son só</w:t>
      </w:r>
      <w:r w:rsidR="00D7562A">
        <w:t>lo un aspecto</w:t>
      </w:r>
      <w:r w:rsidR="00367B7C">
        <w:t xml:space="preserve"> de la situación existente en la zona</w:t>
      </w:r>
      <w:r>
        <w:t>.</w:t>
      </w:r>
      <w:r w:rsidR="00D7562A">
        <w:t xml:space="preserve"> </w:t>
      </w:r>
      <w:r>
        <w:t>Al parecer, e</w:t>
      </w:r>
      <w:r w:rsidR="00D7562A">
        <w:t xml:space="preserve">n el trasfondo de estos conflictos existen problemas de ausencia de políticas publicas </w:t>
      </w:r>
      <w:r>
        <w:t xml:space="preserve">-o falta de su implementación </w:t>
      </w:r>
      <w:r w:rsidRPr="00BA1828">
        <w:rPr>
          <w:szCs w:val="20"/>
        </w:rPr>
        <w:t>consistente</w:t>
      </w:r>
      <w:r>
        <w:t xml:space="preserve"> y adecuada- </w:t>
      </w:r>
      <w:r w:rsidR="00D7562A">
        <w:t xml:space="preserve">en materia de registro, redistribución de tierras, educación, creación </w:t>
      </w:r>
      <w:r>
        <w:t>de espacios de integración y diá</w:t>
      </w:r>
      <w:r w:rsidR="00D7562A">
        <w:t xml:space="preserve">logo entre las comunidades indígenas y no indígenas. </w:t>
      </w:r>
    </w:p>
    <w:p w:rsidR="00D7562A" w:rsidRPr="00E8341E" w:rsidRDefault="00D7562A" w:rsidP="00E8341E">
      <w:pPr>
        <w:rPr>
          <w:rFonts w:cs="Times New Roman"/>
          <w:noProof w:val="0"/>
          <w:szCs w:val="20"/>
          <w:lang w:val="es-CL" w:eastAsia="es-MX"/>
        </w:rPr>
      </w:pPr>
    </w:p>
    <w:p w:rsidR="00F31BDF" w:rsidRPr="0048066F" w:rsidRDefault="00D7562A" w:rsidP="0048066F">
      <w:pPr>
        <w:pStyle w:val="ListParagraph"/>
        <w:numPr>
          <w:ilvl w:val="0"/>
          <w:numId w:val="5"/>
        </w:numPr>
        <w:tabs>
          <w:tab w:val="left" w:pos="426"/>
          <w:tab w:val="left" w:pos="709"/>
        </w:tabs>
        <w:ind w:left="0" w:firstLine="0"/>
        <w:rPr>
          <w:rFonts w:cs="Times New Roman"/>
          <w:noProof w:val="0"/>
          <w:szCs w:val="20"/>
          <w:lang w:val="es-CL" w:eastAsia="es-MX"/>
        </w:rPr>
      </w:pPr>
      <w:r>
        <w:t xml:space="preserve">Para </w:t>
      </w:r>
      <w:r w:rsidRPr="00BA1828">
        <w:rPr>
          <w:szCs w:val="20"/>
        </w:rPr>
        <w:t>buscar</w:t>
      </w:r>
      <w:r>
        <w:t xml:space="preserve"> soluciones a estos conflictos es necesaria la elaboración de políticas </w:t>
      </w:r>
      <w:r w:rsidR="00367B7C">
        <w:t xml:space="preserve">públicas </w:t>
      </w:r>
      <w:r>
        <w:t xml:space="preserve">integrales </w:t>
      </w:r>
      <w:r w:rsidR="00E8341E">
        <w:t xml:space="preserve">y </w:t>
      </w:r>
      <w:r w:rsidR="00367B7C">
        <w:t xml:space="preserve">estrategias </w:t>
      </w:r>
      <w:r w:rsidR="00E8341E">
        <w:t xml:space="preserve">de convivencia </w:t>
      </w:r>
      <w:r>
        <w:t xml:space="preserve">que </w:t>
      </w:r>
      <w:r w:rsidR="00E8341E">
        <w:t xml:space="preserve">van </w:t>
      </w:r>
      <w:r w:rsidR="00367B7C">
        <w:t>má</w:t>
      </w:r>
      <w:r w:rsidR="00E8341E">
        <w:t xml:space="preserve">s alla de la delimitación y </w:t>
      </w:r>
      <w:r w:rsidR="00367B7C">
        <w:t>demarca</w:t>
      </w:r>
      <w:r w:rsidR="00E8341E">
        <w:t xml:space="preserve">ción de lotes </w:t>
      </w:r>
      <w:r w:rsidR="00367B7C">
        <w:t xml:space="preserve">de tierra y están dirigidas a </w:t>
      </w:r>
      <w:r>
        <w:t>evit</w:t>
      </w:r>
      <w:r w:rsidR="00E8341E">
        <w:t>ar</w:t>
      </w:r>
      <w:r>
        <w:t xml:space="preserve"> situaciones de permanente conflicto. </w:t>
      </w:r>
      <w:r w:rsidR="00A76951">
        <w:t xml:space="preserve">Se </w:t>
      </w:r>
      <w:r w:rsidR="007F7FEE">
        <w:t xml:space="preserve">requiere </w:t>
      </w:r>
      <w:r w:rsidR="00A76951">
        <w:t xml:space="preserve">la asistencia </w:t>
      </w:r>
      <w:r w:rsidR="007F7FEE">
        <w:t xml:space="preserve">de </w:t>
      </w:r>
      <w:r w:rsidR="00A76951">
        <w:t xml:space="preserve">diferentes </w:t>
      </w:r>
      <w:r w:rsidR="007F7FEE">
        <w:t xml:space="preserve">expertos que debería incluir, entre otros, a sociólogos y trabajadores sociales. </w:t>
      </w:r>
      <w:r>
        <w:t>Entendiendo que los derec</w:t>
      </w:r>
      <w:r w:rsidR="00A76951">
        <w:t xml:space="preserve">hos de las Comunidades indígenas y tribales </w:t>
      </w:r>
      <w:r>
        <w:t>no pueden ser comprendidos como privilegios sobre los derechos del resto de la población, l</w:t>
      </w:r>
      <w:r w:rsidR="00A76951">
        <w:t>os</w:t>
      </w:r>
      <w:r>
        <w:t xml:space="preserve"> Estado</w:t>
      </w:r>
      <w:r w:rsidR="00A76951">
        <w:t>s deben</w:t>
      </w:r>
      <w:r>
        <w:t xml:space="preserve"> hacer un trabajo de divulgación e implementación de políticas dirigidas a evitar situaciones de desigualdad, con el fin de garantizar el goce efectivo de los derechos de tod</w:t>
      </w:r>
      <w:r w:rsidR="007F7FEE">
        <w:t>o</w:t>
      </w:r>
      <w:r>
        <w:t>s los ciudadanos, tanto las comunidades indígenas como las no indígenas.</w:t>
      </w:r>
      <w:r w:rsidR="0048066F">
        <w:t xml:space="preserve"> </w:t>
      </w:r>
    </w:p>
    <w:p w:rsidR="0048066F" w:rsidRDefault="0048066F" w:rsidP="0048066F">
      <w:pPr>
        <w:pStyle w:val="ListParagraph"/>
        <w:tabs>
          <w:tab w:val="left" w:pos="426"/>
          <w:tab w:val="left" w:pos="709"/>
        </w:tabs>
        <w:ind w:left="0"/>
        <w:rPr>
          <w:rFonts w:cs="Times New Roman"/>
          <w:noProof w:val="0"/>
          <w:szCs w:val="20"/>
          <w:lang w:val="es-CL" w:eastAsia="es-MX"/>
        </w:rPr>
      </w:pPr>
    </w:p>
    <w:p w:rsidR="0048066F" w:rsidRDefault="0048066F" w:rsidP="0048066F">
      <w:pPr>
        <w:pStyle w:val="ListParagraph"/>
        <w:tabs>
          <w:tab w:val="left" w:pos="426"/>
          <w:tab w:val="left" w:pos="709"/>
        </w:tabs>
        <w:ind w:left="0"/>
        <w:rPr>
          <w:rFonts w:cs="Times New Roman"/>
          <w:noProof w:val="0"/>
          <w:szCs w:val="20"/>
          <w:lang w:val="es-CL" w:eastAsia="es-MX"/>
        </w:rPr>
      </w:pPr>
    </w:p>
    <w:p w:rsidR="00E42F50" w:rsidRDefault="00E42F50" w:rsidP="0048066F">
      <w:pPr>
        <w:pStyle w:val="ListParagraph"/>
        <w:tabs>
          <w:tab w:val="left" w:pos="426"/>
          <w:tab w:val="left" w:pos="709"/>
        </w:tabs>
        <w:ind w:left="0"/>
        <w:rPr>
          <w:rFonts w:cs="Times New Roman"/>
          <w:noProof w:val="0"/>
          <w:szCs w:val="20"/>
          <w:lang w:val="es-CL" w:eastAsia="es-MX"/>
        </w:rPr>
      </w:pPr>
    </w:p>
    <w:p w:rsidR="00E42F50" w:rsidRDefault="00E42F50" w:rsidP="0048066F">
      <w:pPr>
        <w:pStyle w:val="ListParagraph"/>
        <w:tabs>
          <w:tab w:val="left" w:pos="426"/>
          <w:tab w:val="left" w:pos="709"/>
        </w:tabs>
        <w:ind w:left="0"/>
        <w:rPr>
          <w:rFonts w:cs="Times New Roman"/>
          <w:noProof w:val="0"/>
          <w:szCs w:val="20"/>
          <w:lang w:val="es-CL" w:eastAsia="es-MX"/>
        </w:rPr>
      </w:pPr>
      <w:bookmarkStart w:id="1" w:name="_GoBack"/>
      <w:bookmarkEnd w:id="1"/>
    </w:p>
    <w:p w:rsidR="0048066F" w:rsidRPr="0048066F" w:rsidRDefault="0048066F" w:rsidP="0048066F">
      <w:pPr>
        <w:pStyle w:val="ListParagraph"/>
        <w:tabs>
          <w:tab w:val="left" w:pos="426"/>
          <w:tab w:val="left" w:pos="709"/>
        </w:tabs>
        <w:ind w:left="0"/>
        <w:rPr>
          <w:rFonts w:cs="Times New Roman"/>
          <w:noProof w:val="0"/>
          <w:szCs w:val="20"/>
          <w:lang w:val="es-CL" w:eastAsia="es-MX"/>
        </w:rPr>
      </w:pPr>
    </w:p>
    <w:p w:rsidR="00F31BDF" w:rsidRPr="00E76B2D" w:rsidRDefault="00F31BDF" w:rsidP="00107370">
      <w:pPr>
        <w:tabs>
          <w:tab w:val="left" w:pos="709"/>
          <w:tab w:val="left" w:pos="9356"/>
        </w:tabs>
        <w:ind w:right="-516"/>
        <w:jc w:val="center"/>
        <w:outlineLvl w:val="0"/>
        <w:rPr>
          <w:rFonts w:cs="Verdana"/>
          <w:szCs w:val="20"/>
        </w:rPr>
      </w:pPr>
      <w:r>
        <w:rPr>
          <w:rFonts w:cs="Verdana"/>
          <w:szCs w:val="20"/>
        </w:rPr>
        <w:tab/>
        <w:t>Humberto Antonio Sierra Porto</w:t>
      </w:r>
    </w:p>
    <w:p w:rsidR="00F31BDF" w:rsidRPr="00E76B2D" w:rsidRDefault="00F31BDF" w:rsidP="00107370">
      <w:pPr>
        <w:tabs>
          <w:tab w:val="left" w:pos="709"/>
          <w:tab w:val="left" w:pos="9356"/>
        </w:tabs>
        <w:ind w:right="-516"/>
        <w:jc w:val="center"/>
        <w:outlineLvl w:val="0"/>
        <w:rPr>
          <w:rFonts w:cs="Verdana"/>
          <w:szCs w:val="20"/>
        </w:rPr>
      </w:pPr>
      <w:r>
        <w:rPr>
          <w:rFonts w:cs="Verdana"/>
          <w:szCs w:val="20"/>
        </w:rPr>
        <w:t xml:space="preserve">           </w:t>
      </w:r>
      <w:r w:rsidRPr="00E76B2D">
        <w:rPr>
          <w:rFonts w:cs="Verdana"/>
          <w:szCs w:val="20"/>
        </w:rPr>
        <w:t>Juez</w:t>
      </w:r>
    </w:p>
    <w:p w:rsidR="00F31BDF" w:rsidRDefault="00F31BDF" w:rsidP="00107370">
      <w:pPr>
        <w:tabs>
          <w:tab w:val="left" w:pos="709"/>
          <w:tab w:val="left" w:pos="9356"/>
        </w:tabs>
        <w:ind w:right="-516"/>
        <w:outlineLvl w:val="0"/>
        <w:rPr>
          <w:rFonts w:cs="Verdana"/>
          <w:szCs w:val="20"/>
        </w:rPr>
      </w:pPr>
    </w:p>
    <w:p w:rsidR="00E42F50" w:rsidRDefault="00E42F50" w:rsidP="00107370">
      <w:pPr>
        <w:tabs>
          <w:tab w:val="left" w:pos="709"/>
          <w:tab w:val="left" w:pos="9356"/>
        </w:tabs>
        <w:ind w:right="-516"/>
        <w:outlineLvl w:val="0"/>
        <w:rPr>
          <w:rFonts w:cs="Verdana"/>
          <w:szCs w:val="20"/>
        </w:rPr>
      </w:pPr>
    </w:p>
    <w:p w:rsidR="00E42F50" w:rsidRDefault="00E42F50" w:rsidP="00107370">
      <w:pPr>
        <w:tabs>
          <w:tab w:val="left" w:pos="709"/>
          <w:tab w:val="left" w:pos="9356"/>
        </w:tabs>
        <w:ind w:right="-516"/>
        <w:outlineLvl w:val="0"/>
        <w:rPr>
          <w:rFonts w:cs="Verdana"/>
          <w:szCs w:val="20"/>
        </w:rPr>
      </w:pPr>
    </w:p>
    <w:p w:rsidR="00F31BDF" w:rsidRDefault="00F31BDF" w:rsidP="00107370">
      <w:pPr>
        <w:tabs>
          <w:tab w:val="left" w:pos="709"/>
          <w:tab w:val="left" w:pos="9356"/>
        </w:tabs>
        <w:ind w:right="-516"/>
        <w:outlineLvl w:val="0"/>
        <w:rPr>
          <w:rFonts w:cs="Verdana"/>
          <w:szCs w:val="20"/>
        </w:rPr>
      </w:pPr>
    </w:p>
    <w:p w:rsidR="00F31BDF" w:rsidRDefault="00F31BDF" w:rsidP="00107370">
      <w:pPr>
        <w:tabs>
          <w:tab w:val="left" w:pos="709"/>
          <w:tab w:val="left" w:pos="9356"/>
        </w:tabs>
        <w:ind w:right="-516"/>
        <w:outlineLvl w:val="0"/>
        <w:rPr>
          <w:rFonts w:cs="Verdana"/>
          <w:szCs w:val="20"/>
        </w:rPr>
      </w:pPr>
    </w:p>
    <w:p w:rsidR="00F31BDF" w:rsidRPr="007363A8" w:rsidRDefault="00F31BDF" w:rsidP="00107370">
      <w:pPr>
        <w:tabs>
          <w:tab w:val="left" w:pos="709"/>
          <w:tab w:val="left" w:pos="9356"/>
        </w:tabs>
        <w:ind w:right="-516"/>
        <w:outlineLvl w:val="0"/>
        <w:rPr>
          <w:rFonts w:cs="Verdana"/>
          <w:szCs w:val="20"/>
        </w:rPr>
      </w:pPr>
      <w:r w:rsidRPr="007363A8">
        <w:rPr>
          <w:rFonts w:cs="Verdana"/>
          <w:szCs w:val="20"/>
        </w:rPr>
        <w:t>Pablo Saavedra Alessandri</w:t>
      </w:r>
    </w:p>
    <w:p w:rsidR="00F31BDF" w:rsidRPr="00F83DE3" w:rsidRDefault="00F31BDF" w:rsidP="00F83DE3">
      <w:pPr>
        <w:tabs>
          <w:tab w:val="left" w:pos="709"/>
          <w:tab w:val="left" w:pos="9356"/>
        </w:tabs>
        <w:ind w:right="-516"/>
        <w:rPr>
          <w:b/>
          <w:color w:val="000000"/>
          <w:szCs w:val="20"/>
        </w:rPr>
      </w:pPr>
      <w:r>
        <w:rPr>
          <w:rFonts w:cs="Verdana"/>
          <w:szCs w:val="20"/>
        </w:rPr>
        <w:tab/>
      </w:r>
      <w:r w:rsidRPr="007363A8">
        <w:rPr>
          <w:rFonts w:cs="Verdana"/>
          <w:szCs w:val="20"/>
        </w:rPr>
        <w:t>Secretari</w:t>
      </w:r>
      <w:r>
        <w:rPr>
          <w:rFonts w:cs="Verdana"/>
          <w:szCs w:val="20"/>
        </w:rPr>
        <w:t>o</w:t>
      </w:r>
    </w:p>
    <w:sectPr w:rsidR="00F31BDF" w:rsidRPr="00F83DE3" w:rsidSect="00F83DE3">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E5" w:rsidRDefault="008146E5" w:rsidP="00C46B0E">
      <w:r>
        <w:separator/>
      </w:r>
    </w:p>
  </w:endnote>
  <w:endnote w:type="continuationSeparator" w:id="0">
    <w:p w:rsidR="008146E5" w:rsidRDefault="008146E5" w:rsidP="00C4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lliardStd-Roman">
    <w:altName w:val="Calibri"/>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E5" w:rsidRDefault="008146E5" w:rsidP="00C46B0E">
      <w:r>
        <w:separator/>
      </w:r>
    </w:p>
  </w:footnote>
  <w:footnote w:type="continuationSeparator" w:id="0">
    <w:p w:rsidR="008146E5" w:rsidRDefault="008146E5" w:rsidP="00C46B0E">
      <w:r>
        <w:continuationSeparator/>
      </w:r>
    </w:p>
  </w:footnote>
  <w:footnote w:id="1">
    <w:p w:rsidR="00287D3E" w:rsidRDefault="00287D3E" w:rsidP="00EF52CD">
      <w:pPr>
        <w:pStyle w:val="FootnoteText"/>
        <w:jc w:val="both"/>
        <w:rPr>
          <w:sz w:val="16"/>
          <w:szCs w:val="16"/>
        </w:rPr>
      </w:pPr>
      <w:r>
        <w:rPr>
          <w:rStyle w:val="FootnoteReference"/>
          <w:sz w:val="16"/>
          <w:szCs w:val="16"/>
        </w:rPr>
        <w:footnoteRef/>
      </w:r>
      <w:r>
        <w:rPr>
          <w:sz w:val="16"/>
          <w:szCs w:val="16"/>
        </w:rPr>
        <w:t xml:space="preserve"> </w:t>
      </w:r>
      <w:r>
        <w:rPr>
          <w:sz w:val="16"/>
          <w:szCs w:val="16"/>
        </w:rPr>
        <w:tab/>
        <w:t>Informe de Fondo, párr. 98.</w:t>
      </w:r>
    </w:p>
  </w:footnote>
  <w:footnote w:id="2">
    <w:p w:rsidR="00287D3E" w:rsidRDefault="00287D3E" w:rsidP="00EF52CD">
      <w:pPr>
        <w:pStyle w:val="FootnoteText"/>
        <w:jc w:val="both"/>
        <w:rPr>
          <w:sz w:val="16"/>
          <w:szCs w:val="16"/>
        </w:rPr>
      </w:pPr>
      <w:r>
        <w:rPr>
          <w:rStyle w:val="FootnoteReference"/>
          <w:sz w:val="16"/>
          <w:szCs w:val="16"/>
        </w:rPr>
        <w:footnoteRef/>
      </w:r>
      <w:r>
        <w:rPr>
          <w:sz w:val="16"/>
          <w:szCs w:val="16"/>
        </w:rPr>
        <w:t xml:space="preserve"> </w:t>
      </w:r>
      <w:r>
        <w:rPr>
          <w:sz w:val="16"/>
          <w:szCs w:val="16"/>
        </w:rPr>
        <w:tab/>
        <w:t xml:space="preserve">Informe de Fondo, párr. 99. </w:t>
      </w:r>
      <w:r w:rsidR="00BC5C25">
        <w:rPr>
          <w:sz w:val="16"/>
          <w:szCs w:val="16"/>
        </w:rPr>
        <w:t>Véase</w:t>
      </w:r>
      <w:r>
        <w:rPr>
          <w:sz w:val="16"/>
          <w:szCs w:val="16"/>
        </w:rPr>
        <w:t xml:space="preserve"> también Informe de Fondo, párr. 108.</w:t>
      </w:r>
    </w:p>
  </w:footnote>
  <w:footnote w:id="3">
    <w:p w:rsidR="00287D3E" w:rsidRDefault="00287D3E" w:rsidP="00EF52CD">
      <w:pPr>
        <w:pStyle w:val="FootnoteText"/>
        <w:jc w:val="both"/>
        <w:rPr>
          <w:sz w:val="16"/>
          <w:szCs w:val="16"/>
        </w:rPr>
      </w:pPr>
      <w:r>
        <w:rPr>
          <w:rStyle w:val="FootnoteReference"/>
          <w:sz w:val="16"/>
          <w:szCs w:val="16"/>
        </w:rPr>
        <w:footnoteRef/>
      </w:r>
      <w:r>
        <w:rPr>
          <w:sz w:val="16"/>
          <w:szCs w:val="16"/>
        </w:rPr>
        <w:t xml:space="preserve"> </w:t>
      </w:r>
      <w:r>
        <w:rPr>
          <w:sz w:val="16"/>
          <w:szCs w:val="16"/>
        </w:rPr>
        <w:tab/>
        <w:t>Informe de Fondo, párr. 107.</w:t>
      </w:r>
      <w:r w:rsidRPr="00EF52CD">
        <w:rPr>
          <w:sz w:val="16"/>
          <w:szCs w:val="16"/>
        </w:rPr>
        <w:t xml:space="preserve"> </w:t>
      </w:r>
      <w:r w:rsidR="00BC5C25">
        <w:rPr>
          <w:sz w:val="16"/>
          <w:szCs w:val="16"/>
        </w:rPr>
        <w:t>Véase</w:t>
      </w:r>
      <w:r>
        <w:rPr>
          <w:sz w:val="16"/>
          <w:szCs w:val="16"/>
        </w:rPr>
        <w:t xml:space="preserve"> también Informe de Fondo, párr. 123.</w:t>
      </w:r>
    </w:p>
  </w:footnote>
  <w:footnote w:id="4">
    <w:p w:rsidR="00287D3E" w:rsidRDefault="00287D3E" w:rsidP="00EF52CD">
      <w:pPr>
        <w:pStyle w:val="FootnoteText"/>
        <w:jc w:val="both"/>
        <w:rPr>
          <w:sz w:val="16"/>
          <w:szCs w:val="16"/>
        </w:rPr>
      </w:pPr>
      <w:r>
        <w:rPr>
          <w:rStyle w:val="FootnoteReference"/>
          <w:sz w:val="16"/>
          <w:szCs w:val="16"/>
        </w:rPr>
        <w:footnoteRef/>
      </w:r>
      <w:r>
        <w:rPr>
          <w:sz w:val="16"/>
          <w:szCs w:val="16"/>
        </w:rPr>
        <w:t xml:space="preserve"> </w:t>
      </w:r>
      <w:r>
        <w:rPr>
          <w:sz w:val="16"/>
          <w:szCs w:val="16"/>
        </w:rPr>
        <w:tab/>
        <w:t>Informe de Fondo, párr. 142.</w:t>
      </w:r>
    </w:p>
  </w:footnote>
  <w:footnote w:id="5">
    <w:p w:rsidR="00287D3E" w:rsidRPr="007C7FD2" w:rsidRDefault="00287D3E" w:rsidP="00503801">
      <w:pPr>
        <w:pStyle w:val="FootnoteText"/>
        <w:jc w:val="both"/>
        <w:rPr>
          <w:sz w:val="16"/>
          <w:szCs w:val="16"/>
        </w:rPr>
      </w:pPr>
      <w:r>
        <w:rPr>
          <w:rStyle w:val="FootnoteReference"/>
          <w:sz w:val="16"/>
          <w:szCs w:val="16"/>
        </w:rPr>
        <w:footnoteRef/>
      </w:r>
      <w:r>
        <w:rPr>
          <w:sz w:val="16"/>
          <w:szCs w:val="16"/>
        </w:rPr>
        <w:t xml:space="preserve"> </w:t>
      </w:r>
      <w:r>
        <w:rPr>
          <w:sz w:val="16"/>
          <w:szCs w:val="16"/>
        </w:rPr>
        <w:tab/>
      </w:r>
      <w:r w:rsidRPr="00725179">
        <w:rPr>
          <w:i/>
          <w:sz w:val="16"/>
          <w:szCs w:val="16"/>
        </w:rPr>
        <w:t xml:space="preserve">Caso Comunidad Indígena </w:t>
      </w:r>
      <w:proofErr w:type="spellStart"/>
      <w:r w:rsidRPr="00725179">
        <w:rPr>
          <w:i/>
          <w:sz w:val="16"/>
          <w:szCs w:val="16"/>
        </w:rPr>
        <w:t>Sawhoyamaxa</w:t>
      </w:r>
      <w:proofErr w:type="spellEnd"/>
      <w:r w:rsidRPr="00725179">
        <w:rPr>
          <w:i/>
          <w:sz w:val="16"/>
          <w:szCs w:val="16"/>
        </w:rPr>
        <w:t xml:space="preserve"> Vs. Paraguay. Fondo, Reparaciones y Costas</w:t>
      </w:r>
      <w:r w:rsidRPr="007C7FD2">
        <w:rPr>
          <w:sz w:val="16"/>
          <w:szCs w:val="16"/>
        </w:rPr>
        <w:t xml:space="preserve">. Sentencia de 29 de marzo de 2006. Serie C No. 146, párr. 136. Asimismo, la Corte ha señalado que no </w:t>
      </w:r>
      <w:r>
        <w:rPr>
          <w:sz w:val="16"/>
          <w:szCs w:val="16"/>
        </w:rPr>
        <w:t xml:space="preserve">siempre que estén en conflicto los intereses territoriales particulares o estatales y los intereses territoriales de los miembros de las comunidades indígenas, prevalecen los últimos por sobre los primeros. </w:t>
      </w:r>
      <w:r w:rsidRPr="00725179">
        <w:rPr>
          <w:i/>
          <w:sz w:val="16"/>
          <w:szCs w:val="16"/>
        </w:rPr>
        <w:t xml:space="preserve">Caso Comunidad Indígena </w:t>
      </w:r>
      <w:proofErr w:type="spellStart"/>
      <w:r w:rsidRPr="00725179">
        <w:rPr>
          <w:i/>
          <w:sz w:val="16"/>
          <w:szCs w:val="16"/>
        </w:rPr>
        <w:t>Yakye</w:t>
      </w:r>
      <w:proofErr w:type="spellEnd"/>
      <w:r w:rsidRPr="00725179">
        <w:rPr>
          <w:i/>
          <w:sz w:val="16"/>
          <w:szCs w:val="16"/>
        </w:rPr>
        <w:t xml:space="preserve"> Axa Vs. Paraguay. Fondo Reparaciones y Costas</w:t>
      </w:r>
      <w:r w:rsidRPr="007C7FD2">
        <w:rPr>
          <w:sz w:val="16"/>
          <w:szCs w:val="16"/>
        </w:rPr>
        <w:t>. Sentencia 17 de junio de 2005. Serie C No. 125, párr. 149.</w:t>
      </w:r>
    </w:p>
  </w:footnote>
  <w:footnote w:id="6">
    <w:p w:rsidR="00287D3E" w:rsidRPr="007C7FD2" w:rsidRDefault="00287D3E" w:rsidP="00503801">
      <w:pPr>
        <w:rPr>
          <w:rFonts w:eastAsia="Times" w:cs="Times New Roman"/>
          <w:noProof w:val="0"/>
          <w:sz w:val="16"/>
          <w:szCs w:val="16"/>
        </w:rPr>
      </w:pPr>
      <w:r>
        <w:rPr>
          <w:rStyle w:val="FootnoteReference"/>
          <w:sz w:val="16"/>
          <w:szCs w:val="16"/>
        </w:rPr>
        <w:footnoteRef/>
      </w:r>
      <w:r>
        <w:rPr>
          <w:sz w:val="16"/>
          <w:szCs w:val="16"/>
        </w:rPr>
        <w:t xml:space="preserve"> </w:t>
      </w:r>
      <w:r>
        <w:rPr>
          <w:sz w:val="16"/>
          <w:szCs w:val="16"/>
        </w:rPr>
        <w:tab/>
      </w:r>
      <w:r>
        <w:rPr>
          <w:i/>
          <w:sz w:val="16"/>
          <w:szCs w:val="16"/>
        </w:rPr>
        <w:t>Cfr.</w:t>
      </w:r>
      <w:r>
        <w:rPr>
          <w:sz w:val="16"/>
          <w:szCs w:val="16"/>
        </w:rPr>
        <w:t xml:space="preserve"> </w:t>
      </w:r>
      <w:r w:rsidRPr="00725179">
        <w:rPr>
          <w:rFonts w:eastAsia="Times" w:cs="Times New Roman"/>
          <w:i/>
          <w:noProof w:val="0"/>
          <w:sz w:val="16"/>
          <w:szCs w:val="16"/>
        </w:rPr>
        <w:t xml:space="preserve">Caso Pueblo Indígena </w:t>
      </w:r>
      <w:proofErr w:type="spellStart"/>
      <w:r w:rsidRPr="00725179">
        <w:rPr>
          <w:rFonts w:eastAsia="Times" w:cs="Times New Roman"/>
          <w:i/>
          <w:noProof w:val="0"/>
          <w:sz w:val="16"/>
          <w:szCs w:val="16"/>
        </w:rPr>
        <w:t>Kichwa</w:t>
      </w:r>
      <w:proofErr w:type="spellEnd"/>
      <w:r w:rsidRPr="00725179">
        <w:rPr>
          <w:rFonts w:eastAsia="Times" w:cs="Times New Roman"/>
          <w:i/>
          <w:noProof w:val="0"/>
          <w:sz w:val="16"/>
          <w:szCs w:val="16"/>
        </w:rPr>
        <w:t xml:space="preserve"> de </w:t>
      </w:r>
      <w:proofErr w:type="spellStart"/>
      <w:r w:rsidRPr="00725179">
        <w:rPr>
          <w:rFonts w:eastAsia="Times" w:cs="Times New Roman"/>
          <w:i/>
          <w:noProof w:val="0"/>
          <w:sz w:val="16"/>
          <w:szCs w:val="16"/>
        </w:rPr>
        <w:t>Sarayaku</w:t>
      </w:r>
      <w:proofErr w:type="spellEnd"/>
      <w:r w:rsidRPr="00725179">
        <w:rPr>
          <w:rFonts w:eastAsia="Times" w:cs="Times New Roman"/>
          <w:i/>
          <w:noProof w:val="0"/>
          <w:sz w:val="16"/>
          <w:szCs w:val="16"/>
        </w:rPr>
        <w:t xml:space="preserve"> Vs. Ecuador. Fondo y reparaciones</w:t>
      </w:r>
      <w:r w:rsidRPr="007C7FD2">
        <w:rPr>
          <w:rFonts w:eastAsia="Times" w:cs="Times New Roman"/>
          <w:noProof w:val="0"/>
          <w:sz w:val="16"/>
          <w:szCs w:val="16"/>
        </w:rPr>
        <w:t>. Sentencia de 27 de junio de 2012. Serie C No. 245, párr. 20.</w:t>
      </w:r>
    </w:p>
    <w:p w:rsidR="00287D3E" w:rsidRPr="007C7FD2" w:rsidRDefault="00287D3E" w:rsidP="00503801">
      <w:pPr>
        <w:pStyle w:val="FootnoteText"/>
        <w:rPr>
          <w:sz w:val="16"/>
          <w:szCs w:val="16"/>
        </w:rPr>
      </w:pPr>
    </w:p>
  </w:footnote>
  <w:footnote w:id="7">
    <w:p w:rsidR="00287D3E" w:rsidRPr="00A76642" w:rsidRDefault="00287D3E" w:rsidP="00A76642">
      <w:pPr>
        <w:pStyle w:val="FootnoteText"/>
        <w:jc w:val="both"/>
        <w:rPr>
          <w:lang w:val="es-CR"/>
        </w:rPr>
      </w:pPr>
      <w:r w:rsidRPr="00A76642">
        <w:rPr>
          <w:rStyle w:val="FootnoteReference"/>
          <w:rFonts w:eastAsiaTheme="minorHAnsi" w:cstheme="minorBidi"/>
          <w:sz w:val="16"/>
          <w:szCs w:val="16"/>
          <w:lang w:val="es-MX"/>
        </w:rPr>
        <w:footnoteRef/>
      </w:r>
      <w:r w:rsidRPr="00A76642">
        <w:rPr>
          <w:rStyle w:val="FootnoteReference"/>
          <w:rFonts w:eastAsiaTheme="minorHAnsi" w:cstheme="minorBidi"/>
          <w:sz w:val="16"/>
          <w:szCs w:val="16"/>
          <w:lang w:val="es-MX"/>
        </w:rPr>
        <w:t xml:space="preserve"> </w:t>
      </w:r>
      <w:r>
        <w:rPr>
          <w:rFonts w:eastAsiaTheme="minorHAnsi" w:cstheme="minorBidi"/>
          <w:sz w:val="16"/>
          <w:szCs w:val="16"/>
          <w:lang w:val="es-MX"/>
        </w:rPr>
        <w:tab/>
      </w:r>
      <w:proofErr w:type="spellStart"/>
      <w:r>
        <w:rPr>
          <w:rFonts w:eastAsiaTheme="minorHAnsi" w:cstheme="minorBidi"/>
          <w:sz w:val="16"/>
          <w:szCs w:val="16"/>
          <w:lang w:val="es-MX"/>
        </w:rPr>
        <w:t>Párrs</w:t>
      </w:r>
      <w:proofErr w:type="spellEnd"/>
      <w:r>
        <w:rPr>
          <w:rFonts w:eastAsiaTheme="minorHAnsi" w:cstheme="minorBidi"/>
          <w:sz w:val="16"/>
          <w:szCs w:val="16"/>
          <w:lang w:val="es-MX"/>
        </w:rPr>
        <w:t xml:space="preserve">. 15 a 16 de la Sentencia. </w:t>
      </w:r>
    </w:p>
  </w:footnote>
  <w:footnote w:id="8">
    <w:p w:rsidR="00287D3E" w:rsidRPr="00FF6773" w:rsidRDefault="00287D3E" w:rsidP="00510E65">
      <w:pPr>
        <w:pStyle w:val="FootnoteText"/>
        <w:jc w:val="both"/>
        <w:rPr>
          <w:rFonts w:eastAsiaTheme="minorHAnsi" w:cstheme="minorBidi"/>
          <w:sz w:val="16"/>
          <w:szCs w:val="16"/>
          <w:lang w:val="es-MX"/>
        </w:rPr>
      </w:pPr>
      <w:r w:rsidRPr="00FF6773">
        <w:rPr>
          <w:rStyle w:val="FootnoteReference"/>
          <w:rFonts w:eastAsiaTheme="minorHAnsi" w:cstheme="minorBidi"/>
          <w:sz w:val="16"/>
          <w:szCs w:val="16"/>
          <w:lang w:val="es-MX"/>
        </w:rPr>
        <w:footnoteRef/>
      </w:r>
      <w:r w:rsidRPr="00FF6773">
        <w:rPr>
          <w:rStyle w:val="FootnoteReference"/>
          <w:rFonts w:eastAsiaTheme="minorHAnsi" w:cstheme="minorBidi"/>
          <w:sz w:val="16"/>
          <w:szCs w:val="16"/>
          <w:lang w:val="es-MX"/>
        </w:rPr>
        <w:t xml:space="preserve"> </w:t>
      </w:r>
      <w:r>
        <w:rPr>
          <w:lang w:val="es-CR"/>
        </w:rPr>
        <w:tab/>
      </w:r>
      <w:r w:rsidRPr="00FF6773">
        <w:rPr>
          <w:rFonts w:eastAsiaTheme="minorHAnsi" w:cstheme="minorBidi"/>
          <w:sz w:val="16"/>
          <w:szCs w:val="16"/>
          <w:lang w:val="es-MX"/>
        </w:rPr>
        <w:t xml:space="preserve">Párr. </w:t>
      </w:r>
      <w:r>
        <w:rPr>
          <w:rFonts w:eastAsiaTheme="minorHAnsi" w:cstheme="minorBidi"/>
          <w:sz w:val="16"/>
          <w:szCs w:val="16"/>
          <w:lang w:val="es-MX"/>
        </w:rPr>
        <w:t>38 de la Sentencia.</w:t>
      </w:r>
    </w:p>
  </w:footnote>
  <w:footnote w:id="9">
    <w:p w:rsidR="00287D3E" w:rsidRPr="00321DB4" w:rsidRDefault="00287D3E" w:rsidP="00321DB4">
      <w:pPr>
        <w:pStyle w:val="FootnoteText"/>
        <w:jc w:val="both"/>
        <w:rPr>
          <w:lang w:val="es-CR"/>
        </w:rPr>
      </w:pPr>
      <w:r w:rsidRPr="00321DB4">
        <w:rPr>
          <w:rStyle w:val="FootnoteReference"/>
          <w:rFonts w:eastAsiaTheme="minorHAnsi" w:cstheme="minorBidi"/>
          <w:sz w:val="16"/>
          <w:szCs w:val="16"/>
          <w:lang w:val="es-MX"/>
        </w:rPr>
        <w:footnoteRef/>
      </w:r>
      <w:r>
        <w:t xml:space="preserve"> </w:t>
      </w:r>
      <w:r>
        <w:rPr>
          <w:lang w:val="es-CR"/>
        </w:rPr>
        <w:tab/>
      </w:r>
      <w:r w:rsidRPr="00321DB4">
        <w:rPr>
          <w:rFonts w:eastAsiaTheme="minorHAnsi" w:cstheme="minorBidi"/>
          <w:sz w:val="16"/>
          <w:szCs w:val="16"/>
          <w:lang w:val="es-MX"/>
        </w:rPr>
        <w:t>Párr. 27 de la Sentencia.</w:t>
      </w:r>
    </w:p>
  </w:footnote>
  <w:footnote w:id="10">
    <w:p w:rsidR="00287D3E" w:rsidRPr="009E2F24" w:rsidRDefault="00287D3E" w:rsidP="00510E65">
      <w:pPr>
        <w:pStyle w:val="FootnoteText"/>
        <w:jc w:val="both"/>
        <w:rPr>
          <w:lang w:val="es-CR"/>
        </w:rPr>
      </w:pPr>
      <w:r w:rsidRPr="009E2F24">
        <w:rPr>
          <w:rStyle w:val="FootnoteReference"/>
          <w:rFonts w:eastAsiaTheme="minorHAnsi" w:cstheme="minorBidi"/>
          <w:sz w:val="16"/>
          <w:szCs w:val="16"/>
          <w:lang w:val="es-MX"/>
        </w:rPr>
        <w:footnoteRef/>
      </w:r>
      <w:r w:rsidRPr="009E2F24">
        <w:rPr>
          <w:rStyle w:val="FootnoteReference"/>
          <w:rFonts w:eastAsiaTheme="minorHAnsi" w:cstheme="minorBidi"/>
          <w:sz w:val="16"/>
          <w:szCs w:val="16"/>
          <w:lang w:val="es-MX"/>
        </w:rPr>
        <w:t xml:space="preserve"> </w:t>
      </w:r>
      <w:r>
        <w:rPr>
          <w:rFonts w:eastAsiaTheme="minorHAnsi" w:cstheme="minorBidi"/>
          <w:sz w:val="16"/>
          <w:szCs w:val="16"/>
          <w:lang w:val="es-MX"/>
        </w:rPr>
        <w:tab/>
        <w:t>Párr. 89 de la Sentencia.</w:t>
      </w:r>
    </w:p>
  </w:footnote>
  <w:footnote w:id="11">
    <w:p w:rsidR="00287D3E" w:rsidRPr="00F9209F" w:rsidRDefault="00287D3E" w:rsidP="000131FF">
      <w:pPr>
        <w:pStyle w:val="FootnoteText"/>
        <w:jc w:val="both"/>
        <w:rPr>
          <w:rFonts w:eastAsiaTheme="minorHAnsi" w:cstheme="minorBidi"/>
          <w:sz w:val="16"/>
          <w:szCs w:val="16"/>
          <w:lang w:val="es-MX"/>
        </w:rPr>
      </w:pPr>
      <w:r w:rsidRPr="00F9209F">
        <w:rPr>
          <w:rStyle w:val="FootnoteReference"/>
          <w:rFonts w:eastAsiaTheme="minorHAnsi" w:cstheme="minorBidi"/>
          <w:sz w:val="16"/>
          <w:szCs w:val="16"/>
          <w:lang w:val="es-MX"/>
        </w:rPr>
        <w:footnoteRef/>
      </w:r>
      <w:r w:rsidRPr="00F9209F">
        <w:rPr>
          <w:rStyle w:val="FootnoteReference"/>
          <w:rFonts w:eastAsiaTheme="minorHAnsi" w:cstheme="minorBidi"/>
          <w:sz w:val="16"/>
          <w:szCs w:val="16"/>
          <w:lang w:val="es-MX"/>
        </w:rPr>
        <w:t xml:space="preserve"> </w:t>
      </w:r>
      <w:r>
        <w:rPr>
          <w:lang w:val="es-CR"/>
        </w:rPr>
        <w:tab/>
      </w:r>
      <w:r w:rsidRPr="00F9209F">
        <w:rPr>
          <w:rFonts w:eastAsiaTheme="minorHAnsi" w:cstheme="minorBidi"/>
          <w:sz w:val="16"/>
          <w:szCs w:val="16"/>
          <w:lang w:val="es-MX"/>
        </w:rPr>
        <w:t xml:space="preserve">Párr. 165 de la Sentencia. </w:t>
      </w:r>
    </w:p>
  </w:footnote>
  <w:footnote w:id="12">
    <w:p w:rsidR="00287D3E" w:rsidRPr="00E55BCD" w:rsidRDefault="00287D3E" w:rsidP="00510E65">
      <w:pPr>
        <w:pStyle w:val="FootnoteText"/>
        <w:jc w:val="both"/>
        <w:rPr>
          <w:rFonts w:eastAsiaTheme="minorHAnsi" w:cstheme="minorBidi"/>
          <w:sz w:val="16"/>
          <w:szCs w:val="16"/>
          <w:lang w:val="es-MX"/>
        </w:rPr>
      </w:pPr>
      <w:r w:rsidRPr="00E55BCD">
        <w:rPr>
          <w:rStyle w:val="FootnoteReference"/>
          <w:rFonts w:eastAsiaTheme="minorHAnsi" w:cstheme="minorBidi"/>
          <w:sz w:val="16"/>
          <w:szCs w:val="16"/>
          <w:lang w:val="es-MX"/>
        </w:rPr>
        <w:footnoteRef/>
      </w:r>
      <w:r w:rsidRPr="00E55BCD">
        <w:rPr>
          <w:rStyle w:val="FootnoteReference"/>
          <w:rFonts w:eastAsiaTheme="minorHAnsi" w:cstheme="minorBidi"/>
          <w:sz w:val="16"/>
          <w:szCs w:val="16"/>
          <w:lang w:val="es-MX"/>
        </w:rPr>
        <w:t xml:space="preserve"> </w:t>
      </w:r>
      <w:r>
        <w:rPr>
          <w:lang w:val="es-CR"/>
        </w:rPr>
        <w:tab/>
      </w:r>
      <w:r w:rsidRPr="00E55BCD">
        <w:rPr>
          <w:rFonts w:eastAsiaTheme="minorHAnsi" w:cstheme="minorBidi"/>
          <w:sz w:val="16"/>
          <w:szCs w:val="16"/>
          <w:lang w:val="es-MX"/>
        </w:rPr>
        <w:t>Párr. 89 de la Sentencia.</w:t>
      </w:r>
    </w:p>
  </w:footnote>
  <w:footnote w:id="13">
    <w:p w:rsidR="00B86193" w:rsidRPr="00FB4D22" w:rsidRDefault="00B86193" w:rsidP="00B86193">
      <w:pPr>
        <w:pStyle w:val="FootnoteText"/>
        <w:jc w:val="both"/>
        <w:rPr>
          <w:rFonts w:eastAsiaTheme="minorHAnsi" w:cstheme="minorBidi"/>
          <w:sz w:val="16"/>
          <w:szCs w:val="16"/>
          <w:lang w:val="es-CR"/>
        </w:rPr>
      </w:pPr>
      <w:r w:rsidRPr="00FB4D22">
        <w:rPr>
          <w:rStyle w:val="FootnoteReference"/>
          <w:rFonts w:eastAsiaTheme="minorHAnsi" w:cstheme="minorBidi"/>
          <w:sz w:val="16"/>
          <w:szCs w:val="16"/>
          <w:lang w:val="es-MX"/>
        </w:rPr>
        <w:footnoteRef/>
      </w:r>
      <w:r>
        <w:t xml:space="preserve"> </w:t>
      </w:r>
      <w:r>
        <w:tab/>
      </w:r>
      <w:r w:rsidR="002B4BB5">
        <w:rPr>
          <w:rFonts w:eastAsiaTheme="minorHAnsi" w:cstheme="minorBidi"/>
          <w:sz w:val="16"/>
          <w:szCs w:val="16"/>
          <w:lang w:val="es-CR"/>
        </w:rPr>
        <w:t>Párr</w:t>
      </w:r>
      <w:r w:rsidRPr="00FB4D22">
        <w:rPr>
          <w:rFonts w:eastAsiaTheme="minorHAnsi" w:cstheme="minorBidi"/>
          <w:sz w:val="16"/>
          <w:szCs w:val="16"/>
          <w:lang w:val="es-CR"/>
        </w:rPr>
        <w:t>. 295</w:t>
      </w:r>
      <w:r w:rsidR="00E5116B">
        <w:rPr>
          <w:rFonts w:eastAsiaTheme="minorHAnsi" w:cstheme="minorBidi"/>
          <w:sz w:val="16"/>
          <w:szCs w:val="16"/>
          <w:lang w:val="es-CR"/>
        </w:rPr>
        <w:t xml:space="preserve"> de la Sentencia</w:t>
      </w:r>
      <w:r w:rsidRPr="00FB4D22">
        <w:rPr>
          <w:rFonts w:eastAsiaTheme="minorHAnsi" w:cstheme="minorBidi"/>
          <w:sz w:val="16"/>
          <w:szCs w:val="16"/>
          <w:lang w:val="es-CR"/>
        </w:rPr>
        <w:t xml:space="preserve">. </w:t>
      </w:r>
    </w:p>
  </w:footnote>
  <w:footnote w:id="14">
    <w:p w:rsidR="002B4BB5" w:rsidRPr="002B4BB5" w:rsidRDefault="002B4BB5" w:rsidP="002B4BB5">
      <w:pPr>
        <w:pStyle w:val="FootnoteText"/>
        <w:jc w:val="both"/>
        <w:rPr>
          <w:lang w:val="es-CR"/>
        </w:rPr>
      </w:pPr>
      <w:r w:rsidRPr="002B4BB5">
        <w:rPr>
          <w:rStyle w:val="FootnoteReference"/>
          <w:rFonts w:eastAsiaTheme="minorHAnsi" w:cstheme="minorBidi"/>
          <w:sz w:val="16"/>
          <w:szCs w:val="16"/>
          <w:lang w:val="es-MX"/>
        </w:rPr>
        <w:footnoteRef/>
      </w:r>
      <w:r w:rsidRPr="002B4BB5">
        <w:rPr>
          <w:rStyle w:val="FootnoteReference"/>
          <w:rFonts w:eastAsiaTheme="minorHAnsi" w:cstheme="minorBidi"/>
          <w:sz w:val="16"/>
          <w:szCs w:val="16"/>
          <w:lang w:val="es-MX"/>
        </w:rPr>
        <w:t xml:space="preserve"> </w:t>
      </w:r>
      <w:r>
        <w:rPr>
          <w:rFonts w:eastAsiaTheme="minorHAnsi" w:cstheme="minorBidi"/>
          <w:sz w:val="16"/>
          <w:szCs w:val="16"/>
          <w:lang w:val="es-MX"/>
        </w:rPr>
        <w:tab/>
        <w:t>Párr. 296 de la Sentencia.</w:t>
      </w:r>
    </w:p>
  </w:footnote>
  <w:footnote w:id="15">
    <w:p w:rsidR="002B4BB5" w:rsidRPr="002B4BB5" w:rsidRDefault="002B4BB5" w:rsidP="002B4BB5">
      <w:pPr>
        <w:pStyle w:val="FootnoteText"/>
        <w:jc w:val="both"/>
        <w:rPr>
          <w:rStyle w:val="FootnoteReference"/>
          <w:rFonts w:eastAsiaTheme="minorHAnsi" w:cstheme="minorBidi"/>
          <w:sz w:val="16"/>
          <w:szCs w:val="16"/>
          <w:lang w:val="es-MX"/>
        </w:rPr>
      </w:pPr>
      <w:r w:rsidRPr="002B4BB5">
        <w:rPr>
          <w:rStyle w:val="FootnoteReference"/>
          <w:rFonts w:eastAsiaTheme="minorHAnsi" w:cstheme="minorBidi"/>
          <w:sz w:val="16"/>
          <w:szCs w:val="16"/>
          <w:lang w:val="es-MX"/>
        </w:rPr>
        <w:footnoteRef/>
      </w:r>
      <w:r w:rsidRPr="002B4BB5">
        <w:rPr>
          <w:rStyle w:val="FootnoteReference"/>
          <w:rFonts w:eastAsiaTheme="minorHAnsi" w:cstheme="minorBidi"/>
          <w:sz w:val="16"/>
          <w:szCs w:val="16"/>
          <w:lang w:val="es-MX"/>
        </w:rPr>
        <w:t xml:space="preserve"> </w:t>
      </w:r>
      <w:r>
        <w:rPr>
          <w:rFonts w:eastAsiaTheme="minorHAnsi" w:cstheme="minorBidi"/>
          <w:sz w:val="16"/>
          <w:szCs w:val="16"/>
          <w:lang w:val="es-MX"/>
        </w:rPr>
        <w:tab/>
      </w:r>
      <w:proofErr w:type="spellStart"/>
      <w:r>
        <w:rPr>
          <w:rFonts w:eastAsiaTheme="minorHAnsi" w:cstheme="minorBidi"/>
          <w:sz w:val="16"/>
          <w:szCs w:val="16"/>
          <w:lang w:val="es-MX"/>
        </w:rPr>
        <w:t>Párrs</w:t>
      </w:r>
      <w:proofErr w:type="spellEnd"/>
      <w:r>
        <w:rPr>
          <w:rFonts w:eastAsiaTheme="minorHAnsi" w:cstheme="minorBidi"/>
          <w:sz w:val="16"/>
          <w:szCs w:val="16"/>
          <w:lang w:val="es-MX"/>
        </w:rPr>
        <w:t>. 298 a 299 de la Sentencia.</w:t>
      </w:r>
    </w:p>
  </w:footnote>
  <w:footnote w:id="16">
    <w:p w:rsidR="00E5116B" w:rsidRPr="00E5116B" w:rsidRDefault="00E5116B" w:rsidP="00037DF2">
      <w:pPr>
        <w:pStyle w:val="FootnoteText"/>
        <w:jc w:val="both"/>
        <w:rPr>
          <w:rStyle w:val="FootnoteReference"/>
          <w:rFonts w:eastAsiaTheme="minorHAnsi" w:cstheme="minorBidi"/>
          <w:sz w:val="16"/>
          <w:szCs w:val="16"/>
          <w:lang w:val="es-MX"/>
        </w:rPr>
      </w:pPr>
      <w:r w:rsidRPr="00E5116B">
        <w:rPr>
          <w:rStyle w:val="FootnoteReference"/>
          <w:rFonts w:eastAsiaTheme="minorHAnsi" w:cstheme="minorBidi"/>
          <w:sz w:val="16"/>
          <w:szCs w:val="16"/>
          <w:lang w:val="es-MX"/>
        </w:rPr>
        <w:footnoteRef/>
      </w:r>
      <w:r w:rsidRPr="00E5116B">
        <w:rPr>
          <w:rStyle w:val="FootnoteReference"/>
          <w:rFonts w:eastAsiaTheme="minorHAnsi" w:cstheme="minorBidi"/>
          <w:sz w:val="16"/>
          <w:szCs w:val="16"/>
          <w:lang w:val="es-MX"/>
        </w:rPr>
        <w:t xml:space="preserve"> </w:t>
      </w:r>
      <w:r>
        <w:rPr>
          <w:rFonts w:eastAsiaTheme="minorHAnsi" w:cstheme="minorBidi"/>
          <w:sz w:val="16"/>
          <w:szCs w:val="16"/>
          <w:lang w:val="es-MX"/>
        </w:rPr>
        <w:tab/>
      </w:r>
      <w:r w:rsidR="00912E28">
        <w:rPr>
          <w:rFonts w:eastAsiaTheme="minorHAnsi" w:cstheme="minorBidi"/>
          <w:sz w:val="16"/>
          <w:szCs w:val="16"/>
          <w:lang w:val="es-MX"/>
        </w:rPr>
        <w:t>Véase</w:t>
      </w:r>
      <w:r>
        <w:rPr>
          <w:rFonts w:eastAsiaTheme="minorHAnsi" w:cstheme="minorBidi"/>
          <w:sz w:val="16"/>
          <w:szCs w:val="16"/>
          <w:lang w:val="es-MX"/>
        </w:rPr>
        <w:t xml:space="preserve"> también los artículos 20(2) y 32(3) de la Declaración de las Naciones Unidas sobre los Derechos de los Pueb</w:t>
      </w:r>
      <w:r w:rsidR="00037DF2">
        <w:rPr>
          <w:rFonts w:eastAsiaTheme="minorHAnsi" w:cstheme="minorBidi"/>
          <w:sz w:val="16"/>
          <w:szCs w:val="16"/>
          <w:lang w:val="es-MX"/>
        </w:rPr>
        <w:t>l</w:t>
      </w:r>
      <w:r>
        <w:rPr>
          <w:rFonts w:eastAsiaTheme="minorHAnsi" w:cstheme="minorBidi"/>
          <w:sz w:val="16"/>
          <w:szCs w:val="16"/>
          <w:lang w:val="es-MX"/>
        </w:rPr>
        <w:t>os Indígenas.</w:t>
      </w:r>
    </w:p>
  </w:footnote>
  <w:footnote w:id="17">
    <w:p w:rsidR="00C63676" w:rsidRPr="00C63676" w:rsidRDefault="00C63676" w:rsidP="00C63676">
      <w:pPr>
        <w:pStyle w:val="FootnoteText"/>
        <w:jc w:val="both"/>
        <w:rPr>
          <w:lang w:val="es-MX"/>
        </w:rPr>
      </w:pPr>
      <w:r w:rsidRPr="00C63676">
        <w:rPr>
          <w:rStyle w:val="FootnoteReference"/>
          <w:rFonts w:eastAsiaTheme="minorHAnsi" w:cstheme="minorBidi"/>
          <w:sz w:val="16"/>
          <w:szCs w:val="16"/>
          <w:lang w:val="es-MX"/>
        </w:rPr>
        <w:footnoteRef/>
      </w:r>
      <w:r w:rsidRPr="00C63676">
        <w:rPr>
          <w:rStyle w:val="FootnoteReference"/>
          <w:rFonts w:eastAsiaTheme="minorHAnsi" w:cstheme="minorBidi"/>
          <w:sz w:val="16"/>
          <w:szCs w:val="16"/>
          <w:lang w:val="es-MX"/>
        </w:rPr>
        <w:t xml:space="preserve"> </w:t>
      </w:r>
      <w:r>
        <w:rPr>
          <w:rFonts w:eastAsiaTheme="minorHAnsi" w:cstheme="minorBidi"/>
          <w:sz w:val="16"/>
          <w:szCs w:val="16"/>
          <w:lang w:val="es-MX"/>
        </w:rPr>
        <w:tab/>
        <w:t>Corte Constitucional de Colombia, sentencia T-514 de 2009.</w:t>
      </w:r>
    </w:p>
  </w:footnote>
  <w:footnote w:id="18">
    <w:p w:rsidR="00723FF6" w:rsidRPr="00A1277D" w:rsidRDefault="00723FF6" w:rsidP="00723FF6">
      <w:pPr>
        <w:pStyle w:val="FootnoteText"/>
        <w:jc w:val="both"/>
        <w:rPr>
          <w:lang w:val="es-CR"/>
        </w:rPr>
      </w:pPr>
      <w:r w:rsidRPr="00A1277D">
        <w:rPr>
          <w:rStyle w:val="FootnoteReference"/>
          <w:rFonts w:eastAsiaTheme="minorHAnsi" w:cstheme="minorBidi"/>
          <w:sz w:val="16"/>
          <w:szCs w:val="16"/>
          <w:lang w:val="es-MX"/>
        </w:rPr>
        <w:footnoteRef/>
      </w:r>
      <w:r w:rsidRPr="00A1277D">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127469">
        <w:rPr>
          <w:rFonts w:eastAsiaTheme="minorHAnsi" w:cstheme="minorBidi"/>
          <w:bCs/>
          <w:i/>
          <w:sz w:val="16"/>
          <w:szCs w:val="16"/>
          <w:lang w:val="es-CR"/>
        </w:rPr>
        <w:t xml:space="preserve">Caso </w:t>
      </w:r>
      <w:proofErr w:type="spellStart"/>
      <w:r w:rsidRPr="00127469">
        <w:rPr>
          <w:rFonts w:eastAsiaTheme="minorHAnsi" w:cstheme="minorBidi"/>
          <w:bCs/>
          <w:i/>
          <w:sz w:val="16"/>
          <w:szCs w:val="16"/>
          <w:lang w:val="es-CR"/>
        </w:rPr>
        <w:t>Escué</w:t>
      </w:r>
      <w:proofErr w:type="spellEnd"/>
      <w:r w:rsidRPr="00127469">
        <w:rPr>
          <w:rFonts w:eastAsiaTheme="minorHAnsi" w:cstheme="minorBidi"/>
          <w:bCs/>
          <w:i/>
          <w:sz w:val="16"/>
          <w:szCs w:val="16"/>
          <w:lang w:val="es-CR"/>
        </w:rPr>
        <w:t xml:space="preserve"> Zapata Vs. Colombia. Fondo, Reparaciones y Costas</w:t>
      </w:r>
      <w:r w:rsidRPr="00127469">
        <w:rPr>
          <w:rFonts w:eastAsiaTheme="minorHAnsi" w:cstheme="minorBidi"/>
          <w:bCs/>
          <w:sz w:val="16"/>
          <w:szCs w:val="16"/>
          <w:lang w:val="es-CR"/>
        </w:rPr>
        <w:t>. Sentencia de 4 de julio de 2007. Serie C No. 165</w:t>
      </w:r>
      <w:r>
        <w:rPr>
          <w:rFonts w:eastAsiaTheme="minorHAnsi" w:cstheme="minorBidi"/>
          <w:bCs/>
          <w:sz w:val="16"/>
          <w:szCs w:val="16"/>
          <w:lang w:val="es-CR"/>
        </w:rPr>
        <w:t>, párr. 168.</w:t>
      </w:r>
    </w:p>
  </w:footnote>
  <w:footnote w:id="19">
    <w:p w:rsidR="00723FF6" w:rsidRPr="002415B8" w:rsidRDefault="00723FF6" w:rsidP="00723FF6">
      <w:pPr>
        <w:pStyle w:val="FootnoteText"/>
        <w:jc w:val="both"/>
        <w:rPr>
          <w:lang w:val="es-CR"/>
        </w:rPr>
      </w:pPr>
      <w:r w:rsidRPr="002415B8">
        <w:rPr>
          <w:rStyle w:val="FootnoteReference"/>
          <w:rFonts w:eastAsiaTheme="minorHAnsi" w:cstheme="minorBidi"/>
          <w:sz w:val="16"/>
          <w:szCs w:val="16"/>
          <w:lang w:val="es-MX"/>
        </w:rPr>
        <w:footnoteRef/>
      </w:r>
      <w:r w:rsidRPr="002415B8">
        <w:rPr>
          <w:rStyle w:val="FootnoteReference"/>
          <w:rFonts w:eastAsiaTheme="minorHAnsi" w:cstheme="minorBidi"/>
          <w:sz w:val="16"/>
          <w:szCs w:val="16"/>
          <w:lang w:val="es-MX"/>
        </w:rPr>
        <w:t xml:space="preserve"> </w:t>
      </w:r>
      <w:r>
        <w:rPr>
          <w:rFonts w:eastAsiaTheme="minorHAnsi" w:cstheme="minorBidi"/>
          <w:sz w:val="16"/>
          <w:szCs w:val="16"/>
          <w:lang w:val="es-MX"/>
        </w:rPr>
        <w:tab/>
        <w:t>Párr. 295 de la Sentencia.</w:t>
      </w:r>
    </w:p>
  </w:footnote>
  <w:footnote w:id="20">
    <w:p w:rsidR="00287D3E" w:rsidRPr="00A51BC4" w:rsidRDefault="00287D3E" w:rsidP="000131FF">
      <w:pPr>
        <w:pStyle w:val="FootnoteText"/>
        <w:jc w:val="both"/>
      </w:pPr>
      <w:r w:rsidRPr="00A51BC4">
        <w:rPr>
          <w:rStyle w:val="FootnoteReference"/>
          <w:rFonts w:eastAsiaTheme="minorHAnsi" w:cstheme="minorBidi"/>
          <w:sz w:val="16"/>
          <w:szCs w:val="16"/>
          <w:lang w:val="es-MX"/>
        </w:rPr>
        <w:footnoteRef/>
      </w:r>
      <w:r>
        <w:t xml:space="preserve"> </w:t>
      </w:r>
      <w:r>
        <w:tab/>
      </w:r>
      <w:r w:rsidRPr="00A772CD">
        <w:rPr>
          <w:rFonts w:eastAsiaTheme="minorHAnsi" w:cstheme="minorBidi"/>
          <w:i/>
          <w:sz w:val="16"/>
          <w:szCs w:val="16"/>
          <w:lang w:val="es-CR"/>
        </w:rPr>
        <w:t xml:space="preserve">Caso de la Comunidad </w:t>
      </w:r>
      <w:proofErr w:type="spellStart"/>
      <w:r w:rsidRPr="00A772CD">
        <w:rPr>
          <w:rFonts w:eastAsiaTheme="minorHAnsi" w:cstheme="minorBidi"/>
          <w:i/>
          <w:sz w:val="16"/>
          <w:szCs w:val="16"/>
          <w:lang w:val="es-CR"/>
        </w:rPr>
        <w:t>Mayagna</w:t>
      </w:r>
      <w:proofErr w:type="spellEnd"/>
      <w:r w:rsidRPr="00A772CD">
        <w:rPr>
          <w:rFonts w:eastAsiaTheme="minorHAnsi" w:cstheme="minorBidi"/>
          <w:i/>
          <w:sz w:val="16"/>
          <w:szCs w:val="16"/>
          <w:lang w:val="es-CR"/>
        </w:rPr>
        <w:t xml:space="preserve"> (Sumo) </w:t>
      </w:r>
      <w:proofErr w:type="spellStart"/>
      <w:r w:rsidRPr="00A772CD">
        <w:rPr>
          <w:rFonts w:eastAsiaTheme="minorHAnsi" w:cstheme="minorBidi"/>
          <w:i/>
          <w:sz w:val="16"/>
          <w:szCs w:val="16"/>
          <w:lang w:val="es-CR"/>
        </w:rPr>
        <w:t>Awas</w:t>
      </w:r>
      <w:proofErr w:type="spellEnd"/>
      <w:r w:rsidRPr="00A772CD">
        <w:rPr>
          <w:rFonts w:eastAsiaTheme="minorHAnsi" w:cstheme="minorBidi"/>
          <w:i/>
          <w:sz w:val="16"/>
          <w:szCs w:val="16"/>
          <w:lang w:val="es-CR"/>
        </w:rPr>
        <w:t xml:space="preserve"> </w:t>
      </w:r>
      <w:proofErr w:type="spellStart"/>
      <w:r w:rsidRPr="00A772CD">
        <w:rPr>
          <w:rFonts w:eastAsiaTheme="minorHAnsi" w:cstheme="minorBidi"/>
          <w:i/>
          <w:sz w:val="16"/>
          <w:szCs w:val="16"/>
          <w:lang w:val="es-CR"/>
        </w:rPr>
        <w:t>Tingni</w:t>
      </w:r>
      <w:proofErr w:type="spellEnd"/>
      <w:r w:rsidRPr="00A772CD">
        <w:rPr>
          <w:rFonts w:eastAsiaTheme="minorHAnsi" w:cstheme="minorBidi"/>
          <w:i/>
          <w:sz w:val="16"/>
          <w:szCs w:val="16"/>
          <w:lang w:val="es-CR"/>
        </w:rPr>
        <w:t xml:space="preserve"> Vs. Nicaragua. Fondo, Reparaciones y Costas</w:t>
      </w:r>
      <w:r w:rsidRPr="00A772CD">
        <w:rPr>
          <w:rFonts w:eastAsiaTheme="minorHAnsi" w:cstheme="minorBidi"/>
          <w:sz w:val="16"/>
          <w:szCs w:val="16"/>
          <w:lang w:val="es-CR"/>
        </w:rPr>
        <w:t xml:space="preserve">. Sentencia de 31 de agosto de 2001. Serie C No. 79, </w:t>
      </w:r>
      <w:r>
        <w:rPr>
          <w:rFonts w:eastAsiaTheme="minorHAnsi" w:cstheme="minorBidi"/>
          <w:sz w:val="16"/>
          <w:szCs w:val="16"/>
          <w:lang w:val="es-CR"/>
        </w:rPr>
        <w:t>párr</w:t>
      </w:r>
      <w:r w:rsidRPr="00A772CD">
        <w:rPr>
          <w:rFonts w:eastAsiaTheme="minorHAnsi" w:cstheme="minorBidi"/>
          <w:sz w:val="16"/>
          <w:szCs w:val="16"/>
          <w:lang w:val="es-CR"/>
        </w:rPr>
        <w:t>. 1</w:t>
      </w:r>
      <w:r>
        <w:rPr>
          <w:rFonts w:eastAsiaTheme="minorHAnsi" w:cstheme="minorBidi"/>
          <w:sz w:val="16"/>
          <w:szCs w:val="16"/>
          <w:lang w:val="es-CR"/>
        </w:rPr>
        <w:t>67.</w:t>
      </w:r>
    </w:p>
  </w:footnote>
  <w:footnote w:id="21">
    <w:p w:rsidR="00287D3E" w:rsidRPr="00DE7D3F" w:rsidRDefault="00287D3E" w:rsidP="001932A6">
      <w:pPr>
        <w:pStyle w:val="FootnoteText"/>
        <w:jc w:val="both"/>
      </w:pPr>
      <w:r w:rsidRPr="00DE7D3F">
        <w:rPr>
          <w:rStyle w:val="FootnoteReference"/>
          <w:rFonts w:eastAsiaTheme="minorHAnsi" w:cstheme="minorBidi"/>
          <w:sz w:val="16"/>
          <w:szCs w:val="16"/>
          <w:lang w:val="es-MX"/>
        </w:rPr>
        <w:footnoteRef/>
      </w:r>
      <w:r>
        <w:t xml:space="preserve"> </w:t>
      </w:r>
      <w:r>
        <w:tab/>
      </w:r>
      <w:r w:rsidRPr="00DE7D3F">
        <w:rPr>
          <w:rFonts w:eastAsiaTheme="minorHAnsi" w:cstheme="minorBidi"/>
          <w:i/>
          <w:sz w:val="16"/>
          <w:szCs w:val="16"/>
          <w:lang w:val="es-CR"/>
        </w:rPr>
        <w:t xml:space="preserve">Cfr. Caso Comunidad Indígena </w:t>
      </w:r>
      <w:proofErr w:type="spellStart"/>
      <w:r w:rsidRPr="00DE7D3F">
        <w:rPr>
          <w:rFonts w:eastAsiaTheme="minorHAnsi" w:cstheme="minorBidi"/>
          <w:i/>
          <w:sz w:val="16"/>
          <w:szCs w:val="16"/>
          <w:lang w:val="es-CR"/>
        </w:rPr>
        <w:t>Yakye</w:t>
      </w:r>
      <w:proofErr w:type="spellEnd"/>
      <w:r w:rsidRPr="00DE7D3F">
        <w:rPr>
          <w:rFonts w:eastAsiaTheme="minorHAnsi" w:cstheme="minorBidi"/>
          <w:i/>
          <w:sz w:val="16"/>
          <w:szCs w:val="16"/>
          <w:lang w:val="es-CR"/>
        </w:rPr>
        <w:t xml:space="preserve"> Axa Vs. Paraguay. Fondo Reparaciones y Costas</w:t>
      </w:r>
      <w:r w:rsidRPr="00DE7D3F">
        <w:rPr>
          <w:rFonts w:eastAsiaTheme="minorHAnsi" w:cstheme="minorBidi"/>
          <w:sz w:val="16"/>
          <w:szCs w:val="16"/>
          <w:lang w:val="es-CR"/>
        </w:rPr>
        <w:t xml:space="preserve">. Sentencia </w:t>
      </w:r>
      <w:r>
        <w:rPr>
          <w:rFonts w:eastAsiaTheme="minorHAnsi" w:cstheme="minorBidi"/>
          <w:sz w:val="16"/>
          <w:szCs w:val="16"/>
          <w:lang w:val="es-CR"/>
        </w:rPr>
        <w:t xml:space="preserve">de </w:t>
      </w:r>
      <w:r w:rsidRPr="00DE7D3F">
        <w:rPr>
          <w:rFonts w:eastAsiaTheme="minorHAnsi" w:cstheme="minorBidi"/>
          <w:sz w:val="16"/>
          <w:szCs w:val="16"/>
          <w:lang w:val="es-CR"/>
        </w:rPr>
        <w:t>17 de junio de 2005. Serie C No. 125</w:t>
      </w:r>
      <w:r>
        <w:rPr>
          <w:rFonts w:eastAsiaTheme="minorHAnsi" w:cstheme="minorBidi"/>
          <w:sz w:val="16"/>
          <w:szCs w:val="16"/>
          <w:lang w:val="es-CR"/>
        </w:rPr>
        <w:t xml:space="preserve">, párr. 205. En esta Sentencia también se ordenó la creación de un fondo </w:t>
      </w:r>
      <w:r>
        <w:rPr>
          <w:sz w:val="16"/>
        </w:rPr>
        <w:t xml:space="preserve">destinado a la adquisición de las tierras a entregarse a la Comunidad </w:t>
      </w:r>
      <w:proofErr w:type="spellStart"/>
      <w:r>
        <w:rPr>
          <w:sz w:val="16"/>
        </w:rPr>
        <w:t>Yakye</w:t>
      </w:r>
      <w:proofErr w:type="spellEnd"/>
      <w:r>
        <w:rPr>
          <w:sz w:val="16"/>
        </w:rPr>
        <w:t xml:space="preserve"> Axa (párr. 218).</w:t>
      </w:r>
    </w:p>
  </w:footnote>
  <w:footnote w:id="22">
    <w:p w:rsidR="00287D3E" w:rsidRPr="00DE7D3F" w:rsidRDefault="00287D3E" w:rsidP="00F9749F">
      <w:pPr>
        <w:rPr>
          <w:rFonts w:eastAsiaTheme="minorHAnsi" w:cstheme="minorBidi"/>
          <w:noProof w:val="0"/>
          <w:sz w:val="16"/>
          <w:szCs w:val="16"/>
          <w:lang w:val="es-CR"/>
        </w:rPr>
      </w:pPr>
      <w:r w:rsidRPr="00646102">
        <w:rPr>
          <w:rStyle w:val="FootnoteReference"/>
          <w:rFonts w:eastAsiaTheme="minorHAnsi" w:cstheme="minorBidi"/>
          <w:sz w:val="16"/>
          <w:szCs w:val="16"/>
          <w:lang w:val="es-MX"/>
        </w:rPr>
        <w:footnoteRef/>
      </w:r>
      <w:r>
        <w:t xml:space="preserve"> </w:t>
      </w:r>
      <w:r>
        <w:tab/>
      </w:r>
      <w:r w:rsidRPr="00127469">
        <w:rPr>
          <w:rFonts w:eastAsiaTheme="minorHAnsi" w:cstheme="minorBidi"/>
          <w:i/>
          <w:noProof w:val="0"/>
          <w:sz w:val="16"/>
          <w:szCs w:val="16"/>
          <w:lang w:val="es-CR"/>
        </w:rPr>
        <w:t xml:space="preserve">Cfr. Caso Comunidad Indígena </w:t>
      </w:r>
      <w:proofErr w:type="spellStart"/>
      <w:r w:rsidRPr="00127469">
        <w:rPr>
          <w:rFonts w:eastAsiaTheme="minorHAnsi" w:cstheme="minorBidi"/>
          <w:i/>
          <w:noProof w:val="0"/>
          <w:sz w:val="16"/>
          <w:szCs w:val="16"/>
          <w:lang w:val="es-CR"/>
        </w:rPr>
        <w:t>Sawhoyamaxa</w:t>
      </w:r>
      <w:proofErr w:type="spellEnd"/>
      <w:r w:rsidRPr="00127469">
        <w:rPr>
          <w:rFonts w:eastAsiaTheme="minorHAnsi" w:cstheme="minorBidi"/>
          <w:i/>
          <w:noProof w:val="0"/>
          <w:sz w:val="16"/>
          <w:szCs w:val="16"/>
          <w:lang w:val="es-CR"/>
        </w:rPr>
        <w:t xml:space="preserve"> Vs. Paraguay. Fondo, Reparaciones y Costas</w:t>
      </w:r>
      <w:r w:rsidRPr="00127469">
        <w:rPr>
          <w:rFonts w:eastAsiaTheme="minorHAnsi" w:cstheme="minorBidi"/>
          <w:noProof w:val="0"/>
          <w:sz w:val="16"/>
          <w:szCs w:val="16"/>
          <w:lang w:val="es-CR"/>
        </w:rPr>
        <w:t xml:space="preserve">. Sentencia de 29 de marzo de 2006. Serie C No. 146, párr. 224; </w:t>
      </w:r>
      <w:r w:rsidRPr="00127469">
        <w:rPr>
          <w:rFonts w:eastAsiaTheme="minorHAnsi" w:cstheme="minorBidi"/>
          <w:bCs/>
          <w:i/>
          <w:noProof w:val="0"/>
          <w:sz w:val="16"/>
          <w:szCs w:val="16"/>
          <w:lang w:val="es-CR"/>
        </w:rPr>
        <w:t xml:space="preserve">Caso </w:t>
      </w:r>
      <w:proofErr w:type="spellStart"/>
      <w:r w:rsidRPr="00127469">
        <w:rPr>
          <w:rFonts w:eastAsiaTheme="minorHAnsi" w:cstheme="minorBidi"/>
          <w:bCs/>
          <w:i/>
          <w:noProof w:val="0"/>
          <w:sz w:val="16"/>
          <w:szCs w:val="16"/>
          <w:lang w:val="es-CR"/>
        </w:rPr>
        <w:t>Escué</w:t>
      </w:r>
      <w:proofErr w:type="spellEnd"/>
      <w:r w:rsidRPr="00127469">
        <w:rPr>
          <w:rFonts w:eastAsiaTheme="minorHAnsi" w:cstheme="minorBidi"/>
          <w:bCs/>
          <w:i/>
          <w:noProof w:val="0"/>
          <w:sz w:val="16"/>
          <w:szCs w:val="16"/>
          <w:lang w:val="es-CR"/>
        </w:rPr>
        <w:t xml:space="preserve"> Zapata Vs. Colombia. Fondo, Reparaciones y Costas</w:t>
      </w:r>
      <w:r w:rsidRPr="00127469">
        <w:rPr>
          <w:rFonts w:eastAsiaTheme="minorHAnsi" w:cstheme="minorBidi"/>
          <w:bCs/>
          <w:noProof w:val="0"/>
          <w:sz w:val="16"/>
          <w:szCs w:val="16"/>
          <w:lang w:val="es-CR"/>
        </w:rPr>
        <w:t>. Sentencia de 4 de julio de 2007. Serie C No. 165</w:t>
      </w:r>
      <w:r>
        <w:rPr>
          <w:rFonts w:eastAsiaTheme="minorHAnsi" w:cstheme="minorBidi"/>
          <w:bCs/>
          <w:noProof w:val="0"/>
          <w:sz w:val="16"/>
          <w:szCs w:val="16"/>
          <w:lang w:val="es-CR"/>
        </w:rPr>
        <w:t>, párr. 168</w:t>
      </w:r>
      <w:r w:rsidRPr="00127469">
        <w:rPr>
          <w:rFonts w:eastAsiaTheme="minorHAnsi" w:cstheme="minorBidi"/>
          <w:bCs/>
          <w:noProof w:val="0"/>
          <w:sz w:val="16"/>
          <w:szCs w:val="16"/>
          <w:lang w:val="es-CR"/>
        </w:rPr>
        <w:t xml:space="preserve">; </w:t>
      </w:r>
      <w:r w:rsidRPr="00127469">
        <w:rPr>
          <w:rFonts w:eastAsiaTheme="minorHAnsi" w:cstheme="minorBidi"/>
          <w:i/>
          <w:noProof w:val="0"/>
          <w:sz w:val="16"/>
          <w:szCs w:val="16"/>
          <w:lang w:val="es-CR"/>
        </w:rPr>
        <w:t xml:space="preserve">Caso del Pueblo </w:t>
      </w:r>
      <w:proofErr w:type="spellStart"/>
      <w:r w:rsidRPr="00127469">
        <w:rPr>
          <w:rFonts w:eastAsiaTheme="minorHAnsi" w:cstheme="minorBidi"/>
          <w:i/>
          <w:noProof w:val="0"/>
          <w:sz w:val="16"/>
          <w:szCs w:val="16"/>
          <w:lang w:val="es-CR"/>
        </w:rPr>
        <w:t>Saramaka</w:t>
      </w:r>
      <w:proofErr w:type="spellEnd"/>
      <w:r w:rsidRPr="00127469">
        <w:rPr>
          <w:rFonts w:eastAsiaTheme="minorHAnsi" w:cstheme="minorBidi"/>
          <w:i/>
          <w:noProof w:val="0"/>
          <w:sz w:val="16"/>
          <w:szCs w:val="16"/>
          <w:lang w:val="es-CR"/>
        </w:rPr>
        <w:t>. Vs. Surinam. Excepciones Preliminares, Fondo, Reparaciones y Costas</w:t>
      </w:r>
      <w:r w:rsidRPr="00127469">
        <w:rPr>
          <w:rFonts w:eastAsiaTheme="minorHAnsi" w:cstheme="minorBidi"/>
          <w:noProof w:val="0"/>
          <w:sz w:val="16"/>
          <w:szCs w:val="16"/>
          <w:lang w:val="es-CR"/>
        </w:rPr>
        <w:t>. Sentencia de 28 de noviembre de 2007. Serie C No. 172, párr.</w:t>
      </w:r>
      <w:r>
        <w:rPr>
          <w:rFonts w:eastAsiaTheme="minorHAnsi" w:cstheme="minorBidi"/>
          <w:noProof w:val="0"/>
          <w:sz w:val="16"/>
          <w:szCs w:val="16"/>
          <w:lang w:val="es-CR"/>
        </w:rPr>
        <w:t xml:space="preserve"> 201; </w:t>
      </w:r>
      <w:r w:rsidRPr="00127469">
        <w:rPr>
          <w:rFonts w:eastAsiaTheme="minorHAnsi" w:cstheme="minorBidi"/>
          <w:i/>
          <w:noProof w:val="0"/>
          <w:sz w:val="16"/>
          <w:szCs w:val="16"/>
          <w:lang w:val="es-CR"/>
        </w:rPr>
        <w:t xml:space="preserve">Caso Comunidad Indígena </w:t>
      </w:r>
      <w:proofErr w:type="spellStart"/>
      <w:r w:rsidRPr="00127469">
        <w:rPr>
          <w:rFonts w:eastAsiaTheme="minorHAnsi" w:cstheme="minorBidi"/>
          <w:i/>
          <w:noProof w:val="0"/>
          <w:sz w:val="16"/>
          <w:szCs w:val="16"/>
          <w:lang w:val="es-CR"/>
        </w:rPr>
        <w:t>Xákmok</w:t>
      </w:r>
      <w:proofErr w:type="spellEnd"/>
      <w:r w:rsidRPr="00127469">
        <w:rPr>
          <w:rFonts w:eastAsiaTheme="minorHAnsi" w:cstheme="minorBidi"/>
          <w:i/>
          <w:noProof w:val="0"/>
          <w:sz w:val="16"/>
          <w:szCs w:val="16"/>
          <w:lang w:val="es-CR"/>
        </w:rPr>
        <w:t xml:space="preserve"> </w:t>
      </w:r>
      <w:proofErr w:type="spellStart"/>
      <w:r w:rsidRPr="00127469">
        <w:rPr>
          <w:rFonts w:eastAsiaTheme="minorHAnsi" w:cstheme="minorBidi"/>
          <w:i/>
          <w:noProof w:val="0"/>
          <w:sz w:val="16"/>
          <w:szCs w:val="16"/>
          <w:lang w:val="es-CR"/>
        </w:rPr>
        <w:t>Kásek</w:t>
      </w:r>
      <w:proofErr w:type="spellEnd"/>
      <w:r w:rsidRPr="00127469">
        <w:rPr>
          <w:rFonts w:eastAsiaTheme="minorHAnsi" w:cstheme="minorBidi"/>
          <w:i/>
          <w:noProof w:val="0"/>
          <w:sz w:val="16"/>
          <w:szCs w:val="16"/>
          <w:lang w:val="es-CR"/>
        </w:rPr>
        <w:t>. Vs. Paraguay. Fondo, Reparaciones y Costas</w:t>
      </w:r>
      <w:r w:rsidRPr="00127469">
        <w:rPr>
          <w:rFonts w:eastAsiaTheme="minorHAnsi" w:cstheme="minorBidi"/>
          <w:noProof w:val="0"/>
          <w:sz w:val="16"/>
          <w:szCs w:val="16"/>
          <w:lang w:val="es-CR"/>
        </w:rPr>
        <w:t>. Sentencia de 24 de agosto de 2010</w:t>
      </w:r>
      <w:r>
        <w:rPr>
          <w:rFonts w:eastAsiaTheme="minorHAnsi" w:cstheme="minorBidi"/>
          <w:noProof w:val="0"/>
          <w:sz w:val="16"/>
          <w:szCs w:val="16"/>
          <w:lang w:val="es-CR"/>
        </w:rPr>
        <w:t>.</w:t>
      </w:r>
      <w:r w:rsidRPr="00127469">
        <w:rPr>
          <w:rFonts w:eastAsiaTheme="minorHAnsi" w:cstheme="minorBidi"/>
          <w:noProof w:val="0"/>
          <w:sz w:val="16"/>
          <w:szCs w:val="16"/>
          <w:lang w:val="es-CR"/>
        </w:rPr>
        <w:t xml:space="preserve"> Serie C No. 214, </w:t>
      </w:r>
      <w:r>
        <w:rPr>
          <w:rFonts w:eastAsiaTheme="minorHAnsi" w:cstheme="minorBidi"/>
          <w:noProof w:val="0"/>
          <w:sz w:val="16"/>
          <w:szCs w:val="16"/>
          <w:lang w:val="es-CR"/>
        </w:rPr>
        <w:t>párr</w:t>
      </w:r>
      <w:r w:rsidRPr="00127469">
        <w:rPr>
          <w:rFonts w:eastAsiaTheme="minorHAnsi" w:cstheme="minorBidi"/>
          <w:noProof w:val="0"/>
          <w:sz w:val="16"/>
          <w:szCs w:val="16"/>
          <w:lang w:val="es-CR"/>
        </w:rPr>
        <w:t>.</w:t>
      </w:r>
      <w:r>
        <w:rPr>
          <w:rFonts w:eastAsiaTheme="minorHAnsi" w:cstheme="minorBidi"/>
          <w:noProof w:val="0"/>
          <w:sz w:val="16"/>
          <w:szCs w:val="16"/>
          <w:lang w:val="es-CR"/>
        </w:rPr>
        <w:t xml:space="preserve"> 323;</w:t>
      </w:r>
      <w:r w:rsidRPr="00127469">
        <w:rPr>
          <w:rFonts w:eastAsiaTheme="minorHAnsi" w:cstheme="minorBidi"/>
          <w:noProof w:val="0"/>
          <w:sz w:val="16"/>
          <w:szCs w:val="16"/>
          <w:lang w:val="es-CR"/>
        </w:rPr>
        <w:t xml:space="preserve"> </w:t>
      </w:r>
      <w:r w:rsidRPr="00127469">
        <w:rPr>
          <w:rFonts w:eastAsiaTheme="minorHAnsi" w:cstheme="minorBidi"/>
          <w:i/>
          <w:noProof w:val="0"/>
          <w:sz w:val="16"/>
          <w:szCs w:val="16"/>
          <w:lang w:val="es-CR"/>
        </w:rPr>
        <w:t xml:space="preserve">Caso Pueblo Indígena </w:t>
      </w:r>
      <w:proofErr w:type="spellStart"/>
      <w:r w:rsidRPr="00127469">
        <w:rPr>
          <w:rFonts w:eastAsiaTheme="minorHAnsi" w:cstheme="minorBidi"/>
          <w:i/>
          <w:noProof w:val="0"/>
          <w:sz w:val="16"/>
          <w:szCs w:val="16"/>
          <w:lang w:val="es-CR"/>
        </w:rPr>
        <w:t>Kichwa</w:t>
      </w:r>
      <w:proofErr w:type="spellEnd"/>
      <w:r w:rsidRPr="00127469">
        <w:rPr>
          <w:rFonts w:eastAsiaTheme="minorHAnsi" w:cstheme="minorBidi"/>
          <w:i/>
          <w:noProof w:val="0"/>
          <w:sz w:val="16"/>
          <w:szCs w:val="16"/>
          <w:lang w:val="es-CR"/>
        </w:rPr>
        <w:t xml:space="preserve"> de </w:t>
      </w:r>
      <w:proofErr w:type="spellStart"/>
      <w:r w:rsidRPr="00127469">
        <w:rPr>
          <w:rFonts w:eastAsiaTheme="minorHAnsi" w:cstheme="minorBidi"/>
          <w:i/>
          <w:noProof w:val="0"/>
          <w:sz w:val="16"/>
          <w:szCs w:val="16"/>
          <w:lang w:val="es-CR"/>
        </w:rPr>
        <w:t>Sarayaku</w:t>
      </w:r>
      <w:proofErr w:type="spellEnd"/>
      <w:r w:rsidRPr="00127469">
        <w:rPr>
          <w:rFonts w:eastAsiaTheme="minorHAnsi" w:cstheme="minorBidi"/>
          <w:i/>
          <w:noProof w:val="0"/>
          <w:sz w:val="16"/>
          <w:szCs w:val="16"/>
          <w:lang w:val="es-CR"/>
        </w:rPr>
        <w:t xml:space="preserve"> Vs. Ecuador. Fondo y reparaciones.</w:t>
      </w:r>
      <w:r w:rsidRPr="00127469">
        <w:rPr>
          <w:rFonts w:eastAsiaTheme="minorHAnsi" w:cstheme="minorBidi"/>
          <w:noProof w:val="0"/>
          <w:sz w:val="16"/>
          <w:szCs w:val="16"/>
          <w:lang w:val="es-CR"/>
        </w:rPr>
        <w:t xml:space="preserve"> Sentencia de 27 de junio de 2012. Serie C No. 245, </w:t>
      </w:r>
      <w:proofErr w:type="spellStart"/>
      <w:r w:rsidRPr="00127469">
        <w:rPr>
          <w:rFonts w:eastAsiaTheme="minorHAnsi" w:cstheme="minorBidi"/>
          <w:noProof w:val="0"/>
          <w:sz w:val="16"/>
          <w:szCs w:val="16"/>
          <w:lang w:val="es-CR"/>
        </w:rPr>
        <w:t>párrs</w:t>
      </w:r>
      <w:proofErr w:type="spellEnd"/>
      <w:r w:rsidRPr="00127469">
        <w:rPr>
          <w:rFonts w:eastAsiaTheme="minorHAnsi" w:cstheme="minorBidi"/>
          <w:noProof w:val="0"/>
          <w:sz w:val="16"/>
          <w:szCs w:val="16"/>
          <w:lang w:val="es-CR"/>
        </w:rPr>
        <w:t>. 3</w:t>
      </w:r>
      <w:r>
        <w:rPr>
          <w:rFonts w:eastAsiaTheme="minorHAnsi" w:cstheme="minorBidi"/>
          <w:noProof w:val="0"/>
          <w:sz w:val="16"/>
          <w:szCs w:val="16"/>
          <w:lang w:val="es-CR"/>
        </w:rPr>
        <w:t xml:space="preserve">17 y 323, y </w:t>
      </w:r>
      <w:r w:rsidRPr="00CC427C">
        <w:rPr>
          <w:rFonts w:eastAsiaTheme="minorHAnsi" w:cstheme="minorBidi"/>
          <w:i/>
          <w:noProof w:val="0"/>
          <w:sz w:val="16"/>
          <w:szCs w:val="16"/>
          <w:lang w:val="es-CR"/>
        </w:rPr>
        <w:t xml:space="preserve">Caso de los Pueblos Indígenas Kuna de </w:t>
      </w:r>
      <w:proofErr w:type="spellStart"/>
      <w:r w:rsidRPr="00CC427C">
        <w:rPr>
          <w:rFonts w:eastAsiaTheme="minorHAnsi" w:cstheme="minorBidi"/>
          <w:i/>
          <w:noProof w:val="0"/>
          <w:sz w:val="16"/>
          <w:szCs w:val="16"/>
          <w:lang w:val="es-CR"/>
        </w:rPr>
        <w:t>Madungandí</w:t>
      </w:r>
      <w:proofErr w:type="spellEnd"/>
      <w:r w:rsidRPr="00CC427C">
        <w:rPr>
          <w:rFonts w:eastAsiaTheme="minorHAnsi" w:cstheme="minorBidi"/>
          <w:i/>
          <w:noProof w:val="0"/>
          <w:sz w:val="16"/>
          <w:szCs w:val="16"/>
          <w:lang w:val="es-CR"/>
        </w:rPr>
        <w:t xml:space="preserve"> y </w:t>
      </w:r>
      <w:proofErr w:type="spellStart"/>
      <w:r w:rsidRPr="00CC427C">
        <w:rPr>
          <w:rFonts w:eastAsiaTheme="minorHAnsi" w:cstheme="minorBidi"/>
          <w:i/>
          <w:noProof w:val="0"/>
          <w:sz w:val="16"/>
          <w:szCs w:val="16"/>
          <w:lang w:val="es-CR"/>
        </w:rPr>
        <w:t>Emberá</w:t>
      </w:r>
      <w:proofErr w:type="spellEnd"/>
      <w:r w:rsidRPr="00CC427C">
        <w:rPr>
          <w:rFonts w:eastAsiaTheme="minorHAnsi" w:cstheme="minorBidi"/>
          <w:i/>
          <w:noProof w:val="0"/>
          <w:sz w:val="16"/>
          <w:szCs w:val="16"/>
          <w:lang w:val="es-CR"/>
        </w:rPr>
        <w:t xml:space="preserve"> de Bayano y sus Miembros Vs. Panamá. Excepciones Preliminares, Fondo, Reparaciones y Costas</w:t>
      </w:r>
      <w:r w:rsidRPr="00CC427C">
        <w:rPr>
          <w:rFonts w:eastAsiaTheme="minorHAnsi" w:cstheme="minorBidi"/>
          <w:noProof w:val="0"/>
          <w:sz w:val="16"/>
          <w:szCs w:val="16"/>
          <w:lang w:val="es-CR"/>
        </w:rPr>
        <w:t>. Sentencia de 14 de octubre de 2014. Serie C No. 284</w:t>
      </w:r>
      <w:r>
        <w:rPr>
          <w:rFonts w:eastAsiaTheme="minorHAnsi" w:cstheme="minorBidi"/>
          <w:noProof w:val="0"/>
          <w:sz w:val="16"/>
          <w:szCs w:val="16"/>
          <w:lang w:val="es-CR"/>
        </w:rPr>
        <w:t xml:space="preserve">, </w:t>
      </w:r>
      <w:proofErr w:type="spellStart"/>
      <w:r>
        <w:rPr>
          <w:rFonts w:eastAsiaTheme="minorHAnsi" w:cstheme="minorBidi"/>
          <w:noProof w:val="0"/>
          <w:sz w:val="16"/>
          <w:szCs w:val="16"/>
          <w:lang w:val="es-CR"/>
        </w:rPr>
        <w:t>párrs</w:t>
      </w:r>
      <w:proofErr w:type="spellEnd"/>
      <w:r>
        <w:rPr>
          <w:rFonts w:eastAsiaTheme="minorHAnsi" w:cstheme="minorBidi"/>
          <w:noProof w:val="0"/>
          <w:sz w:val="16"/>
          <w:szCs w:val="16"/>
          <w:lang w:val="es-CR"/>
        </w:rPr>
        <w:t xml:space="preserve">. 240 y 247 (en estos dos últimos casos se entregó la reparación pecuniaria por daño material e inmaterial a </w:t>
      </w:r>
      <w:r w:rsidRPr="00127469">
        <w:rPr>
          <w:rFonts w:eastAsiaTheme="minorHAnsi" w:cstheme="minorBidi"/>
          <w:noProof w:val="0"/>
          <w:sz w:val="16"/>
          <w:szCs w:val="16"/>
          <w:lang w:val="es-CR"/>
        </w:rPr>
        <w:t>un</w:t>
      </w:r>
      <w:r>
        <w:rPr>
          <w:rFonts w:eastAsiaTheme="minorHAnsi" w:cstheme="minorBidi"/>
          <w:noProof w:val="0"/>
          <w:sz w:val="16"/>
          <w:szCs w:val="16"/>
          <w:lang w:val="es-CR"/>
        </w:rPr>
        <w:t>a a</w:t>
      </w:r>
      <w:r w:rsidRPr="00127469">
        <w:rPr>
          <w:rFonts w:eastAsiaTheme="minorHAnsi" w:cstheme="minorBidi"/>
          <w:noProof w:val="0"/>
          <w:sz w:val="16"/>
          <w:szCs w:val="16"/>
          <w:lang w:val="es-CR"/>
        </w:rPr>
        <w:t xml:space="preserve">sociación existente del Pueblo </w:t>
      </w:r>
      <w:proofErr w:type="spellStart"/>
      <w:r w:rsidRPr="00127469">
        <w:rPr>
          <w:rFonts w:eastAsiaTheme="minorHAnsi" w:cstheme="minorBidi"/>
          <w:noProof w:val="0"/>
          <w:sz w:val="16"/>
          <w:szCs w:val="16"/>
          <w:lang w:val="es-CR"/>
        </w:rPr>
        <w:t>Sarayaku</w:t>
      </w:r>
      <w:proofErr w:type="spellEnd"/>
      <w:r>
        <w:rPr>
          <w:rFonts w:eastAsiaTheme="minorHAnsi" w:cstheme="minorBidi"/>
          <w:noProof w:val="0"/>
          <w:sz w:val="16"/>
          <w:szCs w:val="16"/>
          <w:lang w:val="es-CR"/>
        </w:rPr>
        <w:t>, y a los representantes de las comunidades indígenas, respectivamente)</w:t>
      </w:r>
      <w:r w:rsidRPr="00127469">
        <w:rPr>
          <w:rFonts w:eastAsiaTheme="minorHAnsi" w:cstheme="minorBidi"/>
          <w:noProof w:val="0"/>
          <w:sz w:val="16"/>
          <w:szCs w:val="16"/>
          <w:lang w:val="es-CR"/>
        </w:rPr>
        <w:t>.</w:t>
      </w:r>
      <w:r w:rsidRPr="00F96F91">
        <w:rPr>
          <w:rFonts w:eastAsiaTheme="minorHAnsi" w:cstheme="minorBidi"/>
          <w:noProof w:val="0"/>
          <w:sz w:val="16"/>
          <w:szCs w:val="16"/>
          <w:lang w:val="es-CR"/>
        </w:rPr>
        <w:t xml:space="preserve"> </w:t>
      </w:r>
      <w:r w:rsidR="00F67C4B">
        <w:rPr>
          <w:rFonts w:eastAsiaTheme="minorHAnsi" w:cstheme="minorBidi"/>
          <w:noProof w:val="0"/>
          <w:sz w:val="16"/>
          <w:szCs w:val="16"/>
          <w:lang w:val="es-CR"/>
        </w:rPr>
        <w:t>Véase</w:t>
      </w:r>
      <w:r>
        <w:rPr>
          <w:rFonts w:eastAsiaTheme="minorHAnsi" w:cstheme="minorBidi"/>
          <w:noProof w:val="0"/>
          <w:sz w:val="16"/>
          <w:szCs w:val="16"/>
          <w:lang w:val="es-CR"/>
        </w:rPr>
        <w:t xml:space="preserve"> también </w:t>
      </w:r>
      <w:r w:rsidRPr="00FA7F33">
        <w:rPr>
          <w:rFonts w:eastAsiaTheme="minorHAnsi" w:cstheme="minorBidi"/>
          <w:i/>
          <w:noProof w:val="0"/>
          <w:sz w:val="16"/>
          <w:szCs w:val="16"/>
          <w:lang w:val="es-CR"/>
        </w:rPr>
        <w:t>Caso Masacre Plan de Sánchez Vs. Guatemala. Reparaciones</w:t>
      </w:r>
      <w:r w:rsidRPr="00F96F91">
        <w:rPr>
          <w:rFonts w:eastAsiaTheme="minorHAnsi" w:cstheme="minorBidi"/>
          <w:noProof w:val="0"/>
          <w:sz w:val="16"/>
          <w:szCs w:val="16"/>
          <w:lang w:val="es-CR"/>
        </w:rPr>
        <w:t xml:space="preserve">. Sentencia de 19 de noviembre 2004. Serie C No. 116, </w:t>
      </w:r>
      <w:r>
        <w:rPr>
          <w:rFonts w:eastAsiaTheme="minorHAnsi" w:cstheme="minorBidi"/>
          <w:noProof w:val="0"/>
          <w:sz w:val="16"/>
          <w:szCs w:val="16"/>
          <w:lang w:val="es-CR"/>
        </w:rPr>
        <w:t>párr</w:t>
      </w:r>
      <w:r w:rsidRPr="00F96F91">
        <w:rPr>
          <w:rFonts w:eastAsiaTheme="minorHAnsi" w:cstheme="minorBidi"/>
          <w:noProof w:val="0"/>
          <w:sz w:val="16"/>
          <w:szCs w:val="16"/>
          <w:lang w:val="es-CR"/>
        </w:rPr>
        <w:t>. 104 (respecto de la dotación de recursos para la memoria colectiva a miembros de la Comunidad o sus representantes).</w:t>
      </w:r>
    </w:p>
  </w:footnote>
  <w:footnote w:id="23">
    <w:p w:rsidR="00287D3E" w:rsidRPr="00FE2C98" w:rsidRDefault="00287D3E" w:rsidP="00FE2C98">
      <w:pPr>
        <w:rPr>
          <w:rStyle w:val="FootnoteReference"/>
          <w:rFonts w:eastAsiaTheme="minorHAnsi" w:cstheme="minorBidi"/>
          <w:noProof w:val="0"/>
          <w:sz w:val="16"/>
          <w:szCs w:val="16"/>
          <w:vertAlign w:val="baseline"/>
          <w:lang w:val="es-CR"/>
        </w:rPr>
      </w:pPr>
      <w:r w:rsidRPr="00A772CD">
        <w:rPr>
          <w:rStyle w:val="FootnoteReference"/>
          <w:rFonts w:eastAsiaTheme="minorHAnsi" w:cstheme="minorBidi"/>
          <w:sz w:val="16"/>
          <w:szCs w:val="16"/>
          <w:lang w:val="es-MX"/>
        </w:rPr>
        <w:footnoteRef/>
      </w:r>
      <w:r w:rsidRPr="00A772CD">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A772CD">
        <w:rPr>
          <w:rFonts w:eastAsiaTheme="minorHAnsi" w:cstheme="minorBidi"/>
          <w:i/>
          <w:noProof w:val="0"/>
          <w:sz w:val="16"/>
          <w:szCs w:val="16"/>
          <w:lang w:val="es-CR"/>
        </w:rPr>
        <w:t xml:space="preserve">Caso de la Comunidad </w:t>
      </w:r>
      <w:proofErr w:type="spellStart"/>
      <w:r w:rsidRPr="00A772CD">
        <w:rPr>
          <w:rFonts w:eastAsiaTheme="minorHAnsi" w:cstheme="minorBidi"/>
          <w:i/>
          <w:noProof w:val="0"/>
          <w:sz w:val="16"/>
          <w:szCs w:val="16"/>
          <w:lang w:val="es-CR"/>
        </w:rPr>
        <w:t>Mayagna</w:t>
      </w:r>
      <w:proofErr w:type="spellEnd"/>
      <w:r w:rsidRPr="00A772CD">
        <w:rPr>
          <w:rFonts w:eastAsiaTheme="minorHAnsi" w:cstheme="minorBidi"/>
          <w:i/>
          <w:noProof w:val="0"/>
          <w:sz w:val="16"/>
          <w:szCs w:val="16"/>
          <w:lang w:val="es-CR"/>
        </w:rPr>
        <w:t xml:space="preserve"> (Sumo) </w:t>
      </w:r>
      <w:proofErr w:type="spellStart"/>
      <w:r w:rsidRPr="00A772CD">
        <w:rPr>
          <w:rFonts w:eastAsiaTheme="minorHAnsi" w:cstheme="minorBidi"/>
          <w:i/>
          <w:noProof w:val="0"/>
          <w:sz w:val="16"/>
          <w:szCs w:val="16"/>
          <w:lang w:val="es-CR"/>
        </w:rPr>
        <w:t>Awas</w:t>
      </w:r>
      <w:proofErr w:type="spellEnd"/>
      <w:r w:rsidRPr="00A772CD">
        <w:rPr>
          <w:rFonts w:eastAsiaTheme="minorHAnsi" w:cstheme="minorBidi"/>
          <w:i/>
          <w:noProof w:val="0"/>
          <w:sz w:val="16"/>
          <w:szCs w:val="16"/>
          <w:lang w:val="es-CR"/>
        </w:rPr>
        <w:t xml:space="preserve"> </w:t>
      </w:r>
      <w:proofErr w:type="spellStart"/>
      <w:r w:rsidRPr="00A772CD">
        <w:rPr>
          <w:rFonts w:eastAsiaTheme="minorHAnsi" w:cstheme="minorBidi"/>
          <w:i/>
          <w:noProof w:val="0"/>
          <w:sz w:val="16"/>
          <w:szCs w:val="16"/>
          <w:lang w:val="es-CR"/>
        </w:rPr>
        <w:t>Tingni</w:t>
      </w:r>
      <w:proofErr w:type="spellEnd"/>
      <w:r w:rsidRPr="00A772CD">
        <w:rPr>
          <w:rFonts w:eastAsiaTheme="minorHAnsi" w:cstheme="minorBidi"/>
          <w:i/>
          <w:noProof w:val="0"/>
          <w:sz w:val="16"/>
          <w:szCs w:val="16"/>
          <w:lang w:val="es-CR"/>
        </w:rPr>
        <w:t xml:space="preserve"> Vs. Nicaragua. Fondo, Reparaciones y Costas</w:t>
      </w:r>
      <w:r w:rsidRPr="00A772CD">
        <w:rPr>
          <w:rFonts w:eastAsiaTheme="minorHAnsi" w:cstheme="minorBidi"/>
          <w:noProof w:val="0"/>
          <w:sz w:val="16"/>
          <w:szCs w:val="16"/>
          <w:lang w:val="es-CR"/>
        </w:rPr>
        <w:t xml:space="preserve">. Sentencia de 31 de agosto de 2001. Serie C No. 79, </w:t>
      </w:r>
      <w:r>
        <w:rPr>
          <w:rFonts w:eastAsiaTheme="minorHAnsi" w:cstheme="minorBidi"/>
          <w:noProof w:val="0"/>
          <w:sz w:val="16"/>
          <w:szCs w:val="16"/>
          <w:lang w:val="es-CR"/>
        </w:rPr>
        <w:t>párr. 149.</w:t>
      </w:r>
    </w:p>
  </w:footnote>
  <w:footnote w:id="24">
    <w:p w:rsidR="00287D3E" w:rsidRPr="00FE2C98" w:rsidRDefault="00287D3E" w:rsidP="00FE2C98">
      <w:pPr>
        <w:rPr>
          <w:rStyle w:val="FootnoteReference"/>
          <w:rFonts w:eastAsiaTheme="minorHAnsi" w:cstheme="minorBidi"/>
          <w:noProof w:val="0"/>
          <w:sz w:val="16"/>
          <w:szCs w:val="16"/>
          <w:vertAlign w:val="baseline"/>
          <w:lang w:val="es-CR"/>
        </w:rPr>
      </w:pPr>
      <w:r w:rsidRPr="00A772CD">
        <w:rPr>
          <w:rStyle w:val="FootnoteReference"/>
          <w:rFonts w:eastAsiaTheme="minorHAnsi" w:cstheme="minorBidi"/>
          <w:sz w:val="16"/>
          <w:szCs w:val="16"/>
          <w:lang w:val="es-MX"/>
        </w:rPr>
        <w:footnoteRef/>
      </w:r>
      <w:r w:rsidRPr="00A772CD">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A772CD">
        <w:rPr>
          <w:rFonts w:eastAsiaTheme="minorHAnsi" w:cstheme="minorBidi"/>
          <w:i/>
          <w:noProof w:val="0"/>
          <w:sz w:val="16"/>
          <w:szCs w:val="16"/>
          <w:lang w:val="es-CR"/>
        </w:rPr>
        <w:t xml:space="preserve">Caso de la Comunidad </w:t>
      </w:r>
      <w:proofErr w:type="spellStart"/>
      <w:r w:rsidRPr="00A772CD">
        <w:rPr>
          <w:rFonts w:eastAsiaTheme="minorHAnsi" w:cstheme="minorBidi"/>
          <w:i/>
          <w:noProof w:val="0"/>
          <w:sz w:val="16"/>
          <w:szCs w:val="16"/>
          <w:lang w:val="es-CR"/>
        </w:rPr>
        <w:t>Mayagna</w:t>
      </w:r>
      <w:proofErr w:type="spellEnd"/>
      <w:r w:rsidRPr="00A772CD">
        <w:rPr>
          <w:rFonts w:eastAsiaTheme="minorHAnsi" w:cstheme="minorBidi"/>
          <w:i/>
          <w:noProof w:val="0"/>
          <w:sz w:val="16"/>
          <w:szCs w:val="16"/>
          <w:lang w:val="es-CR"/>
        </w:rPr>
        <w:t xml:space="preserve"> (Sumo) </w:t>
      </w:r>
      <w:proofErr w:type="spellStart"/>
      <w:r w:rsidRPr="00A772CD">
        <w:rPr>
          <w:rFonts w:eastAsiaTheme="minorHAnsi" w:cstheme="minorBidi"/>
          <w:i/>
          <w:noProof w:val="0"/>
          <w:sz w:val="16"/>
          <w:szCs w:val="16"/>
          <w:lang w:val="es-CR"/>
        </w:rPr>
        <w:t>Awas</w:t>
      </w:r>
      <w:proofErr w:type="spellEnd"/>
      <w:r w:rsidRPr="00A772CD">
        <w:rPr>
          <w:rFonts w:eastAsiaTheme="minorHAnsi" w:cstheme="minorBidi"/>
          <w:i/>
          <w:noProof w:val="0"/>
          <w:sz w:val="16"/>
          <w:szCs w:val="16"/>
          <w:lang w:val="es-CR"/>
        </w:rPr>
        <w:t xml:space="preserve"> </w:t>
      </w:r>
      <w:proofErr w:type="spellStart"/>
      <w:r w:rsidRPr="00A772CD">
        <w:rPr>
          <w:rFonts w:eastAsiaTheme="minorHAnsi" w:cstheme="minorBidi"/>
          <w:i/>
          <w:noProof w:val="0"/>
          <w:sz w:val="16"/>
          <w:szCs w:val="16"/>
          <w:lang w:val="es-CR"/>
        </w:rPr>
        <w:t>Tingni</w:t>
      </w:r>
      <w:proofErr w:type="spellEnd"/>
      <w:r w:rsidRPr="00A772CD">
        <w:rPr>
          <w:rFonts w:eastAsiaTheme="minorHAnsi" w:cstheme="minorBidi"/>
          <w:i/>
          <w:noProof w:val="0"/>
          <w:sz w:val="16"/>
          <w:szCs w:val="16"/>
          <w:lang w:val="es-CR"/>
        </w:rPr>
        <w:t xml:space="preserve"> Vs. Nicaragua. Fondo, Reparaciones y Costas</w:t>
      </w:r>
      <w:r w:rsidRPr="00A772CD">
        <w:rPr>
          <w:rFonts w:eastAsiaTheme="minorHAnsi" w:cstheme="minorBidi"/>
          <w:noProof w:val="0"/>
          <w:sz w:val="16"/>
          <w:szCs w:val="16"/>
          <w:lang w:val="es-CR"/>
        </w:rPr>
        <w:t xml:space="preserve">. Sentencia de 31 de agosto de 2001. Serie C No. 79, </w:t>
      </w:r>
      <w:r>
        <w:rPr>
          <w:rFonts w:eastAsiaTheme="minorHAnsi" w:cstheme="minorBidi"/>
          <w:noProof w:val="0"/>
          <w:sz w:val="16"/>
          <w:szCs w:val="16"/>
          <w:lang w:val="es-CR"/>
        </w:rPr>
        <w:t>párr</w:t>
      </w:r>
      <w:r w:rsidRPr="00A772CD">
        <w:rPr>
          <w:rFonts w:eastAsiaTheme="minorHAnsi" w:cstheme="minorBidi"/>
          <w:noProof w:val="0"/>
          <w:sz w:val="16"/>
          <w:szCs w:val="16"/>
          <w:lang w:val="es-CR"/>
        </w:rPr>
        <w:t>. 1</w:t>
      </w:r>
      <w:r>
        <w:rPr>
          <w:rFonts w:eastAsiaTheme="minorHAnsi" w:cstheme="minorBidi"/>
          <w:noProof w:val="0"/>
          <w:sz w:val="16"/>
          <w:szCs w:val="16"/>
          <w:lang w:val="es-CR"/>
        </w:rPr>
        <w:t>53.</w:t>
      </w:r>
    </w:p>
  </w:footnote>
  <w:footnote w:id="25">
    <w:p w:rsidR="00287D3E" w:rsidRPr="00224688" w:rsidRDefault="00287D3E" w:rsidP="00224688">
      <w:pPr>
        <w:pStyle w:val="FootnoteText"/>
        <w:tabs>
          <w:tab w:val="left" w:pos="0"/>
        </w:tabs>
        <w:jc w:val="both"/>
        <w:rPr>
          <w:sz w:val="16"/>
          <w:szCs w:val="16"/>
          <w:lang w:val="es-CR"/>
        </w:rPr>
      </w:pPr>
      <w:r w:rsidRPr="00646102">
        <w:rPr>
          <w:rStyle w:val="FootnoteReference"/>
          <w:rFonts w:eastAsiaTheme="minorHAnsi" w:cstheme="minorBidi"/>
          <w:sz w:val="16"/>
          <w:szCs w:val="16"/>
          <w:lang w:val="es-MX"/>
        </w:rPr>
        <w:footnoteRef/>
      </w:r>
      <w:r w:rsidRPr="00646102">
        <w:rPr>
          <w:rStyle w:val="FootnoteReference"/>
          <w:rFonts w:eastAsiaTheme="minorHAnsi" w:cstheme="minorBidi"/>
          <w:sz w:val="16"/>
          <w:szCs w:val="16"/>
          <w:lang w:val="es-MX"/>
        </w:rPr>
        <w:t xml:space="preserve"> </w:t>
      </w:r>
      <w:r>
        <w:rPr>
          <w:rFonts w:eastAsiaTheme="minorHAnsi" w:cstheme="minorBidi"/>
          <w:sz w:val="16"/>
          <w:szCs w:val="16"/>
          <w:lang w:val="es-MX"/>
        </w:rPr>
        <w:tab/>
      </w:r>
      <w:r>
        <w:rPr>
          <w:i/>
          <w:sz w:val="16"/>
          <w:szCs w:val="16"/>
          <w:lang w:val="es-CR"/>
        </w:rPr>
        <w:t>Cfr.</w:t>
      </w:r>
      <w:r>
        <w:rPr>
          <w:sz w:val="16"/>
          <w:szCs w:val="16"/>
          <w:lang w:val="es-CR"/>
        </w:rPr>
        <w:t xml:space="preserve"> </w:t>
      </w:r>
      <w:r w:rsidRPr="00044F35">
        <w:rPr>
          <w:rFonts w:cs="Verdana"/>
          <w:i/>
          <w:iCs/>
          <w:sz w:val="16"/>
          <w:szCs w:val="16"/>
          <w:lang w:val="es-CR"/>
        </w:rPr>
        <w:t xml:space="preserve">Caso de la Comunidad </w:t>
      </w:r>
      <w:proofErr w:type="spellStart"/>
      <w:r w:rsidRPr="00044F35">
        <w:rPr>
          <w:rFonts w:cs="Verdana"/>
          <w:i/>
          <w:iCs/>
          <w:sz w:val="16"/>
          <w:szCs w:val="16"/>
          <w:lang w:val="es-CR"/>
        </w:rPr>
        <w:t>Mayagna</w:t>
      </w:r>
      <w:proofErr w:type="spellEnd"/>
      <w:r w:rsidRPr="00044F35">
        <w:rPr>
          <w:rFonts w:cs="Verdana"/>
          <w:i/>
          <w:iCs/>
          <w:sz w:val="16"/>
          <w:szCs w:val="16"/>
          <w:lang w:val="es-CR"/>
        </w:rPr>
        <w:t xml:space="preserve"> (Sumo) </w:t>
      </w:r>
      <w:proofErr w:type="spellStart"/>
      <w:r w:rsidRPr="00044F35">
        <w:rPr>
          <w:rFonts w:cs="Verdana"/>
          <w:i/>
          <w:iCs/>
          <w:sz w:val="16"/>
          <w:szCs w:val="16"/>
          <w:lang w:val="es-CR"/>
        </w:rPr>
        <w:t>Awas</w:t>
      </w:r>
      <w:proofErr w:type="spellEnd"/>
      <w:r w:rsidRPr="00044F35">
        <w:rPr>
          <w:rFonts w:cs="Verdana"/>
          <w:i/>
          <w:iCs/>
          <w:sz w:val="16"/>
          <w:szCs w:val="16"/>
          <w:lang w:val="es-CR"/>
        </w:rPr>
        <w:t xml:space="preserve"> </w:t>
      </w:r>
      <w:proofErr w:type="spellStart"/>
      <w:r w:rsidRPr="00044F35">
        <w:rPr>
          <w:rFonts w:cs="Verdana"/>
          <w:i/>
          <w:iCs/>
          <w:sz w:val="16"/>
          <w:szCs w:val="16"/>
          <w:lang w:val="es-CR"/>
        </w:rPr>
        <w:t>Tingni</w:t>
      </w:r>
      <w:proofErr w:type="spellEnd"/>
      <w:r w:rsidRPr="00044F35">
        <w:rPr>
          <w:rFonts w:cs="Verdana"/>
          <w:i/>
          <w:iCs/>
          <w:sz w:val="16"/>
          <w:szCs w:val="16"/>
          <w:lang w:val="es-CR"/>
        </w:rPr>
        <w:t xml:space="preserve"> Vs. Nicaragua. Fondo, Reparaciones y Costas.</w:t>
      </w:r>
      <w:r w:rsidRPr="00044F35">
        <w:rPr>
          <w:rFonts w:cs="Verdana"/>
          <w:iCs/>
          <w:sz w:val="16"/>
          <w:szCs w:val="16"/>
          <w:lang w:val="es-CR"/>
        </w:rPr>
        <w:t xml:space="preserve"> Sentencia de 31 de agosto de 2001. Serie C No. 79</w:t>
      </w:r>
      <w:r>
        <w:rPr>
          <w:rFonts w:cs="Verdana"/>
          <w:iCs/>
          <w:sz w:val="16"/>
          <w:szCs w:val="16"/>
          <w:lang w:val="es-CR"/>
        </w:rPr>
        <w:t>, párr. 155</w:t>
      </w:r>
      <w:r w:rsidRPr="00044F35">
        <w:rPr>
          <w:rFonts w:cs="Verdana"/>
          <w:iCs/>
          <w:sz w:val="16"/>
          <w:szCs w:val="16"/>
          <w:lang w:val="es-CR"/>
        </w:rPr>
        <w:t>;</w:t>
      </w:r>
      <w:r>
        <w:rPr>
          <w:rFonts w:cs="Verdana"/>
          <w:iCs/>
          <w:sz w:val="16"/>
          <w:szCs w:val="16"/>
          <w:lang w:val="es-CR"/>
        </w:rPr>
        <w:t xml:space="preserve"> </w:t>
      </w:r>
      <w:r w:rsidRPr="00E162C5">
        <w:rPr>
          <w:rFonts w:cs="Verdana"/>
          <w:i/>
          <w:iCs/>
          <w:sz w:val="16"/>
          <w:szCs w:val="16"/>
          <w:lang w:val="es-CR"/>
        </w:rPr>
        <w:t xml:space="preserve">Caso de la Comunidad </w:t>
      </w:r>
      <w:proofErr w:type="spellStart"/>
      <w:r w:rsidRPr="00E162C5">
        <w:rPr>
          <w:rFonts w:cs="Verdana"/>
          <w:i/>
          <w:iCs/>
          <w:sz w:val="16"/>
          <w:szCs w:val="16"/>
          <w:lang w:val="es-CR"/>
        </w:rPr>
        <w:t>Moiwana</w:t>
      </w:r>
      <w:proofErr w:type="spellEnd"/>
      <w:r w:rsidRPr="00E162C5">
        <w:rPr>
          <w:rFonts w:cs="Verdana"/>
          <w:i/>
          <w:iCs/>
          <w:sz w:val="16"/>
          <w:szCs w:val="16"/>
          <w:lang w:val="es-CR"/>
        </w:rPr>
        <w:t xml:space="preserve"> Vs. Surinam. Excepciones Preliminares, Fondo, Reparaciones y Costas</w:t>
      </w:r>
      <w:r w:rsidRPr="00E162C5">
        <w:rPr>
          <w:rFonts w:cs="Verdana"/>
          <w:iCs/>
          <w:sz w:val="16"/>
          <w:szCs w:val="16"/>
          <w:lang w:val="es-CR"/>
        </w:rPr>
        <w:t xml:space="preserve">. Sentencia 15 de junio de 2005. Serie C No. 124, párr. 176; </w:t>
      </w:r>
      <w:r w:rsidRPr="00E162C5">
        <w:rPr>
          <w:bCs/>
          <w:i/>
          <w:sz w:val="16"/>
          <w:szCs w:val="16"/>
          <w:lang w:val="es-CR"/>
        </w:rPr>
        <w:t xml:space="preserve">Caso Comunidad Indígena </w:t>
      </w:r>
      <w:proofErr w:type="spellStart"/>
      <w:r w:rsidRPr="00E162C5">
        <w:rPr>
          <w:bCs/>
          <w:i/>
          <w:sz w:val="16"/>
          <w:szCs w:val="16"/>
          <w:lang w:val="es-CR"/>
        </w:rPr>
        <w:t>Yakye</w:t>
      </w:r>
      <w:proofErr w:type="spellEnd"/>
      <w:r w:rsidRPr="00E162C5">
        <w:rPr>
          <w:bCs/>
          <w:i/>
          <w:sz w:val="16"/>
          <w:szCs w:val="16"/>
          <w:lang w:val="es-CR"/>
        </w:rPr>
        <w:t xml:space="preserve"> Axa Vs. Paraguay</w:t>
      </w:r>
      <w:r w:rsidRPr="00E162C5">
        <w:rPr>
          <w:bCs/>
          <w:sz w:val="16"/>
          <w:szCs w:val="16"/>
          <w:lang w:val="es-CR"/>
        </w:rPr>
        <w:t xml:space="preserve">. </w:t>
      </w:r>
      <w:r w:rsidRPr="00E162C5">
        <w:rPr>
          <w:i/>
          <w:sz w:val="16"/>
          <w:szCs w:val="16"/>
          <w:lang w:val="es-CR"/>
        </w:rPr>
        <w:t>Fondo Reparaciones y Costas</w:t>
      </w:r>
      <w:r w:rsidRPr="00E162C5">
        <w:rPr>
          <w:sz w:val="16"/>
          <w:szCs w:val="16"/>
          <w:lang w:val="es-CR"/>
        </w:rPr>
        <w:t>. Sentencia de 17 de junio de 2005. Serie C No. 125, párr. 189, y</w:t>
      </w:r>
      <w:r w:rsidRPr="00E162C5">
        <w:rPr>
          <w:bCs/>
          <w:sz w:val="16"/>
          <w:szCs w:val="16"/>
          <w:lang w:val="es-CR"/>
        </w:rPr>
        <w:t xml:space="preserve"> </w:t>
      </w:r>
      <w:r w:rsidRPr="00E162C5">
        <w:rPr>
          <w:bCs/>
          <w:i/>
          <w:sz w:val="16"/>
          <w:szCs w:val="16"/>
          <w:lang w:val="es-CR"/>
        </w:rPr>
        <w:t xml:space="preserve">Caso Comunidad Indígena </w:t>
      </w:r>
      <w:proofErr w:type="spellStart"/>
      <w:r w:rsidRPr="00E162C5">
        <w:rPr>
          <w:bCs/>
          <w:i/>
          <w:sz w:val="16"/>
          <w:szCs w:val="16"/>
          <w:lang w:val="es-CR"/>
        </w:rPr>
        <w:t>Sawhoyamaxa</w:t>
      </w:r>
      <w:proofErr w:type="spellEnd"/>
      <w:r w:rsidRPr="00E162C5">
        <w:rPr>
          <w:bCs/>
          <w:i/>
          <w:sz w:val="16"/>
          <w:szCs w:val="16"/>
          <w:lang w:val="es-CR"/>
        </w:rPr>
        <w:t xml:space="preserve"> Vs. Paraguay. </w:t>
      </w:r>
      <w:r w:rsidRPr="00E162C5">
        <w:rPr>
          <w:sz w:val="16"/>
          <w:szCs w:val="16"/>
          <w:lang w:val="es-CR"/>
        </w:rPr>
        <w:t>Fondo, Reparaciones y Costas. Sentencia de 29 de marzo de 2006. Serie C No. 146, párr. 204</w:t>
      </w:r>
      <w:r w:rsidRPr="00E162C5">
        <w:rPr>
          <w:bCs/>
          <w:sz w:val="16"/>
          <w:szCs w:val="16"/>
          <w:lang w:val="es-CR"/>
        </w:rPr>
        <w:t xml:space="preserve">; </w:t>
      </w:r>
      <w:r w:rsidRPr="00E162C5">
        <w:rPr>
          <w:bCs/>
          <w:i/>
          <w:sz w:val="16"/>
          <w:szCs w:val="16"/>
          <w:lang w:val="es-CR"/>
        </w:rPr>
        <w:t xml:space="preserve">Caso del Pueblo </w:t>
      </w:r>
      <w:proofErr w:type="spellStart"/>
      <w:r w:rsidRPr="00E162C5">
        <w:rPr>
          <w:bCs/>
          <w:i/>
          <w:sz w:val="16"/>
          <w:szCs w:val="16"/>
          <w:lang w:val="es-CR"/>
        </w:rPr>
        <w:t>Saramaka</w:t>
      </w:r>
      <w:proofErr w:type="spellEnd"/>
      <w:r w:rsidRPr="00E162C5">
        <w:rPr>
          <w:bCs/>
          <w:i/>
          <w:sz w:val="16"/>
          <w:szCs w:val="16"/>
          <w:lang w:val="es-CR"/>
        </w:rPr>
        <w:t>. Vs. Surinam. Excepciones Preliminares, Fondo, Reparaciones y Costas</w:t>
      </w:r>
      <w:r w:rsidRPr="00E162C5">
        <w:rPr>
          <w:bCs/>
          <w:sz w:val="16"/>
          <w:szCs w:val="16"/>
          <w:lang w:val="es-CR"/>
        </w:rPr>
        <w:t>. Sentencia de 28 de noviembre de 2007. Serie C No. 172, párr. 189</w:t>
      </w:r>
      <w:r w:rsidRPr="00E162C5">
        <w:rPr>
          <w:i/>
          <w:iCs/>
          <w:sz w:val="16"/>
          <w:szCs w:val="16"/>
          <w:lang w:val="es-CR"/>
        </w:rPr>
        <w:t xml:space="preserve">, </w:t>
      </w:r>
      <w:r w:rsidRPr="00E162C5">
        <w:rPr>
          <w:sz w:val="16"/>
          <w:szCs w:val="16"/>
          <w:lang w:val="es-CR"/>
        </w:rPr>
        <w:t xml:space="preserve">y </w:t>
      </w:r>
      <w:r w:rsidRPr="00E162C5">
        <w:rPr>
          <w:bCs/>
          <w:i/>
          <w:sz w:val="16"/>
          <w:szCs w:val="16"/>
          <w:lang w:val="es-CR"/>
        </w:rPr>
        <w:t xml:space="preserve">Caso Comunidad Indígena </w:t>
      </w:r>
      <w:proofErr w:type="spellStart"/>
      <w:r w:rsidRPr="00E162C5">
        <w:rPr>
          <w:bCs/>
          <w:i/>
          <w:sz w:val="16"/>
          <w:szCs w:val="16"/>
          <w:lang w:val="es-CR"/>
        </w:rPr>
        <w:t>Xákmok</w:t>
      </w:r>
      <w:proofErr w:type="spellEnd"/>
      <w:r w:rsidRPr="00E162C5">
        <w:rPr>
          <w:bCs/>
          <w:i/>
          <w:sz w:val="16"/>
          <w:szCs w:val="16"/>
          <w:lang w:val="es-CR"/>
        </w:rPr>
        <w:t xml:space="preserve"> </w:t>
      </w:r>
      <w:proofErr w:type="spellStart"/>
      <w:r w:rsidRPr="00E162C5">
        <w:rPr>
          <w:bCs/>
          <w:i/>
          <w:sz w:val="16"/>
          <w:szCs w:val="16"/>
          <w:lang w:val="es-CR"/>
        </w:rPr>
        <w:t>Kásek</w:t>
      </w:r>
      <w:proofErr w:type="spellEnd"/>
      <w:r w:rsidRPr="00E162C5">
        <w:rPr>
          <w:bCs/>
          <w:i/>
          <w:sz w:val="16"/>
          <w:szCs w:val="16"/>
          <w:lang w:val="es-CR"/>
        </w:rPr>
        <w:t>. Vs. Paraguay. Fondo, Reparaciones y Costas</w:t>
      </w:r>
      <w:r w:rsidRPr="00E162C5">
        <w:rPr>
          <w:bCs/>
          <w:sz w:val="16"/>
          <w:szCs w:val="16"/>
          <w:lang w:val="es-CR"/>
        </w:rPr>
        <w:t>. Sentencia de 24 de agosto de 2010 Serie C No. 214, párr. 278.</w:t>
      </w:r>
    </w:p>
  </w:footnote>
  <w:footnote w:id="26">
    <w:p w:rsidR="00287D3E" w:rsidRPr="009F0AFA" w:rsidRDefault="00287D3E" w:rsidP="009F0AFA">
      <w:pPr>
        <w:pStyle w:val="FootnoteText"/>
        <w:jc w:val="both"/>
        <w:rPr>
          <w:bCs/>
          <w:sz w:val="16"/>
          <w:szCs w:val="16"/>
          <w:lang w:val="es-CR"/>
        </w:rPr>
      </w:pPr>
      <w:r w:rsidRPr="009F0AFA">
        <w:rPr>
          <w:rStyle w:val="FootnoteReference"/>
          <w:rFonts w:eastAsiaTheme="minorHAnsi" w:cstheme="minorBidi"/>
          <w:sz w:val="16"/>
          <w:szCs w:val="16"/>
          <w:lang w:val="es-MX"/>
        </w:rPr>
        <w:footnoteRef/>
      </w:r>
      <w:r w:rsidRPr="009F0AFA">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9F0AFA">
        <w:rPr>
          <w:rFonts w:eastAsiaTheme="minorHAnsi" w:cstheme="minorBidi"/>
          <w:i/>
          <w:sz w:val="16"/>
          <w:szCs w:val="16"/>
          <w:lang w:val="es-MX"/>
        </w:rPr>
        <w:t>Cfr</w:t>
      </w:r>
      <w:r>
        <w:rPr>
          <w:rFonts w:eastAsiaTheme="minorHAnsi" w:cstheme="minorBidi"/>
          <w:sz w:val="16"/>
          <w:szCs w:val="16"/>
          <w:lang w:val="es-MX"/>
        </w:rPr>
        <w:t xml:space="preserve">. </w:t>
      </w:r>
      <w:r w:rsidRPr="009F0AFA">
        <w:rPr>
          <w:bCs/>
          <w:i/>
          <w:sz w:val="16"/>
          <w:szCs w:val="16"/>
          <w:lang w:val="es-CR"/>
        </w:rPr>
        <w:t xml:space="preserve">Caso del Pueblo </w:t>
      </w:r>
      <w:proofErr w:type="spellStart"/>
      <w:r w:rsidRPr="009F0AFA">
        <w:rPr>
          <w:bCs/>
          <w:i/>
          <w:sz w:val="16"/>
          <w:szCs w:val="16"/>
          <w:lang w:val="es-CR"/>
        </w:rPr>
        <w:t>S</w:t>
      </w:r>
      <w:r>
        <w:rPr>
          <w:bCs/>
          <w:i/>
          <w:sz w:val="16"/>
          <w:szCs w:val="16"/>
          <w:lang w:val="es-CR"/>
        </w:rPr>
        <w:t>aramaka</w:t>
      </w:r>
      <w:proofErr w:type="spellEnd"/>
      <w:r w:rsidRPr="009F0AFA">
        <w:rPr>
          <w:bCs/>
          <w:i/>
          <w:sz w:val="16"/>
          <w:szCs w:val="16"/>
          <w:lang w:val="es-CR"/>
        </w:rPr>
        <w:t xml:space="preserve"> Vs. Surinam. Excepciones Preliminares, Fondo, Reparaciones y Costas</w:t>
      </w:r>
      <w:r w:rsidRPr="009F0AFA">
        <w:rPr>
          <w:bCs/>
          <w:sz w:val="16"/>
          <w:szCs w:val="16"/>
          <w:lang w:val="es-CR"/>
        </w:rPr>
        <w:t>. Sentencia de 28 de noviembre de 2007. Serie C No. 172</w:t>
      </w:r>
      <w:r>
        <w:rPr>
          <w:bCs/>
          <w:sz w:val="16"/>
          <w:szCs w:val="16"/>
          <w:lang w:val="es-CR"/>
        </w:rPr>
        <w:t>, párr. 188: “</w:t>
      </w:r>
      <w:r w:rsidRPr="009F0AFA">
        <w:rPr>
          <w:bCs/>
          <w:sz w:val="16"/>
          <w:szCs w:val="16"/>
          <w:lang w:val="es-CR"/>
        </w:rPr>
        <w:t xml:space="preserve">dado el tamaño y la diversidad geográfica del pueblo </w:t>
      </w:r>
      <w:proofErr w:type="spellStart"/>
      <w:r w:rsidRPr="009F0AFA">
        <w:rPr>
          <w:bCs/>
          <w:sz w:val="16"/>
          <w:szCs w:val="16"/>
          <w:lang w:val="es-CR"/>
        </w:rPr>
        <w:t>Saramaka</w:t>
      </w:r>
      <w:proofErr w:type="spellEnd"/>
      <w:r w:rsidRPr="009F0AFA">
        <w:rPr>
          <w:bCs/>
          <w:sz w:val="16"/>
          <w:szCs w:val="16"/>
          <w:lang w:val="es-CR"/>
        </w:rPr>
        <w:t xml:space="preserve"> y, en especial, la naturaleza colectiva de las reparaciones que se ordenarán en el presente caso, la Corte entiende que no es necesario nombrar individualmente, en este caso, a los miembros del pueblo </w:t>
      </w:r>
      <w:proofErr w:type="spellStart"/>
      <w:r w:rsidRPr="009F0AFA">
        <w:rPr>
          <w:bCs/>
          <w:sz w:val="16"/>
          <w:szCs w:val="16"/>
          <w:lang w:val="es-CR"/>
        </w:rPr>
        <w:t>Saramaka</w:t>
      </w:r>
      <w:proofErr w:type="spellEnd"/>
      <w:r w:rsidRPr="009F0AFA">
        <w:rPr>
          <w:bCs/>
          <w:sz w:val="16"/>
          <w:szCs w:val="16"/>
          <w:lang w:val="es-CR"/>
        </w:rPr>
        <w:t xml:space="preserve"> a fin de reconocerlos como parte lesionada.  No obstante, la Corte observa que los miembros del pueblo </w:t>
      </w:r>
      <w:proofErr w:type="spellStart"/>
      <w:r w:rsidRPr="009F0AFA">
        <w:rPr>
          <w:bCs/>
          <w:sz w:val="16"/>
          <w:szCs w:val="16"/>
          <w:lang w:val="es-CR"/>
        </w:rPr>
        <w:t>Saramaka</w:t>
      </w:r>
      <w:proofErr w:type="spellEnd"/>
      <w:r w:rsidRPr="009F0AFA">
        <w:rPr>
          <w:bCs/>
          <w:sz w:val="16"/>
          <w:szCs w:val="16"/>
          <w:lang w:val="es-CR"/>
        </w:rPr>
        <w:t xml:space="preserve"> son identificables de conformidad con la ley consuetudinaria </w:t>
      </w:r>
      <w:proofErr w:type="spellStart"/>
      <w:r w:rsidRPr="009F0AFA">
        <w:rPr>
          <w:bCs/>
          <w:sz w:val="16"/>
          <w:szCs w:val="16"/>
          <w:lang w:val="es-CR"/>
        </w:rPr>
        <w:t>Saramaka</w:t>
      </w:r>
      <w:proofErr w:type="spellEnd"/>
      <w:r w:rsidRPr="009F0AFA">
        <w:rPr>
          <w:bCs/>
          <w:sz w:val="16"/>
          <w:szCs w:val="16"/>
          <w:lang w:val="es-CR"/>
        </w:rPr>
        <w:t>”.</w:t>
      </w:r>
    </w:p>
  </w:footnote>
  <w:footnote w:id="27">
    <w:p w:rsidR="00287D3E" w:rsidRPr="00FC3BF8" w:rsidRDefault="00287D3E" w:rsidP="00FE2C98">
      <w:pPr>
        <w:pStyle w:val="FootnoteText"/>
        <w:jc w:val="both"/>
        <w:rPr>
          <w:lang w:val="es-CR"/>
        </w:rPr>
      </w:pPr>
      <w:r w:rsidRPr="00FC3BF8">
        <w:rPr>
          <w:rStyle w:val="FootnoteReference"/>
          <w:rFonts w:eastAsiaTheme="minorHAnsi" w:cstheme="minorBidi"/>
          <w:sz w:val="16"/>
          <w:szCs w:val="16"/>
          <w:lang w:val="es-MX"/>
        </w:rPr>
        <w:footnoteRef/>
      </w:r>
      <w:r w:rsidRPr="00FC3BF8">
        <w:rPr>
          <w:rStyle w:val="FootnoteReference"/>
          <w:rFonts w:eastAsiaTheme="minorHAnsi" w:cstheme="minorBidi"/>
          <w:sz w:val="16"/>
          <w:szCs w:val="16"/>
          <w:lang w:val="es-MX"/>
        </w:rPr>
        <w:t xml:space="preserve"> </w:t>
      </w:r>
      <w:r>
        <w:rPr>
          <w:rFonts w:eastAsiaTheme="minorHAnsi" w:cstheme="minorBidi"/>
          <w:sz w:val="16"/>
          <w:szCs w:val="16"/>
          <w:lang w:val="es-MX"/>
        </w:rPr>
        <w:tab/>
        <w:t xml:space="preserve">Naciones Unidas, Comité de Derechos Humanos, Observación General No. 23, U.N. Doc. </w:t>
      </w:r>
      <w:r w:rsidRPr="00D27ECA">
        <w:rPr>
          <w:rFonts w:eastAsiaTheme="minorHAnsi" w:cstheme="minorBidi"/>
          <w:sz w:val="16"/>
          <w:szCs w:val="16"/>
          <w:lang w:val="es-MX"/>
        </w:rPr>
        <w:t>CCPR/C/21/</w:t>
      </w:r>
      <w:proofErr w:type="spellStart"/>
      <w:r w:rsidRPr="00D27ECA">
        <w:rPr>
          <w:rFonts w:eastAsiaTheme="minorHAnsi" w:cstheme="minorBidi"/>
          <w:sz w:val="16"/>
          <w:szCs w:val="16"/>
          <w:lang w:val="es-MX"/>
        </w:rPr>
        <w:t>Rev.l</w:t>
      </w:r>
      <w:proofErr w:type="spellEnd"/>
      <w:r w:rsidRPr="00D27ECA">
        <w:rPr>
          <w:rFonts w:eastAsiaTheme="minorHAnsi" w:cstheme="minorBidi"/>
          <w:sz w:val="16"/>
          <w:szCs w:val="16"/>
          <w:lang w:val="es-MX"/>
        </w:rPr>
        <w:t>/</w:t>
      </w:r>
      <w:proofErr w:type="spellStart"/>
      <w:r w:rsidRPr="00D27ECA">
        <w:rPr>
          <w:rFonts w:eastAsiaTheme="minorHAnsi" w:cstheme="minorBidi"/>
          <w:sz w:val="16"/>
          <w:szCs w:val="16"/>
          <w:lang w:val="es-MX"/>
        </w:rPr>
        <w:t>Add.S</w:t>
      </w:r>
      <w:proofErr w:type="spellEnd"/>
      <w:r>
        <w:rPr>
          <w:rFonts w:eastAsiaTheme="minorHAnsi" w:cstheme="minorBidi"/>
          <w:sz w:val="16"/>
          <w:szCs w:val="16"/>
          <w:lang w:val="es-MX"/>
        </w:rPr>
        <w:t>, de 26 de abril de 1994, párr. 1.</w:t>
      </w:r>
    </w:p>
  </w:footnote>
  <w:footnote w:id="28">
    <w:p w:rsidR="00287D3E" w:rsidRPr="00470FC3" w:rsidRDefault="00287D3E" w:rsidP="00470FC3">
      <w:pPr>
        <w:rPr>
          <w:rFonts w:eastAsia="Times" w:cs="Verdana"/>
          <w:iCs/>
          <w:noProof w:val="0"/>
          <w:sz w:val="16"/>
          <w:szCs w:val="16"/>
          <w:lang w:val="es-CR"/>
        </w:rPr>
      </w:pPr>
      <w:r w:rsidRPr="00224688">
        <w:rPr>
          <w:rStyle w:val="FootnoteReference"/>
          <w:rFonts w:eastAsiaTheme="minorHAnsi" w:cstheme="minorBidi"/>
          <w:sz w:val="16"/>
          <w:szCs w:val="16"/>
          <w:lang w:val="es-MX"/>
        </w:rPr>
        <w:footnoteRef/>
      </w:r>
      <w:r w:rsidRPr="00224688">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224688">
        <w:rPr>
          <w:rFonts w:eastAsia="Times" w:cs="Verdana"/>
          <w:i/>
          <w:iCs/>
          <w:noProof w:val="0"/>
          <w:sz w:val="16"/>
          <w:szCs w:val="16"/>
          <w:lang w:val="es-CR"/>
        </w:rPr>
        <w:t xml:space="preserve">Cfr. Caso </w:t>
      </w:r>
      <w:proofErr w:type="spellStart"/>
      <w:r w:rsidRPr="00224688">
        <w:rPr>
          <w:rFonts w:eastAsia="Times" w:cs="Verdana"/>
          <w:i/>
          <w:iCs/>
          <w:noProof w:val="0"/>
          <w:sz w:val="16"/>
          <w:szCs w:val="16"/>
          <w:lang w:val="es-CR"/>
        </w:rPr>
        <w:t>Aloeboetoe</w:t>
      </w:r>
      <w:proofErr w:type="spellEnd"/>
      <w:r w:rsidRPr="00224688">
        <w:rPr>
          <w:rFonts w:eastAsia="Times" w:cs="Verdana"/>
          <w:i/>
          <w:iCs/>
          <w:noProof w:val="0"/>
          <w:sz w:val="16"/>
          <w:szCs w:val="16"/>
          <w:lang w:val="es-CR"/>
        </w:rPr>
        <w:t xml:space="preserve"> y otros Vs. Surinam. Reparaciones y Costas</w:t>
      </w:r>
      <w:r w:rsidRPr="00224688">
        <w:rPr>
          <w:rFonts w:eastAsia="Times" w:cs="Verdana"/>
          <w:iCs/>
          <w:noProof w:val="0"/>
          <w:sz w:val="16"/>
          <w:szCs w:val="16"/>
          <w:lang w:val="es-CR"/>
        </w:rPr>
        <w:t>. Sentencia de 10 de septiembre de 1993. Se</w:t>
      </w:r>
      <w:r>
        <w:rPr>
          <w:rFonts w:eastAsia="Times" w:cs="Verdana"/>
          <w:iCs/>
          <w:noProof w:val="0"/>
          <w:sz w:val="16"/>
          <w:szCs w:val="16"/>
          <w:lang w:val="es-CR"/>
        </w:rPr>
        <w:t xml:space="preserve">rie C No. 15, </w:t>
      </w:r>
      <w:proofErr w:type="spellStart"/>
      <w:r>
        <w:rPr>
          <w:rFonts w:eastAsia="Times" w:cs="Verdana"/>
          <w:iCs/>
          <w:noProof w:val="0"/>
          <w:sz w:val="16"/>
          <w:szCs w:val="16"/>
          <w:lang w:val="es-CR"/>
        </w:rPr>
        <w:t>párrs</w:t>
      </w:r>
      <w:proofErr w:type="spellEnd"/>
      <w:r>
        <w:rPr>
          <w:rFonts w:eastAsia="Times" w:cs="Verdana"/>
          <w:iCs/>
          <w:noProof w:val="0"/>
          <w:sz w:val="16"/>
          <w:szCs w:val="16"/>
          <w:lang w:val="es-CR"/>
        </w:rPr>
        <w:t>. 100 a 108.</w:t>
      </w:r>
    </w:p>
  </w:footnote>
  <w:footnote w:id="29">
    <w:p w:rsidR="00287D3E" w:rsidRPr="00746DBD" w:rsidRDefault="00287D3E" w:rsidP="00746DBD">
      <w:pPr>
        <w:rPr>
          <w:rFonts w:eastAsia="Times" w:cs="Verdana"/>
          <w:iCs/>
          <w:noProof w:val="0"/>
          <w:sz w:val="16"/>
          <w:szCs w:val="16"/>
          <w:lang w:val="es-CR"/>
        </w:rPr>
      </w:pPr>
      <w:r w:rsidRPr="00746DBD">
        <w:rPr>
          <w:rStyle w:val="FootnoteReference"/>
          <w:rFonts w:eastAsiaTheme="minorHAnsi" w:cstheme="minorBidi"/>
          <w:sz w:val="16"/>
          <w:szCs w:val="16"/>
          <w:lang w:val="es-MX"/>
        </w:rPr>
        <w:footnoteRef/>
      </w:r>
      <w:r>
        <w:t xml:space="preserve"> </w:t>
      </w:r>
      <w:r>
        <w:tab/>
      </w:r>
      <w:r w:rsidRPr="00746DBD">
        <w:rPr>
          <w:rFonts w:eastAsia="Times" w:cs="Verdana"/>
          <w:i/>
          <w:iCs/>
          <w:noProof w:val="0"/>
          <w:sz w:val="16"/>
          <w:szCs w:val="16"/>
          <w:lang w:val="es-CR"/>
        </w:rPr>
        <w:t>Cfr.</w:t>
      </w:r>
      <w:r>
        <w:t xml:space="preserve"> </w:t>
      </w:r>
      <w:r w:rsidRPr="00A150AE">
        <w:rPr>
          <w:rFonts w:eastAsia="Times" w:cs="Verdana"/>
          <w:i/>
          <w:iCs/>
          <w:noProof w:val="0"/>
          <w:sz w:val="16"/>
          <w:szCs w:val="16"/>
          <w:lang w:val="es-CR"/>
        </w:rPr>
        <w:t xml:space="preserve">Caso </w:t>
      </w:r>
      <w:proofErr w:type="spellStart"/>
      <w:r w:rsidRPr="00A150AE">
        <w:rPr>
          <w:rFonts w:eastAsia="Times" w:cs="Verdana"/>
          <w:i/>
          <w:iCs/>
          <w:noProof w:val="0"/>
          <w:sz w:val="16"/>
          <w:szCs w:val="16"/>
          <w:lang w:val="es-CR"/>
        </w:rPr>
        <w:t>Yatama</w:t>
      </w:r>
      <w:proofErr w:type="spellEnd"/>
      <w:r w:rsidRPr="00A150AE">
        <w:rPr>
          <w:rFonts w:eastAsia="Times" w:cs="Verdana"/>
          <w:i/>
          <w:iCs/>
          <w:noProof w:val="0"/>
          <w:sz w:val="16"/>
          <w:szCs w:val="16"/>
          <w:lang w:val="es-CR"/>
        </w:rPr>
        <w:t xml:space="preserve"> Vs. Nicaragua. Excepciones Preliminares, Fondo, Reparaciones y Costas</w:t>
      </w:r>
      <w:r w:rsidRPr="00746DBD">
        <w:rPr>
          <w:rFonts w:eastAsia="Times" w:cs="Verdana"/>
          <w:iCs/>
          <w:noProof w:val="0"/>
          <w:sz w:val="16"/>
          <w:szCs w:val="16"/>
          <w:lang w:val="es-CR"/>
        </w:rPr>
        <w:t>. Sentencia de 23 de junio de 2005. Serie C No. 127, párr. 248.</w:t>
      </w:r>
    </w:p>
  </w:footnote>
  <w:footnote w:id="30">
    <w:p w:rsidR="00287D3E" w:rsidRPr="005D1512" w:rsidRDefault="00287D3E" w:rsidP="00FE2C98">
      <w:pPr>
        <w:pStyle w:val="FootnoteText"/>
        <w:jc w:val="both"/>
        <w:rPr>
          <w:lang w:val="es-CR"/>
        </w:rPr>
      </w:pPr>
      <w:r w:rsidRPr="005D1512">
        <w:rPr>
          <w:rStyle w:val="FootnoteReference"/>
          <w:rFonts w:eastAsiaTheme="minorHAnsi" w:cstheme="minorBidi"/>
          <w:noProof/>
          <w:sz w:val="16"/>
          <w:szCs w:val="16"/>
          <w:lang w:val="es-MX"/>
        </w:rPr>
        <w:footnoteRef/>
      </w:r>
      <w:r>
        <w:t xml:space="preserve"> </w:t>
      </w:r>
      <w:r>
        <w:tab/>
      </w:r>
      <w:r w:rsidRPr="005D1512">
        <w:rPr>
          <w:rFonts w:cs="Verdana"/>
          <w:i/>
          <w:iCs/>
          <w:sz w:val="16"/>
          <w:szCs w:val="16"/>
          <w:lang w:val="es-CR"/>
        </w:rPr>
        <w:t>Cfr.</w:t>
      </w:r>
      <w:r>
        <w:t xml:space="preserve"> </w:t>
      </w:r>
      <w:r w:rsidRPr="00224688">
        <w:rPr>
          <w:rFonts w:cs="Verdana"/>
          <w:i/>
          <w:iCs/>
          <w:sz w:val="16"/>
          <w:szCs w:val="16"/>
          <w:lang w:val="es-CR"/>
        </w:rPr>
        <w:t xml:space="preserve">Caso </w:t>
      </w:r>
      <w:proofErr w:type="spellStart"/>
      <w:r w:rsidRPr="00224688">
        <w:rPr>
          <w:rFonts w:cs="Verdana"/>
          <w:i/>
          <w:iCs/>
          <w:sz w:val="16"/>
          <w:szCs w:val="16"/>
          <w:lang w:val="es-CR"/>
        </w:rPr>
        <w:t>Aloeboetoe</w:t>
      </w:r>
      <w:proofErr w:type="spellEnd"/>
      <w:r w:rsidRPr="00224688">
        <w:rPr>
          <w:rFonts w:cs="Verdana"/>
          <w:i/>
          <w:iCs/>
          <w:sz w:val="16"/>
          <w:szCs w:val="16"/>
          <w:lang w:val="es-CR"/>
        </w:rPr>
        <w:t xml:space="preserve"> y otros Vs. Surinam. Reparaciones y Costas</w:t>
      </w:r>
      <w:r w:rsidRPr="00224688">
        <w:rPr>
          <w:rFonts w:cs="Verdana"/>
          <w:iCs/>
          <w:sz w:val="16"/>
          <w:szCs w:val="16"/>
          <w:lang w:val="es-CR"/>
        </w:rPr>
        <w:t xml:space="preserve">. Sentencia de 10 de septiembre de 1993. Serie C No. 15, </w:t>
      </w:r>
      <w:proofErr w:type="spellStart"/>
      <w:r w:rsidRPr="00224688">
        <w:rPr>
          <w:rFonts w:cs="Verdana"/>
          <w:iCs/>
          <w:sz w:val="16"/>
          <w:szCs w:val="16"/>
          <w:lang w:val="es-CR"/>
        </w:rPr>
        <w:t>párrs</w:t>
      </w:r>
      <w:proofErr w:type="spellEnd"/>
      <w:r w:rsidRPr="00224688">
        <w:rPr>
          <w:rFonts w:cs="Verdana"/>
          <w:iCs/>
          <w:sz w:val="16"/>
          <w:szCs w:val="16"/>
          <w:lang w:val="es-CR"/>
        </w:rPr>
        <w:t>.</w:t>
      </w:r>
      <w:r>
        <w:rPr>
          <w:rFonts w:cs="Verdana"/>
          <w:iCs/>
          <w:sz w:val="16"/>
          <w:szCs w:val="16"/>
          <w:lang w:val="es-CR"/>
        </w:rPr>
        <w:t xml:space="preserve"> 83 a 84.</w:t>
      </w:r>
    </w:p>
  </w:footnote>
  <w:footnote w:id="31">
    <w:p w:rsidR="00287D3E" w:rsidRPr="00470FC3" w:rsidRDefault="00287D3E" w:rsidP="00470FC3">
      <w:pPr>
        <w:pStyle w:val="FootnoteText"/>
        <w:jc w:val="both"/>
        <w:rPr>
          <w:rFonts w:cs="Verdana"/>
          <w:iCs/>
          <w:sz w:val="16"/>
          <w:szCs w:val="16"/>
          <w:lang w:val="es-CR"/>
        </w:rPr>
      </w:pPr>
      <w:r w:rsidRPr="00470FC3">
        <w:rPr>
          <w:rStyle w:val="FootnoteReference"/>
          <w:rFonts w:eastAsiaTheme="minorHAnsi" w:cstheme="minorBidi"/>
          <w:noProof/>
          <w:sz w:val="16"/>
          <w:szCs w:val="16"/>
          <w:lang w:val="es-MX"/>
        </w:rPr>
        <w:footnoteRef/>
      </w:r>
      <w:r w:rsidRPr="00470FC3">
        <w:rPr>
          <w:rStyle w:val="FootnoteReference"/>
          <w:rFonts w:eastAsiaTheme="minorHAnsi" w:cstheme="minorBidi"/>
          <w:noProof/>
          <w:sz w:val="16"/>
          <w:szCs w:val="16"/>
          <w:lang w:val="es-MX"/>
        </w:rPr>
        <w:t xml:space="preserve"> </w:t>
      </w:r>
      <w:r>
        <w:rPr>
          <w:rFonts w:eastAsiaTheme="minorHAnsi" w:cstheme="minorBidi"/>
          <w:noProof/>
          <w:sz w:val="16"/>
          <w:szCs w:val="16"/>
          <w:lang w:val="es-MX"/>
        </w:rPr>
        <w:tab/>
      </w:r>
      <w:r w:rsidRPr="00470FC3">
        <w:rPr>
          <w:rFonts w:eastAsiaTheme="minorHAnsi" w:cstheme="minorBidi"/>
          <w:i/>
          <w:noProof/>
          <w:sz w:val="16"/>
          <w:szCs w:val="16"/>
          <w:lang w:val="es-MX"/>
        </w:rPr>
        <w:t>Cfr</w:t>
      </w:r>
      <w:r>
        <w:rPr>
          <w:rFonts w:eastAsiaTheme="minorHAnsi" w:cstheme="minorBidi"/>
          <w:noProof/>
          <w:sz w:val="16"/>
          <w:szCs w:val="16"/>
          <w:lang w:val="es-MX"/>
        </w:rPr>
        <w:t xml:space="preserve">. </w:t>
      </w:r>
      <w:r w:rsidRPr="00470FC3">
        <w:rPr>
          <w:rFonts w:cs="Verdana"/>
          <w:i/>
          <w:iCs/>
          <w:sz w:val="16"/>
          <w:szCs w:val="16"/>
          <w:lang w:val="es-CR"/>
        </w:rPr>
        <w:t>Caso Masacre Plan de Sánchez Vs. Guatemala. Reparaciones</w:t>
      </w:r>
      <w:r w:rsidRPr="00470FC3">
        <w:rPr>
          <w:rFonts w:cs="Verdana"/>
          <w:iCs/>
          <w:sz w:val="16"/>
          <w:szCs w:val="16"/>
          <w:lang w:val="es-CR"/>
        </w:rPr>
        <w:t>. Sentencia de 19 de noviembre 2004. Serie C No. 116, párr. 80.</w:t>
      </w:r>
    </w:p>
  </w:footnote>
  <w:footnote w:id="32">
    <w:p w:rsidR="00287D3E" w:rsidRPr="008726D6" w:rsidRDefault="00287D3E" w:rsidP="008726D6">
      <w:pPr>
        <w:pStyle w:val="FootnoteText"/>
        <w:jc w:val="both"/>
        <w:rPr>
          <w:lang w:val="es-CR"/>
        </w:rPr>
      </w:pPr>
      <w:r w:rsidRPr="008726D6">
        <w:rPr>
          <w:rStyle w:val="FootnoteReference"/>
          <w:rFonts w:eastAsiaTheme="minorHAnsi" w:cstheme="minorBidi"/>
          <w:noProof/>
          <w:sz w:val="16"/>
          <w:szCs w:val="16"/>
          <w:lang w:val="es-MX"/>
        </w:rPr>
        <w:footnoteRef/>
      </w:r>
      <w:r w:rsidRPr="008726D6">
        <w:rPr>
          <w:rStyle w:val="FootnoteReference"/>
          <w:rFonts w:eastAsiaTheme="minorHAnsi" w:cstheme="minorBidi"/>
          <w:noProof/>
          <w:sz w:val="16"/>
          <w:szCs w:val="16"/>
          <w:lang w:val="es-MX"/>
        </w:rPr>
        <w:t xml:space="preserve"> </w:t>
      </w:r>
      <w:r>
        <w:rPr>
          <w:rFonts w:eastAsiaTheme="minorHAnsi" w:cstheme="minorBidi"/>
          <w:noProof/>
          <w:sz w:val="16"/>
          <w:szCs w:val="16"/>
          <w:lang w:val="es-MX"/>
        </w:rPr>
        <w:tab/>
      </w:r>
      <w:r w:rsidRPr="009F0AFA">
        <w:rPr>
          <w:bCs/>
          <w:i/>
          <w:sz w:val="16"/>
          <w:szCs w:val="16"/>
          <w:lang w:val="es-CR"/>
        </w:rPr>
        <w:t xml:space="preserve">Caso del Pueblo </w:t>
      </w:r>
      <w:proofErr w:type="spellStart"/>
      <w:r w:rsidRPr="009F0AFA">
        <w:rPr>
          <w:bCs/>
          <w:i/>
          <w:sz w:val="16"/>
          <w:szCs w:val="16"/>
          <w:lang w:val="es-CR"/>
        </w:rPr>
        <w:t>S</w:t>
      </w:r>
      <w:r>
        <w:rPr>
          <w:bCs/>
          <w:i/>
          <w:sz w:val="16"/>
          <w:szCs w:val="16"/>
          <w:lang w:val="es-CR"/>
        </w:rPr>
        <w:t>aramaka</w:t>
      </w:r>
      <w:proofErr w:type="spellEnd"/>
      <w:r w:rsidRPr="009F0AFA">
        <w:rPr>
          <w:bCs/>
          <w:i/>
          <w:sz w:val="16"/>
          <w:szCs w:val="16"/>
          <w:lang w:val="es-CR"/>
        </w:rPr>
        <w:t xml:space="preserve"> Vs. Surinam. Excepciones Preliminares, Fondo, Reparaciones y Costas</w:t>
      </w:r>
      <w:r w:rsidRPr="009F0AFA">
        <w:rPr>
          <w:bCs/>
          <w:sz w:val="16"/>
          <w:szCs w:val="16"/>
          <w:lang w:val="es-CR"/>
        </w:rPr>
        <w:t>. Sentencia de 28 de noviembre de 2007. Serie C No. 172</w:t>
      </w:r>
      <w:r>
        <w:rPr>
          <w:bCs/>
          <w:sz w:val="16"/>
          <w:szCs w:val="16"/>
          <w:lang w:val="es-CR"/>
        </w:rPr>
        <w:t>, párr. 200.</w:t>
      </w:r>
    </w:p>
  </w:footnote>
  <w:footnote w:id="33">
    <w:p w:rsidR="00287D3E" w:rsidRPr="00E32694" w:rsidRDefault="00287D3E">
      <w:pPr>
        <w:pStyle w:val="FootnoteText"/>
      </w:pPr>
      <w:r w:rsidRPr="00E32694">
        <w:rPr>
          <w:rStyle w:val="FootnoteReference"/>
          <w:rFonts w:eastAsiaTheme="minorHAnsi" w:cstheme="minorBidi"/>
          <w:sz w:val="16"/>
          <w:szCs w:val="16"/>
          <w:lang w:val="es-MX"/>
        </w:rPr>
        <w:footnoteRef/>
      </w:r>
      <w:r>
        <w:t xml:space="preserve"> </w:t>
      </w:r>
      <w:r>
        <w:tab/>
      </w:r>
      <w:r w:rsidRPr="00E32694">
        <w:rPr>
          <w:bCs/>
          <w:i/>
          <w:sz w:val="16"/>
          <w:szCs w:val="16"/>
          <w:lang w:val="es-CR"/>
        </w:rPr>
        <w:t>Cfr</w:t>
      </w:r>
      <w:r w:rsidRPr="00E32694">
        <w:rPr>
          <w:bCs/>
          <w:sz w:val="16"/>
          <w:szCs w:val="16"/>
          <w:lang w:val="es-CR"/>
        </w:rPr>
        <w:t xml:space="preserve">. </w:t>
      </w:r>
      <w:r w:rsidRPr="00E32694">
        <w:rPr>
          <w:bCs/>
          <w:i/>
          <w:sz w:val="16"/>
          <w:szCs w:val="16"/>
          <w:lang w:val="es-CR"/>
        </w:rPr>
        <w:t xml:space="preserve">Caso Comunidad Indígena </w:t>
      </w:r>
      <w:proofErr w:type="spellStart"/>
      <w:r w:rsidRPr="00E32694">
        <w:rPr>
          <w:bCs/>
          <w:i/>
          <w:sz w:val="16"/>
          <w:szCs w:val="16"/>
          <w:lang w:val="es-CR"/>
        </w:rPr>
        <w:t>Sawhoyamaxa</w:t>
      </w:r>
      <w:proofErr w:type="spellEnd"/>
      <w:r>
        <w:rPr>
          <w:bCs/>
          <w:i/>
          <w:sz w:val="16"/>
          <w:szCs w:val="16"/>
          <w:lang w:val="es-CR"/>
        </w:rPr>
        <w:t xml:space="preserve"> Vs. Paraguay</w:t>
      </w:r>
      <w:r w:rsidRPr="0079591F">
        <w:rPr>
          <w:bCs/>
          <w:sz w:val="16"/>
          <w:szCs w:val="16"/>
          <w:lang w:val="es-CR"/>
        </w:rPr>
        <w:t xml:space="preserve">, </w:t>
      </w:r>
      <w:proofErr w:type="spellStart"/>
      <w:r w:rsidRPr="0079591F">
        <w:rPr>
          <w:bCs/>
          <w:sz w:val="16"/>
          <w:szCs w:val="16"/>
          <w:lang w:val="es-CR"/>
        </w:rPr>
        <w:t>párr</w:t>
      </w:r>
      <w:r>
        <w:rPr>
          <w:bCs/>
          <w:sz w:val="16"/>
          <w:szCs w:val="16"/>
          <w:lang w:val="es-CR"/>
        </w:rPr>
        <w:t>s</w:t>
      </w:r>
      <w:proofErr w:type="spellEnd"/>
      <w:r w:rsidRPr="0079591F">
        <w:rPr>
          <w:bCs/>
          <w:sz w:val="16"/>
          <w:szCs w:val="16"/>
          <w:lang w:val="es-CR"/>
        </w:rPr>
        <w:t xml:space="preserve">. </w:t>
      </w:r>
      <w:r w:rsidRPr="00E32694">
        <w:rPr>
          <w:bCs/>
          <w:sz w:val="16"/>
          <w:szCs w:val="16"/>
          <w:lang w:val="es-CR"/>
        </w:rPr>
        <w:t>187 a 194</w:t>
      </w:r>
      <w:r>
        <w:rPr>
          <w:bCs/>
          <w:sz w:val="16"/>
          <w:szCs w:val="16"/>
          <w:lang w:val="es-CR"/>
        </w:rPr>
        <w:t>.</w:t>
      </w:r>
    </w:p>
  </w:footnote>
  <w:footnote w:id="34">
    <w:p w:rsidR="00287D3E" w:rsidRPr="0079591F" w:rsidRDefault="00287D3E" w:rsidP="000131FF">
      <w:pPr>
        <w:pStyle w:val="FootnoteText"/>
        <w:jc w:val="both"/>
        <w:rPr>
          <w:bCs/>
          <w:sz w:val="16"/>
          <w:szCs w:val="16"/>
          <w:lang w:val="es-CR"/>
        </w:rPr>
      </w:pPr>
      <w:r w:rsidRPr="0079591F">
        <w:rPr>
          <w:rStyle w:val="FootnoteReference"/>
          <w:rFonts w:eastAsiaTheme="minorHAnsi" w:cstheme="minorBidi"/>
          <w:sz w:val="16"/>
          <w:szCs w:val="16"/>
          <w:lang w:val="es-MX"/>
        </w:rPr>
        <w:footnoteRef/>
      </w:r>
      <w:r w:rsidRPr="00E31C20">
        <w:rPr>
          <w:szCs w:val="24"/>
        </w:rPr>
        <w:t xml:space="preserve"> </w:t>
      </w:r>
      <w:r w:rsidRPr="00E31C20">
        <w:rPr>
          <w:szCs w:val="24"/>
        </w:rPr>
        <w:tab/>
      </w:r>
      <w:r w:rsidRPr="00E32694">
        <w:rPr>
          <w:bCs/>
          <w:i/>
          <w:sz w:val="16"/>
          <w:szCs w:val="16"/>
          <w:lang w:val="es-CR"/>
        </w:rPr>
        <w:t>Cfr</w:t>
      </w:r>
      <w:r>
        <w:rPr>
          <w:bCs/>
          <w:i/>
          <w:sz w:val="16"/>
          <w:szCs w:val="16"/>
          <w:lang w:val="es-CR"/>
        </w:rPr>
        <w:t>.</w:t>
      </w:r>
      <w:r w:rsidRPr="009F0AFA">
        <w:rPr>
          <w:bCs/>
          <w:i/>
          <w:sz w:val="16"/>
          <w:szCs w:val="16"/>
          <w:lang w:val="es-CR"/>
        </w:rPr>
        <w:t xml:space="preserve"> Caso del Pueblo </w:t>
      </w:r>
      <w:proofErr w:type="spellStart"/>
      <w:r w:rsidRPr="009F0AFA">
        <w:rPr>
          <w:bCs/>
          <w:i/>
          <w:sz w:val="16"/>
          <w:szCs w:val="16"/>
          <w:lang w:val="es-CR"/>
        </w:rPr>
        <w:t>S</w:t>
      </w:r>
      <w:r>
        <w:rPr>
          <w:bCs/>
          <w:i/>
          <w:sz w:val="16"/>
          <w:szCs w:val="16"/>
          <w:lang w:val="es-CR"/>
        </w:rPr>
        <w:t>aramaka</w:t>
      </w:r>
      <w:proofErr w:type="spellEnd"/>
      <w:r w:rsidRPr="009F0AFA">
        <w:rPr>
          <w:bCs/>
          <w:i/>
          <w:sz w:val="16"/>
          <w:szCs w:val="16"/>
          <w:lang w:val="es-CR"/>
        </w:rPr>
        <w:t xml:space="preserve"> Vs. Surinam</w:t>
      </w:r>
      <w:r>
        <w:rPr>
          <w:bCs/>
          <w:sz w:val="16"/>
          <w:szCs w:val="16"/>
          <w:lang w:val="es-CR"/>
        </w:rPr>
        <w:t>, párr. 167</w:t>
      </w:r>
      <w:r w:rsidRPr="00E32694">
        <w:rPr>
          <w:bCs/>
          <w:sz w:val="16"/>
          <w:szCs w:val="16"/>
          <w:lang w:val="es-CR"/>
        </w:rPr>
        <w:t>.</w:t>
      </w:r>
    </w:p>
  </w:footnote>
  <w:footnote w:id="35">
    <w:p w:rsidR="00287D3E" w:rsidRPr="00994386" w:rsidRDefault="00287D3E" w:rsidP="00FF1236">
      <w:pPr>
        <w:pStyle w:val="FootnoteText"/>
        <w:jc w:val="both"/>
        <w:rPr>
          <w:lang w:val="es-CR"/>
        </w:rPr>
      </w:pPr>
      <w:r w:rsidRPr="00994386">
        <w:rPr>
          <w:rStyle w:val="FootnoteReference"/>
          <w:rFonts w:eastAsiaTheme="minorHAnsi" w:cstheme="minorBidi"/>
          <w:sz w:val="16"/>
          <w:szCs w:val="16"/>
          <w:lang w:val="es-MX"/>
        </w:rPr>
        <w:footnoteRef/>
      </w:r>
      <w:r w:rsidRPr="00994386">
        <w:rPr>
          <w:rStyle w:val="FootnoteReference"/>
          <w:rFonts w:eastAsiaTheme="minorHAnsi" w:cstheme="minorBidi"/>
          <w:sz w:val="16"/>
          <w:szCs w:val="16"/>
          <w:lang w:val="es-MX"/>
        </w:rPr>
        <w:t xml:space="preserve"> </w:t>
      </w:r>
      <w:r>
        <w:tab/>
      </w:r>
      <w:r w:rsidRPr="009F0AFA">
        <w:rPr>
          <w:bCs/>
          <w:i/>
          <w:sz w:val="16"/>
          <w:szCs w:val="16"/>
          <w:lang w:val="es-CR"/>
        </w:rPr>
        <w:t xml:space="preserve">Caso del Pueblo </w:t>
      </w:r>
      <w:proofErr w:type="spellStart"/>
      <w:r w:rsidRPr="009F0AFA">
        <w:rPr>
          <w:bCs/>
          <w:i/>
          <w:sz w:val="16"/>
          <w:szCs w:val="16"/>
          <w:lang w:val="es-CR"/>
        </w:rPr>
        <w:t>S</w:t>
      </w:r>
      <w:r>
        <w:rPr>
          <w:bCs/>
          <w:i/>
          <w:sz w:val="16"/>
          <w:szCs w:val="16"/>
          <w:lang w:val="es-CR"/>
        </w:rPr>
        <w:t>aramaka</w:t>
      </w:r>
      <w:proofErr w:type="spellEnd"/>
      <w:r w:rsidRPr="009F0AFA">
        <w:rPr>
          <w:bCs/>
          <w:i/>
          <w:sz w:val="16"/>
          <w:szCs w:val="16"/>
          <w:lang w:val="es-CR"/>
        </w:rPr>
        <w:t xml:space="preserve"> Vs. Surinam</w:t>
      </w:r>
      <w:r>
        <w:rPr>
          <w:bCs/>
          <w:sz w:val="16"/>
          <w:szCs w:val="16"/>
          <w:lang w:val="es-CR"/>
        </w:rPr>
        <w:t>, párr. 172.</w:t>
      </w:r>
    </w:p>
  </w:footnote>
  <w:footnote w:id="36">
    <w:p w:rsidR="00287D3E" w:rsidRPr="000D6226" w:rsidRDefault="00287D3E" w:rsidP="00FE2C98">
      <w:pPr>
        <w:pStyle w:val="FootnoteText"/>
        <w:jc w:val="both"/>
        <w:rPr>
          <w:lang w:val="es-CR"/>
        </w:rPr>
      </w:pPr>
      <w:r w:rsidRPr="000D6226">
        <w:rPr>
          <w:rStyle w:val="FootnoteReference"/>
          <w:rFonts w:eastAsiaTheme="minorHAnsi" w:cstheme="minorBidi"/>
          <w:sz w:val="16"/>
          <w:szCs w:val="16"/>
          <w:lang w:val="es-MX"/>
        </w:rPr>
        <w:footnoteRef/>
      </w:r>
      <w:r w:rsidRPr="000D6226">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9F0AFA">
        <w:rPr>
          <w:bCs/>
          <w:i/>
          <w:sz w:val="16"/>
          <w:szCs w:val="16"/>
          <w:lang w:val="es-CR"/>
        </w:rPr>
        <w:t xml:space="preserve">Caso del Pueblo </w:t>
      </w:r>
      <w:proofErr w:type="spellStart"/>
      <w:r w:rsidRPr="009F0AFA">
        <w:rPr>
          <w:bCs/>
          <w:i/>
          <w:sz w:val="16"/>
          <w:szCs w:val="16"/>
          <w:lang w:val="es-CR"/>
        </w:rPr>
        <w:t>S</w:t>
      </w:r>
      <w:r>
        <w:rPr>
          <w:bCs/>
          <w:i/>
          <w:sz w:val="16"/>
          <w:szCs w:val="16"/>
          <w:lang w:val="es-CR"/>
        </w:rPr>
        <w:t>aramaka</w:t>
      </w:r>
      <w:proofErr w:type="spellEnd"/>
      <w:r w:rsidRPr="009F0AFA">
        <w:rPr>
          <w:bCs/>
          <w:i/>
          <w:sz w:val="16"/>
          <w:szCs w:val="16"/>
          <w:lang w:val="es-CR"/>
        </w:rPr>
        <w:t xml:space="preserve"> Vs. Surinam</w:t>
      </w:r>
      <w:r>
        <w:rPr>
          <w:bCs/>
          <w:sz w:val="16"/>
          <w:szCs w:val="16"/>
          <w:lang w:val="es-CR"/>
        </w:rPr>
        <w:t xml:space="preserve">, </w:t>
      </w:r>
      <w:proofErr w:type="spellStart"/>
      <w:r>
        <w:rPr>
          <w:bCs/>
          <w:sz w:val="16"/>
          <w:szCs w:val="16"/>
          <w:lang w:val="es-CR"/>
        </w:rPr>
        <w:t>párrs</w:t>
      </w:r>
      <w:proofErr w:type="spellEnd"/>
      <w:r>
        <w:rPr>
          <w:bCs/>
          <w:sz w:val="16"/>
          <w:szCs w:val="16"/>
          <w:lang w:val="es-CR"/>
        </w:rPr>
        <w:t>. 168 a 169.</w:t>
      </w:r>
    </w:p>
  </w:footnote>
  <w:footnote w:id="37">
    <w:p w:rsidR="00287D3E" w:rsidRPr="001D0BBE" w:rsidRDefault="00287D3E" w:rsidP="00751FFA">
      <w:pPr>
        <w:pStyle w:val="FootnoteText"/>
        <w:jc w:val="both"/>
        <w:rPr>
          <w:lang w:val="es-CR"/>
        </w:rPr>
      </w:pPr>
      <w:r w:rsidRPr="001D0BBE">
        <w:rPr>
          <w:rStyle w:val="FootnoteReference"/>
          <w:rFonts w:eastAsiaTheme="minorHAnsi" w:cstheme="minorBidi"/>
          <w:sz w:val="16"/>
          <w:szCs w:val="16"/>
          <w:lang w:val="es-MX"/>
        </w:rPr>
        <w:footnoteRef/>
      </w:r>
      <w:r w:rsidRPr="001D0BBE">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751FFA">
        <w:rPr>
          <w:bCs/>
          <w:i/>
          <w:sz w:val="16"/>
          <w:szCs w:val="16"/>
          <w:lang w:val="es-CR"/>
        </w:rPr>
        <w:t>Caso Comunidad</w:t>
      </w:r>
      <w:r w:rsidRPr="00E32694">
        <w:rPr>
          <w:bCs/>
          <w:i/>
          <w:sz w:val="16"/>
          <w:szCs w:val="16"/>
          <w:lang w:val="es-CR"/>
        </w:rPr>
        <w:t xml:space="preserve"> Indígena </w:t>
      </w:r>
      <w:proofErr w:type="spellStart"/>
      <w:r w:rsidRPr="00E32694">
        <w:rPr>
          <w:bCs/>
          <w:i/>
          <w:sz w:val="16"/>
          <w:szCs w:val="16"/>
          <w:lang w:val="es-CR"/>
        </w:rPr>
        <w:t>Sawhoyamaxa</w:t>
      </w:r>
      <w:proofErr w:type="spellEnd"/>
      <w:r>
        <w:rPr>
          <w:bCs/>
          <w:i/>
          <w:sz w:val="16"/>
          <w:szCs w:val="16"/>
          <w:lang w:val="es-CR"/>
        </w:rPr>
        <w:t xml:space="preserve"> Vs. Paraguay</w:t>
      </w:r>
      <w:r w:rsidRPr="0079591F">
        <w:rPr>
          <w:bCs/>
          <w:sz w:val="16"/>
          <w:szCs w:val="16"/>
          <w:lang w:val="es-CR"/>
        </w:rPr>
        <w:t xml:space="preserve">, </w:t>
      </w:r>
      <w:proofErr w:type="spellStart"/>
      <w:r w:rsidRPr="0079591F">
        <w:rPr>
          <w:bCs/>
          <w:sz w:val="16"/>
          <w:szCs w:val="16"/>
          <w:lang w:val="es-CR"/>
        </w:rPr>
        <w:t>párr</w:t>
      </w:r>
      <w:r>
        <w:rPr>
          <w:bCs/>
          <w:sz w:val="16"/>
          <w:szCs w:val="16"/>
          <w:lang w:val="es-CR"/>
        </w:rPr>
        <w:t>s</w:t>
      </w:r>
      <w:proofErr w:type="spellEnd"/>
      <w:r w:rsidRPr="0079591F">
        <w:rPr>
          <w:bCs/>
          <w:sz w:val="16"/>
          <w:szCs w:val="16"/>
          <w:lang w:val="es-CR"/>
        </w:rPr>
        <w:t xml:space="preserve">. </w:t>
      </w:r>
      <w:r w:rsidRPr="00E32694">
        <w:rPr>
          <w:bCs/>
          <w:sz w:val="16"/>
          <w:szCs w:val="16"/>
          <w:lang w:val="es-CR"/>
        </w:rPr>
        <w:t>18</w:t>
      </w:r>
      <w:r>
        <w:rPr>
          <w:bCs/>
          <w:sz w:val="16"/>
          <w:szCs w:val="16"/>
          <w:lang w:val="es-CR"/>
        </w:rPr>
        <w:t>8</w:t>
      </w:r>
      <w:r w:rsidRPr="00E32694">
        <w:rPr>
          <w:bCs/>
          <w:sz w:val="16"/>
          <w:szCs w:val="16"/>
          <w:lang w:val="es-CR"/>
        </w:rPr>
        <w:t xml:space="preserve"> a 1</w:t>
      </w:r>
      <w:r>
        <w:rPr>
          <w:bCs/>
          <w:sz w:val="16"/>
          <w:szCs w:val="16"/>
          <w:lang w:val="es-CR"/>
        </w:rPr>
        <w:t xml:space="preserve">89; </w:t>
      </w:r>
      <w:r w:rsidRPr="00751FFA">
        <w:rPr>
          <w:bCs/>
          <w:i/>
          <w:sz w:val="16"/>
          <w:szCs w:val="16"/>
          <w:lang w:val="es-CR"/>
        </w:rPr>
        <w:t>Cfr</w:t>
      </w:r>
      <w:r>
        <w:rPr>
          <w:bCs/>
          <w:sz w:val="16"/>
          <w:szCs w:val="16"/>
          <w:lang w:val="es-CR"/>
        </w:rPr>
        <w:t xml:space="preserve">. </w:t>
      </w:r>
      <w:r w:rsidRPr="00751FFA">
        <w:rPr>
          <w:i/>
          <w:sz w:val="16"/>
          <w:szCs w:val="16"/>
          <w:lang w:val="es-CR"/>
        </w:rPr>
        <w:t xml:space="preserve">Caso de las Niñas </w:t>
      </w:r>
      <w:proofErr w:type="spellStart"/>
      <w:r w:rsidRPr="00751FFA">
        <w:rPr>
          <w:i/>
          <w:sz w:val="16"/>
          <w:szCs w:val="16"/>
          <w:lang w:val="es-CR"/>
        </w:rPr>
        <w:t>Yean</w:t>
      </w:r>
      <w:proofErr w:type="spellEnd"/>
      <w:r w:rsidRPr="00751FFA">
        <w:rPr>
          <w:i/>
          <w:sz w:val="16"/>
          <w:szCs w:val="16"/>
          <w:lang w:val="es-CR"/>
        </w:rPr>
        <w:t xml:space="preserve"> y </w:t>
      </w:r>
      <w:proofErr w:type="spellStart"/>
      <w:r w:rsidRPr="00751FFA">
        <w:rPr>
          <w:i/>
          <w:sz w:val="16"/>
          <w:szCs w:val="16"/>
          <w:lang w:val="es-CR"/>
        </w:rPr>
        <w:t>Bosico</w:t>
      </w:r>
      <w:proofErr w:type="spellEnd"/>
      <w:r w:rsidRPr="00751FFA">
        <w:rPr>
          <w:i/>
          <w:sz w:val="16"/>
          <w:szCs w:val="16"/>
          <w:lang w:val="es-CR"/>
        </w:rPr>
        <w:t xml:space="preserve"> Vs. República Dominicana. </w:t>
      </w:r>
      <w:r w:rsidRPr="00751FFA">
        <w:rPr>
          <w:sz w:val="16"/>
          <w:szCs w:val="16"/>
          <w:lang w:val="es-CR"/>
        </w:rPr>
        <w:t>Sentencia de 8 de septiembre de 2005. Serie C No. 130</w:t>
      </w:r>
      <w:r w:rsidRPr="00751FFA">
        <w:rPr>
          <w:bCs/>
          <w:i/>
          <w:sz w:val="16"/>
          <w:szCs w:val="16"/>
          <w:lang w:val="es-CR"/>
        </w:rPr>
        <w:t xml:space="preserve">, </w:t>
      </w:r>
      <w:r w:rsidRPr="00751FFA">
        <w:rPr>
          <w:bCs/>
          <w:sz w:val="16"/>
          <w:szCs w:val="16"/>
          <w:lang w:val="es-CR"/>
        </w:rPr>
        <w:t>párr. 179</w:t>
      </w:r>
      <w:r>
        <w:rPr>
          <w:bCs/>
          <w:sz w:val="16"/>
          <w:szCs w:val="16"/>
          <w:lang w:val="es-CR"/>
        </w:rPr>
        <w:t>, y</w:t>
      </w:r>
      <w:r w:rsidRPr="00751FFA">
        <w:rPr>
          <w:bCs/>
          <w:i/>
          <w:sz w:val="16"/>
          <w:szCs w:val="16"/>
          <w:lang w:val="es-CR"/>
        </w:rPr>
        <w:t xml:space="preserve"> </w:t>
      </w:r>
      <w:r w:rsidRPr="00751FFA">
        <w:rPr>
          <w:i/>
          <w:sz w:val="16"/>
          <w:szCs w:val="16"/>
          <w:lang w:val="es-CR"/>
        </w:rPr>
        <w:t xml:space="preserve">Caso </w:t>
      </w:r>
      <w:proofErr w:type="spellStart"/>
      <w:r w:rsidRPr="00751FFA">
        <w:rPr>
          <w:i/>
          <w:sz w:val="16"/>
          <w:szCs w:val="16"/>
          <w:lang w:val="es-CR"/>
        </w:rPr>
        <w:t>Bámaca</w:t>
      </w:r>
      <w:proofErr w:type="spellEnd"/>
      <w:r w:rsidRPr="00751FFA">
        <w:rPr>
          <w:i/>
          <w:sz w:val="16"/>
          <w:szCs w:val="16"/>
          <w:lang w:val="es-CR"/>
        </w:rPr>
        <w:t xml:space="preserve"> Velásquez Vs. Guatemala. Fondo</w:t>
      </w:r>
      <w:r w:rsidRPr="00751FFA">
        <w:rPr>
          <w:sz w:val="16"/>
          <w:szCs w:val="16"/>
          <w:lang w:val="es-CR"/>
        </w:rPr>
        <w:t>. Sentencia de 25 de noviembre de 2000. Serie C No. 70</w:t>
      </w:r>
      <w:r w:rsidRPr="00751FFA">
        <w:rPr>
          <w:bCs/>
          <w:sz w:val="16"/>
          <w:szCs w:val="16"/>
          <w:lang w:val="es-CR"/>
        </w:rPr>
        <w:t>,</w:t>
      </w:r>
      <w:r w:rsidRPr="00751FFA">
        <w:rPr>
          <w:bCs/>
          <w:i/>
          <w:sz w:val="16"/>
          <w:szCs w:val="16"/>
          <w:lang w:val="es-CR"/>
        </w:rPr>
        <w:t xml:space="preserve"> </w:t>
      </w:r>
      <w:r w:rsidRPr="00751FFA">
        <w:rPr>
          <w:bCs/>
          <w:sz w:val="16"/>
          <w:szCs w:val="16"/>
          <w:lang w:val="es-CR"/>
        </w:rPr>
        <w:t>párr. 179</w:t>
      </w:r>
      <w:r>
        <w:rPr>
          <w:bCs/>
          <w:sz w:val="16"/>
          <w:szCs w:val="16"/>
          <w:lang w:val="es-CR"/>
        </w:rPr>
        <w:t>.</w:t>
      </w:r>
    </w:p>
  </w:footnote>
  <w:footnote w:id="38">
    <w:p w:rsidR="00287D3E" w:rsidRPr="00DA6DF4" w:rsidRDefault="00287D3E" w:rsidP="00911431">
      <w:pPr>
        <w:pStyle w:val="FootnoteText"/>
        <w:jc w:val="both"/>
      </w:pPr>
      <w:r w:rsidRPr="00DA6DF4">
        <w:rPr>
          <w:rStyle w:val="FootnoteReference"/>
          <w:rFonts w:eastAsiaTheme="minorHAnsi" w:cstheme="minorBidi"/>
          <w:sz w:val="16"/>
          <w:szCs w:val="16"/>
          <w:lang w:val="es-MX"/>
        </w:rPr>
        <w:footnoteRef/>
      </w:r>
      <w:r w:rsidRPr="00DA6DF4">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094C58">
        <w:rPr>
          <w:rFonts w:eastAsiaTheme="minorHAnsi" w:cstheme="minorBidi"/>
          <w:i/>
          <w:sz w:val="16"/>
          <w:szCs w:val="16"/>
          <w:lang w:val="es-MX"/>
        </w:rPr>
        <w:t>Cfr</w:t>
      </w:r>
      <w:r>
        <w:rPr>
          <w:rFonts w:eastAsiaTheme="minorHAnsi" w:cstheme="minorBidi"/>
          <w:sz w:val="16"/>
          <w:szCs w:val="16"/>
          <w:lang w:val="es-MX"/>
        </w:rPr>
        <w:t xml:space="preserve">. </w:t>
      </w:r>
      <w:r w:rsidRPr="00127469">
        <w:rPr>
          <w:rFonts w:eastAsiaTheme="minorHAnsi" w:cstheme="minorBidi"/>
          <w:i/>
          <w:sz w:val="16"/>
          <w:szCs w:val="16"/>
          <w:lang w:val="es-CR"/>
        </w:rPr>
        <w:t xml:space="preserve">Caso Pueblo Indígena </w:t>
      </w:r>
      <w:proofErr w:type="spellStart"/>
      <w:r w:rsidRPr="00127469">
        <w:rPr>
          <w:rFonts w:eastAsiaTheme="minorHAnsi" w:cstheme="minorBidi"/>
          <w:i/>
          <w:sz w:val="16"/>
          <w:szCs w:val="16"/>
          <w:lang w:val="es-CR"/>
        </w:rPr>
        <w:t>Kichwa</w:t>
      </w:r>
      <w:proofErr w:type="spellEnd"/>
      <w:r w:rsidRPr="00127469">
        <w:rPr>
          <w:rFonts w:eastAsiaTheme="minorHAnsi" w:cstheme="minorBidi"/>
          <w:i/>
          <w:sz w:val="16"/>
          <w:szCs w:val="16"/>
          <w:lang w:val="es-CR"/>
        </w:rPr>
        <w:t xml:space="preserve"> de </w:t>
      </w:r>
      <w:proofErr w:type="spellStart"/>
      <w:r w:rsidRPr="00127469">
        <w:rPr>
          <w:rFonts w:eastAsiaTheme="minorHAnsi" w:cstheme="minorBidi"/>
          <w:i/>
          <w:sz w:val="16"/>
          <w:szCs w:val="16"/>
          <w:lang w:val="es-CR"/>
        </w:rPr>
        <w:t>Sarayaku</w:t>
      </w:r>
      <w:proofErr w:type="spellEnd"/>
      <w:r w:rsidRPr="00127469">
        <w:rPr>
          <w:rFonts w:eastAsiaTheme="minorHAnsi" w:cstheme="minorBidi"/>
          <w:i/>
          <w:sz w:val="16"/>
          <w:szCs w:val="16"/>
          <w:lang w:val="es-CR"/>
        </w:rPr>
        <w:t xml:space="preserve"> Vs. Ecuador. Fondo y reparaciones.</w:t>
      </w:r>
      <w:r w:rsidRPr="00127469">
        <w:rPr>
          <w:rFonts w:eastAsiaTheme="minorHAnsi" w:cstheme="minorBidi"/>
          <w:sz w:val="16"/>
          <w:szCs w:val="16"/>
          <w:lang w:val="es-CR"/>
        </w:rPr>
        <w:t xml:space="preserve"> Sentencia de 27 de junio</w:t>
      </w:r>
      <w:r>
        <w:rPr>
          <w:rFonts w:eastAsiaTheme="minorHAnsi" w:cstheme="minorBidi"/>
          <w:sz w:val="16"/>
          <w:szCs w:val="16"/>
          <w:lang w:val="es-CR"/>
        </w:rPr>
        <w:t xml:space="preserve"> de 2012. Serie C No. 245, párr</w:t>
      </w:r>
      <w:r w:rsidRPr="00127469">
        <w:rPr>
          <w:rFonts w:eastAsiaTheme="minorHAnsi" w:cstheme="minorBidi"/>
          <w:sz w:val="16"/>
          <w:szCs w:val="16"/>
          <w:lang w:val="es-CR"/>
        </w:rPr>
        <w:t>.</w:t>
      </w:r>
      <w:r>
        <w:rPr>
          <w:rFonts w:eastAsiaTheme="minorHAnsi" w:cstheme="minorBidi"/>
          <w:sz w:val="16"/>
          <w:szCs w:val="16"/>
          <w:lang w:val="es-CR"/>
        </w:rPr>
        <w:t xml:space="preserve"> 341(2) y (4).</w:t>
      </w:r>
    </w:p>
  </w:footnote>
  <w:footnote w:id="39">
    <w:p w:rsidR="00287D3E" w:rsidRPr="00E4596F" w:rsidRDefault="00287D3E" w:rsidP="00FE2C98">
      <w:pPr>
        <w:pStyle w:val="FootnoteText"/>
        <w:jc w:val="both"/>
        <w:rPr>
          <w:lang w:val="es-CR"/>
        </w:rPr>
      </w:pPr>
      <w:r w:rsidRPr="00E4596F">
        <w:rPr>
          <w:rStyle w:val="FootnoteReference"/>
          <w:rFonts w:eastAsiaTheme="minorHAnsi" w:cstheme="minorBidi"/>
          <w:sz w:val="16"/>
          <w:szCs w:val="16"/>
          <w:lang w:val="es-MX"/>
        </w:rPr>
        <w:footnoteRef/>
      </w:r>
      <w:r w:rsidRPr="00E4596F">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127469">
        <w:rPr>
          <w:rFonts w:eastAsiaTheme="minorHAnsi" w:cstheme="minorBidi"/>
          <w:i/>
          <w:sz w:val="16"/>
          <w:szCs w:val="16"/>
          <w:lang w:val="es-CR"/>
        </w:rPr>
        <w:t xml:space="preserve">Caso Pueblo Indígena </w:t>
      </w:r>
      <w:proofErr w:type="spellStart"/>
      <w:r w:rsidRPr="00127469">
        <w:rPr>
          <w:rFonts w:eastAsiaTheme="minorHAnsi" w:cstheme="minorBidi"/>
          <w:i/>
          <w:sz w:val="16"/>
          <w:szCs w:val="16"/>
          <w:lang w:val="es-CR"/>
        </w:rPr>
        <w:t>Kichwa</w:t>
      </w:r>
      <w:proofErr w:type="spellEnd"/>
      <w:r w:rsidRPr="00127469">
        <w:rPr>
          <w:rFonts w:eastAsiaTheme="minorHAnsi" w:cstheme="minorBidi"/>
          <w:i/>
          <w:sz w:val="16"/>
          <w:szCs w:val="16"/>
          <w:lang w:val="es-CR"/>
        </w:rPr>
        <w:t xml:space="preserve"> de </w:t>
      </w:r>
      <w:proofErr w:type="spellStart"/>
      <w:r w:rsidRPr="00127469">
        <w:rPr>
          <w:rFonts w:eastAsiaTheme="minorHAnsi" w:cstheme="minorBidi"/>
          <w:i/>
          <w:sz w:val="16"/>
          <w:szCs w:val="16"/>
          <w:lang w:val="es-CR"/>
        </w:rPr>
        <w:t>Sarayaku</w:t>
      </w:r>
      <w:proofErr w:type="spellEnd"/>
      <w:r w:rsidRPr="00127469">
        <w:rPr>
          <w:rFonts w:eastAsiaTheme="minorHAnsi" w:cstheme="minorBidi"/>
          <w:i/>
          <w:sz w:val="16"/>
          <w:szCs w:val="16"/>
          <w:lang w:val="es-CR"/>
        </w:rPr>
        <w:t xml:space="preserve"> Vs. Ecuador. Fondo y reparaciones.</w:t>
      </w:r>
      <w:r w:rsidRPr="00127469">
        <w:rPr>
          <w:rFonts w:eastAsiaTheme="minorHAnsi" w:cstheme="minorBidi"/>
          <w:sz w:val="16"/>
          <w:szCs w:val="16"/>
          <w:lang w:val="es-CR"/>
        </w:rPr>
        <w:t xml:space="preserve"> Sentencia de 27 de junio</w:t>
      </w:r>
      <w:r>
        <w:rPr>
          <w:rFonts w:eastAsiaTheme="minorHAnsi" w:cstheme="minorBidi"/>
          <w:sz w:val="16"/>
          <w:szCs w:val="16"/>
          <w:lang w:val="es-CR"/>
        </w:rPr>
        <w:t xml:space="preserve"> de 2012. Serie C No. 245, párr</w:t>
      </w:r>
      <w:r w:rsidRPr="00127469">
        <w:rPr>
          <w:rFonts w:eastAsiaTheme="minorHAnsi" w:cstheme="minorBidi"/>
          <w:sz w:val="16"/>
          <w:szCs w:val="16"/>
          <w:lang w:val="es-CR"/>
        </w:rPr>
        <w:t>.</w:t>
      </w:r>
      <w:r>
        <w:rPr>
          <w:rFonts w:eastAsiaTheme="minorHAnsi" w:cstheme="minorBidi"/>
          <w:sz w:val="16"/>
          <w:szCs w:val="16"/>
          <w:lang w:val="es-CR"/>
        </w:rPr>
        <w:t xml:space="preserve"> 231.</w:t>
      </w:r>
      <w:r>
        <w:rPr>
          <w:rFonts w:eastAsiaTheme="minorHAnsi" w:cstheme="minorBidi"/>
          <w:sz w:val="16"/>
          <w:szCs w:val="16"/>
          <w:lang w:val="es-MX"/>
        </w:rPr>
        <w:tab/>
      </w:r>
    </w:p>
  </w:footnote>
  <w:footnote w:id="40">
    <w:p w:rsidR="00287D3E" w:rsidRPr="008726D6" w:rsidRDefault="00287D3E" w:rsidP="00D4688C">
      <w:pPr>
        <w:pStyle w:val="FootnoteText"/>
        <w:jc w:val="both"/>
        <w:rPr>
          <w:lang w:val="es-CR"/>
        </w:rPr>
      </w:pPr>
      <w:r w:rsidRPr="008726D6">
        <w:rPr>
          <w:rStyle w:val="FootnoteReference"/>
          <w:rFonts w:eastAsiaTheme="minorHAnsi" w:cstheme="minorBidi"/>
          <w:noProof/>
          <w:sz w:val="16"/>
          <w:szCs w:val="16"/>
          <w:lang w:val="es-MX"/>
        </w:rPr>
        <w:footnoteRef/>
      </w:r>
      <w:r>
        <w:t xml:space="preserve"> </w:t>
      </w:r>
      <w:r>
        <w:tab/>
      </w:r>
      <w:r w:rsidRPr="00127469">
        <w:rPr>
          <w:rFonts w:eastAsiaTheme="minorHAnsi" w:cstheme="minorBidi"/>
          <w:i/>
          <w:sz w:val="16"/>
          <w:szCs w:val="16"/>
          <w:lang w:val="es-CR"/>
        </w:rPr>
        <w:t xml:space="preserve">Caso Pueblo Indígena </w:t>
      </w:r>
      <w:proofErr w:type="spellStart"/>
      <w:r w:rsidRPr="00127469">
        <w:rPr>
          <w:rFonts w:eastAsiaTheme="minorHAnsi" w:cstheme="minorBidi"/>
          <w:i/>
          <w:sz w:val="16"/>
          <w:szCs w:val="16"/>
          <w:lang w:val="es-CR"/>
        </w:rPr>
        <w:t>Kichwa</w:t>
      </w:r>
      <w:proofErr w:type="spellEnd"/>
      <w:r w:rsidRPr="00127469">
        <w:rPr>
          <w:rFonts w:eastAsiaTheme="minorHAnsi" w:cstheme="minorBidi"/>
          <w:i/>
          <w:sz w:val="16"/>
          <w:szCs w:val="16"/>
          <w:lang w:val="es-CR"/>
        </w:rPr>
        <w:t xml:space="preserve"> de </w:t>
      </w:r>
      <w:proofErr w:type="spellStart"/>
      <w:r w:rsidRPr="00127469">
        <w:rPr>
          <w:rFonts w:eastAsiaTheme="minorHAnsi" w:cstheme="minorBidi"/>
          <w:i/>
          <w:sz w:val="16"/>
          <w:szCs w:val="16"/>
          <w:lang w:val="es-CR"/>
        </w:rPr>
        <w:t>Sarayaku</w:t>
      </w:r>
      <w:proofErr w:type="spellEnd"/>
      <w:r w:rsidRPr="00127469">
        <w:rPr>
          <w:rFonts w:eastAsiaTheme="minorHAnsi" w:cstheme="minorBidi"/>
          <w:i/>
          <w:sz w:val="16"/>
          <w:szCs w:val="16"/>
          <w:lang w:val="es-CR"/>
        </w:rPr>
        <w:t xml:space="preserve"> Vs. Ecuador. Fondo y reparaciones.</w:t>
      </w:r>
      <w:r w:rsidRPr="00127469">
        <w:rPr>
          <w:rFonts w:eastAsiaTheme="minorHAnsi" w:cstheme="minorBidi"/>
          <w:sz w:val="16"/>
          <w:szCs w:val="16"/>
          <w:lang w:val="es-CR"/>
        </w:rPr>
        <w:t xml:space="preserve"> Sentencia de 27 de junio</w:t>
      </w:r>
      <w:r>
        <w:rPr>
          <w:rFonts w:eastAsiaTheme="minorHAnsi" w:cstheme="minorBidi"/>
          <w:sz w:val="16"/>
          <w:szCs w:val="16"/>
          <w:lang w:val="es-CR"/>
        </w:rPr>
        <w:t xml:space="preserve"> de 2012. Serie C No. 245, párr</w:t>
      </w:r>
      <w:r w:rsidRPr="00127469">
        <w:rPr>
          <w:rFonts w:eastAsiaTheme="minorHAnsi" w:cstheme="minorBidi"/>
          <w:sz w:val="16"/>
          <w:szCs w:val="16"/>
          <w:lang w:val="es-CR"/>
        </w:rPr>
        <w:t>.</w:t>
      </w:r>
      <w:r>
        <w:rPr>
          <w:rFonts w:eastAsiaTheme="minorHAnsi" w:cstheme="minorBidi"/>
          <w:sz w:val="16"/>
          <w:szCs w:val="16"/>
          <w:lang w:val="es-CR"/>
        </w:rPr>
        <w:t xml:space="preserve"> 323. Véase también </w:t>
      </w:r>
      <w:r w:rsidRPr="00CC427C">
        <w:rPr>
          <w:rFonts w:eastAsiaTheme="minorHAnsi" w:cstheme="minorBidi"/>
          <w:i/>
          <w:sz w:val="16"/>
          <w:szCs w:val="16"/>
          <w:lang w:val="es-CR"/>
        </w:rPr>
        <w:t xml:space="preserve">Caso de los Pueblos Indígenas Kuna de </w:t>
      </w:r>
      <w:proofErr w:type="spellStart"/>
      <w:r w:rsidRPr="00CC427C">
        <w:rPr>
          <w:rFonts w:eastAsiaTheme="minorHAnsi" w:cstheme="minorBidi"/>
          <w:i/>
          <w:sz w:val="16"/>
          <w:szCs w:val="16"/>
          <w:lang w:val="es-CR"/>
        </w:rPr>
        <w:t>Madungandí</w:t>
      </w:r>
      <w:proofErr w:type="spellEnd"/>
      <w:r w:rsidRPr="00CC427C">
        <w:rPr>
          <w:rFonts w:eastAsiaTheme="minorHAnsi" w:cstheme="minorBidi"/>
          <w:i/>
          <w:sz w:val="16"/>
          <w:szCs w:val="16"/>
          <w:lang w:val="es-CR"/>
        </w:rPr>
        <w:t xml:space="preserve"> y </w:t>
      </w:r>
      <w:proofErr w:type="spellStart"/>
      <w:r w:rsidRPr="00CC427C">
        <w:rPr>
          <w:rFonts w:eastAsiaTheme="minorHAnsi" w:cstheme="minorBidi"/>
          <w:i/>
          <w:sz w:val="16"/>
          <w:szCs w:val="16"/>
          <w:lang w:val="es-CR"/>
        </w:rPr>
        <w:t>Emberá</w:t>
      </w:r>
      <w:proofErr w:type="spellEnd"/>
      <w:r w:rsidRPr="00CC427C">
        <w:rPr>
          <w:rFonts w:eastAsiaTheme="minorHAnsi" w:cstheme="minorBidi"/>
          <w:i/>
          <w:sz w:val="16"/>
          <w:szCs w:val="16"/>
          <w:lang w:val="es-CR"/>
        </w:rPr>
        <w:t xml:space="preserve"> de Bayano y sus Miembros Vs. Panamá. Excepciones Preliminares, Fondo, Reparaciones y Costas</w:t>
      </w:r>
      <w:r w:rsidRPr="00CC427C">
        <w:rPr>
          <w:rFonts w:eastAsiaTheme="minorHAnsi" w:cstheme="minorBidi"/>
          <w:sz w:val="16"/>
          <w:szCs w:val="16"/>
          <w:lang w:val="es-CR"/>
        </w:rPr>
        <w:t>. Sentencia de 14 de octubre de 2014. Serie C No. 284</w:t>
      </w:r>
      <w:r>
        <w:rPr>
          <w:rFonts w:eastAsiaTheme="minorHAnsi" w:cstheme="minorBidi"/>
          <w:sz w:val="16"/>
          <w:szCs w:val="16"/>
          <w:lang w:val="es-CR"/>
        </w:rPr>
        <w:t>, párr. 246.</w:t>
      </w:r>
    </w:p>
  </w:footnote>
  <w:footnote w:id="41">
    <w:p w:rsidR="00287D3E" w:rsidRPr="00A4078D" w:rsidRDefault="00287D3E" w:rsidP="00A4078D">
      <w:pPr>
        <w:pStyle w:val="FootnoteText"/>
        <w:jc w:val="both"/>
        <w:rPr>
          <w:rFonts w:eastAsiaTheme="minorHAnsi" w:cstheme="minorBidi"/>
          <w:sz w:val="16"/>
          <w:szCs w:val="16"/>
          <w:lang w:val="es-MX"/>
        </w:rPr>
      </w:pPr>
      <w:r w:rsidRPr="001202E0">
        <w:rPr>
          <w:rStyle w:val="FootnoteReference"/>
          <w:rFonts w:eastAsiaTheme="minorHAnsi" w:cstheme="minorBidi"/>
          <w:sz w:val="16"/>
          <w:szCs w:val="16"/>
          <w:lang w:val="es-MX"/>
        </w:rPr>
        <w:footnoteRef/>
      </w:r>
      <w:r w:rsidRPr="001202E0">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A4078D">
        <w:rPr>
          <w:rFonts w:eastAsiaTheme="minorHAnsi" w:cstheme="minorBidi"/>
          <w:sz w:val="16"/>
          <w:szCs w:val="16"/>
          <w:lang w:val="es-MX"/>
        </w:rPr>
        <w:t>Organización Internacional del Trabajo (OIT), Convenio No. 169 sobre Pueblos Indígenas y Tribales en los Países Independientes, adoptado el 27 de junio de 1989 y vigente desde el 5 de septiembre de 1991.</w:t>
      </w:r>
    </w:p>
  </w:footnote>
  <w:footnote w:id="42">
    <w:p w:rsidR="00287D3E" w:rsidRPr="00E4596F" w:rsidRDefault="00287D3E" w:rsidP="00E4596F">
      <w:pPr>
        <w:pStyle w:val="FootnoteText"/>
        <w:jc w:val="both"/>
        <w:rPr>
          <w:rFonts w:eastAsiaTheme="minorHAnsi" w:cstheme="minorBidi"/>
          <w:sz w:val="16"/>
          <w:szCs w:val="16"/>
          <w:lang w:val="es-CR"/>
        </w:rPr>
      </w:pPr>
      <w:r w:rsidRPr="001202E0">
        <w:rPr>
          <w:rStyle w:val="FootnoteReference"/>
          <w:rFonts w:eastAsiaTheme="minorHAnsi" w:cstheme="minorBidi"/>
          <w:sz w:val="16"/>
          <w:szCs w:val="16"/>
          <w:lang w:val="es-MX"/>
        </w:rPr>
        <w:footnoteRef/>
      </w:r>
      <w:r w:rsidRPr="001202E0">
        <w:rPr>
          <w:rStyle w:val="FootnoteReference"/>
          <w:rFonts w:eastAsiaTheme="minorHAnsi" w:cstheme="minorBidi"/>
          <w:sz w:val="16"/>
          <w:szCs w:val="16"/>
          <w:lang w:val="es-MX"/>
        </w:rPr>
        <w:t xml:space="preserve"> </w:t>
      </w:r>
      <w:r>
        <w:rPr>
          <w:rFonts w:eastAsiaTheme="minorHAnsi" w:cstheme="minorBidi"/>
          <w:sz w:val="16"/>
          <w:szCs w:val="16"/>
          <w:lang w:val="es-MX"/>
        </w:rPr>
        <w:tab/>
        <w:t xml:space="preserve">La Corte también se refirió a Naciones Unidas, </w:t>
      </w:r>
      <w:r w:rsidRPr="00E4596F">
        <w:rPr>
          <w:rFonts w:eastAsiaTheme="minorHAnsi" w:cstheme="minorBidi"/>
          <w:sz w:val="16"/>
          <w:szCs w:val="16"/>
          <w:lang w:val="es-CR"/>
        </w:rPr>
        <w:t xml:space="preserve">Comité </w:t>
      </w:r>
      <w:r w:rsidRPr="00146813">
        <w:rPr>
          <w:rFonts w:eastAsiaTheme="minorHAnsi" w:cstheme="minorBidi"/>
          <w:sz w:val="16"/>
          <w:szCs w:val="16"/>
          <w:lang w:val="es-CR"/>
        </w:rPr>
        <w:t>de</w:t>
      </w:r>
      <w:r>
        <w:rPr>
          <w:rFonts w:eastAsiaTheme="minorHAnsi" w:cstheme="minorBidi"/>
          <w:sz w:val="16"/>
          <w:szCs w:val="16"/>
          <w:lang w:val="es-CR"/>
        </w:rPr>
        <w:t xml:space="preserve"> </w:t>
      </w:r>
      <w:r w:rsidRPr="00146813">
        <w:rPr>
          <w:rFonts w:eastAsiaTheme="minorHAnsi" w:cstheme="minorBidi"/>
          <w:sz w:val="16"/>
          <w:szCs w:val="16"/>
          <w:lang w:val="es-CR"/>
        </w:rPr>
        <w:t>l</w:t>
      </w:r>
      <w:r>
        <w:rPr>
          <w:rFonts w:eastAsiaTheme="minorHAnsi" w:cstheme="minorBidi"/>
          <w:sz w:val="16"/>
          <w:szCs w:val="16"/>
          <w:lang w:val="es-CR"/>
        </w:rPr>
        <w:t>os Derechos Económicos, Sociales y Culturales,</w:t>
      </w:r>
      <w:r w:rsidRPr="00146813">
        <w:rPr>
          <w:rFonts w:eastAsiaTheme="minorHAnsi" w:cstheme="minorBidi"/>
          <w:sz w:val="16"/>
          <w:szCs w:val="16"/>
          <w:lang w:val="es-CR"/>
        </w:rPr>
        <w:t xml:space="preserve"> Observación</w:t>
      </w:r>
      <w:r w:rsidRPr="00E4596F">
        <w:rPr>
          <w:rFonts w:eastAsiaTheme="minorHAnsi" w:cstheme="minorBidi"/>
          <w:sz w:val="16"/>
          <w:szCs w:val="16"/>
          <w:lang w:val="es-CR"/>
        </w:rPr>
        <w:t xml:space="preserve"> General No. 17</w:t>
      </w:r>
      <w:r>
        <w:rPr>
          <w:rFonts w:eastAsiaTheme="minorHAnsi" w:cstheme="minorBidi"/>
          <w:sz w:val="16"/>
          <w:szCs w:val="16"/>
          <w:lang w:val="es-CR"/>
        </w:rPr>
        <w:t>, U.N. Doc.</w:t>
      </w:r>
      <w:r w:rsidRPr="00E4596F">
        <w:rPr>
          <w:rFonts w:eastAsiaTheme="minorHAnsi" w:cstheme="minorBidi"/>
          <w:sz w:val="16"/>
          <w:szCs w:val="16"/>
          <w:lang w:val="es-CR"/>
        </w:rPr>
        <w:t xml:space="preserve"> </w:t>
      </w:r>
      <w:r w:rsidRPr="00146813">
        <w:rPr>
          <w:rFonts w:eastAsiaTheme="minorHAnsi" w:cstheme="minorBidi"/>
          <w:sz w:val="16"/>
          <w:szCs w:val="16"/>
          <w:lang w:val="es-MX"/>
        </w:rPr>
        <w:t>E/C.12/GC/17</w:t>
      </w:r>
      <w:r>
        <w:rPr>
          <w:rFonts w:eastAsiaTheme="minorHAnsi" w:cstheme="minorBidi"/>
          <w:sz w:val="16"/>
          <w:szCs w:val="16"/>
          <w:lang w:val="es-MX"/>
        </w:rPr>
        <w:t>,</w:t>
      </w:r>
      <w:r w:rsidRPr="00E4596F">
        <w:rPr>
          <w:rFonts w:eastAsiaTheme="minorHAnsi" w:cstheme="minorBidi"/>
          <w:sz w:val="16"/>
          <w:szCs w:val="16"/>
          <w:lang w:val="es-CR"/>
        </w:rPr>
        <w:t xml:space="preserve"> </w:t>
      </w:r>
      <w:r>
        <w:rPr>
          <w:rFonts w:eastAsiaTheme="minorHAnsi" w:cstheme="minorBidi"/>
          <w:sz w:val="16"/>
          <w:szCs w:val="16"/>
          <w:lang w:val="es-CR"/>
        </w:rPr>
        <w:t>de noviembre de 2006</w:t>
      </w:r>
      <w:r w:rsidRPr="00E4596F">
        <w:rPr>
          <w:rFonts w:eastAsiaTheme="minorHAnsi" w:cstheme="minorBidi"/>
          <w:sz w:val="16"/>
          <w:szCs w:val="16"/>
          <w:lang w:val="es-CR"/>
        </w:rPr>
        <w:t xml:space="preserve">, </w:t>
      </w:r>
      <w:proofErr w:type="spellStart"/>
      <w:r w:rsidRPr="00E4596F">
        <w:rPr>
          <w:rFonts w:eastAsiaTheme="minorHAnsi" w:cstheme="minorBidi"/>
          <w:sz w:val="16"/>
          <w:szCs w:val="16"/>
          <w:lang w:val="es-CR"/>
        </w:rPr>
        <w:t>párrs</w:t>
      </w:r>
      <w:proofErr w:type="spellEnd"/>
      <w:r w:rsidRPr="00E4596F">
        <w:rPr>
          <w:rFonts w:eastAsiaTheme="minorHAnsi" w:cstheme="minorBidi"/>
          <w:sz w:val="16"/>
          <w:szCs w:val="16"/>
          <w:lang w:val="es-CR"/>
        </w:rPr>
        <w:t>. 7, 8 y 32; Observación General No. 21</w:t>
      </w:r>
      <w:r>
        <w:rPr>
          <w:rFonts w:eastAsiaTheme="minorHAnsi" w:cstheme="minorBidi"/>
          <w:sz w:val="16"/>
          <w:szCs w:val="16"/>
          <w:lang w:val="es-CR"/>
        </w:rPr>
        <w:t>,</w:t>
      </w:r>
      <w:r w:rsidRPr="00E4596F">
        <w:rPr>
          <w:rFonts w:eastAsiaTheme="minorHAnsi" w:cstheme="minorBidi"/>
          <w:sz w:val="16"/>
          <w:szCs w:val="16"/>
          <w:lang w:val="es-CR"/>
        </w:rPr>
        <w:t xml:space="preserve"> </w:t>
      </w:r>
      <w:r>
        <w:rPr>
          <w:rFonts w:eastAsiaTheme="minorHAnsi" w:cstheme="minorBidi"/>
          <w:sz w:val="16"/>
          <w:szCs w:val="16"/>
          <w:lang w:val="es-CR"/>
        </w:rPr>
        <w:t>U.N. Doc.</w:t>
      </w:r>
      <w:r w:rsidRPr="00E4596F">
        <w:rPr>
          <w:rFonts w:eastAsiaTheme="minorHAnsi" w:cstheme="minorBidi"/>
          <w:sz w:val="16"/>
          <w:szCs w:val="16"/>
          <w:lang w:val="es-CR"/>
        </w:rPr>
        <w:t xml:space="preserve"> </w:t>
      </w:r>
      <w:r w:rsidRPr="00146813">
        <w:rPr>
          <w:rFonts w:eastAsiaTheme="minorHAnsi" w:cstheme="minorBidi"/>
          <w:sz w:val="16"/>
          <w:szCs w:val="16"/>
          <w:lang w:val="es-CR"/>
        </w:rPr>
        <w:t>E/C.12/GC/21</w:t>
      </w:r>
      <w:r>
        <w:rPr>
          <w:rFonts w:eastAsiaTheme="minorHAnsi" w:cstheme="minorBidi"/>
          <w:sz w:val="16"/>
          <w:szCs w:val="16"/>
          <w:lang w:val="es-CR"/>
        </w:rPr>
        <w:t>,</w:t>
      </w:r>
      <w:r w:rsidRPr="00E4596F">
        <w:rPr>
          <w:rFonts w:eastAsiaTheme="minorHAnsi" w:cstheme="minorBidi"/>
          <w:sz w:val="16"/>
          <w:szCs w:val="16"/>
          <w:lang w:val="es-CR"/>
        </w:rPr>
        <w:t xml:space="preserve"> de </w:t>
      </w:r>
      <w:r>
        <w:rPr>
          <w:rFonts w:eastAsiaTheme="minorHAnsi" w:cstheme="minorBidi"/>
          <w:sz w:val="16"/>
          <w:szCs w:val="16"/>
          <w:lang w:val="es-CR"/>
        </w:rPr>
        <w:t xml:space="preserve">noviembre de </w:t>
      </w:r>
      <w:r w:rsidRPr="00E4596F">
        <w:rPr>
          <w:rFonts w:eastAsiaTheme="minorHAnsi" w:cstheme="minorBidi"/>
          <w:sz w:val="16"/>
          <w:szCs w:val="16"/>
          <w:lang w:val="es-CR"/>
        </w:rPr>
        <w:t>2009</w:t>
      </w:r>
      <w:r>
        <w:rPr>
          <w:rFonts w:eastAsiaTheme="minorHAnsi" w:cstheme="minorBidi"/>
          <w:sz w:val="16"/>
          <w:szCs w:val="16"/>
          <w:lang w:val="es-CR"/>
        </w:rPr>
        <w:t>,</w:t>
      </w:r>
      <w:r w:rsidRPr="00E4596F">
        <w:rPr>
          <w:rFonts w:eastAsiaTheme="minorHAnsi" w:cstheme="minorBidi"/>
          <w:sz w:val="16"/>
          <w:szCs w:val="16"/>
          <w:lang w:val="es-CR"/>
        </w:rPr>
        <w:t xml:space="preserve"> </w:t>
      </w:r>
      <w:proofErr w:type="spellStart"/>
      <w:r>
        <w:rPr>
          <w:rFonts w:eastAsiaTheme="minorHAnsi" w:cstheme="minorBidi"/>
          <w:sz w:val="16"/>
          <w:szCs w:val="16"/>
          <w:lang w:val="es-CR"/>
        </w:rPr>
        <w:t>párrs</w:t>
      </w:r>
      <w:proofErr w:type="spellEnd"/>
      <w:r>
        <w:rPr>
          <w:rFonts w:eastAsiaTheme="minorHAnsi" w:cstheme="minorBidi"/>
          <w:sz w:val="16"/>
          <w:szCs w:val="16"/>
          <w:lang w:val="es-CR"/>
        </w:rPr>
        <w:t>. 8 a 9;</w:t>
      </w:r>
      <w:r w:rsidRPr="00E4596F">
        <w:rPr>
          <w:rFonts w:eastAsiaTheme="minorHAnsi" w:cstheme="minorBidi"/>
          <w:sz w:val="16"/>
          <w:szCs w:val="16"/>
          <w:lang w:val="es-CR"/>
        </w:rPr>
        <w:t xml:space="preserve"> Carta Africana de Derechos Humanos y de los Pueblos de 1986</w:t>
      </w:r>
      <w:r>
        <w:rPr>
          <w:rFonts w:eastAsiaTheme="minorHAnsi" w:cstheme="minorBidi"/>
          <w:sz w:val="16"/>
          <w:szCs w:val="16"/>
          <w:lang w:val="es-CR"/>
        </w:rPr>
        <w:t>,</w:t>
      </w:r>
      <w:r w:rsidRPr="00E4596F">
        <w:rPr>
          <w:rFonts w:eastAsiaTheme="minorHAnsi" w:cstheme="minorBidi"/>
          <w:sz w:val="16"/>
          <w:szCs w:val="16"/>
          <w:lang w:val="es-CR"/>
        </w:rPr>
        <w:t xml:space="preserve"> artículo</w:t>
      </w:r>
      <w:r>
        <w:rPr>
          <w:rFonts w:eastAsiaTheme="minorHAnsi" w:cstheme="minorBidi"/>
          <w:sz w:val="16"/>
          <w:szCs w:val="16"/>
          <w:lang w:val="es-CR"/>
        </w:rPr>
        <w:t>s</w:t>
      </w:r>
      <w:r w:rsidRPr="00E4596F">
        <w:rPr>
          <w:rFonts w:eastAsiaTheme="minorHAnsi" w:cstheme="minorBidi"/>
          <w:sz w:val="16"/>
          <w:szCs w:val="16"/>
          <w:lang w:val="es-CR"/>
        </w:rPr>
        <w:t xml:space="preserve"> 20 a 22.</w:t>
      </w:r>
    </w:p>
  </w:footnote>
  <w:footnote w:id="43">
    <w:p w:rsidR="00287D3E" w:rsidRPr="00E4596F" w:rsidRDefault="00287D3E" w:rsidP="00FE2C98">
      <w:pPr>
        <w:pStyle w:val="FootnoteText"/>
        <w:jc w:val="both"/>
        <w:rPr>
          <w:lang w:val="es-CR"/>
        </w:rPr>
      </w:pPr>
      <w:r w:rsidRPr="00E4596F">
        <w:rPr>
          <w:rStyle w:val="FootnoteReference"/>
          <w:rFonts w:eastAsiaTheme="minorHAnsi" w:cstheme="minorBidi"/>
          <w:sz w:val="16"/>
          <w:szCs w:val="16"/>
          <w:lang w:val="es-MX"/>
        </w:rPr>
        <w:footnoteRef/>
      </w:r>
      <w:r w:rsidRPr="00E4596F">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CC427C">
        <w:rPr>
          <w:rFonts w:eastAsiaTheme="minorHAnsi" w:cstheme="minorBidi"/>
          <w:i/>
          <w:sz w:val="16"/>
          <w:szCs w:val="16"/>
          <w:lang w:val="es-CR"/>
        </w:rPr>
        <w:t xml:space="preserve">Caso de los Pueblos Indígenas Kuna de </w:t>
      </w:r>
      <w:proofErr w:type="spellStart"/>
      <w:r w:rsidRPr="00CC427C">
        <w:rPr>
          <w:rFonts w:eastAsiaTheme="minorHAnsi" w:cstheme="minorBidi"/>
          <w:i/>
          <w:sz w:val="16"/>
          <w:szCs w:val="16"/>
          <w:lang w:val="es-CR"/>
        </w:rPr>
        <w:t>Madungandí</w:t>
      </w:r>
      <w:proofErr w:type="spellEnd"/>
      <w:r w:rsidRPr="00CC427C">
        <w:rPr>
          <w:rFonts w:eastAsiaTheme="minorHAnsi" w:cstheme="minorBidi"/>
          <w:i/>
          <w:sz w:val="16"/>
          <w:szCs w:val="16"/>
          <w:lang w:val="es-CR"/>
        </w:rPr>
        <w:t xml:space="preserve"> y </w:t>
      </w:r>
      <w:proofErr w:type="spellStart"/>
      <w:r w:rsidRPr="00CC427C">
        <w:rPr>
          <w:rFonts w:eastAsiaTheme="minorHAnsi" w:cstheme="minorBidi"/>
          <w:i/>
          <w:sz w:val="16"/>
          <w:szCs w:val="16"/>
          <w:lang w:val="es-CR"/>
        </w:rPr>
        <w:t>Emberá</w:t>
      </w:r>
      <w:proofErr w:type="spellEnd"/>
      <w:r w:rsidRPr="00CC427C">
        <w:rPr>
          <w:rFonts w:eastAsiaTheme="minorHAnsi" w:cstheme="minorBidi"/>
          <w:i/>
          <w:sz w:val="16"/>
          <w:szCs w:val="16"/>
          <w:lang w:val="es-CR"/>
        </w:rPr>
        <w:t xml:space="preserve"> de Bayano y sus Miembros Vs. Panamá. Excepciones Preliminares, Fondo, Reparaciones y Costas</w:t>
      </w:r>
      <w:r w:rsidRPr="00CC427C">
        <w:rPr>
          <w:rFonts w:eastAsiaTheme="minorHAnsi" w:cstheme="minorBidi"/>
          <w:sz w:val="16"/>
          <w:szCs w:val="16"/>
          <w:lang w:val="es-CR"/>
        </w:rPr>
        <w:t>. Sentencia de 14 de octubre de 2014. Serie C No. 284</w:t>
      </w:r>
      <w:r>
        <w:rPr>
          <w:rFonts w:eastAsiaTheme="minorHAnsi" w:cstheme="minorBidi"/>
          <w:sz w:val="16"/>
          <w:szCs w:val="16"/>
          <w:lang w:val="es-CR"/>
        </w:rPr>
        <w:t xml:space="preserve">, párr. 209; </w:t>
      </w:r>
      <w:r w:rsidRPr="003874AA">
        <w:rPr>
          <w:rFonts w:eastAsiaTheme="minorHAnsi" w:cstheme="minorBidi"/>
          <w:i/>
          <w:sz w:val="16"/>
          <w:szCs w:val="16"/>
          <w:lang w:val="es-CR"/>
        </w:rPr>
        <w:t>Caso de las Comunidades Afrodescendientes Desplazadas de la Cuenca del Río Cacarica (Operación Génesis) Vs. Colombia</w:t>
      </w:r>
      <w:r>
        <w:rPr>
          <w:rFonts w:eastAsiaTheme="minorHAnsi" w:cstheme="minorBidi"/>
          <w:sz w:val="16"/>
          <w:szCs w:val="16"/>
          <w:lang w:val="es-CR"/>
        </w:rPr>
        <w:t xml:space="preserve">. </w:t>
      </w:r>
      <w:r w:rsidRPr="00725179">
        <w:rPr>
          <w:rFonts w:eastAsiaTheme="minorHAnsi" w:cstheme="minorBidi"/>
          <w:i/>
          <w:sz w:val="16"/>
          <w:szCs w:val="16"/>
          <w:lang w:val="es-CR"/>
        </w:rPr>
        <w:t>Excepciones Preliminares, Fondo, Reparaciones y Costas</w:t>
      </w:r>
      <w:r>
        <w:rPr>
          <w:rFonts w:eastAsiaTheme="minorHAnsi" w:cstheme="minorBidi"/>
          <w:sz w:val="16"/>
          <w:szCs w:val="16"/>
          <w:lang w:val="es-CR"/>
        </w:rPr>
        <w:t xml:space="preserve">. Sentencia de 20 de noviembre de 2013. Serie C No. 270, </w:t>
      </w:r>
      <w:r w:rsidRPr="00C378A0">
        <w:rPr>
          <w:rFonts w:eastAsiaTheme="minorHAnsi" w:cstheme="minorBidi"/>
          <w:sz w:val="16"/>
          <w:szCs w:val="16"/>
          <w:lang w:val="es-CR"/>
        </w:rPr>
        <w:t>punto resolutivo cuarto</w:t>
      </w:r>
      <w:r>
        <w:rPr>
          <w:rFonts w:eastAsiaTheme="minorHAnsi" w:cstheme="minorBidi"/>
          <w:sz w:val="16"/>
          <w:szCs w:val="16"/>
          <w:lang w:val="es-CR"/>
        </w:rPr>
        <w:t xml:space="preserve"> y párr. 257.</w:t>
      </w:r>
    </w:p>
  </w:footnote>
  <w:footnote w:id="44">
    <w:p w:rsidR="00287D3E" w:rsidRPr="005758AE" w:rsidRDefault="00287D3E" w:rsidP="005758AE">
      <w:pPr>
        <w:pStyle w:val="FootnoteText"/>
        <w:jc w:val="both"/>
        <w:rPr>
          <w:rFonts w:eastAsiaTheme="minorHAnsi" w:cstheme="minorBidi"/>
          <w:sz w:val="16"/>
          <w:szCs w:val="16"/>
          <w:lang w:val="es-MX"/>
        </w:rPr>
      </w:pPr>
      <w:r w:rsidRPr="005758AE">
        <w:rPr>
          <w:rStyle w:val="FootnoteReference"/>
          <w:rFonts w:eastAsiaTheme="minorHAnsi" w:cstheme="minorBidi"/>
          <w:noProof/>
          <w:sz w:val="16"/>
          <w:szCs w:val="16"/>
          <w:lang w:val="es-MX"/>
        </w:rPr>
        <w:footnoteRef/>
      </w:r>
      <w:r w:rsidRPr="005758AE">
        <w:rPr>
          <w:rStyle w:val="FootnoteReference"/>
          <w:rFonts w:eastAsiaTheme="minorHAnsi" w:cstheme="minorBidi"/>
          <w:noProof/>
          <w:sz w:val="16"/>
          <w:szCs w:val="16"/>
          <w:lang w:val="es-MX"/>
        </w:rPr>
        <w:t xml:space="preserve"> </w:t>
      </w:r>
      <w:r>
        <w:rPr>
          <w:rFonts w:eastAsiaTheme="minorHAnsi" w:cstheme="minorBidi"/>
          <w:noProof/>
          <w:sz w:val="16"/>
          <w:szCs w:val="16"/>
          <w:lang w:val="es-MX"/>
        </w:rPr>
        <w:tab/>
      </w:r>
      <w:r w:rsidRPr="00E6395E">
        <w:rPr>
          <w:rFonts w:eastAsiaTheme="minorHAnsi" w:cstheme="minorBidi"/>
          <w:i/>
          <w:noProof/>
          <w:sz w:val="16"/>
          <w:szCs w:val="16"/>
          <w:lang w:val="es-MX"/>
        </w:rPr>
        <w:t>Cfr</w:t>
      </w:r>
      <w:r>
        <w:rPr>
          <w:rFonts w:eastAsiaTheme="minorHAnsi" w:cstheme="minorBidi"/>
          <w:noProof/>
          <w:sz w:val="16"/>
          <w:szCs w:val="16"/>
          <w:lang w:val="es-MX"/>
        </w:rPr>
        <w:t xml:space="preserve">. </w:t>
      </w:r>
      <w:r>
        <w:rPr>
          <w:rFonts w:eastAsiaTheme="minorHAnsi" w:cstheme="minorBidi"/>
          <w:sz w:val="16"/>
          <w:szCs w:val="16"/>
          <w:lang w:val="es-MX"/>
        </w:rPr>
        <w:t xml:space="preserve">Naciones Unidas, Comité de Derechos Humanos, Observación General No. 23, U.N. Doc. </w:t>
      </w:r>
      <w:r w:rsidRPr="00D27ECA">
        <w:rPr>
          <w:rFonts w:eastAsiaTheme="minorHAnsi" w:cstheme="minorBidi"/>
          <w:sz w:val="16"/>
          <w:szCs w:val="16"/>
          <w:lang w:val="es-MX"/>
        </w:rPr>
        <w:t>CCPR/C/21/</w:t>
      </w:r>
      <w:proofErr w:type="spellStart"/>
      <w:r w:rsidRPr="00D27ECA">
        <w:rPr>
          <w:rFonts w:eastAsiaTheme="minorHAnsi" w:cstheme="minorBidi"/>
          <w:sz w:val="16"/>
          <w:szCs w:val="16"/>
          <w:lang w:val="es-MX"/>
        </w:rPr>
        <w:t>Rev.l</w:t>
      </w:r>
      <w:proofErr w:type="spellEnd"/>
      <w:r w:rsidRPr="00D27ECA">
        <w:rPr>
          <w:rFonts w:eastAsiaTheme="minorHAnsi" w:cstheme="minorBidi"/>
          <w:sz w:val="16"/>
          <w:szCs w:val="16"/>
          <w:lang w:val="es-MX"/>
        </w:rPr>
        <w:t>/</w:t>
      </w:r>
      <w:proofErr w:type="spellStart"/>
      <w:r w:rsidRPr="00D27ECA">
        <w:rPr>
          <w:rFonts w:eastAsiaTheme="minorHAnsi" w:cstheme="minorBidi"/>
          <w:sz w:val="16"/>
          <w:szCs w:val="16"/>
          <w:lang w:val="es-MX"/>
        </w:rPr>
        <w:t>Add.S</w:t>
      </w:r>
      <w:proofErr w:type="spellEnd"/>
      <w:r>
        <w:rPr>
          <w:rFonts w:eastAsiaTheme="minorHAnsi" w:cstheme="minorBidi"/>
          <w:sz w:val="16"/>
          <w:szCs w:val="16"/>
          <w:lang w:val="es-MX"/>
        </w:rPr>
        <w:t>, de 26 de abril de 1994, párr. 6.2:</w:t>
      </w:r>
      <w:r w:rsidRPr="005758AE">
        <w:t xml:space="preserve"> </w:t>
      </w:r>
      <w:r w:rsidRPr="005758AE">
        <w:rPr>
          <w:rFonts w:eastAsiaTheme="minorHAnsi" w:cstheme="minorBidi"/>
          <w:sz w:val="16"/>
          <w:szCs w:val="16"/>
          <w:lang w:val="es-MX"/>
        </w:rPr>
        <w:t>“[a]</w:t>
      </w:r>
      <w:proofErr w:type="spellStart"/>
      <w:r w:rsidRPr="005758AE">
        <w:rPr>
          <w:rFonts w:eastAsiaTheme="minorHAnsi" w:cstheme="minorBidi"/>
          <w:sz w:val="16"/>
          <w:szCs w:val="16"/>
          <w:lang w:val="es-MX"/>
        </w:rPr>
        <w:t>unque</w:t>
      </w:r>
      <w:proofErr w:type="spellEnd"/>
      <w:r w:rsidRPr="005758AE">
        <w:rPr>
          <w:rFonts w:eastAsiaTheme="minorHAnsi" w:cstheme="minorBidi"/>
          <w:sz w:val="16"/>
          <w:szCs w:val="16"/>
          <w:lang w:val="es-MX"/>
        </w:rPr>
        <w:t xml:space="preserve"> los derechos amparados por el articulo 27 [del Pacto de Derechos Civiles y Políticos] sean derechos individual</w:t>
      </w:r>
      <w:r>
        <w:rPr>
          <w:rFonts w:eastAsiaTheme="minorHAnsi" w:cstheme="minorBidi"/>
          <w:sz w:val="16"/>
          <w:szCs w:val="16"/>
          <w:lang w:val="es-MX"/>
        </w:rPr>
        <w:t>es, dichos derechos dependen a s</w:t>
      </w:r>
      <w:r w:rsidRPr="005758AE">
        <w:rPr>
          <w:rFonts w:eastAsiaTheme="minorHAnsi" w:cstheme="minorBidi"/>
          <w:sz w:val="16"/>
          <w:szCs w:val="16"/>
          <w:lang w:val="es-MX"/>
        </w:rPr>
        <w:t>u vez de la capacidad del grupo minoritario para conservar su cultura, su idioma o su religión”</w:t>
      </w:r>
      <w:r>
        <w:rPr>
          <w:rFonts w:eastAsiaTheme="minorHAnsi" w:cstheme="minorBidi"/>
          <w:sz w:val="16"/>
          <w:szCs w:val="16"/>
          <w:lang w:val="es-MX"/>
        </w:rPr>
        <w:t>.</w:t>
      </w:r>
    </w:p>
  </w:footnote>
  <w:footnote w:id="45">
    <w:p w:rsidR="00287D3E" w:rsidRPr="008A3D4B" w:rsidRDefault="00287D3E" w:rsidP="00FE2C98">
      <w:pPr>
        <w:pStyle w:val="FootnoteText"/>
        <w:jc w:val="both"/>
        <w:rPr>
          <w:lang w:val="es-CR"/>
        </w:rPr>
      </w:pPr>
      <w:r w:rsidRPr="008A3D4B">
        <w:rPr>
          <w:rStyle w:val="FootnoteReference"/>
          <w:rFonts w:eastAsiaTheme="minorHAnsi" w:cstheme="minorBidi"/>
          <w:noProof/>
          <w:sz w:val="16"/>
          <w:szCs w:val="16"/>
          <w:lang w:val="es-MX"/>
        </w:rPr>
        <w:footnoteRef/>
      </w:r>
      <w:r w:rsidRPr="008A3D4B">
        <w:rPr>
          <w:rStyle w:val="FootnoteReference"/>
          <w:rFonts w:eastAsiaTheme="minorHAnsi" w:cstheme="minorBidi"/>
          <w:noProof/>
          <w:sz w:val="16"/>
          <w:szCs w:val="16"/>
          <w:lang w:val="es-MX"/>
        </w:rPr>
        <w:t xml:space="preserve"> </w:t>
      </w:r>
      <w:r>
        <w:rPr>
          <w:rFonts w:eastAsiaTheme="minorHAnsi" w:cstheme="minorBidi"/>
          <w:noProof/>
          <w:sz w:val="16"/>
          <w:szCs w:val="16"/>
          <w:lang w:val="es-MX"/>
        </w:rPr>
        <w:tab/>
      </w:r>
      <w:r w:rsidRPr="008A3D4B">
        <w:rPr>
          <w:bCs/>
          <w:i/>
          <w:sz w:val="16"/>
          <w:szCs w:val="16"/>
          <w:lang w:val="es-CR"/>
        </w:rPr>
        <w:t xml:space="preserve">Caso Comunidad Indígena </w:t>
      </w:r>
      <w:proofErr w:type="spellStart"/>
      <w:r w:rsidRPr="008A3D4B">
        <w:rPr>
          <w:bCs/>
          <w:i/>
          <w:sz w:val="16"/>
          <w:szCs w:val="16"/>
          <w:lang w:val="es-CR"/>
        </w:rPr>
        <w:t>Yakye</w:t>
      </w:r>
      <w:proofErr w:type="spellEnd"/>
      <w:r w:rsidRPr="008A3D4B">
        <w:rPr>
          <w:bCs/>
          <w:i/>
          <w:sz w:val="16"/>
          <w:szCs w:val="16"/>
          <w:lang w:val="es-CR"/>
        </w:rPr>
        <w:t xml:space="preserve"> Axa Vs. Paraguay</w:t>
      </w:r>
      <w:r w:rsidRPr="008A3D4B">
        <w:rPr>
          <w:bCs/>
          <w:sz w:val="16"/>
          <w:szCs w:val="16"/>
          <w:lang w:val="es-CR"/>
        </w:rPr>
        <w:t xml:space="preserve">. </w:t>
      </w:r>
      <w:r w:rsidRPr="008A3D4B">
        <w:rPr>
          <w:i/>
          <w:sz w:val="16"/>
          <w:szCs w:val="16"/>
          <w:lang w:val="es-CR"/>
        </w:rPr>
        <w:t>Fondo Reparaciones y Costas</w:t>
      </w:r>
      <w:r w:rsidRPr="008A3D4B">
        <w:rPr>
          <w:sz w:val="16"/>
          <w:szCs w:val="16"/>
          <w:lang w:val="es-CR"/>
        </w:rPr>
        <w:t>. Sentencia de 17 de junio de 2005. Serie C No. 125, párr.</w:t>
      </w:r>
      <w:r>
        <w:rPr>
          <w:sz w:val="16"/>
          <w:szCs w:val="16"/>
          <w:lang w:val="es-CR"/>
        </w:rPr>
        <w:t xml:space="preserve"> 188.</w:t>
      </w:r>
    </w:p>
  </w:footnote>
  <w:footnote w:id="46">
    <w:p w:rsidR="00287D3E" w:rsidRPr="001C2757" w:rsidRDefault="00287D3E" w:rsidP="006C1DF9">
      <w:pPr>
        <w:pStyle w:val="FootnoteText"/>
        <w:jc w:val="both"/>
        <w:rPr>
          <w:lang w:val="es-CR"/>
        </w:rPr>
      </w:pPr>
      <w:r w:rsidRPr="001C2757">
        <w:rPr>
          <w:rStyle w:val="FootnoteReference"/>
          <w:rFonts w:eastAsiaTheme="minorHAnsi" w:cstheme="minorBidi"/>
          <w:sz w:val="16"/>
          <w:szCs w:val="16"/>
          <w:lang w:val="es-MX"/>
        </w:rPr>
        <w:footnoteRef/>
      </w:r>
      <w:r w:rsidRPr="001C2757">
        <w:rPr>
          <w:rStyle w:val="FootnoteReference"/>
          <w:rFonts w:eastAsiaTheme="minorHAnsi" w:cstheme="minorBidi"/>
          <w:sz w:val="16"/>
          <w:szCs w:val="16"/>
          <w:lang w:val="es-MX"/>
        </w:rPr>
        <w:t xml:space="preserve"> </w:t>
      </w:r>
      <w:r>
        <w:rPr>
          <w:rFonts w:eastAsiaTheme="minorHAnsi" w:cstheme="minorBidi"/>
          <w:sz w:val="16"/>
          <w:szCs w:val="16"/>
          <w:lang w:val="es-MX"/>
        </w:rPr>
        <w:t xml:space="preserve"> </w:t>
      </w:r>
      <w:r>
        <w:rPr>
          <w:rFonts w:eastAsiaTheme="minorHAnsi" w:cstheme="minorBidi"/>
          <w:sz w:val="16"/>
          <w:szCs w:val="16"/>
          <w:lang w:val="es-MX"/>
        </w:rPr>
        <w:tab/>
      </w:r>
      <w:r w:rsidRPr="008A3D4B">
        <w:rPr>
          <w:bCs/>
          <w:i/>
          <w:sz w:val="16"/>
          <w:szCs w:val="16"/>
          <w:lang w:val="es-CR"/>
        </w:rPr>
        <w:t xml:space="preserve">Caso Comunidad Indígena </w:t>
      </w:r>
      <w:proofErr w:type="spellStart"/>
      <w:r w:rsidRPr="008A3D4B">
        <w:rPr>
          <w:bCs/>
          <w:i/>
          <w:sz w:val="16"/>
          <w:szCs w:val="16"/>
          <w:lang w:val="es-CR"/>
        </w:rPr>
        <w:t>Yakye</w:t>
      </w:r>
      <w:proofErr w:type="spellEnd"/>
      <w:r w:rsidRPr="008A3D4B">
        <w:rPr>
          <w:bCs/>
          <w:i/>
          <w:sz w:val="16"/>
          <w:szCs w:val="16"/>
          <w:lang w:val="es-CR"/>
        </w:rPr>
        <w:t xml:space="preserve"> Axa Vs. Paraguay</w:t>
      </w:r>
      <w:r w:rsidRPr="008A3D4B">
        <w:rPr>
          <w:bCs/>
          <w:sz w:val="16"/>
          <w:szCs w:val="16"/>
          <w:lang w:val="es-CR"/>
        </w:rPr>
        <w:t xml:space="preserve">. </w:t>
      </w:r>
      <w:r w:rsidRPr="008A3D4B">
        <w:rPr>
          <w:i/>
          <w:sz w:val="16"/>
          <w:szCs w:val="16"/>
          <w:lang w:val="es-CR"/>
        </w:rPr>
        <w:t>Fondo Reparaciones y Costas</w:t>
      </w:r>
      <w:r w:rsidRPr="008A3D4B">
        <w:rPr>
          <w:sz w:val="16"/>
          <w:szCs w:val="16"/>
          <w:lang w:val="es-CR"/>
        </w:rPr>
        <w:t>. Sentencia de 17 de junio de 2005. Serie C No. 125</w:t>
      </w:r>
      <w:r>
        <w:rPr>
          <w:sz w:val="16"/>
          <w:szCs w:val="16"/>
          <w:lang w:val="es-CR"/>
        </w:rPr>
        <w:t xml:space="preserve">, </w:t>
      </w:r>
      <w:proofErr w:type="spellStart"/>
      <w:r>
        <w:rPr>
          <w:rFonts w:eastAsiaTheme="minorHAnsi" w:cstheme="minorBidi"/>
          <w:sz w:val="16"/>
          <w:szCs w:val="16"/>
          <w:lang w:val="es-MX"/>
        </w:rPr>
        <w:t>párrs</w:t>
      </w:r>
      <w:proofErr w:type="spellEnd"/>
      <w:r>
        <w:rPr>
          <w:rFonts w:eastAsiaTheme="minorHAnsi" w:cstheme="minorBidi"/>
          <w:sz w:val="16"/>
          <w:szCs w:val="16"/>
          <w:lang w:val="es-MX"/>
        </w:rPr>
        <w:t xml:space="preserve">. 205 a 206. Véase también: </w:t>
      </w:r>
      <w:r w:rsidRPr="00127469">
        <w:rPr>
          <w:rFonts w:eastAsiaTheme="minorHAnsi" w:cstheme="minorBidi"/>
          <w:i/>
          <w:sz w:val="16"/>
          <w:szCs w:val="16"/>
          <w:lang w:val="es-CR"/>
        </w:rPr>
        <w:t xml:space="preserve">Caso Comunidad Indígena </w:t>
      </w:r>
      <w:proofErr w:type="spellStart"/>
      <w:r w:rsidRPr="00127469">
        <w:rPr>
          <w:rFonts w:eastAsiaTheme="minorHAnsi" w:cstheme="minorBidi"/>
          <w:i/>
          <w:sz w:val="16"/>
          <w:szCs w:val="16"/>
          <w:lang w:val="es-CR"/>
        </w:rPr>
        <w:t>Sawhoyamaxa</w:t>
      </w:r>
      <w:proofErr w:type="spellEnd"/>
      <w:r w:rsidRPr="00127469">
        <w:rPr>
          <w:rFonts w:eastAsiaTheme="minorHAnsi" w:cstheme="minorBidi"/>
          <w:i/>
          <w:sz w:val="16"/>
          <w:szCs w:val="16"/>
          <w:lang w:val="es-CR"/>
        </w:rPr>
        <w:t xml:space="preserve"> Vs. Paraguay. Fondo, Reparaciones y Costas</w:t>
      </w:r>
      <w:r w:rsidRPr="00127469">
        <w:rPr>
          <w:rFonts w:eastAsiaTheme="minorHAnsi" w:cstheme="minorBidi"/>
          <w:sz w:val="16"/>
          <w:szCs w:val="16"/>
          <w:lang w:val="es-CR"/>
        </w:rPr>
        <w:t xml:space="preserve">. Sentencia de 29 de marzo de 2006. Serie C No. 146, </w:t>
      </w:r>
      <w:proofErr w:type="spellStart"/>
      <w:r w:rsidRPr="00127469">
        <w:rPr>
          <w:rFonts w:eastAsiaTheme="minorHAnsi" w:cstheme="minorBidi"/>
          <w:sz w:val="16"/>
          <w:szCs w:val="16"/>
          <w:lang w:val="es-CR"/>
        </w:rPr>
        <w:t>párr</w:t>
      </w:r>
      <w:r>
        <w:rPr>
          <w:rFonts w:eastAsiaTheme="minorHAnsi" w:cstheme="minorBidi"/>
          <w:sz w:val="16"/>
          <w:szCs w:val="16"/>
          <w:lang w:val="es-CR"/>
        </w:rPr>
        <w:t>s</w:t>
      </w:r>
      <w:proofErr w:type="spellEnd"/>
      <w:r>
        <w:rPr>
          <w:rFonts w:eastAsiaTheme="minorHAnsi" w:cstheme="minorBidi"/>
          <w:sz w:val="16"/>
          <w:szCs w:val="16"/>
          <w:lang w:val="es-CR"/>
        </w:rPr>
        <w:t xml:space="preserve">. 224 a 225; </w:t>
      </w:r>
      <w:r w:rsidRPr="009F0AFA">
        <w:rPr>
          <w:bCs/>
          <w:i/>
          <w:sz w:val="16"/>
          <w:szCs w:val="16"/>
          <w:lang w:val="es-CR"/>
        </w:rPr>
        <w:t xml:space="preserve">Caso del Pueblo </w:t>
      </w:r>
      <w:proofErr w:type="spellStart"/>
      <w:r w:rsidRPr="009F0AFA">
        <w:rPr>
          <w:bCs/>
          <w:i/>
          <w:sz w:val="16"/>
          <w:szCs w:val="16"/>
          <w:lang w:val="es-CR"/>
        </w:rPr>
        <w:t>S</w:t>
      </w:r>
      <w:r>
        <w:rPr>
          <w:bCs/>
          <w:i/>
          <w:sz w:val="16"/>
          <w:szCs w:val="16"/>
          <w:lang w:val="es-CR"/>
        </w:rPr>
        <w:t>aramaka</w:t>
      </w:r>
      <w:proofErr w:type="spellEnd"/>
      <w:r w:rsidRPr="009F0AFA">
        <w:rPr>
          <w:bCs/>
          <w:i/>
          <w:sz w:val="16"/>
          <w:szCs w:val="16"/>
          <w:lang w:val="es-CR"/>
        </w:rPr>
        <w:t xml:space="preserve"> Vs. Surinam. Excepciones Preliminares, Fondo, Reparaciones y Costas</w:t>
      </w:r>
      <w:r w:rsidRPr="009F0AFA">
        <w:rPr>
          <w:bCs/>
          <w:sz w:val="16"/>
          <w:szCs w:val="16"/>
          <w:lang w:val="es-CR"/>
        </w:rPr>
        <w:t>. Sentencia de 28 de noviembre de 2007. Serie C No. 172</w:t>
      </w:r>
      <w:r>
        <w:rPr>
          <w:bCs/>
          <w:sz w:val="16"/>
          <w:szCs w:val="16"/>
          <w:lang w:val="es-CR"/>
        </w:rPr>
        <w:t>, párr. 202;</w:t>
      </w:r>
      <w:r w:rsidRPr="00995CCF">
        <w:rPr>
          <w:bCs/>
          <w:i/>
          <w:sz w:val="16"/>
          <w:szCs w:val="16"/>
          <w:lang w:val="es-CR"/>
        </w:rPr>
        <w:t xml:space="preserve"> Caso Comunidad Indígena </w:t>
      </w:r>
      <w:proofErr w:type="spellStart"/>
      <w:r w:rsidRPr="00995CCF">
        <w:rPr>
          <w:bCs/>
          <w:i/>
          <w:sz w:val="16"/>
          <w:szCs w:val="16"/>
          <w:lang w:val="es-CR"/>
        </w:rPr>
        <w:t>Xákmok</w:t>
      </w:r>
      <w:proofErr w:type="spellEnd"/>
      <w:r w:rsidRPr="00995CCF">
        <w:rPr>
          <w:bCs/>
          <w:i/>
          <w:sz w:val="16"/>
          <w:szCs w:val="16"/>
          <w:lang w:val="es-CR"/>
        </w:rPr>
        <w:t xml:space="preserve"> </w:t>
      </w:r>
      <w:proofErr w:type="spellStart"/>
      <w:r w:rsidRPr="00995CCF">
        <w:rPr>
          <w:bCs/>
          <w:i/>
          <w:sz w:val="16"/>
          <w:szCs w:val="16"/>
          <w:lang w:val="es-CR"/>
        </w:rPr>
        <w:t>Kásek</w:t>
      </w:r>
      <w:proofErr w:type="spellEnd"/>
      <w:r w:rsidRPr="00995CCF">
        <w:rPr>
          <w:bCs/>
          <w:i/>
          <w:sz w:val="16"/>
          <w:szCs w:val="16"/>
          <w:lang w:val="es-CR"/>
        </w:rPr>
        <w:t>. Vs. Paraguay. Fondo, Reparaciones y Costas</w:t>
      </w:r>
      <w:r w:rsidRPr="00995CCF">
        <w:rPr>
          <w:bCs/>
          <w:sz w:val="16"/>
          <w:szCs w:val="16"/>
          <w:lang w:val="es-CR"/>
        </w:rPr>
        <w:t>. Sentencia de 24 de agosto de 2010 Serie C No. 214</w:t>
      </w:r>
      <w:r>
        <w:rPr>
          <w:bCs/>
          <w:sz w:val="16"/>
          <w:szCs w:val="16"/>
          <w:lang w:val="es-CR"/>
        </w:rPr>
        <w:t xml:space="preserve">, </w:t>
      </w:r>
      <w:proofErr w:type="spellStart"/>
      <w:r>
        <w:rPr>
          <w:rFonts w:eastAsiaTheme="minorHAnsi" w:cstheme="minorBidi"/>
          <w:sz w:val="16"/>
          <w:szCs w:val="16"/>
          <w:lang w:val="es-CR"/>
        </w:rPr>
        <w:t>párrs</w:t>
      </w:r>
      <w:proofErr w:type="spellEnd"/>
      <w:r w:rsidRPr="00995CCF">
        <w:rPr>
          <w:rFonts w:eastAsiaTheme="minorHAnsi" w:cstheme="minorBidi"/>
          <w:sz w:val="16"/>
          <w:szCs w:val="16"/>
          <w:lang w:val="es-CR"/>
        </w:rPr>
        <w:t>. 323</w:t>
      </w:r>
      <w:r>
        <w:rPr>
          <w:rFonts w:eastAsiaTheme="minorHAnsi" w:cstheme="minorBidi"/>
          <w:sz w:val="16"/>
          <w:szCs w:val="16"/>
          <w:lang w:val="es-CR"/>
        </w:rPr>
        <w:t xml:space="preserve"> a 324.</w:t>
      </w:r>
    </w:p>
  </w:footnote>
  <w:footnote w:id="47">
    <w:p w:rsidR="00287D3E" w:rsidRPr="001C2757" w:rsidRDefault="00287D3E" w:rsidP="00E9041E">
      <w:pPr>
        <w:pStyle w:val="FootnoteText"/>
        <w:jc w:val="both"/>
        <w:rPr>
          <w:lang w:val="es-CR"/>
        </w:rPr>
      </w:pPr>
      <w:r w:rsidRPr="001C2757">
        <w:rPr>
          <w:rStyle w:val="FootnoteReference"/>
          <w:rFonts w:eastAsiaTheme="minorHAnsi" w:cstheme="minorBidi"/>
          <w:sz w:val="16"/>
          <w:szCs w:val="16"/>
          <w:lang w:val="es-MX"/>
        </w:rPr>
        <w:footnoteRef/>
      </w:r>
      <w:r w:rsidRPr="001C2757">
        <w:rPr>
          <w:rStyle w:val="FootnoteReference"/>
          <w:rFonts w:eastAsiaTheme="minorHAnsi" w:cstheme="minorBidi"/>
          <w:sz w:val="16"/>
          <w:szCs w:val="16"/>
          <w:lang w:val="es-MX"/>
        </w:rPr>
        <w:t xml:space="preserve"> </w:t>
      </w:r>
      <w:r>
        <w:rPr>
          <w:rFonts w:eastAsiaTheme="minorHAnsi" w:cstheme="minorBidi"/>
          <w:sz w:val="16"/>
          <w:szCs w:val="16"/>
          <w:lang w:val="es-MX"/>
        </w:rPr>
        <w:tab/>
        <w:t>Párr. 297 de la Sentencia.</w:t>
      </w:r>
    </w:p>
  </w:footnote>
  <w:footnote w:id="48">
    <w:p w:rsidR="00287D3E" w:rsidRPr="00F13DC7" w:rsidRDefault="00287D3E" w:rsidP="00287D3E">
      <w:pPr>
        <w:pStyle w:val="FootnoteText"/>
        <w:jc w:val="both"/>
        <w:rPr>
          <w:lang w:val="es-CR"/>
        </w:rPr>
      </w:pPr>
      <w:r w:rsidRPr="00F13DC7">
        <w:rPr>
          <w:rStyle w:val="FootnoteReference"/>
          <w:rFonts w:eastAsiaTheme="minorHAnsi" w:cstheme="minorBidi"/>
          <w:sz w:val="16"/>
          <w:szCs w:val="16"/>
          <w:lang w:val="es-MX"/>
        </w:rPr>
        <w:footnoteRef/>
      </w:r>
      <w:r w:rsidRPr="00F13DC7">
        <w:rPr>
          <w:rStyle w:val="FootnoteReference"/>
          <w:rFonts w:eastAsiaTheme="minorHAnsi" w:cstheme="minorBidi"/>
          <w:sz w:val="16"/>
          <w:szCs w:val="16"/>
          <w:lang w:val="es-MX"/>
        </w:rPr>
        <w:t xml:space="preserve"> </w:t>
      </w:r>
      <w:r>
        <w:rPr>
          <w:rFonts w:eastAsiaTheme="minorHAnsi" w:cstheme="minorBidi"/>
          <w:sz w:val="16"/>
          <w:szCs w:val="16"/>
          <w:lang w:val="es-MX"/>
        </w:rPr>
        <w:tab/>
        <w:t>Párr. 296 de la Sentencia.</w:t>
      </w:r>
    </w:p>
  </w:footnote>
  <w:footnote w:id="49">
    <w:p w:rsidR="00287D3E" w:rsidRPr="005F2CAB" w:rsidRDefault="00287D3E" w:rsidP="008124DF">
      <w:pPr>
        <w:pStyle w:val="Footnotes"/>
        <w:spacing w:before="0" w:after="0"/>
        <w:rPr>
          <w:b/>
        </w:rPr>
      </w:pPr>
      <w:r w:rsidRPr="001E1986">
        <w:rPr>
          <w:rStyle w:val="FootnoteReference"/>
        </w:rPr>
        <w:footnoteRef/>
      </w:r>
      <w:r>
        <w:t xml:space="preserve"> </w:t>
      </w:r>
      <w:r>
        <w:tab/>
        <w:t>Convenio Nº 169 de la OIT</w:t>
      </w:r>
      <w:r w:rsidRPr="004F56F8">
        <w:t>, considerando quinto</w:t>
      </w:r>
      <w:r w:rsidRPr="001E1986">
        <w:t>.</w:t>
      </w:r>
      <w:r w:rsidRPr="005F2CAB">
        <w:t xml:space="preserve"> </w:t>
      </w:r>
    </w:p>
  </w:footnote>
  <w:footnote w:id="50">
    <w:p w:rsidR="00287D3E" w:rsidRPr="00A10527" w:rsidRDefault="00287D3E" w:rsidP="008124DF">
      <w:pPr>
        <w:autoSpaceDE w:val="0"/>
        <w:autoSpaceDN w:val="0"/>
        <w:adjustRightInd w:val="0"/>
        <w:rPr>
          <w:rFonts w:eastAsia="Times New Roman"/>
          <w:bCs/>
          <w:iCs/>
          <w:sz w:val="16"/>
          <w:szCs w:val="16"/>
          <w:lang w:val="es-ES" w:eastAsia="x-none"/>
        </w:rPr>
      </w:pPr>
      <w:r w:rsidRPr="00F13DC7">
        <w:rPr>
          <w:rStyle w:val="FootnoteReference"/>
          <w:rFonts w:eastAsiaTheme="minorHAnsi" w:cstheme="minorBidi"/>
          <w:sz w:val="16"/>
          <w:szCs w:val="16"/>
          <w:lang w:val="es-MX"/>
        </w:rPr>
        <w:footnoteRef/>
      </w:r>
      <w:r w:rsidRPr="00F13DC7">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8E64BE">
        <w:rPr>
          <w:rFonts w:eastAsia="Times New Roman"/>
          <w:bCs/>
          <w:iCs/>
          <w:sz w:val="16"/>
          <w:szCs w:val="16"/>
          <w:lang w:val="es-ES" w:eastAsia="x-none"/>
        </w:rPr>
        <w:t xml:space="preserve">Pacto Internacional de Derechos Civiles y Políticos, </w:t>
      </w:r>
      <w:r>
        <w:rPr>
          <w:rFonts w:eastAsia="Times New Roman"/>
          <w:bCs/>
          <w:iCs/>
          <w:sz w:val="16"/>
          <w:szCs w:val="16"/>
          <w:lang w:val="es-ES" w:eastAsia="x-none"/>
        </w:rPr>
        <w:t xml:space="preserve">artículo 1(1); </w:t>
      </w:r>
      <w:r w:rsidRPr="008E64BE">
        <w:rPr>
          <w:rFonts w:eastAsia="Times New Roman"/>
          <w:bCs/>
          <w:iCs/>
          <w:sz w:val="16"/>
          <w:szCs w:val="16"/>
          <w:lang w:val="es-ES" w:eastAsia="x-none"/>
        </w:rPr>
        <w:t>Pacto Internacional de Derechos Económicos, Sociales y Culturales</w:t>
      </w:r>
      <w:r>
        <w:rPr>
          <w:rFonts w:eastAsia="Times New Roman"/>
          <w:bCs/>
          <w:iCs/>
          <w:sz w:val="16"/>
          <w:szCs w:val="16"/>
          <w:lang w:val="es-ES" w:eastAsia="x-none"/>
        </w:rPr>
        <w:t xml:space="preserve">, </w:t>
      </w:r>
      <w:r w:rsidRPr="004F56F8">
        <w:rPr>
          <w:rFonts w:eastAsia="Times New Roman"/>
          <w:bCs/>
          <w:iCs/>
          <w:sz w:val="16"/>
          <w:szCs w:val="16"/>
          <w:lang w:val="es-ES" w:eastAsia="x-none"/>
        </w:rPr>
        <w:t>artículo 1(1),</w:t>
      </w:r>
      <w:r>
        <w:rPr>
          <w:rFonts w:eastAsia="Times New Roman"/>
          <w:bCs/>
          <w:iCs/>
          <w:sz w:val="16"/>
          <w:szCs w:val="16"/>
          <w:lang w:val="es-ES" w:eastAsia="x-none"/>
        </w:rPr>
        <w:t xml:space="preserve"> y</w:t>
      </w:r>
      <w:r>
        <w:rPr>
          <w:rFonts w:eastAsiaTheme="minorHAnsi" w:cstheme="minorBidi"/>
          <w:sz w:val="16"/>
          <w:szCs w:val="16"/>
          <w:lang w:val="es-MX"/>
        </w:rPr>
        <w:t xml:space="preserve"> Declaración de las Naciones Unidas sobre los Derechos de los Pueblos Indígenas, considerando sexto, noveno, décimo</w:t>
      </w:r>
      <w:r w:rsidRPr="0073269F">
        <w:rPr>
          <w:rFonts w:eastAsiaTheme="minorHAnsi" w:cstheme="minorBidi"/>
          <w:sz w:val="16"/>
          <w:szCs w:val="16"/>
          <w:lang w:val="es-MX"/>
        </w:rPr>
        <w:t>, 16, y</w:t>
      </w:r>
      <w:r>
        <w:rPr>
          <w:rFonts w:eastAsiaTheme="minorHAnsi" w:cstheme="minorBidi"/>
          <w:sz w:val="16"/>
          <w:szCs w:val="16"/>
          <w:lang w:val="es-MX"/>
        </w:rPr>
        <w:t xml:space="preserve"> artículos 3 a 5. El Comité de Derechos Humanos estableció que </w:t>
      </w:r>
      <w:r w:rsidRPr="00A10527">
        <w:rPr>
          <w:rFonts w:eastAsia="Times New Roman"/>
          <w:bCs/>
          <w:iCs/>
          <w:sz w:val="16"/>
          <w:szCs w:val="16"/>
          <w:lang w:val="es-ES" w:eastAsia="x-none"/>
        </w:rPr>
        <w:t>el derecho a la libre</w:t>
      </w:r>
      <w:r>
        <w:rPr>
          <w:rFonts w:eastAsia="Times New Roman"/>
          <w:bCs/>
          <w:iCs/>
          <w:sz w:val="16"/>
          <w:szCs w:val="16"/>
          <w:lang w:val="es-ES" w:eastAsia="x-none"/>
        </w:rPr>
        <w:t xml:space="preserve"> </w:t>
      </w:r>
      <w:r w:rsidRPr="00A10527">
        <w:rPr>
          <w:rFonts w:eastAsia="Times New Roman"/>
          <w:bCs/>
          <w:iCs/>
          <w:sz w:val="16"/>
          <w:szCs w:val="16"/>
          <w:lang w:val="es-ES" w:eastAsia="x-none"/>
        </w:rPr>
        <w:t xml:space="preserve">determinacion </w:t>
      </w:r>
      <w:r>
        <w:rPr>
          <w:rFonts w:eastAsia="Times New Roman"/>
          <w:bCs/>
          <w:iCs/>
          <w:sz w:val="16"/>
          <w:szCs w:val="16"/>
          <w:lang w:val="es-ES" w:eastAsia="x-none"/>
        </w:rPr>
        <w:t xml:space="preserve">establecido en el artículo 1 del </w:t>
      </w:r>
      <w:r w:rsidRPr="00A10527">
        <w:rPr>
          <w:rFonts w:eastAsia="Times New Roman"/>
          <w:bCs/>
          <w:iCs/>
          <w:sz w:val="16"/>
          <w:szCs w:val="16"/>
          <w:lang w:val="es-ES" w:eastAsia="x-none"/>
        </w:rPr>
        <w:t xml:space="preserve">Pacto </w:t>
      </w:r>
      <w:r w:rsidRPr="008E64BE">
        <w:rPr>
          <w:rFonts w:eastAsia="Times New Roman"/>
          <w:bCs/>
          <w:iCs/>
          <w:sz w:val="16"/>
          <w:szCs w:val="16"/>
          <w:lang w:val="es-ES" w:eastAsia="x-none"/>
        </w:rPr>
        <w:t>Internacional de Derechos Civiles y Políticos</w:t>
      </w:r>
      <w:r w:rsidRPr="00A10527">
        <w:rPr>
          <w:rFonts w:eastAsia="Times New Roman"/>
          <w:bCs/>
          <w:iCs/>
          <w:sz w:val="16"/>
          <w:szCs w:val="16"/>
          <w:lang w:val="es-ES" w:eastAsia="x-none"/>
        </w:rPr>
        <w:t xml:space="preserve"> </w:t>
      </w:r>
      <w:r>
        <w:rPr>
          <w:rFonts w:eastAsia="Times New Roman"/>
          <w:bCs/>
          <w:iCs/>
          <w:sz w:val="16"/>
          <w:szCs w:val="16"/>
          <w:lang w:val="es-ES" w:eastAsia="x-none"/>
        </w:rPr>
        <w:t>“</w:t>
      </w:r>
      <w:r w:rsidRPr="00A10527">
        <w:rPr>
          <w:rFonts w:eastAsia="Times New Roman"/>
          <w:bCs/>
          <w:iCs/>
          <w:sz w:val="16"/>
          <w:szCs w:val="16"/>
          <w:lang w:val="es-ES" w:eastAsia="x-none"/>
        </w:rPr>
        <w:t>se trata de un derecho perteneciente</w:t>
      </w:r>
      <w:r>
        <w:rPr>
          <w:rFonts w:eastAsia="Times New Roman"/>
          <w:bCs/>
          <w:iCs/>
          <w:sz w:val="16"/>
          <w:szCs w:val="16"/>
          <w:lang w:val="es-ES" w:eastAsia="x-none"/>
        </w:rPr>
        <w:t xml:space="preserve"> a los pueblos”. </w:t>
      </w:r>
    </w:p>
  </w:footnote>
  <w:footnote w:id="51">
    <w:p w:rsidR="00287D3E" w:rsidRPr="00B971FC" w:rsidRDefault="00287D3E" w:rsidP="00CB6D06">
      <w:pPr>
        <w:rPr>
          <w:rFonts w:eastAsia="Times" w:cs="Verdana"/>
          <w:iCs/>
          <w:noProof w:val="0"/>
          <w:sz w:val="16"/>
          <w:szCs w:val="16"/>
          <w:lang w:val="es-CR"/>
        </w:rPr>
      </w:pPr>
      <w:r w:rsidRPr="00F13DC7">
        <w:rPr>
          <w:rStyle w:val="FootnoteReference"/>
          <w:rFonts w:eastAsiaTheme="minorHAnsi" w:cstheme="minorBidi"/>
          <w:sz w:val="16"/>
          <w:szCs w:val="16"/>
          <w:lang w:val="es-MX"/>
        </w:rPr>
        <w:footnoteRef/>
      </w:r>
      <w:r w:rsidRPr="00F13DC7">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CB6D06">
        <w:rPr>
          <w:rFonts w:eastAsiaTheme="minorHAnsi" w:cstheme="minorBidi"/>
          <w:i/>
          <w:noProof w:val="0"/>
          <w:sz w:val="16"/>
          <w:szCs w:val="16"/>
          <w:lang w:val="es-MX"/>
        </w:rPr>
        <w:t xml:space="preserve">Caso </w:t>
      </w:r>
      <w:proofErr w:type="spellStart"/>
      <w:r w:rsidRPr="00CB6D06">
        <w:rPr>
          <w:rFonts w:eastAsiaTheme="minorHAnsi" w:cstheme="minorBidi"/>
          <w:i/>
          <w:noProof w:val="0"/>
          <w:sz w:val="16"/>
          <w:szCs w:val="16"/>
          <w:lang w:val="es-MX"/>
        </w:rPr>
        <w:t>Escué</w:t>
      </w:r>
      <w:proofErr w:type="spellEnd"/>
      <w:r w:rsidRPr="00CB6D06">
        <w:rPr>
          <w:rFonts w:eastAsiaTheme="minorHAnsi" w:cstheme="minorBidi"/>
          <w:i/>
          <w:noProof w:val="0"/>
          <w:sz w:val="16"/>
          <w:szCs w:val="16"/>
          <w:lang w:val="es-MX"/>
        </w:rPr>
        <w:t xml:space="preserve"> Zapata Vs. Colombia. Interpretación de la Sentencia de Fondo, Reparaciones y Costas</w:t>
      </w:r>
      <w:r w:rsidRPr="00CB6D06">
        <w:rPr>
          <w:rFonts w:eastAsiaTheme="minorHAnsi" w:cstheme="minorBidi"/>
          <w:noProof w:val="0"/>
          <w:sz w:val="16"/>
          <w:szCs w:val="16"/>
          <w:lang w:val="es-MX"/>
        </w:rPr>
        <w:t>. Sentencia de 5 de mayo de 2008 Serie C No. 178</w:t>
      </w:r>
      <w:r>
        <w:rPr>
          <w:rFonts w:eastAsiaTheme="minorHAnsi" w:cstheme="minorBidi"/>
          <w:noProof w:val="0"/>
          <w:sz w:val="16"/>
          <w:szCs w:val="16"/>
          <w:lang w:val="es-MX"/>
        </w:rPr>
        <w:t>, párr. 21.</w:t>
      </w:r>
      <w:r w:rsidRPr="00CB6D06">
        <w:rPr>
          <w:rFonts w:eastAsiaTheme="minorHAnsi" w:cstheme="minorBidi"/>
          <w:noProof w:val="0"/>
          <w:sz w:val="16"/>
          <w:szCs w:val="16"/>
          <w:lang w:val="es-MX"/>
        </w:rPr>
        <w:t xml:space="preserve"> </w:t>
      </w:r>
      <w:r>
        <w:rPr>
          <w:rFonts w:eastAsiaTheme="minorHAnsi" w:cstheme="minorBidi"/>
          <w:noProof w:val="0"/>
          <w:sz w:val="16"/>
          <w:szCs w:val="16"/>
          <w:lang w:val="es-MX"/>
        </w:rPr>
        <w:t xml:space="preserve">Véase también, </w:t>
      </w:r>
      <w:r w:rsidRPr="00224688">
        <w:rPr>
          <w:rFonts w:eastAsia="Times" w:cs="Verdana"/>
          <w:i/>
          <w:iCs/>
          <w:noProof w:val="0"/>
          <w:sz w:val="16"/>
          <w:szCs w:val="16"/>
          <w:lang w:val="es-CR"/>
        </w:rPr>
        <w:t xml:space="preserve">Caso </w:t>
      </w:r>
      <w:proofErr w:type="spellStart"/>
      <w:r w:rsidRPr="00224688">
        <w:rPr>
          <w:rFonts w:eastAsia="Times" w:cs="Verdana"/>
          <w:i/>
          <w:iCs/>
          <w:noProof w:val="0"/>
          <w:sz w:val="16"/>
          <w:szCs w:val="16"/>
          <w:lang w:val="es-CR"/>
        </w:rPr>
        <w:t>Aloeboetoe</w:t>
      </w:r>
      <w:proofErr w:type="spellEnd"/>
      <w:r w:rsidRPr="00224688">
        <w:rPr>
          <w:rFonts w:eastAsia="Times" w:cs="Verdana"/>
          <w:i/>
          <w:iCs/>
          <w:noProof w:val="0"/>
          <w:sz w:val="16"/>
          <w:szCs w:val="16"/>
          <w:lang w:val="es-CR"/>
        </w:rPr>
        <w:t xml:space="preserve"> y otros Vs. Surinam. Reparaciones y Costas</w:t>
      </w:r>
      <w:r w:rsidRPr="00224688">
        <w:rPr>
          <w:rFonts w:eastAsia="Times" w:cs="Verdana"/>
          <w:iCs/>
          <w:noProof w:val="0"/>
          <w:sz w:val="16"/>
          <w:szCs w:val="16"/>
          <w:lang w:val="es-CR"/>
        </w:rPr>
        <w:t>. Sentencia de 10 de septiembre de 1993. Se</w:t>
      </w:r>
      <w:r>
        <w:rPr>
          <w:rFonts w:eastAsia="Times" w:cs="Verdana"/>
          <w:iCs/>
          <w:noProof w:val="0"/>
          <w:sz w:val="16"/>
          <w:szCs w:val="16"/>
          <w:lang w:val="es-CR"/>
        </w:rPr>
        <w:t xml:space="preserve">rie C No. 15, párr. 108 en que </w:t>
      </w:r>
      <w:r>
        <w:rPr>
          <w:rFonts w:eastAsiaTheme="minorHAnsi" w:cstheme="minorBidi"/>
          <w:noProof w:val="0"/>
          <w:sz w:val="16"/>
          <w:szCs w:val="16"/>
          <w:lang w:val="es-MX"/>
        </w:rPr>
        <w:t xml:space="preserve">la Corte estableció que </w:t>
      </w:r>
      <w:r w:rsidRPr="00B971FC">
        <w:rPr>
          <w:rFonts w:eastAsia="Times" w:cs="Verdana"/>
          <w:iCs/>
          <w:noProof w:val="0"/>
          <w:sz w:val="16"/>
          <w:szCs w:val="16"/>
          <w:lang w:val="es-CR"/>
        </w:rPr>
        <w:t>el Estado “no podrá restringir o gravar las actividades de la Fundación o la operación de los fideicomisos más allá de lo actualmente existente ni modificar las condiciones vigentes hoy, salvo en lo que pudiere ser favorable, ni intervenir en las decisiones de aquella”.</w:t>
      </w:r>
    </w:p>
  </w:footnote>
  <w:footnote w:id="52">
    <w:p w:rsidR="00287D3E" w:rsidRPr="005B23B7" w:rsidRDefault="00287D3E" w:rsidP="00FE2C98">
      <w:pPr>
        <w:pStyle w:val="FootnoteText"/>
        <w:jc w:val="both"/>
        <w:rPr>
          <w:rFonts w:eastAsiaTheme="minorHAnsi" w:cstheme="minorBidi"/>
          <w:sz w:val="16"/>
          <w:szCs w:val="16"/>
          <w:lang w:val="es-MX"/>
        </w:rPr>
      </w:pPr>
      <w:r w:rsidRPr="00CE5541">
        <w:rPr>
          <w:rStyle w:val="FootnoteReference"/>
          <w:rFonts w:eastAsiaTheme="minorHAnsi" w:cstheme="minorBidi"/>
          <w:sz w:val="16"/>
          <w:szCs w:val="16"/>
          <w:lang w:val="es-MX"/>
        </w:rPr>
        <w:footnoteRef/>
      </w:r>
      <w:r w:rsidRPr="00CE5541">
        <w:rPr>
          <w:rStyle w:val="FootnoteReference"/>
          <w:rFonts w:eastAsiaTheme="minorHAnsi" w:cstheme="minorBidi"/>
          <w:sz w:val="16"/>
          <w:szCs w:val="16"/>
          <w:lang w:val="es-MX"/>
        </w:rPr>
        <w:t xml:space="preserve"> </w:t>
      </w:r>
      <w:r>
        <w:rPr>
          <w:rFonts w:eastAsiaTheme="minorHAnsi" w:cstheme="minorBidi"/>
          <w:sz w:val="16"/>
          <w:szCs w:val="16"/>
          <w:lang w:val="es-MX"/>
        </w:rPr>
        <w:tab/>
        <w:t xml:space="preserve">Párr. 160 de la Sentencia, y </w:t>
      </w:r>
      <w:r w:rsidRPr="005B23B7">
        <w:rPr>
          <w:rFonts w:eastAsiaTheme="minorHAnsi" w:cstheme="minorBidi"/>
          <w:i/>
          <w:sz w:val="16"/>
          <w:szCs w:val="16"/>
          <w:lang w:val="es-MX"/>
        </w:rPr>
        <w:t xml:space="preserve">Caso del Pueblo indígena </w:t>
      </w:r>
      <w:proofErr w:type="spellStart"/>
      <w:r w:rsidRPr="005B23B7">
        <w:rPr>
          <w:rFonts w:eastAsiaTheme="minorHAnsi" w:cstheme="minorBidi"/>
          <w:i/>
          <w:sz w:val="16"/>
          <w:szCs w:val="16"/>
          <w:lang w:val="es-MX"/>
        </w:rPr>
        <w:t>Kichwa</w:t>
      </w:r>
      <w:proofErr w:type="spellEnd"/>
      <w:r w:rsidRPr="005B23B7">
        <w:rPr>
          <w:rFonts w:eastAsiaTheme="minorHAnsi" w:cstheme="minorBidi"/>
          <w:i/>
          <w:sz w:val="16"/>
          <w:szCs w:val="16"/>
          <w:lang w:val="es-MX"/>
        </w:rPr>
        <w:t xml:space="preserve"> de </w:t>
      </w:r>
      <w:proofErr w:type="spellStart"/>
      <w:r w:rsidRPr="005B23B7">
        <w:rPr>
          <w:rFonts w:eastAsiaTheme="minorHAnsi" w:cstheme="minorBidi"/>
          <w:i/>
          <w:sz w:val="16"/>
          <w:szCs w:val="16"/>
          <w:lang w:val="es-MX"/>
        </w:rPr>
        <w:t>Sarayaku</w:t>
      </w:r>
      <w:proofErr w:type="spellEnd"/>
      <w:r w:rsidRPr="005B23B7">
        <w:rPr>
          <w:rFonts w:eastAsiaTheme="minorHAnsi" w:cstheme="minorBidi"/>
          <w:i/>
          <w:sz w:val="16"/>
          <w:szCs w:val="16"/>
          <w:lang w:val="es-MX"/>
        </w:rPr>
        <w:t xml:space="preserve"> Vs Ecuador</w:t>
      </w:r>
      <w:r w:rsidRPr="005B23B7">
        <w:rPr>
          <w:rFonts w:eastAsiaTheme="minorHAnsi" w:cstheme="minorBidi"/>
          <w:sz w:val="16"/>
          <w:szCs w:val="16"/>
          <w:lang w:val="es-MX"/>
        </w:rPr>
        <w:t>, párr. 178</w:t>
      </w:r>
      <w:r>
        <w:rPr>
          <w:rFonts w:eastAsiaTheme="minorHAnsi" w:cstheme="minorBidi"/>
          <w:sz w:val="16"/>
          <w:szCs w:val="16"/>
          <w:lang w:val="es-MX"/>
        </w:rPr>
        <w:t>.</w:t>
      </w:r>
    </w:p>
  </w:footnote>
  <w:footnote w:id="53">
    <w:p w:rsidR="00287D3E" w:rsidRPr="00CE5541" w:rsidRDefault="00287D3E" w:rsidP="00CE5541">
      <w:pPr>
        <w:pStyle w:val="FootnoteText"/>
        <w:jc w:val="both"/>
        <w:rPr>
          <w:lang w:val="es-CR"/>
        </w:rPr>
      </w:pPr>
      <w:r w:rsidRPr="00CE5541">
        <w:rPr>
          <w:rStyle w:val="FootnoteReference"/>
          <w:rFonts w:eastAsiaTheme="minorHAnsi" w:cstheme="minorBidi"/>
          <w:sz w:val="16"/>
          <w:szCs w:val="16"/>
          <w:lang w:val="es-MX"/>
        </w:rPr>
        <w:footnoteRef/>
      </w:r>
      <w:r w:rsidRPr="00CE5541">
        <w:rPr>
          <w:rStyle w:val="FootnoteReference"/>
          <w:rFonts w:eastAsiaTheme="minorHAnsi" w:cstheme="minorBidi"/>
          <w:sz w:val="16"/>
          <w:szCs w:val="16"/>
          <w:lang w:val="es-MX"/>
        </w:rPr>
        <w:t xml:space="preserve"> </w:t>
      </w:r>
      <w:r>
        <w:rPr>
          <w:rFonts w:eastAsiaTheme="minorHAnsi" w:cstheme="minorBidi"/>
          <w:sz w:val="16"/>
          <w:szCs w:val="16"/>
          <w:lang w:val="es-MX"/>
        </w:rPr>
        <w:tab/>
      </w:r>
      <w:proofErr w:type="spellStart"/>
      <w:r>
        <w:rPr>
          <w:rFonts w:eastAsiaTheme="minorHAnsi" w:cstheme="minorBidi"/>
          <w:sz w:val="16"/>
          <w:szCs w:val="16"/>
          <w:lang w:val="es-MX"/>
        </w:rPr>
        <w:t>Párrs</w:t>
      </w:r>
      <w:proofErr w:type="spellEnd"/>
      <w:r>
        <w:rPr>
          <w:rFonts w:eastAsiaTheme="minorHAnsi" w:cstheme="minorBidi"/>
          <w:sz w:val="16"/>
          <w:szCs w:val="16"/>
          <w:lang w:val="es-MX"/>
        </w:rPr>
        <w:t>. 296 y 297 de la Sentencia.</w:t>
      </w:r>
    </w:p>
  </w:footnote>
  <w:footnote w:id="54">
    <w:p w:rsidR="00287D3E" w:rsidRPr="00B84500" w:rsidRDefault="00287D3E" w:rsidP="00B84500">
      <w:pPr>
        <w:pStyle w:val="FootnoteText"/>
        <w:jc w:val="both"/>
        <w:rPr>
          <w:rStyle w:val="FootnoteReference"/>
          <w:rFonts w:eastAsiaTheme="minorHAnsi" w:cstheme="minorBidi"/>
          <w:sz w:val="16"/>
          <w:szCs w:val="16"/>
          <w:lang w:val="es-MX"/>
        </w:rPr>
      </w:pPr>
      <w:r w:rsidRPr="00B84500">
        <w:rPr>
          <w:rStyle w:val="FootnoteReference"/>
          <w:rFonts w:eastAsiaTheme="minorHAnsi" w:cstheme="minorBidi"/>
          <w:sz w:val="16"/>
          <w:szCs w:val="16"/>
          <w:lang w:val="es-MX"/>
        </w:rPr>
        <w:footnoteRef/>
      </w:r>
      <w:r w:rsidRPr="00B84500">
        <w:rPr>
          <w:rStyle w:val="FootnoteReference"/>
          <w:rFonts w:eastAsiaTheme="minorHAnsi" w:cstheme="minorBidi"/>
          <w:sz w:val="16"/>
          <w:szCs w:val="16"/>
          <w:lang w:val="es-MX"/>
        </w:rPr>
        <w:t xml:space="preserve"> </w:t>
      </w:r>
      <w:r>
        <w:rPr>
          <w:rFonts w:eastAsiaTheme="minorHAnsi" w:cstheme="minorBidi"/>
          <w:sz w:val="16"/>
          <w:szCs w:val="16"/>
          <w:lang w:val="es-MX"/>
        </w:rPr>
        <w:tab/>
      </w:r>
      <w:r w:rsidRPr="00A772CD">
        <w:rPr>
          <w:rFonts w:eastAsiaTheme="minorHAnsi" w:cstheme="minorBidi"/>
          <w:i/>
          <w:sz w:val="16"/>
          <w:szCs w:val="16"/>
          <w:lang w:val="es-CR"/>
        </w:rPr>
        <w:t xml:space="preserve">Caso de la Comunidad </w:t>
      </w:r>
      <w:proofErr w:type="spellStart"/>
      <w:r w:rsidRPr="00A772CD">
        <w:rPr>
          <w:rFonts w:eastAsiaTheme="minorHAnsi" w:cstheme="minorBidi"/>
          <w:i/>
          <w:sz w:val="16"/>
          <w:szCs w:val="16"/>
          <w:lang w:val="es-CR"/>
        </w:rPr>
        <w:t>Mayagna</w:t>
      </w:r>
      <w:proofErr w:type="spellEnd"/>
      <w:r w:rsidRPr="00A772CD">
        <w:rPr>
          <w:rFonts w:eastAsiaTheme="minorHAnsi" w:cstheme="minorBidi"/>
          <w:i/>
          <w:sz w:val="16"/>
          <w:szCs w:val="16"/>
          <w:lang w:val="es-CR"/>
        </w:rPr>
        <w:t xml:space="preserve"> (Sumo) </w:t>
      </w:r>
      <w:proofErr w:type="spellStart"/>
      <w:r w:rsidRPr="00A772CD">
        <w:rPr>
          <w:rFonts w:eastAsiaTheme="minorHAnsi" w:cstheme="minorBidi"/>
          <w:i/>
          <w:sz w:val="16"/>
          <w:szCs w:val="16"/>
          <w:lang w:val="es-CR"/>
        </w:rPr>
        <w:t>Awas</w:t>
      </w:r>
      <w:proofErr w:type="spellEnd"/>
      <w:r w:rsidRPr="00A772CD">
        <w:rPr>
          <w:rFonts w:eastAsiaTheme="minorHAnsi" w:cstheme="minorBidi"/>
          <w:i/>
          <w:sz w:val="16"/>
          <w:szCs w:val="16"/>
          <w:lang w:val="es-CR"/>
        </w:rPr>
        <w:t xml:space="preserve"> </w:t>
      </w:r>
      <w:proofErr w:type="spellStart"/>
      <w:r w:rsidRPr="00A772CD">
        <w:rPr>
          <w:rFonts w:eastAsiaTheme="minorHAnsi" w:cstheme="minorBidi"/>
          <w:i/>
          <w:sz w:val="16"/>
          <w:szCs w:val="16"/>
          <w:lang w:val="es-CR"/>
        </w:rPr>
        <w:t>Tingni</w:t>
      </w:r>
      <w:proofErr w:type="spellEnd"/>
      <w:r w:rsidRPr="00A772CD">
        <w:rPr>
          <w:rFonts w:eastAsiaTheme="minorHAnsi" w:cstheme="minorBidi"/>
          <w:i/>
          <w:sz w:val="16"/>
          <w:szCs w:val="16"/>
          <w:lang w:val="es-CR"/>
        </w:rPr>
        <w:t xml:space="preserve"> Vs. Nicaragua</w:t>
      </w:r>
      <w:r>
        <w:rPr>
          <w:rFonts w:eastAsiaTheme="minorHAnsi" w:cstheme="minorBidi"/>
          <w:i/>
          <w:sz w:val="16"/>
          <w:szCs w:val="16"/>
          <w:lang w:val="es-CR"/>
        </w:rPr>
        <w:t xml:space="preserve">; </w:t>
      </w:r>
      <w:r w:rsidRPr="00DE7D3F">
        <w:rPr>
          <w:rFonts w:eastAsiaTheme="minorHAnsi" w:cstheme="minorBidi"/>
          <w:i/>
          <w:sz w:val="16"/>
          <w:szCs w:val="16"/>
          <w:lang w:val="es-CR"/>
        </w:rPr>
        <w:t xml:space="preserve">Caso Comunidad Indígena </w:t>
      </w:r>
      <w:proofErr w:type="spellStart"/>
      <w:r w:rsidRPr="00DE7D3F">
        <w:rPr>
          <w:rFonts w:eastAsiaTheme="minorHAnsi" w:cstheme="minorBidi"/>
          <w:i/>
          <w:sz w:val="16"/>
          <w:szCs w:val="16"/>
          <w:lang w:val="es-CR"/>
        </w:rPr>
        <w:t>Yakye</w:t>
      </w:r>
      <w:proofErr w:type="spellEnd"/>
      <w:r w:rsidRPr="00DE7D3F">
        <w:rPr>
          <w:rFonts w:eastAsiaTheme="minorHAnsi" w:cstheme="minorBidi"/>
          <w:i/>
          <w:sz w:val="16"/>
          <w:szCs w:val="16"/>
          <w:lang w:val="es-CR"/>
        </w:rPr>
        <w:t xml:space="preserve"> Axa Vs. Paraguay</w:t>
      </w:r>
      <w:r>
        <w:rPr>
          <w:rFonts w:eastAsiaTheme="minorHAnsi" w:cstheme="minorBidi"/>
          <w:i/>
          <w:sz w:val="16"/>
          <w:szCs w:val="16"/>
          <w:lang w:val="es-CR"/>
        </w:rPr>
        <w:t xml:space="preserve">; </w:t>
      </w:r>
      <w:r w:rsidRPr="00127469">
        <w:rPr>
          <w:rFonts w:eastAsiaTheme="minorHAnsi" w:cstheme="minorBidi"/>
          <w:i/>
          <w:sz w:val="16"/>
          <w:szCs w:val="16"/>
          <w:lang w:val="es-CR"/>
        </w:rPr>
        <w:t>Caso Comunidad In</w:t>
      </w:r>
      <w:r>
        <w:rPr>
          <w:rFonts w:eastAsiaTheme="minorHAnsi" w:cstheme="minorBidi"/>
          <w:i/>
          <w:sz w:val="16"/>
          <w:szCs w:val="16"/>
          <w:lang w:val="es-CR"/>
        </w:rPr>
        <w:t xml:space="preserve">dígena </w:t>
      </w:r>
      <w:proofErr w:type="spellStart"/>
      <w:r>
        <w:rPr>
          <w:rFonts w:eastAsiaTheme="minorHAnsi" w:cstheme="minorBidi"/>
          <w:i/>
          <w:sz w:val="16"/>
          <w:szCs w:val="16"/>
          <w:lang w:val="es-CR"/>
        </w:rPr>
        <w:t>Sawhoyamaxa</w:t>
      </w:r>
      <w:proofErr w:type="spellEnd"/>
      <w:r>
        <w:rPr>
          <w:rFonts w:eastAsiaTheme="minorHAnsi" w:cstheme="minorBidi"/>
          <w:i/>
          <w:sz w:val="16"/>
          <w:szCs w:val="16"/>
          <w:lang w:val="es-CR"/>
        </w:rPr>
        <w:t xml:space="preserve"> Vs. Paraguay</w:t>
      </w:r>
      <w:r w:rsidRPr="00127469">
        <w:rPr>
          <w:rFonts w:eastAsiaTheme="minorHAnsi" w:cstheme="minorBidi"/>
          <w:bCs/>
          <w:sz w:val="16"/>
          <w:szCs w:val="16"/>
          <w:lang w:val="es-CR"/>
        </w:rPr>
        <w:t xml:space="preserve">; </w:t>
      </w:r>
      <w:r w:rsidRPr="00127469">
        <w:rPr>
          <w:rFonts w:eastAsiaTheme="minorHAnsi" w:cstheme="minorBidi"/>
          <w:i/>
          <w:sz w:val="16"/>
          <w:szCs w:val="16"/>
          <w:lang w:val="es-CR"/>
        </w:rPr>
        <w:t>Caso d</w:t>
      </w:r>
      <w:r>
        <w:rPr>
          <w:rFonts w:eastAsiaTheme="minorHAnsi" w:cstheme="minorBidi"/>
          <w:i/>
          <w:sz w:val="16"/>
          <w:szCs w:val="16"/>
          <w:lang w:val="es-CR"/>
        </w:rPr>
        <w:t xml:space="preserve">el Pueblo </w:t>
      </w:r>
      <w:proofErr w:type="spellStart"/>
      <w:r>
        <w:rPr>
          <w:rFonts w:eastAsiaTheme="minorHAnsi" w:cstheme="minorBidi"/>
          <w:i/>
          <w:sz w:val="16"/>
          <w:szCs w:val="16"/>
          <w:lang w:val="es-CR"/>
        </w:rPr>
        <w:t>Saramaka</w:t>
      </w:r>
      <w:proofErr w:type="spellEnd"/>
      <w:r>
        <w:rPr>
          <w:rFonts w:eastAsiaTheme="minorHAnsi" w:cstheme="minorBidi"/>
          <w:i/>
          <w:sz w:val="16"/>
          <w:szCs w:val="16"/>
          <w:lang w:val="es-CR"/>
        </w:rPr>
        <w:t>. Vs. Surinam</w:t>
      </w:r>
      <w:r>
        <w:rPr>
          <w:rFonts w:eastAsiaTheme="minorHAnsi" w:cstheme="minorBidi"/>
          <w:sz w:val="16"/>
          <w:szCs w:val="16"/>
          <w:lang w:val="es-CR"/>
        </w:rPr>
        <w:t xml:space="preserve">; </w:t>
      </w:r>
      <w:r w:rsidRPr="00127469">
        <w:rPr>
          <w:rFonts w:eastAsiaTheme="minorHAnsi" w:cstheme="minorBidi"/>
          <w:i/>
          <w:sz w:val="16"/>
          <w:szCs w:val="16"/>
          <w:lang w:val="es-CR"/>
        </w:rPr>
        <w:t xml:space="preserve">Caso Comunidad Indígena </w:t>
      </w:r>
      <w:proofErr w:type="spellStart"/>
      <w:r w:rsidRPr="00127469">
        <w:rPr>
          <w:rFonts w:eastAsiaTheme="minorHAnsi" w:cstheme="minorBidi"/>
          <w:i/>
          <w:sz w:val="16"/>
          <w:szCs w:val="16"/>
          <w:lang w:val="es-CR"/>
        </w:rPr>
        <w:t>Xákmok</w:t>
      </w:r>
      <w:proofErr w:type="spellEnd"/>
      <w:r w:rsidRPr="00127469">
        <w:rPr>
          <w:rFonts w:eastAsiaTheme="minorHAnsi" w:cstheme="minorBidi"/>
          <w:i/>
          <w:sz w:val="16"/>
          <w:szCs w:val="16"/>
          <w:lang w:val="es-CR"/>
        </w:rPr>
        <w:t xml:space="preserve"> </w:t>
      </w:r>
      <w:proofErr w:type="spellStart"/>
      <w:r w:rsidRPr="00127469">
        <w:rPr>
          <w:rFonts w:eastAsiaTheme="minorHAnsi" w:cstheme="minorBidi"/>
          <w:i/>
          <w:sz w:val="16"/>
          <w:szCs w:val="16"/>
          <w:lang w:val="es-CR"/>
        </w:rPr>
        <w:t>Kásek</w:t>
      </w:r>
      <w:proofErr w:type="spellEnd"/>
      <w:r w:rsidRPr="00127469">
        <w:rPr>
          <w:rFonts w:eastAsiaTheme="minorHAnsi" w:cstheme="minorBidi"/>
          <w:i/>
          <w:sz w:val="16"/>
          <w:szCs w:val="16"/>
          <w:lang w:val="es-CR"/>
        </w:rPr>
        <w:t>.</w:t>
      </w:r>
      <w:r>
        <w:rPr>
          <w:rFonts w:eastAsiaTheme="minorHAnsi" w:cstheme="minorBidi"/>
          <w:i/>
          <w:sz w:val="16"/>
          <w:szCs w:val="16"/>
          <w:lang w:val="es-CR"/>
        </w:rPr>
        <w:t xml:space="preserve"> Vs. Paraguay</w:t>
      </w:r>
      <w:r>
        <w:rPr>
          <w:rFonts w:eastAsiaTheme="minorHAnsi" w:cstheme="minorBidi"/>
          <w:sz w:val="16"/>
          <w:szCs w:val="16"/>
          <w:lang w:val="es-CR"/>
        </w:rPr>
        <w:t>;</w:t>
      </w:r>
      <w:r w:rsidRPr="00127469">
        <w:rPr>
          <w:rFonts w:eastAsiaTheme="minorHAnsi" w:cstheme="minorBidi"/>
          <w:sz w:val="16"/>
          <w:szCs w:val="16"/>
          <w:lang w:val="es-CR"/>
        </w:rPr>
        <w:t xml:space="preserve"> </w:t>
      </w:r>
      <w:r w:rsidRPr="00CC427C">
        <w:rPr>
          <w:rFonts w:eastAsiaTheme="minorHAnsi" w:cstheme="minorBidi"/>
          <w:i/>
          <w:sz w:val="16"/>
          <w:szCs w:val="16"/>
          <w:lang w:val="es-CR"/>
        </w:rPr>
        <w:t xml:space="preserve">Caso de los Pueblos Indígenas Kuna de </w:t>
      </w:r>
      <w:proofErr w:type="spellStart"/>
      <w:r w:rsidRPr="00CC427C">
        <w:rPr>
          <w:rFonts w:eastAsiaTheme="minorHAnsi" w:cstheme="minorBidi"/>
          <w:i/>
          <w:sz w:val="16"/>
          <w:szCs w:val="16"/>
          <w:lang w:val="es-CR"/>
        </w:rPr>
        <w:t>Madungandí</w:t>
      </w:r>
      <w:proofErr w:type="spellEnd"/>
      <w:r w:rsidRPr="00CC427C">
        <w:rPr>
          <w:rFonts w:eastAsiaTheme="minorHAnsi" w:cstheme="minorBidi"/>
          <w:i/>
          <w:sz w:val="16"/>
          <w:szCs w:val="16"/>
          <w:lang w:val="es-CR"/>
        </w:rPr>
        <w:t xml:space="preserve"> y </w:t>
      </w:r>
      <w:proofErr w:type="spellStart"/>
      <w:r w:rsidRPr="00CC427C">
        <w:rPr>
          <w:rFonts w:eastAsiaTheme="minorHAnsi" w:cstheme="minorBidi"/>
          <w:i/>
          <w:sz w:val="16"/>
          <w:szCs w:val="16"/>
          <w:lang w:val="es-CR"/>
        </w:rPr>
        <w:t>Emberá</w:t>
      </w:r>
      <w:proofErr w:type="spellEnd"/>
      <w:r w:rsidRPr="00CC427C">
        <w:rPr>
          <w:rFonts w:eastAsiaTheme="minorHAnsi" w:cstheme="minorBidi"/>
          <w:i/>
          <w:sz w:val="16"/>
          <w:szCs w:val="16"/>
          <w:lang w:val="es-CR"/>
        </w:rPr>
        <w:t xml:space="preserve"> de Bayano y sus Miembros Vs. Panamá</w:t>
      </w:r>
      <w:r>
        <w:rPr>
          <w:rFonts w:eastAsiaTheme="minorHAnsi" w:cstheme="minorBidi"/>
          <w:i/>
          <w:sz w:val="16"/>
          <w:szCs w:val="16"/>
          <w:lang w:val="es-CR"/>
        </w:rPr>
        <w:t>.</w:t>
      </w:r>
    </w:p>
  </w:footnote>
  <w:footnote w:id="55">
    <w:p w:rsidR="00287D3E" w:rsidRPr="00996EB8" w:rsidRDefault="00287D3E" w:rsidP="00996EB8">
      <w:pPr>
        <w:pStyle w:val="FootnoteText"/>
        <w:jc w:val="both"/>
        <w:rPr>
          <w:lang w:val="es-CR"/>
        </w:rPr>
      </w:pPr>
      <w:r w:rsidRPr="00996EB8">
        <w:rPr>
          <w:rStyle w:val="FootnoteReference"/>
          <w:rFonts w:eastAsiaTheme="minorHAnsi" w:cstheme="minorBidi"/>
          <w:sz w:val="16"/>
          <w:szCs w:val="16"/>
          <w:lang w:val="es-MX"/>
        </w:rPr>
        <w:footnoteRef/>
      </w:r>
      <w:r>
        <w:t xml:space="preserve"> </w:t>
      </w:r>
      <w:r>
        <w:tab/>
      </w:r>
      <w:r w:rsidRPr="00725179">
        <w:rPr>
          <w:i/>
          <w:sz w:val="16"/>
          <w:szCs w:val="16"/>
        </w:rPr>
        <w:t xml:space="preserve">Caso Pueblo Indígena </w:t>
      </w:r>
      <w:proofErr w:type="spellStart"/>
      <w:r w:rsidRPr="00725179">
        <w:rPr>
          <w:i/>
          <w:sz w:val="16"/>
          <w:szCs w:val="16"/>
        </w:rPr>
        <w:t>Kichwa</w:t>
      </w:r>
      <w:proofErr w:type="spellEnd"/>
      <w:r w:rsidRPr="00725179">
        <w:rPr>
          <w:i/>
          <w:sz w:val="16"/>
          <w:szCs w:val="16"/>
        </w:rPr>
        <w:t xml:space="preserve"> de </w:t>
      </w:r>
      <w:proofErr w:type="spellStart"/>
      <w:r w:rsidRPr="00725179">
        <w:rPr>
          <w:i/>
          <w:sz w:val="16"/>
          <w:szCs w:val="16"/>
        </w:rPr>
        <w:t>Sarayaku</w:t>
      </w:r>
      <w:proofErr w:type="spellEnd"/>
      <w:r w:rsidRPr="00725179">
        <w:rPr>
          <w:i/>
          <w:sz w:val="16"/>
          <w:szCs w:val="16"/>
        </w:rPr>
        <w:t xml:space="preserve"> Vs. Ecuador</w:t>
      </w:r>
      <w:r>
        <w:rPr>
          <w:sz w:val="16"/>
          <w:szCs w:val="16"/>
        </w:rPr>
        <w:t>, párr.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66343627"/>
      <w:docPartObj>
        <w:docPartGallery w:val="Page Numbers (Top of Page)"/>
        <w:docPartUnique/>
      </w:docPartObj>
    </w:sdtPr>
    <w:sdtEndPr>
      <w:rPr>
        <w:noProof/>
      </w:rPr>
    </w:sdtEndPr>
    <w:sdtContent>
      <w:p w:rsidR="00A30517" w:rsidRDefault="00A30517">
        <w:pPr>
          <w:pStyle w:val="Header"/>
          <w:jc w:val="center"/>
        </w:pPr>
        <w:r>
          <w:rPr>
            <w:noProof w:val="0"/>
          </w:rPr>
          <w:fldChar w:fldCharType="begin"/>
        </w:r>
        <w:r>
          <w:instrText xml:space="preserve"> PAGE   \* MERGEFORMAT </w:instrText>
        </w:r>
        <w:r>
          <w:rPr>
            <w:noProof w:val="0"/>
          </w:rPr>
          <w:fldChar w:fldCharType="separate"/>
        </w:r>
        <w:r w:rsidR="000F4694">
          <w:t>2</w:t>
        </w:r>
        <w:r>
          <w:fldChar w:fldCharType="end"/>
        </w:r>
      </w:p>
    </w:sdtContent>
  </w:sdt>
  <w:p w:rsidR="00A30517" w:rsidRDefault="00A3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A60"/>
    <w:multiLevelType w:val="hybridMultilevel"/>
    <w:tmpl w:val="3E128616"/>
    <w:lvl w:ilvl="0" w:tplc="F8323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583A"/>
    <w:multiLevelType w:val="hybridMultilevel"/>
    <w:tmpl w:val="4E101030"/>
    <w:lvl w:ilvl="0" w:tplc="9F38BE98">
      <w:start w:val="1"/>
      <w:numFmt w:val="low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nsid w:val="169F0F02"/>
    <w:multiLevelType w:val="hybridMultilevel"/>
    <w:tmpl w:val="BBC29D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C80B89"/>
    <w:multiLevelType w:val="hybridMultilevel"/>
    <w:tmpl w:val="5D10C986"/>
    <w:lvl w:ilvl="0" w:tplc="FFFFFFFF">
      <w:start w:val="1"/>
      <w:numFmt w:val="lowerLetter"/>
      <w:lvlText w:val="%1)"/>
      <w:lvlJc w:val="left"/>
      <w:pPr>
        <w:tabs>
          <w:tab w:val="num" w:pos="720"/>
        </w:tabs>
        <w:ind w:left="360" w:firstLine="0"/>
      </w:pPr>
      <w:rPr>
        <w:rFonts w:hint="default"/>
      </w:rPr>
    </w:lvl>
    <w:lvl w:ilvl="1" w:tplc="FFFFFFFF">
      <w:start w:val="80"/>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D6A1759"/>
    <w:multiLevelType w:val="hybridMultilevel"/>
    <w:tmpl w:val="CA14D540"/>
    <w:lvl w:ilvl="0" w:tplc="0D467C16">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1FA24D8B"/>
    <w:multiLevelType w:val="hybridMultilevel"/>
    <w:tmpl w:val="70D06FC4"/>
    <w:lvl w:ilvl="0" w:tplc="942288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7556D99"/>
    <w:multiLevelType w:val="hybridMultilevel"/>
    <w:tmpl w:val="85AA508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C04164F"/>
    <w:multiLevelType w:val="hybridMultilevel"/>
    <w:tmpl w:val="A310117C"/>
    <w:lvl w:ilvl="0" w:tplc="8F2AD24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42225D65"/>
    <w:multiLevelType w:val="hybridMultilevel"/>
    <w:tmpl w:val="07885C9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454F1A20"/>
    <w:multiLevelType w:val="hybridMultilevel"/>
    <w:tmpl w:val="5622B362"/>
    <w:lvl w:ilvl="0" w:tplc="CA689B88">
      <w:start w:val="1"/>
      <w:numFmt w:val="upperLetter"/>
      <w:lvlText w:val="%1."/>
      <w:lvlJc w:val="left"/>
      <w:pPr>
        <w:ind w:left="502" w:hanging="360"/>
      </w:pPr>
      <w:rPr>
        <w:rFonts w:eastAsia="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0DA0CEC"/>
    <w:multiLevelType w:val="hybridMultilevel"/>
    <w:tmpl w:val="3012830E"/>
    <w:lvl w:ilvl="0" w:tplc="7E0AEA7C">
      <w:start w:val="1"/>
      <w:numFmt w:val="upperRoman"/>
      <w:lvlText w:val="%1."/>
      <w:lvlJc w:val="left"/>
      <w:pPr>
        <w:ind w:left="1800" w:hanging="720"/>
      </w:pPr>
      <w:rPr>
        <w:rFonts w:hint="default"/>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
    <w:nsid w:val="5293250A"/>
    <w:multiLevelType w:val="hybridMultilevel"/>
    <w:tmpl w:val="4D8EB9B2"/>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DFC2A89"/>
    <w:multiLevelType w:val="hybridMultilevel"/>
    <w:tmpl w:val="CAA6BD8A"/>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E6E3A4B"/>
    <w:multiLevelType w:val="hybridMultilevel"/>
    <w:tmpl w:val="C6183BBE"/>
    <w:lvl w:ilvl="0" w:tplc="4D14525A">
      <w:start w:val="1"/>
      <w:numFmt w:val="lowerRoman"/>
      <w:lvlText w:val="%1)"/>
      <w:lvlJc w:val="left"/>
      <w:pPr>
        <w:ind w:left="1140" w:hanging="720"/>
      </w:pPr>
      <w:rPr>
        <w:rFonts w:hint="default"/>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5">
    <w:nsid w:val="76753A80"/>
    <w:multiLevelType w:val="hybridMultilevel"/>
    <w:tmpl w:val="0ECC1800"/>
    <w:lvl w:ilvl="0" w:tplc="22267BCC">
      <w:start w:val="1"/>
      <w:numFmt w:val="decimal"/>
      <w:lvlText w:val="%1."/>
      <w:lvlJc w:val="left"/>
      <w:pPr>
        <w:ind w:left="0" w:firstLine="0"/>
      </w:pPr>
      <w:rPr>
        <w:rFonts w:ascii="Verdana" w:hAnsi="Verdana" w:hint="default"/>
        <w:b w:val="0"/>
        <w:i w:val="0"/>
        <w:strike w:val="0"/>
        <w:color w:val="auto"/>
        <w:sz w:val="20"/>
        <w:szCs w:val="20"/>
        <w:lang w:val="es-CR"/>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7"/>
  </w:num>
  <w:num w:numId="2">
    <w:abstractNumId w:val="11"/>
  </w:num>
  <w:num w:numId="3">
    <w:abstractNumId w:val="9"/>
  </w:num>
  <w:num w:numId="4">
    <w:abstractNumId w:val="10"/>
  </w:num>
  <w:num w:numId="5">
    <w:abstractNumId w:val="6"/>
  </w:num>
  <w:num w:numId="6">
    <w:abstractNumId w:val="0"/>
  </w:num>
  <w:num w:numId="7">
    <w:abstractNumId w:val="13"/>
  </w:num>
  <w:num w:numId="8">
    <w:abstractNumId w:val="12"/>
  </w:num>
  <w:num w:numId="9">
    <w:abstractNumId w:val="14"/>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DF"/>
    <w:rsid w:val="000131FF"/>
    <w:rsid w:val="00014408"/>
    <w:rsid w:val="000219C1"/>
    <w:rsid w:val="00022BD5"/>
    <w:rsid w:val="000275B3"/>
    <w:rsid w:val="000339F9"/>
    <w:rsid w:val="00037DF2"/>
    <w:rsid w:val="00040CAB"/>
    <w:rsid w:val="00043786"/>
    <w:rsid w:val="00044F35"/>
    <w:rsid w:val="00061C40"/>
    <w:rsid w:val="00061F84"/>
    <w:rsid w:val="00063557"/>
    <w:rsid w:val="00063D3A"/>
    <w:rsid w:val="00084198"/>
    <w:rsid w:val="00085896"/>
    <w:rsid w:val="00094C58"/>
    <w:rsid w:val="00096A18"/>
    <w:rsid w:val="00096DD4"/>
    <w:rsid w:val="000B5CF5"/>
    <w:rsid w:val="000C3A9F"/>
    <w:rsid w:val="000C402D"/>
    <w:rsid w:val="000D3035"/>
    <w:rsid w:val="000D32BD"/>
    <w:rsid w:val="000D5FAB"/>
    <w:rsid w:val="000D6226"/>
    <w:rsid w:val="000D75EC"/>
    <w:rsid w:val="000E1095"/>
    <w:rsid w:val="000E2606"/>
    <w:rsid w:val="000E4383"/>
    <w:rsid w:val="000F122A"/>
    <w:rsid w:val="000F36F3"/>
    <w:rsid w:val="000F4694"/>
    <w:rsid w:val="00100834"/>
    <w:rsid w:val="00101B7D"/>
    <w:rsid w:val="001046A6"/>
    <w:rsid w:val="00107370"/>
    <w:rsid w:val="00112561"/>
    <w:rsid w:val="00116CDF"/>
    <w:rsid w:val="001202E0"/>
    <w:rsid w:val="00127469"/>
    <w:rsid w:val="00131E5B"/>
    <w:rsid w:val="00143E3C"/>
    <w:rsid w:val="00146813"/>
    <w:rsid w:val="00147547"/>
    <w:rsid w:val="00154360"/>
    <w:rsid w:val="0015456E"/>
    <w:rsid w:val="0015777C"/>
    <w:rsid w:val="001645CB"/>
    <w:rsid w:val="00164B9D"/>
    <w:rsid w:val="001737AF"/>
    <w:rsid w:val="00177F96"/>
    <w:rsid w:val="00180610"/>
    <w:rsid w:val="001932A6"/>
    <w:rsid w:val="001B0973"/>
    <w:rsid w:val="001B1B55"/>
    <w:rsid w:val="001B549C"/>
    <w:rsid w:val="001C2757"/>
    <w:rsid w:val="001D0BBE"/>
    <w:rsid w:val="001D4F51"/>
    <w:rsid w:val="001D7D4A"/>
    <w:rsid w:val="001E260B"/>
    <w:rsid w:val="001E6EEF"/>
    <w:rsid w:val="001F23B5"/>
    <w:rsid w:val="001F5F8D"/>
    <w:rsid w:val="001F76A3"/>
    <w:rsid w:val="00212291"/>
    <w:rsid w:val="00224688"/>
    <w:rsid w:val="00236891"/>
    <w:rsid w:val="002415B8"/>
    <w:rsid w:val="00247A8A"/>
    <w:rsid w:val="00254626"/>
    <w:rsid w:val="002651E8"/>
    <w:rsid w:val="00265C8F"/>
    <w:rsid w:val="00267FB4"/>
    <w:rsid w:val="00284EA3"/>
    <w:rsid w:val="00287D3E"/>
    <w:rsid w:val="002B0223"/>
    <w:rsid w:val="002B2571"/>
    <w:rsid w:val="002B3C85"/>
    <w:rsid w:val="002B4BB5"/>
    <w:rsid w:val="002B6826"/>
    <w:rsid w:val="002D7EB4"/>
    <w:rsid w:val="002E4874"/>
    <w:rsid w:val="002E75E6"/>
    <w:rsid w:val="002F0154"/>
    <w:rsid w:val="002F3385"/>
    <w:rsid w:val="00311080"/>
    <w:rsid w:val="00311DA0"/>
    <w:rsid w:val="00320D7F"/>
    <w:rsid w:val="00321DB4"/>
    <w:rsid w:val="0032711E"/>
    <w:rsid w:val="003308D3"/>
    <w:rsid w:val="00333449"/>
    <w:rsid w:val="00352A13"/>
    <w:rsid w:val="00353BBE"/>
    <w:rsid w:val="00356D69"/>
    <w:rsid w:val="00366515"/>
    <w:rsid w:val="00367B7C"/>
    <w:rsid w:val="00370DD9"/>
    <w:rsid w:val="003719FE"/>
    <w:rsid w:val="00377BB0"/>
    <w:rsid w:val="0038724B"/>
    <w:rsid w:val="003874AA"/>
    <w:rsid w:val="00387EE2"/>
    <w:rsid w:val="003974A7"/>
    <w:rsid w:val="003B0B4C"/>
    <w:rsid w:val="003B3196"/>
    <w:rsid w:val="003B3EC9"/>
    <w:rsid w:val="003C0D77"/>
    <w:rsid w:val="003C241E"/>
    <w:rsid w:val="003C38ED"/>
    <w:rsid w:val="003C4156"/>
    <w:rsid w:val="003D5872"/>
    <w:rsid w:val="003F177C"/>
    <w:rsid w:val="003F2496"/>
    <w:rsid w:val="004128AB"/>
    <w:rsid w:val="00422235"/>
    <w:rsid w:val="0042607C"/>
    <w:rsid w:val="0043319D"/>
    <w:rsid w:val="004460BD"/>
    <w:rsid w:val="00452832"/>
    <w:rsid w:val="004637EB"/>
    <w:rsid w:val="00470FC3"/>
    <w:rsid w:val="0048066F"/>
    <w:rsid w:val="0048075B"/>
    <w:rsid w:val="00491D49"/>
    <w:rsid w:val="004A12B1"/>
    <w:rsid w:val="004A2EEE"/>
    <w:rsid w:val="004A4A7F"/>
    <w:rsid w:val="004A7BE8"/>
    <w:rsid w:val="004B081A"/>
    <w:rsid w:val="004B1A0A"/>
    <w:rsid w:val="004B201D"/>
    <w:rsid w:val="004B3AD2"/>
    <w:rsid w:val="004B3ECC"/>
    <w:rsid w:val="004C12DC"/>
    <w:rsid w:val="004D130A"/>
    <w:rsid w:val="004D2537"/>
    <w:rsid w:val="004F07C9"/>
    <w:rsid w:val="004F2A7E"/>
    <w:rsid w:val="004F56F8"/>
    <w:rsid w:val="00503801"/>
    <w:rsid w:val="00503E7B"/>
    <w:rsid w:val="00505FFD"/>
    <w:rsid w:val="00506D59"/>
    <w:rsid w:val="00510E65"/>
    <w:rsid w:val="00511D62"/>
    <w:rsid w:val="00512A2F"/>
    <w:rsid w:val="00513E6B"/>
    <w:rsid w:val="005179EF"/>
    <w:rsid w:val="00536AD7"/>
    <w:rsid w:val="00552145"/>
    <w:rsid w:val="00560C13"/>
    <w:rsid w:val="0056131F"/>
    <w:rsid w:val="005758AE"/>
    <w:rsid w:val="005823A9"/>
    <w:rsid w:val="0058740C"/>
    <w:rsid w:val="00591782"/>
    <w:rsid w:val="00591B4C"/>
    <w:rsid w:val="005A70A5"/>
    <w:rsid w:val="005B2005"/>
    <w:rsid w:val="005B23B7"/>
    <w:rsid w:val="005B37A2"/>
    <w:rsid w:val="005B5109"/>
    <w:rsid w:val="005C7084"/>
    <w:rsid w:val="005D0FA5"/>
    <w:rsid w:val="005D1512"/>
    <w:rsid w:val="005E2B68"/>
    <w:rsid w:val="005E5CDD"/>
    <w:rsid w:val="005E6344"/>
    <w:rsid w:val="00601140"/>
    <w:rsid w:val="00602268"/>
    <w:rsid w:val="00607B1F"/>
    <w:rsid w:val="00610124"/>
    <w:rsid w:val="00630EA2"/>
    <w:rsid w:val="00646102"/>
    <w:rsid w:val="00647EEC"/>
    <w:rsid w:val="00660E6A"/>
    <w:rsid w:val="006736C6"/>
    <w:rsid w:val="00680E2D"/>
    <w:rsid w:val="006A4EE9"/>
    <w:rsid w:val="006A576C"/>
    <w:rsid w:val="006A6D5C"/>
    <w:rsid w:val="006B18D5"/>
    <w:rsid w:val="006B309B"/>
    <w:rsid w:val="006C1DF9"/>
    <w:rsid w:val="006D01A6"/>
    <w:rsid w:val="006D4A63"/>
    <w:rsid w:val="006D65D0"/>
    <w:rsid w:val="006E0AA5"/>
    <w:rsid w:val="006E6D49"/>
    <w:rsid w:val="006F01C2"/>
    <w:rsid w:val="006F1ED7"/>
    <w:rsid w:val="006F2BC4"/>
    <w:rsid w:val="006F51B5"/>
    <w:rsid w:val="00712425"/>
    <w:rsid w:val="00723FF6"/>
    <w:rsid w:val="00725123"/>
    <w:rsid w:val="00725179"/>
    <w:rsid w:val="0073011D"/>
    <w:rsid w:val="0073269F"/>
    <w:rsid w:val="0073282F"/>
    <w:rsid w:val="00733775"/>
    <w:rsid w:val="00740918"/>
    <w:rsid w:val="0074227A"/>
    <w:rsid w:val="007438FC"/>
    <w:rsid w:val="0074542A"/>
    <w:rsid w:val="00745775"/>
    <w:rsid w:val="00746DBD"/>
    <w:rsid w:val="00750D44"/>
    <w:rsid w:val="00751FFA"/>
    <w:rsid w:val="00754623"/>
    <w:rsid w:val="00772C20"/>
    <w:rsid w:val="00775B80"/>
    <w:rsid w:val="007814AD"/>
    <w:rsid w:val="00782685"/>
    <w:rsid w:val="00784A09"/>
    <w:rsid w:val="00785199"/>
    <w:rsid w:val="00786089"/>
    <w:rsid w:val="00787CD2"/>
    <w:rsid w:val="0079591F"/>
    <w:rsid w:val="00797689"/>
    <w:rsid w:val="007976E2"/>
    <w:rsid w:val="007A111F"/>
    <w:rsid w:val="007A270C"/>
    <w:rsid w:val="007C7FD2"/>
    <w:rsid w:val="007D27C0"/>
    <w:rsid w:val="007E37A1"/>
    <w:rsid w:val="007F6F79"/>
    <w:rsid w:val="007F7FEE"/>
    <w:rsid w:val="008067CE"/>
    <w:rsid w:val="00807470"/>
    <w:rsid w:val="00810A39"/>
    <w:rsid w:val="008124DF"/>
    <w:rsid w:val="008146E5"/>
    <w:rsid w:val="00827AA0"/>
    <w:rsid w:val="008371C3"/>
    <w:rsid w:val="008421DC"/>
    <w:rsid w:val="0084294C"/>
    <w:rsid w:val="00842A9D"/>
    <w:rsid w:val="00842BEC"/>
    <w:rsid w:val="008453F4"/>
    <w:rsid w:val="00845E71"/>
    <w:rsid w:val="00851F6D"/>
    <w:rsid w:val="00854403"/>
    <w:rsid w:val="00855CD0"/>
    <w:rsid w:val="008726D6"/>
    <w:rsid w:val="008777A9"/>
    <w:rsid w:val="00886A85"/>
    <w:rsid w:val="00892B10"/>
    <w:rsid w:val="00896972"/>
    <w:rsid w:val="008A3D4B"/>
    <w:rsid w:val="008B0293"/>
    <w:rsid w:val="008B370A"/>
    <w:rsid w:val="008C02C9"/>
    <w:rsid w:val="008D221D"/>
    <w:rsid w:val="008D4121"/>
    <w:rsid w:val="008E4366"/>
    <w:rsid w:val="008E4FD0"/>
    <w:rsid w:val="008E64BE"/>
    <w:rsid w:val="00901D77"/>
    <w:rsid w:val="009041C5"/>
    <w:rsid w:val="00911093"/>
    <w:rsid w:val="00911431"/>
    <w:rsid w:val="00912E28"/>
    <w:rsid w:val="00936E8D"/>
    <w:rsid w:val="009372B0"/>
    <w:rsid w:val="009409C6"/>
    <w:rsid w:val="00946079"/>
    <w:rsid w:val="00946B0C"/>
    <w:rsid w:val="00953B2F"/>
    <w:rsid w:val="009569D9"/>
    <w:rsid w:val="00964206"/>
    <w:rsid w:val="009775EC"/>
    <w:rsid w:val="0098562F"/>
    <w:rsid w:val="00986829"/>
    <w:rsid w:val="00990BE0"/>
    <w:rsid w:val="00994386"/>
    <w:rsid w:val="00995CCF"/>
    <w:rsid w:val="00996642"/>
    <w:rsid w:val="00996EB8"/>
    <w:rsid w:val="009A072A"/>
    <w:rsid w:val="009A0B09"/>
    <w:rsid w:val="009A572B"/>
    <w:rsid w:val="009B01C7"/>
    <w:rsid w:val="009B0897"/>
    <w:rsid w:val="009B7666"/>
    <w:rsid w:val="009C0647"/>
    <w:rsid w:val="009D2E55"/>
    <w:rsid w:val="009D3578"/>
    <w:rsid w:val="009E2AAC"/>
    <w:rsid w:val="009E2F24"/>
    <w:rsid w:val="009E31E7"/>
    <w:rsid w:val="009E32B6"/>
    <w:rsid w:val="009F0AFA"/>
    <w:rsid w:val="009F1157"/>
    <w:rsid w:val="00A02385"/>
    <w:rsid w:val="00A06878"/>
    <w:rsid w:val="00A10527"/>
    <w:rsid w:val="00A1277D"/>
    <w:rsid w:val="00A150AE"/>
    <w:rsid w:val="00A204CC"/>
    <w:rsid w:val="00A265DA"/>
    <w:rsid w:val="00A304CE"/>
    <w:rsid w:val="00A30517"/>
    <w:rsid w:val="00A31F07"/>
    <w:rsid w:val="00A374CB"/>
    <w:rsid w:val="00A4078D"/>
    <w:rsid w:val="00A51BC4"/>
    <w:rsid w:val="00A66D9B"/>
    <w:rsid w:val="00A72EC3"/>
    <w:rsid w:val="00A761DE"/>
    <w:rsid w:val="00A76642"/>
    <w:rsid w:val="00A76951"/>
    <w:rsid w:val="00A772CD"/>
    <w:rsid w:val="00A93A88"/>
    <w:rsid w:val="00A9468C"/>
    <w:rsid w:val="00A9783A"/>
    <w:rsid w:val="00AB354F"/>
    <w:rsid w:val="00AB6634"/>
    <w:rsid w:val="00AC7354"/>
    <w:rsid w:val="00AE573C"/>
    <w:rsid w:val="00B0242A"/>
    <w:rsid w:val="00B02DE9"/>
    <w:rsid w:val="00B05E24"/>
    <w:rsid w:val="00B15926"/>
    <w:rsid w:val="00B221B8"/>
    <w:rsid w:val="00B23B98"/>
    <w:rsid w:val="00B30FEB"/>
    <w:rsid w:val="00B32902"/>
    <w:rsid w:val="00B4395B"/>
    <w:rsid w:val="00B44FE9"/>
    <w:rsid w:val="00B479B7"/>
    <w:rsid w:val="00B62B41"/>
    <w:rsid w:val="00B725D8"/>
    <w:rsid w:val="00B769A6"/>
    <w:rsid w:val="00B805B9"/>
    <w:rsid w:val="00B84500"/>
    <w:rsid w:val="00B86193"/>
    <w:rsid w:val="00B90BF6"/>
    <w:rsid w:val="00B95111"/>
    <w:rsid w:val="00B95504"/>
    <w:rsid w:val="00B971FC"/>
    <w:rsid w:val="00BA1828"/>
    <w:rsid w:val="00BB07CF"/>
    <w:rsid w:val="00BB0A56"/>
    <w:rsid w:val="00BB0F77"/>
    <w:rsid w:val="00BB2838"/>
    <w:rsid w:val="00BC4527"/>
    <w:rsid w:val="00BC5C25"/>
    <w:rsid w:val="00BC7E32"/>
    <w:rsid w:val="00BD05DA"/>
    <w:rsid w:val="00BD13EC"/>
    <w:rsid w:val="00BD4BE0"/>
    <w:rsid w:val="00BD7485"/>
    <w:rsid w:val="00BE25DA"/>
    <w:rsid w:val="00BE3763"/>
    <w:rsid w:val="00BE6ED9"/>
    <w:rsid w:val="00BF0243"/>
    <w:rsid w:val="00BF2788"/>
    <w:rsid w:val="00BF28EF"/>
    <w:rsid w:val="00BF2BA4"/>
    <w:rsid w:val="00BF77F1"/>
    <w:rsid w:val="00C025F4"/>
    <w:rsid w:val="00C02B5C"/>
    <w:rsid w:val="00C03187"/>
    <w:rsid w:val="00C049BB"/>
    <w:rsid w:val="00C12412"/>
    <w:rsid w:val="00C12F67"/>
    <w:rsid w:val="00C233E0"/>
    <w:rsid w:val="00C23B1A"/>
    <w:rsid w:val="00C23EE9"/>
    <w:rsid w:val="00C30FD4"/>
    <w:rsid w:val="00C316F9"/>
    <w:rsid w:val="00C345A2"/>
    <w:rsid w:val="00C3684A"/>
    <w:rsid w:val="00C378A0"/>
    <w:rsid w:val="00C43B58"/>
    <w:rsid w:val="00C46B0E"/>
    <w:rsid w:val="00C57D0B"/>
    <w:rsid w:val="00C63676"/>
    <w:rsid w:val="00C72CE1"/>
    <w:rsid w:val="00C75716"/>
    <w:rsid w:val="00C80263"/>
    <w:rsid w:val="00C84095"/>
    <w:rsid w:val="00C90BF0"/>
    <w:rsid w:val="00C96D19"/>
    <w:rsid w:val="00CA14A8"/>
    <w:rsid w:val="00CA249E"/>
    <w:rsid w:val="00CA401F"/>
    <w:rsid w:val="00CB1377"/>
    <w:rsid w:val="00CB19AA"/>
    <w:rsid w:val="00CB6D06"/>
    <w:rsid w:val="00CC1C63"/>
    <w:rsid w:val="00CC1FE8"/>
    <w:rsid w:val="00CC427C"/>
    <w:rsid w:val="00CC5485"/>
    <w:rsid w:val="00CC784B"/>
    <w:rsid w:val="00CD002F"/>
    <w:rsid w:val="00CD10C9"/>
    <w:rsid w:val="00CE1BBB"/>
    <w:rsid w:val="00CE1DE3"/>
    <w:rsid w:val="00CE5541"/>
    <w:rsid w:val="00CE7DB3"/>
    <w:rsid w:val="00CF387E"/>
    <w:rsid w:val="00CF665C"/>
    <w:rsid w:val="00D103CE"/>
    <w:rsid w:val="00D1127E"/>
    <w:rsid w:val="00D125A1"/>
    <w:rsid w:val="00D17086"/>
    <w:rsid w:val="00D2330B"/>
    <w:rsid w:val="00D27ECA"/>
    <w:rsid w:val="00D30099"/>
    <w:rsid w:val="00D329C7"/>
    <w:rsid w:val="00D44A96"/>
    <w:rsid w:val="00D4688C"/>
    <w:rsid w:val="00D46899"/>
    <w:rsid w:val="00D63E56"/>
    <w:rsid w:val="00D72915"/>
    <w:rsid w:val="00D72D37"/>
    <w:rsid w:val="00D731CF"/>
    <w:rsid w:val="00D74D74"/>
    <w:rsid w:val="00D7562A"/>
    <w:rsid w:val="00D76695"/>
    <w:rsid w:val="00D970ED"/>
    <w:rsid w:val="00D97229"/>
    <w:rsid w:val="00D97316"/>
    <w:rsid w:val="00DA6DF4"/>
    <w:rsid w:val="00DB0472"/>
    <w:rsid w:val="00DB099F"/>
    <w:rsid w:val="00DC3BFA"/>
    <w:rsid w:val="00DD2E38"/>
    <w:rsid w:val="00DD69DE"/>
    <w:rsid w:val="00DD7A7F"/>
    <w:rsid w:val="00DD7D87"/>
    <w:rsid w:val="00DE0B11"/>
    <w:rsid w:val="00DE52BA"/>
    <w:rsid w:val="00DE7D3F"/>
    <w:rsid w:val="00DF7C87"/>
    <w:rsid w:val="00DF7E2F"/>
    <w:rsid w:val="00E1556E"/>
    <w:rsid w:val="00E162C5"/>
    <w:rsid w:val="00E267F1"/>
    <w:rsid w:val="00E32694"/>
    <w:rsid w:val="00E3286C"/>
    <w:rsid w:val="00E41A6B"/>
    <w:rsid w:val="00E42F50"/>
    <w:rsid w:val="00E4581D"/>
    <w:rsid w:val="00E4596F"/>
    <w:rsid w:val="00E5116B"/>
    <w:rsid w:val="00E524CA"/>
    <w:rsid w:val="00E55BCD"/>
    <w:rsid w:val="00E57764"/>
    <w:rsid w:val="00E57C8D"/>
    <w:rsid w:val="00E6395E"/>
    <w:rsid w:val="00E643F2"/>
    <w:rsid w:val="00E649F9"/>
    <w:rsid w:val="00E703F6"/>
    <w:rsid w:val="00E8341E"/>
    <w:rsid w:val="00E9041E"/>
    <w:rsid w:val="00E90654"/>
    <w:rsid w:val="00EA0915"/>
    <w:rsid w:val="00EA1E84"/>
    <w:rsid w:val="00EA30BD"/>
    <w:rsid w:val="00EA6F00"/>
    <w:rsid w:val="00EA7FBD"/>
    <w:rsid w:val="00EB1352"/>
    <w:rsid w:val="00ED0C9E"/>
    <w:rsid w:val="00EE34AF"/>
    <w:rsid w:val="00EE6ED0"/>
    <w:rsid w:val="00EF2941"/>
    <w:rsid w:val="00EF4336"/>
    <w:rsid w:val="00EF52CD"/>
    <w:rsid w:val="00EF6524"/>
    <w:rsid w:val="00F05408"/>
    <w:rsid w:val="00F07FDC"/>
    <w:rsid w:val="00F10D35"/>
    <w:rsid w:val="00F1347D"/>
    <w:rsid w:val="00F13DC7"/>
    <w:rsid w:val="00F179AB"/>
    <w:rsid w:val="00F17D72"/>
    <w:rsid w:val="00F304AA"/>
    <w:rsid w:val="00F316B0"/>
    <w:rsid w:val="00F31BDF"/>
    <w:rsid w:val="00F41317"/>
    <w:rsid w:val="00F4680C"/>
    <w:rsid w:val="00F46ED1"/>
    <w:rsid w:val="00F5309E"/>
    <w:rsid w:val="00F625CE"/>
    <w:rsid w:val="00F636D1"/>
    <w:rsid w:val="00F661E0"/>
    <w:rsid w:val="00F66854"/>
    <w:rsid w:val="00F673E3"/>
    <w:rsid w:val="00F67C4B"/>
    <w:rsid w:val="00F7391E"/>
    <w:rsid w:val="00F74464"/>
    <w:rsid w:val="00F7767B"/>
    <w:rsid w:val="00F83DE3"/>
    <w:rsid w:val="00F908AC"/>
    <w:rsid w:val="00F9209F"/>
    <w:rsid w:val="00F957FD"/>
    <w:rsid w:val="00F96F91"/>
    <w:rsid w:val="00F9749F"/>
    <w:rsid w:val="00FA06C5"/>
    <w:rsid w:val="00FA2E8F"/>
    <w:rsid w:val="00FA3BA7"/>
    <w:rsid w:val="00FA53F9"/>
    <w:rsid w:val="00FA7F33"/>
    <w:rsid w:val="00FB4D22"/>
    <w:rsid w:val="00FC126F"/>
    <w:rsid w:val="00FC3BF8"/>
    <w:rsid w:val="00FC4207"/>
    <w:rsid w:val="00FC6C5C"/>
    <w:rsid w:val="00FD6EBE"/>
    <w:rsid w:val="00FE2C98"/>
    <w:rsid w:val="00FE65FE"/>
    <w:rsid w:val="00FE6D72"/>
    <w:rsid w:val="00FF1236"/>
    <w:rsid w:val="00FF67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DF"/>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
    <w:basedOn w:val="Normal"/>
    <w:link w:val="ListParagraphChar"/>
    <w:uiPriority w:val="99"/>
    <w:qFormat/>
    <w:rsid w:val="00F31BDF"/>
    <w:pPr>
      <w:ind w:left="720"/>
      <w:contextualSpacing/>
    </w:pPr>
  </w:style>
  <w:style w:type="character" w:customStyle="1" w:styleId="ListParagraphChar">
    <w:name w:val="List Paragraph Char"/>
    <w:aliases w:val="Footnote Char,List Paragraph1 Char,Colorful List - Accent 11 Char,Párrafo de lista1 Char,List Paragraph2 Char"/>
    <w:basedOn w:val="DefaultParagraphFont"/>
    <w:link w:val="ListParagraph"/>
    <w:uiPriority w:val="99"/>
    <w:locked/>
    <w:rsid w:val="00F31BDF"/>
    <w:rPr>
      <w:rFonts w:ascii="Verdana" w:eastAsia="Batang" w:hAnsi="Verdana" w:cs="Times"/>
      <w:noProof/>
      <w:sz w:val="20"/>
      <w:szCs w:val="24"/>
      <w:lang w:val="es-ES_tradnl"/>
    </w:rPr>
  </w:style>
  <w:style w:type="paragraph" w:styleId="Title">
    <w:name w:val="Title"/>
    <w:basedOn w:val="Normal"/>
    <w:link w:val="TitleChar"/>
    <w:uiPriority w:val="99"/>
    <w:qFormat/>
    <w:rsid w:val="00F31BDF"/>
    <w:pPr>
      <w:jc w:val="center"/>
    </w:pPr>
    <w:rPr>
      <w:rFonts w:eastAsia="Times New Roman" w:cs="Times New Roman"/>
      <w:b/>
      <w:szCs w:val="20"/>
    </w:rPr>
  </w:style>
  <w:style w:type="character" w:customStyle="1" w:styleId="TitleChar">
    <w:name w:val="Title Char"/>
    <w:basedOn w:val="DefaultParagraphFont"/>
    <w:link w:val="Title"/>
    <w:uiPriority w:val="99"/>
    <w:rsid w:val="00F31BD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F31BD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F31BDF"/>
    <w:rPr>
      <w:rFonts w:ascii="Verdana" w:eastAsia="Times New Roman" w:hAnsi="Verdana" w:cs="Times New Roman"/>
      <w:b/>
      <w:i/>
      <w:iCs/>
      <w:noProof/>
      <w:spacing w:val="15"/>
      <w:sz w:val="20"/>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Ca,C"/>
    <w:basedOn w:val="Normal"/>
    <w:link w:val="FootnoteTextChar"/>
    <w:uiPriority w:val="99"/>
    <w:qFormat/>
    <w:rsid w:val="00C46B0E"/>
    <w:pPr>
      <w:jc w:val="left"/>
    </w:pPr>
    <w:rPr>
      <w:rFonts w:eastAsia="Times" w:cs="Times New Roman"/>
      <w:noProof w:val="0"/>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46B0E"/>
    <w:rPr>
      <w:rFonts w:ascii="Verdana" w:eastAsia="Times" w:hAnsi="Verdana" w:cs="Times New Roman"/>
      <w:sz w:val="24"/>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C46B0E"/>
    <w:rPr>
      <w:vertAlign w:val="superscript"/>
    </w:rPr>
  </w:style>
  <w:style w:type="paragraph" w:styleId="BodyTextIndent2">
    <w:name w:val="Body Text Indent 2"/>
    <w:basedOn w:val="Normal"/>
    <w:link w:val="BodyTextIndent2Char"/>
    <w:uiPriority w:val="99"/>
    <w:unhideWhenUsed/>
    <w:rsid w:val="00E524CA"/>
    <w:pPr>
      <w:spacing w:after="120" w:line="480" w:lineRule="auto"/>
      <w:ind w:left="360"/>
      <w:jc w:val="left"/>
    </w:pPr>
    <w:rPr>
      <w:rFonts w:asciiTheme="minorHAnsi" w:eastAsiaTheme="minorHAnsi" w:hAnsiTheme="minorHAnsi" w:cstheme="minorBidi"/>
      <w:noProof w:val="0"/>
      <w:sz w:val="22"/>
      <w:szCs w:val="22"/>
    </w:rPr>
  </w:style>
  <w:style w:type="character" w:customStyle="1" w:styleId="BodyTextIndent2Char">
    <w:name w:val="Body Text Indent 2 Char"/>
    <w:basedOn w:val="DefaultParagraphFont"/>
    <w:link w:val="BodyTextIndent2"/>
    <w:uiPriority w:val="99"/>
    <w:rsid w:val="00E524CA"/>
    <w:rPr>
      <w:lang w:val="es-ES_tradnl"/>
    </w:rPr>
  </w:style>
  <w:style w:type="paragraph" w:styleId="Header">
    <w:name w:val="header"/>
    <w:basedOn w:val="Normal"/>
    <w:link w:val="HeaderChar"/>
    <w:uiPriority w:val="99"/>
    <w:unhideWhenUsed/>
    <w:rsid w:val="00680E2D"/>
    <w:pPr>
      <w:tabs>
        <w:tab w:val="center" w:pos="4419"/>
        <w:tab w:val="right" w:pos="8838"/>
      </w:tabs>
    </w:pPr>
  </w:style>
  <w:style w:type="character" w:customStyle="1" w:styleId="HeaderChar">
    <w:name w:val="Header Char"/>
    <w:basedOn w:val="DefaultParagraphFont"/>
    <w:link w:val="Header"/>
    <w:uiPriority w:val="99"/>
    <w:rsid w:val="00680E2D"/>
    <w:rPr>
      <w:rFonts w:ascii="Verdana" w:eastAsia="Batang" w:hAnsi="Verdana" w:cs="Times"/>
      <w:noProof/>
      <w:sz w:val="20"/>
      <w:szCs w:val="24"/>
      <w:lang w:val="es-ES_tradnl"/>
    </w:rPr>
  </w:style>
  <w:style w:type="paragraph" w:styleId="Footer">
    <w:name w:val="footer"/>
    <w:basedOn w:val="Normal"/>
    <w:link w:val="FooterChar"/>
    <w:uiPriority w:val="99"/>
    <w:unhideWhenUsed/>
    <w:rsid w:val="00680E2D"/>
    <w:pPr>
      <w:tabs>
        <w:tab w:val="center" w:pos="4419"/>
        <w:tab w:val="right" w:pos="8838"/>
      </w:tabs>
    </w:pPr>
  </w:style>
  <w:style w:type="character" w:customStyle="1" w:styleId="FooterChar">
    <w:name w:val="Footer Char"/>
    <w:basedOn w:val="DefaultParagraphFont"/>
    <w:link w:val="Footer"/>
    <w:uiPriority w:val="99"/>
    <w:rsid w:val="00680E2D"/>
    <w:rPr>
      <w:rFonts w:ascii="Verdana" w:eastAsia="Batang" w:hAnsi="Verdana" w:cs="Times"/>
      <w:noProof/>
      <w:sz w:val="20"/>
      <w:szCs w:val="24"/>
      <w:lang w:val="es-ES_tradnl"/>
    </w:rPr>
  </w:style>
  <w:style w:type="character" w:customStyle="1" w:styleId="A1">
    <w:name w:val="A1"/>
    <w:uiPriority w:val="99"/>
    <w:rsid w:val="00D103CE"/>
    <w:rPr>
      <w:rFonts w:cs="Adobe Garamond Pro"/>
      <w:color w:val="221E1F"/>
      <w:sz w:val="22"/>
      <w:szCs w:val="22"/>
    </w:rPr>
  </w:style>
  <w:style w:type="paragraph" w:customStyle="1" w:styleId="negritamayuscula">
    <w:name w:val="negrita mayuscula"/>
    <w:basedOn w:val="Normal"/>
    <w:uiPriority w:val="99"/>
    <w:rsid w:val="00D103CE"/>
    <w:pPr>
      <w:widowControl w:val="0"/>
      <w:tabs>
        <w:tab w:val="left" w:pos="1120"/>
      </w:tabs>
      <w:spacing w:line="360" w:lineRule="atLeast"/>
    </w:pPr>
    <w:rPr>
      <w:rFonts w:ascii="Garamond" w:eastAsia="Calibri" w:hAnsi="Garamond" w:cs="Times New Roman"/>
      <w:noProof w:val="0"/>
      <w:sz w:val="24"/>
      <w:szCs w:val="20"/>
    </w:rPr>
  </w:style>
  <w:style w:type="paragraph" w:customStyle="1" w:styleId="Pa0">
    <w:name w:val="Pa0"/>
    <w:basedOn w:val="Normal"/>
    <w:next w:val="Normal"/>
    <w:uiPriority w:val="99"/>
    <w:rsid w:val="00D30099"/>
    <w:pPr>
      <w:autoSpaceDE w:val="0"/>
      <w:autoSpaceDN w:val="0"/>
      <w:adjustRightInd w:val="0"/>
      <w:spacing w:line="201" w:lineRule="atLeast"/>
      <w:jc w:val="left"/>
    </w:pPr>
    <w:rPr>
      <w:rFonts w:ascii="Adobe Garamond Pro" w:eastAsiaTheme="minorHAnsi" w:hAnsi="Adobe Garamond Pro" w:cstheme="minorBidi"/>
      <w:noProof w:val="0"/>
      <w:sz w:val="24"/>
      <w:lang w:val="es-CR"/>
    </w:rPr>
  </w:style>
  <w:style w:type="character" w:customStyle="1" w:styleId="A3">
    <w:name w:val="A3"/>
    <w:uiPriority w:val="99"/>
    <w:rsid w:val="00D30099"/>
    <w:rPr>
      <w:rFonts w:cs="Adobe Garamond Pro"/>
      <w:color w:val="221E1F"/>
      <w:sz w:val="12"/>
      <w:szCs w:val="12"/>
    </w:rPr>
  </w:style>
  <w:style w:type="paragraph" w:customStyle="1" w:styleId="Default">
    <w:name w:val="Default"/>
    <w:rsid w:val="00C233E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E7D3F"/>
    <w:rPr>
      <w:b/>
      <w:bCs/>
    </w:rPr>
  </w:style>
  <w:style w:type="paragraph" w:customStyle="1" w:styleId="Footnotes">
    <w:name w:val="**. Footnotes"/>
    <w:basedOn w:val="FootnoteText"/>
    <w:link w:val="FootnotesChar"/>
    <w:autoRedefine/>
    <w:qFormat/>
    <w:rsid w:val="00E4596F"/>
    <w:pPr>
      <w:spacing w:before="120" w:after="120"/>
      <w:jc w:val="both"/>
    </w:pPr>
    <w:rPr>
      <w:rFonts w:eastAsia="Times New Roman"/>
      <w:bCs/>
      <w:iCs/>
      <w:sz w:val="16"/>
      <w:szCs w:val="16"/>
      <w:lang w:val="es-ES" w:eastAsia="x-none"/>
    </w:rPr>
  </w:style>
  <w:style w:type="character" w:customStyle="1" w:styleId="FootnotesChar">
    <w:name w:val="**. Footnotes Char"/>
    <w:link w:val="Footnotes"/>
    <w:rsid w:val="00E4596F"/>
    <w:rPr>
      <w:rFonts w:ascii="Verdana" w:eastAsia="Times New Roman" w:hAnsi="Verdana" w:cs="Times New Roman"/>
      <w:bCs/>
      <w:iCs/>
      <w:sz w:val="16"/>
      <w:szCs w:val="16"/>
      <w:lang w:val="es-ES" w:eastAsia="x-none"/>
    </w:rPr>
  </w:style>
  <w:style w:type="paragraph" w:styleId="CommentText">
    <w:name w:val="annotation text"/>
    <w:basedOn w:val="Normal"/>
    <w:link w:val="CommentTextChar"/>
    <w:uiPriority w:val="99"/>
    <w:semiHidden/>
    <w:unhideWhenUsed/>
    <w:rsid w:val="008B0293"/>
    <w:rPr>
      <w:szCs w:val="20"/>
    </w:rPr>
  </w:style>
  <w:style w:type="character" w:customStyle="1" w:styleId="CommentTextChar">
    <w:name w:val="Comment Text Char"/>
    <w:basedOn w:val="DefaultParagraphFont"/>
    <w:link w:val="CommentText"/>
    <w:uiPriority w:val="99"/>
    <w:semiHidden/>
    <w:rsid w:val="008B0293"/>
    <w:rPr>
      <w:rFonts w:ascii="Verdana" w:eastAsia="Batang" w:hAnsi="Verdana" w:cs="Times"/>
      <w:noProof/>
      <w:sz w:val="20"/>
      <w:szCs w:val="20"/>
      <w:lang w:val="es-ES_tradnl"/>
    </w:rPr>
  </w:style>
  <w:style w:type="character" w:styleId="Hyperlink">
    <w:name w:val="Hyperlink"/>
    <w:basedOn w:val="DefaultParagraphFont"/>
    <w:uiPriority w:val="99"/>
    <w:unhideWhenUsed/>
    <w:rsid w:val="001737AF"/>
    <w:rPr>
      <w:color w:val="0000FF" w:themeColor="hyperlink"/>
      <w:u w:val="single"/>
    </w:rPr>
  </w:style>
  <w:style w:type="paragraph" w:styleId="BalloonText">
    <w:name w:val="Balloon Text"/>
    <w:basedOn w:val="Normal"/>
    <w:link w:val="BalloonTextChar"/>
    <w:uiPriority w:val="99"/>
    <w:semiHidden/>
    <w:unhideWhenUsed/>
    <w:rsid w:val="00CC1FE8"/>
    <w:rPr>
      <w:rFonts w:ascii="Tahoma" w:hAnsi="Tahoma" w:cs="Tahoma"/>
      <w:sz w:val="16"/>
      <w:szCs w:val="16"/>
    </w:rPr>
  </w:style>
  <w:style w:type="character" w:customStyle="1" w:styleId="BalloonTextChar">
    <w:name w:val="Balloon Text Char"/>
    <w:basedOn w:val="DefaultParagraphFont"/>
    <w:link w:val="BalloonText"/>
    <w:uiPriority w:val="99"/>
    <w:semiHidden/>
    <w:rsid w:val="00CC1FE8"/>
    <w:rPr>
      <w:rFonts w:ascii="Tahoma" w:eastAsia="Batang" w:hAnsi="Tahoma" w:cs="Tahoma"/>
      <w:noProof/>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DF"/>
    <w:pPr>
      <w:spacing w:after="0" w:line="240" w:lineRule="auto"/>
      <w:jc w:val="both"/>
    </w:pPr>
    <w:rPr>
      <w:rFonts w:ascii="Verdana" w:eastAsia="Batang" w:hAnsi="Verdana" w:cs="Times"/>
      <w:noProof/>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
    <w:basedOn w:val="Normal"/>
    <w:link w:val="ListParagraphChar"/>
    <w:uiPriority w:val="99"/>
    <w:qFormat/>
    <w:rsid w:val="00F31BDF"/>
    <w:pPr>
      <w:ind w:left="720"/>
      <w:contextualSpacing/>
    </w:pPr>
  </w:style>
  <w:style w:type="character" w:customStyle="1" w:styleId="ListParagraphChar">
    <w:name w:val="List Paragraph Char"/>
    <w:aliases w:val="Footnote Char,List Paragraph1 Char,Colorful List - Accent 11 Char,Párrafo de lista1 Char,List Paragraph2 Char"/>
    <w:basedOn w:val="DefaultParagraphFont"/>
    <w:link w:val="ListParagraph"/>
    <w:uiPriority w:val="99"/>
    <w:locked/>
    <w:rsid w:val="00F31BDF"/>
    <w:rPr>
      <w:rFonts w:ascii="Verdana" w:eastAsia="Batang" w:hAnsi="Verdana" w:cs="Times"/>
      <w:noProof/>
      <w:sz w:val="20"/>
      <w:szCs w:val="24"/>
      <w:lang w:val="es-ES_tradnl"/>
    </w:rPr>
  </w:style>
  <w:style w:type="paragraph" w:styleId="Title">
    <w:name w:val="Title"/>
    <w:basedOn w:val="Normal"/>
    <w:link w:val="TitleChar"/>
    <w:uiPriority w:val="99"/>
    <w:qFormat/>
    <w:rsid w:val="00F31BDF"/>
    <w:pPr>
      <w:jc w:val="center"/>
    </w:pPr>
    <w:rPr>
      <w:rFonts w:eastAsia="Times New Roman" w:cs="Times New Roman"/>
      <w:b/>
      <w:szCs w:val="20"/>
    </w:rPr>
  </w:style>
  <w:style w:type="character" w:customStyle="1" w:styleId="TitleChar">
    <w:name w:val="Title Char"/>
    <w:basedOn w:val="DefaultParagraphFont"/>
    <w:link w:val="Title"/>
    <w:uiPriority w:val="99"/>
    <w:rsid w:val="00F31BD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F31BD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F31BDF"/>
    <w:rPr>
      <w:rFonts w:ascii="Verdana" w:eastAsia="Times New Roman" w:hAnsi="Verdana" w:cs="Times New Roman"/>
      <w:b/>
      <w:i/>
      <w:iCs/>
      <w:noProof/>
      <w:spacing w:val="15"/>
      <w:sz w:val="20"/>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Ca,C"/>
    <w:basedOn w:val="Normal"/>
    <w:link w:val="FootnoteTextChar"/>
    <w:uiPriority w:val="99"/>
    <w:qFormat/>
    <w:rsid w:val="00C46B0E"/>
    <w:pPr>
      <w:jc w:val="left"/>
    </w:pPr>
    <w:rPr>
      <w:rFonts w:eastAsia="Times" w:cs="Times New Roman"/>
      <w:noProof w:val="0"/>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46B0E"/>
    <w:rPr>
      <w:rFonts w:ascii="Verdana" w:eastAsia="Times" w:hAnsi="Verdana" w:cs="Times New Roman"/>
      <w:sz w:val="24"/>
      <w:szCs w:val="20"/>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qFormat/>
    <w:rsid w:val="00C46B0E"/>
    <w:rPr>
      <w:vertAlign w:val="superscript"/>
    </w:rPr>
  </w:style>
  <w:style w:type="paragraph" w:styleId="BodyTextIndent2">
    <w:name w:val="Body Text Indent 2"/>
    <w:basedOn w:val="Normal"/>
    <w:link w:val="BodyTextIndent2Char"/>
    <w:uiPriority w:val="99"/>
    <w:unhideWhenUsed/>
    <w:rsid w:val="00E524CA"/>
    <w:pPr>
      <w:spacing w:after="120" w:line="480" w:lineRule="auto"/>
      <w:ind w:left="360"/>
      <w:jc w:val="left"/>
    </w:pPr>
    <w:rPr>
      <w:rFonts w:asciiTheme="minorHAnsi" w:eastAsiaTheme="minorHAnsi" w:hAnsiTheme="minorHAnsi" w:cstheme="minorBidi"/>
      <w:noProof w:val="0"/>
      <w:sz w:val="22"/>
      <w:szCs w:val="22"/>
    </w:rPr>
  </w:style>
  <w:style w:type="character" w:customStyle="1" w:styleId="BodyTextIndent2Char">
    <w:name w:val="Body Text Indent 2 Char"/>
    <w:basedOn w:val="DefaultParagraphFont"/>
    <w:link w:val="BodyTextIndent2"/>
    <w:uiPriority w:val="99"/>
    <w:rsid w:val="00E524CA"/>
    <w:rPr>
      <w:lang w:val="es-ES_tradnl"/>
    </w:rPr>
  </w:style>
  <w:style w:type="paragraph" w:styleId="Header">
    <w:name w:val="header"/>
    <w:basedOn w:val="Normal"/>
    <w:link w:val="HeaderChar"/>
    <w:uiPriority w:val="99"/>
    <w:unhideWhenUsed/>
    <w:rsid w:val="00680E2D"/>
    <w:pPr>
      <w:tabs>
        <w:tab w:val="center" w:pos="4419"/>
        <w:tab w:val="right" w:pos="8838"/>
      </w:tabs>
    </w:pPr>
  </w:style>
  <w:style w:type="character" w:customStyle="1" w:styleId="HeaderChar">
    <w:name w:val="Header Char"/>
    <w:basedOn w:val="DefaultParagraphFont"/>
    <w:link w:val="Header"/>
    <w:uiPriority w:val="99"/>
    <w:rsid w:val="00680E2D"/>
    <w:rPr>
      <w:rFonts w:ascii="Verdana" w:eastAsia="Batang" w:hAnsi="Verdana" w:cs="Times"/>
      <w:noProof/>
      <w:sz w:val="20"/>
      <w:szCs w:val="24"/>
      <w:lang w:val="es-ES_tradnl"/>
    </w:rPr>
  </w:style>
  <w:style w:type="paragraph" w:styleId="Footer">
    <w:name w:val="footer"/>
    <w:basedOn w:val="Normal"/>
    <w:link w:val="FooterChar"/>
    <w:uiPriority w:val="99"/>
    <w:unhideWhenUsed/>
    <w:rsid w:val="00680E2D"/>
    <w:pPr>
      <w:tabs>
        <w:tab w:val="center" w:pos="4419"/>
        <w:tab w:val="right" w:pos="8838"/>
      </w:tabs>
    </w:pPr>
  </w:style>
  <w:style w:type="character" w:customStyle="1" w:styleId="FooterChar">
    <w:name w:val="Footer Char"/>
    <w:basedOn w:val="DefaultParagraphFont"/>
    <w:link w:val="Footer"/>
    <w:uiPriority w:val="99"/>
    <w:rsid w:val="00680E2D"/>
    <w:rPr>
      <w:rFonts w:ascii="Verdana" w:eastAsia="Batang" w:hAnsi="Verdana" w:cs="Times"/>
      <w:noProof/>
      <w:sz w:val="20"/>
      <w:szCs w:val="24"/>
      <w:lang w:val="es-ES_tradnl"/>
    </w:rPr>
  </w:style>
  <w:style w:type="character" w:customStyle="1" w:styleId="A1">
    <w:name w:val="A1"/>
    <w:uiPriority w:val="99"/>
    <w:rsid w:val="00D103CE"/>
    <w:rPr>
      <w:rFonts w:cs="Adobe Garamond Pro"/>
      <w:color w:val="221E1F"/>
      <w:sz w:val="22"/>
      <w:szCs w:val="22"/>
    </w:rPr>
  </w:style>
  <w:style w:type="paragraph" w:customStyle="1" w:styleId="negritamayuscula">
    <w:name w:val="negrita mayuscula"/>
    <w:basedOn w:val="Normal"/>
    <w:uiPriority w:val="99"/>
    <w:rsid w:val="00D103CE"/>
    <w:pPr>
      <w:widowControl w:val="0"/>
      <w:tabs>
        <w:tab w:val="left" w:pos="1120"/>
      </w:tabs>
      <w:spacing w:line="360" w:lineRule="atLeast"/>
    </w:pPr>
    <w:rPr>
      <w:rFonts w:ascii="Garamond" w:eastAsia="Calibri" w:hAnsi="Garamond" w:cs="Times New Roman"/>
      <w:noProof w:val="0"/>
      <w:sz w:val="24"/>
      <w:szCs w:val="20"/>
    </w:rPr>
  </w:style>
  <w:style w:type="paragraph" w:customStyle="1" w:styleId="Pa0">
    <w:name w:val="Pa0"/>
    <w:basedOn w:val="Normal"/>
    <w:next w:val="Normal"/>
    <w:uiPriority w:val="99"/>
    <w:rsid w:val="00D30099"/>
    <w:pPr>
      <w:autoSpaceDE w:val="0"/>
      <w:autoSpaceDN w:val="0"/>
      <w:adjustRightInd w:val="0"/>
      <w:spacing w:line="201" w:lineRule="atLeast"/>
      <w:jc w:val="left"/>
    </w:pPr>
    <w:rPr>
      <w:rFonts w:ascii="Adobe Garamond Pro" w:eastAsiaTheme="minorHAnsi" w:hAnsi="Adobe Garamond Pro" w:cstheme="minorBidi"/>
      <w:noProof w:val="0"/>
      <w:sz w:val="24"/>
      <w:lang w:val="es-CR"/>
    </w:rPr>
  </w:style>
  <w:style w:type="character" w:customStyle="1" w:styleId="A3">
    <w:name w:val="A3"/>
    <w:uiPriority w:val="99"/>
    <w:rsid w:val="00D30099"/>
    <w:rPr>
      <w:rFonts w:cs="Adobe Garamond Pro"/>
      <w:color w:val="221E1F"/>
      <w:sz w:val="12"/>
      <w:szCs w:val="12"/>
    </w:rPr>
  </w:style>
  <w:style w:type="paragraph" w:customStyle="1" w:styleId="Default">
    <w:name w:val="Default"/>
    <w:rsid w:val="00C233E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E7D3F"/>
    <w:rPr>
      <w:b/>
      <w:bCs/>
    </w:rPr>
  </w:style>
  <w:style w:type="paragraph" w:customStyle="1" w:styleId="Footnotes">
    <w:name w:val="**. Footnotes"/>
    <w:basedOn w:val="FootnoteText"/>
    <w:link w:val="FootnotesChar"/>
    <w:autoRedefine/>
    <w:qFormat/>
    <w:rsid w:val="00E4596F"/>
    <w:pPr>
      <w:spacing w:before="120" w:after="120"/>
      <w:jc w:val="both"/>
    </w:pPr>
    <w:rPr>
      <w:rFonts w:eastAsia="Times New Roman"/>
      <w:bCs/>
      <w:iCs/>
      <w:sz w:val="16"/>
      <w:szCs w:val="16"/>
      <w:lang w:val="es-ES" w:eastAsia="x-none"/>
    </w:rPr>
  </w:style>
  <w:style w:type="character" w:customStyle="1" w:styleId="FootnotesChar">
    <w:name w:val="**. Footnotes Char"/>
    <w:link w:val="Footnotes"/>
    <w:rsid w:val="00E4596F"/>
    <w:rPr>
      <w:rFonts w:ascii="Verdana" w:eastAsia="Times New Roman" w:hAnsi="Verdana" w:cs="Times New Roman"/>
      <w:bCs/>
      <w:iCs/>
      <w:sz w:val="16"/>
      <w:szCs w:val="16"/>
      <w:lang w:val="es-ES" w:eastAsia="x-none"/>
    </w:rPr>
  </w:style>
  <w:style w:type="paragraph" w:styleId="CommentText">
    <w:name w:val="annotation text"/>
    <w:basedOn w:val="Normal"/>
    <w:link w:val="CommentTextChar"/>
    <w:uiPriority w:val="99"/>
    <w:semiHidden/>
    <w:unhideWhenUsed/>
    <w:rsid w:val="008B0293"/>
    <w:rPr>
      <w:szCs w:val="20"/>
    </w:rPr>
  </w:style>
  <w:style w:type="character" w:customStyle="1" w:styleId="CommentTextChar">
    <w:name w:val="Comment Text Char"/>
    <w:basedOn w:val="DefaultParagraphFont"/>
    <w:link w:val="CommentText"/>
    <w:uiPriority w:val="99"/>
    <w:semiHidden/>
    <w:rsid w:val="008B0293"/>
    <w:rPr>
      <w:rFonts w:ascii="Verdana" w:eastAsia="Batang" w:hAnsi="Verdana" w:cs="Times"/>
      <w:noProof/>
      <w:sz w:val="20"/>
      <w:szCs w:val="20"/>
      <w:lang w:val="es-ES_tradnl"/>
    </w:rPr>
  </w:style>
  <w:style w:type="character" w:styleId="Hyperlink">
    <w:name w:val="Hyperlink"/>
    <w:basedOn w:val="DefaultParagraphFont"/>
    <w:uiPriority w:val="99"/>
    <w:unhideWhenUsed/>
    <w:rsid w:val="001737AF"/>
    <w:rPr>
      <w:color w:val="0000FF" w:themeColor="hyperlink"/>
      <w:u w:val="single"/>
    </w:rPr>
  </w:style>
  <w:style w:type="paragraph" w:styleId="BalloonText">
    <w:name w:val="Balloon Text"/>
    <w:basedOn w:val="Normal"/>
    <w:link w:val="BalloonTextChar"/>
    <w:uiPriority w:val="99"/>
    <w:semiHidden/>
    <w:unhideWhenUsed/>
    <w:rsid w:val="00CC1FE8"/>
    <w:rPr>
      <w:rFonts w:ascii="Tahoma" w:hAnsi="Tahoma" w:cs="Tahoma"/>
      <w:sz w:val="16"/>
      <w:szCs w:val="16"/>
    </w:rPr>
  </w:style>
  <w:style w:type="character" w:customStyle="1" w:styleId="BalloonTextChar">
    <w:name w:val="Balloon Text Char"/>
    <w:basedOn w:val="DefaultParagraphFont"/>
    <w:link w:val="BalloonText"/>
    <w:uiPriority w:val="99"/>
    <w:semiHidden/>
    <w:rsid w:val="00CC1FE8"/>
    <w:rPr>
      <w:rFonts w:ascii="Tahoma" w:eastAsia="Batang" w:hAnsi="Tahoma" w:cs="Tahoma"/>
      <w:noProof/>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03277">
      <w:bodyDiv w:val="1"/>
      <w:marLeft w:val="0"/>
      <w:marRight w:val="0"/>
      <w:marTop w:val="0"/>
      <w:marBottom w:val="0"/>
      <w:divBdr>
        <w:top w:val="none" w:sz="0" w:space="0" w:color="auto"/>
        <w:left w:val="none" w:sz="0" w:space="0" w:color="auto"/>
        <w:bottom w:val="none" w:sz="0" w:space="0" w:color="auto"/>
        <w:right w:val="none" w:sz="0" w:space="0" w:color="auto"/>
      </w:divBdr>
    </w:div>
    <w:div w:id="18008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95A3-AB63-4B38-A205-EBD249E0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6725</Words>
  <Characters>36993</Characters>
  <Application>Microsoft Office Word</Application>
  <DocSecurity>4</DocSecurity>
  <Lines>308</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2015-12-17T23:19:00Z</cp:lastPrinted>
  <dcterms:created xsi:type="dcterms:W3CDTF">2015-12-18T19:16:00Z</dcterms:created>
  <dcterms:modified xsi:type="dcterms:W3CDTF">2015-12-18T19:16:00Z</dcterms:modified>
</cp:coreProperties>
</file>