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4EC06" w14:textId="77777777" w:rsidR="00B05365" w:rsidRDefault="00B05365" w:rsidP="00063E10">
      <w:pPr>
        <w:ind w:right="96"/>
        <w:jc w:val="center"/>
        <w:rPr>
          <w:b/>
          <w:szCs w:val="20"/>
          <w:lang w:val="es-CR"/>
        </w:rPr>
      </w:pPr>
    </w:p>
    <w:p w14:paraId="524F7786" w14:textId="77777777" w:rsidR="00B05365" w:rsidRDefault="00B05365" w:rsidP="00063E10">
      <w:pPr>
        <w:ind w:right="96"/>
        <w:jc w:val="center"/>
        <w:rPr>
          <w:b/>
          <w:szCs w:val="20"/>
          <w:lang w:val="es-CR"/>
        </w:rPr>
      </w:pPr>
    </w:p>
    <w:p w14:paraId="4DA9253F" w14:textId="77777777" w:rsidR="00B05365" w:rsidRDefault="00B05365" w:rsidP="00063E10">
      <w:pPr>
        <w:ind w:right="96"/>
        <w:jc w:val="center"/>
        <w:rPr>
          <w:b/>
          <w:szCs w:val="20"/>
          <w:lang w:val="es-CR"/>
        </w:rPr>
      </w:pPr>
    </w:p>
    <w:p w14:paraId="6D06CC5B" w14:textId="77777777" w:rsidR="00B05365" w:rsidRDefault="00B05365" w:rsidP="00063E10">
      <w:pPr>
        <w:ind w:right="96"/>
        <w:jc w:val="center"/>
        <w:rPr>
          <w:b/>
          <w:szCs w:val="20"/>
          <w:lang w:val="es-CR"/>
        </w:rPr>
      </w:pPr>
    </w:p>
    <w:p w14:paraId="38DAC388" w14:textId="77777777" w:rsidR="00B05365" w:rsidRDefault="00B05365" w:rsidP="00063E10">
      <w:pPr>
        <w:ind w:right="96"/>
        <w:jc w:val="center"/>
        <w:rPr>
          <w:b/>
          <w:szCs w:val="20"/>
          <w:lang w:val="es-CR"/>
        </w:rPr>
      </w:pPr>
    </w:p>
    <w:p w14:paraId="3B8C17A4" w14:textId="77777777" w:rsidR="00B05365" w:rsidRDefault="00B05365" w:rsidP="00063E10">
      <w:pPr>
        <w:ind w:right="96"/>
        <w:jc w:val="center"/>
        <w:rPr>
          <w:b/>
          <w:szCs w:val="20"/>
          <w:lang w:val="es-CR"/>
        </w:rPr>
      </w:pPr>
    </w:p>
    <w:p w14:paraId="0873C340" w14:textId="77777777" w:rsidR="00B05365" w:rsidRDefault="00B05365" w:rsidP="00063E10">
      <w:pPr>
        <w:ind w:right="96"/>
        <w:jc w:val="center"/>
        <w:rPr>
          <w:b/>
          <w:szCs w:val="20"/>
          <w:lang w:val="es-CR"/>
        </w:rPr>
      </w:pPr>
    </w:p>
    <w:p w14:paraId="3F901B16" w14:textId="77777777" w:rsidR="001C11F6" w:rsidRDefault="001C11F6" w:rsidP="00063E10">
      <w:pPr>
        <w:ind w:right="96"/>
        <w:jc w:val="center"/>
        <w:rPr>
          <w:b/>
          <w:szCs w:val="20"/>
          <w:lang w:val="es-CR"/>
        </w:rPr>
      </w:pPr>
      <w:r w:rsidRPr="00752E8A">
        <w:rPr>
          <w:b/>
          <w:szCs w:val="20"/>
          <w:lang w:val="es-CR"/>
        </w:rPr>
        <w:t xml:space="preserve">VOTO </w:t>
      </w:r>
      <w:r>
        <w:rPr>
          <w:b/>
          <w:szCs w:val="20"/>
          <w:lang w:val="es-CR"/>
        </w:rPr>
        <w:t xml:space="preserve">CONCURRENTE </w:t>
      </w:r>
      <w:r w:rsidRPr="00752E8A">
        <w:rPr>
          <w:b/>
          <w:szCs w:val="20"/>
          <w:lang w:val="es-CR"/>
        </w:rPr>
        <w:t xml:space="preserve">DEL JUEZ </w:t>
      </w:r>
      <w:r>
        <w:rPr>
          <w:b/>
          <w:szCs w:val="20"/>
          <w:lang w:val="es-CR"/>
        </w:rPr>
        <w:t>HUMBERTO ANTONIO SIERRA PORTO</w:t>
      </w:r>
    </w:p>
    <w:p w14:paraId="4F12D8E6" w14:textId="77777777" w:rsidR="005B0C95" w:rsidRDefault="005B0C95" w:rsidP="00063E10">
      <w:pPr>
        <w:tabs>
          <w:tab w:val="left" w:pos="709"/>
        </w:tabs>
        <w:jc w:val="center"/>
        <w:rPr>
          <w:rFonts w:eastAsia="Calibri" w:cs="Times New Roman"/>
          <w:b/>
          <w:noProof w:val="0"/>
          <w:szCs w:val="20"/>
          <w:lang w:val="es-CR"/>
        </w:rPr>
      </w:pPr>
      <w:bookmarkStart w:id="0" w:name="_GoBack"/>
      <w:bookmarkEnd w:id="0"/>
    </w:p>
    <w:p w14:paraId="166BFB21" w14:textId="77777777" w:rsidR="001C11F6" w:rsidRPr="000F36F3" w:rsidRDefault="001C11F6" w:rsidP="00063E10">
      <w:pPr>
        <w:tabs>
          <w:tab w:val="left" w:pos="709"/>
        </w:tabs>
        <w:jc w:val="center"/>
        <w:rPr>
          <w:rFonts w:eastAsia="Calibri" w:cs="Times New Roman"/>
          <w:b/>
          <w:noProof w:val="0"/>
          <w:szCs w:val="20"/>
          <w:lang w:val="es-CR"/>
        </w:rPr>
      </w:pPr>
      <w:r w:rsidRPr="000F36F3">
        <w:rPr>
          <w:rFonts w:eastAsia="Calibri" w:cs="Times New Roman"/>
          <w:b/>
          <w:noProof w:val="0"/>
          <w:szCs w:val="20"/>
          <w:lang w:val="es-CR"/>
        </w:rPr>
        <w:t>SENTENCIA DE LA CORTE INTERAMERICANA DE DERECHOS HUMANOS</w:t>
      </w:r>
    </w:p>
    <w:p w14:paraId="478DD630" w14:textId="77777777" w:rsidR="001C11F6" w:rsidRPr="00360C86" w:rsidRDefault="0092234B" w:rsidP="00063E10">
      <w:pPr>
        <w:pStyle w:val="Title"/>
        <w:ind w:right="-138"/>
        <w:rPr>
          <w:rFonts w:eastAsia="MS Mincho"/>
          <w:i/>
          <w:noProof w:val="0"/>
          <w:sz w:val="16"/>
          <w:lang w:val="es-ES"/>
        </w:rPr>
      </w:pPr>
      <w:r w:rsidRPr="00360C86">
        <w:rPr>
          <w:rFonts w:eastAsia="MS Mincho"/>
          <w:i/>
          <w:noProof w:val="0"/>
        </w:rPr>
        <w:t>CASO MALDONADO ORDOÑEZ VS. GUATEMALA</w:t>
      </w:r>
    </w:p>
    <w:p w14:paraId="275EC7EE" w14:textId="77777777" w:rsidR="001C11F6" w:rsidRPr="00897CBE" w:rsidRDefault="0092234B" w:rsidP="00063E10">
      <w:pPr>
        <w:pStyle w:val="Title"/>
        <w:ind w:right="-138"/>
        <w:rPr>
          <w:rFonts w:eastAsia="MS Mincho"/>
          <w:noProof w:val="0"/>
        </w:rPr>
      </w:pPr>
      <w:r w:rsidRPr="001020FF">
        <w:rPr>
          <w:rFonts w:eastAsia="MS Mincho"/>
          <w:noProof w:val="0"/>
        </w:rPr>
        <w:t xml:space="preserve">SENTENCIA DE </w:t>
      </w:r>
      <w:r>
        <w:rPr>
          <w:rFonts w:eastAsia="MS Mincho"/>
          <w:noProof w:val="0"/>
        </w:rPr>
        <w:t>3 DE MAYO DE 2016</w:t>
      </w:r>
    </w:p>
    <w:p w14:paraId="7A28BCCA" w14:textId="77777777" w:rsidR="001C11F6" w:rsidRPr="00897CBE" w:rsidRDefault="001C11F6" w:rsidP="00063E10">
      <w:pPr>
        <w:pStyle w:val="Title"/>
        <w:ind w:right="-138"/>
        <w:rPr>
          <w:noProof w:val="0"/>
        </w:rPr>
      </w:pPr>
      <w:r w:rsidRPr="00897CBE">
        <w:rPr>
          <w:noProof w:val="0"/>
        </w:rPr>
        <w:t>(</w:t>
      </w:r>
      <w:r w:rsidR="0092234B">
        <w:rPr>
          <w:noProof w:val="0"/>
        </w:rPr>
        <w:t>Excepción Preliminar, Fondo, Reparaciones y Costas</w:t>
      </w:r>
      <w:r w:rsidRPr="00897CBE">
        <w:rPr>
          <w:noProof w:val="0"/>
        </w:rPr>
        <w:t>)</w:t>
      </w:r>
    </w:p>
    <w:p w14:paraId="07DF8E97" w14:textId="77777777" w:rsidR="001C11F6" w:rsidRDefault="001C11F6" w:rsidP="001C11F6">
      <w:pPr>
        <w:spacing w:line="360" w:lineRule="auto"/>
        <w:jc w:val="center"/>
        <w:rPr>
          <w:b/>
          <w:szCs w:val="20"/>
        </w:rPr>
      </w:pPr>
    </w:p>
    <w:p w14:paraId="266DFE6A" w14:textId="77777777" w:rsidR="001C11F6" w:rsidRDefault="001C11F6" w:rsidP="001C11F6">
      <w:pPr>
        <w:jc w:val="center"/>
        <w:rPr>
          <w:b/>
          <w:szCs w:val="20"/>
        </w:rPr>
      </w:pPr>
    </w:p>
    <w:p w14:paraId="64C5EDE4" w14:textId="77777777" w:rsidR="001C11F6" w:rsidRPr="00C90BF0" w:rsidRDefault="001C11F6" w:rsidP="001B62C6">
      <w:pPr>
        <w:pStyle w:val="ListParagraph"/>
        <w:numPr>
          <w:ilvl w:val="0"/>
          <w:numId w:val="3"/>
        </w:numPr>
        <w:tabs>
          <w:tab w:val="left" w:pos="0"/>
        </w:tabs>
        <w:ind w:left="0" w:firstLine="0"/>
        <w:jc w:val="left"/>
        <w:rPr>
          <w:b/>
          <w:szCs w:val="20"/>
        </w:rPr>
      </w:pPr>
      <w:r w:rsidRPr="00C72CE1">
        <w:rPr>
          <w:rFonts w:eastAsia="Calibri" w:cs="Times New Roman"/>
          <w:b/>
          <w:noProof w:val="0"/>
          <w:szCs w:val="20"/>
          <w:lang w:val="es-CR"/>
        </w:rPr>
        <w:t xml:space="preserve">Introducción </w:t>
      </w:r>
    </w:p>
    <w:p w14:paraId="18442550" w14:textId="77777777" w:rsidR="001C11F6" w:rsidRPr="00C72CE1" w:rsidRDefault="001C11F6" w:rsidP="001C11F6">
      <w:pPr>
        <w:pStyle w:val="ListParagraph"/>
        <w:tabs>
          <w:tab w:val="left" w:pos="709"/>
        </w:tabs>
        <w:ind w:left="502"/>
        <w:jc w:val="left"/>
        <w:rPr>
          <w:b/>
          <w:szCs w:val="20"/>
        </w:rPr>
      </w:pPr>
    </w:p>
    <w:p w14:paraId="26C97CE2" w14:textId="6474D1C9" w:rsidR="00DB73C4" w:rsidRDefault="001C11F6" w:rsidP="001B62C6">
      <w:pPr>
        <w:pStyle w:val="ListParagraph"/>
        <w:numPr>
          <w:ilvl w:val="0"/>
          <w:numId w:val="5"/>
        </w:numPr>
        <w:tabs>
          <w:tab w:val="left" w:pos="0"/>
        </w:tabs>
        <w:ind w:left="0" w:firstLine="0"/>
        <w:rPr>
          <w:szCs w:val="20"/>
        </w:rPr>
      </w:pPr>
      <w:r w:rsidRPr="003F21C7">
        <w:rPr>
          <w:szCs w:val="20"/>
        </w:rPr>
        <w:t xml:space="preserve">La </w:t>
      </w:r>
      <w:r w:rsidRPr="003B3196">
        <w:rPr>
          <w:rFonts w:eastAsia="Calibri" w:cs="Times New Roman"/>
          <w:noProof w:val="0"/>
          <w:szCs w:val="20"/>
          <w:lang w:val="es-ES"/>
        </w:rPr>
        <w:t>finalidad</w:t>
      </w:r>
      <w:r w:rsidRPr="003F21C7">
        <w:rPr>
          <w:szCs w:val="20"/>
        </w:rPr>
        <w:t xml:space="preserve"> del presente voto concurrente es </w:t>
      </w:r>
      <w:r w:rsidR="00033FEC">
        <w:rPr>
          <w:szCs w:val="20"/>
        </w:rPr>
        <w:t xml:space="preserve">explicar lo relativo </w:t>
      </w:r>
      <w:r w:rsidR="005E3281">
        <w:rPr>
          <w:szCs w:val="20"/>
        </w:rPr>
        <w:t xml:space="preserve">a la aplicabilidad </w:t>
      </w:r>
      <w:r w:rsidR="00033FEC">
        <w:rPr>
          <w:szCs w:val="20"/>
        </w:rPr>
        <w:t xml:space="preserve">extendida </w:t>
      </w:r>
      <w:r w:rsidR="005E3281">
        <w:rPr>
          <w:szCs w:val="20"/>
        </w:rPr>
        <w:t xml:space="preserve">de </w:t>
      </w:r>
      <w:r w:rsidR="007C6831">
        <w:rPr>
          <w:szCs w:val="20"/>
        </w:rPr>
        <w:t>las garantías contenidas en el artículo 8.2 de la Convención Americana sobre Derec</w:t>
      </w:r>
      <w:r w:rsidR="00C2179F">
        <w:rPr>
          <w:szCs w:val="20"/>
        </w:rPr>
        <w:t xml:space="preserve">hos Humanos </w:t>
      </w:r>
      <w:r w:rsidR="007010F6">
        <w:rPr>
          <w:szCs w:val="20"/>
        </w:rPr>
        <w:t xml:space="preserve">(en adelante “Convención Americana”), </w:t>
      </w:r>
      <w:r w:rsidR="008376DF">
        <w:rPr>
          <w:szCs w:val="20"/>
        </w:rPr>
        <w:t>en</w:t>
      </w:r>
      <w:r w:rsidR="00C2179F">
        <w:rPr>
          <w:szCs w:val="20"/>
        </w:rPr>
        <w:t xml:space="preserve"> procesos que no sea</w:t>
      </w:r>
      <w:r w:rsidR="007C6831">
        <w:rPr>
          <w:szCs w:val="20"/>
        </w:rPr>
        <w:t>n de naturaleza penal</w:t>
      </w:r>
      <w:r w:rsidRPr="00B90BF6">
        <w:rPr>
          <w:szCs w:val="20"/>
        </w:rPr>
        <w:t>.</w:t>
      </w:r>
      <w:r w:rsidR="00C2179F">
        <w:rPr>
          <w:szCs w:val="20"/>
        </w:rPr>
        <w:t xml:space="preserve"> </w:t>
      </w:r>
      <w:r w:rsidR="00033FEC">
        <w:rPr>
          <w:szCs w:val="20"/>
        </w:rPr>
        <w:t xml:space="preserve">Se trata de unas precisiones que surgen de lo dicho en sentencias precedentes pero que no se ha considerado necesario exponer con detalle por la Corte, lo que </w:t>
      </w:r>
      <w:r w:rsidR="001B62C6">
        <w:rPr>
          <w:szCs w:val="20"/>
        </w:rPr>
        <w:t>podrí</w:t>
      </w:r>
      <w:r w:rsidR="00033FEC">
        <w:rPr>
          <w:szCs w:val="20"/>
        </w:rPr>
        <w:t>a originar i</w:t>
      </w:r>
      <w:r w:rsidR="001B62C6">
        <w:rPr>
          <w:szCs w:val="20"/>
        </w:rPr>
        <w:t>nterpretaciones que en mi opinió</w:t>
      </w:r>
      <w:r w:rsidR="00033FEC">
        <w:rPr>
          <w:szCs w:val="20"/>
        </w:rPr>
        <w:t>n son ajenas al texto d</w:t>
      </w:r>
      <w:r w:rsidR="001B62C6">
        <w:rPr>
          <w:szCs w:val="20"/>
        </w:rPr>
        <w:t>el mencionado artí</w:t>
      </w:r>
      <w:r w:rsidR="00033FEC">
        <w:rPr>
          <w:szCs w:val="20"/>
        </w:rPr>
        <w:t>culo convenci</w:t>
      </w:r>
      <w:r w:rsidR="00A04766">
        <w:rPr>
          <w:szCs w:val="20"/>
        </w:rPr>
        <w:t>o</w:t>
      </w:r>
      <w:r w:rsidR="00033FEC">
        <w:rPr>
          <w:szCs w:val="20"/>
        </w:rPr>
        <w:t>nal.</w:t>
      </w:r>
    </w:p>
    <w:p w14:paraId="22768D35" w14:textId="77777777" w:rsidR="00DB73C4" w:rsidRDefault="00DB73C4" w:rsidP="00DB73C4">
      <w:pPr>
        <w:pStyle w:val="ListParagraph"/>
        <w:tabs>
          <w:tab w:val="left" w:pos="426"/>
          <w:tab w:val="left" w:pos="709"/>
        </w:tabs>
        <w:ind w:left="0"/>
        <w:rPr>
          <w:szCs w:val="20"/>
        </w:rPr>
      </w:pPr>
    </w:p>
    <w:p w14:paraId="4F085C9F" w14:textId="73F37B9C" w:rsidR="00A2653A" w:rsidRPr="00DB73C4" w:rsidRDefault="7749BBA5" w:rsidP="001B62C6">
      <w:pPr>
        <w:pStyle w:val="ListParagraph"/>
        <w:numPr>
          <w:ilvl w:val="0"/>
          <w:numId w:val="5"/>
        </w:numPr>
        <w:tabs>
          <w:tab w:val="left" w:pos="0"/>
        </w:tabs>
        <w:ind w:left="0" w:firstLine="0"/>
        <w:rPr>
          <w:szCs w:val="20"/>
        </w:rPr>
      </w:pPr>
      <w:r>
        <w:t xml:space="preserve">Como punto de partida considero que dichas garantías están reservadas a procesos que sean de naturaleza penal; y sólo de manera excepcional, algunas de ellas pueden ser extendidas, en virtud de una </w:t>
      </w:r>
      <w:r w:rsidR="002E3D3D">
        <w:t>lógica analó</w:t>
      </w:r>
      <w:r w:rsidRPr="00211A99">
        <w:t>gica</w:t>
      </w:r>
      <w:r w:rsidR="009E0EE3" w:rsidRPr="00211A99">
        <w:t>,</w:t>
      </w:r>
      <w:r>
        <w:t xml:space="preserve"> a casos que versen sobre procesos de naturaleza sancionatoria. Y esta aplicación extensiva, expresión del </w:t>
      </w:r>
      <w:r w:rsidRPr="00DB73C4">
        <w:rPr>
          <w:i/>
          <w:iCs/>
        </w:rPr>
        <w:t xml:space="preserve">principio pro personae, </w:t>
      </w:r>
      <w:r w:rsidR="002E3D3D">
        <w:t>no se hace de manera idé</w:t>
      </w:r>
      <w:r>
        <w:t>ntica en todas las vari</w:t>
      </w:r>
      <w:r w:rsidR="002E3D3D">
        <w:t>antes de los procesos en donde s</w:t>
      </w:r>
      <w:r>
        <w:t xml:space="preserve">e ejerza el </w:t>
      </w:r>
      <w:r w:rsidRPr="00DB73C4">
        <w:rPr>
          <w:i/>
          <w:iCs/>
        </w:rPr>
        <w:t>ius puniendi</w:t>
      </w:r>
      <w:r>
        <w:t xml:space="preserve"> de los  Estados. Las ga</w:t>
      </w:r>
      <w:r w:rsidR="002E3D3D">
        <w:t>rantí</w:t>
      </w:r>
      <w:r>
        <w:t>as se aplicar</w:t>
      </w:r>
      <w:r w:rsidR="00A04766">
        <w:t>á</w:t>
      </w:r>
      <w:r>
        <w:t xml:space="preserve">n según el grado de intensidad que conlleve la potestad sancionatoria, de manera tal que: a) no se puede entender </w:t>
      </w:r>
      <w:r w:rsidR="002E3D3D">
        <w:t>que todas las garantías del artículo</w:t>
      </w:r>
      <w:r>
        <w:t xml:space="preserve"> 8.2 se aplican </w:t>
      </w:r>
      <w:r w:rsidR="002E3D3D">
        <w:t>de manera integral y automá</w:t>
      </w:r>
      <w:r>
        <w:t xml:space="preserve">tica a </w:t>
      </w:r>
      <w:r w:rsidR="002E3D3D">
        <w:t>cualquier proceso sancionatorio, y</w:t>
      </w:r>
      <w:r>
        <w:t xml:space="preserve"> b) en aquellos procesos sancionatorios en los cuales sea aplicable el</w:t>
      </w:r>
      <w:r w:rsidR="002E3D3D">
        <w:t xml:space="preserve"> artículo</w:t>
      </w:r>
      <w:r>
        <w:t xml:space="preserve"> 8.2 de la Conve</w:t>
      </w:r>
      <w:r w:rsidR="002E3D3D">
        <w:t>nción, el alcance de las garantí</w:t>
      </w:r>
      <w:r>
        <w:t>as contempladas en dicho artículo depende de la intensidad con que se ejerza la postestad sancionatoria estatal.</w:t>
      </w:r>
    </w:p>
    <w:p w14:paraId="0ED623F2" w14:textId="77777777" w:rsidR="00A2653A" w:rsidRDefault="00A2653A" w:rsidP="00897ED2">
      <w:pPr>
        <w:pStyle w:val="ListParagraph"/>
        <w:tabs>
          <w:tab w:val="left" w:pos="426"/>
          <w:tab w:val="left" w:pos="709"/>
        </w:tabs>
        <w:ind w:left="0"/>
        <w:rPr>
          <w:szCs w:val="20"/>
        </w:rPr>
      </w:pPr>
    </w:p>
    <w:p w14:paraId="482DA8C5" w14:textId="77777777" w:rsidR="001C11F6" w:rsidRDefault="00F70703" w:rsidP="001B62C6">
      <w:pPr>
        <w:pStyle w:val="ListParagraph"/>
        <w:numPr>
          <w:ilvl w:val="0"/>
          <w:numId w:val="5"/>
        </w:numPr>
        <w:tabs>
          <w:tab w:val="left" w:pos="0"/>
        </w:tabs>
        <w:ind w:left="0" w:firstLine="0"/>
        <w:rPr>
          <w:szCs w:val="20"/>
        </w:rPr>
      </w:pPr>
      <w:r>
        <w:rPr>
          <w:szCs w:val="20"/>
        </w:rPr>
        <w:t>Para sustentar esta postura a</w:t>
      </w:r>
      <w:r w:rsidR="00560AA9">
        <w:rPr>
          <w:szCs w:val="20"/>
        </w:rPr>
        <w:t xml:space="preserve"> continuación</w:t>
      </w:r>
      <w:r w:rsidR="00C2179F">
        <w:rPr>
          <w:szCs w:val="20"/>
        </w:rPr>
        <w:t xml:space="preserve"> se desarrollará un análisis de los siguientes temas: a) el contenido del artículo 8</w:t>
      </w:r>
      <w:r w:rsidR="00B1599D">
        <w:rPr>
          <w:szCs w:val="20"/>
        </w:rPr>
        <w:t>.2</w:t>
      </w:r>
      <w:r w:rsidR="00C2179F">
        <w:rPr>
          <w:szCs w:val="20"/>
        </w:rPr>
        <w:t xml:space="preserve"> de la Convenci</w:t>
      </w:r>
      <w:r w:rsidR="00F058FD">
        <w:rPr>
          <w:szCs w:val="20"/>
        </w:rPr>
        <w:t>ón Americana; b</w:t>
      </w:r>
      <w:r w:rsidR="00C2179F">
        <w:rPr>
          <w:szCs w:val="20"/>
        </w:rPr>
        <w:t xml:space="preserve">) la posibilidad de aplicar las garantías contenidas en el artículo 8.2 a </w:t>
      </w:r>
      <w:r w:rsidR="00F058FD">
        <w:rPr>
          <w:szCs w:val="20"/>
        </w:rPr>
        <w:t>procesos de otra naturaleza, y c</w:t>
      </w:r>
      <w:r w:rsidR="00C2179F">
        <w:rPr>
          <w:szCs w:val="20"/>
        </w:rPr>
        <w:t xml:space="preserve">) las conclusiones al respecto. </w:t>
      </w:r>
    </w:p>
    <w:p w14:paraId="1AB06DB4" w14:textId="77777777" w:rsidR="001C11F6" w:rsidRPr="00901D77" w:rsidRDefault="001C11F6" w:rsidP="00897ED2">
      <w:pPr>
        <w:pStyle w:val="ListParagraph"/>
        <w:tabs>
          <w:tab w:val="left" w:pos="426"/>
          <w:tab w:val="left" w:pos="709"/>
        </w:tabs>
        <w:ind w:left="0"/>
        <w:rPr>
          <w:b/>
          <w:szCs w:val="20"/>
        </w:rPr>
      </w:pPr>
    </w:p>
    <w:p w14:paraId="7D6D4796" w14:textId="77777777" w:rsidR="001C11F6" w:rsidRPr="008376DF" w:rsidRDefault="008376DF" w:rsidP="00DF6E19">
      <w:pPr>
        <w:pStyle w:val="ListParagraph"/>
        <w:numPr>
          <w:ilvl w:val="0"/>
          <w:numId w:val="3"/>
        </w:numPr>
        <w:tabs>
          <w:tab w:val="left" w:pos="0"/>
        </w:tabs>
        <w:ind w:left="0" w:firstLine="0"/>
        <w:rPr>
          <w:rFonts w:eastAsia="Calibri" w:cs="Times New Roman"/>
          <w:b/>
          <w:noProof w:val="0"/>
          <w:szCs w:val="20"/>
          <w:lang w:val="es-CR"/>
        </w:rPr>
      </w:pPr>
      <w:r w:rsidRPr="008376DF">
        <w:rPr>
          <w:b/>
          <w:szCs w:val="20"/>
        </w:rPr>
        <w:t>El contenido del artículo 8</w:t>
      </w:r>
      <w:r w:rsidR="00B1599D">
        <w:rPr>
          <w:b/>
          <w:szCs w:val="20"/>
        </w:rPr>
        <w:t>.2</w:t>
      </w:r>
      <w:r w:rsidRPr="008376DF">
        <w:rPr>
          <w:b/>
          <w:szCs w:val="20"/>
        </w:rPr>
        <w:t xml:space="preserve"> de la Convención Americana</w:t>
      </w:r>
      <w:r w:rsidRPr="008376DF">
        <w:rPr>
          <w:rFonts w:eastAsia="Calibri" w:cs="Times New Roman"/>
          <w:b/>
          <w:noProof w:val="0"/>
          <w:szCs w:val="20"/>
          <w:lang w:val="es-CR"/>
        </w:rPr>
        <w:t xml:space="preserve"> </w:t>
      </w:r>
    </w:p>
    <w:p w14:paraId="64604458" w14:textId="77777777" w:rsidR="001C11F6" w:rsidRPr="00C72CE1" w:rsidRDefault="001C11F6" w:rsidP="00897ED2">
      <w:pPr>
        <w:pStyle w:val="ListParagraph"/>
        <w:ind w:left="0"/>
        <w:jc w:val="center"/>
        <w:rPr>
          <w:b/>
        </w:rPr>
      </w:pPr>
    </w:p>
    <w:p w14:paraId="5C2AD1BD" w14:textId="77777777" w:rsidR="006865BE" w:rsidRPr="00B1599D" w:rsidRDefault="00B1599D" w:rsidP="001B62C6">
      <w:pPr>
        <w:pStyle w:val="ListParagraph"/>
        <w:numPr>
          <w:ilvl w:val="0"/>
          <w:numId w:val="5"/>
        </w:numPr>
        <w:tabs>
          <w:tab w:val="left" w:pos="0"/>
        </w:tabs>
        <w:ind w:left="0" w:firstLine="0"/>
        <w:rPr>
          <w:szCs w:val="20"/>
        </w:rPr>
      </w:pPr>
      <w:r>
        <w:rPr>
          <w:szCs w:val="20"/>
          <w:lang w:val="es-CR"/>
        </w:rPr>
        <w:t>L</w:t>
      </w:r>
      <w:r w:rsidR="006865BE" w:rsidRPr="00B1599D">
        <w:rPr>
          <w:szCs w:val="20"/>
          <w:lang w:val="es-CR"/>
        </w:rPr>
        <w:t xml:space="preserve">as garantías judiciales </w:t>
      </w:r>
      <w:r>
        <w:rPr>
          <w:szCs w:val="20"/>
          <w:lang w:val="es-CR"/>
        </w:rPr>
        <w:t xml:space="preserve">a las que tiene derecho toda persona que sea inculpada de un delito </w:t>
      </w:r>
      <w:r w:rsidR="006865BE" w:rsidRPr="00B1599D">
        <w:rPr>
          <w:szCs w:val="20"/>
          <w:lang w:val="es-CR"/>
        </w:rPr>
        <w:t>está</w:t>
      </w:r>
      <w:r>
        <w:rPr>
          <w:szCs w:val="20"/>
          <w:lang w:val="es-CR"/>
        </w:rPr>
        <w:t>n reguladas</w:t>
      </w:r>
      <w:r w:rsidR="006865BE" w:rsidRPr="00B1599D">
        <w:rPr>
          <w:szCs w:val="20"/>
          <w:lang w:val="es-CR"/>
        </w:rPr>
        <w:t xml:space="preserve"> en el artículo 8</w:t>
      </w:r>
      <w:r>
        <w:rPr>
          <w:szCs w:val="20"/>
          <w:lang w:val="es-CR"/>
        </w:rPr>
        <w:t>.2</w:t>
      </w:r>
      <w:r w:rsidR="006865BE" w:rsidRPr="00B1599D">
        <w:rPr>
          <w:szCs w:val="20"/>
          <w:lang w:val="es-CR"/>
        </w:rPr>
        <w:t xml:space="preserve"> de la C</w:t>
      </w:r>
      <w:r>
        <w:rPr>
          <w:szCs w:val="20"/>
          <w:lang w:val="es-CR"/>
        </w:rPr>
        <w:t>onvención Americana</w:t>
      </w:r>
      <w:r w:rsidR="006865BE" w:rsidRPr="00B1599D">
        <w:rPr>
          <w:szCs w:val="20"/>
          <w:lang w:val="es-CR"/>
        </w:rPr>
        <w:t xml:space="preserve"> en los siguientes términos:</w:t>
      </w:r>
    </w:p>
    <w:p w14:paraId="71BD1D78" w14:textId="77777777" w:rsidR="006865BE" w:rsidRPr="00B1599D" w:rsidRDefault="006865BE" w:rsidP="00EA160B">
      <w:pPr>
        <w:pStyle w:val="NormalWeb"/>
        <w:tabs>
          <w:tab w:val="left" w:pos="8190"/>
        </w:tabs>
        <w:spacing w:before="0" w:beforeAutospacing="0" w:after="0" w:afterAutospacing="0"/>
        <w:ind w:right="648"/>
        <w:rPr>
          <w:rFonts w:ascii="Verdana" w:hAnsi="Verdana" w:cs="Tahoma"/>
          <w:color w:val="000000"/>
          <w:sz w:val="18"/>
          <w:szCs w:val="18"/>
          <w:lang w:val="es-CR"/>
        </w:rPr>
      </w:pPr>
    </w:p>
    <w:p w14:paraId="7F206E50" w14:textId="3913FC00" w:rsidR="006865BE" w:rsidRPr="00B1599D" w:rsidRDefault="006865BE" w:rsidP="00DB73C4">
      <w:pPr>
        <w:pStyle w:val="NormalWeb"/>
        <w:tabs>
          <w:tab w:val="left" w:pos="8190"/>
        </w:tabs>
        <w:spacing w:before="0" w:beforeAutospacing="0" w:after="0" w:afterAutospacing="0"/>
        <w:ind w:left="709" w:right="648" w:hanging="259"/>
        <w:jc w:val="both"/>
        <w:rPr>
          <w:rFonts w:ascii="Verdana" w:hAnsi="Verdana" w:cs="Tahoma"/>
          <w:color w:val="000000"/>
          <w:sz w:val="18"/>
          <w:szCs w:val="18"/>
          <w:lang w:val="es-CR"/>
        </w:rPr>
      </w:pPr>
      <w:r w:rsidRPr="00B1599D">
        <w:rPr>
          <w:rFonts w:ascii="Verdana" w:hAnsi="Verdana" w:cs="Tahoma"/>
          <w:color w:val="000000"/>
          <w:sz w:val="18"/>
          <w:szCs w:val="18"/>
          <w:lang w:val="es-CR"/>
        </w:rPr>
        <w:t>2. Toda persona inculpada de delito tiene derecho a que se presuma su inocencia mientras no se establezca legalmente su culpabilidad.  Durante el proceso, toda persona tiene derecho, en plena igualdad, a las siguientes garantías mínimas:</w:t>
      </w:r>
    </w:p>
    <w:p w14:paraId="1A34FEA8" w14:textId="4EB76C5B" w:rsidR="006865BE" w:rsidRPr="00B1599D" w:rsidRDefault="006865BE" w:rsidP="00DB73C4">
      <w:pPr>
        <w:pStyle w:val="NormalWeb"/>
        <w:tabs>
          <w:tab w:val="left" w:pos="8190"/>
        </w:tabs>
        <w:spacing w:before="0" w:beforeAutospacing="0" w:after="0" w:afterAutospacing="0"/>
        <w:ind w:left="709" w:right="648" w:hanging="259"/>
        <w:jc w:val="both"/>
        <w:rPr>
          <w:rFonts w:ascii="Verdana" w:hAnsi="Verdana" w:cs="Tahoma"/>
          <w:color w:val="000000"/>
          <w:sz w:val="18"/>
          <w:szCs w:val="18"/>
          <w:lang w:val="es-CR"/>
        </w:rPr>
      </w:pPr>
      <w:r w:rsidRPr="00B1599D">
        <w:rPr>
          <w:rFonts w:ascii="Verdana" w:hAnsi="Verdana" w:cs="Tahoma"/>
          <w:color w:val="000000"/>
          <w:sz w:val="18"/>
          <w:szCs w:val="18"/>
          <w:lang w:val="es-CR"/>
        </w:rPr>
        <w:t>a) derecho del inculpado de ser asistido gratuitamente por el traductor o intérprete, si no comprende o no habla el idioma del juzgado o tribunal;</w:t>
      </w:r>
    </w:p>
    <w:p w14:paraId="7E1A35CA" w14:textId="6DC4CF86" w:rsidR="006865BE" w:rsidRPr="00B1599D" w:rsidRDefault="006865BE" w:rsidP="00DB73C4">
      <w:pPr>
        <w:pStyle w:val="NormalWeb"/>
        <w:tabs>
          <w:tab w:val="left" w:pos="8190"/>
        </w:tabs>
        <w:spacing w:before="0" w:beforeAutospacing="0" w:after="0" w:afterAutospacing="0"/>
        <w:ind w:left="709" w:right="648" w:hanging="259"/>
        <w:jc w:val="both"/>
        <w:rPr>
          <w:rFonts w:ascii="Verdana" w:hAnsi="Verdana" w:cs="Tahoma"/>
          <w:color w:val="000000"/>
          <w:sz w:val="18"/>
          <w:szCs w:val="18"/>
          <w:lang w:val="es-CR"/>
        </w:rPr>
      </w:pPr>
      <w:r w:rsidRPr="00B1599D">
        <w:rPr>
          <w:rFonts w:ascii="Verdana" w:hAnsi="Verdana" w:cs="Tahoma"/>
          <w:color w:val="000000"/>
          <w:sz w:val="18"/>
          <w:szCs w:val="18"/>
          <w:lang w:val="es-CR"/>
        </w:rPr>
        <w:t>b) comunicación previa y detallada al inculpado de la acusación formulada;</w:t>
      </w:r>
    </w:p>
    <w:p w14:paraId="4E8E8084" w14:textId="325A3A2C" w:rsidR="006865BE" w:rsidRPr="00B1599D" w:rsidRDefault="006865BE" w:rsidP="00DB73C4">
      <w:pPr>
        <w:pStyle w:val="NormalWeb"/>
        <w:tabs>
          <w:tab w:val="left" w:pos="8190"/>
        </w:tabs>
        <w:spacing w:before="0" w:beforeAutospacing="0" w:after="0" w:afterAutospacing="0"/>
        <w:ind w:left="709" w:right="648" w:hanging="259"/>
        <w:jc w:val="both"/>
        <w:rPr>
          <w:rFonts w:ascii="Verdana" w:hAnsi="Verdana" w:cs="Tahoma"/>
          <w:color w:val="000000"/>
          <w:sz w:val="18"/>
          <w:szCs w:val="18"/>
          <w:lang w:val="es-CR"/>
        </w:rPr>
      </w:pPr>
      <w:r w:rsidRPr="00B1599D">
        <w:rPr>
          <w:rFonts w:ascii="Verdana" w:hAnsi="Verdana" w:cs="Tahoma"/>
          <w:color w:val="000000"/>
          <w:sz w:val="18"/>
          <w:szCs w:val="18"/>
          <w:lang w:val="es-CR"/>
        </w:rPr>
        <w:t>c) concesión al inculpado del tiempo y de los medios adecuados para la preparación de su defensa;</w:t>
      </w:r>
    </w:p>
    <w:p w14:paraId="4BE524CA" w14:textId="4A767271" w:rsidR="006865BE" w:rsidRPr="00B1599D" w:rsidRDefault="006865BE" w:rsidP="00DB73C4">
      <w:pPr>
        <w:pStyle w:val="NormalWeb"/>
        <w:tabs>
          <w:tab w:val="left" w:pos="8190"/>
        </w:tabs>
        <w:spacing w:before="0" w:beforeAutospacing="0" w:after="0" w:afterAutospacing="0"/>
        <w:ind w:left="709" w:right="648" w:hanging="259"/>
        <w:jc w:val="both"/>
        <w:rPr>
          <w:rFonts w:ascii="Verdana" w:hAnsi="Verdana" w:cs="Tahoma"/>
          <w:color w:val="000000"/>
          <w:sz w:val="18"/>
          <w:szCs w:val="18"/>
          <w:lang w:val="es-CR"/>
        </w:rPr>
      </w:pPr>
      <w:r w:rsidRPr="00B1599D">
        <w:rPr>
          <w:rFonts w:ascii="Verdana" w:hAnsi="Verdana" w:cs="Tahoma"/>
          <w:color w:val="000000"/>
          <w:sz w:val="18"/>
          <w:szCs w:val="18"/>
          <w:lang w:val="es-CR"/>
        </w:rPr>
        <w:lastRenderedPageBreak/>
        <w:t>d) derecho del inculpado de defenderse personalmente o de ser asistido por un defensor de su elección y de comunicarse libre y privadamente con su defensor;</w:t>
      </w:r>
    </w:p>
    <w:p w14:paraId="30C1353F" w14:textId="3D112554" w:rsidR="006865BE" w:rsidRPr="00B1599D" w:rsidRDefault="006865BE" w:rsidP="00DB73C4">
      <w:pPr>
        <w:pStyle w:val="NormalWeb"/>
        <w:tabs>
          <w:tab w:val="left" w:pos="8190"/>
        </w:tabs>
        <w:spacing w:before="0" w:beforeAutospacing="0" w:after="0" w:afterAutospacing="0"/>
        <w:ind w:left="709" w:right="648" w:hanging="259"/>
        <w:jc w:val="both"/>
        <w:rPr>
          <w:rFonts w:ascii="Verdana" w:hAnsi="Verdana" w:cs="Tahoma"/>
          <w:color w:val="000000"/>
          <w:sz w:val="18"/>
          <w:szCs w:val="18"/>
          <w:lang w:val="es-CR"/>
        </w:rPr>
      </w:pPr>
      <w:r w:rsidRPr="00B1599D">
        <w:rPr>
          <w:rFonts w:ascii="Verdana" w:hAnsi="Verdana" w:cs="Tahoma"/>
          <w:color w:val="000000"/>
          <w:sz w:val="18"/>
          <w:szCs w:val="18"/>
          <w:lang w:val="es-CR"/>
        </w:rPr>
        <w:t>e) derecho irrenunciable de ser asistido por un defensor proporcionado por el Estado, remunerado o no según la legislación interna, si el inculpado no se defendiere por sí mismo ni nombrare defensor dentro del plazo establecido por la ley;</w:t>
      </w:r>
    </w:p>
    <w:p w14:paraId="7F247FE2" w14:textId="443CA55A" w:rsidR="006865BE" w:rsidRPr="00B1599D" w:rsidRDefault="006865BE" w:rsidP="00DB73C4">
      <w:pPr>
        <w:pStyle w:val="NormalWeb"/>
        <w:tabs>
          <w:tab w:val="left" w:pos="8190"/>
        </w:tabs>
        <w:spacing w:before="0" w:beforeAutospacing="0" w:after="0" w:afterAutospacing="0"/>
        <w:ind w:left="709" w:right="648" w:hanging="259"/>
        <w:jc w:val="both"/>
        <w:rPr>
          <w:rFonts w:ascii="Verdana" w:hAnsi="Verdana" w:cs="Tahoma"/>
          <w:color w:val="000000"/>
          <w:sz w:val="18"/>
          <w:szCs w:val="18"/>
          <w:lang w:val="es-CR"/>
        </w:rPr>
      </w:pPr>
      <w:r w:rsidRPr="00B1599D">
        <w:rPr>
          <w:rFonts w:ascii="Verdana" w:hAnsi="Verdana" w:cs="Tahoma"/>
          <w:color w:val="000000"/>
          <w:sz w:val="18"/>
          <w:szCs w:val="18"/>
          <w:lang w:val="es-CR"/>
        </w:rPr>
        <w:t>f) derecho de la defensa de interrogar a los testigos presentes en el tribunal y de obtener la comparecencia, como testigos o peritos, de otras personas que puedan arrojar luz sobre los hechos;</w:t>
      </w:r>
    </w:p>
    <w:p w14:paraId="364B04AD" w14:textId="55D1DDE8" w:rsidR="006865BE" w:rsidRPr="00B1599D" w:rsidRDefault="006865BE" w:rsidP="00DB73C4">
      <w:pPr>
        <w:pStyle w:val="NormalWeb"/>
        <w:tabs>
          <w:tab w:val="left" w:pos="8190"/>
        </w:tabs>
        <w:spacing w:before="0" w:beforeAutospacing="0" w:after="0" w:afterAutospacing="0"/>
        <w:ind w:left="709" w:right="648" w:hanging="259"/>
        <w:jc w:val="both"/>
        <w:rPr>
          <w:rFonts w:ascii="Verdana" w:hAnsi="Verdana" w:cs="Tahoma"/>
          <w:color w:val="000000"/>
          <w:sz w:val="18"/>
          <w:szCs w:val="18"/>
          <w:lang w:val="es-CR"/>
        </w:rPr>
      </w:pPr>
      <w:r w:rsidRPr="00B1599D">
        <w:rPr>
          <w:rFonts w:ascii="Verdana" w:hAnsi="Verdana" w:cs="Tahoma"/>
          <w:color w:val="000000"/>
          <w:sz w:val="18"/>
          <w:szCs w:val="18"/>
          <w:lang w:val="es-CR"/>
        </w:rPr>
        <w:t>g) derecho a no ser obligado a declarar contra sí mismo ni a declararse culpable, y</w:t>
      </w:r>
    </w:p>
    <w:p w14:paraId="76FF392F" w14:textId="6F3AF7AD" w:rsidR="006865BE" w:rsidRDefault="006865BE" w:rsidP="00DB73C4">
      <w:pPr>
        <w:pStyle w:val="NormalWeb"/>
        <w:tabs>
          <w:tab w:val="left" w:pos="8190"/>
        </w:tabs>
        <w:spacing w:before="0" w:beforeAutospacing="0" w:after="0" w:afterAutospacing="0"/>
        <w:ind w:left="709" w:right="648" w:hanging="259"/>
        <w:jc w:val="both"/>
        <w:rPr>
          <w:rFonts w:ascii="Verdana" w:hAnsi="Verdana" w:cs="Tahoma"/>
          <w:color w:val="000000"/>
          <w:sz w:val="18"/>
          <w:szCs w:val="18"/>
          <w:lang w:val="es-CR"/>
        </w:rPr>
      </w:pPr>
      <w:r w:rsidRPr="00B1599D">
        <w:rPr>
          <w:rFonts w:ascii="Verdana" w:hAnsi="Verdana" w:cs="Tahoma"/>
          <w:color w:val="000000"/>
          <w:sz w:val="18"/>
          <w:szCs w:val="18"/>
          <w:lang w:val="es-CR"/>
        </w:rPr>
        <w:t>h) derecho de recurrir del fallo ante juez o tribunal superior.</w:t>
      </w:r>
    </w:p>
    <w:p w14:paraId="3841C632" w14:textId="77777777" w:rsidR="009B4C38" w:rsidRPr="00B1599D" w:rsidRDefault="009B4C38" w:rsidP="00897ED2">
      <w:pPr>
        <w:pStyle w:val="NormalWeb"/>
        <w:tabs>
          <w:tab w:val="left" w:pos="7920"/>
        </w:tabs>
        <w:spacing w:before="0" w:beforeAutospacing="0" w:after="0" w:afterAutospacing="0"/>
        <w:jc w:val="both"/>
        <w:rPr>
          <w:rFonts w:ascii="Verdana" w:hAnsi="Verdana" w:cs="Tahoma"/>
          <w:color w:val="000000"/>
          <w:sz w:val="18"/>
          <w:szCs w:val="18"/>
          <w:lang w:val="es-CR"/>
        </w:rPr>
      </w:pPr>
    </w:p>
    <w:p w14:paraId="4E5D4B66" w14:textId="5097FFD9" w:rsidR="00E60C46" w:rsidRPr="00F31BBC" w:rsidRDefault="00FE6F81" w:rsidP="00897ED2">
      <w:pPr>
        <w:pStyle w:val="ListParagraph"/>
        <w:numPr>
          <w:ilvl w:val="0"/>
          <w:numId w:val="5"/>
        </w:numPr>
        <w:ind w:left="0" w:firstLine="0"/>
        <w:rPr>
          <w:szCs w:val="20"/>
          <w:lang w:val="es-ES"/>
        </w:rPr>
      </w:pPr>
      <w:r>
        <w:rPr>
          <w:szCs w:val="20"/>
          <w:lang w:val="es-ES"/>
        </w:rPr>
        <w:t>De un primer análisis</w:t>
      </w:r>
      <w:r w:rsidR="00E60C46" w:rsidRPr="00FE6F81">
        <w:rPr>
          <w:szCs w:val="20"/>
          <w:lang w:val="es-ES"/>
        </w:rPr>
        <w:t xml:space="preserve"> </w:t>
      </w:r>
      <w:r>
        <w:rPr>
          <w:szCs w:val="20"/>
          <w:lang w:val="es-ES"/>
        </w:rPr>
        <w:t>d</w:t>
      </w:r>
      <w:r w:rsidR="00E60C46" w:rsidRPr="00FE6F81">
        <w:rPr>
          <w:szCs w:val="20"/>
          <w:lang w:val="es-ES"/>
        </w:rPr>
        <w:t xml:space="preserve">el contenido, alcance y aplicabilidad del segundo nominal del artículo 8 </w:t>
      </w:r>
      <w:r>
        <w:rPr>
          <w:szCs w:val="20"/>
          <w:lang w:val="es-ES"/>
        </w:rPr>
        <w:t xml:space="preserve">de la Convención Americana se desprende que dicho </w:t>
      </w:r>
      <w:r w:rsidR="005D4DEE">
        <w:rPr>
          <w:szCs w:val="20"/>
          <w:lang w:val="es-ES"/>
        </w:rPr>
        <w:t>precepto</w:t>
      </w:r>
      <w:r>
        <w:rPr>
          <w:szCs w:val="20"/>
          <w:lang w:val="es-ES"/>
        </w:rPr>
        <w:t xml:space="preserve"> </w:t>
      </w:r>
      <w:r w:rsidR="00E60C46" w:rsidRPr="00FE6F81">
        <w:rPr>
          <w:szCs w:val="20"/>
          <w:lang w:val="es-ES"/>
        </w:rPr>
        <w:t xml:space="preserve">establece una serie de garantías que, </w:t>
      </w:r>
      <w:r w:rsidR="00E60C46" w:rsidRPr="00FE6F81">
        <w:rPr>
          <w:i/>
          <w:szCs w:val="20"/>
          <w:lang w:val="es-ES"/>
        </w:rPr>
        <w:t>prime facie</w:t>
      </w:r>
      <w:r w:rsidR="00E60C46" w:rsidRPr="00FE6F81">
        <w:rPr>
          <w:szCs w:val="20"/>
          <w:lang w:val="es-ES"/>
        </w:rPr>
        <w:t xml:space="preserve">, serían únicamente </w:t>
      </w:r>
      <w:r>
        <w:rPr>
          <w:szCs w:val="20"/>
          <w:lang w:val="es-ES"/>
        </w:rPr>
        <w:t>aplicables</w:t>
      </w:r>
      <w:r w:rsidR="00E60C46" w:rsidRPr="00FE6F81">
        <w:rPr>
          <w:szCs w:val="20"/>
          <w:lang w:val="es-ES"/>
        </w:rPr>
        <w:t xml:space="preserve"> en aquellos procedimientos en los cuales la persona haya sido inculpada de un delito. Lo anterior se desprende</w:t>
      </w:r>
      <w:r>
        <w:rPr>
          <w:szCs w:val="20"/>
          <w:lang w:val="es-ES"/>
        </w:rPr>
        <w:t>, de forma clara,</w:t>
      </w:r>
      <w:r w:rsidR="00E60C46" w:rsidRPr="00FE6F81">
        <w:rPr>
          <w:szCs w:val="20"/>
          <w:lang w:val="es-ES"/>
        </w:rPr>
        <w:t xml:space="preserve"> de</w:t>
      </w:r>
      <w:r>
        <w:rPr>
          <w:szCs w:val="20"/>
          <w:lang w:val="es-ES"/>
        </w:rPr>
        <w:t xml:space="preserve"> </w:t>
      </w:r>
      <w:r w:rsidR="00E60C46" w:rsidRPr="00FE6F81">
        <w:rPr>
          <w:szCs w:val="20"/>
          <w:lang w:val="es-ES"/>
        </w:rPr>
        <w:t>l</w:t>
      </w:r>
      <w:r>
        <w:rPr>
          <w:szCs w:val="20"/>
          <w:lang w:val="es-ES"/>
        </w:rPr>
        <w:t>a</w:t>
      </w:r>
      <w:r w:rsidR="00E60C46" w:rsidRPr="00FE6F81">
        <w:rPr>
          <w:szCs w:val="20"/>
          <w:lang w:val="es-ES"/>
        </w:rPr>
        <w:t xml:space="preserve"> </w:t>
      </w:r>
      <w:r>
        <w:rPr>
          <w:szCs w:val="20"/>
          <w:lang w:val="es-ES"/>
        </w:rPr>
        <w:t>l</w:t>
      </w:r>
      <w:r w:rsidR="005D4DEE">
        <w:rPr>
          <w:szCs w:val="20"/>
          <w:lang w:val="es-ES"/>
        </w:rPr>
        <w:t>iteralidad del</w:t>
      </w:r>
      <w:r>
        <w:rPr>
          <w:szCs w:val="20"/>
          <w:lang w:val="es-ES"/>
        </w:rPr>
        <w:t xml:space="preserve"> artículo</w:t>
      </w:r>
      <w:r w:rsidR="00E60C46" w:rsidRPr="00FE6F81">
        <w:rPr>
          <w:szCs w:val="20"/>
          <w:lang w:val="es-ES"/>
        </w:rPr>
        <w:t>, el cual expresamente señala que:</w:t>
      </w:r>
      <w:r>
        <w:rPr>
          <w:szCs w:val="20"/>
          <w:lang w:val="es-ES"/>
        </w:rPr>
        <w:t xml:space="preserve"> “</w:t>
      </w:r>
      <w:r w:rsidR="005D4DEE">
        <w:rPr>
          <w:color w:val="000000"/>
          <w:szCs w:val="20"/>
          <w:lang w:val="es-ES"/>
        </w:rPr>
        <w:t>[t]</w:t>
      </w:r>
      <w:r w:rsidR="00E60C46" w:rsidRPr="00FE6F81">
        <w:rPr>
          <w:color w:val="000000"/>
          <w:szCs w:val="20"/>
          <w:lang w:val="es-ES"/>
        </w:rPr>
        <w:t xml:space="preserve">oda persona inculpada de </w:t>
      </w:r>
      <w:r w:rsidR="00E60C46" w:rsidRPr="00FE6F81">
        <w:rPr>
          <w:i/>
          <w:color w:val="000000"/>
          <w:szCs w:val="20"/>
          <w:lang w:val="es-ES"/>
        </w:rPr>
        <w:t>delito</w:t>
      </w:r>
      <w:r w:rsidR="00E60C46" w:rsidRPr="00FE6F81">
        <w:rPr>
          <w:color w:val="000000"/>
          <w:szCs w:val="20"/>
          <w:lang w:val="es-ES"/>
        </w:rPr>
        <w:t xml:space="preserve"> tiene derecho a que se presuma su inocencia mientras no se establezca legalmente su culpabilidad”</w:t>
      </w:r>
      <w:r>
        <w:rPr>
          <w:color w:val="000000"/>
          <w:szCs w:val="20"/>
          <w:lang w:val="es-ES"/>
        </w:rPr>
        <w:t xml:space="preserve"> [énfasis añadido].</w:t>
      </w:r>
      <w:r w:rsidR="00F31BBC">
        <w:rPr>
          <w:szCs w:val="20"/>
          <w:lang w:val="es-ES"/>
        </w:rPr>
        <w:t xml:space="preserve"> </w:t>
      </w:r>
      <w:r w:rsidR="00F31BBC" w:rsidRPr="00F31BBC">
        <w:rPr>
          <w:color w:val="000000"/>
          <w:szCs w:val="20"/>
          <w:lang w:val="es-ES"/>
        </w:rPr>
        <w:t xml:space="preserve">Con posterioridad a esto, </w:t>
      </w:r>
      <w:r w:rsidR="00E60C46" w:rsidRPr="00F31BBC">
        <w:rPr>
          <w:color w:val="000000"/>
          <w:szCs w:val="20"/>
          <w:lang w:val="es-ES"/>
        </w:rPr>
        <w:t xml:space="preserve">el </w:t>
      </w:r>
      <w:r w:rsidR="00F31BBC" w:rsidRPr="00F31BBC">
        <w:rPr>
          <w:color w:val="000000"/>
          <w:szCs w:val="20"/>
          <w:lang w:val="es-ES"/>
        </w:rPr>
        <w:t>artículo 8.2</w:t>
      </w:r>
      <w:r w:rsidR="00E60C46" w:rsidRPr="00F31BBC">
        <w:rPr>
          <w:color w:val="000000"/>
          <w:szCs w:val="20"/>
          <w:lang w:val="es-ES"/>
        </w:rPr>
        <w:t xml:space="preserve"> señala las garantías mínimas que debe tener toda persona objeto de un proc</w:t>
      </w:r>
      <w:r w:rsidR="005D4DEE" w:rsidRPr="00F31BBC">
        <w:rPr>
          <w:color w:val="000000"/>
          <w:szCs w:val="20"/>
          <w:lang w:val="es-ES"/>
        </w:rPr>
        <w:t xml:space="preserve">edimiento </w:t>
      </w:r>
      <w:r w:rsidR="00AA5067">
        <w:rPr>
          <w:color w:val="000000"/>
          <w:szCs w:val="20"/>
          <w:lang w:val="es-ES"/>
        </w:rPr>
        <w:t xml:space="preserve">criminal </w:t>
      </w:r>
      <w:r w:rsidR="005D4DEE" w:rsidRPr="00F31BBC">
        <w:rPr>
          <w:color w:val="000000"/>
          <w:szCs w:val="20"/>
          <w:lang w:val="es-ES"/>
        </w:rPr>
        <w:t>seguido en su contra.</w:t>
      </w:r>
    </w:p>
    <w:p w14:paraId="6C225CB9" w14:textId="77777777" w:rsidR="005D4DEE" w:rsidRPr="005D4DEE" w:rsidRDefault="005D4DEE" w:rsidP="00897ED2">
      <w:pPr>
        <w:pStyle w:val="ListParagraph"/>
        <w:ind w:left="0"/>
        <w:rPr>
          <w:szCs w:val="20"/>
          <w:lang w:val="es-ES"/>
        </w:rPr>
      </w:pPr>
    </w:p>
    <w:p w14:paraId="7D4C08C9" w14:textId="77777777" w:rsidR="001C11F6" w:rsidRPr="00234057" w:rsidRDefault="00E60C46" w:rsidP="00897ED2">
      <w:pPr>
        <w:pStyle w:val="ListParagraph"/>
        <w:numPr>
          <w:ilvl w:val="0"/>
          <w:numId w:val="5"/>
        </w:numPr>
        <w:ind w:left="0" w:firstLine="0"/>
        <w:rPr>
          <w:szCs w:val="20"/>
          <w:lang w:val="es-ES"/>
        </w:rPr>
      </w:pPr>
      <w:r w:rsidRPr="005D4DEE">
        <w:rPr>
          <w:color w:val="000000"/>
          <w:szCs w:val="20"/>
          <w:lang w:val="es-ES"/>
        </w:rPr>
        <w:t xml:space="preserve">A pesar de lo que </w:t>
      </w:r>
      <w:r w:rsidR="003D7BFE">
        <w:rPr>
          <w:color w:val="000000"/>
          <w:szCs w:val="20"/>
          <w:lang w:val="es-ES"/>
        </w:rPr>
        <w:t>establece la literalidad</w:t>
      </w:r>
      <w:r w:rsidRPr="005D4DEE">
        <w:rPr>
          <w:color w:val="000000"/>
          <w:szCs w:val="20"/>
          <w:lang w:val="es-ES"/>
        </w:rPr>
        <w:t xml:space="preserve"> del referido artículo, la evolución interpretativa </w:t>
      </w:r>
      <w:r w:rsidR="00CB0335">
        <w:rPr>
          <w:color w:val="000000"/>
          <w:szCs w:val="20"/>
          <w:lang w:val="es-ES"/>
        </w:rPr>
        <w:t xml:space="preserve">que ha desarrollado esta Corte respecto </w:t>
      </w:r>
      <w:r w:rsidRPr="005D4DEE">
        <w:rPr>
          <w:color w:val="000000"/>
          <w:szCs w:val="20"/>
          <w:lang w:val="es-ES"/>
        </w:rPr>
        <w:t>de dicho precepto se ha inclinado a expandir el ámbito de protección del mismo, aplicándose tamb</w:t>
      </w:r>
      <w:r w:rsidR="003D7BFE">
        <w:rPr>
          <w:color w:val="000000"/>
          <w:szCs w:val="20"/>
          <w:lang w:val="es-ES"/>
        </w:rPr>
        <w:t xml:space="preserve">ién </w:t>
      </w:r>
      <w:r w:rsidRPr="005D4DEE">
        <w:rPr>
          <w:color w:val="000000"/>
          <w:szCs w:val="20"/>
          <w:lang w:val="es-ES"/>
        </w:rPr>
        <w:t>a determinados procedimientos que no son de estricta naturaleza penal.</w:t>
      </w:r>
    </w:p>
    <w:p w14:paraId="68F9F04B" w14:textId="77777777" w:rsidR="00234057" w:rsidRPr="00234057" w:rsidRDefault="00234057" w:rsidP="00897ED2">
      <w:pPr>
        <w:pStyle w:val="ListParagraph"/>
        <w:ind w:left="0"/>
        <w:rPr>
          <w:szCs w:val="20"/>
          <w:lang w:val="es-ES"/>
        </w:rPr>
      </w:pPr>
    </w:p>
    <w:p w14:paraId="57844F07" w14:textId="34BED00C" w:rsidR="007B16DC" w:rsidRPr="007B16DC" w:rsidRDefault="00234057" w:rsidP="7749BBA5">
      <w:pPr>
        <w:numPr>
          <w:ilvl w:val="0"/>
          <w:numId w:val="5"/>
        </w:numPr>
        <w:autoSpaceDE w:val="0"/>
        <w:autoSpaceDN w:val="0"/>
        <w:ind w:left="0" w:firstLine="0"/>
        <w:rPr>
          <w:lang w:val="es-CR"/>
        </w:rPr>
      </w:pPr>
      <w:r>
        <w:rPr>
          <w:lang w:val="es-ES"/>
        </w:rPr>
        <w:t>Como fue señalado en la Sentencia del presente caso, l</w:t>
      </w:r>
      <w:r>
        <w:rPr>
          <w:lang w:val="es-CR"/>
        </w:rPr>
        <w:t xml:space="preserve">a Corte se ha pronunciado en su jurisprudencia sobre la aplicabilidad del artículo 8.2 </w:t>
      </w:r>
      <w:r w:rsidRPr="00E63F05">
        <w:rPr>
          <w:lang w:val="es-CR"/>
        </w:rPr>
        <w:t xml:space="preserve">de la Convención Americana, </w:t>
      </w:r>
      <w:r w:rsidRPr="7749BBA5">
        <w:rPr>
          <w:lang w:val="es-CR"/>
        </w:rPr>
        <w:t>entre otros</w:t>
      </w:r>
      <w:r w:rsidRPr="00E63F05">
        <w:rPr>
          <w:lang w:val="es-CR"/>
        </w:rPr>
        <w:t xml:space="preserve">, en el marco de dos casos relacionados con un juicio político y la destitución de magistrados del Tribunal Constitucional del Perú por el Congreso, y un juicio político contra </w:t>
      </w:r>
      <w:r w:rsidRPr="00E63F05">
        <w:t xml:space="preserve">vocales del Tribunal Constitucional ecuatoriano, </w:t>
      </w:r>
      <w:r w:rsidRPr="00E63F05">
        <w:rPr>
          <w:lang w:val="es-CR"/>
        </w:rPr>
        <w:t xml:space="preserve">así como en el ámbito del desarrollo procesos administrativos y laborales conducidos por el poder ejecutivo en contra de funcionarios públicos y ciudadanos. </w:t>
      </w:r>
      <w:r w:rsidRPr="00E63F05">
        <w:rPr>
          <w:lang w:val="es-MX"/>
        </w:rPr>
        <w:t xml:space="preserve">Además, en el caso </w:t>
      </w:r>
      <w:r w:rsidRPr="7749BBA5">
        <w:rPr>
          <w:i/>
          <w:iCs/>
          <w:lang w:val="es-MX"/>
        </w:rPr>
        <w:t>Vélez Loor Vs. Panamá</w:t>
      </w:r>
      <w:r w:rsidRPr="00E63F05">
        <w:rPr>
          <w:lang w:val="es-MX"/>
        </w:rPr>
        <w:t>, la Corte aplicó el artículo 8.2.h respecto a la revisión de una sanción administ</w:t>
      </w:r>
      <w:r>
        <w:rPr>
          <w:lang w:val="es-MX"/>
        </w:rPr>
        <w:t>rativa de privación de libertad</w:t>
      </w:r>
      <w:r w:rsidRPr="00E63F05">
        <w:rPr>
          <w:lang w:val="es-CR"/>
        </w:rPr>
        <w:t xml:space="preserve">. </w:t>
      </w:r>
      <w:r w:rsidRPr="00E63F05">
        <w:rPr>
          <w:lang w:val="es-CR" w:eastAsia="es-ES"/>
        </w:rPr>
        <w:t>En estas sentencias, la Corte no ha limitado la aplicación del artículo 8.2 de la Convención Americana a procesos penales, sino la ha extendido, en lo pertinente, a procesos administrativos ante autoridades estatales y a procesos judiciales de carácter no penal en el ámbito constitucional, administrativo y laboral</w:t>
      </w:r>
      <w:r w:rsidRPr="00E63F05">
        <w:rPr>
          <w:rStyle w:val="FootnoteReference"/>
          <w:lang w:val="es-CR" w:eastAsia="es-ES"/>
        </w:rPr>
        <w:footnoteReference w:id="1"/>
      </w:r>
      <w:r w:rsidR="00AA5067">
        <w:rPr>
          <w:lang w:val="es-CR" w:eastAsia="es-ES"/>
        </w:rPr>
        <w:t xml:space="preserve">, pero, y aquí es donde esta el matiz que me interesa, en casos que han tenido como elemento común su naturaleza sancionatoria. </w:t>
      </w:r>
    </w:p>
    <w:p w14:paraId="09D89AF6" w14:textId="77777777" w:rsidR="007B16DC" w:rsidRPr="00AA5067" w:rsidRDefault="007B16DC" w:rsidP="00897ED2">
      <w:pPr>
        <w:rPr>
          <w:b/>
          <w:caps/>
          <w:szCs w:val="20"/>
          <w:lang w:val="es-CR"/>
        </w:rPr>
      </w:pPr>
    </w:p>
    <w:p w14:paraId="55BD738E" w14:textId="77777777" w:rsidR="007B16DC" w:rsidRPr="006007BA" w:rsidRDefault="007B16DC" w:rsidP="00F5772A">
      <w:pPr>
        <w:pStyle w:val="ListParagraph"/>
        <w:numPr>
          <w:ilvl w:val="0"/>
          <w:numId w:val="3"/>
        </w:numPr>
        <w:ind w:left="0" w:firstLine="0"/>
        <w:rPr>
          <w:rFonts w:eastAsia="Calibri" w:cs="Times New Roman"/>
          <w:b/>
          <w:noProof w:val="0"/>
          <w:szCs w:val="20"/>
          <w:lang w:val="es-CR"/>
        </w:rPr>
      </w:pPr>
      <w:r w:rsidRPr="007B16DC">
        <w:rPr>
          <w:rFonts w:eastAsia="Calibri" w:cs="Times New Roman"/>
          <w:b/>
          <w:noProof w:val="0"/>
          <w:szCs w:val="20"/>
          <w:lang w:val="es-CR"/>
        </w:rPr>
        <w:t xml:space="preserve">La aplicación de las </w:t>
      </w:r>
      <w:r w:rsidRPr="007B16DC">
        <w:rPr>
          <w:b/>
          <w:szCs w:val="20"/>
        </w:rPr>
        <w:t xml:space="preserve">garantías contenidas en el artículo 8.2 de la Convención Americana </w:t>
      </w:r>
      <w:r>
        <w:rPr>
          <w:b/>
          <w:szCs w:val="20"/>
        </w:rPr>
        <w:t>en</w:t>
      </w:r>
      <w:r w:rsidRPr="007B16DC">
        <w:rPr>
          <w:b/>
          <w:szCs w:val="20"/>
        </w:rPr>
        <w:t xml:space="preserve"> procesos que no son de naturaleza penal</w:t>
      </w:r>
    </w:p>
    <w:p w14:paraId="60070485" w14:textId="77777777" w:rsidR="00234057" w:rsidRDefault="00234057" w:rsidP="00897ED2">
      <w:pPr>
        <w:autoSpaceDE w:val="0"/>
        <w:autoSpaceDN w:val="0"/>
        <w:rPr>
          <w:bCs/>
          <w:lang w:val="es-CR"/>
        </w:rPr>
      </w:pPr>
    </w:p>
    <w:p w14:paraId="08455EC7" w14:textId="77777777" w:rsidR="00D80281" w:rsidRPr="00D80281" w:rsidRDefault="00D80281" w:rsidP="005E6C77">
      <w:pPr>
        <w:pStyle w:val="BodyTextIndent"/>
        <w:ind w:left="360"/>
      </w:pPr>
      <w:r w:rsidRPr="00D80281">
        <w:t>C.1 La aplicación de las garantías judiciales únicamente en procesos de naturaleza sancionatoria</w:t>
      </w:r>
    </w:p>
    <w:p w14:paraId="6851A074" w14:textId="77777777" w:rsidR="00D80281" w:rsidRPr="00E63F05" w:rsidRDefault="00D80281" w:rsidP="00897ED2">
      <w:pPr>
        <w:autoSpaceDE w:val="0"/>
        <w:autoSpaceDN w:val="0"/>
        <w:rPr>
          <w:bCs/>
          <w:lang w:val="es-CR"/>
        </w:rPr>
      </w:pPr>
    </w:p>
    <w:p w14:paraId="1E8569C5" w14:textId="4DC3B8D9" w:rsidR="00234057" w:rsidRDefault="7749BBA5" w:rsidP="7749BBA5">
      <w:pPr>
        <w:pStyle w:val="ListParagraph"/>
        <w:numPr>
          <w:ilvl w:val="0"/>
          <w:numId w:val="5"/>
        </w:numPr>
        <w:ind w:left="0" w:firstLine="0"/>
        <w:rPr>
          <w:lang w:val="es-ES"/>
        </w:rPr>
      </w:pPr>
      <w:r w:rsidRPr="7749BBA5">
        <w:rPr>
          <w:lang w:val="es-ES"/>
        </w:rPr>
        <w:t>Las garantías contenidas en el artículo 8.2 de la Convención Americana están indudablemente formuladas en atención a las particularidades que presentan los procesos penales, y están concebidas como una defensa para toda persona inculpada de un delito, que se encuentre sometida al poder punitivo estatal, dentro de un procedimiento en el cual se va a determinar su responsabilidad penal.</w:t>
      </w:r>
    </w:p>
    <w:p w14:paraId="7F37660E" w14:textId="77777777" w:rsidR="001362B2" w:rsidRDefault="001362B2" w:rsidP="00897ED2">
      <w:pPr>
        <w:pStyle w:val="ListParagraph"/>
        <w:ind w:left="0"/>
        <w:rPr>
          <w:szCs w:val="20"/>
          <w:lang w:val="es-ES"/>
        </w:rPr>
      </w:pPr>
    </w:p>
    <w:p w14:paraId="0B532FD5" w14:textId="4BB8AEA7" w:rsidR="00AF58CD" w:rsidRDefault="7749BBA5" w:rsidP="7749BBA5">
      <w:pPr>
        <w:pStyle w:val="ListParagraph"/>
        <w:numPr>
          <w:ilvl w:val="0"/>
          <w:numId w:val="5"/>
        </w:numPr>
        <w:ind w:left="0" w:firstLine="0"/>
        <w:rPr>
          <w:lang w:val="es-ES"/>
        </w:rPr>
      </w:pPr>
      <w:r w:rsidRPr="7749BBA5">
        <w:rPr>
          <w:lang w:val="es-ES"/>
        </w:rPr>
        <w:t xml:space="preserve">En este sentido, al aplicar las garantías contempladas en el artículo 8.2 a procesos que no revisten la naturaleza para la cual estas han sido originalmente formuladas, es necesario </w:t>
      </w:r>
      <w:r w:rsidRPr="7749BBA5">
        <w:rPr>
          <w:lang w:val="es-ES"/>
        </w:rPr>
        <w:lastRenderedPageBreak/>
        <w:t xml:space="preserve">analizar el tipo de proceso al que se pretende aplicar dichas garantías y ponderar si las mismas resultan adecuadas y pertinentes. Al respecto, considero que </w:t>
      </w:r>
      <w:r w:rsidRPr="7749BBA5">
        <w:rPr>
          <w:i/>
          <w:iCs/>
          <w:lang w:val="es-ES"/>
        </w:rPr>
        <w:t>prima facie</w:t>
      </w:r>
      <w:r w:rsidRPr="7749BBA5">
        <w:rPr>
          <w:lang w:val="es-ES"/>
        </w:rPr>
        <w:t xml:space="preserve"> los procesos que tienen un carácter sancionatorio pueden ser objeto de la aplicación de las garantías del artículo 8.2, debido a la necesidad de que exista el ejercicio de un poder punitivo por parte del Estado para que resulte aplicable el contenido del artículo 8.2. </w:t>
      </w:r>
    </w:p>
    <w:p w14:paraId="115EC4E4" w14:textId="77777777" w:rsidR="00D01E90" w:rsidRPr="00F5001B" w:rsidRDefault="00D01E90" w:rsidP="00D01E90">
      <w:pPr>
        <w:pStyle w:val="ListParagraph"/>
        <w:ind w:left="0"/>
        <w:rPr>
          <w:szCs w:val="20"/>
          <w:lang w:val="es-ES"/>
        </w:rPr>
      </w:pPr>
    </w:p>
    <w:p w14:paraId="7BB40F61" w14:textId="00128593" w:rsidR="00AF58CD" w:rsidRDefault="7749BBA5" w:rsidP="7749BBA5">
      <w:pPr>
        <w:pStyle w:val="ListParagraph"/>
        <w:numPr>
          <w:ilvl w:val="0"/>
          <w:numId w:val="5"/>
        </w:numPr>
        <w:ind w:left="0" w:firstLine="0"/>
        <w:rPr>
          <w:lang w:val="es-ES"/>
        </w:rPr>
      </w:pPr>
      <w:r w:rsidRPr="7749BBA5">
        <w:rPr>
          <w:lang w:val="es-ES"/>
        </w:rPr>
        <w:t>En efecto, para que las garantías establecidas en dicho artículo resulten adecuadas y aplicables es esencial que se demuestre la naturaleza sancionatoria de un proceso y la consecuente existencia de una persona inculpada de un delito o una falta, que pueda traer como consecuencia una sanción impuesta a dicha persona como mecanismo de coerción. Es la potestad punitiva del Estado, expresada tradicionalmente en los procesos penales, la que encuentra sus límites frente a las garantías establecidas en el artículo 8.2 de la Convención; por lo que solamente en procesos de naturaleza sancionatoria, en la que el Estado haga uso de esa facultad punitiva, es en donde resultan adecuadas dichas garantías.</w:t>
      </w:r>
    </w:p>
    <w:p w14:paraId="45BEF10D" w14:textId="77777777" w:rsidR="00C9524A" w:rsidRPr="00C9524A" w:rsidRDefault="00C9524A" w:rsidP="00897ED2">
      <w:pPr>
        <w:pStyle w:val="ListParagraph"/>
        <w:ind w:left="0"/>
        <w:rPr>
          <w:szCs w:val="20"/>
          <w:lang w:val="es-ES"/>
        </w:rPr>
      </w:pPr>
    </w:p>
    <w:p w14:paraId="49326074" w14:textId="1F80C467" w:rsidR="00264170" w:rsidRPr="00D23EE5" w:rsidRDefault="00C9524A" w:rsidP="7749BBA5">
      <w:pPr>
        <w:pStyle w:val="ListParagraph"/>
        <w:numPr>
          <w:ilvl w:val="0"/>
          <w:numId w:val="5"/>
        </w:numPr>
        <w:ind w:left="0" w:firstLine="0"/>
        <w:rPr>
          <w:lang w:val="es-ES"/>
        </w:rPr>
      </w:pPr>
      <w:r w:rsidRPr="7749BBA5">
        <w:rPr>
          <w:lang w:val="es-ES"/>
        </w:rPr>
        <w:t xml:space="preserve">En ese sentido, vale la pena destacar que </w:t>
      </w:r>
      <w:r w:rsidRPr="7749BBA5">
        <w:rPr>
          <w:kern w:val="28"/>
          <w:lang w:val="es-ES"/>
        </w:rPr>
        <w:t>la Corte</w:t>
      </w:r>
      <w:r w:rsidR="005D44AB" w:rsidRPr="7749BBA5">
        <w:rPr>
          <w:kern w:val="28"/>
          <w:lang w:val="es-ES"/>
        </w:rPr>
        <w:t>, en ejercicio de su jurisdicción,</w:t>
      </w:r>
      <w:r w:rsidRPr="7749BBA5">
        <w:rPr>
          <w:kern w:val="28"/>
          <w:lang w:val="es-ES"/>
        </w:rPr>
        <w:t xml:space="preserve"> debe analizar de manera autónoma la naturaleza de los procesos que se presentan para su estudio, con el fin de evitar que los Estados sean eximidos del cumplimiento de sus obligaciones respecto de las garantías judiciales por el simple hecho de excluir dichas infracciones del ámbito penal</w:t>
      </w:r>
      <w:r w:rsidR="0005022F" w:rsidRPr="7749BBA5">
        <w:rPr>
          <w:kern w:val="28"/>
          <w:lang w:val="es-ES"/>
        </w:rPr>
        <w:t xml:space="preserve"> interno</w:t>
      </w:r>
      <w:r w:rsidRPr="7749BBA5">
        <w:rPr>
          <w:kern w:val="28"/>
          <w:lang w:val="es-ES"/>
        </w:rPr>
        <w:t>.</w:t>
      </w:r>
      <w:r w:rsidR="006172AE" w:rsidRPr="7749BBA5">
        <w:rPr>
          <w:kern w:val="28"/>
          <w:lang w:val="es-ES"/>
        </w:rPr>
        <w:t xml:space="preserve"> Sin embargo, esto no debe significar que dichas garantías se apliquen de manera </w:t>
      </w:r>
      <w:r w:rsidR="004D284B">
        <w:rPr>
          <w:kern w:val="28"/>
          <w:lang w:val="es-ES"/>
        </w:rPr>
        <w:t>automá</w:t>
      </w:r>
      <w:r w:rsidR="00AA5067" w:rsidRPr="7749BBA5">
        <w:rPr>
          <w:kern w:val="28"/>
          <w:lang w:val="es-ES"/>
        </w:rPr>
        <w:t xml:space="preserve">tica, </w:t>
      </w:r>
      <w:r w:rsidR="006172AE" w:rsidRPr="7749BBA5">
        <w:rPr>
          <w:kern w:val="28"/>
          <w:lang w:val="es-ES"/>
        </w:rPr>
        <w:t xml:space="preserve">indistintamente a todos los procesos, con independencia de si los mismos tienen una naturaleza sancionatoria o no. </w:t>
      </w:r>
    </w:p>
    <w:p w14:paraId="2CAB2F16" w14:textId="77777777" w:rsidR="00D23EE5" w:rsidRPr="00D23EE5" w:rsidRDefault="00D23EE5" w:rsidP="00897ED2">
      <w:pPr>
        <w:pStyle w:val="ListParagraph"/>
        <w:ind w:left="0"/>
        <w:rPr>
          <w:szCs w:val="20"/>
          <w:lang w:val="es-ES"/>
        </w:rPr>
      </w:pPr>
    </w:p>
    <w:p w14:paraId="7AD87167" w14:textId="77777777" w:rsidR="00E84F87" w:rsidRDefault="00264170" w:rsidP="00E84F87">
      <w:pPr>
        <w:pStyle w:val="ListParagraph"/>
        <w:numPr>
          <w:ilvl w:val="0"/>
          <w:numId w:val="5"/>
        </w:numPr>
        <w:ind w:left="0" w:firstLine="0"/>
        <w:rPr>
          <w:szCs w:val="20"/>
          <w:lang w:val="es-ES"/>
        </w:rPr>
      </w:pPr>
      <w:r w:rsidRPr="00D23EE5">
        <w:rPr>
          <w:bCs/>
          <w:kern w:val="28"/>
          <w:szCs w:val="20"/>
          <w:lang w:val="es-ES"/>
        </w:rPr>
        <w:t>Considero que</w:t>
      </w:r>
      <w:r w:rsidR="00AA5067">
        <w:rPr>
          <w:bCs/>
          <w:kern w:val="28"/>
          <w:szCs w:val="20"/>
          <w:lang w:val="es-ES"/>
        </w:rPr>
        <w:t xml:space="preserve"> la Jurisprudencia interamericana debe entenderse como que,</w:t>
      </w:r>
      <w:r w:rsidRPr="00D23EE5">
        <w:rPr>
          <w:bCs/>
          <w:kern w:val="28"/>
          <w:szCs w:val="20"/>
          <w:lang w:val="es-ES"/>
        </w:rPr>
        <w:t xml:space="preserve"> no todos los procesos en los que se “decide” o se “afecta” el derecho de una pers</w:t>
      </w:r>
      <w:r w:rsidR="006270E9" w:rsidRPr="00D23EE5">
        <w:rPr>
          <w:bCs/>
          <w:kern w:val="28"/>
          <w:szCs w:val="20"/>
          <w:lang w:val="es-ES"/>
        </w:rPr>
        <w:t>ona pueden ser considerados como procesos sancionatorios</w:t>
      </w:r>
      <w:r w:rsidR="0065543B">
        <w:rPr>
          <w:bCs/>
          <w:kern w:val="28"/>
          <w:szCs w:val="20"/>
          <w:lang w:val="es-ES"/>
        </w:rPr>
        <w:t xml:space="preserve"> que justifiquen la aplicación de garantías como las contenidas en el artículo 8.2 de la Convención Americana</w:t>
      </w:r>
      <w:r w:rsidR="006270E9" w:rsidRPr="00D23EE5">
        <w:rPr>
          <w:bCs/>
          <w:kern w:val="28"/>
          <w:szCs w:val="20"/>
          <w:lang w:val="es-ES"/>
        </w:rPr>
        <w:t xml:space="preserve">. Para la determinación de </w:t>
      </w:r>
      <w:r w:rsidR="007E09F2">
        <w:rPr>
          <w:bCs/>
          <w:kern w:val="28"/>
          <w:szCs w:val="20"/>
          <w:lang w:val="es-ES"/>
        </w:rPr>
        <w:t>la</w:t>
      </w:r>
      <w:r w:rsidR="006270E9" w:rsidRPr="00D23EE5">
        <w:rPr>
          <w:bCs/>
          <w:kern w:val="28"/>
          <w:szCs w:val="20"/>
          <w:lang w:val="es-ES"/>
        </w:rPr>
        <w:t xml:space="preserve"> naturaleza</w:t>
      </w:r>
      <w:r w:rsidR="007E09F2">
        <w:rPr>
          <w:bCs/>
          <w:kern w:val="28"/>
          <w:szCs w:val="20"/>
          <w:lang w:val="es-ES"/>
        </w:rPr>
        <w:t xml:space="preserve"> sancionatoria de un proceso</w:t>
      </w:r>
      <w:r w:rsidR="006270E9" w:rsidRPr="00D23EE5">
        <w:rPr>
          <w:bCs/>
          <w:kern w:val="28"/>
          <w:szCs w:val="20"/>
          <w:lang w:val="es-ES"/>
        </w:rPr>
        <w:t xml:space="preserve">, requisito para la aplicación de las garantías del artículo 8.2, deben atenderse criterios objetivos y determinables. </w:t>
      </w:r>
      <w:r w:rsidR="00D23EE5" w:rsidRPr="00D23EE5">
        <w:rPr>
          <w:bCs/>
          <w:kern w:val="28"/>
          <w:szCs w:val="20"/>
          <w:lang w:val="es-ES"/>
        </w:rPr>
        <w:t xml:space="preserve">Al respecto, </w:t>
      </w:r>
      <w:r w:rsidR="004F05FC">
        <w:rPr>
          <w:bCs/>
          <w:kern w:val="28"/>
          <w:szCs w:val="20"/>
          <w:lang w:val="es-ES"/>
        </w:rPr>
        <w:t>resulta</w:t>
      </w:r>
      <w:r w:rsidR="00D23EE5" w:rsidRPr="00D23EE5">
        <w:rPr>
          <w:bCs/>
          <w:kern w:val="28"/>
          <w:szCs w:val="20"/>
          <w:lang w:val="es-ES"/>
        </w:rPr>
        <w:t xml:space="preserve"> interesante lo desarrollado por el Tribunal Europeo de Derechos Humanos en el caso </w:t>
      </w:r>
      <w:r w:rsidR="00D23EE5" w:rsidRPr="00D23EE5">
        <w:rPr>
          <w:bCs/>
          <w:i/>
          <w:kern w:val="28"/>
          <w:szCs w:val="20"/>
          <w:lang w:val="es-ES"/>
        </w:rPr>
        <w:t>Engels y otros Vs. Países Bajos</w:t>
      </w:r>
      <w:r w:rsidR="00D23EE5" w:rsidRPr="004F05FC">
        <w:rPr>
          <w:rStyle w:val="FootnoteReference"/>
          <w:bCs/>
          <w:kern w:val="28"/>
          <w:szCs w:val="20"/>
          <w:lang w:val="es-ES"/>
        </w:rPr>
        <w:footnoteReference w:id="2"/>
      </w:r>
      <w:r w:rsidR="00D23EE5" w:rsidRPr="004F05FC">
        <w:rPr>
          <w:bCs/>
          <w:kern w:val="28"/>
          <w:szCs w:val="20"/>
          <w:lang w:val="es-ES"/>
        </w:rPr>
        <w:t xml:space="preserve">. </w:t>
      </w:r>
    </w:p>
    <w:p w14:paraId="3814D6C1" w14:textId="77777777" w:rsidR="00E84F87" w:rsidRPr="00E84F87" w:rsidRDefault="00E84F87" w:rsidP="00E84F87">
      <w:pPr>
        <w:pStyle w:val="ListParagraph"/>
        <w:rPr>
          <w:bCs/>
          <w:kern w:val="28"/>
          <w:szCs w:val="20"/>
          <w:lang w:val="es-ES"/>
        </w:rPr>
      </w:pPr>
    </w:p>
    <w:p w14:paraId="3DC7D585" w14:textId="5C83670A" w:rsidR="00D23EE5" w:rsidRPr="00E84F87" w:rsidRDefault="00D23EE5" w:rsidP="00E84F87">
      <w:pPr>
        <w:pStyle w:val="ListParagraph"/>
        <w:numPr>
          <w:ilvl w:val="0"/>
          <w:numId w:val="5"/>
        </w:numPr>
        <w:ind w:left="0" w:firstLine="0"/>
        <w:rPr>
          <w:szCs w:val="20"/>
          <w:lang w:val="es-ES"/>
        </w:rPr>
      </w:pPr>
      <w:r w:rsidRPr="00E84F87">
        <w:rPr>
          <w:bCs/>
          <w:kern w:val="28"/>
          <w:szCs w:val="20"/>
          <w:lang w:val="es-ES"/>
        </w:rPr>
        <w:t>En el mencionado caso, el Tribunal Europeo desarrolló un método para poder determinar si una infracción equivaldría a delito</w:t>
      </w:r>
      <w:r w:rsidR="007C30B0" w:rsidRPr="00E84F87">
        <w:rPr>
          <w:bCs/>
          <w:kern w:val="28"/>
          <w:szCs w:val="20"/>
          <w:lang w:val="es-ES"/>
        </w:rPr>
        <w:t>,</w:t>
      </w:r>
      <w:r w:rsidRPr="00E84F87">
        <w:rPr>
          <w:bCs/>
          <w:kern w:val="28"/>
          <w:szCs w:val="20"/>
          <w:lang w:val="es-ES"/>
        </w:rPr>
        <w:t xml:space="preserve"> en los términos que establece la </w:t>
      </w:r>
      <w:r w:rsidR="00665B05" w:rsidRPr="00E84F87">
        <w:rPr>
          <w:bCs/>
          <w:kern w:val="28"/>
          <w:szCs w:val="20"/>
          <w:lang w:val="es-ES"/>
        </w:rPr>
        <w:t>Convención Europea de Derechos Humanos, y por lo tanto si las garantías de debido proceso contempladas para los procesos penales resulta</w:t>
      </w:r>
      <w:r w:rsidR="007C30B0" w:rsidRPr="00E84F87">
        <w:rPr>
          <w:bCs/>
          <w:kern w:val="28"/>
          <w:szCs w:val="20"/>
          <w:lang w:val="es-ES"/>
        </w:rPr>
        <w:t>ría</w:t>
      </w:r>
      <w:r w:rsidR="00665B05" w:rsidRPr="00E84F87">
        <w:rPr>
          <w:bCs/>
          <w:kern w:val="28"/>
          <w:szCs w:val="20"/>
          <w:lang w:val="es-ES"/>
        </w:rPr>
        <w:t>n aplicables para otro tipo de proceso</w:t>
      </w:r>
      <w:r w:rsidR="00A42C07" w:rsidRPr="00E84F87">
        <w:rPr>
          <w:bCs/>
          <w:kern w:val="28"/>
          <w:szCs w:val="20"/>
          <w:lang w:val="es-ES"/>
        </w:rPr>
        <w:t xml:space="preserve"> en un caso en particular</w:t>
      </w:r>
      <w:r w:rsidRPr="0009359C">
        <w:rPr>
          <w:rStyle w:val="FootnoteReference"/>
          <w:bCs/>
          <w:kern w:val="28"/>
          <w:szCs w:val="20"/>
          <w:lang w:val="es-ES"/>
        </w:rPr>
        <w:footnoteReference w:id="3"/>
      </w:r>
      <w:r w:rsidRPr="00E84F87">
        <w:rPr>
          <w:bCs/>
          <w:kern w:val="28"/>
          <w:szCs w:val="20"/>
          <w:lang w:val="es-ES"/>
        </w:rPr>
        <w:t>. El referido método consiste en el análisis de la infracción desde tres perspectivas:</w:t>
      </w:r>
      <w:r w:rsidR="00947178" w:rsidRPr="00E84F87">
        <w:rPr>
          <w:bCs/>
          <w:kern w:val="28"/>
          <w:szCs w:val="20"/>
          <w:lang w:val="es-ES"/>
        </w:rPr>
        <w:t xml:space="preserve"> i) la </w:t>
      </w:r>
      <w:r w:rsidR="009B4C38" w:rsidRPr="00E84F87">
        <w:rPr>
          <w:bCs/>
          <w:kern w:val="28"/>
          <w:szCs w:val="20"/>
          <w:lang w:val="es-ES"/>
        </w:rPr>
        <w:t>c</w:t>
      </w:r>
      <w:r w:rsidRPr="00E84F87">
        <w:rPr>
          <w:bCs/>
          <w:kern w:val="28"/>
          <w:szCs w:val="20"/>
          <w:lang w:val="es-ES"/>
        </w:rPr>
        <w:t>ategorización realizada por las autoridades nacionales</w:t>
      </w:r>
      <w:r w:rsidR="00947178" w:rsidRPr="00E84F87">
        <w:rPr>
          <w:bCs/>
          <w:kern w:val="28"/>
          <w:szCs w:val="20"/>
          <w:lang w:val="es-ES"/>
        </w:rPr>
        <w:t>; ii) la n</w:t>
      </w:r>
      <w:r w:rsidRPr="00E84F87">
        <w:rPr>
          <w:bCs/>
          <w:kern w:val="28"/>
          <w:szCs w:val="20"/>
          <w:lang w:val="es-ES"/>
        </w:rPr>
        <w:t>aturaleza de la infracción</w:t>
      </w:r>
      <w:r w:rsidR="00947178" w:rsidRPr="00E84F87">
        <w:rPr>
          <w:bCs/>
          <w:kern w:val="28"/>
          <w:szCs w:val="20"/>
          <w:lang w:val="es-ES"/>
        </w:rPr>
        <w:t>, y iii) la n</w:t>
      </w:r>
      <w:r w:rsidRPr="00E84F87">
        <w:rPr>
          <w:bCs/>
          <w:kern w:val="28"/>
          <w:szCs w:val="20"/>
          <w:lang w:val="es-ES"/>
        </w:rPr>
        <w:t xml:space="preserve">aturaleza y </w:t>
      </w:r>
      <w:r w:rsidR="00947178" w:rsidRPr="00E84F87">
        <w:rPr>
          <w:bCs/>
          <w:kern w:val="28"/>
          <w:szCs w:val="20"/>
          <w:lang w:val="es-ES"/>
        </w:rPr>
        <w:t xml:space="preserve">el </w:t>
      </w:r>
      <w:r w:rsidRPr="00E84F87">
        <w:rPr>
          <w:bCs/>
          <w:kern w:val="28"/>
          <w:szCs w:val="20"/>
          <w:lang w:val="es-ES"/>
        </w:rPr>
        <w:t>grado de severidad de la pena</w:t>
      </w:r>
      <w:r w:rsidR="00947178" w:rsidRPr="00E84F87">
        <w:rPr>
          <w:bCs/>
          <w:kern w:val="28"/>
          <w:szCs w:val="20"/>
          <w:lang w:val="es-ES"/>
        </w:rPr>
        <w:t>.</w:t>
      </w:r>
      <w:r w:rsidR="00781432" w:rsidRPr="00E84F87">
        <w:rPr>
          <w:bCs/>
          <w:kern w:val="28"/>
          <w:szCs w:val="20"/>
          <w:lang w:val="es-ES"/>
        </w:rPr>
        <w:t xml:space="preserve"> </w:t>
      </w:r>
      <w:r w:rsidR="00AA5067" w:rsidRPr="00E84F87">
        <w:rPr>
          <w:szCs w:val="20"/>
          <w:lang w:val="es-ES"/>
        </w:rPr>
        <w:t xml:space="preserve"> </w:t>
      </w:r>
      <w:r w:rsidR="00781432" w:rsidRPr="00E84F87">
        <w:rPr>
          <w:bCs/>
          <w:kern w:val="28"/>
          <w:szCs w:val="20"/>
          <w:lang w:val="es-ES"/>
        </w:rPr>
        <w:t>El Tribunal Europeo</w:t>
      </w:r>
      <w:r w:rsidRPr="00E84F87">
        <w:rPr>
          <w:bCs/>
          <w:kern w:val="28"/>
          <w:szCs w:val="20"/>
          <w:lang w:val="es-ES"/>
        </w:rPr>
        <w:t xml:space="preserve"> ha concluido que para que sea</w:t>
      </w:r>
      <w:r w:rsidR="00781432" w:rsidRPr="00E84F87">
        <w:rPr>
          <w:bCs/>
          <w:kern w:val="28"/>
          <w:szCs w:val="20"/>
          <w:lang w:val="es-ES"/>
        </w:rPr>
        <w:t>n</w:t>
      </w:r>
      <w:r w:rsidRPr="00E84F87">
        <w:rPr>
          <w:bCs/>
          <w:kern w:val="28"/>
          <w:szCs w:val="20"/>
          <w:lang w:val="es-ES"/>
        </w:rPr>
        <w:t xml:space="preserve"> aplicable</w:t>
      </w:r>
      <w:r w:rsidR="00781432" w:rsidRPr="00E84F87">
        <w:rPr>
          <w:bCs/>
          <w:kern w:val="28"/>
          <w:szCs w:val="20"/>
          <w:lang w:val="es-ES"/>
        </w:rPr>
        <w:t>s</w:t>
      </w:r>
      <w:r w:rsidRPr="00E84F87">
        <w:rPr>
          <w:bCs/>
          <w:kern w:val="28"/>
          <w:szCs w:val="20"/>
          <w:lang w:val="es-ES"/>
        </w:rPr>
        <w:t xml:space="preserve"> </w:t>
      </w:r>
      <w:r w:rsidR="00781432" w:rsidRPr="00E84F87">
        <w:rPr>
          <w:bCs/>
          <w:kern w:val="28"/>
          <w:szCs w:val="20"/>
          <w:lang w:val="es-ES"/>
        </w:rPr>
        <w:t>las garantías de debido proceso</w:t>
      </w:r>
      <w:r w:rsidRPr="00E84F87">
        <w:rPr>
          <w:bCs/>
          <w:kern w:val="28"/>
          <w:szCs w:val="20"/>
          <w:lang w:val="es-ES"/>
        </w:rPr>
        <w:t xml:space="preserve"> es suficiente con que la infracción se pueda considerar como “penal” desde el punto de vista de la Convención</w:t>
      </w:r>
      <w:r w:rsidR="007062D4" w:rsidRPr="00E84F87">
        <w:rPr>
          <w:bCs/>
          <w:kern w:val="28"/>
          <w:szCs w:val="20"/>
          <w:lang w:val="es-ES"/>
        </w:rPr>
        <w:t xml:space="preserve"> Europea</w:t>
      </w:r>
      <w:r w:rsidRPr="00E84F87">
        <w:rPr>
          <w:bCs/>
          <w:kern w:val="28"/>
          <w:szCs w:val="20"/>
          <w:lang w:val="es-ES"/>
        </w:rPr>
        <w:t xml:space="preserve">, o bien </w:t>
      </w:r>
      <w:r w:rsidR="00781432" w:rsidRPr="00E84F87">
        <w:rPr>
          <w:bCs/>
          <w:kern w:val="28"/>
          <w:szCs w:val="20"/>
          <w:lang w:val="es-ES"/>
        </w:rPr>
        <w:t xml:space="preserve">que </w:t>
      </w:r>
      <w:r w:rsidRPr="00E84F87">
        <w:rPr>
          <w:bCs/>
          <w:kern w:val="28"/>
          <w:szCs w:val="20"/>
          <w:lang w:val="es-ES"/>
        </w:rPr>
        <w:t>al procesado le sea impuesta una sanción que, por su naturaleza y grado de severidad, pertenezca a la “esfera penal”</w:t>
      </w:r>
      <w:r w:rsidRPr="0009359C">
        <w:rPr>
          <w:rStyle w:val="FootnoteReference"/>
          <w:rFonts w:cs="Arial"/>
          <w:color w:val="000000"/>
          <w:szCs w:val="20"/>
          <w:shd w:val="clear" w:color="auto" w:fill="FFFFFF"/>
        </w:rPr>
        <w:footnoteReference w:id="4"/>
      </w:r>
      <w:r w:rsidRPr="00E84F87">
        <w:rPr>
          <w:rStyle w:val="sb8d990e2"/>
          <w:rFonts w:cs="Arial"/>
          <w:color w:val="000000"/>
          <w:szCs w:val="20"/>
          <w:shd w:val="clear" w:color="auto" w:fill="FFFFFF"/>
          <w:lang w:val="es-ES"/>
        </w:rPr>
        <w:t>.</w:t>
      </w:r>
      <w:r w:rsidR="00397744" w:rsidRPr="00E84F87">
        <w:rPr>
          <w:rStyle w:val="sb8d990e2"/>
          <w:rFonts w:cs="Arial"/>
          <w:color w:val="000000"/>
          <w:szCs w:val="20"/>
          <w:shd w:val="clear" w:color="auto" w:fill="FFFFFF"/>
          <w:lang w:val="es-ES"/>
        </w:rPr>
        <w:t xml:space="preserve"> </w:t>
      </w:r>
      <w:r w:rsidRPr="00E84F87">
        <w:rPr>
          <w:kern w:val="28"/>
          <w:szCs w:val="20"/>
          <w:lang w:val="es-ES"/>
        </w:rPr>
        <w:t xml:space="preserve">Aplicando dicho método, </w:t>
      </w:r>
      <w:r w:rsidR="00397744" w:rsidRPr="00E84F87">
        <w:rPr>
          <w:kern w:val="28"/>
          <w:szCs w:val="20"/>
          <w:lang w:val="es-ES"/>
        </w:rPr>
        <w:t xml:space="preserve">el </w:t>
      </w:r>
      <w:r w:rsidR="00397744" w:rsidRPr="00E84F87">
        <w:rPr>
          <w:bCs/>
          <w:kern w:val="28"/>
          <w:szCs w:val="20"/>
          <w:lang w:val="es-ES"/>
        </w:rPr>
        <w:t>Tribunal Europeo</w:t>
      </w:r>
      <w:r w:rsidRPr="00E84F87">
        <w:rPr>
          <w:kern w:val="28"/>
          <w:szCs w:val="20"/>
          <w:lang w:val="es-ES"/>
        </w:rPr>
        <w:t xml:space="preserve"> ha establecido que </w:t>
      </w:r>
      <w:r w:rsidR="00397744" w:rsidRPr="00E84F87">
        <w:rPr>
          <w:kern w:val="28"/>
          <w:szCs w:val="20"/>
          <w:lang w:val="es-ES"/>
        </w:rPr>
        <w:t>las garantías judiciales</w:t>
      </w:r>
      <w:r w:rsidRPr="00E84F87">
        <w:rPr>
          <w:kern w:val="28"/>
          <w:szCs w:val="20"/>
          <w:lang w:val="es-ES"/>
        </w:rPr>
        <w:t xml:space="preserve"> se aplican también a determinados procesos disciplinarios</w:t>
      </w:r>
      <w:r w:rsidRPr="0009359C">
        <w:rPr>
          <w:rStyle w:val="FootnoteReference"/>
          <w:szCs w:val="20"/>
          <w:lang w:val="es-ES"/>
        </w:rPr>
        <w:footnoteReference w:id="5"/>
      </w:r>
      <w:r w:rsidRPr="00E84F87">
        <w:rPr>
          <w:kern w:val="28"/>
          <w:szCs w:val="20"/>
          <w:lang w:val="es-ES"/>
        </w:rPr>
        <w:t>.</w:t>
      </w:r>
      <w:r w:rsidR="00397744" w:rsidRPr="00E84F87">
        <w:rPr>
          <w:kern w:val="28"/>
          <w:szCs w:val="20"/>
          <w:lang w:val="es-ES"/>
        </w:rPr>
        <w:t xml:space="preserve"> </w:t>
      </w:r>
    </w:p>
    <w:p w14:paraId="36572983" w14:textId="77777777" w:rsidR="00034B28" w:rsidRPr="00397744" w:rsidRDefault="00034B28" w:rsidP="00897ED2">
      <w:pPr>
        <w:pStyle w:val="ListParagraph"/>
        <w:ind w:left="0"/>
        <w:rPr>
          <w:szCs w:val="20"/>
          <w:lang w:val="es-ES"/>
        </w:rPr>
      </w:pPr>
    </w:p>
    <w:p w14:paraId="48E05C9B" w14:textId="1514919A" w:rsidR="0068639B" w:rsidRPr="00C97ACB" w:rsidRDefault="00D860C6" w:rsidP="00897ED2">
      <w:pPr>
        <w:pStyle w:val="ListParagraph"/>
        <w:numPr>
          <w:ilvl w:val="0"/>
          <w:numId w:val="5"/>
        </w:numPr>
        <w:ind w:left="0" w:firstLine="0"/>
        <w:rPr>
          <w:szCs w:val="20"/>
          <w:lang w:val="es-ES"/>
        </w:rPr>
      </w:pPr>
      <w:r>
        <w:rPr>
          <w:szCs w:val="20"/>
          <w:lang w:val="es-ES"/>
        </w:rPr>
        <w:t>Atendiendo todo lo anterior, considero que el criterio que debería usar esta Corte para ampliar el</w:t>
      </w:r>
      <w:r w:rsidR="00397744" w:rsidRPr="0009359C">
        <w:rPr>
          <w:szCs w:val="20"/>
          <w:lang w:val="es-ES"/>
        </w:rPr>
        <w:t xml:space="preserve"> ámbito de </w:t>
      </w:r>
      <w:r>
        <w:rPr>
          <w:szCs w:val="20"/>
          <w:lang w:val="es-ES"/>
        </w:rPr>
        <w:t>aplicación de las garantías establecidas en el artículo 8.2 de la Convención Americana</w:t>
      </w:r>
      <w:r w:rsidR="00397744" w:rsidRPr="0009359C">
        <w:rPr>
          <w:szCs w:val="20"/>
          <w:lang w:val="es-ES"/>
        </w:rPr>
        <w:t xml:space="preserve"> a </w:t>
      </w:r>
      <w:r w:rsidR="00397744">
        <w:rPr>
          <w:szCs w:val="20"/>
          <w:lang w:val="es-ES"/>
        </w:rPr>
        <w:t>determinados</w:t>
      </w:r>
      <w:r w:rsidR="00397744" w:rsidRPr="0009359C">
        <w:rPr>
          <w:szCs w:val="20"/>
          <w:lang w:val="es-ES"/>
        </w:rPr>
        <w:t xml:space="preserve"> procedimientos que no </w:t>
      </w:r>
      <w:r>
        <w:rPr>
          <w:szCs w:val="20"/>
          <w:lang w:val="es-ES"/>
        </w:rPr>
        <w:t>sea</w:t>
      </w:r>
      <w:r w:rsidR="00397744">
        <w:rPr>
          <w:szCs w:val="20"/>
          <w:lang w:val="es-ES"/>
        </w:rPr>
        <w:t>n clasificados por las autoridades nacional</w:t>
      </w:r>
      <w:r>
        <w:rPr>
          <w:szCs w:val="20"/>
          <w:lang w:val="es-ES"/>
        </w:rPr>
        <w:t xml:space="preserve">es como procedimientos penales, debe ser un criterio más estricto que tome en </w:t>
      </w:r>
      <w:r>
        <w:rPr>
          <w:szCs w:val="20"/>
          <w:lang w:val="es-ES"/>
        </w:rPr>
        <w:lastRenderedPageBreak/>
        <w:t xml:space="preserve">consideración la necesidad de que el proceso tenga </w:t>
      </w:r>
      <w:r w:rsidR="00E63E32">
        <w:rPr>
          <w:szCs w:val="20"/>
          <w:lang w:val="es-ES"/>
        </w:rPr>
        <w:t>una naturaleza sancionatoria. Lo anterior, e</w:t>
      </w:r>
      <w:r w:rsidR="00397744">
        <w:rPr>
          <w:bCs/>
          <w:kern w:val="28"/>
          <w:szCs w:val="20"/>
          <w:lang w:val="es-ES"/>
        </w:rPr>
        <w:t>n aras de protege</w:t>
      </w:r>
      <w:r>
        <w:rPr>
          <w:bCs/>
          <w:kern w:val="28"/>
          <w:szCs w:val="20"/>
          <w:lang w:val="es-ES"/>
        </w:rPr>
        <w:t>r el objeto y fin de la propia C</w:t>
      </w:r>
      <w:r w:rsidR="00397744">
        <w:rPr>
          <w:bCs/>
          <w:kern w:val="28"/>
          <w:szCs w:val="20"/>
          <w:lang w:val="es-ES"/>
        </w:rPr>
        <w:t>onvención</w:t>
      </w:r>
      <w:r>
        <w:rPr>
          <w:bCs/>
          <w:kern w:val="28"/>
          <w:szCs w:val="20"/>
          <w:lang w:val="es-ES"/>
        </w:rPr>
        <w:t xml:space="preserve"> Americana, y reconociendo la </w:t>
      </w:r>
      <w:r w:rsidRPr="00EA2E4E">
        <w:t xml:space="preserve">importancia </w:t>
      </w:r>
      <w:r>
        <w:t xml:space="preserve">que revisten las garantías contempladas en el artículo 8.2, estas no deben ser </w:t>
      </w:r>
      <w:r w:rsidR="009B4C38">
        <w:t xml:space="preserve">desnaturalizadas aplicándolas a procesos de cualquier índole. </w:t>
      </w:r>
    </w:p>
    <w:p w14:paraId="51227253" w14:textId="77777777" w:rsidR="00C97ACB" w:rsidRPr="00A46264" w:rsidRDefault="00C97ACB" w:rsidP="00C97ACB">
      <w:pPr>
        <w:pStyle w:val="ListParagraph"/>
        <w:ind w:left="0"/>
        <w:rPr>
          <w:szCs w:val="20"/>
          <w:lang w:val="es-ES"/>
        </w:rPr>
      </w:pPr>
    </w:p>
    <w:p w14:paraId="624D943A" w14:textId="066EDC6F" w:rsidR="0068639B" w:rsidRPr="0068639B" w:rsidRDefault="0068639B" w:rsidP="00595477">
      <w:pPr>
        <w:pStyle w:val="BodyTextIndent"/>
        <w:ind w:left="360"/>
      </w:pPr>
      <w:r>
        <w:t>C.2</w:t>
      </w:r>
      <w:r w:rsidRPr="00D80281">
        <w:t xml:space="preserve"> La </w:t>
      </w:r>
      <w:r>
        <w:t xml:space="preserve">necesidad de la especificidad respecto a las </w:t>
      </w:r>
      <w:r w:rsidRPr="00D80281">
        <w:t xml:space="preserve">garantías judiciales </w:t>
      </w:r>
      <w:r>
        <w:t>que resultan aplicables para cada caso concreto</w:t>
      </w:r>
    </w:p>
    <w:p w14:paraId="553C60D1" w14:textId="77777777" w:rsidR="001362B2" w:rsidRPr="00C97ACB" w:rsidRDefault="001362B2" w:rsidP="00897ED2">
      <w:pPr>
        <w:pStyle w:val="ListParagraph"/>
        <w:ind w:left="0"/>
        <w:rPr>
          <w:szCs w:val="20"/>
          <w:lang w:val="es-CR"/>
        </w:rPr>
      </w:pPr>
    </w:p>
    <w:p w14:paraId="085B1369" w14:textId="77777777" w:rsidR="0052647B" w:rsidRPr="00660269" w:rsidRDefault="003E58EB" w:rsidP="00897ED2">
      <w:pPr>
        <w:pStyle w:val="ListParagraph"/>
        <w:numPr>
          <w:ilvl w:val="0"/>
          <w:numId w:val="5"/>
        </w:numPr>
        <w:ind w:left="0" w:firstLine="0"/>
        <w:rPr>
          <w:szCs w:val="20"/>
          <w:lang w:val="es-ES"/>
        </w:rPr>
      </w:pPr>
      <w:r>
        <w:rPr>
          <w:szCs w:val="20"/>
          <w:lang w:val="es-ES"/>
        </w:rPr>
        <w:t xml:space="preserve">Además de la importancia de analizar la naturaleza del proceso y </w:t>
      </w:r>
      <w:r w:rsidR="009B4C38">
        <w:rPr>
          <w:szCs w:val="20"/>
          <w:lang w:val="es-ES"/>
        </w:rPr>
        <w:t xml:space="preserve">de reservar </w:t>
      </w:r>
      <w:r>
        <w:rPr>
          <w:szCs w:val="20"/>
          <w:lang w:val="es-ES"/>
        </w:rPr>
        <w:t>las garantías contenidas en el artículo 8.2 únicamente a procesos de naturaleza sancionatoria en donde se ejercita el poder punitivo del Estado</w:t>
      </w:r>
      <w:r w:rsidR="001362B2">
        <w:rPr>
          <w:szCs w:val="20"/>
          <w:lang w:val="es-ES"/>
        </w:rPr>
        <w:t xml:space="preserve">, es particularmente </w:t>
      </w:r>
      <w:r>
        <w:rPr>
          <w:szCs w:val="20"/>
          <w:lang w:val="es-ES"/>
        </w:rPr>
        <w:t>relevante</w:t>
      </w:r>
      <w:r w:rsidR="001362B2">
        <w:rPr>
          <w:szCs w:val="20"/>
          <w:lang w:val="es-ES"/>
        </w:rPr>
        <w:t xml:space="preserve"> </w:t>
      </w:r>
      <w:r w:rsidR="001362B2" w:rsidRPr="001362B2">
        <w:rPr>
          <w:color w:val="000000"/>
          <w:szCs w:val="20"/>
          <w:lang w:val="es-ES"/>
        </w:rPr>
        <w:t xml:space="preserve">determinar </w:t>
      </w:r>
      <w:r w:rsidR="001362B2">
        <w:rPr>
          <w:color w:val="000000"/>
          <w:szCs w:val="20"/>
          <w:lang w:val="es-ES"/>
        </w:rPr>
        <w:t xml:space="preserve">con </w:t>
      </w:r>
      <w:r w:rsidR="00273E65">
        <w:rPr>
          <w:color w:val="000000"/>
          <w:szCs w:val="20"/>
          <w:lang w:val="es-ES"/>
        </w:rPr>
        <w:t>especial</w:t>
      </w:r>
      <w:r w:rsidR="001362B2">
        <w:rPr>
          <w:color w:val="000000"/>
          <w:szCs w:val="20"/>
          <w:lang w:val="es-ES"/>
        </w:rPr>
        <w:t xml:space="preserve"> atención</w:t>
      </w:r>
      <w:r>
        <w:rPr>
          <w:color w:val="000000"/>
          <w:szCs w:val="20"/>
          <w:lang w:val="es-ES"/>
        </w:rPr>
        <w:t xml:space="preserve"> dentro del análisis de la Corte</w:t>
      </w:r>
      <w:r w:rsidR="001362B2">
        <w:rPr>
          <w:color w:val="000000"/>
          <w:szCs w:val="20"/>
          <w:lang w:val="es-ES"/>
        </w:rPr>
        <w:t xml:space="preserve"> </w:t>
      </w:r>
      <w:r w:rsidR="009B4C38" w:rsidRPr="009B4C38">
        <w:rPr>
          <w:i/>
          <w:color w:val="000000"/>
          <w:szCs w:val="20"/>
          <w:lang w:val="es-ES"/>
        </w:rPr>
        <w:t>cu</w:t>
      </w:r>
      <w:r w:rsidR="009B4C38">
        <w:rPr>
          <w:i/>
          <w:color w:val="000000"/>
          <w:szCs w:val="20"/>
          <w:lang w:val="es-ES"/>
        </w:rPr>
        <w:t>á</w:t>
      </w:r>
      <w:r w:rsidR="009B4C38" w:rsidRPr="00660269">
        <w:rPr>
          <w:i/>
          <w:color w:val="000000"/>
          <w:szCs w:val="20"/>
          <w:lang w:val="es-ES"/>
        </w:rPr>
        <w:t xml:space="preserve">les </w:t>
      </w:r>
      <w:r w:rsidR="001362B2" w:rsidRPr="001362B2">
        <w:rPr>
          <w:color w:val="000000"/>
          <w:szCs w:val="20"/>
          <w:lang w:val="es-ES"/>
        </w:rPr>
        <w:t xml:space="preserve">de las garantías contenidas en </w:t>
      </w:r>
      <w:r w:rsidR="001362B2">
        <w:rPr>
          <w:color w:val="000000"/>
          <w:szCs w:val="20"/>
          <w:lang w:val="es-ES"/>
        </w:rPr>
        <w:t>dicho artículo</w:t>
      </w:r>
      <w:r w:rsidR="001362B2" w:rsidRPr="001362B2">
        <w:rPr>
          <w:color w:val="000000"/>
          <w:szCs w:val="20"/>
          <w:lang w:val="es-ES"/>
        </w:rPr>
        <w:t xml:space="preserve"> pueden ser aplicadas en concreto a </w:t>
      </w:r>
      <w:r w:rsidR="009B4C38">
        <w:rPr>
          <w:color w:val="000000"/>
          <w:szCs w:val="20"/>
          <w:lang w:val="es-ES"/>
        </w:rPr>
        <w:t>un proceso administrativo sancionatorio o como ocurre en el pres</w:t>
      </w:r>
      <w:r w:rsidR="00660269">
        <w:rPr>
          <w:color w:val="000000"/>
          <w:szCs w:val="20"/>
          <w:lang w:val="es-ES"/>
        </w:rPr>
        <w:t>e</w:t>
      </w:r>
      <w:r w:rsidR="009B4C38">
        <w:rPr>
          <w:color w:val="000000"/>
          <w:szCs w:val="20"/>
          <w:lang w:val="es-ES"/>
        </w:rPr>
        <w:t xml:space="preserve">nte caso a un proceso disciplinario. </w:t>
      </w:r>
    </w:p>
    <w:p w14:paraId="290462AF" w14:textId="77777777" w:rsidR="0052647B" w:rsidRPr="0052647B" w:rsidRDefault="0052647B" w:rsidP="00897ED2">
      <w:pPr>
        <w:pStyle w:val="ListParagraph"/>
        <w:ind w:left="0"/>
        <w:rPr>
          <w:szCs w:val="20"/>
          <w:lang w:val="es-ES"/>
        </w:rPr>
      </w:pPr>
    </w:p>
    <w:p w14:paraId="284AAE9D" w14:textId="41F44AFD" w:rsidR="00281CC4" w:rsidRDefault="009F1B8A" w:rsidP="00897ED2">
      <w:pPr>
        <w:pStyle w:val="ListParagraph"/>
        <w:numPr>
          <w:ilvl w:val="0"/>
          <w:numId w:val="5"/>
        </w:numPr>
        <w:ind w:left="0" w:firstLine="0"/>
        <w:rPr>
          <w:szCs w:val="20"/>
          <w:lang w:val="es-ES"/>
        </w:rPr>
      </w:pPr>
      <w:r>
        <w:rPr>
          <w:szCs w:val="20"/>
          <w:lang w:val="es-ES"/>
        </w:rPr>
        <w:t>E</w:t>
      </w:r>
      <w:r w:rsidR="00533870" w:rsidRPr="009F1B8A">
        <w:rPr>
          <w:szCs w:val="20"/>
          <w:lang w:val="es-ES"/>
        </w:rPr>
        <w:t xml:space="preserve">n aras de una mayor seguridad jurídica, es </w:t>
      </w:r>
      <w:r>
        <w:rPr>
          <w:szCs w:val="20"/>
          <w:lang w:val="es-ES"/>
        </w:rPr>
        <w:t>necesario</w:t>
      </w:r>
      <w:r w:rsidR="00533870" w:rsidRPr="009F1B8A">
        <w:rPr>
          <w:szCs w:val="20"/>
          <w:lang w:val="es-ES"/>
        </w:rPr>
        <w:t xml:space="preserve"> que la Corte elabore una clara y uniforme interpretación sobre el ámbito de aplicación de </w:t>
      </w:r>
      <w:r w:rsidR="00533870" w:rsidRPr="009F1B8A">
        <w:rPr>
          <w:iCs/>
          <w:szCs w:val="20"/>
          <w:lang w:val="es-ES"/>
        </w:rPr>
        <w:t>cada</w:t>
      </w:r>
      <w:r w:rsidR="00533870" w:rsidRPr="009F1B8A">
        <w:rPr>
          <w:szCs w:val="20"/>
          <w:lang w:val="es-ES"/>
        </w:rPr>
        <w:t xml:space="preserve"> una de las garantías contenidas en el </w:t>
      </w:r>
      <w:r>
        <w:rPr>
          <w:szCs w:val="20"/>
          <w:lang w:val="es-ES"/>
        </w:rPr>
        <w:t>artículo 8.2 de la Convenci</w:t>
      </w:r>
      <w:r w:rsidR="00A4361F">
        <w:rPr>
          <w:szCs w:val="20"/>
          <w:lang w:val="es-ES"/>
        </w:rPr>
        <w:t>ón,</w:t>
      </w:r>
      <w:r>
        <w:rPr>
          <w:szCs w:val="20"/>
          <w:lang w:val="es-ES"/>
        </w:rPr>
        <w:t xml:space="preserve"> </w:t>
      </w:r>
      <w:r w:rsidR="00A4361F">
        <w:rPr>
          <w:szCs w:val="20"/>
          <w:lang w:val="es-ES"/>
        </w:rPr>
        <w:t>a fin de que cuando se determine que ha sido</w:t>
      </w:r>
      <w:r>
        <w:rPr>
          <w:szCs w:val="20"/>
          <w:lang w:val="es-ES"/>
        </w:rPr>
        <w:t xml:space="preserve"> violado dicho artículo se indique de manera expresa</w:t>
      </w:r>
      <w:r w:rsidR="00DB30F1">
        <w:rPr>
          <w:szCs w:val="20"/>
          <w:lang w:val="es-ES"/>
        </w:rPr>
        <w:t xml:space="preserve"> </w:t>
      </w:r>
      <w:r w:rsidR="009B4C38">
        <w:rPr>
          <w:szCs w:val="20"/>
          <w:lang w:val="es-ES"/>
        </w:rPr>
        <w:t>la garantía que fue vulnerada</w:t>
      </w:r>
      <w:r w:rsidR="00DB30F1">
        <w:rPr>
          <w:szCs w:val="20"/>
          <w:lang w:val="es-ES"/>
        </w:rPr>
        <w:t xml:space="preserve">. </w:t>
      </w:r>
      <w:r w:rsidR="009B4C38">
        <w:rPr>
          <w:szCs w:val="20"/>
          <w:lang w:val="es-ES"/>
        </w:rPr>
        <w:t>As</w:t>
      </w:r>
      <w:r w:rsidR="00281CC4">
        <w:rPr>
          <w:szCs w:val="20"/>
          <w:lang w:val="es-ES"/>
        </w:rPr>
        <w:t>í mi</w:t>
      </w:r>
      <w:r w:rsidR="009B4C38">
        <w:rPr>
          <w:szCs w:val="20"/>
          <w:lang w:val="es-ES"/>
        </w:rPr>
        <w:t>s</w:t>
      </w:r>
      <w:r w:rsidR="00281CC4">
        <w:rPr>
          <w:szCs w:val="20"/>
          <w:lang w:val="es-ES"/>
        </w:rPr>
        <w:t>m</w:t>
      </w:r>
      <w:r w:rsidR="009B4C38">
        <w:rPr>
          <w:szCs w:val="20"/>
          <w:lang w:val="es-ES"/>
        </w:rPr>
        <w:t>o, resulta necesario diferencia</w:t>
      </w:r>
      <w:r w:rsidR="00281CC4">
        <w:rPr>
          <w:szCs w:val="20"/>
          <w:lang w:val="es-ES"/>
        </w:rPr>
        <w:t>r</w:t>
      </w:r>
      <w:r w:rsidR="009B4C38">
        <w:rPr>
          <w:szCs w:val="20"/>
          <w:lang w:val="es-ES"/>
        </w:rPr>
        <w:t xml:space="preserve"> el </w:t>
      </w:r>
      <w:r w:rsidR="00281CC4">
        <w:rPr>
          <w:szCs w:val="20"/>
          <w:lang w:val="es-ES"/>
        </w:rPr>
        <w:t xml:space="preserve">distinto </w:t>
      </w:r>
      <w:r w:rsidR="009B4C38">
        <w:rPr>
          <w:szCs w:val="20"/>
          <w:lang w:val="es-ES"/>
        </w:rPr>
        <w:t xml:space="preserve">alcance </w:t>
      </w:r>
      <w:r w:rsidR="00281CC4">
        <w:rPr>
          <w:szCs w:val="20"/>
          <w:lang w:val="es-ES"/>
        </w:rPr>
        <w:t>que tiene la garantía de acuerdo a la modalidad del proceso que se trate, pues no siempre resulta exigible el mismo nivel de rigurosidad que el exigible en un proceso penal.</w:t>
      </w:r>
    </w:p>
    <w:p w14:paraId="54198B1C" w14:textId="77777777" w:rsidR="001C11F6" w:rsidRPr="00C97ACB" w:rsidRDefault="001C11F6" w:rsidP="00897ED2">
      <w:pPr>
        <w:rPr>
          <w:b/>
          <w:caps/>
          <w:szCs w:val="20"/>
          <w:lang w:val="es-ES"/>
        </w:rPr>
      </w:pPr>
    </w:p>
    <w:p w14:paraId="72FA9559" w14:textId="77777777" w:rsidR="001C11F6" w:rsidRPr="00C72CE1" w:rsidRDefault="005E3281" w:rsidP="00330E12">
      <w:pPr>
        <w:pStyle w:val="ListParagraph"/>
        <w:numPr>
          <w:ilvl w:val="0"/>
          <w:numId w:val="3"/>
        </w:numPr>
        <w:ind w:left="0" w:firstLine="0"/>
        <w:jc w:val="left"/>
        <w:rPr>
          <w:rFonts w:eastAsia="Calibri" w:cs="Times New Roman"/>
          <w:b/>
          <w:noProof w:val="0"/>
          <w:szCs w:val="20"/>
          <w:lang w:val="es-CR"/>
        </w:rPr>
      </w:pPr>
      <w:r>
        <w:rPr>
          <w:rFonts w:eastAsia="Calibri" w:cs="Times New Roman"/>
          <w:b/>
          <w:noProof w:val="0"/>
          <w:szCs w:val="20"/>
          <w:lang w:val="es-CR"/>
        </w:rPr>
        <w:t>Conclusión</w:t>
      </w:r>
      <w:r w:rsidR="008376DF">
        <w:rPr>
          <w:rFonts w:eastAsia="Calibri" w:cs="Times New Roman"/>
          <w:b/>
          <w:noProof w:val="0"/>
          <w:szCs w:val="20"/>
          <w:lang w:val="es-CR"/>
        </w:rPr>
        <w:t xml:space="preserve"> </w:t>
      </w:r>
    </w:p>
    <w:p w14:paraId="124071EB" w14:textId="77777777" w:rsidR="001C11F6" w:rsidRPr="0073269F" w:rsidRDefault="001C11F6" w:rsidP="00897ED2">
      <w:pPr>
        <w:tabs>
          <w:tab w:val="left" w:pos="720"/>
        </w:tabs>
        <w:rPr>
          <w:rFonts w:eastAsia="Calibri" w:cs="Times New Roman"/>
          <w:b/>
          <w:noProof w:val="0"/>
          <w:szCs w:val="20"/>
          <w:lang w:val="es-CR"/>
        </w:rPr>
      </w:pPr>
    </w:p>
    <w:p w14:paraId="2561B04A" w14:textId="45103991" w:rsidR="007E234C" w:rsidRDefault="001C11F6" w:rsidP="007E234C">
      <w:pPr>
        <w:pStyle w:val="ListParagraph"/>
        <w:numPr>
          <w:ilvl w:val="0"/>
          <w:numId w:val="5"/>
        </w:numPr>
        <w:tabs>
          <w:tab w:val="left" w:pos="0"/>
          <w:tab w:val="left" w:pos="709"/>
        </w:tabs>
        <w:ind w:left="0" w:firstLine="0"/>
        <w:rPr>
          <w:rFonts w:eastAsia="Calibri" w:cs="Times New Roman"/>
          <w:b/>
          <w:noProof w:val="0"/>
          <w:szCs w:val="20"/>
          <w:lang w:val="es-CR"/>
        </w:rPr>
      </w:pPr>
      <w:r w:rsidRPr="007E234C">
        <w:rPr>
          <w:rFonts w:eastAsia="Times New Roman" w:cs="Times New Roman"/>
          <w:noProof w:val="0"/>
          <w:lang w:val="es-CL" w:eastAsia="es-MX"/>
        </w:rPr>
        <w:t xml:space="preserve">La </w:t>
      </w:r>
      <w:r w:rsidR="00A85129" w:rsidRPr="007E234C">
        <w:rPr>
          <w:rFonts w:eastAsia="Times New Roman" w:cs="Times New Roman"/>
          <w:noProof w:val="0"/>
          <w:lang w:val="es-CL" w:eastAsia="es-MX"/>
        </w:rPr>
        <w:t xml:space="preserve">correcta </w:t>
      </w:r>
      <w:r w:rsidR="000D36F6" w:rsidRPr="007E234C">
        <w:rPr>
          <w:rFonts w:eastAsia="Times New Roman,Calibri" w:cs="Times New Roman,Calibri"/>
          <w:noProof w:val="0"/>
          <w:lang w:val="es-CR"/>
        </w:rPr>
        <w:t xml:space="preserve">aplicación de las </w:t>
      </w:r>
      <w:r w:rsidR="000D36F6" w:rsidRPr="007E234C">
        <w:t>garantías contenidas en el artículo 8.2 de la Convención Americana en procesos que no son de naturaleza penal</w:t>
      </w:r>
      <w:r w:rsidR="00D3646D" w:rsidRPr="007E234C">
        <w:t>,</w:t>
      </w:r>
      <w:r w:rsidR="00A85129" w:rsidRPr="007E234C">
        <w:t xml:space="preserve"> necesariamente debe tomar en consideración la naturaleza del</w:t>
      </w:r>
      <w:r w:rsidR="00D3646D" w:rsidRPr="007E234C">
        <w:t xml:space="preserve"> proceso que está bajo análisis</w:t>
      </w:r>
      <w:r w:rsidR="00A85129" w:rsidRPr="007E234C">
        <w:t xml:space="preserve"> y</w:t>
      </w:r>
      <w:r w:rsidR="00D3646D" w:rsidRPr="007E234C">
        <w:t>,</w:t>
      </w:r>
      <w:r w:rsidR="00A85129" w:rsidRPr="007E234C">
        <w:t xml:space="preserve"> a ese respecto</w:t>
      </w:r>
      <w:r w:rsidR="00D3646D" w:rsidRPr="007E234C">
        <w:t>,</w:t>
      </w:r>
      <w:r w:rsidR="00C97ACB" w:rsidRPr="007E234C">
        <w:t xml:space="preserve"> debe restringirse,</w:t>
      </w:r>
      <w:r w:rsidR="00C97ACB" w:rsidRPr="007E234C">
        <w:rPr>
          <w:i/>
          <w:iCs/>
        </w:rPr>
        <w:t xml:space="preserve"> prima facie</w:t>
      </w:r>
      <w:r w:rsidR="00C97ACB" w:rsidRPr="007E234C">
        <w:t>,</w:t>
      </w:r>
      <w:r w:rsidR="00A85129" w:rsidRPr="007E234C">
        <w:t xml:space="preserve"> a procesos de naturaleza sancionatoria en los que exista la necesidad de restringir el ejercicio poder punitivo estatal.</w:t>
      </w:r>
    </w:p>
    <w:p w14:paraId="1A7D409A" w14:textId="77777777" w:rsidR="007E234C" w:rsidRDefault="007E234C" w:rsidP="007E234C">
      <w:pPr>
        <w:pStyle w:val="ListParagraph"/>
        <w:tabs>
          <w:tab w:val="left" w:pos="0"/>
          <w:tab w:val="left" w:pos="709"/>
        </w:tabs>
        <w:ind w:left="0"/>
        <w:rPr>
          <w:rFonts w:eastAsia="Calibri" w:cs="Times New Roman"/>
          <w:b/>
          <w:noProof w:val="0"/>
          <w:szCs w:val="20"/>
          <w:lang w:val="es-CR"/>
        </w:rPr>
      </w:pPr>
    </w:p>
    <w:p w14:paraId="48338A7B" w14:textId="2FB4C5AD" w:rsidR="00C97ACB" w:rsidRPr="007E234C" w:rsidRDefault="00C97ACB" w:rsidP="007E234C">
      <w:pPr>
        <w:pStyle w:val="ListParagraph"/>
        <w:numPr>
          <w:ilvl w:val="0"/>
          <w:numId w:val="5"/>
        </w:numPr>
        <w:tabs>
          <w:tab w:val="left" w:pos="0"/>
          <w:tab w:val="left" w:pos="709"/>
        </w:tabs>
        <w:ind w:left="0" w:firstLine="0"/>
        <w:rPr>
          <w:rFonts w:eastAsia="Calibri" w:cs="Times New Roman"/>
          <w:b/>
          <w:noProof w:val="0"/>
          <w:szCs w:val="20"/>
          <w:lang w:val="es-CR"/>
        </w:rPr>
      </w:pPr>
      <w:r w:rsidRPr="007E234C">
        <w:rPr>
          <w:rFonts w:eastAsia="Times New Roman,Calibri" w:cs="Times New Roman,Calibri"/>
          <w:noProof w:val="0"/>
          <w:lang w:val="es-CR"/>
        </w:rPr>
        <w:t xml:space="preserve">Las garantías previstas en el art. 8.2 se deben aplicar en su totalidad cuando se trata de procesos penales, su extensión a otros procesos de carácter sancionatorio dependerá de las peculiaridades del caso examinado por la Corte. A este respecto no son aplicables </w:t>
      </w:r>
      <w:r w:rsidR="009E0EE3" w:rsidRPr="007E234C">
        <w:rPr>
          <w:rFonts w:eastAsia="Times New Roman,Calibri" w:cs="Times New Roman,Calibri"/>
          <w:noProof w:val="0"/>
          <w:lang w:val="es-CR"/>
        </w:rPr>
        <w:t>todas las garantías previstas en el precepto convencional</w:t>
      </w:r>
      <w:r w:rsidRPr="007E234C">
        <w:rPr>
          <w:rFonts w:eastAsia="Times New Roman,Calibri" w:cs="Times New Roman,Calibri"/>
          <w:noProof w:val="0"/>
          <w:lang w:val="es-CR"/>
        </w:rPr>
        <w:t>, ni tiene</w:t>
      </w:r>
      <w:r w:rsidR="009E0EE3" w:rsidRPr="007E234C">
        <w:rPr>
          <w:rFonts w:eastAsia="Times New Roman,Calibri" w:cs="Times New Roman,Calibri"/>
          <w:noProof w:val="0"/>
          <w:lang w:val="es-CR"/>
        </w:rPr>
        <w:t>n</w:t>
      </w:r>
      <w:r w:rsidRPr="007E234C">
        <w:rPr>
          <w:rFonts w:eastAsia="Times New Roman,Calibri" w:cs="Times New Roman,Calibri"/>
          <w:noProof w:val="0"/>
          <w:lang w:val="es-CR"/>
        </w:rPr>
        <w:t xml:space="preserve"> el mismo alcance en cualquier proceso de naturaleza sancionatoria. </w:t>
      </w:r>
    </w:p>
    <w:p w14:paraId="6CFBA0DA" w14:textId="77777777" w:rsidR="00897ED2" w:rsidRDefault="00897ED2" w:rsidP="00897ED2">
      <w:pPr>
        <w:tabs>
          <w:tab w:val="left" w:pos="709"/>
        </w:tabs>
        <w:ind w:left="360"/>
        <w:jc w:val="left"/>
        <w:rPr>
          <w:rFonts w:cs="Verdana"/>
          <w:szCs w:val="20"/>
        </w:rPr>
      </w:pPr>
    </w:p>
    <w:p w14:paraId="793FC6B0" w14:textId="77777777" w:rsidR="00B05365" w:rsidRDefault="00B05365" w:rsidP="00897ED2">
      <w:pPr>
        <w:tabs>
          <w:tab w:val="left" w:pos="709"/>
        </w:tabs>
        <w:ind w:left="360"/>
        <w:jc w:val="left"/>
        <w:rPr>
          <w:rFonts w:cs="Verdana"/>
          <w:szCs w:val="20"/>
        </w:rPr>
      </w:pPr>
    </w:p>
    <w:p w14:paraId="1EB6453A" w14:textId="77777777" w:rsidR="00B05365" w:rsidRPr="007E234C" w:rsidRDefault="00B05365" w:rsidP="00897ED2">
      <w:pPr>
        <w:tabs>
          <w:tab w:val="left" w:pos="709"/>
        </w:tabs>
        <w:ind w:left="360"/>
        <w:jc w:val="left"/>
        <w:rPr>
          <w:rFonts w:cs="Verdana"/>
          <w:szCs w:val="20"/>
        </w:rPr>
      </w:pPr>
    </w:p>
    <w:p w14:paraId="0C56B90B" w14:textId="77777777" w:rsidR="00764F9A" w:rsidRDefault="00764F9A" w:rsidP="00897ED2">
      <w:pPr>
        <w:tabs>
          <w:tab w:val="left" w:pos="709"/>
        </w:tabs>
        <w:ind w:left="360"/>
        <w:jc w:val="left"/>
        <w:rPr>
          <w:rFonts w:cs="Verdana"/>
          <w:szCs w:val="20"/>
        </w:rPr>
      </w:pPr>
    </w:p>
    <w:p w14:paraId="4FE0F67D" w14:textId="77777777" w:rsidR="00791DA6" w:rsidRDefault="00791DA6" w:rsidP="00897ED2">
      <w:pPr>
        <w:tabs>
          <w:tab w:val="left" w:pos="709"/>
        </w:tabs>
        <w:ind w:left="360"/>
        <w:jc w:val="left"/>
        <w:rPr>
          <w:rFonts w:cs="Verdana"/>
          <w:szCs w:val="20"/>
        </w:rPr>
      </w:pPr>
    </w:p>
    <w:p w14:paraId="045CF6DA" w14:textId="77777777" w:rsidR="001C11F6" w:rsidRPr="00897ED2" w:rsidRDefault="001C11F6" w:rsidP="00E84F87">
      <w:pPr>
        <w:tabs>
          <w:tab w:val="left" w:pos="709"/>
        </w:tabs>
        <w:ind w:left="3402"/>
        <w:jc w:val="center"/>
        <w:rPr>
          <w:rFonts w:eastAsia="Calibri" w:cs="Times New Roman"/>
          <w:b/>
          <w:noProof w:val="0"/>
          <w:szCs w:val="20"/>
          <w:lang w:val="es-CR"/>
        </w:rPr>
      </w:pPr>
      <w:r>
        <w:rPr>
          <w:rFonts w:cs="Verdana"/>
          <w:szCs w:val="20"/>
        </w:rPr>
        <w:t>Humberto Antonio Sierra Porto</w:t>
      </w:r>
    </w:p>
    <w:p w14:paraId="7D76A9B6" w14:textId="14C7FDCD" w:rsidR="001C11F6" w:rsidRPr="00E76B2D" w:rsidRDefault="00B05365" w:rsidP="00B05365">
      <w:pPr>
        <w:tabs>
          <w:tab w:val="left" w:pos="709"/>
          <w:tab w:val="left" w:pos="9356"/>
        </w:tabs>
        <w:ind w:right="-516"/>
        <w:outlineLvl w:val="0"/>
        <w:rPr>
          <w:rFonts w:cs="Verdana"/>
          <w:szCs w:val="20"/>
        </w:rPr>
      </w:pPr>
      <w:r>
        <w:rPr>
          <w:rFonts w:cs="Verdana"/>
          <w:szCs w:val="20"/>
        </w:rPr>
        <w:tab/>
        <w:t xml:space="preserve">                                                                               </w:t>
      </w:r>
      <w:r w:rsidR="001C11F6" w:rsidRPr="00E76B2D">
        <w:rPr>
          <w:rFonts w:cs="Verdana"/>
          <w:szCs w:val="20"/>
        </w:rPr>
        <w:t>Juez</w:t>
      </w:r>
    </w:p>
    <w:p w14:paraId="4C59A4E0" w14:textId="77777777" w:rsidR="001C11F6" w:rsidRDefault="001C11F6" w:rsidP="00791DA6">
      <w:pPr>
        <w:tabs>
          <w:tab w:val="left" w:pos="709"/>
          <w:tab w:val="left" w:pos="9356"/>
        </w:tabs>
        <w:ind w:right="-516"/>
        <w:jc w:val="center"/>
        <w:outlineLvl w:val="0"/>
        <w:rPr>
          <w:rFonts w:cs="Verdana"/>
          <w:szCs w:val="20"/>
        </w:rPr>
      </w:pPr>
    </w:p>
    <w:p w14:paraId="261705A9" w14:textId="77777777" w:rsidR="001C11F6" w:rsidRDefault="001C11F6" w:rsidP="00791DA6">
      <w:pPr>
        <w:tabs>
          <w:tab w:val="left" w:pos="709"/>
          <w:tab w:val="left" w:pos="9356"/>
        </w:tabs>
        <w:ind w:right="-516"/>
        <w:jc w:val="center"/>
        <w:outlineLvl w:val="0"/>
        <w:rPr>
          <w:rFonts w:cs="Verdana"/>
          <w:szCs w:val="20"/>
        </w:rPr>
      </w:pPr>
    </w:p>
    <w:p w14:paraId="518A7C24" w14:textId="77777777" w:rsidR="00B05365" w:rsidRDefault="00B05365" w:rsidP="00791DA6">
      <w:pPr>
        <w:tabs>
          <w:tab w:val="left" w:pos="709"/>
          <w:tab w:val="left" w:pos="9356"/>
        </w:tabs>
        <w:ind w:right="-516"/>
        <w:jc w:val="center"/>
        <w:outlineLvl w:val="0"/>
        <w:rPr>
          <w:rFonts w:cs="Verdana"/>
          <w:szCs w:val="20"/>
        </w:rPr>
      </w:pPr>
    </w:p>
    <w:p w14:paraId="5C40E787" w14:textId="77777777" w:rsidR="001C11F6" w:rsidRDefault="001C11F6" w:rsidP="00791DA6">
      <w:pPr>
        <w:tabs>
          <w:tab w:val="left" w:pos="709"/>
          <w:tab w:val="left" w:pos="9356"/>
        </w:tabs>
        <w:ind w:right="-516"/>
        <w:jc w:val="center"/>
        <w:outlineLvl w:val="0"/>
        <w:rPr>
          <w:rFonts w:cs="Verdana"/>
          <w:szCs w:val="20"/>
        </w:rPr>
      </w:pPr>
    </w:p>
    <w:p w14:paraId="40FF1CA8" w14:textId="77777777" w:rsidR="00FA7C36" w:rsidRDefault="00FA7C36" w:rsidP="00791DA6">
      <w:pPr>
        <w:tabs>
          <w:tab w:val="left" w:pos="709"/>
          <w:tab w:val="left" w:pos="9356"/>
        </w:tabs>
        <w:ind w:right="-516"/>
        <w:jc w:val="left"/>
        <w:outlineLvl w:val="0"/>
        <w:rPr>
          <w:rFonts w:cs="Verdana"/>
          <w:szCs w:val="20"/>
        </w:rPr>
      </w:pPr>
    </w:p>
    <w:p w14:paraId="15FB211D" w14:textId="77777777" w:rsidR="00FA7C36" w:rsidRDefault="00FA7C36" w:rsidP="00791DA6">
      <w:pPr>
        <w:tabs>
          <w:tab w:val="left" w:pos="709"/>
          <w:tab w:val="left" w:pos="9356"/>
        </w:tabs>
        <w:ind w:right="-516"/>
        <w:jc w:val="left"/>
        <w:outlineLvl w:val="0"/>
        <w:rPr>
          <w:rFonts w:cs="Verdana"/>
          <w:szCs w:val="20"/>
        </w:rPr>
      </w:pPr>
    </w:p>
    <w:p w14:paraId="5E322555" w14:textId="77777777" w:rsidR="001C11F6" w:rsidRPr="007363A8" w:rsidRDefault="001C11F6" w:rsidP="00E84F87">
      <w:pPr>
        <w:tabs>
          <w:tab w:val="left" w:pos="709"/>
          <w:tab w:val="left" w:pos="9356"/>
        </w:tabs>
        <w:ind w:left="709" w:right="-516"/>
        <w:jc w:val="left"/>
        <w:outlineLvl w:val="0"/>
        <w:rPr>
          <w:rFonts w:cs="Verdana"/>
          <w:szCs w:val="20"/>
        </w:rPr>
      </w:pPr>
      <w:r w:rsidRPr="007363A8">
        <w:rPr>
          <w:rFonts w:cs="Verdana"/>
          <w:szCs w:val="20"/>
        </w:rPr>
        <w:t>Pablo Saavedra Alessandri</w:t>
      </w:r>
    </w:p>
    <w:p w14:paraId="44CF18E0" w14:textId="6E60FB0C" w:rsidR="001C11F6" w:rsidRPr="00791DA6" w:rsidRDefault="00E84F87" w:rsidP="00E84F87">
      <w:pPr>
        <w:tabs>
          <w:tab w:val="left" w:pos="709"/>
        </w:tabs>
        <w:ind w:left="709" w:right="-516"/>
        <w:jc w:val="left"/>
        <w:rPr>
          <w:b/>
          <w:color w:val="000000"/>
          <w:szCs w:val="20"/>
        </w:rPr>
      </w:pPr>
      <w:r>
        <w:rPr>
          <w:rFonts w:cs="Verdana"/>
          <w:szCs w:val="20"/>
        </w:rPr>
        <w:tab/>
      </w:r>
      <w:r>
        <w:rPr>
          <w:rFonts w:cs="Verdana"/>
          <w:szCs w:val="20"/>
        </w:rPr>
        <w:tab/>
      </w:r>
      <w:r w:rsidR="001C11F6" w:rsidRPr="007363A8">
        <w:rPr>
          <w:rFonts w:cs="Verdana"/>
          <w:szCs w:val="20"/>
        </w:rPr>
        <w:t>Secretari</w:t>
      </w:r>
      <w:r w:rsidR="001C11F6">
        <w:rPr>
          <w:rFonts w:cs="Verdana"/>
          <w:szCs w:val="20"/>
        </w:rPr>
        <w:t>o</w:t>
      </w:r>
    </w:p>
    <w:p w14:paraId="57FA31E6" w14:textId="77777777" w:rsidR="0094609B" w:rsidRDefault="002A2F19"/>
    <w:sectPr w:rsidR="0094609B" w:rsidSect="00E21B6A">
      <w:footerReference w:type="default" r:id="rId9"/>
      <w:pgSz w:w="12240" w:h="15840"/>
      <w:pgMar w:top="1134" w:right="1304"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5ECCB" w14:textId="77777777" w:rsidR="002A2F19" w:rsidRDefault="002A2F19" w:rsidP="001C11F6">
      <w:r>
        <w:separator/>
      </w:r>
    </w:p>
  </w:endnote>
  <w:endnote w:type="continuationSeparator" w:id="0">
    <w:p w14:paraId="3AEC10BD" w14:textId="77777777" w:rsidR="002A2F19" w:rsidRDefault="002A2F19" w:rsidP="001C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74745224"/>
      <w:docPartObj>
        <w:docPartGallery w:val="Page Numbers (Bottom of Page)"/>
        <w:docPartUnique/>
      </w:docPartObj>
    </w:sdtPr>
    <w:sdtEndPr>
      <w:rPr>
        <w:noProof/>
      </w:rPr>
    </w:sdtEndPr>
    <w:sdtContent>
      <w:p w14:paraId="640BE75A" w14:textId="5E5654E0" w:rsidR="00287D3E" w:rsidRDefault="00D53E5E">
        <w:pPr>
          <w:pStyle w:val="Footer"/>
          <w:jc w:val="center"/>
        </w:pPr>
        <w:r>
          <w:rPr>
            <w:noProof w:val="0"/>
          </w:rPr>
          <w:fldChar w:fldCharType="begin"/>
        </w:r>
        <w:r>
          <w:instrText xml:space="preserve"> PAGE   \* MERGEFORMAT </w:instrText>
        </w:r>
        <w:r>
          <w:rPr>
            <w:noProof w:val="0"/>
          </w:rPr>
          <w:fldChar w:fldCharType="separate"/>
        </w:r>
        <w:r w:rsidR="00E21B6A">
          <w:t>2</w:t>
        </w:r>
        <w:r>
          <w:fldChar w:fldCharType="end"/>
        </w:r>
      </w:p>
    </w:sdtContent>
  </w:sdt>
  <w:p w14:paraId="37B76247" w14:textId="77777777" w:rsidR="00287D3E" w:rsidRDefault="002A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F91E8" w14:textId="77777777" w:rsidR="002A2F19" w:rsidRDefault="002A2F19" w:rsidP="001C11F6">
      <w:r>
        <w:separator/>
      </w:r>
    </w:p>
  </w:footnote>
  <w:footnote w:type="continuationSeparator" w:id="0">
    <w:p w14:paraId="50488955" w14:textId="77777777" w:rsidR="002A2F19" w:rsidRDefault="002A2F19" w:rsidP="001C11F6">
      <w:r>
        <w:continuationSeparator/>
      </w:r>
    </w:p>
  </w:footnote>
  <w:footnote w:id="1">
    <w:p w14:paraId="292473E3" w14:textId="77777777" w:rsidR="00234057" w:rsidRPr="00A5488E" w:rsidRDefault="00234057" w:rsidP="00234057">
      <w:pPr>
        <w:pStyle w:val="FootnoteText"/>
        <w:rPr>
          <w:sz w:val="16"/>
          <w:szCs w:val="16"/>
          <w:lang w:val="es-ES"/>
        </w:rPr>
      </w:pPr>
      <w:r w:rsidRPr="00A5488E">
        <w:rPr>
          <w:rStyle w:val="FootnoteReference"/>
          <w:sz w:val="16"/>
          <w:szCs w:val="16"/>
        </w:rPr>
        <w:footnoteRef/>
      </w:r>
      <w:r w:rsidRPr="00A5488E">
        <w:rPr>
          <w:sz w:val="16"/>
          <w:szCs w:val="16"/>
        </w:rPr>
        <w:t xml:space="preserve"> </w:t>
      </w:r>
      <w:r w:rsidRPr="00A5488E">
        <w:rPr>
          <w:sz w:val="16"/>
          <w:szCs w:val="16"/>
          <w:lang w:val="es-ES"/>
        </w:rPr>
        <w:tab/>
      </w:r>
      <w:r w:rsidR="00A5488E" w:rsidRPr="00A5488E">
        <w:rPr>
          <w:rFonts w:eastAsiaTheme="minorHAnsi" w:cstheme="minorBidi"/>
          <w:sz w:val="16"/>
          <w:szCs w:val="16"/>
          <w:lang w:val="es-MX"/>
        </w:rPr>
        <w:t xml:space="preserve">Párr. </w:t>
      </w:r>
      <w:r w:rsidR="00A5488E">
        <w:rPr>
          <w:rFonts w:eastAsiaTheme="minorHAnsi" w:cstheme="minorBidi"/>
          <w:sz w:val="16"/>
          <w:szCs w:val="16"/>
          <w:lang w:val="es-MX"/>
        </w:rPr>
        <w:t>74</w:t>
      </w:r>
      <w:r w:rsidR="00A5488E" w:rsidRPr="00A5488E">
        <w:rPr>
          <w:rFonts w:eastAsiaTheme="minorHAnsi" w:cstheme="minorBidi"/>
          <w:sz w:val="16"/>
          <w:szCs w:val="16"/>
          <w:lang w:val="es-MX"/>
        </w:rPr>
        <w:t xml:space="preserve"> de la Sentencia</w:t>
      </w:r>
      <w:r w:rsidRPr="00A5488E">
        <w:rPr>
          <w:sz w:val="16"/>
          <w:szCs w:val="16"/>
          <w:lang w:val="es-ES"/>
        </w:rPr>
        <w:t xml:space="preserve">. </w:t>
      </w:r>
    </w:p>
  </w:footnote>
  <w:footnote w:id="2">
    <w:p w14:paraId="767E92CB" w14:textId="77B34B5F" w:rsidR="00D23EE5" w:rsidRPr="00B05365" w:rsidRDefault="00D23EE5" w:rsidP="003D7574">
      <w:pPr>
        <w:pStyle w:val="FootnoteText"/>
        <w:jc w:val="both"/>
        <w:rPr>
          <w:sz w:val="16"/>
          <w:szCs w:val="16"/>
          <w:lang w:val="es-CR"/>
        </w:rPr>
      </w:pPr>
      <w:r w:rsidRPr="006831FE">
        <w:rPr>
          <w:rStyle w:val="FootnoteReference"/>
          <w:sz w:val="16"/>
          <w:szCs w:val="16"/>
        </w:rPr>
        <w:footnoteRef/>
      </w:r>
      <w:r w:rsidRPr="001B62C6">
        <w:rPr>
          <w:sz w:val="16"/>
          <w:szCs w:val="16"/>
          <w:lang w:val="es-ES"/>
        </w:rPr>
        <w:t xml:space="preserve"> </w:t>
      </w:r>
      <w:r w:rsidRPr="001B62C6">
        <w:rPr>
          <w:sz w:val="16"/>
          <w:szCs w:val="16"/>
          <w:lang w:val="es-ES"/>
        </w:rPr>
        <w:tab/>
        <w:t>ECHR</w:t>
      </w:r>
      <w:r w:rsidR="00A04766" w:rsidRPr="001B62C6">
        <w:rPr>
          <w:sz w:val="16"/>
          <w:szCs w:val="16"/>
          <w:lang w:val="es-ES"/>
        </w:rPr>
        <w:t>.</w:t>
      </w:r>
      <w:r w:rsidRPr="001B62C6">
        <w:rPr>
          <w:sz w:val="16"/>
          <w:szCs w:val="16"/>
          <w:lang w:val="es-ES"/>
        </w:rPr>
        <w:t xml:space="preserve"> </w:t>
      </w:r>
      <w:r w:rsidRPr="00B05365">
        <w:rPr>
          <w:i/>
          <w:sz w:val="16"/>
          <w:szCs w:val="16"/>
          <w:lang w:val="es-CR"/>
        </w:rPr>
        <w:t xml:space="preserve">Engel and other </w:t>
      </w:r>
      <w:r w:rsidR="00A04766" w:rsidRPr="00B05365">
        <w:rPr>
          <w:i/>
          <w:sz w:val="16"/>
          <w:szCs w:val="16"/>
          <w:lang w:val="es-CR"/>
        </w:rPr>
        <w:t>v</w:t>
      </w:r>
      <w:r w:rsidRPr="00B05365">
        <w:rPr>
          <w:i/>
          <w:sz w:val="16"/>
          <w:szCs w:val="16"/>
          <w:lang w:val="es-CR"/>
        </w:rPr>
        <w:t>. The Netherlands</w:t>
      </w:r>
      <w:r w:rsidR="00E34F30" w:rsidRPr="00B05365">
        <w:rPr>
          <w:sz w:val="16"/>
          <w:szCs w:val="16"/>
          <w:lang w:val="es-CR"/>
        </w:rPr>
        <w:t xml:space="preserve">, </w:t>
      </w:r>
      <w:r w:rsidRPr="00B05365">
        <w:rPr>
          <w:sz w:val="16"/>
          <w:szCs w:val="16"/>
          <w:lang w:val="es-CR"/>
        </w:rPr>
        <w:t>S</w:t>
      </w:r>
      <w:r w:rsidR="00A8082C" w:rsidRPr="00B05365">
        <w:rPr>
          <w:sz w:val="16"/>
          <w:szCs w:val="16"/>
          <w:lang w:val="es-CR"/>
        </w:rPr>
        <w:t>entencia de 8 de junio de 1976.</w:t>
      </w:r>
    </w:p>
  </w:footnote>
  <w:footnote w:id="3">
    <w:p w14:paraId="70D272F3" w14:textId="4568C49A" w:rsidR="00D23EE5" w:rsidRPr="00B05365" w:rsidRDefault="00D23EE5" w:rsidP="003D7574">
      <w:pPr>
        <w:pStyle w:val="FootnoteText"/>
        <w:jc w:val="both"/>
        <w:rPr>
          <w:sz w:val="16"/>
          <w:szCs w:val="16"/>
          <w:lang w:val="es-CR"/>
        </w:rPr>
      </w:pPr>
      <w:r w:rsidRPr="006831FE">
        <w:rPr>
          <w:rStyle w:val="FootnoteReference"/>
          <w:sz w:val="16"/>
          <w:szCs w:val="16"/>
        </w:rPr>
        <w:footnoteRef/>
      </w:r>
      <w:r w:rsidRPr="00B05365">
        <w:rPr>
          <w:sz w:val="16"/>
          <w:szCs w:val="16"/>
          <w:lang w:val="es-CR"/>
        </w:rPr>
        <w:t xml:space="preserve"> </w:t>
      </w:r>
      <w:r w:rsidRPr="00B05365">
        <w:rPr>
          <w:sz w:val="16"/>
          <w:szCs w:val="16"/>
          <w:lang w:val="es-CR"/>
        </w:rPr>
        <w:tab/>
        <w:t>ECHR</w:t>
      </w:r>
      <w:r w:rsidR="00A04766" w:rsidRPr="00B05365">
        <w:rPr>
          <w:sz w:val="16"/>
          <w:szCs w:val="16"/>
          <w:lang w:val="es-CR"/>
        </w:rPr>
        <w:t>.</w:t>
      </w:r>
      <w:r w:rsidRPr="00B05365">
        <w:rPr>
          <w:sz w:val="16"/>
          <w:szCs w:val="16"/>
          <w:lang w:val="es-CR"/>
        </w:rPr>
        <w:t xml:space="preserve"> </w:t>
      </w:r>
      <w:r w:rsidRPr="00B05365">
        <w:rPr>
          <w:i/>
          <w:sz w:val="16"/>
          <w:szCs w:val="16"/>
          <w:lang w:val="es-CR"/>
        </w:rPr>
        <w:t xml:space="preserve">Lutz </w:t>
      </w:r>
      <w:r w:rsidR="00A04766" w:rsidRPr="00B05365">
        <w:rPr>
          <w:i/>
          <w:sz w:val="16"/>
          <w:szCs w:val="16"/>
          <w:lang w:val="es-CR"/>
        </w:rPr>
        <w:t>v</w:t>
      </w:r>
      <w:r w:rsidRPr="00B05365">
        <w:rPr>
          <w:i/>
          <w:sz w:val="16"/>
          <w:szCs w:val="16"/>
          <w:lang w:val="es-CR"/>
        </w:rPr>
        <w:t>. Germany</w:t>
      </w:r>
      <w:r w:rsidRPr="00B05365">
        <w:rPr>
          <w:sz w:val="16"/>
          <w:szCs w:val="16"/>
          <w:lang w:val="es-CR"/>
        </w:rPr>
        <w:t xml:space="preserve">, Sentencia de 25 de agosto de 1987; </w:t>
      </w:r>
      <w:r w:rsidRPr="00B05365">
        <w:rPr>
          <w:i/>
          <w:sz w:val="16"/>
          <w:szCs w:val="16"/>
          <w:lang w:val="es-CR"/>
        </w:rPr>
        <w:t>Campbell and Fell v. the United Kingdom</w:t>
      </w:r>
      <w:r w:rsidRPr="00B05365">
        <w:rPr>
          <w:sz w:val="16"/>
          <w:szCs w:val="16"/>
          <w:lang w:val="es-CR"/>
        </w:rPr>
        <w:t>, Sentencia de 28 de junio de 1984.</w:t>
      </w:r>
    </w:p>
  </w:footnote>
  <w:footnote w:id="4">
    <w:p w14:paraId="5490C232" w14:textId="5F78F8B7" w:rsidR="00D23EE5" w:rsidRPr="00B05365" w:rsidRDefault="00D23EE5" w:rsidP="003D7574">
      <w:pPr>
        <w:pStyle w:val="FootnoteText"/>
        <w:jc w:val="both"/>
        <w:rPr>
          <w:sz w:val="16"/>
          <w:szCs w:val="16"/>
          <w:lang w:val="es-CR"/>
        </w:rPr>
      </w:pPr>
      <w:r w:rsidRPr="006831FE">
        <w:rPr>
          <w:rStyle w:val="FootnoteReference"/>
          <w:sz w:val="16"/>
          <w:szCs w:val="16"/>
        </w:rPr>
        <w:footnoteRef/>
      </w:r>
      <w:r w:rsidRPr="001B62C6">
        <w:rPr>
          <w:sz w:val="16"/>
          <w:szCs w:val="16"/>
          <w:lang w:val="en-US"/>
        </w:rPr>
        <w:t xml:space="preserve"> </w:t>
      </w:r>
      <w:r w:rsidRPr="001B62C6">
        <w:rPr>
          <w:sz w:val="16"/>
          <w:szCs w:val="16"/>
          <w:lang w:val="en-US"/>
        </w:rPr>
        <w:tab/>
      </w:r>
      <w:proofErr w:type="gramStart"/>
      <w:r w:rsidRPr="001B62C6">
        <w:rPr>
          <w:sz w:val="16"/>
          <w:szCs w:val="16"/>
          <w:lang w:val="en-US"/>
        </w:rPr>
        <w:t>ECHR</w:t>
      </w:r>
      <w:r w:rsidR="00A04766" w:rsidRPr="001B62C6">
        <w:rPr>
          <w:sz w:val="16"/>
          <w:szCs w:val="16"/>
          <w:lang w:val="en-US"/>
        </w:rPr>
        <w:t>.</w:t>
      </w:r>
      <w:proofErr w:type="gramEnd"/>
      <w:r w:rsidRPr="001B62C6">
        <w:rPr>
          <w:sz w:val="16"/>
          <w:szCs w:val="16"/>
          <w:lang w:val="en-US"/>
        </w:rPr>
        <w:t xml:space="preserve"> </w:t>
      </w:r>
      <w:proofErr w:type="gramStart"/>
      <w:r w:rsidRPr="00A04766">
        <w:rPr>
          <w:i/>
          <w:sz w:val="16"/>
          <w:szCs w:val="16"/>
          <w:lang w:val="en-US"/>
        </w:rPr>
        <w:t xml:space="preserve">Case of </w:t>
      </w:r>
      <w:proofErr w:type="spellStart"/>
      <w:r w:rsidRPr="00A04766">
        <w:rPr>
          <w:i/>
          <w:sz w:val="16"/>
          <w:szCs w:val="16"/>
          <w:lang w:val="en-US"/>
        </w:rPr>
        <w:t>Ezeh</w:t>
      </w:r>
      <w:proofErr w:type="spellEnd"/>
      <w:r w:rsidRPr="00A04766">
        <w:rPr>
          <w:i/>
          <w:sz w:val="16"/>
          <w:szCs w:val="16"/>
          <w:lang w:val="en-US"/>
        </w:rPr>
        <w:t xml:space="preserve"> and Connors </w:t>
      </w:r>
      <w:r w:rsidR="00A04766" w:rsidRPr="001B62C6">
        <w:rPr>
          <w:i/>
          <w:sz w:val="16"/>
          <w:szCs w:val="16"/>
          <w:lang w:val="en-US"/>
        </w:rPr>
        <w:t>v</w:t>
      </w:r>
      <w:r w:rsidRPr="00A04766">
        <w:rPr>
          <w:i/>
          <w:sz w:val="16"/>
          <w:szCs w:val="16"/>
          <w:lang w:val="en-US"/>
        </w:rPr>
        <w:t>.</w:t>
      </w:r>
      <w:proofErr w:type="gramEnd"/>
      <w:r w:rsidRPr="00A04766">
        <w:rPr>
          <w:i/>
          <w:sz w:val="16"/>
          <w:szCs w:val="16"/>
          <w:lang w:val="en-US"/>
        </w:rPr>
        <w:t xml:space="preserve"> </w:t>
      </w:r>
      <w:r w:rsidRPr="001B62C6">
        <w:rPr>
          <w:i/>
          <w:sz w:val="16"/>
          <w:szCs w:val="16"/>
          <w:lang w:val="en-US"/>
        </w:rPr>
        <w:t>The United Kingdom</w:t>
      </w:r>
      <w:r w:rsidRPr="001B62C6">
        <w:rPr>
          <w:sz w:val="16"/>
          <w:szCs w:val="16"/>
          <w:lang w:val="en-US"/>
        </w:rPr>
        <w:t xml:space="preserve">, </w:t>
      </w:r>
      <w:proofErr w:type="spellStart"/>
      <w:r w:rsidRPr="001B62C6">
        <w:rPr>
          <w:sz w:val="16"/>
          <w:szCs w:val="16"/>
          <w:lang w:val="en-US"/>
        </w:rPr>
        <w:t>Sentencia</w:t>
      </w:r>
      <w:proofErr w:type="spellEnd"/>
      <w:r w:rsidRPr="001B62C6">
        <w:rPr>
          <w:sz w:val="16"/>
          <w:szCs w:val="16"/>
          <w:lang w:val="en-US"/>
        </w:rPr>
        <w:t xml:space="preserve"> de 9 de </w:t>
      </w:r>
      <w:proofErr w:type="spellStart"/>
      <w:r w:rsidRPr="001B62C6">
        <w:rPr>
          <w:sz w:val="16"/>
          <w:szCs w:val="16"/>
          <w:lang w:val="en-US"/>
        </w:rPr>
        <w:t>octubre</w:t>
      </w:r>
      <w:proofErr w:type="spellEnd"/>
      <w:r w:rsidRPr="001B62C6">
        <w:rPr>
          <w:sz w:val="16"/>
          <w:szCs w:val="16"/>
          <w:lang w:val="en-US"/>
        </w:rPr>
        <w:t xml:space="preserve"> de 2003</w:t>
      </w:r>
      <w:proofErr w:type="gramStart"/>
      <w:r w:rsidRPr="001B62C6">
        <w:rPr>
          <w:sz w:val="16"/>
          <w:szCs w:val="16"/>
          <w:lang w:val="en-US"/>
        </w:rPr>
        <w:t xml:space="preserve">,  </w:t>
      </w:r>
      <w:proofErr w:type="spellStart"/>
      <w:r w:rsidRPr="001B62C6">
        <w:rPr>
          <w:sz w:val="16"/>
          <w:szCs w:val="16"/>
          <w:lang w:val="en-US"/>
        </w:rPr>
        <w:t>párr</w:t>
      </w:r>
      <w:proofErr w:type="spellEnd"/>
      <w:proofErr w:type="gramEnd"/>
      <w:r w:rsidRPr="001B62C6">
        <w:rPr>
          <w:sz w:val="16"/>
          <w:szCs w:val="16"/>
          <w:lang w:val="en-US"/>
        </w:rPr>
        <w:t xml:space="preserve">. </w:t>
      </w:r>
      <w:r w:rsidRPr="00B05365">
        <w:rPr>
          <w:sz w:val="16"/>
          <w:szCs w:val="16"/>
          <w:lang w:val="es-CR"/>
        </w:rPr>
        <w:t>86</w:t>
      </w:r>
      <w:r w:rsidR="00F67373" w:rsidRPr="00B05365">
        <w:rPr>
          <w:sz w:val="16"/>
          <w:szCs w:val="16"/>
          <w:lang w:val="es-CR"/>
        </w:rPr>
        <w:t>;</w:t>
      </w:r>
      <w:r w:rsidRPr="00B05365">
        <w:rPr>
          <w:sz w:val="16"/>
          <w:szCs w:val="16"/>
          <w:lang w:val="es-CR"/>
        </w:rPr>
        <w:t xml:space="preserve"> </w:t>
      </w:r>
      <w:r w:rsidRPr="00B05365">
        <w:rPr>
          <w:i/>
          <w:sz w:val="16"/>
          <w:szCs w:val="16"/>
          <w:lang w:val="es-CR"/>
        </w:rPr>
        <w:t xml:space="preserve">Öztürk </w:t>
      </w:r>
      <w:r w:rsidR="00A04766" w:rsidRPr="00B05365">
        <w:rPr>
          <w:i/>
          <w:sz w:val="16"/>
          <w:szCs w:val="16"/>
          <w:lang w:val="es-CR"/>
        </w:rPr>
        <w:t>v</w:t>
      </w:r>
      <w:r w:rsidRPr="00B05365">
        <w:rPr>
          <w:i/>
          <w:sz w:val="16"/>
          <w:szCs w:val="16"/>
          <w:lang w:val="es-CR"/>
        </w:rPr>
        <w:t>. Germany</w:t>
      </w:r>
      <w:r w:rsidRPr="00B05365">
        <w:rPr>
          <w:sz w:val="16"/>
          <w:szCs w:val="16"/>
          <w:lang w:val="es-CR"/>
        </w:rPr>
        <w:t xml:space="preserve">, Sentencia de 21 de febrero de 1984, párr. </w:t>
      </w:r>
      <w:r w:rsidR="00E34F30" w:rsidRPr="00B05365">
        <w:rPr>
          <w:sz w:val="16"/>
          <w:szCs w:val="16"/>
          <w:lang w:val="es-CR"/>
        </w:rPr>
        <w:t>54</w:t>
      </w:r>
      <w:r w:rsidRPr="00B05365">
        <w:rPr>
          <w:sz w:val="16"/>
          <w:szCs w:val="16"/>
          <w:lang w:val="es-CR"/>
        </w:rPr>
        <w:t xml:space="preserve">. </w:t>
      </w:r>
    </w:p>
  </w:footnote>
  <w:footnote w:id="5">
    <w:p w14:paraId="7C1522FE" w14:textId="43C63835" w:rsidR="00D23EE5" w:rsidRPr="00B05365" w:rsidRDefault="00D23EE5" w:rsidP="007E234C">
      <w:pPr>
        <w:pStyle w:val="FootnoteText"/>
        <w:jc w:val="both"/>
        <w:rPr>
          <w:rFonts w:cs="Arial"/>
          <w:iCs/>
          <w:color w:val="000000"/>
          <w:sz w:val="16"/>
          <w:szCs w:val="16"/>
          <w:shd w:val="clear" w:color="auto" w:fill="FFFFFF"/>
          <w:lang w:val="es-CR"/>
        </w:rPr>
      </w:pPr>
      <w:r w:rsidRPr="006831FE">
        <w:rPr>
          <w:rStyle w:val="FootnoteReference"/>
          <w:sz w:val="16"/>
          <w:szCs w:val="16"/>
        </w:rPr>
        <w:footnoteRef/>
      </w:r>
      <w:r w:rsidRPr="00B05365">
        <w:rPr>
          <w:sz w:val="16"/>
          <w:szCs w:val="16"/>
          <w:lang w:val="es-CR"/>
        </w:rPr>
        <w:t xml:space="preserve"> </w:t>
      </w:r>
      <w:r w:rsidRPr="00B05365">
        <w:rPr>
          <w:sz w:val="16"/>
          <w:szCs w:val="16"/>
          <w:lang w:val="es-CR"/>
        </w:rPr>
        <w:tab/>
        <w:t>ECHR</w:t>
      </w:r>
      <w:r w:rsidR="00A04766" w:rsidRPr="00B05365">
        <w:rPr>
          <w:sz w:val="16"/>
          <w:szCs w:val="16"/>
          <w:lang w:val="es-CR"/>
        </w:rPr>
        <w:t>.</w:t>
      </w:r>
      <w:r w:rsidRPr="00B05365">
        <w:rPr>
          <w:sz w:val="16"/>
          <w:szCs w:val="16"/>
          <w:lang w:val="es-CR"/>
        </w:rPr>
        <w:t xml:space="preserve"> </w:t>
      </w:r>
      <w:r w:rsidRPr="00B05365">
        <w:rPr>
          <w:i/>
          <w:sz w:val="16"/>
          <w:szCs w:val="16"/>
          <w:lang w:val="es-CR"/>
        </w:rPr>
        <w:t>Case of</w:t>
      </w:r>
      <w:r w:rsidRPr="00B05365">
        <w:rPr>
          <w:sz w:val="16"/>
          <w:szCs w:val="16"/>
          <w:lang w:val="es-CR"/>
        </w:rPr>
        <w:t xml:space="preserve"> </w:t>
      </w:r>
      <w:r w:rsidRPr="00B05365">
        <w:rPr>
          <w:i/>
          <w:sz w:val="16"/>
          <w:szCs w:val="16"/>
          <w:lang w:val="es-CR"/>
        </w:rPr>
        <w:t xml:space="preserve">Albert and Le Compte </w:t>
      </w:r>
      <w:r w:rsidR="00A04766" w:rsidRPr="00B05365">
        <w:rPr>
          <w:i/>
          <w:sz w:val="16"/>
          <w:szCs w:val="16"/>
          <w:lang w:val="es-CR"/>
        </w:rPr>
        <w:t>v</w:t>
      </w:r>
      <w:r w:rsidRPr="00B05365">
        <w:rPr>
          <w:i/>
          <w:sz w:val="16"/>
          <w:szCs w:val="16"/>
          <w:lang w:val="es-CR"/>
        </w:rPr>
        <w:t>. Belgi</w:t>
      </w:r>
      <w:r w:rsidR="007E234C" w:rsidRPr="00B05365">
        <w:rPr>
          <w:i/>
          <w:sz w:val="16"/>
          <w:szCs w:val="16"/>
          <w:lang w:val="es-CR"/>
        </w:rPr>
        <w:t>u</w:t>
      </w:r>
      <w:r w:rsidRPr="00B05365">
        <w:rPr>
          <w:i/>
          <w:sz w:val="16"/>
          <w:szCs w:val="16"/>
          <w:lang w:val="es-CR"/>
        </w:rPr>
        <w:t>m</w:t>
      </w:r>
      <w:r w:rsidRPr="00B05365">
        <w:rPr>
          <w:sz w:val="16"/>
          <w:szCs w:val="16"/>
          <w:lang w:val="es-CR"/>
        </w:rPr>
        <w:t>,</w:t>
      </w:r>
      <w:r w:rsidRPr="00B05365">
        <w:rPr>
          <w:i/>
          <w:sz w:val="16"/>
          <w:szCs w:val="16"/>
          <w:lang w:val="es-CR"/>
        </w:rPr>
        <w:t xml:space="preserve"> </w:t>
      </w:r>
      <w:r w:rsidRPr="00B05365">
        <w:rPr>
          <w:sz w:val="16"/>
          <w:szCs w:val="16"/>
          <w:lang w:val="es-CR"/>
        </w:rPr>
        <w:t xml:space="preserve">Sentencia de 10 de febrero 1983, párr. </w:t>
      </w:r>
      <w:r w:rsidR="003D7574" w:rsidRPr="00B05365">
        <w:rPr>
          <w:sz w:val="16"/>
          <w:szCs w:val="16"/>
          <w:lang w:val="es-CR"/>
        </w:rPr>
        <w:t>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A60"/>
    <w:multiLevelType w:val="hybridMultilevel"/>
    <w:tmpl w:val="3E128616"/>
    <w:lvl w:ilvl="0" w:tplc="F8323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0583A"/>
    <w:multiLevelType w:val="hybridMultilevel"/>
    <w:tmpl w:val="4E101030"/>
    <w:lvl w:ilvl="0" w:tplc="9F38BE98">
      <w:start w:val="1"/>
      <w:numFmt w:val="lowerRoman"/>
      <w:lvlText w:val="(%1)"/>
      <w:lvlJc w:val="left"/>
      <w:pPr>
        <w:ind w:left="1800" w:hanging="72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nsid w:val="11E82F07"/>
    <w:multiLevelType w:val="hybridMultilevel"/>
    <w:tmpl w:val="5622B362"/>
    <w:lvl w:ilvl="0" w:tplc="CA689B88">
      <w:start w:val="1"/>
      <w:numFmt w:val="upperLetter"/>
      <w:lvlText w:val="%1."/>
      <w:lvlJc w:val="left"/>
      <w:pPr>
        <w:ind w:left="502" w:hanging="360"/>
      </w:pPr>
      <w:rPr>
        <w:rFonts w:eastAsia="Calibri"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69F0F02"/>
    <w:multiLevelType w:val="hybridMultilevel"/>
    <w:tmpl w:val="BBC29D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C80B89"/>
    <w:multiLevelType w:val="hybridMultilevel"/>
    <w:tmpl w:val="5D10C986"/>
    <w:lvl w:ilvl="0" w:tplc="FFFFFFFF">
      <w:start w:val="1"/>
      <w:numFmt w:val="lowerLetter"/>
      <w:lvlText w:val="%1)"/>
      <w:lvlJc w:val="left"/>
      <w:pPr>
        <w:tabs>
          <w:tab w:val="num" w:pos="720"/>
        </w:tabs>
        <w:ind w:left="360" w:firstLine="0"/>
      </w:pPr>
      <w:rPr>
        <w:rFonts w:hint="default"/>
      </w:rPr>
    </w:lvl>
    <w:lvl w:ilvl="1" w:tplc="FFFFFFFF">
      <w:start w:val="80"/>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D6A1759"/>
    <w:multiLevelType w:val="hybridMultilevel"/>
    <w:tmpl w:val="CA14D540"/>
    <w:lvl w:ilvl="0" w:tplc="0D467C16">
      <w:start w:val="1"/>
      <w:numFmt w:val="low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nsid w:val="1FA24D8B"/>
    <w:multiLevelType w:val="hybridMultilevel"/>
    <w:tmpl w:val="70D06FC4"/>
    <w:lvl w:ilvl="0" w:tplc="9422883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0D37FBA"/>
    <w:multiLevelType w:val="hybridMultilevel"/>
    <w:tmpl w:val="5622B362"/>
    <w:lvl w:ilvl="0" w:tplc="CA689B88">
      <w:start w:val="1"/>
      <w:numFmt w:val="upperLetter"/>
      <w:lvlText w:val="%1."/>
      <w:lvlJc w:val="left"/>
      <w:pPr>
        <w:ind w:left="502" w:hanging="360"/>
      </w:pPr>
      <w:rPr>
        <w:rFonts w:eastAsia="Calibri"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7556D99"/>
    <w:multiLevelType w:val="hybridMultilevel"/>
    <w:tmpl w:val="85AA5084"/>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C04164F"/>
    <w:multiLevelType w:val="hybridMultilevel"/>
    <w:tmpl w:val="A310117C"/>
    <w:lvl w:ilvl="0" w:tplc="8F2AD24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2225D65"/>
    <w:multiLevelType w:val="hybridMultilevel"/>
    <w:tmpl w:val="07885C9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454F1A20"/>
    <w:multiLevelType w:val="hybridMultilevel"/>
    <w:tmpl w:val="5622B362"/>
    <w:lvl w:ilvl="0" w:tplc="CA689B88">
      <w:start w:val="1"/>
      <w:numFmt w:val="upperLetter"/>
      <w:lvlText w:val="%1."/>
      <w:lvlJc w:val="left"/>
      <w:pPr>
        <w:ind w:left="502" w:hanging="360"/>
      </w:pPr>
      <w:rPr>
        <w:rFonts w:eastAsia="Calibri"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0DA0CEC"/>
    <w:multiLevelType w:val="hybridMultilevel"/>
    <w:tmpl w:val="3012830E"/>
    <w:lvl w:ilvl="0" w:tplc="7E0AEA7C">
      <w:start w:val="1"/>
      <w:numFmt w:val="upperRoman"/>
      <w:lvlText w:val="%1."/>
      <w:lvlJc w:val="left"/>
      <w:pPr>
        <w:ind w:left="1800" w:hanging="720"/>
      </w:pPr>
      <w:rPr>
        <w:rFonts w:hint="default"/>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4">
    <w:nsid w:val="5293250A"/>
    <w:multiLevelType w:val="hybridMultilevel"/>
    <w:tmpl w:val="4D8EB9B2"/>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DFC2A89"/>
    <w:multiLevelType w:val="hybridMultilevel"/>
    <w:tmpl w:val="CAA6BD8A"/>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6E3A4B"/>
    <w:multiLevelType w:val="hybridMultilevel"/>
    <w:tmpl w:val="C6183BBE"/>
    <w:lvl w:ilvl="0" w:tplc="4D14525A">
      <w:start w:val="1"/>
      <w:numFmt w:val="lowerRoman"/>
      <w:lvlText w:val="%1)"/>
      <w:lvlJc w:val="left"/>
      <w:pPr>
        <w:ind w:left="1140" w:hanging="720"/>
      </w:pPr>
      <w:rPr>
        <w:rFonts w:hint="default"/>
      </w:r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7">
    <w:nsid w:val="7077583B"/>
    <w:multiLevelType w:val="hybridMultilevel"/>
    <w:tmpl w:val="A8E275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6753A80"/>
    <w:multiLevelType w:val="hybridMultilevel"/>
    <w:tmpl w:val="0ECC1800"/>
    <w:lvl w:ilvl="0" w:tplc="22267BCC">
      <w:start w:val="1"/>
      <w:numFmt w:val="decimal"/>
      <w:lvlText w:val="%1."/>
      <w:lvlJc w:val="left"/>
      <w:pPr>
        <w:ind w:left="0" w:firstLine="0"/>
      </w:pPr>
      <w:rPr>
        <w:rFonts w:ascii="Verdana" w:hAnsi="Verdana" w:hint="default"/>
        <w:b w:val="0"/>
        <w:i w:val="0"/>
        <w:strike w:val="0"/>
        <w:color w:val="auto"/>
        <w:sz w:val="20"/>
        <w:szCs w:val="20"/>
        <w:lang w:val="es-CR"/>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9"/>
  </w:num>
  <w:num w:numId="2">
    <w:abstractNumId w:val="13"/>
  </w:num>
  <w:num w:numId="3">
    <w:abstractNumId w:val="11"/>
  </w:num>
  <w:num w:numId="4">
    <w:abstractNumId w:val="12"/>
  </w:num>
  <w:num w:numId="5">
    <w:abstractNumId w:val="8"/>
  </w:num>
  <w:num w:numId="6">
    <w:abstractNumId w:val="0"/>
  </w:num>
  <w:num w:numId="7">
    <w:abstractNumId w:val="15"/>
  </w:num>
  <w:num w:numId="8">
    <w:abstractNumId w:val="14"/>
  </w:num>
  <w:num w:numId="9">
    <w:abstractNumId w:val="16"/>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8"/>
  </w:num>
  <w:num w:numId="15">
    <w:abstractNumId w:val="5"/>
  </w:num>
  <w:num w:numId="16">
    <w:abstractNumId w:val="1"/>
  </w:num>
  <w:num w:numId="17">
    <w:abstractNumId w:val="17"/>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F6"/>
    <w:rsid w:val="00033FEC"/>
    <w:rsid w:val="00034B28"/>
    <w:rsid w:val="00036C9D"/>
    <w:rsid w:val="0005022F"/>
    <w:rsid w:val="0005062F"/>
    <w:rsid w:val="00063E10"/>
    <w:rsid w:val="000A03A7"/>
    <w:rsid w:val="000C0087"/>
    <w:rsid w:val="000D1CC9"/>
    <w:rsid w:val="000D36F6"/>
    <w:rsid w:val="000E34B1"/>
    <w:rsid w:val="001303C0"/>
    <w:rsid w:val="001307EB"/>
    <w:rsid w:val="001362B2"/>
    <w:rsid w:val="001369A8"/>
    <w:rsid w:val="00152183"/>
    <w:rsid w:val="00167197"/>
    <w:rsid w:val="001917EE"/>
    <w:rsid w:val="001B62C6"/>
    <w:rsid w:val="001C11F6"/>
    <w:rsid w:val="001F1A1E"/>
    <w:rsid w:val="001F4D84"/>
    <w:rsid w:val="00211422"/>
    <w:rsid w:val="00211A99"/>
    <w:rsid w:val="00234057"/>
    <w:rsid w:val="00254FE0"/>
    <w:rsid w:val="00264170"/>
    <w:rsid w:val="00273E65"/>
    <w:rsid w:val="00281CC4"/>
    <w:rsid w:val="002A2F19"/>
    <w:rsid w:val="002C08EE"/>
    <w:rsid w:val="002D05A3"/>
    <w:rsid w:val="002D66F3"/>
    <w:rsid w:val="002E3D3D"/>
    <w:rsid w:val="00302549"/>
    <w:rsid w:val="00330E12"/>
    <w:rsid w:val="00360C86"/>
    <w:rsid w:val="00397744"/>
    <w:rsid w:val="003C1367"/>
    <w:rsid w:val="003D7574"/>
    <w:rsid w:val="003D7BFE"/>
    <w:rsid w:val="003E58EB"/>
    <w:rsid w:val="00415D43"/>
    <w:rsid w:val="00471ABF"/>
    <w:rsid w:val="004829AD"/>
    <w:rsid w:val="00492DF6"/>
    <w:rsid w:val="004D284B"/>
    <w:rsid w:val="004F05FC"/>
    <w:rsid w:val="0052647B"/>
    <w:rsid w:val="00533870"/>
    <w:rsid w:val="00542888"/>
    <w:rsid w:val="00560AA9"/>
    <w:rsid w:val="005661FE"/>
    <w:rsid w:val="0058287A"/>
    <w:rsid w:val="00595477"/>
    <w:rsid w:val="005B0463"/>
    <w:rsid w:val="005B0C95"/>
    <w:rsid w:val="005B0D31"/>
    <w:rsid w:val="005D44AB"/>
    <w:rsid w:val="005D4DEE"/>
    <w:rsid w:val="005E3281"/>
    <w:rsid w:val="005E6C77"/>
    <w:rsid w:val="006007BA"/>
    <w:rsid w:val="006172AE"/>
    <w:rsid w:val="00624C18"/>
    <w:rsid w:val="006270E9"/>
    <w:rsid w:val="0064544D"/>
    <w:rsid w:val="0064748F"/>
    <w:rsid w:val="0065543B"/>
    <w:rsid w:val="00660269"/>
    <w:rsid w:val="00665B05"/>
    <w:rsid w:val="00674324"/>
    <w:rsid w:val="00685725"/>
    <w:rsid w:val="0068639B"/>
    <w:rsid w:val="006865BE"/>
    <w:rsid w:val="00690F57"/>
    <w:rsid w:val="006D66F3"/>
    <w:rsid w:val="007010F6"/>
    <w:rsid w:val="007062D4"/>
    <w:rsid w:val="007278DE"/>
    <w:rsid w:val="0075112E"/>
    <w:rsid w:val="00764F9A"/>
    <w:rsid w:val="00781432"/>
    <w:rsid w:val="00791DA6"/>
    <w:rsid w:val="007B16DC"/>
    <w:rsid w:val="007C30B0"/>
    <w:rsid w:val="007C5BBC"/>
    <w:rsid w:val="007C6831"/>
    <w:rsid w:val="007E09F2"/>
    <w:rsid w:val="007E234C"/>
    <w:rsid w:val="00832E8D"/>
    <w:rsid w:val="008376DF"/>
    <w:rsid w:val="00897ED2"/>
    <w:rsid w:val="008B07D3"/>
    <w:rsid w:val="008B25D4"/>
    <w:rsid w:val="008E072F"/>
    <w:rsid w:val="0092234B"/>
    <w:rsid w:val="009431ED"/>
    <w:rsid w:val="00947178"/>
    <w:rsid w:val="00976539"/>
    <w:rsid w:val="009A646B"/>
    <w:rsid w:val="009B2E18"/>
    <w:rsid w:val="009B4C38"/>
    <w:rsid w:val="009C1479"/>
    <w:rsid w:val="009D1B02"/>
    <w:rsid w:val="009E0EE3"/>
    <w:rsid w:val="009F1B8A"/>
    <w:rsid w:val="00A04766"/>
    <w:rsid w:val="00A201FB"/>
    <w:rsid w:val="00A2653A"/>
    <w:rsid w:val="00A42C07"/>
    <w:rsid w:val="00A4361F"/>
    <w:rsid w:val="00A46264"/>
    <w:rsid w:val="00A5488E"/>
    <w:rsid w:val="00A8082C"/>
    <w:rsid w:val="00A8162E"/>
    <w:rsid w:val="00A85129"/>
    <w:rsid w:val="00AA5067"/>
    <w:rsid w:val="00AC56F6"/>
    <w:rsid w:val="00AE106A"/>
    <w:rsid w:val="00AF18C5"/>
    <w:rsid w:val="00AF425F"/>
    <w:rsid w:val="00AF58CD"/>
    <w:rsid w:val="00B05365"/>
    <w:rsid w:val="00B1599D"/>
    <w:rsid w:val="00B73D18"/>
    <w:rsid w:val="00B7502F"/>
    <w:rsid w:val="00BA2C72"/>
    <w:rsid w:val="00C2179F"/>
    <w:rsid w:val="00C374EC"/>
    <w:rsid w:val="00C5159D"/>
    <w:rsid w:val="00C8340C"/>
    <w:rsid w:val="00C9524A"/>
    <w:rsid w:val="00C97ACB"/>
    <w:rsid w:val="00CB0335"/>
    <w:rsid w:val="00CC225B"/>
    <w:rsid w:val="00CC6628"/>
    <w:rsid w:val="00D01E90"/>
    <w:rsid w:val="00D17B5A"/>
    <w:rsid w:val="00D23EE5"/>
    <w:rsid w:val="00D311FE"/>
    <w:rsid w:val="00D31D3F"/>
    <w:rsid w:val="00D35355"/>
    <w:rsid w:val="00D3646D"/>
    <w:rsid w:val="00D53E5E"/>
    <w:rsid w:val="00D80281"/>
    <w:rsid w:val="00D860C6"/>
    <w:rsid w:val="00D94877"/>
    <w:rsid w:val="00DB30F1"/>
    <w:rsid w:val="00DB73C4"/>
    <w:rsid w:val="00DE2E1C"/>
    <w:rsid w:val="00DF6E19"/>
    <w:rsid w:val="00E10A17"/>
    <w:rsid w:val="00E21B6A"/>
    <w:rsid w:val="00E34F30"/>
    <w:rsid w:val="00E60C46"/>
    <w:rsid w:val="00E63E32"/>
    <w:rsid w:val="00E84F87"/>
    <w:rsid w:val="00EA160B"/>
    <w:rsid w:val="00EF7A6F"/>
    <w:rsid w:val="00F058FD"/>
    <w:rsid w:val="00F15643"/>
    <w:rsid w:val="00F302E3"/>
    <w:rsid w:val="00F31BBC"/>
    <w:rsid w:val="00F5001B"/>
    <w:rsid w:val="00F5772A"/>
    <w:rsid w:val="00F67373"/>
    <w:rsid w:val="00F70703"/>
    <w:rsid w:val="00F86652"/>
    <w:rsid w:val="00FA7C36"/>
    <w:rsid w:val="00FE6F81"/>
    <w:rsid w:val="7749B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F6"/>
    <w:pPr>
      <w:spacing w:after="0" w:line="240" w:lineRule="auto"/>
      <w:jc w:val="both"/>
    </w:pPr>
    <w:rPr>
      <w:rFonts w:ascii="Verdana" w:eastAsia="Batang" w:hAnsi="Verdana" w:cs="Times"/>
      <w:noProof/>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
    <w:basedOn w:val="Normal"/>
    <w:link w:val="ListParagraphChar"/>
    <w:uiPriority w:val="99"/>
    <w:qFormat/>
    <w:rsid w:val="001C11F6"/>
    <w:pPr>
      <w:ind w:left="720"/>
      <w:contextualSpacing/>
    </w:pPr>
  </w:style>
  <w:style w:type="character" w:customStyle="1" w:styleId="ListParagraphChar">
    <w:name w:val="List Paragraph Char"/>
    <w:aliases w:val="Footnote Char,List Paragraph1 Char,Colorful List - Accent 11 Char,Párrafo de lista1 Char,List Paragraph2 Char"/>
    <w:basedOn w:val="DefaultParagraphFont"/>
    <w:link w:val="ListParagraph"/>
    <w:uiPriority w:val="99"/>
    <w:locked/>
    <w:rsid w:val="001C11F6"/>
    <w:rPr>
      <w:rFonts w:ascii="Verdana" w:eastAsia="Batang" w:hAnsi="Verdana" w:cs="Times"/>
      <w:noProof/>
      <w:sz w:val="20"/>
      <w:szCs w:val="24"/>
      <w:lang w:val="es-ES_tradnl"/>
    </w:rPr>
  </w:style>
  <w:style w:type="paragraph" w:styleId="Title">
    <w:name w:val="Title"/>
    <w:basedOn w:val="Normal"/>
    <w:link w:val="TitleChar"/>
    <w:uiPriority w:val="99"/>
    <w:qFormat/>
    <w:rsid w:val="001C11F6"/>
    <w:pPr>
      <w:jc w:val="center"/>
    </w:pPr>
    <w:rPr>
      <w:rFonts w:eastAsia="Times New Roman" w:cs="Times New Roman"/>
      <w:b/>
      <w:szCs w:val="20"/>
    </w:rPr>
  </w:style>
  <w:style w:type="character" w:customStyle="1" w:styleId="TitleChar">
    <w:name w:val="Title Char"/>
    <w:basedOn w:val="DefaultParagraphFont"/>
    <w:link w:val="Title"/>
    <w:uiPriority w:val="99"/>
    <w:rsid w:val="001C11F6"/>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1C11F6"/>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1C11F6"/>
    <w:rPr>
      <w:rFonts w:ascii="Verdana" w:eastAsia="Times New Roman" w:hAnsi="Verdana" w:cs="Times New Roman"/>
      <w:b/>
      <w:i/>
      <w:iCs/>
      <w:noProof/>
      <w:spacing w:val="15"/>
      <w:sz w:val="20"/>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Ca,C"/>
    <w:basedOn w:val="Normal"/>
    <w:link w:val="FootnoteTextChar"/>
    <w:uiPriority w:val="99"/>
    <w:qFormat/>
    <w:rsid w:val="001C11F6"/>
    <w:pPr>
      <w:jc w:val="left"/>
    </w:pPr>
    <w:rPr>
      <w:rFonts w:eastAsia="Times" w:cs="Times New Roman"/>
      <w:noProof w:val="0"/>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1C11F6"/>
    <w:rPr>
      <w:rFonts w:ascii="Verdana" w:eastAsia="Times" w:hAnsi="Verdana" w:cs="Times New Roman"/>
      <w:sz w:val="24"/>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1C11F6"/>
    <w:rPr>
      <w:vertAlign w:val="superscript"/>
    </w:rPr>
  </w:style>
  <w:style w:type="paragraph" w:styleId="BodyTextIndent2">
    <w:name w:val="Body Text Indent 2"/>
    <w:basedOn w:val="Normal"/>
    <w:link w:val="BodyTextIndent2Char"/>
    <w:uiPriority w:val="99"/>
    <w:unhideWhenUsed/>
    <w:rsid w:val="001C11F6"/>
    <w:pPr>
      <w:spacing w:after="120" w:line="480" w:lineRule="auto"/>
      <w:ind w:left="360"/>
      <w:jc w:val="left"/>
    </w:pPr>
    <w:rPr>
      <w:rFonts w:asciiTheme="minorHAnsi" w:eastAsiaTheme="minorHAnsi" w:hAnsiTheme="minorHAnsi" w:cstheme="minorBidi"/>
      <w:noProof w:val="0"/>
      <w:sz w:val="22"/>
      <w:szCs w:val="22"/>
    </w:rPr>
  </w:style>
  <w:style w:type="character" w:customStyle="1" w:styleId="BodyTextIndent2Char">
    <w:name w:val="Body Text Indent 2 Char"/>
    <w:basedOn w:val="DefaultParagraphFont"/>
    <w:link w:val="BodyTextIndent2"/>
    <w:uiPriority w:val="99"/>
    <w:rsid w:val="001C11F6"/>
    <w:rPr>
      <w:lang w:val="es-ES_tradnl"/>
    </w:rPr>
  </w:style>
  <w:style w:type="paragraph" w:styleId="Header">
    <w:name w:val="header"/>
    <w:basedOn w:val="Normal"/>
    <w:link w:val="HeaderChar"/>
    <w:uiPriority w:val="99"/>
    <w:unhideWhenUsed/>
    <w:rsid w:val="001C11F6"/>
    <w:pPr>
      <w:tabs>
        <w:tab w:val="center" w:pos="4419"/>
        <w:tab w:val="right" w:pos="8838"/>
      </w:tabs>
    </w:pPr>
  </w:style>
  <w:style w:type="character" w:customStyle="1" w:styleId="HeaderChar">
    <w:name w:val="Header Char"/>
    <w:basedOn w:val="DefaultParagraphFont"/>
    <w:link w:val="Header"/>
    <w:uiPriority w:val="99"/>
    <w:rsid w:val="001C11F6"/>
    <w:rPr>
      <w:rFonts w:ascii="Verdana" w:eastAsia="Batang" w:hAnsi="Verdana" w:cs="Times"/>
      <w:noProof/>
      <w:sz w:val="20"/>
      <w:szCs w:val="24"/>
      <w:lang w:val="es-ES_tradnl"/>
    </w:rPr>
  </w:style>
  <w:style w:type="paragraph" w:styleId="Footer">
    <w:name w:val="footer"/>
    <w:basedOn w:val="Normal"/>
    <w:link w:val="FooterChar"/>
    <w:uiPriority w:val="99"/>
    <w:unhideWhenUsed/>
    <w:rsid w:val="001C11F6"/>
    <w:pPr>
      <w:tabs>
        <w:tab w:val="center" w:pos="4419"/>
        <w:tab w:val="right" w:pos="8838"/>
      </w:tabs>
    </w:pPr>
  </w:style>
  <w:style w:type="character" w:customStyle="1" w:styleId="FooterChar">
    <w:name w:val="Footer Char"/>
    <w:basedOn w:val="DefaultParagraphFont"/>
    <w:link w:val="Footer"/>
    <w:uiPriority w:val="99"/>
    <w:rsid w:val="001C11F6"/>
    <w:rPr>
      <w:rFonts w:ascii="Verdana" w:eastAsia="Batang" w:hAnsi="Verdana" w:cs="Times"/>
      <w:noProof/>
      <w:sz w:val="20"/>
      <w:szCs w:val="24"/>
      <w:lang w:val="es-ES_tradnl"/>
    </w:rPr>
  </w:style>
  <w:style w:type="character" w:customStyle="1" w:styleId="A1">
    <w:name w:val="A1"/>
    <w:uiPriority w:val="99"/>
    <w:rsid w:val="001C11F6"/>
    <w:rPr>
      <w:rFonts w:cs="Adobe Garamond Pro"/>
      <w:color w:val="221E1F"/>
      <w:sz w:val="22"/>
      <w:szCs w:val="22"/>
    </w:rPr>
  </w:style>
  <w:style w:type="paragraph" w:customStyle="1" w:styleId="negritamayuscula">
    <w:name w:val="negrita mayuscula"/>
    <w:basedOn w:val="Normal"/>
    <w:uiPriority w:val="99"/>
    <w:rsid w:val="001C11F6"/>
    <w:pPr>
      <w:widowControl w:val="0"/>
      <w:tabs>
        <w:tab w:val="left" w:pos="1120"/>
      </w:tabs>
      <w:spacing w:line="360" w:lineRule="atLeast"/>
    </w:pPr>
    <w:rPr>
      <w:rFonts w:ascii="Garamond" w:eastAsia="Calibri" w:hAnsi="Garamond" w:cs="Times New Roman"/>
      <w:noProof w:val="0"/>
      <w:sz w:val="24"/>
      <w:szCs w:val="20"/>
    </w:rPr>
  </w:style>
  <w:style w:type="paragraph" w:customStyle="1" w:styleId="Pa0">
    <w:name w:val="Pa0"/>
    <w:basedOn w:val="Normal"/>
    <w:next w:val="Normal"/>
    <w:uiPriority w:val="99"/>
    <w:rsid w:val="001C11F6"/>
    <w:pPr>
      <w:autoSpaceDE w:val="0"/>
      <w:autoSpaceDN w:val="0"/>
      <w:adjustRightInd w:val="0"/>
      <w:spacing w:line="201" w:lineRule="atLeast"/>
      <w:jc w:val="left"/>
    </w:pPr>
    <w:rPr>
      <w:rFonts w:ascii="Adobe Garamond Pro" w:eastAsiaTheme="minorHAnsi" w:hAnsi="Adobe Garamond Pro" w:cstheme="minorBidi"/>
      <w:noProof w:val="0"/>
      <w:sz w:val="24"/>
      <w:lang w:val="es-CR"/>
    </w:rPr>
  </w:style>
  <w:style w:type="character" w:customStyle="1" w:styleId="A3">
    <w:name w:val="A3"/>
    <w:uiPriority w:val="99"/>
    <w:rsid w:val="001C11F6"/>
    <w:rPr>
      <w:rFonts w:cs="Adobe Garamond Pro"/>
      <w:color w:val="221E1F"/>
      <w:sz w:val="12"/>
      <w:szCs w:val="12"/>
    </w:rPr>
  </w:style>
  <w:style w:type="paragraph" w:customStyle="1" w:styleId="Default">
    <w:name w:val="Default"/>
    <w:rsid w:val="001C11F6"/>
    <w:pPr>
      <w:autoSpaceDE w:val="0"/>
      <w:autoSpaceDN w:val="0"/>
      <w:adjustRightInd w:val="0"/>
      <w:spacing w:after="0" w:line="240" w:lineRule="auto"/>
    </w:pPr>
    <w:rPr>
      <w:rFonts w:ascii="Times New Roman" w:hAnsi="Times New Roman" w:cs="Times New Roman"/>
      <w:color w:val="000000"/>
      <w:sz w:val="24"/>
      <w:szCs w:val="24"/>
      <w:lang w:val="es-CR"/>
    </w:rPr>
  </w:style>
  <w:style w:type="character" w:styleId="Strong">
    <w:name w:val="Strong"/>
    <w:basedOn w:val="DefaultParagraphFont"/>
    <w:uiPriority w:val="22"/>
    <w:qFormat/>
    <w:rsid w:val="001C11F6"/>
    <w:rPr>
      <w:b/>
      <w:bCs/>
    </w:rPr>
  </w:style>
  <w:style w:type="paragraph" w:customStyle="1" w:styleId="Footnotes">
    <w:name w:val="**. Footnotes"/>
    <w:basedOn w:val="FootnoteText"/>
    <w:link w:val="FootnotesChar"/>
    <w:autoRedefine/>
    <w:qFormat/>
    <w:rsid w:val="001C11F6"/>
    <w:pPr>
      <w:spacing w:before="120" w:after="120"/>
      <w:jc w:val="both"/>
    </w:pPr>
    <w:rPr>
      <w:rFonts w:eastAsia="Times New Roman"/>
      <w:bCs/>
      <w:iCs/>
      <w:sz w:val="16"/>
      <w:szCs w:val="16"/>
      <w:lang w:val="es-ES" w:eastAsia="x-none"/>
    </w:rPr>
  </w:style>
  <w:style w:type="character" w:customStyle="1" w:styleId="FootnotesChar">
    <w:name w:val="**. Footnotes Char"/>
    <w:link w:val="Footnotes"/>
    <w:rsid w:val="001C11F6"/>
    <w:rPr>
      <w:rFonts w:ascii="Verdana" w:eastAsia="Times New Roman" w:hAnsi="Verdana" w:cs="Times New Roman"/>
      <w:bCs/>
      <w:iCs/>
      <w:sz w:val="16"/>
      <w:szCs w:val="16"/>
      <w:lang w:val="es-ES" w:eastAsia="x-none"/>
    </w:rPr>
  </w:style>
  <w:style w:type="paragraph" w:styleId="CommentText">
    <w:name w:val="annotation text"/>
    <w:basedOn w:val="Normal"/>
    <w:link w:val="CommentTextChar"/>
    <w:uiPriority w:val="99"/>
    <w:semiHidden/>
    <w:unhideWhenUsed/>
    <w:rsid w:val="001C11F6"/>
    <w:rPr>
      <w:szCs w:val="20"/>
    </w:rPr>
  </w:style>
  <w:style w:type="character" w:customStyle="1" w:styleId="CommentTextChar">
    <w:name w:val="Comment Text Char"/>
    <w:basedOn w:val="DefaultParagraphFont"/>
    <w:link w:val="CommentText"/>
    <w:uiPriority w:val="99"/>
    <w:semiHidden/>
    <w:rsid w:val="001C11F6"/>
    <w:rPr>
      <w:rFonts w:ascii="Verdana" w:eastAsia="Batang" w:hAnsi="Verdana" w:cs="Times"/>
      <w:noProof/>
      <w:sz w:val="20"/>
      <w:szCs w:val="20"/>
      <w:lang w:val="es-ES_tradnl"/>
    </w:rPr>
  </w:style>
  <w:style w:type="character" w:styleId="Hyperlink">
    <w:name w:val="Hyperlink"/>
    <w:basedOn w:val="DefaultParagraphFont"/>
    <w:uiPriority w:val="99"/>
    <w:unhideWhenUsed/>
    <w:rsid w:val="001C11F6"/>
    <w:rPr>
      <w:color w:val="0000FF" w:themeColor="hyperlink"/>
      <w:u w:val="single"/>
    </w:rPr>
  </w:style>
  <w:style w:type="paragraph" w:styleId="NormalWeb">
    <w:name w:val="Normal (Web)"/>
    <w:basedOn w:val="Normal"/>
    <w:uiPriority w:val="99"/>
    <w:unhideWhenUsed/>
    <w:rsid w:val="006865BE"/>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texto de nota al pie Char1,Footnote referenc Char1,2. Footnote Text Char"/>
    <w:basedOn w:val="DefaultParagraphFont"/>
    <w:locked/>
    <w:rsid w:val="00E60C46"/>
    <w:rPr>
      <w:rFonts w:cs="Times New Roman"/>
      <w:sz w:val="20"/>
      <w:szCs w:val="20"/>
    </w:rPr>
  </w:style>
  <w:style w:type="character" w:customStyle="1" w:styleId="sb8d990e2">
    <w:name w:val="sb8d990e2"/>
    <w:basedOn w:val="DefaultParagraphFont"/>
    <w:uiPriority w:val="99"/>
    <w:rsid w:val="00533870"/>
    <w:rPr>
      <w:rFonts w:cs="Times New Roman"/>
    </w:rPr>
  </w:style>
  <w:style w:type="character" w:customStyle="1" w:styleId="apple-converted-space">
    <w:name w:val="apple-converted-space"/>
    <w:basedOn w:val="DefaultParagraphFont"/>
    <w:uiPriority w:val="99"/>
    <w:rsid w:val="00533870"/>
    <w:rPr>
      <w:rFonts w:cs="Times New Roman"/>
    </w:rPr>
  </w:style>
  <w:style w:type="paragraph" w:styleId="BalloonText">
    <w:name w:val="Balloon Text"/>
    <w:basedOn w:val="Normal"/>
    <w:link w:val="BalloonTextChar"/>
    <w:uiPriority w:val="99"/>
    <w:semiHidden/>
    <w:unhideWhenUsed/>
    <w:rsid w:val="009B4C38"/>
    <w:rPr>
      <w:rFonts w:ascii="Tahoma" w:hAnsi="Tahoma" w:cs="Tahoma"/>
      <w:sz w:val="16"/>
      <w:szCs w:val="16"/>
    </w:rPr>
  </w:style>
  <w:style w:type="character" w:customStyle="1" w:styleId="BalloonTextChar">
    <w:name w:val="Balloon Text Char"/>
    <w:basedOn w:val="DefaultParagraphFont"/>
    <w:link w:val="BalloonText"/>
    <w:uiPriority w:val="99"/>
    <w:semiHidden/>
    <w:rsid w:val="009B4C38"/>
    <w:rPr>
      <w:rFonts w:ascii="Tahoma" w:eastAsia="Batang" w:hAnsi="Tahoma" w:cs="Tahoma"/>
      <w:noProof/>
      <w:sz w:val="16"/>
      <w:szCs w:val="16"/>
      <w:lang w:val="es-ES_tradnl"/>
    </w:rPr>
  </w:style>
  <w:style w:type="paragraph" w:styleId="BodyTextIndent">
    <w:name w:val="Body Text Indent"/>
    <w:basedOn w:val="Normal"/>
    <w:link w:val="BodyTextIndentChar"/>
    <w:uiPriority w:val="99"/>
    <w:unhideWhenUsed/>
    <w:rsid w:val="00A04766"/>
    <w:pPr>
      <w:autoSpaceDE w:val="0"/>
      <w:autoSpaceDN w:val="0"/>
      <w:ind w:left="709"/>
    </w:pPr>
    <w:rPr>
      <w:bCs/>
      <w:i/>
      <w:lang w:val="es-CR"/>
    </w:rPr>
  </w:style>
  <w:style w:type="character" w:customStyle="1" w:styleId="BodyTextIndentChar">
    <w:name w:val="Body Text Indent Char"/>
    <w:basedOn w:val="DefaultParagraphFont"/>
    <w:link w:val="BodyTextIndent"/>
    <w:uiPriority w:val="99"/>
    <w:rsid w:val="00A04766"/>
    <w:rPr>
      <w:rFonts w:ascii="Verdana" w:eastAsia="Batang" w:hAnsi="Verdana" w:cs="Times"/>
      <w:bCs/>
      <w:i/>
      <w:noProof/>
      <w:sz w:val="20"/>
      <w:szCs w:val="24"/>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F6"/>
    <w:pPr>
      <w:spacing w:after="0" w:line="240" w:lineRule="auto"/>
      <w:jc w:val="both"/>
    </w:pPr>
    <w:rPr>
      <w:rFonts w:ascii="Verdana" w:eastAsia="Batang" w:hAnsi="Verdana" w:cs="Times"/>
      <w:noProof/>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
    <w:basedOn w:val="Normal"/>
    <w:link w:val="ListParagraphChar"/>
    <w:uiPriority w:val="99"/>
    <w:qFormat/>
    <w:rsid w:val="001C11F6"/>
    <w:pPr>
      <w:ind w:left="720"/>
      <w:contextualSpacing/>
    </w:pPr>
  </w:style>
  <w:style w:type="character" w:customStyle="1" w:styleId="ListParagraphChar">
    <w:name w:val="List Paragraph Char"/>
    <w:aliases w:val="Footnote Char,List Paragraph1 Char,Colorful List - Accent 11 Char,Párrafo de lista1 Char,List Paragraph2 Char"/>
    <w:basedOn w:val="DefaultParagraphFont"/>
    <w:link w:val="ListParagraph"/>
    <w:uiPriority w:val="99"/>
    <w:locked/>
    <w:rsid w:val="001C11F6"/>
    <w:rPr>
      <w:rFonts w:ascii="Verdana" w:eastAsia="Batang" w:hAnsi="Verdana" w:cs="Times"/>
      <w:noProof/>
      <w:sz w:val="20"/>
      <w:szCs w:val="24"/>
      <w:lang w:val="es-ES_tradnl"/>
    </w:rPr>
  </w:style>
  <w:style w:type="paragraph" w:styleId="Title">
    <w:name w:val="Title"/>
    <w:basedOn w:val="Normal"/>
    <w:link w:val="TitleChar"/>
    <w:uiPriority w:val="99"/>
    <w:qFormat/>
    <w:rsid w:val="001C11F6"/>
    <w:pPr>
      <w:jc w:val="center"/>
    </w:pPr>
    <w:rPr>
      <w:rFonts w:eastAsia="Times New Roman" w:cs="Times New Roman"/>
      <w:b/>
      <w:szCs w:val="20"/>
    </w:rPr>
  </w:style>
  <w:style w:type="character" w:customStyle="1" w:styleId="TitleChar">
    <w:name w:val="Title Char"/>
    <w:basedOn w:val="DefaultParagraphFont"/>
    <w:link w:val="Title"/>
    <w:uiPriority w:val="99"/>
    <w:rsid w:val="001C11F6"/>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1C11F6"/>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1C11F6"/>
    <w:rPr>
      <w:rFonts w:ascii="Verdana" w:eastAsia="Times New Roman" w:hAnsi="Verdana" w:cs="Times New Roman"/>
      <w:b/>
      <w:i/>
      <w:iCs/>
      <w:noProof/>
      <w:spacing w:val="15"/>
      <w:sz w:val="20"/>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Ca,C"/>
    <w:basedOn w:val="Normal"/>
    <w:link w:val="FootnoteTextChar"/>
    <w:uiPriority w:val="99"/>
    <w:qFormat/>
    <w:rsid w:val="001C11F6"/>
    <w:pPr>
      <w:jc w:val="left"/>
    </w:pPr>
    <w:rPr>
      <w:rFonts w:eastAsia="Times" w:cs="Times New Roman"/>
      <w:noProof w:val="0"/>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1C11F6"/>
    <w:rPr>
      <w:rFonts w:ascii="Verdana" w:eastAsia="Times" w:hAnsi="Verdana" w:cs="Times New Roman"/>
      <w:sz w:val="24"/>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1C11F6"/>
    <w:rPr>
      <w:vertAlign w:val="superscript"/>
    </w:rPr>
  </w:style>
  <w:style w:type="paragraph" w:styleId="BodyTextIndent2">
    <w:name w:val="Body Text Indent 2"/>
    <w:basedOn w:val="Normal"/>
    <w:link w:val="BodyTextIndent2Char"/>
    <w:uiPriority w:val="99"/>
    <w:unhideWhenUsed/>
    <w:rsid w:val="001C11F6"/>
    <w:pPr>
      <w:spacing w:after="120" w:line="480" w:lineRule="auto"/>
      <w:ind w:left="360"/>
      <w:jc w:val="left"/>
    </w:pPr>
    <w:rPr>
      <w:rFonts w:asciiTheme="minorHAnsi" w:eastAsiaTheme="minorHAnsi" w:hAnsiTheme="minorHAnsi" w:cstheme="minorBidi"/>
      <w:noProof w:val="0"/>
      <w:sz w:val="22"/>
      <w:szCs w:val="22"/>
    </w:rPr>
  </w:style>
  <w:style w:type="character" w:customStyle="1" w:styleId="BodyTextIndent2Char">
    <w:name w:val="Body Text Indent 2 Char"/>
    <w:basedOn w:val="DefaultParagraphFont"/>
    <w:link w:val="BodyTextIndent2"/>
    <w:uiPriority w:val="99"/>
    <w:rsid w:val="001C11F6"/>
    <w:rPr>
      <w:lang w:val="es-ES_tradnl"/>
    </w:rPr>
  </w:style>
  <w:style w:type="paragraph" w:styleId="Header">
    <w:name w:val="header"/>
    <w:basedOn w:val="Normal"/>
    <w:link w:val="HeaderChar"/>
    <w:uiPriority w:val="99"/>
    <w:unhideWhenUsed/>
    <w:rsid w:val="001C11F6"/>
    <w:pPr>
      <w:tabs>
        <w:tab w:val="center" w:pos="4419"/>
        <w:tab w:val="right" w:pos="8838"/>
      </w:tabs>
    </w:pPr>
  </w:style>
  <w:style w:type="character" w:customStyle="1" w:styleId="HeaderChar">
    <w:name w:val="Header Char"/>
    <w:basedOn w:val="DefaultParagraphFont"/>
    <w:link w:val="Header"/>
    <w:uiPriority w:val="99"/>
    <w:rsid w:val="001C11F6"/>
    <w:rPr>
      <w:rFonts w:ascii="Verdana" w:eastAsia="Batang" w:hAnsi="Verdana" w:cs="Times"/>
      <w:noProof/>
      <w:sz w:val="20"/>
      <w:szCs w:val="24"/>
      <w:lang w:val="es-ES_tradnl"/>
    </w:rPr>
  </w:style>
  <w:style w:type="paragraph" w:styleId="Footer">
    <w:name w:val="footer"/>
    <w:basedOn w:val="Normal"/>
    <w:link w:val="FooterChar"/>
    <w:uiPriority w:val="99"/>
    <w:unhideWhenUsed/>
    <w:rsid w:val="001C11F6"/>
    <w:pPr>
      <w:tabs>
        <w:tab w:val="center" w:pos="4419"/>
        <w:tab w:val="right" w:pos="8838"/>
      </w:tabs>
    </w:pPr>
  </w:style>
  <w:style w:type="character" w:customStyle="1" w:styleId="FooterChar">
    <w:name w:val="Footer Char"/>
    <w:basedOn w:val="DefaultParagraphFont"/>
    <w:link w:val="Footer"/>
    <w:uiPriority w:val="99"/>
    <w:rsid w:val="001C11F6"/>
    <w:rPr>
      <w:rFonts w:ascii="Verdana" w:eastAsia="Batang" w:hAnsi="Verdana" w:cs="Times"/>
      <w:noProof/>
      <w:sz w:val="20"/>
      <w:szCs w:val="24"/>
      <w:lang w:val="es-ES_tradnl"/>
    </w:rPr>
  </w:style>
  <w:style w:type="character" w:customStyle="1" w:styleId="A1">
    <w:name w:val="A1"/>
    <w:uiPriority w:val="99"/>
    <w:rsid w:val="001C11F6"/>
    <w:rPr>
      <w:rFonts w:cs="Adobe Garamond Pro"/>
      <w:color w:val="221E1F"/>
      <w:sz w:val="22"/>
      <w:szCs w:val="22"/>
    </w:rPr>
  </w:style>
  <w:style w:type="paragraph" w:customStyle="1" w:styleId="negritamayuscula">
    <w:name w:val="negrita mayuscula"/>
    <w:basedOn w:val="Normal"/>
    <w:uiPriority w:val="99"/>
    <w:rsid w:val="001C11F6"/>
    <w:pPr>
      <w:widowControl w:val="0"/>
      <w:tabs>
        <w:tab w:val="left" w:pos="1120"/>
      </w:tabs>
      <w:spacing w:line="360" w:lineRule="atLeast"/>
    </w:pPr>
    <w:rPr>
      <w:rFonts w:ascii="Garamond" w:eastAsia="Calibri" w:hAnsi="Garamond" w:cs="Times New Roman"/>
      <w:noProof w:val="0"/>
      <w:sz w:val="24"/>
      <w:szCs w:val="20"/>
    </w:rPr>
  </w:style>
  <w:style w:type="paragraph" w:customStyle="1" w:styleId="Pa0">
    <w:name w:val="Pa0"/>
    <w:basedOn w:val="Normal"/>
    <w:next w:val="Normal"/>
    <w:uiPriority w:val="99"/>
    <w:rsid w:val="001C11F6"/>
    <w:pPr>
      <w:autoSpaceDE w:val="0"/>
      <w:autoSpaceDN w:val="0"/>
      <w:adjustRightInd w:val="0"/>
      <w:spacing w:line="201" w:lineRule="atLeast"/>
      <w:jc w:val="left"/>
    </w:pPr>
    <w:rPr>
      <w:rFonts w:ascii="Adobe Garamond Pro" w:eastAsiaTheme="minorHAnsi" w:hAnsi="Adobe Garamond Pro" w:cstheme="minorBidi"/>
      <w:noProof w:val="0"/>
      <w:sz w:val="24"/>
      <w:lang w:val="es-CR"/>
    </w:rPr>
  </w:style>
  <w:style w:type="character" w:customStyle="1" w:styleId="A3">
    <w:name w:val="A3"/>
    <w:uiPriority w:val="99"/>
    <w:rsid w:val="001C11F6"/>
    <w:rPr>
      <w:rFonts w:cs="Adobe Garamond Pro"/>
      <w:color w:val="221E1F"/>
      <w:sz w:val="12"/>
      <w:szCs w:val="12"/>
    </w:rPr>
  </w:style>
  <w:style w:type="paragraph" w:customStyle="1" w:styleId="Default">
    <w:name w:val="Default"/>
    <w:rsid w:val="001C11F6"/>
    <w:pPr>
      <w:autoSpaceDE w:val="0"/>
      <w:autoSpaceDN w:val="0"/>
      <w:adjustRightInd w:val="0"/>
      <w:spacing w:after="0" w:line="240" w:lineRule="auto"/>
    </w:pPr>
    <w:rPr>
      <w:rFonts w:ascii="Times New Roman" w:hAnsi="Times New Roman" w:cs="Times New Roman"/>
      <w:color w:val="000000"/>
      <w:sz w:val="24"/>
      <w:szCs w:val="24"/>
      <w:lang w:val="es-CR"/>
    </w:rPr>
  </w:style>
  <w:style w:type="character" w:styleId="Strong">
    <w:name w:val="Strong"/>
    <w:basedOn w:val="DefaultParagraphFont"/>
    <w:uiPriority w:val="22"/>
    <w:qFormat/>
    <w:rsid w:val="001C11F6"/>
    <w:rPr>
      <w:b/>
      <w:bCs/>
    </w:rPr>
  </w:style>
  <w:style w:type="paragraph" w:customStyle="1" w:styleId="Footnotes">
    <w:name w:val="**. Footnotes"/>
    <w:basedOn w:val="FootnoteText"/>
    <w:link w:val="FootnotesChar"/>
    <w:autoRedefine/>
    <w:qFormat/>
    <w:rsid w:val="001C11F6"/>
    <w:pPr>
      <w:spacing w:before="120" w:after="120"/>
      <w:jc w:val="both"/>
    </w:pPr>
    <w:rPr>
      <w:rFonts w:eastAsia="Times New Roman"/>
      <w:bCs/>
      <w:iCs/>
      <w:sz w:val="16"/>
      <w:szCs w:val="16"/>
      <w:lang w:val="es-ES" w:eastAsia="x-none"/>
    </w:rPr>
  </w:style>
  <w:style w:type="character" w:customStyle="1" w:styleId="FootnotesChar">
    <w:name w:val="**. Footnotes Char"/>
    <w:link w:val="Footnotes"/>
    <w:rsid w:val="001C11F6"/>
    <w:rPr>
      <w:rFonts w:ascii="Verdana" w:eastAsia="Times New Roman" w:hAnsi="Verdana" w:cs="Times New Roman"/>
      <w:bCs/>
      <w:iCs/>
      <w:sz w:val="16"/>
      <w:szCs w:val="16"/>
      <w:lang w:val="es-ES" w:eastAsia="x-none"/>
    </w:rPr>
  </w:style>
  <w:style w:type="paragraph" w:styleId="CommentText">
    <w:name w:val="annotation text"/>
    <w:basedOn w:val="Normal"/>
    <w:link w:val="CommentTextChar"/>
    <w:uiPriority w:val="99"/>
    <w:semiHidden/>
    <w:unhideWhenUsed/>
    <w:rsid w:val="001C11F6"/>
    <w:rPr>
      <w:szCs w:val="20"/>
    </w:rPr>
  </w:style>
  <w:style w:type="character" w:customStyle="1" w:styleId="CommentTextChar">
    <w:name w:val="Comment Text Char"/>
    <w:basedOn w:val="DefaultParagraphFont"/>
    <w:link w:val="CommentText"/>
    <w:uiPriority w:val="99"/>
    <w:semiHidden/>
    <w:rsid w:val="001C11F6"/>
    <w:rPr>
      <w:rFonts w:ascii="Verdana" w:eastAsia="Batang" w:hAnsi="Verdana" w:cs="Times"/>
      <w:noProof/>
      <w:sz w:val="20"/>
      <w:szCs w:val="20"/>
      <w:lang w:val="es-ES_tradnl"/>
    </w:rPr>
  </w:style>
  <w:style w:type="character" w:styleId="Hyperlink">
    <w:name w:val="Hyperlink"/>
    <w:basedOn w:val="DefaultParagraphFont"/>
    <w:uiPriority w:val="99"/>
    <w:unhideWhenUsed/>
    <w:rsid w:val="001C11F6"/>
    <w:rPr>
      <w:color w:val="0000FF" w:themeColor="hyperlink"/>
      <w:u w:val="single"/>
    </w:rPr>
  </w:style>
  <w:style w:type="paragraph" w:styleId="NormalWeb">
    <w:name w:val="Normal (Web)"/>
    <w:basedOn w:val="Normal"/>
    <w:uiPriority w:val="99"/>
    <w:unhideWhenUsed/>
    <w:rsid w:val="006865BE"/>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texto de nota al pie Char1,Footnote referenc Char1,2. Footnote Text Char"/>
    <w:basedOn w:val="DefaultParagraphFont"/>
    <w:locked/>
    <w:rsid w:val="00E60C46"/>
    <w:rPr>
      <w:rFonts w:cs="Times New Roman"/>
      <w:sz w:val="20"/>
      <w:szCs w:val="20"/>
    </w:rPr>
  </w:style>
  <w:style w:type="character" w:customStyle="1" w:styleId="sb8d990e2">
    <w:name w:val="sb8d990e2"/>
    <w:basedOn w:val="DefaultParagraphFont"/>
    <w:uiPriority w:val="99"/>
    <w:rsid w:val="00533870"/>
    <w:rPr>
      <w:rFonts w:cs="Times New Roman"/>
    </w:rPr>
  </w:style>
  <w:style w:type="character" w:customStyle="1" w:styleId="apple-converted-space">
    <w:name w:val="apple-converted-space"/>
    <w:basedOn w:val="DefaultParagraphFont"/>
    <w:uiPriority w:val="99"/>
    <w:rsid w:val="00533870"/>
    <w:rPr>
      <w:rFonts w:cs="Times New Roman"/>
    </w:rPr>
  </w:style>
  <w:style w:type="paragraph" w:styleId="BalloonText">
    <w:name w:val="Balloon Text"/>
    <w:basedOn w:val="Normal"/>
    <w:link w:val="BalloonTextChar"/>
    <w:uiPriority w:val="99"/>
    <w:semiHidden/>
    <w:unhideWhenUsed/>
    <w:rsid w:val="009B4C38"/>
    <w:rPr>
      <w:rFonts w:ascii="Tahoma" w:hAnsi="Tahoma" w:cs="Tahoma"/>
      <w:sz w:val="16"/>
      <w:szCs w:val="16"/>
    </w:rPr>
  </w:style>
  <w:style w:type="character" w:customStyle="1" w:styleId="BalloonTextChar">
    <w:name w:val="Balloon Text Char"/>
    <w:basedOn w:val="DefaultParagraphFont"/>
    <w:link w:val="BalloonText"/>
    <w:uiPriority w:val="99"/>
    <w:semiHidden/>
    <w:rsid w:val="009B4C38"/>
    <w:rPr>
      <w:rFonts w:ascii="Tahoma" w:eastAsia="Batang" w:hAnsi="Tahoma" w:cs="Tahoma"/>
      <w:noProof/>
      <w:sz w:val="16"/>
      <w:szCs w:val="16"/>
      <w:lang w:val="es-ES_tradnl"/>
    </w:rPr>
  </w:style>
  <w:style w:type="paragraph" w:styleId="BodyTextIndent">
    <w:name w:val="Body Text Indent"/>
    <w:basedOn w:val="Normal"/>
    <w:link w:val="BodyTextIndentChar"/>
    <w:uiPriority w:val="99"/>
    <w:unhideWhenUsed/>
    <w:rsid w:val="00A04766"/>
    <w:pPr>
      <w:autoSpaceDE w:val="0"/>
      <w:autoSpaceDN w:val="0"/>
      <w:ind w:left="709"/>
    </w:pPr>
    <w:rPr>
      <w:bCs/>
      <w:i/>
      <w:lang w:val="es-CR"/>
    </w:rPr>
  </w:style>
  <w:style w:type="character" w:customStyle="1" w:styleId="BodyTextIndentChar">
    <w:name w:val="Body Text Indent Char"/>
    <w:basedOn w:val="DefaultParagraphFont"/>
    <w:link w:val="BodyTextIndent"/>
    <w:uiPriority w:val="99"/>
    <w:rsid w:val="00A04766"/>
    <w:rPr>
      <w:rFonts w:ascii="Verdana" w:eastAsia="Batang" w:hAnsi="Verdana" w:cs="Times"/>
      <w:bCs/>
      <w:i/>
      <w:noProof/>
      <w:sz w:val="20"/>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2B2D-B183-4A95-8FFC-4F87413F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2016-06-22T21:50:00Z</cp:lastPrinted>
  <dcterms:created xsi:type="dcterms:W3CDTF">2016-06-23T21:54:00Z</dcterms:created>
  <dcterms:modified xsi:type="dcterms:W3CDTF">2016-06-23T22:22:00Z</dcterms:modified>
</cp:coreProperties>
</file>