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1DFB" w14:textId="77777777" w:rsidR="001E5E00" w:rsidRDefault="001E5E00" w:rsidP="001E5E00">
      <w:pPr>
        <w:tabs>
          <w:tab w:val="left" w:pos="567"/>
          <w:tab w:val="left" w:pos="1134"/>
        </w:tabs>
        <w:ind w:right="29"/>
        <w:jc w:val="center"/>
        <w:rPr>
          <w:b/>
          <w:szCs w:val="20"/>
          <w:lang w:val="es-CR"/>
        </w:rPr>
      </w:pPr>
    </w:p>
    <w:p w14:paraId="47BCFB9A" w14:textId="77777777" w:rsidR="001E5E00" w:rsidRDefault="001E5E00" w:rsidP="001E5E00">
      <w:pPr>
        <w:tabs>
          <w:tab w:val="left" w:pos="567"/>
          <w:tab w:val="left" w:pos="1134"/>
        </w:tabs>
        <w:ind w:right="29"/>
        <w:jc w:val="center"/>
        <w:rPr>
          <w:b/>
          <w:szCs w:val="20"/>
          <w:lang w:val="es-CR"/>
        </w:rPr>
      </w:pPr>
    </w:p>
    <w:p w14:paraId="380D1F7C" w14:textId="77777777" w:rsidR="001E5E00" w:rsidRDefault="001E5E00" w:rsidP="001E5E00">
      <w:pPr>
        <w:tabs>
          <w:tab w:val="left" w:pos="567"/>
          <w:tab w:val="left" w:pos="1134"/>
        </w:tabs>
        <w:ind w:right="29"/>
        <w:jc w:val="center"/>
        <w:rPr>
          <w:b/>
          <w:szCs w:val="20"/>
          <w:lang w:val="es-CR"/>
        </w:rPr>
      </w:pPr>
    </w:p>
    <w:p w14:paraId="6A7D9809" w14:textId="77777777" w:rsidR="001E5E00" w:rsidRDefault="001E5E00" w:rsidP="001E5E00">
      <w:pPr>
        <w:tabs>
          <w:tab w:val="left" w:pos="567"/>
          <w:tab w:val="left" w:pos="1134"/>
        </w:tabs>
        <w:ind w:right="29"/>
        <w:jc w:val="center"/>
        <w:rPr>
          <w:b/>
          <w:szCs w:val="20"/>
          <w:lang w:val="es-CR"/>
        </w:rPr>
      </w:pPr>
    </w:p>
    <w:p w14:paraId="6F3E6FC0" w14:textId="77777777" w:rsidR="00F3018A" w:rsidRDefault="00F3018A" w:rsidP="00B62D22">
      <w:pPr>
        <w:tabs>
          <w:tab w:val="left" w:pos="567"/>
          <w:tab w:val="left" w:pos="1134"/>
        </w:tabs>
        <w:ind w:right="29"/>
        <w:rPr>
          <w:b/>
          <w:szCs w:val="20"/>
          <w:lang w:val="es-CR"/>
        </w:rPr>
      </w:pPr>
    </w:p>
    <w:p w14:paraId="49521AD3" w14:textId="77777777" w:rsidR="002A10AF" w:rsidRDefault="002A10AF" w:rsidP="002A10AF">
      <w:pPr>
        <w:tabs>
          <w:tab w:val="left" w:pos="567"/>
          <w:tab w:val="left" w:pos="1134"/>
        </w:tabs>
        <w:ind w:right="29"/>
        <w:rPr>
          <w:b/>
          <w:szCs w:val="20"/>
          <w:lang w:val="es-CR"/>
        </w:rPr>
      </w:pPr>
    </w:p>
    <w:p w14:paraId="6DDBF714" w14:textId="77777777" w:rsidR="00046033" w:rsidRDefault="00046033" w:rsidP="002A10AF">
      <w:pPr>
        <w:tabs>
          <w:tab w:val="left" w:pos="567"/>
          <w:tab w:val="left" w:pos="1134"/>
        </w:tabs>
        <w:ind w:right="29"/>
        <w:rPr>
          <w:b/>
          <w:szCs w:val="20"/>
          <w:lang w:val="es-CR"/>
        </w:rPr>
      </w:pPr>
    </w:p>
    <w:p w14:paraId="2AA29FB8" w14:textId="77777777" w:rsidR="00C50D2B" w:rsidRDefault="00C50D2B" w:rsidP="00C004DF">
      <w:pPr>
        <w:tabs>
          <w:tab w:val="left" w:pos="567"/>
          <w:tab w:val="left" w:pos="1134"/>
        </w:tabs>
        <w:ind w:right="29"/>
        <w:jc w:val="center"/>
        <w:rPr>
          <w:b/>
          <w:snapToGrid w:val="0"/>
          <w:szCs w:val="20"/>
        </w:rPr>
      </w:pPr>
      <w:r>
        <w:rPr>
          <w:b/>
          <w:szCs w:val="20"/>
          <w:lang w:val="es-CR"/>
        </w:rPr>
        <w:t>VOTO</w:t>
      </w:r>
      <w:r w:rsidR="00C004DF">
        <w:rPr>
          <w:b/>
          <w:szCs w:val="20"/>
          <w:lang w:val="es-CR"/>
        </w:rPr>
        <w:t xml:space="preserve"> CONCURRENTE Y</w:t>
      </w:r>
      <w:r>
        <w:rPr>
          <w:b/>
          <w:szCs w:val="20"/>
          <w:lang w:val="es-CR"/>
        </w:rPr>
        <w:t xml:space="preserve"> PARCIALMENTE DISIDENTE DEL JUEZ HUMBERTO ANTONIO SIERRA PORTO</w:t>
      </w:r>
    </w:p>
    <w:p w14:paraId="3BD62D96" w14:textId="77777777" w:rsidR="00CD3805" w:rsidRDefault="00CD3805" w:rsidP="001E5E00">
      <w:pPr>
        <w:tabs>
          <w:tab w:val="left" w:pos="567"/>
          <w:tab w:val="left" w:pos="1134"/>
        </w:tabs>
        <w:ind w:right="29"/>
        <w:jc w:val="center"/>
        <w:rPr>
          <w:b/>
          <w:snapToGrid w:val="0"/>
          <w:szCs w:val="20"/>
        </w:rPr>
      </w:pPr>
    </w:p>
    <w:p w14:paraId="229FA1DF" w14:textId="77777777" w:rsidR="00C50D2B" w:rsidRPr="00FA11AC" w:rsidRDefault="00C50D2B" w:rsidP="001E5E00">
      <w:pPr>
        <w:tabs>
          <w:tab w:val="left" w:pos="567"/>
          <w:tab w:val="left" w:pos="1134"/>
        </w:tabs>
        <w:ind w:right="29"/>
        <w:jc w:val="center"/>
        <w:rPr>
          <w:b/>
          <w:snapToGrid w:val="0"/>
          <w:szCs w:val="20"/>
        </w:rPr>
      </w:pPr>
      <w:r w:rsidRPr="00FA11AC">
        <w:rPr>
          <w:b/>
          <w:snapToGrid w:val="0"/>
          <w:szCs w:val="20"/>
        </w:rPr>
        <w:t>CORTE INTERAMERICANA DE DERECHOS HUMANOS</w:t>
      </w:r>
    </w:p>
    <w:p w14:paraId="61119B56" w14:textId="77777777" w:rsidR="00CD3805" w:rsidRDefault="00CD3805" w:rsidP="001E5E00">
      <w:pPr>
        <w:ind w:right="-138"/>
        <w:jc w:val="center"/>
        <w:rPr>
          <w:rFonts w:eastAsia="MS Mincho"/>
          <w:b/>
          <w:szCs w:val="20"/>
        </w:rPr>
      </w:pPr>
    </w:p>
    <w:p w14:paraId="7B811C56" w14:textId="77777777" w:rsidR="001E5E00" w:rsidRPr="00E90FA0" w:rsidRDefault="001E5E00" w:rsidP="001E5E00">
      <w:pPr>
        <w:ind w:right="-138"/>
        <w:jc w:val="center"/>
        <w:rPr>
          <w:rFonts w:eastAsia="MS Mincho"/>
          <w:b/>
          <w:sz w:val="16"/>
          <w:szCs w:val="20"/>
          <w:lang w:val="es-ES_tradnl"/>
        </w:rPr>
      </w:pPr>
      <w:r w:rsidRPr="00E90FA0">
        <w:rPr>
          <w:rFonts w:eastAsia="MS Mincho"/>
          <w:b/>
          <w:szCs w:val="20"/>
        </w:rPr>
        <w:t xml:space="preserve">CASO </w:t>
      </w:r>
      <w:r w:rsidR="00C004DF">
        <w:rPr>
          <w:rFonts w:eastAsia="MS Mincho"/>
          <w:b/>
          <w:szCs w:val="20"/>
        </w:rPr>
        <w:t>VALENCIA HINOJOSA Y OTRA VS. ECUADOR</w:t>
      </w:r>
    </w:p>
    <w:p w14:paraId="2329173D" w14:textId="77777777" w:rsidR="00CD3805" w:rsidRDefault="00CD3805" w:rsidP="001E5E00">
      <w:pPr>
        <w:ind w:right="-138"/>
        <w:jc w:val="center"/>
        <w:rPr>
          <w:rFonts w:eastAsia="MS Mincho"/>
          <w:b/>
          <w:szCs w:val="20"/>
          <w:lang w:val="es-ES_tradnl"/>
        </w:rPr>
      </w:pPr>
      <w:bookmarkStart w:id="0" w:name="_GoBack"/>
      <w:bookmarkEnd w:id="0"/>
    </w:p>
    <w:p w14:paraId="7A6D4CB5" w14:textId="77777777" w:rsidR="001E5E00" w:rsidRPr="00E90FA0" w:rsidRDefault="00C004DF" w:rsidP="001E5E00">
      <w:pPr>
        <w:ind w:right="-138"/>
        <w:jc w:val="center"/>
        <w:rPr>
          <w:rFonts w:eastAsia="MS Mincho"/>
          <w:b/>
          <w:szCs w:val="20"/>
          <w:lang w:val="es-ES_tradnl"/>
        </w:rPr>
      </w:pPr>
      <w:r>
        <w:rPr>
          <w:rFonts w:eastAsia="MS Mincho"/>
          <w:b/>
          <w:szCs w:val="20"/>
          <w:lang w:val="es-ES_tradnl"/>
        </w:rPr>
        <w:t>SENTENCIA DE 29</w:t>
      </w:r>
      <w:r w:rsidR="001E5E00" w:rsidRPr="00E90FA0">
        <w:rPr>
          <w:rFonts w:eastAsia="MS Mincho"/>
          <w:b/>
          <w:szCs w:val="20"/>
          <w:lang w:val="es-ES_tradnl"/>
        </w:rPr>
        <w:t xml:space="preserve"> </w:t>
      </w:r>
      <w:r>
        <w:rPr>
          <w:rFonts w:eastAsia="MS Mincho"/>
          <w:b/>
          <w:szCs w:val="20"/>
          <w:lang w:val="es-ES_tradnl"/>
        </w:rPr>
        <w:t>DE NOVIEMBRE</w:t>
      </w:r>
      <w:r w:rsidR="001E5E00" w:rsidRPr="00E90FA0">
        <w:rPr>
          <w:rFonts w:eastAsia="MS Mincho"/>
          <w:b/>
          <w:szCs w:val="20"/>
          <w:lang w:val="es-ES_tradnl"/>
        </w:rPr>
        <w:t xml:space="preserve"> DE 2016</w:t>
      </w:r>
    </w:p>
    <w:p w14:paraId="4E24BBE1" w14:textId="77777777" w:rsidR="00C50D2B" w:rsidRPr="00B4009A" w:rsidRDefault="001E5E00" w:rsidP="001E5E00">
      <w:pPr>
        <w:jc w:val="center"/>
        <w:rPr>
          <w:b/>
          <w:i/>
          <w:snapToGrid w:val="0"/>
          <w:szCs w:val="20"/>
        </w:rPr>
      </w:pPr>
      <w:r w:rsidRPr="00B4009A">
        <w:rPr>
          <w:rFonts w:eastAsia="Times New Roman"/>
          <w:b/>
          <w:i/>
          <w:iCs/>
          <w:szCs w:val="24"/>
          <w:lang w:val="es-ES_tradnl"/>
        </w:rPr>
        <w:t>(Excepciones Preliminares, Fondo, Reparaciones y Costas)</w:t>
      </w:r>
    </w:p>
    <w:p w14:paraId="724897F4" w14:textId="77777777" w:rsidR="00C50D2B" w:rsidRDefault="00C50D2B" w:rsidP="00C50D2B">
      <w:pPr>
        <w:rPr>
          <w:snapToGrid w:val="0"/>
          <w:szCs w:val="20"/>
        </w:rPr>
      </w:pPr>
    </w:p>
    <w:p w14:paraId="65FA5716" w14:textId="77777777" w:rsidR="00A92905" w:rsidRPr="001E5E00" w:rsidRDefault="00A92905" w:rsidP="00C50D2B">
      <w:pPr>
        <w:rPr>
          <w:snapToGrid w:val="0"/>
          <w:szCs w:val="20"/>
        </w:rPr>
      </w:pPr>
    </w:p>
    <w:p w14:paraId="4FEBD31D" w14:textId="77777777" w:rsidR="00FE3926" w:rsidRPr="00FE3926" w:rsidRDefault="00FE3926" w:rsidP="00FE3926">
      <w:pPr>
        <w:pStyle w:val="ListParagraph"/>
        <w:numPr>
          <w:ilvl w:val="0"/>
          <w:numId w:val="4"/>
        </w:numPr>
        <w:rPr>
          <w:b/>
          <w:i/>
          <w:snapToGrid w:val="0"/>
          <w:szCs w:val="20"/>
        </w:rPr>
      </w:pPr>
      <w:r>
        <w:rPr>
          <w:b/>
          <w:i/>
          <w:snapToGrid w:val="0"/>
          <w:szCs w:val="20"/>
        </w:rPr>
        <w:t>Objeto del presente voto</w:t>
      </w:r>
    </w:p>
    <w:p w14:paraId="250EDD7F" w14:textId="77777777" w:rsidR="00FE3926" w:rsidRDefault="00FE3926" w:rsidP="00FE3926">
      <w:pPr>
        <w:pStyle w:val="ListParagraph"/>
        <w:ind w:left="0"/>
        <w:rPr>
          <w:snapToGrid w:val="0"/>
          <w:szCs w:val="20"/>
        </w:rPr>
      </w:pPr>
    </w:p>
    <w:p w14:paraId="4654226F" w14:textId="1A4D1D4A" w:rsidR="001435DC" w:rsidRPr="00FE3926" w:rsidRDefault="00C50D2B" w:rsidP="00FE3926">
      <w:pPr>
        <w:pStyle w:val="ListParagraph"/>
        <w:numPr>
          <w:ilvl w:val="0"/>
          <w:numId w:val="1"/>
        </w:numPr>
        <w:ind w:left="0" w:firstLine="0"/>
        <w:rPr>
          <w:snapToGrid w:val="0"/>
          <w:szCs w:val="20"/>
        </w:rPr>
      </w:pPr>
      <w:r w:rsidRPr="00C004DF">
        <w:rPr>
          <w:snapToGrid w:val="0"/>
          <w:szCs w:val="20"/>
        </w:rPr>
        <w:t xml:space="preserve">El </w:t>
      </w:r>
      <w:r w:rsidR="00B4009A">
        <w:rPr>
          <w:snapToGrid w:val="0"/>
          <w:szCs w:val="20"/>
        </w:rPr>
        <w:t>objeto</w:t>
      </w:r>
      <w:r w:rsidRPr="00C004DF">
        <w:rPr>
          <w:snapToGrid w:val="0"/>
          <w:szCs w:val="20"/>
        </w:rPr>
        <w:t xml:space="preserve"> del presente voto es expresar </w:t>
      </w:r>
      <w:r w:rsidR="00B4009A">
        <w:rPr>
          <w:snapToGrid w:val="0"/>
          <w:szCs w:val="20"/>
        </w:rPr>
        <w:t>las razones</w:t>
      </w:r>
      <w:r w:rsidRPr="00C004DF">
        <w:rPr>
          <w:snapToGrid w:val="0"/>
          <w:szCs w:val="20"/>
        </w:rPr>
        <w:t xml:space="preserve"> de mi</w:t>
      </w:r>
      <w:r w:rsidR="00C004DF" w:rsidRPr="00C004DF">
        <w:rPr>
          <w:snapToGrid w:val="0"/>
          <w:szCs w:val="20"/>
        </w:rPr>
        <w:t xml:space="preserve"> concurrencia y de mi</w:t>
      </w:r>
      <w:r w:rsidRPr="00C004DF">
        <w:rPr>
          <w:snapToGrid w:val="0"/>
          <w:szCs w:val="20"/>
        </w:rPr>
        <w:t xml:space="preserve"> disidencia parcial respecto de lo decidido por la mayoría de los Jueces de la Corte Interamericana de Derechos Humanos (en adelante “la Corte” o “</w:t>
      </w:r>
      <w:r w:rsidR="003F726B">
        <w:rPr>
          <w:snapToGrid w:val="0"/>
          <w:szCs w:val="20"/>
        </w:rPr>
        <w:t>este</w:t>
      </w:r>
      <w:r w:rsidR="003F726B" w:rsidRPr="00C004DF">
        <w:rPr>
          <w:snapToGrid w:val="0"/>
          <w:szCs w:val="20"/>
        </w:rPr>
        <w:t xml:space="preserve"> </w:t>
      </w:r>
      <w:r w:rsidRPr="00C004DF">
        <w:rPr>
          <w:snapToGrid w:val="0"/>
          <w:szCs w:val="20"/>
        </w:rPr>
        <w:t xml:space="preserve">Tribunal”) en la Sentencia de </w:t>
      </w:r>
      <w:r w:rsidR="00C004DF" w:rsidRPr="00C004DF">
        <w:rPr>
          <w:snapToGrid w:val="0"/>
          <w:szCs w:val="20"/>
        </w:rPr>
        <w:t>29 de noviembre de 2016</w:t>
      </w:r>
      <w:r w:rsidRPr="00C004DF">
        <w:rPr>
          <w:snapToGrid w:val="0"/>
          <w:szCs w:val="20"/>
        </w:rPr>
        <w:t xml:space="preserve"> sobre el caso </w:t>
      </w:r>
      <w:r w:rsidR="00C004DF" w:rsidRPr="00C004DF">
        <w:rPr>
          <w:i/>
          <w:snapToGrid w:val="0"/>
          <w:szCs w:val="20"/>
        </w:rPr>
        <w:t>Valencia Hinojosa y otra Vs. Ecuador</w:t>
      </w:r>
      <w:r w:rsidR="00926C8C" w:rsidRPr="00C004DF">
        <w:rPr>
          <w:snapToGrid w:val="0"/>
          <w:szCs w:val="20"/>
        </w:rPr>
        <w:t>.</w:t>
      </w:r>
      <w:r w:rsidR="00C004DF">
        <w:rPr>
          <w:snapToGrid w:val="0"/>
          <w:szCs w:val="20"/>
        </w:rPr>
        <w:t xml:space="preserve"> </w:t>
      </w:r>
      <w:r w:rsidRPr="00C004DF">
        <w:rPr>
          <w:i/>
          <w:snapToGrid w:val="0"/>
          <w:szCs w:val="20"/>
        </w:rPr>
        <w:t xml:space="preserve"> </w:t>
      </w:r>
      <w:r w:rsidR="001435DC">
        <w:rPr>
          <w:snapToGrid w:val="0"/>
          <w:szCs w:val="20"/>
        </w:rPr>
        <w:t xml:space="preserve">Concurro con </w:t>
      </w:r>
      <w:r w:rsidRPr="00C004DF">
        <w:rPr>
          <w:snapToGrid w:val="0"/>
          <w:szCs w:val="20"/>
        </w:rPr>
        <w:t xml:space="preserve">la </w:t>
      </w:r>
      <w:r w:rsidR="001435DC">
        <w:rPr>
          <w:snapToGrid w:val="0"/>
          <w:szCs w:val="20"/>
        </w:rPr>
        <w:t>Corte</w:t>
      </w:r>
      <w:r w:rsidR="00C004DF">
        <w:rPr>
          <w:snapToGrid w:val="0"/>
          <w:szCs w:val="20"/>
        </w:rPr>
        <w:t xml:space="preserve"> </w:t>
      </w:r>
      <w:r w:rsidR="001435DC">
        <w:rPr>
          <w:snapToGrid w:val="0"/>
          <w:szCs w:val="20"/>
        </w:rPr>
        <w:t>en el análisis de una de las excepciones preliminares presentadas por el Estado, en la que</w:t>
      </w:r>
      <w:r w:rsidR="00B4009A">
        <w:rPr>
          <w:snapToGrid w:val="0"/>
          <w:szCs w:val="20"/>
        </w:rPr>
        <w:t xml:space="preserve"> se</w:t>
      </w:r>
      <w:r w:rsidR="001435DC">
        <w:rPr>
          <w:snapToGrid w:val="0"/>
          <w:szCs w:val="20"/>
        </w:rPr>
        <w:t xml:space="preserve"> alegó una violación al debido proceso en el trámite ante la Comisión Interamericana de Derechos Humanos (en adelante “la Comisión”) por un retardo injustificado en la tramitación de la causa</w:t>
      </w:r>
      <w:r w:rsidR="001435DC" w:rsidRPr="001435DC">
        <w:rPr>
          <w:snapToGrid w:val="0"/>
          <w:szCs w:val="20"/>
        </w:rPr>
        <w:t>.</w:t>
      </w:r>
      <w:r w:rsidRPr="001435DC">
        <w:rPr>
          <w:snapToGrid w:val="0"/>
          <w:szCs w:val="20"/>
        </w:rPr>
        <w:t xml:space="preserve"> </w:t>
      </w:r>
      <w:r w:rsidR="0000442D">
        <w:rPr>
          <w:snapToGrid w:val="0"/>
          <w:szCs w:val="20"/>
        </w:rPr>
        <w:t>Disiento, respetuosamente,</w:t>
      </w:r>
      <w:r w:rsidR="001435DC">
        <w:rPr>
          <w:snapToGrid w:val="0"/>
          <w:szCs w:val="20"/>
        </w:rPr>
        <w:t xml:space="preserve"> con la Corte </w:t>
      </w:r>
      <w:r w:rsidR="002751EC">
        <w:rPr>
          <w:snapToGrid w:val="0"/>
          <w:szCs w:val="20"/>
        </w:rPr>
        <w:t>en la conclusión sobre las alegadas violaciones a los derechos a la vida del señor Luis Jorge Valencia Hinojosa</w:t>
      </w:r>
      <w:r w:rsidR="00B4009A">
        <w:rPr>
          <w:snapToGrid w:val="0"/>
          <w:szCs w:val="20"/>
        </w:rPr>
        <w:t xml:space="preserve"> (en adelante “el señor Valencia</w:t>
      </w:r>
      <w:r w:rsidR="003F726B">
        <w:rPr>
          <w:snapToGrid w:val="0"/>
          <w:szCs w:val="20"/>
        </w:rPr>
        <w:t xml:space="preserve"> Hinojosa</w:t>
      </w:r>
      <w:r w:rsidR="00B4009A">
        <w:rPr>
          <w:snapToGrid w:val="0"/>
          <w:szCs w:val="20"/>
        </w:rPr>
        <w:t>”)</w:t>
      </w:r>
      <w:r w:rsidR="002751EC">
        <w:rPr>
          <w:snapToGrid w:val="0"/>
          <w:szCs w:val="20"/>
        </w:rPr>
        <w:t>, y a la integridad personal de Patricia Trujillo Esparza</w:t>
      </w:r>
      <w:r w:rsidR="00B4009A">
        <w:rPr>
          <w:snapToGrid w:val="0"/>
          <w:szCs w:val="20"/>
        </w:rPr>
        <w:t xml:space="preserve"> (en adelante “la señora Trujillo</w:t>
      </w:r>
      <w:r w:rsidR="003F726B">
        <w:rPr>
          <w:snapToGrid w:val="0"/>
          <w:szCs w:val="20"/>
        </w:rPr>
        <w:t xml:space="preserve"> Esparza”</w:t>
      </w:r>
      <w:r w:rsidR="00B4009A">
        <w:rPr>
          <w:snapToGrid w:val="0"/>
          <w:szCs w:val="20"/>
        </w:rPr>
        <w:t>), pues</w:t>
      </w:r>
      <w:r w:rsidR="002751EC">
        <w:rPr>
          <w:snapToGrid w:val="0"/>
          <w:szCs w:val="20"/>
        </w:rPr>
        <w:t xml:space="preserve"> considero que las deficiencias en la investigaci</w:t>
      </w:r>
      <w:r w:rsidR="00FE3926">
        <w:rPr>
          <w:snapToGrid w:val="0"/>
          <w:szCs w:val="20"/>
        </w:rPr>
        <w:t xml:space="preserve">ón de un hecho que </w:t>
      </w:r>
      <w:r w:rsidR="00FE3926" w:rsidRPr="00FE3926">
        <w:rPr>
          <w:i/>
          <w:snapToGrid w:val="0"/>
          <w:szCs w:val="20"/>
        </w:rPr>
        <w:t>pudo</w:t>
      </w:r>
      <w:r w:rsidR="00FE3926">
        <w:rPr>
          <w:snapToGrid w:val="0"/>
          <w:szCs w:val="20"/>
        </w:rPr>
        <w:t xml:space="preserve"> constituir una violación al deber de respetar el derecho a la vida –como fue la muerte del señor Valencia–</w:t>
      </w:r>
      <w:r w:rsidR="002751EC">
        <w:rPr>
          <w:snapToGrid w:val="0"/>
          <w:szCs w:val="20"/>
        </w:rPr>
        <w:t xml:space="preserve"> no constituye, en sí misma, una violación al </w:t>
      </w:r>
      <w:r w:rsidR="00FE3926">
        <w:rPr>
          <w:snapToGrid w:val="0"/>
          <w:szCs w:val="20"/>
        </w:rPr>
        <w:t xml:space="preserve">deber de garantizar el derecho a la vida de la víctima, ni una violación al derecho a la integridad personal de </w:t>
      </w:r>
      <w:r w:rsidR="004046AA">
        <w:rPr>
          <w:snapToGrid w:val="0"/>
          <w:szCs w:val="20"/>
        </w:rPr>
        <w:t>sus familiares</w:t>
      </w:r>
      <w:r w:rsidR="00FE3926">
        <w:rPr>
          <w:snapToGrid w:val="0"/>
          <w:szCs w:val="20"/>
        </w:rPr>
        <w:t>.</w:t>
      </w:r>
      <w:r w:rsidR="002751EC">
        <w:rPr>
          <w:snapToGrid w:val="0"/>
          <w:szCs w:val="20"/>
        </w:rPr>
        <w:t xml:space="preserve"> </w:t>
      </w:r>
    </w:p>
    <w:p w14:paraId="24B9D93D" w14:textId="77777777" w:rsidR="00B87424" w:rsidRDefault="00B87424" w:rsidP="00FE3926">
      <w:pPr>
        <w:rPr>
          <w:snapToGrid w:val="0"/>
          <w:szCs w:val="20"/>
        </w:rPr>
      </w:pPr>
    </w:p>
    <w:p w14:paraId="08CFB5A2" w14:textId="1B695C21" w:rsidR="00FE3926" w:rsidRPr="00FE3926" w:rsidRDefault="00FE3926" w:rsidP="00FE3926">
      <w:pPr>
        <w:pStyle w:val="ListParagraph"/>
        <w:numPr>
          <w:ilvl w:val="0"/>
          <w:numId w:val="4"/>
        </w:numPr>
        <w:rPr>
          <w:b/>
          <w:i/>
          <w:snapToGrid w:val="0"/>
          <w:szCs w:val="20"/>
        </w:rPr>
      </w:pPr>
      <w:r>
        <w:rPr>
          <w:b/>
          <w:i/>
          <w:snapToGrid w:val="0"/>
          <w:szCs w:val="20"/>
        </w:rPr>
        <w:t xml:space="preserve">Concurrencia respecto </w:t>
      </w:r>
      <w:r w:rsidR="004046AA">
        <w:rPr>
          <w:b/>
          <w:i/>
          <w:snapToGrid w:val="0"/>
          <w:szCs w:val="20"/>
        </w:rPr>
        <w:t>de</w:t>
      </w:r>
      <w:r w:rsidR="003F726B">
        <w:rPr>
          <w:b/>
          <w:i/>
          <w:snapToGrid w:val="0"/>
          <w:szCs w:val="20"/>
        </w:rPr>
        <w:t xml:space="preserve"> parte de la segunda</w:t>
      </w:r>
      <w:r>
        <w:rPr>
          <w:b/>
          <w:i/>
          <w:snapToGrid w:val="0"/>
          <w:szCs w:val="20"/>
        </w:rPr>
        <w:t xml:space="preserve"> excepción preliminar presentada por el Estado</w:t>
      </w:r>
    </w:p>
    <w:p w14:paraId="2377AB5F" w14:textId="77777777" w:rsidR="00BD3667" w:rsidRDefault="00BD3667" w:rsidP="00BD3667">
      <w:pPr>
        <w:pStyle w:val="ListParagraph"/>
        <w:rPr>
          <w:snapToGrid w:val="0"/>
          <w:szCs w:val="20"/>
        </w:rPr>
      </w:pPr>
    </w:p>
    <w:p w14:paraId="40F612BC" w14:textId="3F2A2824" w:rsidR="003805F5" w:rsidRPr="003805F5" w:rsidRDefault="00F36D40" w:rsidP="00C93BFC">
      <w:pPr>
        <w:pStyle w:val="ListParagraph"/>
        <w:numPr>
          <w:ilvl w:val="0"/>
          <w:numId w:val="1"/>
        </w:numPr>
        <w:ind w:left="0" w:firstLine="0"/>
        <w:rPr>
          <w:snapToGrid w:val="0"/>
          <w:szCs w:val="20"/>
        </w:rPr>
      </w:pPr>
      <w:r>
        <w:rPr>
          <w:rFonts w:eastAsia="Cambria"/>
          <w:szCs w:val="20"/>
        </w:rPr>
        <w:t xml:space="preserve">El Estado alegó que la Comisión violó su derecho a la defensa por el retardo </w:t>
      </w:r>
      <w:r w:rsidR="0098295A">
        <w:rPr>
          <w:rFonts w:eastAsia="Cambria"/>
          <w:szCs w:val="20"/>
        </w:rPr>
        <w:t>desproporcionado</w:t>
      </w:r>
      <w:r>
        <w:rPr>
          <w:rFonts w:eastAsia="Cambria"/>
          <w:szCs w:val="20"/>
        </w:rPr>
        <w:t xml:space="preserve"> en la tramitación de la petición, por lo que le solicitó a la Corte que realizara un control de legalidad respecto </w:t>
      </w:r>
      <w:r w:rsidR="003F726B">
        <w:rPr>
          <w:rFonts w:eastAsia="Cambria"/>
          <w:szCs w:val="20"/>
        </w:rPr>
        <w:t xml:space="preserve">de la actuación de la Comisión y el plazo razonable en la tramitación de la petición ante </w:t>
      </w:r>
      <w:r w:rsidR="008C0AF2">
        <w:rPr>
          <w:rFonts w:eastAsia="Cambria"/>
          <w:szCs w:val="20"/>
        </w:rPr>
        <w:t>dicho</w:t>
      </w:r>
      <w:r w:rsidR="003F726B">
        <w:rPr>
          <w:rFonts w:eastAsia="Cambria"/>
          <w:szCs w:val="20"/>
        </w:rPr>
        <w:t xml:space="preserve"> </w:t>
      </w:r>
      <w:r w:rsidR="008C0AF2">
        <w:rPr>
          <w:rFonts w:eastAsia="Cambria"/>
          <w:szCs w:val="20"/>
        </w:rPr>
        <w:t>ó</w:t>
      </w:r>
      <w:r w:rsidR="003F726B">
        <w:rPr>
          <w:rFonts w:eastAsia="Cambria"/>
          <w:szCs w:val="20"/>
        </w:rPr>
        <w:t>rgano</w:t>
      </w:r>
      <w:r>
        <w:rPr>
          <w:rFonts w:eastAsia="Cambria"/>
          <w:szCs w:val="20"/>
        </w:rPr>
        <w:t xml:space="preserve">. La Corte desestimó </w:t>
      </w:r>
      <w:r w:rsidR="0098295A">
        <w:rPr>
          <w:rFonts w:eastAsia="Cambria"/>
          <w:szCs w:val="20"/>
        </w:rPr>
        <w:t>esta</w:t>
      </w:r>
      <w:r>
        <w:rPr>
          <w:rFonts w:eastAsia="Cambria"/>
          <w:szCs w:val="20"/>
        </w:rPr>
        <w:t xml:space="preserve"> excepción preliminar</w:t>
      </w:r>
      <w:r w:rsidR="0098295A">
        <w:rPr>
          <w:rFonts w:eastAsia="Cambria"/>
          <w:szCs w:val="20"/>
        </w:rPr>
        <w:t>. Consideró que el paso excesivo del tiempo puede afectar la seguridad jurídica y el derecho a la defensa</w:t>
      </w:r>
      <w:r w:rsidR="003805F5">
        <w:rPr>
          <w:rFonts w:eastAsia="Cambria"/>
          <w:szCs w:val="20"/>
        </w:rPr>
        <w:t xml:space="preserve"> de las partes del proceso, tanto </w:t>
      </w:r>
      <w:r w:rsidR="005B4366">
        <w:rPr>
          <w:rFonts w:eastAsia="Cambria"/>
          <w:szCs w:val="20"/>
        </w:rPr>
        <w:t>de</w:t>
      </w:r>
      <w:r w:rsidR="003805F5">
        <w:rPr>
          <w:rFonts w:eastAsia="Cambria"/>
          <w:szCs w:val="20"/>
        </w:rPr>
        <w:t xml:space="preserve"> las presuntas víctimas como </w:t>
      </w:r>
      <w:r w:rsidR="005B4366">
        <w:rPr>
          <w:rFonts w:eastAsia="Cambria"/>
          <w:szCs w:val="20"/>
        </w:rPr>
        <w:t>el</w:t>
      </w:r>
      <w:r w:rsidR="003805F5">
        <w:rPr>
          <w:rFonts w:eastAsia="Cambria"/>
          <w:szCs w:val="20"/>
        </w:rPr>
        <w:t xml:space="preserve"> Estado; no obstante, </w:t>
      </w:r>
      <w:r w:rsidR="005B4366">
        <w:rPr>
          <w:rFonts w:eastAsia="Cambria"/>
          <w:szCs w:val="20"/>
        </w:rPr>
        <w:t>estableció</w:t>
      </w:r>
      <w:r w:rsidR="003805F5">
        <w:rPr>
          <w:rFonts w:eastAsia="Cambria"/>
          <w:szCs w:val="20"/>
        </w:rPr>
        <w:t xml:space="preserve"> que esta demora afecta de manera más acentuada a las víctimas, pues ellas tienen que soportar los efectos adversos de esa tardanza. Sin </w:t>
      </w:r>
      <w:r w:rsidR="00055CAF">
        <w:rPr>
          <w:rFonts w:eastAsia="Cambria"/>
          <w:szCs w:val="20"/>
        </w:rPr>
        <w:t>perjuicio de lo anterior</w:t>
      </w:r>
      <w:r w:rsidR="003805F5">
        <w:rPr>
          <w:rFonts w:eastAsia="Cambria"/>
          <w:szCs w:val="20"/>
        </w:rPr>
        <w:t>, la Corte concluyó que los efectos de una tardanza</w:t>
      </w:r>
      <w:r w:rsidR="005B4366">
        <w:rPr>
          <w:rFonts w:eastAsia="Cambria"/>
          <w:szCs w:val="20"/>
        </w:rPr>
        <w:t xml:space="preserve"> como la del presente caso (que fue de más de 20 años)</w:t>
      </w:r>
      <w:r w:rsidR="008C0AF2">
        <w:rPr>
          <w:rFonts w:eastAsia="Cambria"/>
          <w:szCs w:val="20"/>
        </w:rPr>
        <w:t xml:space="preserve"> “</w:t>
      </w:r>
      <w:r w:rsidR="003F726B">
        <w:rPr>
          <w:rFonts w:eastAsia="Cambria"/>
          <w:szCs w:val="20"/>
        </w:rPr>
        <w:t xml:space="preserve">no puede recaer en la Comisión, dado que es notorio que la demora temporal podría obedecer, entre otras razones, a la inadecuación del sistema a los requerimientos de los usuarios, no en forma individual sino colectiva. En síntesis: el reclamo del de los Estados en cuanto a la afectación de su derecho de defensa, podría provenir directamente de su omisión colectiva de proveer a la eficacia del sistema </w:t>
      </w:r>
      <w:r w:rsidR="003F726B">
        <w:rPr>
          <w:rFonts w:eastAsia="Cambria"/>
          <w:szCs w:val="20"/>
        </w:rPr>
        <w:lastRenderedPageBreak/>
        <w:t>mediante la adecuación de su infraestructura material y humana a las crecientes demandas de los beneficiarios de su servicio”</w:t>
      </w:r>
      <w:r w:rsidR="008C0AF2">
        <w:rPr>
          <w:rFonts w:eastAsia="Cambria"/>
          <w:szCs w:val="20"/>
        </w:rPr>
        <w:t>.</w:t>
      </w:r>
      <w:r w:rsidR="003805F5">
        <w:rPr>
          <w:rFonts w:eastAsia="Cambria"/>
          <w:szCs w:val="20"/>
        </w:rPr>
        <w:t xml:space="preserve"> (párr. 40 de la sentencia).</w:t>
      </w:r>
    </w:p>
    <w:p w14:paraId="3B398B1E" w14:textId="77777777" w:rsidR="003805F5" w:rsidRPr="003805F5" w:rsidRDefault="003805F5" w:rsidP="003805F5">
      <w:pPr>
        <w:rPr>
          <w:snapToGrid w:val="0"/>
          <w:szCs w:val="20"/>
        </w:rPr>
      </w:pPr>
    </w:p>
    <w:p w14:paraId="299AC90E" w14:textId="5BCED326" w:rsidR="00C93BFC" w:rsidRPr="00730809" w:rsidRDefault="00055CAF" w:rsidP="00C93BFC">
      <w:pPr>
        <w:pStyle w:val="ListParagraph"/>
        <w:numPr>
          <w:ilvl w:val="0"/>
          <w:numId w:val="1"/>
        </w:numPr>
        <w:ind w:left="0" w:firstLine="0"/>
        <w:rPr>
          <w:snapToGrid w:val="0"/>
          <w:szCs w:val="20"/>
        </w:rPr>
      </w:pPr>
      <w:r>
        <w:rPr>
          <w:snapToGrid w:val="0"/>
          <w:szCs w:val="20"/>
        </w:rPr>
        <w:t>Concurro con la decisión de la Corte</w:t>
      </w:r>
      <w:r w:rsidR="005B4366">
        <w:rPr>
          <w:snapToGrid w:val="0"/>
          <w:szCs w:val="20"/>
        </w:rPr>
        <w:t>, pues</w:t>
      </w:r>
      <w:r>
        <w:rPr>
          <w:snapToGrid w:val="0"/>
          <w:szCs w:val="20"/>
        </w:rPr>
        <w:t xml:space="preserve"> </w:t>
      </w:r>
      <w:r w:rsidR="005B4366">
        <w:rPr>
          <w:snapToGrid w:val="0"/>
          <w:szCs w:val="20"/>
        </w:rPr>
        <w:t>concuerdo con</w:t>
      </w:r>
      <w:r>
        <w:rPr>
          <w:snapToGrid w:val="0"/>
          <w:szCs w:val="20"/>
        </w:rPr>
        <w:t xml:space="preserve"> que la excepción preliminar del Estado </w:t>
      </w:r>
      <w:r w:rsidR="00A52EFE">
        <w:rPr>
          <w:snapToGrid w:val="0"/>
          <w:szCs w:val="20"/>
        </w:rPr>
        <w:t>debía ser desestimada</w:t>
      </w:r>
      <w:r>
        <w:rPr>
          <w:snapToGrid w:val="0"/>
          <w:szCs w:val="20"/>
        </w:rPr>
        <w:t>, y que los Estados deben otorgar mayores recursos materiales y humanos a las instituciones del Sistema para realizar adecuadamente sus funciones. Sin embargo, considero que</w:t>
      </w:r>
      <w:r w:rsidR="00A52EFE">
        <w:rPr>
          <w:snapToGrid w:val="0"/>
          <w:szCs w:val="20"/>
        </w:rPr>
        <w:t xml:space="preserve"> no existe una relación causa y efecto</w:t>
      </w:r>
      <w:r w:rsidR="005B4366">
        <w:rPr>
          <w:snapToGrid w:val="0"/>
          <w:szCs w:val="20"/>
        </w:rPr>
        <w:t xml:space="preserve"> entre ambas cuestiones</w:t>
      </w:r>
      <w:r w:rsidR="00A52EFE">
        <w:rPr>
          <w:snapToGrid w:val="0"/>
          <w:szCs w:val="20"/>
        </w:rPr>
        <w:t xml:space="preserve"> –al menos no desde una perspectiva jurídica– </w:t>
      </w:r>
      <w:r w:rsidR="005B4366">
        <w:rPr>
          <w:snapToGrid w:val="0"/>
          <w:szCs w:val="20"/>
        </w:rPr>
        <w:t>que permita desestimar la excepción preliminar</w:t>
      </w:r>
      <w:r w:rsidR="00A52EFE">
        <w:rPr>
          <w:snapToGrid w:val="0"/>
          <w:szCs w:val="20"/>
        </w:rPr>
        <w:t>.</w:t>
      </w:r>
      <w:r>
        <w:rPr>
          <w:snapToGrid w:val="0"/>
          <w:szCs w:val="20"/>
        </w:rPr>
        <w:t xml:space="preserve"> </w:t>
      </w:r>
      <w:r w:rsidR="00A52EFE">
        <w:rPr>
          <w:snapToGrid w:val="0"/>
          <w:szCs w:val="20"/>
        </w:rPr>
        <w:t>Por el contrario, l</w:t>
      </w:r>
      <w:r>
        <w:rPr>
          <w:snapToGrid w:val="0"/>
          <w:szCs w:val="20"/>
        </w:rPr>
        <w:t xml:space="preserve">a razón jurídica por la que había que desestimar la excepción preliminar del Estado </w:t>
      </w:r>
      <w:r w:rsidR="0064619A">
        <w:rPr>
          <w:snapToGrid w:val="0"/>
          <w:szCs w:val="20"/>
        </w:rPr>
        <w:t>–y las futuras excepciones preliminares que se presenten en el mismo sentido</w:t>
      </w:r>
      <w:r w:rsidR="00A52EFE">
        <w:rPr>
          <w:snapToGrid w:val="0"/>
          <w:szCs w:val="20"/>
        </w:rPr>
        <w:t xml:space="preserve"> por parte de otros Estados</w:t>
      </w:r>
      <w:r w:rsidR="0064619A">
        <w:rPr>
          <w:snapToGrid w:val="0"/>
          <w:szCs w:val="20"/>
        </w:rPr>
        <w:t>–</w:t>
      </w:r>
      <w:r w:rsidR="00A52EFE">
        <w:rPr>
          <w:snapToGrid w:val="0"/>
          <w:szCs w:val="20"/>
        </w:rPr>
        <w:t xml:space="preserve"> no</w:t>
      </w:r>
      <w:r w:rsidR="0064619A">
        <w:rPr>
          <w:snapToGrid w:val="0"/>
          <w:szCs w:val="20"/>
        </w:rPr>
        <w:t xml:space="preserve"> </w:t>
      </w:r>
      <w:r w:rsidR="00A52EFE">
        <w:rPr>
          <w:snapToGrid w:val="0"/>
          <w:szCs w:val="20"/>
        </w:rPr>
        <w:t>debe ser</w:t>
      </w:r>
      <w:r w:rsidR="0064619A">
        <w:rPr>
          <w:snapToGrid w:val="0"/>
          <w:szCs w:val="20"/>
        </w:rPr>
        <w:t xml:space="preserve"> que </w:t>
      </w:r>
      <w:r>
        <w:rPr>
          <w:snapToGrid w:val="0"/>
          <w:szCs w:val="20"/>
        </w:rPr>
        <w:t xml:space="preserve">éstos no han aportado suficientes </w:t>
      </w:r>
      <w:r w:rsidR="00A52EFE">
        <w:rPr>
          <w:snapToGrid w:val="0"/>
          <w:szCs w:val="20"/>
        </w:rPr>
        <w:t>recursos materiales y humanos</w:t>
      </w:r>
      <w:r>
        <w:rPr>
          <w:snapToGrid w:val="0"/>
          <w:szCs w:val="20"/>
        </w:rPr>
        <w:t xml:space="preserve"> para que </w:t>
      </w:r>
      <w:r w:rsidR="00A52EFE">
        <w:rPr>
          <w:snapToGrid w:val="0"/>
          <w:szCs w:val="20"/>
        </w:rPr>
        <w:t>la Comisión realice una tramitación en un tiempo más breve</w:t>
      </w:r>
      <w:r>
        <w:rPr>
          <w:snapToGrid w:val="0"/>
          <w:szCs w:val="20"/>
        </w:rPr>
        <w:t xml:space="preserve">. </w:t>
      </w:r>
      <w:r w:rsidR="00A52EFE">
        <w:rPr>
          <w:snapToGrid w:val="0"/>
          <w:szCs w:val="20"/>
        </w:rPr>
        <w:t>E</w:t>
      </w:r>
      <w:r w:rsidR="0064619A">
        <w:rPr>
          <w:snapToGrid w:val="0"/>
          <w:szCs w:val="20"/>
        </w:rPr>
        <w:t>ste tipo de</w:t>
      </w:r>
      <w:r>
        <w:rPr>
          <w:snapToGrid w:val="0"/>
          <w:szCs w:val="20"/>
        </w:rPr>
        <w:t xml:space="preserve"> excepción </w:t>
      </w:r>
      <w:r w:rsidR="0064619A">
        <w:rPr>
          <w:snapToGrid w:val="0"/>
          <w:szCs w:val="20"/>
        </w:rPr>
        <w:t xml:space="preserve">preliminar </w:t>
      </w:r>
      <w:r>
        <w:rPr>
          <w:snapToGrid w:val="0"/>
          <w:szCs w:val="20"/>
        </w:rPr>
        <w:t>deb</w:t>
      </w:r>
      <w:r w:rsidR="0064619A">
        <w:rPr>
          <w:snapToGrid w:val="0"/>
          <w:szCs w:val="20"/>
        </w:rPr>
        <w:t>e</w:t>
      </w:r>
      <w:r>
        <w:rPr>
          <w:snapToGrid w:val="0"/>
          <w:szCs w:val="20"/>
        </w:rPr>
        <w:t xml:space="preserve"> ser </w:t>
      </w:r>
      <w:r w:rsidR="0064619A">
        <w:rPr>
          <w:snapToGrid w:val="0"/>
          <w:szCs w:val="20"/>
        </w:rPr>
        <w:t xml:space="preserve">evaluada a la luz de los argumentos y pruebas </w:t>
      </w:r>
      <w:r w:rsidR="00A52EFE">
        <w:rPr>
          <w:snapToGrid w:val="0"/>
          <w:szCs w:val="20"/>
        </w:rPr>
        <w:t>que</w:t>
      </w:r>
      <w:r w:rsidR="0064619A">
        <w:rPr>
          <w:snapToGrid w:val="0"/>
          <w:szCs w:val="20"/>
        </w:rPr>
        <w:t xml:space="preserve"> el Estado</w:t>
      </w:r>
      <w:r w:rsidR="00A52EFE">
        <w:rPr>
          <w:snapToGrid w:val="0"/>
          <w:szCs w:val="20"/>
        </w:rPr>
        <w:t xml:space="preserve"> presente</w:t>
      </w:r>
      <w:r w:rsidR="0064619A">
        <w:rPr>
          <w:snapToGrid w:val="0"/>
          <w:szCs w:val="20"/>
        </w:rPr>
        <w:t xml:space="preserve"> sobre cómo la demora de la Comisión afectó su derecho a la defensa</w:t>
      </w:r>
      <w:r>
        <w:rPr>
          <w:snapToGrid w:val="0"/>
          <w:szCs w:val="20"/>
        </w:rPr>
        <w:t>.</w:t>
      </w:r>
      <w:r w:rsidR="0064619A">
        <w:rPr>
          <w:snapToGrid w:val="0"/>
          <w:szCs w:val="20"/>
        </w:rPr>
        <w:t xml:space="preserve"> En este caso</w:t>
      </w:r>
      <w:r>
        <w:rPr>
          <w:snapToGrid w:val="0"/>
          <w:szCs w:val="20"/>
        </w:rPr>
        <w:t xml:space="preserve"> </w:t>
      </w:r>
      <w:r w:rsidR="0064619A">
        <w:rPr>
          <w:snapToGrid w:val="0"/>
          <w:szCs w:val="20"/>
        </w:rPr>
        <w:t>e</w:t>
      </w:r>
      <w:r w:rsidR="00D556F7">
        <w:rPr>
          <w:snapToGrid w:val="0"/>
          <w:szCs w:val="20"/>
        </w:rPr>
        <w:t>l Estado se limitó a manifestar que existe una afectación por estar sujeto mucho tiempo a una acusación, y que esto conllevaba una mala imagen al país</w:t>
      </w:r>
      <w:r w:rsidR="0064619A">
        <w:rPr>
          <w:snapToGrid w:val="0"/>
          <w:szCs w:val="20"/>
        </w:rPr>
        <w:t xml:space="preserve">. Ninguna de las dos razones se relaciona con la afectación del derecho a la defensa, y es </w:t>
      </w:r>
      <w:r w:rsidR="005B4366">
        <w:rPr>
          <w:snapToGrid w:val="0"/>
          <w:szCs w:val="20"/>
        </w:rPr>
        <w:t>por esta razón que</w:t>
      </w:r>
      <w:r w:rsidR="0064619A">
        <w:rPr>
          <w:snapToGrid w:val="0"/>
          <w:szCs w:val="20"/>
        </w:rPr>
        <w:t xml:space="preserve"> se </w:t>
      </w:r>
      <w:r w:rsidR="00A52EFE">
        <w:rPr>
          <w:snapToGrid w:val="0"/>
          <w:szCs w:val="20"/>
        </w:rPr>
        <w:t>debió</w:t>
      </w:r>
      <w:r w:rsidR="0064619A">
        <w:rPr>
          <w:snapToGrid w:val="0"/>
          <w:szCs w:val="20"/>
        </w:rPr>
        <w:t xml:space="preserve"> desestimar la excepción preliminar.</w:t>
      </w:r>
      <w:r w:rsidR="00D556F7">
        <w:rPr>
          <w:snapToGrid w:val="0"/>
          <w:szCs w:val="20"/>
        </w:rPr>
        <w:t xml:space="preserve"> </w:t>
      </w:r>
      <w:r>
        <w:rPr>
          <w:snapToGrid w:val="0"/>
          <w:szCs w:val="20"/>
        </w:rPr>
        <w:t xml:space="preserve">  </w:t>
      </w:r>
    </w:p>
    <w:p w14:paraId="321FD8AE" w14:textId="77777777" w:rsidR="0064619A" w:rsidRDefault="0064619A" w:rsidP="0064619A">
      <w:pPr>
        <w:rPr>
          <w:snapToGrid w:val="0"/>
          <w:szCs w:val="20"/>
        </w:rPr>
      </w:pPr>
    </w:p>
    <w:p w14:paraId="0AC866B4" w14:textId="77777777" w:rsidR="0064619A" w:rsidRPr="0064619A" w:rsidRDefault="00A52EFE" w:rsidP="0064619A">
      <w:pPr>
        <w:pStyle w:val="ListParagraph"/>
        <w:numPr>
          <w:ilvl w:val="0"/>
          <w:numId w:val="4"/>
        </w:numPr>
        <w:rPr>
          <w:b/>
          <w:i/>
          <w:snapToGrid w:val="0"/>
          <w:szCs w:val="20"/>
        </w:rPr>
      </w:pPr>
      <w:r>
        <w:rPr>
          <w:b/>
          <w:i/>
          <w:snapToGrid w:val="0"/>
          <w:szCs w:val="20"/>
        </w:rPr>
        <w:t>Disidencia respecto de la declaración de violación al derecho a la vida del señor Luis Jorge Valencia Hinojosa y a la integridad personal de la señora Patricia Trujillo Esparza</w:t>
      </w:r>
    </w:p>
    <w:p w14:paraId="4518B28D" w14:textId="77777777" w:rsidR="0064619A" w:rsidRDefault="0064619A" w:rsidP="0064619A">
      <w:pPr>
        <w:rPr>
          <w:snapToGrid w:val="0"/>
          <w:szCs w:val="20"/>
        </w:rPr>
      </w:pPr>
    </w:p>
    <w:p w14:paraId="5F8696AD" w14:textId="04B1BB40" w:rsidR="00A52EFE" w:rsidRDefault="005B4366" w:rsidP="00A52EFE">
      <w:pPr>
        <w:pStyle w:val="ListParagraph"/>
        <w:numPr>
          <w:ilvl w:val="0"/>
          <w:numId w:val="1"/>
        </w:numPr>
        <w:ind w:left="0" w:firstLine="0"/>
        <w:rPr>
          <w:snapToGrid w:val="0"/>
          <w:szCs w:val="20"/>
        </w:rPr>
      </w:pPr>
      <w:r>
        <w:rPr>
          <w:snapToGrid w:val="0"/>
          <w:szCs w:val="20"/>
        </w:rPr>
        <w:t>L</w:t>
      </w:r>
      <w:r w:rsidR="00A52EFE">
        <w:rPr>
          <w:snapToGrid w:val="0"/>
          <w:szCs w:val="20"/>
        </w:rPr>
        <w:t xml:space="preserve">a mayoría concluyó que el hecho de que el Estado </w:t>
      </w:r>
      <w:r w:rsidR="00A0461C">
        <w:rPr>
          <w:snapToGrid w:val="0"/>
          <w:szCs w:val="20"/>
        </w:rPr>
        <w:t>no realizara una investigación independiente e imparcial</w:t>
      </w:r>
      <w:r w:rsidR="000E509E">
        <w:rPr>
          <w:snapToGrid w:val="0"/>
          <w:szCs w:val="20"/>
        </w:rPr>
        <w:t>,</w:t>
      </w:r>
      <w:r w:rsidR="00A0461C">
        <w:rPr>
          <w:snapToGrid w:val="0"/>
          <w:szCs w:val="20"/>
        </w:rPr>
        <w:t xml:space="preserve"> en relación con la muerte del señor Valencia</w:t>
      </w:r>
      <w:r w:rsidR="005377E2">
        <w:rPr>
          <w:snapToGrid w:val="0"/>
          <w:szCs w:val="20"/>
        </w:rPr>
        <w:t xml:space="preserve"> Hinojosa</w:t>
      </w:r>
      <w:r w:rsidR="00A0461C">
        <w:rPr>
          <w:snapToGrid w:val="0"/>
          <w:szCs w:val="20"/>
        </w:rPr>
        <w:t xml:space="preserve">, implicó la responsabilidad internacional del Estado por la violación </w:t>
      </w:r>
      <w:r w:rsidR="005377E2">
        <w:rPr>
          <w:snapToGrid w:val="0"/>
          <w:szCs w:val="20"/>
        </w:rPr>
        <w:t xml:space="preserve">de la obligación de garantizar el </w:t>
      </w:r>
      <w:r w:rsidR="00A0461C">
        <w:rPr>
          <w:snapToGrid w:val="0"/>
          <w:szCs w:val="20"/>
        </w:rPr>
        <w:t>artículo 4.1</w:t>
      </w:r>
      <w:r w:rsidR="00304962">
        <w:rPr>
          <w:snapToGrid w:val="0"/>
          <w:szCs w:val="20"/>
        </w:rPr>
        <w:t xml:space="preserve"> (derecho a la vida)</w:t>
      </w:r>
      <w:r w:rsidR="00A0461C">
        <w:rPr>
          <w:snapToGrid w:val="0"/>
          <w:szCs w:val="20"/>
        </w:rPr>
        <w:t xml:space="preserve"> de la Convención</w:t>
      </w:r>
      <w:r w:rsidR="00335DAB">
        <w:rPr>
          <w:snapToGrid w:val="0"/>
          <w:szCs w:val="20"/>
        </w:rPr>
        <w:t>,</w:t>
      </w:r>
      <w:r w:rsidR="00A0461C">
        <w:rPr>
          <w:snapToGrid w:val="0"/>
          <w:szCs w:val="20"/>
        </w:rPr>
        <w:t xml:space="preserve"> en relación con el artículo 1.1 del mismo instrumento (</w:t>
      </w:r>
      <w:r w:rsidR="005377E2">
        <w:rPr>
          <w:snapToGrid w:val="0"/>
          <w:szCs w:val="20"/>
        </w:rPr>
        <w:t>p</w:t>
      </w:r>
      <w:r w:rsidR="00A0461C">
        <w:rPr>
          <w:snapToGrid w:val="0"/>
          <w:szCs w:val="20"/>
        </w:rPr>
        <w:t xml:space="preserve">unto </w:t>
      </w:r>
      <w:r w:rsidR="005377E2">
        <w:rPr>
          <w:snapToGrid w:val="0"/>
          <w:szCs w:val="20"/>
        </w:rPr>
        <w:t>r</w:t>
      </w:r>
      <w:r w:rsidR="00A0461C">
        <w:rPr>
          <w:snapToGrid w:val="0"/>
          <w:szCs w:val="20"/>
        </w:rPr>
        <w:t>esolutivo 4). La mayoría consideró que</w:t>
      </w:r>
      <w:r w:rsidR="000E509E">
        <w:rPr>
          <w:snapToGrid w:val="0"/>
          <w:szCs w:val="20"/>
        </w:rPr>
        <w:t>,</w:t>
      </w:r>
      <w:r w:rsidR="00A0461C">
        <w:rPr>
          <w:snapToGrid w:val="0"/>
          <w:szCs w:val="20"/>
        </w:rPr>
        <w:t xml:space="preserve"> aun cuando no existen elementos para determinar la responsabilidad internacional del Estado por </w:t>
      </w:r>
      <w:r w:rsidR="000E509E">
        <w:rPr>
          <w:snapToGrid w:val="0"/>
          <w:szCs w:val="20"/>
        </w:rPr>
        <w:t xml:space="preserve">la violación al deber de respetar el derecho a la vida, </w:t>
      </w:r>
      <w:r w:rsidR="005377E2">
        <w:rPr>
          <w:snapToGrid w:val="0"/>
          <w:szCs w:val="20"/>
        </w:rPr>
        <w:t>pues no era posible establecer con claridad lo ocurrido, o si la muerte de la víctima fue consecuencia de una conducta reprochable del Estado</w:t>
      </w:r>
      <w:r w:rsidR="000E509E">
        <w:rPr>
          <w:snapToGrid w:val="0"/>
          <w:szCs w:val="20"/>
        </w:rPr>
        <w:t xml:space="preserve">, sí </w:t>
      </w:r>
      <w:r w:rsidR="005377E2">
        <w:rPr>
          <w:snapToGrid w:val="0"/>
          <w:szCs w:val="20"/>
        </w:rPr>
        <w:t xml:space="preserve">era </w:t>
      </w:r>
      <w:r w:rsidR="000E509E">
        <w:rPr>
          <w:snapToGrid w:val="0"/>
          <w:szCs w:val="20"/>
        </w:rPr>
        <w:t>posible determinar que la falta de investigación posterior implica</w:t>
      </w:r>
      <w:r w:rsidR="005377E2">
        <w:rPr>
          <w:snapToGrid w:val="0"/>
          <w:szCs w:val="20"/>
        </w:rPr>
        <w:t>ba</w:t>
      </w:r>
      <w:r w:rsidR="000E509E">
        <w:rPr>
          <w:snapToGrid w:val="0"/>
          <w:szCs w:val="20"/>
        </w:rPr>
        <w:t xml:space="preserve"> la responsabilidad del Estado por la violación al deber de garantizar ese derecho. La mayoría consideró que, dado que la obligación de investigar una posible violación al derecho a la vida constituye un elemento fundamental y condicionante para la protección </w:t>
      </w:r>
      <w:r w:rsidR="00304962">
        <w:rPr>
          <w:snapToGrid w:val="0"/>
          <w:szCs w:val="20"/>
        </w:rPr>
        <w:t>de ese derecho</w:t>
      </w:r>
      <w:r w:rsidR="000E509E">
        <w:rPr>
          <w:rStyle w:val="FootnoteReference"/>
          <w:snapToGrid w:val="0"/>
        </w:rPr>
        <w:footnoteReference w:id="1"/>
      </w:r>
      <w:r w:rsidR="000E509E">
        <w:rPr>
          <w:snapToGrid w:val="0"/>
          <w:szCs w:val="20"/>
        </w:rPr>
        <w:t xml:space="preserve">, una investigación </w:t>
      </w:r>
      <w:r w:rsidR="00304962">
        <w:rPr>
          <w:snapToGrid w:val="0"/>
          <w:szCs w:val="20"/>
        </w:rPr>
        <w:t>deficiente</w:t>
      </w:r>
      <w:r w:rsidR="000E509E">
        <w:rPr>
          <w:snapToGrid w:val="0"/>
          <w:szCs w:val="20"/>
        </w:rPr>
        <w:t xml:space="preserve"> constituye una violación </w:t>
      </w:r>
      <w:r w:rsidR="005377E2">
        <w:rPr>
          <w:snapToGrid w:val="0"/>
          <w:szCs w:val="20"/>
        </w:rPr>
        <w:t>al</w:t>
      </w:r>
      <w:r w:rsidR="000E509E">
        <w:rPr>
          <w:snapToGrid w:val="0"/>
          <w:szCs w:val="20"/>
        </w:rPr>
        <w:t xml:space="preserve"> derecho que</w:t>
      </w:r>
      <w:r w:rsidR="00335DAB">
        <w:rPr>
          <w:snapToGrid w:val="0"/>
          <w:szCs w:val="20"/>
        </w:rPr>
        <w:t xml:space="preserve"> presuntamente</w:t>
      </w:r>
      <w:r w:rsidR="00304962">
        <w:rPr>
          <w:snapToGrid w:val="0"/>
          <w:szCs w:val="20"/>
        </w:rPr>
        <w:t xml:space="preserve"> (o presumiblemente)</w:t>
      </w:r>
      <w:r w:rsidR="000E509E">
        <w:rPr>
          <w:snapToGrid w:val="0"/>
          <w:szCs w:val="20"/>
        </w:rPr>
        <w:t xml:space="preserve"> </w:t>
      </w:r>
      <w:r w:rsidR="00335DAB">
        <w:rPr>
          <w:snapToGrid w:val="0"/>
          <w:szCs w:val="20"/>
        </w:rPr>
        <w:t>fue vulnerado por acciones y omisiones de las</w:t>
      </w:r>
      <w:r w:rsidR="000E509E">
        <w:rPr>
          <w:snapToGrid w:val="0"/>
          <w:szCs w:val="20"/>
        </w:rPr>
        <w:t xml:space="preserve"> autoridades.</w:t>
      </w:r>
    </w:p>
    <w:p w14:paraId="494F4151" w14:textId="77777777" w:rsidR="000E509E" w:rsidRDefault="000E509E" w:rsidP="000E509E">
      <w:pPr>
        <w:rPr>
          <w:snapToGrid w:val="0"/>
          <w:szCs w:val="20"/>
        </w:rPr>
      </w:pPr>
    </w:p>
    <w:p w14:paraId="00898B6F" w14:textId="2A23A569" w:rsidR="000E509E" w:rsidRPr="000E509E" w:rsidRDefault="00335DAB" w:rsidP="000E509E">
      <w:pPr>
        <w:pStyle w:val="ListParagraph"/>
        <w:numPr>
          <w:ilvl w:val="0"/>
          <w:numId w:val="1"/>
        </w:numPr>
        <w:ind w:left="0" w:firstLine="0"/>
        <w:rPr>
          <w:snapToGrid w:val="0"/>
          <w:szCs w:val="20"/>
        </w:rPr>
      </w:pPr>
      <w:r>
        <w:rPr>
          <w:snapToGrid w:val="0"/>
          <w:szCs w:val="20"/>
        </w:rPr>
        <w:t>Este razonamiento es deficiente</w:t>
      </w:r>
      <w:r w:rsidR="005B4366">
        <w:rPr>
          <w:snapToGrid w:val="0"/>
          <w:szCs w:val="20"/>
        </w:rPr>
        <w:t>, pues confunde la violación</w:t>
      </w:r>
      <w:r>
        <w:rPr>
          <w:snapToGrid w:val="0"/>
          <w:szCs w:val="20"/>
        </w:rPr>
        <w:t xml:space="preserve"> al deber de respetar el derecho a la vida (</w:t>
      </w:r>
      <w:r w:rsidR="00304962">
        <w:rPr>
          <w:snapToGrid w:val="0"/>
          <w:szCs w:val="20"/>
        </w:rPr>
        <w:t>el cual es un deber</w:t>
      </w:r>
      <w:r>
        <w:rPr>
          <w:snapToGrid w:val="0"/>
          <w:szCs w:val="20"/>
        </w:rPr>
        <w:t xml:space="preserve"> de car</w:t>
      </w:r>
      <w:r w:rsidR="00304962">
        <w:rPr>
          <w:snapToGrid w:val="0"/>
          <w:szCs w:val="20"/>
        </w:rPr>
        <w:t>ácter negativo pues</w:t>
      </w:r>
      <w:r w:rsidR="005B4366">
        <w:rPr>
          <w:snapToGrid w:val="0"/>
          <w:szCs w:val="20"/>
        </w:rPr>
        <w:t>, entre otras cuestiones,</w:t>
      </w:r>
      <w:r>
        <w:rPr>
          <w:snapToGrid w:val="0"/>
          <w:szCs w:val="20"/>
        </w:rPr>
        <w:t xml:space="preserve"> prohíbe privar arbitrariamente de la vida a una persona), con la obligación de investigar a los responsables de la violación de ese derecho (la cual es una obligación p</w:t>
      </w:r>
      <w:r w:rsidR="005B4366">
        <w:rPr>
          <w:snapToGrid w:val="0"/>
          <w:szCs w:val="20"/>
        </w:rPr>
        <w:t>ositiva</w:t>
      </w:r>
      <w:r>
        <w:rPr>
          <w:snapToGrid w:val="0"/>
          <w:szCs w:val="20"/>
        </w:rPr>
        <w:t xml:space="preserve"> </w:t>
      </w:r>
      <w:r w:rsidR="00304962">
        <w:rPr>
          <w:snapToGrid w:val="0"/>
          <w:szCs w:val="20"/>
        </w:rPr>
        <w:t>que se dirige</w:t>
      </w:r>
      <w:r w:rsidR="005B4366">
        <w:rPr>
          <w:snapToGrid w:val="0"/>
          <w:szCs w:val="20"/>
        </w:rPr>
        <w:t>, entre otras cuestiones,</w:t>
      </w:r>
      <w:r w:rsidR="00304962">
        <w:rPr>
          <w:snapToGrid w:val="0"/>
          <w:szCs w:val="20"/>
        </w:rPr>
        <w:t xml:space="preserve"> </w:t>
      </w:r>
      <w:r>
        <w:rPr>
          <w:snapToGrid w:val="0"/>
          <w:szCs w:val="20"/>
        </w:rPr>
        <w:t xml:space="preserve">a que el Estado realice todas aquellas acciones necesarias para sancionar a los responsables de violaciones a los derechos humanos). </w:t>
      </w:r>
      <w:r w:rsidR="001211EA">
        <w:rPr>
          <w:snapToGrid w:val="0"/>
          <w:szCs w:val="20"/>
        </w:rPr>
        <w:t xml:space="preserve">Es equivocado </w:t>
      </w:r>
      <w:r>
        <w:rPr>
          <w:snapToGrid w:val="0"/>
          <w:szCs w:val="20"/>
        </w:rPr>
        <w:t>considerar que el Estado viola el derecho a la vida del señor Valencia</w:t>
      </w:r>
      <w:r w:rsidR="005377E2">
        <w:rPr>
          <w:snapToGrid w:val="0"/>
          <w:szCs w:val="20"/>
        </w:rPr>
        <w:t xml:space="preserve"> Hinojosa</w:t>
      </w:r>
      <w:r w:rsidR="005B4366">
        <w:rPr>
          <w:snapToGrid w:val="0"/>
          <w:szCs w:val="20"/>
        </w:rPr>
        <w:t xml:space="preserve"> al no realizar</w:t>
      </w:r>
      <w:r>
        <w:rPr>
          <w:snapToGrid w:val="0"/>
          <w:szCs w:val="20"/>
        </w:rPr>
        <w:t xml:space="preserve"> una adecuada investigación de los hechos que derivaron en </w:t>
      </w:r>
      <w:r w:rsidR="00304962">
        <w:rPr>
          <w:snapToGrid w:val="0"/>
          <w:szCs w:val="20"/>
        </w:rPr>
        <w:t>su muerte. El análisis de las violaciones producidas por la investigación debió realizarse exclusivamente a la luz de los artículos 8 y 25 de la Convenci</w:t>
      </w:r>
      <w:r w:rsidR="007A5B29">
        <w:rPr>
          <w:snapToGrid w:val="0"/>
          <w:szCs w:val="20"/>
        </w:rPr>
        <w:t>ón</w:t>
      </w:r>
      <w:r w:rsidR="005B4366">
        <w:rPr>
          <w:snapToGrid w:val="0"/>
          <w:szCs w:val="20"/>
        </w:rPr>
        <w:t xml:space="preserve"> en relación con el artículo 1.1</w:t>
      </w:r>
      <w:r w:rsidR="007A5B29">
        <w:rPr>
          <w:snapToGrid w:val="0"/>
          <w:szCs w:val="20"/>
        </w:rPr>
        <w:t xml:space="preserve">, para así determinar si la </w:t>
      </w:r>
      <w:r w:rsidR="007A5B29">
        <w:rPr>
          <w:snapToGrid w:val="0"/>
          <w:szCs w:val="20"/>
        </w:rPr>
        <w:lastRenderedPageBreak/>
        <w:t>investigación y procesamiento de los responsables de la muerte de la víctima se realizó en concordancia con las garantías de independencia e imparcialidad, consagradas en el artículo 8.</w:t>
      </w:r>
      <w:r w:rsidR="005B4366">
        <w:rPr>
          <w:snapToGrid w:val="0"/>
          <w:szCs w:val="20"/>
        </w:rPr>
        <w:t>1,</w:t>
      </w:r>
      <w:r w:rsidR="007A5B29">
        <w:rPr>
          <w:snapToGrid w:val="0"/>
          <w:szCs w:val="20"/>
        </w:rPr>
        <w:t xml:space="preserve"> si se respetó el derecho a la protección judicial, consagrado en el artículo 25</w:t>
      </w:r>
      <w:r w:rsidR="005B4366">
        <w:rPr>
          <w:snapToGrid w:val="0"/>
          <w:szCs w:val="20"/>
        </w:rPr>
        <w:t>, y si se cumplió con el deber de garantía, consagrado en el artículo 1.1</w:t>
      </w:r>
      <w:r w:rsidR="007A5B29">
        <w:rPr>
          <w:snapToGrid w:val="0"/>
          <w:szCs w:val="20"/>
        </w:rPr>
        <w:t xml:space="preserve">. </w:t>
      </w:r>
      <w:r w:rsidR="004A58B2">
        <w:rPr>
          <w:snapToGrid w:val="0"/>
          <w:szCs w:val="20"/>
        </w:rPr>
        <w:t xml:space="preserve">El análisis que realizó la mayoría concluyó que existió la violación </w:t>
      </w:r>
      <w:r w:rsidR="005377E2">
        <w:rPr>
          <w:snapToGrid w:val="0"/>
          <w:szCs w:val="20"/>
        </w:rPr>
        <w:t xml:space="preserve">de la obligación de garantizar el </w:t>
      </w:r>
      <w:r w:rsidR="004A58B2">
        <w:rPr>
          <w:snapToGrid w:val="0"/>
          <w:szCs w:val="20"/>
        </w:rPr>
        <w:t>derecho a la vida, por hechos ocurridos con posterioridad a la muerte del señor Valencia</w:t>
      </w:r>
      <w:r w:rsidR="005377E2">
        <w:rPr>
          <w:snapToGrid w:val="0"/>
          <w:szCs w:val="20"/>
        </w:rPr>
        <w:t xml:space="preserve"> Hinojosa</w:t>
      </w:r>
      <w:r w:rsidR="004A58B2">
        <w:rPr>
          <w:snapToGrid w:val="0"/>
          <w:szCs w:val="20"/>
        </w:rPr>
        <w:t xml:space="preserve">.  </w:t>
      </w:r>
      <w:r>
        <w:rPr>
          <w:snapToGrid w:val="0"/>
          <w:szCs w:val="20"/>
        </w:rPr>
        <w:t xml:space="preserve">   </w:t>
      </w:r>
    </w:p>
    <w:p w14:paraId="37B6CDFB" w14:textId="77777777" w:rsidR="00A52EFE" w:rsidRDefault="00A52EFE" w:rsidP="0064619A">
      <w:pPr>
        <w:rPr>
          <w:snapToGrid w:val="0"/>
          <w:szCs w:val="20"/>
        </w:rPr>
      </w:pPr>
    </w:p>
    <w:p w14:paraId="7B08F9E9" w14:textId="61934868" w:rsidR="004A58B2" w:rsidRPr="00E66056" w:rsidRDefault="004A58B2" w:rsidP="00E66056">
      <w:pPr>
        <w:pStyle w:val="ListParagraph"/>
        <w:numPr>
          <w:ilvl w:val="0"/>
          <w:numId w:val="1"/>
        </w:numPr>
        <w:ind w:left="0" w:firstLine="0"/>
        <w:rPr>
          <w:snapToGrid w:val="0"/>
          <w:szCs w:val="20"/>
        </w:rPr>
      </w:pPr>
      <w:r>
        <w:rPr>
          <w:snapToGrid w:val="0"/>
          <w:szCs w:val="20"/>
        </w:rPr>
        <w:t>En el mismo sentido, considero equivocado que la mayoría declarara violado el derecho a la integridad personal de la señora Trujillo</w:t>
      </w:r>
      <w:r w:rsidR="005377E2">
        <w:rPr>
          <w:snapToGrid w:val="0"/>
          <w:szCs w:val="20"/>
        </w:rPr>
        <w:t xml:space="preserve"> Esparza</w:t>
      </w:r>
      <w:r w:rsidR="00E66056">
        <w:rPr>
          <w:snapToGrid w:val="0"/>
          <w:szCs w:val="20"/>
        </w:rPr>
        <w:t xml:space="preserve"> (</w:t>
      </w:r>
      <w:r w:rsidR="005377E2">
        <w:rPr>
          <w:snapToGrid w:val="0"/>
          <w:szCs w:val="20"/>
        </w:rPr>
        <w:t>p</w:t>
      </w:r>
      <w:r w:rsidR="00E66056">
        <w:rPr>
          <w:snapToGrid w:val="0"/>
          <w:szCs w:val="20"/>
        </w:rPr>
        <w:t xml:space="preserve">unto </w:t>
      </w:r>
      <w:r w:rsidR="005377E2">
        <w:rPr>
          <w:snapToGrid w:val="0"/>
          <w:szCs w:val="20"/>
        </w:rPr>
        <w:t>r</w:t>
      </w:r>
      <w:r w:rsidR="00E66056">
        <w:rPr>
          <w:snapToGrid w:val="0"/>
          <w:szCs w:val="20"/>
        </w:rPr>
        <w:t>esolutivo 5)</w:t>
      </w:r>
      <w:r>
        <w:rPr>
          <w:snapToGrid w:val="0"/>
          <w:szCs w:val="20"/>
        </w:rPr>
        <w:t>. La mayoría constató que la muerte del señor Valencia</w:t>
      </w:r>
      <w:r w:rsidR="005377E2">
        <w:rPr>
          <w:snapToGrid w:val="0"/>
          <w:szCs w:val="20"/>
        </w:rPr>
        <w:t xml:space="preserve"> Hinojosa</w:t>
      </w:r>
      <w:r>
        <w:rPr>
          <w:snapToGrid w:val="0"/>
          <w:szCs w:val="20"/>
        </w:rPr>
        <w:t xml:space="preserve"> le provocó a la señora Trujillo</w:t>
      </w:r>
      <w:r w:rsidR="008C0AF2">
        <w:rPr>
          <w:snapToGrid w:val="0"/>
          <w:szCs w:val="20"/>
        </w:rPr>
        <w:t xml:space="preserve"> Esparza</w:t>
      </w:r>
      <w:r>
        <w:rPr>
          <w:snapToGrid w:val="0"/>
          <w:szCs w:val="20"/>
        </w:rPr>
        <w:t xml:space="preserve"> un profundo d</w:t>
      </w:r>
      <w:r w:rsidR="00E66056">
        <w:rPr>
          <w:snapToGrid w:val="0"/>
          <w:szCs w:val="20"/>
        </w:rPr>
        <w:t xml:space="preserve">olor y sufrimiento, el cual trajo secuelas emocionales y personales que constituyeron una violación a la integridad psíquica y moral de la </w:t>
      </w:r>
      <w:r w:rsidR="005B4366">
        <w:rPr>
          <w:snapToGrid w:val="0"/>
          <w:szCs w:val="20"/>
        </w:rPr>
        <w:t xml:space="preserve">viuda de la </w:t>
      </w:r>
      <w:r w:rsidR="00E66056">
        <w:rPr>
          <w:snapToGrid w:val="0"/>
          <w:szCs w:val="20"/>
        </w:rPr>
        <w:t>víctima, en violación al artículo 5 de la Convención (derecho a la integridad personal). Sin embargo, tal y como fue argumentado en el párrafo anterior, el Estado no debió ser declarado responsable por la violación al derecho a la vida del señor Valencia</w:t>
      </w:r>
      <w:r w:rsidR="005377E2">
        <w:rPr>
          <w:snapToGrid w:val="0"/>
          <w:szCs w:val="20"/>
        </w:rPr>
        <w:t xml:space="preserve"> Hinojosa</w:t>
      </w:r>
      <w:r w:rsidR="00E66056">
        <w:rPr>
          <w:snapToGrid w:val="0"/>
          <w:szCs w:val="20"/>
        </w:rPr>
        <w:t xml:space="preserve">. En consecuencia, la Corte tampoco debió pronunciarse por </w:t>
      </w:r>
      <w:r w:rsidR="00E66056" w:rsidRPr="00E66056">
        <w:rPr>
          <w:snapToGrid w:val="0"/>
          <w:szCs w:val="20"/>
        </w:rPr>
        <w:t>las afectaciones a los familiares del señor Valencia</w:t>
      </w:r>
      <w:r w:rsidR="005377E2">
        <w:rPr>
          <w:snapToGrid w:val="0"/>
          <w:szCs w:val="20"/>
        </w:rPr>
        <w:t xml:space="preserve"> Hinojosa</w:t>
      </w:r>
      <w:r w:rsidR="00E66056" w:rsidRPr="00E66056">
        <w:rPr>
          <w:snapToGrid w:val="0"/>
          <w:szCs w:val="20"/>
        </w:rPr>
        <w:t xml:space="preserve"> derivados de su muerte</w:t>
      </w:r>
      <w:r w:rsidR="00E66056">
        <w:rPr>
          <w:snapToGrid w:val="0"/>
          <w:szCs w:val="20"/>
        </w:rPr>
        <w:t>, sino sólo por aquellas que se produjeron por la falta de investigación independiente e imparcial, y por la falta de acceso a un recurso judicial efectivo. En otras palabras, la Corte</w:t>
      </w:r>
      <w:r w:rsidR="005B4366">
        <w:rPr>
          <w:snapToGrid w:val="0"/>
          <w:szCs w:val="20"/>
        </w:rPr>
        <w:t xml:space="preserve"> </w:t>
      </w:r>
      <w:r w:rsidR="005377E2">
        <w:rPr>
          <w:snapToGrid w:val="0"/>
          <w:szCs w:val="20"/>
        </w:rPr>
        <w:t>únicamente</w:t>
      </w:r>
      <w:r w:rsidR="00E66056">
        <w:rPr>
          <w:snapToGrid w:val="0"/>
          <w:szCs w:val="20"/>
        </w:rPr>
        <w:t xml:space="preserve"> debi</w:t>
      </w:r>
      <w:r w:rsidR="00B476F1">
        <w:rPr>
          <w:snapToGrid w:val="0"/>
          <w:szCs w:val="20"/>
        </w:rPr>
        <w:t xml:space="preserve">ó </w:t>
      </w:r>
      <w:r w:rsidR="005B4366">
        <w:rPr>
          <w:snapToGrid w:val="0"/>
          <w:szCs w:val="20"/>
        </w:rPr>
        <w:t>evaluar</w:t>
      </w:r>
      <w:r w:rsidR="00B476F1">
        <w:rPr>
          <w:snapToGrid w:val="0"/>
          <w:szCs w:val="20"/>
        </w:rPr>
        <w:t xml:space="preserve"> una posible violación al derecho a la integridad personal de la señora </w:t>
      </w:r>
      <w:r w:rsidR="005377E2">
        <w:rPr>
          <w:snapToGrid w:val="0"/>
          <w:szCs w:val="20"/>
        </w:rPr>
        <w:t>Trujillo Esparza</w:t>
      </w:r>
      <w:r w:rsidR="00324F92">
        <w:rPr>
          <w:snapToGrid w:val="0"/>
          <w:szCs w:val="20"/>
        </w:rPr>
        <w:t>,</w:t>
      </w:r>
      <w:r w:rsidR="00B476F1">
        <w:rPr>
          <w:snapToGrid w:val="0"/>
          <w:szCs w:val="20"/>
        </w:rPr>
        <w:t xml:space="preserve"> en relación a los sufrimientos producidos por aquellas violaciones a los derechos humanos por los que el Estado es internacionalmente responsable.</w:t>
      </w:r>
    </w:p>
    <w:p w14:paraId="2268623F" w14:textId="77777777" w:rsidR="0064619A" w:rsidRPr="004A58B2" w:rsidRDefault="0064619A" w:rsidP="004A58B2">
      <w:pPr>
        <w:rPr>
          <w:b/>
          <w:snapToGrid w:val="0"/>
          <w:szCs w:val="20"/>
        </w:rPr>
      </w:pPr>
    </w:p>
    <w:p w14:paraId="198DD571" w14:textId="77777777" w:rsidR="00764BBC" w:rsidRDefault="00764BBC"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14:paraId="71421F9F" w14:textId="730BE9AA"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14:paraId="10C41339" w14:textId="2CB97391"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14:paraId="4D2219F1" w14:textId="77777777"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14:paraId="304A2125" w14:textId="77777777"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14:paraId="26E6662E" w14:textId="77777777" w:rsidR="00DE7B69" w:rsidRPr="001B4A16" w:rsidRDefault="006B50A9" w:rsidP="00C54DD0">
      <w:pPr>
        <w:pStyle w:val="NormalWeb"/>
        <w:spacing w:before="0" w:beforeAutospacing="0" w:after="0" w:afterAutospacing="0"/>
        <w:ind w:left="3600" w:right="96" w:firstLine="720"/>
        <w:rPr>
          <w:rFonts w:ascii="Verdana" w:eastAsia="Calibri" w:hAnsi="Verdana"/>
          <w:sz w:val="20"/>
          <w:szCs w:val="20"/>
          <w:lang w:eastAsia="en-US"/>
        </w:rPr>
      </w:pPr>
      <w:r>
        <w:rPr>
          <w:rFonts w:ascii="Verdana" w:eastAsia="Calibri" w:hAnsi="Verdana"/>
          <w:sz w:val="20"/>
          <w:szCs w:val="20"/>
          <w:lang w:eastAsia="en-US"/>
        </w:rPr>
        <w:t xml:space="preserve">          </w:t>
      </w:r>
      <w:r w:rsidR="00DE7B69">
        <w:rPr>
          <w:rFonts w:ascii="Verdana" w:eastAsia="Calibri" w:hAnsi="Verdana"/>
          <w:sz w:val="20"/>
          <w:szCs w:val="20"/>
          <w:lang w:eastAsia="en-US"/>
        </w:rPr>
        <w:t>Humberto Antonio Sierra Porto</w:t>
      </w:r>
    </w:p>
    <w:p w14:paraId="6FEAAF1A" w14:textId="77777777" w:rsidR="00DE7B69" w:rsidRPr="00650FAD" w:rsidRDefault="00DE7B69" w:rsidP="00DE7B69">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14:paraId="194C61B9" w14:textId="77777777" w:rsidR="00DE7B69" w:rsidRDefault="00DE7B69" w:rsidP="00DE7B69">
      <w:pPr>
        <w:rPr>
          <w:szCs w:val="20"/>
          <w:lang w:val="es-CR"/>
        </w:rPr>
      </w:pPr>
    </w:p>
    <w:p w14:paraId="224DB1A1" w14:textId="786C35A1" w:rsidR="00DE7B69" w:rsidRDefault="00DE7B69" w:rsidP="00DE7B69">
      <w:pPr>
        <w:rPr>
          <w:szCs w:val="20"/>
          <w:lang w:val="es-CR"/>
        </w:rPr>
      </w:pPr>
    </w:p>
    <w:p w14:paraId="19A4228A" w14:textId="77777777" w:rsidR="00CD3805" w:rsidRDefault="00CD3805" w:rsidP="00DE7B69">
      <w:pPr>
        <w:rPr>
          <w:szCs w:val="20"/>
          <w:lang w:val="es-CR"/>
        </w:rPr>
      </w:pPr>
    </w:p>
    <w:p w14:paraId="48CDD2B0" w14:textId="77777777" w:rsidR="00DE7B69" w:rsidRPr="00464D5E" w:rsidRDefault="00DE7B69" w:rsidP="00DE7B69">
      <w:pPr>
        <w:rPr>
          <w:szCs w:val="20"/>
          <w:lang w:val="es-CR"/>
        </w:rPr>
      </w:pPr>
      <w:r w:rsidRPr="00464D5E">
        <w:rPr>
          <w:szCs w:val="20"/>
          <w:lang w:val="es-CR"/>
        </w:rPr>
        <w:t>Pablo Saavedra Alessandri</w:t>
      </w:r>
    </w:p>
    <w:p w14:paraId="1B187984" w14:textId="77777777" w:rsidR="00DE7B69" w:rsidRPr="00464D5E" w:rsidRDefault="00DE7B69" w:rsidP="00DE7B69">
      <w:pPr>
        <w:rPr>
          <w:szCs w:val="20"/>
          <w:lang w:val="es-CR"/>
        </w:rPr>
      </w:pPr>
      <w:r w:rsidRPr="00464D5E">
        <w:rPr>
          <w:szCs w:val="20"/>
          <w:lang w:val="es-CR"/>
        </w:rPr>
        <w:tab/>
        <w:t>Secretario</w:t>
      </w:r>
    </w:p>
    <w:p w14:paraId="14FA6CAF" w14:textId="77777777" w:rsidR="00DE7B69" w:rsidRPr="00DE7B69" w:rsidRDefault="00DE7B69" w:rsidP="00DE7B69">
      <w:pPr>
        <w:rPr>
          <w:snapToGrid w:val="0"/>
          <w:szCs w:val="20"/>
        </w:rPr>
      </w:pPr>
    </w:p>
    <w:sectPr w:rsidR="00DE7B69" w:rsidRPr="00DE7B69" w:rsidSect="008C0AF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B23D" w14:textId="77777777" w:rsidR="000B605B" w:rsidRDefault="000B605B" w:rsidP="004F5307">
      <w:r>
        <w:separator/>
      </w:r>
    </w:p>
  </w:endnote>
  <w:endnote w:type="continuationSeparator" w:id="0">
    <w:p w14:paraId="661836E6" w14:textId="77777777" w:rsidR="000B605B" w:rsidRDefault="000B605B" w:rsidP="004F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6FA5" w14:textId="25F86163" w:rsidR="003A5B2F" w:rsidRDefault="003A5B2F">
    <w:pPr>
      <w:pStyle w:val="Footer"/>
      <w:jc w:val="center"/>
    </w:pPr>
  </w:p>
  <w:p w14:paraId="5433FB63" w14:textId="77777777" w:rsidR="003A5B2F" w:rsidRDefault="003A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165F3" w14:textId="77777777" w:rsidR="000B605B" w:rsidRDefault="000B605B" w:rsidP="004F5307">
      <w:r>
        <w:separator/>
      </w:r>
    </w:p>
  </w:footnote>
  <w:footnote w:type="continuationSeparator" w:id="0">
    <w:p w14:paraId="4FB3292A" w14:textId="77777777" w:rsidR="000B605B" w:rsidRDefault="000B605B" w:rsidP="004F5307">
      <w:r>
        <w:continuationSeparator/>
      </w:r>
    </w:p>
  </w:footnote>
  <w:footnote w:id="1">
    <w:p w14:paraId="05DBF90D" w14:textId="6698BA17" w:rsidR="000E509E" w:rsidRPr="00DA0DE9" w:rsidRDefault="000E509E" w:rsidP="008C0AF2">
      <w:pPr>
        <w:pStyle w:val="FootnoteText"/>
        <w:tabs>
          <w:tab w:val="clear" w:pos="4419"/>
          <w:tab w:val="center" w:pos="426"/>
        </w:tabs>
        <w:rPr>
          <w:b/>
          <w:lang w:val="es-CR"/>
        </w:rPr>
      </w:pPr>
      <w:r>
        <w:rPr>
          <w:rStyle w:val="FootnoteReference"/>
        </w:rPr>
        <w:footnoteRef/>
      </w:r>
      <w:r w:rsidRPr="00DA0DE9">
        <w:rPr>
          <w:lang w:val="es-CR"/>
        </w:rPr>
        <w:t xml:space="preserve"> </w:t>
      </w:r>
      <w:r w:rsidR="005377E2">
        <w:rPr>
          <w:lang w:val="es-CR"/>
        </w:rPr>
        <w:tab/>
      </w:r>
      <w:r w:rsidR="005377E2">
        <w:rPr>
          <w:lang w:val="es-CR"/>
        </w:rPr>
        <w:tab/>
      </w:r>
      <w:r w:rsidR="00DA0DE9" w:rsidRPr="00DA0DE9">
        <w:rPr>
          <w:i/>
          <w:lang w:val="es-CR"/>
        </w:rPr>
        <w:t>Cfr</w:t>
      </w:r>
      <w:r w:rsidR="00DA0DE9" w:rsidRPr="00DA0DE9">
        <w:rPr>
          <w:lang w:val="es-CR"/>
        </w:rPr>
        <w:t xml:space="preserve">. </w:t>
      </w:r>
      <w:r w:rsidR="00DA0DE9" w:rsidRPr="00DA0DE9">
        <w:rPr>
          <w:i/>
          <w:lang w:val="es-CR"/>
        </w:rPr>
        <w:t xml:space="preserve">Caso Velásquez Rodríguez Vs. Honduras. Fondo. </w:t>
      </w:r>
      <w:r w:rsidR="00DA0DE9" w:rsidRPr="00DA0DE9">
        <w:rPr>
          <w:lang w:val="es-CR"/>
        </w:rPr>
        <w:t>Sentencia de 29 de julio de 1988. Serie C No. 4,</w:t>
      </w:r>
      <w:r w:rsidR="00DA0DE9" w:rsidRPr="00DA0DE9">
        <w:rPr>
          <w:bCs/>
          <w:lang w:val="es-CR"/>
        </w:rPr>
        <w:t xml:space="preserve">88, y </w:t>
      </w:r>
      <w:r w:rsidR="00DA0DE9" w:rsidRPr="00DA0DE9">
        <w:rPr>
          <w:rStyle w:val="Strong"/>
          <w:b w:val="0"/>
          <w:i/>
          <w:color w:val="000000"/>
          <w:shd w:val="clear" w:color="auto" w:fill="FFFFFF"/>
          <w:lang w:val="es-CR"/>
        </w:rPr>
        <w:t xml:space="preserve">Caso </w:t>
      </w:r>
      <w:proofErr w:type="spellStart"/>
      <w:r w:rsidR="00DA0DE9" w:rsidRPr="00DA0DE9">
        <w:rPr>
          <w:rStyle w:val="Strong"/>
          <w:b w:val="0"/>
          <w:i/>
          <w:color w:val="000000"/>
          <w:shd w:val="clear" w:color="auto" w:fill="FFFFFF"/>
          <w:lang w:val="es-CR"/>
        </w:rPr>
        <w:t>Nadege</w:t>
      </w:r>
      <w:proofErr w:type="spellEnd"/>
      <w:r w:rsidR="00DA0DE9" w:rsidRPr="00DA0DE9">
        <w:rPr>
          <w:rStyle w:val="Strong"/>
          <w:b w:val="0"/>
          <w:i/>
          <w:color w:val="000000"/>
          <w:shd w:val="clear" w:color="auto" w:fill="FFFFFF"/>
          <w:lang w:val="es-CR"/>
        </w:rPr>
        <w:t xml:space="preserve"> </w:t>
      </w:r>
      <w:proofErr w:type="spellStart"/>
      <w:r w:rsidR="00DA0DE9" w:rsidRPr="00DA0DE9">
        <w:rPr>
          <w:rStyle w:val="Strong"/>
          <w:b w:val="0"/>
          <w:i/>
          <w:color w:val="000000"/>
          <w:shd w:val="clear" w:color="auto" w:fill="FFFFFF"/>
          <w:lang w:val="es-CR"/>
        </w:rPr>
        <w:t>Dorzema</w:t>
      </w:r>
      <w:proofErr w:type="spellEnd"/>
      <w:r w:rsidR="00DA0DE9" w:rsidRPr="00DA0DE9">
        <w:rPr>
          <w:rStyle w:val="Strong"/>
          <w:b w:val="0"/>
          <w:i/>
          <w:color w:val="000000"/>
          <w:shd w:val="clear" w:color="auto" w:fill="FFFFFF"/>
          <w:lang w:val="es-CR"/>
        </w:rPr>
        <w:t xml:space="preserve"> y otros Vs. República Dominicana. Fondo Reparaciones y Costas.</w:t>
      </w:r>
      <w:r w:rsidR="00DA0DE9" w:rsidRPr="00DA0DE9">
        <w:rPr>
          <w:rStyle w:val="Strong"/>
          <w:b w:val="0"/>
          <w:color w:val="000000"/>
          <w:shd w:val="clear" w:color="auto" w:fill="FFFFFF"/>
          <w:lang w:val="es-CR"/>
        </w:rPr>
        <w:t xml:space="preserve"> Sentencia de 24 de octubre de 2012. </w:t>
      </w:r>
      <w:r w:rsidR="00DA0DE9" w:rsidRPr="00C873A9">
        <w:rPr>
          <w:rStyle w:val="Strong"/>
          <w:b w:val="0"/>
          <w:color w:val="000000"/>
          <w:shd w:val="clear" w:color="auto" w:fill="FFFFFF"/>
          <w:lang w:val="es-CR"/>
        </w:rPr>
        <w:t xml:space="preserve">Serie C No. 251, párr. </w:t>
      </w:r>
      <w:r w:rsidR="00DA0DE9" w:rsidRPr="00DA0DE9">
        <w:rPr>
          <w:rStyle w:val="Strong"/>
          <w:b w:val="0"/>
          <w:color w:val="000000"/>
          <w:shd w:val="clear" w:color="auto" w:fill="FFFFFF"/>
        </w:rPr>
        <w:t>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29AE" w14:textId="74775884" w:rsidR="008C0AF2" w:rsidRDefault="008C0AF2">
    <w:pPr>
      <w:pStyle w:val="Header"/>
      <w:jc w:val="center"/>
    </w:pPr>
    <w:r>
      <w:t xml:space="preserve">- </w:t>
    </w:r>
    <w:sdt>
      <w:sdtPr>
        <w:id w:val="18856833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631F">
          <w:rPr>
            <w:noProof/>
          </w:rPr>
          <w:t>2</w:t>
        </w:r>
        <w:r>
          <w:rPr>
            <w:noProof/>
          </w:rPr>
          <w:fldChar w:fldCharType="end"/>
        </w:r>
        <w:r>
          <w:rPr>
            <w:noProof/>
          </w:rPr>
          <w:t xml:space="preserve"> -</w:t>
        </w:r>
      </w:sdtContent>
    </w:sdt>
  </w:p>
  <w:p w14:paraId="321E6BA5" w14:textId="77777777" w:rsidR="008C0AF2" w:rsidRDefault="008C0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1D84"/>
    <w:multiLevelType w:val="hybridMultilevel"/>
    <w:tmpl w:val="290044E0"/>
    <w:lvl w:ilvl="0" w:tplc="3EF25F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0562F06"/>
    <w:multiLevelType w:val="hybridMultilevel"/>
    <w:tmpl w:val="290044E0"/>
    <w:lvl w:ilvl="0" w:tplc="3EF25F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67050AD3"/>
    <w:multiLevelType w:val="hybridMultilevel"/>
    <w:tmpl w:val="6F2A1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53A80"/>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2B"/>
    <w:rsid w:val="0000442D"/>
    <w:rsid w:val="00046033"/>
    <w:rsid w:val="00046BDF"/>
    <w:rsid w:val="00055CAF"/>
    <w:rsid w:val="00070876"/>
    <w:rsid w:val="00070F20"/>
    <w:rsid w:val="00080752"/>
    <w:rsid w:val="0009330B"/>
    <w:rsid w:val="000A0006"/>
    <w:rsid w:val="000B605B"/>
    <w:rsid w:val="000E509E"/>
    <w:rsid w:val="001211EA"/>
    <w:rsid w:val="001435DC"/>
    <w:rsid w:val="001750F3"/>
    <w:rsid w:val="00190C82"/>
    <w:rsid w:val="00192054"/>
    <w:rsid w:val="0019243D"/>
    <w:rsid w:val="001A0A7B"/>
    <w:rsid w:val="001C5344"/>
    <w:rsid w:val="001D1E10"/>
    <w:rsid w:val="001D5F31"/>
    <w:rsid w:val="001D6532"/>
    <w:rsid w:val="001E1B77"/>
    <w:rsid w:val="001E5E00"/>
    <w:rsid w:val="002242A7"/>
    <w:rsid w:val="002666CF"/>
    <w:rsid w:val="00274B9E"/>
    <w:rsid w:val="002751EC"/>
    <w:rsid w:val="00284643"/>
    <w:rsid w:val="002850DE"/>
    <w:rsid w:val="002A10AF"/>
    <w:rsid w:val="002C4976"/>
    <w:rsid w:val="002D60CA"/>
    <w:rsid w:val="002E5034"/>
    <w:rsid w:val="002E5B36"/>
    <w:rsid w:val="002F79DC"/>
    <w:rsid w:val="00303B9B"/>
    <w:rsid w:val="00304962"/>
    <w:rsid w:val="00323B12"/>
    <w:rsid w:val="00323EB7"/>
    <w:rsid w:val="00324F92"/>
    <w:rsid w:val="00335DAB"/>
    <w:rsid w:val="00344E73"/>
    <w:rsid w:val="00364B71"/>
    <w:rsid w:val="0036684F"/>
    <w:rsid w:val="00376A4F"/>
    <w:rsid w:val="003805F5"/>
    <w:rsid w:val="00394529"/>
    <w:rsid w:val="003A4837"/>
    <w:rsid w:val="003A5B2F"/>
    <w:rsid w:val="003F365B"/>
    <w:rsid w:val="003F726B"/>
    <w:rsid w:val="004046AA"/>
    <w:rsid w:val="00436553"/>
    <w:rsid w:val="004A2991"/>
    <w:rsid w:val="004A58B2"/>
    <w:rsid w:val="004B4E8D"/>
    <w:rsid w:val="004C0E67"/>
    <w:rsid w:val="004E3659"/>
    <w:rsid w:val="004F5307"/>
    <w:rsid w:val="005073BE"/>
    <w:rsid w:val="00516490"/>
    <w:rsid w:val="005250EC"/>
    <w:rsid w:val="005364AA"/>
    <w:rsid w:val="005377E2"/>
    <w:rsid w:val="00546D8F"/>
    <w:rsid w:val="00556CF0"/>
    <w:rsid w:val="005661FE"/>
    <w:rsid w:val="00574837"/>
    <w:rsid w:val="005B4366"/>
    <w:rsid w:val="005B73A9"/>
    <w:rsid w:val="005C69F5"/>
    <w:rsid w:val="005D4841"/>
    <w:rsid w:val="00606153"/>
    <w:rsid w:val="0064619A"/>
    <w:rsid w:val="0064741C"/>
    <w:rsid w:val="0065245C"/>
    <w:rsid w:val="00656B6A"/>
    <w:rsid w:val="006912DA"/>
    <w:rsid w:val="00695F4A"/>
    <w:rsid w:val="006A5496"/>
    <w:rsid w:val="006B29FC"/>
    <w:rsid w:val="006B50A9"/>
    <w:rsid w:val="006F3D2A"/>
    <w:rsid w:val="007002E9"/>
    <w:rsid w:val="00714CAC"/>
    <w:rsid w:val="00717F54"/>
    <w:rsid w:val="00720D0E"/>
    <w:rsid w:val="00730809"/>
    <w:rsid w:val="0074249B"/>
    <w:rsid w:val="00756421"/>
    <w:rsid w:val="00764BBC"/>
    <w:rsid w:val="00765D81"/>
    <w:rsid w:val="0078222B"/>
    <w:rsid w:val="0078323C"/>
    <w:rsid w:val="007A2905"/>
    <w:rsid w:val="007A5B29"/>
    <w:rsid w:val="007B4568"/>
    <w:rsid w:val="007B5B74"/>
    <w:rsid w:val="007D3A92"/>
    <w:rsid w:val="007F5799"/>
    <w:rsid w:val="00817483"/>
    <w:rsid w:val="00832905"/>
    <w:rsid w:val="008401B4"/>
    <w:rsid w:val="00860D0E"/>
    <w:rsid w:val="008644CE"/>
    <w:rsid w:val="0087231B"/>
    <w:rsid w:val="00876F49"/>
    <w:rsid w:val="00887482"/>
    <w:rsid w:val="008B5995"/>
    <w:rsid w:val="008C0AF2"/>
    <w:rsid w:val="00926C8C"/>
    <w:rsid w:val="00950D82"/>
    <w:rsid w:val="009759E9"/>
    <w:rsid w:val="009820BF"/>
    <w:rsid w:val="0098295A"/>
    <w:rsid w:val="00984618"/>
    <w:rsid w:val="009A06FC"/>
    <w:rsid w:val="009C5239"/>
    <w:rsid w:val="009D0A09"/>
    <w:rsid w:val="009D1395"/>
    <w:rsid w:val="009E6CF1"/>
    <w:rsid w:val="00A0461C"/>
    <w:rsid w:val="00A20361"/>
    <w:rsid w:val="00A214CA"/>
    <w:rsid w:val="00A52492"/>
    <w:rsid w:val="00A52EFE"/>
    <w:rsid w:val="00A61703"/>
    <w:rsid w:val="00A85D32"/>
    <w:rsid w:val="00A92905"/>
    <w:rsid w:val="00AA78BB"/>
    <w:rsid w:val="00AD61CA"/>
    <w:rsid w:val="00AE5724"/>
    <w:rsid w:val="00AF0720"/>
    <w:rsid w:val="00AF6A33"/>
    <w:rsid w:val="00B046D1"/>
    <w:rsid w:val="00B11A46"/>
    <w:rsid w:val="00B26D17"/>
    <w:rsid w:val="00B27323"/>
    <w:rsid w:val="00B4009A"/>
    <w:rsid w:val="00B476F1"/>
    <w:rsid w:val="00B51B4C"/>
    <w:rsid w:val="00B55AA5"/>
    <w:rsid w:val="00B62D22"/>
    <w:rsid w:val="00B81CE2"/>
    <w:rsid w:val="00B87424"/>
    <w:rsid w:val="00B9184F"/>
    <w:rsid w:val="00BB145C"/>
    <w:rsid w:val="00BD3667"/>
    <w:rsid w:val="00BE1FFC"/>
    <w:rsid w:val="00BF2CA2"/>
    <w:rsid w:val="00C004DF"/>
    <w:rsid w:val="00C1096D"/>
    <w:rsid w:val="00C25FF6"/>
    <w:rsid w:val="00C40D8C"/>
    <w:rsid w:val="00C50D2B"/>
    <w:rsid w:val="00C54DD0"/>
    <w:rsid w:val="00C80CBE"/>
    <w:rsid w:val="00C873A9"/>
    <w:rsid w:val="00C93BFC"/>
    <w:rsid w:val="00CC6D18"/>
    <w:rsid w:val="00CD3805"/>
    <w:rsid w:val="00CF07B0"/>
    <w:rsid w:val="00D03D8F"/>
    <w:rsid w:val="00D0653F"/>
    <w:rsid w:val="00D420CA"/>
    <w:rsid w:val="00D556F7"/>
    <w:rsid w:val="00D70D87"/>
    <w:rsid w:val="00D70F7A"/>
    <w:rsid w:val="00D93264"/>
    <w:rsid w:val="00D94877"/>
    <w:rsid w:val="00DA0DE9"/>
    <w:rsid w:val="00DA1498"/>
    <w:rsid w:val="00DD451E"/>
    <w:rsid w:val="00DE7639"/>
    <w:rsid w:val="00DE7B69"/>
    <w:rsid w:val="00E00B5C"/>
    <w:rsid w:val="00E319FB"/>
    <w:rsid w:val="00E544A4"/>
    <w:rsid w:val="00E62C08"/>
    <w:rsid w:val="00E66056"/>
    <w:rsid w:val="00E831A8"/>
    <w:rsid w:val="00E95004"/>
    <w:rsid w:val="00EB2387"/>
    <w:rsid w:val="00EB5C33"/>
    <w:rsid w:val="00EE1D60"/>
    <w:rsid w:val="00F24D19"/>
    <w:rsid w:val="00F3018A"/>
    <w:rsid w:val="00F36D40"/>
    <w:rsid w:val="00F51714"/>
    <w:rsid w:val="00F652E2"/>
    <w:rsid w:val="00F7631F"/>
    <w:rsid w:val="00F87794"/>
    <w:rsid w:val="00F91138"/>
    <w:rsid w:val="00FB168F"/>
    <w:rsid w:val="00FB3920"/>
    <w:rsid w:val="00FE15D6"/>
    <w:rsid w:val="00FE3926"/>
    <w:rsid w:val="00FE5E5B"/>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2B"/>
    <w:pPr>
      <w:spacing w:after="0" w:line="240" w:lineRule="auto"/>
      <w:jc w:val="both"/>
    </w:pPr>
    <w:rPr>
      <w:rFonts w:ascii="Verdana" w:eastAsia="Calibri" w:hAnsi="Verdana" w:cs="Times New Roman"/>
      <w:sz w:val="20"/>
      <w:lang w:val="es-ES"/>
    </w:rPr>
  </w:style>
  <w:style w:type="paragraph" w:styleId="Heading3">
    <w:name w:val="heading 3"/>
    <w:basedOn w:val="Normal"/>
    <w:next w:val="Normal"/>
    <w:link w:val="Heading3Char"/>
    <w:uiPriority w:val="9"/>
    <w:qFormat/>
    <w:rsid w:val="00C93BFC"/>
    <w:pPr>
      <w:ind w:left="709"/>
      <w:outlineLvl w:val="2"/>
    </w:pPr>
    <w:rPr>
      <w:rFonts w:eastAsia="Batang" w:cs="Times"/>
      <w:b/>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List Paragraph2,Lista vistosa - Énfasis 11"/>
    <w:basedOn w:val="Normal"/>
    <w:link w:val="ListParagraphChar1"/>
    <w:uiPriority w:val="34"/>
    <w:qFormat/>
    <w:rsid w:val="00C50D2B"/>
    <w:pPr>
      <w:ind w:left="720"/>
      <w:contextualSpacing/>
    </w:pPr>
  </w:style>
  <w:style w:type="character" w:customStyle="1" w:styleId="ListParagraphChar1">
    <w:name w:val="List Paragraph Char1"/>
    <w:aliases w:val="Colorful List - Accent 11 Char1,Footnote Char1,Párrafo de lista1 Char1,List Paragraph1 Char1,List Paragraph2 Char1,Lista vistosa - Énfasis 11 Char1"/>
    <w:link w:val="ListParagraph"/>
    <w:rsid w:val="00C50D2B"/>
    <w:rPr>
      <w:rFonts w:ascii="Verdana" w:eastAsia="Calibri" w:hAnsi="Verdana" w:cs="Times New Roman"/>
      <w:sz w:val="20"/>
      <w:lang w:val="es-E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4F5307"/>
    <w:pPr>
      <w:tabs>
        <w:tab w:val="center" w:pos="4419"/>
        <w:tab w:val="right" w:pos="8838"/>
      </w:tabs>
      <w:spacing w:after="40"/>
    </w:pPr>
    <w:rPr>
      <w:rFonts w:eastAsiaTheme="minorHAnsi" w:cstheme="minorBidi"/>
      <w:sz w:val="16"/>
      <w:szCs w:val="16"/>
      <w:lang w:val="en-U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4F5307"/>
    <w:rPr>
      <w:rFonts w:ascii="Verdana" w:hAnsi="Verdana"/>
      <w:sz w:val="16"/>
      <w:szCs w:val="16"/>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4F5307"/>
    <w:rPr>
      <w:rFonts w:cs="Times New Roman"/>
      <w:szCs w:val="20"/>
      <w:vertAlign w:val="superscript"/>
    </w:rPr>
  </w:style>
  <w:style w:type="character" w:styleId="Strong">
    <w:name w:val="Strong"/>
    <w:uiPriority w:val="22"/>
    <w:qFormat/>
    <w:rsid w:val="004F5307"/>
    <w:rPr>
      <w:b/>
      <w:bCs/>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uiPriority w:val="34"/>
    <w:locked/>
    <w:rsid w:val="004F5307"/>
    <w:rPr>
      <w:rFonts w:ascii="Verdana" w:hAnsi="Verdana"/>
      <w:sz w:val="20"/>
    </w:rPr>
  </w:style>
  <w:style w:type="paragraph" w:styleId="Header">
    <w:name w:val="header"/>
    <w:basedOn w:val="Normal"/>
    <w:link w:val="HeaderChar"/>
    <w:uiPriority w:val="99"/>
    <w:unhideWhenUsed/>
    <w:rsid w:val="00DA1498"/>
    <w:pPr>
      <w:tabs>
        <w:tab w:val="center" w:pos="4680"/>
        <w:tab w:val="right" w:pos="9360"/>
      </w:tabs>
    </w:pPr>
  </w:style>
  <w:style w:type="character" w:customStyle="1" w:styleId="HeaderChar">
    <w:name w:val="Header Char"/>
    <w:basedOn w:val="DefaultParagraphFont"/>
    <w:link w:val="Header"/>
    <w:uiPriority w:val="99"/>
    <w:rsid w:val="00DA1498"/>
    <w:rPr>
      <w:rFonts w:ascii="Verdana" w:eastAsia="Calibri" w:hAnsi="Verdana" w:cs="Times New Roman"/>
      <w:sz w:val="20"/>
      <w:lang w:val="es-ES"/>
    </w:rPr>
  </w:style>
  <w:style w:type="paragraph" w:styleId="Footer">
    <w:name w:val="footer"/>
    <w:basedOn w:val="Normal"/>
    <w:link w:val="FooterChar"/>
    <w:uiPriority w:val="99"/>
    <w:unhideWhenUsed/>
    <w:rsid w:val="00DA1498"/>
    <w:pPr>
      <w:tabs>
        <w:tab w:val="center" w:pos="4680"/>
        <w:tab w:val="right" w:pos="9360"/>
      </w:tabs>
    </w:pPr>
  </w:style>
  <w:style w:type="character" w:customStyle="1" w:styleId="FooterChar">
    <w:name w:val="Footer Char"/>
    <w:basedOn w:val="DefaultParagraphFont"/>
    <w:link w:val="Footer"/>
    <w:uiPriority w:val="99"/>
    <w:rsid w:val="00DA1498"/>
    <w:rPr>
      <w:rFonts w:ascii="Verdana" w:eastAsia="Calibri" w:hAnsi="Verdana" w:cs="Times New Roman"/>
      <w:sz w:val="20"/>
      <w:lang w:val="es-ES"/>
    </w:rPr>
  </w:style>
  <w:style w:type="character" w:customStyle="1" w:styleId="Heading3Char">
    <w:name w:val="Heading 3 Char"/>
    <w:basedOn w:val="DefaultParagraphFont"/>
    <w:link w:val="Heading3"/>
    <w:uiPriority w:val="9"/>
    <w:rsid w:val="00C93BFC"/>
    <w:rPr>
      <w:rFonts w:ascii="Verdana" w:eastAsia="Batang" w:hAnsi="Verdana" w:cs="Times"/>
      <w:b/>
      <w:i/>
      <w:sz w:val="20"/>
      <w:szCs w:val="24"/>
      <w:lang w:val="es-MX"/>
    </w:rPr>
  </w:style>
  <w:style w:type="paragraph" w:styleId="NormalWeb">
    <w:name w:val="Normal (Web)"/>
    <w:aliases w:val="Normal (Web) Char1,Normal (Web) Char Char,Normal (Web) Char1 Char,Normal (Web) Char Char Char"/>
    <w:basedOn w:val="Normal"/>
    <w:uiPriority w:val="99"/>
    <w:unhideWhenUsed/>
    <w:rsid w:val="00DE7B69"/>
    <w:pPr>
      <w:spacing w:before="100" w:beforeAutospacing="1" w:after="100" w:afterAutospacing="1"/>
      <w:jc w:val="left"/>
    </w:pPr>
    <w:rPr>
      <w:rFonts w:ascii="Times New Roman" w:eastAsia="Times New Roman" w:hAnsi="Times New Roman"/>
      <w:sz w:val="24"/>
      <w:szCs w:val="24"/>
      <w:lang w:val="es-CR" w:eastAsia="es-CR"/>
    </w:rPr>
  </w:style>
  <w:style w:type="paragraph" w:styleId="BalloonText">
    <w:name w:val="Balloon Text"/>
    <w:basedOn w:val="Normal"/>
    <w:link w:val="BalloonTextChar"/>
    <w:uiPriority w:val="99"/>
    <w:semiHidden/>
    <w:unhideWhenUsed/>
    <w:rsid w:val="00546D8F"/>
    <w:rPr>
      <w:rFonts w:ascii="Tahoma" w:hAnsi="Tahoma" w:cs="Tahoma"/>
      <w:sz w:val="16"/>
      <w:szCs w:val="16"/>
    </w:rPr>
  </w:style>
  <w:style w:type="character" w:customStyle="1" w:styleId="BalloonTextChar">
    <w:name w:val="Balloon Text Char"/>
    <w:basedOn w:val="DefaultParagraphFont"/>
    <w:link w:val="BalloonText"/>
    <w:uiPriority w:val="99"/>
    <w:semiHidden/>
    <w:rsid w:val="00546D8F"/>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2B"/>
    <w:pPr>
      <w:spacing w:after="0" w:line="240" w:lineRule="auto"/>
      <w:jc w:val="both"/>
    </w:pPr>
    <w:rPr>
      <w:rFonts w:ascii="Verdana" w:eastAsia="Calibri" w:hAnsi="Verdana" w:cs="Times New Roman"/>
      <w:sz w:val="20"/>
      <w:lang w:val="es-ES"/>
    </w:rPr>
  </w:style>
  <w:style w:type="paragraph" w:styleId="Heading3">
    <w:name w:val="heading 3"/>
    <w:basedOn w:val="Normal"/>
    <w:next w:val="Normal"/>
    <w:link w:val="Heading3Char"/>
    <w:uiPriority w:val="9"/>
    <w:qFormat/>
    <w:rsid w:val="00C93BFC"/>
    <w:pPr>
      <w:ind w:left="709"/>
      <w:outlineLvl w:val="2"/>
    </w:pPr>
    <w:rPr>
      <w:rFonts w:eastAsia="Batang" w:cs="Times"/>
      <w:b/>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List Paragraph2,Lista vistosa - Énfasis 11"/>
    <w:basedOn w:val="Normal"/>
    <w:link w:val="ListParagraphChar1"/>
    <w:uiPriority w:val="34"/>
    <w:qFormat/>
    <w:rsid w:val="00C50D2B"/>
    <w:pPr>
      <w:ind w:left="720"/>
      <w:contextualSpacing/>
    </w:pPr>
  </w:style>
  <w:style w:type="character" w:customStyle="1" w:styleId="ListParagraphChar1">
    <w:name w:val="List Paragraph Char1"/>
    <w:aliases w:val="Colorful List - Accent 11 Char1,Footnote Char1,Párrafo de lista1 Char1,List Paragraph1 Char1,List Paragraph2 Char1,Lista vistosa - Énfasis 11 Char1"/>
    <w:link w:val="ListParagraph"/>
    <w:rsid w:val="00C50D2B"/>
    <w:rPr>
      <w:rFonts w:ascii="Verdana" w:eastAsia="Calibri" w:hAnsi="Verdana" w:cs="Times New Roman"/>
      <w:sz w:val="20"/>
      <w:lang w:val="es-E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4F5307"/>
    <w:pPr>
      <w:tabs>
        <w:tab w:val="center" w:pos="4419"/>
        <w:tab w:val="right" w:pos="8838"/>
      </w:tabs>
      <w:spacing w:after="40"/>
    </w:pPr>
    <w:rPr>
      <w:rFonts w:eastAsiaTheme="minorHAnsi" w:cstheme="minorBidi"/>
      <w:sz w:val="16"/>
      <w:szCs w:val="16"/>
      <w:lang w:val="en-U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4F5307"/>
    <w:rPr>
      <w:rFonts w:ascii="Verdana" w:hAnsi="Verdana"/>
      <w:sz w:val="16"/>
      <w:szCs w:val="16"/>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4F5307"/>
    <w:rPr>
      <w:rFonts w:cs="Times New Roman"/>
      <w:szCs w:val="20"/>
      <w:vertAlign w:val="superscript"/>
    </w:rPr>
  </w:style>
  <w:style w:type="character" w:styleId="Strong">
    <w:name w:val="Strong"/>
    <w:uiPriority w:val="22"/>
    <w:qFormat/>
    <w:rsid w:val="004F5307"/>
    <w:rPr>
      <w:b/>
      <w:bCs/>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uiPriority w:val="34"/>
    <w:locked/>
    <w:rsid w:val="004F5307"/>
    <w:rPr>
      <w:rFonts w:ascii="Verdana" w:hAnsi="Verdana"/>
      <w:sz w:val="20"/>
    </w:rPr>
  </w:style>
  <w:style w:type="paragraph" w:styleId="Header">
    <w:name w:val="header"/>
    <w:basedOn w:val="Normal"/>
    <w:link w:val="HeaderChar"/>
    <w:uiPriority w:val="99"/>
    <w:unhideWhenUsed/>
    <w:rsid w:val="00DA1498"/>
    <w:pPr>
      <w:tabs>
        <w:tab w:val="center" w:pos="4680"/>
        <w:tab w:val="right" w:pos="9360"/>
      </w:tabs>
    </w:pPr>
  </w:style>
  <w:style w:type="character" w:customStyle="1" w:styleId="HeaderChar">
    <w:name w:val="Header Char"/>
    <w:basedOn w:val="DefaultParagraphFont"/>
    <w:link w:val="Header"/>
    <w:uiPriority w:val="99"/>
    <w:rsid w:val="00DA1498"/>
    <w:rPr>
      <w:rFonts w:ascii="Verdana" w:eastAsia="Calibri" w:hAnsi="Verdana" w:cs="Times New Roman"/>
      <w:sz w:val="20"/>
      <w:lang w:val="es-ES"/>
    </w:rPr>
  </w:style>
  <w:style w:type="paragraph" w:styleId="Footer">
    <w:name w:val="footer"/>
    <w:basedOn w:val="Normal"/>
    <w:link w:val="FooterChar"/>
    <w:uiPriority w:val="99"/>
    <w:unhideWhenUsed/>
    <w:rsid w:val="00DA1498"/>
    <w:pPr>
      <w:tabs>
        <w:tab w:val="center" w:pos="4680"/>
        <w:tab w:val="right" w:pos="9360"/>
      </w:tabs>
    </w:pPr>
  </w:style>
  <w:style w:type="character" w:customStyle="1" w:styleId="FooterChar">
    <w:name w:val="Footer Char"/>
    <w:basedOn w:val="DefaultParagraphFont"/>
    <w:link w:val="Footer"/>
    <w:uiPriority w:val="99"/>
    <w:rsid w:val="00DA1498"/>
    <w:rPr>
      <w:rFonts w:ascii="Verdana" w:eastAsia="Calibri" w:hAnsi="Verdana" w:cs="Times New Roman"/>
      <w:sz w:val="20"/>
      <w:lang w:val="es-ES"/>
    </w:rPr>
  </w:style>
  <w:style w:type="character" w:customStyle="1" w:styleId="Heading3Char">
    <w:name w:val="Heading 3 Char"/>
    <w:basedOn w:val="DefaultParagraphFont"/>
    <w:link w:val="Heading3"/>
    <w:uiPriority w:val="9"/>
    <w:rsid w:val="00C93BFC"/>
    <w:rPr>
      <w:rFonts w:ascii="Verdana" w:eastAsia="Batang" w:hAnsi="Verdana" w:cs="Times"/>
      <w:b/>
      <w:i/>
      <w:sz w:val="20"/>
      <w:szCs w:val="24"/>
      <w:lang w:val="es-MX"/>
    </w:rPr>
  </w:style>
  <w:style w:type="paragraph" w:styleId="NormalWeb">
    <w:name w:val="Normal (Web)"/>
    <w:aliases w:val="Normal (Web) Char1,Normal (Web) Char Char,Normal (Web) Char1 Char,Normal (Web) Char Char Char"/>
    <w:basedOn w:val="Normal"/>
    <w:uiPriority w:val="99"/>
    <w:unhideWhenUsed/>
    <w:rsid w:val="00DE7B69"/>
    <w:pPr>
      <w:spacing w:before="100" w:beforeAutospacing="1" w:after="100" w:afterAutospacing="1"/>
      <w:jc w:val="left"/>
    </w:pPr>
    <w:rPr>
      <w:rFonts w:ascii="Times New Roman" w:eastAsia="Times New Roman" w:hAnsi="Times New Roman"/>
      <w:sz w:val="24"/>
      <w:szCs w:val="24"/>
      <w:lang w:val="es-CR" w:eastAsia="es-CR"/>
    </w:rPr>
  </w:style>
  <w:style w:type="paragraph" w:styleId="BalloonText">
    <w:name w:val="Balloon Text"/>
    <w:basedOn w:val="Normal"/>
    <w:link w:val="BalloonTextChar"/>
    <w:uiPriority w:val="99"/>
    <w:semiHidden/>
    <w:unhideWhenUsed/>
    <w:rsid w:val="00546D8F"/>
    <w:rPr>
      <w:rFonts w:ascii="Tahoma" w:hAnsi="Tahoma" w:cs="Tahoma"/>
      <w:sz w:val="16"/>
      <w:szCs w:val="16"/>
    </w:rPr>
  </w:style>
  <w:style w:type="character" w:customStyle="1" w:styleId="BalloonTextChar">
    <w:name w:val="Balloon Text Char"/>
    <w:basedOn w:val="DefaultParagraphFont"/>
    <w:link w:val="BalloonText"/>
    <w:uiPriority w:val="99"/>
    <w:semiHidden/>
    <w:rsid w:val="00546D8F"/>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A51A-3941-4A0B-9256-75CE5402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7293</Characters>
  <Application>Microsoft Office Word</Application>
  <DocSecurity>4</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2016-12-21T22:31:00Z</cp:lastPrinted>
  <dcterms:created xsi:type="dcterms:W3CDTF">2016-12-21T23:04:00Z</dcterms:created>
  <dcterms:modified xsi:type="dcterms:W3CDTF">2016-12-21T23:04:00Z</dcterms:modified>
</cp:coreProperties>
</file>