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E3E28" w14:textId="77777777" w:rsidR="001B3B0A" w:rsidRPr="00066324" w:rsidRDefault="001B3B0A" w:rsidP="00017D5A">
      <w:pPr>
        <w:jc w:val="center"/>
        <w:rPr>
          <w:rFonts w:ascii="Verdana" w:hAnsi="Verdana"/>
          <w:b/>
        </w:rPr>
      </w:pPr>
      <w:bookmarkStart w:id="0" w:name="_GoBack"/>
      <w:bookmarkEnd w:id="0"/>
    </w:p>
    <w:p w14:paraId="3E9357B4" w14:textId="77777777" w:rsidR="001B3B0A" w:rsidRPr="00066324" w:rsidRDefault="001B3B0A" w:rsidP="00017D5A">
      <w:pPr>
        <w:jc w:val="center"/>
        <w:rPr>
          <w:rFonts w:ascii="Verdana" w:hAnsi="Verdana"/>
          <w:b/>
        </w:rPr>
      </w:pPr>
    </w:p>
    <w:p w14:paraId="35985FB2" w14:textId="77777777" w:rsidR="001B3B0A" w:rsidRPr="00066324" w:rsidRDefault="001B3B0A" w:rsidP="00017D5A">
      <w:pPr>
        <w:jc w:val="center"/>
        <w:rPr>
          <w:rFonts w:ascii="Verdana" w:hAnsi="Verdana"/>
          <w:b/>
        </w:rPr>
      </w:pPr>
    </w:p>
    <w:p w14:paraId="478D6969" w14:textId="77777777" w:rsidR="001B3B0A" w:rsidRPr="00066324" w:rsidRDefault="001B3B0A" w:rsidP="00716FEB">
      <w:pPr>
        <w:rPr>
          <w:rFonts w:ascii="Verdana" w:hAnsi="Verdana"/>
          <w:b/>
        </w:rPr>
      </w:pPr>
    </w:p>
    <w:p w14:paraId="1711B36B" w14:textId="77777777" w:rsidR="001B3B0A" w:rsidRPr="00066324" w:rsidRDefault="001B3B0A" w:rsidP="00017D5A">
      <w:pPr>
        <w:jc w:val="center"/>
        <w:rPr>
          <w:rFonts w:ascii="Verdana" w:hAnsi="Verdana"/>
          <w:b/>
        </w:rPr>
      </w:pPr>
    </w:p>
    <w:p w14:paraId="1D1CD448" w14:textId="77777777" w:rsidR="001B3B0A" w:rsidRPr="00066324" w:rsidRDefault="001B3B0A" w:rsidP="00017D5A">
      <w:pPr>
        <w:jc w:val="center"/>
        <w:rPr>
          <w:rFonts w:ascii="Verdana" w:hAnsi="Verdana"/>
          <w:b/>
        </w:rPr>
      </w:pPr>
    </w:p>
    <w:p w14:paraId="3EC47B18" w14:textId="77777777" w:rsidR="00716FEB" w:rsidRDefault="00017D5A" w:rsidP="00017D5A">
      <w:pPr>
        <w:jc w:val="center"/>
        <w:rPr>
          <w:rFonts w:ascii="Verdana" w:hAnsi="Verdana"/>
          <w:b/>
        </w:rPr>
      </w:pPr>
      <w:r w:rsidRPr="00066324">
        <w:rPr>
          <w:rFonts w:ascii="Verdana" w:hAnsi="Verdana"/>
          <w:b/>
        </w:rPr>
        <w:t>VOTO PARCIALMENTE DISIDENTE DEL</w:t>
      </w:r>
    </w:p>
    <w:p w14:paraId="09D5C222" w14:textId="7C6904A3" w:rsidR="00017D5A" w:rsidRPr="00066324" w:rsidRDefault="00017D5A" w:rsidP="00017D5A">
      <w:pPr>
        <w:jc w:val="center"/>
        <w:rPr>
          <w:rFonts w:ascii="Verdana" w:hAnsi="Verdana"/>
          <w:b/>
        </w:rPr>
      </w:pPr>
      <w:r w:rsidRPr="00066324">
        <w:rPr>
          <w:rFonts w:ascii="Verdana" w:hAnsi="Verdana"/>
          <w:b/>
        </w:rPr>
        <w:t xml:space="preserve">JUEZ HUMBERTO ANTONIO SIERRA PORTO </w:t>
      </w:r>
    </w:p>
    <w:p w14:paraId="688547A0" w14:textId="77777777" w:rsidR="00017D5A" w:rsidRPr="00066324" w:rsidRDefault="00017D5A" w:rsidP="00017D5A">
      <w:pPr>
        <w:jc w:val="center"/>
        <w:rPr>
          <w:rFonts w:ascii="Verdana" w:hAnsi="Verdana"/>
          <w:b/>
        </w:rPr>
      </w:pPr>
    </w:p>
    <w:p w14:paraId="5C19A495" w14:textId="374512B9" w:rsidR="00017D5A" w:rsidRPr="00066324" w:rsidRDefault="00017D5A" w:rsidP="00017D5A">
      <w:pPr>
        <w:jc w:val="center"/>
        <w:rPr>
          <w:rFonts w:ascii="Verdana" w:hAnsi="Verdana"/>
          <w:b/>
        </w:rPr>
      </w:pPr>
      <w:r w:rsidRPr="00066324">
        <w:rPr>
          <w:rFonts w:ascii="Verdana" w:hAnsi="Verdana"/>
          <w:b/>
        </w:rPr>
        <w:t xml:space="preserve">A LA SENTENCIA DE </w:t>
      </w:r>
      <w:r w:rsidR="004644A0" w:rsidRPr="00066324">
        <w:rPr>
          <w:rFonts w:ascii="Verdana" w:hAnsi="Verdana"/>
          <w:b/>
        </w:rPr>
        <w:t>8 DE FEBRERO DE 2018</w:t>
      </w:r>
    </w:p>
    <w:p w14:paraId="5ECBD1B4" w14:textId="77777777" w:rsidR="00017D5A" w:rsidRPr="00066324" w:rsidRDefault="00017D5A" w:rsidP="009C7158">
      <w:pPr>
        <w:jc w:val="center"/>
        <w:outlineLvl w:val="0"/>
        <w:rPr>
          <w:rFonts w:ascii="Verdana" w:hAnsi="Verdana"/>
          <w:b/>
        </w:rPr>
      </w:pPr>
      <w:r w:rsidRPr="00066324">
        <w:rPr>
          <w:rFonts w:ascii="Verdana" w:hAnsi="Verdana"/>
          <w:b/>
        </w:rPr>
        <w:t>DE LA CORTE INTERAMERICANA DE DERECHOS HUMANOS</w:t>
      </w:r>
    </w:p>
    <w:p w14:paraId="4C38BD9B" w14:textId="77777777" w:rsidR="00017D5A" w:rsidRPr="00066324" w:rsidRDefault="00017D5A" w:rsidP="00017D5A">
      <w:pPr>
        <w:jc w:val="center"/>
        <w:rPr>
          <w:rFonts w:ascii="Verdana" w:hAnsi="Verdana"/>
          <w:b/>
        </w:rPr>
      </w:pPr>
    </w:p>
    <w:p w14:paraId="37CECDA2" w14:textId="2C2EA774" w:rsidR="00017D5A" w:rsidRPr="00066324" w:rsidRDefault="00017D5A" w:rsidP="009C7158">
      <w:pPr>
        <w:jc w:val="center"/>
        <w:outlineLvl w:val="0"/>
        <w:rPr>
          <w:rFonts w:ascii="Verdana" w:hAnsi="Verdana"/>
          <w:b/>
        </w:rPr>
      </w:pPr>
      <w:r w:rsidRPr="00066324">
        <w:rPr>
          <w:rFonts w:ascii="Verdana" w:hAnsi="Verdana"/>
          <w:b/>
        </w:rPr>
        <w:t xml:space="preserve">EN EL CASO </w:t>
      </w:r>
      <w:r w:rsidR="004644A0" w:rsidRPr="00066324">
        <w:rPr>
          <w:rFonts w:ascii="Verdana" w:hAnsi="Verdana"/>
          <w:b/>
        </w:rPr>
        <w:t>SAN MIGUEL SOSA Y OTRAS</w:t>
      </w:r>
      <w:r w:rsidRPr="00066324">
        <w:rPr>
          <w:rFonts w:ascii="Verdana" w:hAnsi="Verdana"/>
          <w:b/>
        </w:rPr>
        <w:t xml:space="preserve"> VS. </w:t>
      </w:r>
      <w:r w:rsidR="004644A0" w:rsidRPr="00066324">
        <w:rPr>
          <w:rFonts w:ascii="Verdana" w:hAnsi="Verdana"/>
          <w:b/>
        </w:rPr>
        <w:t>VENEZUELA</w:t>
      </w:r>
    </w:p>
    <w:p w14:paraId="10282054" w14:textId="77777777" w:rsidR="004644A0" w:rsidRPr="00066324" w:rsidRDefault="004644A0" w:rsidP="003552CE">
      <w:pPr>
        <w:rPr>
          <w:rFonts w:ascii="Verdana" w:hAnsi="Verdana"/>
          <w:b/>
        </w:rPr>
      </w:pPr>
    </w:p>
    <w:p w14:paraId="00D0B8DD" w14:textId="643E9434" w:rsidR="00765E46" w:rsidRPr="00066324" w:rsidRDefault="00765E46" w:rsidP="003552CE">
      <w:pPr>
        <w:rPr>
          <w:rFonts w:ascii="Verdana" w:hAnsi="Verdana"/>
          <w:b/>
          <w:i/>
        </w:rPr>
      </w:pPr>
      <w:r w:rsidRPr="00066324">
        <w:rPr>
          <w:rFonts w:ascii="Verdana" w:hAnsi="Verdana"/>
          <w:b/>
          <w:i/>
        </w:rPr>
        <w:t>I. Introducción</w:t>
      </w:r>
    </w:p>
    <w:p w14:paraId="0EB8E43A" w14:textId="77777777" w:rsidR="00765E46" w:rsidRPr="00066324" w:rsidRDefault="00765E46" w:rsidP="003552CE">
      <w:pPr>
        <w:rPr>
          <w:rFonts w:ascii="Verdana" w:hAnsi="Verdana"/>
          <w:b/>
        </w:rPr>
      </w:pPr>
    </w:p>
    <w:p w14:paraId="78900063" w14:textId="6076FF89" w:rsidR="00CF4689" w:rsidRPr="00066324" w:rsidRDefault="00A41285" w:rsidP="00CF4689">
      <w:pPr>
        <w:pStyle w:val="ListParagraph"/>
        <w:numPr>
          <w:ilvl w:val="0"/>
          <w:numId w:val="10"/>
        </w:numPr>
        <w:ind w:left="0" w:firstLine="0"/>
        <w:jc w:val="both"/>
        <w:rPr>
          <w:rFonts w:ascii="Verdana" w:hAnsi="Verdana"/>
          <w:sz w:val="20"/>
          <w:szCs w:val="20"/>
          <w:lang w:val="es-ES_tradnl"/>
        </w:rPr>
      </w:pPr>
      <w:r w:rsidRPr="00066324">
        <w:rPr>
          <w:rFonts w:ascii="Verdana" w:hAnsi="Verdana"/>
          <w:sz w:val="20"/>
          <w:szCs w:val="20"/>
          <w:lang w:val="es-ES_tradnl"/>
        </w:rPr>
        <w:t xml:space="preserve">Con el acostumbrado </w:t>
      </w:r>
      <w:r w:rsidR="00DF47DF" w:rsidRPr="00066324">
        <w:rPr>
          <w:rFonts w:ascii="Verdana" w:hAnsi="Verdana"/>
          <w:sz w:val="20"/>
          <w:szCs w:val="20"/>
          <w:lang w:val="es-ES_tradnl"/>
        </w:rPr>
        <w:t xml:space="preserve">respeto por las decisiones de </w:t>
      </w:r>
      <w:r w:rsidR="003552CE" w:rsidRPr="00066324">
        <w:rPr>
          <w:rFonts w:ascii="Verdana" w:hAnsi="Verdana"/>
          <w:sz w:val="20"/>
          <w:szCs w:val="20"/>
          <w:lang w:val="es-ES_tradnl"/>
        </w:rPr>
        <w:t>la</w:t>
      </w:r>
      <w:r w:rsidRPr="00066324">
        <w:rPr>
          <w:rFonts w:ascii="Verdana" w:hAnsi="Verdana"/>
          <w:sz w:val="20"/>
          <w:szCs w:val="20"/>
          <w:lang w:val="es-ES_tradnl"/>
        </w:rPr>
        <w:t xml:space="preserve"> Corte, </w:t>
      </w:r>
      <w:r w:rsidR="00301260" w:rsidRPr="00066324">
        <w:rPr>
          <w:rFonts w:ascii="Verdana" w:hAnsi="Verdana"/>
          <w:sz w:val="20"/>
          <w:szCs w:val="20"/>
          <w:lang w:val="es-ES_tradnl"/>
        </w:rPr>
        <w:t xml:space="preserve">y </w:t>
      </w:r>
      <w:r w:rsidR="004307DA" w:rsidRPr="00066324">
        <w:rPr>
          <w:rFonts w:ascii="Verdana" w:hAnsi="Verdana"/>
          <w:sz w:val="20"/>
          <w:szCs w:val="20"/>
          <w:lang w:val="es-ES_tradnl"/>
        </w:rPr>
        <w:t xml:space="preserve">precisando </w:t>
      </w:r>
      <w:r w:rsidR="00301260" w:rsidRPr="00066324">
        <w:rPr>
          <w:rFonts w:ascii="Verdana" w:hAnsi="Verdana"/>
          <w:sz w:val="20"/>
          <w:szCs w:val="20"/>
          <w:lang w:val="es-ES_tradnl"/>
        </w:rPr>
        <w:t>que comparto</w:t>
      </w:r>
      <w:r w:rsidR="00E10F62" w:rsidRPr="00066324">
        <w:rPr>
          <w:rFonts w:ascii="Verdana" w:hAnsi="Verdana"/>
          <w:sz w:val="20"/>
          <w:szCs w:val="20"/>
          <w:lang w:val="es-ES_tradnl"/>
        </w:rPr>
        <w:t xml:space="preserve"> la </w:t>
      </w:r>
      <w:r w:rsidR="00C14304" w:rsidRPr="00066324">
        <w:rPr>
          <w:rFonts w:ascii="Verdana" w:hAnsi="Verdana"/>
          <w:sz w:val="20"/>
          <w:szCs w:val="20"/>
          <w:lang w:val="es-ES_tradnl"/>
        </w:rPr>
        <w:t xml:space="preserve">mayor parte de las </w:t>
      </w:r>
      <w:r w:rsidR="00E10F62" w:rsidRPr="00066324">
        <w:rPr>
          <w:rFonts w:ascii="Verdana" w:hAnsi="Verdana"/>
          <w:sz w:val="20"/>
          <w:szCs w:val="20"/>
          <w:lang w:val="es-ES_tradnl"/>
        </w:rPr>
        <w:t xml:space="preserve">consideraciones que </w:t>
      </w:r>
      <w:r w:rsidR="00D54AF4" w:rsidRPr="00066324">
        <w:rPr>
          <w:rFonts w:ascii="Verdana" w:hAnsi="Verdana"/>
          <w:sz w:val="20"/>
          <w:szCs w:val="20"/>
          <w:lang w:val="es-ES_tradnl"/>
        </w:rPr>
        <w:t xml:space="preserve">sustentan </w:t>
      </w:r>
      <w:r w:rsidR="00CF4689" w:rsidRPr="00066324">
        <w:rPr>
          <w:rFonts w:ascii="Verdana" w:hAnsi="Verdana"/>
          <w:sz w:val="20"/>
          <w:szCs w:val="20"/>
          <w:lang w:val="es-ES_tradnl"/>
        </w:rPr>
        <w:t>la Sentencia</w:t>
      </w:r>
      <w:r w:rsidR="00F74654" w:rsidRPr="00066324">
        <w:rPr>
          <w:rFonts w:ascii="Verdana" w:hAnsi="Verdana"/>
          <w:sz w:val="20"/>
          <w:szCs w:val="20"/>
          <w:lang w:val="es-ES_tradnl"/>
        </w:rPr>
        <w:t>,</w:t>
      </w:r>
      <w:r w:rsidR="00F90CD8" w:rsidRPr="00066324">
        <w:rPr>
          <w:rFonts w:ascii="Verdana" w:hAnsi="Verdana"/>
          <w:sz w:val="20"/>
          <w:szCs w:val="20"/>
          <w:lang w:val="es-ES_tradnl"/>
        </w:rPr>
        <w:t xml:space="preserve"> </w:t>
      </w:r>
      <w:r w:rsidRPr="00066324">
        <w:rPr>
          <w:rFonts w:ascii="Verdana" w:hAnsi="Verdana"/>
          <w:sz w:val="20"/>
          <w:szCs w:val="20"/>
          <w:lang w:val="es-ES_tradnl"/>
        </w:rPr>
        <w:t xml:space="preserve">me permito </w:t>
      </w:r>
      <w:r w:rsidR="00A11B6E" w:rsidRPr="00066324">
        <w:rPr>
          <w:rFonts w:ascii="Verdana" w:hAnsi="Verdana"/>
          <w:sz w:val="20"/>
          <w:szCs w:val="20"/>
          <w:lang w:val="es-ES_tradnl"/>
        </w:rPr>
        <w:t xml:space="preserve">formular </w:t>
      </w:r>
      <w:r w:rsidRPr="00066324">
        <w:rPr>
          <w:rFonts w:ascii="Verdana" w:hAnsi="Verdana"/>
          <w:sz w:val="20"/>
          <w:szCs w:val="20"/>
          <w:lang w:val="es-ES_tradnl"/>
        </w:rPr>
        <w:t xml:space="preserve">el presente voto parcialmente disidente. </w:t>
      </w:r>
      <w:r w:rsidR="00CF4689" w:rsidRPr="00066324">
        <w:rPr>
          <w:rFonts w:ascii="Verdana" w:hAnsi="Verdana"/>
          <w:sz w:val="20"/>
          <w:szCs w:val="20"/>
          <w:lang w:val="es-ES_tradnl"/>
        </w:rPr>
        <w:t>E</w:t>
      </w:r>
      <w:r w:rsidR="00843764" w:rsidRPr="00066324">
        <w:rPr>
          <w:rFonts w:ascii="Verdana" w:hAnsi="Verdana"/>
          <w:sz w:val="20"/>
          <w:szCs w:val="20"/>
          <w:lang w:val="es-ES_tradnl"/>
        </w:rPr>
        <w:t>l voto tiene dos partes</w:t>
      </w:r>
      <w:r w:rsidR="00CF4689" w:rsidRPr="00066324">
        <w:rPr>
          <w:rFonts w:ascii="Verdana" w:hAnsi="Verdana"/>
          <w:sz w:val="20"/>
          <w:szCs w:val="20"/>
          <w:lang w:val="es-ES_tradnl"/>
        </w:rPr>
        <w:t>:</w:t>
      </w:r>
      <w:r w:rsidR="00B24EC8" w:rsidRPr="00066324">
        <w:rPr>
          <w:rFonts w:ascii="Verdana" w:hAnsi="Verdana"/>
          <w:sz w:val="20"/>
          <w:szCs w:val="20"/>
          <w:lang w:val="es-ES_tradnl"/>
        </w:rPr>
        <w:t xml:space="preserve"> </w:t>
      </w:r>
      <w:r w:rsidR="00843764" w:rsidRPr="00066324">
        <w:rPr>
          <w:rFonts w:ascii="Verdana" w:hAnsi="Verdana"/>
          <w:sz w:val="20"/>
          <w:szCs w:val="20"/>
          <w:lang w:val="es-ES_tradnl"/>
        </w:rPr>
        <w:t>la primera se refiere</w:t>
      </w:r>
      <w:r w:rsidR="003C562D" w:rsidRPr="00066324">
        <w:rPr>
          <w:rFonts w:ascii="Verdana" w:hAnsi="Verdana"/>
          <w:sz w:val="20"/>
          <w:szCs w:val="20"/>
          <w:lang w:val="es-ES_tradnl"/>
        </w:rPr>
        <w:t xml:space="preserve"> </w:t>
      </w:r>
      <w:r w:rsidR="00843764" w:rsidRPr="00066324">
        <w:rPr>
          <w:rFonts w:ascii="Verdana" w:hAnsi="Verdana"/>
          <w:sz w:val="20"/>
          <w:szCs w:val="20"/>
          <w:lang w:val="es-ES_tradnl"/>
        </w:rPr>
        <w:t>a</w:t>
      </w:r>
      <w:r w:rsidR="004644A0" w:rsidRPr="00066324">
        <w:rPr>
          <w:rFonts w:ascii="Verdana" w:hAnsi="Verdana"/>
          <w:sz w:val="20"/>
          <w:szCs w:val="20"/>
          <w:lang w:val="es-ES_tradnl"/>
        </w:rPr>
        <w:t xml:space="preserve"> la conclusión de</w:t>
      </w:r>
      <w:r w:rsidR="003C562D" w:rsidRPr="00066324">
        <w:rPr>
          <w:rFonts w:ascii="Verdana" w:hAnsi="Verdana"/>
          <w:sz w:val="20"/>
          <w:szCs w:val="20"/>
          <w:lang w:val="es-ES_tradnl"/>
        </w:rPr>
        <w:t xml:space="preserve"> la mayoría </w:t>
      </w:r>
      <w:r w:rsidR="004644A0" w:rsidRPr="00066324">
        <w:rPr>
          <w:rFonts w:ascii="Verdana" w:hAnsi="Verdana"/>
          <w:sz w:val="20"/>
          <w:szCs w:val="20"/>
          <w:lang w:val="es-ES_tradnl"/>
        </w:rPr>
        <w:t>del Tribunal en cuanto a la violación de la libertad de pensamiento y expresión</w:t>
      </w:r>
      <w:r w:rsidR="003C562D" w:rsidRPr="00066324">
        <w:rPr>
          <w:rFonts w:ascii="Verdana" w:hAnsi="Verdana"/>
          <w:sz w:val="20"/>
          <w:szCs w:val="20"/>
          <w:lang w:val="es-ES_tradnl"/>
        </w:rPr>
        <w:t xml:space="preserve">, </w:t>
      </w:r>
      <w:r w:rsidR="004644A0" w:rsidRPr="00066324">
        <w:rPr>
          <w:rFonts w:ascii="Verdana" w:hAnsi="Verdana"/>
          <w:sz w:val="20"/>
          <w:szCs w:val="20"/>
          <w:lang w:val="es-ES_tradnl"/>
        </w:rPr>
        <w:t>decisión que</w:t>
      </w:r>
      <w:r w:rsidR="00603FB8">
        <w:rPr>
          <w:rFonts w:ascii="Verdana" w:hAnsi="Verdana"/>
          <w:sz w:val="20"/>
          <w:szCs w:val="20"/>
          <w:lang w:val="es-ES_tradnl"/>
        </w:rPr>
        <w:t>,</w:t>
      </w:r>
      <w:r w:rsidR="003C562D" w:rsidRPr="00066324">
        <w:rPr>
          <w:rFonts w:ascii="Verdana" w:hAnsi="Verdana"/>
          <w:sz w:val="20"/>
          <w:szCs w:val="20"/>
          <w:lang w:val="es-ES_tradnl"/>
        </w:rPr>
        <w:t xml:space="preserve"> a mi parecer, </w:t>
      </w:r>
      <w:r w:rsidR="00173659" w:rsidRPr="00066324">
        <w:rPr>
          <w:rFonts w:ascii="Verdana" w:hAnsi="Verdana"/>
          <w:sz w:val="20"/>
          <w:szCs w:val="20"/>
          <w:lang w:val="es-ES_tradnl"/>
        </w:rPr>
        <w:t>era innecesaria</w:t>
      </w:r>
      <w:r w:rsidR="00F409B7">
        <w:rPr>
          <w:rFonts w:ascii="Verdana" w:hAnsi="Verdana"/>
          <w:sz w:val="20"/>
          <w:szCs w:val="20"/>
          <w:lang w:val="es-ES_tradnl"/>
        </w:rPr>
        <w:t>.</w:t>
      </w:r>
      <w:r w:rsidR="00CF4689" w:rsidRPr="00066324">
        <w:rPr>
          <w:rFonts w:ascii="Verdana" w:hAnsi="Verdana"/>
          <w:sz w:val="20"/>
          <w:szCs w:val="20"/>
          <w:lang w:val="es-ES_tradnl"/>
        </w:rPr>
        <w:t xml:space="preserve"> </w:t>
      </w:r>
      <w:r w:rsidR="00F409B7">
        <w:rPr>
          <w:rFonts w:ascii="Verdana" w:hAnsi="Verdana"/>
          <w:sz w:val="20"/>
          <w:szCs w:val="20"/>
          <w:lang w:val="es-ES_tradnl"/>
        </w:rPr>
        <w:t>L</w:t>
      </w:r>
      <w:r w:rsidR="00C5564A" w:rsidRPr="00066324">
        <w:rPr>
          <w:rFonts w:ascii="Verdana" w:hAnsi="Verdana"/>
          <w:sz w:val="20"/>
          <w:szCs w:val="20"/>
          <w:lang w:val="es-ES_tradnl"/>
        </w:rPr>
        <w:t>a segunda reflexiona</w:t>
      </w:r>
      <w:r w:rsidR="003C562D" w:rsidRPr="00066324">
        <w:rPr>
          <w:rFonts w:ascii="Verdana" w:hAnsi="Verdana"/>
          <w:sz w:val="20"/>
          <w:szCs w:val="20"/>
          <w:lang w:val="es-ES_tradnl"/>
        </w:rPr>
        <w:t xml:space="preserve"> respecto de la declaración de responsabilidad internacion</w:t>
      </w:r>
      <w:r w:rsidR="00173659" w:rsidRPr="00066324">
        <w:rPr>
          <w:rFonts w:ascii="Verdana" w:hAnsi="Verdana"/>
          <w:sz w:val="20"/>
          <w:szCs w:val="20"/>
          <w:lang w:val="es-ES_tradnl"/>
        </w:rPr>
        <w:t>al del Estado por la violación de</w:t>
      </w:r>
      <w:r w:rsidR="003C562D" w:rsidRPr="00066324">
        <w:rPr>
          <w:rFonts w:ascii="Verdana" w:hAnsi="Verdana"/>
          <w:sz w:val="20"/>
          <w:szCs w:val="20"/>
          <w:lang w:val="es-ES_tradnl"/>
        </w:rPr>
        <w:t>l derecho al trabajo</w:t>
      </w:r>
      <w:r w:rsidR="005F0EFF" w:rsidRPr="00066324">
        <w:rPr>
          <w:rFonts w:ascii="Verdana" w:hAnsi="Verdana"/>
          <w:sz w:val="20"/>
          <w:szCs w:val="20"/>
          <w:lang w:val="es-ES_tradnl"/>
        </w:rPr>
        <w:t xml:space="preserve"> en relación </w:t>
      </w:r>
      <w:r w:rsidR="004644A0" w:rsidRPr="00066324">
        <w:rPr>
          <w:rFonts w:ascii="Verdana" w:hAnsi="Verdana"/>
          <w:sz w:val="20"/>
          <w:szCs w:val="20"/>
          <w:lang w:val="es-ES_tradnl"/>
        </w:rPr>
        <w:t>con los derechos a la participación política, a la libertad de expresión y de acceso a la justicia, así como con el principio de no discriminación</w:t>
      </w:r>
      <w:r w:rsidR="003C562D" w:rsidRPr="00066324">
        <w:rPr>
          <w:rFonts w:ascii="Verdana" w:hAnsi="Verdana"/>
          <w:sz w:val="20"/>
          <w:szCs w:val="20"/>
          <w:lang w:val="es-ES_tradnl"/>
        </w:rPr>
        <w:t xml:space="preserve">. </w:t>
      </w:r>
      <w:r w:rsidR="00C14304" w:rsidRPr="00066324">
        <w:rPr>
          <w:rFonts w:ascii="Verdana" w:hAnsi="Verdana"/>
          <w:sz w:val="20"/>
          <w:szCs w:val="20"/>
          <w:lang w:val="es-ES_tradnl"/>
        </w:rPr>
        <w:t>Respecto de</w:t>
      </w:r>
      <w:r w:rsidR="003C562D" w:rsidRPr="00066324">
        <w:rPr>
          <w:rFonts w:ascii="Verdana" w:hAnsi="Verdana"/>
          <w:sz w:val="20"/>
          <w:szCs w:val="20"/>
          <w:lang w:val="es-ES_tradnl"/>
        </w:rPr>
        <w:t xml:space="preserve"> la segunda cuestión, advierto que mis reflexiones complementan lo ya expresado</w:t>
      </w:r>
      <w:r w:rsidR="00C5564A" w:rsidRPr="00066324">
        <w:rPr>
          <w:rFonts w:ascii="Verdana" w:hAnsi="Verdana"/>
          <w:sz w:val="20"/>
          <w:szCs w:val="20"/>
          <w:lang w:val="es-ES_tradnl"/>
        </w:rPr>
        <w:t xml:space="preserve"> al respecto</w:t>
      </w:r>
      <w:r w:rsidR="003C562D" w:rsidRPr="00066324">
        <w:rPr>
          <w:rFonts w:ascii="Verdana" w:hAnsi="Verdana"/>
          <w:sz w:val="20"/>
          <w:szCs w:val="20"/>
          <w:lang w:val="es-ES_tradnl"/>
        </w:rPr>
        <w:t xml:space="preserve"> en mi</w:t>
      </w:r>
      <w:r w:rsidR="004644A0" w:rsidRPr="00066324">
        <w:rPr>
          <w:rFonts w:ascii="Verdana" w:hAnsi="Verdana"/>
          <w:sz w:val="20"/>
          <w:szCs w:val="20"/>
          <w:lang w:val="es-ES_tradnl"/>
        </w:rPr>
        <w:t>s</w:t>
      </w:r>
      <w:r w:rsidR="003C562D" w:rsidRPr="00066324">
        <w:rPr>
          <w:rFonts w:ascii="Verdana" w:hAnsi="Verdana"/>
          <w:sz w:val="20"/>
          <w:szCs w:val="20"/>
          <w:lang w:val="es-ES_tradnl"/>
        </w:rPr>
        <w:t xml:space="preserve"> voto</w:t>
      </w:r>
      <w:r w:rsidR="004644A0" w:rsidRPr="00066324">
        <w:rPr>
          <w:rFonts w:ascii="Verdana" w:hAnsi="Verdana"/>
          <w:sz w:val="20"/>
          <w:szCs w:val="20"/>
          <w:lang w:val="es-ES_tradnl"/>
        </w:rPr>
        <w:t>s</w:t>
      </w:r>
      <w:r w:rsidR="003C562D" w:rsidRPr="00066324">
        <w:rPr>
          <w:rFonts w:ascii="Verdana" w:hAnsi="Verdana"/>
          <w:sz w:val="20"/>
          <w:szCs w:val="20"/>
          <w:lang w:val="es-ES_tradnl"/>
        </w:rPr>
        <w:t xml:space="preserve"> disidente</w:t>
      </w:r>
      <w:r w:rsidR="004644A0" w:rsidRPr="00066324">
        <w:rPr>
          <w:rFonts w:ascii="Verdana" w:hAnsi="Verdana"/>
          <w:sz w:val="20"/>
          <w:szCs w:val="20"/>
          <w:lang w:val="es-ES_tradnl"/>
        </w:rPr>
        <w:t>s en</w:t>
      </w:r>
      <w:r w:rsidR="003C562D" w:rsidRPr="00066324">
        <w:rPr>
          <w:rFonts w:ascii="Verdana" w:hAnsi="Verdana"/>
          <w:sz w:val="20"/>
          <w:szCs w:val="20"/>
          <w:lang w:val="es-ES_tradnl"/>
        </w:rPr>
        <w:t xml:space="preserve"> </w:t>
      </w:r>
      <w:r w:rsidR="004644A0" w:rsidRPr="00066324">
        <w:rPr>
          <w:rFonts w:ascii="Verdana" w:hAnsi="Verdana"/>
          <w:sz w:val="20"/>
          <w:szCs w:val="20"/>
          <w:lang w:val="es-ES_tradnl"/>
        </w:rPr>
        <w:t xml:space="preserve">los </w:t>
      </w:r>
      <w:r w:rsidR="003C562D" w:rsidRPr="00066324">
        <w:rPr>
          <w:rFonts w:ascii="Verdana" w:hAnsi="Verdana"/>
          <w:sz w:val="20"/>
          <w:szCs w:val="20"/>
          <w:lang w:val="es-ES_tradnl"/>
        </w:rPr>
        <w:t>caso</w:t>
      </w:r>
      <w:r w:rsidR="004644A0" w:rsidRPr="00066324">
        <w:rPr>
          <w:rFonts w:ascii="Verdana" w:hAnsi="Verdana"/>
          <w:sz w:val="20"/>
          <w:szCs w:val="20"/>
          <w:lang w:val="es-ES_tradnl"/>
        </w:rPr>
        <w:t xml:space="preserve">s </w:t>
      </w:r>
      <w:r w:rsidR="004644A0" w:rsidRPr="00066324">
        <w:rPr>
          <w:rFonts w:ascii="Verdana" w:hAnsi="Verdana"/>
          <w:bCs/>
          <w:i/>
          <w:sz w:val="20"/>
          <w:szCs w:val="20"/>
          <w:lang w:val="es-ES_tradnl"/>
        </w:rPr>
        <w:t>Trabajadores Cesados de Petroperú y otros Vs. Perú</w:t>
      </w:r>
      <w:r w:rsidR="004644A0" w:rsidRPr="00066324">
        <w:rPr>
          <w:rStyle w:val="FootnoteReference"/>
          <w:rFonts w:ascii="Verdana" w:hAnsi="Verdana"/>
          <w:bCs/>
          <w:sz w:val="20"/>
          <w:szCs w:val="20"/>
          <w:lang w:val="es-ES_tradnl"/>
        </w:rPr>
        <w:footnoteReference w:id="1"/>
      </w:r>
      <w:r w:rsidR="004644A0" w:rsidRPr="00066324">
        <w:rPr>
          <w:rFonts w:ascii="Verdana" w:hAnsi="Verdana"/>
          <w:bCs/>
          <w:sz w:val="20"/>
          <w:szCs w:val="20"/>
          <w:lang w:val="es-ES_tradnl"/>
        </w:rPr>
        <w:t xml:space="preserve"> y</w:t>
      </w:r>
      <w:r w:rsidR="003C562D" w:rsidRPr="00066324">
        <w:rPr>
          <w:rFonts w:ascii="Verdana" w:hAnsi="Verdana"/>
          <w:sz w:val="20"/>
          <w:szCs w:val="20"/>
          <w:lang w:val="es-ES_tradnl"/>
        </w:rPr>
        <w:t xml:space="preserve"> </w:t>
      </w:r>
      <w:r w:rsidR="003C562D" w:rsidRPr="00066324">
        <w:rPr>
          <w:rFonts w:ascii="Verdana" w:hAnsi="Verdana"/>
          <w:i/>
          <w:sz w:val="20"/>
          <w:szCs w:val="20"/>
          <w:lang w:val="es-ES_tradnl"/>
        </w:rPr>
        <w:t>Lagos del Campo Vs. Perú</w:t>
      </w:r>
      <w:r w:rsidR="00C5564A" w:rsidRPr="00066324">
        <w:rPr>
          <w:rStyle w:val="FootnoteReference"/>
          <w:rFonts w:ascii="Verdana" w:hAnsi="Verdana"/>
          <w:sz w:val="20"/>
          <w:szCs w:val="20"/>
          <w:lang w:val="es-ES_tradnl"/>
        </w:rPr>
        <w:footnoteReference w:id="2"/>
      </w:r>
      <w:r w:rsidR="008910BB" w:rsidRPr="00066324">
        <w:rPr>
          <w:rFonts w:ascii="Verdana" w:hAnsi="Verdana"/>
          <w:sz w:val="20"/>
          <w:szCs w:val="20"/>
          <w:lang w:val="es-ES_tradnl"/>
        </w:rPr>
        <w:t xml:space="preserve"> y en mi voto concurrente del caso </w:t>
      </w:r>
      <w:r w:rsidR="008910BB" w:rsidRPr="00066324">
        <w:rPr>
          <w:rFonts w:ascii="Verdana" w:hAnsi="Verdana"/>
          <w:i/>
          <w:sz w:val="20"/>
          <w:szCs w:val="20"/>
          <w:lang w:val="es-ES_tradnl"/>
        </w:rPr>
        <w:t xml:space="preserve">Gonzales </w:t>
      </w:r>
      <w:proofErr w:type="spellStart"/>
      <w:r w:rsidR="008910BB" w:rsidRPr="00066324">
        <w:rPr>
          <w:rFonts w:ascii="Verdana" w:hAnsi="Verdana"/>
          <w:i/>
          <w:sz w:val="20"/>
          <w:szCs w:val="20"/>
          <w:lang w:val="es-ES_tradnl"/>
        </w:rPr>
        <w:t>Lluy</w:t>
      </w:r>
      <w:proofErr w:type="spellEnd"/>
      <w:r w:rsidR="008910BB" w:rsidRPr="00066324">
        <w:rPr>
          <w:rFonts w:ascii="Verdana" w:hAnsi="Verdana"/>
          <w:i/>
          <w:sz w:val="20"/>
          <w:szCs w:val="20"/>
          <w:lang w:val="es-ES_tradnl"/>
        </w:rPr>
        <w:t xml:space="preserve"> y otros Vs. Ecuador</w:t>
      </w:r>
      <w:r w:rsidR="00C5564A" w:rsidRPr="00066324">
        <w:rPr>
          <w:rStyle w:val="FootnoteReference"/>
          <w:rFonts w:ascii="Verdana" w:hAnsi="Verdana"/>
          <w:sz w:val="20"/>
          <w:szCs w:val="20"/>
          <w:lang w:val="es-ES_tradnl"/>
        </w:rPr>
        <w:footnoteReference w:id="3"/>
      </w:r>
      <w:r w:rsidR="003C562D" w:rsidRPr="00066324">
        <w:rPr>
          <w:rFonts w:ascii="Verdana" w:hAnsi="Verdana"/>
          <w:sz w:val="20"/>
          <w:szCs w:val="20"/>
          <w:lang w:val="es-ES_tradnl"/>
        </w:rPr>
        <w:t xml:space="preserve">. </w:t>
      </w:r>
    </w:p>
    <w:p w14:paraId="1C593DE9" w14:textId="77777777" w:rsidR="005D3CF3" w:rsidRPr="00066324" w:rsidRDefault="005D3CF3" w:rsidP="009D7294">
      <w:pPr>
        <w:pStyle w:val="ListParagraph"/>
        <w:ind w:left="0"/>
        <w:jc w:val="both"/>
        <w:rPr>
          <w:rFonts w:ascii="Verdana" w:hAnsi="Verdana"/>
          <w:sz w:val="20"/>
          <w:szCs w:val="20"/>
          <w:lang w:val="es-ES_tradnl"/>
        </w:rPr>
      </w:pPr>
    </w:p>
    <w:p w14:paraId="583019E6" w14:textId="648044C3" w:rsidR="00C0565D" w:rsidRPr="00066324" w:rsidRDefault="003C562D" w:rsidP="00C0565D">
      <w:pPr>
        <w:jc w:val="both"/>
        <w:rPr>
          <w:rFonts w:ascii="Verdana" w:hAnsi="Verdana"/>
          <w:b/>
          <w:i/>
          <w:sz w:val="18"/>
        </w:rPr>
      </w:pPr>
      <w:r w:rsidRPr="00066324">
        <w:rPr>
          <w:rFonts w:ascii="Verdana" w:hAnsi="Verdana"/>
          <w:b/>
          <w:i/>
        </w:rPr>
        <w:t xml:space="preserve">II. </w:t>
      </w:r>
      <w:r w:rsidR="00C0565D" w:rsidRPr="00066324">
        <w:rPr>
          <w:rFonts w:ascii="Verdana" w:hAnsi="Verdana"/>
          <w:b/>
          <w:i/>
        </w:rPr>
        <w:t xml:space="preserve">Respecto de la </w:t>
      </w:r>
      <w:r w:rsidR="003C48AE" w:rsidRPr="00066324">
        <w:rPr>
          <w:rFonts w:ascii="Verdana" w:hAnsi="Verdana"/>
          <w:b/>
          <w:i/>
        </w:rPr>
        <w:t>conclusión de la Corte sobre violación de la libertad de pensamiento y expresión en este caso</w:t>
      </w:r>
    </w:p>
    <w:p w14:paraId="485E78AD" w14:textId="77777777" w:rsidR="00C0565D" w:rsidRPr="00066324" w:rsidRDefault="00C0565D" w:rsidP="00C0565D">
      <w:pPr>
        <w:pStyle w:val="ListParagraph"/>
        <w:ind w:left="0"/>
        <w:jc w:val="both"/>
        <w:rPr>
          <w:rFonts w:ascii="Verdana" w:hAnsi="Verdana"/>
          <w:sz w:val="20"/>
          <w:szCs w:val="20"/>
          <w:lang w:val="es-ES_tradnl"/>
        </w:rPr>
      </w:pPr>
    </w:p>
    <w:p w14:paraId="30D65BF6" w14:textId="100EA492" w:rsidR="00D925A7" w:rsidRPr="00D925A7" w:rsidRDefault="00C0565D" w:rsidP="00D925A7">
      <w:pPr>
        <w:pStyle w:val="ListParagraph"/>
        <w:numPr>
          <w:ilvl w:val="0"/>
          <w:numId w:val="10"/>
        </w:numPr>
        <w:ind w:left="0" w:firstLine="0"/>
        <w:jc w:val="both"/>
        <w:rPr>
          <w:rFonts w:ascii="Verdana" w:hAnsi="Verdana"/>
          <w:sz w:val="20"/>
          <w:szCs w:val="20"/>
          <w:lang w:val="es-ES_tradnl"/>
        </w:rPr>
      </w:pPr>
      <w:r w:rsidRPr="00D925A7">
        <w:rPr>
          <w:rFonts w:ascii="Verdana" w:hAnsi="Verdana"/>
          <w:sz w:val="20"/>
          <w:szCs w:val="20"/>
          <w:lang w:val="es-ES_tradnl"/>
        </w:rPr>
        <w:t xml:space="preserve">La </w:t>
      </w:r>
      <w:r w:rsidR="00C25E38" w:rsidRPr="00D925A7">
        <w:rPr>
          <w:rFonts w:ascii="Verdana" w:hAnsi="Verdana"/>
          <w:sz w:val="20"/>
          <w:szCs w:val="20"/>
          <w:lang w:val="es-ES_tradnl"/>
        </w:rPr>
        <w:t>sentencia sostiene</w:t>
      </w:r>
      <w:r w:rsidRPr="00D925A7">
        <w:rPr>
          <w:rFonts w:ascii="Verdana" w:hAnsi="Verdana"/>
          <w:sz w:val="20"/>
          <w:szCs w:val="20"/>
          <w:lang w:val="es-ES_tradnl"/>
        </w:rPr>
        <w:t xml:space="preserve"> que </w:t>
      </w:r>
      <w:r w:rsidR="003C48AE" w:rsidRPr="00D925A7">
        <w:rPr>
          <w:rFonts w:ascii="Verdana" w:hAnsi="Verdana"/>
          <w:sz w:val="20"/>
          <w:szCs w:val="20"/>
          <w:lang w:val="es-ES_tradnl"/>
        </w:rPr>
        <w:t>el acto de firma de una solicitud de referendo</w:t>
      </w:r>
      <w:r w:rsidR="003E490B">
        <w:rPr>
          <w:rFonts w:ascii="Verdana" w:hAnsi="Verdana"/>
          <w:sz w:val="20"/>
          <w:szCs w:val="20"/>
          <w:lang w:val="es-ES_tradnl"/>
        </w:rPr>
        <w:t xml:space="preserve"> por parte de </w:t>
      </w:r>
      <w:r w:rsidR="003E490B" w:rsidRPr="00066324">
        <w:rPr>
          <w:rFonts w:ascii="Verdana" w:hAnsi="Verdana"/>
          <w:sz w:val="20"/>
          <w:szCs w:val="20"/>
          <w:lang w:val="es-ES_tradnl"/>
        </w:rPr>
        <w:t xml:space="preserve">las señoras Rocío San Miguel Sosa, </w:t>
      </w:r>
      <w:proofErr w:type="spellStart"/>
      <w:r w:rsidR="003E490B" w:rsidRPr="00066324">
        <w:rPr>
          <w:rFonts w:ascii="Verdana" w:hAnsi="Verdana"/>
          <w:sz w:val="20"/>
          <w:szCs w:val="20"/>
          <w:lang w:val="es-ES_tradnl"/>
        </w:rPr>
        <w:t>Magally</w:t>
      </w:r>
      <w:proofErr w:type="spellEnd"/>
      <w:r w:rsidR="003E490B" w:rsidRPr="00066324">
        <w:rPr>
          <w:rFonts w:ascii="Verdana" w:hAnsi="Verdana"/>
          <w:sz w:val="20"/>
          <w:szCs w:val="20"/>
          <w:lang w:val="es-ES_tradnl"/>
        </w:rPr>
        <w:t xml:space="preserve"> Chang Girón y Thais Coromoto Peña</w:t>
      </w:r>
      <w:r w:rsidR="003C48AE" w:rsidRPr="00D925A7">
        <w:rPr>
          <w:rFonts w:ascii="Verdana" w:hAnsi="Verdana"/>
          <w:sz w:val="20"/>
          <w:szCs w:val="20"/>
          <w:lang w:val="es-ES_tradnl"/>
        </w:rPr>
        <w:t xml:space="preserve"> fue una forma de opinión </w:t>
      </w:r>
      <w:r w:rsidR="003C48AE" w:rsidRPr="00D925A7">
        <w:rPr>
          <w:rFonts w:ascii="Verdana" w:hAnsi="Verdana"/>
          <w:spacing w:val="-3"/>
          <w:sz w:val="20"/>
          <w:szCs w:val="20"/>
          <w:lang w:val="es-ES_tradnl"/>
        </w:rPr>
        <w:t>política,</w:t>
      </w:r>
      <w:r w:rsidR="00D925A7" w:rsidRPr="00D925A7">
        <w:rPr>
          <w:rFonts w:ascii="Verdana" w:hAnsi="Verdana"/>
          <w:spacing w:val="-3"/>
          <w:sz w:val="20"/>
          <w:szCs w:val="20"/>
          <w:lang w:val="es-ES_tradnl"/>
        </w:rPr>
        <w:t xml:space="preserve"> lo que implicó un ejercicio de</w:t>
      </w:r>
      <w:r w:rsidR="003E490B">
        <w:rPr>
          <w:rFonts w:ascii="Verdana" w:hAnsi="Verdana"/>
          <w:spacing w:val="-3"/>
          <w:sz w:val="20"/>
          <w:szCs w:val="20"/>
          <w:lang w:val="es-ES_tradnl"/>
        </w:rPr>
        <w:t xml:space="preserve"> sus derechos políticos y de</w:t>
      </w:r>
      <w:r w:rsidR="00D925A7" w:rsidRPr="00D925A7">
        <w:rPr>
          <w:rFonts w:ascii="Verdana" w:hAnsi="Verdana"/>
          <w:spacing w:val="-3"/>
          <w:sz w:val="20"/>
          <w:szCs w:val="20"/>
          <w:lang w:val="es-ES_tradnl"/>
        </w:rPr>
        <w:t xml:space="preserve"> </w:t>
      </w:r>
      <w:r w:rsidR="003E490B">
        <w:rPr>
          <w:rFonts w:ascii="Verdana" w:hAnsi="Verdana"/>
          <w:spacing w:val="-3"/>
          <w:sz w:val="20"/>
          <w:szCs w:val="20"/>
          <w:lang w:val="es-ES_tradnl"/>
        </w:rPr>
        <w:t>su</w:t>
      </w:r>
      <w:r w:rsidR="00D925A7" w:rsidRPr="00D925A7">
        <w:rPr>
          <w:rFonts w:ascii="Verdana" w:hAnsi="Verdana"/>
          <w:spacing w:val="-3"/>
          <w:sz w:val="20"/>
          <w:szCs w:val="20"/>
          <w:lang w:val="es-ES_tradnl"/>
        </w:rPr>
        <w:t xml:space="preserve"> libertad de expresión </w:t>
      </w:r>
      <w:r w:rsidR="003C48AE" w:rsidRPr="00D925A7">
        <w:rPr>
          <w:rFonts w:ascii="Verdana" w:hAnsi="Verdana"/>
          <w:spacing w:val="-3"/>
          <w:sz w:val="20"/>
          <w:szCs w:val="20"/>
          <w:lang w:val="es-ES_tradnl"/>
        </w:rPr>
        <w:t>(</w:t>
      </w:r>
      <w:r w:rsidR="003C48AE" w:rsidRPr="00D925A7">
        <w:rPr>
          <w:rFonts w:ascii="Verdana" w:hAnsi="Verdana"/>
          <w:i/>
          <w:spacing w:val="-3"/>
          <w:sz w:val="20"/>
          <w:szCs w:val="20"/>
          <w:lang w:val="es-ES_tradnl"/>
        </w:rPr>
        <w:t xml:space="preserve">supra </w:t>
      </w:r>
      <w:proofErr w:type="spellStart"/>
      <w:r w:rsidR="003C48AE" w:rsidRPr="00D925A7">
        <w:rPr>
          <w:rFonts w:ascii="Verdana" w:hAnsi="Verdana"/>
          <w:spacing w:val="-3"/>
          <w:sz w:val="20"/>
          <w:szCs w:val="20"/>
          <w:lang w:val="es-ES_tradnl"/>
        </w:rPr>
        <w:t>párr</w:t>
      </w:r>
      <w:r w:rsidR="00DD091B">
        <w:rPr>
          <w:rFonts w:ascii="Verdana" w:hAnsi="Verdana"/>
          <w:spacing w:val="-3"/>
          <w:sz w:val="20"/>
          <w:szCs w:val="20"/>
          <w:lang w:val="es-ES_tradnl"/>
        </w:rPr>
        <w:t>s</w:t>
      </w:r>
      <w:proofErr w:type="spellEnd"/>
      <w:r w:rsidR="003C48AE" w:rsidRPr="00D925A7">
        <w:rPr>
          <w:rFonts w:ascii="Verdana" w:hAnsi="Verdana"/>
          <w:spacing w:val="-3"/>
          <w:sz w:val="20"/>
          <w:szCs w:val="20"/>
          <w:lang w:val="es-ES_tradnl"/>
        </w:rPr>
        <w:t xml:space="preserve">. </w:t>
      </w:r>
      <w:r w:rsidR="00DD091B">
        <w:rPr>
          <w:rFonts w:ascii="Verdana" w:hAnsi="Verdana"/>
          <w:spacing w:val="-3"/>
          <w:sz w:val="20"/>
          <w:szCs w:val="20"/>
          <w:lang w:val="es-ES_tradnl"/>
        </w:rPr>
        <w:t xml:space="preserve">156 a </w:t>
      </w:r>
      <w:r w:rsidR="003C48AE" w:rsidRPr="00D925A7">
        <w:rPr>
          <w:rFonts w:ascii="Verdana" w:hAnsi="Verdana"/>
          <w:spacing w:val="-3"/>
          <w:sz w:val="20"/>
          <w:szCs w:val="20"/>
          <w:lang w:val="es-ES_tradnl"/>
        </w:rPr>
        <w:t xml:space="preserve">158). </w:t>
      </w:r>
      <w:r w:rsidR="00D925A7" w:rsidRPr="00D925A7">
        <w:rPr>
          <w:rFonts w:ascii="Verdana" w:hAnsi="Verdana"/>
          <w:spacing w:val="-3"/>
          <w:sz w:val="20"/>
          <w:szCs w:val="20"/>
          <w:lang w:val="es-ES_tradnl"/>
        </w:rPr>
        <w:t xml:space="preserve">De esta forma, para la </w:t>
      </w:r>
      <w:r w:rsidR="00F409B7">
        <w:rPr>
          <w:rFonts w:ascii="Verdana" w:hAnsi="Verdana"/>
          <w:spacing w:val="-3"/>
          <w:sz w:val="20"/>
          <w:szCs w:val="20"/>
          <w:lang w:val="es-ES_tradnl"/>
        </w:rPr>
        <w:t>mayoría</w:t>
      </w:r>
      <w:r w:rsidR="00D925A7" w:rsidRPr="00D925A7">
        <w:rPr>
          <w:rFonts w:ascii="Verdana" w:hAnsi="Verdana"/>
          <w:spacing w:val="-3"/>
          <w:sz w:val="20"/>
          <w:szCs w:val="20"/>
          <w:lang w:val="es-ES_tradnl"/>
        </w:rPr>
        <w:t xml:space="preserve">, el hecho de que las víctimas hubieran sufrido una represalia por haber firmado el referendo </w:t>
      </w:r>
      <w:r w:rsidR="003E490B">
        <w:rPr>
          <w:rFonts w:ascii="Verdana" w:hAnsi="Verdana"/>
          <w:spacing w:val="-3"/>
          <w:sz w:val="20"/>
          <w:szCs w:val="20"/>
          <w:lang w:val="es-ES_tradnl"/>
        </w:rPr>
        <w:t>constituyó</w:t>
      </w:r>
      <w:r w:rsidR="00D925A7" w:rsidRPr="00D925A7">
        <w:rPr>
          <w:rFonts w:ascii="Verdana" w:hAnsi="Verdana"/>
          <w:spacing w:val="-3"/>
          <w:sz w:val="20"/>
          <w:szCs w:val="20"/>
          <w:lang w:val="es-ES_tradnl"/>
        </w:rPr>
        <w:t xml:space="preserve"> no sólo un acto de discriminación y una afectación a sus derechos políticos, sino también una violación a su derecho a la libertad de expresión. </w:t>
      </w:r>
      <w:r w:rsidR="003E490B">
        <w:rPr>
          <w:rFonts w:ascii="Verdana" w:hAnsi="Verdana"/>
          <w:sz w:val="20"/>
          <w:szCs w:val="20"/>
          <w:lang w:val="es-ES_tradnl"/>
        </w:rPr>
        <w:t>En consecuencia,</w:t>
      </w:r>
      <w:r w:rsidR="003E490B" w:rsidRPr="00066324">
        <w:rPr>
          <w:rFonts w:ascii="Verdana" w:hAnsi="Verdana"/>
          <w:sz w:val="20"/>
          <w:szCs w:val="20"/>
          <w:lang w:val="es-ES_tradnl"/>
        </w:rPr>
        <w:t xml:space="preserve"> la </w:t>
      </w:r>
      <w:r w:rsidR="00A75ED9">
        <w:rPr>
          <w:rFonts w:ascii="Verdana" w:hAnsi="Verdana"/>
          <w:sz w:val="20"/>
          <w:szCs w:val="20"/>
          <w:lang w:val="es-ES_tradnl"/>
        </w:rPr>
        <w:t>mayoría</w:t>
      </w:r>
      <w:r w:rsidR="003E490B" w:rsidRPr="00066324">
        <w:rPr>
          <w:rFonts w:ascii="Verdana" w:hAnsi="Verdana"/>
          <w:sz w:val="20"/>
          <w:szCs w:val="20"/>
          <w:lang w:val="es-ES_tradnl"/>
        </w:rPr>
        <w:t xml:space="preserve"> concluyó que el </w:t>
      </w:r>
      <w:r w:rsidR="003E490B" w:rsidRPr="00066324">
        <w:rPr>
          <w:rFonts w:ascii="Verdana" w:hAnsi="Verdana"/>
          <w:spacing w:val="-2"/>
          <w:sz w:val="20"/>
          <w:szCs w:val="20"/>
          <w:lang w:val="es-ES_tradnl"/>
        </w:rPr>
        <w:t xml:space="preserve">Estado es responsable por la violación </w:t>
      </w:r>
      <w:r w:rsidR="003E490B">
        <w:rPr>
          <w:rFonts w:ascii="Verdana" w:hAnsi="Verdana"/>
          <w:spacing w:val="-2"/>
          <w:sz w:val="20"/>
          <w:szCs w:val="20"/>
          <w:lang w:val="es-ES_tradnl"/>
        </w:rPr>
        <w:t>de los artículos 23.1.b) y 13.1 en relación con el artículo 1.1 del mismo instrumento.</w:t>
      </w:r>
    </w:p>
    <w:p w14:paraId="5910305A" w14:textId="77777777" w:rsidR="00D925A7" w:rsidRPr="00D925A7" w:rsidRDefault="00D925A7" w:rsidP="00D925A7">
      <w:pPr>
        <w:pStyle w:val="ListParagraph"/>
        <w:rPr>
          <w:rFonts w:ascii="Verdana" w:hAnsi="Verdana"/>
          <w:spacing w:val="-3"/>
          <w:sz w:val="20"/>
          <w:szCs w:val="20"/>
          <w:lang w:val="es-ES_tradnl"/>
        </w:rPr>
      </w:pPr>
    </w:p>
    <w:p w14:paraId="104F031C" w14:textId="77777777" w:rsidR="000D0A2D" w:rsidRDefault="003E490B" w:rsidP="000D0A2D">
      <w:pPr>
        <w:pStyle w:val="ListParagraph"/>
        <w:numPr>
          <w:ilvl w:val="0"/>
          <w:numId w:val="10"/>
        </w:numPr>
        <w:ind w:left="0" w:firstLine="0"/>
        <w:jc w:val="both"/>
        <w:rPr>
          <w:rFonts w:ascii="Verdana" w:hAnsi="Verdana"/>
          <w:sz w:val="20"/>
          <w:szCs w:val="20"/>
          <w:lang w:val="es-ES_tradnl"/>
        </w:rPr>
      </w:pPr>
      <w:r>
        <w:rPr>
          <w:rFonts w:ascii="Verdana" w:hAnsi="Verdana"/>
          <w:sz w:val="20"/>
          <w:szCs w:val="20"/>
          <w:lang w:val="es-ES_tradnl"/>
        </w:rPr>
        <w:lastRenderedPageBreak/>
        <w:t>N</w:t>
      </w:r>
      <w:r w:rsidR="002215C1" w:rsidRPr="00066324">
        <w:rPr>
          <w:rFonts w:ascii="Verdana" w:hAnsi="Verdana"/>
          <w:sz w:val="20"/>
          <w:szCs w:val="20"/>
          <w:lang w:val="es-ES_tradnl"/>
        </w:rPr>
        <w:t xml:space="preserve">o cabe duda que </w:t>
      </w:r>
      <w:r w:rsidR="002215C1" w:rsidRPr="00066324">
        <w:rPr>
          <w:rFonts w:ascii="Verdana" w:hAnsi="Verdana"/>
          <w:sz w:val="20"/>
          <w:szCs w:val="20"/>
          <w:shd w:val="clear" w:color="auto" w:fill="FFFFFF"/>
          <w:lang w:val="es-ES_tradnl"/>
        </w:rPr>
        <w:t xml:space="preserve">la libertad de expresión y de </w:t>
      </w:r>
      <w:r w:rsidR="00C075C4">
        <w:rPr>
          <w:rFonts w:ascii="Verdana" w:hAnsi="Verdana"/>
          <w:sz w:val="20"/>
          <w:szCs w:val="20"/>
          <w:shd w:val="clear" w:color="auto" w:fill="FFFFFF"/>
          <w:lang w:val="es-ES_tradnl"/>
        </w:rPr>
        <w:t>pensamiento</w:t>
      </w:r>
      <w:r w:rsidR="002215C1" w:rsidRPr="00066324">
        <w:rPr>
          <w:rFonts w:ascii="Verdana" w:hAnsi="Verdana"/>
          <w:sz w:val="20"/>
          <w:szCs w:val="20"/>
          <w:lang w:val="es-ES_tradnl"/>
        </w:rPr>
        <w:t xml:space="preserve"> es</w:t>
      </w:r>
      <w:r>
        <w:rPr>
          <w:rFonts w:ascii="Verdana" w:hAnsi="Verdana"/>
          <w:sz w:val="20"/>
          <w:szCs w:val="20"/>
          <w:lang w:val="es-ES_tradnl"/>
        </w:rPr>
        <w:t xml:space="preserve"> un</w:t>
      </w:r>
      <w:r w:rsidR="002215C1" w:rsidRPr="00066324">
        <w:rPr>
          <w:rFonts w:ascii="Verdana" w:hAnsi="Verdana"/>
          <w:sz w:val="20"/>
          <w:szCs w:val="20"/>
          <w:lang w:val="es-ES_tradnl"/>
        </w:rPr>
        <w:t xml:space="preserve"> componente fundamental del ejercicio de la democracia; que </w:t>
      </w:r>
      <w:r w:rsidR="002215C1" w:rsidRPr="00066324">
        <w:rPr>
          <w:rStyle w:val="apple-converted-space"/>
          <w:rFonts w:ascii="Verdana" w:hAnsi="Verdana"/>
          <w:sz w:val="20"/>
          <w:szCs w:val="20"/>
          <w:lang w:val="es-ES_tradnl"/>
        </w:rPr>
        <w:t>sin una efectiva garantía de tal libertad se debilitan el sistema democrático, el pluralismo y la tolerancia</w:t>
      </w:r>
      <w:r>
        <w:rPr>
          <w:rStyle w:val="apple-converted-space"/>
          <w:rFonts w:ascii="Verdana" w:hAnsi="Verdana"/>
          <w:sz w:val="20"/>
          <w:szCs w:val="20"/>
          <w:lang w:val="es-ES_tradnl"/>
        </w:rPr>
        <w:t>,</w:t>
      </w:r>
      <w:r w:rsidR="002215C1" w:rsidRPr="00066324">
        <w:rPr>
          <w:rStyle w:val="apple-converted-space"/>
          <w:rFonts w:ascii="Verdana" w:hAnsi="Verdana"/>
          <w:sz w:val="20"/>
          <w:szCs w:val="20"/>
          <w:lang w:val="es-ES_tradnl"/>
        </w:rPr>
        <w:t xml:space="preserve"> y </w:t>
      </w:r>
      <w:r>
        <w:rPr>
          <w:rStyle w:val="apple-converted-space"/>
          <w:rFonts w:ascii="Verdana" w:hAnsi="Verdana"/>
          <w:sz w:val="20"/>
          <w:szCs w:val="20"/>
          <w:lang w:val="es-ES_tradnl"/>
        </w:rPr>
        <w:t xml:space="preserve">que </w:t>
      </w:r>
      <w:r w:rsidR="002215C1" w:rsidRPr="00066324">
        <w:rPr>
          <w:rStyle w:val="apple-converted-space"/>
          <w:rFonts w:ascii="Verdana" w:hAnsi="Verdana"/>
          <w:sz w:val="20"/>
          <w:szCs w:val="20"/>
          <w:lang w:val="es-ES_tradnl"/>
        </w:rPr>
        <w:t xml:space="preserve">pueden volverse inoperantes los mecanismos de control y denuncia ciudadana, </w:t>
      </w:r>
      <w:r w:rsidR="002215C1" w:rsidRPr="00066324">
        <w:rPr>
          <w:rFonts w:ascii="Verdana" w:hAnsi="Verdana"/>
          <w:sz w:val="20"/>
          <w:szCs w:val="20"/>
          <w:lang w:val="es-ES_tradnl"/>
        </w:rPr>
        <w:t>creando un campo fértil para el arraigo de sistemas autoritarios; y</w:t>
      </w:r>
      <w:r w:rsidR="00C14304" w:rsidRPr="00066324">
        <w:rPr>
          <w:rFonts w:ascii="Verdana" w:hAnsi="Verdana"/>
          <w:sz w:val="20"/>
          <w:szCs w:val="20"/>
          <w:lang w:val="es-ES_tradnl"/>
        </w:rPr>
        <w:t>, asimismo, que</w:t>
      </w:r>
      <w:r w:rsidR="002215C1" w:rsidRPr="00066324">
        <w:rPr>
          <w:rFonts w:ascii="Verdana" w:hAnsi="Verdana"/>
          <w:sz w:val="20"/>
          <w:szCs w:val="20"/>
          <w:lang w:val="es-ES_tradnl"/>
        </w:rPr>
        <w:t xml:space="preserve"> </w:t>
      </w:r>
      <w:r w:rsidR="002215C1" w:rsidRPr="00066324">
        <w:rPr>
          <w:rFonts w:ascii="Verdana" w:hAnsi="Verdana" w:cs="Arial"/>
          <w:sz w:val="20"/>
          <w:szCs w:val="20"/>
          <w:lang w:val="es-ES_tradnl"/>
        </w:rPr>
        <w:t xml:space="preserve">en el debate sobre temas de alto interés público, </w:t>
      </w:r>
      <w:r>
        <w:rPr>
          <w:rFonts w:ascii="Verdana" w:hAnsi="Verdana" w:cs="Arial"/>
          <w:sz w:val="20"/>
          <w:szCs w:val="20"/>
          <w:lang w:val="es-ES_tradnl"/>
        </w:rPr>
        <w:t>la Convención protege tanto</w:t>
      </w:r>
      <w:r w:rsidR="002215C1" w:rsidRPr="00066324">
        <w:rPr>
          <w:rFonts w:ascii="Verdana" w:hAnsi="Verdana" w:cs="Arial"/>
          <w:sz w:val="20"/>
          <w:szCs w:val="20"/>
          <w:lang w:val="es-ES_tradnl"/>
        </w:rPr>
        <w:t xml:space="preserve"> la emisión tanto de expresiones inofensivas o bien recibidas por la opinión pública, como de aquellas que chocan, irritan o inquietan a funcionarios públicos o a un sector de la población (</w:t>
      </w:r>
      <w:r w:rsidR="002215C1" w:rsidRPr="00066324">
        <w:rPr>
          <w:rFonts w:ascii="Verdana" w:hAnsi="Verdana" w:cs="Arial"/>
          <w:i/>
          <w:sz w:val="20"/>
          <w:szCs w:val="20"/>
          <w:lang w:val="es-ES_tradnl"/>
        </w:rPr>
        <w:t xml:space="preserve">supra </w:t>
      </w:r>
      <w:proofErr w:type="spellStart"/>
      <w:r w:rsidR="002215C1" w:rsidRPr="00066324">
        <w:rPr>
          <w:rFonts w:ascii="Verdana" w:hAnsi="Verdana" w:cs="Arial"/>
          <w:sz w:val="20"/>
          <w:szCs w:val="20"/>
          <w:lang w:val="es-ES_tradnl"/>
        </w:rPr>
        <w:t>párrs</w:t>
      </w:r>
      <w:proofErr w:type="spellEnd"/>
      <w:r w:rsidR="002215C1" w:rsidRPr="00066324">
        <w:rPr>
          <w:rFonts w:ascii="Verdana" w:hAnsi="Verdana" w:cs="Arial"/>
          <w:sz w:val="20"/>
          <w:szCs w:val="20"/>
          <w:lang w:val="es-ES_tradnl"/>
        </w:rPr>
        <w:t xml:space="preserve">. 152 a 155). </w:t>
      </w:r>
      <w:r w:rsidR="00F409B7">
        <w:rPr>
          <w:rFonts w:ascii="Verdana" w:hAnsi="Verdana" w:cs="Arial"/>
          <w:sz w:val="20"/>
          <w:szCs w:val="20"/>
          <w:lang w:val="es-ES_tradnl"/>
        </w:rPr>
        <w:t xml:space="preserve">En ese sentido, </w:t>
      </w:r>
      <w:r w:rsidR="00F409B7">
        <w:rPr>
          <w:rFonts w:ascii="Verdana" w:hAnsi="Verdana"/>
          <w:sz w:val="20"/>
          <w:szCs w:val="20"/>
          <w:lang w:val="es-ES_tradnl"/>
        </w:rPr>
        <w:t>c</w:t>
      </w:r>
      <w:r w:rsidR="00F409B7" w:rsidRPr="00066324">
        <w:rPr>
          <w:rFonts w:ascii="Verdana" w:hAnsi="Verdana"/>
          <w:sz w:val="20"/>
          <w:szCs w:val="20"/>
          <w:lang w:val="es-ES_tradnl"/>
        </w:rPr>
        <w:t xml:space="preserve">omparto plenamente los criterios </w:t>
      </w:r>
      <w:r w:rsidR="00F409B7">
        <w:rPr>
          <w:rFonts w:ascii="Verdana" w:hAnsi="Verdana"/>
          <w:sz w:val="20"/>
          <w:szCs w:val="20"/>
          <w:lang w:val="es-ES_tradnl"/>
        </w:rPr>
        <w:t>sustantivos</w:t>
      </w:r>
      <w:r w:rsidR="00F409B7" w:rsidRPr="00066324">
        <w:rPr>
          <w:rFonts w:ascii="Verdana" w:hAnsi="Verdana"/>
          <w:sz w:val="20"/>
          <w:szCs w:val="20"/>
          <w:lang w:val="es-ES_tradnl"/>
        </w:rPr>
        <w:t xml:space="preserve"> señalados por la Corte</w:t>
      </w:r>
      <w:r w:rsidR="00F409B7">
        <w:rPr>
          <w:rFonts w:ascii="Verdana" w:hAnsi="Verdana"/>
          <w:sz w:val="20"/>
          <w:szCs w:val="20"/>
          <w:lang w:val="es-ES_tradnl"/>
        </w:rPr>
        <w:t xml:space="preserve"> en materia de libertad a lo largo de la sentencia</w:t>
      </w:r>
      <w:r w:rsidR="00F409B7" w:rsidRPr="00066324">
        <w:rPr>
          <w:rFonts w:ascii="Verdana" w:hAnsi="Verdana"/>
          <w:sz w:val="20"/>
          <w:szCs w:val="20"/>
          <w:lang w:val="es-ES_tradnl"/>
        </w:rPr>
        <w:t>.</w:t>
      </w:r>
    </w:p>
    <w:p w14:paraId="53C64F9F" w14:textId="77777777" w:rsidR="000D0A2D" w:rsidRPr="000D0A2D" w:rsidRDefault="000D0A2D" w:rsidP="000D0A2D">
      <w:pPr>
        <w:pStyle w:val="ListParagraph"/>
        <w:rPr>
          <w:rFonts w:ascii="Verdana" w:hAnsi="Verdana"/>
          <w:sz w:val="20"/>
          <w:szCs w:val="20"/>
          <w:lang w:val="es-ES_tradnl"/>
        </w:rPr>
      </w:pPr>
    </w:p>
    <w:p w14:paraId="5D5CF4A0" w14:textId="3FEF3E40" w:rsidR="00E61147" w:rsidRPr="00A7642F" w:rsidRDefault="004F16DA" w:rsidP="00E61147">
      <w:pPr>
        <w:pStyle w:val="ListParagraph"/>
        <w:numPr>
          <w:ilvl w:val="0"/>
          <w:numId w:val="10"/>
        </w:numPr>
        <w:ind w:left="0" w:firstLine="0"/>
        <w:jc w:val="both"/>
        <w:rPr>
          <w:rFonts w:ascii="Verdana" w:hAnsi="Verdana"/>
          <w:sz w:val="20"/>
          <w:szCs w:val="20"/>
          <w:lang w:val="es-ES_tradnl"/>
        </w:rPr>
      </w:pPr>
      <w:r w:rsidRPr="00A7642F">
        <w:rPr>
          <w:rFonts w:ascii="Verdana" w:hAnsi="Verdana"/>
          <w:sz w:val="20"/>
          <w:szCs w:val="20"/>
          <w:lang w:val="es-ES_tradnl"/>
        </w:rPr>
        <w:t>Sin embargo</w:t>
      </w:r>
      <w:r w:rsidR="002215C1" w:rsidRPr="00A7642F">
        <w:rPr>
          <w:rFonts w:ascii="Verdana" w:hAnsi="Verdana"/>
          <w:sz w:val="20"/>
          <w:szCs w:val="20"/>
          <w:lang w:val="es-ES_tradnl"/>
        </w:rPr>
        <w:t xml:space="preserve">, </w:t>
      </w:r>
      <w:r w:rsidR="00DE755C" w:rsidRPr="00A7642F">
        <w:rPr>
          <w:rFonts w:ascii="Verdana" w:hAnsi="Verdana"/>
          <w:sz w:val="20"/>
          <w:szCs w:val="20"/>
          <w:lang w:val="es-ES_tradnl"/>
        </w:rPr>
        <w:t xml:space="preserve">disiento de </w:t>
      </w:r>
      <w:r w:rsidR="00766548" w:rsidRPr="00A7642F">
        <w:rPr>
          <w:rFonts w:ascii="Verdana" w:hAnsi="Verdana"/>
          <w:sz w:val="20"/>
          <w:szCs w:val="20"/>
          <w:lang w:val="es-ES_tradnl"/>
        </w:rPr>
        <w:t xml:space="preserve">la conclusión de </w:t>
      </w:r>
      <w:r w:rsidR="003304BE" w:rsidRPr="00A7642F">
        <w:rPr>
          <w:rFonts w:ascii="Verdana" w:hAnsi="Verdana"/>
          <w:sz w:val="20"/>
          <w:szCs w:val="20"/>
          <w:lang w:val="es-ES_tradnl"/>
        </w:rPr>
        <w:t>la mayoría</w:t>
      </w:r>
      <w:r w:rsidR="003E490B" w:rsidRPr="00A7642F">
        <w:rPr>
          <w:rFonts w:ascii="Verdana" w:hAnsi="Verdana"/>
          <w:sz w:val="20"/>
          <w:szCs w:val="20"/>
          <w:lang w:val="es-ES_tradnl"/>
        </w:rPr>
        <w:t xml:space="preserve"> respecto a la responsabilidad internacional del Estado por la violación a la libertad de expresión</w:t>
      </w:r>
      <w:r w:rsidRPr="00A7642F">
        <w:rPr>
          <w:rFonts w:ascii="Verdana" w:hAnsi="Verdana"/>
          <w:sz w:val="20"/>
          <w:szCs w:val="20"/>
          <w:lang w:val="es-ES_tradnl"/>
        </w:rPr>
        <w:t xml:space="preserve"> en el presente caso</w:t>
      </w:r>
      <w:r w:rsidR="00E61147" w:rsidRPr="00A7642F">
        <w:rPr>
          <w:rFonts w:ascii="Verdana" w:hAnsi="Verdana"/>
          <w:sz w:val="20"/>
          <w:szCs w:val="20"/>
          <w:lang w:val="es-ES_tradnl"/>
        </w:rPr>
        <w:t>. La razón es que</w:t>
      </w:r>
      <w:r w:rsidRPr="00A7642F">
        <w:rPr>
          <w:rFonts w:ascii="Verdana" w:hAnsi="Verdana"/>
          <w:sz w:val="20"/>
          <w:szCs w:val="20"/>
          <w:lang w:val="es-ES_tradnl"/>
        </w:rPr>
        <w:t>, en mi concepto,</w:t>
      </w:r>
      <w:r w:rsidR="00E61147" w:rsidRPr="00A7642F">
        <w:rPr>
          <w:rFonts w:ascii="Verdana" w:hAnsi="Verdana"/>
          <w:sz w:val="20"/>
          <w:szCs w:val="20"/>
          <w:lang w:val="es-ES_tradnl"/>
        </w:rPr>
        <w:t xml:space="preserve"> la mayoría cae en una contradicción al declarar la responsabilidad internacional del Estado por </w:t>
      </w:r>
      <w:r w:rsidRPr="00A7642F">
        <w:rPr>
          <w:rFonts w:ascii="Verdana" w:hAnsi="Verdana"/>
          <w:sz w:val="20"/>
          <w:szCs w:val="20"/>
          <w:lang w:val="es-ES_tradnl"/>
        </w:rPr>
        <w:t>la violación a los derechos políticos de las víctimas, derivadas de la</w:t>
      </w:r>
      <w:r w:rsidR="00F409B7" w:rsidRPr="00A7642F">
        <w:rPr>
          <w:rFonts w:ascii="Verdana" w:hAnsi="Verdana"/>
          <w:sz w:val="20"/>
          <w:szCs w:val="20"/>
          <w:lang w:val="es-ES_tradnl"/>
        </w:rPr>
        <w:t xml:space="preserve">s represalias </w:t>
      </w:r>
      <w:r w:rsidR="00FA1531" w:rsidRPr="00A7642F">
        <w:rPr>
          <w:rFonts w:ascii="Verdana" w:hAnsi="Verdana"/>
          <w:sz w:val="20"/>
          <w:szCs w:val="20"/>
          <w:lang w:val="es-ES_tradnl"/>
        </w:rPr>
        <w:t xml:space="preserve">por </w:t>
      </w:r>
      <w:r w:rsidR="000A7B2A" w:rsidRPr="00A7642F">
        <w:rPr>
          <w:rFonts w:ascii="Verdana" w:hAnsi="Verdana"/>
          <w:sz w:val="20"/>
          <w:szCs w:val="20"/>
          <w:lang w:val="es-ES_tradnl"/>
        </w:rPr>
        <w:t xml:space="preserve">haber firmado a favor de la convocatoria al referendo revocatorio, </w:t>
      </w:r>
      <w:r w:rsidR="00E61147" w:rsidRPr="00A7642F">
        <w:rPr>
          <w:rFonts w:ascii="Verdana" w:hAnsi="Verdana"/>
          <w:sz w:val="20"/>
          <w:szCs w:val="20"/>
          <w:lang w:val="es-ES_tradnl"/>
        </w:rPr>
        <w:t>y al mismo tiempo considerar que la firma de la solicitud de referendo constituyó un ejercicio de la libertad de expresión por parte de las víctimas. Sucede que, si se admite que las víctimas estaban ejerciendo</w:t>
      </w:r>
      <w:r w:rsidRPr="00A7642F">
        <w:rPr>
          <w:rFonts w:ascii="Verdana" w:hAnsi="Verdana"/>
          <w:sz w:val="20"/>
          <w:szCs w:val="20"/>
          <w:lang w:val="es-ES_tradnl"/>
        </w:rPr>
        <w:t xml:space="preserve"> una forma de opinión política al firmar la solicitud de referendo, </w:t>
      </w:r>
      <w:r w:rsidR="00FA1531" w:rsidRPr="00A7642F">
        <w:rPr>
          <w:rFonts w:ascii="Verdana" w:hAnsi="Verdana"/>
          <w:sz w:val="20"/>
          <w:szCs w:val="20"/>
          <w:lang w:val="es-ES_tradnl"/>
        </w:rPr>
        <w:t xml:space="preserve">y </w:t>
      </w:r>
      <w:r w:rsidRPr="00A7642F">
        <w:rPr>
          <w:rFonts w:ascii="Verdana" w:hAnsi="Verdana"/>
          <w:sz w:val="20"/>
          <w:szCs w:val="20"/>
          <w:lang w:val="es-ES_tradnl"/>
        </w:rPr>
        <w:t xml:space="preserve">por lo tanto se </w:t>
      </w:r>
      <w:r w:rsidR="007B064E" w:rsidRPr="00A7642F">
        <w:rPr>
          <w:rFonts w:ascii="Verdana" w:hAnsi="Verdana"/>
          <w:sz w:val="20"/>
          <w:szCs w:val="20"/>
          <w:lang w:val="es-ES_tradnl"/>
        </w:rPr>
        <w:t xml:space="preserve">encontraban ejerciendo </w:t>
      </w:r>
      <w:r w:rsidR="00521501" w:rsidRPr="00A7642F">
        <w:rPr>
          <w:rFonts w:ascii="Verdana" w:hAnsi="Verdana"/>
          <w:sz w:val="20"/>
          <w:szCs w:val="20"/>
          <w:lang w:val="es-ES_tradnl"/>
        </w:rPr>
        <w:t>sus derechos políticos</w:t>
      </w:r>
      <w:r w:rsidR="007B064E" w:rsidRPr="00A7642F">
        <w:rPr>
          <w:rFonts w:ascii="Verdana" w:hAnsi="Verdana"/>
          <w:sz w:val="20"/>
          <w:szCs w:val="20"/>
          <w:lang w:val="es-ES_tradnl"/>
        </w:rPr>
        <w:t xml:space="preserve">, </w:t>
      </w:r>
      <w:r w:rsidR="00FA1531" w:rsidRPr="00A7642F">
        <w:rPr>
          <w:rFonts w:ascii="Verdana" w:hAnsi="Verdana"/>
          <w:sz w:val="20"/>
          <w:szCs w:val="20"/>
          <w:lang w:val="es-ES_tradnl"/>
        </w:rPr>
        <w:t>esto</w:t>
      </w:r>
      <w:r w:rsidR="007B064E" w:rsidRPr="00A7642F">
        <w:rPr>
          <w:rFonts w:ascii="Verdana" w:hAnsi="Verdana"/>
          <w:sz w:val="20"/>
          <w:szCs w:val="20"/>
          <w:lang w:val="es-ES_tradnl"/>
        </w:rPr>
        <w:t xml:space="preserve"> no implica que dicha </w:t>
      </w:r>
      <w:r w:rsidR="00FA1531" w:rsidRPr="00A7642F">
        <w:rPr>
          <w:rFonts w:ascii="Verdana" w:hAnsi="Verdana"/>
          <w:sz w:val="20"/>
          <w:szCs w:val="20"/>
          <w:lang w:val="es-ES_tradnl"/>
        </w:rPr>
        <w:t>manifestación de voluntad</w:t>
      </w:r>
      <w:r w:rsidR="00DA2630" w:rsidRPr="00A7642F">
        <w:rPr>
          <w:rFonts w:ascii="Verdana" w:hAnsi="Verdana"/>
          <w:sz w:val="20"/>
          <w:szCs w:val="20"/>
          <w:lang w:val="es-ES_tradnl"/>
        </w:rPr>
        <w:t xml:space="preserve"> </w:t>
      </w:r>
      <w:r w:rsidR="00FA1531" w:rsidRPr="00A7642F">
        <w:rPr>
          <w:rFonts w:ascii="Verdana" w:hAnsi="Verdana"/>
          <w:sz w:val="20"/>
          <w:szCs w:val="20"/>
          <w:lang w:val="es-ES_tradnl"/>
        </w:rPr>
        <w:t>se encontrara dirigida a</w:t>
      </w:r>
      <w:r w:rsidR="00DA2630" w:rsidRPr="00A7642F">
        <w:rPr>
          <w:rFonts w:ascii="Verdana" w:hAnsi="Verdana"/>
          <w:sz w:val="20"/>
          <w:szCs w:val="20"/>
          <w:lang w:val="es-ES_tradnl"/>
        </w:rPr>
        <w:t xml:space="preserve"> que su opinión se hiciera pública.</w:t>
      </w:r>
      <w:r w:rsidR="00FA1531" w:rsidRPr="00A7642F">
        <w:rPr>
          <w:rFonts w:ascii="Verdana" w:hAnsi="Verdana"/>
          <w:sz w:val="20"/>
          <w:szCs w:val="20"/>
          <w:lang w:val="es-ES_tradnl"/>
        </w:rPr>
        <w:t xml:space="preserve"> </w:t>
      </w:r>
    </w:p>
    <w:p w14:paraId="5833F357" w14:textId="77777777" w:rsidR="009B3E0E" w:rsidRPr="009B3E0E" w:rsidRDefault="009B3E0E" w:rsidP="009B3E0E">
      <w:pPr>
        <w:pStyle w:val="ListParagraph"/>
        <w:ind w:left="0"/>
        <w:jc w:val="both"/>
        <w:rPr>
          <w:rFonts w:ascii="Verdana" w:hAnsi="Verdana"/>
          <w:sz w:val="20"/>
          <w:szCs w:val="20"/>
          <w:lang w:val="es-ES_tradnl"/>
        </w:rPr>
      </w:pPr>
    </w:p>
    <w:p w14:paraId="6AE43E29" w14:textId="18EBF43C" w:rsidR="000A7B2A" w:rsidRPr="00E0712D" w:rsidRDefault="004F16DA" w:rsidP="00E0712D">
      <w:pPr>
        <w:pStyle w:val="ListParagraph"/>
        <w:numPr>
          <w:ilvl w:val="0"/>
          <w:numId w:val="10"/>
        </w:numPr>
        <w:ind w:left="0" w:firstLine="0"/>
        <w:jc w:val="both"/>
        <w:rPr>
          <w:rFonts w:ascii="Verdana" w:hAnsi="Verdana"/>
          <w:sz w:val="20"/>
          <w:szCs w:val="20"/>
          <w:lang w:val="es-ES_tradnl"/>
        </w:rPr>
      </w:pPr>
      <w:r w:rsidRPr="00E0712D">
        <w:rPr>
          <w:rFonts w:ascii="Verdana" w:hAnsi="Verdana"/>
          <w:sz w:val="20"/>
          <w:szCs w:val="20"/>
          <w:lang w:val="es-ES_tradnl"/>
        </w:rPr>
        <w:t>E</w:t>
      </w:r>
      <w:r w:rsidR="00E61147" w:rsidRPr="00E0712D">
        <w:rPr>
          <w:rFonts w:ascii="Verdana" w:hAnsi="Verdana"/>
          <w:sz w:val="20"/>
          <w:szCs w:val="20"/>
          <w:lang w:val="es-ES_tradnl"/>
        </w:rPr>
        <w:t>s importante recordar que</w:t>
      </w:r>
      <w:r w:rsidR="00110703" w:rsidRPr="00E0712D">
        <w:rPr>
          <w:rFonts w:ascii="Verdana" w:hAnsi="Verdana"/>
          <w:sz w:val="20"/>
          <w:szCs w:val="20"/>
          <w:lang w:val="es-ES_tradnl"/>
        </w:rPr>
        <w:t xml:space="preserve"> </w:t>
      </w:r>
      <w:r w:rsidR="00E61147" w:rsidRPr="00E0712D">
        <w:rPr>
          <w:rFonts w:ascii="Verdana" w:hAnsi="Verdana"/>
          <w:sz w:val="20"/>
          <w:szCs w:val="20"/>
          <w:lang w:val="es-ES_tradnl"/>
        </w:rPr>
        <w:t>la libertad de expresión</w:t>
      </w:r>
      <w:r w:rsidR="00CD43BF" w:rsidRPr="00E0712D">
        <w:rPr>
          <w:rFonts w:ascii="Verdana" w:hAnsi="Verdana"/>
          <w:sz w:val="20"/>
          <w:szCs w:val="20"/>
          <w:lang w:val="es-ES_tradnl"/>
        </w:rPr>
        <w:t xml:space="preserve"> está orientada a la protección de las personas para manifestar sus ideas. </w:t>
      </w:r>
      <w:r w:rsidR="00E0712D" w:rsidRPr="00E0712D">
        <w:rPr>
          <w:rFonts w:ascii="Verdana" w:hAnsi="Verdana"/>
          <w:sz w:val="20"/>
          <w:szCs w:val="20"/>
          <w:lang w:val="es-ES_tradnl"/>
        </w:rPr>
        <w:t xml:space="preserve">La Corte ha establecido que </w:t>
      </w:r>
      <w:r w:rsidR="00E0712D" w:rsidRPr="00E0712D">
        <w:rPr>
          <w:rFonts w:ascii="Verdana" w:hAnsi="Verdana" w:cs="Arial"/>
          <w:sz w:val="20"/>
          <w:szCs w:val="20"/>
          <w:lang w:val="es-CR"/>
        </w:rPr>
        <w:t>la libertad de expresión incluye</w:t>
      </w:r>
      <w:r w:rsidR="000A7B2A" w:rsidRPr="00E0712D">
        <w:rPr>
          <w:rFonts w:ascii="Verdana" w:hAnsi="Verdana" w:cs="Arial"/>
          <w:sz w:val="20"/>
          <w:szCs w:val="20"/>
          <w:lang w:val="es-CR"/>
        </w:rPr>
        <w:t xml:space="preserve"> no sólo el derecho y la libertad de </w:t>
      </w:r>
      <w:r w:rsidR="00E0712D" w:rsidRPr="00E0712D">
        <w:rPr>
          <w:rFonts w:ascii="Verdana" w:hAnsi="Verdana" w:cs="Arial"/>
          <w:sz w:val="20"/>
          <w:szCs w:val="20"/>
          <w:lang w:val="es-CR"/>
        </w:rPr>
        <w:t xml:space="preserve">las personas de </w:t>
      </w:r>
      <w:r w:rsidR="000A7B2A" w:rsidRPr="00E0712D">
        <w:rPr>
          <w:rFonts w:ascii="Verdana" w:hAnsi="Verdana" w:cs="Arial"/>
          <w:sz w:val="20"/>
          <w:szCs w:val="20"/>
          <w:lang w:val="es-CR"/>
        </w:rPr>
        <w:t xml:space="preserve">expresar su propio pensamiento, sino también el derecho y la libertad de buscar, recibir y difundir informaciones e ideas de toda índole. Es por ello que la libertad de expresión tiene una dimensión individual y una dimensión social, a saber: </w:t>
      </w:r>
      <w:r w:rsidR="00E0712D" w:rsidRPr="00E0712D">
        <w:rPr>
          <w:rFonts w:ascii="Verdana" w:hAnsi="Verdana" w:cs="Arial"/>
          <w:sz w:val="20"/>
          <w:szCs w:val="20"/>
          <w:lang w:val="es-CR"/>
        </w:rPr>
        <w:t>“</w:t>
      </w:r>
      <w:r w:rsidR="000A7B2A" w:rsidRPr="00E0712D">
        <w:rPr>
          <w:rFonts w:ascii="Verdana" w:hAnsi="Verdana" w:cs="Arial"/>
          <w:sz w:val="20"/>
          <w:szCs w:val="20"/>
          <w:lang w:val="es-CR"/>
        </w:rPr>
        <w:t>ésta requiere, 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w:t>
      </w:r>
      <w:r w:rsidR="00EA3A62">
        <w:rPr>
          <w:rFonts w:ascii="Verdana" w:hAnsi="Verdana" w:cs="Arial"/>
          <w:sz w:val="20"/>
          <w:szCs w:val="20"/>
          <w:lang w:val="es-CR"/>
        </w:rPr>
        <w:t>.</w:t>
      </w:r>
      <w:r w:rsidR="000A7B2A" w:rsidRPr="00E0712D">
        <w:rPr>
          <w:rFonts w:ascii="Verdana" w:hAnsi="Verdana"/>
          <w:sz w:val="20"/>
          <w:szCs w:val="20"/>
          <w:vertAlign w:val="superscript"/>
        </w:rPr>
        <w:footnoteReference w:id="4"/>
      </w:r>
      <w:r w:rsidR="00E0712D" w:rsidRPr="00E0712D">
        <w:rPr>
          <w:rFonts w:ascii="Verdana" w:hAnsi="Verdana" w:cs="Arial"/>
          <w:sz w:val="20"/>
          <w:szCs w:val="20"/>
          <w:lang w:val="es-CR"/>
        </w:rPr>
        <w:t>”</w:t>
      </w:r>
    </w:p>
    <w:p w14:paraId="5131A27B" w14:textId="77777777" w:rsidR="000A7B2A" w:rsidRPr="003869E5" w:rsidRDefault="000A7B2A" w:rsidP="000A7B2A">
      <w:pPr>
        <w:pStyle w:val="ListParagraph"/>
        <w:rPr>
          <w:rFonts w:ascii="Verdana" w:hAnsi="Verdana" w:cs="Arial"/>
          <w:sz w:val="20"/>
          <w:szCs w:val="20"/>
          <w:highlight w:val="yellow"/>
          <w:lang w:val="es-ES_tradnl"/>
        </w:rPr>
      </w:pPr>
    </w:p>
    <w:p w14:paraId="78331EA0" w14:textId="764435AE" w:rsidR="000A7B2A" w:rsidRPr="00BE7637" w:rsidRDefault="000A7B2A" w:rsidP="000A7B2A">
      <w:pPr>
        <w:pStyle w:val="ListParagraph"/>
        <w:numPr>
          <w:ilvl w:val="0"/>
          <w:numId w:val="10"/>
        </w:numPr>
        <w:ind w:left="0" w:firstLine="0"/>
        <w:jc w:val="both"/>
        <w:rPr>
          <w:rFonts w:ascii="Verdana" w:hAnsi="Verdana"/>
          <w:sz w:val="20"/>
          <w:szCs w:val="20"/>
          <w:lang w:val="es-ES_tradnl"/>
        </w:rPr>
      </w:pPr>
      <w:r w:rsidRPr="00BE7637">
        <w:rPr>
          <w:rFonts w:ascii="Verdana" w:hAnsi="Verdana" w:cs="Arial"/>
          <w:sz w:val="20"/>
          <w:szCs w:val="20"/>
          <w:lang w:val="es-CR"/>
        </w:rPr>
        <w:t>Al respecto, la Corte ha indicado que la primera dimensión de la libertad de expresión “no se agota en el reconocimiento teórico del derecho a hablar o escribir, sino que comprende además, inseparablemente, el derecho a utilizar cualquier medio apropiado para difundir el pensamiento y hacerlo llegar al mayor número de destinatarios”</w:t>
      </w:r>
      <w:r w:rsidRPr="00BE7637">
        <w:rPr>
          <w:vertAlign w:val="superscript"/>
        </w:rPr>
        <w:footnoteReference w:id="5"/>
      </w:r>
      <w:r w:rsidR="00E0712D" w:rsidRPr="00BE7637">
        <w:rPr>
          <w:rFonts w:ascii="Verdana" w:hAnsi="Verdana" w:cs="Arial"/>
          <w:sz w:val="20"/>
          <w:szCs w:val="20"/>
          <w:lang w:val="es-CR"/>
        </w:rPr>
        <w:t xml:space="preserve">. </w:t>
      </w:r>
      <w:r w:rsidRPr="00BE7637">
        <w:rPr>
          <w:rFonts w:ascii="Verdana" w:hAnsi="Verdana" w:cs="Arial"/>
          <w:sz w:val="20"/>
          <w:szCs w:val="20"/>
          <w:lang w:val="es-CR"/>
        </w:rPr>
        <w:t xml:space="preserve">En este sentido, la expresión y la difusión de pensamientos e ideas son </w:t>
      </w:r>
      <w:r w:rsidRPr="00BE7637">
        <w:rPr>
          <w:rFonts w:ascii="Verdana" w:hAnsi="Verdana" w:cs="Arial"/>
          <w:sz w:val="20"/>
          <w:szCs w:val="20"/>
          <w:lang w:val="es-CR"/>
        </w:rPr>
        <w:lastRenderedPageBreak/>
        <w:t>indivisibles, de modo que una restricción de las posibilidades de divulgación representa directamente, y en la misma medida, un límite al derecho de expresarse libremente</w:t>
      </w:r>
      <w:r w:rsidRPr="00BE7637">
        <w:rPr>
          <w:vertAlign w:val="superscript"/>
        </w:rPr>
        <w:footnoteReference w:id="6"/>
      </w:r>
      <w:r w:rsidRPr="00BE7637">
        <w:rPr>
          <w:rFonts w:ascii="Verdana" w:hAnsi="Verdana" w:cs="Arial"/>
          <w:sz w:val="20"/>
          <w:szCs w:val="20"/>
          <w:lang w:val="es-CR"/>
        </w:rPr>
        <w:t>.</w:t>
      </w:r>
    </w:p>
    <w:p w14:paraId="5C2AC713" w14:textId="77777777" w:rsidR="000A7B2A" w:rsidRPr="00BE7637" w:rsidRDefault="000A7B2A" w:rsidP="000A7B2A">
      <w:pPr>
        <w:pStyle w:val="ListParagraph"/>
        <w:ind w:left="0"/>
        <w:jc w:val="both"/>
        <w:rPr>
          <w:rFonts w:ascii="Verdana" w:hAnsi="Verdana"/>
          <w:sz w:val="20"/>
          <w:szCs w:val="20"/>
          <w:lang w:val="es-ES_tradnl"/>
        </w:rPr>
      </w:pPr>
    </w:p>
    <w:p w14:paraId="702413C5" w14:textId="07624C2B" w:rsidR="000A7B2A" w:rsidRPr="00BE7637" w:rsidRDefault="000A7B2A" w:rsidP="000A7B2A">
      <w:pPr>
        <w:pStyle w:val="ListParagraph"/>
        <w:numPr>
          <w:ilvl w:val="0"/>
          <w:numId w:val="10"/>
        </w:numPr>
        <w:ind w:left="0" w:firstLine="0"/>
        <w:jc w:val="both"/>
        <w:rPr>
          <w:rFonts w:ascii="Verdana" w:hAnsi="Verdana"/>
          <w:sz w:val="20"/>
          <w:szCs w:val="20"/>
          <w:lang w:val="es-ES_tradnl"/>
        </w:rPr>
      </w:pPr>
      <w:r w:rsidRPr="00BE7637">
        <w:rPr>
          <w:rFonts w:ascii="Verdana" w:hAnsi="Verdana" w:cs="Arial"/>
          <w:sz w:val="20"/>
          <w:szCs w:val="20"/>
          <w:lang w:val="es-CR"/>
        </w:rPr>
        <w:t>Con respecto a la segunda dimensión del derecho a la libertad de expresión</w:t>
      </w:r>
      <w:r w:rsidR="00E0712D" w:rsidRPr="00BE7637">
        <w:rPr>
          <w:rFonts w:ascii="Verdana" w:hAnsi="Verdana" w:cs="Arial"/>
          <w:sz w:val="20"/>
          <w:szCs w:val="20"/>
          <w:lang w:val="es-CR"/>
        </w:rPr>
        <w:t>,</w:t>
      </w:r>
      <w:r w:rsidRPr="00BE7637">
        <w:rPr>
          <w:rFonts w:ascii="Verdana" w:hAnsi="Verdana" w:cs="Arial"/>
          <w:sz w:val="20"/>
          <w:szCs w:val="20"/>
          <w:lang w:val="es-CR"/>
        </w:rPr>
        <w:t xml:space="preserve"> esto es, la social, es </w:t>
      </w:r>
      <w:r w:rsidR="00E0712D" w:rsidRPr="00BE7637">
        <w:rPr>
          <w:rFonts w:ascii="Verdana" w:hAnsi="Verdana" w:cs="Arial"/>
          <w:sz w:val="20"/>
          <w:szCs w:val="20"/>
          <w:lang w:val="es-CR"/>
        </w:rPr>
        <w:t>fundamental</w:t>
      </w:r>
      <w:r w:rsidRPr="00BE7637">
        <w:rPr>
          <w:rFonts w:ascii="Verdana" w:hAnsi="Verdana" w:cs="Arial"/>
          <w:sz w:val="20"/>
          <w:szCs w:val="20"/>
          <w:lang w:val="es-CR"/>
        </w:rPr>
        <w:t xml:space="preserve"> </w:t>
      </w:r>
      <w:r w:rsidR="00E0712D" w:rsidRPr="00BE7637">
        <w:rPr>
          <w:rFonts w:ascii="Verdana" w:hAnsi="Verdana" w:cs="Arial"/>
          <w:sz w:val="20"/>
          <w:szCs w:val="20"/>
          <w:lang w:val="es-CR"/>
        </w:rPr>
        <w:t>tener en cuenta</w:t>
      </w:r>
      <w:r w:rsidRPr="00BE7637">
        <w:rPr>
          <w:rFonts w:ascii="Verdana" w:hAnsi="Verdana" w:cs="Arial"/>
          <w:sz w:val="20"/>
          <w:szCs w:val="20"/>
          <w:lang w:val="es-CR"/>
        </w:rPr>
        <w:t xml:space="preserve"> que la</w:t>
      </w:r>
      <w:r w:rsidR="00E0712D" w:rsidRPr="00BE7637">
        <w:rPr>
          <w:rFonts w:ascii="Verdana" w:hAnsi="Verdana" w:cs="Arial"/>
          <w:sz w:val="20"/>
          <w:szCs w:val="20"/>
          <w:lang w:val="es-CR"/>
        </w:rPr>
        <w:t xml:space="preserve"> protección de este derecho es un medio para permitir el</w:t>
      </w:r>
      <w:r w:rsidRPr="00BE7637">
        <w:rPr>
          <w:rFonts w:ascii="Verdana" w:hAnsi="Verdana" w:cs="Arial"/>
          <w:sz w:val="20"/>
          <w:szCs w:val="20"/>
          <w:lang w:val="es-CR"/>
        </w:rPr>
        <w:t xml:space="preserve"> intercambio de ideas e i</w:t>
      </w:r>
      <w:r w:rsidR="00E0712D" w:rsidRPr="00BE7637">
        <w:rPr>
          <w:rFonts w:ascii="Verdana" w:hAnsi="Verdana" w:cs="Arial"/>
          <w:sz w:val="20"/>
          <w:szCs w:val="20"/>
          <w:lang w:val="es-CR"/>
        </w:rPr>
        <w:t xml:space="preserve">nformaciones entre las personas. Esto comprende </w:t>
      </w:r>
      <w:r w:rsidRPr="00BE7637">
        <w:rPr>
          <w:rFonts w:ascii="Verdana" w:hAnsi="Verdana" w:cs="Arial"/>
          <w:sz w:val="20"/>
          <w:szCs w:val="20"/>
          <w:lang w:val="es-CR"/>
        </w:rPr>
        <w:t xml:space="preserve">su derecho </w:t>
      </w:r>
      <w:r w:rsidR="00E0712D" w:rsidRPr="00BE7637">
        <w:rPr>
          <w:rFonts w:ascii="Verdana" w:hAnsi="Verdana" w:cs="Arial"/>
          <w:sz w:val="20"/>
          <w:szCs w:val="20"/>
          <w:lang w:val="es-CR"/>
        </w:rPr>
        <w:t>comunicar a otros sus puntos de</w:t>
      </w:r>
      <w:r w:rsidRPr="00BE7637">
        <w:rPr>
          <w:rFonts w:ascii="Verdana" w:hAnsi="Verdana" w:cs="Arial"/>
          <w:sz w:val="20"/>
          <w:szCs w:val="20"/>
          <w:lang w:val="es-CR"/>
        </w:rPr>
        <w:t xml:space="preserve"> vista, </w:t>
      </w:r>
      <w:r w:rsidR="00E0712D" w:rsidRPr="00BE7637">
        <w:rPr>
          <w:rFonts w:ascii="Verdana" w:hAnsi="Verdana" w:cs="Arial"/>
          <w:sz w:val="20"/>
          <w:szCs w:val="20"/>
          <w:lang w:val="es-CR"/>
        </w:rPr>
        <w:t>y de manera correlativa</w:t>
      </w:r>
      <w:r w:rsidRPr="00BE7637">
        <w:rPr>
          <w:rFonts w:ascii="Verdana" w:hAnsi="Verdana" w:cs="Arial"/>
          <w:sz w:val="20"/>
          <w:szCs w:val="20"/>
          <w:lang w:val="es-CR"/>
        </w:rPr>
        <w:t xml:space="preserve"> implica también el derecho de todos a conocer opiniones, relatos y noticias vertidas por</w:t>
      </w:r>
      <w:r w:rsidR="00E0712D" w:rsidRPr="00BE7637">
        <w:rPr>
          <w:rFonts w:ascii="Verdana" w:hAnsi="Verdana" w:cs="Arial"/>
          <w:sz w:val="20"/>
          <w:szCs w:val="20"/>
          <w:lang w:val="es-CR"/>
        </w:rPr>
        <w:t xml:space="preserve"> terceros. </w:t>
      </w:r>
      <w:r w:rsidRPr="00BE7637">
        <w:rPr>
          <w:rFonts w:ascii="Verdana" w:hAnsi="Verdana" w:cs="Arial"/>
          <w:sz w:val="20"/>
          <w:szCs w:val="20"/>
          <w:lang w:val="es-CR"/>
        </w:rPr>
        <w:t>Para el ciudadano común tiene tanta importancia el conocimiento de la opinión ajena o de la información de que disponen otros</w:t>
      </w:r>
      <w:r w:rsidR="00E0712D" w:rsidRPr="00BE7637">
        <w:rPr>
          <w:rFonts w:ascii="Verdana" w:hAnsi="Verdana" w:cs="Arial"/>
          <w:sz w:val="20"/>
          <w:szCs w:val="20"/>
          <w:lang w:val="es-CR"/>
        </w:rPr>
        <w:t>,</w:t>
      </w:r>
      <w:r w:rsidRPr="00BE7637">
        <w:rPr>
          <w:rFonts w:ascii="Verdana" w:hAnsi="Verdana" w:cs="Arial"/>
          <w:sz w:val="20"/>
          <w:szCs w:val="20"/>
          <w:lang w:val="es-CR"/>
        </w:rPr>
        <w:t xml:space="preserve"> como el derecho a difundir la propia</w:t>
      </w:r>
      <w:r w:rsidRPr="00BE7637">
        <w:rPr>
          <w:vertAlign w:val="superscript"/>
        </w:rPr>
        <w:footnoteReference w:id="7"/>
      </w:r>
      <w:r w:rsidRPr="00BE7637">
        <w:rPr>
          <w:rFonts w:ascii="Verdana" w:hAnsi="Verdana" w:cs="Arial"/>
          <w:sz w:val="20"/>
          <w:szCs w:val="20"/>
          <w:lang w:val="es-CR"/>
        </w:rPr>
        <w:t>.</w:t>
      </w:r>
    </w:p>
    <w:p w14:paraId="33174DAD" w14:textId="77777777" w:rsidR="000A7B2A" w:rsidRPr="00BE7637" w:rsidRDefault="000A7B2A" w:rsidP="000A7B2A">
      <w:pPr>
        <w:pStyle w:val="ListParagraph"/>
        <w:rPr>
          <w:rFonts w:ascii="Verdana" w:hAnsi="Verdana" w:cs="Arial"/>
          <w:sz w:val="20"/>
          <w:szCs w:val="20"/>
          <w:lang w:val="es-CR"/>
        </w:rPr>
      </w:pPr>
    </w:p>
    <w:p w14:paraId="200BA8E9" w14:textId="7053B968" w:rsidR="000A7B2A" w:rsidRPr="00BE7637" w:rsidRDefault="00342857" w:rsidP="000A7B2A">
      <w:pPr>
        <w:pStyle w:val="ListParagraph"/>
        <w:numPr>
          <w:ilvl w:val="0"/>
          <w:numId w:val="10"/>
        </w:numPr>
        <w:ind w:left="0" w:firstLine="0"/>
        <w:jc w:val="both"/>
        <w:rPr>
          <w:rFonts w:ascii="Verdana" w:hAnsi="Verdana"/>
          <w:sz w:val="20"/>
          <w:szCs w:val="20"/>
          <w:lang w:val="es-ES_tradnl"/>
        </w:rPr>
      </w:pPr>
      <w:r w:rsidRPr="00BE7637">
        <w:rPr>
          <w:rFonts w:ascii="Verdana" w:hAnsi="Verdana" w:cs="Arial"/>
          <w:sz w:val="20"/>
          <w:szCs w:val="20"/>
          <w:lang w:val="es-CR"/>
        </w:rPr>
        <w:t>E</w:t>
      </w:r>
      <w:r w:rsidR="000A7B2A" w:rsidRPr="00BE7637">
        <w:rPr>
          <w:rFonts w:ascii="Verdana" w:hAnsi="Verdana" w:cs="Arial"/>
          <w:sz w:val="20"/>
          <w:szCs w:val="20"/>
          <w:lang w:val="es-CR"/>
        </w:rPr>
        <w:t>ste Tribunal ha afirmado que ambas dimensiones poseen igual importancia y deben ser garantizadas plenamente</w:t>
      </w:r>
      <w:r w:rsidRPr="00BE7637">
        <w:rPr>
          <w:rFonts w:ascii="Verdana" w:hAnsi="Verdana" w:cs="Arial"/>
          <w:sz w:val="20"/>
          <w:szCs w:val="20"/>
          <w:lang w:val="es-CR"/>
        </w:rPr>
        <w:t>,</w:t>
      </w:r>
      <w:r w:rsidR="000A7B2A" w:rsidRPr="00BE7637">
        <w:rPr>
          <w:rFonts w:ascii="Verdana" w:hAnsi="Verdana" w:cs="Arial"/>
          <w:sz w:val="20"/>
          <w:szCs w:val="20"/>
          <w:lang w:val="es-CR"/>
        </w:rPr>
        <w:t xml:space="preserve"> en forma simultánea</w:t>
      </w:r>
      <w:r w:rsidRPr="00BE7637">
        <w:rPr>
          <w:rFonts w:ascii="Verdana" w:hAnsi="Verdana" w:cs="Arial"/>
          <w:sz w:val="20"/>
          <w:szCs w:val="20"/>
          <w:lang w:val="es-CR"/>
        </w:rPr>
        <w:t>,</w:t>
      </w:r>
      <w:r w:rsidR="000A7B2A" w:rsidRPr="00BE7637">
        <w:rPr>
          <w:rFonts w:ascii="Verdana" w:hAnsi="Verdana" w:cs="Arial"/>
          <w:sz w:val="20"/>
          <w:szCs w:val="20"/>
          <w:lang w:val="es-CR"/>
        </w:rPr>
        <w:t xml:space="preserve"> para dar efectividad total al derecho a la libertad de expresión en los términos previstos por el artículo 13 de la Convención</w:t>
      </w:r>
      <w:r w:rsidR="000A7B2A" w:rsidRPr="00BE7637">
        <w:rPr>
          <w:vertAlign w:val="superscript"/>
        </w:rPr>
        <w:footnoteReference w:id="8"/>
      </w:r>
      <w:r w:rsidR="000A7B2A" w:rsidRPr="00BE7637">
        <w:rPr>
          <w:rFonts w:ascii="Verdana" w:hAnsi="Verdana" w:cs="Arial"/>
          <w:sz w:val="20"/>
          <w:szCs w:val="20"/>
          <w:lang w:val="es-CR"/>
        </w:rPr>
        <w:t>.</w:t>
      </w:r>
    </w:p>
    <w:p w14:paraId="7A5BBBEC" w14:textId="77777777" w:rsidR="000A7B2A" w:rsidRPr="003869E5" w:rsidRDefault="000A7B2A" w:rsidP="000A7B2A">
      <w:pPr>
        <w:pStyle w:val="ListParagraph"/>
        <w:rPr>
          <w:rFonts w:ascii="Verdana" w:hAnsi="Verdana"/>
          <w:sz w:val="20"/>
          <w:szCs w:val="20"/>
          <w:highlight w:val="yellow"/>
          <w:lang w:val="es-ES_tradnl"/>
        </w:rPr>
      </w:pPr>
    </w:p>
    <w:p w14:paraId="246B25D0" w14:textId="4B695CBD" w:rsidR="00FE76A3" w:rsidRPr="00A7642F" w:rsidRDefault="00342857" w:rsidP="000A7B2A">
      <w:pPr>
        <w:pStyle w:val="ListParagraph"/>
        <w:numPr>
          <w:ilvl w:val="0"/>
          <w:numId w:val="10"/>
        </w:numPr>
        <w:ind w:left="0" w:firstLine="0"/>
        <w:jc w:val="both"/>
        <w:rPr>
          <w:rFonts w:ascii="Verdana" w:hAnsi="Verdana"/>
          <w:sz w:val="20"/>
          <w:szCs w:val="20"/>
          <w:lang w:val="es-ES_tradnl"/>
        </w:rPr>
      </w:pPr>
      <w:r w:rsidRPr="00A7642F">
        <w:rPr>
          <w:rFonts w:ascii="Verdana" w:hAnsi="Verdana"/>
          <w:sz w:val="20"/>
          <w:szCs w:val="20"/>
          <w:lang w:val="es-ES_tradnl"/>
        </w:rPr>
        <w:t xml:space="preserve">Esta doble dimensión de la protección a la libertad de expresión </w:t>
      </w:r>
      <w:r w:rsidR="008D41FB" w:rsidRPr="00A7642F">
        <w:rPr>
          <w:rFonts w:ascii="Verdana" w:hAnsi="Verdana"/>
          <w:sz w:val="20"/>
          <w:szCs w:val="20"/>
          <w:lang w:val="es-ES_tradnl"/>
        </w:rPr>
        <w:t>debió</w:t>
      </w:r>
      <w:r w:rsidRPr="00A7642F">
        <w:rPr>
          <w:rFonts w:ascii="Verdana" w:hAnsi="Verdana"/>
          <w:sz w:val="20"/>
          <w:szCs w:val="20"/>
          <w:lang w:val="es-ES_tradnl"/>
        </w:rPr>
        <w:t xml:space="preserve"> ser tomada seriamente en consideración en el presente caso. </w:t>
      </w:r>
      <w:r w:rsidR="008D41FB" w:rsidRPr="00A7642F">
        <w:rPr>
          <w:rFonts w:ascii="Verdana" w:hAnsi="Verdana"/>
          <w:sz w:val="20"/>
          <w:szCs w:val="20"/>
          <w:lang w:val="es-ES_tradnl"/>
        </w:rPr>
        <w:t>Si la mayoría lo hubiera hecho</w:t>
      </w:r>
      <w:r w:rsidRPr="00A7642F">
        <w:rPr>
          <w:rFonts w:ascii="Verdana" w:hAnsi="Verdana"/>
          <w:sz w:val="20"/>
          <w:szCs w:val="20"/>
          <w:lang w:val="es-ES_tradnl"/>
        </w:rPr>
        <w:t xml:space="preserve"> así</w:t>
      </w:r>
      <w:r w:rsidR="008D41FB" w:rsidRPr="00A7642F">
        <w:rPr>
          <w:rFonts w:ascii="Verdana" w:hAnsi="Verdana"/>
          <w:sz w:val="20"/>
          <w:szCs w:val="20"/>
          <w:lang w:val="es-ES_tradnl"/>
        </w:rPr>
        <w:t>, habría</w:t>
      </w:r>
      <w:r w:rsidR="000A7B2A" w:rsidRPr="00A7642F">
        <w:rPr>
          <w:rFonts w:ascii="Verdana" w:hAnsi="Verdana"/>
          <w:sz w:val="20"/>
          <w:szCs w:val="20"/>
          <w:lang w:val="es-ES_tradnl"/>
        </w:rPr>
        <w:t xml:space="preserve"> </w:t>
      </w:r>
      <w:r w:rsidR="008D41FB" w:rsidRPr="00A7642F">
        <w:rPr>
          <w:rFonts w:ascii="Verdana" w:hAnsi="Verdana"/>
          <w:sz w:val="20"/>
          <w:szCs w:val="20"/>
          <w:lang w:val="es-ES_tradnl"/>
        </w:rPr>
        <w:t>sido</w:t>
      </w:r>
      <w:r w:rsidR="000A7B2A" w:rsidRPr="00A7642F">
        <w:rPr>
          <w:rFonts w:ascii="Verdana" w:hAnsi="Verdana"/>
          <w:sz w:val="20"/>
          <w:szCs w:val="20"/>
          <w:lang w:val="es-ES_tradnl"/>
        </w:rPr>
        <w:t xml:space="preserve"> posible señalar que el</w:t>
      </w:r>
      <w:r w:rsidRPr="00A7642F">
        <w:rPr>
          <w:rFonts w:ascii="Verdana" w:hAnsi="Verdana"/>
          <w:sz w:val="20"/>
          <w:szCs w:val="20"/>
          <w:lang w:val="es-ES_tradnl"/>
        </w:rPr>
        <w:t xml:space="preserve"> hecho de que las señoras Rocío San Miguel Sosa, </w:t>
      </w:r>
      <w:proofErr w:type="spellStart"/>
      <w:r w:rsidRPr="00A7642F">
        <w:rPr>
          <w:rFonts w:ascii="Verdana" w:hAnsi="Verdana"/>
          <w:sz w:val="20"/>
          <w:szCs w:val="20"/>
          <w:lang w:val="es-ES_tradnl"/>
        </w:rPr>
        <w:t>Magally</w:t>
      </w:r>
      <w:proofErr w:type="spellEnd"/>
      <w:r w:rsidRPr="00A7642F">
        <w:rPr>
          <w:rFonts w:ascii="Verdana" w:hAnsi="Verdana"/>
          <w:sz w:val="20"/>
          <w:szCs w:val="20"/>
          <w:lang w:val="es-ES_tradnl"/>
        </w:rPr>
        <w:t xml:space="preserve"> Chang Girón y Thais Coromoto Peña hayan manifestado una opinión política tras la firma a favor </w:t>
      </w:r>
      <w:r w:rsidR="00500B80" w:rsidRPr="00A7642F">
        <w:rPr>
          <w:rFonts w:ascii="Verdana" w:hAnsi="Verdana"/>
          <w:sz w:val="20"/>
          <w:szCs w:val="20"/>
          <w:lang w:val="es-ES_tradnl"/>
        </w:rPr>
        <w:t xml:space="preserve">de la convocatoria </w:t>
      </w:r>
      <w:r w:rsidRPr="00A7642F">
        <w:rPr>
          <w:rFonts w:ascii="Verdana" w:hAnsi="Verdana"/>
          <w:sz w:val="20"/>
          <w:szCs w:val="20"/>
          <w:lang w:val="es-ES_tradnl"/>
        </w:rPr>
        <w:t>del referendo revocatorio,</w:t>
      </w:r>
      <w:r w:rsidR="008D41FB" w:rsidRPr="00A7642F">
        <w:rPr>
          <w:rFonts w:ascii="Verdana" w:hAnsi="Verdana"/>
          <w:sz w:val="20"/>
          <w:szCs w:val="20"/>
          <w:lang w:val="es-ES_tradnl"/>
        </w:rPr>
        <w:t xml:space="preserve"> esto no significó</w:t>
      </w:r>
      <w:r w:rsidRPr="00A7642F">
        <w:rPr>
          <w:rFonts w:ascii="Verdana" w:hAnsi="Verdana"/>
          <w:sz w:val="20"/>
          <w:szCs w:val="20"/>
          <w:lang w:val="es-ES_tradnl"/>
        </w:rPr>
        <w:t xml:space="preserve"> </w:t>
      </w:r>
      <w:r w:rsidR="00FE76A3" w:rsidRPr="00A7642F">
        <w:rPr>
          <w:rFonts w:ascii="Verdana" w:hAnsi="Verdana"/>
          <w:sz w:val="20"/>
          <w:szCs w:val="20"/>
          <w:lang w:val="es-ES_tradnl"/>
        </w:rPr>
        <w:t>que estaban ejerciendo</w:t>
      </w:r>
      <w:r w:rsidRPr="00A7642F">
        <w:rPr>
          <w:rFonts w:ascii="Verdana" w:hAnsi="Verdana"/>
          <w:sz w:val="20"/>
          <w:szCs w:val="20"/>
          <w:lang w:val="es-ES_tradnl"/>
        </w:rPr>
        <w:t xml:space="preserve"> su derecho a la libertad de expresión. </w:t>
      </w:r>
      <w:r w:rsidR="00BE7637" w:rsidRPr="00A7642F">
        <w:rPr>
          <w:rFonts w:ascii="Verdana" w:hAnsi="Verdana"/>
          <w:sz w:val="20"/>
          <w:szCs w:val="20"/>
          <w:lang w:val="es-ES_tradnl"/>
        </w:rPr>
        <w:t>L</w:t>
      </w:r>
      <w:r w:rsidRPr="00A7642F">
        <w:rPr>
          <w:rFonts w:ascii="Verdana" w:hAnsi="Verdana"/>
          <w:sz w:val="20"/>
          <w:szCs w:val="20"/>
          <w:lang w:val="es-ES_tradnl"/>
        </w:rPr>
        <w:t>a manifestación de la opinión de las v</w:t>
      </w:r>
      <w:r w:rsidR="00FE76A3" w:rsidRPr="00A7642F">
        <w:rPr>
          <w:rFonts w:ascii="Verdana" w:hAnsi="Verdana"/>
          <w:sz w:val="20"/>
          <w:szCs w:val="20"/>
          <w:lang w:val="es-ES_tradnl"/>
        </w:rPr>
        <w:t>íctimas en el presente caso no estaba dirigida a “</w:t>
      </w:r>
      <w:r w:rsidR="00FE76A3" w:rsidRPr="00A7642F">
        <w:rPr>
          <w:rFonts w:ascii="Verdana" w:hAnsi="Verdana" w:cs="Tahoma"/>
          <w:sz w:val="20"/>
          <w:szCs w:val="20"/>
          <w:lang w:val="es-CR"/>
        </w:rPr>
        <w:t>buscar, recibir y difundir informaciones e ideas de toda índole, sin consideración de fronteras, ya sea oralmente, por escrito o en forma impresa o artística, o por cualquier otro procedimiento de su elección” como lo marca el artículo 13 de la Convención, sino a participar en una</w:t>
      </w:r>
      <w:r w:rsidR="00500B80" w:rsidRPr="00A7642F">
        <w:rPr>
          <w:rFonts w:ascii="Verdana" w:hAnsi="Verdana" w:cs="Tahoma"/>
          <w:sz w:val="20"/>
          <w:szCs w:val="20"/>
          <w:lang w:val="es-CR"/>
        </w:rPr>
        <w:t xml:space="preserve"> solicitud de</w:t>
      </w:r>
      <w:r w:rsidR="00FE76A3" w:rsidRPr="00A7642F">
        <w:rPr>
          <w:rFonts w:ascii="Verdana" w:hAnsi="Verdana" w:cs="Tahoma"/>
          <w:sz w:val="20"/>
          <w:szCs w:val="20"/>
          <w:lang w:val="es-CR"/>
        </w:rPr>
        <w:t xml:space="preserve"> convocatoria de referéndum</w:t>
      </w:r>
      <w:r w:rsidR="00500B80" w:rsidRPr="00A7642F">
        <w:rPr>
          <w:rFonts w:ascii="Verdana" w:hAnsi="Verdana" w:cs="Tahoma"/>
          <w:sz w:val="20"/>
          <w:szCs w:val="20"/>
          <w:lang w:val="es-CR"/>
        </w:rPr>
        <w:t>, lo cual es una clara manifestación de su derecho a participar y ejercer su voluntad política en un proceso democrático</w:t>
      </w:r>
      <w:r w:rsidR="00BE7637" w:rsidRPr="00A7642F">
        <w:rPr>
          <w:rFonts w:ascii="Verdana" w:hAnsi="Verdana" w:cs="Tahoma"/>
          <w:sz w:val="20"/>
          <w:szCs w:val="20"/>
          <w:lang w:val="es-CR"/>
        </w:rPr>
        <w:t>. En estas circunstancias, era menester que</w:t>
      </w:r>
      <w:r w:rsidR="008D41FB" w:rsidRPr="00A7642F">
        <w:rPr>
          <w:rFonts w:ascii="Verdana" w:hAnsi="Verdana" w:cs="Tahoma"/>
          <w:sz w:val="20"/>
          <w:szCs w:val="20"/>
          <w:lang w:val="es-CR"/>
        </w:rPr>
        <w:t xml:space="preserve"> dicha participación</w:t>
      </w:r>
      <w:r w:rsidR="00BE7637" w:rsidRPr="00A7642F">
        <w:rPr>
          <w:rFonts w:ascii="Verdana" w:hAnsi="Verdana" w:cs="Tahoma"/>
          <w:sz w:val="20"/>
          <w:szCs w:val="20"/>
          <w:lang w:val="es-CR"/>
        </w:rPr>
        <w:t xml:space="preserve"> no</w:t>
      </w:r>
      <w:r w:rsidR="008D41FB" w:rsidRPr="00A7642F">
        <w:rPr>
          <w:rFonts w:ascii="Verdana" w:hAnsi="Verdana" w:cs="Tahoma"/>
          <w:sz w:val="20"/>
          <w:szCs w:val="20"/>
          <w:lang w:val="es-CR"/>
        </w:rPr>
        <w:t xml:space="preserve"> fuera pública</w:t>
      </w:r>
      <w:r w:rsidR="00BE7637" w:rsidRPr="00A7642F">
        <w:rPr>
          <w:rFonts w:ascii="Verdana" w:hAnsi="Verdana" w:cs="Tahoma"/>
          <w:sz w:val="20"/>
          <w:szCs w:val="20"/>
          <w:lang w:val="es-CR"/>
        </w:rPr>
        <w:t>,</w:t>
      </w:r>
      <w:r w:rsidR="00500B80" w:rsidRPr="00A7642F">
        <w:rPr>
          <w:rFonts w:ascii="Verdana" w:hAnsi="Verdana" w:cs="Tahoma"/>
          <w:sz w:val="20"/>
          <w:szCs w:val="20"/>
          <w:lang w:val="es-CR"/>
        </w:rPr>
        <w:t xml:space="preserve"> pues ésta no era la intención de las víctimas, quienes se encontraban</w:t>
      </w:r>
      <w:r w:rsidR="00BE7637" w:rsidRPr="00A7642F">
        <w:rPr>
          <w:rFonts w:ascii="Verdana" w:hAnsi="Verdana" w:cs="Tahoma"/>
          <w:sz w:val="20"/>
          <w:szCs w:val="20"/>
          <w:lang w:val="es-CR"/>
        </w:rPr>
        <w:t xml:space="preserve"> </w:t>
      </w:r>
      <w:r w:rsidR="00500B80" w:rsidRPr="00A7642F">
        <w:rPr>
          <w:rFonts w:ascii="Verdana" w:hAnsi="Verdana" w:cs="Tahoma"/>
          <w:sz w:val="20"/>
          <w:szCs w:val="20"/>
          <w:lang w:val="es-CR"/>
        </w:rPr>
        <w:t>en un contexto de alta inestabilidad, polarización política e intolerancia a la disidencia</w:t>
      </w:r>
      <w:r w:rsidR="00FE76A3" w:rsidRPr="00A7642F">
        <w:rPr>
          <w:rFonts w:ascii="Verdana" w:hAnsi="Verdana" w:cs="Tahoma"/>
          <w:sz w:val="20"/>
          <w:szCs w:val="20"/>
          <w:lang w:val="es-CR"/>
        </w:rPr>
        <w:t>.</w:t>
      </w:r>
    </w:p>
    <w:p w14:paraId="167E37A7" w14:textId="77777777" w:rsidR="004201E7" w:rsidRPr="004201E7" w:rsidRDefault="004201E7" w:rsidP="004201E7">
      <w:pPr>
        <w:pStyle w:val="ListParagraph"/>
        <w:ind w:left="0"/>
        <w:jc w:val="both"/>
        <w:rPr>
          <w:rFonts w:ascii="Verdana" w:hAnsi="Verdana"/>
          <w:sz w:val="20"/>
          <w:szCs w:val="20"/>
          <w:lang w:val="es-ES_tradnl"/>
        </w:rPr>
      </w:pPr>
    </w:p>
    <w:p w14:paraId="05DE6BE8" w14:textId="28E68288" w:rsidR="00AF47E1" w:rsidRDefault="00CD43BF" w:rsidP="00AF47E1">
      <w:pPr>
        <w:pStyle w:val="ListParagraph"/>
        <w:numPr>
          <w:ilvl w:val="0"/>
          <w:numId w:val="10"/>
        </w:numPr>
        <w:ind w:left="0" w:firstLine="0"/>
        <w:jc w:val="both"/>
        <w:rPr>
          <w:rFonts w:ascii="Verdana" w:hAnsi="Verdana"/>
          <w:sz w:val="20"/>
          <w:szCs w:val="20"/>
          <w:lang w:val="es-ES_tradnl"/>
        </w:rPr>
      </w:pPr>
      <w:r w:rsidRPr="00CD43BF">
        <w:rPr>
          <w:rFonts w:ascii="Verdana" w:hAnsi="Verdana"/>
          <w:sz w:val="20"/>
          <w:szCs w:val="20"/>
          <w:lang w:val="es-ES_tradnl"/>
        </w:rPr>
        <w:t xml:space="preserve">Al respecto, cabe recordar que la Corte ha dicho que </w:t>
      </w:r>
      <w:r w:rsidR="00BE7637">
        <w:rPr>
          <w:rFonts w:ascii="Verdana" w:hAnsi="Verdana"/>
          <w:sz w:val="20"/>
          <w:szCs w:val="20"/>
          <w:lang w:val="es-ES_tradnl"/>
        </w:rPr>
        <w:t>“</w:t>
      </w:r>
      <w:r w:rsidR="005A7125" w:rsidRPr="005A7125">
        <w:rPr>
          <w:rFonts w:ascii="Verdana" w:hAnsi="Verdana"/>
          <w:sz w:val="20"/>
          <w:lang w:val="es-CR"/>
        </w:rPr>
        <w:t xml:space="preserve">en el marco de una campaña electoral, la libertad de pensamiento y de expresión en sus dos dimensiones constituye un bastión fundamental para el debate durante el proceso electoral, debido a que se transforma en una herramienta esencial para la formación de la opinión pública de los electores, fortalece la contienda política entre los distintos candidatos y </w:t>
      </w:r>
      <w:r w:rsidR="005A7125" w:rsidRPr="005A7125">
        <w:rPr>
          <w:rFonts w:ascii="Verdana" w:hAnsi="Verdana"/>
          <w:sz w:val="20"/>
          <w:lang w:val="es-CR"/>
        </w:rPr>
        <w:lastRenderedPageBreak/>
        <w:t>partidos que participan en los comicios y se transforma en un auténtico instrumento de análisis de las plataformas políticas planteadas por los distintos candidatos, lo cual permite una mayor transparencia y fiscalización de las futu</w:t>
      </w:r>
      <w:r w:rsidR="005A7125">
        <w:rPr>
          <w:rFonts w:ascii="Verdana" w:hAnsi="Verdana"/>
          <w:sz w:val="20"/>
          <w:lang w:val="es-CR"/>
        </w:rPr>
        <w:t>ras autoridades y de su gestión</w:t>
      </w:r>
      <w:r w:rsidRPr="005A7125">
        <w:rPr>
          <w:rStyle w:val="FootnoteReference"/>
          <w:rFonts w:ascii="Verdana" w:hAnsi="Verdana"/>
          <w:sz w:val="20"/>
          <w:szCs w:val="20"/>
          <w:lang w:val="es-ES_tradnl"/>
        </w:rPr>
        <w:footnoteReference w:id="9"/>
      </w:r>
      <w:r w:rsidR="005A7125">
        <w:rPr>
          <w:rFonts w:ascii="Verdana" w:hAnsi="Verdana"/>
          <w:sz w:val="20"/>
          <w:lang w:val="es-CR"/>
        </w:rPr>
        <w:t>.”</w:t>
      </w:r>
      <w:r>
        <w:rPr>
          <w:rFonts w:ascii="Verdana" w:hAnsi="Verdana"/>
          <w:sz w:val="20"/>
          <w:szCs w:val="20"/>
          <w:lang w:val="es-ES_tradnl"/>
        </w:rPr>
        <w:t xml:space="preserve"> </w:t>
      </w:r>
      <w:r w:rsidR="00A012A3">
        <w:rPr>
          <w:rFonts w:ascii="Verdana" w:hAnsi="Verdana"/>
          <w:sz w:val="20"/>
          <w:szCs w:val="20"/>
          <w:lang w:val="es-ES_tradnl"/>
        </w:rPr>
        <w:t>En este sentido</w:t>
      </w:r>
      <w:r>
        <w:rPr>
          <w:rFonts w:ascii="Verdana" w:hAnsi="Verdana"/>
          <w:sz w:val="20"/>
          <w:szCs w:val="20"/>
          <w:lang w:val="es-ES_tradnl"/>
        </w:rPr>
        <w:t>, las discusiones relacionadas con la protección del derecho a la libertad de expresión</w:t>
      </w:r>
      <w:r w:rsidR="005A7125">
        <w:rPr>
          <w:rFonts w:ascii="Verdana" w:hAnsi="Verdana"/>
          <w:sz w:val="20"/>
          <w:szCs w:val="20"/>
          <w:lang w:val="es-ES_tradnl"/>
        </w:rPr>
        <w:t>, en un contexto electoral,</w:t>
      </w:r>
      <w:r>
        <w:rPr>
          <w:rFonts w:ascii="Verdana" w:hAnsi="Verdana"/>
          <w:sz w:val="20"/>
          <w:szCs w:val="20"/>
          <w:lang w:val="es-ES_tradnl"/>
        </w:rPr>
        <w:t xml:space="preserve"> suelen </w:t>
      </w:r>
      <w:r w:rsidR="000A1B3A">
        <w:rPr>
          <w:rFonts w:ascii="Verdana" w:hAnsi="Verdana"/>
          <w:sz w:val="20"/>
          <w:szCs w:val="20"/>
          <w:lang w:val="es-ES_tradnl"/>
        </w:rPr>
        <w:t>estar dirigidas a</w:t>
      </w:r>
      <w:r>
        <w:rPr>
          <w:rFonts w:ascii="Verdana" w:hAnsi="Verdana"/>
          <w:sz w:val="20"/>
          <w:szCs w:val="20"/>
          <w:lang w:val="es-ES_tradnl"/>
        </w:rPr>
        <w:t xml:space="preserve"> las condiciones en que un determinado discurso puede ser sujeto a alguna limitación o censura, no a si éste debe ser público o no.</w:t>
      </w:r>
    </w:p>
    <w:p w14:paraId="4469F85D" w14:textId="77777777" w:rsidR="009C0B33" w:rsidRPr="009C0B33" w:rsidRDefault="009C0B33" w:rsidP="009C0B33">
      <w:pPr>
        <w:pStyle w:val="ListParagraph"/>
        <w:rPr>
          <w:rFonts w:ascii="Verdana" w:hAnsi="Verdana"/>
          <w:sz w:val="20"/>
          <w:szCs w:val="20"/>
          <w:lang w:val="es-ES_tradnl"/>
        </w:rPr>
      </w:pPr>
    </w:p>
    <w:p w14:paraId="799BB63F" w14:textId="7C108282" w:rsidR="00CD43BF" w:rsidRDefault="00CD43BF" w:rsidP="00AF47E1">
      <w:pPr>
        <w:pStyle w:val="ListParagraph"/>
        <w:numPr>
          <w:ilvl w:val="0"/>
          <w:numId w:val="10"/>
        </w:numPr>
        <w:ind w:left="0" w:firstLine="0"/>
        <w:jc w:val="both"/>
        <w:rPr>
          <w:rFonts w:ascii="Verdana" w:hAnsi="Verdana"/>
          <w:sz w:val="20"/>
          <w:szCs w:val="20"/>
          <w:lang w:val="es-ES_tradnl"/>
        </w:rPr>
      </w:pPr>
      <w:r>
        <w:rPr>
          <w:rFonts w:ascii="Verdana" w:hAnsi="Verdana"/>
          <w:sz w:val="20"/>
          <w:szCs w:val="20"/>
          <w:lang w:val="es-ES_tradnl"/>
        </w:rPr>
        <w:t>Lo contrario sucede con algunas facetas de los derechos políticos, específicamente al derecho</w:t>
      </w:r>
      <w:r w:rsidR="000A1B3A">
        <w:rPr>
          <w:rFonts w:ascii="Verdana" w:hAnsi="Verdana"/>
          <w:sz w:val="20"/>
          <w:szCs w:val="20"/>
          <w:lang w:val="es-ES_tradnl"/>
        </w:rPr>
        <w:t xml:space="preserve"> al</w:t>
      </w:r>
      <w:r>
        <w:rPr>
          <w:rFonts w:ascii="Verdana" w:hAnsi="Verdana"/>
          <w:sz w:val="20"/>
          <w:szCs w:val="20"/>
          <w:lang w:val="es-ES_tradnl"/>
        </w:rPr>
        <w:t xml:space="preserve"> </w:t>
      </w:r>
      <w:r w:rsidR="000A1B3A">
        <w:rPr>
          <w:rFonts w:ascii="Verdana" w:hAnsi="Verdana"/>
          <w:sz w:val="20"/>
          <w:szCs w:val="20"/>
          <w:lang w:val="es-ES_tradnl"/>
        </w:rPr>
        <w:t>“voto secreto que garantice la libre expresión de la voluntad de los ciudadanos”</w:t>
      </w:r>
      <w:r w:rsidR="00A012A3">
        <w:rPr>
          <w:rFonts w:ascii="Verdana" w:hAnsi="Verdana"/>
          <w:sz w:val="20"/>
          <w:szCs w:val="20"/>
          <w:lang w:val="es-ES_tradnl"/>
        </w:rPr>
        <w:t>, como lo establece el artículo 23.1.b de la Convención</w:t>
      </w:r>
      <w:r w:rsidR="000A1B3A">
        <w:rPr>
          <w:rFonts w:ascii="Verdana" w:hAnsi="Verdana"/>
          <w:sz w:val="20"/>
          <w:szCs w:val="20"/>
          <w:lang w:val="es-ES_tradnl"/>
        </w:rPr>
        <w:t xml:space="preserve">. El sentido de esta protección es precisamente </w:t>
      </w:r>
      <w:r w:rsidR="00A012A3">
        <w:rPr>
          <w:rFonts w:ascii="Verdana" w:hAnsi="Verdana"/>
          <w:sz w:val="20"/>
          <w:szCs w:val="20"/>
          <w:lang w:val="es-ES_tradnl"/>
        </w:rPr>
        <w:t>permitir</w:t>
      </w:r>
      <w:r w:rsidR="000A1B3A">
        <w:rPr>
          <w:rFonts w:ascii="Verdana" w:hAnsi="Verdana"/>
          <w:sz w:val="20"/>
          <w:szCs w:val="20"/>
          <w:lang w:val="es-ES_tradnl"/>
        </w:rPr>
        <w:t xml:space="preserve"> que el votante sea libre de expresar su voluntad en </w:t>
      </w:r>
      <w:r w:rsidR="00FF39AC">
        <w:rPr>
          <w:rFonts w:ascii="Verdana" w:hAnsi="Verdana"/>
          <w:sz w:val="20"/>
          <w:szCs w:val="20"/>
          <w:lang w:val="es-ES_tradnl"/>
        </w:rPr>
        <w:t>una</w:t>
      </w:r>
      <w:r w:rsidR="000A1B3A">
        <w:rPr>
          <w:rFonts w:ascii="Verdana" w:hAnsi="Verdana"/>
          <w:sz w:val="20"/>
          <w:szCs w:val="20"/>
          <w:lang w:val="es-ES_tradnl"/>
        </w:rPr>
        <w:t xml:space="preserve"> elección, ajeno a interferencias</w:t>
      </w:r>
      <w:r w:rsidR="00FF39AC">
        <w:rPr>
          <w:rFonts w:ascii="Verdana" w:hAnsi="Verdana"/>
          <w:sz w:val="20"/>
          <w:szCs w:val="20"/>
          <w:lang w:val="es-ES_tradnl"/>
        </w:rPr>
        <w:t xml:space="preserve"> o presiones.</w:t>
      </w:r>
      <w:r w:rsidR="000A1B3A">
        <w:rPr>
          <w:rFonts w:ascii="Verdana" w:hAnsi="Verdana"/>
          <w:sz w:val="20"/>
          <w:szCs w:val="20"/>
          <w:lang w:val="es-ES_tradnl"/>
        </w:rPr>
        <w:t xml:space="preserve"> </w:t>
      </w:r>
      <w:r w:rsidR="00FF39AC">
        <w:rPr>
          <w:rFonts w:ascii="Verdana" w:hAnsi="Verdana"/>
          <w:sz w:val="20"/>
          <w:szCs w:val="20"/>
          <w:lang w:val="es-ES_tradnl"/>
        </w:rPr>
        <w:t>La libertad del votante de</w:t>
      </w:r>
      <w:r w:rsidR="000A1B3A">
        <w:rPr>
          <w:rFonts w:ascii="Verdana" w:hAnsi="Verdana"/>
          <w:sz w:val="20"/>
          <w:szCs w:val="20"/>
          <w:lang w:val="es-ES_tradnl"/>
        </w:rPr>
        <w:t xml:space="preserve"> </w:t>
      </w:r>
      <w:r w:rsidR="00FF39AC">
        <w:rPr>
          <w:rFonts w:ascii="Verdana" w:hAnsi="Verdana"/>
          <w:sz w:val="20"/>
          <w:szCs w:val="20"/>
          <w:lang w:val="es-ES_tradnl"/>
        </w:rPr>
        <w:t>“</w:t>
      </w:r>
      <w:r w:rsidR="000A1B3A">
        <w:rPr>
          <w:rFonts w:ascii="Verdana" w:hAnsi="Verdana"/>
          <w:sz w:val="20"/>
          <w:szCs w:val="20"/>
          <w:lang w:val="es-ES_tradnl"/>
        </w:rPr>
        <w:t>expres</w:t>
      </w:r>
      <w:r w:rsidR="00FF39AC">
        <w:rPr>
          <w:rFonts w:ascii="Verdana" w:hAnsi="Verdana"/>
          <w:sz w:val="20"/>
          <w:szCs w:val="20"/>
          <w:lang w:val="es-ES_tradnl"/>
        </w:rPr>
        <w:t>ar su</w:t>
      </w:r>
      <w:r w:rsidR="000A1B3A">
        <w:rPr>
          <w:rFonts w:ascii="Verdana" w:hAnsi="Verdana"/>
          <w:sz w:val="20"/>
          <w:szCs w:val="20"/>
          <w:lang w:val="es-ES_tradnl"/>
        </w:rPr>
        <w:t xml:space="preserve"> voluntad</w:t>
      </w:r>
      <w:r w:rsidR="00FF39AC">
        <w:rPr>
          <w:rFonts w:ascii="Verdana" w:hAnsi="Verdana"/>
          <w:sz w:val="20"/>
          <w:szCs w:val="20"/>
          <w:lang w:val="es-ES_tradnl"/>
        </w:rPr>
        <w:t>” se garantiza precisamente con que ésta</w:t>
      </w:r>
      <w:r w:rsidR="000A1B3A">
        <w:rPr>
          <w:rFonts w:ascii="Verdana" w:hAnsi="Verdana"/>
          <w:sz w:val="20"/>
          <w:szCs w:val="20"/>
          <w:lang w:val="es-ES_tradnl"/>
        </w:rPr>
        <w:t xml:space="preserve"> no </w:t>
      </w:r>
      <w:r w:rsidR="00FF39AC">
        <w:rPr>
          <w:rFonts w:ascii="Verdana" w:hAnsi="Verdana"/>
          <w:sz w:val="20"/>
          <w:szCs w:val="20"/>
          <w:lang w:val="es-ES_tradnl"/>
        </w:rPr>
        <w:t xml:space="preserve">sea conocida más que por </w:t>
      </w:r>
      <w:r w:rsidR="006D2BF3">
        <w:rPr>
          <w:rFonts w:ascii="Verdana" w:hAnsi="Verdana"/>
          <w:sz w:val="20"/>
          <w:szCs w:val="20"/>
          <w:lang w:val="es-ES_tradnl"/>
        </w:rPr>
        <w:t xml:space="preserve">la persona que la emite, y </w:t>
      </w:r>
      <w:r w:rsidR="00A012A3">
        <w:rPr>
          <w:rFonts w:ascii="Verdana" w:hAnsi="Verdana"/>
          <w:sz w:val="20"/>
          <w:szCs w:val="20"/>
          <w:lang w:val="es-ES_tradnl"/>
        </w:rPr>
        <w:t xml:space="preserve">por lo tanto </w:t>
      </w:r>
      <w:r w:rsidR="006D2BF3">
        <w:rPr>
          <w:rFonts w:ascii="Verdana" w:hAnsi="Verdana"/>
          <w:sz w:val="20"/>
          <w:szCs w:val="20"/>
          <w:lang w:val="es-ES_tradnl"/>
        </w:rPr>
        <w:t xml:space="preserve">su protección tiene un sentido distinto que aquella </w:t>
      </w:r>
      <w:r w:rsidR="00A012A3">
        <w:rPr>
          <w:rFonts w:ascii="Verdana" w:hAnsi="Verdana"/>
          <w:sz w:val="20"/>
          <w:szCs w:val="20"/>
          <w:lang w:val="es-ES_tradnl"/>
        </w:rPr>
        <w:t>dirigida a participar en la opinión pública, y que está protegida por el derecho a la libertad de expresión.</w:t>
      </w:r>
    </w:p>
    <w:p w14:paraId="772B80C5" w14:textId="77777777" w:rsidR="00684357" w:rsidRPr="00684357" w:rsidRDefault="00684357" w:rsidP="00684357">
      <w:pPr>
        <w:pStyle w:val="ListParagraph"/>
        <w:rPr>
          <w:rFonts w:ascii="Verdana" w:hAnsi="Verdana"/>
          <w:sz w:val="20"/>
          <w:szCs w:val="20"/>
          <w:lang w:val="es-ES_tradnl"/>
        </w:rPr>
      </w:pPr>
    </w:p>
    <w:p w14:paraId="557796ED" w14:textId="69C79DE8" w:rsidR="00E84C44" w:rsidRPr="00A7642F" w:rsidRDefault="002C2766" w:rsidP="00E84C44">
      <w:pPr>
        <w:pStyle w:val="ListParagraph"/>
        <w:numPr>
          <w:ilvl w:val="0"/>
          <w:numId w:val="10"/>
        </w:numPr>
        <w:ind w:left="0" w:firstLine="0"/>
        <w:jc w:val="both"/>
        <w:rPr>
          <w:rFonts w:ascii="Verdana" w:hAnsi="Verdana" w:cs="Tahoma"/>
          <w:sz w:val="20"/>
          <w:szCs w:val="20"/>
          <w:lang w:val="es-ES_tradnl"/>
        </w:rPr>
      </w:pPr>
      <w:r w:rsidRPr="00A7642F">
        <w:rPr>
          <w:rFonts w:ascii="Verdana" w:hAnsi="Verdana"/>
          <w:sz w:val="20"/>
          <w:szCs w:val="20"/>
          <w:lang w:val="es-ES_tradnl"/>
        </w:rPr>
        <w:t xml:space="preserve">Si bien doctrinalmente se ha establecido que el derecho a </w:t>
      </w:r>
      <w:r w:rsidR="009B3E0E" w:rsidRPr="00A7642F">
        <w:rPr>
          <w:rFonts w:ascii="Verdana" w:hAnsi="Verdana"/>
          <w:sz w:val="20"/>
          <w:szCs w:val="20"/>
          <w:lang w:val="es-ES_tradnl"/>
        </w:rPr>
        <w:t xml:space="preserve">la </w:t>
      </w:r>
      <w:r w:rsidRPr="00A7642F">
        <w:rPr>
          <w:rFonts w:ascii="Verdana" w:hAnsi="Verdana"/>
          <w:sz w:val="20"/>
          <w:szCs w:val="20"/>
          <w:lang w:val="es-ES_tradnl"/>
        </w:rPr>
        <w:t>libertad de expresión no implica necesariamente la difusión de la opinión expresada, en contextos de referendos revocatorios que implican</w:t>
      </w:r>
      <w:r w:rsidR="006A388C" w:rsidRPr="00A7642F">
        <w:rPr>
          <w:rFonts w:ascii="Verdana" w:hAnsi="Verdana"/>
          <w:sz w:val="20"/>
          <w:szCs w:val="20"/>
          <w:lang w:val="es-ES_tradnl"/>
        </w:rPr>
        <w:t>,</w:t>
      </w:r>
      <w:r w:rsidRPr="00A7642F">
        <w:rPr>
          <w:rFonts w:ascii="Verdana" w:hAnsi="Verdana"/>
          <w:sz w:val="20"/>
          <w:szCs w:val="20"/>
          <w:lang w:val="es-ES_tradnl"/>
        </w:rPr>
        <w:t xml:space="preserve"> por una parte</w:t>
      </w:r>
      <w:r w:rsidR="006A388C" w:rsidRPr="00A7642F">
        <w:rPr>
          <w:rFonts w:ascii="Verdana" w:hAnsi="Verdana"/>
          <w:sz w:val="20"/>
          <w:szCs w:val="20"/>
          <w:lang w:val="es-ES_tradnl"/>
        </w:rPr>
        <w:t>,</w:t>
      </w:r>
      <w:r w:rsidRPr="00A7642F">
        <w:rPr>
          <w:rFonts w:ascii="Verdana" w:hAnsi="Verdana"/>
          <w:sz w:val="20"/>
          <w:szCs w:val="20"/>
          <w:lang w:val="es-ES_tradnl"/>
        </w:rPr>
        <w:t xml:space="preserve"> el ejercicio de derechos políticos y</w:t>
      </w:r>
      <w:r w:rsidR="006A388C" w:rsidRPr="00A7642F">
        <w:rPr>
          <w:rFonts w:ascii="Verdana" w:hAnsi="Verdana"/>
          <w:sz w:val="20"/>
          <w:szCs w:val="20"/>
          <w:lang w:val="es-ES_tradnl"/>
        </w:rPr>
        <w:t>,</w:t>
      </w:r>
      <w:r w:rsidRPr="00A7642F">
        <w:rPr>
          <w:rFonts w:ascii="Verdana" w:hAnsi="Verdana"/>
          <w:sz w:val="20"/>
          <w:szCs w:val="20"/>
          <w:lang w:val="es-ES_tradnl"/>
        </w:rPr>
        <w:t xml:space="preserve"> por otra parte</w:t>
      </w:r>
      <w:r w:rsidR="006A388C" w:rsidRPr="00A7642F">
        <w:rPr>
          <w:rFonts w:ascii="Verdana" w:hAnsi="Verdana"/>
          <w:sz w:val="20"/>
          <w:szCs w:val="20"/>
          <w:lang w:val="es-ES_tradnl"/>
        </w:rPr>
        <w:t>,</w:t>
      </w:r>
      <w:r w:rsidRPr="00A7642F">
        <w:rPr>
          <w:rFonts w:ascii="Verdana" w:hAnsi="Verdana"/>
          <w:sz w:val="20"/>
          <w:szCs w:val="20"/>
          <w:lang w:val="es-ES_tradnl"/>
        </w:rPr>
        <w:t xml:space="preserve"> la garantía del debido proceso del funcionario cuya revocatoria</w:t>
      </w:r>
      <w:r w:rsidR="009B3E0E" w:rsidRPr="00A7642F">
        <w:rPr>
          <w:rFonts w:ascii="Verdana" w:hAnsi="Verdana"/>
          <w:sz w:val="20"/>
          <w:szCs w:val="20"/>
          <w:lang w:val="es-ES_tradnl"/>
        </w:rPr>
        <w:t xml:space="preserve"> está en juego</w:t>
      </w:r>
      <w:r w:rsidRPr="00A7642F">
        <w:rPr>
          <w:rFonts w:ascii="Verdana" w:hAnsi="Verdana"/>
          <w:sz w:val="20"/>
          <w:szCs w:val="20"/>
          <w:lang w:val="es-ES_tradnl"/>
        </w:rPr>
        <w:t xml:space="preserve">, </w:t>
      </w:r>
      <w:r w:rsidR="00DC641A" w:rsidRPr="00A7642F">
        <w:rPr>
          <w:rFonts w:ascii="Verdana" w:hAnsi="Verdana"/>
          <w:sz w:val="20"/>
          <w:szCs w:val="20"/>
          <w:lang w:val="es-ES_tradnl"/>
        </w:rPr>
        <w:t xml:space="preserve">si se califica la firma de dicha solicitud de convocatoria como una manifestación de la libertad de expresión, </w:t>
      </w:r>
      <w:r w:rsidR="009B3E0E" w:rsidRPr="00A7642F">
        <w:rPr>
          <w:rFonts w:ascii="Verdana" w:hAnsi="Verdana"/>
          <w:sz w:val="20"/>
          <w:szCs w:val="20"/>
          <w:lang w:val="es-ES_tradnl"/>
        </w:rPr>
        <w:t>se corre el riesgo de entender que las autoridades electorales pueden suministrar información sobre la voluntad de los ciudadanos favorables a convocar el referendo sin ninguna restricción</w:t>
      </w:r>
      <w:r w:rsidR="00E50751" w:rsidRPr="00A7642F">
        <w:rPr>
          <w:rFonts w:ascii="Verdana" w:hAnsi="Verdana"/>
          <w:sz w:val="20"/>
          <w:szCs w:val="20"/>
          <w:lang w:val="es-ES_tradnl"/>
        </w:rPr>
        <w:t>,</w:t>
      </w:r>
      <w:r w:rsidR="009B3E0E" w:rsidRPr="00A7642F">
        <w:rPr>
          <w:rFonts w:ascii="Verdana" w:hAnsi="Verdana"/>
          <w:sz w:val="20"/>
          <w:szCs w:val="20"/>
          <w:lang w:val="es-ES_tradnl"/>
        </w:rPr>
        <w:t xml:space="preserve"> lo que </w:t>
      </w:r>
      <w:r w:rsidR="00543633" w:rsidRPr="00A7642F">
        <w:rPr>
          <w:rFonts w:ascii="Verdana" w:hAnsi="Verdana"/>
          <w:sz w:val="20"/>
          <w:szCs w:val="20"/>
          <w:lang w:val="es-ES_tradnl"/>
        </w:rPr>
        <w:t xml:space="preserve">en contextos de extrema polarización y represión política, como </w:t>
      </w:r>
      <w:r w:rsidR="009B3E0E" w:rsidRPr="00A7642F">
        <w:rPr>
          <w:rFonts w:ascii="Verdana" w:hAnsi="Verdana"/>
          <w:sz w:val="20"/>
          <w:szCs w:val="20"/>
          <w:lang w:val="es-ES_tradnl"/>
        </w:rPr>
        <w:t>ocurre en el presente caso, siempre implica un riesgo cierto de represalias.</w:t>
      </w:r>
    </w:p>
    <w:p w14:paraId="67E34501" w14:textId="77777777" w:rsidR="00CD43BF" w:rsidRPr="00CD43BF" w:rsidRDefault="00CD43BF" w:rsidP="00CD43BF">
      <w:pPr>
        <w:pStyle w:val="ListParagraph"/>
        <w:ind w:left="0"/>
        <w:jc w:val="both"/>
        <w:rPr>
          <w:rFonts w:ascii="Verdana" w:hAnsi="Verdana"/>
          <w:sz w:val="20"/>
          <w:szCs w:val="20"/>
          <w:lang w:val="es-ES_tradnl"/>
        </w:rPr>
      </w:pPr>
    </w:p>
    <w:p w14:paraId="03781373" w14:textId="5D4273D7" w:rsidR="0013664D" w:rsidRPr="00066324" w:rsidRDefault="00A012A3" w:rsidP="00593F26">
      <w:pPr>
        <w:pStyle w:val="ListParagraph"/>
        <w:numPr>
          <w:ilvl w:val="0"/>
          <w:numId w:val="10"/>
        </w:numPr>
        <w:ind w:left="0" w:firstLine="0"/>
        <w:jc w:val="both"/>
        <w:rPr>
          <w:rFonts w:ascii="Verdana" w:hAnsi="Verdana"/>
          <w:sz w:val="20"/>
          <w:szCs w:val="20"/>
          <w:lang w:val="es-ES_tradnl"/>
        </w:rPr>
      </w:pPr>
      <w:r>
        <w:rPr>
          <w:rFonts w:ascii="Verdana" w:hAnsi="Verdana"/>
          <w:sz w:val="20"/>
          <w:szCs w:val="20"/>
          <w:lang w:val="es-ES_tradnl"/>
        </w:rPr>
        <w:t xml:space="preserve">Confundir el sentido de la protección que ofrece el derecho a la libertad de expresión y el derecho </w:t>
      </w:r>
      <w:r w:rsidR="00500B80">
        <w:rPr>
          <w:rFonts w:ascii="Verdana" w:hAnsi="Verdana"/>
          <w:sz w:val="20"/>
          <w:szCs w:val="20"/>
          <w:lang w:val="es-ES_tradnl"/>
        </w:rPr>
        <w:t>a la participación política</w:t>
      </w:r>
      <w:r w:rsidR="00853D00">
        <w:rPr>
          <w:rFonts w:ascii="Verdana" w:hAnsi="Verdana"/>
          <w:sz w:val="20"/>
          <w:szCs w:val="20"/>
          <w:lang w:val="es-ES_tradnl"/>
        </w:rPr>
        <w:t xml:space="preserve"> es,</w:t>
      </w:r>
      <w:r>
        <w:rPr>
          <w:rFonts w:ascii="Verdana" w:hAnsi="Verdana"/>
          <w:sz w:val="20"/>
          <w:szCs w:val="20"/>
          <w:lang w:val="es-ES_tradnl"/>
        </w:rPr>
        <w:t xml:space="preserve"> a mi parecer,</w:t>
      </w:r>
      <w:r w:rsidR="00853D00">
        <w:rPr>
          <w:rFonts w:ascii="Verdana" w:hAnsi="Verdana"/>
          <w:sz w:val="20"/>
          <w:szCs w:val="20"/>
          <w:lang w:val="es-ES_tradnl"/>
        </w:rPr>
        <w:t xml:space="preserve"> conceptualmente equivocado y seriamente cuestionable. Puede </w:t>
      </w:r>
      <w:r w:rsidR="00E72DC3">
        <w:rPr>
          <w:rFonts w:ascii="Verdana" w:hAnsi="Verdana"/>
          <w:sz w:val="20"/>
          <w:szCs w:val="20"/>
          <w:lang w:val="es-ES_tradnl"/>
        </w:rPr>
        <w:t>llevar a la conclusión</w:t>
      </w:r>
      <w:r w:rsidR="00853D00">
        <w:rPr>
          <w:rFonts w:ascii="Verdana" w:hAnsi="Verdana"/>
          <w:sz w:val="20"/>
          <w:szCs w:val="20"/>
          <w:lang w:val="es-ES_tradnl"/>
        </w:rPr>
        <w:t xml:space="preserve"> </w:t>
      </w:r>
      <w:r w:rsidR="00E72DC3">
        <w:rPr>
          <w:rFonts w:ascii="Verdana" w:hAnsi="Verdana"/>
          <w:sz w:val="20"/>
          <w:szCs w:val="20"/>
          <w:lang w:val="es-ES_tradnl"/>
        </w:rPr>
        <w:t>de</w:t>
      </w:r>
      <w:r w:rsidR="00853D00">
        <w:rPr>
          <w:rFonts w:ascii="Verdana" w:hAnsi="Verdana"/>
          <w:sz w:val="20"/>
          <w:szCs w:val="20"/>
          <w:lang w:val="es-ES_tradnl"/>
        </w:rPr>
        <w:t xml:space="preserve"> que no existe una violación a un derecho político cuando se haga pública una manifestación política que, como la del presente caso, para que fuera libre</w:t>
      </w:r>
      <w:r w:rsidR="00E07FDF">
        <w:rPr>
          <w:rFonts w:ascii="Verdana" w:hAnsi="Verdana"/>
          <w:sz w:val="20"/>
          <w:szCs w:val="20"/>
          <w:lang w:val="es-ES_tradnl"/>
        </w:rPr>
        <w:t>,</w:t>
      </w:r>
      <w:r w:rsidR="00853D00">
        <w:rPr>
          <w:rFonts w:ascii="Verdana" w:hAnsi="Verdana"/>
          <w:sz w:val="20"/>
          <w:szCs w:val="20"/>
          <w:lang w:val="es-ES_tradnl"/>
        </w:rPr>
        <w:t xml:space="preserve"> tenía que ser –y mantenerse–</w:t>
      </w:r>
      <w:r w:rsidR="00DD1AF7">
        <w:rPr>
          <w:rFonts w:ascii="Verdana" w:hAnsi="Verdana"/>
          <w:sz w:val="20"/>
          <w:szCs w:val="20"/>
          <w:lang w:val="es-ES_tradnl"/>
        </w:rPr>
        <w:t xml:space="preserve"> en secreto</w:t>
      </w:r>
      <w:r w:rsidR="00853D00">
        <w:rPr>
          <w:rFonts w:ascii="Verdana" w:hAnsi="Verdana"/>
          <w:sz w:val="20"/>
          <w:szCs w:val="20"/>
          <w:lang w:val="es-ES_tradnl"/>
        </w:rPr>
        <w:t>. Lo anterior cobra aún más relevancia si se toma en consideración el contexto de falta de garantías</w:t>
      </w:r>
      <w:r w:rsidR="00E07FDF">
        <w:rPr>
          <w:rFonts w:ascii="Verdana" w:hAnsi="Verdana"/>
          <w:sz w:val="20"/>
          <w:szCs w:val="20"/>
          <w:lang w:val="es-ES_tradnl"/>
        </w:rPr>
        <w:t xml:space="preserve"> para las víctimas</w:t>
      </w:r>
      <w:r w:rsidR="00853D00">
        <w:rPr>
          <w:rFonts w:ascii="Verdana" w:hAnsi="Verdana"/>
          <w:sz w:val="20"/>
          <w:szCs w:val="20"/>
          <w:lang w:val="es-ES_tradnl"/>
        </w:rPr>
        <w:t xml:space="preserve"> ante posibles y eventuales actos de represalias ante quienes firmaran </w:t>
      </w:r>
      <w:r w:rsidR="00DD1AF7">
        <w:rPr>
          <w:rFonts w:ascii="Verdana" w:hAnsi="Verdana"/>
          <w:sz w:val="20"/>
          <w:szCs w:val="20"/>
          <w:lang w:val="es-ES_tradnl"/>
        </w:rPr>
        <w:t>en el mecanismo de referéndum</w:t>
      </w:r>
      <w:r w:rsidR="00853D00">
        <w:rPr>
          <w:rFonts w:ascii="Verdana" w:hAnsi="Verdana"/>
          <w:sz w:val="20"/>
          <w:szCs w:val="20"/>
          <w:lang w:val="es-ES_tradnl"/>
        </w:rPr>
        <w:t xml:space="preserve">. </w:t>
      </w:r>
      <w:r w:rsidR="00DD1AF7">
        <w:rPr>
          <w:rFonts w:ascii="Verdana" w:hAnsi="Verdana"/>
          <w:sz w:val="20"/>
          <w:szCs w:val="20"/>
          <w:lang w:val="es-ES_tradnl"/>
        </w:rPr>
        <w:t>En mi entendimiento</w:t>
      </w:r>
      <w:r w:rsidR="0013664D" w:rsidRPr="00066324">
        <w:rPr>
          <w:rFonts w:ascii="Verdana" w:hAnsi="Verdana"/>
          <w:sz w:val="20"/>
          <w:szCs w:val="20"/>
          <w:lang w:val="es-ES_tradnl"/>
        </w:rPr>
        <w:t xml:space="preserve">, </w:t>
      </w:r>
      <w:r w:rsidR="00B630E6" w:rsidRPr="00066324">
        <w:rPr>
          <w:rFonts w:ascii="Verdana" w:hAnsi="Verdana"/>
          <w:sz w:val="20"/>
          <w:szCs w:val="20"/>
          <w:lang w:val="es-ES_tradnl"/>
        </w:rPr>
        <w:t xml:space="preserve">bastaba que la Corte analizara </w:t>
      </w:r>
      <w:r w:rsidR="0013664D" w:rsidRPr="00066324">
        <w:rPr>
          <w:rFonts w:ascii="Verdana" w:hAnsi="Verdana"/>
          <w:sz w:val="20"/>
          <w:szCs w:val="20"/>
          <w:lang w:val="es-ES_tradnl"/>
        </w:rPr>
        <w:t xml:space="preserve">los hechos </w:t>
      </w:r>
      <w:r w:rsidR="00B630E6" w:rsidRPr="00066324">
        <w:rPr>
          <w:rFonts w:ascii="Verdana" w:hAnsi="Verdana"/>
          <w:sz w:val="20"/>
          <w:szCs w:val="20"/>
          <w:lang w:val="es-ES_tradnl"/>
        </w:rPr>
        <w:t>del</w:t>
      </w:r>
      <w:r w:rsidR="00DD1AF7">
        <w:rPr>
          <w:rFonts w:ascii="Verdana" w:hAnsi="Verdana"/>
          <w:sz w:val="20"/>
          <w:szCs w:val="20"/>
          <w:lang w:val="es-ES_tradnl"/>
        </w:rPr>
        <w:t xml:space="preserve"> presente</w:t>
      </w:r>
      <w:r w:rsidR="00B630E6" w:rsidRPr="00066324">
        <w:rPr>
          <w:rFonts w:ascii="Verdana" w:hAnsi="Verdana"/>
          <w:sz w:val="20"/>
          <w:szCs w:val="20"/>
          <w:lang w:val="es-ES_tradnl"/>
        </w:rPr>
        <w:t xml:space="preserve"> caso únicamente </w:t>
      </w:r>
      <w:r w:rsidR="0013664D" w:rsidRPr="00066324">
        <w:rPr>
          <w:rFonts w:ascii="Verdana" w:hAnsi="Verdana"/>
          <w:sz w:val="20"/>
          <w:szCs w:val="20"/>
          <w:lang w:val="es-ES_tradnl"/>
        </w:rPr>
        <w:t xml:space="preserve">bajo el artículo 23 de la Convención, por lo cual </w:t>
      </w:r>
      <w:r w:rsidR="00593F26" w:rsidRPr="00066324">
        <w:rPr>
          <w:rFonts w:ascii="Verdana" w:hAnsi="Verdana"/>
          <w:sz w:val="20"/>
          <w:szCs w:val="20"/>
          <w:lang w:val="es-ES_tradnl"/>
        </w:rPr>
        <w:t xml:space="preserve">correspondía que el Tribunal no se pronunciara </w:t>
      </w:r>
      <w:r w:rsidR="0013664D" w:rsidRPr="00066324">
        <w:rPr>
          <w:rFonts w:ascii="Verdana" w:hAnsi="Verdana"/>
          <w:sz w:val="20"/>
          <w:szCs w:val="20"/>
          <w:lang w:val="es-ES_tradnl"/>
        </w:rPr>
        <w:t>sobre la alegada violación del artículo 13 de la Convención.</w:t>
      </w:r>
    </w:p>
    <w:p w14:paraId="7C3265D2" w14:textId="77777777" w:rsidR="00D02793" w:rsidRPr="00066324" w:rsidRDefault="00D02793" w:rsidP="00DD1AF7">
      <w:pPr>
        <w:jc w:val="both"/>
        <w:rPr>
          <w:rFonts w:ascii="Verdana" w:hAnsi="Verdana"/>
        </w:rPr>
      </w:pPr>
    </w:p>
    <w:p w14:paraId="6B17198B" w14:textId="51AA26A8" w:rsidR="009D6A1D" w:rsidRPr="00066324" w:rsidRDefault="000230C3" w:rsidP="009D6A1D">
      <w:pPr>
        <w:jc w:val="both"/>
        <w:rPr>
          <w:rFonts w:ascii="Verdana" w:hAnsi="Verdana"/>
          <w:b/>
          <w:i/>
        </w:rPr>
      </w:pPr>
      <w:r w:rsidRPr="00066324">
        <w:rPr>
          <w:rFonts w:ascii="Verdana" w:hAnsi="Verdana"/>
          <w:b/>
          <w:i/>
        </w:rPr>
        <w:t xml:space="preserve">II. </w:t>
      </w:r>
      <w:r w:rsidRPr="00066324">
        <w:rPr>
          <w:rFonts w:ascii="Verdana" w:hAnsi="Verdana"/>
          <w:b/>
          <w:i/>
        </w:rPr>
        <w:tab/>
        <w:t>Respecto de la violación de</w:t>
      </w:r>
      <w:r w:rsidR="009D6A1D" w:rsidRPr="00066324">
        <w:rPr>
          <w:rFonts w:ascii="Verdana" w:hAnsi="Verdana"/>
          <w:b/>
          <w:i/>
        </w:rPr>
        <w:t xml:space="preserve">l derecho al trabajo </w:t>
      </w:r>
      <w:r w:rsidRPr="00066324">
        <w:rPr>
          <w:rFonts w:ascii="Verdana" w:hAnsi="Verdana"/>
          <w:b/>
          <w:i/>
        </w:rPr>
        <w:t>en relación con los derechos a la participación política, a la libertad de expresión y de acceso a la justicia, así como con el principio de no discriminación</w:t>
      </w:r>
    </w:p>
    <w:p w14:paraId="703BE679" w14:textId="77777777" w:rsidR="00381481" w:rsidRPr="00066324" w:rsidRDefault="00381481" w:rsidP="00381481">
      <w:pPr>
        <w:jc w:val="both"/>
        <w:rPr>
          <w:rFonts w:ascii="Verdana" w:hAnsi="Verdana"/>
        </w:rPr>
      </w:pPr>
    </w:p>
    <w:p w14:paraId="7A582424" w14:textId="164616A5" w:rsidR="00091C20" w:rsidRPr="00066324" w:rsidRDefault="00D931BA" w:rsidP="00091C20">
      <w:pPr>
        <w:pStyle w:val="ListParagraph"/>
        <w:numPr>
          <w:ilvl w:val="0"/>
          <w:numId w:val="10"/>
        </w:numPr>
        <w:ind w:left="0" w:firstLine="0"/>
        <w:jc w:val="both"/>
        <w:rPr>
          <w:rFonts w:ascii="Verdana" w:hAnsi="Verdana"/>
          <w:sz w:val="20"/>
          <w:szCs w:val="20"/>
          <w:lang w:val="es-ES_tradnl"/>
        </w:rPr>
      </w:pPr>
      <w:r>
        <w:rPr>
          <w:rFonts w:ascii="Verdana" w:hAnsi="Verdana"/>
          <w:sz w:val="20"/>
          <w:szCs w:val="20"/>
          <w:lang w:val="es-ES_tradnl"/>
        </w:rPr>
        <w:t>La S</w:t>
      </w:r>
      <w:r w:rsidR="000F514F" w:rsidRPr="00066324">
        <w:rPr>
          <w:rFonts w:ascii="Verdana" w:hAnsi="Verdana"/>
          <w:sz w:val="20"/>
          <w:szCs w:val="20"/>
          <w:lang w:val="es-ES_tradnl"/>
        </w:rPr>
        <w:t>entencia también señaló</w:t>
      </w:r>
      <w:r w:rsidR="00091C20" w:rsidRPr="00066324">
        <w:rPr>
          <w:rFonts w:ascii="Verdana" w:hAnsi="Verdana"/>
          <w:sz w:val="20"/>
          <w:szCs w:val="20"/>
          <w:lang w:val="es-ES_tradnl"/>
        </w:rPr>
        <w:t xml:space="preserve"> que </w:t>
      </w:r>
      <w:r w:rsidR="00091C20" w:rsidRPr="00066324">
        <w:rPr>
          <w:rFonts w:ascii="Verdana" w:hAnsi="Verdana"/>
          <w:sz w:val="20"/>
          <w:lang w:val="es-ES_tradnl"/>
        </w:rPr>
        <w:t>la terminación</w:t>
      </w:r>
      <w:r w:rsidR="00E07FDF">
        <w:rPr>
          <w:rFonts w:ascii="Verdana" w:hAnsi="Verdana"/>
          <w:sz w:val="20"/>
          <w:lang w:val="es-ES_tradnl"/>
        </w:rPr>
        <w:t xml:space="preserve"> de la relación laboral de las víctimas</w:t>
      </w:r>
      <w:r w:rsidR="00091C20" w:rsidRPr="00066324">
        <w:rPr>
          <w:rFonts w:ascii="Verdana" w:hAnsi="Verdana"/>
          <w:sz w:val="20"/>
          <w:lang w:val="es-ES_tradnl"/>
        </w:rPr>
        <w:t xml:space="preserve"> </w:t>
      </w:r>
      <w:r w:rsidR="00E07FDF">
        <w:rPr>
          <w:rFonts w:ascii="Verdana" w:hAnsi="Verdana"/>
          <w:sz w:val="20"/>
          <w:lang w:val="es-ES_tradnl"/>
        </w:rPr>
        <w:t xml:space="preserve">fue arbitraria, </w:t>
      </w:r>
      <w:r w:rsidR="00E07FDF">
        <w:rPr>
          <w:rFonts w:ascii="Verdana" w:hAnsi="Verdana"/>
          <w:sz w:val="20"/>
          <w:szCs w:val="20"/>
          <w:lang w:val="es-ES_tradnl"/>
        </w:rPr>
        <w:t>pues</w:t>
      </w:r>
      <w:r w:rsidR="00091C20" w:rsidRPr="00066324">
        <w:rPr>
          <w:rFonts w:ascii="Verdana" w:hAnsi="Verdana"/>
          <w:sz w:val="20"/>
          <w:szCs w:val="20"/>
          <w:lang w:val="es-ES_tradnl"/>
        </w:rPr>
        <w:t xml:space="preserve"> el Estado no les garantizó los derechos de acceso a la justicia y a la tutela judicial efectiva ante su despido (</w:t>
      </w:r>
      <w:r w:rsidR="00091C20" w:rsidRPr="00066324">
        <w:rPr>
          <w:rFonts w:ascii="Verdana" w:hAnsi="Verdana"/>
          <w:i/>
          <w:sz w:val="20"/>
          <w:szCs w:val="20"/>
          <w:lang w:val="es-ES_tradnl"/>
        </w:rPr>
        <w:t xml:space="preserve">supra </w:t>
      </w:r>
      <w:r w:rsidR="00091C20" w:rsidRPr="00066324">
        <w:rPr>
          <w:rFonts w:ascii="Verdana" w:hAnsi="Verdana"/>
          <w:sz w:val="20"/>
          <w:szCs w:val="20"/>
          <w:lang w:val="es-ES_tradnl"/>
        </w:rPr>
        <w:t xml:space="preserve">párr. 221). En virtud de ello, la mayoría votó </w:t>
      </w:r>
      <w:r w:rsidR="000F514F" w:rsidRPr="00066324">
        <w:rPr>
          <w:rFonts w:ascii="Verdana" w:hAnsi="Verdana"/>
          <w:sz w:val="20"/>
          <w:szCs w:val="20"/>
          <w:lang w:val="es-ES_tradnl"/>
        </w:rPr>
        <w:t xml:space="preserve">que el Estado </w:t>
      </w:r>
      <w:r w:rsidR="000230C3" w:rsidRPr="00066324">
        <w:rPr>
          <w:rFonts w:ascii="Verdana" w:hAnsi="Verdana"/>
          <w:sz w:val="20"/>
          <w:szCs w:val="20"/>
          <w:lang w:val="es-ES_tradnl"/>
        </w:rPr>
        <w:t xml:space="preserve">es responsable </w:t>
      </w:r>
      <w:r w:rsidR="00091C20" w:rsidRPr="00066324">
        <w:rPr>
          <w:rFonts w:ascii="Verdana" w:hAnsi="Verdana"/>
          <w:sz w:val="20"/>
          <w:szCs w:val="20"/>
          <w:lang w:val="es-ES_tradnl"/>
        </w:rPr>
        <w:t xml:space="preserve">por la violación del derecho al trabajo, reconocido en el artículo 26 de la Convención, en relación con los derechos a </w:t>
      </w:r>
      <w:r w:rsidR="00091C20" w:rsidRPr="00066324">
        <w:rPr>
          <w:rFonts w:ascii="Verdana" w:hAnsi="Verdana"/>
          <w:sz w:val="20"/>
          <w:szCs w:val="20"/>
          <w:lang w:val="es-ES_tradnl"/>
        </w:rPr>
        <w:lastRenderedPageBreak/>
        <w:t>la participación política, a la libertad de expresión y de acceso a la justicia, así como con el principio de no discriminación, reconocidos en los artículos 23.1, 13.1, 8.1, 25.1 y 1.1 del mismo instrumento (</w:t>
      </w:r>
      <w:r w:rsidR="00091C20" w:rsidRPr="00066324">
        <w:rPr>
          <w:rFonts w:ascii="Verdana" w:hAnsi="Verdana"/>
          <w:i/>
          <w:sz w:val="20"/>
          <w:szCs w:val="20"/>
          <w:lang w:val="es-ES_tradnl"/>
        </w:rPr>
        <w:t xml:space="preserve">supra </w:t>
      </w:r>
      <w:r w:rsidR="00091C20" w:rsidRPr="00066324">
        <w:rPr>
          <w:rFonts w:ascii="Verdana" w:hAnsi="Verdana"/>
          <w:sz w:val="20"/>
          <w:szCs w:val="20"/>
          <w:lang w:val="es-ES_tradnl"/>
        </w:rPr>
        <w:t xml:space="preserve">párr. 222). </w:t>
      </w:r>
    </w:p>
    <w:p w14:paraId="51124D1D" w14:textId="77777777" w:rsidR="000230C3" w:rsidRPr="00066324" w:rsidRDefault="000230C3" w:rsidP="000230C3">
      <w:pPr>
        <w:pStyle w:val="ListParagraph"/>
        <w:ind w:left="0"/>
        <w:jc w:val="both"/>
        <w:rPr>
          <w:rFonts w:ascii="Verdana" w:hAnsi="Verdana"/>
          <w:sz w:val="20"/>
          <w:szCs w:val="20"/>
          <w:lang w:val="es-ES_tradnl"/>
        </w:rPr>
      </w:pPr>
    </w:p>
    <w:p w14:paraId="4505AF43" w14:textId="4DF9444F" w:rsidR="00381481" w:rsidRDefault="000F514F" w:rsidP="009D7294">
      <w:pPr>
        <w:pStyle w:val="ListParagraph"/>
        <w:numPr>
          <w:ilvl w:val="0"/>
          <w:numId w:val="10"/>
        </w:numPr>
        <w:ind w:left="0" w:firstLine="0"/>
        <w:jc w:val="both"/>
        <w:rPr>
          <w:rFonts w:ascii="Verdana" w:hAnsi="Verdana"/>
          <w:sz w:val="20"/>
          <w:szCs w:val="20"/>
          <w:lang w:val="es-ES_tradnl"/>
        </w:rPr>
      </w:pPr>
      <w:r w:rsidRPr="00066324">
        <w:rPr>
          <w:rFonts w:ascii="Verdana" w:hAnsi="Verdana"/>
          <w:sz w:val="20"/>
          <w:szCs w:val="20"/>
          <w:lang w:val="es-ES_tradnl"/>
        </w:rPr>
        <w:t xml:space="preserve">Esta conclusión se basó en </w:t>
      </w:r>
      <w:r w:rsidR="00091C20" w:rsidRPr="00066324">
        <w:rPr>
          <w:rFonts w:ascii="Verdana" w:hAnsi="Verdana"/>
          <w:sz w:val="20"/>
          <w:szCs w:val="20"/>
          <w:lang w:val="es-ES_tradnl"/>
        </w:rPr>
        <w:t>los</w:t>
      </w:r>
      <w:r w:rsidRPr="00066324">
        <w:rPr>
          <w:rFonts w:ascii="Verdana" w:hAnsi="Verdana"/>
          <w:sz w:val="20"/>
          <w:szCs w:val="20"/>
          <w:lang w:val="es-ES_tradnl"/>
        </w:rPr>
        <w:t xml:space="preserve"> precedente</w:t>
      </w:r>
      <w:r w:rsidR="00091C20" w:rsidRPr="00066324">
        <w:rPr>
          <w:rFonts w:ascii="Verdana" w:hAnsi="Verdana"/>
          <w:sz w:val="20"/>
          <w:szCs w:val="20"/>
          <w:lang w:val="es-ES_tradnl"/>
        </w:rPr>
        <w:t>s de los</w:t>
      </w:r>
      <w:r w:rsidRPr="00066324">
        <w:rPr>
          <w:rFonts w:ascii="Verdana" w:hAnsi="Verdana"/>
          <w:sz w:val="20"/>
          <w:szCs w:val="20"/>
          <w:lang w:val="es-ES_tradnl"/>
        </w:rPr>
        <w:t xml:space="preserve"> caso</w:t>
      </w:r>
      <w:r w:rsidR="00091C20" w:rsidRPr="00066324">
        <w:rPr>
          <w:rFonts w:ascii="Verdana" w:hAnsi="Verdana"/>
          <w:sz w:val="20"/>
          <w:szCs w:val="20"/>
          <w:lang w:val="es-ES_tradnl"/>
        </w:rPr>
        <w:t>s</w:t>
      </w:r>
      <w:r w:rsidRPr="00066324">
        <w:rPr>
          <w:rFonts w:ascii="Verdana" w:hAnsi="Verdana"/>
          <w:sz w:val="20"/>
          <w:szCs w:val="20"/>
          <w:lang w:val="es-ES_tradnl"/>
        </w:rPr>
        <w:t xml:space="preserve"> </w:t>
      </w:r>
      <w:r w:rsidRPr="00066324">
        <w:rPr>
          <w:rFonts w:ascii="Verdana" w:hAnsi="Verdana"/>
          <w:i/>
          <w:sz w:val="20"/>
          <w:szCs w:val="20"/>
          <w:lang w:val="es-ES_tradnl"/>
        </w:rPr>
        <w:t xml:space="preserve">Lagos del Campo </w:t>
      </w:r>
      <w:r w:rsidR="00245C36" w:rsidRPr="00066324">
        <w:rPr>
          <w:rFonts w:ascii="Verdana" w:hAnsi="Verdana"/>
          <w:i/>
          <w:sz w:val="20"/>
          <w:szCs w:val="20"/>
          <w:lang w:val="es-ES_tradnl"/>
        </w:rPr>
        <w:t>Vs</w:t>
      </w:r>
      <w:r w:rsidRPr="00066324">
        <w:rPr>
          <w:rFonts w:ascii="Verdana" w:hAnsi="Verdana"/>
          <w:i/>
          <w:sz w:val="20"/>
          <w:szCs w:val="20"/>
          <w:lang w:val="es-ES_tradnl"/>
        </w:rPr>
        <w:t>. Perú</w:t>
      </w:r>
      <w:r w:rsidR="00091C20" w:rsidRPr="00066324">
        <w:rPr>
          <w:rFonts w:ascii="Verdana" w:hAnsi="Verdana"/>
          <w:i/>
          <w:sz w:val="20"/>
          <w:szCs w:val="20"/>
          <w:lang w:val="es-ES_tradnl"/>
        </w:rPr>
        <w:t xml:space="preserve"> </w:t>
      </w:r>
      <w:r w:rsidR="00091C20" w:rsidRPr="00066324">
        <w:rPr>
          <w:rFonts w:ascii="Verdana" w:hAnsi="Verdana"/>
          <w:sz w:val="20"/>
          <w:szCs w:val="20"/>
          <w:lang w:val="es-ES_tradnl"/>
        </w:rPr>
        <w:t xml:space="preserve">y </w:t>
      </w:r>
      <w:r w:rsidR="00091C20" w:rsidRPr="00066324">
        <w:rPr>
          <w:rFonts w:ascii="Verdana" w:hAnsi="Verdana"/>
          <w:bCs/>
          <w:i/>
          <w:sz w:val="20"/>
          <w:szCs w:val="20"/>
          <w:lang w:val="es-ES_tradnl"/>
        </w:rPr>
        <w:t>Trabajadores Cesados de Petroperú y otros Vs. Perú</w:t>
      </w:r>
      <w:r w:rsidRPr="00066324">
        <w:rPr>
          <w:rFonts w:ascii="Verdana" w:hAnsi="Verdana"/>
          <w:sz w:val="20"/>
          <w:szCs w:val="20"/>
          <w:lang w:val="es-ES_tradnl"/>
        </w:rPr>
        <w:t xml:space="preserve">, </w:t>
      </w:r>
      <w:r w:rsidR="00091C20" w:rsidRPr="00066324">
        <w:rPr>
          <w:rFonts w:ascii="Verdana" w:hAnsi="Verdana"/>
          <w:sz w:val="20"/>
          <w:szCs w:val="20"/>
          <w:lang w:val="es-ES_tradnl"/>
        </w:rPr>
        <w:t>en los que</w:t>
      </w:r>
      <w:r w:rsidRPr="00066324">
        <w:rPr>
          <w:rFonts w:ascii="Verdana" w:hAnsi="Verdana"/>
          <w:sz w:val="20"/>
          <w:szCs w:val="20"/>
          <w:lang w:val="es-ES_tradnl"/>
        </w:rPr>
        <w:t xml:space="preserve"> la Corte reafirmó su “competencia para conocer y resolver controversias relativas al artículo 26 de la Convención</w:t>
      </w:r>
      <w:r w:rsidR="00024D7D" w:rsidRPr="00066324">
        <w:rPr>
          <w:rFonts w:ascii="Verdana" w:hAnsi="Verdana"/>
          <w:sz w:val="20"/>
          <w:szCs w:val="20"/>
          <w:lang w:val="es-ES_tradnl"/>
        </w:rPr>
        <w:t xml:space="preserve"> Americana</w:t>
      </w:r>
      <w:r w:rsidRPr="00066324">
        <w:rPr>
          <w:rFonts w:ascii="Verdana" w:hAnsi="Verdana"/>
          <w:sz w:val="20"/>
          <w:szCs w:val="20"/>
          <w:lang w:val="es-ES_tradnl"/>
        </w:rPr>
        <w:t xml:space="preserve">, como </w:t>
      </w:r>
      <w:r w:rsidR="00024D7D" w:rsidRPr="00066324">
        <w:rPr>
          <w:rFonts w:ascii="Verdana" w:hAnsi="Verdana"/>
          <w:sz w:val="20"/>
          <w:szCs w:val="20"/>
          <w:lang w:val="es-ES_tradnl"/>
        </w:rPr>
        <w:t>parte integrante de los derechos enumerados en la misma, respecto de los cuales el artículo 1.1 confiere obligaciones generales de respeto y garantía</w:t>
      </w:r>
      <w:r w:rsidR="00A31110" w:rsidRPr="00066324">
        <w:rPr>
          <w:rFonts w:ascii="Verdana" w:hAnsi="Verdana"/>
          <w:sz w:val="20"/>
          <w:szCs w:val="20"/>
          <w:lang w:val="es-ES_tradnl"/>
        </w:rPr>
        <w:t xml:space="preserve"> a los Estados</w:t>
      </w:r>
      <w:r w:rsidR="00024D7D" w:rsidRPr="00066324">
        <w:rPr>
          <w:rFonts w:ascii="Verdana" w:hAnsi="Verdana"/>
          <w:sz w:val="20"/>
          <w:szCs w:val="20"/>
          <w:lang w:val="es-ES_tradnl"/>
        </w:rPr>
        <w:t>”</w:t>
      </w:r>
      <w:r w:rsidR="00024D7D" w:rsidRPr="00066324">
        <w:rPr>
          <w:rStyle w:val="FootnoteReference"/>
          <w:rFonts w:ascii="Verdana" w:hAnsi="Verdana"/>
          <w:sz w:val="20"/>
          <w:szCs w:val="20"/>
          <w:lang w:val="es-ES_tradnl"/>
        </w:rPr>
        <w:footnoteReference w:id="10"/>
      </w:r>
      <w:r w:rsidR="00024D7D" w:rsidRPr="00066324">
        <w:rPr>
          <w:rFonts w:ascii="Verdana" w:hAnsi="Verdana"/>
          <w:sz w:val="20"/>
          <w:szCs w:val="20"/>
          <w:lang w:val="es-ES_tradnl"/>
        </w:rPr>
        <w:t xml:space="preserve">. En efecto, en </w:t>
      </w:r>
      <w:r w:rsidR="002F7BB0" w:rsidRPr="00066324">
        <w:rPr>
          <w:rFonts w:ascii="Verdana" w:hAnsi="Verdana"/>
          <w:sz w:val="20"/>
          <w:szCs w:val="20"/>
          <w:lang w:val="es-ES_tradnl"/>
        </w:rPr>
        <w:t xml:space="preserve">esos </w:t>
      </w:r>
      <w:r w:rsidR="00951821" w:rsidRPr="00066324">
        <w:rPr>
          <w:rFonts w:ascii="Verdana" w:hAnsi="Verdana"/>
          <w:sz w:val="20"/>
          <w:szCs w:val="20"/>
          <w:lang w:val="es-ES_tradnl"/>
        </w:rPr>
        <w:t>caso</w:t>
      </w:r>
      <w:r w:rsidR="002F7BB0" w:rsidRPr="00066324">
        <w:rPr>
          <w:rFonts w:ascii="Verdana" w:hAnsi="Verdana"/>
          <w:sz w:val="20"/>
          <w:szCs w:val="20"/>
          <w:lang w:val="es-ES_tradnl"/>
        </w:rPr>
        <w:t>s</w:t>
      </w:r>
      <w:r w:rsidR="005D2FA4">
        <w:rPr>
          <w:rFonts w:ascii="Verdana" w:hAnsi="Verdana"/>
          <w:sz w:val="20"/>
          <w:szCs w:val="20"/>
          <w:lang w:val="es-ES_tradnl"/>
        </w:rPr>
        <w:t>,</w:t>
      </w:r>
      <w:r w:rsidR="00951821" w:rsidRPr="00066324">
        <w:rPr>
          <w:rFonts w:ascii="Verdana" w:hAnsi="Verdana"/>
          <w:sz w:val="20"/>
          <w:szCs w:val="20"/>
          <w:lang w:val="es-ES_tradnl"/>
        </w:rPr>
        <w:t xml:space="preserve"> </w:t>
      </w:r>
      <w:r w:rsidR="00024D7D" w:rsidRPr="00066324">
        <w:rPr>
          <w:rFonts w:ascii="Verdana" w:hAnsi="Verdana"/>
          <w:sz w:val="20"/>
          <w:szCs w:val="20"/>
          <w:lang w:val="es-ES_tradnl"/>
        </w:rPr>
        <w:t>la Corte concluyó que los derechos laborales específicos</w:t>
      </w:r>
      <w:r w:rsidR="00B22178">
        <w:rPr>
          <w:rFonts w:ascii="Verdana" w:hAnsi="Verdana"/>
          <w:sz w:val="20"/>
          <w:szCs w:val="20"/>
          <w:lang w:val="es-ES_tradnl"/>
        </w:rPr>
        <w:t>,</w:t>
      </w:r>
      <w:r w:rsidR="00024D7D" w:rsidRPr="00066324">
        <w:rPr>
          <w:rFonts w:ascii="Verdana" w:hAnsi="Verdana"/>
          <w:sz w:val="20"/>
          <w:szCs w:val="20"/>
          <w:lang w:val="es-ES_tradnl"/>
        </w:rPr>
        <w:t xml:space="preserve"> protegidos por el artículo 26 son aquellos que se “derivan” de las normas económicas, sociales y sobre educación, ciencia y cultura contenidas en la Carta de la OEA, interpretada a la luz de la Declaración Americana y el artículo 29 de la propia Convención</w:t>
      </w:r>
      <w:r w:rsidR="00951821" w:rsidRPr="00066324">
        <w:rPr>
          <w:rFonts w:ascii="Verdana" w:hAnsi="Verdana"/>
          <w:sz w:val="20"/>
          <w:szCs w:val="20"/>
          <w:lang w:val="es-ES_tradnl"/>
        </w:rPr>
        <w:t xml:space="preserve"> Americana</w:t>
      </w:r>
      <w:r w:rsidR="005D2FA4">
        <w:rPr>
          <w:rFonts w:ascii="Verdana" w:hAnsi="Verdana"/>
          <w:sz w:val="20"/>
          <w:szCs w:val="20"/>
          <w:lang w:val="es-ES_tradnl"/>
        </w:rPr>
        <w:t>.</w:t>
      </w:r>
    </w:p>
    <w:p w14:paraId="74C333C4" w14:textId="77777777" w:rsidR="004B4171" w:rsidRPr="004B4171" w:rsidRDefault="004B4171" w:rsidP="004B4171">
      <w:pPr>
        <w:pStyle w:val="ListParagraph"/>
        <w:rPr>
          <w:rFonts w:ascii="Verdana" w:hAnsi="Verdana"/>
          <w:sz w:val="20"/>
          <w:szCs w:val="20"/>
          <w:lang w:val="es-ES_tradnl"/>
        </w:rPr>
      </w:pPr>
    </w:p>
    <w:p w14:paraId="6C1B40A2" w14:textId="0433FEF3" w:rsidR="005D2FA4" w:rsidRDefault="004B4171" w:rsidP="004B4171">
      <w:pPr>
        <w:pStyle w:val="ListParagraph"/>
        <w:numPr>
          <w:ilvl w:val="0"/>
          <w:numId w:val="10"/>
        </w:numPr>
        <w:ind w:left="0" w:firstLine="0"/>
        <w:jc w:val="both"/>
        <w:rPr>
          <w:rFonts w:ascii="Verdana" w:hAnsi="Verdana"/>
          <w:sz w:val="20"/>
          <w:szCs w:val="20"/>
          <w:lang w:val="es-ES_tradnl"/>
        </w:rPr>
      </w:pPr>
      <w:r>
        <w:rPr>
          <w:rFonts w:ascii="Verdana" w:hAnsi="Verdana"/>
          <w:sz w:val="20"/>
          <w:szCs w:val="20"/>
          <w:lang w:val="es-ES_tradnl"/>
        </w:rPr>
        <w:t xml:space="preserve">Al respecto, </w:t>
      </w:r>
      <w:r w:rsidR="005D2FA4">
        <w:rPr>
          <w:rFonts w:ascii="Verdana" w:hAnsi="Verdana"/>
          <w:sz w:val="20"/>
          <w:szCs w:val="20"/>
          <w:lang w:val="es-ES_tradnl"/>
        </w:rPr>
        <w:t>reitero</w:t>
      </w:r>
      <w:r w:rsidRPr="00F904F1">
        <w:rPr>
          <w:rFonts w:ascii="Verdana" w:hAnsi="Verdana"/>
          <w:sz w:val="20"/>
          <w:szCs w:val="20"/>
          <w:lang w:val="es-ES_tradnl"/>
        </w:rPr>
        <w:t xml:space="preserve"> mis reflexiones expuestas en mis votos disidentes en los referidos casos respecto del Perú</w:t>
      </w:r>
      <w:r w:rsidRPr="00F904F1">
        <w:rPr>
          <w:rFonts w:ascii="Verdana" w:hAnsi="Verdana" w:cs="Arial"/>
          <w:sz w:val="20"/>
          <w:szCs w:val="20"/>
          <w:lang w:val="es-ES_tradnl"/>
        </w:rPr>
        <w:t xml:space="preserve">, que contienen mi posición en cuanto a que la </w:t>
      </w:r>
      <w:proofErr w:type="spellStart"/>
      <w:r w:rsidRPr="00F904F1">
        <w:rPr>
          <w:rFonts w:ascii="Verdana" w:hAnsi="Verdana" w:cs="Arial"/>
          <w:sz w:val="20"/>
          <w:szCs w:val="20"/>
          <w:lang w:val="es-ES_tradnl"/>
        </w:rPr>
        <w:t>justiciabilidad</w:t>
      </w:r>
      <w:proofErr w:type="spellEnd"/>
      <w:r w:rsidRPr="00F904F1">
        <w:rPr>
          <w:rFonts w:ascii="Verdana" w:hAnsi="Verdana" w:cs="Arial"/>
          <w:sz w:val="20"/>
          <w:szCs w:val="20"/>
          <w:lang w:val="es-ES_tradnl"/>
        </w:rPr>
        <w:t xml:space="preserve"> de los derechos económicos, sociales y culturales (DESC) no debe realizarse por medio de la aplicación directa del artículo 26 de la Convención</w:t>
      </w:r>
      <w:r w:rsidRPr="00F904F1">
        <w:rPr>
          <w:rFonts w:ascii="Verdana" w:hAnsi="Verdana"/>
          <w:sz w:val="20"/>
          <w:szCs w:val="20"/>
          <w:lang w:val="es-ES_tradnl"/>
        </w:rPr>
        <w:t xml:space="preserve">. </w:t>
      </w:r>
      <w:r w:rsidR="005D2FA4">
        <w:rPr>
          <w:rFonts w:ascii="Verdana" w:hAnsi="Verdana"/>
          <w:sz w:val="20"/>
          <w:szCs w:val="20"/>
          <w:lang w:val="es-ES_tradnl"/>
        </w:rPr>
        <w:t xml:space="preserve">Tal y como lo he mencionado anteriormente, la legitimidad y efectividad de las sentencias de la Corte </w:t>
      </w:r>
      <w:r w:rsidR="00400278">
        <w:rPr>
          <w:rFonts w:ascii="Verdana" w:hAnsi="Verdana"/>
          <w:sz w:val="20"/>
          <w:szCs w:val="20"/>
          <w:lang w:val="es-ES_tradnl"/>
        </w:rPr>
        <w:t>puede verse</w:t>
      </w:r>
      <w:r w:rsidR="005D2FA4">
        <w:rPr>
          <w:rFonts w:ascii="Verdana" w:hAnsi="Verdana"/>
          <w:sz w:val="20"/>
          <w:szCs w:val="20"/>
          <w:lang w:val="es-ES_tradnl"/>
        </w:rPr>
        <w:t xml:space="preserve"> seriamente afectada en la medida en que no sean respetados los aspectos normativos relevantes que definen </w:t>
      </w:r>
      <w:r w:rsidR="00400278">
        <w:rPr>
          <w:rFonts w:ascii="Verdana" w:hAnsi="Verdana"/>
          <w:sz w:val="20"/>
          <w:szCs w:val="20"/>
          <w:lang w:val="es-ES_tradnl"/>
        </w:rPr>
        <w:t>las</w:t>
      </w:r>
      <w:r w:rsidR="005D2FA4">
        <w:rPr>
          <w:rFonts w:ascii="Verdana" w:hAnsi="Verdana"/>
          <w:sz w:val="20"/>
          <w:szCs w:val="20"/>
          <w:lang w:val="es-ES_tradnl"/>
        </w:rPr>
        <w:t xml:space="preserve"> competencias</w:t>
      </w:r>
      <w:r w:rsidR="00400278">
        <w:rPr>
          <w:rFonts w:ascii="Verdana" w:hAnsi="Verdana"/>
          <w:sz w:val="20"/>
          <w:szCs w:val="20"/>
          <w:lang w:val="es-ES_tradnl"/>
        </w:rPr>
        <w:t xml:space="preserve"> del Tribunal,</w:t>
      </w:r>
      <w:r w:rsidR="005D2FA4">
        <w:rPr>
          <w:rFonts w:ascii="Verdana" w:hAnsi="Verdana"/>
          <w:sz w:val="20"/>
          <w:szCs w:val="20"/>
          <w:lang w:val="es-ES_tradnl"/>
        </w:rPr>
        <w:t xml:space="preserve"> y los límites a la interpretaci</w:t>
      </w:r>
      <w:r w:rsidR="00400278">
        <w:rPr>
          <w:rFonts w:ascii="Verdana" w:hAnsi="Verdana"/>
          <w:sz w:val="20"/>
          <w:szCs w:val="20"/>
          <w:lang w:val="es-ES_tradnl"/>
        </w:rPr>
        <w:t>ón de las normas de derechos humanos que el propio derecho internacional prev</w:t>
      </w:r>
      <w:r w:rsidR="00206C77">
        <w:rPr>
          <w:rFonts w:ascii="Verdana" w:hAnsi="Verdana"/>
          <w:sz w:val="20"/>
          <w:szCs w:val="20"/>
          <w:lang w:val="es-ES_tradnl"/>
        </w:rPr>
        <w:t>é.</w:t>
      </w:r>
    </w:p>
    <w:p w14:paraId="3DFA2A94" w14:textId="77777777" w:rsidR="005D2FA4" w:rsidRPr="005D2FA4" w:rsidRDefault="005D2FA4" w:rsidP="005D2FA4">
      <w:pPr>
        <w:pStyle w:val="ListParagraph"/>
        <w:rPr>
          <w:rFonts w:ascii="Verdana" w:hAnsi="Verdana"/>
          <w:sz w:val="20"/>
          <w:szCs w:val="20"/>
          <w:lang w:val="es-ES_tradnl"/>
        </w:rPr>
      </w:pPr>
    </w:p>
    <w:p w14:paraId="6671B2D6" w14:textId="4CE0A3D3" w:rsidR="004B4171" w:rsidRDefault="004B4171" w:rsidP="004B4171">
      <w:pPr>
        <w:pStyle w:val="ListParagraph"/>
        <w:numPr>
          <w:ilvl w:val="0"/>
          <w:numId w:val="10"/>
        </w:numPr>
        <w:ind w:left="0" w:firstLine="0"/>
        <w:jc w:val="both"/>
        <w:rPr>
          <w:rFonts w:ascii="Verdana" w:hAnsi="Verdana"/>
          <w:sz w:val="20"/>
          <w:szCs w:val="20"/>
          <w:lang w:val="es-ES_tradnl"/>
        </w:rPr>
      </w:pPr>
      <w:r>
        <w:rPr>
          <w:rFonts w:ascii="Verdana" w:hAnsi="Verdana"/>
          <w:sz w:val="20"/>
          <w:szCs w:val="20"/>
          <w:lang w:val="es-ES_tradnl"/>
        </w:rPr>
        <w:t xml:space="preserve">Este caso, sin embargo, permite </w:t>
      </w:r>
      <w:r w:rsidR="001E1C66">
        <w:rPr>
          <w:rFonts w:ascii="Verdana" w:hAnsi="Verdana"/>
          <w:sz w:val="20"/>
          <w:szCs w:val="20"/>
          <w:lang w:val="es-ES_tradnl"/>
        </w:rPr>
        <w:t>reflexionar en torno a</w:t>
      </w:r>
      <w:r>
        <w:rPr>
          <w:rFonts w:ascii="Verdana" w:hAnsi="Verdana"/>
          <w:sz w:val="20"/>
          <w:szCs w:val="20"/>
          <w:lang w:val="es-ES_tradnl"/>
        </w:rPr>
        <w:t xml:space="preserve"> algunas</w:t>
      </w:r>
      <w:r w:rsidRPr="00F904F1">
        <w:rPr>
          <w:rFonts w:ascii="Verdana" w:hAnsi="Verdana"/>
          <w:sz w:val="20"/>
          <w:szCs w:val="20"/>
          <w:lang w:val="es-ES_tradnl"/>
        </w:rPr>
        <w:t xml:space="preserve"> razones particulares por las cuales considero que no </w:t>
      </w:r>
      <w:r>
        <w:rPr>
          <w:rFonts w:ascii="Verdana" w:hAnsi="Verdana"/>
          <w:sz w:val="20"/>
          <w:szCs w:val="20"/>
          <w:lang w:val="es-ES_tradnl"/>
        </w:rPr>
        <w:t>es sostenible</w:t>
      </w:r>
      <w:r w:rsidRPr="00F904F1">
        <w:rPr>
          <w:rFonts w:ascii="Verdana" w:hAnsi="Verdana"/>
          <w:sz w:val="20"/>
          <w:szCs w:val="20"/>
          <w:lang w:val="es-ES_tradnl"/>
        </w:rPr>
        <w:t xml:space="preserve"> entrar al debate sobre </w:t>
      </w:r>
      <w:r w:rsidRPr="00F904F1">
        <w:rPr>
          <w:rFonts w:ascii="Verdana" w:hAnsi="Verdana" w:cs="Arial"/>
          <w:sz w:val="20"/>
          <w:szCs w:val="20"/>
          <w:lang w:val="es-ES_tradnl"/>
        </w:rPr>
        <w:t>la vulneración del artículo 26 de la CADH</w:t>
      </w:r>
      <w:r>
        <w:rPr>
          <w:rFonts w:ascii="Verdana" w:hAnsi="Verdana" w:cs="Arial"/>
          <w:sz w:val="20"/>
          <w:szCs w:val="20"/>
          <w:lang w:val="es-ES_tradnl"/>
        </w:rPr>
        <w:t>,</w:t>
      </w:r>
      <w:r w:rsidRPr="00F904F1">
        <w:rPr>
          <w:rFonts w:ascii="Verdana" w:hAnsi="Verdana" w:cs="Arial"/>
          <w:sz w:val="20"/>
          <w:szCs w:val="20"/>
          <w:lang w:val="es-ES_tradnl"/>
        </w:rPr>
        <w:t xml:space="preserve"> </w:t>
      </w:r>
      <w:r w:rsidRPr="00F904F1">
        <w:rPr>
          <w:rFonts w:ascii="Verdana" w:hAnsi="Verdana"/>
          <w:sz w:val="20"/>
          <w:szCs w:val="20"/>
          <w:lang w:val="es-ES_tradnl"/>
        </w:rPr>
        <w:t xml:space="preserve">y mucho menos para arribar a la conclusión </w:t>
      </w:r>
      <w:r w:rsidR="00206C77">
        <w:rPr>
          <w:rFonts w:ascii="Verdana" w:hAnsi="Verdana"/>
          <w:sz w:val="20"/>
          <w:szCs w:val="20"/>
          <w:lang w:val="es-ES_tradnl"/>
        </w:rPr>
        <w:t>que llegó la mayoría</w:t>
      </w:r>
      <w:r w:rsidRPr="00F904F1">
        <w:rPr>
          <w:rFonts w:ascii="Verdana" w:hAnsi="Verdana"/>
          <w:sz w:val="20"/>
          <w:szCs w:val="20"/>
          <w:lang w:val="es-ES_tradnl"/>
        </w:rPr>
        <w:t xml:space="preserve">. </w:t>
      </w:r>
    </w:p>
    <w:p w14:paraId="55442CEF" w14:textId="77777777" w:rsidR="004B4171" w:rsidRPr="004B4171" w:rsidRDefault="004B4171" w:rsidP="004B4171">
      <w:pPr>
        <w:pStyle w:val="ListParagraph"/>
        <w:rPr>
          <w:rFonts w:ascii="Verdana" w:hAnsi="Verdana"/>
          <w:sz w:val="20"/>
          <w:szCs w:val="20"/>
          <w:lang w:val="es-ES_tradnl"/>
        </w:rPr>
      </w:pPr>
    </w:p>
    <w:p w14:paraId="62C3CD4E" w14:textId="3238B78D" w:rsidR="004B4171" w:rsidRDefault="004B4171" w:rsidP="004B4171">
      <w:pPr>
        <w:pStyle w:val="ListParagraph"/>
        <w:numPr>
          <w:ilvl w:val="0"/>
          <w:numId w:val="10"/>
        </w:numPr>
        <w:ind w:left="0" w:firstLine="0"/>
        <w:jc w:val="both"/>
        <w:rPr>
          <w:rFonts w:ascii="Verdana" w:hAnsi="Verdana"/>
          <w:sz w:val="20"/>
          <w:szCs w:val="20"/>
          <w:lang w:val="es-ES_tradnl"/>
        </w:rPr>
      </w:pPr>
      <w:r>
        <w:rPr>
          <w:rFonts w:ascii="Verdana" w:hAnsi="Verdana"/>
          <w:sz w:val="20"/>
          <w:szCs w:val="20"/>
          <w:lang w:val="es-ES_tradnl"/>
        </w:rPr>
        <w:t>Primero, e</w:t>
      </w:r>
      <w:r w:rsidR="001D60DF" w:rsidRPr="004B4171">
        <w:rPr>
          <w:rFonts w:ascii="Verdana" w:hAnsi="Verdana"/>
          <w:sz w:val="20"/>
          <w:szCs w:val="20"/>
          <w:lang w:val="es-ES_tradnl"/>
        </w:rPr>
        <w:t xml:space="preserve">n el presente caso, al igual que en el caso </w:t>
      </w:r>
      <w:r w:rsidR="001D60DF" w:rsidRPr="004B4171">
        <w:rPr>
          <w:rFonts w:ascii="Verdana" w:hAnsi="Verdana"/>
          <w:i/>
          <w:sz w:val="20"/>
          <w:szCs w:val="20"/>
          <w:lang w:val="es-ES_tradnl"/>
        </w:rPr>
        <w:t xml:space="preserve">Lagos del Campo, </w:t>
      </w:r>
      <w:r w:rsidR="001D60DF" w:rsidRPr="004B4171">
        <w:rPr>
          <w:rFonts w:ascii="Verdana" w:hAnsi="Verdana"/>
          <w:sz w:val="20"/>
          <w:szCs w:val="20"/>
          <w:lang w:val="es-ES_tradnl"/>
        </w:rPr>
        <w:t xml:space="preserve">la violación del artículo 26 de la Convención </w:t>
      </w:r>
      <w:r w:rsidR="00955F85" w:rsidRPr="004B4171">
        <w:rPr>
          <w:rFonts w:ascii="Verdana" w:hAnsi="Verdana"/>
          <w:sz w:val="20"/>
          <w:szCs w:val="20"/>
          <w:lang w:val="es-ES_tradnl"/>
        </w:rPr>
        <w:t>no fue alegada por la Comisión o</w:t>
      </w:r>
      <w:r w:rsidR="001D60DF" w:rsidRPr="004B4171">
        <w:rPr>
          <w:rFonts w:ascii="Verdana" w:hAnsi="Verdana"/>
          <w:sz w:val="20"/>
          <w:szCs w:val="20"/>
          <w:lang w:val="es-ES_tradnl"/>
        </w:rPr>
        <w:t xml:space="preserve"> el representante ante la Corte. </w:t>
      </w:r>
      <w:r w:rsidR="00E95630">
        <w:rPr>
          <w:rFonts w:ascii="Verdana" w:hAnsi="Verdana"/>
          <w:sz w:val="20"/>
          <w:szCs w:val="20"/>
          <w:lang w:val="es-ES_tradnl"/>
        </w:rPr>
        <w:t>La alegación</w:t>
      </w:r>
      <w:r w:rsidR="001D60DF" w:rsidRPr="004B4171">
        <w:rPr>
          <w:rFonts w:ascii="Verdana" w:hAnsi="Verdana"/>
          <w:sz w:val="20"/>
          <w:szCs w:val="20"/>
          <w:lang w:val="es-ES_tradnl"/>
        </w:rPr>
        <w:t xml:space="preserve"> sí fue planteada por los peticionarios durante el trámite del caso ante la Comisión</w:t>
      </w:r>
      <w:r w:rsidR="00955F85" w:rsidRPr="004B4171">
        <w:rPr>
          <w:rFonts w:ascii="Verdana" w:hAnsi="Verdana"/>
          <w:sz w:val="20"/>
          <w:szCs w:val="20"/>
          <w:lang w:val="es-ES_tradnl"/>
        </w:rPr>
        <w:t>,</w:t>
      </w:r>
      <w:r w:rsidR="001D60DF" w:rsidRPr="004B4171">
        <w:rPr>
          <w:rFonts w:ascii="Verdana" w:hAnsi="Verdana"/>
          <w:sz w:val="20"/>
          <w:szCs w:val="20"/>
          <w:lang w:val="es-ES_tradnl"/>
        </w:rPr>
        <w:t xml:space="preserve"> y ésta </w:t>
      </w:r>
      <w:r w:rsidR="00265734">
        <w:rPr>
          <w:rFonts w:ascii="Verdana" w:hAnsi="Verdana"/>
          <w:sz w:val="20"/>
          <w:szCs w:val="20"/>
          <w:lang w:val="es-ES_tradnl"/>
        </w:rPr>
        <w:t xml:space="preserve">última </w:t>
      </w:r>
      <w:r w:rsidR="001D60DF" w:rsidRPr="004B4171">
        <w:rPr>
          <w:rFonts w:ascii="Verdana" w:hAnsi="Verdana"/>
          <w:sz w:val="20"/>
          <w:szCs w:val="20"/>
          <w:lang w:val="es-ES_tradnl"/>
        </w:rPr>
        <w:t xml:space="preserve">expresamente </w:t>
      </w:r>
      <w:r w:rsidR="008F1312" w:rsidRPr="004B4171">
        <w:rPr>
          <w:rFonts w:ascii="Verdana" w:hAnsi="Verdana"/>
          <w:sz w:val="20"/>
          <w:szCs w:val="20"/>
          <w:lang w:val="es-ES_tradnl"/>
        </w:rPr>
        <w:t xml:space="preserve">concluyó que, si bien tenía competencia </w:t>
      </w:r>
      <w:proofErr w:type="spellStart"/>
      <w:r w:rsidR="008F1312" w:rsidRPr="004B4171">
        <w:rPr>
          <w:rFonts w:ascii="Verdana" w:hAnsi="Verdana"/>
          <w:i/>
          <w:sz w:val="20"/>
          <w:szCs w:val="20"/>
          <w:lang w:val="es-ES_tradnl"/>
        </w:rPr>
        <w:t>ratione</w:t>
      </w:r>
      <w:proofErr w:type="spellEnd"/>
      <w:r w:rsidR="008F1312" w:rsidRPr="004B4171">
        <w:rPr>
          <w:rFonts w:ascii="Verdana" w:hAnsi="Verdana"/>
          <w:i/>
          <w:sz w:val="20"/>
          <w:szCs w:val="20"/>
          <w:lang w:val="es-ES_tradnl"/>
        </w:rPr>
        <w:t xml:space="preserve"> </w:t>
      </w:r>
      <w:proofErr w:type="spellStart"/>
      <w:r w:rsidR="008F1312" w:rsidRPr="004B4171">
        <w:rPr>
          <w:rFonts w:ascii="Verdana" w:hAnsi="Verdana"/>
          <w:i/>
          <w:sz w:val="20"/>
          <w:szCs w:val="20"/>
          <w:lang w:val="es-ES_tradnl"/>
        </w:rPr>
        <w:t>materiae</w:t>
      </w:r>
      <w:proofErr w:type="spellEnd"/>
      <w:r w:rsidR="008F1312" w:rsidRPr="004B4171">
        <w:rPr>
          <w:rFonts w:ascii="Verdana" w:hAnsi="Verdana"/>
          <w:sz w:val="20"/>
          <w:szCs w:val="20"/>
          <w:lang w:val="es-ES_tradnl"/>
        </w:rPr>
        <w:t xml:space="preserve"> al respecto, “de los hechos alegados no se desprenden elementos suficientes que indiquen que de ser probados se verifique una violación del artículo 26 de la Convención”, con lo cual la Comisión declaró</w:t>
      </w:r>
      <w:r w:rsidR="00066324" w:rsidRPr="004B4171">
        <w:rPr>
          <w:rFonts w:ascii="Verdana" w:hAnsi="Verdana"/>
          <w:sz w:val="20"/>
          <w:szCs w:val="20"/>
          <w:lang w:val="es-ES_tradnl"/>
        </w:rPr>
        <w:t>, en su Informe de admisibilidad,</w:t>
      </w:r>
      <w:r w:rsidR="008F1312" w:rsidRPr="004B4171">
        <w:rPr>
          <w:rFonts w:ascii="Verdana" w:hAnsi="Verdana"/>
          <w:sz w:val="20"/>
          <w:szCs w:val="20"/>
          <w:lang w:val="es-ES_tradnl"/>
        </w:rPr>
        <w:t xml:space="preserve"> que la petición </w:t>
      </w:r>
      <w:r w:rsidR="00A879AD" w:rsidRPr="004B4171">
        <w:rPr>
          <w:rFonts w:ascii="Verdana" w:hAnsi="Verdana"/>
          <w:sz w:val="20"/>
          <w:szCs w:val="20"/>
          <w:lang w:val="es-ES_tradnl"/>
        </w:rPr>
        <w:t>era</w:t>
      </w:r>
      <w:r w:rsidR="008F1312" w:rsidRPr="004B4171">
        <w:rPr>
          <w:rFonts w:ascii="Verdana" w:hAnsi="Verdana"/>
          <w:sz w:val="20"/>
          <w:szCs w:val="20"/>
          <w:lang w:val="es-ES_tradnl"/>
        </w:rPr>
        <w:t xml:space="preserve"> inadmisible en cuant</w:t>
      </w:r>
      <w:r w:rsidR="00A879AD" w:rsidRPr="004B4171">
        <w:rPr>
          <w:rFonts w:ascii="Verdana" w:hAnsi="Verdana"/>
          <w:sz w:val="20"/>
          <w:szCs w:val="20"/>
          <w:lang w:val="es-ES_tradnl"/>
        </w:rPr>
        <w:t>o a la presunta violación de esa disposición</w:t>
      </w:r>
      <w:r w:rsidR="008F1312" w:rsidRPr="004B4171">
        <w:rPr>
          <w:rFonts w:ascii="Verdana" w:hAnsi="Verdana"/>
          <w:sz w:val="20"/>
          <w:szCs w:val="20"/>
          <w:lang w:val="es-ES_tradnl"/>
        </w:rPr>
        <w:t xml:space="preserve">. </w:t>
      </w:r>
      <w:r w:rsidR="00265734">
        <w:rPr>
          <w:rFonts w:ascii="Verdana" w:hAnsi="Verdana"/>
          <w:sz w:val="20"/>
          <w:szCs w:val="20"/>
          <w:lang w:val="es-ES_tradnl"/>
        </w:rPr>
        <w:t xml:space="preserve">De esta forma, condenar al Estado por hechos que ya había sido calificados por la Comisión como </w:t>
      </w:r>
      <w:r w:rsidR="00344792">
        <w:rPr>
          <w:rFonts w:ascii="Verdana" w:hAnsi="Verdana"/>
          <w:sz w:val="20"/>
          <w:szCs w:val="20"/>
          <w:lang w:val="es-ES_tradnl"/>
        </w:rPr>
        <w:t xml:space="preserve">insuficientes para declarar una violación, y que además no fueron alegados ante la Corte, implica una vulneración al derecho a la defensa del Estado y </w:t>
      </w:r>
      <w:r w:rsidR="00B55D92">
        <w:rPr>
          <w:rFonts w:ascii="Verdana" w:hAnsi="Verdana"/>
          <w:sz w:val="20"/>
          <w:szCs w:val="20"/>
          <w:lang w:val="es-ES_tradnl"/>
        </w:rPr>
        <w:t>al</w:t>
      </w:r>
      <w:r w:rsidR="00344792">
        <w:rPr>
          <w:rFonts w:ascii="Verdana" w:hAnsi="Verdana"/>
          <w:sz w:val="20"/>
          <w:szCs w:val="20"/>
          <w:lang w:val="es-ES_tradnl"/>
        </w:rPr>
        <w:t xml:space="preserve"> principio de seguridad jurídica.</w:t>
      </w:r>
    </w:p>
    <w:p w14:paraId="29572FEE" w14:textId="77777777" w:rsidR="004B4171" w:rsidRPr="004B4171" w:rsidRDefault="004B4171" w:rsidP="004B4171">
      <w:pPr>
        <w:pStyle w:val="ListParagraph"/>
        <w:rPr>
          <w:rFonts w:ascii="Verdana" w:hAnsi="Verdana" w:cs="Arial"/>
          <w:sz w:val="20"/>
          <w:szCs w:val="20"/>
          <w:lang w:val="es-ES_tradnl"/>
        </w:rPr>
      </w:pPr>
    </w:p>
    <w:p w14:paraId="078BD739" w14:textId="657AAD94" w:rsidR="004B4171" w:rsidRPr="004B4171" w:rsidRDefault="004B4171" w:rsidP="004B4171">
      <w:pPr>
        <w:pStyle w:val="ListParagraph"/>
        <w:numPr>
          <w:ilvl w:val="0"/>
          <w:numId w:val="10"/>
        </w:numPr>
        <w:ind w:left="0" w:firstLine="0"/>
        <w:jc w:val="both"/>
        <w:rPr>
          <w:rFonts w:ascii="Verdana" w:hAnsi="Verdana"/>
          <w:sz w:val="20"/>
          <w:szCs w:val="20"/>
          <w:lang w:val="es-ES_tradnl"/>
        </w:rPr>
      </w:pPr>
      <w:r>
        <w:rPr>
          <w:rFonts w:ascii="Verdana" w:hAnsi="Verdana" w:cs="Arial"/>
          <w:sz w:val="20"/>
          <w:szCs w:val="20"/>
          <w:lang w:val="es-ES_tradnl"/>
        </w:rPr>
        <w:t>Segundo, e</w:t>
      </w:r>
      <w:r w:rsidR="00A472EA" w:rsidRPr="004B4171">
        <w:rPr>
          <w:rFonts w:ascii="Verdana" w:hAnsi="Verdana" w:cs="Arial"/>
          <w:sz w:val="20"/>
          <w:szCs w:val="20"/>
          <w:lang w:val="es-ES_tradnl"/>
        </w:rPr>
        <w:t>l hecho de que la represalia</w:t>
      </w:r>
      <w:r w:rsidR="00B55D92">
        <w:rPr>
          <w:rFonts w:ascii="Verdana" w:hAnsi="Verdana" w:cs="Arial"/>
          <w:sz w:val="20"/>
          <w:szCs w:val="20"/>
          <w:lang w:val="es-ES_tradnl"/>
        </w:rPr>
        <w:t xml:space="preserve"> en contra de</w:t>
      </w:r>
      <w:r w:rsidR="00A472EA" w:rsidRPr="004B4171">
        <w:rPr>
          <w:rFonts w:ascii="Verdana" w:hAnsi="Verdana" w:cs="Arial"/>
          <w:sz w:val="20"/>
          <w:szCs w:val="20"/>
          <w:lang w:val="es-ES_tradnl"/>
        </w:rPr>
        <w:t xml:space="preserve"> </w:t>
      </w:r>
      <w:r w:rsidR="00B55D92" w:rsidRPr="00066324">
        <w:rPr>
          <w:rFonts w:ascii="Verdana" w:hAnsi="Verdana"/>
          <w:sz w:val="20"/>
          <w:szCs w:val="20"/>
          <w:lang w:val="es-ES_tradnl"/>
        </w:rPr>
        <w:t xml:space="preserve">Rocío San Miguel Sosa, </w:t>
      </w:r>
      <w:proofErr w:type="spellStart"/>
      <w:r w:rsidR="00B55D92" w:rsidRPr="00066324">
        <w:rPr>
          <w:rFonts w:ascii="Verdana" w:hAnsi="Verdana"/>
          <w:sz w:val="20"/>
          <w:szCs w:val="20"/>
          <w:lang w:val="es-ES_tradnl"/>
        </w:rPr>
        <w:t>Magally</w:t>
      </w:r>
      <w:proofErr w:type="spellEnd"/>
      <w:r w:rsidR="00B55D92" w:rsidRPr="00066324">
        <w:rPr>
          <w:rFonts w:ascii="Verdana" w:hAnsi="Verdana"/>
          <w:sz w:val="20"/>
          <w:szCs w:val="20"/>
          <w:lang w:val="es-ES_tradnl"/>
        </w:rPr>
        <w:t xml:space="preserve"> Chang Girón y Thais Coromoto Peña</w:t>
      </w:r>
      <w:r w:rsidR="00B55D92" w:rsidRPr="004B4171">
        <w:rPr>
          <w:rFonts w:ascii="Verdana" w:hAnsi="Verdana" w:cs="Arial"/>
          <w:sz w:val="20"/>
          <w:szCs w:val="20"/>
          <w:lang w:val="es-ES_tradnl"/>
        </w:rPr>
        <w:t xml:space="preserve"> </w:t>
      </w:r>
      <w:r w:rsidR="00B55D92">
        <w:rPr>
          <w:rFonts w:ascii="Verdana" w:hAnsi="Verdana" w:cs="Arial"/>
          <w:sz w:val="20"/>
          <w:szCs w:val="20"/>
          <w:lang w:val="es-ES_tradnl"/>
        </w:rPr>
        <w:t>se materializara en la terminación de sus</w:t>
      </w:r>
      <w:r w:rsidR="00A472EA" w:rsidRPr="004B4171">
        <w:rPr>
          <w:rFonts w:ascii="Verdana" w:hAnsi="Verdana" w:cs="Arial"/>
          <w:sz w:val="20"/>
          <w:szCs w:val="20"/>
          <w:lang w:val="es-ES_tradnl"/>
        </w:rPr>
        <w:t xml:space="preserve"> contratos temporales de prestación de servicios no significa que el caso </w:t>
      </w:r>
      <w:r>
        <w:rPr>
          <w:rFonts w:ascii="Verdana" w:hAnsi="Verdana" w:cs="Arial"/>
          <w:sz w:val="20"/>
          <w:szCs w:val="20"/>
          <w:lang w:val="es-ES_tradnl"/>
        </w:rPr>
        <w:t>sea automáticamente una violación al derecho al trabajo</w:t>
      </w:r>
      <w:r w:rsidR="00A472EA" w:rsidRPr="004B4171">
        <w:rPr>
          <w:rFonts w:ascii="Verdana" w:hAnsi="Verdana" w:cs="Arial"/>
          <w:sz w:val="20"/>
          <w:szCs w:val="20"/>
          <w:lang w:val="es-ES_tradnl"/>
        </w:rPr>
        <w:t xml:space="preserve">. </w:t>
      </w:r>
      <w:r w:rsidR="00B55D92">
        <w:rPr>
          <w:rFonts w:ascii="Verdana" w:hAnsi="Verdana" w:cs="Arial"/>
          <w:sz w:val="20"/>
          <w:szCs w:val="20"/>
          <w:lang w:val="es-ES_tradnl"/>
        </w:rPr>
        <w:t xml:space="preserve">El hecho ilícito internacional consistió en las acciones de represión emprendidas por el Estado ante el ejercicio de </w:t>
      </w:r>
      <w:r w:rsidR="00B55D92">
        <w:rPr>
          <w:rFonts w:ascii="Verdana" w:hAnsi="Verdana" w:cs="Arial"/>
          <w:sz w:val="20"/>
          <w:szCs w:val="20"/>
          <w:lang w:val="es-ES_tradnl"/>
        </w:rPr>
        <w:lastRenderedPageBreak/>
        <w:t>un derecho político de las víctimas, lo que derivó en la violación al artículo 23 de la Convención</w:t>
      </w:r>
      <w:r w:rsidR="003E56A9">
        <w:rPr>
          <w:rFonts w:ascii="Verdana" w:hAnsi="Verdana" w:cs="Arial"/>
          <w:sz w:val="20"/>
          <w:szCs w:val="20"/>
          <w:lang w:val="es-ES_tradnl"/>
        </w:rPr>
        <w:t>,</w:t>
      </w:r>
      <w:r w:rsidR="00B55D92">
        <w:rPr>
          <w:rFonts w:ascii="Verdana" w:hAnsi="Verdana" w:cs="Arial"/>
          <w:sz w:val="20"/>
          <w:szCs w:val="20"/>
          <w:lang w:val="es-ES_tradnl"/>
        </w:rPr>
        <w:t xml:space="preserve"> y la consecuente responsab</w:t>
      </w:r>
      <w:r w:rsidR="00531335">
        <w:rPr>
          <w:rFonts w:ascii="Verdana" w:hAnsi="Verdana" w:cs="Arial"/>
          <w:sz w:val="20"/>
          <w:szCs w:val="20"/>
          <w:lang w:val="es-ES_tradnl"/>
        </w:rPr>
        <w:t>ilidad internacional del Estado</w:t>
      </w:r>
      <w:r>
        <w:rPr>
          <w:rFonts w:ascii="Verdana" w:hAnsi="Verdana" w:cs="Arial"/>
          <w:sz w:val="20"/>
          <w:szCs w:val="20"/>
          <w:lang w:val="es-ES_tradnl"/>
        </w:rPr>
        <w:t xml:space="preserve">. </w:t>
      </w:r>
      <w:r w:rsidR="00552CF7">
        <w:rPr>
          <w:rFonts w:ascii="Verdana" w:hAnsi="Verdana" w:cs="Arial"/>
          <w:sz w:val="20"/>
          <w:szCs w:val="20"/>
          <w:lang w:val="es-ES_tradnl"/>
        </w:rPr>
        <w:t>Sin embargo, para arribar a una decisión sobre la violación al derecho al trabajo sería necesario realizar un análisis específico sobre el alcance de este derecho</w:t>
      </w:r>
      <w:r w:rsidR="001E1C66">
        <w:rPr>
          <w:rFonts w:ascii="Verdana" w:hAnsi="Verdana" w:cs="Arial"/>
          <w:sz w:val="20"/>
          <w:szCs w:val="20"/>
          <w:lang w:val="es-ES_tradnl"/>
        </w:rPr>
        <w:t>,</w:t>
      </w:r>
      <w:r w:rsidR="00552CF7">
        <w:rPr>
          <w:rFonts w:ascii="Verdana" w:hAnsi="Verdana" w:cs="Arial"/>
          <w:sz w:val="20"/>
          <w:szCs w:val="20"/>
          <w:lang w:val="es-ES_tradnl"/>
        </w:rPr>
        <w:t xml:space="preserve"> y las razones por las que se violó en el presente caso. </w:t>
      </w:r>
      <w:r>
        <w:rPr>
          <w:rFonts w:ascii="Verdana" w:hAnsi="Verdana" w:cs="Arial"/>
          <w:sz w:val="20"/>
          <w:szCs w:val="20"/>
          <w:lang w:val="es-ES_tradnl"/>
        </w:rPr>
        <w:t>De e</w:t>
      </w:r>
      <w:r w:rsidR="00552CF7">
        <w:rPr>
          <w:rFonts w:ascii="Verdana" w:hAnsi="Verdana" w:cs="Arial"/>
          <w:sz w:val="20"/>
          <w:szCs w:val="20"/>
          <w:lang w:val="es-ES_tradnl"/>
        </w:rPr>
        <w:t>sta forma,</w:t>
      </w:r>
      <w:r w:rsidR="00423E82">
        <w:rPr>
          <w:rFonts w:ascii="Verdana" w:hAnsi="Verdana" w:cs="Arial"/>
          <w:sz w:val="20"/>
          <w:szCs w:val="20"/>
          <w:lang w:val="es-ES_tradnl"/>
        </w:rPr>
        <w:t xml:space="preserve"> al no entrar a analizar específicamente cómo se habría vulnerado el derecho al trabajo de manera específica,</w:t>
      </w:r>
      <w:r w:rsidR="00552CF7">
        <w:rPr>
          <w:rFonts w:ascii="Verdana" w:hAnsi="Verdana" w:cs="Arial"/>
          <w:sz w:val="20"/>
          <w:szCs w:val="20"/>
          <w:lang w:val="es-ES_tradnl"/>
        </w:rPr>
        <w:t xml:space="preserve"> la sentencia asume una posición </w:t>
      </w:r>
      <w:proofErr w:type="spellStart"/>
      <w:r w:rsidR="00552CF7">
        <w:rPr>
          <w:rFonts w:ascii="Verdana" w:hAnsi="Verdana" w:cs="Arial"/>
          <w:sz w:val="20"/>
          <w:szCs w:val="20"/>
          <w:lang w:val="es-ES_tradnl"/>
        </w:rPr>
        <w:t>consecuencialista</w:t>
      </w:r>
      <w:proofErr w:type="spellEnd"/>
      <w:r w:rsidR="00552CF7">
        <w:rPr>
          <w:rFonts w:ascii="Verdana" w:hAnsi="Verdana" w:cs="Arial"/>
          <w:sz w:val="20"/>
          <w:szCs w:val="20"/>
          <w:lang w:val="es-ES_tradnl"/>
        </w:rPr>
        <w:t xml:space="preserve"> que funde –o confunde- la violación al artículo 23 de la Convención con la violación al</w:t>
      </w:r>
      <w:r w:rsidR="00423E82">
        <w:rPr>
          <w:rFonts w:ascii="Verdana" w:hAnsi="Verdana" w:cs="Arial"/>
          <w:sz w:val="20"/>
          <w:szCs w:val="20"/>
          <w:lang w:val="es-ES_tradnl"/>
        </w:rPr>
        <w:t xml:space="preserve"> artículo 26</w:t>
      </w:r>
      <w:r w:rsidR="00A472EA" w:rsidRPr="004B4171">
        <w:rPr>
          <w:rFonts w:ascii="Verdana" w:hAnsi="Verdana" w:cs="Arial"/>
          <w:sz w:val="20"/>
          <w:szCs w:val="20"/>
          <w:lang w:val="es-ES_tradnl"/>
        </w:rPr>
        <w:t>.</w:t>
      </w:r>
      <w:r w:rsidR="001E1C66">
        <w:rPr>
          <w:rFonts w:ascii="Verdana" w:hAnsi="Verdana" w:cs="Arial"/>
          <w:sz w:val="20"/>
          <w:szCs w:val="20"/>
          <w:lang w:val="es-ES_tradnl"/>
        </w:rPr>
        <w:t xml:space="preserve"> </w:t>
      </w:r>
    </w:p>
    <w:p w14:paraId="2F3AF294" w14:textId="77777777" w:rsidR="004B4171" w:rsidRPr="001E1C66" w:rsidRDefault="004B4171" w:rsidP="001E1C66">
      <w:pPr>
        <w:rPr>
          <w:rFonts w:ascii="Verdana" w:hAnsi="Verdana" w:cs="Arial"/>
        </w:rPr>
      </w:pPr>
    </w:p>
    <w:p w14:paraId="09FD2A2D" w14:textId="03A9B597" w:rsidR="002F7BB0" w:rsidRPr="00A472EA" w:rsidRDefault="005606C9" w:rsidP="0037148A">
      <w:pPr>
        <w:pStyle w:val="ListParagraph"/>
        <w:numPr>
          <w:ilvl w:val="0"/>
          <w:numId w:val="10"/>
        </w:numPr>
        <w:ind w:left="0" w:firstLine="0"/>
        <w:jc w:val="both"/>
        <w:rPr>
          <w:rFonts w:ascii="Verdana" w:hAnsi="Verdana"/>
          <w:sz w:val="20"/>
          <w:szCs w:val="20"/>
          <w:lang w:val="es-ES_tradnl"/>
        </w:rPr>
      </w:pPr>
      <w:r>
        <w:rPr>
          <w:rFonts w:ascii="Verdana" w:hAnsi="Verdana" w:cs="Arial"/>
          <w:sz w:val="20"/>
          <w:szCs w:val="20"/>
          <w:lang w:val="es-ES_tradnl"/>
        </w:rPr>
        <w:t>Finalmente, r</w:t>
      </w:r>
      <w:r w:rsidR="0037148A" w:rsidRPr="00A472EA">
        <w:rPr>
          <w:rFonts w:ascii="Verdana" w:hAnsi="Verdana" w:cs="Arial"/>
          <w:sz w:val="20"/>
          <w:szCs w:val="20"/>
          <w:lang w:val="es-ES_tradnl"/>
        </w:rPr>
        <w:t>eitero</w:t>
      </w:r>
      <w:r>
        <w:rPr>
          <w:rFonts w:ascii="Verdana" w:hAnsi="Verdana" w:cs="Arial"/>
          <w:sz w:val="20"/>
          <w:szCs w:val="20"/>
          <w:lang w:val="es-ES_tradnl"/>
        </w:rPr>
        <w:t>, como lo he hecho en otras ocasiones,</w:t>
      </w:r>
      <w:r w:rsidR="0037148A" w:rsidRPr="00A472EA">
        <w:rPr>
          <w:rFonts w:ascii="Verdana" w:hAnsi="Verdana" w:cs="Arial"/>
          <w:sz w:val="20"/>
          <w:szCs w:val="20"/>
          <w:lang w:val="es-ES_tradnl"/>
        </w:rPr>
        <w:t xml:space="preserve"> que</w:t>
      </w:r>
      <w:r w:rsidR="002F7BB0" w:rsidRPr="00A472EA">
        <w:rPr>
          <w:rFonts w:ascii="Verdana" w:hAnsi="Verdana" w:cs="Arial"/>
          <w:sz w:val="20"/>
          <w:szCs w:val="20"/>
          <w:lang w:val="es-ES_tradnl"/>
        </w:rPr>
        <w:t xml:space="preserve"> la legitimidad de la Corte Interamericana se deriva de la solidez de sus argumentos y de sus construcciones jurídicas, así como de la justicia que se alcance a través de sus decisiones. Por ello, </w:t>
      </w:r>
      <w:r w:rsidR="001A29A3" w:rsidRPr="00A472EA">
        <w:rPr>
          <w:rFonts w:ascii="Verdana" w:hAnsi="Verdana" w:cs="Arial"/>
          <w:sz w:val="20"/>
          <w:szCs w:val="20"/>
          <w:lang w:val="es-ES_tradnl"/>
        </w:rPr>
        <w:t>decisiones como ésta plantean,</w:t>
      </w:r>
      <w:r w:rsidR="0037148A" w:rsidRPr="00A472EA">
        <w:rPr>
          <w:rFonts w:ascii="Verdana" w:hAnsi="Verdana" w:cs="Arial"/>
          <w:sz w:val="20"/>
          <w:szCs w:val="20"/>
          <w:lang w:val="es-ES_tradnl"/>
        </w:rPr>
        <w:t xml:space="preserve"> en ú</w:t>
      </w:r>
      <w:r>
        <w:rPr>
          <w:rFonts w:ascii="Verdana" w:hAnsi="Verdana" w:cs="Arial"/>
          <w:sz w:val="20"/>
          <w:szCs w:val="20"/>
          <w:lang w:val="es-ES_tradnl"/>
        </w:rPr>
        <w:t>ltima instancia</w:t>
      </w:r>
      <w:r w:rsidR="001A29A3" w:rsidRPr="00A472EA">
        <w:rPr>
          <w:rFonts w:ascii="Verdana" w:hAnsi="Verdana" w:cs="Arial"/>
          <w:sz w:val="20"/>
          <w:szCs w:val="20"/>
          <w:lang w:val="es-ES_tradnl"/>
        </w:rPr>
        <w:t>,</w:t>
      </w:r>
      <w:r w:rsidR="002F7BB0" w:rsidRPr="00A472EA">
        <w:rPr>
          <w:rFonts w:ascii="Verdana" w:hAnsi="Verdana" w:cs="Arial"/>
          <w:sz w:val="20"/>
          <w:szCs w:val="20"/>
          <w:lang w:val="es-ES_tradnl"/>
        </w:rPr>
        <w:t xml:space="preserve"> una visión, un proyecto de integración y transformaciones orientadas autónomamente desde los órganos del SIDH, alejándose de la función principal de la Corte IDH, la cual es la de administrar justicia, garantizando la protección de los derechos humanos bajo la estricta observancia de su competencia. De hecho, no puede hacerse derecho transformador en contra vía del derecho vigente.</w:t>
      </w:r>
    </w:p>
    <w:p w14:paraId="7E97D2C4" w14:textId="1C6751AC" w:rsidR="002F7BB0" w:rsidRDefault="002F7BB0" w:rsidP="002F7BB0">
      <w:pPr>
        <w:jc w:val="both"/>
        <w:rPr>
          <w:rFonts w:ascii="Verdana" w:hAnsi="Verdana"/>
        </w:rPr>
      </w:pPr>
    </w:p>
    <w:p w14:paraId="21E10AA6" w14:textId="6FC74CFC" w:rsidR="00035BF0" w:rsidRDefault="00035BF0" w:rsidP="009F5F10">
      <w:pPr>
        <w:spacing w:after="120"/>
        <w:rPr>
          <w:rFonts w:ascii="Verdana" w:hAnsi="Verdana"/>
        </w:rPr>
      </w:pPr>
    </w:p>
    <w:p w14:paraId="0053B1BA" w14:textId="0ADE8D44" w:rsidR="004E611E" w:rsidRDefault="004E611E" w:rsidP="009F5F10">
      <w:pPr>
        <w:spacing w:after="120"/>
        <w:rPr>
          <w:rFonts w:ascii="Verdana" w:hAnsi="Verdana"/>
        </w:rPr>
      </w:pPr>
    </w:p>
    <w:p w14:paraId="25D5CF44" w14:textId="77777777" w:rsidR="004E611E" w:rsidRDefault="004E611E" w:rsidP="009F5F10">
      <w:pPr>
        <w:spacing w:after="120"/>
        <w:rPr>
          <w:rFonts w:ascii="Verdana" w:hAnsi="Verdana"/>
        </w:rPr>
      </w:pPr>
    </w:p>
    <w:p w14:paraId="209DD099" w14:textId="77777777" w:rsidR="00F77D52" w:rsidRDefault="00F77D52" w:rsidP="009F5F10">
      <w:pPr>
        <w:spacing w:after="120"/>
        <w:rPr>
          <w:rFonts w:ascii="Verdana" w:hAnsi="Verdana"/>
        </w:rPr>
      </w:pPr>
    </w:p>
    <w:p w14:paraId="6158375A" w14:textId="1F9EB2FD" w:rsidR="00F77D52" w:rsidRPr="00066324" w:rsidRDefault="00F77D52" w:rsidP="004E611E">
      <w:pPr>
        <w:spacing w:after="120"/>
        <w:jc w:val="right"/>
        <w:rPr>
          <w:rFonts w:ascii="Verdana" w:hAnsi="Verdana"/>
        </w:rPr>
      </w:pPr>
    </w:p>
    <w:p w14:paraId="5CF1AD7A" w14:textId="7892F4CA" w:rsidR="00035BF0" w:rsidRPr="00066324" w:rsidRDefault="000642C7" w:rsidP="00F77D52">
      <w:pPr>
        <w:ind w:left="5664"/>
        <w:jc w:val="center"/>
        <w:rPr>
          <w:rFonts w:ascii="Verdana" w:hAnsi="Verdana"/>
        </w:rPr>
      </w:pPr>
      <w:r>
        <w:rPr>
          <w:rFonts w:ascii="Verdana" w:hAnsi="Verdana"/>
        </w:rPr>
        <w:t>Humberto A.</w:t>
      </w:r>
      <w:r w:rsidR="00035BF0" w:rsidRPr="00066324">
        <w:rPr>
          <w:rFonts w:ascii="Verdana" w:hAnsi="Verdana"/>
        </w:rPr>
        <w:t xml:space="preserve"> Sierra Porto</w:t>
      </w:r>
    </w:p>
    <w:p w14:paraId="2E11D549" w14:textId="74C992A1" w:rsidR="00035BF0" w:rsidRPr="00066324" w:rsidRDefault="00F77D52" w:rsidP="00035BF0">
      <w:pPr>
        <w:ind w:left="4248"/>
        <w:jc w:val="center"/>
        <w:rPr>
          <w:rFonts w:ascii="Verdana" w:hAnsi="Verdana"/>
        </w:rPr>
      </w:pPr>
      <w:r>
        <w:rPr>
          <w:rFonts w:ascii="Verdana" w:hAnsi="Verdana"/>
        </w:rPr>
        <w:t xml:space="preserve">                  </w:t>
      </w:r>
      <w:r w:rsidR="00035BF0" w:rsidRPr="00066324">
        <w:rPr>
          <w:rFonts w:ascii="Verdana" w:hAnsi="Verdana"/>
        </w:rPr>
        <w:t>Juez</w:t>
      </w:r>
    </w:p>
    <w:p w14:paraId="7D301A59" w14:textId="42B5048F" w:rsidR="00035BF0" w:rsidRDefault="00035BF0" w:rsidP="00035BF0">
      <w:pPr>
        <w:tabs>
          <w:tab w:val="left" w:pos="1440"/>
        </w:tabs>
        <w:jc w:val="center"/>
        <w:rPr>
          <w:rFonts w:ascii="Verdana" w:hAnsi="Verdana"/>
        </w:rPr>
      </w:pPr>
    </w:p>
    <w:p w14:paraId="222928D0" w14:textId="16DE1E4E" w:rsidR="00F77D52" w:rsidRDefault="00F77D52" w:rsidP="00035BF0">
      <w:pPr>
        <w:tabs>
          <w:tab w:val="left" w:pos="1440"/>
        </w:tabs>
        <w:jc w:val="center"/>
        <w:rPr>
          <w:rFonts w:ascii="Verdana" w:hAnsi="Verdana"/>
        </w:rPr>
      </w:pPr>
    </w:p>
    <w:p w14:paraId="396FB774" w14:textId="77777777" w:rsidR="00035BF0" w:rsidRPr="00066324" w:rsidRDefault="00035BF0" w:rsidP="00763506">
      <w:pPr>
        <w:tabs>
          <w:tab w:val="left" w:pos="1440"/>
        </w:tabs>
        <w:rPr>
          <w:rFonts w:ascii="Verdana" w:hAnsi="Verdana"/>
        </w:rPr>
      </w:pPr>
    </w:p>
    <w:p w14:paraId="0DDD9F02" w14:textId="77777777" w:rsidR="00035BF0" w:rsidRDefault="00035BF0" w:rsidP="00035BF0">
      <w:pPr>
        <w:tabs>
          <w:tab w:val="left" w:pos="1440"/>
        </w:tabs>
        <w:jc w:val="center"/>
        <w:rPr>
          <w:rFonts w:ascii="Verdana" w:hAnsi="Verdana"/>
        </w:rPr>
      </w:pPr>
    </w:p>
    <w:p w14:paraId="534A6CD4" w14:textId="77777777" w:rsidR="00103A0E" w:rsidRDefault="00103A0E" w:rsidP="00035BF0">
      <w:pPr>
        <w:tabs>
          <w:tab w:val="left" w:pos="1440"/>
        </w:tabs>
        <w:jc w:val="center"/>
        <w:rPr>
          <w:rFonts w:ascii="Verdana" w:hAnsi="Verdana"/>
        </w:rPr>
      </w:pPr>
    </w:p>
    <w:p w14:paraId="693DE9EA" w14:textId="77777777" w:rsidR="00103A0E" w:rsidRDefault="00103A0E" w:rsidP="00035BF0">
      <w:pPr>
        <w:tabs>
          <w:tab w:val="left" w:pos="1440"/>
        </w:tabs>
        <w:jc w:val="center"/>
        <w:rPr>
          <w:rFonts w:ascii="Verdana" w:hAnsi="Verdana"/>
        </w:rPr>
      </w:pPr>
    </w:p>
    <w:p w14:paraId="504DBD64" w14:textId="77777777" w:rsidR="00232977" w:rsidRPr="00066324" w:rsidRDefault="00232977" w:rsidP="00763506">
      <w:pPr>
        <w:tabs>
          <w:tab w:val="left" w:pos="1440"/>
        </w:tabs>
        <w:rPr>
          <w:rFonts w:ascii="Verdana" w:hAnsi="Verdana"/>
        </w:rPr>
      </w:pPr>
    </w:p>
    <w:p w14:paraId="0A29B63E" w14:textId="3CA2CB78" w:rsidR="00035BF0" w:rsidRPr="00066324" w:rsidRDefault="00035BF0" w:rsidP="00035BF0">
      <w:pPr>
        <w:tabs>
          <w:tab w:val="left" w:pos="1440"/>
        </w:tabs>
        <w:rPr>
          <w:rFonts w:ascii="Verdana" w:hAnsi="Verdana"/>
        </w:rPr>
      </w:pPr>
    </w:p>
    <w:p w14:paraId="7D4129EF" w14:textId="77777777" w:rsidR="00035BF0" w:rsidRPr="00066324" w:rsidRDefault="00035BF0" w:rsidP="00035BF0">
      <w:pPr>
        <w:tabs>
          <w:tab w:val="left" w:pos="1440"/>
        </w:tabs>
        <w:rPr>
          <w:rFonts w:ascii="Verdana" w:hAnsi="Verdana"/>
        </w:rPr>
      </w:pPr>
      <w:r w:rsidRPr="00066324">
        <w:rPr>
          <w:rFonts w:ascii="Verdana" w:hAnsi="Verdana"/>
        </w:rPr>
        <w:t>Pablo Saavedra Alessandri</w:t>
      </w:r>
    </w:p>
    <w:p w14:paraId="47F2A59E" w14:textId="5189A652" w:rsidR="00035BF0" w:rsidRPr="00066324" w:rsidRDefault="00035BF0" w:rsidP="00035BF0">
      <w:pPr>
        <w:tabs>
          <w:tab w:val="left" w:pos="1440"/>
        </w:tabs>
        <w:rPr>
          <w:rFonts w:ascii="Verdana" w:hAnsi="Verdana"/>
        </w:rPr>
      </w:pPr>
      <w:r w:rsidRPr="00066324">
        <w:rPr>
          <w:rFonts w:ascii="Verdana" w:hAnsi="Verdana"/>
        </w:rPr>
        <w:t xml:space="preserve">          Secretario</w:t>
      </w:r>
    </w:p>
    <w:p w14:paraId="7F20C872" w14:textId="77777777" w:rsidR="00924DAA" w:rsidRPr="00066324" w:rsidRDefault="00924DAA" w:rsidP="001B3B0A">
      <w:pPr>
        <w:pStyle w:val="ListParagraph"/>
        <w:tabs>
          <w:tab w:val="left" w:pos="567"/>
        </w:tabs>
        <w:spacing w:after="120"/>
        <w:ind w:left="0"/>
        <w:jc w:val="both"/>
        <w:rPr>
          <w:lang w:val="es-ES_tradnl"/>
        </w:rPr>
      </w:pPr>
    </w:p>
    <w:sectPr w:rsidR="00924DAA" w:rsidRPr="00066324" w:rsidSect="003E38C6">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2E701E" w16cid:durableId="1DDB9626"/>
  <w16cid:commentId w16cid:paraId="4123CE3C" w16cid:durableId="1DDB8C9D"/>
  <w16cid:commentId w16cid:paraId="0405936D" w16cid:durableId="1DDB8C7A"/>
  <w16cid:commentId w16cid:paraId="5392D2C2" w16cid:durableId="1DDB8D01"/>
  <w16cid:commentId w16cid:paraId="0E87BFA4" w16cid:durableId="1DDB8D37"/>
  <w16cid:commentId w16cid:paraId="0BBCCE1E" w16cid:durableId="1DDB88F0"/>
  <w16cid:commentId w16cid:paraId="45FBC89E" w16cid:durableId="1DDB8DAD"/>
  <w16cid:commentId w16cid:paraId="5BFE5990" w16cid:durableId="1DDB887D"/>
  <w16cid:commentId w16cid:paraId="365E6B8A" w16cid:durableId="1DDB8D98"/>
  <w16cid:commentId w16cid:paraId="7DDCC18E" w16cid:durableId="1DDB8E9C"/>
  <w16cid:commentId w16cid:paraId="7EDD635E" w16cid:durableId="1DDB94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616ED" w14:textId="77777777" w:rsidR="00D0213F" w:rsidRDefault="00D0213F" w:rsidP="00CD29C6">
      <w:r>
        <w:separator/>
      </w:r>
    </w:p>
  </w:endnote>
  <w:endnote w:type="continuationSeparator" w:id="0">
    <w:p w14:paraId="6B74EB67" w14:textId="77777777" w:rsidR="00D0213F" w:rsidRDefault="00D0213F" w:rsidP="00CD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Bold">
    <w:panose1 w:val="020B080403050404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20EC" w14:textId="77777777" w:rsidR="0051213E" w:rsidRDefault="005121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82324"/>
      <w:docPartObj>
        <w:docPartGallery w:val="Page Numbers (Bottom of Page)"/>
        <w:docPartUnique/>
      </w:docPartObj>
    </w:sdtPr>
    <w:sdtEndPr>
      <w:rPr>
        <w:rFonts w:ascii="Verdana" w:hAnsi="Verdana"/>
        <w:noProof/>
      </w:rPr>
    </w:sdtEndPr>
    <w:sdtContent>
      <w:p w14:paraId="2D4E875F" w14:textId="3CD07F28" w:rsidR="003E38C6" w:rsidRPr="0051213E" w:rsidRDefault="003E38C6">
        <w:pPr>
          <w:pStyle w:val="Footer"/>
          <w:jc w:val="center"/>
          <w:rPr>
            <w:rFonts w:ascii="Verdana" w:hAnsi="Verdana"/>
          </w:rPr>
        </w:pPr>
        <w:r w:rsidRPr="0051213E">
          <w:rPr>
            <w:rFonts w:ascii="Verdana" w:hAnsi="Verdana"/>
          </w:rPr>
          <w:fldChar w:fldCharType="begin"/>
        </w:r>
        <w:r w:rsidRPr="0051213E">
          <w:rPr>
            <w:rFonts w:ascii="Verdana" w:hAnsi="Verdana"/>
          </w:rPr>
          <w:instrText xml:space="preserve"> PAGE   \* MERGEFORMAT </w:instrText>
        </w:r>
        <w:r w:rsidRPr="0051213E">
          <w:rPr>
            <w:rFonts w:ascii="Verdana" w:hAnsi="Verdana"/>
          </w:rPr>
          <w:fldChar w:fldCharType="separate"/>
        </w:r>
        <w:r w:rsidR="00D9499E">
          <w:rPr>
            <w:rFonts w:ascii="Verdana" w:hAnsi="Verdana"/>
            <w:noProof/>
          </w:rPr>
          <w:t>2</w:t>
        </w:r>
        <w:r w:rsidRPr="0051213E">
          <w:rPr>
            <w:rFonts w:ascii="Verdana" w:hAnsi="Verdana"/>
            <w:noProof/>
          </w:rPr>
          <w:fldChar w:fldCharType="end"/>
        </w:r>
      </w:p>
    </w:sdtContent>
  </w:sdt>
  <w:p w14:paraId="043FFFB6" w14:textId="77777777" w:rsidR="003E38C6" w:rsidRDefault="003E3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DBF37" w14:textId="3934853C" w:rsidR="00C84ECA" w:rsidRDefault="00C84ECA">
    <w:pPr>
      <w:pStyle w:val="Footer"/>
      <w:jc w:val="center"/>
    </w:pPr>
  </w:p>
  <w:p w14:paraId="0BC37991" w14:textId="77777777" w:rsidR="00206091" w:rsidRDefault="00206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5AED7" w14:textId="77777777" w:rsidR="00D0213F" w:rsidRDefault="00D0213F" w:rsidP="00CD29C6">
      <w:r>
        <w:separator/>
      </w:r>
    </w:p>
  </w:footnote>
  <w:footnote w:type="continuationSeparator" w:id="0">
    <w:p w14:paraId="1FCC5CE9" w14:textId="77777777" w:rsidR="00D0213F" w:rsidRDefault="00D0213F" w:rsidP="00CD29C6">
      <w:r>
        <w:continuationSeparator/>
      </w:r>
    </w:p>
  </w:footnote>
  <w:footnote w:id="1">
    <w:p w14:paraId="1FB1E69F" w14:textId="3F0E14BD" w:rsidR="005E3764" w:rsidRPr="005E3764" w:rsidRDefault="00A472EA" w:rsidP="004644A0">
      <w:pPr>
        <w:pStyle w:val="FootnoteText"/>
        <w:jc w:val="both"/>
        <w:rPr>
          <w:rFonts w:ascii="Verdana" w:hAnsi="Verdana"/>
          <w:bCs/>
          <w:i/>
          <w:color w:val="000000"/>
          <w:sz w:val="16"/>
          <w:szCs w:val="16"/>
          <w:shd w:val="clear" w:color="auto" w:fill="FFFFFF"/>
        </w:rPr>
      </w:pPr>
      <w:r w:rsidRPr="005E3764">
        <w:rPr>
          <w:rStyle w:val="FootnoteReference"/>
          <w:rFonts w:ascii="Verdana" w:hAnsi="Verdana"/>
          <w:i/>
          <w:sz w:val="16"/>
          <w:szCs w:val="16"/>
        </w:rPr>
        <w:footnoteRef/>
      </w:r>
      <w:r w:rsidRPr="005E3764">
        <w:rPr>
          <w:rFonts w:ascii="Verdana" w:hAnsi="Verdana"/>
          <w:i/>
          <w:sz w:val="16"/>
          <w:szCs w:val="16"/>
        </w:rPr>
        <w:t xml:space="preserve"> </w:t>
      </w:r>
      <w:r w:rsidRPr="005E3764">
        <w:rPr>
          <w:rFonts w:ascii="Verdana" w:hAnsi="Verdana"/>
          <w:i/>
          <w:sz w:val="16"/>
          <w:szCs w:val="16"/>
        </w:rPr>
        <w:tab/>
      </w:r>
      <w:r w:rsidRPr="005E3764">
        <w:rPr>
          <w:rStyle w:val="Strong"/>
          <w:rFonts w:ascii="Verdana" w:hAnsi="Verdana"/>
          <w:b w:val="0"/>
          <w:i/>
          <w:color w:val="000000"/>
          <w:sz w:val="16"/>
          <w:szCs w:val="16"/>
          <w:shd w:val="clear" w:color="auto" w:fill="FFFFFF"/>
        </w:rPr>
        <w:t xml:space="preserve">Caso Trabajadores Cesados de Petroperú y otros Vs. Perú. Excepciones Preliminares, Fondo, Reparaciones y Costas. Sentencia de 23 de noviembre 2017. Serie C No. 344, Voto parcialmente disidente del Juez Antonio Humberto Sierra Porto. </w:t>
      </w:r>
    </w:p>
  </w:footnote>
  <w:footnote w:id="2">
    <w:p w14:paraId="06E92922" w14:textId="39DBC47F" w:rsidR="005E3764" w:rsidRPr="005E3764" w:rsidRDefault="00A472EA" w:rsidP="005F6D97">
      <w:pPr>
        <w:pStyle w:val="FootnoteText"/>
        <w:spacing w:before="120" w:after="120"/>
        <w:jc w:val="both"/>
        <w:rPr>
          <w:rFonts w:ascii="Verdana" w:hAnsi="Verdana"/>
          <w:bCs/>
          <w:i/>
          <w:color w:val="000000"/>
          <w:sz w:val="16"/>
          <w:szCs w:val="16"/>
          <w:shd w:val="clear" w:color="auto" w:fill="FFFFFF"/>
        </w:rPr>
      </w:pPr>
      <w:r w:rsidRPr="005E3764">
        <w:rPr>
          <w:rStyle w:val="FootnoteReference"/>
          <w:rFonts w:ascii="Verdana" w:hAnsi="Verdana"/>
          <w:i/>
          <w:sz w:val="16"/>
          <w:szCs w:val="16"/>
        </w:rPr>
        <w:footnoteRef/>
      </w:r>
      <w:r w:rsidRPr="005E3764">
        <w:rPr>
          <w:rFonts w:ascii="Verdana" w:hAnsi="Verdana"/>
          <w:i/>
          <w:sz w:val="16"/>
          <w:szCs w:val="16"/>
        </w:rPr>
        <w:t xml:space="preserve"> </w:t>
      </w:r>
      <w:r w:rsidRPr="005E3764">
        <w:rPr>
          <w:rFonts w:ascii="Verdana" w:hAnsi="Verdana"/>
          <w:i/>
          <w:sz w:val="16"/>
          <w:szCs w:val="16"/>
        </w:rPr>
        <w:tab/>
      </w:r>
      <w:r w:rsidRPr="005E3764">
        <w:rPr>
          <w:rStyle w:val="Strong"/>
          <w:rFonts w:ascii="Verdana" w:hAnsi="Verdana"/>
          <w:b w:val="0"/>
          <w:i/>
          <w:color w:val="000000"/>
          <w:sz w:val="16"/>
          <w:szCs w:val="16"/>
          <w:shd w:val="clear" w:color="auto" w:fill="FFFFFF"/>
        </w:rPr>
        <w:t>Caso Lagos del Campo Vs. Perú. Excepciones Preliminares, Fondo, Reparaciones y Costas. Sentencia de 31 de agosto de 2017. Serie C No. 340. Voto parcialmente disidente del Juez Antonio Humberto Si</w:t>
      </w:r>
      <w:r w:rsidR="0068291B" w:rsidRPr="005E3764">
        <w:rPr>
          <w:rStyle w:val="Strong"/>
          <w:rFonts w:ascii="Verdana" w:hAnsi="Verdana"/>
          <w:b w:val="0"/>
          <w:i/>
          <w:color w:val="000000"/>
          <w:sz w:val="16"/>
          <w:szCs w:val="16"/>
          <w:shd w:val="clear" w:color="auto" w:fill="FFFFFF"/>
        </w:rPr>
        <w:t>erra Porto.</w:t>
      </w:r>
    </w:p>
  </w:footnote>
  <w:footnote w:id="3">
    <w:p w14:paraId="10B2450F" w14:textId="1EBEFB0D" w:rsidR="00A472EA" w:rsidRPr="005E3764" w:rsidRDefault="00A472EA" w:rsidP="005F6D97">
      <w:pPr>
        <w:pStyle w:val="FootnoteText"/>
        <w:spacing w:before="120" w:after="120"/>
        <w:jc w:val="both"/>
        <w:rPr>
          <w:rFonts w:ascii="Verdana" w:hAnsi="Verdana"/>
          <w:i/>
          <w:sz w:val="16"/>
          <w:szCs w:val="16"/>
          <w:lang w:val="es-CR"/>
        </w:rPr>
      </w:pPr>
      <w:r w:rsidRPr="005E3764">
        <w:rPr>
          <w:rStyle w:val="FootnoteReference"/>
          <w:rFonts w:ascii="Verdana" w:hAnsi="Verdana"/>
          <w:i/>
          <w:sz w:val="16"/>
          <w:szCs w:val="16"/>
        </w:rPr>
        <w:footnoteRef/>
      </w:r>
      <w:r w:rsidRPr="005E3764">
        <w:rPr>
          <w:rFonts w:ascii="Verdana" w:hAnsi="Verdana"/>
          <w:i/>
          <w:sz w:val="16"/>
          <w:szCs w:val="16"/>
        </w:rPr>
        <w:t xml:space="preserve"> </w:t>
      </w:r>
      <w:r w:rsidRPr="005E3764">
        <w:rPr>
          <w:rFonts w:ascii="Verdana" w:hAnsi="Verdana"/>
          <w:i/>
          <w:sz w:val="16"/>
          <w:szCs w:val="16"/>
          <w:lang w:val="es-CR"/>
        </w:rPr>
        <w:tab/>
      </w:r>
      <w:r w:rsidRPr="005E3764">
        <w:rPr>
          <w:rStyle w:val="Strong"/>
          <w:rFonts w:ascii="Verdana" w:hAnsi="Verdana"/>
          <w:b w:val="0"/>
          <w:i/>
          <w:color w:val="000000"/>
          <w:sz w:val="16"/>
          <w:szCs w:val="16"/>
          <w:shd w:val="clear" w:color="auto" w:fill="FFFFFF"/>
        </w:rPr>
        <w:t xml:space="preserve">Caso Gonzales </w:t>
      </w:r>
      <w:proofErr w:type="spellStart"/>
      <w:r w:rsidRPr="005E3764">
        <w:rPr>
          <w:rStyle w:val="Strong"/>
          <w:rFonts w:ascii="Verdana" w:hAnsi="Verdana"/>
          <w:b w:val="0"/>
          <w:i/>
          <w:color w:val="000000"/>
          <w:sz w:val="16"/>
          <w:szCs w:val="16"/>
          <w:shd w:val="clear" w:color="auto" w:fill="FFFFFF"/>
        </w:rPr>
        <w:t>Lluy</w:t>
      </w:r>
      <w:proofErr w:type="spellEnd"/>
      <w:r w:rsidRPr="005E3764">
        <w:rPr>
          <w:rStyle w:val="Strong"/>
          <w:rFonts w:ascii="Verdana" w:hAnsi="Verdana"/>
          <w:b w:val="0"/>
          <w:i/>
          <w:color w:val="000000"/>
          <w:sz w:val="16"/>
          <w:szCs w:val="16"/>
          <w:shd w:val="clear" w:color="auto" w:fill="FFFFFF"/>
        </w:rPr>
        <w:t xml:space="preserve"> y otros Vs. Ecuador. Excepciones Preliminares, Fondo, Reparaciones y Costas. Sentencia de 1 de septiembre de 2015. Serie C No. 298. Voto Concurrente del Juez Humberto Antonio Sierra Porto.</w:t>
      </w:r>
    </w:p>
  </w:footnote>
  <w:footnote w:id="4">
    <w:p w14:paraId="11EBFC30" w14:textId="6A1AFCE6" w:rsidR="0068291B" w:rsidRPr="005E3764" w:rsidRDefault="000A7B2A" w:rsidP="000A7B2A">
      <w:pPr>
        <w:jc w:val="both"/>
        <w:rPr>
          <w:rFonts w:ascii="Verdana" w:hAnsi="Verdana"/>
          <w:noProof/>
          <w:sz w:val="16"/>
          <w:szCs w:val="16"/>
        </w:rPr>
      </w:pPr>
      <w:r w:rsidRPr="005E3764">
        <w:rPr>
          <w:rStyle w:val="FootnoteReference"/>
          <w:rFonts w:ascii="Verdana" w:hAnsi="Verdana"/>
          <w:i/>
          <w:sz w:val="16"/>
          <w:szCs w:val="16"/>
        </w:rPr>
        <w:footnoteRef/>
      </w:r>
      <w:r w:rsidRPr="005E3764">
        <w:rPr>
          <w:rFonts w:ascii="Verdana" w:hAnsi="Verdana"/>
          <w:i/>
          <w:sz w:val="16"/>
          <w:szCs w:val="16"/>
          <w:lang w:val="es-CR"/>
        </w:rPr>
        <w:t xml:space="preserve"> </w:t>
      </w:r>
      <w:r w:rsidRPr="005E3764">
        <w:rPr>
          <w:rFonts w:ascii="Verdana" w:hAnsi="Verdana"/>
          <w:i/>
          <w:sz w:val="16"/>
          <w:szCs w:val="16"/>
          <w:lang w:val="es-CR"/>
        </w:rPr>
        <w:tab/>
      </w:r>
      <w:r w:rsidR="005E3764" w:rsidRPr="005E3764">
        <w:rPr>
          <w:rFonts w:ascii="Verdana" w:hAnsi="Verdana"/>
          <w:i/>
          <w:sz w:val="16"/>
          <w:szCs w:val="16"/>
          <w:lang w:val="es-CR"/>
        </w:rPr>
        <w:t>Caso</w:t>
      </w:r>
      <w:r w:rsidR="00886AD4" w:rsidRPr="005E3764">
        <w:rPr>
          <w:rFonts w:ascii="Verdana" w:hAnsi="Verdana"/>
          <w:i/>
          <w:sz w:val="16"/>
          <w:szCs w:val="16"/>
          <w:lang w:val="es-CR"/>
        </w:rPr>
        <w:t xml:space="preserve"> </w:t>
      </w:r>
      <w:proofErr w:type="spellStart"/>
      <w:r w:rsidR="00886AD4" w:rsidRPr="005E3764">
        <w:rPr>
          <w:rFonts w:ascii="Verdana" w:hAnsi="Verdana"/>
          <w:i/>
          <w:sz w:val="16"/>
          <w:szCs w:val="16"/>
          <w:lang w:val="es-CR"/>
        </w:rPr>
        <w:t>Ivcher</w:t>
      </w:r>
      <w:proofErr w:type="spellEnd"/>
      <w:r w:rsidR="00886AD4" w:rsidRPr="005E3764">
        <w:rPr>
          <w:rFonts w:ascii="Verdana" w:hAnsi="Verdana"/>
          <w:i/>
          <w:sz w:val="16"/>
          <w:szCs w:val="16"/>
          <w:lang w:val="es-CR"/>
        </w:rPr>
        <w:t xml:space="preserve"> </w:t>
      </w:r>
      <w:proofErr w:type="spellStart"/>
      <w:r w:rsidR="00886AD4" w:rsidRPr="005E3764">
        <w:rPr>
          <w:rFonts w:ascii="Verdana" w:hAnsi="Verdana"/>
          <w:i/>
          <w:sz w:val="16"/>
          <w:szCs w:val="16"/>
          <w:lang w:val="es-CR"/>
        </w:rPr>
        <w:t>Bronstein</w:t>
      </w:r>
      <w:proofErr w:type="spellEnd"/>
      <w:r w:rsidR="00886AD4" w:rsidRPr="005E3764">
        <w:rPr>
          <w:rFonts w:ascii="Verdana" w:hAnsi="Verdana"/>
          <w:i/>
          <w:sz w:val="16"/>
          <w:szCs w:val="16"/>
          <w:lang w:val="es-CR"/>
        </w:rPr>
        <w:t xml:space="preserve">, </w:t>
      </w:r>
      <w:r w:rsidR="00886AD4" w:rsidRPr="005E3764">
        <w:rPr>
          <w:rFonts w:ascii="Verdana" w:hAnsi="Verdana"/>
          <w:bCs/>
          <w:i/>
          <w:sz w:val="16"/>
          <w:szCs w:val="16"/>
          <w:lang w:val="es-CR"/>
        </w:rPr>
        <w:t xml:space="preserve">Vs. </w:t>
      </w:r>
      <w:r w:rsidR="00886AD4" w:rsidRPr="005E3764">
        <w:rPr>
          <w:rFonts w:ascii="Verdana" w:hAnsi="Verdana"/>
          <w:bCs/>
          <w:i/>
          <w:sz w:val="16"/>
          <w:szCs w:val="16"/>
        </w:rPr>
        <w:t>Perú. Fondo, Reparaciones y Costas. Sentencia de 6 de febrero de 2001. Serie C No. 74</w:t>
      </w:r>
      <w:r w:rsidR="00886AD4" w:rsidRPr="005E3764">
        <w:rPr>
          <w:rFonts w:ascii="Verdana" w:hAnsi="Verdana"/>
          <w:i/>
          <w:sz w:val="16"/>
          <w:szCs w:val="16"/>
        </w:rPr>
        <w:t xml:space="preserve">, párr. 146; Caso </w:t>
      </w:r>
      <w:r w:rsidR="00886AD4" w:rsidRPr="005E3764">
        <w:rPr>
          <w:rFonts w:ascii="Verdana" w:hAnsi="Verdana"/>
          <w:bCs/>
          <w:i/>
          <w:sz w:val="16"/>
          <w:szCs w:val="16"/>
        </w:rPr>
        <w:t>"La Última Tentación de Cristo" (Olmedo Bustos y otros) Vs. Chile. Fondo, Reparaciones y Costas. Sentencia de 5 de febrero de 2001. Serie C No. 73</w:t>
      </w:r>
      <w:r w:rsidR="00886AD4" w:rsidRPr="005E3764">
        <w:rPr>
          <w:rFonts w:ascii="Verdana" w:hAnsi="Verdana"/>
          <w:i/>
          <w:sz w:val="16"/>
          <w:szCs w:val="16"/>
        </w:rPr>
        <w:t xml:space="preserve">, párr. 64; y </w:t>
      </w:r>
      <w:r w:rsidR="00886AD4" w:rsidRPr="005E3764">
        <w:rPr>
          <w:rFonts w:ascii="Verdana" w:hAnsi="Verdana"/>
          <w:bCs/>
          <w:i/>
          <w:sz w:val="16"/>
          <w:szCs w:val="16"/>
        </w:rPr>
        <w:t>La colegiación obligatoria de periodistas (Arts. 13 y 29 Convención Americana sobre Derechos Humanos). Opinión Consultiva OC-5/85 de 13 de noviembre de 1985. Serie A No. 5</w:t>
      </w:r>
      <w:r w:rsidR="00886AD4" w:rsidRPr="005E3764">
        <w:rPr>
          <w:rFonts w:ascii="Verdana" w:hAnsi="Verdana"/>
          <w:i/>
          <w:noProof/>
          <w:sz w:val="16"/>
          <w:szCs w:val="16"/>
        </w:rPr>
        <w:t>, párr. 30.</w:t>
      </w:r>
    </w:p>
    <w:p w14:paraId="15F2DC7A" w14:textId="77777777" w:rsidR="001E576A" w:rsidRPr="005E3764" w:rsidRDefault="001E576A" w:rsidP="000A7B2A">
      <w:pPr>
        <w:jc w:val="both"/>
        <w:rPr>
          <w:rFonts w:ascii="Verdana" w:hAnsi="Verdana"/>
          <w:noProof/>
          <w:sz w:val="16"/>
          <w:szCs w:val="16"/>
        </w:rPr>
      </w:pPr>
    </w:p>
  </w:footnote>
  <w:footnote w:id="5">
    <w:p w14:paraId="6799AD72" w14:textId="68CD44CC" w:rsidR="000A7B2A" w:rsidRDefault="000A7B2A" w:rsidP="000A7B2A">
      <w:pPr>
        <w:pStyle w:val="FootnoteText"/>
        <w:jc w:val="both"/>
        <w:rPr>
          <w:rFonts w:ascii="Verdana" w:hAnsi="Verdana"/>
          <w:noProof/>
          <w:sz w:val="16"/>
          <w:szCs w:val="16"/>
        </w:rPr>
      </w:pPr>
      <w:r w:rsidRPr="005E3764">
        <w:rPr>
          <w:rStyle w:val="FootnoteReference"/>
          <w:rFonts w:ascii="Verdana" w:hAnsi="Verdana"/>
          <w:sz w:val="16"/>
          <w:szCs w:val="16"/>
        </w:rPr>
        <w:footnoteRef/>
      </w:r>
      <w:r w:rsidRPr="005E3764">
        <w:rPr>
          <w:rFonts w:ascii="Verdana" w:hAnsi="Verdana"/>
          <w:sz w:val="16"/>
          <w:szCs w:val="16"/>
        </w:rPr>
        <w:t xml:space="preserve"> </w:t>
      </w:r>
      <w:r w:rsidRPr="005E3764">
        <w:rPr>
          <w:rFonts w:ascii="Verdana" w:hAnsi="Verdana"/>
          <w:sz w:val="16"/>
          <w:szCs w:val="16"/>
        </w:rPr>
        <w:tab/>
      </w:r>
      <w:r w:rsidR="002F2500" w:rsidRPr="005E3764">
        <w:rPr>
          <w:rFonts w:ascii="Verdana" w:hAnsi="Verdana"/>
          <w:i/>
          <w:sz w:val="16"/>
          <w:szCs w:val="16"/>
        </w:rPr>
        <w:t xml:space="preserve">Caso </w:t>
      </w:r>
      <w:proofErr w:type="spellStart"/>
      <w:r w:rsidR="002F2500" w:rsidRPr="005E3764">
        <w:rPr>
          <w:rFonts w:ascii="Verdana" w:hAnsi="Verdana"/>
          <w:i/>
          <w:sz w:val="16"/>
          <w:szCs w:val="16"/>
        </w:rPr>
        <w:t>Ivcher</w:t>
      </w:r>
      <w:proofErr w:type="spellEnd"/>
      <w:r w:rsidR="002F2500" w:rsidRPr="005E3764">
        <w:rPr>
          <w:rFonts w:ascii="Verdana" w:hAnsi="Verdana"/>
          <w:i/>
          <w:sz w:val="16"/>
          <w:szCs w:val="16"/>
        </w:rPr>
        <w:t xml:space="preserve"> </w:t>
      </w:r>
      <w:proofErr w:type="spellStart"/>
      <w:r w:rsidR="002F2500" w:rsidRPr="005E3764">
        <w:rPr>
          <w:rFonts w:ascii="Verdana" w:hAnsi="Verdana"/>
          <w:i/>
          <w:sz w:val="16"/>
          <w:szCs w:val="16"/>
        </w:rPr>
        <w:t>Bronstein</w:t>
      </w:r>
      <w:proofErr w:type="spellEnd"/>
      <w:r w:rsidR="002F2500" w:rsidRPr="005E3764">
        <w:rPr>
          <w:rFonts w:ascii="Verdana" w:hAnsi="Verdana"/>
          <w:i/>
          <w:sz w:val="16"/>
          <w:szCs w:val="16"/>
        </w:rPr>
        <w:t xml:space="preserve">, </w:t>
      </w:r>
      <w:r w:rsidR="002F2500" w:rsidRPr="005E3764">
        <w:rPr>
          <w:rFonts w:ascii="Verdana" w:hAnsi="Verdana"/>
          <w:bCs/>
          <w:i/>
          <w:sz w:val="16"/>
          <w:szCs w:val="16"/>
        </w:rPr>
        <w:t>Vs. Perú. Fondo, Reparaciones y Costas. Sentencia de 6 de febrero de 2001. Serie C No. 74</w:t>
      </w:r>
      <w:r w:rsidR="002F2500" w:rsidRPr="005E3764">
        <w:rPr>
          <w:rFonts w:ascii="Verdana" w:hAnsi="Verdana"/>
          <w:sz w:val="16"/>
          <w:szCs w:val="16"/>
        </w:rPr>
        <w:t xml:space="preserve">, párr. 147; </w:t>
      </w:r>
      <w:r w:rsidR="002F2500" w:rsidRPr="005E3764">
        <w:rPr>
          <w:rFonts w:ascii="Verdana" w:hAnsi="Verdana"/>
          <w:i/>
          <w:sz w:val="16"/>
          <w:szCs w:val="16"/>
        </w:rPr>
        <w:t xml:space="preserve">Caso </w:t>
      </w:r>
      <w:r w:rsidR="002F2500" w:rsidRPr="005E3764">
        <w:rPr>
          <w:rFonts w:ascii="Verdana" w:hAnsi="Verdana"/>
          <w:bCs/>
          <w:i/>
          <w:sz w:val="16"/>
          <w:szCs w:val="16"/>
        </w:rPr>
        <w:t>"La Última Tentación de Cristo" (Olmedo Bustos y otros) Vs. Chile. Fondo, Reparaciones y Costas. Sentencia de 5 de febrero de 2001. Serie C No. 73</w:t>
      </w:r>
      <w:r w:rsidR="002F2500" w:rsidRPr="005E3764">
        <w:rPr>
          <w:rFonts w:ascii="Verdana" w:hAnsi="Verdana"/>
          <w:sz w:val="16"/>
          <w:szCs w:val="16"/>
        </w:rPr>
        <w:t>,</w:t>
      </w:r>
      <w:r w:rsidR="002F2500" w:rsidRPr="005E3764">
        <w:rPr>
          <w:rFonts w:ascii="Verdana" w:hAnsi="Verdana"/>
          <w:i/>
          <w:sz w:val="16"/>
          <w:szCs w:val="16"/>
        </w:rPr>
        <w:t xml:space="preserve"> </w:t>
      </w:r>
      <w:r w:rsidR="002F2500" w:rsidRPr="005E3764">
        <w:rPr>
          <w:rFonts w:ascii="Verdana" w:hAnsi="Verdana"/>
          <w:sz w:val="16"/>
          <w:szCs w:val="16"/>
        </w:rPr>
        <w:t xml:space="preserve">párr. 65; y </w:t>
      </w:r>
      <w:r w:rsidR="002F2500" w:rsidRPr="005E3764">
        <w:rPr>
          <w:rFonts w:ascii="Verdana" w:hAnsi="Verdana"/>
          <w:bCs/>
          <w:i/>
          <w:sz w:val="16"/>
          <w:szCs w:val="16"/>
        </w:rPr>
        <w:t>La colegiación obligatoria de periodistas (Arts. 13 y 29 Convención Americana sobre Derechos Humanos). Opinión Consultiva OC-5/85 de 13 de noviembre de 1985. Serie A No. 5</w:t>
      </w:r>
      <w:r w:rsidR="002F2500" w:rsidRPr="005E3764">
        <w:rPr>
          <w:rFonts w:ascii="Verdana" w:hAnsi="Verdana"/>
          <w:i/>
          <w:noProof/>
          <w:sz w:val="16"/>
          <w:szCs w:val="16"/>
        </w:rPr>
        <w:t xml:space="preserve">, </w:t>
      </w:r>
      <w:r w:rsidR="002F2500" w:rsidRPr="005E3764">
        <w:rPr>
          <w:rFonts w:ascii="Verdana" w:hAnsi="Verdana"/>
          <w:noProof/>
          <w:sz w:val="16"/>
          <w:szCs w:val="16"/>
        </w:rPr>
        <w:t>párr. 31.</w:t>
      </w:r>
    </w:p>
    <w:p w14:paraId="3D97B2AD" w14:textId="77777777" w:rsidR="00950F44" w:rsidRPr="005E3764" w:rsidRDefault="00950F44" w:rsidP="000A7B2A">
      <w:pPr>
        <w:pStyle w:val="FootnoteText"/>
        <w:jc w:val="both"/>
        <w:rPr>
          <w:rFonts w:ascii="Verdana" w:hAnsi="Verdana"/>
          <w:noProof/>
          <w:sz w:val="16"/>
          <w:szCs w:val="16"/>
        </w:rPr>
      </w:pPr>
    </w:p>
  </w:footnote>
  <w:footnote w:id="6">
    <w:p w14:paraId="0D9FCC74" w14:textId="78CEA4B8" w:rsidR="000A7B2A" w:rsidRPr="005E3764" w:rsidRDefault="000A7B2A" w:rsidP="000A7B2A">
      <w:pPr>
        <w:pStyle w:val="FootnoteText"/>
        <w:jc w:val="both"/>
        <w:rPr>
          <w:rFonts w:ascii="Verdana" w:hAnsi="Verdana"/>
          <w:sz w:val="16"/>
        </w:rPr>
      </w:pPr>
      <w:r w:rsidRPr="005E3764">
        <w:rPr>
          <w:rStyle w:val="FootnoteReference"/>
          <w:rFonts w:ascii="Verdana" w:hAnsi="Verdana"/>
          <w:sz w:val="16"/>
        </w:rPr>
        <w:footnoteRef/>
      </w:r>
      <w:r w:rsidRPr="005E3764">
        <w:rPr>
          <w:rFonts w:ascii="Verdana" w:hAnsi="Verdana"/>
          <w:sz w:val="16"/>
        </w:rPr>
        <w:t xml:space="preserve"> </w:t>
      </w:r>
      <w:r w:rsidRPr="005E3764">
        <w:rPr>
          <w:rFonts w:ascii="Verdana" w:hAnsi="Verdana"/>
          <w:sz w:val="16"/>
        </w:rPr>
        <w:tab/>
      </w:r>
      <w:r w:rsidR="00FE4696" w:rsidRPr="005E3764">
        <w:rPr>
          <w:rFonts w:ascii="Verdana" w:hAnsi="Verdana"/>
          <w:i/>
          <w:sz w:val="16"/>
          <w:szCs w:val="16"/>
        </w:rPr>
        <w:t xml:space="preserve">Caso </w:t>
      </w:r>
      <w:proofErr w:type="spellStart"/>
      <w:r w:rsidR="00FE4696" w:rsidRPr="005E3764">
        <w:rPr>
          <w:rFonts w:ascii="Verdana" w:hAnsi="Verdana"/>
          <w:i/>
          <w:sz w:val="16"/>
          <w:szCs w:val="16"/>
        </w:rPr>
        <w:t>Ivcher</w:t>
      </w:r>
      <w:proofErr w:type="spellEnd"/>
      <w:r w:rsidR="00FE4696" w:rsidRPr="005E3764">
        <w:rPr>
          <w:rFonts w:ascii="Verdana" w:hAnsi="Verdana"/>
          <w:i/>
          <w:sz w:val="16"/>
          <w:szCs w:val="16"/>
        </w:rPr>
        <w:t xml:space="preserve"> </w:t>
      </w:r>
      <w:proofErr w:type="spellStart"/>
      <w:r w:rsidR="00FE4696" w:rsidRPr="005E3764">
        <w:rPr>
          <w:rFonts w:ascii="Verdana" w:hAnsi="Verdana"/>
          <w:i/>
          <w:sz w:val="16"/>
          <w:szCs w:val="16"/>
        </w:rPr>
        <w:t>Bronstein</w:t>
      </w:r>
      <w:proofErr w:type="spellEnd"/>
      <w:r w:rsidR="00FE4696" w:rsidRPr="005E3764">
        <w:rPr>
          <w:rFonts w:ascii="Verdana" w:hAnsi="Verdana"/>
          <w:i/>
          <w:sz w:val="16"/>
          <w:szCs w:val="16"/>
        </w:rPr>
        <w:t xml:space="preserve">, </w:t>
      </w:r>
      <w:r w:rsidR="00FE4696" w:rsidRPr="005E3764">
        <w:rPr>
          <w:rFonts w:ascii="Verdana" w:hAnsi="Verdana"/>
          <w:bCs/>
          <w:i/>
          <w:sz w:val="16"/>
          <w:szCs w:val="16"/>
        </w:rPr>
        <w:t>Vs. Perú. Fondo, Reparaciones y Costas. Sentencia de 6 de febrero de 2001. Serie C No. 74</w:t>
      </w:r>
      <w:r w:rsidR="00FE4696" w:rsidRPr="005E3764">
        <w:rPr>
          <w:rFonts w:ascii="Verdana" w:hAnsi="Verdana"/>
          <w:i/>
          <w:sz w:val="16"/>
          <w:szCs w:val="16"/>
        </w:rPr>
        <w:t xml:space="preserve">, párr. 147; Caso </w:t>
      </w:r>
      <w:r w:rsidR="00FE4696" w:rsidRPr="005E3764">
        <w:rPr>
          <w:rFonts w:ascii="Verdana" w:hAnsi="Verdana"/>
          <w:bCs/>
          <w:i/>
          <w:sz w:val="16"/>
          <w:szCs w:val="16"/>
        </w:rPr>
        <w:t>"La Última Tentación de Cristo" (Olmedo Bustos y otros) Vs. Chile. Fondo, Reparaciones y Costas. Sentencia de 5 de febrero de 2001. Serie C No. 73</w:t>
      </w:r>
      <w:r w:rsidR="00FE4696" w:rsidRPr="005E3764">
        <w:rPr>
          <w:rFonts w:ascii="Verdana" w:hAnsi="Verdana"/>
          <w:i/>
          <w:sz w:val="16"/>
          <w:szCs w:val="16"/>
        </w:rPr>
        <w:t xml:space="preserve">, párr. 65; y </w:t>
      </w:r>
      <w:r w:rsidR="00FE4696" w:rsidRPr="005E3764">
        <w:rPr>
          <w:rFonts w:ascii="Verdana" w:hAnsi="Verdana"/>
          <w:bCs/>
          <w:i/>
          <w:sz w:val="16"/>
          <w:szCs w:val="16"/>
        </w:rPr>
        <w:t>La colegiación obligatoria de periodistas (Arts. 13 y 29 Convención Americana sobre Derechos Humanos). Opinión Consultiva OC-5/85 de 13 de noviembre de 1985. Serie A No. 5</w:t>
      </w:r>
      <w:r w:rsidR="00FE4696" w:rsidRPr="005E3764">
        <w:rPr>
          <w:rFonts w:ascii="Verdana" w:hAnsi="Verdana"/>
          <w:i/>
          <w:noProof/>
          <w:sz w:val="16"/>
          <w:szCs w:val="16"/>
        </w:rPr>
        <w:t>, párr. 36.</w:t>
      </w:r>
      <w:r w:rsidRPr="005E3764">
        <w:rPr>
          <w:rFonts w:ascii="Verdana" w:hAnsi="Verdana"/>
          <w:noProof/>
          <w:sz w:val="16"/>
        </w:rPr>
        <w:t xml:space="preserve"> </w:t>
      </w:r>
    </w:p>
    <w:p w14:paraId="4673300B" w14:textId="77777777" w:rsidR="000A7B2A" w:rsidRPr="005E3764" w:rsidRDefault="000A7B2A" w:rsidP="000A7B2A">
      <w:pPr>
        <w:pStyle w:val="FootnoteText"/>
        <w:jc w:val="both"/>
        <w:rPr>
          <w:rFonts w:ascii="Verdana" w:hAnsi="Verdana"/>
          <w:sz w:val="16"/>
        </w:rPr>
      </w:pPr>
    </w:p>
  </w:footnote>
  <w:footnote w:id="7">
    <w:p w14:paraId="1E101137" w14:textId="77777777" w:rsidR="00FE4696" w:rsidRPr="005E3764" w:rsidRDefault="000A7B2A" w:rsidP="000A7B2A">
      <w:pPr>
        <w:pStyle w:val="FootnoteText"/>
        <w:jc w:val="both"/>
        <w:rPr>
          <w:rFonts w:ascii="Verdana" w:hAnsi="Verdana"/>
          <w:i/>
          <w:noProof/>
          <w:sz w:val="16"/>
          <w:szCs w:val="16"/>
        </w:rPr>
      </w:pPr>
      <w:r w:rsidRPr="005E3764">
        <w:rPr>
          <w:rStyle w:val="FootnoteReference"/>
          <w:rFonts w:ascii="Verdana" w:hAnsi="Verdana"/>
          <w:sz w:val="16"/>
        </w:rPr>
        <w:footnoteRef/>
      </w:r>
      <w:r w:rsidRPr="005E3764">
        <w:rPr>
          <w:rFonts w:ascii="Verdana" w:hAnsi="Verdana"/>
          <w:sz w:val="16"/>
        </w:rPr>
        <w:t xml:space="preserve"> </w:t>
      </w:r>
      <w:r w:rsidRPr="005E3764">
        <w:rPr>
          <w:rFonts w:ascii="Verdana" w:hAnsi="Verdana"/>
          <w:sz w:val="16"/>
        </w:rPr>
        <w:tab/>
      </w:r>
      <w:r w:rsidR="00FE4696" w:rsidRPr="005E3764">
        <w:rPr>
          <w:rFonts w:ascii="Verdana" w:hAnsi="Verdana"/>
          <w:i/>
          <w:sz w:val="16"/>
          <w:szCs w:val="16"/>
        </w:rPr>
        <w:t xml:space="preserve">Caso </w:t>
      </w:r>
      <w:proofErr w:type="spellStart"/>
      <w:r w:rsidR="00FE4696" w:rsidRPr="005E3764">
        <w:rPr>
          <w:rFonts w:ascii="Verdana" w:hAnsi="Verdana"/>
          <w:i/>
          <w:sz w:val="16"/>
          <w:szCs w:val="16"/>
        </w:rPr>
        <w:t>Ivcher</w:t>
      </w:r>
      <w:proofErr w:type="spellEnd"/>
      <w:r w:rsidR="00FE4696" w:rsidRPr="005E3764">
        <w:rPr>
          <w:rFonts w:ascii="Verdana" w:hAnsi="Verdana"/>
          <w:i/>
          <w:sz w:val="16"/>
          <w:szCs w:val="16"/>
        </w:rPr>
        <w:t xml:space="preserve"> </w:t>
      </w:r>
      <w:proofErr w:type="spellStart"/>
      <w:r w:rsidR="00FE4696" w:rsidRPr="005E3764">
        <w:rPr>
          <w:rFonts w:ascii="Verdana" w:hAnsi="Verdana"/>
          <w:i/>
          <w:sz w:val="16"/>
          <w:szCs w:val="16"/>
        </w:rPr>
        <w:t>Bronstein</w:t>
      </w:r>
      <w:proofErr w:type="spellEnd"/>
      <w:r w:rsidR="00FE4696" w:rsidRPr="005E3764">
        <w:rPr>
          <w:rFonts w:ascii="Verdana" w:hAnsi="Verdana"/>
          <w:i/>
          <w:sz w:val="16"/>
          <w:szCs w:val="16"/>
        </w:rPr>
        <w:t xml:space="preserve">, </w:t>
      </w:r>
      <w:r w:rsidR="00FE4696" w:rsidRPr="005E3764">
        <w:rPr>
          <w:rFonts w:ascii="Verdana" w:hAnsi="Verdana"/>
          <w:bCs/>
          <w:i/>
          <w:sz w:val="16"/>
          <w:szCs w:val="16"/>
        </w:rPr>
        <w:t>Vs. Perú. Fondo, Reparaciones y Costas. Sentencia de 6 de febrero de 2001. Serie C No. 74</w:t>
      </w:r>
      <w:r w:rsidR="00FE4696" w:rsidRPr="005E3764">
        <w:rPr>
          <w:rFonts w:ascii="Verdana" w:hAnsi="Verdana"/>
          <w:i/>
          <w:sz w:val="16"/>
          <w:szCs w:val="16"/>
        </w:rPr>
        <w:t xml:space="preserve">, párr. 148; Caso </w:t>
      </w:r>
      <w:r w:rsidR="00FE4696" w:rsidRPr="005E3764">
        <w:rPr>
          <w:rFonts w:ascii="Verdana" w:hAnsi="Verdana"/>
          <w:bCs/>
          <w:i/>
          <w:sz w:val="16"/>
          <w:szCs w:val="16"/>
        </w:rPr>
        <w:t>"La Última Tentación de Cristo" (Olmedo Bustos y otros) Vs. Chile. Fondo, Reparaciones y Costas. Sentencia de 5 de febrero de 2001. Serie C No. 73</w:t>
      </w:r>
      <w:r w:rsidR="00FE4696" w:rsidRPr="005E3764">
        <w:rPr>
          <w:rFonts w:ascii="Verdana" w:hAnsi="Verdana"/>
          <w:i/>
          <w:sz w:val="16"/>
          <w:szCs w:val="16"/>
        </w:rPr>
        <w:t xml:space="preserve">, párr. 66; y </w:t>
      </w:r>
      <w:r w:rsidR="00FE4696" w:rsidRPr="005E3764">
        <w:rPr>
          <w:rFonts w:ascii="Verdana" w:hAnsi="Verdana"/>
          <w:bCs/>
          <w:i/>
          <w:sz w:val="16"/>
          <w:szCs w:val="16"/>
        </w:rPr>
        <w:t>La colegiación obligatoria de periodistas (Arts. 13 y 29 Convención Americana sobre Derechos Humanos). Opinión Consultiva OC-5/85 de 13 de noviembre de 1985. Serie A No. 5</w:t>
      </w:r>
      <w:r w:rsidR="00FE4696" w:rsidRPr="005E3764">
        <w:rPr>
          <w:rFonts w:ascii="Verdana" w:hAnsi="Verdana"/>
          <w:i/>
          <w:noProof/>
          <w:sz w:val="16"/>
          <w:szCs w:val="16"/>
        </w:rPr>
        <w:t>, párr. 32.</w:t>
      </w:r>
    </w:p>
    <w:p w14:paraId="4103783A" w14:textId="77777777" w:rsidR="000A7B2A" w:rsidRPr="005E3764" w:rsidRDefault="000A7B2A" w:rsidP="000A7B2A">
      <w:pPr>
        <w:pStyle w:val="FootnoteText"/>
        <w:jc w:val="both"/>
        <w:rPr>
          <w:rFonts w:ascii="Verdana" w:hAnsi="Verdana"/>
          <w:sz w:val="16"/>
        </w:rPr>
      </w:pPr>
    </w:p>
  </w:footnote>
  <w:footnote w:id="8">
    <w:p w14:paraId="44E4B7F1" w14:textId="6D77E8D2" w:rsidR="000A7B2A" w:rsidRPr="005E3764" w:rsidRDefault="000A7B2A" w:rsidP="000A7B2A">
      <w:pPr>
        <w:pStyle w:val="FootnoteText"/>
        <w:jc w:val="both"/>
        <w:rPr>
          <w:rFonts w:ascii="Verdana" w:hAnsi="Verdana"/>
          <w:sz w:val="16"/>
        </w:rPr>
      </w:pPr>
      <w:r w:rsidRPr="005E3764">
        <w:rPr>
          <w:rStyle w:val="FootnoteReference"/>
          <w:rFonts w:ascii="Verdana" w:hAnsi="Verdana"/>
          <w:sz w:val="16"/>
        </w:rPr>
        <w:footnoteRef/>
      </w:r>
      <w:r w:rsidRPr="005E3764">
        <w:rPr>
          <w:rFonts w:ascii="Verdana" w:hAnsi="Verdana"/>
          <w:sz w:val="16"/>
        </w:rPr>
        <w:t xml:space="preserve"> </w:t>
      </w:r>
      <w:r w:rsidRPr="005E3764">
        <w:rPr>
          <w:rFonts w:ascii="Verdana" w:hAnsi="Verdana"/>
          <w:sz w:val="16"/>
        </w:rPr>
        <w:tab/>
      </w:r>
      <w:r w:rsidR="00FE4696" w:rsidRPr="005E3764">
        <w:rPr>
          <w:rFonts w:ascii="Verdana" w:hAnsi="Verdana"/>
          <w:i/>
          <w:sz w:val="16"/>
          <w:szCs w:val="16"/>
        </w:rPr>
        <w:t xml:space="preserve">Caso </w:t>
      </w:r>
      <w:proofErr w:type="spellStart"/>
      <w:r w:rsidR="00FE4696" w:rsidRPr="005E3764">
        <w:rPr>
          <w:rFonts w:ascii="Verdana" w:hAnsi="Verdana"/>
          <w:i/>
          <w:sz w:val="16"/>
          <w:szCs w:val="16"/>
        </w:rPr>
        <w:t>Ivcher</w:t>
      </w:r>
      <w:proofErr w:type="spellEnd"/>
      <w:r w:rsidR="00FE4696" w:rsidRPr="005E3764">
        <w:rPr>
          <w:rFonts w:ascii="Verdana" w:hAnsi="Verdana"/>
          <w:i/>
          <w:sz w:val="16"/>
          <w:szCs w:val="16"/>
        </w:rPr>
        <w:t xml:space="preserve"> </w:t>
      </w:r>
      <w:proofErr w:type="spellStart"/>
      <w:r w:rsidR="00FE4696" w:rsidRPr="005E3764">
        <w:rPr>
          <w:rFonts w:ascii="Verdana" w:hAnsi="Verdana"/>
          <w:i/>
          <w:sz w:val="16"/>
          <w:szCs w:val="16"/>
        </w:rPr>
        <w:t>Bronstein</w:t>
      </w:r>
      <w:proofErr w:type="spellEnd"/>
      <w:r w:rsidR="00FE4696" w:rsidRPr="005E3764">
        <w:rPr>
          <w:rFonts w:ascii="Verdana" w:hAnsi="Verdana"/>
          <w:i/>
          <w:sz w:val="16"/>
          <w:szCs w:val="16"/>
        </w:rPr>
        <w:t xml:space="preserve">, </w:t>
      </w:r>
      <w:r w:rsidR="00FE4696" w:rsidRPr="005E3764">
        <w:rPr>
          <w:rFonts w:ascii="Verdana" w:hAnsi="Verdana"/>
          <w:bCs/>
          <w:i/>
          <w:sz w:val="16"/>
          <w:szCs w:val="16"/>
        </w:rPr>
        <w:t>Vs. Perú. Fondo, Reparaciones y Costas. Sentencia de 6 de febrero de 2001. Serie C No. 74</w:t>
      </w:r>
      <w:r w:rsidR="00FE4696" w:rsidRPr="005E3764">
        <w:rPr>
          <w:rFonts w:ascii="Verdana" w:hAnsi="Verdana"/>
          <w:i/>
          <w:sz w:val="16"/>
          <w:szCs w:val="16"/>
        </w:rPr>
        <w:t xml:space="preserve">, párr. 149; Caso </w:t>
      </w:r>
      <w:r w:rsidR="00FE4696" w:rsidRPr="005E3764">
        <w:rPr>
          <w:rFonts w:ascii="Verdana" w:hAnsi="Verdana"/>
          <w:bCs/>
          <w:i/>
          <w:sz w:val="16"/>
          <w:szCs w:val="16"/>
        </w:rPr>
        <w:t>"La Última Tentación de Cristo" (Olmedo Bustos y otros) Vs. Chile. Fondo, Reparaciones y Costas. Sentencia de 5 de febrero de 2001. Serie C No. 73</w:t>
      </w:r>
      <w:r w:rsidR="00FE4696" w:rsidRPr="005E3764">
        <w:rPr>
          <w:rFonts w:ascii="Verdana" w:hAnsi="Verdana"/>
          <w:i/>
          <w:sz w:val="16"/>
          <w:szCs w:val="16"/>
        </w:rPr>
        <w:t xml:space="preserve">, párr. 67; y </w:t>
      </w:r>
      <w:r w:rsidR="00FE4696" w:rsidRPr="005E3764">
        <w:rPr>
          <w:rFonts w:ascii="Verdana" w:hAnsi="Verdana"/>
          <w:bCs/>
          <w:i/>
          <w:sz w:val="16"/>
          <w:szCs w:val="16"/>
        </w:rPr>
        <w:t>La colegiación obligatoria de periodistas (Arts. 13 y 29 Convención Americana sobre Derechos Humanos). Opinión Consultiva OC-5/85 de 13 de noviembre de 1985. Serie A No. 5</w:t>
      </w:r>
      <w:r w:rsidR="00FE4696" w:rsidRPr="005E3764">
        <w:rPr>
          <w:rFonts w:ascii="Verdana" w:hAnsi="Verdana"/>
          <w:i/>
          <w:noProof/>
          <w:sz w:val="16"/>
          <w:szCs w:val="16"/>
        </w:rPr>
        <w:t>, párr. 32.</w:t>
      </w:r>
    </w:p>
  </w:footnote>
  <w:footnote w:id="9">
    <w:p w14:paraId="66BE0A74" w14:textId="08B50BCA" w:rsidR="00CD43BF" w:rsidRPr="00B27195" w:rsidRDefault="00CD43BF" w:rsidP="00CD43BF">
      <w:pPr>
        <w:pStyle w:val="FootnoteText"/>
        <w:rPr>
          <w:rFonts w:ascii="Verdana" w:hAnsi="Verdana"/>
          <w:i/>
          <w:sz w:val="16"/>
          <w:szCs w:val="16"/>
        </w:rPr>
      </w:pPr>
      <w:r w:rsidRPr="00B27195">
        <w:rPr>
          <w:rStyle w:val="FootnoteReference"/>
          <w:rFonts w:ascii="Verdana" w:hAnsi="Verdana"/>
          <w:i/>
          <w:sz w:val="16"/>
          <w:szCs w:val="16"/>
        </w:rPr>
        <w:footnoteRef/>
      </w:r>
      <w:r w:rsidRPr="00B27195">
        <w:rPr>
          <w:rFonts w:ascii="Verdana" w:hAnsi="Verdana"/>
          <w:i/>
          <w:sz w:val="16"/>
          <w:szCs w:val="16"/>
        </w:rPr>
        <w:t xml:space="preserve"> </w:t>
      </w:r>
      <w:r w:rsidR="00FE4696" w:rsidRPr="00B27195">
        <w:rPr>
          <w:rFonts w:ascii="Verdana" w:hAnsi="Verdana"/>
          <w:bCs/>
          <w:i/>
          <w:sz w:val="16"/>
          <w:szCs w:val="16"/>
          <w:lang w:val="es-ES_tradnl"/>
        </w:rPr>
        <w:t xml:space="preserve">Caso Ricardo </w:t>
      </w:r>
      <w:proofErr w:type="spellStart"/>
      <w:r w:rsidR="00FE4696" w:rsidRPr="00B27195">
        <w:rPr>
          <w:rFonts w:ascii="Verdana" w:hAnsi="Verdana"/>
          <w:bCs/>
          <w:i/>
          <w:sz w:val="16"/>
          <w:szCs w:val="16"/>
          <w:lang w:val="es-ES_tradnl"/>
        </w:rPr>
        <w:t>Canese</w:t>
      </w:r>
      <w:proofErr w:type="spellEnd"/>
      <w:r w:rsidR="00FE4696" w:rsidRPr="00B27195">
        <w:rPr>
          <w:rFonts w:ascii="Verdana" w:hAnsi="Verdana"/>
          <w:bCs/>
          <w:i/>
          <w:sz w:val="16"/>
          <w:szCs w:val="16"/>
          <w:lang w:val="es-ES_tradnl"/>
        </w:rPr>
        <w:t xml:space="preserve"> Vs. Paraguay. Fondo, Reparaciones y Costas. Sentencia de 31 de agosto de 2004. Serie C No. 111, </w:t>
      </w:r>
      <w:r w:rsidR="00FE4696" w:rsidRPr="00B27195">
        <w:rPr>
          <w:rFonts w:ascii="Verdana" w:hAnsi="Verdana"/>
          <w:i/>
          <w:sz w:val="16"/>
          <w:szCs w:val="16"/>
        </w:rPr>
        <w:t>párr. 88.</w:t>
      </w:r>
    </w:p>
  </w:footnote>
  <w:footnote w:id="10">
    <w:p w14:paraId="2476608D" w14:textId="550ADB56" w:rsidR="00A472EA" w:rsidRPr="008910BB" w:rsidRDefault="00A472EA" w:rsidP="00B328AA">
      <w:pPr>
        <w:pStyle w:val="FootnoteText"/>
        <w:spacing w:before="120" w:after="120"/>
        <w:jc w:val="both"/>
        <w:rPr>
          <w:rFonts w:ascii="Verdana" w:hAnsi="Verdana"/>
          <w:sz w:val="16"/>
          <w:szCs w:val="16"/>
        </w:rPr>
      </w:pPr>
      <w:r w:rsidRPr="008910BB">
        <w:rPr>
          <w:rStyle w:val="FootnoteReference"/>
          <w:rFonts w:ascii="Verdana" w:hAnsi="Verdana"/>
          <w:sz w:val="16"/>
          <w:szCs w:val="16"/>
        </w:rPr>
        <w:footnoteRef/>
      </w:r>
      <w:r w:rsidRPr="008910BB">
        <w:rPr>
          <w:rFonts w:ascii="Verdana" w:hAnsi="Verdana"/>
          <w:sz w:val="16"/>
          <w:szCs w:val="16"/>
        </w:rPr>
        <w:t xml:space="preserve"> </w:t>
      </w:r>
      <w:r>
        <w:rPr>
          <w:rFonts w:ascii="Verdana" w:hAnsi="Verdana"/>
          <w:sz w:val="16"/>
          <w:szCs w:val="16"/>
        </w:rPr>
        <w:tab/>
      </w:r>
      <w:r w:rsidR="00B27195" w:rsidRPr="00280CE2">
        <w:rPr>
          <w:rFonts w:ascii="Verdana" w:hAnsi="Verdana"/>
          <w:bCs/>
          <w:i/>
          <w:sz w:val="16"/>
          <w:szCs w:val="16"/>
          <w:lang w:val="es-ES_tradnl"/>
        </w:rPr>
        <w:t>Caso Lagos del Campo Vs. Perú. Excepciones Preliminares, Fondo, Reparaciones y Costas. Sentencia de 31 de agosto de 2017. Serie C No. 340</w:t>
      </w:r>
      <w:r w:rsidR="00B27195" w:rsidRPr="00280CE2">
        <w:rPr>
          <w:rFonts w:ascii="Verdana" w:hAnsi="Verdana"/>
          <w:i/>
          <w:sz w:val="16"/>
          <w:szCs w:val="16"/>
        </w:rPr>
        <w:t xml:space="preserve">, párr. 154; y </w:t>
      </w:r>
      <w:r w:rsidR="00B27195" w:rsidRPr="00280CE2">
        <w:rPr>
          <w:rFonts w:ascii="Verdana" w:hAnsi="Verdana"/>
          <w:bCs/>
          <w:i/>
          <w:sz w:val="16"/>
          <w:szCs w:val="16"/>
          <w:lang w:val="es-ES_tradnl"/>
        </w:rPr>
        <w:t>Caso Trabajadores Cesados de Petroperú y otros Vs. Perú. Excepciones Preliminares, Fondo, Reparaciones y Costas. Sentencia de 23 de noviembre de 2017. Serie C No. 344</w:t>
      </w:r>
      <w:r w:rsidR="00B27195" w:rsidRPr="00280CE2">
        <w:rPr>
          <w:rStyle w:val="Strong"/>
          <w:rFonts w:ascii="Verdana" w:hAnsi="Verdana"/>
          <w:b w:val="0"/>
          <w:i/>
          <w:color w:val="000000"/>
          <w:sz w:val="16"/>
          <w:szCs w:val="16"/>
          <w:shd w:val="clear" w:color="auto" w:fill="FFFFFF"/>
        </w:rPr>
        <w:t>, párr. 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F175" w14:textId="77777777" w:rsidR="0051213E" w:rsidRDefault="005121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84E1B" w14:textId="77777777" w:rsidR="0051213E" w:rsidRDefault="005121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5B3C3" w14:textId="77777777" w:rsidR="0051213E" w:rsidRDefault="005121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FC320B"/>
    <w:multiLevelType w:val="hybridMultilevel"/>
    <w:tmpl w:val="9AA2C426"/>
    <w:lvl w:ilvl="0" w:tplc="94809758">
      <w:start w:val="1"/>
      <w:numFmt w:val="decimal"/>
      <w:lvlText w:val="%1."/>
      <w:lvlJc w:val="left"/>
      <w:pPr>
        <w:ind w:left="720" w:hanging="360"/>
      </w:pPr>
      <w:rPr>
        <w:rFonts w:ascii="Verdana" w:hAnsi="Verdana" w:hint="default"/>
        <w:sz w:val="20"/>
        <w:szCs w:val="20"/>
      </w:rPr>
    </w:lvl>
    <w:lvl w:ilvl="1" w:tplc="81EA946E">
      <w:numFmt w:val="bullet"/>
      <w:lvlText w:val="-"/>
      <w:lvlJc w:val="left"/>
      <w:pPr>
        <w:ind w:left="1440" w:hanging="360"/>
      </w:pPr>
      <w:rPr>
        <w:rFonts w:ascii="Verdana" w:eastAsia="Calibri" w:hAnsi="Verdana" w:cs="Times New Roman"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B05751E"/>
    <w:multiLevelType w:val="hybridMultilevel"/>
    <w:tmpl w:val="466645B8"/>
    <w:lvl w:ilvl="0" w:tplc="EC38C51C">
      <w:start w:val="3"/>
      <w:numFmt w:val="bullet"/>
      <w:lvlText w:val="-"/>
      <w:lvlJc w:val="left"/>
      <w:pPr>
        <w:ind w:left="720" w:hanging="360"/>
      </w:pPr>
      <w:rPr>
        <w:rFonts w:ascii="Calibri" w:eastAsia="Times New Roman" w:hAnsi="Calibri" w:cs="Times New Roman" w:hint="default"/>
        <w:color w:val="auto"/>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nsid w:val="11FD4D6A"/>
    <w:multiLevelType w:val="hybridMultilevel"/>
    <w:tmpl w:val="4A3406AA"/>
    <w:lvl w:ilvl="0" w:tplc="A0207BE4">
      <w:numFmt w:val="bullet"/>
      <w:lvlText w:val="-"/>
      <w:lvlJc w:val="left"/>
      <w:pPr>
        <w:ind w:left="720" w:hanging="360"/>
      </w:pPr>
      <w:rPr>
        <w:rFonts w:ascii="Verdana" w:eastAsia="Calibri" w:hAnsi="Verdana"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nsid w:val="12E2293B"/>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36F3EA2"/>
    <w:multiLevelType w:val="hybridMultilevel"/>
    <w:tmpl w:val="D00E4DA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nsid w:val="140412F1"/>
    <w:multiLevelType w:val="hybridMultilevel"/>
    <w:tmpl w:val="E16EE408"/>
    <w:lvl w:ilvl="0" w:tplc="5674135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7C00C97"/>
    <w:multiLevelType w:val="hybridMultilevel"/>
    <w:tmpl w:val="BF5A83F6"/>
    <w:lvl w:ilvl="0" w:tplc="7FECE2E4">
      <w:start w:val="1"/>
      <w:numFmt w:val="lowerLetter"/>
      <w:lvlText w:val="%1)"/>
      <w:lvlJc w:val="left"/>
      <w:pPr>
        <w:ind w:left="720" w:hanging="360"/>
      </w:pPr>
      <w:rPr>
        <w:rFonts w:cs="Arial"/>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nsid w:val="41C2035A"/>
    <w:multiLevelType w:val="hybridMultilevel"/>
    <w:tmpl w:val="A554FE56"/>
    <w:lvl w:ilvl="0" w:tplc="040A0015">
      <w:start w:val="1"/>
      <w:numFmt w:val="upp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nsid w:val="43B2405F"/>
    <w:multiLevelType w:val="hybridMultilevel"/>
    <w:tmpl w:val="72F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60104"/>
    <w:multiLevelType w:val="hybridMultilevel"/>
    <w:tmpl w:val="23CE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56DE5"/>
    <w:multiLevelType w:val="hybridMultilevel"/>
    <w:tmpl w:val="5BE4D60C"/>
    <w:lvl w:ilvl="0" w:tplc="33BE4BF8">
      <w:start w:val="1"/>
      <w:numFmt w:val="decimal"/>
      <w:lvlText w:val="%1."/>
      <w:lvlJc w:val="left"/>
      <w:pPr>
        <w:ind w:left="360" w:hanging="360"/>
      </w:pPr>
      <w:rPr>
        <w:rFonts w:hint="default"/>
        <w:b w:val="0"/>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47460567"/>
    <w:multiLevelType w:val="hybridMultilevel"/>
    <w:tmpl w:val="B14AF2BA"/>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3552C4B"/>
    <w:multiLevelType w:val="hybridMultilevel"/>
    <w:tmpl w:val="7EAE6BCA"/>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4">
    <w:nsid w:val="54CB41EF"/>
    <w:multiLevelType w:val="hybridMultilevel"/>
    <w:tmpl w:val="E3D8703C"/>
    <w:lvl w:ilvl="0" w:tplc="15D6193E">
      <w:numFmt w:val="bullet"/>
      <w:lvlText w:val="-"/>
      <w:lvlJc w:val="left"/>
      <w:pPr>
        <w:ind w:left="720" w:hanging="360"/>
      </w:pPr>
      <w:rPr>
        <w:rFonts w:ascii="Verdana" w:eastAsia="Times New Roman" w:hAnsi="Verdana" w:cs="Aria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5">
    <w:nsid w:val="5A8C0434"/>
    <w:multiLevelType w:val="hybridMultilevel"/>
    <w:tmpl w:val="CAF24826"/>
    <w:lvl w:ilvl="0" w:tplc="25EC325A">
      <w:start w:val="1"/>
      <w:numFmt w:val="decimal"/>
      <w:lvlText w:val="%1."/>
      <w:lvlJc w:val="left"/>
      <w:pPr>
        <w:ind w:left="720" w:hanging="360"/>
      </w:pPr>
      <w:rPr>
        <w:b w:val="0"/>
        <w:i w:val="0"/>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nsid w:val="641546F7"/>
    <w:multiLevelType w:val="hybridMultilevel"/>
    <w:tmpl w:val="11320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6A9646C8"/>
    <w:multiLevelType w:val="hybridMultilevel"/>
    <w:tmpl w:val="5FB4E9D0"/>
    <w:lvl w:ilvl="0" w:tplc="B7C0BCBE">
      <w:start w:val="1"/>
      <w:numFmt w:val="upperRoman"/>
      <w:lvlText w:val="%1."/>
      <w:lvlJc w:val="left"/>
      <w:pPr>
        <w:ind w:left="1080" w:hanging="72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6B4F0C5E"/>
    <w:multiLevelType w:val="hybridMultilevel"/>
    <w:tmpl w:val="41C6A6CA"/>
    <w:lvl w:ilvl="0" w:tplc="77264A14">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369FF"/>
    <w:multiLevelType w:val="hybridMultilevel"/>
    <w:tmpl w:val="88F24608"/>
    <w:lvl w:ilvl="0" w:tplc="9F701216">
      <w:start w:val="1"/>
      <w:numFmt w:val="decimal"/>
      <w:lvlText w:val="%1."/>
      <w:lvlJc w:val="left"/>
      <w:pPr>
        <w:ind w:left="847" w:hanging="705"/>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1"/>
  </w:num>
  <w:num w:numId="2">
    <w:abstractNumId w:val="17"/>
  </w:num>
  <w:num w:numId="3">
    <w:abstractNumId w:val="12"/>
  </w:num>
  <w:num w:numId="4">
    <w:abstractNumId w:val="4"/>
  </w:num>
  <w:num w:numId="5">
    <w:abstractNumId w:val="18"/>
  </w:num>
  <w:num w:numId="6">
    <w:abstractNumId w:val="6"/>
  </w:num>
  <w:num w:numId="7">
    <w:abstractNumId w:val="19"/>
  </w:num>
  <w:num w:numId="8">
    <w:abstractNumId w:val="0"/>
  </w:num>
  <w:num w:numId="9">
    <w:abstractNumId w:val="1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78C"/>
    <w:rsid w:val="000043D0"/>
    <w:rsid w:val="00005018"/>
    <w:rsid w:val="00007F81"/>
    <w:rsid w:val="00010C33"/>
    <w:rsid w:val="00011633"/>
    <w:rsid w:val="00011C11"/>
    <w:rsid w:val="00012C79"/>
    <w:rsid w:val="00013E01"/>
    <w:rsid w:val="00015EE6"/>
    <w:rsid w:val="00017D5A"/>
    <w:rsid w:val="00022C9C"/>
    <w:rsid w:val="000230C3"/>
    <w:rsid w:val="00024D7D"/>
    <w:rsid w:val="00026D51"/>
    <w:rsid w:val="000270C2"/>
    <w:rsid w:val="0003001B"/>
    <w:rsid w:val="00035BF0"/>
    <w:rsid w:val="00035DDC"/>
    <w:rsid w:val="00036F42"/>
    <w:rsid w:val="00041A3D"/>
    <w:rsid w:val="00041E39"/>
    <w:rsid w:val="00042E3D"/>
    <w:rsid w:val="000430AE"/>
    <w:rsid w:val="000436C0"/>
    <w:rsid w:val="00045802"/>
    <w:rsid w:val="0004598E"/>
    <w:rsid w:val="0005000C"/>
    <w:rsid w:val="00050933"/>
    <w:rsid w:val="00061374"/>
    <w:rsid w:val="000614D5"/>
    <w:rsid w:val="00061CB4"/>
    <w:rsid w:val="00062F21"/>
    <w:rsid w:val="000642C7"/>
    <w:rsid w:val="00065330"/>
    <w:rsid w:val="0006539A"/>
    <w:rsid w:val="00066324"/>
    <w:rsid w:val="00066EF9"/>
    <w:rsid w:val="00071B30"/>
    <w:rsid w:val="00073817"/>
    <w:rsid w:val="000869CF"/>
    <w:rsid w:val="000911C1"/>
    <w:rsid w:val="00091C20"/>
    <w:rsid w:val="00093971"/>
    <w:rsid w:val="0009443E"/>
    <w:rsid w:val="000946EF"/>
    <w:rsid w:val="00095950"/>
    <w:rsid w:val="000A0CA2"/>
    <w:rsid w:val="000A1B3A"/>
    <w:rsid w:val="000A2705"/>
    <w:rsid w:val="000A59F7"/>
    <w:rsid w:val="000A7B2A"/>
    <w:rsid w:val="000A7D15"/>
    <w:rsid w:val="000B30D0"/>
    <w:rsid w:val="000B6BD9"/>
    <w:rsid w:val="000C18A8"/>
    <w:rsid w:val="000C1F1F"/>
    <w:rsid w:val="000C2A97"/>
    <w:rsid w:val="000C3A89"/>
    <w:rsid w:val="000C5016"/>
    <w:rsid w:val="000D0A2D"/>
    <w:rsid w:val="000D162A"/>
    <w:rsid w:val="000D3448"/>
    <w:rsid w:val="000D34D5"/>
    <w:rsid w:val="000D54B4"/>
    <w:rsid w:val="000D7159"/>
    <w:rsid w:val="000E3112"/>
    <w:rsid w:val="000E4097"/>
    <w:rsid w:val="000E41F9"/>
    <w:rsid w:val="000E4BB4"/>
    <w:rsid w:val="000E6A83"/>
    <w:rsid w:val="000E6B75"/>
    <w:rsid w:val="000F3071"/>
    <w:rsid w:val="000F514F"/>
    <w:rsid w:val="000F5B47"/>
    <w:rsid w:val="000F5EF1"/>
    <w:rsid w:val="000F791E"/>
    <w:rsid w:val="00100732"/>
    <w:rsid w:val="00101421"/>
    <w:rsid w:val="00101A8E"/>
    <w:rsid w:val="00102F6A"/>
    <w:rsid w:val="00103A0E"/>
    <w:rsid w:val="00106868"/>
    <w:rsid w:val="00107681"/>
    <w:rsid w:val="00107B18"/>
    <w:rsid w:val="00110703"/>
    <w:rsid w:val="00112414"/>
    <w:rsid w:val="0011537D"/>
    <w:rsid w:val="0011730F"/>
    <w:rsid w:val="00117968"/>
    <w:rsid w:val="001215F6"/>
    <w:rsid w:val="001218F2"/>
    <w:rsid w:val="00121DF2"/>
    <w:rsid w:val="00125AA9"/>
    <w:rsid w:val="00125FED"/>
    <w:rsid w:val="00131163"/>
    <w:rsid w:val="00132199"/>
    <w:rsid w:val="00132C6E"/>
    <w:rsid w:val="00133387"/>
    <w:rsid w:val="001351CB"/>
    <w:rsid w:val="0013664D"/>
    <w:rsid w:val="00137E21"/>
    <w:rsid w:val="00141439"/>
    <w:rsid w:val="00142A8E"/>
    <w:rsid w:val="001430F6"/>
    <w:rsid w:val="00146DB0"/>
    <w:rsid w:val="00147835"/>
    <w:rsid w:val="00147B36"/>
    <w:rsid w:val="00151EE0"/>
    <w:rsid w:val="00154E11"/>
    <w:rsid w:val="0016266D"/>
    <w:rsid w:val="001644E0"/>
    <w:rsid w:val="00164684"/>
    <w:rsid w:val="0016563B"/>
    <w:rsid w:val="001662ED"/>
    <w:rsid w:val="001725EB"/>
    <w:rsid w:val="00172F42"/>
    <w:rsid w:val="00173659"/>
    <w:rsid w:val="00173DCE"/>
    <w:rsid w:val="00174935"/>
    <w:rsid w:val="00176117"/>
    <w:rsid w:val="00176790"/>
    <w:rsid w:val="00176F93"/>
    <w:rsid w:val="0017735B"/>
    <w:rsid w:val="001803DC"/>
    <w:rsid w:val="001849CB"/>
    <w:rsid w:val="00186E87"/>
    <w:rsid w:val="00187C8F"/>
    <w:rsid w:val="00190CA2"/>
    <w:rsid w:val="00193EBA"/>
    <w:rsid w:val="00194271"/>
    <w:rsid w:val="001A14B2"/>
    <w:rsid w:val="001A29A3"/>
    <w:rsid w:val="001B0859"/>
    <w:rsid w:val="001B2137"/>
    <w:rsid w:val="001B3B0A"/>
    <w:rsid w:val="001B6D12"/>
    <w:rsid w:val="001C3BA1"/>
    <w:rsid w:val="001C3BD2"/>
    <w:rsid w:val="001C3BFA"/>
    <w:rsid w:val="001C4CB6"/>
    <w:rsid w:val="001C77D6"/>
    <w:rsid w:val="001C79BD"/>
    <w:rsid w:val="001C7BD1"/>
    <w:rsid w:val="001D3E71"/>
    <w:rsid w:val="001D60DF"/>
    <w:rsid w:val="001E09E0"/>
    <w:rsid w:val="001E1C66"/>
    <w:rsid w:val="001E3AF8"/>
    <w:rsid w:val="001E4202"/>
    <w:rsid w:val="001E576A"/>
    <w:rsid w:val="001E71EC"/>
    <w:rsid w:val="001E7A95"/>
    <w:rsid w:val="001F158C"/>
    <w:rsid w:val="001F2249"/>
    <w:rsid w:val="001F3C71"/>
    <w:rsid w:val="0020083B"/>
    <w:rsid w:val="002024FC"/>
    <w:rsid w:val="00204679"/>
    <w:rsid w:val="00206091"/>
    <w:rsid w:val="002064E9"/>
    <w:rsid w:val="00206631"/>
    <w:rsid w:val="00206C77"/>
    <w:rsid w:val="0021036B"/>
    <w:rsid w:val="00212873"/>
    <w:rsid w:val="002143F0"/>
    <w:rsid w:val="00215856"/>
    <w:rsid w:val="002215C1"/>
    <w:rsid w:val="002222F1"/>
    <w:rsid w:val="002228C1"/>
    <w:rsid w:val="00224C7A"/>
    <w:rsid w:val="002263EC"/>
    <w:rsid w:val="00231CF8"/>
    <w:rsid w:val="00232977"/>
    <w:rsid w:val="002351B4"/>
    <w:rsid w:val="0023579E"/>
    <w:rsid w:val="00240EF5"/>
    <w:rsid w:val="00242F3A"/>
    <w:rsid w:val="00243034"/>
    <w:rsid w:val="00245C36"/>
    <w:rsid w:val="00247707"/>
    <w:rsid w:val="00250DD3"/>
    <w:rsid w:val="00250F19"/>
    <w:rsid w:val="0025249A"/>
    <w:rsid w:val="0025265F"/>
    <w:rsid w:val="002550DB"/>
    <w:rsid w:val="00255259"/>
    <w:rsid w:val="00256ED2"/>
    <w:rsid w:val="00260830"/>
    <w:rsid w:val="002645C3"/>
    <w:rsid w:val="00265734"/>
    <w:rsid w:val="0026663C"/>
    <w:rsid w:val="002715DD"/>
    <w:rsid w:val="00271FA9"/>
    <w:rsid w:val="00272FA2"/>
    <w:rsid w:val="00275002"/>
    <w:rsid w:val="00275B44"/>
    <w:rsid w:val="0028146C"/>
    <w:rsid w:val="002825C2"/>
    <w:rsid w:val="00284C07"/>
    <w:rsid w:val="00286B7B"/>
    <w:rsid w:val="002900A3"/>
    <w:rsid w:val="00290917"/>
    <w:rsid w:val="00293F88"/>
    <w:rsid w:val="00294008"/>
    <w:rsid w:val="00294C0B"/>
    <w:rsid w:val="0029763C"/>
    <w:rsid w:val="00297C21"/>
    <w:rsid w:val="002A1037"/>
    <w:rsid w:val="002A4E21"/>
    <w:rsid w:val="002A6A5F"/>
    <w:rsid w:val="002B204C"/>
    <w:rsid w:val="002C151B"/>
    <w:rsid w:val="002C2766"/>
    <w:rsid w:val="002C37BB"/>
    <w:rsid w:val="002C4350"/>
    <w:rsid w:val="002C5FC8"/>
    <w:rsid w:val="002C7299"/>
    <w:rsid w:val="002D1252"/>
    <w:rsid w:val="002D1590"/>
    <w:rsid w:val="002D24CE"/>
    <w:rsid w:val="002D2898"/>
    <w:rsid w:val="002D3855"/>
    <w:rsid w:val="002D5C8F"/>
    <w:rsid w:val="002D63DC"/>
    <w:rsid w:val="002D7664"/>
    <w:rsid w:val="002E13E2"/>
    <w:rsid w:val="002E1C3A"/>
    <w:rsid w:val="002E24AC"/>
    <w:rsid w:val="002E3870"/>
    <w:rsid w:val="002E5BEA"/>
    <w:rsid w:val="002E7E26"/>
    <w:rsid w:val="002F1577"/>
    <w:rsid w:val="002F16AB"/>
    <w:rsid w:val="002F2500"/>
    <w:rsid w:val="002F2D2A"/>
    <w:rsid w:val="002F33E8"/>
    <w:rsid w:val="002F522E"/>
    <w:rsid w:val="002F6253"/>
    <w:rsid w:val="002F6EA7"/>
    <w:rsid w:val="002F6FC8"/>
    <w:rsid w:val="002F7BB0"/>
    <w:rsid w:val="00301260"/>
    <w:rsid w:val="0030218B"/>
    <w:rsid w:val="003031B7"/>
    <w:rsid w:val="00303A4C"/>
    <w:rsid w:val="00306CA2"/>
    <w:rsid w:val="00307B2C"/>
    <w:rsid w:val="0031346D"/>
    <w:rsid w:val="0032152D"/>
    <w:rsid w:val="00322DB5"/>
    <w:rsid w:val="003240A5"/>
    <w:rsid w:val="00330052"/>
    <w:rsid w:val="003304BE"/>
    <w:rsid w:val="00331745"/>
    <w:rsid w:val="00332918"/>
    <w:rsid w:val="0033292C"/>
    <w:rsid w:val="00334F26"/>
    <w:rsid w:val="00336D40"/>
    <w:rsid w:val="00342857"/>
    <w:rsid w:val="00344223"/>
    <w:rsid w:val="00344792"/>
    <w:rsid w:val="0034488C"/>
    <w:rsid w:val="0034705D"/>
    <w:rsid w:val="003510CA"/>
    <w:rsid w:val="00351C0C"/>
    <w:rsid w:val="00351CDD"/>
    <w:rsid w:val="003552CE"/>
    <w:rsid w:val="0035634C"/>
    <w:rsid w:val="0035740E"/>
    <w:rsid w:val="00360215"/>
    <w:rsid w:val="003602BC"/>
    <w:rsid w:val="00364AB1"/>
    <w:rsid w:val="0036594F"/>
    <w:rsid w:val="0037148A"/>
    <w:rsid w:val="003724BE"/>
    <w:rsid w:val="003745BA"/>
    <w:rsid w:val="00374D99"/>
    <w:rsid w:val="003757B0"/>
    <w:rsid w:val="00377105"/>
    <w:rsid w:val="00380DD7"/>
    <w:rsid w:val="00381481"/>
    <w:rsid w:val="00381908"/>
    <w:rsid w:val="003831F9"/>
    <w:rsid w:val="00384C01"/>
    <w:rsid w:val="00385159"/>
    <w:rsid w:val="00387D0B"/>
    <w:rsid w:val="00391226"/>
    <w:rsid w:val="00397334"/>
    <w:rsid w:val="003A247E"/>
    <w:rsid w:val="003B5597"/>
    <w:rsid w:val="003B71E5"/>
    <w:rsid w:val="003B7330"/>
    <w:rsid w:val="003B78BB"/>
    <w:rsid w:val="003C0318"/>
    <w:rsid w:val="003C48AE"/>
    <w:rsid w:val="003C562D"/>
    <w:rsid w:val="003C5DFA"/>
    <w:rsid w:val="003D1033"/>
    <w:rsid w:val="003D1128"/>
    <w:rsid w:val="003D31C8"/>
    <w:rsid w:val="003D589E"/>
    <w:rsid w:val="003D5BEF"/>
    <w:rsid w:val="003D6B78"/>
    <w:rsid w:val="003D7463"/>
    <w:rsid w:val="003E0BDF"/>
    <w:rsid w:val="003E0CD7"/>
    <w:rsid w:val="003E143F"/>
    <w:rsid w:val="003E274C"/>
    <w:rsid w:val="003E38C6"/>
    <w:rsid w:val="003E3C14"/>
    <w:rsid w:val="003E4646"/>
    <w:rsid w:val="003E490B"/>
    <w:rsid w:val="003E5360"/>
    <w:rsid w:val="003E5386"/>
    <w:rsid w:val="003E56A9"/>
    <w:rsid w:val="003E570C"/>
    <w:rsid w:val="003E6144"/>
    <w:rsid w:val="003F0BAA"/>
    <w:rsid w:val="003F145B"/>
    <w:rsid w:val="003F225B"/>
    <w:rsid w:val="003F2C14"/>
    <w:rsid w:val="003F4017"/>
    <w:rsid w:val="003F5C57"/>
    <w:rsid w:val="003F7458"/>
    <w:rsid w:val="00400278"/>
    <w:rsid w:val="00400D98"/>
    <w:rsid w:val="00401881"/>
    <w:rsid w:val="004023FC"/>
    <w:rsid w:val="004024B7"/>
    <w:rsid w:val="00403728"/>
    <w:rsid w:val="00405B09"/>
    <w:rsid w:val="00405F85"/>
    <w:rsid w:val="00413D13"/>
    <w:rsid w:val="0041764D"/>
    <w:rsid w:val="004201E7"/>
    <w:rsid w:val="00423E82"/>
    <w:rsid w:val="0042515C"/>
    <w:rsid w:val="00427739"/>
    <w:rsid w:val="004307DA"/>
    <w:rsid w:val="00431751"/>
    <w:rsid w:val="00431C9F"/>
    <w:rsid w:val="004403A0"/>
    <w:rsid w:val="00441D26"/>
    <w:rsid w:val="00442971"/>
    <w:rsid w:val="00447DB1"/>
    <w:rsid w:val="0045329E"/>
    <w:rsid w:val="00454DF2"/>
    <w:rsid w:val="00457663"/>
    <w:rsid w:val="004612D0"/>
    <w:rsid w:val="00461EBA"/>
    <w:rsid w:val="0046250F"/>
    <w:rsid w:val="004628E1"/>
    <w:rsid w:val="004644A0"/>
    <w:rsid w:val="00464994"/>
    <w:rsid w:val="00464B3B"/>
    <w:rsid w:val="00465AE6"/>
    <w:rsid w:val="004676F5"/>
    <w:rsid w:val="004732AB"/>
    <w:rsid w:val="0047419E"/>
    <w:rsid w:val="004756C2"/>
    <w:rsid w:val="00475E73"/>
    <w:rsid w:val="00477E06"/>
    <w:rsid w:val="004803C8"/>
    <w:rsid w:val="00480A31"/>
    <w:rsid w:val="004823A6"/>
    <w:rsid w:val="00482A2D"/>
    <w:rsid w:val="004865DD"/>
    <w:rsid w:val="004913F8"/>
    <w:rsid w:val="004978D2"/>
    <w:rsid w:val="00497DD4"/>
    <w:rsid w:val="004A0358"/>
    <w:rsid w:val="004A0F52"/>
    <w:rsid w:val="004A10F2"/>
    <w:rsid w:val="004A12AB"/>
    <w:rsid w:val="004A17DA"/>
    <w:rsid w:val="004A1F1D"/>
    <w:rsid w:val="004A2223"/>
    <w:rsid w:val="004A5458"/>
    <w:rsid w:val="004A7FCF"/>
    <w:rsid w:val="004B1740"/>
    <w:rsid w:val="004B4171"/>
    <w:rsid w:val="004B4230"/>
    <w:rsid w:val="004B47F2"/>
    <w:rsid w:val="004B49D1"/>
    <w:rsid w:val="004B6907"/>
    <w:rsid w:val="004C1F81"/>
    <w:rsid w:val="004C535E"/>
    <w:rsid w:val="004D059F"/>
    <w:rsid w:val="004D0C02"/>
    <w:rsid w:val="004D13C3"/>
    <w:rsid w:val="004D1C42"/>
    <w:rsid w:val="004D3D5F"/>
    <w:rsid w:val="004E3AAF"/>
    <w:rsid w:val="004E46FD"/>
    <w:rsid w:val="004E611E"/>
    <w:rsid w:val="004F16DA"/>
    <w:rsid w:val="004F1B5F"/>
    <w:rsid w:val="004F71EE"/>
    <w:rsid w:val="004F7781"/>
    <w:rsid w:val="004F7CD0"/>
    <w:rsid w:val="00500B80"/>
    <w:rsid w:val="005011A4"/>
    <w:rsid w:val="0050293C"/>
    <w:rsid w:val="00505478"/>
    <w:rsid w:val="00505BC3"/>
    <w:rsid w:val="0051213E"/>
    <w:rsid w:val="00512CF0"/>
    <w:rsid w:val="00514B8F"/>
    <w:rsid w:val="00515FC7"/>
    <w:rsid w:val="00521054"/>
    <w:rsid w:val="00521501"/>
    <w:rsid w:val="00524758"/>
    <w:rsid w:val="00531335"/>
    <w:rsid w:val="00534A72"/>
    <w:rsid w:val="00537664"/>
    <w:rsid w:val="00543633"/>
    <w:rsid w:val="00543C07"/>
    <w:rsid w:val="00544E05"/>
    <w:rsid w:val="0054547A"/>
    <w:rsid w:val="0054576D"/>
    <w:rsid w:val="00546057"/>
    <w:rsid w:val="00551189"/>
    <w:rsid w:val="00552CF7"/>
    <w:rsid w:val="005535B5"/>
    <w:rsid w:val="00554D8B"/>
    <w:rsid w:val="00554D9D"/>
    <w:rsid w:val="00555773"/>
    <w:rsid w:val="005606C9"/>
    <w:rsid w:val="00563CE1"/>
    <w:rsid w:val="00564840"/>
    <w:rsid w:val="005654C2"/>
    <w:rsid w:val="00566ECE"/>
    <w:rsid w:val="00572021"/>
    <w:rsid w:val="00573180"/>
    <w:rsid w:val="005751DE"/>
    <w:rsid w:val="00576B53"/>
    <w:rsid w:val="00576F74"/>
    <w:rsid w:val="0058069E"/>
    <w:rsid w:val="00582FDB"/>
    <w:rsid w:val="005835BB"/>
    <w:rsid w:val="00583F35"/>
    <w:rsid w:val="00587D1B"/>
    <w:rsid w:val="0059093E"/>
    <w:rsid w:val="00590D35"/>
    <w:rsid w:val="00592283"/>
    <w:rsid w:val="00593E77"/>
    <w:rsid w:val="00593F26"/>
    <w:rsid w:val="00595E4B"/>
    <w:rsid w:val="0059714F"/>
    <w:rsid w:val="00597B03"/>
    <w:rsid w:val="00597BEA"/>
    <w:rsid w:val="00597FFE"/>
    <w:rsid w:val="005A18B7"/>
    <w:rsid w:val="005A41F8"/>
    <w:rsid w:val="005A7125"/>
    <w:rsid w:val="005B05E5"/>
    <w:rsid w:val="005B0A9E"/>
    <w:rsid w:val="005B2B3B"/>
    <w:rsid w:val="005B4AC4"/>
    <w:rsid w:val="005B5B2D"/>
    <w:rsid w:val="005C3394"/>
    <w:rsid w:val="005C4BD4"/>
    <w:rsid w:val="005D13A5"/>
    <w:rsid w:val="005D2FA4"/>
    <w:rsid w:val="005D3377"/>
    <w:rsid w:val="005D3827"/>
    <w:rsid w:val="005D3CF3"/>
    <w:rsid w:val="005D5CF9"/>
    <w:rsid w:val="005D62E0"/>
    <w:rsid w:val="005D76F1"/>
    <w:rsid w:val="005D7798"/>
    <w:rsid w:val="005E1030"/>
    <w:rsid w:val="005E3764"/>
    <w:rsid w:val="005E3D92"/>
    <w:rsid w:val="005E626B"/>
    <w:rsid w:val="005E6EE2"/>
    <w:rsid w:val="005F0EFF"/>
    <w:rsid w:val="005F1CCC"/>
    <w:rsid w:val="005F3495"/>
    <w:rsid w:val="005F41BA"/>
    <w:rsid w:val="005F4BA4"/>
    <w:rsid w:val="005F621B"/>
    <w:rsid w:val="005F631D"/>
    <w:rsid w:val="005F63D1"/>
    <w:rsid w:val="005F66E7"/>
    <w:rsid w:val="005F6D6D"/>
    <w:rsid w:val="005F6D97"/>
    <w:rsid w:val="005F6DFC"/>
    <w:rsid w:val="005F7938"/>
    <w:rsid w:val="00600C5D"/>
    <w:rsid w:val="00602D1D"/>
    <w:rsid w:val="00603FB8"/>
    <w:rsid w:val="00605318"/>
    <w:rsid w:val="006110D2"/>
    <w:rsid w:val="0061270E"/>
    <w:rsid w:val="00622343"/>
    <w:rsid w:val="00623CD3"/>
    <w:rsid w:val="006240DF"/>
    <w:rsid w:val="006313EE"/>
    <w:rsid w:val="0063259E"/>
    <w:rsid w:val="00632991"/>
    <w:rsid w:val="00633131"/>
    <w:rsid w:val="00633CFB"/>
    <w:rsid w:val="00635E83"/>
    <w:rsid w:val="0063628D"/>
    <w:rsid w:val="00637D8D"/>
    <w:rsid w:val="006405A5"/>
    <w:rsid w:val="00643347"/>
    <w:rsid w:val="006455DB"/>
    <w:rsid w:val="00647D8B"/>
    <w:rsid w:val="0065089D"/>
    <w:rsid w:val="00650957"/>
    <w:rsid w:val="006510CE"/>
    <w:rsid w:val="00652CA3"/>
    <w:rsid w:val="006532FA"/>
    <w:rsid w:val="00653402"/>
    <w:rsid w:val="006546BE"/>
    <w:rsid w:val="00654B21"/>
    <w:rsid w:val="006564D7"/>
    <w:rsid w:val="006567EF"/>
    <w:rsid w:val="00657E30"/>
    <w:rsid w:val="006603F2"/>
    <w:rsid w:val="00661903"/>
    <w:rsid w:val="006628F7"/>
    <w:rsid w:val="00663CC0"/>
    <w:rsid w:val="00663D97"/>
    <w:rsid w:val="00665759"/>
    <w:rsid w:val="00666674"/>
    <w:rsid w:val="00670F5A"/>
    <w:rsid w:val="00671DD0"/>
    <w:rsid w:val="00673A02"/>
    <w:rsid w:val="00673CEF"/>
    <w:rsid w:val="006740C4"/>
    <w:rsid w:val="00674A12"/>
    <w:rsid w:val="006818B4"/>
    <w:rsid w:val="0068291B"/>
    <w:rsid w:val="00684357"/>
    <w:rsid w:val="00692594"/>
    <w:rsid w:val="00693D2D"/>
    <w:rsid w:val="00694484"/>
    <w:rsid w:val="00695E06"/>
    <w:rsid w:val="00696FB7"/>
    <w:rsid w:val="006A06E2"/>
    <w:rsid w:val="006A15E6"/>
    <w:rsid w:val="006A17BE"/>
    <w:rsid w:val="006A388C"/>
    <w:rsid w:val="006A4D4C"/>
    <w:rsid w:val="006A7648"/>
    <w:rsid w:val="006A7820"/>
    <w:rsid w:val="006B0410"/>
    <w:rsid w:val="006B2186"/>
    <w:rsid w:val="006B32F0"/>
    <w:rsid w:val="006B5B81"/>
    <w:rsid w:val="006C28A8"/>
    <w:rsid w:val="006C35DD"/>
    <w:rsid w:val="006C5F84"/>
    <w:rsid w:val="006C6C0C"/>
    <w:rsid w:val="006D2BF3"/>
    <w:rsid w:val="006D4CBF"/>
    <w:rsid w:val="006D565F"/>
    <w:rsid w:val="006D7999"/>
    <w:rsid w:val="006D7F7E"/>
    <w:rsid w:val="006E4BA8"/>
    <w:rsid w:val="006F003E"/>
    <w:rsid w:val="006F6316"/>
    <w:rsid w:val="006F67F7"/>
    <w:rsid w:val="00700512"/>
    <w:rsid w:val="007029A8"/>
    <w:rsid w:val="007041EC"/>
    <w:rsid w:val="00704AFE"/>
    <w:rsid w:val="00704FF0"/>
    <w:rsid w:val="00710135"/>
    <w:rsid w:val="0071182F"/>
    <w:rsid w:val="00714293"/>
    <w:rsid w:val="00716FEB"/>
    <w:rsid w:val="0071780D"/>
    <w:rsid w:val="00720D91"/>
    <w:rsid w:val="00721704"/>
    <w:rsid w:val="00722FEA"/>
    <w:rsid w:val="00724251"/>
    <w:rsid w:val="00724AFA"/>
    <w:rsid w:val="00725065"/>
    <w:rsid w:val="00735836"/>
    <w:rsid w:val="0073722D"/>
    <w:rsid w:val="00742E8E"/>
    <w:rsid w:val="00747D54"/>
    <w:rsid w:val="00751313"/>
    <w:rsid w:val="0075291F"/>
    <w:rsid w:val="00752ECD"/>
    <w:rsid w:val="00757258"/>
    <w:rsid w:val="00760612"/>
    <w:rsid w:val="00763506"/>
    <w:rsid w:val="00765E46"/>
    <w:rsid w:val="00766097"/>
    <w:rsid w:val="00766501"/>
    <w:rsid w:val="00766548"/>
    <w:rsid w:val="00767715"/>
    <w:rsid w:val="00770235"/>
    <w:rsid w:val="00770552"/>
    <w:rsid w:val="00771854"/>
    <w:rsid w:val="00772CB3"/>
    <w:rsid w:val="007749CD"/>
    <w:rsid w:val="00776368"/>
    <w:rsid w:val="0078090D"/>
    <w:rsid w:val="00783407"/>
    <w:rsid w:val="007840E1"/>
    <w:rsid w:val="00786D65"/>
    <w:rsid w:val="0078726C"/>
    <w:rsid w:val="0078735D"/>
    <w:rsid w:val="00787D32"/>
    <w:rsid w:val="00790B55"/>
    <w:rsid w:val="00792836"/>
    <w:rsid w:val="00794371"/>
    <w:rsid w:val="00795EF8"/>
    <w:rsid w:val="00797137"/>
    <w:rsid w:val="007A36CE"/>
    <w:rsid w:val="007A59B4"/>
    <w:rsid w:val="007A7285"/>
    <w:rsid w:val="007A7328"/>
    <w:rsid w:val="007A7979"/>
    <w:rsid w:val="007B064E"/>
    <w:rsid w:val="007B072C"/>
    <w:rsid w:val="007B105D"/>
    <w:rsid w:val="007B3645"/>
    <w:rsid w:val="007B389B"/>
    <w:rsid w:val="007B3D37"/>
    <w:rsid w:val="007C105A"/>
    <w:rsid w:val="007C1384"/>
    <w:rsid w:val="007C2AF1"/>
    <w:rsid w:val="007C511D"/>
    <w:rsid w:val="007C60F2"/>
    <w:rsid w:val="007C7F89"/>
    <w:rsid w:val="007D3850"/>
    <w:rsid w:val="007D4385"/>
    <w:rsid w:val="007D4E5B"/>
    <w:rsid w:val="007D6800"/>
    <w:rsid w:val="007E1F3B"/>
    <w:rsid w:val="007E22DC"/>
    <w:rsid w:val="007E355F"/>
    <w:rsid w:val="007E56A6"/>
    <w:rsid w:val="007F157B"/>
    <w:rsid w:val="007F5161"/>
    <w:rsid w:val="007F7472"/>
    <w:rsid w:val="007F7CBC"/>
    <w:rsid w:val="007F7D40"/>
    <w:rsid w:val="00801319"/>
    <w:rsid w:val="00803DE6"/>
    <w:rsid w:val="0080415F"/>
    <w:rsid w:val="0081037A"/>
    <w:rsid w:val="00810C93"/>
    <w:rsid w:val="008117AF"/>
    <w:rsid w:val="008156C4"/>
    <w:rsid w:val="00816CC6"/>
    <w:rsid w:val="008214F2"/>
    <w:rsid w:val="008304DC"/>
    <w:rsid w:val="00831E89"/>
    <w:rsid w:val="008335D3"/>
    <w:rsid w:val="00833E90"/>
    <w:rsid w:val="008347D6"/>
    <w:rsid w:val="00834D4B"/>
    <w:rsid w:val="0083569E"/>
    <w:rsid w:val="008416AE"/>
    <w:rsid w:val="00843764"/>
    <w:rsid w:val="00843F17"/>
    <w:rsid w:val="00844342"/>
    <w:rsid w:val="00844F6F"/>
    <w:rsid w:val="00851B3A"/>
    <w:rsid w:val="00851F1C"/>
    <w:rsid w:val="00853D00"/>
    <w:rsid w:val="00854FC8"/>
    <w:rsid w:val="008552F0"/>
    <w:rsid w:val="00855854"/>
    <w:rsid w:val="00855E64"/>
    <w:rsid w:val="00861132"/>
    <w:rsid w:val="00864154"/>
    <w:rsid w:val="008706BD"/>
    <w:rsid w:val="00870861"/>
    <w:rsid w:val="00871EAF"/>
    <w:rsid w:val="008773EE"/>
    <w:rsid w:val="008776D7"/>
    <w:rsid w:val="00880B61"/>
    <w:rsid w:val="00881276"/>
    <w:rsid w:val="00885B6E"/>
    <w:rsid w:val="00886AD4"/>
    <w:rsid w:val="00886FE7"/>
    <w:rsid w:val="00887ABC"/>
    <w:rsid w:val="008910BB"/>
    <w:rsid w:val="00891352"/>
    <w:rsid w:val="008928DF"/>
    <w:rsid w:val="00895DCB"/>
    <w:rsid w:val="00897A4C"/>
    <w:rsid w:val="008A0FDF"/>
    <w:rsid w:val="008A20EF"/>
    <w:rsid w:val="008A2522"/>
    <w:rsid w:val="008A46C5"/>
    <w:rsid w:val="008A7DB3"/>
    <w:rsid w:val="008B35FA"/>
    <w:rsid w:val="008B4956"/>
    <w:rsid w:val="008B5AFB"/>
    <w:rsid w:val="008B5D12"/>
    <w:rsid w:val="008B6C90"/>
    <w:rsid w:val="008C07E7"/>
    <w:rsid w:val="008C0AC0"/>
    <w:rsid w:val="008C313B"/>
    <w:rsid w:val="008C6881"/>
    <w:rsid w:val="008C6E3A"/>
    <w:rsid w:val="008D0005"/>
    <w:rsid w:val="008D21EB"/>
    <w:rsid w:val="008D41FB"/>
    <w:rsid w:val="008D48D8"/>
    <w:rsid w:val="008E021E"/>
    <w:rsid w:val="008E2D9A"/>
    <w:rsid w:val="008E4D0C"/>
    <w:rsid w:val="008E5D93"/>
    <w:rsid w:val="008E694C"/>
    <w:rsid w:val="008F06BE"/>
    <w:rsid w:val="008F102B"/>
    <w:rsid w:val="008F1312"/>
    <w:rsid w:val="008F22CD"/>
    <w:rsid w:val="008F2B34"/>
    <w:rsid w:val="008F45AF"/>
    <w:rsid w:val="00901A05"/>
    <w:rsid w:val="00901F46"/>
    <w:rsid w:val="00904288"/>
    <w:rsid w:val="00907352"/>
    <w:rsid w:val="00910D24"/>
    <w:rsid w:val="00910EA5"/>
    <w:rsid w:val="00912C1C"/>
    <w:rsid w:val="00912EA4"/>
    <w:rsid w:val="009144DB"/>
    <w:rsid w:val="00914700"/>
    <w:rsid w:val="0091643E"/>
    <w:rsid w:val="00923B0F"/>
    <w:rsid w:val="00924DAA"/>
    <w:rsid w:val="00926E2F"/>
    <w:rsid w:val="009338C8"/>
    <w:rsid w:val="009376C2"/>
    <w:rsid w:val="00937A8E"/>
    <w:rsid w:val="00940AF7"/>
    <w:rsid w:val="00942075"/>
    <w:rsid w:val="00942668"/>
    <w:rsid w:val="0094502B"/>
    <w:rsid w:val="0094720D"/>
    <w:rsid w:val="00950F44"/>
    <w:rsid w:val="00951167"/>
    <w:rsid w:val="00951821"/>
    <w:rsid w:val="009525B0"/>
    <w:rsid w:val="009538C0"/>
    <w:rsid w:val="00954068"/>
    <w:rsid w:val="00955F85"/>
    <w:rsid w:val="00956C7A"/>
    <w:rsid w:val="009570CC"/>
    <w:rsid w:val="009615A2"/>
    <w:rsid w:val="009623DF"/>
    <w:rsid w:val="00962F83"/>
    <w:rsid w:val="00965833"/>
    <w:rsid w:val="009659CF"/>
    <w:rsid w:val="00967BD8"/>
    <w:rsid w:val="00970962"/>
    <w:rsid w:val="00971AF2"/>
    <w:rsid w:val="0097405C"/>
    <w:rsid w:val="00976C79"/>
    <w:rsid w:val="0098289D"/>
    <w:rsid w:val="00983CD2"/>
    <w:rsid w:val="009841F1"/>
    <w:rsid w:val="00993173"/>
    <w:rsid w:val="009A063C"/>
    <w:rsid w:val="009A358C"/>
    <w:rsid w:val="009A524C"/>
    <w:rsid w:val="009A5DBB"/>
    <w:rsid w:val="009B07D7"/>
    <w:rsid w:val="009B25F9"/>
    <w:rsid w:val="009B33CF"/>
    <w:rsid w:val="009B3E0E"/>
    <w:rsid w:val="009B746C"/>
    <w:rsid w:val="009C0B33"/>
    <w:rsid w:val="009C7158"/>
    <w:rsid w:val="009C7CED"/>
    <w:rsid w:val="009D6A1D"/>
    <w:rsid w:val="009D7294"/>
    <w:rsid w:val="009D73B1"/>
    <w:rsid w:val="009E4C25"/>
    <w:rsid w:val="009E6550"/>
    <w:rsid w:val="009E6556"/>
    <w:rsid w:val="009F2211"/>
    <w:rsid w:val="009F2F09"/>
    <w:rsid w:val="009F5F10"/>
    <w:rsid w:val="009F6682"/>
    <w:rsid w:val="009F6E82"/>
    <w:rsid w:val="009F7EB9"/>
    <w:rsid w:val="00A002AA"/>
    <w:rsid w:val="00A012A3"/>
    <w:rsid w:val="00A0330C"/>
    <w:rsid w:val="00A03A72"/>
    <w:rsid w:val="00A04E6E"/>
    <w:rsid w:val="00A0562B"/>
    <w:rsid w:val="00A06F94"/>
    <w:rsid w:val="00A06FF8"/>
    <w:rsid w:val="00A11A70"/>
    <w:rsid w:val="00A11B6E"/>
    <w:rsid w:val="00A136A4"/>
    <w:rsid w:val="00A1410C"/>
    <w:rsid w:val="00A15F46"/>
    <w:rsid w:val="00A20340"/>
    <w:rsid w:val="00A27772"/>
    <w:rsid w:val="00A27A3A"/>
    <w:rsid w:val="00A31110"/>
    <w:rsid w:val="00A31D06"/>
    <w:rsid w:val="00A364EA"/>
    <w:rsid w:val="00A36ADD"/>
    <w:rsid w:val="00A36C5E"/>
    <w:rsid w:val="00A41285"/>
    <w:rsid w:val="00A429F6"/>
    <w:rsid w:val="00A439FC"/>
    <w:rsid w:val="00A472EA"/>
    <w:rsid w:val="00A50D43"/>
    <w:rsid w:val="00A52115"/>
    <w:rsid w:val="00A55680"/>
    <w:rsid w:val="00A56639"/>
    <w:rsid w:val="00A601D3"/>
    <w:rsid w:val="00A6441D"/>
    <w:rsid w:val="00A652A1"/>
    <w:rsid w:val="00A656B4"/>
    <w:rsid w:val="00A65CC5"/>
    <w:rsid w:val="00A70005"/>
    <w:rsid w:val="00A701CF"/>
    <w:rsid w:val="00A73D00"/>
    <w:rsid w:val="00A75CA8"/>
    <w:rsid w:val="00A75ED9"/>
    <w:rsid w:val="00A7642F"/>
    <w:rsid w:val="00A771E7"/>
    <w:rsid w:val="00A77B34"/>
    <w:rsid w:val="00A84531"/>
    <w:rsid w:val="00A878AA"/>
    <w:rsid w:val="00A878F4"/>
    <w:rsid w:val="00A879AD"/>
    <w:rsid w:val="00A91767"/>
    <w:rsid w:val="00A946A2"/>
    <w:rsid w:val="00A95C52"/>
    <w:rsid w:val="00AA0907"/>
    <w:rsid w:val="00AA26E5"/>
    <w:rsid w:val="00AA3259"/>
    <w:rsid w:val="00AA3A6A"/>
    <w:rsid w:val="00AA4941"/>
    <w:rsid w:val="00AA4B5C"/>
    <w:rsid w:val="00AA6594"/>
    <w:rsid w:val="00AB0C39"/>
    <w:rsid w:val="00AB2026"/>
    <w:rsid w:val="00AB286E"/>
    <w:rsid w:val="00AB3522"/>
    <w:rsid w:val="00AC281D"/>
    <w:rsid w:val="00AC354D"/>
    <w:rsid w:val="00AD0C7B"/>
    <w:rsid w:val="00AD21D6"/>
    <w:rsid w:val="00AD6B1D"/>
    <w:rsid w:val="00AD7A61"/>
    <w:rsid w:val="00AE1192"/>
    <w:rsid w:val="00AE42E2"/>
    <w:rsid w:val="00AE49EC"/>
    <w:rsid w:val="00AE6A82"/>
    <w:rsid w:val="00AE78FA"/>
    <w:rsid w:val="00AF14B6"/>
    <w:rsid w:val="00AF3C03"/>
    <w:rsid w:val="00AF44E9"/>
    <w:rsid w:val="00AF47E1"/>
    <w:rsid w:val="00AF5A6F"/>
    <w:rsid w:val="00AF77A2"/>
    <w:rsid w:val="00AF77D7"/>
    <w:rsid w:val="00B02847"/>
    <w:rsid w:val="00B03A1A"/>
    <w:rsid w:val="00B066B1"/>
    <w:rsid w:val="00B12EEB"/>
    <w:rsid w:val="00B16CD5"/>
    <w:rsid w:val="00B16E30"/>
    <w:rsid w:val="00B16FF6"/>
    <w:rsid w:val="00B2157B"/>
    <w:rsid w:val="00B22178"/>
    <w:rsid w:val="00B24EC8"/>
    <w:rsid w:val="00B24F8D"/>
    <w:rsid w:val="00B27195"/>
    <w:rsid w:val="00B3252F"/>
    <w:rsid w:val="00B328AA"/>
    <w:rsid w:val="00B33FD0"/>
    <w:rsid w:val="00B37076"/>
    <w:rsid w:val="00B37179"/>
    <w:rsid w:val="00B37D20"/>
    <w:rsid w:val="00B4197C"/>
    <w:rsid w:val="00B42923"/>
    <w:rsid w:val="00B438A1"/>
    <w:rsid w:val="00B460B0"/>
    <w:rsid w:val="00B462E9"/>
    <w:rsid w:val="00B52D43"/>
    <w:rsid w:val="00B54C14"/>
    <w:rsid w:val="00B55586"/>
    <w:rsid w:val="00B55D92"/>
    <w:rsid w:val="00B630E6"/>
    <w:rsid w:val="00B638B5"/>
    <w:rsid w:val="00B677FB"/>
    <w:rsid w:val="00B72222"/>
    <w:rsid w:val="00B74F32"/>
    <w:rsid w:val="00B76299"/>
    <w:rsid w:val="00B801E6"/>
    <w:rsid w:val="00B85640"/>
    <w:rsid w:val="00B8697A"/>
    <w:rsid w:val="00B90E96"/>
    <w:rsid w:val="00B94395"/>
    <w:rsid w:val="00B957AD"/>
    <w:rsid w:val="00B95831"/>
    <w:rsid w:val="00B95AE0"/>
    <w:rsid w:val="00B96922"/>
    <w:rsid w:val="00BA59E7"/>
    <w:rsid w:val="00BA6602"/>
    <w:rsid w:val="00BA69AE"/>
    <w:rsid w:val="00BB011E"/>
    <w:rsid w:val="00BB1497"/>
    <w:rsid w:val="00BB2423"/>
    <w:rsid w:val="00BB24D2"/>
    <w:rsid w:val="00BB3039"/>
    <w:rsid w:val="00BB4634"/>
    <w:rsid w:val="00BC0E23"/>
    <w:rsid w:val="00BC157C"/>
    <w:rsid w:val="00BC2309"/>
    <w:rsid w:val="00BC5B46"/>
    <w:rsid w:val="00BD193F"/>
    <w:rsid w:val="00BD1AE0"/>
    <w:rsid w:val="00BD1CB8"/>
    <w:rsid w:val="00BD1DA3"/>
    <w:rsid w:val="00BD2A6F"/>
    <w:rsid w:val="00BE5CB6"/>
    <w:rsid w:val="00BE7637"/>
    <w:rsid w:val="00BE768D"/>
    <w:rsid w:val="00BF0346"/>
    <w:rsid w:val="00BF0BB0"/>
    <w:rsid w:val="00BF36BB"/>
    <w:rsid w:val="00BF3B1A"/>
    <w:rsid w:val="00BF42CA"/>
    <w:rsid w:val="00BF716F"/>
    <w:rsid w:val="00C00800"/>
    <w:rsid w:val="00C054F0"/>
    <w:rsid w:val="00C0565D"/>
    <w:rsid w:val="00C075C4"/>
    <w:rsid w:val="00C12C9D"/>
    <w:rsid w:val="00C13F02"/>
    <w:rsid w:val="00C14304"/>
    <w:rsid w:val="00C15665"/>
    <w:rsid w:val="00C1795B"/>
    <w:rsid w:val="00C24AB5"/>
    <w:rsid w:val="00C25E38"/>
    <w:rsid w:val="00C25EAA"/>
    <w:rsid w:val="00C31BC9"/>
    <w:rsid w:val="00C33C01"/>
    <w:rsid w:val="00C33FE2"/>
    <w:rsid w:val="00C34123"/>
    <w:rsid w:val="00C40C50"/>
    <w:rsid w:val="00C41A57"/>
    <w:rsid w:val="00C43814"/>
    <w:rsid w:val="00C501A6"/>
    <w:rsid w:val="00C523EB"/>
    <w:rsid w:val="00C54196"/>
    <w:rsid w:val="00C54E73"/>
    <w:rsid w:val="00C5564A"/>
    <w:rsid w:val="00C62E91"/>
    <w:rsid w:val="00C66EB5"/>
    <w:rsid w:val="00C701E0"/>
    <w:rsid w:val="00C80C2E"/>
    <w:rsid w:val="00C80FB0"/>
    <w:rsid w:val="00C8377A"/>
    <w:rsid w:val="00C84884"/>
    <w:rsid w:val="00C84ECA"/>
    <w:rsid w:val="00C86124"/>
    <w:rsid w:val="00C874B8"/>
    <w:rsid w:val="00CA0189"/>
    <w:rsid w:val="00CA0F83"/>
    <w:rsid w:val="00CA2E84"/>
    <w:rsid w:val="00CA46D1"/>
    <w:rsid w:val="00CA4C29"/>
    <w:rsid w:val="00CA7E29"/>
    <w:rsid w:val="00CB47A4"/>
    <w:rsid w:val="00CB4CD8"/>
    <w:rsid w:val="00CB5B83"/>
    <w:rsid w:val="00CC0F50"/>
    <w:rsid w:val="00CC17A0"/>
    <w:rsid w:val="00CC1A56"/>
    <w:rsid w:val="00CC27DB"/>
    <w:rsid w:val="00CC2ABD"/>
    <w:rsid w:val="00CC3B17"/>
    <w:rsid w:val="00CC6588"/>
    <w:rsid w:val="00CC739A"/>
    <w:rsid w:val="00CD00E5"/>
    <w:rsid w:val="00CD29C6"/>
    <w:rsid w:val="00CD3773"/>
    <w:rsid w:val="00CD43BF"/>
    <w:rsid w:val="00CD462A"/>
    <w:rsid w:val="00CD4C8D"/>
    <w:rsid w:val="00CE0242"/>
    <w:rsid w:val="00CE049D"/>
    <w:rsid w:val="00CE1D23"/>
    <w:rsid w:val="00CE3E96"/>
    <w:rsid w:val="00CE7912"/>
    <w:rsid w:val="00CF4689"/>
    <w:rsid w:val="00CF469B"/>
    <w:rsid w:val="00D00F8E"/>
    <w:rsid w:val="00D01C0E"/>
    <w:rsid w:val="00D01C9B"/>
    <w:rsid w:val="00D0213F"/>
    <w:rsid w:val="00D02793"/>
    <w:rsid w:val="00D035E0"/>
    <w:rsid w:val="00D03609"/>
    <w:rsid w:val="00D075F8"/>
    <w:rsid w:val="00D07EC8"/>
    <w:rsid w:val="00D12331"/>
    <w:rsid w:val="00D1525F"/>
    <w:rsid w:val="00D17D39"/>
    <w:rsid w:val="00D3483B"/>
    <w:rsid w:val="00D34A78"/>
    <w:rsid w:val="00D42C56"/>
    <w:rsid w:val="00D43177"/>
    <w:rsid w:val="00D43C27"/>
    <w:rsid w:val="00D44E22"/>
    <w:rsid w:val="00D45BC8"/>
    <w:rsid w:val="00D50908"/>
    <w:rsid w:val="00D514B6"/>
    <w:rsid w:val="00D528F4"/>
    <w:rsid w:val="00D54AF4"/>
    <w:rsid w:val="00D6160F"/>
    <w:rsid w:val="00D6255B"/>
    <w:rsid w:val="00D636FC"/>
    <w:rsid w:val="00D65F66"/>
    <w:rsid w:val="00D6604B"/>
    <w:rsid w:val="00D66E1C"/>
    <w:rsid w:val="00D71088"/>
    <w:rsid w:val="00D72E78"/>
    <w:rsid w:val="00D81CC5"/>
    <w:rsid w:val="00D82833"/>
    <w:rsid w:val="00D84B33"/>
    <w:rsid w:val="00D86D55"/>
    <w:rsid w:val="00D86F92"/>
    <w:rsid w:val="00D8767A"/>
    <w:rsid w:val="00D87BD6"/>
    <w:rsid w:val="00D9022A"/>
    <w:rsid w:val="00D925A7"/>
    <w:rsid w:val="00D931BA"/>
    <w:rsid w:val="00D93E74"/>
    <w:rsid w:val="00D94349"/>
    <w:rsid w:val="00D9499E"/>
    <w:rsid w:val="00D955D1"/>
    <w:rsid w:val="00D95E11"/>
    <w:rsid w:val="00DA2630"/>
    <w:rsid w:val="00DA4EB8"/>
    <w:rsid w:val="00DA7371"/>
    <w:rsid w:val="00DB1806"/>
    <w:rsid w:val="00DC0233"/>
    <w:rsid w:val="00DC2205"/>
    <w:rsid w:val="00DC4940"/>
    <w:rsid w:val="00DC5207"/>
    <w:rsid w:val="00DC641A"/>
    <w:rsid w:val="00DC7A29"/>
    <w:rsid w:val="00DD091B"/>
    <w:rsid w:val="00DD1AF7"/>
    <w:rsid w:val="00DD333D"/>
    <w:rsid w:val="00DE32F5"/>
    <w:rsid w:val="00DE755C"/>
    <w:rsid w:val="00DF47DF"/>
    <w:rsid w:val="00E01C7C"/>
    <w:rsid w:val="00E02487"/>
    <w:rsid w:val="00E0475F"/>
    <w:rsid w:val="00E056D2"/>
    <w:rsid w:val="00E0712D"/>
    <w:rsid w:val="00E07DD3"/>
    <w:rsid w:val="00E07FDF"/>
    <w:rsid w:val="00E10F62"/>
    <w:rsid w:val="00E116A1"/>
    <w:rsid w:val="00E15574"/>
    <w:rsid w:val="00E164E4"/>
    <w:rsid w:val="00E177F3"/>
    <w:rsid w:val="00E2064F"/>
    <w:rsid w:val="00E21611"/>
    <w:rsid w:val="00E23831"/>
    <w:rsid w:val="00E24A20"/>
    <w:rsid w:val="00E24DA8"/>
    <w:rsid w:val="00E26B67"/>
    <w:rsid w:val="00E303BD"/>
    <w:rsid w:val="00E305A0"/>
    <w:rsid w:val="00E322BF"/>
    <w:rsid w:val="00E32EF7"/>
    <w:rsid w:val="00E36951"/>
    <w:rsid w:val="00E37986"/>
    <w:rsid w:val="00E42BE4"/>
    <w:rsid w:val="00E42E67"/>
    <w:rsid w:val="00E452BF"/>
    <w:rsid w:val="00E50751"/>
    <w:rsid w:val="00E53691"/>
    <w:rsid w:val="00E552A1"/>
    <w:rsid w:val="00E57E3D"/>
    <w:rsid w:val="00E60823"/>
    <w:rsid w:val="00E60BC5"/>
    <w:rsid w:val="00E61147"/>
    <w:rsid w:val="00E614E4"/>
    <w:rsid w:val="00E61743"/>
    <w:rsid w:val="00E64505"/>
    <w:rsid w:val="00E66349"/>
    <w:rsid w:val="00E72DC3"/>
    <w:rsid w:val="00E733B2"/>
    <w:rsid w:val="00E74BEB"/>
    <w:rsid w:val="00E75D90"/>
    <w:rsid w:val="00E75DA0"/>
    <w:rsid w:val="00E76831"/>
    <w:rsid w:val="00E8266E"/>
    <w:rsid w:val="00E82844"/>
    <w:rsid w:val="00E83FEB"/>
    <w:rsid w:val="00E84C44"/>
    <w:rsid w:val="00E85F5A"/>
    <w:rsid w:val="00E860C6"/>
    <w:rsid w:val="00E879C6"/>
    <w:rsid w:val="00E92824"/>
    <w:rsid w:val="00E95630"/>
    <w:rsid w:val="00E972C6"/>
    <w:rsid w:val="00EA1526"/>
    <w:rsid w:val="00EA278C"/>
    <w:rsid w:val="00EA3A62"/>
    <w:rsid w:val="00EA405B"/>
    <w:rsid w:val="00EA45F1"/>
    <w:rsid w:val="00EA7C59"/>
    <w:rsid w:val="00EB07FB"/>
    <w:rsid w:val="00EB4274"/>
    <w:rsid w:val="00EB437A"/>
    <w:rsid w:val="00EB6451"/>
    <w:rsid w:val="00EB7727"/>
    <w:rsid w:val="00EC1678"/>
    <w:rsid w:val="00EC207E"/>
    <w:rsid w:val="00EC2A30"/>
    <w:rsid w:val="00EC354D"/>
    <w:rsid w:val="00EC63C7"/>
    <w:rsid w:val="00EC71E7"/>
    <w:rsid w:val="00ED2385"/>
    <w:rsid w:val="00ED2718"/>
    <w:rsid w:val="00ED35BC"/>
    <w:rsid w:val="00ED3963"/>
    <w:rsid w:val="00ED6549"/>
    <w:rsid w:val="00ED79E8"/>
    <w:rsid w:val="00EE4E73"/>
    <w:rsid w:val="00EF4814"/>
    <w:rsid w:val="00EF6E1C"/>
    <w:rsid w:val="00F00E7D"/>
    <w:rsid w:val="00F03434"/>
    <w:rsid w:val="00F07F9F"/>
    <w:rsid w:val="00F07FD6"/>
    <w:rsid w:val="00F101B8"/>
    <w:rsid w:val="00F124E5"/>
    <w:rsid w:val="00F149A7"/>
    <w:rsid w:val="00F14BD3"/>
    <w:rsid w:val="00F17C34"/>
    <w:rsid w:val="00F2068E"/>
    <w:rsid w:val="00F22CC2"/>
    <w:rsid w:val="00F238F2"/>
    <w:rsid w:val="00F315DF"/>
    <w:rsid w:val="00F3214E"/>
    <w:rsid w:val="00F33BEB"/>
    <w:rsid w:val="00F34292"/>
    <w:rsid w:val="00F409B7"/>
    <w:rsid w:val="00F41657"/>
    <w:rsid w:val="00F42979"/>
    <w:rsid w:val="00F44364"/>
    <w:rsid w:val="00F453B1"/>
    <w:rsid w:val="00F470ED"/>
    <w:rsid w:val="00F4786D"/>
    <w:rsid w:val="00F507A9"/>
    <w:rsid w:val="00F5228A"/>
    <w:rsid w:val="00F52FB8"/>
    <w:rsid w:val="00F55C37"/>
    <w:rsid w:val="00F55EA9"/>
    <w:rsid w:val="00F571AD"/>
    <w:rsid w:val="00F576AA"/>
    <w:rsid w:val="00F61754"/>
    <w:rsid w:val="00F62867"/>
    <w:rsid w:val="00F640DB"/>
    <w:rsid w:val="00F66F42"/>
    <w:rsid w:val="00F6754C"/>
    <w:rsid w:val="00F67F45"/>
    <w:rsid w:val="00F717F0"/>
    <w:rsid w:val="00F71951"/>
    <w:rsid w:val="00F74654"/>
    <w:rsid w:val="00F77D52"/>
    <w:rsid w:val="00F80397"/>
    <w:rsid w:val="00F81BE2"/>
    <w:rsid w:val="00F861D5"/>
    <w:rsid w:val="00F874ED"/>
    <w:rsid w:val="00F904F1"/>
    <w:rsid w:val="00F90CD8"/>
    <w:rsid w:val="00F937A7"/>
    <w:rsid w:val="00F96346"/>
    <w:rsid w:val="00FA054F"/>
    <w:rsid w:val="00FA1531"/>
    <w:rsid w:val="00FA4FBE"/>
    <w:rsid w:val="00FA5A74"/>
    <w:rsid w:val="00FB08E9"/>
    <w:rsid w:val="00FB0EF2"/>
    <w:rsid w:val="00FB1B9E"/>
    <w:rsid w:val="00FB3E85"/>
    <w:rsid w:val="00FC16AF"/>
    <w:rsid w:val="00FC31B0"/>
    <w:rsid w:val="00FC4709"/>
    <w:rsid w:val="00FC4D63"/>
    <w:rsid w:val="00FC4E28"/>
    <w:rsid w:val="00FC57E8"/>
    <w:rsid w:val="00FC5D1F"/>
    <w:rsid w:val="00FC6FE2"/>
    <w:rsid w:val="00FC73D6"/>
    <w:rsid w:val="00FD0BA9"/>
    <w:rsid w:val="00FD2A04"/>
    <w:rsid w:val="00FD3A0D"/>
    <w:rsid w:val="00FD3BEC"/>
    <w:rsid w:val="00FD3EF1"/>
    <w:rsid w:val="00FD47FE"/>
    <w:rsid w:val="00FD56D6"/>
    <w:rsid w:val="00FD575C"/>
    <w:rsid w:val="00FD6F33"/>
    <w:rsid w:val="00FE4696"/>
    <w:rsid w:val="00FE691F"/>
    <w:rsid w:val="00FE71F1"/>
    <w:rsid w:val="00FE76A3"/>
    <w:rsid w:val="00FF128E"/>
    <w:rsid w:val="00FF1696"/>
    <w:rsid w:val="00FF17A1"/>
    <w:rsid w:val="00FF2BC0"/>
    <w:rsid w:val="00FF2C63"/>
    <w:rsid w:val="00FF39AC"/>
    <w:rsid w:val="00FF45B5"/>
    <w:rsid w:val="00FF5886"/>
    <w:rsid w:val="00FF6210"/>
    <w:rsid w:val="00FF7CC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385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uiPriority w:val="99"/>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uiPriority w:val="99"/>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List Paragraph2"/>
    <w:link w:val="ListParagraphChar1"/>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uiPriority w:val="34"/>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34"/>
    <w:unhideWhenUsed/>
    <w:qFormat/>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paragraph" w:styleId="PlainText">
    <w:name w:val="Plain Text"/>
    <w:basedOn w:val="Normal"/>
    <w:link w:val="PlainTextChar"/>
    <w:uiPriority w:val="99"/>
    <w:semiHidden/>
    <w:unhideWhenUsed/>
    <w:rsid w:val="00C54196"/>
    <w:rPr>
      <w:rFonts w:eastAsiaTheme="minorHAnsi" w:cs="Consolas"/>
      <w:sz w:val="22"/>
      <w:szCs w:val="21"/>
      <w:lang w:val="es-CR" w:eastAsia="en-US"/>
    </w:rPr>
  </w:style>
  <w:style w:type="character" w:customStyle="1" w:styleId="PlainTextChar">
    <w:name w:val="Plain Text Char"/>
    <w:basedOn w:val="DefaultParagraphFont"/>
    <w:link w:val="PlainText"/>
    <w:uiPriority w:val="99"/>
    <w:semiHidden/>
    <w:rsid w:val="00C54196"/>
    <w:rPr>
      <w:rFonts w:eastAsiaTheme="minorHAnsi" w:cs="Consolas"/>
      <w:sz w:val="22"/>
      <w:szCs w:val="21"/>
      <w:lang w:eastAsia="en-US"/>
    </w:rPr>
  </w:style>
  <w:style w:type="character" w:customStyle="1" w:styleId="apple-converted-space">
    <w:name w:val="apple-converted-space"/>
    <w:basedOn w:val="DefaultParagraphFont"/>
    <w:rsid w:val="002215C1"/>
  </w:style>
  <w:style w:type="character" w:customStyle="1" w:styleId="ListParagraphChar1">
    <w:name w:val="List Paragraph Char1"/>
    <w:aliases w:val="Colorful List - Accent 11 Char1,Lista vistosa - Énfasis 11 Char1,Footnote Char1,List Paragraph1 Char1,Párrafo de lista1 Char1,List Paragraph2 Char1"/>
    <w:basedOn w:val="DefaultParagraphFont"/>
    <w:link w:val="ListParagraph"/>
    <w:locked/>
    <w:rsid w:val="000A7B2A"/>
    <w:rPr>
      <w:rFonts w:ascii="Cambria" w:eastAsia="Cambria" w:hAnsi="Cambria" w:cs="Cambria"/>
      <w:color w:val="000000"/>
      <w:sz w:val="24"/>
      <w:szCs w:val="24"/>
      <w:u w:color="000000"/>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rPr>
      <w:lang w:val="es-ES_tradnl"/>
    </w:rPr>
  </w:style>
  <w:style w:type="paragraph" w:styleId="Heading1">
    <w:name w:val="heading 1"/>
    <w:basedOn w:val="Normal"/>
    <w:next w:val="Normal"/>
    <w:link w:val="Heading1Char"/>
    <w:uiPriority w:val="9"/>
    <w:qFormat/>
    <w:rsid w:val="005D5CF9"/>
    <w:pPr>
      <w:keepNext/>
      <w:spacing w:before="240" w:after="60" w:line="276" w:lineRule="auto"/>
      <w:jc w:val="center"/>
      <w:outlineLvl w:val="0"/>
    </w:pPr>
    <w:rPr>
      <w:rFonts w:ascii="Verdana Bold" w:eastAsia="Times New Roman" w:hAnsi="Verdana Bold"/>
      <w:b/>
      <w:bCs/>
      <w:caps/>
      <w:kern w:val="32"/>
      <w:szCs w:val="32"/>
    </w:rPr>
  </w:style>
  <w:style w:type="paragraph" w:styleId="Heading2">
    <w:name w:val="heading 2"/>
    <w:basedOn w:val="Normal"/>
    <w:next w:val="Normal"/>
    <w:link w:val="Heading2Char"/>
    <w:uiPriority w:val="9"/>
    <w:unhideWhenUsed/>
    <w:qFormat/>
    <w:rsid w:val="005D5CF9"/>
    <w:pPr>
      <w:keepNext/>
      <w:spacing w:before="240" w:after="60" w:line="276" w:lineRule="auto"/>
      <w:jc w:val="both"/>
      <w:outlineLvl w:val="1"/>
    </w:pPr>
    <w:rPr>
      <w:rFonts w:ascii="Verdana" w:eastAsia="Times New Roman" w:hAnsi="Verdana"/>
      <w:b/>
      <w:bCs/>
      <w:i/>
      <w:iCs/>
      <w:szCs w:val="28"/>
    </w:rPr>
  </w:style>
  <w:style w:type="paragraph" w:styleId="Heading3">
    <w:name w:val="heading 3"/>
    <w:basedOn w:val="Normal"/>
    <w:next w:val="Normal"/>
    <w:link w:val="Heading3Char"/>
    <w:uiPriority w:val="9"/>
    <w:semiHidden/>
    <w:unhideWhenUsed/>
    <w:qFormat/>
    <w:rsid w:val="005D5CF9"/>
    <w:pPr>
      <w:keepNext/>
      <w:spacing w:before="240" w:after="60" w:line="276" w:lineRule="auto"/>
      <w:outlineLvl w:val="2"/>
    </w:pPr>
    <w:rPr>
      <w:rFonts w:ascii="Cambria" w:eastAsia="Times New Roman" w:hAnsi="Cambria"/>
      <w:b/>
      <w:bCs/>
      <w:sz w:val="26"/>
      <w:szCs w:val="26"/>
    </w:rPr>
  </w:style>
  <w:style w:type="paragraph" w:styleId="Heading5">
    <w:name w:val="heading 5"/>
    <w:basedOn w:val="Normal"/>
    <w:next w:val="Normal"/>
    <w:link w:val="Heading5Char"/>
    <w:qFormat/>
    <w:rsid w:val="005D5CF9"/>
    <w:pPr>
      <w:spacing w:before="240" w:after="60"/>
      <w:outlineLvl w:val="4"/>
    </w:pPr>
    <w:rPr>
      <w:rFonts w:ascii="Verdana" w:eastAsia="Times New Roman" w:hAnsi="Verdana"/>
      <w:b/>
      <w:i/>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delibro">
    <w:name w:val="Título de libro"/>
    <w:uiPriority w:val="33"/>
    <w:qFormat/>
    <w:rsid w:val="005D5CF9"/>
    <w:rPr>
      <w:b/>
      <w:bCs/>
      <w:smallCaps/>
      <w:spacing w:val="5"/>
    </w:rPr>
  </w:style>
  <w:style w:type="paragraph" w:customStyle="1" w:styleId="Estilo1">
    <w:name w:val="Estilo1"/>
    <w:basedOn w:val="Normal"/>
    <w:link w:val="Estilo1Car"/>
    <w:qFormat/>
    <w:rsid w:val="005D5CF9"/>
    <w:pPr>
      <w:spacing w:after="120"/>
      <w:ind w:left="2018" w:right="6" w:hanging="180"/>
      <w:jc w:val="both"/>
    </w:pPr>
    <w:rPr>
      <w:rFonts w:ascii="Verdana" w:eastAsia="Batang" w:hAnsi="Verdana" w:cs="Times"/>
      <w:i/>
      <w:noProof/>
      <w:szCs w:val="24"/>
      <w:lang w:eastAsia="en-US"/>
    </w:rPr>
  </w:style>
  <w:style w:type="character" w:customStyle="1" w:styleId="Estilo1Car">
    <w:name w:val="Estilo1 Car"/>
    <w:link w:val="Estilo1"/>
    <w:rsid w:val="005D5CF9"/>
    <w:rPr>
      <w:rFonts w:ascii="Verdana" w:eastAsia="Batang" w:hAnsi="Verdana" w:cs="Times"/>
      <w:i/>
      <w:noProof/>
      <w:szCs w:val="24"/>
      <w:lang w:val="es-ES_tradnl" w:eastAsia="en-US"/>
    </w:rPr>
  </w:style>
  <w:style w:type="character" w:customStyle="1" w:styleId="Heading1Char">
    <w:name w:val="Heading 1 Char"/>
    <w:link w:val="Heading1"/>
    <w:uiPriority w:val="9"/>
    <w:rsid w:val="005D5CF9"/>
    <w:rPr>
      <w:rFonts w:ascii="Verdana Bold" w:eastAsia="Times New Roman" w:hAnsi="Verdana Bold"/>
      <w:b/>
      <w:bCs/>
      <w:caps/>
      <w:kern w:val="32"/>
      <w:szCs w:val="32"/>
    </w:rPr>
  </w:style>
  <w:style w:type="character" w:customStyle="1" w:styleId="Heading2Char">
    <w:name w:val="Heading 2 Char"/>
    <w:link w:val="Heading2"/>
    <w:uiPriority w:val="9"/>
    <w:rsid w:val="005D5CF9"/>
    <w:rPr>
      <w:rFonts w:ascii="Verdana" w:eastAsia="Times New Roman" w:hAnsi="Verdana"/>
      <w:b/>
      <w:bCs/>
      <w:i/>
      <w:iCs/>
      <w:szCs w:val="28"/>
    </w:rPr>
  </w:style>
  <w:style w:type="character" w:customStyle="1" w:styleId="Heading3Char">
    <w:name w:val="Heading 3 Char"/>
    <w:link w:val="Heading3"/>
    <w:uiPriority w:val="9"/>
    <w:semiHidden/>
    <w:rsid w:val="005D5CF9"/>
    <w:rPr>
      <w:rFonts w:ascii="Cambria" w:eastAsia="Times New Roman" w:hAnsi="Cambria"/>
      <w:b/>
      <w:bCs/>
      <w:sz w:val="26"/>
      <w:szCs w:val="26"/>
    </w:rPr>
  </w:style>
  <w:style w:type="character" w:customStyle="1" w:styleId="Heading5Char">
    <w:name w:val="Heading 5 Char"/>
    <w:link w:val="Heading5"/>
    <w:rsid w:val="005D5CF9"/>
    <w:rPr>
      <w:rFonts w:ascii="Verdana" w:eastAsia="Times New Roman" w:hAnsi="Verdana"/>
      <w:b/>
      <w:i/>
      <w:szCs w:val="26"/>
      <w:lang w:eastAsia="x-none"/>
    </w:rPr>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uiPriority w:val="99"/>
    <w:qFormat/>
    <w:rsid w:val="005D5CF9"/>
    <w:rPr>
      <w:rFonts w:ascii="Times New Roman" w:eastAsia="Times New Roman" w:hAnsi="Times New Roman"/>
      <w:lang w:val="es-MX"/>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link w:val="FootnoteText"/>
    <w:uiPriority w:val="99"/>
    <w:qFormat/>
    <w:rsid w:val="005D5CF9"/>
    <w:rPr>
      <w:rFonts w:ascii="Times New Roman" w:eastAsia="Times New Roman" w:hAnsi="Times New Roman"/>
      <w:lang w:val="es-MX"/>
    </w:rPr>
  </w:style>
  <w:style w:type="paragraph" w:styleId="Title">
    <w:name w:val="Title"/>
    <w:basedOn w:val="Normal"/>
    <w:link w:val="TitleChar"/>
    <w:uiPriority w:val="99"/>
    <w:qFormat/>
    <w:rsid w:val="005D5CF9"/>
    <w:pPr>
      <w:spacing w:before="60" w:after="60"/>
      <w:jc w:val="center"/>
    </w:pPr>
    <w:rPr>
      <w:rFonts w:ascii="Verdana" w:eastAsia="Times New Roman" w:hAnsi="Verdana"/>
      <w:b/>
      <w:lang w:eastAsia="en-US"/>
    </w:rPr>
  </w:style>
  <w:style w:type="character" w:customStyle="1" w:styleId="TitleChar">
    <w:name w:val="Title Char"/>
    <w:link w:val="Title"/>
    <w:uiPriority w:val="99"/>
    <w:rsid w:val="005D5CF9"/>
    <w:rPr>
      <w:rFonts w:ascii="Verdana" w:eastAsia="Times New Roman" w:hAnsi="Verdana"/>
      <w:b/>
      <w:lang w:val="es-ES_tradnl" w:eastAsia="en-US"/>
    </w:rPr>
  </w:style>
  <w:style w:type="paragraph" w:styleId="Subtitle">
    <w:name w:val="Subtitle"/>
    <w:basedOn w:val="Normal"/>
    <w:next w:val="Normal"/>
    <w:link w:val="SubtitleChar"/>
    <w:qFormat/>
    <w:rsid w:val="005D5CF9"/>
    <w:pPr>
      <w:numPr>
        <w:ilvl w:val="1"/>
      </w:numPr>
      <w:spacing w:before="60" w:after="60"/>
      <w:jc w:val="center"/>
    </w:pPr>
    <w:rPr>
      <w:rFonts w:ascii="Verdana" w:eastAsia="Times New Roman" w:hAnsi="Verdana"/>
      <w:b/>
      <w:i/>
      <w:iCs/>
      <w:spacing w:val="15"/>
      <w:szCs w:val="24"/>
      <w:lang w:eastAsia="en-US"/>
    </w:rPr>
  </w:style>
  <w:style w:type="character" w:customStyle="1" w:styleId="SubtitleChar">
    <w:name w:val="Subtitle Char"/>
    <w:link w:val="Subtitle"/>
    <w:rsid w:val="005D5CF9"/>
    <w:rPr>
      <w:rFonts w:ascii="Verdana" w:eastAsia="Times New Roman" w:hAnsi="Verdana"/>
      <w:b/>
      <w:i/>
      <w:iCs/>
      <w:spacing w:val="15"/>
      <w:szCs w:val="24"/>
      <w:lang w:val="es-ES_tradnl" w:eastAsia="en-US"/>
    </w:rPr>
  </w:style>
  <w:style w:type="character" w:styleId="Strong">
    <w:name w:val="Strong"/>
    <w:uiPriority w:val="22"/>
    <w:qFormat/>
    <w:rsid w:val="005D5CF9"/>
    <w:rPr>
      <w:b/>
      <w:bCs/>
    </w:rPr>
  </w:style>
  <w:style w:type="paragraph" w:styleId="NoSpacing">
    <w:name w:val="No Spacing"/>
    <w:uiPriority w:val="1"/>
    <w:qFormat/>
    <w:rsid w:val="005D5CF9"/>
    <w:rPr>
      <w:sz w:val="22"/>
      <w:szCs w:val="22"/>
      <w:lang w:val="en-US" w:eastAsia="en-US"/>
    </w:rPr>
  </w:style>
  <w:style w:type="paragraph" w:styleId="ListParagraph">
    <w:name w:val="List Paragraph"/>
    <w:aliases w:val="Colorful List - Accent 11,Lista vistosa - Énfasis 11,Footnote,List Paragraph1,Párrafo de lista1,List Paragraph2"/>
    <w:link w:val="ListParagraphChar1"/>
    <w:qFormat/>
    <w:rsid w:val="005D5CF9"/>
    <w:pPr>
      <w:ind w:left="720"/>
    </w:pPr>
    <w:rPr>
      <w:rFonts w:ascii="Cambria" w:eastAsia="Cambria" w:hAnsi="Cambria" w:cs="Cambria"/>
      <w:color w:val="000000"/>
      <w:sz w:val="24"/>
      <w:szCs w:val="24"/>
      <w:u w:color="000000"/>
      <w:lang w:val="en-US" w:eastAsia="es-ES"/>
    </w:rPr>
  </w:style>
  <w:style w:type="paragraph" w:styleId="TOCHeading">
    <w:name w:val="TOC Heading"/>
    <w:basedOn w:val="Heading1"/>
    <w:next w:val="Normal"/>
    <w:uiPriority w:val="39"/>
    <w:semiHidden/>
    <w:unhideWhenUsed/>
    <w:qFormat/>
    <w:rsid w:val="005D5CF9"/>
    <w:pPr>
      <w:keepLines/>
      <w:spacing w:before="480" w:after="0"/>
      <w:jc w:val="left"/>
      <w:outlineLvl w:val="9"/>
    </w:pPr>
    <w:rPr>
      <w:rFonts w:ascii="Cambria" w:hAnsi="Cambria"/>
      <w:color w:val="365F91"/>
      <w:kern w:val="0"/>
      <w:sz w:val="28"/>
      <w:szCs w:val="28"/>
      <w:lang w:val="en-US" w:eastAsia="ja-JP"/>
    </w:rPr>
  </w:style>
  <w:style w:type="character" w:customStyle="1" w:styleId="ColorfulList-Accent1Char">
    <w:name w:val="Colorful List - Accent 1 Char"/>
    <w:aliases w:val="Párrafo de lista1 Char,List Paragraph1 Char,List Paragraph2 Char,List Paragraph Char,Footnote Char,Colorful List - Accent 11 Char,Lista vistosa - Énfasis 11 Char"/>
    <w:link w:val="ColorfulList-Accent1"/>
    <w:uiPriority w:val="34"/>
    <w:rsid w:val="005D5CF9"/>
    <w:rPr>
      <w:rFonts w:eastAsia="Times New Roman"/>
      <w:lang w:val="es-CR" w:eastAsia="es-CR"/>
    </w:rPr>
  </w:style>
  <w:style w:type="table" w:styleId="ColorfulList-Accent1">
    <w:name w:val="Colorful List Accent 1"/>
    <w:basedOn w:val="TableNormal"/>
    <w:link w:val="ColorfulList-Accent1Char"/>
    <w:uiPriority w:val="99"/>
    <w:rsid w:val="005D5CF9"/>
    <w:rPr>
      <w:rFonts w:eastAsia="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basedOn w:val="DefaultParagraphFont"/>
    <w:link w:val="4GChar"/>
    <w:unhideWhenUsed/>
    <w:qFormat/>
    <w:rsid w:val="00CD29C6"/>
    <w:rPr>
      <w:vertAlign w:val="superscript"/>
    </w:rPr>
  </w:style>
  <w:style w:type="paragraph" w:styleId="NormalWeb">
    <w:name w:val="Normal (Web)"/>
    <w:aliases w:val="Normal (Web) Char1,Normal (Web) Char Char,Normal (Web) Char1 Char,Normal (Web) Char Char Char"/>
    <w:basedOn w:val="Normal"/>
    <w:uiPriority w:val="34"/>
    <w:unhideWhenUsed/>
    <w:qFormat/>
    <w:rsid w:val="00E8266E"/>
    <w:pPr>
      <w:spacing w:before="100" w:beforeAutospacing="1" w:after="100" w:afterAutospacing="1"/>
    </w:pPr>
    <w:rPr>
      <w:rFonts w:ascii="Times New Roman" w:eastAsia="Times New Roman" w:hAnsi="Times New Roman"/>
      <w:sz w:val="24"/>
      <w:szCs w:val="24"/>
      <w:lang w:val="en-US" w:eastAsia="en-US"/>
    </w:rPr>
  </w:style>
  <w:style w:type="character" w:styleId="CommentReference">
    <w:name w:val="annotation reference"/>
    <w:basedOn w:val="DefaultParagraphFont"/>
    <w:uiPriority w:val="99"/>
    <w:semiHidden/>
    <w:unhideWhenUsed/>
    <w:rsid w:val="0075291F"/>
    <w:rPr>
      <w:sz w:val="16"/>
      <w:szCs w:val="16"/>
    </w:rPr>
  </w:style>
  <w:style w:type="paragraph" w:styleId="CommentText">
    <w:name w:val="annotation text"/>
    <w:basedOn w:val="Normal"/>
    <w:link w:val="CommentTextChar"/>
    <w:uiPriority w:val="99"/>
    <w:semiHidden/>
    <w:unhideWhenUsed/>
    <w:rsid w:val="0075291F"/>
  </w:style>
  <w:style w:type="character" w:customStyle="1" w:styleId="CommentTextChar">
    <w:name w:val="Comment Text Char"/>
    <w:basedOn w:val="DefaultParagraphFont"/>
    <w:link w:val="CommentText"/>
    <w:uiPriority w:val="99"/>
    <w:semiHidden/>
    <w:rsid w:val="0075291F"/>
  </w:style>
  <w:style w:type="paragraph" w:styleId="CommentSubject">
    <w:name w:val="annotation subject"/>
    <w:basedOn w:val="CommentText"/>
    <w:next w:val="CommentText"/>
    <w:link w:val="CommentSubjectChar"/>
    <w:uiPriority w:val="99"/>
    <w:semiHidden/>
    <w:unhideWhenUsed/>
    <w:rsid w:val="0075291F"/>
    <w:rPr>
      <w:b/>
      <w:bCs/>
    </w:rPr>
  </w:style>
  <w:style w:type="character" w:customStyle="1" w:styleId="CommentSubjectChar">
    <w:name w:val="Comment Subject Char"/>
    <w:basedOn w:val="CommentTextChar"/>
    <w:link w:val="CommentSubject"/>
    <w:uiPriority w:val="99"/>
    <w:semiHidden/>
    <w:rsid w:val="0075291F"/>
    <w:rPr>
      <w:b/>
      <w:bCs/>
    </w:rPr>
  </w:style>
  <w:style w:type="paragraph" w:styleId="BalloonText">
    <w:name w:val="Balloon Text"/>
    <w:basedOn w:val="Normal"/>
    <w:link w:val="BalloonTextChar"/>
    <w:uiPriority w:val="99"/>
    <w:semiHidden/>
    <w:unhideWhenUsed/>
    <w:rsid w:val="0075291F"/>
    <w:rPr>
      <w:rFonts w:ascii="Tahoma" w:hAnsi="Tahoma" w:cs="Tahoma"/>
      <w:sz w:val="16"/>
      <w:szCs w:val="16"/>
    </w:rPr>
  </w:style>
  <w:style w:type="character" w:customStyle="1" w:styleId="BalloonTextChar">
    <w:name w:val="Balloon Text Char"/>
    <w:basedOn w:val="DefaultParagraphFont"/>
    <w:link w:val="BalloonText"/>
    <w:uiPriority w:val="99"/>
    <w:semiHidden/>
    <w:rsid w:val="0075291F"/>
    <w:rPr>
      <w:rFonts w:ascii="Tahoma" w:hAnsi="Tahoma" w:cs="Tahoma"/>
      <w:sz w:val="16"/>
      <w:szCs w:val="16"/>
    </w:rPr>
  </w:style>
  <w:style w:type="paragraph" w:styleId="Header">
    <w:name w:val="header"/>
    <w:basedOn w:val="Normal"/>
    <w:link w:val="HeaderChar"/>
    <w:uiPriority w:val="99"/>
    <w:unhideWhenUsed/>
    <w:rsid w:val="000F5EF1"/>
    <w:pPr>
      <w:tabs>
        <w:tab w:val="center" w:pos="4419"/>
        <w:tab w:val="right" w:pos="8838"/>
      </w:tabs>
    </w:pPr>
  </w:style>
  <w:style w:type="character" w:customStyle="1" w:styleId="HeaderChar">
    <w:name w:val="Header Char"/>
    <w:basedOn w:val="DefaultParagraphFont"/>
    <w:link w:val="Header"/>
    <w:uiPriority w:val="99"/>
    <w:rsid w:val="000F5EF1"/>
  </w:style>
  <w:style w:type="paragraph" w:styleId="Footer">
    <w:name w:val="footer"/>
    <w:basedOn w:val="Normal"/>
    <w:link w:val="FooterChar"/>
    <w:uiPriority w:val="99"/>
    <w:unhideWhenUsed/>
    <w:rsid w:val="000F5EF1"/>
    <w:pPr>
      <w:tabs>
        <w:tab w:val="center" w:pos="4419"/>
        <w:tab w:val="right" w:pos="8838"/>
      </w:tabs>
    </w:pPr>
  </w:style>
  <w:style w:type="character" w:customStyle="1" w:styleId="FooterChar">
    <w:name w:val="Footer Char"/>
    <w:basedOn w:val="DefaultParagraphFont"/>
    <w:link w:val="Footer"/>
    <w:uiPriority w:val="99"/>
    <w:rsid w:val="000F5EF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C562D"/>
    <w:pPr>
      <w:jc w:val="both"/>
    </w:pPr>
    <w:rPr>
      <w:vertAlign w:val="superscript"/>
    </w:rPr>
  </w:style>
  <w:style w:type="paragraph" w:styleId="DocumentMap">
    <w:name w:val="Document Map"/>
    <w:basedOn w:val="Normal"/>
    <w:link w:val="DocumentMapChar"/>
    <w:uiPriority w:val="99"/>
    <w:semiHidden/>
    <w:unhideWhenUsed/>
    <w:rsid w:val="009C7158"/>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C7158"/>
    <w:rPr>
      <w:rFonts w:ascii="Times New Roman" w:hAnsi="Times New Roman"/>
      <w:sz w:val="24"/>
      <w:szCs w:val="24"/>
    </w:rPr>
  </w:style>
  <w:style w:type="paragraph" w:styleId="Revision">
    <w:name w:val="Revision"/>
    <w:hidden/>
    <w:uiPriority w:val="99"/>
    <w:semiHidden/>
    <w:rsid w:val="009C7158"/>
  </w:style>
  <w:style w:type="paragraph" w:styleId="PlainText">
    <w:name w:val="Plain Text"/>
    <w:basedOn w:val="Normal"/>
    <w:link w:val="PlainTextChar"/>
    <w:uiPriority w:val="99"/>
    <w:semiHidden/>
    <w:unhideWhenUsed/>
    <w:rsid w:val="00C54196"/>
    <w:rPr>
      <w:rFonts w:eastAsiaTheme="minorHAnsi" w:cs="Consolas"/>
      <w:sz w:val="22"/>
      <w:szCs w:val="21"/>
      <w:lang w:val="es-CR" w:eastAsia="en-US"/>
    </w:rPr>
  </w:style>
  <w:style w:type="character" w:customStyle="1" w:styleId="PlainTextChar">
    <w:name w:val="Plain Text Char"/>
    <w:basedOn w:val="DefaultParagraphFont"/>
    <w:link w:val="PlainText"/>
    <w:uiPriority w:val="99"/>
    <w:semiHidden/>
    <w:rsid w:val="00C54196"/>
    <w:rPr>
      <w:rFonts w:eastAsiaTheme="minorHAnsi" w:cs="Consolas"/>
      <w:sz w:val="22"/>
      <w:szCs w:val="21"/>
      <w:lang w:eastAsia="en-US"/>
    </w:rPr>
  </w:style>
  <w:style w:type="character" w:customStyle="1" w:styleId="apple-converted-space">
    <w:name w:val="apple-converted-space"/>
    <w:basedOn w:val="DefaultParagraphFont"/>
    <w:rsid w:val="002215C1"/>
  </w:style>
  <w:style w:type="character" w:customStyle="1" w:styleId="ListParagraphChar1">
    <w:name w:val="List Paragraph Char1"/>
    <w:aliases w:val="Colorful List - Accent 11 Char1,Lista vistosa - Énfasis 11 Char1,Footnote Char1,List Paragraph1 Char1,Párrafo de lista1 Char1,List Paragraph2 Char1"/>
    <w:basedOn w:val="DefaultParagraphFont"/>
    <w:link w:val="ListParagraph"/>
    <w:locked/>
    <w:rsid w:val="000A7B2A"/>
    <w:rPr>
      <w:rFonts w:ascii="Cambria" w:eastAsia="Cambria" w:hAnsi="Cambria" w:cs="Cambria"/>
      <w:color w:val="000000"/>
      <w:sz w:val="24"/>
      <w:szCs w:val="24"/>
      <w:u w:color="00000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4838">
      <w:bodyDiv w:val="1"/>
      <w:marLeft w:val="0"/>
      <w:marRight w:val="0"/>
      <w:marTop w:val="0"/>
      <w:marBottom w:val="0"/>
      <w:divBdr>
        <w:top w:val="none" w:sz="0" w:space="0" w:color="auto"/>
        <w:left w:val="none" w:sz="0" w:space="0" w:color="auto"/>
        <w:bottom w:val="none" w:sz="0" w:space="0" w:color="auto"/>
        <w:right w:val="none" w:sz="0" w:space="0" w:color="auto"/>
      </w:divBdr>
      <w:divsChild>
        <w:div w:id="83889797">
          <w:marLeft w:val="0"/>
          <w:marRight w:val="0"/>
          <w:marTop w:val="0"/>
          <w:marBottom w:val="0"/>
          <w:divBdr>
            <w:top w:val="none" w:sz="0" w:space="0" w:color="auto"/>
            <w:left w:val="none" w:sz="0" w:space="0" w:color="auto"/>
            <w:bottom w:val="none" w:sz="0" w:space="0" w:color="auto"/>
            <w:right w:val="none" w:sz="0" w:space="0" w:color="auto"/>
          </w:divBdr>
          <w:divsChild>
            <w:div w:id="1248539688">
              <w:marLeft w:val="0"/>
              <w:marRight w:val="0"/>
              <w:marTop w:val="0"/>
              <w:marBottom w:val="0"/>
              <w:divBdr>
                <w:top w:val="none" w:sz="0" w:space="0" w:color="auto"/>
                <w:left w:val="none" w:sz="0" w:space="0" w:color="auto"/>
                <w:bottom w:val="none" w:sz="0" w:space="0" w:color="auto"/>
                <w:right w:val="none" w:sz="0" w:space="0" w:color="auto"/>
              </w:divBdr>
              <w:divsChild>
                <w:div w:id="15381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5248">
      <w:bodyDiv w:val="1"/>
      <w:marLeft w:val="0"/>
      <w:marRight w:val="0"/>
      <w:marTop w:val="0"/>
      <w:marBottom w:val="0"/>
      <w:divBdr>
        <w:top w:val="none" w:sz="0" w:space="0" w:color="auto"/>
        <w:left w:val="none" w:sz="0" w:space="0" w:color="auto"/>
        <w:bottom w:val="none" w:sz="0" w:space="0" w:color="auto"/>
        <w:right w:val="none" w:sz="0" w:space="0" w:color="auto"/>
      </w:divBdr>
      <w:divsChild>
        <w:div w:id="824859781">
          <w:marLeft w:val="0"/>
          <w:marRight w:val="0"/>
          <w:marTop w:val="0"/>
          <w:marBottom w:val="0"/>
          <w:divBdr>
            <w:top w:val="none" w:sz="0" w:space="0" w:color="auto"/>
            <w:left w:val="none" w:sz="0" w:space="0" w:color="auto"/>
            <w:bottom w:val="none" w:sz="0" w:space="0" w:color="auto"/>
            <w:right w:val="none" w:sz="0" w:space="0" w:color="auto"/>
          </w:divBdr>
          <w:divsChild>
            <w:div w:id="841242651">
              <w:marLeft w:val="0"/>
              <w:marRight w:val="0"/>
              <w:marTop w:val="0"/>
              <w:marBottom w:val="0"/>
              <w:divBdr>
                <w:top w:val="none" w:sz="0" w:space="0" w:color="auto"/>
                <w:left w:val="none" w:sz="0" w:space="0" w:color="auto"/>
                <w:bottom w:val="none" w:sz="0" w:space="0" w:color="auto"/>
                <w:right w:val="none" w:sz="0" w:space="0" w:color="auto"/>
              </w:divBdr>
              <w:divsChild>
                <w:div w:id="1037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4031">
      <w:bodyDiv w:val="1"/>
      <w:marLeft w:val="0"/>
      <w:marRight w:val="0"/>
      <w:marTop w:val="0"/>
      <w:marBottom w:val="0"/>
      <w:divBdr>
        <w:top w:val="none" w:sz="0" w:space="0" w:color="auto"/>
        <w:left w:val="none" w:sz="0" w:space="0" w:color="auto"/>
        <w:bottom w:val="none" w:sz="0" w:space="0" w:color="auto"/>
        <w:right w:val="none" w:sz="0" w:space="0" w:color="auto"/>
      </w:divBdr>
    </w:div>
    <w:div w:id="480119472">
      <w:bodyDiv w:val="1"/>
      <w:marLeft w:val="0"/>
      <w:marRight w:val="0"/>
      <w:marTop w:val="0"/>
      <w:marBottom w:val="0"/>
      <w:divBdr>
        <w:top w:val="none" w:sz="0" w:space="0" w:color="auto"/>
        <w:left w:val="none" w:sz="0" w:space="0" w:color="auto"/>
        <w:bottom w:val="none" w:sz="0" w:space="0" w:color="auto"/>
        <w:right w:val="none" w:sz="0" w:space="0" w:color="auto"/>
      </w:divBdr>
    </w:div>
    <w:div w:id="704018121">
      <w:bodyDiv w:val="1"/>
      <w:marLeft w:val="0"/>
      <w:marRight w:val="0"/>
      <w:marTop w:val="0"/>
      <w:marBottom w:val="0"/>
      <w:divBdr>
        <w:top w:val="none" w:sz="0" w:space="0" w:color="auto"/>
        <w:left w:val="none" w:sz="0" w:space="0" w:color="auto"/>
        <w:bottom w:val="none" w:sz="0" w:space="0" w:color="auto"/>
        <w:right w:val="none" w:sz="0" w:space="0" w:color="auto"/>
      </w:divBdr>
    </w:div>
    <w:div w:id="911425532">
      <w:bodyDiv w:val="1"/>
      <w:marLeft w:val="0"/>
      <w:marRight w:val="0"/>
      <w:marTop w:val="0"/>
      <w:marBottom w:val="0"/>
      <w:divBdr>
        <w:top w:val="none" w:sz="0" w:space="0" w:color="auto"/>
        <w:left w:val="none" w:sz="0" w:space="0" w:color="auto"/>
        <w:bottom w:val="none" w:sz="0" w:space="0" w:color="auto"/>
        <w:right w:val="none" w:sz="0" w:space="0" w:color="auto"/>
      </w:divBdr>
      <w:divsChild>
        <w:div w:id="2015298928">
          <w:marLeft w:val="0"/>
          <w:marRight w:val="0"/>
          <w:marTop w:val="0"/>
          <w:marBottom w:val="0"/>
          <w:divBdr>
            <w:top w:val="none" w:sz="0" w:space="0" w:color="auto"/>
            <w:left w:val="none" w:sz="0" w:space="0" w:color="auto"/>
            <w:bottom w:val="none" w:sz="0" w:space="0" w:color="auto"/>
            <w:right w:val="none" w:sz="0" w:space="0" w:color="auto"/>
          </w:divBdr>
          <w:divsChild>
            <w:div w:id="658463220">
              <w:marLeft w:val="0"/>
              <w:marRight w:val="0"/>
              <w:marTop w:val="0"/>
              <w:marBottom w:val="0"/>
              <w:divBdr>
                <w:top w:val="none" w:sz="0" w:space="0" w:color="auto"/>
                <w:left w:val="none" w:sz="0" w:space="0" w:color="auto"/>
                <w:bottom w:val="none" w:sz="0" w:space="0" w:color="auto"/>
                <w:right w:val="none" w:sz="0" w:space="0" w:color="auto"/>
              </w:divBdr>
              <w:divsChild>
                <w:div w:id="17759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3174">
      <w:bodyDiv w:val="1"/>
      <w:marLeft w:val="0"/>
      <w:marRight w:val="0"/>
      <w:marTop w:val="0"/>
      <w:marBottom w:val="0"/>
      <w:divBdr>
        <w:top w:val="none" w:sz="0" w:space="0" w:color="auto"/>
        <w:left w:val="none" w:sz="0" w:space="0" w:color="auto"/>
        <w:bottom w:val="none" w:sz="0" w:space="0" w:color="auto"/>
        <w:right w:val="none" w:sz="0" w:space="0" w:color="auto"/>
      </w:divBdr>
    </w:div>
    <w:div w:id="956790363">
      <w:bodyDiv w:val="1"/>
      <w:marLeft w:val="0"/>
      <w:marRight w:val="0"/>
      <w:marTop w:val="0"/>
      <w:marBottom w:val="0"/>
      <w:divBdr>
        <w:top w:val="none" w:sz="0" w:space="0" w:color="auto"/>
        <w:left w:val="none" w:sz="0" w:space="0" w:color="auto"/>
        <w:bottom w:val="none" w:sz="0" w:space="0" w:color="auto"/>
        <w:right w:val="none" w:sz="0" w:space="0" w:color="auto"/>
      </w:divBdr>
    </w:div>
    <w:div w:id="1158034232">
      <w:bodyDiv w:val="1"/>
      <w:marLeft w:val="0"/>
      <w:marRight w:val="0"/>
      <w:marTop w:val="0"/>
      <w:marBottom w:val="0"/>
      <w:divBdr>
        <w:top w:val="none" w:sz="0" w:space="0" w:color="auto"/>
        <w:left w:val="none" w:sz="0" w:space="0" w:color="auto"/>
        <w:bottom w:val="none" w:sz="0" w:space="0" w:color="auto"/>
        <w:right w:val="none" w:sz="0" w:space="0" w:color="auto"/>
      </w:divBdr>
    </w:div>
    <w:div w:id="1717437498">
      <w:bodyDiv w:val="1"/>
      <w:marLeft w:val="0"/>
      <w:marRight w:val="0"/>
      <w:marTop w:val="0"/>
      <w:marBottom w:val="0"/>
      <w:divBdr>
        <w:top w:val="none" w:sz="0" w:space="0" w:color="auto"/>
        <w:left w:val="none" w:sz="0" w:space="0" w:color="auto"/>
        <w:bottom w:val="none" w:sz="0" w:space="0" w:color="auto"/>
        <w:right w:val="none" w:sz="0" w:space="0" w:color="auto"/>
      </w:divBdr>
    </w:div>
    <w:div w:id="1784299228">
      <w:bodyDiv w:val="1"/>
      <w:marLeft w:val="0"/>
      <w:marRight w:val="0"/>
      <w:marTop w:val="0"/>
      <w:marBottom w:val="0"/>
      <w:divBdr>
        <w:top w:val="none" w:sz="0" w:space="0" w:color="auto"/>
        <w:left w:val="none" w:sz="0" w:space="0" w:color="auto"/>
        <w:bottom w:val="none" w:sz="0" w:space="0" w:color="auto"/>
        <w:right w:val="none" w:sz="0" w:space="0" w:color="auto"/>
      </w:divBdr>
    </w:div>
    <w:div w:id="1995375852">
      <w:bodyDiv w:val="1"/>
      <w:marLeft w:val="0"/>
      <w:marRight w:val="0"/>
      <w:marTop w:val="0"/>
      <w:marBottom w:val="0"/>
      <w:divBdr>
        <w:top w:val="none" w:sz="0" w:space="0" w:color="auto"/>
        <w:left w:val="none" w:sz="0" w:space="0" w:color="auto"/>
        <w:bottom w:val="none" w:sz="0" w:space="0" w:color="auto"/>
        <w:right w:val="none" w:sz="0" w:space="0" w:color="auto"/>
      </w:divBdr>
    </w:div>
    <w:div w:id="2012833334">
      <w:bodyDiv w:val="1"/>
      <w:marLeft w:val="0"/>
      <w:marRight w:val="0"/>
      <w:marTop w:val="0"/>
      <w:marBottom w:val="0"/>
      <w:divBdr>
        <w:top w:val="none" w:sz="0" w:space="0" w:color="auto"/>
        <w:left w:val="none" w:sz="0" w:space="0" w:color="auto"/>
        <w:bottom w:val="none" w:sz="0" w:space="0" w:color="auto"/>
        <w:right w:val="none" w:sz="0" w:space="0" w:color="auto"/>
      </w:divBdr>
      <w:divsChild>
        <w:div w:id="1468157307">
          <w:marLeft w:val="0"/>
          <w:marRight w:val="0"/>
          <w:marTop w:val="0"/>
          <w:marBottom w:val="0"/>
          <w:divBdr>
            <w:top w:val="none" w:sz="0" w:space="0" w:color="auto"/>
            <w:left w:val="none" w:sz="0" w:space="0" w:color="auto"/>
            <w:bottom w:val="none" w:sz="0" w:space="0" w:color="auto"/>
            <w:right w:val="none" w:sz="0" w:space="0" w:color="auto"/>
          </w:divBdr>
          <w:divsChild>
            <w:div w:id="1754014541">
              <w:marLeft w:val="0"/>
              <w:marRight w:val="0"/>
              <w:marTop w:val="0"/>
              <w:marBottom w:val="0"/>
              <w:divBdr>
                <w:top w:val="none" w:sz="0" w:space="0" w:color="auto"/>
                <w:left w:val="none" w:sz="0" w:space="0" w:color="auto"/>
                <w:bottom w:val="none" w:sz="0" w:space="0" w:color="auto"/>
                <w:right w:val="none" w:sz="0" w:space="0" w:color="auto"/>
              </w:divBdr>
              <w:divsChild>
                <w:div w:id="120844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36453">
      <w:bodyDiv w:val="1"/>
      <w:marLeft w:val="0"/>
      <w:marRight w:val="0"/>
      <w:marTop w:val="0"/>
      <w:marBottom w:val="0"/>
      <w:divBdr>
        <w:top w:val="none" w:sz="0" w:space="0" w:color="auto"/>
        <w:left w:val="none" w:sz="0" w:space="0" w:color="auto"/>
        <w:bottom w:val="none" w:sz="0" w:space="0" w:color="auto"/>
        <w:right w:val="none" w:sz="0" w:space="0" w:color="auto"/>
      </w:divBdr>
    </w:div>
    <w:div w:id="20669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6C3C-9251-4C76-8EFE-21FBB151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13745</Characters>
  <Application>Microsoft Office Word</Application>
  <DocSecurity>4</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2018-05-29T22:58:00Z</cp:lastPrinted>
  <dcterms:created xsi:type="dcterms:W3CDTF">2018-05-30T17:18:00Z</dcterms:created>
  <dcterms:modified xsi:type="dcterms:W3CDTF">2018-05-30T17:18:00Z</dcterms:modified>
</cp:coreProperties>
</file>