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FFAF7" w14:textId="77777777" w:rsidR="001B3B0A" w:rsidRDefault="001B3B0A" w:rsidP="00017D5A">
      <w:pPr>
        <w:jc w:val="center"/>
        <w:rPr>
          <w:rFonts w:ascii="Verdana" w:hAnsi="Verdana"/>
          <w:b/>
        </w:rPr>
      </w:pPr>
    </w:p>
    <w:p w14:paraId="72EBBF14" w14:textId="77777777" w:rsidR="001B3B0A" w:rsidRDefault="001B3B0A" w:rsidP="00017D5A">
      <w:pPr>
        <w:jc w:val="center"/>
        <w:rPr>
          <w:rFonts w:ascii="Verdana" w:hAnsi="Verdana"/>
          <w:b/>
        </w:rPr>
      </w:pPr>
    </w:p>
    <w:p w14:paraId="590E4AF0" w14:textId="77777777" w:rsidR="001B3B0A" w:rsidRDefault="001B3B0A" w:rsidP="00017D5A">
      <w:pPr>
        <w:jc w:val="center"/>
        <w:rPr>
          <w:rFonts w:ascii="Verdana" w:hAnsi="Verdana"/>
          <w:b/>
        </w:rPr>
      </w:pPr>
    </w:p>
    <w:p w14:paraId="145DCFF4" w14:textId="77777777" w:rsidR="001B3B0A" w:rsidRDefault="001B3B0A" w:rsidP="00017D5A">
      <w:pPr>
        <w:jc w:val="center"/>
        <w:rPr>
          <w:rFonts w:ascii="Verdana" w:hAnsi="Verdana"/>
          <w:b/>
        </w:rPr>
      </w:pPr>
    </w:p>
    <w:p w14:paraId="6DFF734B" w14:textId="77777777" w:rsidR="001B3B0A" w:rsidRDefault="001B3B0A" w:rsidP="00017D5A">
      <w:pPr>
        <w:jc w:val="center"/>
        <w:rPr>
          <w:rFonts w:ascii="Verdana" w:hAnsi="Verdana"/>
          <w:b/>
        </w:rPr>
      </w:pPr>
    </w:p>
    <w:p w14:paraId="7BF6F22A" w14:textId="77777777" w:rsidR="001B3B0A" w:rsidRDefault="001B3B0A" w:rsidP="00017D5A">
      <w:pPr>
        <w:jc w:val="center"/>
        <w:rPr>
          <w:rFonts w:ascii="Verdana" w:hAnsi="Verdana"/>
          <w:b/>
        </w:rPr>
      </w:pPr>
    </w:p>
    <w:p w14:paraId="4BB52114" w14:textId="77777777" w:rsidR="001B3B0A" w:rsidRDefault="001B3B0A" w:rsidP="00017D5A">
      <w:pPr>
        <w:jc w:val="center"/>
        <w:rPr>
          <w:rFonts w:ascii="Verdana" w:hAnsi="Verdana"/>
          <w:b/>
        </w:rPr>
      </w:pPr>
    </w:p>
    <w:p w14:paraId="6F0D4B0D" w14:textId="77777777" w:rsidR="004C1688" w:rsidRDefault="00017D5A" w:rsidP="00017D5A">
      <w:pPr>
        <w:jc w:val="center"/>
        <w:rPr>
          <w:rFonts w:ascii="Verdana" w:hAnsi="Verdana"/>
          <w:b/>
        </w:rPr>
      </w:pPr>
      <w:r>
        <w:rPr>
          <w:rFonts w:ascii="Verdana" w:hAnsi="Verdana"/>
          <w:b/>
        </w:rPr>
        <w:t xml:space="preserve">VOTO </w:t>
      </w:r>
      <w:r w:rsidR="002D613B">
        <w:rPr>
          <w:rFonts w:ascii="Verdana" w:hAnsi="Verdana"/>
          <w:b/>
        </w:rPr>
        <w:t>CONCURRENTE</w:t>
      </w:r>
      <w:r>
        <w:rPr>
          <w:rFonts w:ascii="Verdana" w:hAnsi="Verdana"/>
          <w:b/>
        </w:rPr>
        <w:t xml:space="preserve"> DEL </w:t>
      </w:r>
    </w:p>
    <w:p w14:paraId="7EC2E4C9" w14:textId="6C053645" w:rsidR="00017D5A" w:rsidRDefault="00017D5A" w:rsidP="00017D5A">
      <w:pPr>
        <w:jc w:val="center"/>
        <w:rPr>
          <w:rFonts w:ascii="Verdana" w:hAnsi="Verdana"/>
          <w:b/>
        </w:rPr>
      </w:pPr>
      <w:r>
        <w:rPr>
          <w:rFonts w:ascii="Verdana" w:hAnsi="Verdana"/>
          <w:b/>
        </w:rPr>
        <w:t>JUEZ HUMBE</w:t>
      </w:r>
      <w:bookmarkStart w:id="0" w:name="_GoBack"/>
      <w:bookmarkEnd w:id="0"/>
      <w:r>
        <w:rPr>
          <w:rFonts w:ascii="Verdana" w:hAnsi="Verdana"/>
          <w:b/>
        </w:rPr>
        <w:t xml:space="preserve">RTO ANTONIO SIERRA PORTO </w:t>
      </w:r>
    </w:p>
    <w:p w14:paraId="15D00223" w14:textId="77777777" w:rsidR="00017D5A" w:rsidRDefault="00017D5A" w:rsidP="00017D5A">
      <w:pPr>
        <w:jc w:val="center"/>
        <w:rPr>
          <w:rFonts w:ascii="Verdana" w:hAnsi="Verdana"/>
          <w:b/>
        </w:rPr>
      </w:pPr>
    </w:p>
    <w:p w14:paraId="67EEA9A4" w14:textId="77777777" w:rsidR="00017D5A" w:rsidRDefault="00017D5A" w:rsidP="00017D5A">
      <w:pPr>
        <w:jc w:val="center"/>
        <w:rPr>
          <w:rFonts w:ascii="Verdana" w:hAnsi="Verdana"/>
          <w:b/>
        </w:rPr>
      </w:pPr>
      <w:r>
        <w:rPr>
          <w:rFonts w:ascii="Verdana" w:hAnsi="Verdana"/>
          <w:b/>
        </w:rPr>
        <w:t xml:space="preserve">A LA SENTENCIA DE </w:t>
      </w:r>
      <w:r w:rsidR="002D613B">
        <w:rPr>
          <w:rFonts w:ascii="Verdana" w:hAnsi="Verdana"/>
          <w:b/>
        </w:rPr>
        <w:t>8</w:t>
      </w:r>
      <w:r>
        <w:rPr>
          <w:rFonts w:ascii="Verdana" w:hAnsi="Verdana"/>
          <w:b/>
        </w:rPr>
        <w:t xml:space="preserve"> DE </w:t>
      </w:r>
      <w:r w:rsidR="002D613B">
        <w:rPr>
          <w:rFonts w:ascii="Verdana" w:hAnsi="Verdana"/>
          <w:b/>
        </w:rPr>
        <w:t>MARZO</w:t>
      </w:r>
      <w:r>
        <w:rPr>
          <w:rFonts w:ascii="Verdana" w:hAnsi="Verdana"/>
          <w:b/>
        </w:rPr>
        <w:t xml:space="preserve"> DE </w:t>
      </w:r>
      <w:r w:rsidR="002D613B">
        <w:rPr>
          <w:rFonts w:ascii="Verdana" w:hAnsi="Verdana"/>
          <w:b/>
        </w:rPr>
        <w:t>2018</w:t>
      </w:r>
    </w:p>
    <w:p w14:paraId="49EEE9DF" w14:textId="77777777" w:rsidR="00017D5A" w:rsidRDefault="00017D5A" w:rsidP="009C7158">
      <w:pPr>
        <w:jc w:val="center"/>
        <w:outlineLvl w:val="0"/>
        <w:rPr>
          <w:rFonts w:ascii="Verdana" w:hAnsi="Verdana"/>
          <w:b/>
        </w:rPr>
      </w:pPr>
      <w:r>
        <w:rPr>
          <w:rFonts w:ascii="Verdana" w:hAnsi="Verdana"/>
          <w:b/>
        </w:rPr>
        <w:t>DE LA CORTE INTERAMERICANA DE DERECHOS HUMANOS</w:t>
      </w:r>
    </w:p>
    <w:p w14:paraId="6D8EDC10" w14:textId="77777777" w:rsidR="00017D5A" w:rsidRDefault="00017D5A" w:rsidP="00017D5A">
      <w:pPr>
        <w:jc w:val="center"/>
        <w:rPr>
          <w:rFonts w:ascii="Verdana" w:hAnsi="Verdana"/>
          <w:b/>
        </w:rPr>
      </w:pPr>
    </w:p>
    <w:p w14:paraId="1C9D39AA" w14:textId="77777777" w:rsidR="00017D5A" w:rsidRDefault="00017D5A" w:rsidP="009C7158">
      <w:pPr>
        <w:jc w:val="center"/>
        <w:outlineLvl w:val="0"/>
        <w:rPr>
          <w:rFonts w:ascii="Verdana" w:hAnsi="Verdana"/>
          <w:b/>
        </w:rPr>
      </w:pPr>
      <w:r>
        <w:rPr>
          <w:rFonts w:ascii="Verdana" w:hAnsi="Verdana"/>
          <w:b/>
        </w:rPr>
        <w:t xml:space="preserve">EN EL CASO DE </w:t>
      </w:r>
      <w:r w:rsidR="002D613B">
        <w:rPr>
          <w:rFonts w:ascii="Verdana" w:hAnsi="Verdana"/>
          <w:b/>
        </w:rPr>
        <w:t>POBLETE VILCHES Y OTROS VS. CHILE</w:t>
      </w:r>
    </w:p>
    <w:p w14:paraId="56B9FF28" w14:textId="77777777" w:rsidR="00242F3A" w:rsidRDefault="00242F3A" w:rsidP="003552CE">
      <w:pPr>
        <w:rPr>
          <w:rFonts w:ascii="Verdana" w:hAnsi="Verdana"/>
          <w:b/>
        </w:rPr>
      </w:pPr>
    </w:p>
    <w:p w14:paraId="387E778D" w14:textId="77777777" w:rsidR="00765E46" w:rsidRPr="002D613B" w:rsidRDefault="00765E46" w:rsidP="003552CE">
      <w:pPr>
        <w:rPr>
          <w:rFonts w:ascii="Verdana" w:hAnsi="Verdana"/>
          <w:b/>
          <w:i/>
        </w:rPr>
      </w:pPr>
      <w:r w:rsidRPr="002D613B">
        <w:rPr>
          <w:rFonts w:ascii="Verdana" w:hAnsi="Verdana"/>
          <w:b/>
          <w:i/>
        </w:rPr>
        <w:t>I. Introducción</w:t>
      </w:r>
    </w:p>
    <w:p w14:paraId="66BD23C7" w14:textId="77777777" w:rsidR="00765E46" w:rsidRPr="003552CE" w:rsidRDefault="00765E46" w:rsidP="003552CE">
      <w:pPr>
        <w:rPr>
          <w:rFonts w:ascii="Verdana" w:hAnsi="Verdana"/>
          <w:b/>
        </w:rPr>
      </w:pPr>
    </w:p>
    <w:p w14:paraId="0112750B" w14:textId="73326936" w:rsidR="00FF45E5" w:rsidRDefault="00A41285" w:rsidP="00FF45E5">
      <w:pPr>
        <w:pStyle w:val="ListParagraph"/>
        <w:numPr>
          <w:ilvl w:val="0"/>
          <w:numId w:val="10"/>
        </w:numPr>
        <w:ind w:left="0" w:firstLine="0"/>
        <w:jc w:val="both"/>
        <w:rPr>
          <w:rFonts w:ascii="Verdana" w:hAnsi="Verdana"/>
          <w:sz w:val="20"/>
          <w:szCs w:val="20"/>
          <w:lang w:val="es-CR"/>
        </w:rPr>
      </w:pPr>
      <w:r w:rsidRPr="009D7294">
        <w:rPr>
          <w:rFonts w:ascii="Verdana" w:hAnsi="Verdana"/>
          <w:sz w:val="20"/>
          <w:szCs w:val="20"/>
          <w:lang w:val="es-CR"/>
        </w:rPr>
        <w:t xml:space="preserve">Con el acostumbrado </w:t>
      </w:r>
      <w:r w:rsidR="00DF47DF" w:rsidRPr="003552CE">
        <w:rPr>
          <w:rFonts w:ascii="Verdana" w:hAnsi="Verdana"/>
          <w:sz w:val="20"/>
          <w:szCs w:val="20"/>
          <w:lang w:val="es-CR"/>
        </w:rPr>
        <w:t xml:space="preserve">respeto por las decisiones de </w:t>
      </w:r>
      <w:r w:rsidR="003552CE">
        <w:rPr>
          <w:rFonts w:ascii="Verdana" w:hAnsi="Verdana"/>
          <w:sz w:val="20"/>
          <w:szCs w:val="20"/>
          <w:lang w:val="es-CR"/>
        </w:rPr>
        <w:t>la</w:t>
      </w:r>
      <w:r w:rsidRPr="009D7294">
        <w:rPr>
          <w:rFonts w:ascii="Verdana" w:hAnsi="Verdana"/>
          <w:sz w:val="20"/>
          <w:szCs w:val="20"/>
          <w:lang w:val="es-CR"/>
        </w:rPr>
        <w:t xml:space="preserve"> Corte</w:t>
      </w:r>
      <w:r w:rsidR="00DF12C0">
        <w:rPr>
          <w:rFonts w:ascii="Verdana" w:hAnsi="Verdana"/>
          <w:sz w:val="20"/>
          <w:szCs w:val="20"/>
          <w:lang w:val="es-CR"/>
        </w:rPr>
        <w:t xml:space="preserve"> Interamericana de Derechos Humanos (en adelante,</w:t>
      </w:r>
      <w:r w:rsidR="008A0868">
        <w:rPr>
          <w:rFonts w:ascii="Verdana" w:hAnsi="Verdana"/>
          <w:sz w:val="20"/>
          <w:szCs w:val="20"/>
          <w:lang w:val="es-CR"/>
        </w:rPr>
        <w:t xml:space="preserve"> también</w:t>
      </w:r>
      <w:r w:rsidR="00DF12C0" w:rsidRPr="003F45A4">
        <w:rPr>
          <w:rFonts w:ascii="Verdana" w:hAnsi="Verdana"/>
          <w:sz w:val="20"/>
          <w:szCs w:val="20"/>
          <w:lang w:val="es-CR"/>
        </w:rPr>
        <w:t xml:space="preserve"> “la Corte” o “el Tribunal”)</w:t>
      </w:r>
      <w:r w:rsidRPr="003F45A4">
        <w:rPr>
          <w:rFonts w:ascii="Verdana" w:hAnsi="Verdana"/>
          <w:sz w:val="20"/>
          <w:szCs w:val="20"/>
          <w:lang w:val="es-CR"/>
        </w:rPr>
        <w:t xml:space="preserve">, me permito </w:t>
      </w:r>
      <w:r w:rsidR="00A11B6E" w:rsidRPr="003F45A4">
        <w:rPr>
          <w:rFonts w:ascii="Verdana" w:hAnsi="Verdana"/>
          <w:sz w:val="20"/>
          <w:szCs w:val="20"/>
          <w:lang w:val="es-CR"/>
        </w:rPr>
        <w:t xml:space="preserve">formular </w:t>
      </w:r>
      <w:r w:rsidRPr="003F45A4">
        <w:rPr>
          <w:rFonts w:ascii="Verdana" w:hAnsi="Verdana"/>
          <w:sz w:val="20"/>
          <w:szCs w:val="20"/>
          <w:lang w:val="es-CR"/>
        </w:rPr>
        <w:t xml:space="preserve">el presente voto </w:t>
      </w:r>
      <w:r w:rsidR="004E21CC" w:rsidRPr="003F45A4">
        <w:rPr>
          <w:rFonts w:ascii="Verdana" w:hAnsi="Verdana"/>
          <w:sz w:val="20"/>
          <w:szCs w:val="20"/>
          <w:lang w:val="es-CR"/>
        </w:rPr>
        <w:t>concurrente</w:t>
      </w:r>
      <w:r w:rsidRPr="003F45A4">
        <w:rPr>
          <w:rFonts w:ascii="Verdana" w:hAnsi="Verdana"/>
          <w:sz w:val="20"/>
          <w:szCs w:val="20"/>
          <w:lang w:val="es-CR"/>
        </w:rPr>
        <w:t xml:space="preserve">. </w:t>
      </w:r>
      <w:r w:rsidR="00CF4689" w:rsidRPr="003F45A4">
        <w:rPr>
          <w:rFonts w:ascii="Verdana" w:hAnsi="Verdana"/>
          <w:sz w:val="20"/>
          <w:szCs w:val="20"/>
          <w:lang w:val="es-CR"/>
        </w:rPr>
        <w:t>E</w:t>
      </w:r>
      <w:r w:rsidR="00843764" w:rsidRPr="003F45A4">
        <w:rPr>
          <w:rFonts w:ascii="Verdana" w:hAnsi="Verdana"/>
          <w:sz w:val="20"/>
          <w:szCs w:val="20"/>
          <w:lang w:val="es-CR"/>
        </w:rPr>
        <w:t xml:space="preserve">l voto </w:t>
      </w:r>
      <w:r w:rsidR="004E21CC" w:rsidRPr="003F45A4">
        <w:rPr>
          <w:rFonts w:ascii="Verdana" w:hAnsi="Verdana"/>
          <w:sz w:val="20"/>
          <w:szCs w:val="20"/>
          <w:lang w:val="es-CR"/>
        </w:rPr>
        <w:t xml:space="preserve">se centra en el análisis </w:t>
      </w:r>
      <w:r w:rsidR="00DF12C0" w:rsidRPr="003F45A4">
        <w:rPr>
          <w:rFonts w:ascii="Verdana" w:hAnsi="Verdana"/>
          <w:sz w:val="20"/>
          <w:szCs w:val="20"/>
          <w:lang w:val="es-CR"/>
        </w:rPr>
        <w:t xml:space="preserve">de fondo </w:t>
      </w:r>
      <w:r w:rsidR="004E21CC" w:rsidRPr="003F45A4">
        <w:rPr>
          <w:rFonts w:ascii="Verdana" w:hAnsi="Verdana"/>
          <w:sz w:val="20"/>
          <w:szCs w:val="20"/>
          <w:lang w:val="es-CR"/>
        </w:rPr>
        <w:t>que realizó la Corte acerca de la responsabilidad internacional del Estado por la violación de los derechos a la salud, vida, integridad personal y acceso a la información</w:t>
      </w:r>
      <w:r w:rsidR="003C562D" w:rsidRPr="003F45A4">
        <w:rPr>
          <w:rFonts w:ascii="Verdana" w:hAnsi="Verdana"/>
          <w:sz w:val="20"/>
          <w:szCs w:val="20"/>
          <w:lang w:val="es-CR"/>
        </w:rPr>
        <w:t>. En</w:t>
      </w:r>
      <w:r w:rsidR="004E21CC" w:rsidRPr="003F45A4">
        <w:rPr>
          <w:rFonts w:ascii="Verdana" w:hAnsi="Verdana"/>
          <w:sz w:val="20"/>
          <w:szCs w:val="20"/>
          <w:lang w:val="es-CR"/>
        </w:rPr>
        <w:t xml:space="preserve"> concreto, explicaré las razones por las que me sumé al voto de la mayoría en la declaración de responsabilidad</w:t>
      </w:r>
      <w:r w:rsidR="006E1ED7" w:rsidRPr="003F45A4">
        <w:rPr>
          <w:rFonts w:ascii="Verdana" w:hAnsi="Verdana"/>
          <w:sz w:val="20"/>
          <w:szCs w:val="20"/>
          <w:lang w:val="es-CR"/>
        </w:rPr>
        <w:t xml:space="preserve"> internacional</w:t>
      </w:r>
      <w:r w:rsidR="004E21CC" w:rsidRPr="003F45A4">
        <w:rPr>
          <w:rFonts w:ascii="Verdana" w:hAnsi="Verdana"/>
          <w:sz w:val="20"/>
          <w:szCs w:val="20"/>
          <w:lang w:val="es-CR"/>
        </w:rPr>
        <w:t xml:space="preserve"> </w:t>
      </w:r>
      <w:r w:rsidR="006E1ED7" w:rsidRPr="003F45A4">
        <w:rPr>
          <w:rFonts w:ascii="Verdana" w:hAnsi="Verdana"/>
          <w:sz w:val="20"/>
          <w:szCs w:val="20"/>
          <w:lang w:val="es-CR"/>
        </w:rPr>
        <w:t>por la violación al dere</w:t>
      </w:r>
      <w:r w:rsidR="0089740C" w:rsidRPr="003F45A4">
        <w:rPr>
          <w:rFonts w:ascii="Verdana" w:hAnsi="Verdana"/>
          <w:sz w:val="20"/>
          <w:szCs w:val="20"/>
          <w:lang w:val="es-CR"/>
        </w:rPr>
        <w:t>cho a la salud</w:t>
      </w:r>
      <w:r w:rsidR="00AF6286">
        <w:rPr>
          <w:rFonts w:ascii="Verdana" w:hAnsi="Verdana"/>
          <w:sz w:val="20"/>
          <w:szCs w:val="20"/>
          <w:lang w:val="es-CR"/>
        </w:rPr>
        <w:t xml:space="preserve"> (</w:t>
      </w:r>
      <w:r w:rsidR="00AF6286" w:rsidRPr="00AF6286">
        <w:rPr>
          <w:rFonts w:ascii="Verdana" w:hAnsi="Verdana"/>
          <w:i/>
          <w:sz w:val="20"/>
          <w:szCs w:val="20"/>
          <w:lang w:val="es-CR"/>
        </w:rPr>
        <w:t>supra</w:t>
      </w:r>
      <w:r w:rsidR="00AF6286">
        <w:rPr>
          <w:rFonts w:ascii="Verdana" w:hAnsi="Verdana"/>
          <w:sz w:val="20"/>
          <w:szCs w:val="20"/>
          <w:lang w:val="es-CR"/>
        </w:rPr>
        <w:t xml:space="preserve">, </w:t>
      </w:r>
      <w:r w:rsidR="00AF6286" w:rsidRPr="00AF6286">
        <w:rPr>
          <w:rFonts w:ascii="Verdana" w:hAnsi="Verdana"/>
          <w:sz w:val="20"/>
          <w:szCs w:val="20"/>
          <w:lang w:val="es-CR"/>
        </w:rPr>
        <w:t>párr</w:t>
      </w:r>
      <w:r w:rsidR="00AF6286">
        <w:rPr>
          <w:rFonts w:ascii="Verdana" w:hAnsi="Verdana"/>
          <w:sz w:val="20"/>
          <w:szCs w:val="20"/>
          <w:lang w:val="es-CR"/>
        </w:rPr>
        <w:t>. 143)</w:t>
      </w:r>
      <w:r w:rsidR="0089740C" w:rsidRPr="003F45A4">
        <w:rPr>
          <w:rFonts w:ascii="Verdana" w:hAnsi="Verdana"/>
          <w:sz w:val="20"/>
          <w:szCs w:val="20"/>
          <w:lang w:val="es-CR"/>
        </w:rPr>
        <w:t xml:space="preserve">, y </w:t>
      </w:r>
      <w:r w:rsidR="00AF6286">
        <w:rPr>
          <w:rFonts w:ascii="Verdana" w:hAnsi="Verdana"/>
          <w:sz w:val="20"/>
          <w:szCs w:val="20"/>
          <w:lang w:val="es-CR"/>
        </w:rPr>
        <w:t>realizaré</w:t>
      </w:r>
      <w:r w:rsidR="0089740C" w:rsidRPr="003F45A4">
        <w:rPr>
          <w:rFonts w:ascii="Verdana" w:hAnsi="Verdana"/>
          <w:sz w:val="20"/>
          <w:szCs w:val="20"/>
          <w:lang w:val="es-CR"/>
        </w:rPr>
        <w:t xml:space="preserve"> algunas reflexiones acerca del </w:t>
      </w:r>
      <w:r w:rsidR="006E1ED7" w:rsidRPr="003F45A4">
        <w:rPr>
          <w:rFonts w:ascii="Verdana" w:hAnsi="Verdana"/>
          <w:sz w:val="20"/>
          <w:szCs w:val="20"/>
          <w:lang w:val="es-CR"/>
        </w:rPr>
        <w:t>análisis</w:t>
      </w:r>
      <w:r w:rsidR="0089740C" w:rsidRPr="003F45A4">
        <w:rPr>
          <w:rFonts w:ascii="Verdana" w:hAnsi="Verdana"/>
          <w:sz w:val="20"/>
          <w:szCs w:val="20"/>
          <w:lang w:val="es-CR"/>
        </w:rPr>
        <w:t xml:space="preserve"> que la Corte hace sobre</w:t>
      </w:r>
      <w:r w:rsidR="006E1ED7" w:rsidRPr="003F45A4">
        <w:rPr>
          <w:rFonts w:ascii="Verdana" w:hAnsi="Verdana"/>
          <w:sz w:val="20"/>
          <w:szCs w:val="20"/>
          <w:lang w:val="es-CR"/>
        </w:rPr>
        <w:t xml:space="preserve"> violaciones a los</w:t>
      </w:r>
      <w:r w:rsidR="00D728B1">
        <w:rPr>
          <w:rFonts w:ascii="Verdana" w:hAnsi="Verdana"/>
          <w:sz w:val="20"/>
          <w:szCs w:val="20"/>
          <w:lang w:val="es-CR"/>
        </w:rPr>
        <w:t xml:space="preserve"> derechos económicos, sociales,</w:t>
      </w:r>
      <w:r w:rsidR="006E1ED7" w:rsidRPr="003F45A4">
        <w:rPr>
          <w:rFonts w:ascii="Verdana" w:hAnsi="Verdana"/>
          <w:sz w:val="20"/>
          <w:szCs w:val="20"/>
          <w:lang w:val="es-CR"/>
        </w:rPr>
        <w:t xml:space="preserve"> culturales</w:t>
      </w:r>
      <w:r w:rsidR="00D728B1">
        <w:rPr>
          <w:rFonts w:ascii="Verdana" w:hAnsi="Verdana"/>
          <w:sz w:val="20"/>
          <w:szCs w:val="20"/>
          <w:lang w:val="es-CR"/>
        </w:rPr>
        <w:t xml:space="preserve"> y ambientales</w:t>
      </w:r>
      <w:r w:rsidR="008A0868" w:rsidRPr="003F45A4">
        <w:rPr>
          <w:rFonts w:ascii="Verdana" w:hAnsi="Verdana"/>
          <w:sz w:val="20"/>
          <w:szCs w:val="20"/>
          <w:lang w:val="es-CR"/>
        </w:rPr>
        <w:t xml:space="preserve"> (en adelante, también “DESC</w:t>
      </w:r>
      <w:r w:rsidR="00D728B1">
        <w:rPr>
          <w:rFonts w:ascii="Verdana" w:hAnsi="Verdana"/>
          <w:sz w:val="20"/>
          <w:szCs w:val="20"/>
          <w:lang w:val="es-CR"/>
        </w:rPr>
        <w:t>A</w:t>
      </w:r>
      <w:r w:rsidR="008A0868" w:rsidRPr="003F45A4">
        <w:rPr>
          <w:rFonts w:ascii="Verdana" w:hAnsi="Verdana"/>
          <w:sz w:val="20"/>
          <w:szCs w:val="20"/>
          <w:lang w:val="es-CR"/>
        </w:rPr>
        <w:t>”)</w:t>
      </w:r>
      <w:r w:rsidR="00DF12C0" w:rsidRPr="003F45A4">
        <w:rPr>
          <w:rFonts w:ascii="Verdana" w:hAnsi="Verdana"/>
          <w:sz w:val="20"/>
          <w:szCs w:val="20"/>
          <w:lang w:val="es-CR"/>
        </w:rPr>
        <w:t xml:space="preserve"> sobre la base del artículo 26 de la Convención Americana sobre Derechos Humanos (en adelante,</w:t>
      </w:r>
      <w:r w:rsidR="008A0868" w:rsidRPr="003F45A4">
        <w:rPr>
          <w:rFonts w:ascii="Verdana" w:hAnsi="Verdana"/>
          <w:sz w:val="20"/>
          <w:szCs w:val="20"/>
          <w:lang w:val="es-CR"/>
        </w:rPr>
        <w:t xml:space="preserve"> también</w:t>
      </w:r>
      <w:r w:rsidR="00DF12C0" w:rsidRPr="003F45A4">
        <w:rPr>
          <w:rFonts w:ascii="Verdana" w:hAnsi="Verdana"/>
          <w:sz w:val="20"/>
          <w:szCs w:val="20"/>
          <w:lang w:val="es-CR"/>
        </w:rPr>
        <w:t xml:space="preserve"> “la Convención”)</w:t>
      </w:r>
      <w:r w:rsidR="006E1ED7" w:rsidRPr="003F45A4">
        <w:rPr>
          <w:rFonts w:ascii="Verdana" w:hAnsi="Verdana"/>
          <w:sz w:val="20"/>
          <w:szCs w:val="20"/>
          <w:lang w:val="es-CR"/>
        </w:rPr>
        <w:t>. En ese sentido,</w:t>
      </w:r>
      <w:r w:rsidR="003C562D" w:rsidRPr="003F45A4">
        <w:rPr>
          <w:rFonts w:ascii="Verdana" w:hAnsi="Verdana"/>
          <w:sz w:val="20"/>
          <w:szCs w:val="20"/>
          <w:lang w:val="es-CR"/>
        </w:rPr>
        <w:t xml:space="preserve"> advierto que mis reflexiones complementan lo ya expresado</w:t>
      </w:r>
      <w:r w:rsidR="00C5564A" w:rsidRPr="003F45A4">
        <w:rPr>
          <w:rFonts w:ascii="Verdana" w:hAnsi="Verdana"/>
          <w:sz w:val="20"/>
          <w:szCs w:val="20"/>
          <w:lang w:val="es-CR"/>
        </w:rPr>
        <w:t xml:space="preserve"> </w:t>
      </w:r>
      <w:r w:rsidR="003C562D" w:rsidRPr="003F45A4">
        <w:rPr>
          <w:rFonts w:ascii="Verdana" w:hAnsi="Verdana"/>
          <w:sz w:val="20"/>
          <w:szCs w:val="20"/>
          <w:lang w:val="es-CR"/>
        </w:rPr>
        <w:t>en mi</w:t>
      </w:r>
      <w:r w:rsidR="006E1ED7" w:rsidRPr="003F45A4">
        <w:rPr>
          <w:rFonts w:ascii="Verdana" w:hAnsi="Verdana"/>
          <w:sz w:val="20"/>
          <w:szCs w:val="20"/>
          <w:lang w:val="es-CR"/>
        </w:rPr>
        <w:t>s</w:t>
      </w:r>
      <w:r w:rsidR="003C562D" w:rsidRPr="003F45A4">
        <w:rPr>
          <w:rFonts w:ascii="Verdana" w:hAnsi="Verdana"/>
          <w:sz w:val="20"/>
          <w:szCs w:val="20"/>
          <w:lang w:val="es-CR"/>
        </w:rPr>
        <w:t xml:space="preserve"> voto</w:t>
      </w:r>
      <w:r w:rsidR="006E1ED7" w:rsidRPr="003F45A4">
        <w:rPr>
          <w:rFonts w:ascii="Verdana" w:hAnsi="Verdana"/>
          <w:sz w:val="20"/>
          <w:szCs w:val="20"/>
          <w:lang w:val="es-CR"/>
        </w:rPr>
        <w:t>s</w:t>
      </w:r>
      <w:r w:rsidR="00DF12C0" w:rsidRPr="003F45A4">
        <w:rPr>
          <w:rFonts w:ascii="Verdana" w:hAnsi="Verdana"/>
          <w:sz w:val="20"/>
          <w:szCs w:val="20"/>
          <w:lang w:val="es-CR"/>
        </w:rPr>
        <w:t xml:space="preserve"> parcialmente</w:t>
      </w:r>
      <w:r w:rsidR="003C562D" w:rsidRPr="003F45A4">
        <w:rPr>
          <w:rFonts w:ascii="Verdana" w:hAnsi="Verdana"/>
          <w:sz w:val="20"/>
          <w:szCs w:val="20"/>
          <w:lang w:val="es-CR"/>
        </w:rPr>
        <w:t xml:space="preserve"> disidente</w:t>
      </w:r>
      <w:r w:rsidR="006E1ED7" w:rsidRPr="003F45A4">
        <w:rPr>
          <w:rFonts w:ascii="Verdana" w:hAnsi="Verdana"/>
          <w:sz w:val="20"/>
          <w:szCs w:val="20"/>
          <w:lang w:val="es-CR"/>
        </w:rPr>
        <w:t>s</w:t>
      </w:r>
      <w:r w:rsidR="003C562D" w:rsidRPr="003F45A4">
        <w:rPr>
          <w:rFonts w:ascii="Verdana" w:hAnsi="Verdana"/>
          <w:sz w:val="20"/>
          <w:szCs w:val="20"/>
          <w:lang w:val="es-CR"/>
        </w:rPr>
        <w:t xml:space="preserve"> de</w:t>
      </w:r>
      <w:r w:rsidR="006E1ED7" w:rsidRPr="003F45A4">
        <w:rPr>
          <w:rFonts w:ascii="Verdana" w:hAnsi="Verdana"/>
          <w:sz w:val="20"/>
          <w:szCs w:val="20"/>
          <w:lang w:val="es-CR"/>
        </w:rPr>
        <w:t xml:space="preserve"> </w:t>
      </w:r>
      <w:r w:rsidR="003C562D" w:rsidRPr="003F45A4">
        <w:rPr>
          <w:rFonts w:ascii="Verdana" w:hAnsi="Verdana"/>
          <w:sz w:val="20"/>
          <w:szCs w:val="20"/>
          <w:lang w:val="es-CR"/>
        </w:rPr>
        <w:t>l</w:t>
      </w:r>
      <w:r w:rsidR="006E1ED7" w:rsidRPr="003F45A4">
        <w:rPr>
          <w:rFonts w:ascii="Verdana" w:hAnsi="Verdana"/>
          <w:sz w:val="20"/>
          <w:szCs w:val="20"/>
          <w:lang w:val="es-CR"/>
        </w:rPr>
        <w:t>os</w:t>
      </w:r>
      <w:r w:rsidR="003C562D" w:rsidRPr="003F45A4">
        <w:rPr>
          <w:rFonts w:ascii="Verdana" w:hAnsi="Verdana"/>
          <w:sz w:val="20"/>
          <w:szCs w:val="20"/>
          <w:lang w:val="es-CR"/>
        </w:rPr>
        <w:t xml:space="preserve"> caso</w:t>
      </w:r>
      <w:r w:rsidR="006E1ED7" w:rsidRPr="003F45A4">
        <w:rPr>
          <w:rFonts w:ascii="Verdana" w:hAnsi="Verdana"/>
          <w:sz w:val="20"/>
          <w:szCs w:val="20"/>
          <w:lang w:val="es-CR"/>
        </w:rPr>
        <w:t>s</w:t>
      </w:r>
      <w:r w:rsidR="003C562D" w:rsidRPr="003F45A4">
        <w:rPr>
          <w:rFonts w:ascii="Verdana" w:hAnsi="Verdana"/>
          <w:sz w:val="20"/>
          <w:szCs w:val="20"/>
          <w:lang w:val="es-CR"/>
        </w:rPr>
        <w:t xml:space="preserve"> </w:t>
      </w:r>
      <w:r w:rsidR="003C562D" w:rsidRPr="003F45A4">
        <w:rPr>
          <w:rFonts w:ascii="Verdana" w:hAnsi="Verdana"/>
          <w:i/>
          <w:sz w:val="20"/>
          <w:szCs w:val="20"/>
          <w:lang w:val="es-CR"/>
        </w:rPr>
        <w:t>Lagos del Campo Vs. Perú</w:t>
      </w:r>
      <w:r w:rsidR="00C5564A" w:rsidRPr="005F6D97">
        <w:rPr>
          <w:rStyle w:val="FootnoteReference"/>
          <w:rFonts w:ascii="Verdana" w:hAnsi="Verdana"/>
          <w:sz w:val="20"/>
          <w:szCs w:val="20"/>
          <w:lang w:val="es-CR"/>
        </w:rPr>
        <w:footnoteReference w:id="1"/>
      </w:r>
      <w:r w:rsidR="006E1ED7" w:rsidRPr="003F45A4">
        <w:rPr>
          <w:rFonts w:ascii="Verdana" w:hAnsi="Verdana"/>
          <w:sz w:val="20"/>
          <w:szCs w:val="20"/>
          <w:lang w:val="es-CR"/>
        </w:rPr>
        <w:t xml:space="preserve">, </w:t>
      </w:r>
      <w:r w:rsidR="00246A75">
        <w:rPr>
          <w:rFonts w:ascii="Verdana" w:hAnsi="Verdana"/>
          <w:i/>
          <w:sz w:val="20"/>
          <w:szCs w:val="20"/>
          <w:lang w:val="es-CR"/>
        </w:rPr>
        <w:t xml:space="preserve">Trabajadores Cesados de </w:t>
      </w:r>
      <w:r w:rsidR="00DF12C0" w:rsidRPr="003F45A4">
        <w:rPr>
          <w:rFonts w:ascii="Verdana" w:hAnsi="Verdana"/>
          <w:i/>
          <w:sz w:val="20"/>
          <w:szCs w:val="20"/>
          <w:lang w:val="es-CR"/>
        </w:rPr>
        <w:t>Petroperú y otros Vs. Perú</w:t>
      </w:r>
      <w:r w:rsidR="0082385B">
        <w:rPr>
          <w:rStyle w:val="FootnoteReference"/>
          <w:rFonts w:ascii="Verdana" w:hAnsi="Verdana"/>
          <w:i/>
          <w:sz w:val="20"/>
          <w:szCs w:val="20"/>
          <w:lang w:val="es-CR"/>
        </w:rPr>
        <w:footnoteReference w:id="2"/>
      </w:r>
      <w:r w:rsidR="00DF12C0" w:rsidRPr="003F45A4">
        <w:rPr>
          <w:rFonts w:ascii="Verdana" w:hAnsi="Verdana"/>
          <w:sz w:val="20"/>
          <w:szCs w:val="20"/>
          <w:lang w:val="es-CR"/>
        </w:rPr>
        <w:t xml:space="preserve">, y </w:t>
      </w:r>
      <w:r w:rsidR="00DF12C0" w:rsidRPr="00154A93">
        <w:rPr>
          <w:rFonts w:ascii="Verdana" w:hAnsi="Verdana"/>
          <w:i/>
          <w:sz w:val="20"/>
          <w:szCs w:val="20"/>
          <w:lang w:val="es-CR"/>
        </w:rPr>
        <w:t>San</w:t>
      </w:r>
      <w:r w:rsidR="0082385B" w:rsidRPr="00154A93">
        <w:rPr>
          <w:rFonts w:ascii="Verdana" w:hAnsi="Verdana"/>
          <w:i/>
          <w:sz w:val="20"/>
          <w:szCs w:val="20"/>
          <w:lang w:val="es-CR"/>
        </w:rPr>
        <w:t xml:space="preserve"> M</w:t>
      </w:r>
      <w:r w:rsidR="00DF12C0" w:rsidRPr="00154A93">
        <w:rPr>
          <w:rFonts w:ascii="Verdana" w:hAnsi="Verdana"/>
          <w:i/>
          <w:sz w:val="20"/>
          <w:szCs w:val="20"/>
          <w:lang w:val="es-CR"/>
        </w:rPr>
        <w:t>iguel Sosa y otras Vs. Venezuela</w:t>
      </w:r>
      <w:r w:rsidR="00655FC0" w:rsidRPr="00154A93">
        <w:rPr>
          <w:rStyle w:val="FootnoteReference"/>
          <w:rFonts w:ascii="Verdana" w:hAnsi="Verdana"/>
          <w:i/>
          <w:sz w:val="20"/>
          <w:szCs w:val="20"/>
          <w:lang w:val="es-CR"/>
        </w:rPr>
        <w:footnoteReference w:id="3"/>
      </w:r>
      <w:r w:rsidR="00986D6C" w:rsidRPr="00154A93">
        <w:rPr>
          <w:rFonts w:ascii="Verdana" w:hAnsi="Verdana"/>
          <w:sz w:val="20"/>
          <w:szCs w:val="20"/>
          <w:lang w:val="es-CR"/>
        </w:rPr>
        <w:t>; así como</w:t>
      </w:r>
      <w:r w:rsidR="00986D6C">
        <w:rPr>
          <w:rFonts w:ascii="Verdana" w:hAnsi="Verdana"/>
          <w:sz w:val="20"/>
          <w:szCs w:val="20"/>
          <w:lang w:val="es-CR"/>
        </w:rPr>
        <w:t xml:space="preserve"> </w:t>
      </w:r>
      <w:r w:rsidR="008910BB" w:rsidRPr="0082385B">
        <w:rPr>
          <w:rFonts w:ascii="Verdana" w:hAnsi="Verdana"/>
          <w:sz w:val="20"/>
          <w:szCs w:val="20"/>
          <w:lang w:val="es-CR"/>
        </w:rPr>
        <w:t>en mi voto</w:t>
      </w:r>
      <w:r w:rsidR="008910BB" w:rsidRPr="003F45A4">
        <w:rPr>
          <w:rFonts w:ascii="Verdana" w:hAnsi="Verdana"/>
          <w:sz w:val="20"/>
          <w:szCs w:val="20"/>
          <w:lang w:val="es-CR"/>
        </w:rPr>
        <w:t xml:space="preserve"> concurrente del caso </w:t>
      </w:r>
      <w:r w:rsidR="008910BB" w:rsidRPr="003F45A4">
        <w:rPr>
          <w:rFonts w:ascii="Verdana" w:hAnsi="Verdana"/>
          <w:i/>
          <w:sz w:val="20"/>
          <w:szCs w:val="20"/>
          <w:lang w:val="es-CR"/>
        </w:rPr>
        <w:t>Gonzales Lluy y otros Vs. Ecuador</w:t>
      </w:r>
      <w:r w:rsidR="00C5564A" w:rsidRPr="005F6D97">
        <w:rPr>
          <w:rStyle w:val="FootnoteReference"/>
          <w:rFonts w:ascii="Verdana" w:hAnsi="Verdana"/>
          <w:sz w:val="20"/>
          <w:szCs w:val="20"/>
          <w:lang w:val="es-CR"/>
        </w:rPr>
        <w:footnoteReference w:id="4"/>
      </w:r>
      <w:r w:rsidR="003C562D" w:rsidRPr="003F45A4">
        <w:rPr>
          <w:rFonts w:ascii="Verdana" w:hAnsi="Verdana"/>
          <w:sz w:val="20"/>
          <w:szCs w:val="20"/>
          <w:lang w:val="es-CR"/>
        </w:rPr>
        <w:t xml:space="preserve">. </w:t>
      </w:r>
    </w:p>
    <w:p w14:paraId="3C20E21D" w14:textId="77777777" w:rsidR="00FF45E5" w:rsidRDefault="00FF45E5" w:rsidP="00FF45E5">
      <w:pPr>
        <w:pStyle w:val="ListParagraph"/>
        <w:ind w:left="0"/>
        <w:jc w:val="both"/>
        <w:rPr>
          <w:rFonts w:ascii="Verdana" w:hAnsi="Verdana"/>
          <w:sz w:val="20"/>
          <w:szCs w:val="20"/>
          <w:lang w:val="es-CR"/>
        </w:rPr>
      </w:pPr>
    </w:p>
    <w:p w14:paraId="548F5870" w14:textId="77777777" w:rsidR="00FF45E5" w:rsidRDefault="00FF45E5" w:rsidP="00FF45E5">
      <w:pPr>
        <w:pStyle w:val="ListParagraph"/>
        <w:ind w:left="0"/>
        <w:jc w:val="both"/>
        <w:rPr>
          <w:rFonts w:ascii="Verdana" w:hAnsi="Verdana"/>
          <w:b/>
          <w:i/>
          <w:sz w:val="20"/>
          <w:szCs w:val="20"/>
          <w:lang w:val="es-CR"/>
        </w:rPr>
      </w:pPr>
      <w:r w:rsidRPr="0052514A">
        <w:rPr>
          <w:rFonts w:ascii="Verdana" w:hAnsi="Verdana"/>
          <w:b/>
          <w:i/>
          <w:sz w:val="20"/>
          <w:szCs w:val="20"/>
          <w:lang w:val="es-CR"/>
        </w:rPr>
        <w:t>II. Respecto a mi adhesión a la declaración de responsabilidad internacional por violación al derecho a la salud</w:t>
      </w:r>
    </w:p>
    <w:p w14:paraId="1A40A731" w14:textId="77777777" w:rsidR="006B3B54" w:rsidRPr="0052514A" w:rsidRDefault="006B3B54" w:rsidP="00FF45E5">
      <w:pPr>
        <w:pStyle w:val="ListParagraph"/>
        <w:ind w:left="0"/>
        <w:jc w:val="both"/>
        <w:rPr>
          <w:rFonts w:ascii="Verdana" w:hAnsi="Verdana"/>
          <w:sz w:val="20"/>
          <w:szCs w:val="20"/>
          <w:lang w:val="es-CR"/>
        </w:rPr>
      </w:pPr>
    </w:p>
    <w:p w14:paraId="3D5AC8DC" w14:textId="77777777" w:rsidR="00EB0FA5" w:rsidRPr="00FF45E5" w:rsidRDefault="00017D5A" w:rsidP="00FF45E5">
      <w:pPr>
        <w:pStyle w:val="ListParagraph"/>
        <w:numPr>
          <w:ilvl w:val="0"/>
          <w:numId w:val="10"/>
        </w:numPr>
        <w:ind w:left="0" w:firstLine="0"/>
        <w:jc w:val="both"/>
        <w:rPr>
          <w:rFonts w:ascii="Verdana" w:hAnsi="Verdana"/>
          <w:sz w:val="20"/>
          <w:szCs w:val="20"/>
          <w:lang w:val="es-CR"/>
        </w:rPr>
      </w:pPr>
      <w:r w:rsidRPr="00FF45E5">
        <w:rPr>
          <w:rFonts w:ascii="Verdana" w:hAnsi="Verdana"/>
          <w:sz w:val="20"/>
          <w:szCs w:val="20"/>
          <w:lang w:val="es-CR"/>
        </w:rPr>
        <w:t xml:space="preserve">En </w:t>
      </w:r>
      <w:r w:rsidR="00D728B1">
        <w:rPr>
          <w:rFonts w:ascii="Verdana" w:hAnsi="Verdana"/>
          <w:sz w:val="20"/>
          <w:szCs w:val="20"/>
          <w:lang w:val="es-CR"/>
        </w:rPr>
        <w:t>la presente</w:t>
      </w:r>
      <w:r w:rsidRPr="00FF45E5">
        <w:rPr>
          <w:rFonts w:ascii="Verdana" w:hAnsi="Verdana"/>
          <w:sz w:val="20"/>
          <w:szCs w:val="20"/>
          <w:lang w:val="es-CR"/>
        </w:rPr>
        <w:t xml:space="preserve"> sentencia</w:t>
      </w:r>
      <w:r w:rsidR="00A77B34" w:rsidRPr="00FF45E5">
        <w:rPr>
          <w:rFonts w:ascii="Verdana" w:hAnsi="Verdana"/>
          <w:sz w:val="20"/>
          <w:szCs w:val="20"/>
          <w:lang w:val="es-CR"/>
        </w:rPr>
        <w:t>,</w:t>
      </w:r>
      <w:r w:rsidRPr="00FF45E5">
        <w:rPr>
          <w:rFonts w:ascii="Verdana" w:hAnsi="Verdana"/>
          <w:sz w:val="20"/>
          <w:szCs w:val="20"/>
          <w:lang w:val="es-CR"/>
        </w:rPr>
        <w:t xml:space="preserve"> la Corte </w:t>
      </w:r>
      <w:r w:rsidR="00C25E38" w:rsidRPr="00FF45E5">
        <w:rPr>
          <w:rFonts w:ascii="Verdana" w:hAnsi="Verdana"/>
          <w:sz w:val="20"/>
          <w:szCs w:val="20"/>
          <w:lang w:val="es-CR"/>
        </w:rPr>
        <w:t>c</w:t>
      </w:r>
      <w:r w:rsidR="009D6A1D" w:rsidRPr="00FF45E5">
        <w:rPr>
          <w:rFonts w:ascii="Verdana" w:hAnsi="Verdana"/>
          <w:sz w:val="20"/>
          <w:szCs w:val="20"/>
          <w:lang w:val="es-CR"/>
        </w:rPr>
        <w:t>oncluyó</w:t>
      </w:r>
      <w:r w:rsidR="007B4812" w:rsidRPr="00FF45E5">
        <w:rPr>
          <w:rFonts w:ascii="Verdana" w:hAnsi="Verdana"/>
          <w:sz w:val="20"/>
          <w:szCs w:val="20"/>
          <w:lang w:val="es-CR"/>
        </w:rPr>
        <w:t>, en esencia,</w:t>
      </w:r>
      <w:r w:rsidRPr="00FF45E5">
        <w:rPr>
          <w:rFonts w:ascii="Verdana" w:hAnsi="Verdana"/>
          <w:sz w:val="20"/>
          <w:szCs w:val="20"/>
          <w:lang w:val="es-CR"/>
        </w:rPr>
        <w:t xml:space="preserve"> </w:t>
      </w:r>
      <w:r w:rsidR="00EB0FA5" w:rsidRPr="00FF45E5">
        <w:rPr>
          <w:rFonts w:ascii="Verdana" w:hAnsi="Verdana"/>
          <w:sz w:val="20"/>
          <w:szCs w:val="20"/>
          <w:lang w:val="es-CR"/>
        </w:rPr>
        <w:t>(i) que los servicios de salud b</w:t>
      </w:r>
      <w:r w:rsidR="00154A93">
        <w:rPr>
          <w:rFonts w:ascii="Verdana" w:hAnsi="Verdana"/>
          <w:sz w:val="20"/>
          <w:szCs w:val="20"/>
          <w:lang w:val="es-CR"/>
        </w:rPr>
        <w:t>rindados al señor Poblete Vilche</w:t>
      </w:r>
      <w:r w:rsidR="00EB0FA5" w:rsidRPr="00FF45E5">
        <w:rPr>
          <w:rFonts w:ascii="Verdana" w:hAnsi="Verdana"/>
          <w:sz w:val="20"/>
          <w:szCs w:val="20"/>
          <w:lang w:val="es-CR"/>
        </w:rPr>
        <w:t xml:space="preserve">s no cumplieron con los estándares de disponibilidad, accesibilidad, calidad y aceptabilidad, lo que constituyó una violación a su derecho a la salud; (ii) que </w:t>
      </w:r>
      <w:r w:rsidR="007B4812" w:rsidRPr="00FF45E5">
        <w:rPr>
          <w:rFonts w:ascii="Verdana" w:hAnsi="Verdana"/>
          <w:sz w:val="20"/>
          <w:szCs w:val="20"/>
          <w:lang w:val="es-CR"/>
        </w:rPr>
        <w:t xml:space="preserve">el Estado incumplió con su deber de obtener el consentimiento informado de los familiares de la víctima frente a la intervención quirúrgica practicada; </w:t>
      </w:r>
      <w:r w:rsidR="00F440D4" w:rsidRPr="00FF45E5">
        <w:rPr>
          <w:rFonts w:ascii="Verdana" w:hAnsi="Verdana"/>
          <w:sz w:val="20"/>
          <w:szCs w:val="20"/>
          <w:lang w:val="es-CR"/>
        </w:rPr>
        <w:t xml:space="preserve">y </w:t>
      </w:r>
      <w:r w:rsidR="007B4812" w:rsidRPr="00FF45E5">
        <w:rPr>
          <w:rFonts w:ascii="Verdana" w:hAnsi="Verdana"/>
          <w:sz w:val="20"/>
          <w:szCs w:val="20"/>
          <w:lang w:val="es-CR"/>
        </w:rPr>
        <w:t>(iii) que</w:t>
      </w:r>
      <w:r w:rsidR="00F440D4" w:rsidRPr="00FF45E5">
        <w:rPr>
          <w:rFonts w:ascii="Verdana" w:hAnsi="Verdana"/>
          <w:sz w:val="20"/>
          <w:szCs w:val="20"/>
          <w:lang w:val="es-CR"/>
        </w:rPr>
        <w:t xml:space="preserve"> el Estado</w:t>
      </w:r>
      <w:r w:rsidR="007B4812" w:rsidRPr="00FF45E5">
        <w:rPr>
          <w:rFonts w:ascii="Verdana" w:hAnsi="Verdana"/>
          <w:sz w:val="20"/>
          <w:szCs w:val="20"/>
          <w:lang w:val="es-CR"/>
        </w:rPr>
        <w:t xml:space="preserve"> violó su derecho a la vida y a la integridad personal, pues la falta de una adecuada atención médica derivó en un resultado </w:t>
      </w:r>
      <w:r w:rsidR="007B4812" w:rsidRPr="00FF45E5">
        <w:rPr>
          <w:rFonts w:ascii="Verdana" w:hAnsi="Verdana"/>
          <w:sz w:val="20"/>
          <w:szCs w:val="20"/>
          <w:lang w:val="es-CR"/>
        </w:rPr>
        <w:lastRenderedPageBreak/>
        <w:t>dañoso y</w:t>
      </w:r>
      <w:r w:rsidR="00D2146A" w:rsidRPr="00FF45E5">
        <w:rPr>
          <w:rFonts w:ascii="Verdana" w:hAnsi="Verdana"/>
          <w:sz w:val="20"/>
          <w:szCs w:val="20"/>
          <w:lang w:val="es-CR"/>
        </w:rPr>
        <w:t>,</w:t>
      </w:r>
      <w:r w:rsidR="007B4812" w:rsidRPr="00FF45E5">
        <w:rPr>
          <w:rFonts w:ascii="Verdana" w:hAnsi="Verdana"/>
          <w:sz w:val="20"/>
          <w:szCs w:val="20"/>
          <w:lang w:val="es-CR"/>
        </w:rPr>
        <w:t xml:space="preserve"> en última instancia</w:t>
      </w:r>
      <w:r w:rsidR="00D2146A" w:rsidRPr="00FF45E5">
        <w:rPr>
          <w:rFonts w:ascii="Verdana" w:hAnsi="Verdana"/>
          <w:sz w:val="20"/>
          <w:szCs w:val="20"/>
          <w:lang w:val="es-CR"/>
        </w:rPr>
        <w:t>,</w:t>
      </w:r>
      <w:r w:rsidR="007B4812" w:rsidRPr="00FF45E5">
        <w:rPr>
          <w:rFonts w:ascii="Verdana" w:hAnsi="Verdana"/>
          <w:sz w:val="20"/>
          <w:szCs w:val="20"/>
          <w:lang w:val="es-CR"/>
        </w:rPr>
        <w:t xml:space="preserve"> en su muerte</w:t>
      </w:r>
      <w:r w:rsidR="0051209A" w:rsidRPr="00FF45E5">
        <w:rPr>
          <w:rFonts w:ascii="Verdana" w:hAnsi="Verdana"/>
          <w:sz w:val="20"/>
          <w:szCs w:val="20"/>
          <w:lang w:val="es-CR"/>
        </w:rPr>
        <w:t xml:space="preserve"> (párrs. 174-175)</w:t>
      </w:r>
      <w:r w:rsidR="007B4812" w:rsidRPr="00FF45E5">
        <w:rPr>
          <w:rFonts w:ascii="Verdana" w:hAnsi="Verdana"/>
          <w:sz w:val="20"/>
          <w:szCs w:val="20"/>
          <w:lang w:val="es-CR"/>
        </w:rPr>
        <w:t>. Por lo tanto, el Tribunal consideró que el Estado chileno es responsable por la violación a los artículos 26, 4, 5,</w:t>
      </w:r>
      <w:r w:rsidR="00F440D4" w:rsidRPr="00FF45E5">
        <w:rPr>
          <w:rFonts w:ascii="Verdana" w:hAnsi="Verdana"/>
          <w:sz w:val="20"/>
          <w:szCs w:val="20"/>
          <w:lang w:val="es-CR"/>
        </w:rPr>
        <w:t xml:space="preserve"> 13,</w:t>
      </w:r>
      <w:r w:rsidR="007B4812" w:rsidRPr="00FF45E5">
        <w:rPr>
          <w:rFonts w:ascii="Verdana" w:hAnsi="Verdana"/>
          <w:sz w:val="20"/>
          <w:szCs w:val="20"/>
          <w:lang w:val="es-CR"/>
        </w:rPr>
        <w:t xml:space="preserve"> 7 y 11 de la Convención Americana en relación con las obligaciones de no discriminación</w:t>
      </w:r>
      <w:r w:rsidR="00D2146A" w:rsidRPr="00FF45E5">
        <w:rPr>
          <w:rFonts w:ascii="Verdana" w:hAnsi="Verdana"/>
          <w:sz w:val="20"/>
          <w:szCs w:val="20"/>
          <w:lang w:val="es-CR"/>
        </w:rPr>
        <w:t>,</w:t>
      </w:r>
      <w:r w:rsidR="007B4812" w:rsidRPr="00FF45E5">
        <w:rPr>
          <w:rFonts w:ascii="Verdana" w:hAnsi="Verdana"/>
          <w:sz w:val="20"/>
          <w:szCs w:val="20"/>
          <w:lang w:val="es-CR"/>
        </w:rPr>
        <w:t xml:space="preserve"> previstas en el artículo 1.1 del mismo instrumento</w:t>
      </w:r>
      <w:r w:rsidR="0051209A" w:rsidRPr="00FF45E5">
        <w:rPr>
          <w:rFonts w:ascii="Verdana" w:hAnsi="Verdana"/>
          <w:sz w:val="20"/>
          <w:szCs w:val="20"/>
          <w:lang w:val="es-CR"/>
        </w:rPr>
        <w:t>;</w:t>
      </w:r>
      <w:r w:rsidR="007E7602" w:rsidRPr="00FF45E5">
        <w:rPr>
          <w:rFonts w:ascii="Verdana" w:hAnsi="Verdana"/>
          <w:sz w:val="20"/>
          <w:szCs w:val="20"/>
          <w:lang w:val="es-CR"/>
        </w:rPr>
        <w:t xml:space="preserve"> </w:t>
      </w:r>
      <w:r w:rsidR="007E7602" w:rsidRPr="00D728B1">
        <w:rPr>
          <w:rFonts w:ascii="Verdana" w:hAnsi="Verdana"/>
          <w:sz w:val="20"/>
          <w:szCs w:val="20"/>
          <w:lang w:val="es-CR"/>
        </w:rPr>
        <w:t>así como de la violación a los diversos numerales 26, 13, 7 y 11, en perjuicio de sus familiares</w:t>
      </w:r>
      <w:r w:rsidR="00730600" w:rsidRPr="00D728B1">
        <w:rPr>
          <w:rFonts w:ascii="Verdana" w:hAnsi="Verdana"/>
          <w:sz w:val="20"/>
          <w:szCs w:val="20"/>
          <w:lang w:val="es-CR"/>
        </w:rPr>
        <w:t xml:space="preserve"> (párr. 176)</w:t>
      </w:r>
      <w:r w:rsidR="007B4812" w:rsidRPr="00D728B1">
        <w:rPr>
          <w:rFonts w:ascii="Verdana" w:hAnsi="Verdana"/>
          <w:sz w:val="20"/>
          <w:szCs w:val="20"/>
          <w:lang w:val="es-CR"/>
        </w:rPr>
        <w:t>.</w:t>
      </w:r>
    </w:p>
    <w:p w14:paraId="5ED87364" w14:textId="77777777" w:rsidR="00F440D4" w:rsidRDefault="00F440D4" w:rsidP="00F440D4">
      <w:pPr>
        <w:pStyle w:val="ListParagraph"/>
        <w:ind w:left="0"/>
        <w:jc w:val="both"/>
        <w:rPr>
          <w:rFonts w:ascii="Verdana" w:hAnsi="Verdana"/>
          <w:sz w:val="20"/>
          <w:szCs w:val="20"/>
          <w:lang w:val="es-CR"/>
        </w:rPr>
      </w:pPr>
    </w:p>
    <w:p w14:paraId="30CFAA81" w14:textId="660086ED" w:rsidR="00F440D4" w:rsidRDefault="00F440D4" w:rsidP="00EB0FA5">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Si bien comparto el criterio sostenido por mis colegas Jueces y Jueza, lo cual quedó manifestado en mi adhesión a su posición en los Puntos Resolutivos de la sentencia</w:t>
      </w:r>
      <w:r w:rsidR="005A2202">
        <w:rPr>
          <w:rFonts w:ascii="Verdana" w:hAnsi="Verdana"/>
          <w:sz w:val="20"/>
          <w:szCs w:val="20"/>
          <w:lang w:val="es-CR"/>
        </w:rPr>
        <w:t xml:space="preserve"> (</w:t>
      </w:r>
      <w:r w:rsidR="005A2202">
        <w:rPr>
          <w:rFonts w:ascii="Verdana" w:hAnsi="Verdana"/>
          <w:i/>
          <w:sz w:val="20"/>
          <w:szCs w:val="20"/>
          <w:lang w:val="es-CR"/>
        </w:rPr>
        <w:t>supra</w:t>
      </w:r>
      <w:r w:rsidR="005A2202">
        <w:rPr>
          <w:rFonts w:ascii="Verdana" w:hAnsi="Verdana"/>
          <w:sz w:val="20"/>
          <w:szCs w:val="20"/>
          <w:lang w:val="es-CR"/>
        </w:rPr>
        <w:t>, Punto Resolutivo 2)</w:t>
      </w:r>
      <w:r>
        <w:rPr>
          <w:rFonts w:ascii="Verdana" w:hAnsi="Verdana"/>
          <w:sz w:val="20"/>
          <w:szCs w:val="20"/>
          <w:lang w:val="es-CR"/>
        </w:rPr>
        <w:t xml:space="preserve">, es relevante aclarar que esto no significa un distanciamiento de lo ya </w:t>
      </w:r>
      <w:r w:rsidR="00D728B1">
        <w:rPr>
          <w:rFonts w:ascii="Verdana" w:hAnsi="Verdana"/>
          <w:sz w:val="20"/>
          <w:szCs w:val="20"/>
          <w:lang w:val="es-CR"/>
        </w:rPr>
        <w:t>sostenido</w:t>
      </w:r>
      <w:r>
        <w:rPr>
          <w:rFonts w:ascii="Verdana" w:hAnsi="Verdana"/>
          <w:sz w:val="20"/>
          <w:szCs w:val="20"/>
          <w:lang w:val="es-CR"/>
        </w:rPr>
        <w:t xml:space="preserve"> en </w:t>
      </w:r>
      <w:r w:rsidR="00D42DB8">
        <w:rPr>
          <w:rFonts w:ascii="Verdana" w:hAnsi="Verdana"/>
          <w:sz w:val="20"/>
          <w:szCs w:val="20"/>
          <w:lang w:val="es-CR"/>
        </w:rPr>
        <w:t>otros</w:t>
      </w:r>
      <w:r>
        <w:rPr>
          <w:rFonts w:ascii="Verdana" w:hAnsi="Verdana"/>
          <w:sz w:val="20"/>
          <w:szCs w:val="20"/>
          <w:lang w:val="es-CR"/>
        </w:rPr>
        <w:t xml:space="preserve"> votos disidentes</w:t>
      </w:r>
      <w:r w:rsidR="00D42DB8">
        <w:rPr>
          <w:rFonts w:ascii="Verdana" w:hAnsi="Verdana"/>
          <w:sz w:val="20"/>
          <w:szCs w:val="20"/>
          <w:lang w:val="es-CR"/>
        </w:rPr>
        <w:t xml:space="preserve"> o concurrentes</w:t>
      </w:r>
      <w:r>
        <w:rPr>
          <w:rFonts w:ascii="Verdana" w:hAnsi="Verdana"/>
          <w:sz w:val="20"/>
          <w:szCs w:val="20"/>
          <w:lang w:val="es-CR"/>
        </w:rPr>
        <w:t xml:space="preserve"> anteriores</w:t>
      </w:r>
      <w:r w:rsidR="00C93FD3">
        <w:rPr>
          <w:rStyle w:val="FootnoteReference"/>
          <w:rFonts w:ascii="Verdana" w:hAnsi="Verdana"/>
          <w:sz w:val="20"/>
          <w:szCs w:val="20"/>
          <w:lang w:val="es-CR"/>
        </w:rPr>
        <w:footnoteReference w:id="5"/>
      </w:r>
      <w:r w:rsidR="00D42DB8">
        <w:rPr>
          <w:rFonts w:ascii="Verdana" w:hAnsi="Verdana"/>
          <w:sz w:val="20"/>
          <w:szCs w:val="20"/>
          <w:lang w:val="es-CR"/>
        </w:rPr>
        <w:t xml:space="preserve">. </w:t>
      </w:r>
      <w:r w:rsidR="005A2202">
        <w:rPr>
          <w:rFonts w:ascii="Verdana" w:hAnsi="Verdana"/>
          <w:sz w:val="20"/>
          <w:szCs w:val="20"/>
          <w:lang w:val="es-CR"/>
        </w:rPr>
        <w:t>Reitero</w:t>
      </w:r>
      <w:r w:rsidR="00D42DB8">
        <w:rPr>
          <w:rFonts w:ascii="Verdana" w:hAnsi="Verdana"/>
          <w:sz w:val="20"/>
          <w:szCs w:val="20"/>
          <w:lang w:val="es-CR"/>
        </w:rPr>
        <w:t xml:space="preserve"> que</w:t>
      </w:r>
      <w:r w:rsidR="002376D7">
        <w:rPr>
          <w:rFonts w:ascii="Verdana" w:hAnsi="Verdana"/>
          <w:sz w:val="20"/>
          <w:szCs w:val="20"/>
          <w:lang w:val="es-CR"/>
        </w:rPr>
        <w:t xml:space="preserve"> la justiciabilidad de los DESCA</w:t>
      </w:r>
      <w:r w:rsidR="00982DAD">
        <w:rPr>
          <w:rFonts w:ascii="Verdana" w:hAnsi="Verdana"/>
          <w:sz w:val="20"/>
          <w:szCs w:val="20"/>
          <w:lang w:val="es-CR"/>
        </w:rPr>
        <w:t>,</w:t>
      </w:r>
      <w:r w:rsidR="002376D7">
        <w:rPr>
          <w:rFonts w:ascii="Verdana" w:hAnsi="Verdana"/>
          <w:sz w:val="20"/>
          <w:szCs w:val="20"/>
          <w:lang w:val="es-CR"/>
        </w:rPr>
        <w:t xml:space="preserve"> a través de una aplicación directa </w:t>
      </w:r>
      <w:r w:rsidR="00D42DB8">
        <w:rPr>
          <w:rFonts w:ascii="Verdana" w:hAnsi="Verdana"/>
          <w:sz w:val="20"/>
          <w:szCs w:val="20"/>
          <w:lang w:val="es-CR"/>
        </w:rPr>
        <w:t>del artículo 26</w:t>
      </w:r>
      <w:r w:rsidR="00246A75">
        <w:rPr>
          <w:rFonts w:ascii="Verdana" w:hAnsi="Verdana"/>
          <w:sz w:val="20"/>
          <w:szCs w:val="20"/>
          <w:lang w:val="es-CR"/>
        </w:rPr>
        <w:t xml:space="preserve"> de la Convención</w:t>
      </w:r>
      <w:r w:rsidR="00982DAD">
        <w:rPr>
          <w:rFonts w:ascii="Verdana" w:hAnsi="Verdana"/>
          <w:sz w:val="20"/>
          <w:szCs w:val="20"/>
          <w:lang w:val="es-CR"/>
        </w:rPr>
        <w:t>, presenta al menos</w:t>
      </w:r>
      <w:r w:rsidR="00D42DB8">
        <w:rPr>
          <w:rFonts w:ascii="Verdana" w:hAnsi="Verdana"/>
          <w:sz w:val="20"/>
          <w:szCs w:val="20"/>
          <w:lang w:val="es-CR"/>
        </w:rPr>
        <w:t xml:space="preserve"> dos grandes falencias</w:t>
      </w:r>
      <w:r w:rsidR="00982DAD">
        <w:rPr>
          <w:rFonts w:ascii="Verdana" w:hAnsi="Verdana"/>
          <w:sz w:val="20"/>
          <w:szCs w:val="20"/>
          <w:lang w:val="es-CR"/>
        </w:rPr>
        <w:t xml:space="preserve">: </w:t>
      </w:r>
      <w:r w:rsidR="00982DAD" w:rsidRPr="00D728B1">
        <w:rPr>
          <w:rFonts w:ascii="Verdana" w:hAnsi="Verdana"/>
          <w:sz w:val="20"/>
          <w:szCs w:val="20"/>
          <w:lang w:val="es-CR"/>
        </w:rPr>
        <w:t>l</w:t>
      </w:r>
      <w:r w:rsidR="00D42DB8" w:rsidRPr="00D728B1">
        <w:rPr>
          <w:rFonts w:ascii="Verdana" w:hAnsi="Verdana"/>
          <w:sz w:val="20"/>
          <w:szCs w:val="20"/>
          <w:lang w:val="es-CR"/>
        </w:rPr>
        <w:t>a primera</w:t>
      </w:r>
      <w:r w:rsidR="00D42DB8">
        <w:rPr>
          <w:rFonts w:ascii="Verdana" w:hAnsi="Verdana"/>
          <w:sz w:val="20"/>
          <w:szCs w:val="20"/>
          <w:lang w:val="es-CR"/>
        </w:rPr>
        <w:t xml:space="preserve">, que el </w:t>
      </w:r>
      <w:r w:rsidR="00246A75">
        <w:rPr>
          <w:rFonts w:ascii="Verdana" w:hAnsi="Verdana"/>
          <w:sz w:val="20"/>
          <w:szCs w:val="20"/>
          <w:lang w:val="es-CR"/>
        </w:rPr>
        <w:t xml:space="preserve">mencionado </w:t>
      </w:r>
      <w:r w:rsidR="00D42DB8">
        <w:rPr>
          <w:rFonts w:ascii="Verdana" w:hAnsi="Verdana"/>
          <w:sz w:val="20"/>
          <w:szCs w:val="20"/>
          <w:lang w:val="es-CR"/>
        </w:rPr>
        <w:t>artículo 26 no contiene</w:t>
      </w:r>
      <w:r w:rsidR="00D728B1">
        <w:rPr>
          <w:rFonts w:ascii="Verdana" w:hAnsi="Verdana"/>
          <w:sz w:val="20"/>
          <w:szCs w:val="20"/>
          <w:lang w:val="es-CR"/>
        </w:rPr>
        <w:t xml:space="preserve"> propiamente</w:t>
      </w:r>
      <w:r w:rsidR="00D42DB8">
        <w:rPr>
          <w:rFonts w:ascii="Verdana" w:hAnsi="Verdana"/>
          <w:sz w:val="20"/>
          <w:szCs w:val="20"/>
          <w:lang w:val="es-CR"/>
        </w:rPr>
        <w:t xml:space="preserve"> un catálogo de derechos, sino que remite a la Carta de la Organización de Estados Americanos (en adelante, “la Carta de la OEA”)</w:t>
      </w:r>
      <w:r w:rsidR="00982DAD">
        <w:rPr>
          <w:rFonts w:ascii="Verdana" w:hAnsi="Verdana"/>
          <w:sz w:val="20"/>
          <w:szCs w:val="20"/>
          <w:lang w:val="es-CR"/>
        </w:rPr>
        <w:t>, y que,</w:t>
      </w:r>
      <w:r w:rsidR="00D42DB8">
        <w:rPr>
          <w:rFonts w:ascii="Verdana" w:hAnsi="Verdana"/>
          <w:sz w:val="20"/>
          <w:szCs w:val="20"/>
          <w:lang w:val="es-CR"/>
        </w:rPr>
        <w:t xml:space="preserve"> a su vez, la Carta de la OEA tampoco contiene un catálogo de derechos claros y precisos</w:t>
      </w:r>
      <w:r w:rsidR="00D2146A">
        <w:rPr>
          <w:rFonts w:ascii="Verdana" w:hAnsi="Verdana"/>
          <w:sz w:val="20"/>
          <w:szCs w:val="20"/>
          <w:lang w:val="es-CR"/>
        </w:rPr>
        <w:t xml:space="preserve"> que permita derivar de ellos obligaciones exigibles a los Estados</w:t>
      </w:r>
      <w:r w:rsidR="005A2202">
        <w:rPr>
          <w:rFonts w:ascii="Verdana" w:hAnsi="Verdana"/>
          <w:sz w:val="20"/>
          <w:szCs w:val="20"/>
          <w:lang w:val="es-CR"/>
        </w:rPr>
        <w:t xml:space="preserve"> por vía del sistema de peticiones individuales</w:t>
      </w:r>
      <w:r w:rsidR="00474CD0">
        <w:rPr>
          <w:rFonts w:ascii="Verdana" w:hAnsi="Verdana"/>
          <w:sz w:val="20"/>
          <w:szCs w:val="20"/>
          <w:lang w:val="es-CR"/>
        </w:rPr>
        <w:t>, y en todo caso reconoce derechos de naturaleza prestacional</w:t>
      </w:r>
      <w:r w:rsidR="006D1C60" w:rsidRPr="001D195B">
        <w:rPr>
          <w:rStyle w:val="FootnoteReference"/>
          <w:rFonts w:ascii="Verdana" w:hAnsi="Verdana"/>
          <w:sz w:val="20"/>
          <w:szCs w:val="20"/>
          <w:lang w:val="es-CR"/>
        </w:rPr>
        <w:footnoteReference w:id="6"/>
      </w:r>
      <w:r w:rsidR="00500ADD">
        <w:rPr>
          <w:rFonts w:ascii="Verdana" w:hAnsi="Verdana"/>
          <w:sz w:val="20"/>
          <w:szCs w:val="20"/>
          <w:lang w:val="es-CR"/>
        </w:rPr>
        <w:t>.</w:t>
      </w:r>
      <w:r w:rsidR="00246A75">
        <w:rPr>
          <w:rFonts w:ascii="Verdana" w:hAnsi="Verdana"/>
          <w:sz w:val="20"/>
          <w:szCs w:val="20"/>
          <w:lang w:val="es-CR"/>
        </w:rPr>
        <w:t xml:space="preserve"> </w:t>
      </w:r>
      <w:r w:rsidR="00500ADD">
        <w:rPr>
          <w:rFonts w:ascii="Verdana" w:hAnsi="Verdana"/>
          <w:sz w:val="20"/>
          <w:szCs w:val="20"/>
          <w:lang w:val="es-CR"/>
        </w:rPr>
        <w:t>L</w:t>
      </w:r>
      <w:r w:rsidR="003C29F1" w:rsidRPr="001D195B">
        <w:rPr>
          <w:rFonts w:ascii="Verdana" w:hAnsi="Verdana"/>
          <w:sz w:val="20"/>
          <w:szCs w:val="20"/>
          <w:lang w:val="es-CR"/>
        </w:rPr>
        <w:t>a segunda,</w:t>
      </w:r>
      <w:r w:rsidR="003C29F1">
        <w:rPr>
          <w:rFonts w:ascii="Verdana" w:hAnsi="Verdana"/>
          <w:sz w:val="20"/>
          <w:szCs w:val="20"/>
          <w:lang w:val="es-CR"/>
        </w:rPr>
        <w:t xml:space="preserve"> </w:t>
      </w:r>
      <w:r w:rsidR="00D42DB8">
        <w:rPr>
          <w:rFonts w:ascii="Verdana" w:hAnsi="Verdana"/>
          <w:sz w:val="20"/>
          <w:szCs w:val="20"/>
          <w:lang w:val="es-CR"/>
        </w:rPr>
        <w:t>que el argumento</w:t>
      </w:r>
      <w:r w:rsidR="005A2202">
        <w:rPr>
          <w:rFonts w:ascii="Verdana" w:hAnsi="Verdana"/>
          <w:sz w:val="20"/>
          <w:szCs w:val="20"/>
          <w:lang w:val="es-CR"/>
        </w:rPr>
        <w:t xml:space="preserve"> utilizado en la Sentencia</w:t>
      </w:r>
      <w:r w:rsidR="00D42DB8">
        <w:rPr>
          <w:rFonts w:ascii="Verdana" w:hAnsi="Verdana"/>
          <w:sz w:val="20"/>
          <w:szCs w:val="20"/>
          <w:lang w:val="es-CR"/>
        </w:rPr>
        <w:t xml:space="preserve"> </w:t>
      </w:r>
      <w:r w:rsidR="005A2202">
        <w:rPr>
          <w:rFonts w:ascii="Verdana" w:hAnsi="Verdana"/>
          <w:sz w:val="20"/>
          <w:szCs w:val="20"/>
          <w:lang w:val="es-CR"/>
        </w:rPr>
        <w:t>para</w:t>
      </w:r>
      <w:r w:rsidR="00D42DB8">
        <w:rPr>
          <w:rFonts w:ascii="Verdana" w:hAnsi="Verdana"/>
          <w:sz w:val="20"/>
          <w:szCs w:val="20"/>
          <w:lang w:val="es-CR"/>
        </w:rPr>
        <w:t xml:space="preserve"> justi</w:t>
      </w:r>
      <w:r w:rsidR="00982DAD">
        <w:rPr>
          <w:rFonts w:ascii="Verdana" w:hAnsi="Verdana"/>
          <w:sz w:val="20"/>
          <w:szCs w:val="20"/>
          <w:lang w:val="es-CR"/>
        </w:rPr>
        <w:t>fica</w:t>
      </w:r>
      <w:r w:rsidR="005A2202">
        <w:rPr>
          <w:rFonts w:ascii="Verdana" w:hAnsi="Verdana"/>
          <w:sz w:val="20"/>
          <w:szCs w:val="20"/>
          <w:lang w:val="es-CR"/>
        </w:rPr>
        <w:t>r</w:t>
      </w:r>
      <w:r w:rsidR="00982DAD">
        <w:rPr>
          <w:rFonts w:ascii="Verdana" w:hAnsi="Verdana"/>
          <w:sz w:val="20"/>
          <w:szCs w:val="20"/>
          <w:lang w:val="es-CR"/>
        </w:rPr>
        <w:t xml:space="preserve"> la competencia de la Corte ignora que los Estados acordaron</w:t>
      </w:r>
      <w:r w:rsidR="005A2202">
        <w:rPr>
          <w:rFonts w:ascii="Verdana" w:hAnsi="Verdana"/>
          <w:sz w:val="20"/>
          <w:szCs w:val="20"/>
          <w:lang w:val="es-CR"/>
        </w:rPr>
        <w:t>,</w:t>
      </w:r>
      <w:r w:rsidR="00D2146A">
        <w:rPr>
          <w:rFonts w:ascii="Verdana" w:hAnsi="Verdana"/>
          <w:sz w:val="20"/>
          <w:szCs w:val="20"/>
          <w:lang w:val="es-CR"/>
        </w:rPr>
        <w:t xml:space="preserve"> en el Protocolo de San Salvador</w:t>
      </w:r>
      <w:r w:rsidR="00521052">
        <w:rPr>
          <w:rStyle w:val="FootnoteReference"/>
          <w:rFonts w:ascii="Verdana" w:hAnsi="Verdana"/>
          <w:sz w:val="20"/>
          <w:szCs w:val="20"/>
          <w:lang w:val="es-CR"/>
        </w:rPr>
        <w:footnoteReference w:id="7"/>
      </w:r>
      <w:r w:rsidR="005A2202">
        <w:rPr>
          <w:rFonts w:ascii="Verdana" w:hAnsi="Verdana"/>
          <w:sz w:val="20"/>
          <w:szCs w:val="20"/>
          <w:lang w:val="es-CR"/>
        </w:rPr>
        <w:t>,</w:t>
      </w:r>
      <w:r w:rsidR="00982DAD">
        <w:rPr>
          <w:rFonts w:ascii="Verdana" w:hAnsi="Verdana"/>
          <w:sz w:val="20"/>
          <w:szCs w:val="20"/>
          <w:lang w:val="es-CR"/>
        </w:rPr>
        <w:t xml:space="preserve"> que la competencia de la Corte para conocer sobre violaciones a los DESC, a través del sistema de peticiones individuales, </w:t>
      </w:r>
      <w:r w:rsidR="00523B93">
        <w:rPr>
          <w:rFonts w:ascii="Verdana" w:hAnsi="Verdana"/>
          <w:sz w:val="20"/>
          <w:szCs w:val="20"/>
          <w:lang w:val="es-CR"/>
        </w:rPr>
        <w:t>queda</w:t>
      </w:r>
      <w:r w:rsidR="00982DAD">
        <w:rPr>
          <w:rFonts w:ascii="Verdana" w:hAnsi="Verdana"/>
          <w:sz w:val="20"/>
          <w:szCs w:val="20"/>
          <w:lang w:val="es-CR"/>
        </w:rPr>
        <w:t xml:space="preserve"> restringido a algunos aspectos del derecho a la libertad sindical y el derecho a la educación</w:t>
      </w:r>
      <w:r w:rsidR="00886DB6">
        <w:rPr>
          <w:rStyle w:val="FootnoteReference"/>
          <w:rFonts w:ascii="Verdana" w:hAnsi="Verdana"/>
          <w:sz w:val="20"/>
          <w:szCs w:val="20"/>
          <w:lang w:val="es-CR"/>
        </w:rPr>
        <w:footnoteReference w:id="8"/>
      </w:r>
      <w:r w:rsidR="00982DAD">
        <w:rPr>
          <w:rFonts w:ascii="Verdana" w:hAnsi="Verdana"/>
          <w:sz w:val="20"/>
          <w:szCs w:val="20"/>
          <w:lang w:val="es-CR"/>
        </w:rPr>
        <w:t>.</w:t>
      </w:r>
    </w:p>
    <w:p w14:paraId="29CCF546" w14:textId="77777777" w:rsidR="00982DAD" w:rsidRPr="00982DAD" w:rsidRDefault="00982DAD" w:rsidP="00982DAD">
      <w:pPr>
        <w:rPr>
          <w:rFonts w:ascii="Verdana" w:hAnsi="Verdana"/>
          <w:lang w:val="es-CR"/>
        </w:rPr>
      </w:pPr>
    </w:p>
    <w:p w14:paraId="36EA532D" w14:textId="537D0CE8" w:rsidR="00982DAD" w:rsidRDefault="00523B93" w:rsidP="00EB0FA5">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Sin perjuicio de lo anterior, no cabe duda que las violaciones a los derechos humanos del señor Poblete Vich</w:t>
      </w:r>
      <w:r w:rsidR="00246A75">
        <w:rPr>
          <w:rFonts w:ascii="Verdana" w:hAnsi="Verdana"/>
          <w:sz w:val="20"/>
          <w:szCs w:val="20"/>
          <w:lang w:val="es-CR"/>
        </w:rPr>
        <w:t>e</w:t>
      </w:r>
      <w:r>
        <w:rPr>
          <w:rFonts w:ascii="Verdana" w:hAnsi="Verdana"/>
          <w:sz w:val="20"/>
          <w:szCs w:val="20"/>
          <w:lang w:val="es-CR"/>
        </w:rPr>
        <w:t>s</w:t>
      </w:r>
      <w:r w:rsidR="00D2146A">
        <w:rPr>
          <w:rFonts w:ascii="Verdana" w:hAnsi="Verdana"/>
          <w:sz w:val="20"/>
          <w:szCs w:val="20"/>
          <w:lang w:val="es-CR"/>
        </w:rPr>
        <w:t>, declaradas en esta sentencia,</w:t>
      </w:r>
      <w:r>
        <w:rPr>
          <w:rFonts w:ascii="Verdana" w:hAnsi="Verdana"/>
          <w:sz w:val="20"/>
          <w:szCs w:val="20"/>
          <w:lang w:val="es-CR"/>
        </w:rPr>
        <w:t xml:space="preserve"> fueron resultado del deficiente tratamiento médico recibido, lo cual afectó su </w:t>
      </w:r>
      <w:r w:rsidR="00D2146A">
        <w:rPr>
          <w:rFonts w:ascii="Verdana" w:hAnsi="Verdana"/>
          <w:sz w:val="20"/>
          <w:szCs w:val="20"/>
          <w:lang w:val="es-CR"/>
        </w:rPr>
        <w:t>integridad personal y su</w:t>
      </w:r>
      <w:r>
        <w:rPr>
          <w:rFonts w:ascii="Verdana" w:hAnsi="Verdana"/>
          <w:sz w:val="20"/>
          <w:szCs w:val="20"/>
          <w:lang w:val="es-CR"/>
        </w:rPr>
        <w:t xml:space="preserve"> vida. </w:t>
      </w:r>
      <w:r w:rsidR="00D2146A">
        <w:rPr>
          <w:rFonts w:ascii="Verdana" w:hAnsi="Verdana"/>
          <w:sz w:val="20"/>
          <w:szCs w:val="20"/>
          <w:lang w:val="es-CR"/>
        </w:rPr>
        <w:t>L</w:t>
      </w:r>
      <w:r>
        <w:rPr>
          <w:rFonts w:ascii="Verdana" w:hAnsi="Verdana"/>
          <w:sz w:val="20"/>
          <w:szCs w:val="20"/>
          <w:lang w:val="es-CR"/>
        </w:rPr>
        <w:t xml:space="preserve">a Corte </w:t>
      </w:r>
      <w:r w:rsidR="00CC6F28">
        <w:rPr>
          <w:rFonts w:ascii="Verdana" w:hAnsi="Verdana"/>
          <w:sz w:val="20"/>
          <w:szCs w:val="20"/>
          <w:lang w:val="es-CR"/>
        </w:rPr>
        <w:t>encontró</w:t>
      </w:r>
      <w:r>
        <w:rPr>
          <w:rFonts w:ascii="Verdana" w:hAnsi="Verdana"/>
          <w:sz w:val="20"/>
          <w:szCs w:val="20"/>
          <w:lang w:val="es-CR"/>
        </w:rPr>
        <w:t xml:space="preserve"> que </w:t>
      </w:r>
      <w:r w:rsidR="00705CF3">
        <w:rPr>
          <w:rFonts w:ascii="Verdana" w:hAnsi="Verdana"/>
          <w:sz w:val="20"/>
          <w:szCs w:val="20"/>
          <w:lang w:val="es-CR"/>
        </w:rPr>
        <w:t>el Estado negó a la víctima un tratamiento médico de urgencia, no obstante existía un riesgo, por lo que concluyó que el Estado no habría adoptado las medidas necesarias para garantizar su derecho a la vida</w:t>
      </w:r>
      <w:r w:rsidR="00D2146A">
        <w:rPr>
          <w:rFonts w:ascii="Verdana" w:hAnsi="Verdana"/>
          <w:sz w:val="20"/>
          <w:szCs w:val="20"/>
          <w:lang w:val="es-CR"/>
        </w:rPr>
        <w:t>,</w:t>
      </w:r>
      <w:r w:rsidR="0050400F">
        <w:rPr>
          <w:rFonts w:ascii="Verdana" w:hAnsi="Verdana"/>
          <w:sz w:val="20"/>
          <w:szCs w:val="20"/>
          <w:lang w:val="es-CR"/>
        </w:rPr>
        <w:t xml:space="preserve"> en violación al artículo 4.1 de la Convención en relación con el artículo 26 y 1.1 del mismo instrumento</w:t>
      </w:r>
      <w:r w:rsidR="00705CF3">
        <w:rPr>
          <w:rFonts w:ascii="Verdana" w:hAnsi="Verdana"/>
          <w:sz w:val="20"/>
          <w:szCs w:val="20"/>
          <w:lang w:val="es-CR"/>
        </w:rPr>
        <w:t xml:space="preserve"> (párr. 150). En un sentido similar, la Corte consideró que las distintas omisiones en que incurrió el personal médico del hospital contribuyeron al deterioro de la salud del señor Poblete, afectando así su integridad personal</w:t>
      </w:r>
      <w:r w:rsidR="00D2146A">
        <w:rPr>
          <w:rFonts w:ascii="Verdana" w:hAnsi="Verdana"/>
          <w:sz w:val="20"/>
          <w:szCs w:val="20"/>
          <w:lang w:val="es-CR"/>
        </w:rPr>
        <w:t>,</w:t>
      </w:r>
      <w:r w:rsidR="0050400F">
        <w:rPr>
          <w:rFonts w:ascii="Verdana" w:hAnsi="Verdana"/>
          <w:sz w:val="20"/>
          <w:szCs w:val="20"/>
          <w:lang w:val="es-CR"/>
        </w:rPr>
        <w:t xml:space="preserve"> en violación a</w:t>
      </w:r>
      <w:r w:rsidR="005A2202">
        <w:rPr>
          <w:rFonts w:ascii="Verdana" w:hAnsi="Verdana"/>
          <w:sz w:val="20"/>
          <w:szCs w:val="20"/>
          <w:lang w:val="es-CR"/>
        </w:rPr>
        <w:t>l artículo 5.1 de la Convención</w:t>
      </w:r>
      <w:r w:rsidR="0050400F">
        <w:rPr>
          <w:rFonts w:ascii="Verdana" w:hAnsi="Verdana"/>
          <w:sz w:val="20"/>
          <w:szCs w:val="20"/>
          <w:lang w:val="es-CR"/>
        </w:rPr>
        <w:t xml:space="preserve"> en relación con el artículo 26 y 1.1 del mismo instrumento</w:t>
      </w:r>
      <w:r w:rsidR="00705CF3">
        <w:rPr>
          <w:rFonts w:ascii="Verdana" w:hAnsi="Verdana"/>
          <w:sz w:val="20"/>
          <w:szCs w:val="20"/>
          <w:lang w:val="es-CR"/>
        </w:rPr>
        <w:t xml:space="preserve">. </w:t>
      </w:r>
    </w:p>
    <w:p w14:paraId="5685A988" w14:textId="77777777" w:rsidR="0050400F" w:rsidRPr="0050400F" w:rsidRDefault="0050400F" w:rsidP="0050400F">
      <w:pPr>
        <w:rPr>
          <w:rFonts w:ascii="Verdana" w:hAnsi="Verdana"/>
          <w:lang w:val="es-CR"/>
        </w:rPr>
      </w:pPr>
    </w:p>
    <w:p w14:paraId="60C5AB7C" w14:textId="7F64FA0B" w:rsidR="0050400F" w:rsidRDefault="0050400F" w:rsidP="00EB0FA5">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 xml:space="preserve">La Corte fue acertada en </w:t>
      </w:r>
      <w:r w:rsidR="00CC6F28">
        <w:rPr>
          <w:rFonts w:ascii="Verdana" w:hAnsi="Verdana"/>
          <w:sz w:val="20"/>
          <w:szCs w:val="20"/>
          <w:lang w:val="es-CR"/>
        </w:rPr>
        <w:t>vincular su análisis</w:t>
      </w:r>
      <w:r>
        <w:rPr>
          <w:rFonts w:ascii="Verdana" w:hAnsi="Verdana"/>
          <w:sz w:val="20"/>
          <w:szCs w:val="20"/>
          <w:lang w:val="es-CR"/>
        </w:rPr>
        <w:t xml:space="preserve"> </w:t>
      </w:r>
      <w:r w:rsidR="00CC6F28">
        <w:rPr>
          <w:rFonts w:ascii="Verdana" w:hAnsi="Verdana"/>
          <w:sz w:val="20"/>
          <w:szCs w:val="20"/>
          <w:lang w:val="es-CR"/>
        </w:rPr>
        <w:t>de las</w:t>
      </w:r>
      <w:r>
        <w:rPr>
          <w:rFonts w:ascii="Verdana" w:hAnsi="Verdana"/>
          <w:sz w:val="20"/>
          <w:szCs w:val="20"/>
          <w:lang w:val="es-CR"/>
        </w:rPr>
        <w:t xml:space="preserve"> violaciones a la vida y la integridad personal</w:t>
      </w:r>
      <w:r w:rsidR="00CC6F28">
        <w:rPr>
          <w:rFonts w:ascii="Verdana" w:hAnsi="Verdana"/>
          <w:sz w:val="20"/>
          <w:szCs w:val="20"/>
          <w:lang w:val="es-CR"/>
        </w:rPr>
        <w:t xml:space="preserve"> de la víctima a la luz de diversos aspectos</w:t>
      </w:r>
      <w:r w:rsidR="001D195B">
        <w:rPr>
          <w:rFonts w:ascii="Verdana" w:hAnsi="Verdana"/>
          <w:sz w:val="20"/>
          <w:szCs w:val="20"/>
          <w:lang w:val="es-CR"/>
        </w:rPr>
        <w:t xml:space="preserve"> prestacionales</w:t>
      </w:r>
      <w:r w:rsidR="00CC6F28">
        <w:rPr>
          <w:rFonts w:ascii="Verdana" w:hAnsi="Verdana"/>
          <w:sz w:val="20"/>
          <w:szCs w:val="20"/>
          <w:lang w:val="es-CR"/>
        </w:rPr>
        <w:t xml:space="preserve"> del derecho a la salud</w:t>
      </w:r>
      <w:r>
        <w:rPr>
          <w:rFonts w:ascii="Verdana" w:hAnsi="Verdana"/>
          <w:sz w:val="20"/>
          <w:szCs w:val="20"/>
          <w:lang w:val="es-CR"/>
        </w:rPr>
        <w:t xml:space="preserve">. </w:t>
      </w:r>
      <w:r w:rsidR="00910284">
        <w:rPr>
          <w:rFonts w:ascii="Verdana" w:hAnsi="Verdana"/>
          <w:sz w:val="20"/>
          <w:szCs w:val="20"/>
          <w:lang w:val="es-CR"/>
        </w:rPr>
        <w:t xml:space="preserve">En lo que respecta a este punto de análisis, la Corte siguió la tesis </w:t>
      </w:r>
      <w:r w:rsidR="00CC6F28">
        <w:rPr>
          <w:rFonts w:ascii="Verdana" w:hAnsi="Verdana"/>
          <w:sz w:val="20"/>
          <w:szCs w:val="20"/>
          <w:lang w:val="es-CR"/>
        </w:rPr>
        <w:t xml:space="preserve">–en mi visión acertada- </w:t>
      </w:r>
      <w:r w:rsidR="00910284">
        <w:rPr>
          <w:rFonts w:ascii="Verdana" w:hAnsi="Verdana"/>
          <w:sz w:val="20"/>
          <w:szCs w:val="20"/>
          <w:lang w:val="es-CR"/>
        </w:rPr>
        <w:t>que había sostenido a lo largo de su jurisprudencia de analizar las violaciones en materia de DESC</w:t>
      </w:r>
      <w:r w:rsidR="001D195B">
        <w:rPr>
          <w:rFonts w:ascii="Verdana" w:hAnsi="Verdana"/>
          <w:sz w:val="20"/>
          <w:szCs w:val="20"/>
          <w:lang w:val="es-CR"/>
        </w:rPr>
        <w:t>A</w:t>
      </w:r>
      <w:r w:rsidR="00910284">
        <w:rPr>
          <w:rFonts w:ascii="Verdana" w:hAnsi="Verdana"/>
          <w:sz w:val="20"/>
          <w:szCs w:val="20"/>
          <w:lang w:val="es-CR"/>
        </w:rPr>
        <w:t xml:space="preserve"> por conexidad</w:t>
      </w:r>
      <w:r w:rsidR="00774CDE">
        <w:rPr>
          <w:rStyle w:val="FootnoteReference"/>
          <w:rFonts w:ascii="Verdana" w:hAnsi="Verdana"/>
          <w:sz w:val="20"/>
          <w:szCs w:val="20"/>
          <w:lang w:val="es-CR"/>
        </w:rPr>
        <w:footnoteReference w:id="9"/>
      </w:r>
      <w:r w:rsidR="00910284">
        <w:rPr>
          <w:rFonts w:ascii="Verdana" w:hAnsi="Verdana"/>
          <w:sz w:val="20"/>
          <w:szCs w:val="20"/>
          <w:lang w:val="es-CR"/>
        </w:rPr>
        <w:t xml:space="preserve">. El análisis de este caso comprobó la pertinencia de </w:t>
      </w:r>
      <w:r w:rsidR="006E537F">
        <w:rPr>
          <w:rFonts w:ascii="Verdana" w:hAnsi="Verdana"/>
          <w:sz w:val="20"/>
          <w:szCs w:val="20"/>
          <w:lang w:val="es-CR"/>
        </w:rPr>
        <w:t>la aproximación de</w:t>
      </w:r>
      <w:r w:rsidR="00910284">
        <w:rPr>
          <w:rFonts w:ascii="Verdana" w:hAnsi="Verdana"/>
          <w:sz w:val="20"/>
          <w:szCs w:val="20"/>
          <w:lang w:val="es-CR"/>
        </w:rPr>
        <w:t xml:space="preserve"> la Corte</w:t>
      </w:r>
      <w:r w:rsidR="00D26A52">
        <w:rPr>
          <w:rFonts w:ascii="Verdana" w:hAnsi="Verdana"/>
          <w:sz w:val="20"/>
          <w:szCs w:val="20"/>
          <w:lang w:val="es-CR"/>
        </w:rPr>
        <w:t xml:space="preserve"> a este tipo de situaciones</w:t>
      </w:r>
      <w:r w:rsidR="00910284">
        <w:rPr>
          <w:rFonts w:ascii="Verdana" w:hAnsi="Verdana"/>
          <w:sz w:val="20"/>
          <w:szCs w:val="20"/>
          <w:lang w:val="es-CR"/>
        </w:rPr>
        <w:t xml:space="preserve"> antes del caso </w:t>
      </w:r>
      <w:r w:rsidR="00910284">
        <w:rPr>
          <w:rFonts w:ascii="Verdana" w:hAnsi="Verdana"/>
          <w:i/>
          <w:sz w:val="20"/>
          <w:szCs w:val="20"/>
          <w:lang w:val="es-CR"/>
        </w:rPr>
        <w:t>Lagos del Campo</w:t>
      </w:r>
      <w:r w:rsidR="00910284">
        <w:rPr>
          <w:rFonts w:ascii="Verdana" w:hAnsi="Verdana"/>
          <w:sz w:val="20"/>
          <w:szCs w:val="20"/>
          <w:lang w:val="es-CR"/>
        </w:rPr>
        <w:t>. En efecto, como ya he mencionado en otras ocasiones, el análisis de los DESC</w:t>
      </w:r>
      <w:r w:rsidR="00D26A52">
        <w:rPr>
          <w:rFonts w:ascii="Verdana" w:hAnsi="Verdana"/>
          <w:sz w:val="20"/>
          <w:szCs w:val="20"/>
          <w:lang w:val="es-CR"/>
        </w:rPr>
        <w:t>A</w:t>
      </w:r>
      <w:r w:rsidR="00910284">
        <w:rPr>
          <w:rFonts w:ascii="Verdana" w:hAnsi="Verdana"/>
          <w:sz w:val="20"/>
          <w:szCs w:val="20"/>
          <w:lang w:val="es-CR"/>
        </w:rPr>
        <w:t xml:space="preserve"> por conexidad permite definir las obligaciones en materia de derecho a la salud sin expandir las competencias de la Corte más allá de lo que</w:t>
      </w:r>
      <w:r w:rsidR="00F77E64">
        <w:rPr>
          <w:rFonts w:ascii="Verdana" w:hAnsi="Verdana"/>
          <w:sz w:val="20"/>
          <w:szCs w:val="20"/>
          <w:lang w:val="es-CR"/>
        </w:rPr>
        <w:t xml:space="preserve"> correspondería a cualquier Tribunal, y lo que</w:t>
      </w:r>
      <w:r w:rsidR="00910284">
        <w:rPr>
          <w:rFonts w:ascii="Verdana" w:hAnsi="Verdana"/>
          <w:sz w:val="20"/>
          <w:szCs w:val="20"/>
          <w:lang w:val="es-CR"/>
        </w:rPr>
        <w:t xml:space="preserve"> </w:t>
      </w:r>
      <w:r w:rsidR="006E537F">
        <w:rPr>
          <w:rFonts w:ascii="Verdana" w:hAnsi="Verdana"/>
          <w:sz w:val="20"/>
          <w:szCs w:val="20"/>
          <w:lang w:val="es-CR"/>
        </w:rPr>
        <w:t xml:space="preserve">una lectura apegada </w:t>
      </w:r>
      <w:r w:rsidR="006E537F" w:rsidRPr="0052514A">
        <w:rPr>
          <w:rFonts w:ascii="Verdana" w:hAnsi="Verdana"/>
          <w:sz w:val="20"/>
          <w:szCs w:val="20"/>
          <w:lang w:val="es-CR"/>
        </w:rPr>
        <w:t>a</w:t>
      </w:r>
      <w:r w:rsidR="006E537F">
        <w:rPr>
          <w:rFonts w:ascii="Verdana" w:hAnsi="Verdana"/>
          <w:sz w:val="20"/>
          <w:szCs w:val="20"/>
          <w:lang w:val="es-CR"/>
        </w:rPr>
        <w:t xml:space="preserve"> derecho </w:t>
      </w:r>
      <w:r w:rsidR="0052514A" w:rsidRPr="00FB29C8">
        <w:rPr>
          <w:rFonts w:ascii="Verdana" w:hAnsi="Verdana"/>
          <w:sz w:val="20"/>
          <w:szCs w:val="20"/>
          <w:lang w:val="es-CR"/>
        </w:rPr>
        <w:t>en</w:t>
      </w:r>
      <w:r w:rsidR="006E537F">
        <w:rPr>
          <w:rFonts w:ascii="Verdana" w:hAnsi="Verdana"/>
          <w:sz w:val="20"/>
          <w:szCs w:val="20"/>
          <w:lang w:val="es-CR"/>
        </w:rPr>
        <w:t xml:space="preserve"> la Convención Americana, el Protocolo de San Salvador</w:t>
      </w:r>
      <w:r w:rsidR="00910284">
        <w:rPr>
          <w:rFonts w:ascii="Verdana" w:hAnsi="Verdana"/>
          <w:sz w:val="20"/>
          <w:szCs w:val="20"/>
          <w:lang w:val="es-CR"/>
        </w:rPr>
        <w:t xml:space="preserve"> y el </w:t>
      </w:r>
      <w:r w:rsidR="006E537F">
        <w:rPr>
          <w:rFonts w:ascii="Verdana" w:hAnsi="Verdana"/>
          <w:sz w:val="20"/>
          <w:szCs w:val="20"/>
          <w:lang w:val="es-CR"/>
        </w:rPr>
        <w:t>derecho internacional permiten.</w:t>
      </w:r>
    </w:p>
    <w:p w14:paraId="1A508F2A" w14:textId="77777777" w:rsidR="00910284" w:rsidRPr="00910284" w:rsidRDefault="00910284" w:rsidP="00910284">
      <w:pPr>
        <w:rPr>
          <w:rFonts w:ascii="Verdana" w:hAnsi="Verdana"/>
          <w:lang w:val="es-CR"/>
        </w:rPr>
      </w:pPr>
    </w:p>
    <w:p w14:paraId="1F90ECF1" w14:textId="4916C61B" w:rsidR="00D91D4E" w:rsidRDefault="006E537F" w:rsidP="00EB0FA5">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Con esto no quiero decir que</w:t>
      </w:r>
      <w:r w:rsidR="00910284">
        <w:rPr>
          <w:rFonts w:ascii="Verdana" w:hAnsi="Verdana"/>
          <w:sz w:val="20"/>
          <w:szCs w:val="20"/>
          <w:lang w:val="es-CR"/>
        </w:rPr>
        <w:t xml:space="preserve"> el análisis de este caso</w:t>
      </w:r>
      <w:r>
        <w:rPr>
          <w:rFonts w:ascii="Verdana" w:hAnsi="Verdana"/>
          <w:sz w:val="20"/>
          <w:szCs w:val="20"/>
          <w:lang w:val="es-CR"/>
        </w:rPr>
        <w:t xml:space="preserve"> constituya un acierto en todos sus niveles. La sentencia</w:t>
      </w:r>
      <w:r w:rsidR="00910284">
        <w:rPr>
          <w:rFonts w:ascii="Verdana" w:hAnsi="Verdana"/>
          <w:sz w:val="20"/>
          <w:szCs w:val="20"/>
          <w:lang w:val="es-CR"/>
        </w:rPr>
        <w:t xml:space="preserve"> incluye </w:t>
      </w:r>
      <w:r w:rsidR="00FE37C0">
        <w:rPr>
          <w:rFonts w:ascii="Verdana" w:hAnsi="Verdana"/>
          <w:sz w:val="20"/>
          <w:szCs w:val="20"/>
          <w:lang w:val="es-CR"/>
        </w:rPr>
        <w:t>múltiples</w:t>
      </w:r>
      <w:r w:rsidR="00910284">
        <w:rPr>
          <w:rFonts w:ascii="Verdana" w:hAnsi="Verdana"/>
          <w:sz w:val="20"/>
          <w:szCs w:val="20"/>
          <w:lang w:val="es-CR"/>
        </w:rPr>
        <w:t xml:space="preserve"> referencia</w:t>
      </w:r>
      <w:r w:rsidR="00FE37C0">
        <w:rPr>
          <w:rFonts w:ascii="Verdana" w:hAnsi="Verdana"/>
          <w:sz w:val="20"/>
          <w:szCs w:val="20"/>
          <w:lang w:val="es-CR"/>
        </w:rPr>
        <w:t>s</w:t>
      </w:r>
      <w:r w:rsidR="00910284">
        <w:rPr>
          <w:rFonts w:ascii="Verdana" w:hAnsi="Verdana"/>
          <w:sz w:val="20"/>
          <w:szCs w:val="20"/>
          <w:lang w:val="es-CR"/>
        </w:rPr>
        <w:t xml:space="preserve"> </w:t>
      </w:r>
      <w:r w:rsidR="007C7A35">
        <w:rPr>
          <w:rFonts w:ascii="Verdana" w:hAnsi="Verdana"/>
          <w:sz w:val="20"/>
          <w:szCs w:val="20"/>
          <w:lang w:val="es-CR"/>
        </w:rPr>
        <w:t>expresa</w:t>
      </w:r>
      <w:r w:rsidR="00FE37C0">
        <w:rPr>
          <w:rFonts w:ascii="Verdana" w:hAnsi="Verdana"/>
          <w:sz w:val="20"/>
          <w:szCs w:val="20"/>
          <w:lang w:val="es-CR"/>
        </w:rPr>
        <w:t>s</w:t>
      </w:r>
      <w:r w:rsidR="007C7A35">
        <w:rPr>
          <w:rFonts w:ascii="Verdana" w:hAnsi="Verdana"/>
          <w:sz w:val="20"/>
          <w:szCs w:val="20"/>
          <w:lang w:val="es-CR"/>
        </w:rPr>
        <w:t xml:space="preserve"> a la aproximación que la Corte ha realizado a partir del caso </w:t>
      </w:r>
      <w:r w:rsidR="007C7A35">
        <w:rPr>
          <w:rFonts w:ascii="Verdana" w:hAnsi="Verdana"/>
          <w:i/>
          <w:sz w:val="20"/>
          <w:szCs w:val="20"/>
          <w:lang w:val="es-CR"/>
        </w:rPr>
        <w:t>Lagos del Campo</w:t>
      </w:r>
      <w:r>
        <w:rPr>
          <w:rFonts w:ascii="Verdana" w:hAnsi="Verdana"/>
          <w:sz w:val="20"/>
          <w:szCs w:val="20"/>
          <w:lang w:val="es-CR"/>
        </w:rPr>
        <w:t>,</w:t>
      </w:r>
      <w:r w:rsidR="007C7A35">
        <w:rPr>
          <w:rFonts w:ascii="Verdana" w:hAnsi="Verdana"/>
          <w:i/>
          <w:sz w:val="20"/>
          <w:szCs w:val="20"/>
          <w:lang w:val="es-CR"/>
        </w:rPr>
        <w:t xml:space="preserve"> </w:t>
      </w:r>
      <w:r w:rsidR="007C7A35">
        <w:rPr>
          <w:rFonts w:ascii="Verdana" w:hAnsi="Verdana"/>
          <w:sz w:val="20"/>
          <w:szCs w:val="20"/>
          <w:lang w:val="es-CR"/>
        </w:rPr>
        <w:t>en lo que respecta a la posibilidad de declarar violaci</w:t>
      </w:r>
      <w:r w:rsidR="00FE37C0">
        <w:rPr>
          <w:rFonts w:ascii="Verdana" w:hAnsi="Verdana"/>
          <w:sz w:val="20"/>
          <w:szCs w:val="20"/>
          <w:lang w:val="es-CR"/>
        </w:rPr>
        <w:t>ones</w:t>
      </w:r>
      <w:r w:rsidR="007C7A35">
        <w:rPr>
          <w:rFonts w:ascii="Verdana" w:hAnsi="Verdana"/>
          <w:sz w:val="20"/>
          <w:szCs w:val="20"/>
          <w:lang w:val="es-CR"/>
        </w:rPr>
        <w:t xml:space="preserve"> al artículo 26</w:t>
      </w:r>
      <w:r w:rsidR="00147AC9">
        <w:rPr>
          <w:rFonts w:ascii="Verdana" w:hAnsi="Verdana"/>
          <w:sz w:val="20"/>
          <w:szCs w:val="20"/>
          <w:lang w:val="es-CR"/>
        </w:rPr>
        <w:t xml:space="preserve"> de manera autónoma y por una violación </w:t>
      </w:r>
      <w:r w:rsidR="00FB29C8">
        <w:rPr>
          <w:rFonts w:ascii="Verdana" w:hAnsi="Verdana"/>
          <w:sz w:val="20"/>
          <w:szCs w:val="20"/>
          <w:lang w:val="es-CR"/>
        </w:rPr>
        <w:t>“</w:t>
      </w:r>
      <w:r w:rsidR="00147AC9">
        <w:rPr>
          <w:rFonts w:ascii="Verdana" w:hAnsi="Verdana"/>
          <w:sz w:val="20"/>
          <w:szCs w:val="20"/>
          <w:lang w:val="es-CR"/>
        </w:rPr>
        <w:t>individual</w:t>
      </w:r>
      <w:r w:rsidR="00FB29C8">
        <w:rPr>
          <w:rFonts w:ascii="Verdana" w:hAnsi="Verdana"/>
          <w:sz w:val="20"/>
          <w:szCs w:val="20"/>
          <w:lang w:val="es-CR"/>
        </w:rPr>
        <w:t>”</w:t>
      </w:r>
      <w:r w:rsidR="007C7A35">
        <w:rPr>
          <w:rFonts w:ascii="Verdana" w:hAnsi="Verdana"/>
          <w:sz w:val="20"/>
          <w:szCs w:val="20"/>
          <w:lang w:val="es-CR"/>
        </w:rPr>
        <w:t xml:space="preserve"> (párr. 100-132), y declaró la responsabilidad internacional del Estado en esos términos (párr. 143)</w:t>
      </w:r>
      <w:r w:rsidR="00910284">
        <w:rPr>
          <w:rFonts w:ascii="Verdana" w:hAnsi="Verdana"/>
          <w:sz w:val="20"/>
          <w:szCs w:val="20"/>
          <w:lang w:val="es-CR"/>
        </w:rPr>
        <w:t xml:space="preserve">. Pero si se lee con detalle la sentencia, </w:t>
      </w:r>
      <w:r w:rsidR="007C7A35">
        <w:rPr>
          <w:rFonts w:ascii="Verdana" w:hAnsi="Verdana"/>
          <w:sz w:val="20"/>
          <w:szCs w:val="20"/>
          <w:lang w:val="es-CR"/>
        </w:rPr>
        <w:t xml:space="preserve">es posible percibir que </w:t>
      </w:r>
      <w:r w:rsidR="00631191">
        <w:rPr>
          <w:rFonts w:ascii="Verdana" w:hAnsi="Verdana"/>
          <w:sz w:val="20"/>
          <w:szCs w:val="20"/>
          <w:lang w:val="es-CR"/>
        </w:rPr>
        <w:t>el análisis relacionado con la violación al derecho a la salud está íntimamente ligado a las afectaciones que el señor Poblete</w:t>
      </w:r>
      <w:r w:rsidR="00246A75">
        <w:rPr>
          <w:rFonts w:ascii="Verdana" w:hAnsi="Verdana"/>
          <w:sz w:val="20"/>
          <w:szCs w:val="20"/>
          <w:lang w:val="es-CR"/>
        </w:rPr>
        <w:t xml:space="preserve"> Vilches</w:t>
      </w:r>
      <w:r w:rsidR="00631191">
        <w:rPr>
          <w:rFonts w:ascii="Verdana" w:hAnsi="Verdana"/>
          <w:sz w:val="20"/>
          <w:szCs w:val="20"/>
          <w:lang w:val="es-CR"/>
        </w:rPr>
        <w:t xml:space="preserve"> sufrió a su vida y a su integridad personal</w:t>
      </w:r>
      <w:r w:rsidR="00910284">
        <w:rPr>
          <w:rFonts w:ascii="Verdana" w:hAnsi="Verdana"/>
          <w:sz w:val="20"/>
          <w:szCs w:val="20"/>
          <w:lang w:val="es-CR"/>
        </w:rPr>
        <w:t>.</w:t>
      </w:r>
      <w:r w:rsidR="00E03353">
        <w:rPr>
          <w:rFonts w:ascii="Verdana" w:hAnsi="Verdana"/>
          <w:sz w:val="20"/>
          <w:szCs w:val="20"/>
          <w:lang w:val="es-CR"/>
        </w:rPr>
        <w:t xml:space="preserve"> De hecho, </w:t>
      </w:r>
      <w:r w:rsidR="00846F8A">
        <w:rPr>
          <w:rFonts w:ascii="Verdana" w:hAnsi="Verdana"/>
          <w:sz w:val="20"/>
          <w:szCs w:val="20"/>
          <w:lang w:val="es-CR"/>
        </w:rPr>
        <w:t>es bastante difícil, sino imposible</w:t>
      </w:r>
      <w:r w:rsidR="00500ADD">
        <w:rPr>
          <w:rFonts w:ascii="Verdana" w:hAnsi="Verdana"/>
          <w:sz w:val="20"/>
          <w:szCs w:val="20"/>
          <w:lang w:val="es-CR"/>
        </w:rPr>
        <w:t>,</w:t>
      </w:r>
      <w:r w:rsidR="00846F8A">
        <w:rPr>
          <w:rFonts w:ascii="Verdana" w:hAnsi="Verdana"/>
          <w:sz w:val="20"/>
          <w:szCs w:val="20"/>
          <w:lang w:val="es-CR"/>
        </w:rPr>
        <w:t xml:space="preserve"> discernir dónde comienza y dónde termina el ilícito internacional respecto de cada uno de los derechos que se declaran violados.</w:t>
      </w:r>
      <w:r w:rsidR="00631191">
        <w:rPr>
          <w:rFonts w:ascii="Verdana" w:hAnsi="Verdana"/>
          <w:sz w:val="20"/>
          <w:szCs w:val="20"/>
          <w:lang w:val="es-CR"/>
        </w:rPr>
        <w:t xml:space="preserve"> </w:t>
      </w:r>
      <w:r w:rsidR="00D91D4E">
        <w:rPr>
          <w:rFonts w:ascii="Verdana" w:hAnsi="Verdana"/>
          <w:sz w:val="20"/>
          <w:szCs w:val="20"/>
          <w:lang w:val="es-CR"/>
        </w:rPr>
        <w:t xml:space="preserve">En ese sentido, es posible afirmar que las consideraciones relacionadas con las obligaciones del Estado en materia de salud que están contenidas en la sentencia cobran sentido práctico una vez que se reflejan en el análisis de los artículos 4.1 y 5.1 de la Convención. </w:t>
      </w:r>
      <w:r w:rsidR="00FB29C8">
        <w:rPr>
          <w:rFonts w:ascii="Verdana" w:hAnsi="Verdana"/>
          <w:sz w:val="20"/>
          <w:szCs w:val="20"/>
          <w:lang w:val="es-CR"/>
        </w:rPr>
        <w:t>E</w:t>
      </w:r>
      <w:r w:rsidR="00D91D4E">
        <w:rPr>
          <w:rFonts w:ascii="Verdana" w:hAnsi="Verdana"/>
          <w:sz w:val="20"/>
          <w:szCs w:val="20"/>
          <w:lang w:val="es-CR"/>
        </w:rPr>
        <w:t>n mi con</w:t>
      </w:r>
      <w:r w:rsidR="00846F8A">
        <w:rPr>
          <w:rFonts w:ascii="Verdana" w:hAnsi="Verdana"/>
          <w:sz w:val="20"/>
          <w:szCs w:val="20"/>
          <w:lang w:val="es-CR"/>
        </w:rPr>
        <w:t>sideración</w:t>
      </w:r>
      <w:r w:rsidR="00FE37C0">
        <w:rPr>
          <w:rFonts w:ascii="Verdana" w:hAnsi="Verdana"/>
          <w:sz w:val="20"/>
          <w:szCs w:val="20"/>
          <w:lang w:val="es-CR"/>
        </w:rPr>
        <w:t>,</w:t>
      </w:r>
      <w:r w:rsidR="00D91D4E">
        <w:rPr>
          <w:rFonts w:ascii="Verdana" w:hAnsi="Verdana"/>
          <w:sz w:val="20"/>
          <w:szCs w:val="20"/>
          <w:lang w:val="es-CR"/>
        </w:rPr>
        <w:t xml:space="preserve"> </w:t>
      </w:r>
      <w:r w:rsidR="00FE37C0">
        <w:rPr>
          <w:rFonts w:ascii="Verdana" w:hAnsi="Verdana"/>
          <w:sz w:val="20"/>
          <w:szCs w:val="20"/>
          <w:lang w:val="es-CR"/>
        </w:rPr>
        <w:t>resulta</w:t>
      </w:r>
      <w:r w:rsidR="00D91D4E">
        <w:rPr>
          <w:rFonts w:ascii="Verdana" w:hAnsi="Verdana"/>
          <w:sz w:val="20"/>
          <w:szCs w:val="20"/>
          <w:lang w:val="es-CR"/>
        </w:rPr>
        <w:t xml:space="preserve"> </w:t>
      </w:r>
      <w:r w:rsidR="00303AE3" w:rsidRPr="00FB29C8">
        <w:rPr>
          <w:rFonts w:ascii="Verdana" w:hAnsi="Verdana"/>
          <w:sz w:val="20"/>
          <w:szCs w:val="20"/>
          <w:lang w:val="es-CR"/>
        </w:rPr>
        <w:t>innecesario</w:t>
      </w:r>
      <w:r w:rsidR="00D91D4E">
        <w:rPr>
          <w:rFonts w:ascii="Verdana" w:hAnsi="Verdana"/>
          <w:sz w:val="20"/>
          <w:szCs w:val="20"/>
          <w:lang w:val="es-CR"/>
        </w:rPr>
        <w:t xml:space="preserve"> el análisis del artículo 26 entendido de manera autónoma, aunque tiene una enorme relevancia cuando se le considera en conexidad con el derecho a la v</w:t>
      </w:r>
      <w:r w:rsidR="0089740C">
        <w:rPr>
          <w:rFonts w:ascii="Verdana" w:hAnsi="Verdana"/>
          <w:sz w:val="20"/>
          <w:szCs w:val="20"/>
          <w:lang w:val="es-CR"/>
        </w:rPr>
        <w:t>ida y a la integridad personal</w:t>
      </w:r>
      <w:r w:rsidR="00547ABC">
        <w:rPr>
          <w:rFonts w:ascii="Verdana" w:hAnsi="Verdana"/>
          <w:sz w:val="20"/>
          <w:szCs w:val="20"/>
          <w:lang w:val="es-CR"/>
        </w:rPr>
        <w:t>.</w:t>
      </w:r>
      <w:r w:rsidR="00AE2901">
        <w:rPr>
          <w:rFonts w:ascii="Verdana" w:hAnsi="Verdana"/>
          <w:sz w:val="20"/>
          <w:szCs w:val="20"/>
          <w:lang w:val="es-CR"/>
        </w:rPr>
        <w:t xml:space="preserve"> </w:t>
      </w:r>
      <w:r w:rsidR="00547ABC">
        <w:rPr>
          <w:rFonts w:ascii="Verdana" w:hAnsi="Verdana"/>
          <w:sz w:val="20"/>
          <w:szCs w:val="20"/>
          <w:lang w:val="es-CR"/>
        </w:rPr>
        <w:t>E</w:t>
      </w:r>
      <w:r w:rsidR="00AE2901">
        <w:rPr>
          <w:rFonts w:ascii="Verdana" w:hAnsi="Verdana"/>
          <w:sz w:val="20"/>
          <w:szCs w:val="20"/>
          <w:lang w:val="es-CR"/>
        </w:rPr>
        <w:t>n el caso concreto</w:t>
      </w:r>
      <w:r w:rsidR="00547ABC">
        <w:rPr>
          <w:rFonts w:ascii="Verdana" w:hAnsi="Verdana"/>
          <w:sz w:val="20"/>
          <w:szCs w:val="20"/>
          <w:lang w:val="es-CR"/>
        </w:rPr>
        <w:t>,</w:t>
      </w:r>
      <w:r w:rsidR="00AE2901">
        <w:rPr>
          <w:rFonts w:ascii="Verdana" w:hAnsi="Verdana"/>
          <w:sz w:val="20"/>
          <w:szCs w:val="20"/>
          <w:lang w:val="es-CR"/>
        </w:rPr>
        <w:t xml:space="preserve"> este análisis </w:t>
      </w:r>
      <w:r w:rsidR="00821476">
        <w:rPr>
          <w:rFonts w:ascii="Verdana" w:hAnsi="Verdana"/>
          <w:sz w:val="20"/>
          <w:szCs w:val="20"/>
          <w:lang w:val="es-CR"/>
        </w:rPr>
        <w:t xml:space="preserve">conlleva una </w:t>
      </w:r>
      <w:r w:rsidR="00AE2901">
        <w:rPr>
          <w:rFonts w:ascii="Verdana" w:hAnsi="Verdana"/>
          <w:sz w:val="20"/>
          <w:szCs w:val="20"/>
          <w:lang w:val="es-CR"/>
        </w:rPr>
        <w:t xml:space="preserve">duplicidad innecesaria en cuanto a la declaratoria de los derechos convencionales violados, lo que queda de manifiesto </w:t>
      </w:r>
      <w:r w:rsidR="00821476">
        <w:rPr>
          <w:rFonts w:ascii="Verdana" w:hAnsi="Verdana"/>
          <w:sz w:val="20"/>
          <w:szCs w:val="20"/>
          <w:lang w:val="es-CR"/>
        </w:rPr>
        <w:t>en la medida que las conductas y omisiones que se le imputan al Estado como vulneradoras de los derechos a la salud, la vida y la integridad personal son</w:t>
      </w:r>
      <w:r w:rsidR="00547ABC">
        <w:rPr>
          <w:rFonts w:ascii="Verdana" w:hAnsi="Verdana"/>
          <w:sz w:val="20"/>
          <w:szCs w:val="20"/>
          <w:lang w:val="es-CR"/>
        </w:rPr>
        <w:t>,</w:t>
      </w:r>
      <w:r w:rsidR="00821476">
        <w:rPr>
          <w:rFonts w:ascii="Verdana" w:hAnsi="Verdana"/>
          <w:sz w:val="20"/>
          <w:szCs w:val="20"/>
          <w:lang w:val="es-CR"/>
        </w:rPr>
        <w:t xml:space="preserve"> en esencia</w:t>
      </w:r>
      <w:r w:rsidR="00547ABC">
        <w:rPr>
          <w:rFonts w:ascii="Verdana" w:hAnsi="Verdana"/>
          <w:sz w:val="20"/>
          <w:szCs w:val="20"/>
          <w:lang w:val="es-CR"/>
        </w:rPr>
        <w:t>,</w:t>
      </w:r>
      <w:r w:rsidR="00821476">
        <w:rPr>
          <w:rFonts w:ascii="Verdana" w:hAnsi="Verdana"/>
          <w:sz w:val="20"/>
          <w:szCs w:val="20"/>
          <w:lang w:val="es-CR"/>
        </w:rPr>
        <w:t xml:space="preserve"> las mismas. </w:t>
      </w:r>
    </w:p>
    <w:p w14:paraId="15DE9340" w14:textId="77777777" w:rsidR="0089740C" w:rsidRPr="0089740C" w:rsidRDefault="0089740C" w:rsidP="0089740C">
      <w:pPr>
        <w:pStyle w:val="ListParagraph"/>
        <w:rPr>
          <w:rFonts w:ascii="Verdana" w:hAnsi="Verdana"/>
          <w:sz w:val="20"/>
          <w:szCs w:val="20"/>
          <w:lang w:val="es-CR"/>
        </w:rPr>
      </w:pPr>
    </w:p>
    <w:p w14:paraId="16C3AC7C" w14:textId="11FFBFCA" w:rsidR="0089740C" w:rsidRDefault="0089740C" w:rsidP="00EB0FA5">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Por lo anterior,</w:t>
      </w:r>
      <w:r w:rsidR="00FE37C0">
        <w:rPr>
          <w:rFonts w:ascii="Verdana" w:hAnsi="Verdana"/>
          <w:sz w:val="20"/>
          <w:szCs w:val="20"/>
          <w:lang w:val="es-CR"/>
        </w:rPr>
        <w:t xml:space="preserve"> aclaro que</w:t>
      </w:r>
      <w:r>
        <w:rPr>
          <w:rFonts w:ascii="Verdana" w:hAnsi="Verdana"/>
          <w:sz w:val="20"/>
          <w:szCs w:val="20"/>
          <w:lang w:val="es-CR"/>
        </w:rPr>
        <w:t xml:space="preserve"> mi voto a favor de la sentencia en el </w:t>
      </w:r>
      <w:r w:rsidR="00FE37C0">
        <w:rPr>
          <w:rFonts w:ascii="Verdana" w:hAnsi="Verdana"/>
          <w:sz w:val="20"/>
          <w:szCs w:val="20"/>
          <w:lang w:val="es-CR"/>
        </w:rPr>
        <w:t xml:space="preserve">Punto Resolutivo </w:t>
      </w:r>
      <w:r w:rsidR="00246A75">
        <w:rPr>
          <w:rFonts w:ascii="Verdana" w:hAnsi="Verdana"/>
          <w:sz w:val="20"/>
          <w:szCs w:val="20"/>
          <w:lang w:val="es-CR"/>
        </w:rPr>
        <w:t xml:space="preserve">2 </w:t>
      </w:r>
      <w:r>
        <w:rPr>
          <w:rFonts w:ascii="Verdana" w:hAnsi="Verdana"/>
          <w:sz w:val="20"/>
          <w:szCs w:val="20"/>
          <w:lang w:val="es-CR"/>
        </w:rPr>
        <w:t>no debe entenderse como una aceptación de la tesis –</w:t>
      </w:r>
      <w:r w:rsidR="00303AE3">
        <w:rPr>
          <w:rFonts w:ascii="Verdana" w:hAnsi="Verdana"/>
          <w:sz w:val="20"/>
          <w:szCs w:val="20"/>
          <w:lang w:val="es-CR"/>
        </w:rPr>
        <w:t xml:space="preserve"> </w:t>
      </w:r>
      <w:r>
        <w:rPr>
          <w:rFonts w:ascii="Verdana" w:hAnsi="Verdana"/>
          <w:sz w:val="20"/>
          <w:szCs w:val="20"/>
          <w:lang w:val="es-CR"/>
        </w:rPr>
        <w:t xml:space="preserve">en mi concepto </w:t>
      </w:r>
      <w:r w:rsidR="00FB29C8">
        <w:rPr>
          <w:rFonts w:ascii="Verdana" w:hAnsi="Verdana"/>
          <w:sz w:val="20"/>
          <w:szCs w:val="20"/>
          <w:lang w:val="es-CR"/>
        </w:rPr>
        <w:t>errad</w:t>
      </w:r>
      <w:r w:rsidR="001C66C8">
        <w:rPr>
          <w:rFonts w:ascii="Verdana" w:hAnsi="Verdana"/>
          <w:sz w:val="20"/>
          <w:szCs w:val="20"/>
          <w:lang w:val="es-CR"/>
        </w:rPr>
        <w:t>a</w:t>
      </w:r>
      <w:r w:rsidR="00303AE3">
        <w:rPr>
          <w:rFonts w:ascii="Verdana" w:hAnsi="Verdana"/>
          <w:sz w:val="20"/>
          <w:szCs w:val="20"/>
          <w:lang w:val="es-CR"/>
        </w:rPr>
        <w:t xml:space="preserve"> </w:t>
      </w:r>
      <w:r>
        <w:rPr>
          <w:rFonts w:ascii="Verdana" w:hAnsi="Verdana"/>
          <w:sz w:val="20"/>
          <w:szCs w:val="20"/>
          <w:lang w:val="es-CR"/>
        </w:rPr>
        <w:t xml:space="preserve">- que la Corte ha sostenido </w:t>
      </w:r>
      <w:r w:rsidR="0024692C">
        <w:rPr>
          <w:rFonts w:ascii="Verdana" w:hAnsi="Verdana"/>
          <w:sz w:val="20"/>
          <w:szCs w:val="20"/>
          <w:lang w:val="es-CR"/>
        </w:rPr>
        <w:t xml:space="preserve">recientemente </w:t>
      </w:r>
      <w:r>
        <w:rPr>
          <w:rFonts w:ascii="Verdana" w:hAnsi="Verdana"/>
          <w:sz w:val="20"/>
          <w:szCs w:val="20"/>
          <w:lang w:val="es-CR"/>
        </w:rPr>
        <w:t xml:space="preserve">sobre la posibilidad de declarar violaciones autónomas al artículo 26 de la Convención Americana. Por el contrario, se debe entender como un voto a favor de la responsabilidad internacional de Chile por la </w:t>
      </w:r>
      <w:r w:rsidR="00FE37C0">
        <w:rPr>
          <w:rFonts w:ascii="Verdana" w:hAnsi="Verdana"/>
          <w:sz w:val="20"/>
          <w:szCs w:val="20"/>
          <w:lang w:val="es-CR"/>
        </w:rPr>
        <w:t>falta de atención médica del señor Poblete</w:t>
      </w:r>
      <w:r w:rsidR="00246A75">
        <w:rPr>
          <w:rFonts w:ascii="Verdana" w:hAnsi="Verdana"/>
          <w:sz w:val="20"/>
          <w:szCs w:val="20"/>
          <w:lang w:val="es-CR"/>
        </w:rPr>
        <w:t xml:space="preserve"> Vilches</w:t>
      </w:r>
      <w:r w:rsidR="00FE37C0">
        <w:rPr>
          <w:rFonts w:ascii="Verdana" w:hAnsi="Verdana"/>
          <w:sz w:val="20"/>
          <w:szCs w:val="20"/>
          <w:lang w:val="es-CR"/>
        </w:rPr>
        <w:t>, lo cual derivó en la violación a su</w:t>
      </w:r>
      <w:r w:rsidR="008A0868">
        <w:rPr>
          <w:rFonts w:ascii="Verdana" w:hAnsi="Verdana"/>
          <w:sz w:val="20"/>
          <w:szCs w:val="20"/>
          <w:lang w:val="es-CR"/>
        </w:rPr>
        <w:t>s derechos a la</w:t>
      </w:r>
      <w:r w:rsidR="00FE37C0">
        <w:rPr>
          <w:rFonts w:ascii="Verdana" w:hAnsi="Verdana"/>
          <w:sz w:val="20"/>
          <w:szCs w:val="20"/>
          <w:lang w:val="es-CR"/>
        </w:rPr>
        <w:t xml:space="preserve"> integridad personal y a su vida</w:t>
      </w:r>
      <w:r w:rsidR="00147AC9">
        <w:rPr>
          <w:rFonts w:ascii="Verdana" w:hAnsi="Verdana"/>
          <w:sz w:val="20"/>
          <w:szCs w:val="20"/>
          <w:lang w:val="es-CR"/>
        </w:rPr>
        <w:t xml:space="preserve"> en relación con el derecho a la salud</w:t>
      </w:r>
      <w:r>
        <w:rPr>
          <w:rFonts w:ascii="Verdana" w:hAnsi="Verdana"/>
          <w:sz w:val="20"/>
          <w:szCs w:val="20"/>
          <w:lang w:val="es-CR"/>
        </w:rPr>
        <w:t>.</w:t>
      </w:r>
    </w:p>
    <w:p w14:paraId="6BBCC74B" w14:textId="77777777" w:rsidR="0089740C" w:rsidRDefault="0089740C" w:rsidP="0089740C">
      <w:pPr>
        <w:pStyle w:val="ListParagraph"/>
        <w:rPr>
          <w:rFonts w:ascii="Verdana" w:hAnsi="Verdana"/>
          <w:sz w:val="20"/>
          <w:szCs w:val="20"/>
          <w:lang w:val="es-CR"/>
        </w:rPr>
      </w:pPr>
    </w:p>
    <w:p w14:paraId="43000783" w14:textId="77777777" w:rsidR="00DD3BCF" w:rsidRDefault="00DD3BCF" w:rsidP="0089740C">
      <w:pPr>
        <w:pStyle w:val="ListParagraph"/>
        <w:rPr>
          <w:rFonts w:ascii="Verdana" w:hAnsi="Verdana"/>
          <w:sz w:val="20"/>
          <w:szCs w:val="20"/>
          <w:lang w:val="es-CR"/>
        </w:rPr>
      </w:pPr>
    </w:p>
    <w:p w14:paraId="732D042E" w14:textId="77777777" w:rsidR="00DD3BCF" w:rsidRPr="0089740C" w:rsidRDefault="00DD3BCF" w:rsidP="0089740C">
      <w:pPr>
        <w:pStyle w:val="ListParagraph"/>
        <w:rPr>
          <w:rFonts w:ascii="Verdana" w:hAnsi="Verdana"/>
          <w:sz w:val="20"/>
          <w:szCs w:val="20"/>
          <w:lang w:val="es-CR"/>
        </w:rPr>
      </w:pPr>
    </w:p>
    <w:p w14:paraId="44367591" w14:textId="77777777" w:rsidR="0089740C" w:rsidRPr="00C0565D" w:rsidRDefault="0089740C" w:rsidP="0089740C">
      <w:pPr>
        <w:jc w:val="both"/>
        <w:rPr>
          <w:rFonts w:ascii="Verdana" w:hAnsi="Verdana"/>
          <w:b/>
          <w:i/>
        </w:rPr>
      </w:pPr>
      <w:r w:rsidRPr="00FB29C8">
        <w:rPr>
          <w:rFonts w:ascii="Verdana" w:hAnsi="Verdana"/>
          <w:b/>
          <w:i/>
        </w:rPr>
        <w:t>I</w:t>
      </w:r>
      <w:r w:rsidR="00347772" w:rsidRPr="00FB29C8">
        <w:rPr>
          <w:rFonts w:ascii="Verdana" w:hAnsi="Verdana"/>
          <w:b/>
          <w:i/>
        </w:rPr>
        <w:t>I</w:t>
      </w:r>
      <w:r w:rsidRPr="00FB29C8">
        <w:rPr>
          <w:rFonts w:ascii="Verdana" w:hAnsi="Verdana"/>
          <w:b/>
          <w:i/>
        </w:rPr>
        <w:t>I. Reflexiones sobre el análisis de la violación al derecho a la salud en el presente caso.</w:t>
      </w:r>
    </w:p>
    <w:p w14:paraId="7849161C" w14:textId="77777777" w:rsidR="001C4CB6" w:rsidRDefault="001C4CB6" w:rsidP="003C562D">
      <w:pPr>
        <w:pStyle w:val="ListParagraph"/>
        <w:ind w:left="0"/>
        <w:jc w:val="both"/>
        <w:rPr>
          <w:rFonts w:ascii="Verdana" w:hAnsi="Verdana"/>
          <w:sz w:val="20"/>
          <w:szCs w:val="20"/>
          <w:lang w:val="es-CR"/>
        </w:rPr>
      </w:pPr>
    </w:p>
    <w:p w14:paraId="26E23998" w14:textId="77777777" w:rsidR="0089740C" w:rsidRDefault="0024692C"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 xml:space="preserve">Por otro lado, este caso también permite </w:t>
      </w:r>
      <w:r w:rsidR="00C54471">
        <w:rPr>
          <w:rFonts w:ascii="Verdana" w:hAnsi="Verdana"/>
          <w:sz w:val="20"/>
          <w:szCs w:val="20"/>
          <w:lang w:val="es-CR"/>
        </w:rPr>
        <w:t>elaborar</w:t>
      </w:r>
      <w:r>
        <w:rPr>
          <w:rFonts w:ascii="Verdana" w:hAnsi="Verdana"/>
          <w:sz w:val="20"/>
          <w:szCs w:val="20"/>
          <w:lang w:val="es-CR"/>
        </w:rPr>
        <w:t xml:space="preserve"> algunas r</w:t>
      </w:r>
      <w:r w:rsidR="00473498">
        <w:rPr>
          <w:rFonts w:ascii="Verdana" w:hAnsi="Verdana"/>
          <w:sz w:val="20"/>
          <w:szCs w:val="20"/>
          <w:lang w:val="es-CR"/>
        </w:rPr>
        <w:t xml:space="preserve">eflexiones </w:t>
      </w:r>
      <w:r w:rsidR="008E71CE">
        <w:rPr>
          <w:rFonts w:ascii="Verdana" w:hAnsi="Verdana"/>
          <w:sz w:val="20"/>
          <w:szCs w:val="20"/>
          <w:lang w:val="es-CR"/>
        </w:rPr>
        <w:t>adicionales</w:t>
      </w:r>
      <w:r w:rsidR="00473498">
        <w:rPr>
          <w:rFonts w:ascii="Verdana" w:hAnsi="Verdana"/>
          <w:sz w:val="20"/>
          <w:szCs w:val="20"/>
          <w:lang w:val="es-CR"/>
        </w:rPr>
        <w:t xml:space="preserve"> </w:t>
      </w:r>
      <w:r w:rsidR="00C3017D">
        <w:rPr>
          <w:rFonts w:ascii="Verdana" w:hAnsi="Verdana"/>
          <w:sz w:val="20"/>
          <w:szCs w:val="20"/>
          <w:lang w:val="es-CR"/>
        </w:rPr>
        <w:t xml:space="preserve">a las ya expuestas en otras ocasiones </w:t>
      </w:r>
      <w:r w:rsidR="00473498">
        <w:rPr>
          <w:rFonts w:ascii="Verdana" w:hAnsi="Verdana"/>
          <w:sz w:val="20"/>
          <w:szCs w:val="20"/>
          <w:lang w:val="es-CR"/>
        </w:rPr>
        <w:t xml:space="preserve">sobre la problemática aproximación que la Corte </w:t>
      </w:r>
      <w:r w:rsidR="00AA5720">
        <w:rPr>
          <w:rFonts w:ascii="Verdana" w:hAnsi="Verdana"/>
          <w:sz w:val="20"/>
          <w:szCs w:val="20"/>
          <w:lang w:val="es-CR"/>
        </w:rPr>
        <w:t>ha decidido adoptar</w:t>
      </w:r>
      <w:r w:rsidR="00473498">
        <w:rPr>
          <w:rFonts w:ascii="Verdana" w:hAnsi="Verdana"/>
          <w:sz w:val="20"/>
          <w:szCs w:val="20"/>
          <w:lang w:val="es-CR"/>
        </w:rPr>
        <w:t xml:space="preserve"> en el análisis de </w:t>
      </w:r>
      <w:r w:rsidR="00C3017D">
        <w:rPr>
          <w:rFonts w:ascii="Verdana" w:hAnsi="Verdana"/>
          <w:sz w:val="20"/>
          <w:szCs w:val="20"/>
          <w:lang w:val="es-CR"/>
        </w:rPr>
        <w:t xml:space="preserve">la </w:t>
      </w:r>
      <w:r w:rsidR="00473498">
        <w:rPr>
          <w:rFonts w:ascii="Verdana" w:hAnsi="Verdana"/>
          <w:sz w:val="20"/>
          <w:szCs w:val="20"/>
          <w:lang w:val="es-CR"/>
        </w:rPr>
        <w:t>violación autónoma al artículo 26 de la Convención.</w:t>
      </w:r>
      <w:r w:rsidR="00C54471">
        <w:rPr>
          <w:rFonts w:ascii="Verdana" w:hAnsi="Verdana"/>
          <w:sz w:val="20"/>
          <w:szCs w:val="20"/>
          <w:lang w:val="es-CR"/>
        </w:rPr>
        <w:t xml:space="preserve"> Estas reflexiones deben ser leídas en relación con los argumentos ya expuestos en mis otros votos disidentes o concurrentes de casos recientes</w:t>
      </w:r>
      <w:r w:rsidR="00774CDE">
        <w:rPr>
          <w:rStyle w:val="FootnoteReference"/>
          <w:rFonts w:ascii="Verdana" w:hAnsi="Verdana"/>
          <w:sz w:val="20"/>
          <w:szCs w:val="20"/>
          <w:lang w:val="es-CR"/>
        </w:rPr>
        <w:footnoteReference w:id="10"/>
      </w:r>
      <w:r w:rsidR="00C54471">
        <w:rPr>
          <w:rFonts w:ascii="Verdana" w:hAnsi="Verdana"/>
          <w:sz w:val="20"/>
          <w:szCs w:val="20"/>
          <w:lang w:val="es-CR"/>
        </w:rPr>
        <w:t>.</w:t>
      </w:r>
    </w:p>
    <w:p w14:paraId="4FC834A4" w14:textId="77777777" w:rsidR="00C54471" w:rsidRDefault="00C54471" w:rsidP="00C54471">
      <w:pPr>
        <w:pStyle w:val="ListParagraph"/>
        <w:ind w:left="0"/>
        <w:jc w:val="both"/>
        <w:rPr>
          <w:rFonts w:ascii="Verdana" w:hAnsi="Verdana"/>
          <w:sz w:val="20"/>
          <w:szCs w:val="20"/>
          <w:lang w:val="es-CR"/>
        </w:rPr>
      </w:pPr>
    </w:p>
    <w:p w14:paraId="4E9848CD" w14:textId="4ED1E5DF" w:rsidR="00DB2EAF" w:rsidRDefault="008D618E"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En primer lugar, y</w:t>
      </w:r>
      <w:r w:rsidR="001D7AE0">
        <w:rPr>
          <w:rFonts w:ascii="Verdana" w:hAnsi="Verdana"/>
          <w:sz w:val="20"/>
          <w:szCs w:val="20"/>
          <w:lang w:val="es-CR"/>
        </w:rPr>
        <w:t xml:space="preserve"> en relación con lo mencionado</w:t>
      </w:r>
      <w:r w:rsidR="00942255">
        <w:rPr>
          <w:rFonts w:ascii="Verdana" w:hAnsi="Verdana"/>
          <w:sz w:val="20"/>
          <w:szCs w:val="20"/>
          <w:lang w:val="es-CR"/>
        </w:rPr>
        <w:t xml:space="preserve"> en el apartado anterior</w:t>
      </w:r>
      <w:r w:rsidR="001D7AE0">
        <w:rPr>
          <w:rFonts w:ascii="Verdana" w:hAnsi="Verdana"/>
          <w:sz w:val="20"/>
          <w:szCs w:val="20"/>
          <w:lang w:val="es-CR"/>
        </w:rPr>
        <w:t xml:space="preserve">, cabe </w:t>
      </w:r>
      <w:r>
        <w:rPr>
          <w:rFonts w:ascii="Verdana" w:hAnsi="Verdana"/>
          <w:sz w:val="20"/>
          <w:szCs w:val="20"/>
          <w:lang w:val="es-CR"/>
        </w:rPr>
        <w:t>cuestionar el sentido práctico del actuar</w:t>
      </w:r>
      <w:r w:rsidR="001D7AE0">
        <w:rPr>
          <w:rFonts w:ascii="Verdana" w:hAnsi="Verdana"/>
          <w:sz w:val="20"/>
          <w:szCs w:val="20"/>
          <w:lang w:val="es-CR"/>
        </w:rPr>
        <w:t xml:space="preserve"> </w:t>
      </w:r>
      <w:r w:rsidR="00FC6AA2">
        <w:rPr>
          <w:rFonts w:ascii="Verdana" w:hAnsi="Verdana"/>
          <w:sz w:val="20"/>
          <w:szCs w:val="20"/>
          <w:lang w:val="es-CR"/>
        </w:rPr>
        <w:t xml:space="preserve">de </w:t>
      </w:r>
      <w:r w:rsidR="001D7AE0">
        <w:rPr>
          <w:rFonts w:ascii="Verdana" w:hAnsi="Verdana"/>
          <w:sz w:val="20"/>
          <w:szCs w:val="20"/>
          <w:lang w:val="es-CR"/>
        </w:rPr>
        <w:t xml:space="preserve">la Corte al declarar la violación al artículo 26 de manera autónoma, cuando la afectación que se </w:t>
      </w:r>
      <w:r w:rsidR="00CA4115">
        <w:rPr>
          <w:rFonts w:ascii="Verdana" w:hAnsi="Verdana"/>
          <w:sz w:val="20"/>
          <w:szCs w:val="20"/>
          <w:lang w:val="es-CR"/>
        </w:rPr>
        <w:t>acreditó</w:t>
      </w:r>
      <w:r w:rsidR="008E71CE">
        <w:rPr>
          <w:rFonts w:ascii="Verdana" w:hAnsi="Verdana"/>
          <w:sz w:val="20"/>
          <w:szCs w:val="20"/>
          <w:lang w:val="es-CR"/>
        </w:rPr>
        <w:t xml:space="preserve"> en este caso</w:t>
      </w:r>
      <w:r w:rsidR="001D7AE0">
        <w:rPr>
          <w:rFonts w:ascii="Verdana" w:hAnsi="Verdana"/>
          <w:sz w:val="20"/>
          <w:szCs w:val="20"/>
          <w:lang w:val="es-CR"/>
        </w:rPr>
        <w:t xml:space="preserve"> es a la integridad personal y a la vida del señor Poblete</w:t>
      </w:r>
      <w:r w:rsidR="00154A93">
        <w:rPr>
          <w:rFonts w:ascii="Verdana" w:hAnsi="Verdana"/>
          <w:sz w:val="20"/>
          <w:szCs w:val="20"/>
          <w:lang w:val="es-CR"/>
        </w:rPr>
        <w:t xml:space="preserve"> Vilche</w:t>
      </w:r>
      <w:r>
        <w:rPr>
          <w:rFonts w:ascii="Verdana" w:hAnsi="Verdana"/>
          <w:sz w:val="20"/>
          <w:szCs w:val="20"/>
          <w:lang w:val="es-CR"/>
        </w:rPr>
        <w:t>s</w:t>
      </w:r>
      <w:r w:rsidR="001D7AE0">
        <w:rPr>
          <w:rFonts w:ascii="Verdana" w:hAnsi="Verdana"/>
          <w:sz w:val="20"/>
          <w:szCs w:val="20"/>
          <w:lang w:val="es-CR"/>
        </w:rPr>
        <w:t xml:space="preserve">. </w:t>
      </w:r>
      <w:r w:rsidR="008E71CE">
        <w:rPr>
          <w:rFonts w:ascii="Verdana" w:hAnsi="Verdana"/>
          <w:sz w:val="20"/>
          <w:szCs w:val="20"/>
          <w:lang w:val="es-CR"/>
        </w:rPr>
        <w:t>El análisis parece sugerir que, cuando se produce una violación a la integridad personal o a la vida de una persona, como resultado de una deficiente atención médica, se produce una violación</w:t>
      </w:r>
      <w:r w:rsidR="00C028E5">
        <w:rPr>
          <w:rFonts w:ascii="Verdana" w:hAnsi="Verdana"/>
          <w:sz w:val="20"/>
          <w:szCs w:val="20"/>
          <w:lang w:val="es-CR"/>
        </w:rPr>
        <w:t xml:space="preserve"> automática</w:t>
      </w:r>
      <w:r w:rsidR="008E71CE">
        <w:rPr>
          <w:rFonts w:ascii="Verdana" w:hAnsi="Verdana"/>
          <w:sz w:val="20"/>
          <w:szCs w:val="20"/>
          <w:lang w:val="es-CR"/>
        </w:rPr>
        <w:t xml:space="preserve"> al derecho a la salud</w:t>
      </w:r>
      <w:r w:rsidR="006039CC">
        <w:rPr>
          <w:rFonts w:ascii="Verdana" w:hAnsi="Verdana"/>
          <w:sz w:val="20"/>
          <w:szCs w:val="20"/>
          <w:lang w:val="es-CR"/>
        </w:rPr>
        <w:t xml:space="preserve"> en su dimensión “individual”</w:t>
      </w:r>
      <w:r w:rsidR="00B04AD5">
        <w:rPr>
          <w:rFonts w:ascii="Verdana" w:hAnsi="Verdana"/>
          <w:sz w:val="20"/>
          <w:szCs w:val="20"/>
          <w:lang w:val="es-CR"/>
        </w:rPr>
        <w:t xml:space="preserve"> </w:t>
      </w:r>
      <w:r w:rsidR="00DE7AFC" w:rsidRPr="000935F7">
        <w:rPr>
          <w:rFonts w:ascii="Verdana" w:hAnsi="Verdana"/>
          <w:sz w:val="20"/>
          <w:szCs w:val="20"/>
          <w:lang w:val="es-CR"/>
        </w:rPr>
        <w:t>(párr</w:t>
      </w:r>
      <w:r w:rsidR="000935F7" w:rsidRPr="004C1688">
        <w:rPr>
          <w:rFonts w:ascii="Verdana" w:hAnsi="Verdana"/>
          <w:sz w:val="20"/>
          <w:szCs w:val="20"/>
          <w:lang w:val="es-CR"/>
        </w:rPr>
        <w:t>s</w:t>
      </w:r>
      <w:r w:rsidR="00DE7AFC" w:rsidRPr="000935F7">
        <w:rPr>
          <w:rFonts w:ascii="Verdana" w:hAnsi="Verdana"/>
          <w:sz w:val="20"/>
          <w:szCs w:val="20"/>
          <w:lang w:val="es-CR"/>
        </w:rPr>
        <w:t xml:space="preserve">. </w:t>
      </w:r>
      <w:r w:rsidR="000935F7" w:rsidRPr="004C1688">
        <w:rPr>
          <w:rFonts w:ascii="Verdana" w:hAnsi="Verdana"/>
          <w:sz w:val="20"/>
          <w:szCs w:val="20"/>
          <w:lang w:val="es-CR"/>
        </w:rPr>
        <w:t>150 y 155</w:t>
      </w:r>
      <w:r w:rsidR="00DE7AFC" w:rsidRPr="000935F7">
        <w:rPr>
          <w:rFonts w:ascii="Verdana" w:hAnsi="Verdana"/>
          <w:sz w:val="20"/>
          <w:szCs w:val="20"/>
          <w:lang w:val="es-CR"/>
        </w:rPr>
        <w:t>)</w:t>
      </w:r>
      <w:r w:rsidR="002E5FEA" w:rsidRPr="000935F7">
        <w:rPr>
          <w:rFonts w:ascii="Verdana" w:hAnsi="Verdana"/>
          <w:sz w:val="20"/>
          <w:szCs w:val="20"/>
          <w:lang w:val="es-CR"/>
        </w:rPr>
        <w:t>;</w:t>
      </w:r>
      <w:r w:rsidR="002E5FEA">
        <w:rPr>
          <w:rFonts w:ascii="Verdana" w:hAnsi="Verdana"/>
          <w:sz w:val="20"/>
          <w:szCs w:val="20"/>
          <w:lang w:val="es-CR"/>
        </w:rPr>
        <w:t xml:space="preserve"> sin embargo, </w:t>
      </w:r>
      <w:r w:rsidR="00971525">
        <w:rPr>
          <w:rFonts w:ascii="Verdana" w:hAnsi="Verdana"/>
          <w:sz w:val="20"/>
          <w:szCs w:val="20"/>
          <w:lang w:val="es-CR"/>
        </w:rPr>
        <w:t xml:space="preserve">la sentencia no establece con claridad </w:t>
      </w:r>
      <w:r w:rsidR="00322927">
        <w:rPr>
          <w:rFonts w:ascii="Verdana" w:hAnsi="Verdana"/>
          <w:sz w:val="20"/>
          <w:szCs w:val="20"/>
          <w:lang w:val="es-CR"/>
        </w:rPr>
        <w:t>cuál es la afectación específica a</w:t>
      </w:r>
      <w:r w:rsidR="00033A29">
        <w:rPr>
          <w:rFonts w:ascii="Verdana" w:hAnsi="Verdana"/>
          <w:sz w:val="20"/>
          <w:szCs w:val="20"/>
          <w:lang w:val="es-CR"/>
        </w:rPr>
        <w:t>l derecho a</w:t>
      </w:r>
      <w:r w:rsidR="00322927">
        <w:rPr>
          <w:rFonts w:ascii="Verdana" w:hAnsi="Verdana"/>
          <w:sz w:val="20"/>
          <w:szCs w:val="20"/>
          <w:lang w:val="es-CR"/>
        </w:rPr>
        <w:t xml:space="preserve"> la salud </w:t>
      </w:r>
      <w:r w:rsidR="00406636">
        <w:rPr>
          <w:rFonts w:ascii="Verdana" w:hAnsi="Verdana"/>
          <w:sz w:val="20"/>
          <w:szCs w:val="20"/>
          <w:lang w:val="es-CR"/>
        </w:rPr>
        <w:t>de la víctima</w:t>
      </w:r>
      <w:r w:rsidR="00CA4115">
        <w:rPr>
          <w:rFonts w:ascii="Verdana" w:hAnsi="Verdana"/>
          <w:sz w:val="20"/>
          <w:szCs w:val="20"/>
          <w:lang w:val="es-CR"/>
        </w:rPr>
        <w:t xml:space="preserve"> en esa dimensión “individual”</w:t>
      </w:r>
      <w:r w:rsidR="00322927">
        <w:rPr>
          <w:rFonts w:ascii="Verdana" w:hAnsi="Verdana"/>
          <w:sz w:val="20"/>
          <w:szCs w:val="20"/>
          <w:lang w:val="es-CR"/>
        </w:rPr>
        <w:t xml:space="preserve">, sino </w:t>
      </w:r>
      <w:r w:rsidR="00033A29">
        <w:rPr>
          <w:rFonts w:ascii="Verdana" w:hAnsi="Verdana"/>
          <w:sz w:val="20"/>
          <w:szCs w:val="20"/>
          <w:lang w:val="es-CR"/>
        </w:rPr>
        <w:t>que se centra en establecer las razones por las que el Estado incumplió con sus deberes y obligaciones en materia de prestación adecuada del servicio a la salud</w:t>
      </w:r>
      <w:r w:rsidR="00406636">
        <w:rPr>
          <w:rFonts w:ascii="Verdana" w:hAnsi="Verdana"/>
          <w:sz w:val="20"/>
          <w:szCs w:val="20"/>
          <w:lang w:val="es-CR"/>
        </w:rPr>
        <w:t>, y de ahí deriva que se afectó su salud</w:t>
      </w:r>
      <w:r w:rsidR="00DE7AFC">
        <w:rPr>
          <w:rFonts w:ascii="Verdana" w:hAnsi="Verdana"/>
          <w:sz w:val="20"/>
          <w:szCs w:val="20"/>
          <w:lang w:val="es-CR"/>
        </w:rPr>
        <w:t xml:space="preserve"> </w:t>
      </w:r>
      <w:r w:rsidR="00DE7AFC" w:rsidRPr="006039CC">
        <w:rPr>
          <w:rFonts w:ascii="Verdana" w:hAnsi="Verdana"/>
          <w:sz w:val="20"/>
          <w:szCs w:val="20"/>
          <w:lang w:val="es-CR"/>
        </w:rPr>
        <w:t>(párr. 138)</w:t>
      </w:r>
      <w:r w:rsidR="00033A29" w:rsidRPr="006039CC">
        <w:rPr>
          <w:rFonts w:ascii="Verdana" w:hAnsi="Verdana"/>
          <w:sz w:val="20"/>
          <w:szCs w:val="20"/>
          <w:lang w:val="es-CR"/>
        </w:rPr>
        <w:t>.</w:t>
      </w:r>
      <w:r w:rsidR="00033A29">
        <w:rPr>
          <w:rFonts w:ascii="Verdana" w:hAnsi="Verdana"/>
          <w:sz w:val="20"/>
          <w:szCs w:val="20"/>
          <w:lang w:val="es-CR"/>
        </w:rPr>
        <w:t xml:space="preserve"> </w:t>
      </w:r>
      <w:r w:rsidR="00561A32" w:rsidRPr="00140F35">
        <w:rPr>
          <w:rFonts w:ascii="Verdana" w:hAnsi="Verdana"/>
          <w:sz w:val="20"/>
          <w:szCs w:val="20"/>
          <w:lang w:val="es-CR"/>
        </w:rPr>
        <w:t>La Corte, de esta forma, asume una posición consecuencialista que funde –y confunde- la afectación a la integridad y la vida del señor Poblete Vilch</w:t>
      </w:r>
      <w:r w:rsidR="00821476">
        <w:rPr>
          <w:rFonts w:ascii="Verdana" w:hAnsi="Verdana"/>
          <w:sz w:val="20"/>
          <w:szCs w:val="20"/>
          <w:lang w:val="es-CR"/>
        </w:rPr>
        <w:t>e</w:t>
      </w:r>
      <w:r w:rsidR="00561A32" w:rsidRPr="00140F35">
        <w:rPr>
          <w:rFonts w:ascii="Verdana" w:hAnsi="Verdana"/>
          <w:sz w:val="20"/>
          <w:szCs w:val="20"/>
          <w:lang w:val="es-CR"/>
        </w:rPr>
        <w:t xml:space="preserve">s, con la violación a su derecho a la salud. Este es el mismo error conceptual en que la Corte incurrió en </w:t>
      </w:r>
      <w:r w:rsidR="00561A32" w:rsidRPr="00140F35">
        <w:rPr>
          <w:rFonts w:ascii="Verdana" w:hAnsi="Verdana"/>
          <w:i/>
          <w:sz w:val="20"/>
          <w:szCs w:val="20"/>
          <w:lang w:val="es-CR"/>
        </w:rPr>
        <w:t>Lagos del Campo</w:t>
      </w:r>
      <w:r w:rsidR="00561A32" w:rsidRPr="00140F35">
        <w:rPr>
          <w:rFonts w:ascii="Verdana" w:hAnsi="Verdana"/>
          <w:sz w:val="20"/>
          <w:szCs w:val="20"/>
          <w:lang w:val="es-CR"/>
        </w:rPr>
        <w:t xml:space="preserve">, </w:t>
      </w:r>
      <w:r w:rsidR="00561A32" w:rsidRPr="00140F35">
        <w:rPr>
          <w:rFonts w:ascii="Verdana" w:hAnsi="Verdana"/>
          <w:i/>
          <w:sz w:val="20"/>
          <w:szCs w:val="20"/>
          <w:lang w:val="es-CR"/>
        </w:rPr>
        <w:t>Trabajadores Cesados de Petroperú y otros</w:t>
      </w:r>
      <w:r w:rsidR="00561A32" w:rsidRPr="00140F35">
        <w:rPr>
          <w:rFonts w:ascii="Verdana" w:hAnsi="Verdana"/>
          <w:sz w:val="20"/>
          <w:szCs w:val="20"/>
          <w:lang w:val="es-CR"/>
        </w:rPr>
        <w:t xml:space="preserve">, y en </w:t>
      </w:r>
      <w:r w:rsidR="00561A32" w:rsidRPr="00140F35">
        <w:rPr>
          <w:rFonts w:ascii="Verdana" w:hAnsi="Verdana"/>
          <w:i/>
          <w:sz w:val="20"/>
          <w:szCs w:val="20"/>
          <w:lang w:val="es-CR"/>
        </w:rPr>
        <w:t>San Miguel Sosa y otras.</w:t>
      </w:r>
      <w:r w:rsidR="00AE6309">
        <w:rPr>
          <w:rFonts w:ascii="Verdana" w:hAnsi="Verdana"/>
          <w:sz w:val="20"/>
          <w:szCs w:val="20"/>
          <w:lang w:val="es-CR"/>
        </w:rPr>
        <w:t xml:space="preserve"> </w:t>
      </w:r>
    </w:p>
    <w:p w14:paraId="432DB66A" w14:textId="77777777" w:rsidR="00DB2EAF" w:rsidRDefault="00DB2EAF" w:rsidP="007C14B2">
      <w:pPr>
        <w:pStyle w:val="ListParagraph"/>
        <w:ind w:left="0"/>
        <w:jc w:val="both"/>
        <w:rPr>
          <w:rFonts w:ascii="Verdana" w:hAnsi="Verdana"/>
          <w:sz w:val="20"/>
          <w:szCs w:val="20"/>
          <w:lang w:val="es-CR"/>
        </w:rPr>
      </w:pPr>
    </w:p>
    <w:p w14:paraId="4BBBE775" w14:textId="656C8D87" w:rsidR="00CA3D37" w:rsidRDefault="00AE6309"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Esta omisión conceptual, estimo, tiene un efecto directo en la seguridad jurídica de la cual también somos guardianes</w:t>
      </w:r>
      <w:r w:rsidR="00E26F7E">
        <w:rPr>
          <w:rFonts w:ascii="Verdana" w:hAnsi="Verdana"/>
          <w:sz w:val="20"/>
          <w:szCs w:val="20"/>
          <w:lang w:val="es-CR"/>
        </w:rPr>
        <w:t>, pues</w:t>
      </w:r>
      <w:r>
        <w:rPr>
          <w:rFonts w:ascii="Verdana" w:hAnsi="Verdana"/>
          <w:sz w:val="20"/>
          <w:szCs w:val="20"/>
          <w:lang w:val="es-CR"/>
        </w:rPr>
        <w:t xml:space="preserve"> resulta en la imposibilidad de </w:t>
      </w:r>
      <w:r w:rsidR="00D864C1">
        <w:rPr>
          <w:rFonts w:ascii="Verdana" w:hAnsi="Verdana"/>
          <w:sz w:val="20"/>
          <w:szCs w:val="20"/>
          <w:lang w:val="es-CR"/>
        </w:rPr>
        <w:t>realizar una adecuada subsunción</w:t>
      </w:r>
      <w:r>
        <w:rPr>
          <w:rFonts w:ascii="Verdana" w:hAnsi="Verdana"/>
          <w:sz w:val="20"/>
          <w:szCs w:val="20"/>
          <w:lang w:val="es-CR"/>
        </w:rPr>
        <w:t xml:space="preserve"> de un hecho concreto</w:t>
      </w:r>
      <w:r w:rsidR="00547ABC">
        <w:rPr>
          <w:rFonts w:ascii="Verdana" w:hAnsi="Verdana"/>
          <w:sz w:val="20"/>
          <w:szCs w:val="20"/>
          <w:lang w:val="es-CR"/>
        </w:rPr>
        <w:t xml:space="preserve"> respecto a una norma</w:t>
      </w:r>
      <w:r w:rsidR="00E26F7E">
        <w:rPr>
          <w:rFonts w:ascii="Verdana" w:hAnsi="Verdana"/>
          <w:sz w:val="20"/>
          <w:szCs w:val="20"/>
          <w:lang w:val="es-CR"/>
        </w:rPr>
        <w:t>.</w:t>
      </w:r>
      <w:r w:rsidR="00547ABC">
        <w:rPr>
          <w:rFonts w:ascii="Verdana" w:hAnsi="Verdana"/>
          <w:sz w:val="20"/>
          <w:szCs w:val="20"/>
          <w:lang w:val="es-CR"/>
        </w:rPr>
        <w:t xml:space="preserve"> De hecho, esta aproximación pareciera que subsume la norma respecto de un hecho. En ese sentido, cabe preguntar:</w:t>
      </w:r>
      <w:r w:rsidR="00DB2EAF">
        <w:rPr>
          <w:rFonts w:ascii="Verdana" w:hAnsi="Verdana"/>
          <w:sz w:val="20"/>
          <w:szCs w:val="20"/>
          <w:lang w:val="es-CR"/>
        </w:rPr>
        <w:t xml:space="preserve"> ¿Cuál es</w:t>
      </w:r>
      <w:r w:rsidR="0042305E">
        <w:rPr>
          <w:rFonts w:ascii="Verdana" w:hAnsi="Verdana"/>
          <w:sz w:val="20"/>
          <w:szCs w:val="20"/>
          <w:lang w:val="es-CR"/>
        </w:rPr>
        <w:t>, exactamente,</w:t>
      </w:r>
      <w:r w:rsidR="00DB2EAF">
        <w:rPr>
          <w:rFonts w:ascii="Verdana" w:hAnsi="Verdana"/>
          <w:sz w:val="20"/>
          <w:szCs w:val="20"/>
          <w:lang w:val="es-CR"/>
        </w:rPr>
        <w:t xml:space="preserve"> el catálogo de DESCA protegidos</w:t>
      </w:r>
      <w:r w:rsidR="0042305E">
        <w:rPr>
          <w:rFonts w:ascii="Verdana" w:hAnsi="Verdana"/>
          <w:sz w:val="20"/>
          <w:szCs w:val="20"/>
          <w:lang w:val="es-CR"/>
        </w:rPr>
        <w:t xml:space="preserve"> por la Convención</w:t>
      </w:r>
      <w:r w:rsidR="00DB2EAF">
        <w:rPr>
          <w:rFonts w:ascii="Verdana" w:hAnsi="Verdana"/>
          <w:sz w:val="20"/>
          <w:szCs w:val="20"/>
          <w:lang w:val="es-CR"/>
        </w:rPr>
        <w:t>? ¿</w:t>
      </w:r>
      <w:r w:rsidR="00246A75">
        <w:rPr>
          <w:rFonts w:ascii="Verdana" w:hAnsi="Verdana"/>
          <w:sz w:val="20"/>
          <w:szCs w:val="20"/>
          <w:lang w:val="es-CR"/>
        </w:rPr>
        <w:t>D</w:t>
      </w:r>
      <w:r w:rsidR="00DB2EAF">
        <w:rPr>
          <w:rFonts w:ascii="Verdana" w:hAnsi="Verdana"/>
          <w:sz w:val="20"/>
          <w:szCs w:val="20"/>
          <w:lang w:val="es-CR"/>
        </w:rPr>
        <w:t>ónde comienza y dónde termina dicho catálogo?</w:t>
      </w:r>
      <w:r w:rsidR="00E26F7E">
        <w:rPr>
          <w:rFonts w:ascii="Verdana" w:hAnsi="Verdana"/>
          <w:sz w:val="20"/>
          <w:szCs w:val="20"/>
          <w:lang w:val="es-CR"/>
        </w:rPr>
        <w:t xml:space="preserve"> E</w:t>
      </w:r>
      <w:r>
        <w:rPr>
          <w:rFonts w:ascii="Verdana" w:hAnsi="Verdana"/>
          <w:sz w:val="20"/>
          <w:szCs w:val="20"/>
          <w:lang w:val="es-CR"/>
        </w:rPr>
        <w:t xml:space="preserve">sta incertidumbre jurídica </w:t>
      </w:r>
      <w:r w:rsidR="0023178C">
        <w:rPr>
          <w:rFonts w:ascii="Verdana" w:hAnsi="Verdana"/>
          <w:sz w:val="20"/>
          <w:szCs w:val="20"/>
          <w:lang w:val="es-CR"/>
        </w:rPr>
        <w:t xml:space="preserve">no solo </w:t>
      </w:r>
      <w:r>
        <w:rPr>
          <w:rFonts w:ascii="Verdana" w:hAnsi="Verdana"/>
          <w:sz w:val="20"/>
          <w:szCs w:val="20"/>
          <w:lang w:val="es-CR"/>
        </w:rPr>
        <w:t>afecta a</w:t>
      </w:r>
      <w:r w:rsidR="00E26EA4">
        <w:rPr>
          <w:rFonts w:ascii="Verdana" w:hAnsi="Verdana"/>
          <w:sz w:val="20"/>
          <w:szCs w:val="20"/>
          <w:lang w:val="es-CR"/>
        </w:rPr>
        <w:t xml:space="preserve"> los Estados</w:t>
      </w:r>
      <w:r w:rsidR="0023178C">
        <w:rPr>
          <w:rFonts w:ascii="Verdana" w:hAnsi="Verdana"/>
          <w:sz w:val="20"/>
          <w:szCs w:val="20"/>
          <w:lang w:val="es-CR"/>
        </w:rPr>
        <w:t xml:space="preserve">, sino </w:t>
      </w:r>
      <w:r w:rsidR="00E26EA4">
        <w:rPr>
          <w:rFonts w:ascii="Verdana" w:hAnsi="Verdana"/>
          <w:sz w:val="20"/>
          <w:szCs w:val="20"/>
          <w:lang w:val="es-CR"/>
        </w:rPr>
        <w:t>a las víctimas de violaciones de derechos fundamentales</w:t>
      </w:r>
      <w:r>
        <w:rPr>
          <w:rFonts w:ascii="Verdana" w:hAnsi="Verdana"/>
          <w:sz w:val="20"/>
          <w:szCs w:val="20"/>
          <w:lang w:val="es-CR"/>
        </w:rPr>
        <w:t xml:space="preserve"> que busquen utilizar el sistema de peticiones individuales</w:t>
      </w:r>
      <w:r w:rsidR="00E26EA4">
        <w:rPr>
          <w:rFonts w:ascii="Verdana" w:hAnsi="Verdana"/>
          <w:sz w:val="20"/>
          <w:szCs w:val="20"/>
          <w:lang w:val="es-CR"/>
        </w:rPr>
        <w:t>.</w:t>
      </w:r>
      <w:r w:rsidR="00D324B0">
        <w:rPr>
          <w:rFonts w:ascii="Verdana" w:hAnsi="Verdana"/>
          <w:sz w:val="20"/>
          <w:szCs w:val="20"/>
          <w:lang w:val="es-CR"/>
        </w:rPr>
        <w:t xml:space="preserve"> </w:t>
      </w:r>
      <w:r w:rsidR="00E26EA4">
        <w:rPr>
          <w:rFonts w:ascii="Verdana" w:hAnsi="Verdana"/>
          <w:sz w:val="20"/>
          <w:szCs w:val="20"/>
          <w:lang w:val="es-CR"/>
        </w:rPr>
        <w:t>P</w:t>
      </w:r>
      <w:r w:rsidR="00D324B0">
        <w:rPr>
          <w:rFonts w:ascii="Verdana" w:hAnsi="Verdana"/>
          <w:sz w:val="20"/>
          <w:szCs w:val="20"/>
          <w:lang w:val="es-CR"/>
        </w:rPr>
        <w:t>or ejemplo,</w:t>
      </w:r>
      <w:r w:rsidR="00675A65">
        <w:rPr>
          <w:rFonts w:ascii="Verdana" w:hAnsi="Verdana"/>
          <w:sz w:val="20"/>
          <w:szCs w:val="20"/>
          <w:lang w:val="es-CR"/>
        </w:rPr>
        <w:t xml:space="preserve"> cabe preguntarse,</w:t>
      </w:r>
      <w:r w:rsidR="00D324B0">
        <w:rPr>
          <w:rFonts w:ascii="Verdana" w:hAnsi="Verdana"/>
          <w:sz w:val="20"/>
          <w:szCs w:val="20"/>
          <w:lang w:val="es-CR"/>
        </w:rPr>
        <w:t xml:space="preserve"> ¿</w:t>
      </w:r>
      <w:r w:rsidR="0023178C">
        <w:rPr>
          <w:rFonts w:ascii="Verdana" w:hAnsi="Verdana"/>
          <w:sz w:val="20"/>
          <w:szCs w:val="20"/>
          <w:lang w:val="es-CR"/>
        </w:rPr>
        <w:t>r</w:t>
      </w:r>
      <w:r w:rsidR="00D324B0">
        <w:rPr>
          <w:rFonts w:ascii="Verdana" w:hAnsi="Verdana"/>
          <w:sz w:val="20"/>
          <w:szCs w:val="20"/>
          <w:lang w:val="es-CR"/>
        </w:rPr>
        <w:t xml:space="preserve">especto de cuál agravio </w:t>
      </w:r>
      <w:r w:rsidR="00E26EA4">
        <w:rPr>
          <w:rFonts w:ascii="Verdana" w:hAnsi="Verdana"/>
          <w:sz w:val="20"/>
          <w:szCs w:val="20"/>
          <w:lang w:val="es-CR"/>
        </w:rPr>
        <w:t>se deberían</w:t>
      </w:r>
      <w:r w:rsidR="00D324B0">
        <w:rPr>
          <w:rFonts w:ascii="Verdana" w:hAnsi="Verdana"/>
          <w:sz w:val="20"/>
          <w:szCs w:val="20"/>
          <w:lang w:val="es-CR"/>
        </w:rPr>
        <w:t xml:space="preserve"> agotan los recursos</w:t>
      </w:r>
      <w:r w:rsidR="00675A65">
        <w:rPr>
          <w:rFonts w:ascii="Verdana" w:hAnsi="Verdana"/>
          <w:sz w:val="20"/>
          <w:szCs w:val="20"/>
          <w:lang w:val="es-CR"/>
        </w:rPr>
        <w:t xml:space="preserve"> de la jurisdicción interna</w:t>
      </w:r>
      <w:r w:rsidR="00D324B0">
        <w:rPr>
          <w:rFonts w:ascii="Verdana" w:hAnsi="Verdana"/>
          <w:sz w:val="20"/>
          <w:szCs w:val="20"/>
          <w:lang w:val="es-CR"/>
        </w:rPr>
        <w:t>? ¿Uno que se configure en atención de la dimensión “individual”</w:t>
      </w:r>
      <w:r w:rsidR="00675A65">
        <w:rPr>
          <w:rFonts w:ascii="Verdana" w:hAnsi="Verdana"/>
          <w:sz w:val="20"/>
          <w:szCs w:val="20"/>
          <w:lang w:val="es-CR"/>
        </w:rPr>
        <w:t>,</w:t>
      </w:r>
      <w:r w:rsidR="00D324B0">
        <w:rPr>
          <w:rFonts w:ascii="Verdana" w:hAnsi="Verdana"/>
          <w:sz w:val="20"/>
          <w:szCs w:val="20"/>
          <w:lang w:val="es-CR"/>
        </w:rPr>
        <w:t xml:space="preserve"> o uno que se configure en la dimensión “colectiva”</w:t>
      </w:r>
      <w:r w:rsidR="00675A65">
        <w:rPr>
          <w:rFonts w:ascii="Verdana" w:hAnsi="Verdana"/>
          <w:sz w:val="20"/>
          <w:szCs w:val="20"/>
          <w:lang w:val="es-CR"/>
        </w:rPr>
        <w:t>,</w:t>
      </w:r>
      <w:r w:rsidR="00D324B0">
        <w:rPr>
          <w:rFonts w:ascii="Verdana" w:hAnsi="Verdana"/>
          <w:sz w:val="20"/>
          <w:szCs w:val="20"/>
          <w:lang w:val="es-CR"/>
        </w:rPr>
        <w:t xml:space="preserve"> pero que tenga efectos en lo particular? A mi manera de ver las cosas, el abordaje de </w:t>
      </w:r>
      <w:r w:rsidR="00E651E8">
        <w:rPr>
          <w:rFonts w:ascii="Verdana" w:hAnsi="Verdana"/>
          <w:sz w:val="20"/>
          <w:szCs w:val="20"/>
          <w:lang w:val="es-CR"/>
        </w:rPr>
        <w:t xml:space="preserve">los casos antes citados no tiene una respuesta </w:t>
      </w:r>
      <w:r w:rsidR="0023178C">
        <w:rPr>
          <w:rFonts w:ascii="Verdana" w:hAnsi="Verdana"/>
          <w:sz w:val="20"/>
          <w:szCs w:val="20"/>
          <w:lang w:val="es-CR"/>
        </w:rPr>
        <w:t>a ninguna de las preguntas planteadas</w:t>
      </w:r>
      <w:r w:rsidR="00E651E8">
        <w:rPr>
          <w:rFonts w:ascii="Verdana" w:hAnsi="Verdana"/>
          <w:sz w:val="20"/>
          <w:szCs w:val="20"/>
          <w:lang w:val="es-CR"/>
        </w:rPr>
        <w:t xml:space="preserve">. </w:t>
      </w:r>
      <w:r w:rsidR="00FA38DC">
        <w:rPr>
          <w:rFonts w:ascii="Verdana" w:hAnsi="Verdana"/>
          <w:sz w:val="20"/>
          <w:szCs w:val="20"/>
          <w:lang w:val="es-CR"/>
        </w:rPr>
        <w:t xml:space="preserve">Como Tribunal, </w:t>
      </w:r>
      <w:r w:rsidR="00E26EA4">
        <w:rPr>
          <w:rFonts w:ascii="Verdana" w:hAnsi="Verdana"/>
          <w:sz w:val="20"/>
          <w:szCs w:val="20"/>
          <w:lang w:val="es-CR"/>
        </w:rPr>
        <w:t xml:space="preserve">estamos obligados a </w:t>
      </w:r>
      <w:r w:rsidR="009C066C">
        <w:rPr>
          <w:rFonts w:ascii="Verdana" w:hAnsi="Verdana"/>
          <w:sz w:val="20"/>
          <w:szCs w:val="20"/>
          <w:lang w:val="es-CR"/>
        </w:rPr>
        <w:t xml:space="preserve">dar una respuesta que permita </w:t>
      </w:r>
      <w:r w:rsidR="00927A2C">
        <w:rPr>
          <w:rFonts w:ascii="Verdana" w:hAnsi="Verdana"/>
          <w:sz w:val="20"/>
          <w:szCs w:val="20"/>
          <w:lang w:val="es-CR"/>
        </w:rPr>
        <w:t xml:space="preserve">previsibilidad; de ello depende la confianza pública en la institucionalidad interamericana. </w:t>
      </w:r>
    </w:p>
    <w:p w14:paraId="02AB6360" w14:textId="77777777" w:rsidR="00CA3D37" w:rsidRDefault="00CA3D37" w:rsidP="007C14B2">
      <w:pPr>
        <w:pStyle w:val="ListParagraph"/>
        <w:ind w:left="0"/>
        <w:jc w:val="both"/>
        <w:rPr>
          <w:rFonts w:ascii="Verdana" w:hAnsi="Verdana"/>
          <w:sz w:val="20"/>
          <w:szCs w:val="20"/>
          <w:lang w:val="es-CR"/>
        </w:rPr>
      </w:pPr>
    </w:p>
    <w:p w14:paraId="0410149F" w14:textId="77777777" w:rsidR="00C54471" w:rsidRPr="007C14B2" w:rsidRDefault="00CA3D37"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 xml:space="preserve">Estas </w:t>
      </w:r>
      <w:r w:rsidR="00DB2EAF">
        <w:rPr>
          <w:rFonts w:ascii="Verdana" w:hAnsi="Verdana"/>
          <w:sz w:val="20"/>
          <w:szCs w:val="20"/>
          <w:lang w:val="es-CR"/>
        </w:rPr>
        <w:t>reflexiones</w:t>
      </w:r>
      <w:r>
        <w:rPr>
          <w:rFonts w:ascii="Verdana" w:hAnsi="Verdana"/>
          <w:sz w:val="20"/>
          <w:szCs w:val="20"/>
          <w:lang w:val="es-CR"/>
        </w:rPr>
        <w:t xml:space="preserve"> no son motivadas</w:t>
      </w:r>
      <w:r w:rsidR="00FA38DC">
        <w:rPr>
          <w:rFonts w:ascii="Verdana" w:hAnsi="Verdana"/>
          <w:sz w:val="20"/>
          <w:szCs w:val="20"/>
          <w:lang w:val="es-CR"/>
        </w:rPr>
        <w:t xml:space="preserve"> únicamente en el espíritu de generar un vigoroso debate de ideas, sino </w:t>
      </w:r>
      <w:r w:rsidR="00A531D3">
        <w:rPr>
          <w:rFonts w:ascii="Verdana" w:hAnsi="Verdana"/>
          <w:sz w:val="20"/>
          <w:szCs w:val="20"/>
          <w:lang w:val="es-CR"/>
        </w:rPr>
        <w:t>también por</w:t>
      </w:r>
      <w:r w:rsidR="00FA38DC">
        <w:rPr>
          <w:rFonts w:ascii="Verdana" w:hAnsi="Verdana"/>
          <w:sz w:val="20"/>
          <w:szCs w:val="20"/>
          <w:lang w:val="es-CR"/>
        </w:rPr>
        <w:t xml:space="preserve"> la auténtica preocupación </w:t>
      </w:r>
      <w:r w:rsidR="00A531D3">
        <w:rPr>
          <w:rFonts w:ascii="Verdana" w:hAnsi="Verdana"/>
          <w:sz w:val="20"/>
          <w:szCs w:val="20"/>
          <w:lang w:val="es-CR"/>
        </w:rPr>
        <w:t>de</w:t>
      </w:r>
      <w:r w:rsidR="00FA38DC">
        <w:rPr>
          <w:rFonts w:ascii="Verdana" w:hAnsi="Verdana"/>
          <w:sz w:val="20"/>
          <w:szCs w:val="20"/>
          <w:lang w:val="es-CR"/>
        </w:rPr>
        <w:t xml:space="preserve"> las consecuencias y el impacto que puedan tener nuestras decisiones. </w:t>
      </w:r>
      <w:r w:rsidR="00A531D3">
        <w:rPr>
          <w:rFonts w:ascii="Verdana" w:hAnsi="Verdana"/>
          <w:sz w:val="20"/>
          <w:szCs w:val="20"/>
          <w:lang w:val="es-CR"/>
        </w:rPr>
        <w:t>En el actual clima de inseguridad jurídica generado por</w:t>
      </w:r>
      <w:r w:rsidR="00436615">
        <w:rPr>
          <w:rFonts w:ascii="Verdana" w:hAnsi="Verdana"/>
          <w:sz w:val="20"/>
          <w:szCs w:val="20"/>
          <w:lang w:val="es-CR"/>
        </w:rPr>
        <w:t xml:space="preserve"> el caso</w:t>
      </w:r>
      <w:r w:rsidR="00A531D3">
        <w:rPr>
          <w:rFonts w:ascii="Verdana" w:hAnsi="Verdana"/>
          <w:sz w:val="20"/>
          <w:szCs w:val="20"/>
          <w:lang w:val="es-CR"/>
        </w:rPr>
        <w:t xml:space="preserve"> </w:t>
      </w:r>
      <w:r w:rsidR="00A531D3" w:rsidRPr="00436FD5">
        <w:rPr>
          <w:rFonts w:ascii="Verdana" w:hAnsi="Verdana"/>
          <w:i/>
          <w:sz w:val="20"/>
          <w:szCs w:val="20"/>
          <w:lang w:val="es-CR"/>
        </w:rPr>
        <w:t>Lagos del Campo</w:t>
      </w:r>
      <w:r w:rsidR="00D71141">
        <w:rPr>
          <w:rFonts w:ascii="Verdana" w:hAnsi="Verdana"/>
          <w:sz w:val="20"/>
          <w:szCs w:val="20"/>
          <w:lang w:val="es-CR"/>
        </w:rPr>
        <w:t xml:space="preserve">, se abre la posibilidad de una ola de peticiones individuales basadas en presuntas violaciones a DESCA que podrían agravar el problema de congestión procesal de la Comisión, lo cual redundaría </w:t>
      </w:r>
      <w:r w:rsidR="006977E7">
        <w:rPr>
          <w:rFonts w:ascii="Verdana" w:hAnsi="Verdana"/>
          <w:sz w:val="20"/>
          <w:szCs w:val="20"/>
          <w:lang w:val="es-CR"/>
        </w:rPr>
        <w:t xml:space="preserve">precisamente </w:t>
      </w:r>
      <w:r w:rsidR="00D71141">
        <w:rPr>
          <w:rFonts w:ascii="Verdana" w:hAnsi="Verdana"/>
          <w:sz w:val="20"/>
          <w:szCs w:val="20"/>
          <w:lang w:val="es-CR"/>
        </w:rPr>
        <w:t>en perjuicio de</w:t>
      </w:r>
      <w:r w:rsidR="006977E7">
        <w:rPr>
          <w:rFonts w:ascii="Verdana" w:hAnsi="Verdana"/>
          <w:sz w:val="20"/>
          <w:szCs w:val="20"/>
          <w:lang w:val="es-CR"/>
        </w:rPr>
        <w:t xml:space="preserve"> las personas que se pretendía proteger.</w:t>
      </w:r>
      <w:r w:rsidR="00D71141">
        <w:rPr>
          <w:rFonts w:ascii="Verdana" w:hAnsi="Verdana"/>
          <w:sz w:val="20"/>
          <w:szCs w:val="20"/>
          <w:lang w:val="es-CR"/>
        </w:rPr>
        <w:t xml:space="preserve"> Como Tribunal, tene</w:t>
      </w:r>
      <w:r w:rsidR="006977E7">
        <w:rPr>
          <w:rFonts w:ascii="Verdana" w:hAnsi="Verdana"/>
          <w:sz w:val="20"/>
          <w:szCs w:val="20"/>
          <w:lang w:val="es-CR"/>
        </w:rPr>
        <w:t xml:space="preserve">mos la responsabilidad y la obligación de no desconocer esa realidad, ni muchas otras realidades en las que nuestras decisiones serán finalmente aplicadas. </w:t>
      </w:r>
    </w:p>
    <w:p w14:paraId="77F3DAD2" w14:textId="77777777" w:rsidR="00033A29" w:rsidRPr="00033A29" w:rsidRDefault="00033A29" w:rsidP="00033A29">
      <w:pPr>
        <w:rPr>
          <w:rFonts w:ascii="Verdana" w:hAnsi="Verdana"/>
          <w:lang w:val="es-CR"/>
        </w:rPr>
      </w:pPr>
    </w:p>
    <w:p w14:paraId="611EB0EE" w14:textId="598FBC7C" w:rsidR="008E70EC" w:rsidRDefault="00E26F7E"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Además, e</w:t>
      </w:r>
      <w:r w:rsidR="00033A29">
        <w:rPr>
          <w:rFonts w:ascii="Verdana" w:hAnsi="Verdana"/>
          <w:sz w:val="20"/>
          <w:szCs w:val="20"/>
          <w:lang w:val="es-CR"/>
        </w:rPr>
        <w:t>ste tipo de análisis hace parecer ociosa la declaración de responsabilidad internacional del Estado por violación al derecho a la salud,</w:t>
      </w:r>
      <w:r w:rsidR="00406636">
        <w:rPr>
          <w:rFonts w:ascii="Verdana" w:hAnsi="Verdana"/>
          <w:sz w:val="20"/>
          <w:szCs w:val="20"/>
          <w:lang w:val="es-CR"/>
        </w:rPr>
        <w:t xml:space="preserve"> pues en realidad el bien afectado</w:t>
      </w:r>
      <w:r w:rsidR="00D778E9">
        <w:rPr>
          <w:rFonts w:ascii="Verdana" w:hAnsi="Verdana"/>
          <w:sz w:val="20"/>
          <w:szCs w:val="20"/>
          <w:lang w:val="es-CR"/>
        </w:rPr>
        <w:t xml:space="preserve"> –y acreditado ante esta Corte</w:t>
      </w:r>
      <w:r>
        <w:rPr>
          <w:rFonts w:ascii="Verdana" w:hAnsi="Verdana"/>
          <w:sz w:val="20"/>
          <w:szCs w:val="20"/>
          <w:lang w:val="es-CR"/>
        </w:rPr>
        <w:t>–</w:t>
      </w:r>
      <w:r w:rsidR="00406636">
        <w:rPr>
          <w:rFonts w:ascii="Verdana" w:hAnsi="Verdana"/>
          <w:sz w:val="20"/>
          <w:szCs w:val="20"/>
          <w:lang w:val="es-CR"/>
        </w:rPr>
        <w:t xml:space="preserve"> es la integridad personal y la</w:t>
      </w:r>
      <w:r w:rsidR="00CA4115">
        <w:rPr>
          <w:rFonts w:ascii="Verdana" w:hAnsi="Verdana"/>
          <w:sz w:val="20"/>
          <w:szCs w:val="20"/>
          <w:lang w:val="es-CR"/>
        </w:rPr>
        <w:t xml:space="preserve"> vida del señor Poblete </w:t>
      </w:r>
      <w:r w:rsidR="00154A93">
        <w:rPr>
          <w:rFonts w:ascii="Verdana" w:hAnsi="Verdana"/>
          <w:sz w:val="20"/>
          <w:szCs w:val="20"/>
          <w:lang w:val="es-CR"/>
        </w:rPr>
        <w:t>Vilches</w:t>
      </w:r>
      <w:r w:rsidR="00CA4115">
        <w:rPr>
          <w:rFonts w:ascii="Verdana" w:hAnsi="Verdana"/>
          <w:sz w:val="20"/>
          <w:szCs w:val="20"/>
          <w:lang w:val="es-CR"/>
        </w:rPr>
        <w:t>.</w:t>
      </w:r>
      <w:r w:rsidR="00406636">
        <w:rPr>
          <w:rFonts w:ascii="Verdana" w:hAnsi="Verdana"/>
          <w:sz w:val="20"/>
          <w:szCs w:val="20"/>
          <w:lang w:val="es-CR"/>
        </w:rPr>
        <w:t xml:space="preserve"> </w:t>
      </w:r>
      <w:r w:rsidR="00CA4115">
        <w:rPr>
          <w:rFonts w:ascii="Verdana" w:hAnsi="Verdana"/>
          <w:sz w:val="20"/>
          <w:szCs w:val="20"/>
          <w:lang w:val="es-CR"/>
        </w:rPr>
        <w:t>Esto</w:t>
      </w:r>
      <w:r w:rsidR="00033A29">
        <w:rPr>
          <w:rFonts w:ascii="Verdana" w:hAnsi="Verdana"/>
          <w:sz w:val="20"/>
          <w:szCs w:val="20"/>
          <w:lang w:val="es-CR"/>
        </w:rPr>
        <w:t xml:space="preserve"> refuerza la</w:t>
      </w:r>
      <w:r w:rsidR="00406636">
        <w:rPr>
          <w:rFonts w:ascii="Verdana" w:hAnsi="Verdana"/>
          <w:sz w:val="20"/>
          <w:szCs w:val="20"/>
          <w:lang w:val="es-CR"/>
        </w:rPr>
        <w:t xml:space="preserve"> prudencia de la</w:t>
      </w:r>
      <w:r w:rsidR="00033A29">
        <w:rPr>
          <w:rFonts w:ascii="Verdana" w:hAnsi="Verdana"/>
          <w:sz w:val="20"/>
          <w:szCs w:val="20"/>
          <w:lang w:val="es-CR"/>
        </w:rPr>
        <w:t xml:space="preserve"> tesis que sostiene que el derecho a la salud debe ser analizado, en su faceta “individual”, en relación con el derecho a la integridad personal o a la vida, y en su faceta “progresiva”, en </w:t>
      </w:r>
      <w:r w:rsidR="00CA4115">
        <w:rPr>
          <w:rFonts w:ascii="Verdana" w:hAnsi="Verdana"/>
          <w:sz w:val="20"/>
          <w:szCs w:val="20"/>
          <w:lang w:val="es-CR"/>
        </w:rPr>
        <w:t>relación con la suficiencia de los servicios de salud que el Estado provee</w:t>
      </w:r>
      <w:r w:rsidR="004E2758">
        <w:rPr>
          <w:rFonts w:ascii="Verdana" w:hAnsi="Verdana"/>
          <w:sz w:val="20"/>
          <w:szCs w:val="20"/>
          <w:lang w:val="es-CR"/>
        </w:rPr>
        <w:t>. Enfocar el análisis de esta forma le permitiría a la Corte identificar</w:t>
      </w:r>
      <w:r w:rsidR="00CA4115">
        <w:rPr>
          <w:rFonts w:ascii="Verdana" w:hAnsi="Verdana"/>
          <w:sz w:val="20"/>
          <w:szCs w:val="20"/>
          <w:lang w:val="es-CR"/>
        </w:rPr>
        <w:t>, por un lado,</w:t>
      </w:r>
      <w:r w:rsidR="004E2758">
        <w:rPr>
          <w:rFonts w:ascii="Verdana" w:hAnsi="Verdana"/>
          <w:sz w:val="20"/>
          <w:szCs w:val="20"/>
          <w:lang w:val="es-CR"/>
        </w:rPr>
        <w:t xml:space="preserve"> cu</w:t>
      </w:r>
      <w:r w:rsidR="00D12A86">
        <w:rPr>
          <w:rFonts w:ascii="Verdana" w:hAnsi="Verdana"/>
          <w:sz w:val="20"/>
          <w:szCs w:val="20"/>
          <w:lang w:val="es-CR"/>
        </w:rPr>
        <w:t>á</w:t>
      </w:r>
      <w:r w:rsidR="004E2758">
        <w:rPr>
          <w:rFonts w:ascii="Verdana" w:hAnsi="Verdana"/>
          <w:sz w:val="20"/>
          <w:szCs w:val="20"/>
          <w:lang w:val="es-CR"/>
        </w:rPr>
        <w:t>ndo es posible vincular las acciones del Estado en materia de pr</w:t>
      </w:r>
      <w:r w:rsidR="00CA4115">
        <w:rPr>
          <w:rFonts w:ascii="Verdana" w:hAnsi="Verdana"/>
          <w:sz w:val="20"/>
          <w:szCs w:val="20"/>
          <w:lang w:val="es-CR"/>
        </w:rPr>
        <w:t>estación de servicios de salud, con la</w:t>
      </w:r>
      <w:r w:rsidR="004E2758">
        <w:rPr>
          <w:rFonts w:ascii="Verdana" w:hAnsi="Verdana"/>
          <w:sz w:val="20"/>
          <w:szCs w:val="20"/>
          <w:lang w:val="es-CR"/>
        </w:rPr>
        <w:t xml:space="preserve"> violación a la integridad pers</w:t>
      </w:r>
      <w:r w:rsidR="00CA4115">
        <w:rPr>
          <w:rFonts w:ascii="Verdana" w:hAnsi="Verdana"/>
          <w:sz w:val="20"/>
          <w:szCs w:val="20"/>
          <w:lang w:val="es-CR"/>
        </w:rPr>
        <w:t>onal o a la vida de una persona</w:t>
      </w:r>
      <w:r w:rsidR="00C84B45">
        <w:rPr>
          <w:rFonts w:ascii="Verdana" w:hAnsi="Verdana"/>
          <w:sz w:val="20"/>
          <w:szCs w:val="20"/>
          <w:lang w:val="es-CR"/>
        </w:rPr>
        <w:t>.</w:t>
      </w:r>
      <w:r w:rsidR="00CA4115">
        <w:rPr>
          <w:rFonts w:ascii="Verdana" w:hAnsi="Verdana"/>
          <w:sz w:val="20"/>
          <w:szCs w:val="20"/>
          <w:lang w:val="es-CR"/>
        </w:rPr>
        <w:t xml:space="preserve"> </w:t>
      </w:r>
      <w:r w:rsidR="00C84B45">
        <w:rPr>
          <w:rFonts w:ascii="Verdana" w:hAnsi="Verdana"/>
          <w:sz w:val="20"/>
          <w:szCs w:val="20"/>
          <w:lang w:val="es-CR"/>
        </w:rPr>
        <w:t>P</w:t>
      </w:r>
      <w:r w:rsidR="00CA4115">
        <w:rPr>
          <w:rFonts w:ascii="Verdana" w:hAnsi="Verdana"/>
          <w:sz w:val="20"/>
          <w:szCs w:val="20"/>
          <w:lang w:val="es-CR"/>
        </w:rPr>
        <w:t>or otro lado,</w:t>
      </w:r>
      <w:r w:rsidR="00C84B45">
        <w:rPr>
          <w:rFonts w:ascii="Verdana" w:hAnsi="Verdana"/>
          <w:sz w:val="20"/>
          <w:szCs w:val="20"/>
          <w:lang w:val="es-CR"/>
        </w:rPr>
        <w:t xml:space="preserve"> le permitiría evaluar</w:t>
      </w:r>
      <w:r w:rsidR="004E2758">
        <w:rPr>
          <w:rFonts w:ascii="Verdana" w:hAnsi="Verdana"/>
          <w:sz w:val="20"/>
          <w:szCs w:val="20"/>
          <w:lang w:val="es-CR"/>
        </w:rPr>
        <w:t xml:space="preserve"> cu</w:t>
      </w:r>
      <w:r w:rsidR="00D12A86">
        <w:rPr>
          <w:rFonts w:ascii="Verdana" w:hAnsi="Verdana"/>
          <w:sz w:val="20"/>
          <w:szCs w:val="20"/>
          <w:lang w:val="es-CR"/>
        </w:rPr>
        <w:t>á</w:t>
      </w:r>
      <w:r w:rsidR="004E2758">
        <w:rPr>
          <w:rFonts w:ascii="Verdana" w:hAnsi="Verdana"/>
          <w:sz w:val="20"/>
          <w:szCs w:val="20"/>
          <w:lang w:val="es-CR"/>
        </w:rPr>
        <w:t xml:space="preserve">ndo la política pública en materia de DESCA en el Estado es </w:t>
      </w:r>
      <w:r w:rsidR="004E2758">
        <w:rPr>
          <w:rFonts w:ascii="Verdana" w:hAnsi="Verdana"/>
          <w:i/>
          <w:sz w:val="20"/>
          <w:szCs w:val="20"/>
          <w:lang w:val="es-CR"/>
        </w:rPr>
        <w:t xml:space="preserve">per se </w:t>
      </w:r>
      <w:r w:rsidR="004E2758">
        <w:rPr>
          <w:rFonts w:ascii="Verdana" w:hAnsi="Verdana"/>
          <w:sz w:val="20"/>
          <w:szCs w:val="20"/>
          <w:lang w:val="es-CR"/>
        </w:rPr>
        <w:t>violatoria de la</w:t>
      </w:r>
      <w:r w:rsidR="001A1374">
        <w:rPr>
          <w:rFonts w:ascii="Verdana" w:hAnsi="Verdana"/>
          <w:sz w:val="20"/>
          <w:szCs w:val="20"/>
          <w:lang w:val="es-CR"/>
        </w:rPr>
        <w:t xml:space="preserve">s obligaciones de progresividad establecidas </w:t>
      </w:r>
      <w:r w:rsidR="00CA4115">
        <w:rPr>
          <w:rFonts w:ascii="Verdana" w:hAnsi="Verdana"/>
          <w:sz w:val="20"/>
          <w:szCs w:val="20"/>
          <w:lang w:val="es-CR"/>
        </w:rPr>
        <w:t>en el artículo 26 de</w:t>
      </w:r>
      <w:r w:rsidR="001A1374">
        <w:rPr>
          <w:rFonts w:ascii="Verdana" w:hAnsi="Verdana"/>
          <w:sz w:val="20"/>
          <w:szCs w:val="20"/>
          <w:lang w:val="es-CR"/>
        </w:rPr>
        <w:t xml:space="preserve"> la</w:t>
      </w:r>
      <w:r w:rsidR="004E2758">
        <w:rPr>
          <w:rFonts w:ascii="Verdana" w:hAnsi="Verdana"/>
          <w:sz w:val="20"/>
          <w:szCs w:val="20"/>
          <w:lang w:val="es-CR"/>
        </w:rPr>
        <w:t xml:space="preserve"> Convención. En la primera hipótesis</w:t>
      </w:r>
      <w:r w:rsidR="001A1374">
        <w:rPr>
          <w:rFonts w:ascii="Verdana" w:hAnsi="Verdana"/>
          <w:sz w:val="20"/>
          <w:szCs w:val="20"/>
          <w:lang w:val="es-CR"/>
        </w:rPr>
        <w:t>,</w:t>
      </w:r>
      <w:r w:rsidR="004E2758">
        <w:rPr>
          <w:rFonts w:ascii="Verdana" w:hAnsi="Verdana"/>
          <w:sz w:val="20"/>
          <w:szCs w:val="20"/>
          <w:lang w:val="es-CR"/>
        </w:rPr>
        <w:t xml:space="preserve"> el análisis se haría sobre la base del artículo 4 y/o 5 en relación con el artículo 26</w:t>
      </w:r>
      <w:r w:rsidR="001A1374">
        <w:rPr>
          <w:rFonts w:ascii="Verdana" w:hAnsi="Verdana"/>
          <w:sz w:val="20"/>
          <w:szCs w:val="20"/>
          <w:lang w:val="es-CR"/>
        </w:rPr>
        <w:t xml:space="preserve"> y 1.1;</w:t>
      </w:r>
      <w:r w:rsidR="004E2758">
        <w:rPr>
          <w:rFonts w:ascii="Verdana" w:hAnsi="Verdana"/>
          <w:sz w:val="20"/>
          <w:szCs w:val="20"/>
          <w:lang w:val="es-CR"/>
        </w:rPr>
        <w:t xml:space="preserve"> y</w:t>
      </w:r>
      <w:r w:rsidR="00CA4115">
        <w:rPr>
          <w:rFonts w:ascii="Verdana" w:hAnsi="Verdana"/>
          <w:sz w:val="20"/>
          <w:szCs w:val="20"/>
          <w:lang w:val="es-CR"/>
        </w:rPr>
        <w:t>,</w:t>
      </w:r>
      <w:r w:rsidR="004E2758">
        <w:rPr>
          <w:rFonts w:ascii="Verdana" w:hAnsi="Verdana"/>
          <w:sz w:val="20"/>
          <w:szCs w:val="20"/>
          <w:lang w:val="es-CR"/>
        </w:rPr>
        <w:t xml:space="preserve"> en la segunda hipótesis</w:t>
      </w:r>
      <w:r w:rsidR="00CA4115">
        <w:rPr>
          <w:rFonts w:ascii="Verdana" w:hAnsi="Verdana"/>
          <w:sz w:val="20"/>
          <w:szCs w:val="20"/>
          <w:lang w:val="es-CR"/>
        </w:rPr>
        <w:t>,</w:t>
      </w:r>
      <w:r w:rsidR="004E2758">
        <w:rPr>
          <w:rFonts w:ascii="Verdana" w:hAnsi="Verdana"/>
          <w:sz w:val="20"/>
          <w:szCs w:val="20"/>
          <w:lang w:val="es-CR"/>
        </w:rPr>
        <w:t xml:space="preserve"> se haría directamente </w:t>
      </w:r>
      <w:r w:rsidR="008E70EC">
        <w:rPr>
          <w:rFonts w:ascii="Verdana" w:hAnsi="Verdana"/>
          <w:sz w:val="20"/>
          <w:szCs w:val="20"/>
          <w:lang w:val="es-CR"/>
        </w:rPr>
        <w:t xml:space="preserve">sobre la base del </w:t>
      </w:r>
      <w:r w:rsidR="001A1374">
        <w:rPr>
          <w:rFonts w:ascii="Verdana" w:hAnsi="Verdana"/>
          <w:sz w:val="20"/>
          <w:szCs w:val="20"/>
          <w:lang w:val="es-CR"/>
        </w:rPr>
        <w:t xml:space="preserve">artículo </w:t>
      </w:r>
      <w:r w:rsidR="008E70EC">
        <w:rPr>
          <w:rFonts w:ascii="Verdana" w:hAnsi="Verdana"/>
          <w:sz w:val="20"/>
          <w:szCs w:val="20"/>
          <w:lang w:val="es-CR"/>
        </w:rPr>
        <w:t>26</w:t>
      </w:r>
      <w:r w:rsidR="001A1374">
        <w:rPr>
          <w:rFonts w:ascii="Verdana" w:hAnsi="Verdana"/>
          <w:sz w:val="20"/>
          <w:szCs w:val="20"/>
          <w:lang w:val="es-CR"/>
        </w:rPr>
        <w:t xml:space="preserve"> en relación con el artículo 1.1 de la Convención</w:t>
      </w:r>
      <w:r w:rsidR="008E70EC">
        <w:rPr>
          <w:rFonts w:ascii="Verdana" w:hAnsi="Verdana"/>
          <w:sz w:val="20"/>
          <w:szCs w:val="20"/>
          <w:lang w:val="es-CR"/>
        </w:rPr>
        <w:t>.</w:t>
      </w:r>
    </w:p>
    <w:p w14:paraId="71767C64" w14:textId="77777777" w:rsidR="008E70EC" w:rsidRPr="008E70EC" w:rsidRDefault="008E70EC" w:rsidP="007C14B2">
      <w:pPr>
        <w:rPr>
          <w:lang w:val="es-CR"/>
        </w:rPr>
      </w:pPr>
    </w:p>
    <w:p w14:paraId="698EF1AD" w14:textId="77777777" w:rsidR="00D41D14" w:rsidRDefault="008E70EC" w:rsidP="00D41D14">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 xml:space="preserve">Una aproximación de esta naturaleza permitiría distinguir aquellos casos donde el Estado </w:t>
      </w:r>
      <w:r w:rsidR="004E7ABE">
        <w:rPr>
          <w:rFonts w:ascii="Verdana" w:hAnsi="Verdana"/>
          <w:sz w:val="20"/>
          <w:szCs w:val="20"/>
          <w:lang w:val="es-CR"/>
        </w:rPr>
        <w:t xml:space="preserve">es responsable por la violación a un derecho individual como resultado de </w:t>
      </w:r>
      <w:r w:rsidR="00D778E9">
        <w:rPr>
          <w:rFonts w:ascii="Verdana" w:hAnsi="Verdana"/>
          <w:sz w:val="20"/>
          <w:szCs w:val="20"/>
          <w:lang w:val="es-CR"/>
        </w:rPr>
        <w:t>la deficiente atención médica en un hospital público</w:t>
      </w:r>
      <w:r w:rsidR="004E7ABE">
        <w:rPr>
          <w:rFonts w:ascii="Verdana" w:hAnsi="Verdana"/>
          <w:sz w:val="20"/>
          <w:szCs w:val="20"/>
          <w:lang w:val="es-CR"/>
        </w:rPr>
        <w:t xml:space="preserve">, y aquellos </w:t>
      </w:r>
      <w:r w:rsidR="00D778E9">
        <w:rPr>
          <w:rFonts w:ascii="Verdana" w:hAnsi="Verdana"/>
          <w:sz w:val="20"/>
          <w:szCs w:val="20"/>
          <w:lang w:val="es-CR"/>
        </w:rPr>
        <w:t>donde los elementos prestacionales en materia de servicios de salud</w:t>
      </w:r>
      <w:r w:rsidR="00770DEF">
        <w:rPr>
          <w:rFonts w:ascii="Verdana" w:hAnsi="Verdana"/>
          <w:sz w:val="20"/>
          <w:szCs w:val="20"/>
          <w:lang w:val="es-CR"/>
        </w:rPr>
        <w:t xml:space="preserve"> </w:t>
      </w:r>
      <w:r w:rsidR="00D778E9">
        <w:rPr>
          <w:rFonts w:ascii="Verdana" w:hAnsi="Verdana"/>
          <w:sz w:val="20"/>
          <w:szCs w:val="20"/>
          <w:lang w:val="es-CR"/>
        </w:rPr>
        <w:t>son en sí mismos violatorios</w:t>
      </w:r>
      <w:r w:rsidR="004E7ABE">
        <w:rPr>
          <w:rFonts w:ascii="Verdana" w:hAnsi="Verdana"/>
          <w:sz w:val="20"/>
          <w:szCs w:val="20"/>
          <w:lang w:val="es-CR"/>
        </w:rPr>
        <w:t xml:space="preserve"> del artículo 26</w:t>
      </w:r>
      <w:r w:rsidR="001A1374">
        <w:rPr>
          <w:rFonts w:ascii="Verdana" w:hAnsi="Verdana"/>
          <w:sz w:val="20"/>
          <w:szCs w:val="20"/>
          <w:lang w:val="es-CR"/>
        </w:rPr>
        <w:t xml:space="preserve"> de la Convención</w:t>
      </w:r>
      <w:r w:rsidR="004E7ABE">
        <w:rPr>
          <w:rFonts w:ascii="Verdana" w:hAnsi="Verdana"/>
          <w:sz w:val="20"/>
          <w:szCs w:val="20"/>
          <w:lang w:val="es-CR"/>
        </w:rPr>
        <w:t xml:space="preserve">. Por supuesto, entrar en el análisis </w:t>
      </w:r>
      <w:r w:rsidR="00D778E9">
        <w:rPr>
          <w:rFonts w:ascii="Verdana" w:hAnsi="Verdana"/>
          <w:sz w:val="20"/>
          <w:szCs w:val="20"/>
          <w:lang w:val="es-CR"/>
        </w:rPr>
        <w:t>de aspectos prestacionales</w:t>
      </w:r>
      <w:r w:rsidR="00770DEF">
        <w:rPr>
          <w:rFonts w:ascii="Verdana" w:hAnsi="Verdana"/>
          <w:sz w:val="20"/>
          <w:szCs w:val="20"/>
          <w:lang w:val="es-CR"/>
        </w:rPr>
        <w:t xml:space="preserve"> requiere un esfuerzo metodológico y conceptual de enorme trascendencia, pero permitiría establecer cier</w:t>
      </w:r>
      <w:r w:rsidR="001A1374">
        <w:rPr>
          <w:rFonts w:ascii="Verdana" w:hAnsi="Verdana"/>
          <w:sz w:val="20"/>
          <w:szCs w:val="20"/>
          <w:lang w:val="es-CR"/>
        </w:rPr>
        <w:t xml:space="preserve">ta racionalidad y objetividad a la atribución de responsabilidad del Estado </w:t>
      </w:r>
      <w:r w:rsidR="00770DEF">
        <w:rPr>
          <w:rFonts w:ascii="Verdana" w:hAnsi="Verdana"/>
          <w:sz w:val="20"/>
          <w:szCs w:val="20"/>
          <w:lang w:val="es-CR"/>
        </w:rPr>
        <w:t xml:space="preserve">sobre la base del artículo 26. También permitiría establecer un nexo causal entre la declaración de violación al derecho a la salud y las medidas de reparación enfocadas en mejorar la política pública de un Estado. Sucede que, en este caso, la Corte evaluó la prestación de un servicio de salud en un hospital público, y de ahí deriva una violación “individual” </w:t>
      </w:r>
      <w:r w:rsidR="001A1374">
        <w:rPr>
          <w:rFonts w:ascii="Verdana" w:hAnsi="Verdana"/>
          <w:sz w:val="20"/>
          <w:szCs w:val="20"/>
          <w:lang w:val="es-CR"/>
        </w:rPr>
        <w:t xml:space="preserve">al derecho de salud del señor Poblete </w:t>
      </w:r>
      <w:r w:rsidR="00154A93">
        <w:rPr>
          <w:rFonts w:ascii="Verdana" w:hAnsi="Verdana"/>
          <w:sz w:val="20"/>
          <w:szCs w:val="20"/>
          <w:lang w:val="es-CR"/>
        </w:rPr>
        <w:t>Vilches</w:t>
      </w:r>
      <w:r w:rsidR="001A1374">
        <w:rPr>
          <w:rFonts w:ascii="Verdana" w:hAnsi="Verdana"/>
          <w:sz w:val="20"/>
          <w:szCs w:val="20"/>
          <w:lang w:val="es-CR"/>
        </w:rPr>
        <w:t xml:space="preserve"> </w:t>
      </w:r>
      <w:r w:rsidR="00770DEF">
        <w:rPr>
          <w:rFonts w:ascii="Verdana" w:hAnsi="Verdana"/>
          <w:sz w:val="20"/>
          <w:szCs w:val="20"/>
          <w:lang w:val="es-CR"/>
        </w:rPr>
        <w:t>sobre la base del artículo 26 de la Convención.</w:t>
      </w:r>
    </w:p>
    <w:p w14:paraId="2BDA6286" w14:textId="77777777" w:rsidR="0043072D" w:rsidRDefault="0043072D" w:rsidP="007C14B2">
      <w:pPr>
        <w:pStyle w:val="ListParagraph"/>
        <w:ind w:left="0"/>
        <w:jc w:val="both"/>
        <w:rPr>
          <w:rFonts w:ascii="Verdana" w:hAnsi="Verdana"/>
          <w:sz w:val="20"/>
          <w:szCs w:val="20"/>
          <w:lang w:val="es-CR"/>
        </w:rPr>
      </w:pPr>
    </w:p>
    <w:p w14:paraId="74027F00" w14:textId="77777777" w:rsidR="00436615" w:rsidRPr="00474CD0" w:rsidRDefault="0043072D" w:rsidP="00C225BC">
      <w:pPr>
        <w:pStyle w:val="ListParagraph"/>
        <w:numPr>
          <w:ilvl w:val="0"/>
          <w:numId w:val="10"/>
        </w:numPr>
        <w:ind w:left="0" w:firstLine="0"/>
        <w:jc w:val="both"/>
        <w:rPr>
          <w:rFonts w:ascii="Verdana" w:hAnsi="Verdana"/>
          <w:sz w:val="20"/>
          <w:szCs w:val="20"/>
          <w:lang w:val="es-CR"/>
        </w:rPr>
      </w:pPr>
      <w:r w:rsidRPr="00474CD0">
        <w:rPr>
          <w:rFonts w:ascii="Verdana" w:hAnsi="Verdana"/>
          <w:sz w:val="20"/>
          <w:szCs w:val="20"/>
          <w:lang w:val="es-CR"/>
        </w:rPr>
        <w:t>Pero la metodología seguida por la Corte hace difícil –o imposible, en este caso– identificar el nexo causal entre las acciones y omisiones del Estado y la afectación al derecho a la salud del señor Poblete Vilch</w:t>
      </w:r>
      <w:r w:rsidR="00821476" w:rsidRPr="00474CD0">
        <w:rPr>
          <w:rFonts w:ascii="Verdana" w:hAnsi="Verdana"/>
          <w:sz w:val="20"/>
          <w:szCs w:val="20"/>
          <w:lang w:val="es-CR"/>
        </w:rPr>
        <w:t>e</w:t>
      </w:r>
      <w:r w:rsidRPr="00474CD0">
        <w:rPr>
          <w:rFonts w:ascii="Verdana" w:hAnsi="Verdana"/>
          <w:sz w:val="20"/>
          <w:szCs w:val="20"/>
          <w:lang w:val="es-CR"/>
        </w:rPr>
        <w:t>s. Cierto, la Sentencia consideró una serie de actos que determinaron la violación del derecho a la salud</w:t>
      </w:r>
      <w:r w:rsidRPr="00474CD0">
        <w:rPr>
          <w:rStyle w:val="FootnoteReference"/>
          <w:rFonts w:ascii="Verdana" w:hAnsi="Verdana"/>
          <w:sz w:val="20"/>
          <w:szCs w:val="20"/>
          <w:lang w:val="es-CR"/>
        </w:rPr>
        <w:footnoteReference w:id="11"/>
      </w:r>
      <w:r w:rsidRPr="00474CD0">
        <w:rPr>
          <w:rFonts w:ascii="Verdana" w:hAnsi="Verdana"/>
          <w:sz w:val="20"/>
          <w:szCs w:val="20"/>
          <w:lang w:val="es-CR"/>
        </w:rPr>
        <w:t>. Sin embargo, no quedó claro cómo esos actos repercutieron en la salud de la víctima, y pareciera que como existieron una serie de omisiones en la prestación del servicio, ello implicó una violación automática al derecho a la salud</w:t>
      </w:r>
      <w:r w:rsidRPr="00474CD0">
        <w:rPr>
          <w:rFonts w:ascii="Verdana" w:hAnsi="Verdana"/>
          <w:sz w:val="20"/>
          <w:szCs w:val="20"/>
          <w:lang w:val="es-CL"/>
        </w:rPr>
        <w:t xml:space="preserve">. Quizás, para salvar este problema, habría sido necesario determinar con claridad en qué consiste el derecho a la salud en su faceta “individual”, y establecer con claridad cómo las acciones estatales vulneraron ese derecho. </w:t>
      </w:r>
      <w:r w:rsidR="0067341C" w:rsidRPr="00474CD0">
        <w:rPr>
          <w:rFonts w:ascii="Verdana" w:hAnsi="Verdana"/>
          <w:sz w:val="20"/>
          <w:szCs w:val="20"/>
          <w:lang w:val="es-CL"/>
        </w:rPr>
        <w:t xml:space="preserve">Pero incluso en ese supuesto, </w:t>
      </w:r>
      <w:r w:rsidRPr="00474CD0">
        <w:rPr>
          <w:rFonts w:ascii="Verdana" w:hAnsi="Verdana"/>
          <w:sz w:val="20"/>
          <w:szCs w:val="20"/>
          <w:lang w:val="es-CL"/>
        </w:rPr>
        <w:t>el Tribunal</w:t>
      </w:r>
      <w:r w:rsidR="0067341C" w:rsidRPr="00474CD0">
        <w:rPr>
          <w:rFonts w:ascii="Verdana" w:hAnsi="Verdana"/>
          <w:sz w:val="20"/>
          <w:szCs w:val="20"/>
          <w:lang w:val="es-CL"/>
        </w:rPr>
        <w:t xml:space="preserve"> tendría</w:t>
      </w:r>
      <w:r w:rsidRPr="00474CD0">
        <w:rPr>
          <w:rFonts w:ascii="Verdana" w:hAnsi="Verdana"/>
          <w:sz w:val="20"/>
          <w:szCs w:val="20"/>
          <w:lang w:val="es-CL"/>
        </w:rPr>
        <w:t xml:space="preserve"> </w:t>
      </w:r>
      <w:r w:rsidR="0067341C" w:rsidRPr="00474CD0">
        <w:rPr>
          <w:rFonts w:ascii="Verdana" w:hAnsi="Verdana"/>
          <w:sz w:val="20"/>
          <w:szCs w:val="20"/>
          <w:lang w:val="es-CL"/>
        </w:rPr>
        <w:t>que actuar como</w:t>
      </w:r>
      <w:r w:rsidRPr="00474CD0">
        <w:rPr>
          <w:rFonts w:ascii="Verdana" w:hAnsi="Verdana"/>
          <w:sz w:val="20"/>
          <w:szCs w:val="20"/>
          <w:lang w:val="es-CL"/>
        </w:rPr>
        <w:t xml:space="preserve"> un </w:t>
      </w:r>
      <w:r w:rsidR="00C225BC" w:rsidRPr="00474CD0">
        <w:rPr>
          <w:rFonts w:ascii="Verdana" w:hAnsi="Verdana"/>
          <w:sz w:val="20"/>
          <w:szCs w:val="20"/>
          <w:lang w:val="es-CL"/>
        </w:rPr>
        <w:t>legislador, pues el der</w:t>
      </w:r>
      <w:r w:rsidR="0067341C" w:rsidRPr="00474CD0">
        <w:rPr>
          <w:rFonts w:ascii="Verdana" w:hAnsi="Verdana"/>
          <w:sz w:val="20"/>
          <w:szCs w:val="20"/>
          <w:lang w:val="es-CL"/>
        </w:rPr>
        <w:t>echo a la salud es, tal y como está regulado en el artículo 26 de la Convención, un derecho prestacional, por lo que declarar a un Estado responsable por la violación a ese derecho porque una persona no tuvo acceso a un adecuado servicio médico, implicaría que de un hecho concreto se juzgue un sistema de prestación de servicios de salud.</w:t>
      </w:r>
    </w:p>
    <w:p w14:paraId="1ECF186A" w14:textId="77777777" w:rsidR="00D41D14" w:rsidRPr="00D41D14" w:rsidRDefault="00D41D14" w:rsidP="00D41D14">
      <w:pPr>
        <w:pStyle w:val="ListParagraph"/>
        <w:rPr>
          <w:rFonts w:ascii="Verdana" w:hAnsi="Verdana"/>
          <w:sz w:val="20"/>
          <w:szCs w:val="20"/>
          <w:lang w:val="es-CR"/>
        </w:rPr>
      </w:pPr>
    </w:p>
    <w:p w14:paraId="09E86644" w14:textId="77777777" w:rsidR="00D41D14" w:rsidRPr="00D355BE" w:rsidRDefault="00770DEF" w:rsidP="00D41D14">
      <w:pPr>
        <w:pStyle w:val="ListParagraph"/>
        <w:numPr>
          <w:ilvl w:val="0"/>
          <w:numId w:val="10"/>
        </w:numPr>
        <w:ind w:left="0" w:firstLine="0"/>
        <w:jc w:val="both"/>
        <w:rPr>
          <w:rFonts w:ascii="Verdana" w:hAnsi="Verdana"/>
          <w:sz w:val="20"/>
          <w:szCs w:val="20"/>
          <w:lang w:val="es-CR"/>
        </w:rPr>
      </w:pPr>
      <w:r w:rsidRPr="00D355BE">
        <w:rPr>
          <w:rFonts w:ascii="Verdana" w:hAnsi="Verdana"/>
          <w:sz w:val="20"/>
          <w:szCs w:val="20"/>
          <w:lang w:val="es-CR"/>
        </w:rPr>
        <w:t xml:space="preserve">En segundo lugar, reitero mi desacuerdo con </w:t>
      </w:r>
      <w:r w:rsidR="00BD4F73" w:rsidRPr="00D355BE">
        <w:rPr>
          <w:rFonts w:ascii="Verdana" w:hAnsi="Verdana"/>
          <w:sz w:val="20"/>
          <w:szCs w:val="20"/>
          <w:lang w:val="es-CR"/>
        </w:rPr>
        <w:t>los alcances que la Sentencia da al principio de interdependencia</w:t>
      </w:r>
      <w:r w:rsidR="00D355BE" w:rsidRPr="00D355BE">
        <w:rPr>
          <w:rFonts w:ascii="Verdana" w:hAnsi="Verdana"/>
          <w:sz w:val="20"/>
          <w:szCs w:val="20"/>
          <w:lang w:val="es-CR"/>
        </w:rPr>
        <w:t xml:space="preserve"> e indivisibilidad</w:t>
      </w:r>
      <w:r w:rsidR="00BD4F73" w:rsidRPr="00D355BE">
        <w:rPr>
          <w:rFonts w:ascii="Verdana" w:hAnsi="Verdana"/>
          <w:sz w:val="20"/>
          <w:szCs w:val="20"/>
          <w:lang w:val="es-CR"/>
        </w:rPr>
        <w:t xml:space="preserve"> </w:t>
      </w:r>
      <w:r w:rsidR="00D355BE" w:rsidRPr="00D355BE">
        <w:rPr>
          <w:rFonts w:ascii="Verdana" w:hAnsi="Verdana"/>
          <w:sz w:val="20"/>
          <w:szCs w:val="20"/>
          <w:lang w:val="es-CR"/>
        </w:rPr>
        <w:t>en relación con su interpretación al</w:t>
      </w:r>
      <w:r w:rsidR="00BD4F73" w:rsidRPr="00D355BE">
        <w:rPr>
          <w:rFonts w:ascii="Verdana" w:hAnsi="Verdana"/>
          <w:sz w:val="20"/>
          <w:szCs w:val="20"/>
          <w:lang w:val="es-CR"/>
        </w:rPr>
        <w:t xml:space="preserve"> artículo 26</w:t>
      </w:r>
      <w:r w:rsidR="00D355BE" w:rsidRPr="00D355BE">
        <w:rPr>
          <w:rStyle w:val="CommentReference"/>
          <w:rFonts w:ascii="Calibri" w:eastAsia="Calibri" w:hAnsi="Calibri" w:cs="Times New Roman"/>
          <w:color w:val="auto"/>
          <w:lang w:val="es-ES_tradnl" w:eastAsia="es-CR"/>
        </w:rPr>
        <w:t xml:space="preserve">. </w:t>
      </w:r>
      <w:r w:rsidR="00D355BE" w:rsidRPr="00D355BE">
        <w:rPr>
          <w:rFonts w:ascii="Verdana" w:hAnsi="Verdana"/>
          <w:sz w:val="20"/>
          <w:szCs w:val="20"/>
          <w:lang w:val="es-CR"/>
        </w:rPr>
        <w:t xml:space="preserve">En efecto, </w:t>
      </w:r>
      <w:r w:rsidR="00D41D14" w:rsidRPr="00D355BE">
        <w:rPr>
          <w:rFonts w:ascii="Verdana" w:hAnsi="Verdana"/>
          <w:sz w:val="20"/>
          <w:szCs w:val="20"/>
          <w:lang w:val="es-CR"/>
        </w:rPr>
        <w:t>dicho principio señala que el disfrute de un derecho depende para su existencia de la realización de otro</w:t>
      </w:r>
      <w:r w:rsidR="00D355BE" w:rsidRPr="00D355BE">
        <w:rPr>
          <w:rFonts w:ascii="Verdana" w:hAnsi="Verdana"/>
          <w:sz w:val="20"/>
          <w:szCs w:val="20"/>
          <w:lang w:val="es-CR"/>
        </w:rPr>
        <w:t>s</w:t>
      </w:r>
      <w:r w:rsidR="00D41D14" w:rsidRPr="00D355BE">
        <w:rPr>
          <w:rFonts w:ascii="Verdana" w:hAnsi="Verdana"/>
          <w:sz w:val="20"/>
          <w:szCs w:val="20"/>
          <w:lang w:val="es-CR"/>
        </w:rPr>
        <w:t>,</w:t>
      </w:r>
      <w:r w:rsidR="00D355BE" w:rsidRPr="00D355BE">
        <w:rPr>
          <w:rFonts w:ascii="Verdana" w:hAnsi="Verdana"/>
          <w:sz w:val="20"/>
          <w:szCs w:val="20"/>
          <w:lang w:val="es-CR"/>
        </w:rPr>
        <w:t xml:space="preserve"> pero</w:t>
      </w:r>
      <w:r w:rsidR="00D41D14" w:rsidRPr="00D355BE">
        <w:rPr>
          <w:rFonts w:ascii="Verdana" w:hAnsi="Verdana"/>
          <w:sz w:val="20"/>
          <w:szCs w:val="20"/>
          <w:lang w:val="es-CR"/>
        </w:rPr>
        <w:t xml:space="preserve"> ello no implica que automáticamente se deban incorporar DESC</w:t>
      </w:r>
      <w:r w:rsidR="00D355BE" w:rsidRPr="00D355BE">
        <w:rPr>
          <w:rFonts w:ascii="Verdana" w:hAnsi="Verdana"/>
          <w:sz w:val="20"/>
          <w:szCs w:val="20"/>
          <w:lang w:val="es-CR"/>
        </w:rPr>
        <w:t>A al contenido de la Convención</w:t>
      </w:r>
      <w:r w:rsidR="00D41D14" w:rsidRPr="00D355BE">
        <w:rPr>
          <w:rFonts w:ascii="Verdana" w:hAnsi="Verdana"/>
          <w:sz w:val="20"/>
          <w:szCs w:val="20"/>
          <w:lang w:val="es-CR"/>
        </w:rPr>
        <w:t>. De similar manera</w:t>
      </w:r>
      <w:r w:rsidR="00D355BE" w:rsidRPr="00D355BE">
        <w:rPr>
          <w:rFonts w:ascii="Verdana" w:hAnsi="Verdana"/>
          <w:sz w:val="20"/>
          <w:szCs w:val="20"/>
          <w:lang w:val="es-CR"/>
        </w:rPr>
        <w:t>,</w:t>
      </w:r>
      <w:r w:rsidR="00D41D14" w:rsidRPr="00D355BE">
        <w:rPr>
          <w:rFonts w:ascii="Verdana" w:hAnsi="Verdana"/>
          <w:sz w:val="20"/>
          <w:szCs w:val="20"/>
          <w:lang w:val="es-CR"/>
        </w:rPr>
        <w:t xml:space="preserve"> </w:t>
      </w:r>
      <w:r w:rsidR="00D355BE" w:rsidRPr="00D355BE">
        <w:rPr>
          <w:rFonts w:ascii="Verdana" w:hAnsi="Verdana"/>
          <w:sz w:val="20"/>
          <w:szCs w:val="20"/>
          <w:lang w:val="es-CR"/>
        </w:rPr>
        <w:t>en relación al</w:t>
      </w:r>
      <w:r w:rsidR="00D41D14" w:rsidRPr="00D355BE">
        <w:rPr>
          <w:rFonts w:ascii="Verdana" w:hAnsi="Verdana"/>
          <w:sz w:val="20"/>
          <w:szCs w:val="20"/>
          <w:lang w:val="es-CR"/>
        </w:rPr>
        <w:t xml:space="preserve"> principio de indivisibilidad, es cierto que los derechos están intrínsecamente conectados y no debe</w:t>
      </w:r>
      <w:r w:rsidR="00D355BE" w:rsidRPr="00D355BE">
        <w:rPr>
          <w:rFonts w:ascii="Verdana" w:hAnsi="Verdana"/>
          <w:sz w:val="20"/>
          <w:szCs w:val="20"/>
          <w:lang w:val="es-CR"/>
        </w:rPr>
        <w:t>n ser vistos de manera aislada</w:t>
      </w:r>
      <w:r w:rsidR="00D41D14" w:rsidRPr="00D355BE">
        <w:rPr>
          <w:rFonts w:ascii="Verdana" w:hAnsi="Verdana"/>
          <w:sz w:val="20"/>
          <w:szCs w:val="20"/>
          <w:lang w:val="es-CR"/>
        </w:rPr>
        <w:t xml:space="preserve">, pero la indivisibilidad de los derechos </w:t>
      </w:r>
      <w:r w:rsidR="00C454B3" w:rsidRPr="00D355BE">
        <w:rPr>
          <w:rFonts w:ascii="Verdana" w:hAnsi="Verdana"/>
          <w:sz w:val="20"/>
          <w:szCs w:val="20"/>
          <w:lang w:val="es-CR"/>
        </w:rPr>
        <w:t>tampoco</w:t>
      </w:r>
      <w:r w:rsidR="00D41D14" w:rsidRPr="00D355BE">
        <w:rPr>
          <w:rFonts w:ascii="Verdana" w:hAnsi="Verdana"/>
          <w:sz w:val="20"/>
          <w:szCs w:val="20"/>
          <w:lang w:val="es-CR"/>
        </w:rPr>
        <w:t xml:space="preserve"> es suficiente para modificar la competencia de un tribunal, como lo proponen quienes pretenden una justiciabilidad directa por medio de la interpretación amplia del artículo 26 de la Convención</w:t>
      </w:r>
      <w:r w:rsidR="00C454B3" w:rsidRPr="00D355BE">
        <w:rPr>
          <w:rStyle w:val="FootnoteReference"/>
          <w:rFonts w:ascii="Verdana" w:hAnsi="Verdana"/>
          <w:sz w:val="20"/>
          <w:szCs w:val="20"/>
          <w:lang w:val="es-CR"/>
        </w:rPr>
        <w:footnoteReference w:id="12"/>
      </w:r>
      <w:r w:rsidR="00D41D14" w:rsidRPr="00D355BE">
        <w:rPr>
          <w:rFonts w:ascii="Verdana" w:hAnsi="Verdana"/>
          <w:sz w:val="20"/>
          <w:szCs w:val="20"/>
          <w:lang w:val="es-CR"/>
        </w:rPr>
        <w:t>.</w:t>
      </w:r>
      <w:r w:rsidR="00D355BE" w:rsidRPr="00D355BE">
        <w:rPr>
          <w:rFonts w:ascii="Verdana" w:hAnsi="Verdana"/>
          <w:sz w:val="20"/>
          <w:szCs w:val="20"/>
          <w:lang w:val="es-CR"/>
        </w:rPr>
        <w:t xml:space="preserve"> De hecho, los principios de indivisibilidad e interdependencia son congruentes con un análisis de los DESCA desde la perspectiva de la conexidad, pues su aplicación no implica una expansión ilimitada de las competencias de la Corte, pero sí permite un entendimiento más amplio de los derechos protegidos por la Convención.</w:t>
      </w:r>
    </w:p>
    <w:p w14:paraId="33A7E451" w14:textId="77777777" w:rsidR="00D41D14" w:rsidRPr="00646DC4" w:rsidRDefault="00D41D14" w:rsidP="00D41D14">
      <w:pPr>
        <w:pStyle w:val="ListParagraph"/>
        <w:tabs>
          <w:tab w:val="left" w:pos="426"/>
          <w:tab w:val="left" w:pos="709"/>
        </w:tabs>
        <w:ind w:left="0"/>
        <w:contextualSpacing/>
        <w:jc w:val="both"/>
        <w:rPr>
          <w:rFonts w:ascii="Verdana" w:hAnsi="Verdana"/>
          <w:sz w:val="20"/>
          <w:szCs w:val="20"/>
          <w:lang w:val="es-CR"/>
        </w:rPr>
      </w:pPr>
    </w:p>
    <w:p w14:paraId="4AEED84F" w14:textId="58151447" w:rsidR="00770DEF" w:rsidRDefault="00D355BE"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Por otro lado, l</w:t>
      </w:r>
      <w:r w:rsidR="00BD4F73">
        <w:rPr>
          <w:rFonts w:ascii="Verdana" w:hAnsi="Verdana"/>
          <w:sz w:val="20"/>
          <w:szCs w:val="20"/>
          <w:lang w:val="es-CR"/>
        </w:rPr>
        <w:t xml:space="preserve">a Sentencia afirma que “resulta claro interpretar que la Convención Americana incorporó en su catálogo de derechos protegidos los denominados derechos económicos, sociales, culturales y ambientales (DESCA), a través de una derivación </w:t>
      </w:r>
      <w:r w:rsidR="00D12A86">
        <w:rPr>
          <w:rFonts w:ascii="Verdana" w:hAnsi="Verdana"/>
          <w:sz w:val="20"/>
          <w:szCs w:val="20"/>
          <w:lang w:val="es-CR"/>
        </w:rPr>
        <w:t>de</w:t>
      </w:r>
      <w:r w:rsidR="00BD4F73">
        <w:rPr>
          <w:rFonts w:ascii="Verdana" w:hAnsi="Verdana"/>
          <w:sz w:val="20"/>
          <w:szCs w:val="20"/>
          <w:lang w:val="es-CR"/>
        </w:rPr>
        <w:t xml:space="preserve"> las normas reconocidas en la Carta de la </w:t>
      </w:r>
      <w:r w:rsidR="00D12A86">
        <w:rPr>
          <w:rFonts w:ascii="Verdana" w:hAnsi="Verdana"/>
          <w:sz w:val="20"/>
          <w:szCs w:val="20"/>
          <w:lang w:val="es-CR"/>
        </w:rPr>
        <w:t>Organización de los Estados Americanos (OEA)</w:t>
      </w:r>
      <w:r w:rsidR="00BD4F73">
        <w:rPr>
          <w:rFonts w:ascii="Verdana" w:hAnsi="Verdana"/>
          <w:sz w:val="20"/>
          <w:szCs w:val="20"/>
          <w:lang w:val="es-CR"/>
        </w:rPr>
        <w:t>, así como de las normas de interpretación previstas en el artículo 29 de la Convención</w:t>
      </w:r>
      <w:r w:rsidR="00E9398A">
        <w:rPr>
          <w:rFonts w:ascii="Verdana" w:hAnsi="Verdana"/>
          <w:sz w:val="20"/>
          <w:szCs w:val="20"/>
          <w:lang w:val="es-CR"/>
        </w:rPr>
        <w:t>; particularmente, que impide limitar o excluir el goce de los derechos establecidos en la Declaración Americana e inclusive reconocidos en materia interna</w:t>
      </w:r>
      <w:r w:rsidR="00BD4F73">
        <w:rPr>
          <w:rFonts w:ascii="Verdana" w:hAnsi="Verdana"/>
          <w:sz w:val="20"/>
          <w:szCs w:val="20"/>
          <w:lang w:val="es-CR"/>
        </w:rPr>
        <w:t xml:space="preserve">” (párr. 103). </w:t>
      </w:r>
      <w:r w:rsidR="00F70766">
        <w:rPr>
          <w:rFonts w:ascii="Verdana" w:hAnsi="Verdana"/>
          <w:sz w:val="20"/>
          <w:szCs w:val="20"/>
          <w:lang w:val="es-CR"/>
        </w:rPr>
        <w:t xml:space="preserve">A partir de esta interpretación, la Sentencia sugiere que los DESCA que pueden ser objeto de </w:t>
      </w:r>
      <w:r w:rsidR="00E9398A">
        <w:rPr>
          <w:rFonts w:ascii="Verdana" w:hAnsi="Verdana"/>
          <w:sz w:val="20"/>
          <w:szCs w:val="20"/>
          <w:lang w:val="es-CR"/>
        </w:rPr>
        <w:t xml:space="preserve">análisis a través del sistema de peticiones </w:t>
      </w:r>
      <w:r w:rsidR="004F30EF">
        <w:rPr>
          <w:rFonts w:ascii="Verdana" w:hAnsi="Verdana"/>
          <w:sz w:val="20"/>
          <w:szCs w:val="20"/>
          <w:lang w:val="es-CR"/>
        </w:rPr>
        <w:t>individuales</w:t>
      </w:r>
      <w:r w:rsidR="00F70766">
        <w:rPr>
          <w:rFonts w:ascii="Verdana" w:hAnsi="Verdana"/>
          <w:sz w:val="20"/>
          <w:szCs w:val="20"/>
          <w:lang w:val="es-CR"/>
        </w:rPr>
        <w:t xml:space="preserve"> son aquellos contenidos en la Carta de la OEA, aquellos reconocidos en la Declaración Americana, aquellos reconocidos en “materia interna”, y aquellos que se deriven del </w:t>
      </w:r>
      <w:r w:rsidR="00F70766">
        <w:rPr>
          <w:rFonts w:ascii="Verdana" w:hAnsi="Verdana"/>
          <w:i/>
          <w:sz w:val="20"/>
          <w:szCs w:val="20"/>
          <w:lang w:val="es-CR"/>
        </w:rPr>
        <w:t xml:space="preserve">corpus iuris </w:t>
      </w:r>
      <w:r w:rsidR="00F70766">
        <w:rPr>
          <w:rFonts w:ascii="Verdana" w:hAnsi="Verdana"/>
          <w:sz w:val="20"/>
          <w:szCs w:val="20"/>
          <w:lang w:val="es-CR"/>
        </w:rPr>
        <w:t>internacional y nacional</w:t>
      </w:r>
      <w:r w:rsidR="00E9398A">
        <w:rPr>
          <w:rFonts w:ascii="Verdana" w:hAnsi="Verdana"/>
          <w:sz w:val="20"/>
          <w:szCs w:val="20"/>
          <w:lang w:val="es-CR"/>
        </w:rPr>
        <w:t xml:space="preserve"> en la materia</w:t>
      </w:r>
      <w:r w:rsidR="00F70766">
        <w:rPr>
          <w:rFonts w:ascii="Verdana" w:hAnsi="Verdana"/>
          <w:sz w:val="20"/>
          <w:szCs w:val="20"/>
          <w:lang w:val="es-CR"/>
        </w:rPr>
        <w:t>.</w:t>
      </w:r>
    </w:p>
    <w:p w14:paraId="47ED2338" w14:textId="77777777" w:rsidR="00F70766" w:rsidRPr="00F70766" w:rsidRDefault="00F70766" w:rsidP="00F70766">
      <w:pPr>
        <w:pStyle w:val="ListParagraph"/>
        <w:rPr>
          <w:rFonts w:ascii="Verdana" w:hAnsi="Verdana"/>
          <w:sz w:val="20"/>
          <w:szCs w:val="20"/>
          <w:lang w:val="es-CR"/>
        </w:rPr>
      </w:pPr>
    </w:p>
    <w:p w14:paraId="6F6CF0FC" w14:textId="77777777" w:rsidR="00F70766" w:rsidRDefault="008B734C"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S</w:t>
      </w:r>
      <w:r w:rsidR="000B517F">
        <w:rPr>
          <w:rFonts w:ascii="Verdana" w:hAnsi="Verdana"/>
          <w:sz w:val="20"/>
          <w:szCs w:val="20"/>
          <w:lang w:val="es-CR"/>
        </w:rPr>
        <w:t>egún esta aproximación,</w:t>
      </w:r>
      <w:r w:rsidR="00F70766">
        <w:rPr>
          <w:rFonts w:ascii="Verdana" w:hAnsi="Verdana"/>
          <w:sz w:val="20"/>
          <w:szCs w:val="20"/>
          <w:lang w:val="es-CR"/>
        </w:rPr>
        <w:t xml:space="preserve"> el artículo 26 es una especie de norma de remisión </w:t>
      </w:r>
      <w:r w:rsidR="00D94630">
        <w:rPr>
          <w:rFonts w:ascii="Verdana" w:hAnsi="Verdana"/>
          <w:sz w:val="20"/>
          <w:szCs w:val="20"/>
          <w:lang w:val="es-CR"/>
        </w:rPr>
        <w:t>a toda la normativa nacional e internacional que se refiere a los DESCA, lo que potencialmente le reconocería a la Corte</w:t>
      </w:r>
      <w:r w:rsidR="000B517F">
        <w:rPr>
          <w:rFonts w:ascii="Verdana" w:hAnsi="Verdana"/>
          <w:sz w:val="20"/>
          <w:szCs w:val="20"/>
          <w:lang w:val="es-CR"/>
        </w:rPr>
        <w:t>, en virtud de una lectura peculiar del artículo 29 de la Convención, la competencia</w:t>
      </w:r>
      <w:r w:rsidR="00D94630">
        <w:rPr>
          <w:rFonts w:ascii="Verdana" w:hAnsi="Verdana"/>
          <w:sz w:val="20"/>
          <w:szCs w:val="20"/>
          <w:lang w:val="es-CR"/>
        </w:rPr>
        <w:t xml:space="preserve"> para declarar violaciones a cualquier derecho previsto en cualquier instrumento</w:t>
      </w:r>
      <w:r w:rsidR="00D261B1">
        <w:rPr>
          <w:rFonts w:ascii="Verdana" w:hAnsi="Verdana"/>
          <w:sz w:val="20"/>
          <w:szCs w:val="20"/>
          <w:lang w:val="es-CR"/>
        </w:rPr>
        <w:t xml:space="preserve"> nacional e internacional</w:t>
      </w:r>
      <w:r w:rsidR="00D94630">
        <w:rPr>
          <w:rFonts w:ascii="Verdana" w:hAnsi="Verdana"/>
          <w:sz w:val="20"/>
          <w:szCs w:val="20"/>
          <w:lang w:val="es-CR"/>
        </w:rPr>
        <w:t xml:space="preserve"> que lo contenga, siempre que se le pueda categorizar como un DESCA. Es</w:t>
      </w:r>
      <w:r w:rsidR="009651F9">
        <w:rPr>
          <w:rFonts w:ascii="Verdana" w:hAnsi="Verdana"/>
          <w:sz w:val="20"/>
          <w:szCs w:val="20"/>
          <w:lang w:val="es-CR"/>
        </w:rPr>
        <w:t>ta interpretación es tan ajena de</w:t>
      </w:r>
      <w:r w:rsidR="00D94630">
        <w:rPr>
          <w:rFonts w:ascii="Verdana" w:hAnsi="Verdana"/>
          <w:sz w:val="20"/>
          <w:szCs w:val="20"/>
          <w:lang w:val="es-CR"/>
        </w:rPr>
        <w:t xml:space="preserve"> las reglas de la Convención de Viena</w:t>
      </w:r>
      <w:r w:rsidR="00D261B1">
        <w:rPr>
          <w:rFonts w:ascii="Verdana" w:hAnsi="Verdana"/>
          <w:sz w:val="20"/>
          <w:szCs w:val="20"/>
          <w:lang w:val="es-CR"/>
        </w:rPr>
        <w:t xml:space="preserve"> sobre el Derecho de los Tratados</w:t>
      </w:r>
      <w:r w:rsidR="00D94630">
        <w:rPr>
          <w:rFonts w:ascii="Verdana" w:hAnsi="Verdana"/>
          <w:sz w:val="20"/>
          <w:szCs w:val="20"/>
          <w:lang w:val="es-CR"/>
        </w:rPr>
        <w:t xml:space="preserve"> y de la Convención Americana</w:t>
      </w:r>
      <w:r w:rsidR="00540532">
        <w:rPr>
          <w:rStyle w:val="FootnoteReference"/>
          <w:rFonts w:ascii="Verdana" w:hAnsi="Verdana"/>
          <w:sz w:val="20"/>
          <w:szCs w:val="20"/>
          <w:lang w:val="es-CR"/>
        </w:rPr>
        <w:footnoteReference w:id="13"/>
      </w:r>
      <w:r w:rsidR="00D94630">
        <w:rPr>
          <w:rFonts w:ascii="Verdana" w:hAnsi="Verdana"/>
          <w:sz w:val="20"/>
          <w:szCs w:val="20"/>
          <w:lang w:val="es-CR"/>
        </w:rPr>
        <w:t>, y tan distante del sistema de fuentes de derecho previsto por el derecho internacional</w:t>
      </w:r>
      <w:r w:rsidR="009F3112">
        <w:rPr>
          <w:rStyle w:val="FootnoteReference"/>
          <w:rFonts w:ascii="Verdana" w:hAnsi="Verdana"/>
          <w:sz w:val="20"/>
          <w:szCs w:val="20"/>
          <w:lang w:val="es-CR"/>
        </w:rPr>
        <w:footnoteReference w:id="14"/>
      </w:r>
      <w:r w:rsidR="00D94630">
        <w:rPr>
          <w:rFonts w:ascii="Verdana" w:hAnsi="Verdana"/>
          <w:sz w:val="20"/>
          <w:szCs w:val="20"/>
          <w:lang w:val="es-CR"/>
        </w:rPr>
        <w:t>, que resulta un acto de creación normativa y</w:t>
      </w:r>
      <w:r w:rsidR="000B517F">
        <w:rPr>
          <w:rFonts w:ascii="Verdana" w:hAnsi="Verdana"/>
          <w:sz w:val="20"/>
          <w:szCs w:val="20"/>
          <w:lang w:val="es-CR"/>
        </w:rPr>
        <w:t xml:space="preserve"> de</w:t>
      </w:r>
      <w:r w:rsidR="00D94630">
        <w:rPr>
          <w:rFonts w:ascii="Verdana" w:hAnsi="Verdana"/>
          <w:sz w:val="20"/>
          <w:szCs w:val="20"/>
          <w:lang w:val="es-CR"/>
        </w:rPr>
        <w:t xml:space="preserve"> expansión de competencias como</w:t>
      </w:r>
      <w:r w:rsidR="009651F9">
        <w:rPr>
          <w:rFonts w:ascii="Verdana" w:hAnsi="Verdana"/>
          <w:sz w:val="20"/>
          <w:szCs w:val="20"/>
          <w:lang w:val="es-CR"/>
        </w:rPr>
        <w:t xml:space="preserve"> quizás</w:t>
      </w:r>
      <w:r w:rsidR="00D94630">
        <w:rPr>
          <w:rFonts w:ascii="Verdana" w:hAnsi="Verdana"/>
          <w:sz w:val="20"/>
          <w:szCs w:val="20"/>
          <w:lang w:val="es-CR"/>
        </w:rPr>
        <w:t xml:space="preserve"> nunca antes habría visto la comunidad internacional. </w:t>
      </w:r>
      <w:r w:rsidR="000B517F">
        <w:rPr>
          <w:rFonts w:ascii="Verdana" w:hAnsi="Verdana"/>
          <w:sz w:val="20"/>
          <w:szCs w:val="20"/>
          <w:lang w:val="es-CR"/>
        </w:rPr>
        <w:t>Siguiendo</w:t>
      </w:r>
      <w:r w:rsidR="00D94630">
        <w:rPr>
          <w:rFonts w:ascii="Verdana" w:hAnsi="Verdana"/>
          <w:sz w:val="20"/>
          <w:szCs w:val="20"/>
          <w:lang w:val="es-CR"/>
        </w:rPr>
        <w:t xml:space="preserve"> esta lógica</w:t>
      </w:r>
      <w:r w:rsidR="009651F9">
        <w:rPr>
          <w:rFonts w:ascii="Verdana" w:hAnsi="Verdana"/>
          <w:sz w:val="20"/>
          <w:szCs w:val="20"/>
          <w:lang w:val="es-CR"/>
        </w:rPr>
        <w:t xml:space="preserve"> maximalista</w:t>
      </w:r>
      <w:r w:rsidR="00D94630">
        <w:rPr>
          <w:rFonts w:ascii="Verdana" w:hAnsi="Verdana"/>
          <w:sz w:val="20"/>
          <w:szCs w:val="20"/>
          <w:lang w:val="es-CR"/>
        </w:rPr>
        <w:t xml:space="preserve">, sobre la base del artículo 29 de la Convención, la Corte </w:t>
      </w:r>
      <w:r w:rsidR="000B517F">
        <w:rPr>
          <w:rFonts w:ascii="Verdana" w:hAnsi="Verdana"/>
          <w:sz w:val="20"/>
          <w:szCs w:val="20"/>
          <w:lang w:val="es-CR"/>
        </w:rPr>
        <w:t>tendría</w:t>
      </w:r>
      <w:r w:rsidR="00D94630">
        <w:rPr>
          <w:rFonts w:ascii="Verdana" w:hAnsi="Verdana"/>
          <w:sz w:val="20"/>
          <w:szCs w:val="20"/>
          <w:lang w:val="es-CR"/>
        </w:rPr>
        <w:t xml:space="preserve"> competencia para declarar la responsabilidad internacional del Estado cuando califique que </w:t>
      </w:r>
      <w:r w:rsidR="00D261B1">
        <w:rPr>
          <w:rFonts w:ascii="Verdana" w:hAnsi="Verdana"/>
          <w:sz w:val="20"/>
          <w:szCs w:val="20"/>
          <w:lang w:val="es-CR"/>
        </w:rPr>
        <w:t>ha violentado un DESCA reconocido en alguna norma de derecho nacional o internacional</w:t>
      </w:r>
      <w:r w:rsidR="000B517F">
        <w:rPr>
          <w:rFonts w:ascii="Verdana" w:hAnsi="Verdana"/>
          <w:sz w:val="20"/>
          <w:szCs w:val="20"/>
          <w:lang w:val="es-CR"/>
        </w:rPr>
        <w:t>, sin mayores consideraciones de orden formal</w:t>
      </w:r>
      <w:r w:rsidR="00D261B1">
        <w:rPr>
          <w:rFonts w:ascii="Verdana" w:hAnsi="Verdana"/>
          <w:sz w:val="20"/>
          <w:szCs w:val="20"/>
          <w:lang w:val="es-CR"/>
        </w:rPr>
        <w:t>.</w:t>
      </w:r>
      <w:r w:rsidR="009651F9">
        <w:rPr>
          <w:rFonts w:ascii="Verdana" w:hAnsi="Verdana"/>
          <w:sz w:val="20"/>
          <w:szCs w:val="20"/>
          <w:lang w:val="es-CR"/>
        </w:rPr>
        <w:t xml:space="preserve"> En ese sentido, cabe recordarle a la mayoría que la Corte Interamericana es un tribunal internacional, no un tribunal constitucional, y que la Convención Americana es un tratado internacional, y no una constitución nacional.</w:t>
      </w:r>
    </w:p>
    <w:p w14:paraId="4165E4FD" w14:textId="77777777" w:rsidR="00D261B1" w:rsidRPr="00D261B1" w:rsidRDefault="00D261B1" w:rsidP="00D261B1">
      <w:pPr>
        <w:rPr>
          <w:rFonts w:ascii="Verdana" w:hAnsi="Verdana"/>
          <w:lang w:val="es-CR"/>
        </w:rPr>
      </w:pPr>
    </w:p>
    <w:p w14:paraId="7D0E97E5" w14:textId="77777777" w:rsidR="009651F9" w:rsidRDefault="000B517F"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R</w:t>
      </w:r>
      <w:r w:rsidR="00D261B1">
        <w:rPr>
          <w:rFonts w:ascii="Verdana" w:hAnsi="Verdana"/>
          <w:sz w:val="20"/>
          <w:szCs w:val="20"/>
          <w:lang w:val="es-CR"/>
        </w:rPr>
        <w:t>especto a lo anterior,</w:t>
      </w:r>
      <w:r>
        <w:rPr>
          <w:rFonts w:ascii="Verdana" w:hAnsi="Verdana"/>
          <w:sz w:val="20"/>
          <w:szCs w:val="20"/>
          <w:lang w:val="es-CR"/>
        </w:rPr>
        <w:t xml:space="preserve"> aunque puedan parecer obvias,</w:t>
      </w:r>
      <w:r w:rsidR="00D261B1">
        <w:rPr>
          <w:rFonts w:ascii="Verdana" w:hAnsi="Verdana"/>
          <w:sz w:val="20"/>
          <w:szCs w:val="20"/>
          <w:lang w:val="es-CR"/>
        </w:rPr>
        <w:t xml:space="preserve"> es fundamental recordar </w:t>
      </w:r>
      <w:r>
        <w:rPr>
          <w:rFonts w:ascii="Verdana" w:hAnsi="Verdana"/>
          <w:sz w:val="20"/>
          <w:szCs w:val="20"/>
          <w:lang w:val="es-CR"/>
        </w:rPr>
        <w:t xml:space="preserve">el significado de </w:t>
      </w:r>
      <w:r w:rsidR="00D261B1">
        <w:rPr>
          <w:rFonts w:ascii="Verdana" w:hAnsi="Verdana"/>
          <w:sz w:val="20"/>
          <w:szCs w:val="20"/>
          <w:lang w:val="es-CR"/>
        </w:rPr>
        <w:t>algunas normas básicas del derecho internacional. La primera</w:t>
      </w:r>
      <w:r w:rsidR="009651F9">
        <w:rPr>
          <w:rFonts w:ascii="Verdana" w:hAnsi="Verdana"/>
          <w:sz w:val="20"/>
          <w:szCs w:val="20"/>
          <w:lang w:val="es-CR"/>
        </w:rPr>
        <w:t xml:space="preserve"> norma</w:t>
      </w:r>
      <w:r w:rsidR="00D261B1">
        <w:rPr>
          <w:rFonts w:ascii="Verdana" w:hAnsi="Verdana"/>
          <w:sz w:val="20"/>
          <w:szCs w:val="20"/>
          <w:lang w:val="es-CR"/>
        </w:rPr>
        <w:t xml:space="preserve"> es el artículo 26 de la Convención de Viena, el cual prev</w:t>
      </w:r>
      <w:r w:rsidR="00FC7FF7">
        <w:rPr>
          <w:rFonts w:ascii="Verdana" w:hAnsi="Verdana"/>
          <w:sz w:val="20"/>
          <w:szCs w:val="20"/>
          <w:lang w:val="es-CR"/>
        </w:rPr>
        <w:t>é la obligación de los Estados de cumplir de buena fe con las normas pactadas por ellos. Esto significa que las obligaciones internacionales dependen, en primer término, de su aceptación por parte de los Estados signatarios de un tratado</w:t>
      </w:r>
      <w:r w:rsidR="00DC1327">
        <w:rPr>
          <w:rFonts w:ascii="Verdana" w:hAnsi="Verdana"/>
          <w:sz w:val="20"/>
          <w:szCs w:val="20"/>
          <w:lang w:val="es-CR"/>
        </w:rPr>
        <w:t>, por lo que una norma que no ha sido aceptada por u</w:t>
      </w:r>
      <w:r w:rsidR="009651F9">
        <w:rPr>
          <w:rFonts w:ascii="Verdana" w:hAnsi="Verdana"/>
          <w:sz w:val="20"/>
          <w:szCs w:val="20"/>
          <w:lang w:val="es-CR"/>
        </w:rPr>
        <w:t>n E</w:t>
      </w:r>
      <w:r w:rsidR="00DC1327">
        <w:rPr>
          <w:rFonts w:ascii="Verdana" w:hAnsi="Verdana"/>
          <w:sz w:val="20"/>
          <w:szCs w:val="20"/>
          <w:lang w:val="es-CR"/>
        </w:rPr>
        <w:t>stado como fuente de una obligación internacional (como lo es</w:t>
      </w:r>
      <w:r w:rsidR="00BD791F">
        <w:rPr>
          <w:rFonts w:ascii="Verdana" w:hAnsi="Verdana"/>
          <w:sz w:val="20"/>
          <w:szCs w:val="20"/>
          <w:lang w:val="es-CR"/>
        </w:rPr>
        <w:t xml:space="preserve"> una norma contenida en</w:t>
      </w:r>
      <w:r w:rsidR="00DC1327">
        <w:rPr>
          <w:rFonts w:ascii="Verdana" w:hAnsi="Verdana"/>
          <w:sz w:val="20"/>
          <w:szCs w:val="20"/>
          <w:lang w:val="es-CR"/>
        </w:rPr>
        <w:t xml:space="preserve"> el derecho nacional de </w:t>
      </w:r>
      <w:r w:rsidR="009651F9">
        <w:rPr>
          <w:rFonts w:ascii="Verdana" w:hAnsi="Verdana"/>
          <w:sz w:val="20"/>
          <w:szCs w:val="20"/>
          <w:lang w:val="es-CR"/>
        </w:rPr>
        <w:t>otro E</w:t>
      </w:r>
      <w:r w:rsidR="00DC1327">
        <w:rPr>
          <w:rFonts w:ascii="Verdana" w:hAnsi="Verdana"/>
          <w:sz w:val="20"/>
          <w:szCs w:val="20"/>
          <w:lang w:val="es-CR"/>
        </w:rPr>
        <w:t>stado</w:t>
      </w:r>
      <w:r w:rsidR="009651F9">
        <w:rPr>
          <w:rFonts w:ascii="Verdana" w:hAnsi="Verdana"/>
          <w:sz w:val="20"/>
          <w:szCs w:val="20"/>
          <w:lang w:val="es-CR"/>
        </w:rPr>
        <w:t>,</w:t>
      </w:r>
      <w:r>
        <w:rPr>
          <w:rFonts w:ascii="Verdana" w:hAnsi="Verdana"/>
          <w:sz w:val="20"/>
          <w:szCs w:val="20"/>
          <w:lang w:val="es-CR"/>
        </w:rPr>
        <w:t xml:space="preserve"> o una norma contenida en un tratado sobre el que la Corte no tiene competencia</w:t>
      </w:r>
      <w:r w:rsidR="00DC1327">
        <w:rPr>
          <w:rFonts w:ascii="Verdana" w:hAnsi="Verdana"/>
          <w:sz w:val="20"/>
          <w:szCs w:val="20"/>
          <w:lang w:val="es-CR"/>
        </w:rPr>
        <w:t>), no puede ser exigida en el plano internacional</w:t>
      </w:r>
      <w:r>
        <w:rPr>
          <w:rFonts w:ascii="Verdana" w:hAnsi="Verdana"/>
          <w:sz w:val="20"/>
          <w:szCs w:val="20"/>
          <w:lang w:val="es-CR"/>
        </w:rPr>
        <w:t xml:space="preserve"> mediante el sistema de peticiones individuales del Sistema Interamericano</w:t>
      </w:r>
      <w:r w:rsidR="00FC7FF7">
        <w:rPr>
          <w:rFonts w:ascii="Verdana" w:hAnsi="Verdana"/>
          <w:sz w:val="20"/>
          <w:szCs w:val="20"/>
          <w:lang w:val="es-CR"/>
        </w:rPr>
        <w:t xml:space="preserve">. </w:t>
      </w:r>
      <w:r w:rsidR="009651F9">
        <w:rPr>
          <w:rFonts w:ascii="Verdana" w:hAnsi="Verdana"/>
          <w:sz w:val="20"/>
          <w:szCs w:val="20"/>
          <w:lang w:val="es-CR"/>
        </w:rPr>
        <w:t>Es cierto que los tribunales internacionales tienen un papel en el desarrollo del derecho, pero este papel debe estar limitado de forma que la Corte no se transforme en un legislador irrestricto, como la posición asumida por la mayoría requiere en materia de DESCA.</w:t>
      </w:r>
    </w:p>
    <w:p w14:paraId="33E6322A" w14:textId="77777777" w:rsidR="009651F9" w:rsidRPr="009651F9" w:rsidRDefault="009651F9" w:rsidP="009651F9">
      <w:pPr>
        <w:pStyle w:val="ListParagraph"/>
        <w:rPr>
          <w:rFonts w:ascii="Verdana" w:hAnsi="Verdana"/>
          <w:sz w:val="20"/>
          <w:szCs w:val="20"/>
          <w:lang w:val="es-CR"/>
        </w:rPr>
      </w:pPr>
    </w:p>
    <w:p w14:paraId="211F4668" w14:textId="77777777" w:rsidR="00D261B1" w:rsidRDefault="00C8171F" w:rsidP="00C54471">
      <w:pPr>
        <w:pStyle w:val="ListParagraph"/>
        <w:numPr>
          <w:ilvl w:val="0"/>
          <w:numId w:val="10"/>
        </w:numPr>
        <w:ind w:left="0" w:firstLine="0"/>
        <w:jc w:val="both"/>
        <w:rPr>
          <w:rFonts w:ascii="Verdana" w:hAnsi="Verdana"/>
          <w:sz w:val="20"/>
          <w:szCs w:val="20"/>
          <w:lang w:val="es-CR"/>
        </w:rPr>
      </w:pPr>
      <w:r>
        <w:rPr>
          <w:rFonts w:ascii="Verdana" w:hAnsi="Verdana"/>
          <w:sz w:val="20"/>
          <w:szCs w:val="20"/>
          <w:lang w:val="es-CR"/>
        </w:rPr>
        <w:t>La segunda</w:t>
      </w:r>
      <w:r w:rsidR="009651F9">
        <w:rPr>
          <w:rFonts w:ascii="Verdana" w:hAnsi="Verdana"/>
          <w:sz w:val="20"/>
          <w:szCs w:val="20"/>
          <w:lang w:val="es-CR"/>
        </w:rPr>
        <w:t xml:space="preserve"> norma</w:t>
      </w:r>
      <w:r>
        <w:rPr>
          <w:rFonts w:ascii="Verdana" w:hAnsi="Verdana"/>
          <w:sz w:val="20"/>
          <w:szCs w:val="20"/>
          <w:lang w:val="es-CR"/>
        </w:rPr>
        <w:t xml:space="preserve"> es el artículo 29 de la Convención Americana, el cual prevé </w:t>
      </w:r>
      <w:r w:rsidR="00DC1327">
        <w:rPr>
          <w:rFonts w:ascii="Verdana" w:hAnsi="Verdana"/>
          <w:sz w:val="20"/>
          <w:szCs w:val="20"/>
          <w:lang w:val="es-CR"/>
        </w:rPr>
        <w:t>–</w:t>
      </w:r>
      <w:r w:rsidR="00DC1327">
        <w:rPr>
          <w:rFonts w:ascii="Verdana" w:hAnsi="Verdana"/>
          <w:i/>
          <w:sz w:val="20"/>
          <w:szCs w:val="20"/>
          <w:lang w:val="es-CR"/>
        </w:rPr>
        <w:t xml:space="preserve">inter </w:t>
      </w:r>
      <w:r w:rsidR="00DC1327" w:rsidRPr="00DC1327">
        <w:rPr>
          <w:rFonts w:ascii="Verdana" w:hAnsi="Verdana"/>
          <w:i/>
          <w:sz w:val="20"/>
          <w:szCs w:val="20"/>
          <w:lang w:val="es-CR"/>
        </w:rPr>
        <w:t>alia</w:t>
      </w:r>
      <w:r w:rsidR="00DC1327">
        <w:rPr>
          <w:rFonts w:ascii="Verdana" w:hAnsi="Verdana"/>
          <w:sz w:val="20"/>
          <w:szCs w:val="20"/>
          <w:lang w:val="es-CR"/>
        </w:rPr>
        <w:t>– que ninguna disposición de la Convención puede ser interpretada en el sentido de:</w:t>
      </w:r>
    </w:p>
    <w:p w14:paraId="47DCD2C1" w14:textId="77777777" w:rsidR="00DC1327" w:rsidRPr="00DC1327" w:rsidRDefault="00DC1327" w:rsidP="00DC1327">
      <w:pPr>
        <w:pStyle w:val="ListParagraph"/>
        <w:rPr>
          <w:rFonts w:ascii="Verdana" w:hAnsi="Verdana"/>
          <w:sz w:val="20"/>
          <w:szCs w:val="20"/>
          <w:lang w:val="es-CR"/>
        </w:rPr>
      </w:pPr>
    </w:p>
    <w:p w14:paraId="7D8E212F" w14:textId="77777777" w:rsidR="00DC1327" w:rsidRPr="00DC1327" w:rsidRDefault="00DC1327" w:rsidP="00DC1327">
      <w:pPr>
        <w:pStyle w:val="ListParagraph"/>
        <w:ind w:left="708" w:right="900"/>
        <w:jc w:val="both"/>
        <w:rPr>
          <w:rFonts w:ascii="Verdana" w:hAnsi="Verdana" w:cs="Tahoma"/>
          <w:sz w:val="20"/>
          <w:szCs w:val="20"/>
          <w:lang w:val="es-CR"/>
        </w:rPr>
      </w:pPr>
      <w:r w:rsidRPr="00DC1327">
        <w:rPr>
          <w:rFonts w:ascii="Verdana" w:hAnsi="Verdana" w:cs="Tahoma"/>
          <w:sz w:val="20"/>
          <w:szCs w:val="20"/>
          <w:lang w:val="es-CR"/>
        </w:rPr>
        <w:t>b) limitar el goce y ejercicio de cualquier derecho o libertad que pueda estar reconocido de acuerdo con las leyes de cualquiera de los Estados Partes o de acuerdo con otra convención en que sea parte uno de dichos Estados;</w:t>
      </w:r>
    </w:p>
    <w:p w14:paraId="509BF791" w14:textId="77777777" w:rsidR="00DC1327" w:rsidRPr="00DC1327" w:rsidRDefault="00DC1327" w:rsidP="00DC1327">
      <w:pPr>
        <w:pStyle w:val="ListParagraph"/>
        <w:ind w:left="708" w:right="900"/>
        <w:jc w:val="both"/>
        <w:rPr>
          <w:rFonts w:ascii="Verdana" w:hAnsi="Verdana"/>
          <w:sz w:val="20"/>
          <w:szCs w:val="20"/>
          <w:lang w:val="es-CR"/>
        </w:rPr>
      </w:pPr>
      <w:r w:rsidRPr="00DC1327">
        <w:rPr>
          <w:rFonts w:ascii="Verdana" w:hAnsi="Verdana" w:cs="Tahoma"/>
          <w:sz w:val="20"/>
          <w:szCs w:val="20"/>
          <w:lang w:val="es-CR"/>
        </w:rPr>
        <w:t>d) excluir o limitar el efecto que puedan producir la Declaración Americana de Derechos y Deberes del Hombre y otros actos internacionales de la misma naturaleza.</w:t>
      </w:r>
    </w:p>
    <w:p w14:paraId="0A755A4F" w14:textId="77777777" w:rsidR="00C54471" w:rsidRDefault="00C54471" w:rsidP="009D7294">
      <w:pPr>
        <w:jc w:val="both"/>
        <w:rPr>
          <w:rFonts w:ascii="Verdana" w:hAnsi="Verdana"/>
          <w:lang w:val="es-CR"/>
        </w:rPr>
      </w:pPr>
    </w:p>
    <w:p w14:paraId="53163A00" w14:textId="3BB7BE56" w:rsidR="00235E40" w:rsidRDefault="00BD791F" w:rsidP="00CE2B01">
      <w:pPr>
        <w:pStyle w:val="ListParagraph"/>
        <w:numPr>
          <w:ilvl w:val="0"/>
          <w:numId w:val="10"/>
        </w:numPr>
        <w:ind w:left="0" w:firstLine="0"/>
        <w:jc w:val="both"/>
        <w:rPr>
          <w:rFonts w:ascii="Verdana" w:hAnsi="Verdana"/>
          <w:lang w:val="es-CR"/>
        </w:rPr>
      </w:pPr>
      <w:r>
        <w:rPr>
          <w:rFonts w:ascii="Verdana" w:hAnsi="Verdana"/>
          <w:sz w:val="20"/>
          <w:szCs w:val="20"/>
          <w:lang w:val="es-CR"/>
        </w:rPr>
        <w:t>El artículo 29 de la Convención juega el importante papel de evitar que</w:t>
      </w:r>
      <w:r w:rsidR="00235E40">
        <w:rPr>
          <w:rFonts w:ascii="Verdana" w:hAnsi="Verdana"/>
          <w:sz w:val="20"/>
          <w:szCs w:val="20"/>
          <w:lang w:val="es-CR"/>
        </w:rPr>
        <w:t>,</w:t>
      </w:r>
      <w:r>
        <w:rPr>
          <w:rFonts w:ascii="Verdana" w:hAnsi="Verdana"/>
          <w:sz w:val="20"/>
          <w:szCs w:val="20"/>
          <w:lang w:val="es-CR"/>
        </w:rPr>
        <w:t xml:space="preserve"> de una interpretación de la Convención Americana, los Estados puedan limitar el goce o ejercicio de un derecho contenido en el derecho nacional o en el derecho internacional. Para la Corte Interamericana</w:t>
      </w:r>
      <w:r w:rsidR="000B517F">
        <w:rPr>
          <w:rFonts w:ascii="Verdana" w:hAnsi="Verdana"/>
          <w:sz w:val="20"/>
          <w:szCs w:val="20"/>
          <w:lang w:val="es-CR"/>
        </w:rPr>
        <w:t>,</w:t>
      </w:r>
      <w:r>
        <w:rPr>
          <w:rFonts w:ascii="Verdana" w:hAnsi="Verdana"/>
          <w:sz w:val="20"/>
          <w:szCs w:val="20"/>
          <w:lang w:val="es-CR"/>
        </w:rPr>
        <w:t xml:space="preserve"> esta norma ha servido para interpretar las cláusulas de la Convención a la luz de otros instrumentos nacionales e internacionales en materia de derechos humanos</w:t>
      </w:r>
      <w:r w:rsidR="00EE7A50">
        <w:rPr>
          <w:rFonts w:ascii="Verdana" w:hAnsi="Verdana"/>
          <w:sz w:val="20"/>
          <w:szCs w:val="20"/>
          <w:lang w:val="es-CR"/>
        </w:rPr>
        <w:t xml:space="preserve"> y de esta forma darles mayor contenido</w:t>
      </w:r>
      <w:r w:rsidR="009651F9">
        <w:rPr>
          <w:rStyle w:val="FootnoteReference"/>
          <w:rFonts w:ascii="Verdana" w:hAnsi="Verdana"/>
          <w:sz w:val="20"/>
          <w:szCs w:val="20"/>
          <w:lang w:val="es-CR"/>
        </w:rPr>
        <w:footnoteReference w:id="15"/>
      </w:r>
      <w:r>
        <w:rPr>
          <w:rFonts w:ascii="Verdana" w:hAnsi="Verdana"/>
          <w:sz w:val="20"/>
          <w:szCs w:val="20"/>
          <w:lang w:val="es-CR"/>
        </w:rPr>
        <w:t xml:space="preserve">. Pero una cosa es utilizar el artículo 29 </w:t>
      </w:r>
      <w:r w:rsidR="00235E40">
        <w:rPr>
          <w:rFonts w:ascii="Verdana" w:hAnsi="Verdana"/>
          <w:sz w:val="20"/>
          <w:szCs w:val="20"/>
          <w:lang w:val="es-CR"/>
        </w:rPr>
        <w:t xml:space="preserve">de la Convención para </w:t>
      </w:r>
      <w:r w:rsidR="00024163">
        <w:rPr>
          <w:rFonts w:ascii="Verdana" w:hAnsi="Verdana"/>
          <w:sz w:val="20"/>
          <w:szCs w:val="20"/>
          <w:lang w:val="es-CR"/>
        </w:rPr>
        <w:t>evitar que los Estados limiten</w:t>
      </w:r>
      <w:r w:rsidR="00235E40">
        <w:rPr>
          <w:rFonts w:ascii="Verdana" w:hAnsi="Verdana"/>
          <w:sz w:val="20"/>
          <w:szCs w:val="20"/>
          <w:lang w:val="es-CR"/>
        </w:rPr>
        <w:t xml:space="preserve"> derechos reconocidos en el ámbito nacional o en otros instrumentos internacionales</w:t>
      </w:r>
      <w:r w:rsidR="00024163">
        <w:rPr>
          <w:rFonts w:ascii="Verdana" w:hAnsi="Verdana"/>
          <w:sz w:val="20"/>
          <w:szCs w:val="20"/>
          <w:lang w:val="es-CR"/>
        </w:rPr>
        <w:t xml:space="preserve"> al invocar la Convención</w:t>
      </w:r>
      <w:r w:rsidR="00235E40">
        <w:rPr>
          <w:rFonts w:ascii="Verdana" w:hAnsi="Verdana"/>
          <w:sz w:val="20"/>
          <w:szCs w:val="20"/>
          <w:lang w:val="es-CR"/>
        </w:rPr>
        <w:t>, y que la Corte lo utilice como medio</w:t>
      </w:r>
      <w:r>
        <w:rPr>
          <w:rFonts w:ascii="Verdana" w:hAnsi="Verdana"/>
          <w:sz w:val="20"/>
          <w:szCs w:val="20"/>
          <w:lang w:val="es-CR"/>
        </w:rPr>
        <w:t xml:space="preserve"> interpretativo </w:t>
      </w:r>
      <w:r w:rsidR="00235E40">
        <w:rPr>
          <w:rFonts w:ascii="Verdana" w:hAnsi="Verdana"/>
          <w:sz w:val="20"/>
          <w:szCs w:val="20"/>
          <w:lang w:val="es-CR"/>
        </w:rPr>
        <w:t>para actualizar el contenido normativo de las cláusulas de la Convención, y otra</w:t>
      </w:r>
      <w:r w:rsidR="00CE2B01">
        <w:rPr>
          <w:rFonts w:ascii="Verdana" w:hAnsi="Verdana"/>
          <w:sz w:val="20"/>
          <w:szCs w:val="20"/>
          <w:lang w:val="es-CR"/>
        </w:rPr>
        <w:t xml:space="preserve"> muy distinta</w:t>
      </w:r>
      <w:r w:rsidR="00235E40">
        <w:rPr>
          <w:rFonts w:ascii="Verdana" w:hAnsi="Verdana"/>
          <w:sz w:val="20"/>
          <w:szCs w:val="20"/>
          <w:lang w:val="es-CR"/>
        </w:rPr>
        <w:t xml:space="preserve"> es utilizar el artículo 29 </w:t>
      </w:r>
      <w:r w:rsidR="00024163">
        <w:rPr>
          <w:rFonts w:ascii="Verdana" w:hAnsi="Verdana"/>
          <w:sz w:val="20"/>
          <w:szCs w:val="20"/>
          <w:lang w:val="es-CR"/>
        </w:rPr>
        <w:t>de la Convención</w:t>
      </w:r>
      <w:r w:rsidR="00235E40">
        <w:rPr>
          <w:rFonts w:ascii="Verdana" w:hAnsi="Verdana"/>
          <w:sz w:val="20"/>
          <w:szCs w:val="20"/>
          <w:lang w:val="es-CR"/>
        </w:rPr>
        <w:t xml:space="preserve"> como una </w:t>
      </w:r>
      <w:r w:rsidR="00EE7A50">
        <w:rPr>
          <w:rFonts w:ascii="Verdana" w:hAnsi="Verdana"/>
          <w:sz w:val="20"/>
          <w:szCs w:val="20"/>
          <w:lang w:val="es-CR"/>
        </w:rPr>
        <w:t xml:space="preserve">especie de </w:t>
      </w:r>
      <w:r w:rsidR="00235E40">
        <w:rPr>
          <w:rFonts w:ascii="Verdana" w:hAnsi="Verdana"/>
          <w:sz w:val="20"/>
          <w:szCs w:val="20"/>
          <w:lang w:val="es-CR"/>
        </w:rPr>
        <w:t xml:space="preserve">norma de remisión a otras normas de derecho nacional e internacional </w:t>
      </w:r>
      <w:r w:rsidR="00024163">
        <w:rPr>
          <w:rFonts w:ascii="Verdana" w:hAnsi="Verdana"/>
          <w:sz w:val="20"/>
          <w:szCs w:val="20"/>
          <w:lang w:val="es-CR"/>
        </w:rPr>
        <w:t>para así</w:t>
      </w:r>
      <w:r w:rsidR="00235E40">
        <w:rPr>
          <w:rFonts w:ascii="Verdana" w:hAnsi="Verdana"/>
          <w:sz w:val="20"/>
          <w:szCs w:val="20"/>
          <w:lang w:val="es-CR"/>
        </w:rPr>
        <w:t xml:space="preserve"> </w:t>
      </w:r>
      <w:r w:rsidR="00024163">
        <w:rPr>
          <w:rFonts w:ascii="Verdana" w:hAnsi="Verdana"/>
          <w:sz w:val="20"/>
          <w:szCs w:val="20"/>
          <w:lang w:val="es-CR"/>
        </w:rPr>
        <w:t>“</w:t>
      </w:r>
      <w:r w:rsidR="00235E40">
        <w:rPr>
          <w:rFonts w:ascii="Verdana" w:hAnsi="Verdana"/>
          <w:sz w:val="20"/>
          <w:szCs w:val="20"/>
          <w:lang w:val="es-CR"/>
        </w:rPr>
        <w:t>afirmar</w:t>
      </w:r>
      <w:r w:rsidR="00024163">
        <w:rPr>
          <w:rFonts w:ascii="Verdana" w:hAnsi="Verdana"/>
          <w:sz w:val="20"/>
          <w:szCs w:val="20"/>
          <w:lang w:val="es-CR"/>
        </w:rPr>
        <w:t>”</w:t>
      </w:r>
      <w:r w:rsidR="00235E40">
        <w:rPr>
          <w:rFonts w:ascii="Verdana" w:hAnsi="Verdana"/>
          <w:sz w:val="20"/>
          <w:szCs w:val="20"/>
          <w:lang w:val="es-CR"/>
        </w:rPr>
        <w:t xml:space="preserve"> la competencia de la Corte para declarar violaciones de derechos previstos en instrumentos nacionales e internacionales sobre los que la Corte claramente carece de competenci</w:t>
      </w:r>
      <w:r w:rsidR="00D35C59">
        <w:rPr>
          <w:rFonts w:ascii="Verdana" w:hAnsi="Verdana"/>
          <w:sz w:val="20"/>
          <w:szCs w:val="20"/>
          <w:lang w:val="es-CR"/>
        </w:rPr>
        <w:t xml:space="preserve">a. A todas luces, esa lectura es un abuso del principio </w:t>
      </w:r>
      <w:r w:rsidR="00D35C59" w:rsidRPr="00CC1A0C">
        <w:rPr>
          <w:rFonts w:ascii="Verdana" w:hAnsi="Verdana"/>
          <w:i/>
          <w:sz w:val="20"/>
          <w:szCs w:val="20"/>
          <w:lang w:val="es-CR"/>
        </w:rPr>
        <w:t>pro persona</w:t>
      </w:r>
      <w:r w:rsidR="00D35C59">
        <w:rPr>
          <w:rFonts w:ascii="Verdana" w:hAnsi="Verdana"/>
          <w:sz w:val="20"/>
          <w:szCs w:val="20"/>
          <w:lang w:val="es-CR"/>
        </w:rPr>
        <w:t xml:space="preserve"> y una violación al principio de seguridad jurídica</w:t>
      </w:r>
      <w:r w:rsidR="00EE7A50">
        <w:rPr>
          <w:rFonts w:ascii="Verdana" w:hAnsi="Verdana"/>
          <w:sz w:val="20"/>
          <w:szCs w:val="20"/>
          <w:lang w:val="es-CR"/>
        </w:rPr>
        <w:t xml:space="preserve"> que no le permitiría a los Estados prever el tipo de conducta que deben realizar en cumplimiento de sus obligaciones internacionales</w:t>
      </w:r>
      <w:r w:rsidR="00D35C59">
        <w:rPr>
          <w:rFonts w:ascii="Verdana" w:hAnsi="Verdana"/>
          <w:sz w:val="20"/>
          <w:szCs w:val="20"/>
          <w:lang w:val="es-CR"/>
        </w:rPr>
        <w:t>.</w:t>
      </w:r>
    </w:p>
    <w:p w14:paraId="16BBFFC6" w14:textId="77777777" w:rsidR="00CE2B01" w:rsidRDefault="00CE2B01" w:rsidP="00CE2B01">
      <w:pPr>
        <w:pStyle w:val="ListParagraph"/>
        <w:ind w:left="0"/>
        <w:jc w:val="both"/>
        <w:rPr>
          <w:rFonts w:ascii="Verdana" w:hAnsi="Verdana"/>
          <w:lang w:val="es-CR"/>
        </w:rPr>
      </w:pPr>
    </w:p>
    <w:p w14:paraId="45500660" w14:textId="77777777" w:rsidR="00CE2B01" w:rsidRPr="007B7C21" w:rsidRDefault="00CE2B01" w:rsidP="00CE2B01">
      <w:pPr>
        <w:pStyle w:val="ListParagraph"/>
        <w:numPr>
          <w:ilvl w:val="0"/>
          <w:numId w:val="10"/>
        </w:numPr>
        <w:ind w:left="0" w:firstLine="0"/>
        <w:jc w:val="both"/>
        <w:rPr>
          <w:rFonts w:ascii="Verdana" w:hAnsi="Verdana"/>
          <w:lang w:val="es-CR"/>
        </w:rPr>
      </w:pPr>
      <w:r>
        <w:rPr>
          <w:rFonts w:ascii="Verdana" w:hAnsi="Verdana"/>
          <w:sz w:val="20"/>
          <w:szCs w:val="20"/>
          <w:lang w:val="es-CR"/>
        </w:rPr>
        <w:t>Como complemento de lo anterior, es importante señalar que las normas de derechos humanos previstas en instrumentos como la Declaración</w:t>
      </w:r>
      <w:r w:rsidR="00861EE1">
        <w:rPr>
          <w:rFonts w:ascii="Verdana" w:hAnsi="Verdana"/>
          <w:sz w:val="20"/>
          <w:szCs w:val="20"/>
          <w:lang w:val="es-CR"/>
        </w:rPr>
        <w:t xml:space="preserve"> Americana de Derechos Humanos</w:t>
      </w:r>
      <w:r w:rsidR="00D35C59">
        <w:rPr>
          <w:rFonts w:ascii="Verdana" w:hAnsi="Verdana"/>
          <w:sz w:val="20"/>
          <w:szCs w:val="20"/>
          <w:lang w:val="es-CR"/>
        </w:rPr>
        <w:t>,</w:t>
      </w:r>
      <w:r w:rsidR="00861EE1">
        <w:rPr>
          <w:rFonts w:ascii="Verdana" w:hAnsi="Verdana"/>
          <w:sz w:val="20"/>
          <w:szCs w:val="20"/>
          <w:lang w:val="es-CR"/>
        </w:rPr>
        <w:t xml:space="preserve"> u otros actos de la misma naturaleza</w:t>
      </w:r>
      <w:r w:rsidR="00D35C59">
        <w:rPr>
          <w:rFonts w:ascii="Verdana" w:hAnsi="Verdana"/>
          <w:sz w:val="20"/>
          <w:szCs w:val="20"/>
          <w:lang w:val="es-CR"/>
        </w:rPr>
        <w:t>,</w:t>
      </w:r>
      <w:r w:rsidR="00861EE1">
        <w:rPr>
          <w:rFonts w:ascii="Verdana" w:hAnsi="Verdana"/>
          <w:sz w:val="20"/>
          <w:szCs w:val="20"/>
          <w:lang w:val="es-CR"/>
        </w:rPr>
        <w:t xml:space="preserve"> sí tienen un valor normativo que es relevante para la identificación del contenido de las obligaciones internacionales </w:t>
      </w:r>
      <w:r w:rsidR="00D35C59">
        <w:rPr>
          <w:rFonts w:ascii="Verdana" w:hAnsi="Verdana"/>
          <w:sz w:val="20"/>
          <w:szCs w:val="20"/>
          <w:lang w:val="es-CR"/>
        </w:rPr>
        <w:t>previstas por</w:t>
      </w:r>
      <w:r w:rsidR="00861EE1">
        <w:rPr>
          <w:rFonts w:ascii="Verdana" w:hAnsi="Verdana"/>
          <w:sz w:val="20"/>
          <w:szCs w:val="20"/>
          <w:lang w:val="es-CR"/>
        </w:rPr>
        <w:t xml:space="preserve"> la Convención</w:t>
      </w:r>
      <w:r w:rsidR="00EE7A50">
        <w:rPr>
          <w:rStyle w:val="FootnoteReference"/>
          <w:rFonts w:ascii="Verdana" w:hAnsi="Verdana"/>
          <w:sz w:val="20"/>
          <w:szCs w:val="20"/>
          <w:lang w:val="es-CR"/>
        </w:rPr>
        <w:footnoteReference w:id="16"/>
      </w:r>
      <w:r w:rsidR="00861EE1">
        <w:rPr>
          <w:rFonts w:ascii="Verdana" w:hAnsi="Verdana"/>
          <w:sz w:val="20"/>
          <w:szCs w:val="20"/>
          <w:lang w:val="es-CR"/>
        </w:rPr>
        <w:t xml:space="preserve">. Pero esto no significa que estos instrumentos gocen </w:t>
      </w:r>
      <w:r w:rsidR="00EE7A50">
        <w:rPr>
          <w:rFonts w:ascii="Verdana" w:hAnsi="Verdana"/>
          <w:sz w:val="20"/>
          <w:szCs w:val="20"/>
          <w:lang w:val="es-CR"/>
        </w:rPr>
        <w:t>de la misma obligatoriedad</w:t>
      </w:r>
      <w:r w:rsidR="00861EE1">
        <w:rPr>
          <w:rFonts w:ascii="Verdana" w:hAnsi="Verdana"/>
          <w:sz w:val="20"/>
          <w:szCs w:val="20"/>
          <w:lang w:val="es-CR"/>
        </w:rPr>
        <w:t xml:space="preserve"> que un tratado internacional, y más bien hay que reconocerlos como normas de </w:t>
      </w:r>
      <w:r w:rsidR="00861EE1">
        <w:rPr>
          <w:rFonts w:ascii="Verdana" w:hAnsi="Verdana"/>
          <w:i/>
          <w:sz w:val="20"/>
          <w:szCs w:val="20"/>
          <w:lang w:val="es-CR"/>
        </w:rPr>
        <w:t>soft law</w:t>
      </w:r>
      <w:r w:rsidR="00861EE1">
        <w:rPr>
          <w:rFonts w:ascii="Verdana" w:hAnsi="Verdana"/>
          <w:sz w:val="20"/>
          <w:szCs w:val="20"/>
          <w:lang w:val="es-CR"/>
        </w:rPr>
        <w:t xml:space="preserve">. Esto implica que su </w:t>
      </w:r>
      <w:r w:rsidR="00EE7A50">
        <w:rPr>
          <w:rFonts w:ascii="Verdana" w:hAnsi="Verdana"/>
          <w:sz w:val="20"/>
          <w:szCs w:val="20"/>
          <w:lang w:val="es-CR"/>
        </w:rPr>
        <w:t>obligatoriedad</w:t>
      </w:r>
      <w:r w:rsidR="00861EE1">
        <w:rPr>
          <w:rFonts w:ascii="Verdana" w:hAnsi="Verdana"/>
          <w:sz w:val="20"/>
          <w:szCs w:val="20"/>
          <w:lang w:val="es-CR"/>
        </w:rPr>
        <w:t xml:space="preserve"> dentro del sistema de fuentes</w:t>
      </w:r>
      <w:r w:rsidR="00EE7A50">
        <w:rPr>
          <w:rFonts w:ascii="Verdana" w:hAnsi="Verdana"/>
          <w:sz w:val="20"/>
          <w:szCs w:val="20"/>
          <w:lang w:val="es-CR"/>
        </w:rPr>
        <w:t xml:space="preserve"> de derecho internacional</w:t>
      </w:r>
      <w:r w:rsidR="00861EE1">
        <w:rPr>
          <w:rFonts w:ascii="Verdana" w:hAnsi="Verdana"/>
          <w:sz w:val="20"/>
          <w:szCs w:val="20"/>
          <w:lang w:val="es-CR"/>
        </w:rPr>
        <w:t xml:space="preserve"> está </w:t>
      </w:r>
      <w:r w:rsidR="00EE7A50">
        <w:rPr>
          <w:rFonts w:ascii="Verdana" w:hAnsi="Verdana"/>
          <w:sz w:val="20"/>
          <w:szCs w:val="20"/>
          <w:lang w:val="es-CR"/>
        </w:rPr>
        <w:t>“</w:t>
      </w:r>
      <w:r w:rsidR="00861EE1">
        <w:rPr>
          <w:rFonts w:ascii="Verdana" w:hAnsi="Verdana"/>
          <w:sz w:val="20"/>
          <w:szCs w:val="20"/>
          <w:lang w:val="es-CR"/>
        </w:rPr>
        <w:t>relativizado</w:t>
      </w:r>
      <w:r w:rsidR="00EE7A50">
        <w:rPr>
          <w:rFonts w:ascii="Verdana" w:hAnsi="Verdana"/>
          <w:sz w:val="20"/>
          <w:szCs w:val="20"/>
          <w:lang w:val="es-CR"/>
        </w:rPr>
        <w:t>”</w:t>
      </w:r>
      <w:r w:rsidR="00D35C59">
        <w:rPr>
          <w:rFonts w:ascii="Verdana" w:hAnsi="Verdana"/>
          <w:sz w:val="20"/>
          <w:szCs w:val="20"/>
          <w:lang w:val="es-CR"/>
        </w:rPr>
        <w:t>,</w:t>
      </w:r>
      <w:r w:rsidR="00861EE1">
        <w:rPr>
          <w:rFonts w:ascii="Verdana" w:hAnsi="Verdana"/>
          <w:sz w:val="20"/>
          <w:szCs w:val="20"/>
          <w:lang w:val="es-CR"/>
        </w:rPr>
        <w:t xml:space="preserve"> y que no constituye una fuente de derechos y obligaciones autónoma que puede dar lugar a la responsabilidad internacional del Estado por su incumplimiento. Esto es importante </w:t>
      </w:r>
      <w:r w:rsidR="005E4725">
        <w:rPr>
          <w:rFonts w:ascii="Verdana" w:hAnsi="Verdana"/>
          <w:sz w:val="20"/>
          <w:szCs w:val="20"/>
          <w:lang w:val="es-CR"/>
        </w:rPr>
        <w:t>pues</w:t>
      </w:r>
      <w:r w:rsidR="00861EE1">
        <w:rPr>
          <w:rFonts w:ascii="Verdana" w:hAnsi="Verdana"/>
          <w:sz w:val="20"/>
          <w:szCs w:val="20"/>
          <w:lang w:val="es-CR"/>
        </w:rPr>
        <w:t xml:space="preserve"> la Corte debe ser especialmente cuidadosa de no confundir las obligaciones que emanan para los Estados en virtud de cláusulas convencionales</w:t>
      </w:r>
      <w:r w:rsidR="00D35C59">
        <w:rPr>
          <w:rFonts w:ascii="Verdana" w:hAnsi="Verdana"/>
          <w:sz w:val="20"/>
          <w:szCs w:val="20"/>
          <w:lang w:val="es-CR"/>
        </w:rPr>
        <w:t>,</w:t>
      </w:r>
      <w:r w:rsidR="00861EE1">
        <w:rPr>
          <w:rFonts w:ascii="Verdana" w:hAnsi="Verdana"/>
          <w:sz w:val="20"/>
          <w:szCs w:val="20"/>
          <w:lang w:val="es-CR"/>
        </w:rPr>
        <w:t xml:space="preserve"> que reconocen derechos</w:t>
      </w:r>
      <w:r w:rsidR="00D35C59">
        <w:rPr>
          <w:rFonts w:ascii="Verdana" w:hAnsi="Verdana"/>
          <w:sz w:val="20"/>
          <w:szCs w:val="20"/>
          <w:lang w:val="es-CR"/>
        </w:rPr>
        <w:t xml:space="preserve"> y obligaciones de exigibilidad inmediata</w:t>
      </w:r>
      <w:r w:rsidR="00861EE1">
        <w:rPr>
          <w:rFonts w:ascii="Verdana" w:hAnsi="Verdana"/>
          <w:sz w:val="20"/>
          <w:szCs w:val="20"/>
          <w:lang w:val="es-CR"/>
        </w:rPr>
        <w:t>,</w:t>
      </w:r>
      <w:r w:rsidR="00EE7A50">
        <w:rPr>
          <w:rFonts w:ascii="Verdana" w:hAnsi="Verdana"/>
          <w:sz w:val="20"/>
          <w:szCs w:val="20"/>
          <w:lang w:val="es-CR"/>
        </w:rPr>
        <w:t xml:space="preserve"> y sobre las que la Corte tiene competencia,</w:t>
      </w:r>
      <w:r w:rsidR="00861EE1">
        <w:rPr>
          <w:rFonts w:ascii="Verdana" w:hAnsi="Verdana"/>
          <w:sz w:val="20"/>
          <w:szCs w:val="20"/>
          <w:lang w:val="es-CR"/>
        </w:rPr>
        <w:t xml:space="preserve"> de aquellas normas o principios que sirven para la interpretación de dichas cláusulas</w:t>
      </w:r>
      <w:r w:rsidR="00D35C59">
        <w:rPr>
          <w:rFonts w:ascii="Verdana" w:hAnsi="Verdana"/>
          <w:sz w:val="20"/>
          <w:szCs w:val="20"/>
          <w:lang w:val="es-CR"/>
        </w:rPr>
        <w:t xml:space="preserve"> convencionales</w:t>
      </w:r>
      <w:r w:rsidR="00861EE1">
        <w:rPr>
          <w:rFonts w:ascii="Verdana" w:hAnsi="Verdana"/>
          <w:sz w:val="20"/>
          <w:szCs w:val="20"/>
          <w:lang w:val="es-CR"/>
        </w:rPr>
        <w:t>.</w:t>
      </w:r>
    </w:p>
    <w:p w14:paraId="2A117A9A" w14:textId="77777777" w:rsidR="007B7C21" w:rsidRPr="007B7C21" w:rsidRDefault="007B7C21" w:rsidP="007B7C21">
      <w:pPr>
        <w:pStyle w:val="ListParagraph"/>
        <w:ind w:left="0"/>
        <w:jc w:val="both"/>
        <w:rPr>
          <w:rFonts w:ascii="Verdana" w:hAnsi="Verdana"/>
          <w:lang w:val="es-CR"/>
        </w:rPr>
      </w:pPr>
    </w:p>
    <w:p w14:paraId="7B9924BB" w14:textId="10D3FBE2" w:rsidR="00861EE1" w:rsidRDefault="00861EE1" w:rsidP="00CE2B01">
      <w:pPr>
        <w:pStyle w:val="ListParagraph"/>
        <w:numPr>
          <w:ilvl w:val="0"/>
          <w:numId w:val="10"/>
        </w:numPr>
        <w:ind w:left="0" w:firstLine="0"/>
        <w:jc w:val="both"/>
        <w:rPr>
          <w:rFonts w:ascii="Verdana" w:hAnsi="Verdana"/>
          <w:sz w:val="20"/>
          <w:szCs w:val="20"/>
          <w:lang w:val="es-CR"/>
        </w:rPr>
      </w:pPr>
      <w:r w:rsidRPr="00861EE1">
        <w:rPr>
          <w:rFonts w:ascii="Verdana" w:hAnsi="Verdana"/>
          <w:sz w:val="20"/>
          <w:szCs w:val="20"/>
          <w:lang w:val="es-CR"/>
        </w:rPr>
        <w:t>Como lo he expresado en otras ocasiones, es importante recordar que la utilización de normas externas a la Convención para su interpretación debe operar sobre una serie de presupuestos sobre el valor normativo que tienen tanto las normas y principios que son interpretados (por ejemplo, la Convención), como aquellas que se utilizan como parámetros de interpretación (por ejemplo, la Declaración Americana</w:t>
      </w:r>
      <w:r w:rsidR="00985B0A">
        <w:rPr>
          <w:rStyle w:val="FootnoteReference"/>
          <w:rFonts w:ascii="Verdana" w:hAnsi="Verdana"/>
          <w:sz w:val="20"/>
          <w:szCs w:val="20"/>
          <w:lang w:val="es-CR"/>
        </w:rPr>
        <w:footnoteReference w:id="17"/>
      </w:r>
      <w:r w:rsidR="00DA3934">
        <w:rPr>
          <w:rFonts w:ascii="Verdana" w:hAnsi="Verdana"/>
          <w:sz w:val="20"/>
          <w:szCs w:val="20"/>
          <w:lang w:val="es-CR"/>
        </w:rPr>
        <w:t>)</w:t>
      </w:r>
      <w:r w:rsidRPr="00861EE1">
        <w:rPr>
          <w:rFonts w:ascii="Verdana" w:hAnsi="Verdana"/>
          <w:sz w:val="20"/>
          <w:szCs w:val="20"/>
          <w:lang w:val="es-CR"/>
        </w:rPr>
        <w:t xml:space="preserve">. Es decir, la interpretación que hace la Corte no es –ni debe ser– absolutamente libre, sino que se debe realizar en el marco de lo previsto por reglas secundarias de derecho internacional que determinan </w:t>
      </w:r>
      <w:r w:rsidR="00140F35">
        <w:rPr>
          <w:rFonts w:ascii="Verdana" w:hAnsi="Verdana"/>
          <w:sz w:val="20"/>
          <w:szCs w:val="20"/>
          <w:lang w:val="es-CR"/>
        </w:rPr>
        <w:t>la obligatoriedad</w:t>
      </w:r>
      <w:r w:rsidRPr="00861EE1">
        <w:rPr>
          <w:rFonts w:ascii="Verdana" w:hAnsi="Verdana"/>
          <w:sz w:val="20"/>
          <w:szCs w:val="20"/>
          <w:lang w:val="es-CR"/>
        </w:rPr>
        <w:t xml:space="preserve"> de las fuentes del derecho y la manera en que estas deben ser interpretadas (como lo es el artículo 38 del Estatuto de la </w:t>
      </w:r>
      <w:r w:rsidR="00DA3934">
        <w:rPr>
          <w:rFonts w:ascii="Verdana" w:hAnsi="Verdana"/>
          <w:sz w:val="20"/>
          <w:szCs w:val="20"/>
          <w:lang w:val="es-CR"/>
        </w:rPr>
        <w:t>Corte Internacional de Justicia</w:t>
      </w:r>
      <w:r w:rsidR="00DA3934" w:rsidRPr="00861EE1">
        <w:rPr>
          <w:rFonts w:ascii="Verdana" w:hAnsi="Verdana"/>
          <w:sz w:val="20"/>
          <w:szCs w:val="20"/>
          <w:lang w:val="es-CR"/>
        </w:rPr>
        <w:t xml:space="preserve"> </w:t>
      </w:r>
      <w:r w:rsidRPr="00861EE1">
        <w:rPr>
          <w:rFonts w:ascii="Verdana" w:hAnsi="Verdana"/>
          <w:sz w:val="20"/>
          <w:szCs w:val="20"/>
          <w:lang w:val="es-CR"/>
        </w:rPr>
        <w:t xml:space="preserve">o la propia </w:t>
      </w:r>
      <w:r w:rsidR="00DA3934">
        <w:rPr>
          <w:rFonts w:ascii="Verdana" w:hAnsi="Verdana"/>
          <w:sz w:val="20"/>
          <w:szCs w:val="20"/>
          <w:lang w:val="es-CR"/>
        </w:rPr>
        <w:t>Convención de Viena sobre el Derecho de los Tratados</w:t>
      </w:r>
      <w:r w:rsidRPr="00861EE1">
        <w:rPr>
          <w:rFonts w:ascii="Verdana" w:hAnsi="Verdana"/>
          <w:sz w:val="20"/>
          <w:szCs w:val="20"/>
          <w:lang w:val="es-CR"/>
        </w:rPr>
        <w:t>). La Corte Interamericana es un tribunal internacional y, por tanto, es razonable asumir que se comporte como tal.</w:t>
      </w:r>
      <w:r w:rsidR="00985B0A">
        <w:rPr>
          <w:rFonts w:ascii="Verdana" w:hAnsi="Verdana"/>
          <w:sz w:val="20"/>
          <w:szCs w:val="20"/>
          <w:lang w:val="es-CR"/>
        </w:rPr>
        <w:t xml:space="preserve"> Esta labor será especialmente relevante en la medida en que la Corte comience a “desarrollar” el contenido de los DESC</w:t>
      </w:r>
      <w:r w:rsidR="00D35C59">
        <w:rPr>
          <w:rFonts w:ascii="Verdana" w:hAnsi="Verdana"/>
          <w:sz w:val="20"/>
          <w:szCs w:val="20"/>
          <w:lang w:val="es-CR"/>
        </w:rPr>
        <w:t>A</w:t>
      </w:r>
      <w:r w:rsidR="00985B0A">
        <w:rPr>
          <w:rFonts w:ascii="Verdana" w:hAnsi="Verdana"/>
          <w:sz w:val="20"/>
          <w:szCs w:val="20"/>
          <w:lang w:val="es-CR"/>
        </w:rPr>
        <w:t xml:space="preserve"> a la luz de la interpretación que ha seguido desde el caso </w:t>
      </w:r>
      <w:r w:rsidR="00985B0A">
        <w:rPr>
          <w:rFonts w:ascii="Verdana" w:hAnsi="Verdana"/>
          <w:i/>
          <w:sz w:val="20"/>
          <w:szCs w:val="20"/>
          <w:lang w:val="es-CR"/>
        </w:rPr>
        <w:t>Lagos del Campo</w:t>
      </w:r>
      <w:r w:rsidR="00985B0A">
        <w:rPr>
          <w:rFonts w:ascii="Verdana" w:hAnsi="Verdana"/>
          <w:sz w:val="20"/>
          <w:szCs w:val="20"/>
          <w:lang w:val="es-CR"/>
        </w:rPr>
        <w:t xml:space="preserve"> y con la que he manifestado mi desacuerdo.</w:t>
      </w:r>
    </w:p>
    <w:p w14:paraId="30DFB368" w14:textId="25922A20" w:rsidR="001C66C8" w:rsidRPr="001C66C8" w:rsidRDefault="001C66C8" w:rsidP="001C66C8">
      <w:pPr>
        <w:jc w:val="both"/>
        <w:rPr>
          <w:rFonts w:ascii="Verdana" w:hAnsi="Verdana"/>
          <w:lang w:val="es-CR"/>
        </w:rPr>
      </w:pPr>
    </w:p>
    <w:p w14:paraId="3D232261" w14:textId="1914FE56" w:rsidR="0089740C" w:rsidRDefault="0089740C" w:rsidP="009D7294">
      <w:pPr>
        <w:jc w:val="both"/>
        <w:rPr>
          <w:rFonts w:ascii="Verdana" w:hAnsi="Verdana"/>
          <w:lang w:val="es-CR"/>
        </w:rPr>
      </w:pPr>
    </w:p>
    <w:p w14:paraId="07EAB43D" w14:textId="77777777" w:rsidR="00035BF0" w:rsidRDefault="00035BF0" w:rsidP="00035BF0">
      <w:pPr>
        <w:pStyle w:val="ListParagraph"/>
        <w:jc w:val="center"/>
        <w:rPr>
          <w:rFonts w:ascii="Verdana" w:hAnsi="Verdana"/>
          <w:sz w:val="20"/>
          <w:szCs w:val="20"/>
          <w:lang w:val="es-ES"/>
        </w:rPr>
      </w:pPr>
    </w:p>
    <w:p w14:paraId="52114932" w14:textId="77777777" w:rsidR="00A71CD3" w:rsidRDefault="00A71CD3" w:rsidP="00035BF0">
      <w:pPr>
        <w:pStyle w:val="ListParagraph"/>
        <w:jc w:val="center"/>
        <w:rPr>
          <w:rFonts w:ascii="Verdana" w:hAnsi="Verdana"/>
          <w:sz w:val="20"/>
          <w:szCs w:val="20"/>
          <w:lang w:val="es-ES"/>
        </w:rPr>
      </w:pPr>
    </w:p>
    <w:p w14:paraId="6D934F77" w14:textId="77777777" w:rsidR="001C66C8" w:rsidRDefault="001C66C8" w:rsidP="00035BF0">
      <w:pPr>
        <w:pStyle w:val="ListParagraph"/>
        <w:jc w:val="center"/>
        <w:rPr>
          <w:rFonts w:ascii="Verdana" w:hAnsi="Verdana"/>
          <w:sz w:val="20"/>
          <w:szCs w:val="20"/>
          <w:lang w:val="es-ES"/>
        </w:rPr>
      </w:pPr>
    </w:p>
    <w:p w14:paraId="475C8942" w14:textId="77777777" w:rsidR="001C66C8" w:rsidRDefault="001C66C8" w:rsidP="00035BF0">
      <w:pPr>
        <w:pStyle w:val="ListParagraph"/>
        <w:jc w:val="center"/>
        <w:rPr>
          <w:rFonts w:ascii="Verdana" w:hAnsi="Verdana"/>
          <w:sz w:val="20"/>
          <w:szCs w:val="20"/>
          <w:lang w:val="es-ES"/>
        </w:rPr>
      </w:pPr>
    </w:p>
    <w:p w14:paraId="440A7A93" w14:textId="22917D88" w:rsidR="001C66C8" w:rsidRPr="00035BF0" w:rsidRDefault="001C66C8" w:rsidP="00035BF0">
      <w:pPr>
        <w:pStyle w:val="ListParagraph"/>
        <w:jc w:val="center"/>
        <w:rPr>
          <w:rFonts w:ascii="Verdana" w:hAnsi="Verdana"/>
          <w:sz w:val="20"/>
          <w:szCs w:val="20"/>
          <w:lang w:val="es-ES"/>
        </w:rPr>
      </w:pPr>
    </w:p>
    <w:p w14:paraId="7C31F67A" w14:textId="77777777" w:rsidR="00035BF0" w:rsidRPr="00035BF0" w:rsidRDefault="00035BF0" w:rsidP="00035BF0">
      <w:pPr>
        <w:ind w:left="4248"/>
        <w:jc w:val="center"/>
        <w:rPr>
          <w:rFonts w:ascii="Verdana" w:hAnsi="Verdana"/>
          <w:lang w:val="es-CR"/>
        </w:rPr>
      </w:pPr>
      <w:r w:rsidRPr="00035BF0">
        <w:rPr>
          <w:rFonts w:ascii="Verdana" w:hAnsi="Verdana"/>
          <w:lang w:val="pt-BR"/>
        </w:rPr>
        <w:t>Humberto Antonio Sierra Porto</w:t>
      </w:r>
    </w:p>
    <w:p w14:paraId="23C99511" w14:textId="4C27D676" w:rsidR="00035BF0" w:rsidRPr="00585BA5" w:rsidRDefault="00035BF0" w:rsidP="00035BF0">
      <w:pPr>
        <w:ind w:left="4248"/>
        <w:jc w:val="center"/>
        <w:rPr>
          <w:rFonts w:ascii="Verdana" w:hAnsi="Verdana"/>
          <w:lang w:val="es-CR"/>
        </w:rPr>
      </w:pPr>
      <w:r w:rsidRPr="00585BA5">
        <w:rPr>
          <w:rFonts w:ascii="Verdana" w:hAnsi="Verdana"/>
          <w:lang w:val="es-CR"/>
        </w:rPr>
        <w:t>Juez</w:t>
      </w:r>
    </w:p>
    <w:p w14:paraId="0768727D" w14:textId="77777777" w:rsidR="00035BF0" w:rsidRPr="00DB0D75" w:rsidRDefault="00035BF0" w:rsidP="00035BF0">
      <w:pPr>
        <w:tabs>
          <w:tab w:val="left" w:pos="1440"/>
        </w:tabs>
        <w:jc w:val="center"/>
        <w:rPr>
          <w:rFonts w:ascii="Verdana" w:hAnsi="Verdana"/>
          <w:highlight w:val="yellow"/>
          <w:lang w:val="es-CR"/>
        </w:rPr>
      </w:pPr>
    </w:p>
    <w:p w14:paraId="4CFCD98F" w14:textId="77777777" w:rsidR="00035BF0" w:rsidRPr="00DB0D75" w:rsidRDefault="00035BF0" w:rsidP="00035BF0">
      <w:pPr>
        <w:tabs>
          <w:tab w:val="left" w:pos="1440"/>
        </w:tabs>
        <w:rPr>
          <w:rFonts w:ascii="Verdana" w:hAnsi="Verdana"/>
          <w:highlight w:val="yellow"/>
          <w:lang w:val="es-CR"/>
        </w:rPr>
      </w:pPr>
    </w:p>
    <w:p w14:paraId="4D84E7EF" w14:textId="77777777" w:rsidR="001C66C8" w:rsidRPr="00DB0D75" w:rsidRDefault="001C66C8" w:rsidP="00035BF0">
      <w:pPr>
        <w:tabs>
          <w:tab w:val="left" w:pos="1440"/>
        </w:tabs>
        <w:rPr>
          <w:rFonts w:ascii="Verdana" w:hAnsi="Verdana"/>
          <w:highlight w:val="yellow"/>
          <w:lang w:val="es-CR"/>
        </w:rPr>
      </w:pPr>
    </w:p>
    <w:p w14:paraId="7EC2ABB0" w14:textId="77777777" w:rsidR="001C66C8" w:rsidRPr="00DB0D75" w:rsidRDefault="001C66C8" w:rsidP="00035BF0">
      <w:pPr>
        <w:tabs>
          <w:tab w:val="left" w:pos="1440"/>
        </w:tabs>
        <w:rPr>
          <w:rFonts w:ascii="Verdana" w:hAnsi="Verdana"/>
          <w:highlight w:val="yellow"/>
          <w:lang w:val="es-CR"/>
        </w:rPr>
      </w:pPr>
    </w:p>
    <w:p w14:paraId="436D3CB2" w14:textId="6A86D3A8" w:rsidR="00190080" w:rsidRPr="00DB0D75" w:rsidRDefault="00190080" w:rsidP="00035BF0">
      <w:pPr>
        <w:tabs>
          <w:tab w:val="left" w:pos="1440"/>
        </w:tabs>
        <w:rPr>
          <w:rFonts w:ascii="Verdana" w:hAnsi="Verdana"/>
          <w:highlight w:val="yellow"/>
          <w:lang w:val="es-CR"/>
        </w:rPr>
      </w:pPr>
    </w:p>
    <w:p w14:paraId="50BE4FBB" w14:textId="68292565" w:rsidR="00190080" w:rsidRPr="00DB0D75" w:rsidRDefault="00190080" w:rsidP="00035BF0">
      <w:pPr>
        <w:tabs>
          <w:tab w:val="left" w:pos="1440"/>
        </w:tabs>
        <w:rPr>
          <w:rFonts w:ascii="Verdana" w:hAnsi="Verdana"/>
          <w:highlight w:val="yellow"/>
          <w:lang w:val="es-CR"/>
        </w:rPr>
      </w:pPr>
    </w:p>
    <w:p w14:paraId="0D418669" w14:textId="77777777" w:rsidR="001C66C8" w:rsidRPr="00DB0D75" w:rsidRDefault="001C66C8" w:rsidP="00035BF0">
      <w:pPr>
        <w:tabs>
          <w:tab w:val="left" w:pos="1440"/>
        </w:tabs>
        <w:rPr>
          <w:rFonts w:ascii="Verdana" w:hAnsi="Verdana"/>
          <w:highlight w:val="yellow"/>
          <w:lang w:val="es-CR"/>
        </w:rPr>
      </w:pPr>
    </w:p>
    <w:p w14:paraId="25CE2D35" w14:textId="5CCDD8C1" w:rsidR="001C66C8" w:rsidRPr="00DB0D75" w:rsidRDefault="001C66C8" w:rsidP="00035BF0">
      <w:pPr>
        <w:tabs>
          <w:tab w:val="left" w:pos="1440"/>
        </w:tabs>
        <w:rPr>
          <w:rFonts w:ascii="Verdana" w:hAnsi="Verdana"/>
          <w:highlight w:val="yellow"/>
          <w:lang w:val="es-CR"/>
        </w:rPr>
      </w:pPr>
    </w:p>
    <w:p w14:paraId="1B332CFA" w14:textId="5F6789F6" w:rsidR="00035BF0" w:rsidRPr="00035BF0" w:rsidRDefault="00190080" w:rsidP="00035BF0">
      <w:pPr>
        <w:tabs>
          <w:tab w:val="left" w:pos="1440"/>
        </w:tabs>
        <w:rPr>
          <w:rFonts w:ascii="Verdana" w:hAnsi="Verdana"/>
          <w:lang w:val="es-CR"/>
        </w:rPr>
      </w:pPr>
      <w:r w:rsidRPr="00585BA5">
        <w:rPr>
          <w:rFonts w:ascii="Verdana" w:hAnsi="Verdana"/>
          <w:lang w:val="es-CR"/>
        </w:rPr>
        <w:t xml:space="preserve">        </w:t>
      </w:r>
      <w:r w:rsidR="00585BA5">
        <w:rPr>
          <w:rFonts w:ascii="Verdana" w:hAnsi="Verdana"/>
          <w:lang w:val="es-CR"/>
        </w:rPr>
        <w:t>Emilia Segares Rodríguez</w:t>
      </w:r>
    </w:p>
    <w:p w14:paraId="15512720" w14:textId="4BEE5990" w:rsidR="00924DAA" w:rsidRPr="00B61D76" w:rsidRDefault="00035BF0" w:rsidP="00B61D76">
      <w:pPr>
        <w:tabs>
          <w:tab w:val="left" w:pos="1440"/>
        </w:tabs>
        <w:rPr>
          <w:rFonts w:ascii="Verdana" w:hAnsi="Verdana"/>
        </w:rPr>
      </w:pPr>
      <w:r>
        <w:rPr>
          <w:rFonts w:ascii="Verdana" w:hAnsi="Verdana"/>
        </w:rPr>
        <w:t xml:space="preserve">        </w:t>
      </w:r>
      <w:r w:rsidR="00190080">
        <w:rPr>
          <w:rFonts w:ascii="Verdana" w:hAnsi="Verdana"/>
        </w:rPr>
        <w:t xml:space="preserve">   </w:t>
      </w:r>
      <w:r>
        <w:rPr>
          <w:rFonts w:ascii="Verdana" w:hAnsi="Verdana"/>
        </w:rPr>
        <w:t xml:space="preserve">  </w:t>
      </w:r>
      <w:r w:rsidRPr="00035BF0">
        <w:rPr>
          <w:rFonts w:ascii="Verdana" w:hAnsi="Verdana"/>
        </w:rPr>
        <w:t>Secretari</w:t>
      </w:r>
      <w:r w:rsidR="00585BA5">
        <w:rPr>
          <w:rFonts w:ascii="Verdana" w:hAnsi="Verdana"/>
        </w:rPr>
        <w:t>a Adjunta</w:t>
      </w:r>
    </w:p>
    <w:sectPr w:rsidR="00924DAA" w:rsidRPr="00B61D76" w:rsidSect="00FF2C63">
      <w:headerReference w:type="default" r:id="rId12"/>
      <w:footerReference w:type="default" r:id="rId13"/>
      <w:pgSz w:w="12240" w:h="15840"/>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94BD1" w15:done="0"/>
  <w15:commentEx w15:paraId="2B83ACA2" w15:done="0"/>
  <w15:commentEx w15:paraId="0A828072" w15:done="0"/>
  <w15:commentEx w15:paraId="0364FAC2" w15:done="0"/>
  <w15:commentEx w15:paraId="585EB17A" w15:done="0"/>
  <w15:commentEx w15:paraId="4A133ED0" w15:done="0"/>
  <w15:commentEx w15:paraId="680A5CFE" w15:done="0"/>
  <w15:commentEx w15:paraId="5F89C7CE" w15:done="0"/>
  <w15:commentEx w15:paraId="2CD9F42B" w15:done="0"/>
  <w15:commentEx w15:paraId="59B109CC" w15:done="0"/>
  <w15:commentEx w15:paraId="3465BC80" w15:done="0"/>
  <w15:commentEx w15:paraId="480145CC" w15:done="0"/>
  <w15:commentEx w15:paraId="38F93B52" w15:done="0"/>
  <w15:commentEx w15:paraId="609FF3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E701E" w16cid:durableId="1DDB9626"/>
  <w16cid:commentId w16cid:paraId="4123CE3C" w16cid:durableId="1DDB8C9D"/>
  <w16cid:commentId w16cid:paraId="0405936D" w16cid:durableId="1DDB8C7A"/>
  <w16cid:commentId w16cid:paraId="5392D2C2" w16cid:durableId="1DDB8D01"/>
  <w16cid:commentId w16cid:paraId="0E87BFA4" w16cid:durableId="1DDB8D37"/>
  <w16cid:commentId w16cid:paraId="0BBCCE1E" w16cid:durableId="1DDB88F0"/>
  <w16cid:commentId w16cid:paraId="45FBC89E" w16cid:durableId="1DDB8DAD"/>
  <w16cid:commentId w16cid:paraId="5BFE5990" w16cid:durableId="1DDB887D"/>
  <w16cid:commentId w16cid:paraId="365E6B8A" w16cid:durableId="1DDB8D98"/>
  <w16cid:commentId w16cid:paraId="7DDCC18E" w16cid:durableId="1DDB8E9C"/>
  <w16cid:commentId w16cid:paraId="7EDD635E" w16cid:durableId="1DDB94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91956" w14:textId="77777777" w:rsidR="00DD607A" w:rsidRDefault="00DD607A" w:rsidP="00CD29C6">
      <w:r>
        <w:separator/>
      </w:r>
    </w:p>
  </w:endnote>
  <w:endnote w:type="continuationSeparator" w:id="0">
    <w:p w14:paraId="301633CC" w14:textId="77777777" w:rsidR="00DD607A" w:rsidRDefault="00DD607A" w:rsidP="00CD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1D93" w14:textId="77777777" w:rsidR="00DD607A" w:rsidRDefault="00DD607A">
    <w:pPr>
      <w:pStyle w:val="Footer"/>
      <w:jc w:val="right"/>
    </w:pPr>
  </w:p>
  <w:p w14:paraId="4FFB8F1B" w14:textId="77777777" w:rsidR="00DD607A" w:rsidRDefault="00D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6A1DB" w14:textId="77777777" w:rsidR="00DD607A" w:rsidRDefault="00DD607A" w:rsidP="00CD29C6">
      <w:r>
        <w:separator/>
      </w:r>
    </w:p>
  </w:footnote>
  <w:footnote w:type="continuationSeparator" w:id="0">
    <w:p w14:paraId="6B99CD50" w14:textId="77777777" w:rsidR="00DD607A" w:rsidRDefault="00DD607A" w:rsidP="00CD29C6">
      <w:r>
        <w:continuationSeparator/>
      </w:r>
    </w:p>
  </w:footnote>
  <w:footnote w:id="1">
    <w:p w14:paraId="20DAE293" w14:textId="77777777" w:rsidR="00DD607A" w:rsidRPr="00A71CD3" w:rsidRDefault="00DD607A" w:rsidP="00DB0D75">
      <w:pPr>
        <w:pStyle w:val="FootnoteText"/>
        <w:jc w:val="both"/>
        <w:rPr>
          <w:rFonts w:ascii="Verdana" w:hAnsi="Verdana"/>
          <w:bCs/>
          <w:color w:val="000000"/>
          <w:sz w:val="16"/>
          <w:szCs w:val="16"/>
          <w:shd w:val="clear" w:color="auto" w:fill="FFFFFF"/>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b/>
          <w:sz w:val="16"/>
          <w:szCs w:val="16"/>
        </w:rPr>
        <w:tab/>
      </w:r>
      <w:r w:rsidRPr="00A71CD3">
        <w:rPr>
          <w:rStyle w:val="Strong"/>
          <w:rFonts w:ascii="Verdana" w:hAnsi="Verdana"/>
          <w:b w:val="0"/>
          <w:i/>
          <w:color w:val="000000"/>
          <w:sz w:val="16"/>
          <w:szCs w:val="16"/>
          <w:shd w:val="clear" w:color="auto" w:fill="FFFFFF"/>
        </w:rPr>
        <w:t xml:space="preserve">Caso Lagos del Campo Vs. Perú. </w:t>
      </w:r>
      <w:r w:rsidRPr="00A71CD3">
        <w:rPr>
          <w:rFonts w:ascii="Verdana" w:hAnsi="Verdana"/>
          <w:bCs/>
          <w:i/>
          <w:color w:val="000000"/>
          <w:sz w:val="16"/>
          <w:szCs w:val="16"/>
          <w:shd w:val="clear" w:color="auto" w:fill="FFFFFF"/>
          <w:lang w:val="es-ES_tradnl"/>
        </w:rPr>
        <w:t xml:space="preserve">Excepciones Preliminares, Fondo, Reparaciones y Costas. </w:t>
      </w:r>
      <w:r w:rsidRPr="004C1688">
        <w:rPr>
          <w:rFonts w:ascii="Verdana" w:hAnsi="Verdana"/>
          <w:bCs/>
          <w:color w:val="000000"/>
          <w:sz w:val="16"/>
          <w:szCs w:val="16"/>
          <w:shd w:val="clear" w:color="auto" w:fill="FFFFFF"/>
          <w:lang w:val="es-ES_tradnl"/>
        </w:rPr>
        <w:t>Sentencia de 31 de agosto de 2017. Serie C No. 340.</w:t>
      </w:r>
      <w:r w:rsidRPr="00A71CD3">
        <w:rPr>
          <w:rFonts w:ascii="Verdana" w:hAnsi="Verdana"/>
          <w:bCs/>
          <w:i/>
          <w:color w:val="000000"/>
          <w:sz w:val="16"/>
          <w:szCs w:val="16"/>
          <w:shd w:val="clear" w:color="auto" w:fill="FFFFFF"/>
          <w:lang w:val="es-ES_tradnl"/>
        </w:rPr>
        <w:t xml:space="preserve"> </w:t>
      </w:r>
      <w:r w:rsidRPr="00A71CD3">
        <w:rPr>
          <w:rStyle w:val="Strong"/>
          <w:rFonts w:ascii="Verdana" w:hAnsi="Verdana"/>
          <w:b w:val="0"/>
          <w:color w:val="000000"/>
          <w:sz w:val="16"/>
          <w:szCs w:val="16"/>
          <w:shd w:val="clear" w:color="auto" w:fill="FFFFFF"/>
        </w:rPr>
        <w:t xml:space="preserve">Voto parcialmente disidente del Juez Antonio Humberto Sierra Porto. </w:t>
      </w:r>
    </w:p>
  </w:footnote>
  <w:footnote w:id="2">
    <w:p w14:paraId="0832F25E" w14:textId="77777777" w:rsidR="00DD607A" w:rsidRPr="00A71CD3" w:rsidRDefault="00DD607A" w:rsidP="00DB0D75">
      <w:pPr>
        <w:pStyle w:val="FootnoteText"/>
        <w:jc w:val="both"/>
        <w:rPr>
          <w:rFonts w:ascii="Verdana" w:eastAsia="Calibri" w:hAnsi="Verdana"/>
          <w:b/>
          <w:bCs/>
          <w:color w:val="000000"/>
          <w:sz w:val="16"/>
          <w:szCs w:val="16"/>
          <w:shd w:val="clear" w:color="auto" w:fill="FFFFFF"/>
          <w:lang w:val="es-ES_tradnl"/>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i/>
          <w:sz w:val="16"/>
          <w:szCs w:val="16"/>
        </w:rPr>
        <w:tab/>
      </w:r>
      <w:r w:rsidRPr="00A71CD3">
        <w:rPr>
          <w:rFonts w:ascii="Verdana" w:hAnsi="Verdana"/>
          <w:bCs/>
          <w:i/>
          <w:sz w:val="16"/>
          <w:szCs w:val="16"/>
          <w:lang w:val="es-ES_tradnl"/>
        </w:rPr>
        <w:t xml:space="preserve">Caso Trabajadores Cesados de Petroperú y otros Vs. Perú. Excepciones Preliminares, Fondo, Reparaciones y Costas. </w:t>
      </w:r>
      <w:r w:rsidRPr="004C1688">
        <w:rPr>
          <w:rFonts w:ascii="Verdana" w:hAnsi="Verdana"/>
          <w:bCs/>
          <w:sz w:val="16"/>
          <w:szCs w:val="16"/>
          <w:lang w:val="es-ES_tradnl"/>
        </w:rPr>
        <w:t>Sentencia de 23 de noviembre de 2017. Serie C No. 344</w:t>
      </w:r>
      <w:r w:rsidRPr="00A71CD3">
        <w:rPr>
          <w:rFonts w:ascii="Verdana" w:hAnsi="Verdana"/>
          <w:bCs/>
          <w:i/>
          <w:sz w:val="16"/>
          <w:szCs w:val="16"/>
          <w:lang w:val="es-ES_tradnl"/>
        </w:rPr>
        <w:t>.</w:t>
      </w:r>
      <w:r w:rsidRPr="00A71CD3">
        <w:rPr>
          <w:rFonts w:ascii="Verdana" w:hAnsi="Verdana"/>
          <w:bCs/>
          <w:sz w:val="16"/>
          <w:szCs w:val="16"/>
          <w:lang w:val="es-ES_tradnl"/>
        </w:rPr>
        <w:t xml:space="preserve"> </w:t>
      </w:r>
      <w:r w:rsidRPr="00A71CD3">
        <w:rPr>
          <w:rStyle w:val="Strong"/>
          <w:rFonts w:ascii="Verdana" w:hAnsi="Verdana"/>
          <w:b w:val="0"/>
          <w:color w:val="000000"/>
          <w:sz w:val="16"/>
          <w:szCs w:val="16"/>
          <w:shd w:val="clear" w:color="auto" w:fill="FFFFFF"/>
        </w:rPr>
        <w:t xml:space="preserve">Voto parcialmente disidente del Juez Antonio Humberto Sierra Porto. </w:t>
      </w:r>
    </w:p>
  </w:footnote>
  <w:footnote w:id="3">
    <w:p w14:paraId="2588AA86" w14:textId="77777777" w:rsidR="00DD607A" w:rsidRPr="00154A93" w:rsidRDefault="00DD607A" w:rsidP="00DB0D75">
      <w:pPr>
        <w:pStyle w:val="FootnoteText"/>
        <w:jc w:val="both"/>
        <w:rPr>
          <w:rFonts w:ascii="Verdana" w:hAnsi="Verdana"/>
          <w:b/>
          <w:sz w:val="16"/>
          <w:szCs w:val="16"/>
        </w:rPr>
      </w:pPr>
      <w:r w:rsidRPr="00154A93">
        <w:rPr>
          <w:rStyle w:val="FootnoteReference"/>
          <w:rFonts w:ascii="Verdana" w:hAnsi="Verdana"/>
          <w:b/>
          <w:sz w:val="16"/>
          <w:szCs w:val="16"/>
        </w:rPr>
        <w:footnoteRef/>
      </w:r>
      <w:r w:rsidRPr="00154A93">
        <w:rPr>
          <w:rFonts w:ascii="Verdana" w:hAnsi="Verdana"/>
          <w:b/>
          <w:sz w:val="16"/>
          <w:szCs w:val="16"/>
        </w:rPr>
        <w:t xml:space="preserve"> </w:t>
      </w:r>
      <w:r w:rsidRPr="00154A93">
        <w:rPr>
          <w:rFonts w:ascii="Verdana" w:hAnsi="Verdana"/>
          <w:b/>
          <w:sz w:val="16"/>
          <w:szCs w:val="16"/>
        </w:rPr>
        <w:tab/>
      </w:r>
      <w:r w:rsidRPr="00154A93">
        <w:rPr>
          <w:rStyle w:val="Strong"/>
          <w:rFonts w:ascii="Verdana" w:hAnsi="Verdana"/>
          <w:b w:val="0"/>
          <w:i/>
          <w:color w:val="000000"/>
          <w:sz w:val="16"/>
          <w:szCs w:val="16"/>
          <w:shd w:val="clear" w:color="auto" w:fill="FFFFFF"/>
        </w:rPr>
        <w:t>Caso San Miguel Sosa y otras Vs. Venezuela. Fondo, Reparaciones y Costas.</w:t>
      </w:r>
      <w:r w:rsidRPr="00154A93">
        <w:rPr>
          <w:rStyle w:val="Strong"/>
          <w:rFonts w:ascii="Verdana" w:hAnsi="Verdana"/>
          <w:b w:val="0"/>
          <w:color w:val="000000"/>
          <w:sz w:val="16"/>
          <w:szCs w:val="16"/>
          <w:shd w:val="clear" w:color="auto" w:fill="FFFFFF"/>
        </w:rPr>
        <w:t xml:space="preserve"> Sentencia de 8 de febrero de 2018. Serie C No. 348. Voto parcialmente disidente del Juez Humberto A. Sierra Porto.</w:t>
      </w:r>
    </w:p>
  </w:footnote>
  <w:footnote w:id="4">
    <w:p w14:paraId="07029284" w14:textId="77777777" w:rsidR="00DD607A" w:rsidRPr="00A71CD3" w:rsidRDefault="00DD607A" w:rsidP="00DB0D75">
      <w:pPr>
        <w:pStyle w:val="FootnoteText"/>
        <w:jc w:val="both"/>
        <w:rPr>
          <w:rFonts w:ascii="Verdana" w:hAnsi="Verdana"/>
          <w:bCs/>
          <w:color w:val="000000"/>
          <w:sz w:val="16"/>
          <w:szCs w:val="16"/>
          <w:shd w:val="clear" w:color="auto" w:fill="FFFFFF"/>
          <w:lang w:val="es-ES_tradnl"/>
        </w:rPr>
      </w:pPr>
      <w:r w:rsidRPr="00A71CD3">
        <w:rPr>
          <w:rStyle w:val="FootnoteReference"/>
          <w:rFonts w:ascii="Verdana" w:hAnsi="Verdana"/>
          <w:sz w:val="16"/>
          <w:szCs w:val="16"/>
        </w:rPr>
        <w:footnoteRef/>
      </w:r>
      <w:r w:rsidRPr="00A71CD3">
        <w:rPr>
          <w:rFonts w:ascii="Verdana" w:hAnsi="Verdana"/>
          <w:b/>
          <w:sz w:val="16"/>
          <w:szCs w:val="16"/>
        </w:rPr>
        <w:t xml:space="preserve"> </w:t>
      </w:r>
      <w:r w:rsidRPr="00A71CD3">
        <w:rPr>
          <w:rFonts w:ascii="Verdana" w:hAnsi="Verdana"/>
          <w:b/>
          <w:sz w:val="16"/>
          <w:szCs w:val="16"/>
          <w:lang w:val="es-CR"/>
        </w:rPr>
        <w:tab/>
      </w:r>
      <w:r w:rsidRPr="00A71CD3">
        <w:rPr>
          <w:rStyle w:val="Strong"/>
          <w:rFonts w:ascii="Verdana" w:hAnsi="Verdana"/>
          <w:b w:val="0"/>
          <w:i/>
          <w:color w:val="000000"/>
          <w:sz w:val="16"/>
          <w:szCs w:val="16"/>
          <w:shd w:val="clear" w:color="auto" w:fill="FFFFFF"/>
        </w:rPr>
        <w:t xml:space="preserve">Caso Gonzales Lluy y otros Vs. Ecuador. </w:t>
      </w:r>
      <w:r w:rsidRPr="00A71CD3">
        <w:rPr>
          <w:rFonts w:ascii="Verdana" w:hAnsi="Verdana"/>
          <w:bCs/>
          <w:i/>
          <w:color w:val="000000"/>
          <w:sz w:val="16"/>
          <w:szCs w:val="16"/>
          <w:shd w:val="clear" w:color="auto" w:fill="FFFFFF"/>
          <w:lang w:val="es-ES_tradnl"/>
        </w:rPr>
        <w:t xml:space="preserve">Excepciones Preliminares, Fondo, Reparaciones y Costas. </w:t>
      </w:r>
      <w:r w:rsidRPr="004C1688">
        <w:rPr>
          <w:rFonts w:ascii="Verdana" w:hAnsi="Verdana"/>
          <w:bCs/>
          <w:color w:val="000000"/>
          <w:sz w:val="16"/>
          <w:szCs w:val="16"/>
          <w:shd w:val="clear" w:color="auto" w:fill="FFFFFF"/>
          <w:lang w:val="es-ES_tradnl"/>
        </w:rPr>
        <w:t>Sentencia de 1 de septiembre de 2015. Serie C No. 298.</w:t>
      </w:r>
      <w:r w:rsidRPr="00A71CD3">
        <w:rPr>
          <w:rStyle w:val="Strong"/>
          <w:rFonts w:ascii="Verdana" w:hAnsi="Verdana"/>
          <w:b w:val="0"/>
          <w:color w:val="000000"/>
          <w:sz w:val="16"/>
          <w:szCs w:val="16"/>
          <w:shd w:val="clear" w:color="auto" w:fill="FFFFFF"/>
        </w:rPr>
        <w:t xml:space="preserve"> Voto Concurrente del Juez Humberto Antonio Sierra Porto. </w:t>
      </w:r>
    </w:p>
  </w:footnote>
  <w:footnote w:id="5">
    <w:p w14:paraId="08BB73C9" w14:textId="77777777" w:rsidR="00DD607A" w:rsidRPr="00A71CD3" w:rsidRDefault="00DD607A" w:rsidP="00303AE3">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Style w:val="Strong"/>
          <w:rFonts w:ascii="Verdana" w:hAnsi="Verdana"/>
          <w:b w:val="0"/>
          <w:i/>
          <w:color w:val="000000"/>
          <w:sz w:val="16"/>
          <w:szCs w:val="16"/>
          <w:shd w:val="clear" w:color="auto" w:fill="FFFFFF"/>
        </w:rPr>
        <w:t xml:space="preserve">Caso Lagos del Campo Vs. Perú. </w:t>
      </w:r>
      <w:r w:rsidRPr="00A71CD3">
        <w:rPr>
          <w:rFonts w:ascii="Verdana" w:hAnsi="Verdana"/>
          <w:bCs/>
          <w:i/>
          <w:color w:val="000000"/>
          <w:sz w:val="16"/>
          <w:szCs w:val="16"/>
          <w:shd w:val="clear" w:color="auto" w:fill="FFFFFF"/>
          <w:lang w:val="es-ES_tradnl"/>
        </w:rPr>
        <w:t xml:space="preserve">Excepciones Preliminares, Fondo, Reparaciones y Costas. </w:t>
      </w:r>
      <w:r w:rsidRPr="00D728B1">
        <w:rPr>
          <w:rFonts w:ascii="Verdana" w:hAnsi="Verdana"/>
          <w:bCs/>
          <w:color w:val="000000"/>
          <w:sz w:val="16"/>
          <w:szCs w:val="16"/>
          <w:shd w:val="clear" w:color="auto" w:fill="FFFFFF"/>
          <w:lang w:val="es-ES_tradnl"/>
        </w:rPr>
        <w:t>Sentencia de 31 de agosto de 2017. Serie C No. 340. Voto parcialmente disidente del Juez Humberto A. Sierra Porto</w:t>
      </w:r>
      <w:r w:rsidRPr="00A71CD3">
        <w:rPr>
          <w:rFonts w:ascii="Verdana" w:hAnsi="Verdana"/>
          <w:bCs/>
          <w:i/>
          <w:color w:val="000000"/>
          <w:sz w:val="16"/>
          <w:szCs w:val="16"/>
          <w:shd w:val="clear" w:color="auto" w:fill="FFFFFF"/>
          <w:lang w:val="es-ES_tradnl"/>
        </w:rPr>
        <w:t xml:space="preserve">; y Caso Trabajadores Cesados de Petroperú y otros Vs. Perú. Excepciones Preliminares, Fondo, Reparaciones y Costas. </w:t>
      </w:r>
      <w:r w:rsidRPr="00D728B1">
        <w:rPr>
          <w:rFonts w:ascii="Verdana" w:hAnsi="Verdana"/>
          <w:bCs/>
          <w:color w:val="000000"/>
          <w:sz w:val="16"/>
          <w:szCs w:val="16"/>
          <w:shd w:val="clear" w:color="auto" w:fill="FFFFFF"/>
          <w:lang w:val="es-ES_tradnl"/>
        </w:rPr>
        <w:t>Sentencia de 23 de noviembre de 2017. Serie C No. 344. Voto parcialmente disidente del Juez Humberto A. Sierra Porto.</w:t>
      </w:r>
    </w:p>
  </w:footnote>
  <w:footnote w:id="6">
    <w:p w14:paraId="1A55AD17" w14:textId="77777777" w:rsidR="00DD607A" w:rsidRPr="00A71CD3" w:rsidRDefault="00DD607A" w:rsidP="007E22AE">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Style w:val="Strong"/>
          <w:rFonts w:ascii="Verdana" w:hAnsi="Verdana"/>
          <w:b w:val="0"/>
          <w:i/>
          <w:color w:val="000000"/>
          <w:sz w:val="16"/>
          <w:szCs w:val="16"/>
          <w:shd w:val="clear" w:color="auto" w:fill="FFFFFF"/>
        </w:rPr>
        <w:t xml:space="preserve">Caso Lagos del Campo Vs. Perú. </w:t>
      </w:r>
      <w:r w:rsidRPr="00A71CD3">
        <w:rPr>
          <w:rFonts w:ascii="Verdana" w:hAnsi="Verdana"/>
          <w:bCs/>
          <w:i/>
          <w:color w:val="000000"/>
          <w:sz w:val="16"/>
          <w:szCs w:val="16"/>
          <w:shd w:val="clear" w:color="auto" w:fill="FFFFFF"/>
          <w:lang w:val="es-ES_tradnl"/>
        </w:rPr>
        <w:t xml:space="preserve">Excepciones Preliminares, Fondo, Reparaciones y Costas. </w:t>
      </w:r>
      <w:r w:rsidRPr="0092660F">
        <w:rPr>
          <w:rFonts w:ascii="Verdana" w:hAnsi="Verdana"/>
          <w:bCs/>
          <w:color w:val="000000"/>
          <w:sz w:val="16"/>
          <w:szCs w:val="16"/>
          <w:shd w:val="clear" w:color="auto" w:fill="FFFFFF"/>
          <w:lang w:val="es-ES_tradnl"/>
        </w:rPr>
        <w:t xml:space="preserve">Sentencia de 31 de agosto de 2017. </w:t>
      </w:r>
      <w:r w:rsidRPr="00647211">
        <w:rPr>
          <w:rFonts w:ascii="Verdana" w:hAnsi="Verdana"/>
          <w:bCs/>
          <w:color w:val="000000"/>
          <w:sz w:val="16"/>
          <w:szCs w:val="16"/>
          <w:shd w:val="clear" w:color="auto" w:fill="FFFFFF"/>
          <w:lang w:val="es-ES_tradnl"/>
        </w:rPr>
        <w:t>Serie C No. 340.</w:t>
      </w:r>
      <w:r w:rsidRPr="00A71CD3">
        <w:rPr>
          <w:rFonts w:ascii="Verdana" w:hAnsi="Verdana"/>
          <w:bCs/>
          <w:i/>
          <w:color w:val="000000"/>
          <w:sz w:val="16"/>
          <w:szCs w:val="16"/>
          <w:shd w:val="clear" w:color="auto" w:fill="FFFFFF"/>
          <w:lang w:val="es-ES_tradnl"/>
        </w:rPr>
        <w:t xml:space="preserve"> </w:t>
      </w:r>
      <w:r w:rsidRPr="00A71CD3">
        <w:rPr>
          <w:rStyle w:val="Strong"/>
          <w:rFonts w:ascii="Verdana" w:hAnsi="Verdana"/>
          <w:b w:val="0"/>
          <w:color w:val="000000"/>
          <w:sz w:val="16"/>
          <w:szCs w:val="16"/>
          <w:shd w:val="clear" w:color="auto" w:fill="FFFFFF"/>
        </w:rPr>
        <w:t>Voto parcialmente disidente del Juez</w:t>
      </w:r>
      <w:r>
        <w:rPr>
          <w:rStyle w:val="Strong"/>
          <w:rFonts w:ascii="Verdana" w:hAnsi="Verdana"/>
          <w:b w:val="0"/>
          <w:color w:val="000000"/>
          <w:sz w:val="16"/>
          <w:szCs w:val="16"/>
          <w:shd w:val="clear" w:color="auto" w:fill="FFFFFF"/>
        </w:rPr>
        <w:t xml:space="preserve"> Antonio Humberto Sierra Porto, párr. 9 y </w:t>
      </w:r>
      <w:r w:rsidRPr="00A71CD3">
        <w:rPr>
          <w:rFonts w:ascii="Verdana" w:hAnsi="Verdana"/>
          <w:bCs/>
          <w:i/>
          <w:sz w:val="16"/>
          <w:szCs w:val="16"/>
          <w:lang w:val="es-ES_tradnl"/>
        </w:rPr>
        <w:t>Caso Gonzales Lluy y otros Vs. Ecuador. Excepciones Preliminares, Fondo, Reparaciones y Costas.</w:t>
      </w:r>
      <w:r w:rsidRPr="00A71CD3">
        <w:rPr>
          <w:rFonts w:ascii="Verdana" w:hAnsi="Verdana"/>
          <w:bCs/>
          <w:sz w:val="16"/>
          <w:szCs w:val="16"/>
          <w:lang w:val="es-ES_tradnl"/>
        </w:rPr>
        <w:t xml:space="preserve"> Sentencia de 1 de septiembre de 2015. Serie C No. 298</w:t>
      </w:r>
      <w:r>
        <w:rPr>
          <w:rFonts w:ascii="Verdana" w:hAnsi="Verdana"/>
          <w:bCs/>
          <w:sz w:val="16"/>
          <w:szCs w:val="16"/>
          <w:lang w:val="es-ES_tradnl"/>
        </w:rPr>
        <w:t xml:space="preserve">. </w:t>
      </w:r>
      <w:r w:rsidRPr="00A71CD3">
        <w:rPr>
          <w:rStyle w:val="Strong"/>
          <w:rFonts w:ascii="Verdana" w:hAnsi="Verdana"/>
          <w:b w:val="0"/>
          <w:color w:val="000000"/>
          <w:sz w:val="16"/>
          <w:szCs w:val="16"/>
          <w:shd w:val="clear" w:color="auto" w:fill="FFFFFF"/>
        </w:rPr>
        <w:t>Voto parcialmente disidente del Juez</w:t>
      </w:r>
      <w:r>
        <w:rPr>
          <w:rStyle w:val="Strong"/>
          <w:rFonts w:ascii="Verdana" w:hAnsi="Verdana"/>
          <w:b w:val="0"/>
          <w:color w:val="000000"/>
          <w:sz w:val="16"/>
          <w:szCs w:val="16"/>
          <w:shd w:val="clear" w:color="auto" w:fill="FFFFFF"/>
        </w:rPr>
        <w:t xml:space="preserve"> Antonio Humberto Sierra Porto, párrs. 7 a 9</w:t>
      </w:r>
      <w:r>
        <w:rPr>
          <w:rFonts w:ascii="Verdana" w:hAnsi="Verdana"/>
          <w:bCs/>
          <w:sz w:val="16"/>
          <w:szCs w:val="16"/>
          <w:lang w:val="es-ES_tradnl"/>
        </w:rPr>
        <w:t>.</w:t>
      </w:r>
    </w:p>
  </w:footnote>
  <w:footnote w:id="7">
    <w:p w14:paraId="63DE1CFD" w14:textId="77777777" w:rsidR="00DD607A" w:rsidRPr="00A71CD3" w:rsidRDefault="00DD607A" w:rsidP="006D1C60">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t xml:space="preserve">El </w:t>
      </w:r>
      <w:r w:rsidRPr="00A71CD3">
        <w:rPr>
          <w:rFonts w:ascii="Verdana" w:hAnsi="Verdana"/>
          <w:i/>
          <w:sz w:val="16"/>
          <w:szCs w:val="16"/>
        </w:rPr>
        <w:t>Protocolo adicional a la Convención Americana sobre Derechos Humanos en materia de derechos económicos, sociales y culturales "Protocolo de San Salvador"</w:t>
      </w:r>
      <w:r w:rsidRPr="00A71CD3">
        <w:rPr>
          <w:rFonts w:ascii="Verdana" w:hAnsi="Verdana"/>
          <w:sz w:val="16"/>
          <w:szCs w:val="16"/>
        </w:rPr>
        <w:t xml:space="preserve">, establece en el artículo 19.6 lo siguiente: </w:t>
      </w:r>
      <w:r w:rsidRPr="001D195B">
        <w:rPr>
          <w:rFonts w:ascii="Verdana" w:hAnsi="Verdana"/>
          <w:sz w:val="16"/>
          <w:szCs w:val="16"/>
        </w:rPr>
        <w:t>“En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footnote>
  <w:footnote w:id="8">
    <w:p w14:paraId="5B0AFEFF" w14:textId="77777777" w:rsidR="00DD607A" w:rsidRPr="00A71CD3" w:rsidRDefault="00DD607A" w:rsidP="00A71CD3">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Style w:val="Strong"/>
          <w:rFonts w:ascii="Verdana" w:hAnsi="Verdana"/>
          <w:b w:val="0"/>
          <w:i/>
          <w:color w:val="000000"/>
          <w:sz w:val="16"/>
          <w:szCs w:val="16"/>
          <w:shd w:val="clear" w:color="auto" w:fill="FFFFFF"/>
        </w:rPr>
        <w:t xml:space="preserve">Caso Lagos del Campo Vs. Perú. </w:t>
      </w:r>
      <w:r w:rsidRPr="00A71CD3">
        <w:rPr>
          <w:rFonts w:ascii="Verdana" w:hAnsi="Verdana"/>
          <w:bCs/>
          <w:i/>
          <w:color w:val="000000"/>
          <w:sz w:val="16"/>
          <w:szCs w:val="16"/>
          <w:shd w:val="clear" w:color="auto" w:fill="FFFFFF"/>
          <w:lang w:val="es-ES_tradnl"/>
        </w:rPr>
        <w:t xml:space="preserve">Excepciones Preliminares, Fondo, Reparaciones y Costas. </w:t>
      </w:r>
      <w:r w:rsidRPr="004C1688">
        <w:rPr>
          <w:rFonts w:ascii="Verdana" w:hAnsi="Verdana"/>
          <w:bCs/>
          <w:color w:val="000000"/>
          <w:sz w:val="16"/>
          <w:szCs w:val="16"/>
          <w:shd w:val="clear" w:color="auto" w:fill="FFFFFF"/>
          <w:lang w:val="es-ES_tradnl"/>
        </w:rPr>
        <w:t>Sentencia de 31 de agosto de 2017. Serie C No. 340</w:t>
      </w:r>
      <w:r w:rsidRPr="00A71CD3">
        <w:rPr>
          <w:rFonts w:ascii="Verdana" w:hAnsi="Verdana"/>
          <w:bCs/>
          <w:i/>
          <w:color w:val="000000"/>
          <w:sz w:val="16"/>
          <w:szCs w:val="16"/>
          <w:shd w:val="clear" w:color="auto" w:fill="FFFFFF"/>
          <w:lang w:val="es-ES_tradnl"/>
        </w:rPr>
        <w:t xml:space="preserve">. </w:t>
      </w:r>
      <w:r w:rsidRPr="00A71CD3">
        <w:rPr>
          <w:rStyle w:val="Strong"/>
          <w:rFonts w:ascii="Verdana" w:hAnsi="Verdana"/>
          <w:b w:val="0"/>
          <w:color w:val="000000"/>
          <w:sz w:val="16"/>
          <w:szCs w:val="16"/>
          <w:shd w:val="clear" w:color="auto" w:fill="FFFFFF"/>
        </w:rPr>
        <w:t>Voto parcialmente disidente del Juez Antonio Humberto Sierra Porto</w:t>
      </w:r>
      <w:r>
        <w:rPr>
          <w:rStyle w:val="Strong"/>
          <w:rFonts w:ascii="Verdana" w:hAnsi="Verdana"/>
          <w:b w:val="0"/>
          <w:color w:val="000000"/>
          <w:sz w:val="16"/>
          <w:szCs w:val="16"/>
          <w:shd w:val="clear" w:color="auto" w:fill="FFFFFF"/>
        </w:rPr>
        <w:t>, párrs. 15 a 17.</w:t>
      </w:r>
    </w:p>
  </w:footnote>
  <w:footnote w:id="9">
    <w:p w14:paraId="4FE56024" w14:textId="61DC8DB8" w:rsidR="00DD607A" w:rsidRPr="00A71CD3" w:rsidRDefault="00DD607A" w:rsidP="00774CDE">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Fonts w:ascii="Verdana" w:hAnsi="Verdana"/>
          <w:bCs/>
          <w:i/>
          <w:sz w:val="16"/>
          <w:szCs w:val="16"/>
          <w:lang w:val="es-ES_tradnl"/>
        </w:rPr>
        <w:t>Caso Gonzales Lluy y otros Vs. Ecuador. Excepciones Preliminares, Fondo, Reparaciones y Costas.</w:t>
      </w:r>
      <w:r w:rsidRPr="00A71CD3">
        <w:rPr>
          <w:rFonts w:ascii="Verdana" w:hAnsi="Verdana"/>
          <w:bCs/>
          <w:sz w:val="16"/>
          <w:szCs w:val="16"/>
          <w:lang w:val="es-ES_tradnl"/>
        </w:rPr>
        <w:t xml:space="preserve"> Sentencia de 1 de septiembre de 2015. Serie C No. 298</w:t>
      </w:r>
      <w:r>
        <w:rPr>
          <w:rFonts w:ascii="Verdana" w:hAnsi="Verdana"/>
          <w:bCs/>
          <w:sz w:val="16"/>
          <w:szCs w:val="16"/>
          <w:lang w:val="es-ES_tradnl"/>
        </w:rPr>
        <w:t>, párrs. 191 y 229</w:t>
      </w:r>
      <w:r w:rsidRPr="00A71CD3">
        <w:rPr>
          <w:rFonts w:ascii="Verdana" w:hAnsi="Verdana"/>
          <w:bCs/>
          <w:sz w:val="16"/>
          <w:szCs w:val="16"/>
          <w:lang w:val="es-ES_tradnl"/>
        </w:rPr>
        <w:t xml:space="preserve">; </w:t>
      </w:r>
      <w:r w:rsidRPr="00A71CD3">
        <w:rPr>
          <w:rStyle w:val="Strong"/>
          <w:rFonts w:ascii="Verdana" w:hAnsi="Verdana"/>
          <w:b w:val="0"/>
          <w:i/>
          <w:color w:val="000000"/>
          <w:sz w:val="16"/>
          <w:szCs w:val="16"/>
          <w:shd w:val="clear" w:color="auto" w:fill="FFFFFF"/>
        </w:rPr>
        <w:t>Caso Suárez Peralta Vs. Ecuador. Excepciones Preliminares, Fondo, Reparaciones y Costas.</w:t>
      </w:r>
      <w:r w:rsidRPr="00A71CD3">
        <w:rPr>
          <w:rStyle w:val="Strong"/>
          <w:rFonts w:ascii="Verdana" w:hAnsi="Verdana"/>
          <w:b w:val="0"/>
          <w:color w:val="000000"/>
          <w:sz w:val="16"/>
          <w:szCs w:val="16"/>
          <w:shd w:val="clear" w:color="auto" w:fill="FFFFFF"/>
        </w:rPr>
        <w:t xml:space="preserve"> Sentencia de 21 de mayo de 2013. Serie C No. </w:t>
      </w:r>
      <w:r>
        <w:rPr>
          <w:rStyle w:val="Strong"/>
          <w:rFonts w:ascii="Verdana" w:hAnsi="Verdana"/>
          <w:b w:val="0"/>
          <w:color w:val="000000"/>
          <w:sz w:val="16"/>
          <w:szCs w:val="16"/>
          <w:shd w:val="clear" w:color="auto" w:fill="FFFFFF"/>
        </w:rPr>
        <w:t>57, 89 y 90</w:t>
      </w:r>
      <w:r w:rsidRPr="00A71CD3">
        <w:rPr>
          <w:rStyle w:val="Strong"/>
          <w:rFonts w:ascii="Verdana" w:hAnsi="Verdana"/>
          <w:b w:val="0"/>
          <w:color w:val="000000"/>
          <w:sz w:val="16"/>
          <w:szCs w:val="16"/>
          <w:shd w:val="clear" w:color="auto" w:fill="FFFFFF"/>
        </w:rPr>
        <w:t xml:space="preserve">; </w:t>
      </w:r>
      <w:r w:rsidRPr="00A71CD3">
        <w:rPr>
          <w:rStyle w:val="Strong"/>
          <w:rFonts w:ascii="Verdana" w:hAnsi="Verdana"/>
          <w:b w:val="0"/>
          <w:i/>
          <w:color w:val="000000"/>
          <w:sz w:val="16"/>
          <w:szCs w:val="16"/>
          <w:shd w:val="clear" w:color="auto" w:fill="FFFFFF"/>
        </w:rPr>
        <w:t>C</w:t>
      </w:r>
      <w:r w:rsidRPr="00A71CD3">
        <w:rPr>
          <w:rFonts w:ascii="Verdana" w:hAnsi="Verdana"/>
          <w:bCs/>
          <w:i/>
          <w:color w:val="000000"/>
          <w:sz w:val="16"/>
          <w:szCs w:val="16"/>
          <w:shd w:val="clear" w:color="auto" w:fill="FFFFFF"/>
          <w:lang w:val="es-ES_tradnl"/>
        </w:rPr>
        <w:t>aso Lagos del Campo Vs. Perú. Excepciones Preliminares, Fondo, Reparaciones y Costas.</w:t>
      </w:r>
      <w:r w:rsidRPr="00A71CD3">
        <w:rPr>
          <w:rFonts w:ascii="Verdana" w:hAnsi="Verdana"/>
          <w:bCs/>
          <w:color w:val="000000"/>
          <w:sz w:val="16"/>
          <w:szCs w:val="16"/>
          <w:shd w:val="clear" w:color="auto" w:fill="FFFFFF"/>
          <w:lang w:val="es-ES_tradnl"/>
        </w:rPr>
        <w:t xml:space="preserve"> Sentencia de 31 de agosto de 2017. Serie C No. 340</w:t>
      </w:r>
      <w:r>
        <w:rPr>
          <w:rStyle w:val="Strong"/>
          <w:rFonts w:ascii="Verdana" w:hAnsi="Verdana"/>
          <w:b w:val="0"/>
          <w:color w:val="000000"/>
          <w:sz w:val="16"/>
          <w:szCs w:val="16"/>
          <w:shd w:val="clear" w:color="auto" w:fill="FFFFFF"/>
        </w:rPr>
        <w:t>, párr. 154</w:t>
      </w:r>
      <w:r w:rsidRPr="00A71CD3">
        <w:rPr>
          <w:rFonts w:ascii="Verdana" w:hAnsi="Verdana"/>
          <w:bCs/>
          <w:color w:val="000000"/>
          <w:sz w:val="16"/>
          <w:szCs w:val="16"/>
          <w:shd w:val="clear" w:color="auto" w:fill="FFFFFF"/>
          <w:lang w:val="es-ES_tradnl"/>
        </w:rPr>
        <w:t>.</w:t>
      </w:r>
    </w:p>
  </w:footnote>
  <w:footnote w:id="10">
    <w:p w14:paraId="2DA62750" w14:textId="6535B019" w:rsidR="00DD607A" w:rsidRPr="00A71CD3" w:rsidRDefault="00DD607A" w:rsidP="00774CDE">
      <w:pPr>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Style w:val="Strong"/>
          <w:rFonts w:ascii="Verdana" w:hAnsi="Verdana"/>
          <w:b w:val="0"/>
          <w:i/>
          <w:color w:val="000000"/>
          <w:sz w:val="16"/>
          <w:szCs w:val="16"/>
          <w:shd w:val="clear" w:color="auto" w:fill="FFFFFF"/>
        </w:rPr>
        <w:t xml:space="preserve">Caso Lagos del Campo Vs. Perú. </w:t>
      </w:r>
      <w:r w:rsidRPr="00A71CD3">
        <w:rPr>
          <w:rFonts w:ascii="Verdana" w:hAnsi="Verdana"/>
          <w:bCs/>
          <w:i/>
          <w:color w:val="000000"/>
          <w:sz w:val="16"/>
          <w:szCs w:val="16"/>
          <w:shd w:val="clear" w:color="auto" w:fill="FFFFFF"/>
        </w:rPr>
        <w:t xml:space="preserve">Excepciones Preliminares, Fondo, Reparaciones y Costas. </w:t>
      </w:r>
      <w:r w:rsidRPr="004C1688">
        <w:rPr>
          <w:rFonts w:ascii="Verdana" w:hAnsi="Verdana"/>
          <w:bCs/>
          <w:color w:val="000000"/>
          <w:sz w:val="16"/>
          <w:szCs w:val="16"/>
          <w:shd w:val="clear" w:color="auto" w:fill="FFFFFF"/>
        </w:rPr>
        <w:t>Sentencia de 31 de agosto de 2017. Serie C No. 340</w:t>
      </w:r>
      <w:r w:rsidRPr="00A71CD3">
        <w:rPr>
          <w:rFonts w:ascii="Verdana" w:hAnsi="Verdana"/>
          <w:bCs/>
          <w:i/>
          <w:color w:val="000000"/>
          <w:sz w:val="16"/>
          <w:szCs w:val="16"/>
          <w:shd w:val="clear" w:color="auto" w:fill="FFFFFF"/>
        </w:rPr>
        <w:t xml:space="preserve"> </w:t>
      </w:r>
      <w:r w:rsidRPr="00A71CD3">
        <w:rPr>
          <w:rStyle w:val="Strong"/>
          <w:rFonts w:ascii="Verdana" w:hAnsi="Verdana"/>
          <w:b w:val="0"/>
          <w:color w:val="000000"/>
          <w:sz w:val="16"/>
          <w:szCs w:val="16"/>
          <w:shd w:val="clear" w:color="auto" w:fill="FFFFFF"/>
        </w:rPr>
        <w:t xml:space="preserve">Voto parcialmente disidente del Juez Antonio Humberto Sierra Porto. </w:t>
      </w:r>
      <w:r w:rsidRPr="00A71CD3">
        <w:rPr>
          <w:rFonts w:ascii="Verdana" w:hAnsi="Verdana"/>
          <w:bCs/>
          <w:i/>
          <w:sz w:val="16"/>
          <w:szCs w:val="16"/>
        </w:rPr>
        <w:t xml:space="preserve">Caso Trabajadores Cesados de Petroperú y otros Vs. Perú. Excepciones Preliminares, Fondo, Reparaciones y Costas. </w:t>
      </w:r>
      <w:r w:rsidRPr="004C1688">
        <w:rPr>
          <w:rFonts w:ascii="Verdana" w:hAnsi="Verdana"/>
          <w:bCs/>
          <w:sz w:val="16"/>
          <w:szCs w:val="16"/>
        </w:rPr>
        <w:t>Sentencia de 23 de noviembre de 2017. Serie C No. 344</w:t>
      </w:r>
      <w:r w:rsidRPr="00A71CD3">
        <w:rPr>
          <w:rFonts w:ascii="Verdana" w:hAnsi="Verdana"/>
          <w:bCs/>
          <w:i/>
          <w:sz w:val="16"/>
          <w:szCs w:val="16"/>
        </w:rPr>
        <w:t>.</w:t>
      </w:r>
      <w:r w:rsidRPr="00A71CD3">
        <w:rPr>
          <w:rFonts w:ascii="Verdana" w:hAnsi="Verdana"/>
          <w:bCs/>
          <w:sz w:val="16"/>
          <w:szCs w:val="16"/>
        </w:rPr>
        <w:t xml:space="preserve"> </w:t>
      </w:r>
      <w:r w:rsidRPr="00A71CD3">
        <w:rPr>
          <w:rStyle w:val="Strong"/>
          <w:rFonts w:ascii="Verdana" w:hAnsi="Verdana"/>
          <w:b w:val="0"/>
          <w:color w:val="000000"/>
          <w:sz w:val="16"/>
          <w:szCs w:val="16"/>
          <w:shd w:val="clear" w:color="auto" w:fill="FFFFFF"/>
        </w:rPr>
        <w:t xml:space="preserve">Voto parcialmente disidente del Juez Antonio Humberto Sierra Porto. </w:t>
      </w:r>
      <w:r w:rsidRPr="00A71CD3">
        <w:rPr>
          <w:rFonts w:ascii="Verdana" w:hAnsi="Verdana"/>
          <w:i/>
          <w:sz w:val="16"/>
          <w:szCs w:val="16"/>
        </w:rPr>
        <w:t>Caso San Miguel Sosa y otras Vs. Venezuela.</w:t>
      </w:r>
      <w:r w:rsidRPr="00A71CD3">
        <w:rPr>
          <w:rFonts w:ascii="Verdana" w:hAnsi="Verdana"/>
          <w:sz w:val="16"/>
          <w:szCs w:val="16"/>
        </w:rPr>
        <w:t xml:space="preserve"> </w:t>
      </w:r>
      <w:r w:rsidRPr="00A71CD3">
        <w:rPr>
          <w:rFonts w:ascii="Verdana" w:hAnsi="Verdana"/>
          <w:bCs/>
          <w:i/>
          <w:sz w:val="16"/>
          <w:szCs w:val="16"/>
        </w:rPr>
        <w:t xml:space="preserve">Excepciones Preliminares, Fondo, Reparaciones y Costas. </w:t>
      </w:r>
      <w:r w:rsidRPr="004C1688">
        <w:rPr>
          <w:rFonts w:ascii="Verdana" w:hAnsi="Verdana"/>
          <w:bCs/>
          <w:sz w:val="16"/>
          <w:szCs w:val="16"/>
        </w:rPr>
        <w:t xml:space="preserve">Sentencia de </w:t>
      </w:r>
      <w:r w:rsidRPr="00DD607A">
        <w:rPr>
          <w:rFonts w:ascii="Verdana" w:hAnsi="Verdana"/>
          <w:sz w:val="16"/>
          <w:szCs w:val="16"/>
        </w:rPr>
        <w:t>8 de febrero de 2018. Serie C. No. 348</w:t>
      </w:r>
      <w:r w:rsidRPr="00A71CD3">
        <w:rPr>
          <w:rFonts w:ascii="Verdana" w:hAnsi="Verdana"/>
          <w:sz w:val="16"/>
          <w:szCs w:val="16"/>
        </w:rPr>
        <w:t xml:space="preserve">; </w:t>
      </w:r>
      <w:r w:rsidRPr="00A71CD3">
        <w:rPr>
          <w:rStyle w:val="Strong"/>
          <w:rFonts w:ascii="Verdana" w:hAnsi="Verdana"/>
          <w:b w:val="0"/>
          <w:i/>
          <w:color w:val="000000"/>
          <w:sz w:val="16"/>
          <w:szCs w:val="16"/>
          <w:shd w:val="clear" w:color="auto" w:fill="FFFFFF"/>
        </w:rPr>
        <w:t xml:space="preserve">Caso Gonzales Lluy y otros Vs. Ecuador. </w:t>
      </w:r>
      <w:r w:rsidRPr="00A71CD3">
        <w:rPr>
          <w:rFonts w:ascii="Verdana" w:hAnsi="Verdana"/>
          <w:bCs/>
          <w:i/>
          <w:color w:val="000000"/>
          <w:sz w:val="16"/>
          <w:szCs w:val="16"/>
          <w:shd w:val="clear" w:color="auto" w:fill="FFFFFF"/>
        </w:rPr>
        <w:t xml:space="preserve">Excepciones Preliminares, Fondo, Reparaciones y Costas. </w:t>
      </w:r>
      <w:r w:rsidRPr="004C1688">
        <w:rPr>
          <w:rFonts w:ascii="Verdana" w:hAnsi="Verdana"/>
          <w:bCs/>
          <w:color w:val="000000"/>
          <w:sz w:val="16"/>
          <w:szCs w:val="16"/>
          <w:shd w:val="clear" w:color="auto" w:fill="FFFFFF"/>
        </w:rPr>
        <w:t>Sentencia de 1 de septiembre de 2015. Serie C No. 298.</w:t>
      </w:r>
      <w:r w:rsidRPr="00A71CD3">
        <w:rPr>
          <w:rStyle w:val="Strong"/>
          <w:rFonts w:ascii="Verdana" w:hAnsi="Verdana"/>
          <w:b w:val="0"/>
          <w:color w:val="000000"/>
          <w:sz w:val="16"/>
          <w:szCs w:val="16"/>
          <w:shd w:val="clear" w:color="auto" w:fill="FFFFFF"/>
        </w:rPr>
        <w:t xml:space="preserve"> Voto Concurrente del Juez Humberto Antonio Sierra Porto. </w:t>
      </w:r>
    </w:p>
    <w:p w14:paraId="5A3EE08F" w14:textId="77777777" w:rsidR="00DD607A" w:rsidRPr="00774CDE" w:rsidRDefault="00DD607A">
      <w:pPr>
        <w:pStyle w:val="FootnoteText"/>
        <w:rPr>
          <w:lang w:val="es-ES_tradnl"/>
        </w:rPr>
      </w:pPr>
    </w:p>
  </w:footnote>
  <w:footnote w:id="11">
    <w:p w14:paraId="3939A624" w14:textId="77777777" w:rsidR="00DD607A" w:rsidRPr="0092660F" w:rsidRDefault="00DD607A" w:rsidP="0043072D">
      <w:pPr>
        <w:pStyle w:val="FootnoteText"/>
        <w:jc w:val="both"/>
        <w:rPr>
          <w:rFonts w:ascii="Verdana" w:hAnsi="Verdana"/>
          <w:sz w:val="16"/>
          <w:szCs w:val="16"/>
          <w:lang w:val="es-CR"/>
        </w:rPr>
      </w:pPr>
      <w:r w:rsidRPr="0092660F">
        <w:rPr>
          <w:rStyle w:val="FootnoteReference"/>
          <w:rFonts w:ascii="Verdana" w:hAnsi="Verdana"/>
          <w:sz w:val="16"/>
          <w:szCs w:val="16"/>
        </w:rPr>
        <w:footnoteRef/>
      </w:r>
      <w:r w:rsidRPr="0092660F">
        <w:rPr>
          <w:rFonts w:ascii="Verdana" w:hAnsi="Verdana"/>
          <w:sz w:val="16"/>
          <w:szCs w:val="16"/>
        </w:rPr>
        <w:t xml:space="preserve"> </w:t>
      </w:r>
      <w:r>
        <w:rPr>
          <w:rFonts w:ascii="Verdana" w:hAnsi="Verdana"/>
          <w:sz w:val="16"/>
          <w:szCs w:val="16"/>
        </w:rPr>
        <w:tab/>
      </w:r>
      <w:r w:rsidRPr="0092660F">
        <w:rPr>
          <w:rFonts w:ascii="Verdana" w:hAnsi="Verdana"/>
          <w:sz w:val="16"/>
          <w:szCs w:val="16"/>
        </w:rPr>
        <w:t xml:space="preserve">Por ejemplo, la Sentencia menciona las siguientes: </w:t>
      </w:r>
      <w:r w:rsidRPr="0092660F">
        <w:rPr>
          <w:rFonts w:ascii="Verdana" w:hAnsi="Verdana"/>
          <w:sz w:val="16"/>
          <w:szCs w:val="16"/>
          <w:lang w:val="es-CR"/>
        </w:rPr>
        <w:t>(i) la falta de información a los familiares respecto a la condición y cuidados del paciente; (ii) la realización de una intervención quirúrgica sin el consentimiento informado; (iii) darlo de alta de forma precipitada; (iv) la falta de provisión de tratamiento intensivo que requería en la UCI Médica; (v) la falta de disponibilidad de camas; (vi) la falta de asistencia a través de un respirador mecánico; y (v) la omisión de dispensar al paciente traslado a otro centro médico que contara con las instalaciones necesarias.</w:t>
      </w:r>
    </w:p>
  </w:footnote>
  <w:footnote w:id="12">
    <w:p w14:paraId="7CA252E1" w14:textId="71C59902" w:rsidR="00DD607A" w:rsidRPr="00A71CD3" w:rsidRDefault="00DD607A" w:rsidP="00C454B3">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Style w:val="Strong"/>
          <w:rFonts w:ascii="Verdana" w:hAnsi="Verdana"/>
          <w:b w:val="0"/>
          <w:i/>
          <w:color w:val="000000"/>
          <w:sz w:val="16"/>
          <w:szCs w:val="16"/>
          <w:shd w:val="clear" w:color="auto" w:fill="FFFFFF"/>
        </w:rPr>
        <w:t xml:space="preserve">Caso Gonzales Lluy y otros Vs. Ecuador. </w:t>
      </w:r>
      <w:r w:rsidRPr="00A71CD3">
        <w:rPr>
          <w:rFonts w:ascii="Verdana" w:hAnsi="Verdana"/>
          <w:bCs/>
          <w:i/>
          <w:color w:val="000000"/>
          <w:sz w:val="16"/>
          <w:szCs w:val="16"/>
          <w:shd w:val="clear" w:color="auto" w:fill="FFFFFF"/>
        </w:rPr>
        <w:t xml:space="preserve">Excepciones Preliminares, Fondo, Reparaciones y Costas. </w:t>
      </w:r>
      <w:r w:rsidRPr="004C1688">
        <w:rPr>
          <w:rFonts w:ascii="Verdana" w:hAnsi="Verdana"/>
          <w:bCs/>
          <w:color w:val="000000"/>
          <w:sz w:val="16"/>
          <w:szCs w:val="16"/>
          <w:shd w:val="clear" w:color="auto" w:fill="FFFFFF"/>
        </w:rPr>
        <w:t>Sentencia de 1 de septiembre de 2015. Serie C No. 298</w:t>
      </w:r>
      <w:r w:rsidRPr="00A71CD3">
        <w:rPr>
          <w:rFonts w:ascii="Verdana" w:hAnsi="Verdana"/>
          <w:bCs/>
          <w:i/>
          <w:color w:val="000000"/>
          <w:sz w:val="16"/>
          <w:szCs w:val="16"/>
          <w:shd w:val="clear" w:color="auto" w:fill="FFFFFF"/>
        </w:rPr>
        <w:t>.</w:t>
      </w:r>
      <w:r w:rsidRPr="00A71CD3">
        <w:rPr>
          <w:rStyle w:val="Strong"/>
          <w:rFonts w:ascii="Verdana" w:hAnsi="Verdana"/>
          <w:b w:val="0"/>
          <w:color w:val="000000"/>
          <w:sz w:val="16"/>
          <w:szCs w:val="16"/>
          <w:shd w:val="clear" w:color="auto" w:fill="FFFFFF"/>
        </w:rPr>
        <w:t xml:space="preserve"> Voto Concurrente del Juez Hu</w:t>
      </w:r>
      <w:r>
        <w:rPr>
          <w:rStyle w:val="Strong"/>
          <w:rFonts w:ascii="Verdana" w:hAnsi="Verdana"/>
          <w:b w:val="0"/>
          <w:color w:val="000000"/>
          <w:sz w:val="16"/>
          <w:szCs w:val="16"/>
          <w:shd w:val="clear" w:color="auto" w:fill="FFFFFF"/>
        </w:rPr>
        <w:t xml:space="preserve">mberto Antonio Sierra Porto, </w:t>
      </w:r>
      <w:r w:rsidRPr="00A71CD3">
        <w:rPr>
          <w:rFonts w:ascii="Verdana" w:hAnsi="Verdana"/>
          <w:bCs/>
          <w:color w:val="000000"/>
          <w:sz w:val="16"/>
          <w:szCs w:val="16"/>
          <w:shd w:val="clear" w:color="auto" w:fill="FFFFFF"/>
        </w:rPr>
        <w:t xml:space="preserve">párr. 4. </w:t>
      </w:r>
    </w:p>
  </w:footnote>
  <w:footnote w:id="13">
    <w:p w14:paraId="4758EE71" w14:textId="23C19F1E" w:rsidR="00DD607A" w:rsidRPr="00A71CD3" w:rsidRDefault="00DD607A" w:rsidP="00DD3BCF">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t xml:space="preserve">En el </w:t>
      </w:r>
      <w:r w:rsidRPr="00A71CD3">
        <w:rPr>
          <w:rStyle w:val="Strong"/>
          <w:rFonts w:ascii="Verdana" w:hAnsi="Verdana"/>
          <w:b w:val="0"/>
          <w:i/>
          <w:color w:val="000000"/>
          <w:sz w:val="16"/>
          <w:szCs w:val="16"/>
          <w:shd w:val="clear" w:color="auto" w:fill="FFFFFF"/>
        </w:rPr>
        <w:t xml:space="preserve">Caso Lagos del Campo Vs. Perú. </w:t>
      </w:r>
      <w:r w:rsidRPr="00A71CD3">
        <w:rPr>
          <w:rFonts w:ascii="Verdana" w:hAnsi="Verdana"/>
          <w:bCs/>
          <w:i/>
          <w:color w:val="000000"/>
          <w:sz w:val="16"/>
          <w:szCs w:val="16"/>
          <w:shd w:val="clear" w:color="auto" w:fill="FFFFFF"/>
          <w:lang w:val="es-ES_tradnl"/>
        </w:rPr>
        <w:t xml:space="preserve">Excepciones Preliminares, Fondo, Reparaciones y Costas. </w:t>
      </w:r>
      <w:r w:rsidRPr="004C1688">
        <w:rPr>
          <w:rFonts w:ascii="Verdana" w:hAnsi="Verdana"/>
          <w:bCs/>
          <w:color w:val="000000"/>
          <w:sz w:val="16"/>
          <w:szCs w:val="16"/>
          <w:shd w:val="clear" w:color="auto" w:fill="FFFFFF"/>
          <w:lang w:val="es-ES_tradnl"/>
        </w:rPr>
        <w:t>Sentencia de 31 de agosto de 2017</w:t>
      </w:r>
      <w:r w:rsidRPr="00A71CD3">
        <w:rPr>
          <w:rFonts w:ascii="Verdana" w:hAnsi="Verdana"/>
          <w:bCs/>
          <w:i/>
          <w:color w:val="000000"/>
          <w:sz w:val="16"/>
          <w:szCs w:val="16"/>
          <w:shd w:val="clear" w:color="auto" w:fill="FFFFFF"/>
          <w:lang w:val="es-ES_tradnl"/>
        </w:rPr>
        <w:t xml:space="preserve">. </w:t>
      </w:r>
      <w:r w:rsidRPr="004C1688">
        <w:rPr>
          <w:rFonts w:ascii="Verdana" w:hAnsi="Verdana"/>
          <w:bCs/>
          <w:color w:val="000000"/>
          <w:sz w:val="16"/>
          <w:szCs w:val="16"/>
          <w:shd w:val="clear" w:color="auto" w:fill="FFFFFF"/>
          <w:lang w:val="es-ES_tradnl"/>
        </w:rPr>
        <w:t>Serie C No. 340</w:t>
      </w:r>
      <w:r w:rsidRPr="00A71CD3">
        <w:rPr>
          <w:rFonts w:ascii="Verdana" w:hAnsi="Verdana"/>
          <w:bCs/>
          <w:i/>
          <w:color w:val="000000"/>
          <w:sz w:val="16"/>
          <w:szCs w:val="16"/>
          <w:shd w:val="clear" w:color="auto" w:fill="FFFFFF"/>
          <w:lang w:val="es-ES_tradnl"/>
        </w:rPr>
        <w:t xml:space="preserve">. </w:t>
      </w:r>
      <w:r w:rsidRPr="00A71CD3">
        <w:rPr>
          <w:rStyle w:val="Strong"/>
          <w:rFonts w:ascii="Verdana" w:hAnsi="Verdana"/>
          <w:b w:val="0"/>
          <w:color w:val="000000"/>
          <w:sz w:val="16"/>
          <w:szCs w:val="16"/>
          <w:shd w:val="clear" w:color="auto" w:fill="FFFFFF"/>
        </w:rPr>
        <w:t xml:space="preserve">Voto parcialmente disidente del Juez Antonio Humberto Sierra Porto. </w:t>
      </w:r>
      <w:r>
        <w:rPr>
          <w:rStyle w:val="Strong"/>
          <w:rFonts w:ascii="Verdana" w:hAnsi="Verdana"/>
          <w:b w:val="0"/>
          <w:color w:val="000000"/>
          <w:sz w:val="16"/>
          <w:szCs w:val="16"/>
          <w:shd w:val="clear" w:color="auto" w:fill="FFFFFF"/>
        </w:rPr>
        <w:t xml:space="preserve">En este voto afirmé lo siguiente: </w:t>
      </w:r>
      <w:r w:rsidRPr="009651F9">
        <w:rPr>
          <w:rStyle w:val="Strong"/>
          <w:rFonts w:ascii="Verdana" w:hAnsi="Verdana"/>
          <w:b w:val="0"/>
          <w:color w:val="000000"/>
          <w:sz w:val="16"/>
          <w:szCs w:val="16"/>
          <w:shd w:val="clear" w:color="auto" w:fill="FFFFFF"/>
        </w:rPr>
        <w:t>“</w:t>
      </w:r>
      <w:r w:rsidRPr="009651F9">
        <w:rPr>
          <w:rFonts w:ascii="Verdana" w:hAnsi="Verdana"/>
          <w:sz w:val="16"/>
          <w:szCs w:val="16"/>
          <w:lang w:val="es-CR"/>
        </w:rPr>
        <w:t xml:space="preserve">Si de por sí, intentar construir un catálogo de DESC a partir de la Carta es una tarea interpretativa compleja, entrar a utilizar cuanto tratado de derechos humanos existe para llenar de contenido al artículo 26 de la CADH, lo único que puede generar es </w:t>
      </w:r>
      <w:r w:rsidRPr="009651F9">
        <w:rPr>
          <w:rFonts w:ascii="Verdana" w:hAnsi="Verdana" w:cs="Arial"/>
          <w:sz w:val="16"/>
          <w:szCs w:val="16"/>
        </w:rPr>
        <w:t>una dinámica de “vis expansiva” de la responsabilidad internacional de los Estados. Es decir que al no tener presente un catálogo definido de los DESC cuya infracción genera responsabilidad de los Estados, estos no pueden prevenir ni reparar internamente las posibles infracciones porque básicamente la Corte IDH puede modificar el catálogo de los derechos dependiendo del caso.”</w:t>
      </w:r>
    </w:p>
  </w:footnote>
  <w:footnote w:id="14">
    <w:p w14:paraId="39C02CE8" w14:textId="77777777" w:rsidR="00DD607A" w:rsidRPr="00A71CD3" w:rsidRDefault="00DD607A" w:rsidP="00290D02">
      <w:pPr>
        <w:pStyle w:val="FootnoteText"/>
        <w:jc w:val="both"/>
        <w:rPr>
          <w:rFonts w:ascii="Verdana" w:hAnsi="Verdana"/>
          <w:i/>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Pr>
          <w:rFonts w:ascii="Verdana" w:hAnsi="Verdana"/>
          <w:sz w:val="16"/>
          <w:szCs w:val="16"/>
        </w:rPr>
        <w:t>Cabe recordar que e</w:t>
      </w:r>
      <w:r w:rsidRPr="00A71CD3">
        <w:rPr>
          <w:rFonts w:ascii="Verdana" w:hAnsi="Verdana"/>
          <w:sz w:val="16"/>
          <w:szCs w:val="16"/>
        </w:rPr>
        <w:t xml:space="preserve">l artículo </w:t>
      </w:r>
      <w:r w:rsidRPr="00A71CD3">
        <w:rPr>
          <w:rFonts w:ascii="Verdana" w:hAnsi="Verdana"/>
          <w:sz w:val="16"/>
          <w:szCs w:val="16"/>
          <w:lang w:val="es-ES_tradnl"/>
        </w:rPr>
        <w:t>38</w:t>
      </w:r>
      <w:r>
        <w:rPr>
          <w:rFonts w:ascii="Verdana" w:hAnsi="Verdana"/>
          <w:sz w:val="16"/>
          <w:szCs w:val="16"/>
          <w:lang w:val="es-ES_tradnl"/>
        </w:rPr>
        <w:t>.a</w:t>
      </w:r>
      <w:r w:rsidRPr="00A71CD3">
        <w:rPr>
          <w:rFonts w:ascii="Verdana" w:hAnsi="Verdana"/>
          <w:sz w:val="16"/>
          <w:szCs w:val="16"/>
          <w:lang w:val="es-ES_tradnl"/>
        </w:rPr>
        <w:t xml:space="preserve"> del Estatuto de la Corte Internacional de Justicia señala: </w:t>
      </w:r>
      <w:r w:rsidRPr="009651F9">
        <w:rPr>
          <w:rFonts w:ascii="Verdana" w:hAnsi="Verdana"/>
          <w:sz w:val="16"/>
          <w:szCs w:val="16"/>
          <w:lang w:val="es-ES_tradnl"/>
        </w:rPr>
        <w:t>“1. La Corte, cuya función es decidir conforme al derecho internacional las controversias que le sean sometidas, deberá aplicar: a. las convenciones internacionales, sean generales o particulares, que establecen reglas expresamente reconocidas por los Estados litigantes; b.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la determinación de las reglas de derecho, sin perjuicio de</w:t>
      </w:r>
      <w:r>
        <w:rPr>
          <w:rFonts w:ascii="Verdana" w:hAnsi="Verdana"/>
          <w:sz w:val="16"/>
          <w:szCs w:val="16"/>
          <w:lang w:val="es-ES_tradnl"/>
        </w:rPr>
        <w:t xml:space="preserve"> lo dispuesto en el artículo 59.</w:t>
      </w:r>
      <w:r w:rsidRPr="009651F9">
        <w:rPr>
          <w:rFonts w:ascii="Verdana" w:hAnsi="Verdana"/>
          <w:sz w:val="16"/>
          <w:szCs w:val="16"/>
          <w:lang w:val="es-ES_tradnl"/>
        </w:rPr>
        <w:t>”</w:t>
      </w:r>
    </w:p>
  </w:footnote>
  <w:footnote w:id="15">
    <w:p w14:paraId="1A4CFC22" w14:textId="2DE01401" w:rsidR="00DD607A" w:rsidRPr="00A71CD3" w:rsidRDefault="00DD607A" w:rsidP="009651F9">
      <w:pPr>
        <w:pStyle w:val="FootnoteText"/>
        <w:jc w:val="both"/>
        <w:rPr>
          <w:rFonts w:ascii="Verdana" w:hAnsi="Verdana"/>
          <w:bCs/>
          <w:color w:val="000000"/>
          <w:sz w:val="16"/>
          <w:szCs w:val="16"/>
          <w:shd w:val="clear" w:color="auto" w:fill="FFFFFF"/>
          <w:lang w:val="es-ES_tradnl"/>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A71CD3">
        <w:rPr>
          <w:rFonts w:ascii="Verdana" w:hAnsi="Verdana"/>
          <w:bCs/>
          <w:i/>
          <w:sz w:val="16"/>
          <w:szCs w:val="16"/>
          <w:lang w:val="es-ES_tradnl"/>
        </w:rPr>
        <w:t xml:space="preserve">Caso Trabajadores Cesados de Petroperú y otros Vs. Perú. Excepciones Preliminares, Fondo, Reparaciones y Costas. </w:t>
      </w:r>
      <w:r w:rsidRPr="004C1688">
        <w:rPr>
          <w:rFonts w:ascii="Verdana" w:hAnsi="Verdana"/>
          <w:bCs/>
          <w:sz w:val="16"/>
          <w:szCs w:val="16"/>
          <w:lang w:val="es-ES_tradnl"/>
        </w:rPr>
        <w:t>Sentencia de 23 de noviembre de 2017. Serie C No. 344</w:t>
      </w:r>
      <w:r w:rsidRPr="00A71CD3">
        <w:rPr>
          <w:rFonts w:ascii="Verdana" w:hAnsi="Verdana"/>
          <w:bCs/>
          <w:i/>
          <w:sz w:val="16"/>
          <w:szCs w:val="16"/>
          <w:lang w:val="es-ES_tradnl"/>
        </w:rPr>
        <w:t>.</w:t>
      </w:r>
      <w:r w:rsidRPr="00A71CD3">
        <w:rPr>
          <w:rFonts w:ascii="Verdana" w:hAnsi="Verdana"/>
          <w:bCs/>
          <w:sz w:val="16"/>
          <w:szCs w:val="16"/>
          <w:lang w:val="es-ES_tradnl"/>
        </w:rPr>
        <w:t xml:space="preserve"> </w:t>
      </w:r>
      <w:r w:rsidRPr="00A71CD3">
        <w:rPr>
          <w:rStyle w:val="Strong"/>
          <w:rFonts w:ascii="Verdana" w:hAnsi="Verdana"/>
          <w:b w:val="0"/>
          <w:color w:val="000000"/>
          <w:sz w:val="16"/>
          <w:szCs w:val="16"/>
          <w:shd w:val="clear" w:color="auto" w:fill="FFFFFF"/>
        </w:rPr>
        <w:t>Voto parcialmente disidente del Jue</w:t>
      </w:r>
      <w:r>
        <w:rPr>
          <w:rStyle w:val="Strong"/>
          <w:rFonts w:ascii="Verdana" w:hAnsi="Verdana"/>
          <w:b w:val="0"/>
          <w:color w:val="000000"/>
          <w:sz w:val="16"/>
          <w:szCs w:val="16"/>
          <w:shd w:val="clear" w:color="auto" w:fill="FFFFFF"/>
        </w:rPr>
        <w:t>z Antonio Humberto Sierra Porto</w:t>
      </w:r>
      <w:r w:rsidRPr="00A71CD3">
        <w:rPr>
          <w:rFonts w:ascii="Verdana" w:hAnsi="Verdana"/>
          <w:bCs/>
          <w:color w:val="000000"/>
          <w:sz w:val="16"/>
          <w:szCs w:val="16"/>
          <w:shd w:val="clear" w:color="auto" w:fill="FFFFFF"/>
          <w:lang w:val="es-CR"/>
        </w:rPr>
        <w:t xml:space="preserve">, párrs. 14 a 20. </w:t>
      </w:r>
      <w:r w:rsidRPr="00A71CD3">
        <w:rPr>
          <w:rFonts w:ascii="Verdana" w:hAnsi="Verdana"/>
          <w:bCs/>
          <w:i/>
          <w:color w:val="000000"/>
          <w:sz w:val="16"/>
          <w:szCs w:val="16"/>
          <w:shd w:val="clear" w:color="auto" w:fill="FFFFFF"/>
          <w:lang w:val="es-ES_tradnl"/>
        </w:rPr>
        <w:t xml:space="preserve">Caso familia Pacheco Tineo Vs. Bolivia. Excepciones Preliminares, Fondo, Reparaciones y Costas. </w:t>
      </w:r>
      <w:r w:rsidRPr="004C1688">
        <w:rPr>
          <w:rFonts w:ascii="Verdana" w:hAnsi="Verdana"/>
          <w:bCs/>
          <w:color w:val="000000"/>
          <w:sz w:val="16"/>
          <w:szCs w:val="16"/>
          <w:shd w:val="clear" w:color="auto" w:fill="FFFFFF"/>
          <w:lang w:val="es-ES_tradnl"/>
        </w:rPr>
        <w:t xml:space="preserve">Sentencia de 25 de noviembre de 2013. Serie C No. 272, </w:t>
      </w:r>
      <w:r w:rsidRPr="00847D7F">
        <w:rPr>
          <w:rFonts w:ascii="Verdana" w:hAnsi="Verdana"/>
          <w:bCs/>
          <w:color w:val="000000"/>
          <w:sz w:val="16"/>
          <w:szCs w:val="16"/>
          <w:shd w:val="clear" w:color="auto" w:fill="FFFFFF"/>
          <w:lang w:val="es-ES_tradnl"/>
        </w:rPr>
        <w:t>párr. 143</w:t>
      </w:r>
      <w:r w:rsidRPr="00A71CD3">
        <w:rPr>
          <w:rFonts w:ascii="Verdana" w:hAnsi="Verdana"/>
          <w:bCs/>
          <w:color w:val="000000"/>
          <w:sz w:val="16"/>
          <w:szCs w:val="16"/>
          <w:shd w:val="clear" w:color="auto" w:fill="FFFFFF"/>
          <w:lang w:val="es-ES_tradnl"/>
        </w:rPr>
        <w:t>.</w:t>
      </w:r>
    </w:p>
  </w:footnote>
  <w:footnote w:id="16">
    <w:p w14:paraId="1F64801B" w14:textId="440CF950" w:rsidR="001C66C8" w:rsidRPr="00A71CD3" w:rsidRDefault="00DD607A" w:rsidP="00EE7A50">
      <w:pPr>
        <w:pStyle w:val="FootnoteText"/>
        <w:jc w:val="both"/>
        <w:rPr>
          <w:rFonts w:ascii="Verdana" w:hAnsi="Verdana"/>
          <w:sz w:val="16"/>
          <w:szCs w:val="16"/>
          <w:lang w:val="es-CR"/>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lang w:val="es-CR"/>
        </w:rPr>
        <w:tab/>
        <w:t xml:space="preserve">El entonces Juez de la Corte IDH, Sergio García Ramírez, en el artículo titulado “El control judicial interno de convencionalidad” publicado en IUS Revista del Instituto de Ciencias Jurídicas de Puebla, México, no. 28, julio-diciembre de 2011, págs. 123-159, expuso que en el derecho internacional de los derechos humanos figuran, además de los tratados y los protocolos aludidos como derecho “duro” de carácter imperioso y vinculante, otras fuentes de carácter diverso, como declaraciones, estatutos y reglamentos, opiniones consultivas, sentencias, otras resoluciones jurisdiccionales, recomendaciones, informes, principios, relatorías, conclusiones de encuentros internacionales, y así sucesivamente, las cuales constituyen un derecho “suave” (soft law) que no posee el mismo carácter imperioso y vinculante. Existe una fuerte tendencia a dotar a este soft law de creciente eficacia. </w:t>
      </w:r>
    </w:p>
  </w:footnote>
  <w:footnote w:id="17">
    <w:p w14:paraId="174B7A48" w14:textId="77777777" w:rsidR="00DD607A" w:rsidRPr="00A71CD3" w:rsidRDefault="00DD607A" w:rsidP="00985B0A">
      <w:pPr>
        <w:pStyle w:val="FootnoteText"/>
        <w:jc w:val="both"/>
        <w:rPr>
          <w:rFonts w:ascii="Verdana" w:hAnsi="Verdana"/>
          <w:sz w:val="16"/>
          <w:szCs w:val="16"/>
        </w:rPr>
      </w:pPr>
      <w:r w:rsidRPr="00A71CD3">
        <w:rPr>
          <w:rStyle w:val="FootnoteReference"/>
          <w:rFonts w:ascii="Verdana" w:hAnsi="Verdana"/>
          <w:sz w:val="16"/>
          <w:szCs w:val="16"/>
        </w:rPr>
        <w:footnoteRef/>
      </w:r>
      <w:r w:rsidRPr="00A71CD3">
        <w:rPr>
          <w:rFonts w:ascii="Verdana" w:hAnsi="Verdana"/>
          <w:sz w:val="16"/>
          <w:szCs w:val="16"/>
        </w:rPr>
        <w:t xml:space="preserve"> </w:t>
      </w:r>
      <w:r w:rsidRPr="00A71CD3">
        <w:rPr>
          <w:rFonts w:ascii="Verdana" w:hAnsi="Verdana"/>
          <w:sz w:val="16"/>
          <w:szCs w:val="16"/>
        </w:rPr>
        <w:tab/>
      </w:r>
      <w:r w:rsidRPr="00DB0D75">
        <w:rPr>
          <w:rFonts w:ascii="Verdana" w:hAnsi="Verdana"/>
          <w:i/>
          <w:sz w:val="16"/>
          <w:szCs w:val="16"/>
        </w:rPr>
        <w:t>Cfr.</w:t>
      </w:r>
      <w:r w:rsidRPr="00A71CD3">
        <w:rPr>
          <w:rFonts w:ascii="Verdana" w:hAnsi="Verdana"/>
          <w:sz w:val="16"/>
          <w:szCs w:val="16"/>
        </w:rPr>
        <w:t xml:space="preserve"> El derecho a la Información sobre la asistencia consular en el marco de las garantías del debido proceso legal. Opinión Consultiva OC-16/99, párr. 114, y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 párr.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rPr>
      <w:id w:val="1820299137"/>
      <w:docPartObj>
        <w:docPartGallery w:val="Page Numbers (Top of Page)"/>
        <w:docPartUnique/>
      </w:docPartObj>
    </w:sdtPr>
    <w:sdtEndPr>
      <w:rPr>
        <w:noProof/>
      </w:rPr>
    </w:sdtEndPr>
    <w:sdtContent>
      <w:p w14:paraId="1A33D0E3" w14:textId="77777777" w:rsidR="00DD607A" w:rsidRPr="008F2B34" w:rsidRDefault="00DD607A">
        <w:pPr>
          <w:pStyle w:val="Header"/>
          <w:jc w:val="center"/>
          <w:rPr>
            <w:rFonts w:ascii="Verdana" w:hAnsi="Verdana"/>
          </w:rPr>
        </w:pPr>
        <w:r>
          <w:rPr>
            <w:rFonts w:ascii="Verdana" w:hAnsi="Verdana"/>
          </w:rPr>
          <w:t>-</w:t>
        </w:r>
        <w:r w:rsidRPr="008F2B34">
          <w:rPr>
            <w:rFonts w:ascii="Verdana" w:hAnsi="Verdana"/>
          </w:rPr>
          <w:fldChar w:fldCharType="begin"/>
        </w:r>
        <w:r w:rsidRPr="008F2B34">
          <w:rPr>
            <w:rFonts w:ascii="Verdana" w:hAnsi="Verdana"/>
          </w:rPr>
          <w:instrText xml:space="preserve"> PAGE   \* MERGEFORMAT </w:instrText>
        </w:r>
        <w:r w:rsidRPr="008F2B34">
          <w:rPr>
            <w:rFonts w:ascii="Verdana" w:hAnsi="Verdana"/>
          </w:rPr>
          <w:fldChar w:fldCharType="separate"/>
        </w:r>
        <w:r w:rsidR="00A962FE">
          <w:rPr>
            <w:rFonts w:ascii="Verdana" w:hAnsi="Verdana"/>
            <w:noProof/>
          </w:rPr>
          <w:t>9</w:t>
        </w:r>
        <w:r w:rsidRPr="008F2B34">
          <w:rPr>
            <w:rFonts w:ascii="Verdana" w:hAnsi="Verdana"/>
            <w:noProof/>
          </w:rPr>
          <w:fldChar w:fldCharType="end"/>
        </w:r>
        <w:r>
          <w:rPr>
            <w:rFonts w:ascii="Verdana" w:hAnsi="Verdana"/>
            <w:noProof/>
          </w:rPr>
          <w:t>-</w:t>
        </w:r>
      </w:p>
    </w:sdtContent>
  </w:sdt>
  <w:p w14:paraId="50E160F7" w14:textId="77777777" w:rsidR="00DD607A" w:rsidRDefault="00DD6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FC320B"/>
    <w:multiLevelType w:val="hybridMultilevel"/>
    <w:tmpl w:val="95FC487E"/>
    <w:lvl w:ilvl="0" w:tplc="94809758">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2E2293B"/>
    <w:multiLevelType w:val="hybridMultilevel"/>
    <w:tmpl w:val="5BE4D60C"/>
    <w:lvl w:ilvl="0" w:tplc="33BE4BF8">
      <w:start w:val="1"/>
      <w:numFmt w:val="decimal"/>
      <w:lvlText w:val="%1."/>
      <w:lvlJc w:val="left"/>
      <w:pPr>
        <w:ind w:left="360" w:hanging="360"/>
      </w:pPr>
      <w:rPr>
        <w:rFonts w:hint="default"/>
        <w:b w:val="0"/>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40412F1"/>
    <w:multiLevelType w:val="hybridMultilevel"/>
    <w:tmpl w:val="E16EE408"/>
    <w:lvl w:ilvl="0" w:tplc="5674135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7456DE5"/>
    <w:multiLevelType w:val="hybridMultilevel"/>
    <w:tmpl w:val="5BE4D60C"/>
    <w:lvl w:ilvl="0" w:tplc="33BE4BF8">
      <w:start w:val="1"/>
      <w:numFmt w:val="decimal"/>
      <w:lvlText w:val="%1."/>
      <w:lvlJc w:val="left"/>
      <w:pPr>
        <w:ind w:left="360" w:hanging="360"/>
      </w:pPr>
      <w:rPr>
        <w:rFonts w:hint="default"/>
        <w:b w:val="0"/>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7460567"/>
    <w:multiLevelType w:val="hybridMultilevel"/>
    <w:tmpl w:val="B14AF2B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03D70FF"/>
    <w:multiLevelType w:val="hybridMultilevel"/>
    <w:tmpl w:val="272C298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41546F7"/>
    <w:multiLevelType w:val="hybridMultilevel"/>
    <w:tmpl w:val="113202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6A9646C8"/>
    <w:multiLevelType w:val="hybridMultilevel"/>
    <w:tmpl w:val="5FB4E9D0"/>
    <w:lvl w:ilvl="0" w:tplc="B7C0BCB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6B4F0C5E"/>
    <w:multiLevelType w:val="hybridMultilevel"/>
    <w:tmpl w:val="41C6A6CA"/>
    <w:lvl w:ilvl="0" w:tplc="77264A14">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369FF"/>
    <w:multiLevelType w:val="hybridMultilevel"/>
    <w:tmpl w:val="88F24608"/>
    <w:lvl w:ilvl="0" w:tplc="9F701216">
      <w:start w:val="1"/>
      <w:numFmt w:val="decimal"/>
      <w:lvlText w:val="%1."/>
      <w:lvlJc w:val="left"/>
      <w:pPr>
        <w:ind w:left="847" w:hanging="705"/>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9"/>
  </w:num>
  <w:num w:numId="6">
    <w:abstractNumId w:val="3"/>
  </w:num>
  <w:num w:numId="7">
    <w:abstractNumId w:val="10"/>
  </w:num>
  <w:num w:numId="8">
    <w:abstractNumId w:val="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CR"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CL" w:vendorID="64" w:dllVersion="131078" w:nlCheck="1" w:checkStyle="1"/>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8C"/>
    <w:rsid w:val="000043D0"/>
    <w:rsid w:val="00005018"/>
    <w:rsid w:val="00007F81"/>
    <w:rsid w:val="00010C33"/>
    <w:rsid w:val="00011C11"/>
    <w:rsid w:val="00012C79"/>
    <w:rsid w:val="00013E01"/>
    <w:rsid w:val="00015C57"/>
    <w:rsid w:val="00015D4F"/>
    <w:rsid w:val="00017D5A"/>
    <w:rsid w:val="000205C5"/>
    <w:rsid w:val="00022C9C"/>
    <w:rsid w:val="00024163"/>
    <w:rsid w:val="00024D7D"/>
    <w:rsid w:val="00026D51"/>
    <w:rsid w:val="000270C2"/>
    <w:rsid w:val="0003001B"/>
    <w:rsid w:val="00033A29"/>
    <w:rsid w:val="00035BF0"/>
    <w:rsid w:val="00035DDC"/>
    <w:rsid w:val="00036F42"/>
    <w:rsid w:val="00041A3D"/>
    <w:rsid w:val="00041E39"/>
    <w:rsid w:val="000430AE"/>
    <w:rsid w:val="000436C0"/>
    <w:rsid w:val="00045802"/>
    <w:rsid w:val="0004598E"/>
    <w:rsid w:val="0005000C"/>
    <w:rsid w:val="00050933"/>
    <w:rsid w:val="00061374"/>
    <w:rsid w:val="000614D5"/>
    <w:rsid w:val="00061CB4"/>
    <w:rsid w:val="00062F21"/>
    <w:rsid w:val="00064D15"/>
    <w:rsid w:val="00065330"/>
    <w:rsid w:val="0006539A"/>
    <w:rsid w:val="0007043C"/>
    <w:rsid w:val="00071B30"/>
    <w:rsid w:val="000869CF"/>
    <w:rsid w:val="000911C1"/>
    <w:rsid w:val="000935F7"/>
    <w:rsid w:val="00093971"/>
    <w:rsid w:val="000946EF"/>
    <w:rsid w:val="00095950"/>
    <w:rsid w:val="000A0CA2"/>
    <w:rsid w:val="000A2705"/>
    <w:rsid w:val="000A59F7"/>
    <w:rsid w:val="000A7D15"/>
    <w:rsid w:val="000B30D0"/>
    <w:rsid w:val="000B3E38"/>
    <w:rsid w:val="000B517F"/>
    <w:rsid w:val="000B6BD9"/>
    <w:rsid w:val="000C18A8"/>
    <w:rsid w:val="000C1F1F"/>
    <w:rsid w:val="000C2A97"/>
    <w:rsid w:val="000C3A89"/>
    <w:rsid w:val="000C5016"/>
    <w:rsid w:val="000C51CD"/>
    <w:rsid w:val="000D162A"/>
    <w:rsid w:val="000D3448"/>
    <w:rsid w:val="000D34D5"/>
    <w:rsid w:val="000D54B4"/>
    <w:rsid w:val="000D7159"/>
    <w:rsid w:val="000E3112"/>
    <w:rsid w:val="000E4097"/>
    <w:rsid w:val="000E41F9"/>
    <w:rsid w:val="000E4BB4"/>
    <w:rsid w:val="000E6A83"/>
    <w:rsid w:val="000E6B75"/>
    <w:rsid w:val="000F3071"/>
    <w:rsid w:val="000F3FEF"/>
    <w:rsid w:val="000F514F"/>
    <w:rsid w:val="000F5B47"/>
    <w:rsid w:val="000F5EF1"/>
    <w:rsid w:val="000F791E"/>
    <w:rsid w:val="00101421"/>
    <w:rsid w:val="00101A8E"/>
    <w:rsid w:val="00102F6A"/>
    <w:rsid w:val="00106868"/>
    <w:rsid w:val="00107681"/>
    <w:rsid w:val="00107B18"/>
    <w:rsid w:val="00112255"/>
    <w:rsid w:val="00112414"/>
    <w:rsid w:val="0011537D"/>
    <w:rsid w:val="0011730F"/>
    <w:rsid w:val="00117968"/>
    <w:rsid w:val="001215F6"/>
    <w:rsid w:val="001218F2"/>
    <w:rsid w:val="00121DF2"/>
    <w:rsid w:val="00125AA9"/>
    <w:rsid w:val="00125FED"/>
    <w:rsid w:val="00131163"/>
    <w:rsid w:val="00132199"/>
    <w:rsid w:val="00132C6E"/>
    <w:rsid w:val="00133387"/>
    <w:rsid w:val="001351CB"/>
    <w:rsid w:val="00137E21"/>
    <w:rsid w:val="00140F35"/>
    <w:rsid w:val="00142A8E"/>
    <w:rsid w:val="001430F6"/>
    <w:rsid w:val="00145458"/>
    <w:rsid w:val="00146DB0"/>
    <w:rsid w:val="00147835"/>
    <w:rsid w:val="00147AC9"/>
    <w:rsid w:val="00147B36"/>
    <w:rsid w:val="00151EE0"/>
    <w:rsid w:val="00154A93"/>
    <w:rsid w:val="00154E11"/>
    <w:rsid w:val="0016266D"/>
    <w:rsid w:val="001644E0"/>
    <w:rsid w:val="00164684"/>
    <w:rsid w:val="0016563B"/>
    <w:rsid w:val="001662ED"/>
    <w:rsid w:val="001725EB"/>
    <w:rsid w:val="00172F42"/>
    <w:rsid w:val="00174935"/>
    <w:rsid w:val="00176117"/>
    <w:rsid w:val="00176790"/>
    <w:rsid w:val="0017735B"/>
    <w:rsid w:val="001849CB"/>
    <w:rsid w:val="00186E87"/>
    <w:rsid w:val="00187C8F"/>
    <w:rsid w:val="00190080"/>
    <w:rsid w:val="00190CA2"/>
    <w:rsid w:val="00193EBA"/>
    <w:rsid w:val="00194271"/>
    <w:rsid w:val="001A1374"/>
    <w:rsid w:val="001A14B2"/>
    <w:rsid w:val="001B0859"/>
    <w:rsid w:val="001B3B0A"/>
    <w:rsid w:val="001B6D12"/>
    <w:rsid w:val="001C3BA1"/>
    <w:rsid w:val="001C3BD2"/>
    <w:rsid w:val="001C3BFA"/>
    <w:rsid w:val="001C4CB6"/>
    <w:rsid w:val="001C66C8"/>
    <w:rsid w:val="001C77D6"/>
    <w:rsid w:val="001C79BD"/>
    <w:rsid w:val="001C7BD1"/>
    <w:rsid w:val="001D195B"/>
    <w:rsid w:val="001D3E71"/>
    <w:rsid w:val="001D7AE0"/>
    <w:rsid w:val="001E09E0"/>
    <w:rsid w:val="001E3AF8"/>
    <w:rsid w:val="001E4202"/>
    <w:rsid w:val="001E5194"/>
    <w:rsid w:val="001E52B5"/>
    <w:rsid w:val="001E71EC"/>
    <w:rsid w:val="001E7A95"/>
    <w:rsid w:val="001F158C"/>
    <w:rsid w:val="001F2249"/>
    <w:rsid w:val="001F3C71"/>
    <w:rsid w:val="0020083B"/>
    <w:rsid w:val="002024FC"/>
    <w:rsid w:val="00204679"/>
    <w:rsid w:val="002064E9"/>
    <w:rsid w:val="00206631"/>
    <w:rsid w:val="0021036B"/>
    <w:rsid w:val="00212873"/>
    <w:rsid w:val="002143F0"/>
    <w:rsid w:val="00215856"/>
    <w:rsid w:val="002222F1"/>
    <w:rsid w:val="002228C1"/>
    <w:rsid w:val="00224C7A"/>
    <w:rsid w:val="002263EC"/>
    <w:rsid w:val="0023178C"/>
    <w:rsid w:val="00231CF8"/>
    <w:rsid w:val="002351B4"/>
    <w:rsid w:val="0023579E"/>
    <w:rsid w:val="00235E40"/>
    <w:rsid w:val="002376D7"/>
    <w:rsid w:val="00240EF5"/>
    <w:rsid w:val="00242F3A"/>
    <w:rsid w:val="00243034"/>
    <w:rsid w:val="00245C36"/>
    <w:rsid w:val="0024692C"/>
    <w:rsid w:val="00246A75"/>
    <w:rsid w:val="00246F0B"/>
    <w:rsid w:val="00247707"/>
    <w:rsid w:val="00250DD3"/>
    <w:rsid w:val="00250F19"/>
    <w:rsid w:val="0025249A"/>
    <w:rsid w:val="0025265F"/>
    <w:rsid w:val="002550DB"/>
    <w:rsid w:val="00255259"/>
    <w:rsid w:val="00256ED2"/>
    <w:rsid w:val="00260830"/>
    <w:rsid w:val="00260C2F"/>
    <w:rsid w:val="002645C3"/>
    <w:rsid w:val="0026663C"/>
    <w:rsid w:val="00271556"/>
    <w:rsid w:val="002715DD"/>
    <w:rsid w:val="00271FA9"/>
    <w:rsid w:val="00272FA2"/>
    <w:rsid w:val="00275002"/>
    <w:rsid w:val="00275B44"/>
    <w:rsid w:val="0028146C"/>
    <w:rsid w:val="002825C2"/>
    <w:rsid w:val="00286B7B"/>
    <w:rsid w:val="002900A3"/>
    <w:rsid w:val="0029048A"/>
    <w:rsid w:val="00290917"/>
    <w:rsid w:val="00290D02"/>
    <w:rsid w:val="00293F88"/>
    <w:rsid w:val="00294008"/>
    <w:rsid w:val="00294C0B"/>
    <w:rsid w:val="00297C21"/>
    <w:rsid w:val="002A4E21"/>
    <w:rsid w:val="002B204C"/>
    <w:rsid w:val="002C151B"/>
    <w:rsid w:val="002C37BB"/>
    <w:rsid w:val="002C4350"/>
    <w:rsid w:val="002C5FC8"/>
    <w:rsid w:val="002C7299"/>
    <w:rsid w:val="002D2898"/>
    <w:rsid w:val="002D3855"/>
    <w:rsid w:val="002D5C8F"/>
    <w:rsid w:val="002D613B"/>
    <w:rsid w:val="002D63DC"/>
    <w:rsid w:val="002D7664"/>
    <w:rsid w:val="002E13E2"/>
    <w:rsid w:val="002E1C3A"/>
    <w:rsid w:val="002E24AC"/>
    <w:rsid w:val="002E3870"/>
    <w:rsid w:val="002E5BEA"/>
    <w:rsid w:val="002E5FEA"/>
    <w:rsid w:val="002E7E26"/>
    <w:rsid w:val="002F1577"/>
    <w:rsid w:val="002F16AB"/>
    <w:rsid w:val="002F522E"/>
    <w:rsid w:val="002F6253"/>
    <w:rsid w:val="002F6EA7"/>
    <w:rsid w:val="002F6FC8"/>
    <w:rsid w:val="00301260"/>
    <w:rsid w:val="0030218B"/>
    <w:rsid w:val="003031B7"/>
    <w:rsid w:val="00303A4C"/>
    <w:rsid w:val="00303AE3"/>
    <w:rsid w:val="00306CA2"/>
    <w:rsid w:val="00307B2C"/>
    <w:rsid w:val="0031346D"/>
    <w:rsid w:val="0032152D"/>
    <w:rsid w:val="00322927"/>
    <w:rsid w:val="00322DB5"/>
    <w:rsid w:val="003304BE"/>
    <w:rsid w:val="00331745"/>
    <w:rsid w:val="00332918"/>
    <w:rsid w:val="0033292C"/>
    <w:rsid w:val="00334F26"/>
    <w:rsid w:val="00336D40"/>
    <w:rsid w:val="00344223"/>
    <w:rsid w:val="0034488C"/>
    <w:rsid w:val="0034705D"/>
    <w:rsid w:val="00347772"/>
    <w:rsid w:val="003510CA"/>
    <w:rsid w:val="00351C0C"/>
    <w:rsid w:val="003531A3"/>
    <w:rsid w:val="003552CE"/>
    <w:rsid w:val="0035634C"/>
    <w:rsid w:val="0035740E"/>
    <w:rsid w:val="00360215"/>
    <w:rsid w:val="003602BC"/>
    <w:rsid w:val="00364AB1"/>
    <w:rsid w:val="0036594F"/>
    <w:rsid w:val="003724BE"/>
    <w:rsid w:val="003745BA"/>
    <w:rsid w:val="00374D99"/>
    <w:rsid w:val="003757B0"/>
    <w:rsid w:val="00377105"/>
    <w:rsid w:val="00380DD7"/>
    <w:rsid w:val="00381481"/>
    <w:rsid w:val="003831F9"/>
    <w:rsid w:val="00384C01"/>
    <w:rsid w:val="00385159"/>
    <w:rsid w:val="00387D0B"/>
    <w:rsid w:val="00391226"/>
    <w:rsid w:val="003A247E"/>
    <w:rsid w:val="003B5597"/>
    <w:rsid w:val="003B71E5"/>
    <w:rsid w:val="003B7330"/>
    <w:rsid w:val="003B78BB"/>
    <w:rsid w:val="003C0318"/>
    <w:rsid w:val="003C0D6C"/>
    <w:rsid w:val="003C29F1"/>
    <w:rsid w:val="003C562D"/>
    <w:rsid w:val="003C5DFA"/>
    <w:rsid w:val="003D1033"/>
    <w:rsid w:val="003D1128"/>
    <w:rsid w:val="003D31C8"/>
    <w:rsid w:val="003D589E"/>
    <w:rsid w:val="003D6B78"/>
    <w:rsid w:val="003E0BDF"/>
    <w:rsid w:val="003E143F"/>
    <w:rsid w:val="003E274C"/>
    <w:rsid w:val="003E3C14"/>
    <w:rsid w:val="003E4646"/>
    <w:rsid w:val="003E5360"/>
    <w:rsid w:val="003E5386"/>
    <w:rsid w:val="003E570C"/>
    <w:rsid w:val="003E6144"/>
    <w:rsid w:val="003F0BAA"/>
    <w:rsid w:val="003F145B"/>
    <w:rsid w:val="003F1B8B"/>
    <w:rsid w:val="003F225B"/>
    <w:rsid w:val="003F2C14"/>
    <w:rsid w:val="003F4017"/>
    <w:rsid w:val="003F45A4"/>
    <w:rsid w:val="003F5C57"/>
    <w:rsid w:val="003F7458"/>
    <w:rsid w:val="00400D98"/>
    <w:rsid w:val="00401881"/>
    <w:rsid w:val="004024B7"/>
    <w:rsid w:val="00403728"/>
    <w:rsid w:val="00405B09"/>
    <w:rsid w:val="00405F85"/>
    <w:rsid w:val="00406636"/>
    <w:rsid w:val="00413D13"/>
    <w:rsid w:val="004168F7"/>
    <w:rsid w:val="0041764D"/>
    <w:rsid w:val="0042305E"/>
    <w:rsid w:val="0043072D"/>
    <w:rsid w:val="004307DA"/>
    <w:rsid w:val="00431751"/>
    <w:rsid w:val="00431C9F"/>
    <w:rsid w:val="00436615"/>
    <w:rsid w:val="004403A0"/>
    <w:rsid w:val="00441D26"/>
    <w:rsid w:val="00442971"/>
    <w:rsid w:val="004517D0"/>
    <w:rsid w:val="0045329E"/>
    <w:rsid w:val="00454DF2"/>
    <w:rsid w:val="00457663"/>
    <w:rsid w:val="00461EBA"/>
    <w:rsid w:val="0046250F"/>
    <w:rsid w:val="004628E1"/>
    <w:rsid w:val="00464B3B"/>
    <w:rsid w:val="00465AE6"/>
    <w:rsid w:val="004664FE"/>
    <w:rsid w:val="004676F5"/>
    <w:rsid w:val="004732AB"/>
    <w:rsid w:val="00473498"/>
    <w:rsid w:val="0047419E"/>
    <w:rsid w:val="00474CD0"/>
    <w:rsid w:val="004756C2"/>
    <w:rsid w:val="00475E73"/>
    <w:rsid w:val="00477E06"/>
    <w:rsid w:val="004803C8"/>
    <w:rsid w:val="00480A31"/>
    <w:rsid w:val="004823A6"/>
    <w:rsid w:val="00482A2D"/>
    <w:rsid w:val="004865DD"/>
    <w:rsid w:val="004913F8"/>
    <w:rsid w:val="004978D2"/>
    <w:rsid w:val="00497DD4"/>
    <w:rsid w:val="004A0F52"/>
    <w:rsid w:val="004A10F2"/>
    <w:rsid w:val="004A12AB"/>
    <w:rsid w:val="004A17DA"/>
    <w:rsid w:val="004A2223"/>
    <w:rsid w:val="004A5458"/>
    <w:rsid w:val="004A7FCF"/>
    <w:rsid w:val="004B1740"/>
    <w:rsid w:val="004B4230"/>
    <w:rsid w:val="004B47F2"/>
    <w:rsid w:val="004B49D1"/>
    <w:rsid w:val="004B6907"/>
    <w:rsid w:val="004C1688"/>
    <w:rsid w:val="004C1F81"/>
    <w:rsid w:val="004C535E"/>
    <w:rsid w:val="004C60BD"/>
    <w:rsid w:val="004D059F"/>
    <w:rsid w:val="004D0C02"/>
    <w:rsid w:val="004D1C42"/>
    <w:rsid w:val="004D3D5F"/>
    <w:rsid w:val="004E21CC"/>
    <w:rsid w:val="004E2758"/>
    <w:rsid w:val="004E3AAF"/>
    <w:rsid w:val="004E46FD"/>
    <w:rsid w:val="004E7A5C"/>
    <w:rsid w:val="004E7ABE"/>
    <w:rsid w:val="004F1966"/>
    <w:rsid w:val="004F1B5F"/>
    <w:rsid w:val="004F30EF"/>
    <w:rsid w:val="004F4A5B"/>
    <w:rsid w:val="004F71EE"/>
    <w:rsid w:val="004F7781"/>
    <w:rsid w:val="004F7CD0"/>
    <w:rsid w:val="00500ADD"/>
    <w:rsid w:val="005011A4"/>
    <w:rsid w:val="0050293C"/>
    <w:rsid w:val="0050400F"/>
    <w:rsid w:val="00505478"/>
    <w:rsid w:val="00505BC3"/>
    <w:rsid w:val="0051209A"/>
    <w:rsid w:val="00512CF0"/>
    <w:rsid w:val="00513966"/>
    <w:rsid w:val="00514B8F"/>
    <w:rsid w:val="00515FC7"/>
    <w:rsid w:val="00521052"/>
    <w:rsid w:val="00523B93"/>
    <w:rsid w:val="0052514A"/>
    <w:rsid w:val="00534A72"/>
    <w:rsid w:val="00537664"/>
    <w:rsid w:val="00540532"/>
    <w:rsid w:val="00544E05"/>
    <w:rsid w:val="0054547A"/>
    <w:rsid w:val="0054576D"/>
    <w:rsid w:val="00546057"/>
    <w:rsid w:val="00547ABC"/>
    <w:rsid w:val="00551189"/>
    <w:rsid w:val="005535B5"/>
    <w:rsid w:val="00554D8B"/>
    <w:rsid w:val="00554D9D"/>
    <w:rsid w:val="00555773"/>
    <w:rsid w:val="00561A32"/>
    <w:rsid w:val="00563CE1"/>
    <w:rsid w:val="005654C2"/>
    <w:rsid w:val="00566ECE"/>
    <w:rsid w:val="00572021"/>
    <w:rsid w:val="00573180"/>
    <w:rsid w:val="0057407D"/>
    <w:rsid w:val="005751DE"/>
    <w:rsid w:val="00576B53"/>
    <w:rsid w:val="00576F74"/>
    <w:rsid w:val="0057791C"/>
    <w:rsid w:val="0058069E"/>
    <w:rsid w:val="00582FDB"/>
    <w:rsid w:val="005835BB"/>
    <w:rsid w:val="00583F35"/>
    <w:rsid w:val="00585BA5"/>
    <w:rsid w:val="00587D1B"/>
    <w:rsid w:val="0059093E"/>
    <w:rsid w:val="00590D35"/>
    <w:rsid w:val="00592283"/>
    <w:rsid w:val="00593E77"/>
    <w:rsid w:val="00595E4B"/>
    <w:rsid w:val="0059714F"/>
    <w:rsid w:val="00597B03"/>
    <w:rsid w:val="00597BEA"/>
    <w:rsid w:val="00597FFE"/>
    <w:rsid w:val="005A18B7"/>
    <w:rsid w:val="005A2202"/>
    <w:rsid w:val="005A41F8"/>
    <w:rsid w:val="005B05E5"/>
    <w:rsid w:val="005B2B3B"/>
    <w:rsid w:val="005B5B2D"/>
    <w:rsid w:val="005C3394"/>
    <w:rsid w:val="005C4BD4"/>
    <w:rsid w:val="005D13A5"/>
    <w:rsid w:val="005D3377"/>
    <w:rsid w:val="005D3827"/>
    <w:rsid w:val="005D5CF9"/>
    <w:rsid w:val="005D62E0"/>
    <w:rsid w:val="005D76F1"/>
    <w:rsid w:val="005D7798"/>
    <w:rsid w:val="005E4725"/>
    <w:rsid w:val="005E626B"/>
    <w:rsid w:val="005E6EE2"/>
    <w:rsid w:val="005F0EFF"/>
    <w:rsid w:val="005F1CCC"/>
    <w:rsid w:val="005F3495"/>
    <w:rsid w:val="005F41BA"/>
    <w:rsid w:val="005F4BA4"/>
    <w:rsid w:val="005F621B"/>
    <w:rsid w:val="005F631D"/>
    <w:rsid w:val="005F63D1"/>
    <w:rsid w:val="005F66E7"/>
    <w:rsid w:val="005F6D6D"/>
    <w:rsid w:val="005F6D97"/>
    <w:rsid w:val="005F6DFC"/>
    <w:rsid w:val="005F7938"/>
    <w:rsid w:val="00600C5D"/>
    <w:rsid w:val="00602D1D"/>
    <w:rsid w:val="006039CC"/>
    <w:rsid w:val="006043F0"/>
    <w:rsid w:val="00605318"/>
    <w:rsid w:val="006110D2"/>
    <w:rsid w:val="0061270E"/>
    <w:rsid w:val="00622343"/>
    <w:rsid w:val="00623CD3"/>
    <w:rsid w:val="006240DF"/>
    <w:rsid w:val="00631191"/>
    <w:rsid w:val="006313EE"/>
    <w:rsid w:val="00632991"/>
    <w:rsid w:val="00633131"/>
    <w:rsid w:val="00635E83"/>
    <w:rsid w:val="0063628D"/>
    <w:rsid w:val="00637D8D"/>
    <w:rsid w:val="006405A5"/>
    <w:rsid w:val="00643347"/>
    <w:rsid w:val="006455DB"/>
    <w:rsid w:val="00647D8B"/>
    <w:rsid w:val="0065089D"/>
    <w:rsid w:val="00650957"/>
    <w:rsid w:val="006510CE"/>
    <w:rsid w:val="00652CA3"/>
    <w:rsid w:val="006532FA"/>
    <w:rsid w:val="00653402"/>
    <w:rsid w:val="006546BE"/>
    <w:rsid w:val="00654B21"/>
    <w:rsid w:val="00655FC0"/>
    <w:rsid w:val="006564D7"/>
    <w:rsid w:val="006567EF"/>
    <w:rsid w:val="00657E30"/>
    <w:rsid w:val="006603F2"/>
    <w:rsid w:val="00661903"/>
    <w:rsid w:val="006628F7"/>
    <w:rsid w:val="00663CC0"/>
    <w:rsid w:val="00663D97"/>
    <w:rsid w:val="00665759"/>
    <w:rsid w:val="00666674"/>
    <w:rsid w:val="00670F5A"/>
    <w:rsid w:val="0067108A"/>
    <w:rsid w:val="00671DD0"/>
    <w:rsid w:val="0067341C"/>
    <w:rsid w:val="00673A02"/>
    <w:rsid w:val="00673CEF"/>
    <w:rsid w:val="006740C4"/>
    <w:rsid w:val="00674A12"/>
    <w:rsid w:val="00675A65"/>
    <w:rsid w:val="006818B4"/>
    <w:rsid w:val="00691E9C"/>
    <w:rsid w:val="00692594"/>
    <w:rsid w:val="00693D2D"/>
    <w:rsid w:val="00694484"/>
    <w:rsid w:val="00695E06"/>
    <w:rsid w:val="00696FB7"/>
    <w:rsid w:val="006977E7"/>
    <w:rsid w:val="006A06E2"/>
    <w:rsid w:val="006A15E6"/>
    <w:rsid w:val="006A17BE"/>
    <w:rsid w:val="006A4D4C"/>
    <w:rsid w:val="006A7820"/>
    <w:rsid w:val="006B0410"/>
    <w:rsid w:val="006B09A8"/>
    <w:rsid w:val="006B0A4F"/>
    <w:rsid w:val="006B2186"/>
    <w:rsid w:val="006B32F0"/>
    <w:rsid w:val="006B3B54"/>
    <w:rsid w:val="006B5B81"/>
    <w:rsid w:val="006C28A8"/>
    <w:rsid w:val="006C35DD"/>
    <w:rsid w:val="006C5F84"/>
    <w:rsid w:val="006C6C0C"/>
    <w:rsid w:val="006D1C60"/>
    <w:rsid w:val="006D4CBF"/>
    <w:rsid w:val="006D565F"/>
    <w:rsid w:val="006D7999"/>
    <w:rsid w:val="006D7F7E"/>
    <w:rsid w:val="006E1ED7"/>
    <w:rsid w:val="006E4BA8"/>
    <w:rsid w:val="006E537F"/>
    <w:rsid w:val="006F003E"/>
    <w:rsid w:val="006F0332"/>
    <w:rsid w:val="006F6316"/>
    <w:rsid w:val="006F67F7"/>
    <w:rsid w:val="00700512"/>
    <w:rsid w:val="007029A8"/>
    <w:rsid w:val="007041EC"/>
    <w:rsid w:val="00704AFE"/>
    <w:rsid w:val="00704FF0"/>
    <w:rsid w:val="00705CF3"/>
    <w:rsid w:val="00710135"/>
    <w:rsid w:val="0071182F"/>
    <w:rsid w:val="00714293"/>
    <w:rsid w:val="0071780D"/>
    <w:rsid w:val="00720D91"/>
    <w:rsid w:val="00722FEA"/>
    <w:rsid w:val="00724AFA"/>
    <w:rsid w:val="00724E08"/>
    <w:rsid w:val="00725065"/>
    <w:rsid w:val="00725531"/>
    <w:rsid w:val="00730600"/>
    <w:rsid w:val="00735836"/>
    <w:rsid w:val="00742E8E"/>
    <w:rsid w:val="00747D54"/>
    <w:rsid w:val="00751313"/>
    <w:rsid w:val="0075291F"/>
    <w:rsid w:val="00752ECD"/>
    <w:rsid w:val="00757258"/>
    <w:rsid w:val="00760612"/>
    <w:rsid w:val="00760EFB"/>
    <w:rsid w:val="00765E46"/>
    <w:rsid w:val="00766097"/>
    <w:rsid w:val="00766501"/>
    <w:rsid w:val="00767715"/>
    <w:rsid w:val="00770235"/>
    <w:rsid w:val="00770552"/>
    <w:rsid w:val="00770DEF"/>
    <w:rsid w:val="00771854"/>
    <w:rsid w:val="00772CB3"/>
    <w:rsid w:val="007749CD"/>
    <w:rsid w:val="00774A48"/>
    <w:rsid w:val="00774CDE"/>
    <w:rsid w:val="00776368"/>
    <w:rsid w:val="0078090D"/>
    <w:rsid w:val="007840E1"/>
    <w:rsid w:val="0078726C"/>
    <w:rsid w:val="0078735D"/>
    <w:rsid w:val="00787D32"/>
    <w:rsid w:val="00790B55"/>
    <w:rsid w:val="00794371"/>
    <w:rsid w:val="00795EF8"/>
    <w:rsid w:val="007A36CE"/>
    <w:rsid w:val="007A59B4"/>
    <w:rsid w:val="007A7285"/>
    <w:rsid w:val="007A7979"/>
    <w:rsid w:val="007B072C"/>
    <w:rsid w:val="007B105D"/>
    <w:rsid w:val="007B3D37"/>
    <w:rsid w:val="007B4812"/>
    <w:rsid w:val="007B7C21"/>
    <w:rsid w:val="007C105A"/>
    <w:rsid w:val="007C1384"/>
    <w:rsid w:val="007C14B2"/>
    <w:rsid w:val="007C511D"/>
    <w:rsid w:val="007C60F2"/>
    <w:rsid w:val="007C7A35"/>
    <w:rsid w:val="007C7F89"/>
    <w:rsid w:val="007D3850"/>
    <w:rsid w:val="007D4385"/>
    <w:rsid w:val="007D4E5B"/>
    <w:rsid w:val="007D6800"/>
    <w:rsid w:val="007E1F3B"/>
    <w:rsid w:val="007E22AE"/>
    <w:rsid w:val="007E22DC"/>
    <w:rsid w:val="007E355F"/>
    <w:rsid w:val="007E56A6"/>
    <w:rsid w:val="007E7602"/>
    <w:rsid w:val="007F157B"/>
    <w:rsid w:val="007F5161"/>
    <w:rsid w:val="007F7472"/>
    <w:rsid w:val="007F7CBC"/>
    <w:rsid w:val="007F7D40"/>
    <w:rsid w:val="00801319"/>
    <w:rsid w:val="00803DE6"/>
    <w:rsid w:val="0080415F"/>
    <w:rsid w:val="0081037A"/>
    <w:rsid w:val="00810C93"/>
    <w:rsid w:val="008156C4"/>
    <w:rsid w:val="00816CC6"/>
    <w:rsid w:val="00821476"/>
    <w:rsid w:val="008214F2"/>
    <w:rsid w:val="0082385B"/>
    <w:rsid w:val="00831E89"/>
    <w:rsid w:val="008335D3"/>
    <w:rsid w:val="00833E90"/>
    <w:rsid w:val="008347D6"/>
    <w:rsid w:val="00834D4B"/>
    <w:rsid w:val="0083569E"/>
    <w:rsid w:val="008416AE"/>
    <w:rsid w:val="00843764"/>
    <w:rsid w:val="00843F17"/>
    <w:rsid w:val="00844342"/>
    <w:rsid w:val="00844F6F"/>
    <w:rsid w:val="00846F8A"/>
    <w:rsid w:val="00847D7F"/>
    <w:rsid w:val="00851B3A"/>
    <w:rsid w:val="00851F1C"/>
    <w:rsid w:val="00854FC8"/>
    <w:rsid w:val="008552F0"/>
    <w:rsid w:val="00855854"/>
    <w:rsid w:val="00855E64"/>
    <w:rsid w:val="00861132"/>
    <w:rsid w:val="00861600"/>
    <w:rsid w:val="00861EE1"/>
    <w:rsid w:val="00864154"/>
    <w:rsid w:val="008706BD"/>
    <w:rsid w:val="00870861"/>
    <w:rsid w:val="00871EAF"/>
    <w:rsid w:val="0087498A"/>
    <w:rsid w:val="008773EE"/>
    <w:rsid w:val="008776D7"/>
    <w:rsid w:val="00881276"/>
    <w:rsid w:val="00885B6E"/>
    <w:rsid w:val="00886DB6"/>
    <w:rsid w:val="00886FE7"/>
    <w:rsid w:val="00887ABC"/>
    <w:rsid w:val="008910BB"/>
    <w:rsid w:val="00891352"/>
    <w:rsid w:val="008928DF"/>
    <w:rsid w:val="00895DCB"/>
    <w:rsid w:val="0089740C"/>
    <w:rsid w:val="00897A4C"/>
    <w:rsid w:val="008A0868"/>
    <w:rsid w:val="008A0FDF"/>
    <w:rsid w:val="008A20EF"/>
    <w:rsid w:val="008A2522"/>
    <w:rsid w:val="008A7DB3"/>
    <w:rsid w:val="008B35FA"/>
    <w:rsid w:val="008B4956"/>
    <w:rsid w:val="008B5AFB"/>
    <w:rsid w:val="008B5D12"/>
    <w:rsid w:val="008B6C90"/>
    <w:rsid w:val="008B734C"/>
    <w:rsid w:val="008C07E7"/>
    <w:rsid w:val="008C0AC0"/>
    <w:rsid w:val="008C313B"/>
    <w:rsid w:val="008C6881"/>
    <w:rsid w:val="008D0005"/>
    <w:rsid w:val="008D48D8"/>
    <w:rsid w:val="008D618E"/>
    <w:rsid w:val="008D6E68"/>
    <w:rsid w:val="008E021E"/>
    <w:rsid w:val="008E2D9A"/>
    <w:rsid w:val="008E3748"/>
    <w:rsid w:val="008E4D0C"/>
    <w:rsid w:val="008E5D93"/>
    <w:rsid w:val="008E694C"/>
    <w:rsid w:val="008E70EC"/>
    <w:rsid w:val="008E71CE"/>
    <w:rsid w:val="008F06BE"/>
    <w:rsid w:val="008F102B"/>
    <w:rsid w:val="008F22CD"/>
    <w:rsid w:val="008F2B34"/>
    <w:rsid w:val="008F45AF"/>
    <w:rsid w:val="008F55B4"/>
    <w:rsid w:val="00901A05"/>
    <w:rsid w:val="00901F46"/>
    <w:rsid w:val="00904288"/>
    <w:rsid w:val="00907352"/>
    <w:rsid w:val="00910284"/>
    <w:rsid w:val="00910EA5"/>
    <w:rsid w:val="00912C1C"/>
    <w:rsid w:val="00912EA4"/>
    <w:rsid w:val="009144DB"/>
    <w:rsid w:val="00914700"/>
    <w:rsid w:val="00915E16"/>
    <w:rsid w:val="0091643E"/>
    <w:rsid w:val="00923B0F"/>
    <w:rsid w:val="00924DAA"/>
    <w:rsid w:val="00926E2F"/>
    <w:rsid w:val="00927A2C"/>
    <w:rsid w:val="009338C8"/>
    <w:rsid w:val="009376C2"/>
    <w:rsid w:val="00937A8E"/>
    <w:rsid w:val="00940AF7"/>
    <w:rsid w:val="00942075"/>
    <w:rsid w:val="00942255"/>
    <w:rsid w:val="00942668"/>
    <w:rsid w:val="0094502B"/>
    <w:rsid w:val="0094720D"/>
    <w:rsid w:val="00951167"/>
    <w:rsid w:val="00951821"/>
    <w:rsid w:val="009525B0"/>
    <w:rsid w:val="00953A3B"/>
    <w:rsid w:val="00956C7A"/>
    <w:rsid w:val="009570CC"/>
    <w:rsid w:val="009615A2"/>
    <w:rsid w:val="009623DF"/>
    <w:rsid w:val="00962F83"/>
    <w:rsid w:val="009651F9"/>
    <w:rsid w:val="00965833"/>
    <w:rsid w:val="009659CF"/>
    <w:rsid w:val="00967BD8"/>
    <w:rsid w:val="00970962"/>
    <w:rsid w:val="00971525"/>
    <w:rsid w:val="00971AF2"/>
    <w:rsid w:val="00976C79"/>
    <w:rsid w:val="00982DAD"/>
    <w:rsid w:val="00983CD2"/>
    <w:rsid w:val="009841F1"/>
    <w:rsid w:val="00985B0A"/>
    <w:rsid w:val="00986D6C"/>
    <w:rsid w:val="00993173"/>
    <w:rsid w:val="009A063C"/>
    <w:rsid w:val="009A358C"/>
    <w:rsid w:val="009A5DBB"/>
    <w:rsid w:val="009A6AD4"/>
    <w:rsid w:val="009B07D7"/>
    <w:rsid w:val="009B25F9"/>
    <w:rsid w:val="009B33CF"/>
    <w:rsid w:val="009C066C"/>
    <w:rsid w:val="009C7158"/>
    <w:rsid w:val="009C7CED"/>
    <w:rsid w:val="009D6A1D"/>
    <w:rsid w:val="009D7294"/>
    <w:rsid w:val="009D73B1"/>
    <w:rsid w:val="009E4C25"/>
    <w:rsid w:val="009E6550"/>
    <w:rsid w:val="009E6556"/>
    <w:rsid w:val="009F2211"/>
    <w:rsid w:val="009F3112"/>
    <w:rsid w:val="009F6682"/>
    <w:rsid w:val="009F6E82"/>
    <w:rsid w:val="009F7EB9"/>
    <w:rsid w:val="00A002AA"/>
    <w:rsid w:val="00A0330C"/>
    <w:rsid w:val="00A03A72"/>
    <w:rsid w:val="00A04E6E"/>
    <w:rsid w:val="00A0562B"/>
    <w:rsid w:val="00A06F94"/>
    <w:rsid w:val="00A06FF8"/>
    <w:rsid w:val="00A11A70"/>
    <w:rsid w:val="00A11B6E"/>
    <w:rsid w:val="00A136A4"/>
    <w:rsid w:val="00A1410C"/>
    <w:rsid w:val="00A15F46"/>
    <w:rsid w:val="00A1668A"/>
    <w:rsid w:val="00A20F6C"/>
    <w:rsid w:val="00A27772"/>
    <w:rsid w:val="00A27A3A"/>
    <w:rsid w:val="00A31110"/>
    <w:rsid w:val="00A31D06"/>
    <w:rsid w:val="00A349D5"/>
    <w:rsid w:val="00A364EA"/>
    <w:rsid w:val="00A36ADD"/>
    <w:rsid w:val="00A36C5E"/>
    <w:rsid w:val="00A378DA"/>
    <w:rsid w:val="00A41285"/>
    <w:rsid w:val="00A414FB"/>
    <w:rsid w:val="00A429F6"/>
    <w:rsid w:val="00A439FC"/>
    <w:rsid w:val="00A47ED2"/>
    <w:rsid w:val="00A50D43"/>
    <w:rsid w:val="00A52115"/>
    <w:rsid w:val="00A531D3"/>
    <w:rsid w:val="00A55680"/>
    <w:rsid w:val="00A56639"/>
    <w:rsid w:val="00A601D3"/>
    <w:rsid w:val="00A6441D"/>
    <w:rsid w:val="00A652A1"/>
    <w:rsid w:val="00A656B4"/>
    <w:rsid w:val="00A65CC5"/>
    <w:rsid w:val="00A70005"/>
    <w:rsid w:val="00A701CF"/>
    <w:rsid w:val="00A71CD3"/>
    <w:rsid w:val="00A75CA8"/>
    <w:rsid w:val="00A77B34"/>
    <w:rsid w:val="00A8667C"/>
    <w:rsid w:val="00A878AA"/>
    <w:rsid w:val="00A878F4"/>
    <w:rsid w:val="00A91767"/>
    <w:rsid w:val="00A946A2"/>
    <w:rsid w:val="00A95C52"/>
    <w:rsid w:val="00A962FE"/>
    <w:rsid w:val="00AA0907"/>
    <w:rsid w:val="00AA26E5"/>
    <w:rsid w:val="00AA3259"/>
    <w:rsid w:val="00AA3A6A"/>
    <w:rsid w:val="00AA4941"/>
    <w:rsid w:val="00AA4B5C"/>
    <w:rsid w:val="00AA5720"/>
    <w:rsid w:val="00AA6594"/>
    <w:rsid w:val="00AB0C39"/>
    <w:rsid w:val="00AB2026"/>
    <w:rsid w:val="00AB286E"/>
    <w:rsid w:val="00AC354D"/>
    <w:rsid w:val="00AC444A"/>
    <w:rsid w:val="00AD21D6"/>
    <w:rsid w:val="00AD7A61"/>
    <w:rsid w:val="00AE1192"/>
    <w:rsid w:val="00AE2901"/>
    <w:rsid w:val="00AE42E2"/>
    <w:rsid w:val="00AE49EC"/>
    <w:rsid w:val="00AE6309"/>
    <w:rsid w:val="00AE6A82"/>
    <w:rsid w:val="00AE78FA"/>
    <w:rsid w:val="00AF14B6"/>
    <w:rsid w:val="00AF3C03"/>
    <w:rsid w:val="00AF44E9"/>
    <w:rsid w:val="00AF5A6F"/>
    <w:rsid w:val="00AF6286"/>
    <w:rsid w:val="00AF77A2"/>
    <w:rsid w:val="00AF77D7"/>
    <w:rsid w:val="00B02847"/>
    <w:rsid w:val="00B03A1A"/>
    <w:rsid w:val="00B04AD5"/>
    <w:rsid w:val="00B066B1"/>
    <w:rsid w:val="00B12EEB"/>
    <w:rsid w:val="00B16CD5"/>
    <w:rsid w:val="00B16E30"/>
    <w:rsid w:val="00B16FF6"/>
    <w:rsid w:val="00B208AA"/>
    <w:rsid w:val="00B2157B"/>
    <w:rsid w:val="00B246CA"/>
    <w:rsid w:val="00B2476A"/>
    <w:rsid w:val="00B24EC8"/>
    <w:rsid w:val="00B24F8D"/>
    <w:rsid w:val="00B3252F"/>
    <w:rsid w:val="00B328AA"/>
    <w:rsid w:val="00B33FD0"/>
    <w:rsid w:val="00B37076"/>
    <w:rsid w:val="00B37179"/>
    <w:rsid w:val="00B37D20"/>
    <w:rsid w:val="00B4197C"/>
    <w:rsid w:val="00B42923"/>
    <w:rsid w:val="00B460B0"/>
    <w:rsid w:val="00B462E9"/>
    <w:rsid w:val="00B508ED"/>
    <w:rsid w:val="00B52D43"/>
    <w:rsid w:val="00B54C14"/>
    <w:rsid w:val="00B55586"/>
    <w:rsid w:val="00B61D76"/>
    <w:rsid w:val="00B638B5"/>
    <w:rsid w:val="00B677FB"/>
    <w:rsid w:val="00B72222"/>
    <w:rsid w:val="00B74F32"/>
    <w:rsid w:val="00B76299"/>
    <w:rsid w:val="00B772AC"/>
    <w:rsid w:val="00B801E6"/>
    <w:rsid w:val="00B85640"/>
    <w:rsid w:val="00B8697A"/>
    <w:rsid w:val="00B90E96"/>
    <w:rsid w:val="00B94395"/>
    <w:rsid w:val="00B957AD"/>
    <w:rsid w:val="00B95831"/>
    <w:rsid w:val="00B95AE0"/>
    <w:rsid w:val="00B96922"/>
    <w:rsid w:val="00BA59E7"/>
    <w:rsid w:val="00BA6602"/>
    <w:rsid w:val="00BA69AE"/>
    <w:rsid w:val="00BB011E"/>
    <w:rsid w:val="00BB13EA"/>
    <w:rsid w:val="00BB1497"/>
    <w:rsid w:val="00BB24D2"/>
    <w:rsid w:val="00BB3039"/>
    <w:rsid w:val="00BB4634"/>
    <w:rsid w:val="00BC157C"/>
    <w:rsid w:val="00BC2309"/>
    <w:rsid w:val="00BC5B46"/>
    <w:rsid w:val="00BD193F"/>
    <w:rsid w:val="00BD1AE0"/>
    <w:rsid w:val="00BD1CB8"/>
    <w:rsid w:val="00BD2A6F"/>
    <w:rsid w:val="00BD4F73"/>
    <w:rsid w:val="00BD791F"/>
    <w:rsid w:val="00BE5CB6"/>
    <w:rsid w:val="00BE678A"/>
    <w:rsid w:val="00BE768D"/>
    <w:rsid w:val="00BF0346"/>
    <w:rsid w:val="00BF0BB0"/>
    <w:rsid w:val="00BF36BB"/>
    <w:rsid w:val="00BF3B1A"/>
    <w:rsid w:val="00BF42CA"/>
    <w:rsid w:val="00BF6334"/>
    <w:rsid w:val="00BF716F"/>
    <w:rsid w:val="00C028E5"/>
    <w:rsid w:val="00C054F0"/>
    <w:rsid w:val="00C0565D"/>
    <w:rsid w:val="00C1026A"/>
    <w:rsid w:val="00C12C9D"/>
    <w:rsid w:val="00C15665"/>
    <w:rsid w:val="00C1795B"/>
    <w:rsid w:val="00C225BC"/>
    <w:rsid w:val="00C23A9B"/>
    <w:rsid w:val="00C24AB5"/>
    <w:rsid w:val="00C25E38"/>
    <w:rsid w:val="00C25EAA"/>
    <w:rsid w:val="00C3017D"/>
    <w:rsid w:val="00C31BC9"/>
    <w:rsid w:val="00C33FE2"/>
    <w:rsid w:val="00C34123"/>
    <w:rsid w:val="00C40C50"/>
    <w:rsid w:val="00C41786"/>
    <w:rsid w:val="00C41A57"/>
    <w:rsid w:val="00C422C9"/>
    <w:rsid w:val="00C43814"/>
    <w:rsid w:val="00C454B3"/>
    <w:rsid w:val="00C501A6"/>
    <w:rsid w:val="00C523EB"/>
    <w:rsid w:val="00C54471"/>
    <w:rsid w:val="00C54E73"/>
    <w:rsid w:val="00C5564A"/>
    <w:rsid w:val="00C62E91"/>
    <w:rsid w:val="00C66EB5"/>
    <w:rsid w:val="00C701E0"/>
    <w:rsid w:val="00C7210B"/>
    <w:rsid w:val="00C73EC6"/>
    <w:rsid w:val="00C80C2E"/>
    <w:rsid w:val="00C80FB0"/>
    <w:rsid w:val="00C8171F"/>
    <w:rsid w:val="00C83F3E"/>
    <w:rsid w:val="00C84884"/>
    <w:rsid w:val="00C84B45"/>
    <w:rsid w:val="00C86124"/>
    <w:rsid w:val="00C93897"/>
    <w:rsid w:val="00C93FD3"/>
    <w:rsid w:val="00CA0189"/>
    <w:rsid w:val="00CA0F83"/>
    <w:rsid w:val="00CA3D37"/>
    <w:rsid w:val="00CA4115"/>
    <w:rsid w:val="00CA46D1"/>
    <w:rsid w:val="00CA4C29"/>
    <w:rsid w:val="00CA7E29"/>
    <w:rsid w:val="00CB47A4"/>
    <w:rsid w:val="00CB4CD8"/>
    <w:rsid w:val="00CB5B83"/>
    <w:rsid w:val="00CC0F50"/>
    <w:rsid w:val="00CC17A0"/>
    <w:rsid w:val="00CC1A0C"/>
    <w:rsid w:val="00CC1A56"/>
    <w:rsid w:val="00CC27DB"/>
    <w:rsid w:val="00CC2ABD"/>
    <w:rsid w:val="00CC3B17"/>
    <w:rsid w:val="00CC6588"/>
    <w:rsid w:val="00CC6F28"/>
    <w:rsid w:val="00CC739A"/>
    <w:rsid w:val="00CD00E5"/>
    <w:rsid w:val="00CD29C6"/>
    <w:rsid w:val="00CD3773"/>
    <w:rsid w:val="00CD462A"/>
    <w:rsid w:val="00CD5E41"/>
    <w:rsid w:val="00CE0242"/>
    <w:rsid w:val="00CE049D"/>
    <w:rsid w:val="00CE1D23"/>
    <w:rsid w:val="00CE2B01"/>
    <w:rsid w:val="00CE3E96"/>
    <w:rsid w:val="00CE7912"/>
    <w:rsid w:val="00CF4689"/>
    <w:rsid w:val="00CF469B"/>
    <w:rsid w:val="00D00F8E"/>
    <w:rsid w:val="00D01C0E"/>
    <w:rsid w:val="00D01C9B"/>
    <w:rsid w:val="00D035E0"/>
    <w:rsid w:val="00D03609"/>
    <w:rsid w:val="00D07EC8"/>
    <w:rsid w:val="00D12331"/>
    <w:rsid w:val="00D12A86"/>
    <w:rsid w:val="00D1525F"/>
    <w:rsid w:val="00D17D39"/>
    <w:rsid w:val="00D2146A"/>
    <w:rsid w:val="00D24E3A"/>
    <w:rsid w:val="00D261B1"/>
    <w:rsid w:val="00D26A52"/>
    <w:rsid w:val="00D324B0"/>
    <w:rsid w:val="00D3483B"/>
    <w:rsid w:val="00D34A78"/>
    <w:rsid w:val="00D355BE"/>
    <w:rsid w:val="00D35C59"/>
    <w:rsid w:val="00D41D14"/>
    <w:rsid w:val="00D42C56"/>
    <w:rsid w:val="00D42DB8"/>
    <w:rsid w:val="00D43177"/>
    <w:rsid w:val="00D43C27"/>
    <w:rsid w:val="00D44E22"/>
    <w:rsid w:val="00D45BC8"/>
    <w:rsid w:val="00D50908"/>
    <w:rsid w:val="00D514B6"/>
    <w:rsid w:val="00D528F4"/>
    <w:rsid w:val="00D54AF4"/>
    <w:rsid w:val="00D6160F"/>
    <w:rsid w:val="00D6255B"/>
    <w:rsid w:val="00D636FC"/>
    <w:rsid w:val="00D65F66"/>
    <w:rsid w:val="00D6604B"/>
    <w:rsid w:val="00D66E1C"/>
    <w:rsid w:val="00D71088"/>
    <w:rsid w:val="00D71141"/>
    <w:rsid w:val="00D728B1"/>
    <w:rsid w:val="00D72E78"/>
    <w:rsid w:val="00D778E9"/>
    <w:rsid w:val="00D81CC5"/>
    <w:rsid w:val="00D82833"/>
    <w:rsid w:val="00D84B33"/>
    <w:rsid w:val="00D85043"/>
    <w:rsid w:val="00D864C1"/>
    <w:rsid w:val="00D86D55"/>
    <w:rsid w:val="00D86F92"/>
    <w:rsid w:val="00D8767A"/>
    <w:rsid w:val="00D87BD6"/>
    <w:rsid w:val="00D9022A"/>
    <w:rsid w:val="00D91D4E"/>
    <w:rsid w:val="00D92E4C"/>
    <w:rsid w:val="00D93E74"/>
    <w:rsid w:val="00D94349"/>
    <w:rsid w:val="00D94630"/>
    <w:rsid w:val="00D955D1"/>
    <w:rsid w:val="00D95C48"/>
    <w:rsid w:val="00D95E11"/>
    <w:rsid w:val="00DA3934"/>
    <w:rsid w:val="00DA4EB8"/>
    <w:rsid w:val="00DA7371"/>
    <w:rsid w:val="00DB0D75"/>
    <w:rsid w:val="00DB1806"/>
    <w:rsid w:val="00DB2EAF"/>
    <w:rsid w:val="00DB7029"/>
    <w:rsid w:val="00DC0233"/>
    <w:rsid w:val="00DC1327"/>
    <w:rsid w:val="00DC4940"/>
    <w:rsid w:val="00DC5207"/>
    <w:rsid w:val="00DC6FBF"/>
    <w:rsid w:val="00DC7A29"/>
    <w:rsid w:val="00DD333D"/>
    <w:rsid w:val="00DD3BCF"/>
    <w:rsid w:val="00DD607A"/>
    <w:rsid w:val="00DE32F5"/>
    <w:rsid w:val="00DE755C"/>
    <w:rsid w:val="00DE7AFC"/>
    <w:rsid w:val="00DF12C0"/>
    <w:rsid w:val="00DF47DF"/>
    <w:rsid w:val="00E01C7C"/>
    <w:rsid w:val="00E02487"/>
    <w:rsid w:val="00E03353"/>
    <w:rsid w:val="00E0475F"/>
    <w:rsid w:val="00E056D2"/>
    <w:rsid w:val="00E07DD3"/>
    <w:rsid w:val="00E10F62"/>
    <w:rsid w:val="00E15574"/>
    <w:rsid w:val="00E164E4"/>
    <w:rsid w:val="00E177F3"/>
    <w:rsid w:val="00E2064F"/>
    <w:rsid w:val="00E21611"/>
    <w:rsid w:val="00E23831"/>
    <w:rsid w:val="00E24671"/>
    <w:rsid w:val="00E24A20"/>
    <w:rsid w:val="00E24DA8"/>
    <w:rsid w:val="00E26B67"/>
    <w:rsid w:val="00E26EA4"/>
    <w:rsid w:val="00E26F7E"/>
    <w:rsid w:val="00E303BD"/>
    <w:rsid w:val="00E305A0"/>
    <w:rsid w:val="00E32EF7"/>
    <w:rsid w:val="00E36951"/>
    <w:rsid w:val="00E37986"/>
    <w:rsid w:val="00E42BE4"/>
    <w:rsid w:val="00E42E67"/>
    <w:rsid w:val="00E452BF"/>
    <w:rsid w:val="00E53691"/>
    <w:rsid w:val="00E552A1"/>
    <w:rsid w:val="00E5610F"/>
    <w:rsid w:val="00E57E3D"/>
    <w:rsid w:val="00E60823"/>
    <w:rsid w:val="00E60BC5"/>
    <w:rsid w:val="00E614E4"/>
    <w:rsid w:val="00E61743"/>
    <w:rsid w:val="00E64505"/>
    <w:rsid w:val="00E651E8"/>
    <w:rsid w:val="00E66349"/>
    <w:rsid w:val="00E733B2"/>
    <w:rsid w:val="00E74BEB"/>
    <w:rsid w:val="00E75D90"/>
    <w:rsid w:val="00E76831"/>
    <w:rsid w:val="00E82384"/>
    <w:rsid w:val="00E8266E"/>
    <w:rsid w:val="00E82844"/>
    <w:rsid w:val="00E83FEB"/>
    <w:rsid w:val="00E85F5A"/>
    <w:rsid w:val="00E860C6"/>
    <w:rsid w:val="00E86ACB"/>
    <w:rsid w:val="00E879C6"/>
    <w:rsid w:val="00E92824"/>
    <w:rsid w:val="00E9398A"/>
    <w:rsid w:val="00E972C6"/>
    <w:rsid w:val="00E97602"/>
    <w:rsid w:val="00EA1526"/>
    <w:rsid w:val="00EA24DD"/>
    <w:rsid w:val="00EA278C"/>
    <w:rsid w:val="00EA405B"/>
    <w:rsid w:val="00EA45F1"/>
    <w:rsid w:val="00EA7C59"/>
    <w:rsid w:val="00EB07FB"/>
    <w:rsid w:val="00EB0FA5"/>
    <w:rsid w:val="00EB4274"/>
    <w:rsid w:val="00EB437A"/>
    <w:rsid w:val="00EB6451"/>
    <w:rsid w:val="00EB7727"/>
    <w:rsid w:val="00EC1678"/>
    <w:rsid w:val="00EC207E"/>
    <w:rsid w:val="00EC2A30"/>
    <w:rsid w:val="00EC354D"/>
    <w:rsid w:val="00EC5AAC"/>
    <w:rsid w:val="00EC63C7"/>
    <w:rsid w:val="00EC71E7"/>
    <w:rsid w:val="00ED158D"/>
    <w:rsid w:val="00ED2718"/>
    <w:rsid w:val="00ED35BC"/>
    <w:rsid w:val="00ED3963"/>
    <w:rsid w:val="00ED6549"/>
    <w:rsid w:val="00ED79E8"/>
    <w:rsid w:val="00EE4E73"/>
    <w:rsid w:val="00EE6275"/>
    <w:rsid w:val="00EE7A50"/>
    <w:rsid w:val="00F00E7D"/>
    <w:rsid w:val="00F03434"/>
    <w:rsid w:val="00F07F9F"/>
    <w:rsid w:val="00F07FD6"/>
    <w:rsid w:val="00F101B8"/>
    <w:rsid w:val="00F124E5"/>
    <w:rsid w:val="00F149A7"/>
    <w:rsid w:val="00F14BD3"/>
    <w:rsid w:val="00F17C34"/>
    <w:rsid w:val="00F2068E"/>
    <w:rsid w:val="00F22CC2"/>
    <w:rsid w:val="00F238F2"/>
    <w:rsid w:val="00F315DF"/>
    <w:rsid w:val="00F3214E"/>
    <w:rsid w:val="00F33BEB"/>
    <w:rsid w:val="00F34292"/>
    <w:rsid w:val="00F41657"/>
    <w:rsid w:val="00F42979"/>
    <w:rsid w:val="00F440D4"/>
    <w:rsid w:val="00F44364"/>
    <w:rsid w:val="00F470ED"/>
    <w:rsid w:val="00F4786D"/>
    <w:rsid w:val="00F47C57"/>
    <w:rsid w:val="00F507A9"/>
    <w:rsid w:val="00F5228A"/>
    <w:rsid w:val="00F52FB8"/>
    <w:rsid w:val="00F55C37"/>
    <w:rsid w:val="00F55EA9"/>
    <w:rsid w:val="00F571AD"/>
    <w:rsid w:val="00F576AA"/>
    <w:rsid w:val="00F61754"/>
    <w:rsid w:val="00F62867"/>
    <w:rsid w:val="00F640DB"/>
    <w:rsid w:val="00F66F42"/>
    <w:rsid w:val="00F67F45"/>
    <w:rsid w:val="00F70766"/>
    <w:rsid w:val="00F717F0"/>
    <w:rsid w:val="00F71951"/>
    <w:rsid w:val="00F74654"/>
    <w:rsid w:val="00F77E64"/>
    <w:rsid w:val="00F80397"/>
    <w:rsid w:val="00F81BE2"/>
    <w:rsid w:val="00F861D5"/>
    <w:rsid w:val="00F874ED"/>
    <w:rsid w:val="00F90CD8"/>
    <w:rsid w:val="00F937A7"/>
    <w:rsid w:val="00F96346"/>
    <w:rsid w:val="00FA054F"/>
    <w:rsid w:val="00FA38DC"/>
    <w:rsid w:val="00FA4FBE"/>
    <w:rsid w:val="00FA5A74"/>
    <w:rsid w:val="00FB08E9"/>
    <w:rsid w:val="00FB0EF2"/>
    <w:rsid w:val="00FB1B9E"/>
    <w:rsid w:val="00FB29C8"/>
    <w:rsid w:val="00FB3E85"/>
    <w:rsid w:val="00FC16AF"/>
    <w:rsid w:val="00FC31B0"/>
    <w:rsid w:val="00FC4709"/>
    <w:rsid w:val="00FC4D63"/>
    <w:rsid w:val="00FC4E28"/>
    <w:rsid w:val="00FC57E8"/>
    <w:rsid w:val="00FC5D1F"/>
    <w:rsid w:val="00FC6AA2"/>
    <w:rsid w:val="00FC6FE2"/>
    <w:rsid w:val="00FC73D6"/>
    <w:rsid w:val="00FC7FF7"/>
    <w:rsid w:val="00FD0BA9"/>
    <w:rsid w:val="00FD2A04"/>
    <w:rsid w:val="00FD3A0D"/>
    <w:rsid w:val="00FD3BEC"/>
    <w:rsid w:val="00FD3EF1"/>
    <w:rsid w:val="00FD47FE"/>
    <w:rsid w:val="00FD575C"/>
    <w:rsid w:val="00FD6F33"/>
    <w:rsid w:val="00FE37C0"/>
    <w:rsid w:val="00FE691F"/>
    <w:rsid w:val="00FE71F1"/>
    <w:rsid w:val="00FF128E"/>
    <w:rsid w:val="00FF1696"/>
    <w:rsid w:val="00FF17A1"/>
    <w:rsid w:val="00FF2C63"/>
    <w:rsid w:val="00FF45B5"/>
    <w:rsid w:val="00FF45E5"/>
    <w:rsid w:val="00FF5886"/>
    <w:rsid w:val="00FF6210"/>
    <w:rsid w:val="00FF7C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6B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rPr>
      <w:lang w:val="es-ES_tradnl"/>
    </w:rPr>
  </w:style>
  <w:style w:type="paragraph" w:styleId="Heading1">
    <w:name w:val="heading 1"/>
    <w:basedOn w:val="Normal"/>
    <w:next w:val="Normal"/>
    <w:link w:val="Heading1Char"/>
    <w:uiPriority w:val="9"/>
    <w:qFormat/>
    <w:rsid w:val="005D5CF9"/>
    <w:pPr>
      <w:keepNext/>
      <w:spacing w:before="240" w:after="60" w:line="276" w:lineRule="auto"/>
      <w:jc w:val="center"/>
      <w:outlineLvl w:val="0"/>
    </w:pPr>
    <w:rPr>
      <w:rFonts w:ascii="Verdana Bold" w:eastAsia="Times New Roman" w:hAnsi="Verdana Bold"/>
      <w:b/>
      <w:bCs/>
      <w:caps/>
      <w:kern w:val="32"/>
      <w:szCs w:val="32"/>
    </w:rPr>
  </w:style>
  <w:style w:type="paragraph" w:styleId="Heading2">
    <w:name w:val="heading 2"/>
    <w:basedOn w:val="Normal"/>
    <w:next w:val="Normal"/>
    <w:link w:val="Heading2Char"/>
    <w:uiPriority w:val="9"/>
    <w:unhideWhenUsed/>
    <w:qFormat/>
    <w:rsid w:val="005D5CF9"/>
    <w:pPr>
      <w:keepNext/>
      <w:spacing w:before="240" w:after="60" w:line="276" w:lineRule="auto"/>
      <w:jc w:val="both"/>
      <w:outlineLvl w:val="1"/>
    </w:pPr>
    <w:rPr>
      <w:rFonts w:ascii="Verdana" w:eastAsia="Times New Roman" w:hAnsi="Verdana"/>
      <w:b/>
      <w:bCs/>
      <w:i/>
      <w:iCs/>
      <w:szCs w:val="28"/>
    </w:rPr>
  </w:style>
  <w:style w:type="paragraph" w:styleId="Heading3">
    <w:name w:val="heading 3"/>
    <w:basedOn w:val="Normal"/>
    <w:next w:val="Normal"/>
    <w:link w:val="Heading3Char"/>
    <w:uiPriority w:val="9"/>
    <w:semiHidden/>
    <w:unhideWhenUsed/>
    <w:qFormat/>
    <w:rsid w:val="005D5CF9"/>
    <w:pPr>
      <w:keepNext/>
      <w:spacing w:before="240" w:after="60" w:line="276" w:lineRule="auto"/>
      <w:outlineLvl w:val="2"/>
    </w:pPr>
    <w:rPr>
      <w:rFonts w:ascii="Cambria" w:eastAsia="Times New Roman" w:hAnsi="Cambria"/>
      <w:b/>
      <w:bCs/>
      <w:sz w:val="26"/>
      <w:szCs w:val="26"/>
    </w:rPr>
  </w:style>
  <w:style w:type="paragraph" w:styleId="Heading5">
    <w:name w:val="heading 5"/>
    <w:basedOn w:val="Normal"/>
    <w:next w:val="Normal"/>
    <w:link w:val="Heading5Char"/>
    <w:qFormat/>
    <w:rsid w:val="005D5CF9"/>
    <w:pPr>
      <w:spacing w:before="240" w:after="60"/>
      <w:outlineLvl w:val="4"/>
    </w:pPr>
    <w:rPr>
      <w:rFonts w:ascii="Verdana" w:eastAsia="Times New Roman" w:hAnsi="Verdana"/>
      <w:b/>
      <w:i/>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delibro">
    <w:name w:val="Título de libro"/>
    <w:uiPriority w:val="33"/>
    <w:qFormat/>
    <w:rsid w:val="005D5CF9"/>
    <w:rPr>
      <w:b/>
      <w:bCs/>
      <w:smallCaps/>
      <w:spacing w:val="5"/>
    </w:rPr>
  </w:style>
  <w:style w:type="paragraph" w:customStyle="1" w:styleId="Estilo1">
    <w:name w:val="Estilo1"/>
    <w:basedOn w:val="Normal"/>
    <w:link w:val="Estilo1Car"/>
    <w:qFormat/>
    <w:rsid w:val="005D5CF9"/>
    <w:pPr>
      <w:spacing w:after="120"/>
      <w:ind w:left="2018" w:right="6" w:hanging="180"/>
      <w:jc w:val="both"/>
    </w:pPr>
    <w:rPr>
      <w:rFonts w:ascii="Verdana" w:eastAsia="Batang" w:hAnsi="Verdana" w:cs="Times"/>
      <w:i/>
      <w:noProof/>
      <w:szCs w:val="24"/>
      <w:lang w:eastAsia="en-US"/>
    </w:rPr>
  </w:style>
  <w:style w:type="character" w:customStyle="1" w:styleId="Estilo1Car">
    <w:name w:val="Estilo1 Car"/>
    <w:link w:val="Estilo1"/>
    <w:rsid w:val="005D5CF9"/>
    <w:rPr>
      <w:rFonts w:ascii="Verdana" w:eastAsia="Batang" w:hAnsi="Verdana" w:cs="Times"/>
      <w:i/>
      <w:noProof/>
      <w:szCs w:val="24"/>
      <w:lang w:val="es-ES_tradnl" w:eastAsia="en-US"/>
    </w:rPr>
  </w:style>
  <w:style w:type="character" w:customStyle="1" w:styleId="Heading1Char">
    <w:name w:val="Heading 1 Char"/>
    <w:link w:val="Heading1"/>
    <w:uiPriority w:val="9"/>
    <w:rsid w:val="005D5CF9"/>
    <w:rPr>
      <w:rFonts w:ascii="Verdana Bold" w:eastAsia="Times New Roman" w:hAnsi="Verdana Bold"/>
      <w:b/>
      <w:bCs/>
      <w:caps/>
      <w:kern w:val="32"/>
      <w:szCs w:val="32"/>
    </w:rPr>
  </w:style>
  <w:style w:type="character" w:customStyle="1" w:styleId="Heading2Char">
    <w:name w:val="Heading 2 Char"/>
    <w:link w:val="Heading2"/>
    <w:uiPriority w:val="9"/>
    <w:rsid w:val="005D5CF9"/>
    <w:rPr>
      <w:rFonts w:ascii="Verdana" w:eastAsia="Times New Roman" w:hAnsi="Verdana"/>
      <w:b/>
      <w:bCs/>
      <w:i/>
      <w:iCs/>
      <w:szCs w:val="28"/>
    </w:rPr>
  </w:style>
  <w:style w:type="character" w:customStyle="1" w:styleId="Heading3Char">
    <w:name w:val="Heading 3 Char"/>
    <w:link w:val="Heading3"/>
    <w:uiPriority w:val="9"/>
    <w:semiHidden/>
    <w:rsid w:val="005D5CF9"/>
    <w:rPr>
      <w:rFonts w:ascii="Cambria" w:eastAsia="Times New Roman" w:hAnsi="Cambria"/>
      <w:b/>
      <w:bCs/>
      <w:sz w:val="26"/>
      <w:szCs w:val="26"/>
    </w:rPr>
  </w:style>
  <w:style w:type="character" w:customStyle="1" w:styleId="Heading5Char">
    <w:name w:val="Heading 5 Char"/>
    <w:link w:val="Heading5"/>
    <w:rsid w:val="005D5CF9"/>
    <w:rPr>
      <w:rFonts w:ascii="Verdana" w:eastAsia="Times New Roman" w:hAnsi="Verdana"/>
      <w:b/>
      <w:i/>
      <w:szCs w:val="26"/>
      <w:lang w:eastAsia="x-none"/>
    </w:rPr>
  </w:style>
  <w:style w:type="paragraph" w:styleId="FootnoteText">
    <w:name w:val="footnote text"/>
    <w:aliases w:val="Footnote Text Char Char Char Char Char,Footnote Text Char Char Char Char,Footnote reference,FA Fu,Footnote Text Char Char Char,footnote text,Footnote Text Cha,FA Fußnotentext,FA Fuﬂnotentext,Texto nota pie Car,Footnote Text Char Char,Car"/>
    <w:basedOn w:val="Normal"/>
    <w:link w:val="FootnoteTextChar"/>
    <w:qFormat/>
    <w:rsid w:val="005D5CF9"/>
    <w:rPr>
      <w:rFonts w:ascii="Times New Roman" w:eastAsia="Times New Roman" w:hAnsi="Times New Roman"/>
      <w:lang w:val="es-MX"/>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r,Footnote Text Cha Char,FA Fußnotentext Char,Car Char"/>
    <w:link w:val="FootnoteText"/>
    <w:qFormat/>
    <w:rsid w:val="005D5CF9"/>
    <w:rPr>
      <w:rFonts w:ascii="Times New Roman" w:eastAsia="Times New Roman" w:hAnsi="Times New Roman"/>
      <w:lang w:val="es-MX"/>
    </w:rPr>
  </w:style>
  <w:style w:type="paragraph" w:styleId="Title">
    <w:name w:val="Title"/>
    <w:basedOn w:val="Normal"/>
    <w:link w:val="TitleChar"/>
    <w:uiPriority w:val="99"/>
    <w:qFormat/>
    <w:rsid w:val="005D5CF9"/>
    <w:pPr>
      <w:spacing w:before="60" w:after="60"/>
      <w:jc w:val="center"/>
    </w:pPr>
    <w:rPr>
      <w:rFonts w:ascii="Verdana" w:eastAsia="Times New Roman" w:hAnsi="Verdana"/>
      <w:b/>
      <w:lang w:eastAsia="en-US"/>
    </w:rPr>
  </w:style>
  <w:style w:type="character" w:customStyle="1" w:styleId="TitleChar">
    <w:name w:val="Title Char"/>
    <w:link w:val="Title"/>
    <w:uiPriority w:val="99"/>
    <w:rsid w:val="005D5CF9"/>
    <w:rPr>
      <w:rFonts w:ascii="Verdana" w:eastAsia="Times New Roman" w:hAnsi="Verdana"/>
      <w:b/>
      <w:lang w:val="es-ES_tradnl" w:eastAsia="en-US"/>
    </w:rPr>
  </w:style>
  <w:style w:type="paragraph" w:styleId="Subtitle">
    <w:name w:val="Subtitle"/>
    <w:basedOn w:val="Normal"/>
    <w:next w:val="Normal"/>
    <w:link w:val="SubtitleChar"/>
    <w:qFormat/>
    <w:rsid w:val="005D5CF9"/>
    <w:pPr>
      <w:numPr>
        <w:ilvl w:val="1"/>
      </w:numPr>
      <w:spacing w:before="60" w:after="60"/>
      <w:jc w:val="center"/>
    </w:pPr>
    <w:rPr>
      <w:rFonts w:ascii="Verdana" w:eastAsia="Times New Roman" w:hAnsi="Verdana"/>
      <w:b/>
      <w:i/>
      <w:iCs/>
      <w:spacing w:val="15"/>
      <w:szCs w:val="24"/>
      <w:lang w:eastAsia="en-US"/>
    </w:rPr>
  </w:style>
  <w:style w:type="character" w:customStyle="1" w:styleId="SubtitleChar">
    <w:name w:val="Subtitle Char"/>
    <w:link w:val="Subtitle"/>
    <w:rsid w:val="005D5CF9"/>
    <w:rPr>
      <w:rFonts w:ascii="Verdana" w:eastAsia="Times New Roman" w:hAnsi="Verdana"/>
      <w:b/>
      <w:i/>
      <w:iCs/>
      <w:spacing w:val="15"/>
      <w:szCs w:val="24"/>
      <w:lang w:val="es-ES_tradnl" w:eastAsia="en-US"/>
    </w:rPr>
  </w:style>
  <w:style w:type="character" w:styleId="Strong">
    <w:name w:val="Strong"/>
    <w:uiPriority w:val="22"/>
    <w:qFormat/>
    <w:rsid w:val="005D5CF9"/>
    <w:rPr>
      <w:b/>
      <w:bCs/>
    </w:rPr>
  </w:style>
  <w:style w:type="paragraph" w:styleId="NoSpacing">
    <w:name w:val="No Spacing"/>
    <w:uiPriority w:val="1"/>
    <w:qFormat/>
    <w:rsid w:val="005D5CF9"/>
    <w:rPr>
      <w:sz w:val="22"/>
      <w:szCs w:val="22"/>
      <w:lang w:val="en-US" w:eastAsia="en-US"/>
    </w:rPr>
  </w:style>
  <w:style w:type="paragraph" w:styleId="ListParagraph">
    <w:name w:val="List Paragraph"/>
    <w:aliases w:val="Colorful List - Accent 11,Lista vistosa - Énfasis 11,Footnote,List Paragraph1,Párrafo de lista1"/>
    <w:link w:val="ListParagraphChar1"/>
    <w:qFormat/>
    <w:rsid w:val="005D5CF9"/>
    <w:pPr>
      <w:ind w:left="720"/>
    </w:pPr>
    <w:rPr>
      <w:rFonts w:ascii="Cambria" w:eastAsia="Cambria" w:hAnsi="Cambria" w:cs="Cambria"/>
      <w:color w:val="000000"/>
      <w:sz w:val="24"/>
      <w:szCs w:val="24"/>
      <w:u w:color="000000"/>
      <w:lang w:val="en-US" w:eastAsia="es-ES"/>
    </w:rPr>
  </w:style>
  <w:style w:type="paragraph" w:styleId="TOCHeading">
    <w:name w:val="TOC Heading"/>
    <w:basedOn w:val="Heading1"/>
    <w:next w:val="Normal"/>
    <w:uiPriority w:val="39"/>
    <w:semiHidden/>
    <w:unhideWhenUsed/>
    <w:qFormat/>
    <w:rsid w:val="005D5CF9"/>
    <w:pPr>
      <w:keepLines/>
      <w:spacing w:before="480" w:after="0"/>
      <w:jc w:val="left"/>
      <w:outlineLvl w:val="9"/>
    </w:pPr>
    <w:rPr>
      <w:rFonts w:ascii="Cambria" w:hAnsi="Cambria"/>
      <w:color w:val="365F91"/>
      <w:kern w:val="0"/>
      <w:sz w:val="28"/>
      <w:szCs w:val="28"/>
      <w:lang w:val="en-US" w:eastAsia="ja-JP"/>
    </w:rPr>
  </w:style>
  <w:style w:type="character" w:customStyle="1" w:styleId="ColorfulList-Accent1Char">
    <w:name w:val="Colorful List - Accent 1 Char"/>
    <w:aliases w:val="Párrafo de lista1 Char,List Paragraph1 Char,List Paragraph2 Char,List Paragraph Char,Footnote Char,Colorful List - Accent 11 Char,Lista vistosa - Énfasis 11 Char"/>
    <w:link w:val="ColorfulList-Accent1"/>
    <w:rsid w:val="005D5CF9"/>
    <w:rPr>
      <w:rFonts w:eastAsia="Times New Roman"/>
      <w:lang w:val="es-CR" w:eastAsia="es-CR"/>
    </w:rPr>
  </w:style>
  <w:style w:type="table" w:styleId="ColorfulList-Accent1">
    <w:name w:val="Colorful List Accent 1"/>
    <w:basedOn w:val="TableNormal"/>
    <w:link w:val="ColorfulList-Accent1Char"/>
    <w:uiPriority w:val="99"/>
    <w:rsid w:val="005D5CF9"/>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link w:val="4GChar"/>
    <w:uiPriority w:val="99"/>
    <w:unhideWhenUsed/>
    <w:qFormat/>
    <w:rsid w:val="00CD29C6"/>
    <w:rPr>
      <w:vertAlign w:val="superscript"/>
    </w:rPr>
  </w:style>
  <w:style w:type="paragraph" w:styleId="NormalWeb">
    <w:name w:val="Normal (Web)"/>
    <w:aliases w:val="Normal (Web) Char1,Normal (Web) Char Char,Normal (Web) Char1 Char,Normal (Web) Char Char Char"/>
    <w:basedOn w:val="Normal"/>
    <w:uiPriority w:val="99"/>
    <w:unhideWhenUsed/>
    <w:rsid w:val="00E8266E"/>
    <w:pPr>
      <w:spacing w:before="100" w:beforeAutospacing="1" w:after="100" w:afterAutospacing="1"/>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75291F"/>
    <w:rPr>
      <w:sz w:val="16"/>
      <w:szCs w:val="16"/>
    </w:rPr>
  </w:style>
  <w:style w:type="paragraph" w:styleId="CommentText">
    <w:name w:val="annotation text"/>
    <w:basedOn w:val="Normal"/>
    <w:link w:val="CommentTextChar"/>
    <w:uiPriority w:val="99"/>
    <w:semiHidden/>
    <w:unhideWhenUsed/>
    <w:rsid w:val="0075291F"/>
  </w:style>
  <w:style w:type="character" w:customStyle="1" w:styleId="CommentTextChar">
    <w:name w:val="Comment Text Char"/>
    <w:basedOn w:val="DefaultParagraphFont"/>
    <w:link w:val="CommentText"/>
    <w:uiPriority w:val="99"/>
    <w:semiHidden/>
    <w:rsid w:val="0075291F"/>
  </w:style>
  <w:style w:type="paragraph" w:styleId="CommentSubject">
    <w:name w:val="annotation subject"/>
    <w:basedOn w:val="CommentText"/>
    <w:next w:val="CommentText"/>
    <w:link w:val="CommentSubjectChar"/>
    <w:uiPriority w:val="99"/>
    <w:semiHidden/>
    <w:unhideWhenUsed/>
    <w:rsid w:val="0075291F"/>
    <w:rPr>
      <w:b/>
      <w:bCs/>
    </w:rPr>
  </w:style>
  <w:style w:type="character" w:customStyle="1" w:styleId="CommentSubjectChar">
    <w:name w:val="Comment Subject Char"/>
    <w:basedOn w:val="CommentTextChar"/>
    <w:link w:val="CommentSubject"/>
    <w:uiPriority w:val="99"/>
    <w:semiHidden/>
    <w:rsid w:val="0075291F"/>
    <w:rPr>
      <w:b/>
      <w:bCs/>
    </w:rPr>
  </w:style>
  <w:style w:type="paragraph" w:styleId="BalloonText">
    <w:name w:val="Balloon Text"/>
    <w:basedOn w:val="Normal"/>
    <w:link w:val="BalloonTextChar"/>
    <w:uiPriority w:val="99"/>
    <w:semiHidden/>
    <w:unhideWhenUsed/>
    <w:rsid w:val="0075291F"/>
    <w:rPr>
      <w:rFonts w:ascii="Tahoma" w:hAnsi="Tahoma" w:cs="Tahoma"/>
      <w:sz w:val="16"/>
      <w:szCs w:val="16"/>
    </w:rPr>
  </w:style>
  <w:style w:type="character" w:customStyle="1" w:styleId="BalloonTextChar">
    <w:name w:val="Balloon Text Char"/>
    <w:basedOn w:val="DefaultParagraphFont"/>
    <w:link w:val="BalloonText"/>
    <w:uiPriority w:val="99"/>
    <w:semiHidden/>
    <w:rsid w:val="0075291F"/>
    <w:rPr>
      <w:rFonts w:ascii="Tahoma" w:hAnsi="Tahoma" w:cs="Tahoma"/>
      <w:sz w:val="16"/>
      <w:szCs w:val="16"/>
    </w:rPr>
  </w:style>
  <w:style w:type="paragraph" w:styleId="Header">
    <w:name w:val="header"/>
    <w:basedOn w:val="Normal"/>
    <w:link w:val="HeaderChar"/>
    <w:uiPriority w:val="99"/>
    <w:unhideWhenUsed/>
    <w:rsid w:val="000F5EF1"/>
    <w:pPr>
      <w:tabs>
        <w:tab w:val="center" w:pos="4419"/>
        <w:tab w:val="right" w:pos="8838"/>
      </w:tabs>
    </w:pPr>
  </w:style>
  <w:style w:type="character" w:customStyle="1" w:styleId="HeaderChar">
    <w:name w:val="Header Char"/>
    <w:basedOn w:val="DefaultParagraphFont"/>
    <w:link w:val="Header"/>
    <w:uiPriority w:val="99"/>
    <w:rsid w:val="000F5EF1"/>
  </w:style>
  <w:style w:type="paragraph" w:styleId="Footer">
    <w:name w:val="footer"/>
    <w:basedOn w:val="Normal"/>
    <w:link w:val="FooterChar"/>
    <w:uiPriority w:val="99"/>
    <w:unhideWhenUsed/>
    <w:rsid w:val="000F5EF1"/>
    <w:pPr>
      <w:tabs>
        <w:tab w:val="center" w:pos="4419"/>
        <w:tab w:val="right" w:pos="8838"/>
      </w:tabs>
    </w:pPr>
  </w:style>
  <w:style w:type="character" w:customStyle="1" w:styleId="FooterChar">
    <w:name w:val="Footer Char"/>
    <w:basedOn w:val="DefaultParagraphFont"/>
    <w:link w:val="Footer"/>
    <w:uiPriority w:val="99"/>
    <w:rsid w:val="000F5EF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C562D"/>
    <w:pPr>
      <w:jc w:val="both"/>
    </w:pPr>
    <w:rPr>
      <w:vertAlign w:val="superscript"/>
    </w:rPr>
  </w:style>
  <w:style w:type="paragraph" w:styleId="DocumentMap">
    <w:name w:val="Document Map"/>
    <w:basedOn w:val="Normal"/>
    <w:link w:val="DocumentMapChar"/>
    <w:uiPriority w:val="99"/>
    <w:semiHidden/>
    <w:unhideWhenUsed/>
    <w:rsid w:val="009C715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C7158"/>
    <w:rPr>
      <w:rFonts w:ascii="Times New Roman" w:hAnsi="Times New Roman"/>
      <w:sz w:val="24"/>
      <w:szCs w:val="24"/>
    </w:rPr>
  </w:style>
  <w:style w:type="paragraph" w:styleId="Revision">
    <w:name w:val="Revision"/>
    <w:hidden/>
    <w:uiPriority w:val="99"/>
    <w:semiHidden/>
    <w:rsid w:val="009C7158"/>
  </w:style>
  <w:style w:type="character" w:customStyle="1" w:styleId="ListParagraphChar1">
    <w:name w:val="List Paragraph Char1"/>
    <w:aliases w:val="Colorful List - Accent 11 Char1,Lista vistosa - Énfasis 11 Char1,Footnote Char1,List Paragraph1 Char1,Párrafo de lista1 Char1"/>
    <w:basedOn w:val="DefaultParagraphFont"/>
    <w:link w:val="ListParagraph"/>
    <w:locked/>
    <w:rsid w:val="00D41D14"/>
    <w:rPr>
      <w:rFonts w:ascii="Cambria" w:eastAsia="Cambria" w:hAnsi="Cambria" w:cs="Cambria"/>
      <w:color w:val="000000"/>
      <w:sz w:val="24"/>
      <w:szCs w:val="24"/>
      <w:u w:color="00000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rPr>
      <w:lang w:val="es-ES_tradnl"/>
    </w:rPr>
  </w:style>
  <w:style w:type="paragraph" w:styleId="Heading1">
    <w:name w:val="heading 1"/>
    <w:basedOn w:val="Normal"/>
    <w:next w:val="Normal"/>
    <w:link w:val="Heading1Char"/>
    <w:uiPriority w:val="9"/>
    <w:qFormat/>
    <w:rsid w:val="005D5CF9"/>
    <w:pPr>
      <w:keepNext/>
      <w:spacing w:before="240" w:after="60" w:line="276" w:lineRule="auto"/>
      <w:jc w:val="center"/>
      <w:outlineLvl w:val="0"/>
    </w:pPr>
    <w:rPr>
      <w:rFonts w:ascii="Verdana Bold" w:eastAsia="Times New Roman" w:hAnsi="Verdana Bold"/>
      <w:b/>
      <w:bCs/>
      <w:caps/>
      <w:kern w:val="32"/>
      <w:szCs w:val="32"/>
    </w:rPr>
  </w:style>
  <w:style w:type="paragraph" w:styleId="Heading2">
    <w:name w:val="heading 2"/>
    <w:basedOn w:val="Normal"/>
    <w:next w:val="Normal"/>
    <w:link w:val="Heading2Char"/>
    <w:uiPriority w:val="9"/>
    <w:unhideWhenUsed/>
    <w:qFormat/>
    <w:rsid w:val="005D5CF9"/>
    <w:pPr>
      <w:keepNext/>
      <w:spacing w:before="240" w:after="60" w:line="276" w:lineRule="auto"/>
      <w:jc w:val="both"/>
      <w:outlineLvl w:val="1"/>
    </w:pPr>
    <w:rPr>
      <w:rFonts w:ascii="Verdana" w:eastAsia="Times New Roman" w:hAnsi="Verdana"/>
      <w:b/>
      <w:bCs/>
      <w:i/>
      <w:iCs/>
      <w:szCs w:val="28"/>
    </w:rPr>
  </w:style>
  <w:style w:type="paragraph" w:styleId="Heading3">
    <w:name w:val="heading 3"/>
    <w:basedOn w:val="Normal"/>
    <w:next w:val="Normal"/>
    <w:link w:val="Heading3Char"/>
    <w:uiPriority w:val="9"/>
    <w:semiHidden/>
    <w:unhideWhenUsed/>
    <w:qFormat/>
    <w:rsid w:val="005D5CF9"/>
    <w:pPr>
      <w:keepNext/>
      <w:spacing w:before="240" w:after="60" w:line="276" w:lineRule="auto"/>
      <w:outlineLvl w:val="2"/>
    </w:pPr>
    <w:rPr>
      <w:rFonts w:ascii="Cambria" w:eastAsia="Times New Roman" w:hAnsi="Cambria"/>
      <w:b/>
      <w:bCs/>
      <w:sz w:val="26"/>
      <w:szCs w:val="26"/>
    </w:rPr>
  </w:style>
  <w:style w:type="paragraph" w:styleId="Heading5">
    <w:name w:val="heading 5"/>
    <w:basedOn w:val="Normal"/>
    <w:next w:val="Normal"/>
    <w:link w:val="Heading5Char"/>
    <w:qFormat/>
    <w:rsid w:val="005D5CF9"/>
    <w:pPr>
      <w:spacing w:before="240" w:after="60"/>
      <w:outlineLvl w:val="4"/>
    </w:pPr>
    <w:rPr>
      <w:rFonts w:ascii="Verdana" w:eastAsia="Times New Roman" w:hAnsi="Verdana"/>
      <w:b/>
      <w:i/>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delibro">
    <w:name w:val="Título de libro"/>
    <w:uiPriority w:val="33"/>
    <w:qFormat/>
    <w:rsid w:val="005D5CF9"/>
    <w:rPr>
      <w:b/>
      <w:bCs/>
      <w:smallCaps/>
      <w:spacing w:val="5"/>
    </w:rPr>
  </w:style>
  <w:style w:type="paragraph" w:customStyle="1" w:styleId="Estilo1">
    <w:name w:val="Estilo1"/>
    <w:basedOn w:val="Normal"/>
    <w:link w:val="Estilo1Car"/>
    <w:qFormat/>
    <w:rsid w:val="005D5CF9"/>
    <w:pPr>
      <w:spacing w:after="120"/>
      <w:ind w:left="2018" w:right="6" w:hanging="180"/>
      <w:jc w:val="both"/>
    </w:pPr>
    <w:rPr>
      <w:rFonts w:ascii="Verdana" w:eastAsia="Batang" w:hAnsi="Verdana" w:cs="Times"/>
      <w:i/>
      <w:noProof/>
      <w:szCs w:val="24"/>
      <w:lang w:eastAsia="en-US"/>
    </w:rPr>
  </w:style>
  <w:style w:type="character" w:customStyle="1" w:styleId="Estilo1Car">
    <w:name w:val="Estilo1 Car"/>
    <w:link w:val="Estilo1"/>
    <w:rsid w:val="005D5CF9"/>
    <w:rPr>
      <w:rFonts w:ascii="Verdana" w:eastAsia="Batang" w:hAnsi="Verdana" w:cs="Times"/>
      <w:i/>
      <w:noProof/>
      <w:szCs w:val="24"/>
      <w:lang w:val="es-ES_tradnl" w:eastAsia="en-US"/>
    </w:rPr>
  </w:style>
  <w:style w:type="character" w:customStyle="1" w:styleId="Heading1Char">
    <w:name w:val="Heading 1 Char"/>
    <w:link w:val="Heading1"/>
    <w:uiPriority w:val="9"/>
    <w:rsid w:val="005D5CF9"/>
    <w:rPr>
      <w:rFonts w:ascii="Verdana Bold" w:eastAsia="Times New Roman" w:hAnsi="Verdana Bold"/>
      <w:b/>
      <w:bCs/>
      <w:caps/>
      <w:kern w:val="32"/>
      <w:szCs w:val="32"/>
    </w:rPr>
  </w:style>
  <w:style w:type="character" w:customStyle="1" w:styleId="Heading2Char">
    <w:name w:val="Heading 2 Char"/>
    <w:link w:val="Heading2"/>
    <w:uiPriority w:val="9"/>
    <w:rsid w:val="005D5CF9"/>
    <w:rPr>
      <w:rFonts w:ascii="Verdana" w:eastAsia="Times New Roman" w:hAnsi="Verdana"/>
      <w:b/>
      <w:bCs/>
      <w:i/>
      <w:iCs/>
      <w:szCs w:val="28"/>
    </w:rPr>
  </w:style>
  <w:style w:type="character" w:customStyle="1" w:styleId="Heading3Char">
    <w:name w:val="Heading 3 Char"/>
    <w:link w:val="Heading3"/>
    <w:uiPriority w:val="9"/>
    <w:semiHidden/>
    <w:rsid w:val="005D5CF9"/>
    <w:rPr>
      <w:rFonts w:ascii="Cambria" w:eastAsia="Times New Roman" w:hAnsi="Cambria"/>
      <w:b/>
      <w:bCs/>
      <w:sz w:val="26"/>
      <w:szCs w:val="26"/>
    </w:rPr>
  </w:style>
  <w:style w:type="character" w:customStyle="1" w:styleId="Heading5Char">
    <w:name w:val="Heading 5 Char"/>
    <w:link w:val="Heading5"/>
    <w:rsid w:val="005D5CF9"/>
    <w:rPr>
      <w:rFonts w:ascii="Verdana" w:eastAsia="Times New Roman" w:hAnsi="Verdana"/>
      <w:b/>
      <w:i/>
      <w:szCs w:val="26"/>
      <w:lang w:eastAsia="x-none"/>
    </w:rPr>
  </w:style>
  <w:style w:type="paragraph" w:styleId="FootnoteText">
    <w:name w:val="footnote text"/>
    <w:aliases w:val="Footnote Text Char Char Char Char Char,Footnote Text Char Char Char Char,Footnote reference,FA Fu,Footnote Text Char Char Char,footnote text,Footnote Text Cha,FA Fußnotentext,FA Fuﬂnotentext,Texto nota pie Car,Footnote Text Char Char,Car"/>
    <w:basedOn w:val="Normal"/>
    <w:link w:val="FootnoteTextChar"/>
    <w:qFormat/>
    <w:rsid w:val="005D5CF9"/>
    <w:rPr>
      <w:rFonts w:ascii="Times New Roman" w:eastAsia="Times New Roman" w:hAnsi="Times New Roman"/>
      <w:lang w:val="es-MX"/>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r,Footnote Text Cha Char,FA Fußnotentext Char,Car Char"/>
    <w:link w:val="FootnoteText"/>
    <w:qFormat/>
    <w:rsid w:val="005D5CF9"/>
    <w:rPr>
      <w:rFonts w:ascii="Times New Roman" w:eastAsia="Times New Roman" w:hAnsi="Times New Roman"/>
      <w:lang w:val="es-MX"/>
    </w:rPr>
  </w:style>
  <w:style w:type="paragraph" w:styleId="Title">
    <w:name w:val="Title"/>
    <w:basedOn w:val="Normal"/>
    <w:link w:val="TitleChar"/>
    <w:uiPriority w:val="99"/>
    <w:qFormat/>
    <w:rsid w:val="005D5CF9"/>
    <w:pPr>
      <w:spacing w:before="60" w:after="60"/>
      <w:jc w:val="center"/>
    </w:pPr>
    <w:rPr>
      <w:rFonts w:ascii="Verdana" w:eastAsia="Times New Roman" w:hAnsi="Verdana"/>
      <w:b/>
      <w:lang w:eastAsia="en-US"/>
    </w:rPr>
  </w:style>
  <w:style w:type="character" w:customStyle="1" w:styleId="TitleChar">
    <w:name w:val="Title Char"/>
    <w:link w:val="Title"/>
    <w:uiPriority w:val="99"/>
    <w:rsid w:val="005D5CF9"/>
    <w:rPr>
      <w:rFonts w:ascii="Verdana" w:eastAsia="Times New Roman" w:hAnsi="Verdana"/>
      <w:b/>
      <w:lang w:val="es-ES_tradnl" w:eastAsia="en-US"/>
    </w:rPr>
  </w:style>
  <w:style w:type="paragraph" w:styleId="Subtitle">
    <w:name w:val="Subtitle"/>
    <w:basedOn w:val="Normal"/>
    <w:next w:val="Normal"/>
    <w:link w:val="SubtitleChar"/>
    <w:qFormat/>
    <w:rsid w:val="005D5CF9"/>
    <w:pPr>
      <w:numPr>
        <w:ilvl w:val="1"/>
      </w:numPr>
      <w:spacing w:before="60" w:after="60"/>
      <w:jc w:val="center"/>
    </w:pPr>
    <w:rPr>
      <w:rFonts w:ascii="Verdana" w:eastAsia="Times New Roman" w:hAnsi="Verdana"/>
      <w:b/>
      <w:i/>
      <w:iCs/>
      <w:spacing w:val="15"/>
      <w:szCs w:val="24"/>
      <w:lang w:eastAsia="en-US"/>
    </w:rPr>
  </w:style>
  <w:style w:type="character" w:customStyle="1" w:styleId="SubtitleChar">
    <w:name w:val="Subtitle Char"/>
    <w:link w:val="Subtitle"/>
    <w:rsid w:val="005D5CF9"/>
    <w:rPr>
      <w:rFonts w:ascii="Verdana" w:eastAsia="Times New Roman" w:hAnsi="Verdana"/>
      <w:b/>
      <w:i/>
      <w:iCs/>
      <w:spacing w:val="15"/>
      <w:szCs w:val="24"/>
      <w:lang w:val="es-ES_tradnl" w:eastAsia="en-US"/>
    </w:rPr>
  </w:style>
  <w:style w:type="character" w:styleId="Strong">
    <w:name w:val="Strong"/>
    <w:uiPriority w:val="22"/>
    <w:qFormat/>
    <w:rsid w:val="005D5CF9"/>
    <w:rPr>
      <w:b/>
      <w:bCs/>
    </w:rPr>
  </w:style>
  <w:style w:type="paragraph" w:styleId="NoSpacing">
    <w:name w:val="No Spacing"/>
    <w:uiPriority w:val="1"/>
    <w:qFormat/>
    <w:rsid w:val="005D5CF9"/>
    <w:rPr>
      <w:sz w:val="22"/>
      <w:szCs w:val="22"/>
      <w:lang w:val="en-US" w:eastAsia="en-US"/>
    </w:rPr>
  </w:style>
  <w:style w:type="paragraph" w:styleId="ListParagraph">
    <w:name w:val="List Paragraph"/>
    <w:aliases w:val="Colorful List - Accent 11,Lista vistosa - Énfasis 11,Footnote,List Paragraph1,Párrafo de lista1"/>
    <w:link w:val="ListParagraphChar1"/>
    <w:qFormat/>
    <w:rsid w:val="005D5CF9"/>
    <w:pPr>
      <w:ind w:left="720"/>
    </w:pPr>
    <w:rPr>
      <w:rFonts w:ascii="Cambria" w:eastAsia="Cambria" w:hAnsi="Cambria" w:cs="Cambria"/>
      <w:color w:val="000000"/>
      <w:sz w:val="24"/>
      <w:szCs w:val="24"/>
      <w:u w:color="000000"/>
      <w:lang w:val="en-US" w:eastAsia="es-ES"/>
    </w:rPr>
  </w:style>
  <w:style w:type="paragraph" w:styleId="TOCHeading">
    <w:name w:val="TOC Heading"/>
    <w:basedOn w:val="Heading1"/>
    <w:next w:val="Normal"/>
    <w:uiPriority w:val="39"/>
    <w:semiHidden/>
    <w:unhideWhenUsed/>
    <w:qFormat/>
    <w:rsid w:val="005D5CF9"/>
    <w:pPr>
      <w:keepLines/>
      <w:spacing w:before="480" w:after="0"/>
      <w:jc w:val="left"/>
      <w:outlineLvl w:val="9"/>
    </w:pPr>
    <w:rPr>
      <w:rFonts w:ascii="Cambria" w:hAnsi="Cambria"/>
      <w:color w:val="365F91"/>
      <w:kern w:val="0"/>
      <w:sz w:val="28"/>
      <w:szCs w:val="28"/>
      <w:lang w:val="en-US" w:eastAsia="ja-JP"/>
    </w:rPr>
  </w:style>
  <w:style w:type="character" w:customStyle="1" w:styleId="ColorfulList-Accent1Char">
    <w:name w:val="Colorful List - Accent 1 Char"/>
    <w:aliases w:val="Párrafo de lista1 Char,List Paragraph1 Char,List Paragraph2 Char,List Paragraph Char,Footnote Char,Colorful List - Accent 11 Char,Lista vistosa - Énfasis 11 Char"/>
    <w:link w:val="ColorfulList-Accent1"/>
    <w:rsid w:val="005D5CF9"/>
    <w:rPr>
      <w:rFonts w:eastAsia="Times New Roman"/>
      <w:lang w:val="es-CR" w:eastAsia="es-CR"/>
    </w:rPr>
  </w:style>
  <w:style w:type="table" w:styleId="ColorfulList-Accent1">
    <w:name w:val="Colorful List Accent 1"/>
    <w:basedOn w:val="TableNormal"/>
    <w:link w:val="ColorfulList-Accent1Char"/>
    <w:uiPriority w:val="99"/>
    <w:rsid w:val="005D5CF9"/>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link w:val="4GChar"/>
    <w:uiPriority w:val="99"/>
    <w:unhideWhenUsed/>
    <w:qFormat/>
    <w:rsid w:val="00CD29C6"/>
    <w:rPr>
      <w:vertAlign w:val="superscript"/>
    </w:rPr>
  </w:style>
  <w:style w:type="paragraph" w:styleId="NormalWeb">
    <w:name w:val="Normal (Web)"/>
    <w:aliases w:val="Normal (Web) Char1,Normal (Web) Char Char,Normal (Web) Char1 Char,Normal (Web) Char Char Char"/>
    <w:basedOn w:val="Normal"/>
    <w:uiPriority w:val="99"/>
    <w:unhideWhenUsed/>
    <w:rsid w:val="00E8266E"/>
    <w:pPr>
      <w:spacing w:before="100" w:beforeAutospacing="1" w:after="100" w:afterAutospacing="1"/>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75291F"/>
    <w:rPr>
      <w:sz w:val="16"/>
      <w:szCs w:val="16"/>
    </w:rPr>
  </w:style>
  <w:style w:type="paragraph" w:styleId="CommentText">
    <w:name w:val="annotation text"/>
    <w:basedOn w:val="Normal"/>
    <w:link w:val="CommentTextChar"/>
    <w:uiPriority w:val="99"/>
    <w:semiHidden/>
    <w:unhideWhenUsed/>
    <w:rsid w:val="0075291F"/>
  </w:style>
  <w:style w:type="character" w:customStyle="1" w:styleId="CommentTextChar">
    <w:name w:val="Comment Text Char"/>
    <w:basedOn w:val="DefaultParagraphFont"/>
    <w:link w:val="CommentText"/>
    <w:uiPriority w:val="99"/>
    <w:semiHidden/>
    <w:rsid w:val="0075291F"/>
  </w:style>
  <w:style w:type="paragraph" w:styleId="CommentSubject">
    <w:name w:val="annotation subject"/>
    <w:basedOn w:val="CommentText"/>
    <w:next w:val="CommentText"/>
    <w:link w:val="CommentSubjectChar"/>
    <w:uiPriority w:val="99"/>
    <w:semiHidden/>
    <w:unhideWhenUsed/>
    <w:rsid w:val="0075291F"/>
    <w:rPr>
      <w:b/>
      <w:bCs/>
    </w:rPr>
  </w:style>
  <w:style w:type="character" w:customStyle="1" w:styleId="CommentSubjectChar">
    <w:name w:val="Comment Subject Char"/>
    <w:basedOn w:val="CommentTextChar"/>
    <w:link w:val="CommentSubject"/>
    <w:uiPriority w:val="99"/>
    <w:semiHidden/>
    <w:rsid w:val="0075291F"/>
    <w:rPr>
      <w:b/>
      <w:bCs/>
    </w:rPr>
  </w:style>
  <w:style w:type="paragraph" w:styleId="BalloonText">
    <w:name w:val="Balloon Text"/>
    <w:basedOn w:val="Normal"/>
    <w:link w:val="BalloonTextChar"/>
    <w:uiPriority w:val="99"/>
    <w:semiHidden/>
    <w:unhideWhenUsed/>
    <w:rsid w:val="0075291F"/>
    <w:rPr>
      <w:rFonts w:ascii="Tahoma" w:hAnsi="Tahoma" w:cs="Tahoma"/>
      <w:sz w:val="16"/>
      <w:szCs w:val="16"/>
    </w:rPr>
  </w:style>
  <w:style w:type="character" w:customStyle="1" w:styleId="BalloonTextChar">
    <w:name w:val="Balloon Text Char"/>
    <w:basedOn w:val="DefaultParagraphFont"/>
    <w:link w:val="BalloonText"/>
    <w:uiPriority w:val="99"/>
    <w:semiHidden/>
    <w:rsid w:val="0075291F"/>
    <w:rPr>
      <w:rFonts w:ascii="Tahoma" w:hAnsi="Tahoma" w:cs="Tahoma"/>
      <w:sz w:val="16"/>
      <w:szCs w:val="16"/>
    </w:rPr>
  </w:style>
  <w:style w:type="paragraph" w:styleId="Header">
    <w:name w:val="header"/>
    <w:basedOn w:val="Normal"/>
    <w:link w:val="HeaderChar"/>
    <w:uiPriority w:val="99"/>
    <w:unhideWhenUsed/>
    <w:rsid w:val="000F5EF1"/>
    <w:pPr>
      <w:tabs>
        <w:tab w:val="center" w:pos="4419"/>
        <w:tab w:val="right" w:pos="8838"/>
      </w:tabs>
    </w:pPr>
  </w:style>
  <w:style w:type="character" w:customStyle="1" w:styleId="HeaderChar">
    <w:name w:val="Header Char"/>
    <w:basedOn w:val="DefaultParagraphFont"/>
    <w:link w:val="Header"/>
    <w:uiPriority w:val="99"/>
    <w:rsid w:val="000F5EF1"/>
  </w:style>
  <w:style w:type="paragraph" w:styleId="Footer">
    <w:name w:val="footer"/>
    <w:basedOn w:val="Normal"/>
    <w:link w:val="FooterChar"/>
    <w:uiPriority w:val="99"/>
    <w:unhideWhenUsed/>
    <w:rsid w:val="000F5EF1"/>
    <w:pPr>
      <w:tabs>
        <w:tab w:val="center" w:pos="4419"/>
        <w:tab w:val="right" w:pos="8838"/>
      </w:tabs>
    </w:pPr>
  </w:style>
  <w:style w:type="character" w:customStyle="1" w:styleId="FooterChar">
    <w:name w:val="Footer Char"/>
    <w:basedOn w:val="DefaultParagraphFont"/>
    <w:link w:val="Footer"/>
    <w:uiPriority w:val="99"/>
    <w:rsid w:val="000F5EF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C562D"/>
    <w:pPr>
      <w:jc w:val="both"/>
    </w:pPr>
    <w:rPr>
      <w:vertAlign w:val="superscript"/>
    </w:rPr>
  </w:style>
  <w:style w:type="paragraph" w:styleId="DocumentMap">
    <w:name w:val="Document Map"/>
    <w:basedOn w:val="Normal"/>
    <w:link w:val="DocumentMapChar"/>
    <w:uiPriority w:val="99"/>
    <w:semiHidden/>
    <w:unhideWhenUsed/>
    <w:rsid w:val="009C715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C7158"/>
    <w:rPr>
      <w:rFonts w:ascii="Times New Roman" w:hAnsi="Times New Roman"/>
      <w:sz w:val="24"/>
      <w:szCs w:val="24"/>
    </w:rPr>
  </w:style>
  <w:style w:type="paragraph" w:styleId="Revision">
    <w:name w:val="Revision"/>
    <w:hidden/>
    <w:uiPriority w:val="99"/>
    <w:semiHidden/>
    <w:rsid w:val="009C7158"/>
  </w:style>
  <w:style w:type="character" w:customStyle="1" w:styleId="ListParagraphChar1">
    <w:name w:val="List Paragraph Char1"/>
    <w:aliases w:val="Colorful List - Accent 11 Char1,Lista vistosa - Énfasis 11 Char1,Footnote Char1,List Paragraph1 Char1,Párrafo de lista1 Char1"/>
    <w:basedOn w:val="DefaultParagraphFont"/>
    <w:link w:val="ListParagraph"/>
    <w:locked/>
    <w:rsid w:val="00D41D14"/>
    <w:rPr>
      <w:rFonts w:ascii="Cambria" w:eastAsia="Cambria" w:hAnsi="Cambria" w:cs="Cambria"/>
      <w:color w:val="000000"/>
      <w:sz w:val="24"/>
      <w:szCs w:val="24"/>
      <w:u w:color="00000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4838">
      <w:bodyDiv w:val="1"/>
      <w:marLeft w:val="0"/>
      <w:marRight w:val="0"/>
      <w:marTop w:val="0"/>
      <w:marBottom w:val="0"/>
      <w:divBdr>
        <w:top w:val="none" w:sz="0" w:space="0" w:color="auto"/>
        <w:left w:val="none" w:sz="0" w:space="0" w:color="auto"/>
        <w:bottom w:val="none" w:sz="0" w:space="0" w:color="auto"/>
        <w:right w:val="none" w:sz="0" w:space="0" w:color="auto"/>
      </w:divBdr>
      <w:divsChild>
        <w:div w:id="83889797">
          <w:marLeft w:val="0"/>
          <w:marRight w:val="0"/>
          <w:marTop w:val="0"/>
          <w:marBottom w:val="0"/>
          <w:divBdr>
            <w:top w:val="none" w:sz="0" w:space="0" w:color="auto"/>
            <w:left w:val="none" w:sz="0" w:space="0" w:color="auto"/>
            <w:bottom w:val="none" w:sz="0" w:space="0" w:color="auto"/>
            <w:right w:val="none" w:sz="0" w:space="0" w:color="auto"/>
          </w:divBdr>
          <w:divsChild>
            <w:div w:id="1248539688">
              <w:marLeft w:val="0"/>
              <w:marRight w:val="0"/>
              <w:marTop w:val="0"/>
              <w:marBottom w:val="0"/>
              <w:divBdr>
                <w:top w:val="none" w:sz="0" w:space="0" w:color="auto"/>
                <w:left w:val="none" w:sz="0" w:space="0" w:color="auto"/>
                <w:bottom w:val="none" w:sz="0" w:space="0" w:color="auto"/>
                <w:right w:val="none" w:sz="0" w:space="0" w:color="auto"/>
              </w:divBdr>
              <w:divsChild>
                <w:div w:id="15381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5248">
      <w:bodyDiv w:val="1"/>
      <w:marLeft w:val="0"/>
      <w:marRight w:val="0"/>
      <w:marTop w:val="0"/>
      <w:marBottom w:val="0"/>
      <w:divBdr>
        <w:top w:val="none" w:sz="0" w:space="0" w:color="auto"/>
        <w:left w:val="none" w:sz="0" w:space="0" w:color="auto"/>
        <w:bottom w:val="none" w:sz="0" w:space="0" w:color="auto"/>
        <w:right w:val="none" w:sz="0" w:space="0" w:color="auto"/>
      </w:divBdr>
      <w:divsChild>
        <w:div w:id="824859781">
          <w:marLeft w:val="0"/>
          <w:marRight w:val="0"/>
          <w:marTop w:val="0"/>
          <w:marBottom w:val="0"/>
          <w:divBdr>
            <w:top w:val="none" w:sz="0" w:space="0" w:color="auto"/>
            <w:left w:val="none" w:sz="0" w:space="0" w:color="auto"/>
            <w:bottom w:val="none" w:sz="0" w:space="0" w:color="auto"/>
            <w:right w:val="none" w:sz="0" w:space="0" w:color="auto"/>
          </w:divBdr>
          <w:divsChild>
            <w:div w:id="841242651">
              <w:marLeft w:val="0"/>
              <w:marRight w:val="0"/>
              <w:marTop w:val="0"/>
              <w:marBottom w:val="0"/>
              <w:divBdr>
                <w:top w:val="none" w:sz="0" w:space="0" w:color="auto"/>
                <w:left w:val="none" w:sz="0" w:space="0" w:color="auto"/>
                <w:bottom w:val="none" w:sz="0" w:space="0" w:color="auto"/>
                <w:right w:val="none" w:sz="0" w:space="0" w:color="auto"/>
              </w:divBdr>
              <w:divsChild>
                <w:div w:id="10375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5532">
      <w:bodyDiv w:val="1"/>
      <w:marLeft w:val="0"/>
      <w:marRight w:val="0"/>
      <w:marTop w:val="0"/>
      <w:marBottom w:val="0"/>
      <w:divBdr>
        <w:top w:val="none" w:sz="0" w:space="0" w:color="auto"/>
        <w:left w:val="none" w:sz="0" w:space="0" w:color="auto"/>
        <w:bottom w:val="none" w:sz="0" w:space="0" w:color="auto"/>
        <w:right w:val="none" w:sz="0" w:space="0" w:color="auto"/>
      </w:divBdr>
      <w:divsChild>
        <w:div w:id="2015298928">
          <w:marLeft w:val="0"/>
          <w:marRight w:val="0"/>
          <w:marTop w:val="0"/>
          <w:marBottom w:val="0"/>
          <w:divBdr>
            <w:top w:val="none" w:sz="0" w:space="0" w:color="auto"/>
            <w:left w:val="none" w:sz="0" w:space="0" w:color="auto"/>
            <w:bottom w:val="none" w:sz="0" w:space="0" w:color="auto"/>
            <w:right w:val="none" w:sz="0" w:space="0" w:color="auto"/>
          </w:divBdr>
          <w:divsChild>
            <w:div w:id="658463220">
              <w:marLeft w:val="0"/>
              <w:marRight w:val="0"/>
              <w:marTop w:val="0"/>
              <w:marBottom w:val="0"/>
              <w:divBdr>
                <w:top w:val="none" w:sz="0" w:space="0" w:color="auto"/>
                <w:left w:val="none" w:sz="0" w:space="0" w:color="auto"/>
                <w:bottom w:val="none" w:sz="0" w:space="0" w:color="auto"/>
                <w:right w:val="none" w:sz="0" w:space="0" w:color="auto"/>
              </w:divBdr>
              <w:divsChild>
                <w:div w:id="1775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4232">
      <w:bodyDiv w:val="1"/>
      <w:marLeft w:val="0"/>
      <w:marRight w:val="0"/>
      <w:marTop w:val="0"/>
      <w:marBottom w:val="0"/>
      <w:divBdr>
        <w:top w:val="none" w:sz="0" w:space="0" w:color="auto"/>
        <w:left w:val="none" w:sz="0" w:space="0" w:color="auto"/>
        <w:bottom w:val="none" w:sz="0" w:space="0" w:color="auto"/>
        <w:right w:val="none" w:sz="0" w:space="0" w:color="auto"/>
      </w:divBdr>
    </w:div>
    <w:div w:id="1784299228">
      <w:bodyDiv w:val="1"/>
      <w:marLeft w:val="0"/>
      <w:marRight w:val="0"/>
      <w:marTop w:val="0"/>
      <w:marBottom w:val="0"/>
      <w:divBdr>
        <w:top w:val="none" w:sz="0" w:space="0" w:color="auto"/>
        <w:left w:val="none" w:sz="0" w:space="0" w:color="auto"/>
        <w:bottom w:val="none" w:sz="0" w:space="0" w:color="auto"/>
        <w:right w:val="none" w:sz="0" w:space="0" w:color="auto"/>
      </w:divBdr>
    </w:div>
    <w:div w:id="2012833334">
      <w:bodyDiv w:val="1"/>
      <w:marLeft w:val="0"/>
      <w:marRight w:val="0"/>
      <w:marTop w:val="0"/>
      <w:marBottom w:val="0"/>
      <w:divBdr>
        <w:top w:val="none" w:sz="0" w:space="0" w:color="auto"/>
        <w:left w:val="none" w:sz="0" w:space="0" w:color="auto"/>
        <w:bottom w:val="none" w:sz="0" w:space="0" w:color="auto"/>
        <w:right w:val="none" w:sz="0" w:space="0" w:color="auto"/>
      </w:divBdr>
      <w:divsChild>
        <w:div w:id="1468157307">
          <w:marLeft w:val="0"/>
          <w:marRight w:val="0"/>
          <w:marTop w:val="0"/>
          <w:marBottom w:val="0"/>
          <w:divBdr>
            <w:top w:val="none" w:sz="0" w:space="0" w:color="auto"/>
            <w:left w:val="none" w:sz="0" w:space="0" w:color="auto"/>
            <w:bottom w:val="none" w:sz="0" w:space="0" w:color="auto"/>
            <w:right w:val="none" w:sz="0" w:space="0" w:color="auto"/>
          </w:divBdr>
          <w:divsChild>
            <w:div w:id="1754014541">
              <w:marLeft w:val="0"/>
              <w:marRight w:val="0"/>
              <w:marTop w:val="0"/>
              <w:marBottom w:val="0"/>
              <w:divBdr>
                <w:top w:val="none" w:sz="0" w:space="0" w:color="auto"/>
                <w:left w:val="none" w:sz="0" w:space="0" w:color="auto"/>
                <w:bottom w:val="none" w:sz="0" w:space="0" w:color="auto"/>
                <w:right w:val="none" w:sz="0" w:space="0" w:color="auto"/>
              </w:divBdr>
              <w:divsChild>
                <w:div w:id="12084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1201-B4EC-451B-986A-3C02448B4037}">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0226E99-3C8D-4A38-AF50-BCFC7425DA79}">
  <ds:schemaRefs>
    <ds:schemaRef ds:uri="http://schemas.microsoft.com/sharepoint/v3/contenttype/forms"/>
  </ds:schemaRefs>
</ds:datastoreItem>
</file>

<file path=customXml/itemProps3.xml><?xml version="1.0" encoding="utf-8"?>
<ds:datastoreItem xmlns:ds="http://schemas.openxmlformats.org/officeDocument/2006/customXml" ds:itemID="{C55878FB-06FE-402E-80E4-B1DC8E479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C53C3C-825C-4086-B986-15E244CB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3638</Words>
  <Characters>20739</Characters>
  <Application>Microsoft Office Word</Application>
  <DocSecurity>0</DocSecurity>
  <Lines>172</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2</cp:revision>
  <cp:lastPrinted>2018-06-21T19:57:00Z</cp:lastPrinted>
  <dcterms:created xsi:type="dcterms:W3CDTF">2018-06-21T22:41:00Z</dcterms:created>
  <dcterms:modified xsi:type="dcterms:W3CDTF">2018-06-21T22:41:00Z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