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2C57D" w14:textId="77777777" w:rsidR="001B3B0A" w:rsidRPr="008D632B" w:rsidRDefault="001B3B0A" w:rsidP="00017D5A">
      <w:pPr>
        <w:jc w:val="center"/>
        <w:rPr>
          <w:rFonts w:ascii="Verdana" w:hAnsi="Verdana"/>
          <w:b/>
        </w:rPr>
      </w:pPr>
      <w:bookmarkStart w:id="0" w:name="_GoBack"/>
      <w:bookmarkEnd w:id="0"/>
    </w:p>
    <w:p w14:paraId="4A50D5DD" w14:textId="77777777" w:rsidR="000A334D" w:rsidRPr="008D632B" w:rsidRDefault="000A334D" w:rsidP="00017D5A">
      <w:pPr>
        <w:jc w:val="center"/>
        <w:rPr>
          <w:rFonts w:ascii="Verdana" w:hAnsi="Verdana"/>
          <w:b/>
        </w:rPr>
      </w:pPr>
    </w:p>
    <w:p w14:paraId="1A29493E" w14:textId="77777777" w:rsidR="000A334D" w:rsidRPr="008D632B" w:rsidRDefault="000A334D" w:rsidP="00017D5A">
      <w:pPr>
        <w:jc w:val="center"/>
        <w:rPr>
          <w:rFonts w:ascii="Verdana" w:hAnsi="Verdana"/>
          <w:b/>
        </w:rPr>
      </w:pPr>
    </w:p>
    <w:p w14:paraId="3CEB8DB7" w14:textId="77777777" w:rsidR="000A334D" w:rsidRPr="008D632B" w:rsidRDefault="000A334D" w:rsidP="00017D5A">
      <w:pPr>
        <w:jc w:val="center"/>
        <w:rPr>
          <w:rFonts w:ascii="Verdana" w:hAnsi="Verdana"/>
          <w:b/>
        </w:rPr>
      </w:pPr>
    </w:p>
    <w:p w14:paraId="33A8762E" w14:textId="77777777" w:rsidR="000A334D" w:rsidRPr="008D632B" w:rsidRDefault="000A334D" w:rsidP="00017D5A">
      <w:pPr>
        <w:jc w:val="center"/>
        <w:rPr>
          <w:rFonts w:ascii="Verdana" w:hAnsi="Verdana"/>
          <w:b/>
        </w:rPr>
      </w:pPr>
    </w:p>
    <w:p w14:paraId="60CA8E3D" w14:textId="77777777" w:rsidR="000A334D" w:rsidRPr="008D632B" w:rsidRDefault="000A334D" w:rsidP="00017D5A">
      <w:pPr>
        <w:jc w:val="center"/>
        <w:rPr>
          <w:rFonts w:ascii="Verdana" w:hAnsi="Verdana"/>
          <w:b/>
        </w:rPr>
      </w:pPr>
    </w:p>
    <w:p w14:paraId="32278F77" w14:textId="77777777" w:rsidR="000A334D" w:rsidRPr="008D632B" w:rsidRDefault="000A334D" w:rsidP="00017D5A">
      <w:pPr>
        <w:jc w:val="center"/>
        <w:rPr>
          <w:rFonts w:ascii="Verdana" w:hAnsi="Verdana"/>
          <w:b/>
        </w:rPr>
      </w:pPr>
    </w:p>
    <w:p w14:paraId="170F3623" w14:textId="77777777" w:rsidR="00017D5A" w:rsidRPr="008D632B" w:rsidRDefault="00017D5A" w:rsidP="00017D5A">
      <w:pPr>
        <w:jc w:val="center"/>
        <w:rPr>
          <w:rFonts w:ascii="Verdana" w:hAnsi="Verdana"/>
          <w:b/>
        </w:rPr>
      </w:pPr>
      <w:r w:rsidRPr="008D632B">
        <w:rPr>
          <w:rFonts w:ascii="Verdana" w:hAnsi="Verdana"/>
          <w:b/>
        </w:rPr>
        <w:t xml:space="preserve">VOTO </w:t>
      </w:r>
      <w:r w:rsidR="002D613B" w:rsidRPr="008D632B">
        <w:rPr>
          <w:rFonts w:ascii="Verdana" w:hAnsi="Verdana"/>
          <w:b/>
        </w:rPr>
        <w:t>CONCURRENTE</w:t>
      </w:r>
      <w:r w:rsidRPr="008D632B">
        <w:rPr>
          <w:rFonts w:ascii="Verdana" w:hAnsi="Verdana"/>
          <w:b/>
        </w:rPr>
        <w:t xml:space="preserve"> DEL JUEZ HUMBERTO ANTONIO SIERRA PORTO </w:t>
      </w:r>
    </w:p>
    <w:p w14:paraId="3D9C9B81" w14:textId="77777777" w:rsidR="00017D5A" w:rsidRPr="008D632B" w:rsidRDefault="00017D5A" w:rsidP="00017D5A">
      <w:pPr>
        <w:jc w:val="center"/>
        <w:rPr>
          <w:rFonts w:ascii="Verdana" w:hAnsi="Verdana"/>
          <w:b/>
        </w:rPr>
      </w:pPr>
    </w:p>
    <w:p w14:paraId="3C0685F2" w14:textId="77777777" w:rsidR="00017D5A" w:rsidRPr="008D632B" w:rsidRDefault="00017D5A" w:rsidP="00017D5A">
      <w:pPr>
        <w:jc w:val="center"/>
        <w:rPr>
          <w:rFonts w:ascii="Verdana" w:hAnsi="Verdana"/>
          <w:b/>
        </w:rPr>
      </w:pPr>
      <w:r w:rsidRPr="008D632B">
        <w:rPr>
          <w:rFonts w:ascii="Verdana" w:hAnsi="Verdana"/>
          <w:b/>
        </w:rPr>
        <w:t xml:space="preserve">A LA SENTENCIA DE </w:t>
      </w:r>
      <w:r w:rsidR="005A338D" w:rsidRPr="008D632B">
        <w:rPr>
          <w:rFonts w:ascii="Verdana" w:hAnsi="Verdana"/>
          <w:b/>
        </w:rPr>
        <w:t>29</w:t>
      </w:r>
      <w:r w:rsidRPr="008D632B">
        <w:rPr>
          <w:rFonts w:ascii="Verdana" w:hAnsi="Verdana"/>
          <w:b/>
        </w:rPr>
        <w:t xml:space="preserve"> DE </w:t>
      </w:r>
      <w:r w:rsidR="005A338D" w:rsidRPr="008D632B">
        <w:rPr>
          <w:rFonts w:ascii="Verdana" w:hAnsi="Verdana"/>
          <w:b/>
        </w:rPr>
        <w:t>NOVIEMBRE</w:t>
      </w:r>
      <w:r w:rsidRPr="008D632B">
        <w:rPr>
          <w:rFonts w:ascii="Verdana" w:hAnsi="Verdana"/>
          <w:b/>
        </w:rPr>
        <w:t xml:space="preserve"> DE </w:t>
      </w:r>
      <w:r w:rsidR="002D613B" w:rsidRPr="008D632B">
        <w:rPr>
          <w:rFonts w:ascii="Verdana" w:hAnsi="Verdana"/>
          <w:b/>
        </w:rPr>
        <w:t>2018</w:t>
      </w:r>
    </w:p>
    <w:p w14:paraId="614D65D6" w14:textId="77777777" w:rsidR="00017D5A" w:rsidRPr="008D632B" w:rsidRDefault="00017D5A" w:rsidP="009C7158">
      <w:pPr>
        <w:jc w:val="center"/>
        <w:outlineLvl w:val="0"/>
        <w:rPr>
          <w:rFonts w:ascii="Verdana" w:hAnsi="Verdana"/>
          <w:b/>
        </w:rPr>
      </w:pPr>
      <w:r w:rsidRPr="008D632B">
        <w:rPr>
          <w:rFonts w:ascii="Verdana" w:hAnsi="Verdana"/>
          <w:b/>
        </w:rPr>
        <w:t>DE LA CORTE INTERAMERICANA DE DERECHOS HUMANOS</w:t>
      </w:r>
    </w:p>
    <w:p w14:paraId="7148A32C" w14:textId="77777777" w:rsidR="00017D5A" w:rsidRPr="008D632B" w:rsidRDefault="00017D5A" w:rsidP="00017D5A">
      <w:pPr>
        <w:jc w:val="center"/>
        <w:rPr>
          <w:rFonts w:ascii="Verdana" w:hAnsi="Verdana"/>
          <w:b/>
        </w:rPr>
      </w:pPr>
    </w:p>
    <w:p w14:paraId="0AA8C66C" w14:textId="77777777" w:rsidR="00017D5A" w:rsidRPr="008D632B" w:rsidRDefault="00017D5A" w:rsidP="009C7158">
      <w:pPr>
        <w:jc w:val="center"/>
        <w:outlineLvl w:val="0"/>
        <w:rPr>
          <w:rFonts w:ascii="Verdana" w:hAnsi="Verdana"/>
          <w:b/>
        </w:rPr>
      </w:pPr>
      <w:r w:rsidRPr="008D632B">
        <w:rPr>
          <w:rFonts w:ascii="Verdana" w:hAnsi="Verdana"/>
          <w:b/>
        </w:rPr>
        <w:t xml:space="preserve">EN EL CASO DE </w:t>
      </w:r>
      <w:r w:rsidR="005A338D" w:rsidRPr="008D632B">
        <w:rPr>
          <w:rFonts w:ascii="Verdana" w:hAnsi="Verdana"/>
          <w:b/>
        </w:rPr>
        <w:t>ÓRDENES GUERRA Y OTROS VS CHILE</w:t>
      </w:r>
    </w:p>
    <w:p w14:paraId="07D0E565" w14:textId="77777777" w:rsidR="00F65B02" w:rsidRPr="008D632B" w:rsidRDefault="00F65B02" w:rsidP="009C7158">
      <w:pPr>
        <w:jc w:val="center"/>
        <w:outlineLvl w:val="0"/>
        <w:rPr>
          <w:rFonts w:ascii="Verdana" w:hAnsi="Verdana"/>
          <w:b/>
        </w:rPr>
      </w:pPr>
    </w:p>
    <w:p w14:paraId="73FD0418" w14:textId="77777777" w:rsidR="00E24DCA" w:rsidRPr="008D632B" w:rsidRDefault="00E24DCA" w:rsidP="009C7158">
      <w:pPr>
        <w:jc w:val="center"/>
        <w:outlineLvl w:val="0"/>
        <w:rPr>
          <w:rFonts w:ascii="Verdana" w:hAnsi="Verdana"/>
          <w:b/>
        </w:rPr>
      </w:pPr>
      <w:r w:rsidRPr="008D632B">
        <w:rPr>
          <w:rFonts w:ascii="Verdana" w:hAnsi="Verdana"/>
          <w:b/>
        </w:rPr>
        <w:t xml:space="preserve">Temas: </w:t>
      </w:r>
    </w:p>
    <w:p w14:paraId="4C92F398" w14:textId="77777777" w:rsidR="00E24DCA" w:rsidRPr="008D632B" w:rsidRDefault="00E24DCA" w:rsidP="009C7158">
      <w:pPr>
        <w:jc w:val="center"/>
        <w:outlineLvl w:val="0"/>
        <w:rPr>
          <w:rFonts w:ascii="Verdana" w:hAnsi="Verdana"/>
          <w:b/>
        </w:rPr>
      </w:pPr>
    </w:p>
    <w:p w14:paraId="3C97F732" w14:textId="5356F9BF" w:rsidR="00F65B02" w:rsidRPr="008D632B" w:rsidRDefault="00E24DCA" w:rsidP="00E24DCA">
      <w:pPr>
        <w:jc w:val="both"/>
        <w:outlineLvl w:val="0"/>
        <w:rPr>
          <w:rFonts w:ascii="Verdana" w:hAnsi="Verdana"/>
          <w:i/>
        </w:rPr>
      </w:pPr>
      <w:r w:rsidRPr="008D632B">
        <w:rPr>
          <w:rFonts w:ascii="Verdana" w:hAnsi="Verdana"/>
          <w:i/>
        </w:rPr>
        <w:t xml:space="preserve">1. La Motivación para inaplicar la prescripción de la acción civil de daños en casos que involucren crímenes de lesa humanidad. 2. La utilización del principio de complementariedad o subsidiariedad en materia de reparaciones. 3. El control de convencionalidad, carácter </w:t>
      </w:r>
      <w:r w:rsidR="001C7465" w:rsidRPr="008D632B">
        <w:rPr>
          <w:rFonts w:ascii="Verdana" w:hAnsi="Verdana"/>
          <w:i/>
        </w:rPr>
        <w:t>dialógico</w:t>
      </w:r>
      <w:r w:rsidRPr="008D632B">
        <w:rPr>
          <w:rFonts w:ascii="Verdana" w:hAnsi="Verdana"/>
          <w:i/>
        </w:rPr>
        <w:t xml:space="preserve"> y l</w:t>
      </w:r>
      <w:r w:rsidR="00A46BC1" w:rsidRPr="008D632B">
        <w:rPr>
          <w:rFonts w:ascii="Verdana" w:hAnsi="Verdana"/>
          <w:i/>
        </w:rPr>
        <w:t>o</w:t>
      </w:r>
      <w:r w:rsidRPr="008D632B">
        <w:rPr>
          <w:rFonts w:ascii="Verdana" w:hAnsi="Verdana"/>
          <w:i/>
        </w:rPr>
        <w:t xml:space="preserve">s </w:t>
      </w:r>
      <w:r w:rsidR="00A46BC1" w:rsidRPr="008D632B">
        <w:rPr>
          <w:rFonts w:ascii="Verdana" w:hAnsi="Verdana"/>
          <w:i/>
        </w:rPr>
        <w:t xml:space="preserve">inconvenientes de </w:t>
      </w:r>
      <w:r w:rsidRPr="008D632B">
        <w:rPr>
          <w:rFonts w:ascii="Verdana" w:hAnsi="Verdana"/>
          <w:i/>
        </w:rPr>
        <w:t xml:space="preserve">utilizarlo como </w:t>
      </w:r>
      <w:r w:rsidR="00A46BC1" w:rsidRPr="008D632B">
        <w:rPr>
          <w:rFonts w:ascii="Verdana" w:hAnsi="Verdana"/>
          <w:i/>
        </w:rPr>
        <w:t>medida de reparación</w:t>
      </w:r>
      <w:r w:rsidRPr="008D632B">
        <w:rPr>
          <w:rFonts w:ascii="Verdana" w:hAnsi="Verdana"/>
          <w:i/>
        </w:rPr>
        <w:t>.</w:t>
      </w:r>
    </w:p>
    <w:p w14:paraId="2CF2FF00" w14:textId="77777777" w:rsidR="00765E46" w:rsidRPr="008D632B" w:rsidRDefault="00765E46" w:rsidP="003552CE">
      <w:pPr>
        <w:rPr>
          <w:rFonts w:ascii="Verdana" w:hAnsi="Verdana"/>
          <w:b/>
          <w:i/>
        </w:rPr>
      </w:pPr>
    </w:p>
    <w:p w14:paraId="012D6192" w14:textId="77777777" w:rsidR="00765E46" w:rsidRPr="008D632B" w:rsidRDefault="00765E46" w:rsidP="003552CE">
      <w:pPr>
        <w:rPr>
          <w:rFonts w:ascii="Verdana" w:hAnsi="Verdana"/>
          <w:b/>
        </w:rPr>
      </w:pPr>
    </w:p>
    <w:p w14:paraId="4504C4DA" w14:textId="77777777" w:rsidR="00F81006" w:rsidRPr="008D632B" w:rsidRDefault="00A41285" w:rsidP="00E24DCA">
      <w:pPr>
        <w:pStyle w:val="ListParagraph"/>
        <w:numPr>
          <w:ilvl w:val="0"/>
          <w:numId w:val="10"/>
        </w:numPr>
        <w:ind w:left="0" w:firstLine="0"/>
        <w:jc w:val="both"/>
        <w:rPr>
          <w:rFonts w:ascii="Verdana" w:hAnsi="Verdana"/>
          <w:sz w:val="20"/>
          <w:szCs w:val="20"/>
          <w:lang w:val="es-CR"/>
        </w:rPr>
      </w:pPr>
      <w:r w:rsidRPr="008D632B">
        <w:rPr>
          <w:rFonts w:ascii="Verdana" w:hAnsi="Verdana"/>
          <w:sz w:val="20"/>
          <w:szCs w:val="20"/>
          <w:lang w:val="es-CR"/>
        </w:rPr>
        <w:t xml:space="preserve">Con el acostumbrado </w:t>
      </w:r>
      <w:r w:rsidR="00DF47DF" w:rsidRPr="008D632B">
        <w:rPr>
          <w:rFonts w:ascii="Verdana" w:hAnsi="Verdana"/>
          <w:sz w:val="20"/>
          <w:szCs w:val="20"/>
          <w:lang w:val="es-CR"/>
        </w:rPr>
        <w:t xml:space="preserve">respeto por las decisiones de </w:t>
      </w:r>
      <w:r w:rsidR="003552CE" w:rsidRPr="008D632B">
        <w:rPr>
          <w:rFonts w:ascii="Verdana" w:hAnsi="Verdana"/>
          <w:sz w:val="20"/>
          <w:szCs w:val="20"/>
          <w:lang w:val="es-CR"/>
        </w:rPr>
        <w:t>la</w:t>
      </w:r>
      <w:r w:rsidRPr="008D632B">
        <w:rPr>
          <w:rFonts w:ascii="Verdana" w:hAnsi="Verdana"/>
          <w:sz w:val="20"/>
          <w:szCs w:val="20"/>
          <w:lang w:val="es-CR"/>
        </w:rPr>
        <w:t xml:space="preserve"> Corte</w:t>
      </w:r>
      <w:r w:rsidR="00DF12C0" w:rsidRPr="008D632B">
        <w:rPr>
          <w:rFonts w:ascii="Verdana" w:hAnsi="Verdana"/>
          <w:sz w:val="20"/>
          <w:szCs w:val="20"/>
          <w:lang w:val="es-CR"/>
        </w:rPr>
        <w:t xml:space="preserve"> Interamericana de Derechos Humanos (en adelante,</w:t>
      </w:r>
      <w:r w:rsidR="008A0868" w:rsidRPr="008D632B">
        <w:rPr>
          <w:rFonts w:ascii="Verdana" w:hAnsi="Verdana"/>
          <w:sz w:val="20"/>
          <w:szCs w:val="20"/>
          <w:lang w:val="es-CR"/>
        </w:rPr>
        <w:t xml:space="preserve"> también</w:t>
      </w:r>
      <w:r w:rsidR="00DF12C0" w:rsidRPr="008D632B">
        <w:rPr>
          <w:rFonts w:ascii="Verdana" w:hAnsi="Verdana"/>
          <w:sz w:val="20"/>
          <w:szCs w:val="20"/>
          <w:lang w:val="es-CR"/>
        </w:rPr>
        <w:t xml:space="preserve"> “la Corte” o “el Tribunal”)</w:t>
      </w:r>
      <w:r w:rsidRPr="008D632B">
        <w:rPr>
          <w:rFonts w:ascii="Verdana" w:hAnsi="Verdana"/>
          <w:sz w:val="20"/>
          <w:szCs w:val="20"/>
          <w:lang w:val="es-CR"/>
        </w:rPr>
        <w:t xml:space="preserve">, me permito </w:t>
      </w:r>
      <w:r w:rsidR="00A11B6E" w:rsidRPr="008D632B">
        <w:rPr>
          <w:rFonts w:ascii="Verdana" w:hAnsi="Verdana"/>
          <w:sz w:val="20"/>
          <w:szCs w:val="20"/>
          <w:lang w:val="es-CR"/>
        </w:rPr>
        <w:t xml:space="preserve">formular </w:t>
      </w:r>
      <w:r w:rsidRPr="008D632B">
        <w:rPr>
          <w:rFonts w:ascii="Verdana" w:hAnsi="Verdana"/>
          <w:sz w:val="20"/>
          <w:szCs w:val="20"/>
          <w:lang w:val="es-CR"/>
        </w:rPr>
        <w:t xml:space="preserve">el presente voto </w:t>
      </w:r>
      <w:r w:rsidR="004E21CC" w:rsidRPr="008D632B">
        <w:rPr>
          <w:rFonts w:ascii="Verdana" w:hAnsi="Verdana"/>
          <w:sz w:val="20"/>
          <w:szCs w:val="20"/>
          <w:lang w:val="es-CR"/>
        </w:rPr>
        <w:t>concurrente</w:t>
      </w:r>
      <w:r w:rsidRPr="008D632B">
        <w:rPr>
          <w:rFonts w:ascii="Verdana" w:hAnsi="Verdana"/>
          <w:sz w:val="20"/>
          <w:szCs w:val="20"/>
          <w:lang w:val="es-CR"/>
        </w:rPr>
        <w:t xml:space="preserve">. </w:t>
      </w:r>
      <w:r w:rsidR="00CF4689" w:rsidRPr="008D632B">
        <w:rPr>
          <w:rFonts w:ascii="Verdana" w:hAnsi="Verdana"/>
          <w:sz w:val="20"/>
          <w:szCs w:val="20"/>
          <w:lang w:val="es-CR"/>
        </w:rPr>
        <w:t>E</w:t>
      </w:r>
      <w:r w:rsidR="00843764" w:rsidRPr="008D632B">
        <w:rPr>
          <w:rFonts w:ascii="Verdana" w:hAnsi="Verdana"/>
          <w:sz w:val="20"/>
          <w:szCs w:val="20"/>
          <w:lang w:val="es-CR"/>
        </w:rPr>
        <w:t xml:space="preserve">l voto </w:t>
      </w:r>
      <w:r w:rsidR="004E21CC" w:rsidRPr="008D632B">
        <w:rPr>
          <w:rFonts w:ascii="Verdana" w:hAnsi="Verdana"/>
          <w:sz w:val="20"/>
          <w:szCs w:val="20"/>
          <w:lang w:val="es-CR"/>
        </w:rPr>
        <w:t xml:space="preserve">se centra en el análisis </w:t>
      </w:r>
      <w:r w:rsidR="00DF12C0" w:rsidRPr="008D632B">
        <w:rPr>
          <w:rFonts w:ascii="Verdana" w:hAnsi="Verdana"/>
          <w:sz w:val="20"/>
          <w:szCs w:val="20"/>
          <w:lang w:val="es-CR"/>
        </w:rPr>
        <w:t xml:space="preserve">de fondo </w:t>
      </w:r>
      <w:r w:rsidR="004E21CC" w:rsidRPr="008D632B">
        <w:rPr>
          <w:rFonts w:ascii="Verdana" w:hAnsi="Verdana"/>
          <w:sz w:val="20"/>
          <w:szCs w:val="20"/>
          <w:lang w:val="es-CR"/>
        </w:rPr>
        <w:t xml:space="preserve">que realizó la Corte acerca de la responsabilidad internacional del Estado por la violación de los derechos </w:t>
      </w:r>
      <w:r w:rsidR="000A7603" w:rsidRPr="008D632B">
        <w:rPr>
          <w:rFonts w:ascii="Verdana" w:hAnsi="Verdana"/>
          <w:sz w:val="20"/>
          <w:szCs w:val="20"/>
          <w:lang w:val="es-CR"/>
        </w:rPr>
        <w:t>a las garantías judiciales y a la protección judicial, así como a las medidas de reparación ordenadas</w:t>
      </w:r>
      <w:r w:rsidR="00281142" w:rsidRPr="008D632B">
        <w:rPr>
          <w:rFonts w:ascii="Verdana" w:hAnsi="Verdana"/>
          <w:sz w:val="20"/>
          <w:szCs w:val="20"/>
          <w:lang w:val="es-CR"/>
        </w:rPr>
        <w:t>.</w:t>
      </w:r>
    </w:p>
    <w:p w14:paraId="6300BC7B" w14:textId="77777777" w:rsidR="00F81006" w:rsidRPr="008D632B" w:rsidRDefault="00F81006" w:rsidP="00F81006">
      <w:pPr>
        <w:pStyle w:val="ListParagraph"/>
        <w:ind w:left="0"/>
        <w:jc w:val="both"/>
        <w:rPr>
          <w:rFonts w:ascii="Verdana" w:hAnsi="Verdana"/>
          <w:sz w:val="20"/>
          <w:szCs w:val="20"/>
          <w:lang w:val="es-CR"/>
        </w:rPr>
      </w:pPr>
    </w:p>
    <w:p w14:paraId="2E4BA575" w14:textId="77777777" w:rsidR="00E24DCA" w:rsidRPr="008D632B" w:rsidRDefault="00E24DCA" w:rsidP="00E24DCA">
      <w:pPr>
        <w:pStyle w:val="ListParagraph"/>
        <w:numPr>
          <w:ilvl w:val="0"/>
          <w:numId w:val="10"/>
        </w:numPr>
        <w:ind w:left="0" w:firstLine="0"/>
        <w:jc w:val="both"/>
        <w:rPr>
          <w:rFonts w:ascii="Verdana" w:hAnsi="Verdana"/>
          <w:sz w:val="20"/>
          <w:szCs w:val="20"/>
          <w:lang w:val="es-CR"/>
        </w:rPr>
      </w:pPr>
      <w:r w:rsidRPr="008D632B">
        <w:rPr>
          <w:rFonts w:ascii="Verdana" w:hAnsi="Verdana"/>
          <w:sz w:val="20"/>
          <w:szCs w:val="20"/>
          <w:lang w:val="es-CO"/>
        </w:rPr>
        <w:t>El presente caso ante la Corte se caracteriza por un problema central: el hecho ilícito que generó la responsabilidad internacional del Estado se configuró por el rechazo, por parte de los tribunales de justicia nacionales, de acciones civiles de reparación de daños ocasionados por actos calificados como crímenes de lesa humanidad, con base en la aplicación de la figura de la prescripción contenida en el Código Civil. Tal criterio impidió que esos tribunales analizaran en su mérito la posibilidad de determinar una indemnización por los daños y perjuicios morales ocasionados a las víctimas, restringiéndoles la posibilidad de obtener una reparación justa. Es decir, en este caso las violaciones de derechos reconocidos en la Convención se produjeron por una serie de decisiones de órganos judiciales del Estado que impidieron a las víctimas acceder materialmente a la justicia para reclamar su derecho de obtener una reparación</w:t>
      </w:r>
    </w:p>
    <w:p w14:paraId="27174D20" w14:textId="77777777" w:rsidR="00281142" w:rsidRPr="008D632B" w:rsidRDefault="00281142" w:rsidP="00281142">
      <w:pPr>
        <w:pStyle w:val="ListParagraph"/>
        <w:ind w:left="0"/>
        <w:jc w:val="both"/>
        <w:rPr>
          <w:rFonts w:ascii="Verdana" w:hAnsi="Verdana"/>
          <w:sz w:val="20"/>
          <w:szCs w:val="20"/>
          <w:lang w:val="es-CR"/>
        </w:rPr>
      </w:pPr>
    </w:p>
    <w:p w14:paraId="43F69360" w14:textId="74708468" w:rsidR="00CD6C22" w:rsidRPr="008D632B" w:rsidRDefault="00E24DCA" w:rsidP="00CD6C22">
      <w:pPr>
        <w:pStyle w:val="ListParagraph"/>
        <w:numPr>
          <w:ilvl w:val="0"/>
          <w:numId w:val="10"/>
        </w:numPr>
        <w:ind w:left="0" w:firstLine="0"/>
        <w:jc w:val="both"/>
        <w:rPr>
          <w:rFonts w:ascii="Verdana" w:hAnsi="Verdana"/>
          <w:sz w:val="20"/>
          <w:szCs w:val="20"/>
          <w:lang w:val="es-CR"/>
        </w:rPr>
      </w:pPr>
      <w:r w:rsidRPr="008D632B">
        <w:rPr>
          <w:rFonts w:ascii="Verdana" w:hAnsi="Verdana"/>
          <w:sz w:val="20"/>
          <w:szCs w:val="20"/>
          <w:lang w:val="es-CR"/>
        </w:rPr>
        <w:t>Las consideraciones de este voto concurrente en modo alguno pretenden</w:t>
      </w:r>
      <w:r w:rsidR="00AF715C" w:rsidRPr="008D632B">
        <w:rPr>
          <w:rFonts w:ascii="Verdana" w:hAnsi="Verdana"/>
          <w:sz w:val="20"/>
          <w:szCs w:val="20"/>
          <w:lang w:val="es-CR"/>
        </w:rPr>
        <w:t xml:space="preserve"> cuestionar el resultado al que llegó la Corte en este caso, pues concuerdo con</w:t>
      </w:r>
      <w:r w:rsidR="00281142" w:rsidRPr="008D632B">
        <w:rPr>
          <w:rFonts w:ascii="Verdana" w:hAnsi="Verdana"/>
          <w:sz w:val="20"/>
          <w:szCs w:val="20"/>
          <w:lang w:val="es-CR"/>
        </w:rPr>
        <w:t xml:space="preserve"> tres de sus tesis centrales:</w:t>
      </w:r>
      <w:r w:rsidR="00AF715C" w:rsidRPr="008D632B">
        <w:rPr>
          <w:rFonts w:ascii="Verdana" w:hAnsi="Verdana"/>
          <w:sz w:val="20"/>
          <w:szCs w:val="20"/>
          <w:lang w:val="es-CR"/>
        </w:rPr>
        <w:t xml:space="preserve"> que</w:t>
      </w:r>
      <w:r w:rsidR="002C68A1" w:rsidRPr="008D632B">
        <w:rPr>
          <w:rFonts w:ascii="Verdana" w:hAnsi="Verdana"/>
          <w:sz w:val="20"/>
          <w:szCs w:val="20"/>
          <w:lang w:val="es-CR"/>
        </w:rPr>
        <w:t xml:space="preserve"> (i)</w:t>
      </w:r>
      <w:r w:rsidR="00AF715C" w:rsidRPr="008D632B">
        <w:rPr>
          <w:rFonts w:ascii="Verdana" w:hAnsi="Verdana"/>
          <w:sz w:val="20"/>
          <w:szCs w:val="20"/>
          <w:lang w:val="es-CR"/>
        </w:rPr>
        <w:t xml:space="preserve"> las acciones civiles de reparación de daños en casos en hechos que han sido calificados como crímenes de lesa humanidad no deben ser objeto de prescripción</w:t>
      </w:r>
      <w:r w:rsidR="002C68A1" w:rsidRPr="008D632B">
        <w:rPr>
          <w:rFonts w:ascii="Verdana" w:hAnsi="Verdana"/>
          <w:sz w:val="20"/>
          <w:szCs w:val="20"/>
          <w:lang w:val="es-CR"/>
        </w:rPr>
        <w:t>; (ii)</w:t>
      </w:r>
      <w:r w:rsidR="00AF715C" w:rsidRPr="008D632B">
        <w:rPr>
          <w:rFonts w:ascii="Verdana" w:hAnsi="Verdana"/>
          <w:sz w:val="20"/>
          <w:szCs w:val="20"/>
          <w:lang w:val="es-CR"/>
        </w:rPr>
        <w:t xml:space="preserve"> q</w:t>
      </w:r>
      <w:r w:rsidR="002C68A1" w:rsidRPr="008D632B">
        <w:rPr>
          <w:rFonts w:ascii="Verdana" w:hAnsi="Verdana"/>
          <w:sz w:val="20"/>
          <w:szCs w:val="20"/>
          <w:lang w:val="es-CR"/>
        </w:rPr>
        <w:t xml:space="preserve">ue las víctimas de este tipo de delitos reciban una reparación adecuada al daño causado; y (iii) que en el futuro el Estado garantice que la prescripción no sea aplicada en situaciones similares a las del presente caso, a través de una adecuada interpretación de la ley </w:t>
      </w:r>
      <w:r w:rsidRPr="008D632B">
        <w:rPr>
          <w:rFonts w:ascii="Verdana" w:hAnsi="Verdana"/>
          <w:sz w:val="20"/>
          <w:szCs w:val="20"/>
          <w:lang w:val="es-CR"/>
        </w:rPr>
        <w:t>que</w:t>
      </w:r>
      <w:r w:rsidR="00F81006" w:rsidRPr="008D632B">
        <w:rPr>
          <w:rFonts w:ascii="Verdana" w:hAnsi="Verdana"/>
          <w:sz w:val="20"/>
          <w:szCs w:val="20"/>
          <w:lang w:val="es-CR"/>
        </w:rPr>
        <w:t xml:space="preserve"> integre la utilización de las fuentes del derecho internaci</w:t>
      </w:r>
      <w:r w:rsidR="000A334D" w:rsidRPr="008D632B">
        <w:rPr>
          <w:rFonts w:ascii="Verdana" w:hAnsi="Verdana"/>
          <w:sz w:val="20"/>
          <w:szCs w:val="20"/>
          <w:lang w:val="es-CR"/>
        </w:rPr>
        <w:t>onal, incluyendo la Convención A</w:t>
      </w:r>
      <w:r w:rsidR="00F81006" w:rsidRPr="008D632B">
        <w:rPr>
          <w:rFonts w:ascii="Verdana" w:hAnsi="Verdana"/>
          <w:sz w:val="20"/>
          <w:szCs w:val="20"/>
          <w:lang w:val="es-CR"/>
        </w:rPr>
        <w:t>mericana y la jurisprudencia de esta Corte.</w:t>
      </w:r>
    </w:p>
    <w:p w14:paraId="6580A00A" w14:textId="77777777" w:rsidR="00CD6C22" w:rsidRPr="008D632B" w:rsidRDefault="00CD6C22" w:rsidP="00CD6C22">
      <w:pPr>
        <w:pStyle w:val="ListParagraph"/>
        <w:rPr>
          <w:rFonts w:ascii="Verdana" w:hAnsi="Verdana"/>
          <w:sz w:val="20"/>
          <w:szCs w:val="20"/>
          <w:lang w:val="es-CR"/>
        </w:rPr>
      </w:pPr>
    </w:p>
    <w:p w14:paraId="12889B7E" w14:textId="77777777" w:rsidR="000A7603" w:rsidRPr="008D632B" w:rsidRDefault="002C68A1" w:rsidP="00CD6C22">
      <w:pPr>
        <w:pStyle w:val="ListParagraph"/>
        <w:numPr>
          <w:ilvl w:val="0"/>
          <w:numId w:val="10"/>
        </w:numPr>
        <w:ind w:left="0" w:firstLine="0"/>
        <w:jc w:val="both"/>
        <w:rPr>
          <w:rFonts w:ascii="Verdana" w:hAnsi="Verdana"/>
          <w:sz w:val="20"/>
          <w:szCs w:val="20"/>
          <w:lang w:val="es-CR"/>
        </w:rPr>
      </w:pPr>
      <w:r w:rsidRPr="008D632B">
        <w:rPr>
          <w:rFonts w:ascii="Verdana" w:hAnsi="Verdana"/>
          <w:sz w:val="20"/>
          <w:szCs w:val="20"/>
          <w:lang w:val="es-CR"/>
        </w:rPr>
        <w:t xml:space="preserve">En mi parecer, existen </w:t>
      </w:r>
      <w:r w:rsidR="00D561C4" w:rsidRPr="008D632B">
        <w:rPr>
          <w:rFonts w:ascii="Verdana" w:hAnsi="Verdana"/>
          <w:sz w:val="20"/>
          <w:szCs w:val="20"/>
          <w:lang w:val="es-CR"/>
        </w:rPr>
        <w:t xml:space="preserve">conceptos y aproximaciones metodológicas </w:t>
      </w:r>
      <w:r w:rsidRPr="008D632B">
        <w:rPr>
          <w:rFonts w:ascii="Verdana" w:hAnsi="Verdana"/>
          <w:sz w:val="20"/>
          <w:szCs w:val="20"/>
          <w:lang w:val="es-CR"/>
        </w:rPr>
        <w:t>que debilitan el razonamiento de la Sentencia,</w:t>
      </w:r>
      <w:r w:rsidR="00D561C4" w:rsidRPr="008D632B">
        <w:rPr>
          <w:rFonts w:ascii="Verdana" w:hAnsi="Verdana"/>
          <w:sz w:val="20"/>
          <w:szCs w:val="20"/>
          <w:lang w:val="es-CR"/>
        </w:rPr>
        <w:t xml:space="preserve"> </w:t>
      </w:r>
      <w:r w:rsidRPr="008D632B">
        <w:rPr>
          <w:rFonts w:ascii="Verdana" w:hAnsi="Verdana"/>
          <w:sz w:val="20"/>
          <w:szCs w:val="20"/>
          <w:lang w:val="es-CR"/>
        </w:rPr>
        <w:t>y</w:t>
      </w:r>
      <w:r w:rsidR="00D561C4" w:rsidRPr="008D632B">
        <w:rPr>
          <w:rFonts w:ascii="Verdana" w:hAnsi="Verdana"/>
          <w:sz w:val="20"/>
          <w:szCs w:val="20"/>
          <w:lang w:val="es-CR"/>
        </w:rPr>
        <w:t xml:space="preserve"> que</w:t>
      </w:r>
      <w:r w:rsidRPr="008D632B">
        <w:rPr>
          <w:rFonts w:ascii="Verdana" w:hAnsi="Verdana"/>
          <w:sz w:val="20"/>
          <w:szCs w:val="20"/>
          <w:lang w:val="es-CR"/>
        </w:rPr>
        <w:t xml:space="preserve"> </w:t>
      </w:r>
      <w:r w:rsidR="00F81006" w:rsidRPr="008D632B">
        <w:rPr>
          <w:rFonts w:ascii="Verdana" w:hAnsi="Verdana"/>
          <w:sz w:val="20"/>
          <w:szCs w:val="20"/>
          <w:lang w:val="es-CR"/>
        </w:rPr>
        <w:t>podrían tener incidencia en</w:t>
      </w:r>
      <w:r w:rsidRPr="008D632B">
        <w:rPr>
          <w:rFonts w:ascii="Verdana" w:hAnsi="Verdana"/>
          <w:sz w:val="20"/>
          <w:szCs w:val="20"/>
          <w:lang w:val="es-CR"/>
        </w:rPr>
        <w:t xml:space="preserve"> el cumplimiento de sus </w:t>
      </w:r>
      <w:r w:rsidRPr="008D632B">
        <w:rPr>
          <w:rFonts w:ascii="Verdana" w:hAnsi="Verdana"/>
          <w:sz w:val="20"/>
          <w:szCs w:val="20"/>
          <w:lang w:val="es-CR"/>
        </w:rPr>
        <w:lastRenderedPageBreak/>
        <w:t>disposiciones</w:t>
      </w:r>
      <w:r w:rsidR="008D7138" w:rsidRPr="008D632B">
        <w:rPr>
          <w:rFonts w:ascii="Verdana" w:hAnsi="Verdana"/>
          <w:sz w:val="20"/>
          <w:szCs w:val="20"/>
          <w:lang w:val="es-CR"/>
        </w:rPr>
        <w:t xml:space="preserve"> en el futuro</w:t>
      </w:r>
      <w:r w:rsidRPr="008D632B">
        <w:rPr>
          <w:rFonts w:ascii="Verdana" w:hAnsi="Verdana"/>
          <w:sz w:val="20"/>
          <w:szCs w:val="20"/>
          <w:lang w:val="es-CR"/>
        </w:rPr>
        <w:t>. En concreto, mis reflexione</w:t>
      </w:r>
      <w:r w:rsidR="00F81006" w:rsidRPr="008D632B">
        <w:rPr>
          <w:rFonts w:ascii="Verdana" w:hAnsi="Verdana"/>
          <w:sz w:val="20"/>
          <w:szCs w:val="20"/>
          <w:lang w:val="es-CR"/>
        </w:rPr>
        <w:t>s y el orden de este voto</w:t>
      </w:r>
      <w:r w:rsidRPr="008D632B">
        <w:rPr>
          <w:rFonts w:ascii="Verdana" w:hAnsi="Verdana"/>
          <w:sz w:val="20"/>
          <w:szCs w:val="20"/>
          <w:lang w:val="es-CR"/>
        </w:rPr>
        <w:t xml:space="preserve"> girará en torno </w:t>
      </w:r>
      <w:r w:rsidR="008D7138" w:rsidRPr="008D632B">
        <w:rPr>
          <w:rFonts w:ascii="Verdana" w:hAnsi="Verdana"/>
          <w:sz w:val="20"/>
          <w:szCs w:val="20"/>
          <w:lang w:val="es-CR"/>
        </w:rPr>
        <w:t xml:space="preserve">a </w:t>
      </w:r>
      <w:r w:rsidR="00F81006" w:rsidRPr="008D632B">
        <w:rPr>
          <w:rFonts w:ascii="Verdana" w:hAnsi="Verdana"/>
          <w:sz w:val="20"/>
          <w:szCs w:val="20"/>
          <w:lang w:val="es-CR"/>
        </w:rPr>
        <w:t xml:space="preserve">(i) </w:t>
      </w:r>
      <w:r w:rsidR="008D7138" w:rsidRPr="008D632B">
        <w:rPr>
          <w:rFonts w:ascii="Verdana" w:hAnsi="Verdana"/>
          <w:sz w:val="20"/>
          <w:szCs w:val="20"/>
          <w:lang w:val="es-CR"/>
        </w:rPr>
        <w:t>la forma en que la Corte arribó a la existencia de una prohibición en el derecho internacional respecto a la prescripción,</w:t>
      </w:r>
      <w:r w:rsidR="00F81006" w:rsidRPr="008D632B">
        <w:rPr>
          <w:rFonts w:ascii="Verdana" w:hAnsi="Verdana"/>
          <w:sz w:val="20"/>
          <w:szCs w:val="20"/>
          <w:lang w:val="es-CR"/>
        </w:rPr>
        <w:t xml:space="preserve"> (ii)</w:t>
      </w:r>
      <w:r w:rsidR="008D7138" w:rsidRPr="008D632B">
        <w:rPr>
          <w:rFonts w:ascii="Verdana" w:hAnsi="Verdana"/>
          <w:sz w:val="20"/>
          <w:szCs w:val="20"/>
          <w:lang w:val="es-CR"/>
        </w:rPr>
        <w:t xml:space="preserve"> respecto a la utilización del principio de complementariedad o subsidiariedad en materia de reparaciones, y </w:t>
      </w:r>
      <w:r w:rsidR="00F81006" w:rsidRPr="008D632B">
        <w:rPr>
          <w:rFonts w:ascii="Verdana" w:hAnsi="Verdana"/>
          <w:sz w:val="20"/>
          <w:szCs w:val="20"/>
          <w:lang w:val="es-CR"/>
        </w:rPr>
        <w:t xml:space="preserve">(iii) </w:t>
      </w:r>
      <w:r w:rsidR="008D7138" w:rsidRPr="008D632B">
        <w:rPr>
          <w:rFonts w:ascii="Verdana" w:hAnsi="Verdana"/>
          <w:sz w:val="20"/>
          <w:szCs w:val="20"/>
          <w:lang w:val="es-CR"/>
        </w:rPr>
        <w:t xml:space="preserve">respecto a algunos aspectos </w:t>
      </w:r>
      <w:r w:rsidR="00F81006" w:rsidRPr="008D632B">
        <w:rPr>
          <w:rFonts w:ascii="Verdana" w:hAnsi="Verdana"/>
          <w:sz w:val="20"/>
          <w:szCs w:val="20"/>
          <w:lang w:val="es-CR"/>
        </w:rPr>
        <w:t xml:space="preserve">relacionados a la manera como se utiliza y comprende </w:t>
      </w:r>
      <w:r w:rsidR="008D7138" w:rsidRPr="008D632B">
        <w:rPr>
          <w:rFonts w:ascii="Verdana" w:hAnsi="Verdana"/>
          <w:sz w:val="20"/>
          <w:szCs w:val="20"/>
          <w:lang w:val="es-CR"/>
        </w:rPr>
        <w:t>el contro</w:t>
      </w:r>
      <w:r w:rsidR="00281142" w:rsidRPr="008D632B">
        <w:rPr>
          <w:rFonts w:ascii="Verdana" w:hAnsi="Verdana"/>
          <w:sz w:val="20"/>
          <w:szCs w:val="20"/>
          <w:lang w:val="es-CR"/>
        </w:rPr>
        <w:t>l de convencionalidad</w:t>
      </w:r>
      <w:r w:rsidR="00F81006" w:rsidRPr="008D632B">
        <w:rPr>
          <w:rFonts w:ascii="Verdana" w:hAnsi="Verdana"/>
          <w:sz w:val="20"/>
          <w:szCs w:val="20"/>
          <w:lang w:val="es-CR"/>
        </w:rPr>
        <w:t xml:space="preserve"> en la sentencia</w:t>
      </w:r>
      <w:r w:rsidR="00281142" w:rsidRPr="008D632B">
        <w:rPr>
          <w:rFonts w:ascii="Verdana" w:hAnsi="Verdana"/>
          <w:sz w:val="20"/>
          <w:szCs w:val="20"/>
          <w:lang w:val="es-CR"/>
        </w:rPr>
        <w:t>.</w:t>
      </w:r>
    </w:p>
    <w:p w14:paraId="1DC1EDEB" w14:textId="77777777" w:rsidR="00FF45E5" w:rsidRPr="008D632B" w:rsidRDefault="00FF45E5" w:rsidP="00FF45E5">
      <w:pPr>
        <w:pStyle w:val="ListParagraph"/>
        <w:ind w:left="0"/>
        <w:jc w:val="both"/>
        <w:rPr>
          <w:rFonts w:ascii="Verdana" w:hAnsi="Verdana"/>
          <w:sz w:val="20"/>
          <w:szCs w:val="20"/>
          <w:lang w:val="es-CR"/>
        </w:rPr>
      </w:pPr>
    </w:p>
    <w:p w14:paraId="33D10C3D" w14:textId="77777777" w:rsidR="00F81006" w:rsidRPr="008D632B" w:rsidRDefault="00F81006" w:rsidP="00FF45E5">
      <w:pPr>
        <w:pStyle w:val="ListParagraph"/>
        <w:ind w:left="0"/>
        <w:jc w:val="both"/>
        <w:rPr>
          <w:rFonts w:ascii="Verdana" w:hAnsi="Verdana"/>
          <w:sz w:val="20"/>
          <w:szCs w:val="20"/>
          <w:lang w:val="es-CR"/>
        </w:rPr>
      </w:pPr>
    </w:p>
    <w:p w14:paraId="75CF5F04" w14:textId="77777777" w:rsidR="00FF45E5" w:rsidRPr="00BC16F9" w:rsidRDefault="00F81006" w:rsidP="00BC16F9">
      <w:pPr>
        <w:jc w:val="both"/>
        <w:rPr>
          <w:rFonts w:ascii="Verdana" w:hAnsi="Verdana"/>
          <w:b/>
          <w:i/>
          <w:lang w:val="es-CR"/>
        </w:rPr>
      </w:pPr>
      <w:r w:rsidRPr="00BC16F9">
        <w:rPr>
          <w:rFonts w:ascii="Verdana" w:hAnsi="Verdana"/>
          <w:b/>
          <w:i/>
          <w:lang w:val="es-CR"/>
        </w:rPr>
        <w:t>(i)</w:t>
      </w:r>
      <w:r w:rsidR="00FF45E5" w:rsidRPr="00BC16F9">
        <w:rPr>
          <w:rFonts w:ascii="Verdana" w:hAnsi="Verdana"/>
          <w:b/>
          <w:i/>
          <w:lang w:val="es-CR"/>
        </w:rPr>
        <w:t xml:space="preserve"> Respecto a </w:t>
      </w:r>
      <w:r w:rsidR="00281142" w:rsidRPr="00BC16F9">
        <w:rPr>
          <w:rFonts w:ascii="Verdana" w:hAnsi="Verdana"/>
          <w:b/>
          <w:i/>
          <w:lang w:val="es-CR"/>
        </w:rPr>
        <w:t>la prohibición de la prescripción de la acción civil de daños en casos que involucren crímenes de lesa humanidad</w:t>
      </w:r>
    </w:p>
    <w:p w14:paraId="2F7D1B02" w14:textId="77777777" w:rsidR="0089740C" w:rsidRPr="008D632B" w:rsidRDefault="0089740C" w:rsidP="008D7138">
      <w:pPr>
        <w:pStyle w:val="ListParagraph"/>
        <w:ind w:left="0"/>
        <w:jc w:val="both"/>
        <w:rPr>
          <w:rFonts w:ascii="Verdana" w:hAnsi="Verdana"/>
          <w:sz w:val="20"/>
          <w:szCs w:val="20"/>
          <w:lang w:val="es-CR"/>
        </w:rPr>
      </w:pPr>
    </w:p>
    <w:p w14:paraId="6D81ED9F" w14:textId="77777777" w:rsidR="0089740C" w:rsidRPr="008D632B" w:rsidRDefault="004C2DC0" w:rsidP="004C2DC0">
      <w:pPr>
        <w:pStyle w:val="ListParagraph"/>
        <w:numPr>
          <w:ilvl w:val="0"/>
          <w:numId w:val="10"/>
        </w:numPr>
        <w:ind w:left="0" w:firstLine="0"/>
        <w:jc w:val="both"/>
        <w:rPr>
          <w:rFonts w:ascii="Verdana" w:hAnsi="Verdana"/>
          <w:sz w:val="20"/>
          <w:szCs w:val="20"/>
          <w:lang w:val="es-CR"/>
        </w:rPr>
      </w:pPr>
      <w:r w:rsidRPr="008D632B">
        <w:rPr>
          <w:rFonts w:ascii="Verdana" w:hAnsi="Verdana"/>
          <w:sz w:val="20"/>
          <w:szCs w:val="20"/>
          <w:lang w:val="es-CR"/>
        </w:rPr>
        <w:t>La Corte ha establecido en su jurisprudencia que el Derecho Internacional considera inadmisible e inaplicable la prescripción y las disposiciones de amnistía y la excluyente de responsabilidad</w:t>
      </w:r>
      <w:r w:rsidR="00465E73" w:rsidRPr="008D632B">
        <w:rPr>
          <w:rFonts w:ascii="Verdana" w:hAnsi="Verdana"/>
          <w:sz w:val="20"/>
          <w:szCs w:val="20"/>
          <w:lang w:val="es-CR"/>
        </w:rPr>
        <w:t xml:space="preserve"> en determinados supuestos</w:t>
      </w:r>
      <w:r w:rsidR="00465E73" w:rsidRPr="008D632B">
        <w:rPr>
          <w:rStyle w:val="FootnoteReference"/>
          <w:rFonts w:ascii="Verdana" w:hAnsi="Verdana"/>
          <w:sz w:val="20"/>
          <w:szCs w:val="20"/>
          <w:lang w:val="es-CR"/>
        </w:rPr>
        <w:footnoteReference w:id="1"/>
      </w:r>
      <w:r w:rsidR="00465E73" w:rsidRPr="008D632B">
        <w:rPr>
          <w:rFonts w:ascii="Verdana" w:hAnsi="Verdana"/>
          <w:sz w:val="20"/>
          <w:szCs w:val="20"/>
          <w:lang w:val="es-CR"/>
        </w:rPr>
        <w:t xml:space="preserve">. Estos supuestos incluyen crímenes de lesa humanidad, pero también actos de tortura o asesinatos cometidos en contextos de violaciones masivas y sistemáticas de derechos humanos. </w:t>
      </w:r>
      <w:r w:rsidR="000C07E3" w:rsidRPr="008D632B">
        <w:rPr>
          <w:rFonts w:ascii="Verdana" w:hAnsi="Verdana"/>
          <w:sz w:val="20"/>
          <w:szCs w:val="20"/>
          <w:lang w:val="es-CR"/>
        </w:rPr>
        <w:t>El criterio de la Corte ha sido que l</w:t>
      </w:r>
      <w:r w:rsidR="00465E73" w:rsidRPr="008D632B">
        <w:rPr>
          <w:rFonts w:ascii="Verdana" w:hAnsi="Verdana"/>
          <w:sz w:val="20"/>
          <w:szCs w:val="20"/>
          <w:lang w:val="es-CR"/>
        </w:rPr>
        <w:t xml:space="preserve">a gravedad de estas conductas requiere mantener vigente en el tiempo el poder punitivo del Estado, de forma tal que la prescripción u otros institutos jurídicos no </w:t>
      </w:r>
      <w:r w:rsidR="000C07E3" w:rsidRPr="008D632B">
        <w:rPr>
          <w:rFonts w:ascii="Verdana" w:hAnsi="Verdana"/>
          <w:sz w:val="20"/>
          <w:szCs w:val="20"/>
          <w:lang w:val="es-CR"/>
        </w:rPr>
        <w:t>sean</w:t>
      </w:r>
      <w:r w:rsidR="00465E73" w:rsidRPr="008D632B">
        <w:rPr>
          <w:rFonts w:ascii="Verdana" w:hAnsi="Verdana"/>
          <w:sz w:val="20"/>
          <w:szCs w:val="20"/>
          <w:lang w:val="es-CR"/>
        </w:rPr>
        <w:t xml:space="preserve"> admisibles cuando –como lo dice la Sentencia- “pretendan impedir la investigación y sanción de los responsables de las violaciones graves de los derechos humanos tales como la tortura, las ejecuciones sumarias, extralegales o arbitrarias y las desapariciones forzadas, todas ellas por contravenir derechos inderogables reconocidos por el Derecho Internacional de los Derechos Humanos” (párr. 77 de la Sentencia).</w:t>
      </w:r>
    </w:p>
    <w:p w14:paraId="2C85DB0F" w14:textId="77777777" w:rsidR="00465E73" w:rsidRPr="008D632B" w:rsidRDefault="00465E73" w:rsidP="00465E73">
      <w:pPr>
        <w:pStyle w:val="ListParagraph"/>
        <w:ind w:left="0"/>
        <w:jc w:val="both"/>
        <w:rPr>
          <w:rFonts w:ascii="Verdana" w:hAnsi="Verdana"/>
          <w:sz w:val="20"/>
          <w:szCs w:val="20"/>
          <w:lang w:val="es-CR"/>
        </w:rPr>
      </w:pPr>
    </w:p>
    <w:p w14:paraId="26319050" w14:textId="77777777" w:rsidR="0006016C" w:rsidRPr="008D632B" w:rsidRDefault="00C95F97" w:rsidP="004C2DC0">
      <w:pPr>
        <w:pStyle w:val="ListParagraph"/>
        <w:numPr>
          <w:ilvl w:val="0"/>
          <w:numId w:val="10"/>
        </w:numPr>
        <w:ind w:left="0" w:firstLine="0"/>
        <w:jc w:val="both"/>
        <w:rPr>
          <w:rFonts w:ascii="Verdana" w:hAnsi="Verdana"/>
          <w:sz w:val="20"/>
          <w:szCs w:val="20"/>
          <w:lang w:val="es-CR"/>
        </w:rPr>
      </w:pPr>
      <w:r w:rsidRPr="008D632B">
        <w:rPr>
          <w:rFonts w:ascii="Verdana" w:hAnsi="Verdana"/>
          <w:sz w:val="20"/>
          <w:szCs w:val="20"/>
          <w:lang w:val="es-CR"/>
        </w:rPr>
        <w:t>Sin embargo, este mismo criterio no es dire</w:t>
      </w:r>
      <w:r w:rsidR="000C07E3" w:rsidRPr="008D632B">
        <w:rPr>
          <w:rFonts w:ascii="Verdana" w:hAnsi="Verdana"/>
          <w:sz w:val="20"/>
          <w:szCs w:val="20"/>
          <w:lang w:val="es-CR"/>
        </w:rPr>
        <w:t xml:space="preserve">ctamente aplicable para la prescripción de la acción civil de daños. </w:t>
      </w:r>
      <w:r w:rsidR="00066D5D" w:rsidRPr="008D632B">
        <w:rPr>
          <w:rFonts w:ascii="Verdana" w:hAnsi="Verdana"/>
          <w:sz w:val="20"/>
          <w:szCs w:val="20"/>
          <w:lang w:val="es-CR"/>
        </w:rPr>
        <w:t xml:space="preserve">La jurisprudencia de la Corte ha limitado la prohibición a los aspectos relacionados con la prescripción de la acción penal. Para hacerlo la Corte acudió a una serie de razonamientos </w:t>
      </w:r>
      <w:r w:rsidR="006911B7" w:rsidRPr="008D632B">
        <w:rPr>
          <w:rFonts w:ascii="Verdana" w:hAnsi="Verdana"/>
          <w:sz w:val="20"/>
          <w:szCs w:val="20"/>
          <w:lang w:val="es-CR"/>
        </w:rPr>
        <w:t xml:space="preserve">para establecer la imprescriptibilidad de determinados delitos. Ya desde el famoso caso de </w:t>
      </w:r>
      <w:r w:rsidR="006911B7" w:rsidRPr="008D632B">
        <w:rPr>
          <w:rFonts w:ascii="Verdana" w:hAnsi="Verdana"/>
          <w:i/>
          <w:sz w:val="20"/>
          <w:szCs w:val="20"/>
          <w:lang w:val="es-CR"/>
        </w:rPr>
        <w:t xml:space="preserve">Barrios Altos Vs. Perú </w:t>
      </w:r>
      <w:r w:rsidR="006911B7" w:rsidRPr="008D632B">
        <w:rPr>
          <w:rFonts w:ascii="Verdana" w:hAnsi="Verdana"/>
          <w:sz w:val="20"/>
          <w:szCs w:val="20"/>
          <w:lang w:val="es-CR"/>
        </w:rPr>
        <w:t>la Corte estableció que las disposiciones de prescripción que pretendan impedir la investigación y sanción de los responsables de violaciones graves de derechos humanos están prohibidas por contravenir derechos inderogables reconocidos por el Derecho Internacional de los Derechos Humanos</w:t>
      </w:r>
      <w:r w:rsidR="006911B7" w:rsidRPr="008D632B">
        <w:rPr>
          <w:rStyle w:val="FootnoteReference"/>
          <w:rFonts w:ascii="Verdana" w:hAnsi="Verdana"/>
          <w:sz w:val="20"/>
          <w:szCs w:val="20"/>
          <w:lang w:val="es-CR"/>
        </w:rPr>
        <w:footnoteReference w:id="2"/>
      </w:r>
      <w:r w:rsidR="006911B7" w:rsidRPr="008D632B">
        <w:rPr>
          <w:rFonts w:ascii="Verdana" w:hAnsi="Verdana"/>
          <w:sz w:val="20"/>
          <w:szCs w:val="20"/>
          <w:lang w:val="es-CR"/>
        </w:rPr>
        <w:t>. En el caso específico de las leyes de amnistía, la Corte estableció que éstas conducen a la indefensión de las víctimas y a la perpetuación de la impunidad</w:t>
      </w:r>
      <w:r w:rsidR="00D561C4" w:rsidRPr="008D632B">
        <w:rPr>
          <w:rFonts w:ascii="Verdana" w:hAnsi="Verdana"/>
          <w:sz w:val="20"/>
          <w:szCs w:val="20"/>
          <w:lang w:val="es-CR"/>
        </w:rPr>
        <w:t>,</w:t>
      </w:r>
      <w:r w:rsidR="006911B7" w:rsidRPr="008D632B">
        <w:rPr>
          <w:rFonts w:ascii="Verdana" w:hAnsi="Verdana"/>
          <w:sz w:val="20"/>
          <w:szCs w:val="20"/>
          <w:lang w:val="es-CR"/>
        </w:rPr>
        <w:t xml:space="preserve"> y que</w:t>
      </w:r>
      <w:r w:rsidR="00D561C4" w:rsidRPr="008D632B">
        <w:rPr>
          <w:rFonts w:ascii="Verdana" w:hAnsi="Verdana"/>
          <w:sz w:val="20"/>
          <w:szCs w:val="20"/>
          <w:lang w:val="es-CR"/>
        </w:rPr>
        <w:t>,</w:t>
      </w:r>
      <w:r w:rsidR="006911B7" w:rsidRPr="008D632B">
        <w:rPr>
          <w:rFonts w:ascii="Verdana" w:hAnsi="Verdana"/>
          <w:sz w:val="20"/>
          <w:szCs w:val="20"/>
          <w:lang w:val="es-CR"/>
        </w:rPr>
        <w:t xml:space="preserve"> por lo tanto</w:t>
      </w:r>
      <w:r w:rsidR="00D561C4" w:rsidRPr="008D632B">
        <w:rPr>
          <w:rFonts w:ascii="Verdana" w:hAnsi="Verdana"/>
          <w:sz w:val="20"/>
          <w:szCs w:val="20"/>
          <w:lang w:val="es-CR"/>
        </w:rPr>
        <w:t>,</w:t>
      </w:r>
      <w:r w:rsidR="006911B7" w:rsidRPr="008D632B">
        <w:rPr>
          <w:rFonts w:ascii="Verdana" w:hAnsi="Verdana"/>
          <w:sz w:val="20"/>
          <w:szCs w:val="20"/>
          <w:lang w:val="es-CR"/>
        </w:rPr>
        <w:t xml:space="preserve"> son manifiestamente incompatibles con la Convención</w:t>
      </w:r>
      <w:r w:rsidR="006911B7" w:rsidRPr="008D632B">
        <w:rPr>
          <w:rStyle w:val="FootnoteReference"/>
          <w:rFonts w:ascii="Verdana" w:hAnsi="Verdana"/>
          <w:sz w:val="20"/>
          <w:szCs w:val="20"/>
          <w:lang w:val="es-CR"/>
        </w:rPr>
        <w:footnoteReference w:id="3"/>
      </w:r>
      <w:r w:rsidR="006911B7" w:rsidRPr="008D632B">
        <w:rPr>
          <w:rFonts w:ascii="Verdana" w:hAnsi="Verdana"/>
          <w:sz w:val="20"/>
          <w:szCs w:val="20"/>
          <w:lang w:val="es-CR"/>
        </w:rPr>
        <w:t>. La Corte ha sido congruente en establecer que las razones de la</w:t>
      </w:r>
      <w:r w:rsidR="00D561C4" w:rsidRPr="008D632B">
        <w:rPr>
          <w:rFonts w:ascii="Verdana" w:hAnsi="Verdana"/>
          <w:sz w:val="20"/>
          <w:szCs w:val="20"/>
          <w:lang w:val="es-CR"/>
        </w:rPr>
        <w:t xml:space="preserve"> </w:t>
      </w:r>
      <w:r w:rsidR="006911B7" w:rsidRPr="008D632B">
        <w:rPr>
          <w:rFonts w:ascii="Verdana" w:hAnsi="Verdana"/>
          <w:sz w:val="20"/>
          <w:szCs w:val="20"/>
          <w:lang w:val="es-CR"/>
        </w:rPr>
        <w:t>prescriptibilidad de determinados delitos no es admisible por la naturaleza de los derechos que se podrían ver afectados y por la relevancia que tiene la investigación de los responsables de graves violaciones a los derechos humanos.</w:t>
      </w:r>
    </w:p>
    <w:p w14:paraId="567A19F0" w14:textId="77777777" w:rsidR="0006016C" w:rsidRPr="008D632B" w:rsidRDefault="0006016C" w:rsidP="0006016C">
      <w:pPr>
        <w:pStyle w:val="ListParagraph"/>
        <w:rPr>
          <w:rFonts w:ascii="Verdana" w:hAnsi="Verdana"/>
          <w:sz w:val="20"/>
          <w:szCs w:val="20"/>
          <w:lang w:val="es-CR"/>
        </w:rPr>
      </w:pPr>
    </w:p>
    <w:p w14:paraId="2541F3F7" w14:textId="77777777" w:rsidR="004017C3" w:rsidRPr="008D632B" w:rsidRDefault="00101BAD" w:rsidP="004017C3">
      <w:pPr>
        <w:pStyle w:val="ListParagraph"/>
        <w:numPr>
          <w:ilvl w:val="0"/>
          <w:numId w:val="10"/>
        </w:numPr>
        <w:ind w:left="0" w:firstLine="0"/>
        <w:jc w:val="both"/>
        <w:rPr>
          <w:rFonts w:ascii="Verdana" w:hAnsi="Verdana"/>
          <w:sz w:val="20"/>
          <w:szCs w:val="20"/>
          <w:lang w:val="es-CR"/>
        </w:rPr>
      </w:pPr>
      <w:r w:rsidRPr="008D632B">
        <w:rPr>
          <w:rFonts w:ascii="Verdana" w:hAnsi="Verdana"/>
          <w:sz w:val="20"/>
          <w:szCs w:val="20"/>
          <w:lang w:val="es-CR"/>
        </w:rPr>
        <w:t>En el presente caso no se advierten razonamientos que sustenten la imprescriptibilidad de las acciones civiles</w:t>
      </w:r>
      <w:r w:rsidR="00066D5D" w:rsidRPr="008D632B">
        <w:rPr>
          <w:rFonts w:ascii="Verdana" w:hAnsi="Verdana"/>
          <w:sz w:val="20"/>
          <w:szCs w:val="20"/>
          <w:lang w:val="es-CR"/>
        </w:rPr>
        <w:t xml:space="preserve">. La Sentencia hace referencia a algunas conclusiones del Grupo de Trabajo de Naciones Unidas sobre las Desapariciones Forzadas o Involuntarias (párr. 79), </w:t>
      </w:r>
      <w:r w:rsidR="0006016C" w:rsidRPr="008D632B">
        <w:rPr>
          <w:rFonts w:ascii="Verdana" w:hAnsi="Verdana"/>
          <w:sz w:val="20"/>
          <w:szCs w:val="20"/>
          <w:lang w:val="es-CR"/>
        </w:rPr>
        <w:t xml:space="preserve">del Relator sobre el Derecho a la Restitución, Indemnización y Rehabilitación por Graves Violaciones de los Derechos Humanos (párr. 80), de la Comisión de Derechos Humanos de la ONU (párr. 81), de la Asamblea General de la ONU (párr. 82), del Consejo de Estado de Colombia (párr. 83), de la jurisprudencia de la Corte Suprema de </w:t>
      </w:r>
      <w:r w:rsidR="0006016C" w:rsidRPr="008D632B">
        <w:rPr>
          <w:rFonts w:ascii="Verdana" w:hAnsi="Verdana"/>
          <w:sz w:val="20"/>
          <w:szCs w:val="20"/>
          <w:lang w:val="es-CR"/>
        </w:rPr>
        <w:lastRenderedPageBreak/>
        <w:t>Justicia Chilena (párr. 84), y de los alegatos de la Comisión Interamericana en el caso (párrs. 86-89). En virtud de ello la Sentencia concluye que el Tribunal “considera que las apreciaciones anteriores son razonables” (párr. 89) y a partir de ello se declara la responsabilidad internacional del Estado.</w:t>
      </w:r>
      <w:r w:rsidR="004017C3" w:rsidRPr="008D632B">
        <w:rPr>
          <w:rFonts w:ascii="Verdana" w:hAnsi="Verdana"/>
          <w:sz w:val="20"/>
          <w:szCs w:val="20"/>
          <w:lang w:val="es-CR"/>
        </w:rPr>
        <w:t xml:space="preserve"> </w:t>
      </w:r>
      <w:r w:rsidR="0006016C" w:rsidRPr="008D632B">
        <w:rPr>
          <w:rFonts w:ascii="Verdana" w:hAnsi="Verdana"/>
          <w:sz w:val="20"/>
          <w:szCs w:val="20"/>
          <w:lang w:val="es-CR"/>
        </w:rPr>
        <w:t>Este tipo de aproximaci</w:t>
      </w:r>
      <w:r w:rsidR="009549A5" w:rsidRPr="008D632B">
        <w:rPr>
          <w:rFonts w:ascii="Verdana" w:hAnsi="Verdana"/>
          <w:sz w:val="20"/>
          <w:szCs w:val="20"/>
          <w:lang w:val="es-CR"/>
        </w:rPr>
        <w:t>ón –donde un Tribunal coincide con las conclusiones de derecho de otro órgano para decidir un caso- puede ser común en algunas jurisdicciones nacionales, pero es</w:t>
      </w:r>
      <w:r w:rsidR="00F81006" w:rsidRPr="008D632B">
        <w:rPr>
          <w:rFonts w:ascii="Verdana" w:hAnsi="Verdana"/>
          <w:sz w:val="20"/>
          <w:szCs w:val="20"/>
          <w:lang w:val="es-CR"/>
        </w:rPr>
        <w:t xml:space="preserve">, y debe ser, </w:t>
      </w:r>
      <w:r w:rsidR="009549A5" w:rsidRPr="008D632B">
        <w:rPr>
          <w:rFonts w:ascii="Verdana" w:hAnsi="Verdana"/>
          <w:sz w:val="20"/>
          <w:szCs w:val="20"/>
          <w:lang w:val="es-CR"/>
        </w:rPr>
        <w:t>ajeno a la metodolog</w:t>
      </w:r>
      <w:r w:rsidR="004017C3" w:rsidRPr="008D632B">
        <w:rPr>
          <w:rFonts w:ascii="Verdana" w:hAnsi="Verdana"/>
          <w:sz w:val="20"/>
          <w:szCs w:val="20"/>
          <w:lang w:val="es-CR"/>
        </w:rPr>
        <w:t>ía de la Corte.</w:t>
      </w:r>
    </w:p>
    <w:p w14:paraId="6E391428" w14:textId="77777777" w:rsidR="004017C3" w:rsidRPr="008D632B" w:rsidRDefault="004017C3" w:rsidP="004017C3">
      <w:pPr>
        <w:pStyle w:val="ListParagraph"/>
        <w:rPr>
          <w:rFonts w:ascii="Verdana" w:hAnsi="Verdana"/>
          <w:sz w:val="20"/>
          <w:szCs w:val="20"/>
          <w:lang w:val="es-CR"/>
        </w:rPr>
      </w:pPr>
    </w:p>
    <w:p w14:paraId="1EC74309" w14:textId="77777777" w:rsidR="0006016C" w:rsidRPr="008D632B" w:rsidRDefault="00D561C4" w:rsidP="006D7A6C">
      <w:pPr>
        <w:pStyle w:val="ListParagraph"/>
        <w:numPr>
          <w:ilvl w:val="0"/>
          <w:numId w:val="10"/>
        </w:numPr>
        <w:ind w:left="0" w:firstLine="0"/>
        <w:jc w:val="both"/>
        <w:rPr>
          <w:rFonts w:ascii="Verdana" w:hAnsi="Verdana"/>
          <w:sz w:val="20"/>
          <w:szCs w:val="20"/>
          <w:lang w:val="es-CR"/>
        </w:rPr>
      </w:pPr>
      <w:r w:rsidRPr="008D632B">
        <w:rPr>
          <w:rFonts w:ascii="Verdana" w:hAnsi="Verdana"/>
          <w:sz w:val="20"/>
          <w:szCs w:val="20"/>
          <w:lang w:val="es-CR"/>
        </w:rPr>
        <w:t>La metodología que realiza la Corte fundamentalmente radica en su competencia para interpretar la Convención Americana. Así, en el presente caso era necesario realizar</w:t>
      </w:r>
      <w:r w:rsidR="006D7A6C" w:rsidRPr="008D632B">
        <w:rPr>
          <w:rFonts w:ascii="Verdana" w:hAnsi="Verdana"/>
          <w:sz w:val="20"/>
          <w:szCs w:val="20"/>
          <w:lang w:val="es-CR"/>
        </w:rPr>
        <w:t xml:space="preserve"> </w:t>
      </w:r>
      <w:r w:rsidR="009549A5" w:rsidRPr="008D632B">
        <w:rPr>
          <w:rFonts w:ascii="Verdana" w:hAnsi="Verdana"/>
          <w:sz w:val="20"/>
          <w:szCs w:val="20"/>
          <w:lang w:val="es-CR"/>
        </w:rPr>
        <w:t>una interpretación de la Convención Americana</w:t>
      </w:r>
      <w:r w:rsidR="004017C3" w:rsidRPr="008D632B">
        <w:rPr>
          <w:rFonts w:ascii="Verdana" w:hAnsi="Verdana"/>
          <w:sz w:val="20"/>
          <w:szCs w:val="20"/>
          <w:lang w:val="es-CR"/>
        </w:rPr>
        <w:t xml:space="preserve"> sobre las bases del derecho internacional</w:t>
      </w:r>
      <w:r w:rsidR="009549A5" w:rsidRPr="008D632B">
        <w:rPr>
          <w:rFonts w:ascii="Verdana" w:hAnsi="Verdana"/>
          <w:sz w:val="20"/>
          <w:szCs w:val="20"/>
          <w:lang w:val="es-CR"/>
        </w:rPr>
        <w:t xml:space="preserve">, para así determinar el contenido </w:t>
      </w:r>
      <w:r w:rsidRPr="008D632B">
        <w:rPr>
          <w:rFonts w:ascii="Verdana" w:hAnsi="Verdana"/>
          <w:sz w:val="20"/>
          <w:szCs w:val="20"/>
          <w:lang w:val="es-CR"/>
        </w:rPr>
        <w:t xml:space="preserve">de la prohibición a la prescripción en supuestos relacionados con una acción civil. En ese ejercicio interpretativo, la Corte podría haber hecho referencia a las fuentes de </w:t>
      </w:r>
      <w:r w:rsidRPr="008D632B">
        <w:rPr>
          <w:rFonts w:ascii="Verdana" w:hAnsi="Verdana"/>
          <w:i/>
          <w:sz w:val="20"/>
          <w:szCs w:val="20"/>
          <w:lang w:val="es-CR"/>
        </w:rPr>
        <w:t xml:space="preserve">soft law </w:t>
      </w:r>
      <w:r w:rsidRPr="008D632B">
        <w:rPr>
          <w:rFonts w:ascii="Verdana" w:hAnsi="Verdana"/>
          <w:sz w:val="20"/>
          <w:szCs w:val="20"/>
          <w:lang w:val="es-CR"/>
        </w:rPr>
        <w:t>mencionadas en el párrafo anterior, al derecho constitucional comparado, y a las consideraciones de la Comisión, y así fijar un estándar regional que permitiera resolver casos futuros. Sin duda es trascendental que las decisiones de la Corte Interamericana –como último intérprete de la Convención, y como tribunal internacional- estén debidamente fundadas y motivadas, y que permitan cierta previsibilidad en los precedentes para casos futuros. Esto no sucede en este caso porque solo se enlistan una serie de fuentes sin que exista un razonamiento o argumentos que permitan sostener la conclusión. El que se expliciten las razones de un fallo es aún más importante cuando la Corte está desarrollando o ampliando un estándar que puede servir como parámetro para la resolución de casos futuros, o para el ejercicio del control de convencionalidad a nivel interno.</w:t>
      </w:r>
    </w:p>
    <w:p w14:paraId="5D637786" w14:textId="77777777" w:rsidR="00281142" w:rsidRPr="008D632B" w:rsidRDefault="00281142" w:rsidP="008D7138">
      <w:pPr>
        <w:rPr>
          <w:rFonts w:ascii="Verdana" w:hAnsi="Verdana"/>
          <w:lang w:val="es-CR"/>
        </w:rPr>
      </w:pPr>
    </w:p>
    <w:p w14:paraId="71D2511B" w14:textId="77777777" w:rsidR="00FE4255" w:rsidRPr="008D632B" w:rsidRDefault="00FE4255" w:rsidP="008D7138">
      <w:pPr>
        <w:rPr>
          <w:rFonts w:ascii="Verdana" w:hAnsi="Verdana"/>
          <w:lang w:val="es-CR"/>
        </w:rPr>
      </w:pPr>
    </w:p>
    <w:p w14:paraId="4BED45EB" w14:textId="77777777" w:rsidR="0089740C" w:rsidRPr="008D632B" w:rsidRDefault="00CD6C22" w:rsidP="004475DC">
      <w:pPr>
        <w:jc w:val="both"/>
        <w:rPr>
          <w:rFonts w:ascii="Verdana" w:hAnsi="Verdana"/>
          <w:b/>
          <w:i/>
        </w:rPr>
      </w:pPr>
      <w:r w:rsidRPr="008D632B">
        <w:rPr>
          <w:rFonts w:ascii="Verdana" w:hAnsi="Verdana"/>
          <w:b/>
          <w:i/>
        </w:rPr>
        <w:t>(ii)</w:t>
      </w:r>
      <w:r w:rsidR="0089740C" w:rsidRPr="008D632B">
        <w:rPr>
          <w:rFonts w:ascii="Verdana" w:hAnsi="Verdana"/>
          <w:b/>
          <w:i/>
        </w:rPr>
        <w:t xml:space="preserve"> </w:t>
      </w:r>
      <w:r w:rsidR="006D7A6C" w:rsidRPr="008D632B">
        <w:rPr>
          <w:rFonts w:ascii="Verdana" w:hAnsi="Verdana"/>
          <w:b/>
          <w:i/>
        </w:rPr>
        <w:t>Respecto a la utilización del principio de complementariedad o subsidiariedad en materia de reparaciones</w:t>
      </w:r>
    </w:p>
    <w:p w14:paraId="68A013F9" w14:textId="77777777" w:rsidR="006D7A6C" w:rsidRPr="008D632B" w:rsidRDefault="006D7A6C" w:rsidP="0089740C">
      <w:pPr>
        <w:jc w:val="both"/>
        <w:rPr>
          <w:rFonts w:ascii="Verdana" w:hAnsi="Verdana"/>
        </w:rPr>
      </w:pPr>
    </w:p>
    <w:p w14:paraId="602B1BDC" w14:textId="5FBFBFCB" w:rsidR="004475DC" w:rsidRPr="008D632B" w:rsidRDefault="00F37CF0" w:rsidP="004475DC">
      <w:pPr>
        <w:pStyle w:val="ListParagraph"/>
        <w:numPr>
          <w:ilvl w:val="0"/>
          <w:numId w:val="10"/>
        </w:numPr>
        <w:ind w:left="0" w:firstLine="0"/>
        <w:jc w:val="both"/>
        <w:rPr>
          <w:rFonts w:ascii="Verdana" w:hAnsi="Verdana"/>
          <w:sz w:val="20"/>
          <w:szCs w:val="20"/>
          <w:lang w:val="es-CR"/>
        </w:rPr>
      </w:pPr>
      <w:r w:rsidRPr="008D632B">
        <w:rPr>
          <w:rFonts w:ascii="Verdana" w:hAnsi="Verdana"/>
          <w:sz w:val="20"/>
          <w:szCs w:val="20"/>
          <w:lang w:val="es-CR"/>
        </w:rPr>
        <w:t>U</w:t>
      </w:r>
      <w:r w:rsidR="00B73BD1" w:rsidRPr="008D632B">
        <w:rPr>
          <w:rFonts w:ascii="Verdana" w:hAnsi="Verdana"/>
          <w:sz w:val="20"/>
          <w:szCs w:val="20"/>
          <w:lang w:val="es-CR"/>
        </w:rPr>
        <w:t>na de las discusiones centrales del caso se desarrolló en materia de reparaciones. La Comisión y los representantes solicitaron como medida de restitución algún remedio jurídico rápido y efectivo para que se determinaran las indemnizaciones que correspondieran, con independencia de aquellas que pudiera otorgar o que hubieran sido otorgadas por medio del programa administrativo de reparaciones (párrs. 108-110). El Estado</w:t>
      </w:r>
      <w:r w:rsidR="00D561C4" w:rsidRPr="008D632B">
        <w:rPr>
          <w:rFonts w:ascii="Verdana" w:hAnsi="Verdana"/>
          <w:sz w:val="20"/>
          <w:szCs w:val="20"/>
          <w:lang w:val="es-CR"/>
        </w:rPr>
        <w:t xml:space="preserve">, </w:t>
      </w:r>
      <w:r w:rsidR="001C7465" w:rsidRPr="008D632B">
        <w:rPr>
          <w:rFonts w:ascii="Verdana" w:hAnsi="Verdana"/>
          <w:sz w:val="20"/>
          <w:szCs w:val="20"/>
          <w:lang w:val="es-CR"/>
        </w:rPr>
        <w:t>a lo largo del proceso ante la Corte fue variando su postura y al final</w:t>
      </w:r>
      <w:r w:rsidR="00D561C4" w:rsidRPr="008D632B">
        <w:rPr>
          <w:rFonts w:ascii="Verdana" w:hAnsi="Verdana"/>
          <w:sz w:val="20"/>
          <w:szCs w:val="20"/>
          <w:lang w:val="es-CR"/>
        </w:rPr>
        <w:t xml:space="preserve"> </w:t>
      </w:r>
      <w:r w:rsidR="00B73BD1" w:rsidRPr="008D632B">
        <w:rPr>
          <w:rFonts w:ascii="Verdana" w:hAnsi="Verdana"/>
          <w:sz w:val="20"/>
          <w:szCs w:val="20"/>
          <w:lang w:val="es-CR"/>
        </w:rPr>
        <w:t>solicitó que se rechazaran las medidas de reparación propuestas, ya que la</w:t>
      </w:r>
      <w:r w:rsidR="00B87F9B" w:rsidRPr="008D632B">
        <w:rPr>
          <w:rFonts w:ascii="Verdana" w:hAnsi="Verdana"/>
          <w:sz w:val="20"/>
          <w:szCs w:val="20"/>
          <w:lang w:val="es-CR"/>
        </w:rPr>
        <w:t xml:space="preserve"> Corte no se encuentra facultada</w:t>
      </w:r>
      <w:r w:rsidR="00B73BD1" w:rsidRPr="008D632B">
        <w:rPr>
          <w:rFonts w:ascii="Verdana" w:hAnsi="Verdana"/>
          <w:sz w:val="20"/>
          <w:szCs w:val="20"/>
          <w:lang w:val="es-CR"/>
        </w:rPr>
        <w:t xml:space="preserve"> para pronunciarse </w:t>
      </w:r>
      <w:r w:rsidR="00512EF3" w:rsidRPr="008D632B">
        <w:rPr>
          <w:rFonts w:ascii="Verdana" w:hAnsi="Verdana"/>
          <w:sz w:val="20"/>
          <w:szCs w:val="20"/>
          <w:lang w:val="es-CR"/>
        </w:rPr>
        <w:t>acerca de los daños ocasionados por los crímenes de lesa humanidad que dieron lugar a las acciones civiles</w:t>
      </w:r>
      <w:r w:rsidR="00B87F9B" w:rsidRPr="008D632B">
        <w:rPr>
          <w:rFonts w:ascii="Verdana" w:hAnsi="Verdana"/>
          <w:sz w:val="20"/>
          <w:szCs w:val="20"/>
          <w:lang w:val="es-CR"/>
        </w:rPr>
        <w:t>. También solicitó</w:t>
      </w:r>
      <w:r w:rsidR="00512EF3" w:rsidRPr="008D632B">
        <w:rPr>
          <w:rFonts w:ascii="Verdana" w:hAnsi="Verdana"/>
          <w:sz w:val="20"/>
          <w:szCs w:val="20"/>
          <w:lang w:val="es-CR"/>
        </w:rPr>
        <w:t xml:space="preserve"> </w:t>
      </w:r>
      <w:r w:rsidR="00B87F9B" w:rsidRPr="008D632B">
        <w:rPr>
          <w:rFonts w:ascii="Verdana" w:hAnsi="Verdana"/>
          <w:sz w:val="20"/>
          <w:szCs w:val="20"/>
          <w:lang w:val="es-CR"/>
        </w:rPr>
        <w:t>que leyera su</w:t>
      </w:r>
      <w:r w:rsidR="00512EF3" w:rsidRPr="008D632B">
        <w:rPr>
          <w:rFonts w:ascii="Verdana" w:hAnsi="Verdana"/>
          <w:sz w:val="20"/>
          <w:szCs w:val="20"/>
          <w:lang w:val="es-CR"/>
        </w:rPr>
        <w:t xml:space="preserve"> solicitud </w:t>
      </w:r>
      <w:r w:rsidR="00B87F9B" w:rsidRPr="008D632B">
        <w:rPr>
          <w:rFonts w:ascii="Verdana" w:hAnsi="Verdana"/>
          <w:sz w:val="20"/>
          <w:szCs w:val="20"/>
          <w:lang w:val="es-CR"/>
        </w:rPr>
        <w:t xml:space="preserve">en este punto </w:t>
      </w:r>
      <w:r w:rsidR="00512EF3" w:rsidRPr="008D632B">
        <w:rPr>
          <w:rFonts w:ascii="Verdana" w:hAnsi="Verdana"/>
          <w:sz w:val="20"/>
          <w:szCs w:val="20"/>
          <w:lang w:val="es-CR"/>
        </w:rPr>
        <w:t>a la luz de los esfuerzos desarrollados por el Estado a partir de 1990 para otorgar reparaciones suficientes (párr. 111).</w:t>
      </w:r>
    </w:p>
    <w:p w14:paraId="70D8B00B" w14:textId="77777777" w:rsidR="00512EF3" w:rsidRPr="008D632B" w:rsidRDefault="00512EF3" w:rsidP="00512EF3">
      <w:pPr>
        <w:pStyle w:val="ListParagraph"/>
        <w:ind w:left="0"/>
        <w:jc w:val="both"/>
        <w:rPr>
          <w:rFonts w:ascii="Verdana" w:hAnsi="Verdana"/>
          <w:sz w:val="20"/>
          <w:szCs w:val="20"/>
          <w:lang w:val="es-CR"/>
        </w:rPr>
      </w:pPr>
    </w:p>
    <w:p w14:paraId="43E69021" w14:textId="5560928E" w:rsidR="00512EF3" w:rsidRPr="008D632B" w:rsidRDefault="002403C9" w:rsidP="004475DC">
      <w:pPr>
        <w:pStyle w:val="ListParagraph"/>
        <w:numPr>
          <w:ilvl w:val="0"/>
          <w:numId w:val="10"/>
        </w:numPr>
        <w:ind w:left="0" w:firstLine="0"/>
        <w:jc w:val="both"/>
        <w:rPr>
          <w:rFonts w:ascii="Verdana" w:hAnsi="Verdana"/>
          <w:sz w:val="20"/>
          <w:szCs w:val="20"/>
          <w:lang w:val="es-CR"/>
        </w:rPr>
      </w:pPr>
      <w:r w:rsidRPr="008D632B">
        <w:rPr>
          <w:rFonts w:ascii="Verdana" w:hAnsi="Verdana"/>
          <w:sz w:val="20"/>
          <w:szCs w:val="20"/>
          <w:lang w:val="es-CR"/>
        </w:rPr>
        <w:t xml:space="preserve">La Corte consideró que el daño por la falta de acceso a la justicia es que las víctimas no habrían recibido las indemnizaciones que les corresponderían, por lo que si se aceptara el alegato del Estado éstas no podrían acceder a una reparación tanto en el ámbito interno como en el internacional (párr. 117). </w:t>
      </w:r>
      <w:r w:rsidR="00B87F9B" w:rsidRPr="008D632B">
        <w:rPr>
          <w:rFonts w:ascii="Verdana" w:hAnsi="Verdana"/>
          <w:sz w:val="20"/>
          <w:szCs w:val="20"/>
          <w:lang w:val="es-CR"/>
        </w:rPr>
        <w:t>La Sentencia</w:t>
      </w:r>
      <w:r w:rsidRPr="008D632B">
        <w:rPr>
          <w:rFonts w:ascii="Verdana" w:hAnsi="Verdana"/>
          <w:sz w:val="20"/>
          <w:szCs w:val="20"/>
          <w:lang w:val="es-CR"/>
        </w:rPr>
        <w:t xml:space="preserve"> consideró que en aplicación del principio de complementariedad el Estado debía otorgar una compensación a cada una de las víctimas del caso (párr. 119). La Corte afirm</w:t>
      </w:r>
      <w:r w:rsidR="00132023" w:rsidRPr="008D632B">
        <w:rPr>
          <w:rFonts w:ascii="Verdana" w:hAnsi="Verdana"/>
          <w:sz w:val="20"/>
          <w:szCs w:val="20"/>
          <w:lang w:val="es-CR"/>
        </w:rPr>
        <w:t xml:space="preserve">ó que no realizaría un pronunciamiento o evaluación sobre hechos y daños ocurridos al momento en que los familiares de las víctimas fueron ejecutadas o desaparecidas, sino que </w:t>
      </w:r>
      <w:r w:rsidR="00B87F9B" w:rsidRPr="008D632B">
        <w:rPr>
          <w:rFonts w:ascii="Verdana" w:hAnsi="Verdana"/>
          <w:sz w:val="20"/>
          <w:szCs w:val="20"/>
          <w:lang w:val="es-CR"/>
        </w:rPr>
        <w:t>se remitiría</w:t>
      </w:r>
      <w:r w:rsidR="00132023" w:rsidRPr="008D632B">
        <w:rPr>
          <w:rFonts w:ascii="Verdana" w:hAnsi="Verdana"/>
          <w:sz w:val="20"/>
          <w:szCs w:val="20"/>
          <w:lang w:val="es-CR"/>
        </w:rPr>
        <w:t xml:space="preserve"> a los propios criterios jurisprudenciales internos</w:t>
      </w:r>
      <w:r w:rsidR="00B87F9B" w:rsidRPr="008D632B">
        <w:rPr>
          <w:rFonts w:ascii="Verdana" w:hAnsi="Verdana"/>
          <w:sz w:val="20"/>
          <w:szCs w:val="20"/>
          <w:lang w:val="es-CR"/>
        </w:rPr>
        <w:t xml:space="preserve"> para fijar la reparaciones por vía judicial</w:t>
      </w:r>
      <w:r w:rsidR="00132023" w:rsidRPr="008D632B">
        <w:rPr>
          <w:rFonts w:ascii="Verdana" w:hAnsi="Verdana"/>
          <w:sz w:val="20"/>
          <w:szCs w:val="20"/>
          <w:lang w:val="es-CR"/>
        </w:rPr>
        <w:t xml:space="preserve"> (párr. 120). En esa lógica, consideró que dado que</w:t>
      </w:r>
      <w:r w:rsidR="00FE4255" w:rsidRPr="008D632B">
        <w:rPr>
          <w:rFonts w:ascii="Verdana" w:hAnsi="Verdana"/>
          <w:sz w:val="20"/>
          <w:szCs w:val="20"/>
          <w:lang w:val="es-CR"/>
        </w:rPr>
        <w:t>, según el criterio de la Corte Suprema de Justicia chilena,</w:t>
      </w:r>
      <w:r w:rsidR="00132023" w:rsidRPr="008D632B">
        <w:rPr>
          <w:rFonts w:ascii="Verdana" w:hAnsi="Verdana"/>
          <w:sz w:val="20"/>
          <w:szCs w:val="20"/>
          <w:lang w:val="es-CR"/>
        </w:rPr>
        <w:t xml:space="preserve"> las reparaciones administrativas en los términos de la Ley No. 19.123 no son excluyentes de aquellas que puedan ser obtenidas por vía judicial, las víctimas no están impedidas de obtener </w:t>
      </w:r>
      <w:r w:rsidR="00132023" w:rsidRPr="008D632B">
        <w:rPr>
          <w:rFonts w:ascii="Verdana" w:hAnsi="Verdana"/>
          <w:sz w:val="20"/>
          <w:szCs w:val="20"/>
          <w:lang w:val="es-CR"/>
        </w:rPr>
        <w:lastRenderedPageBreak/>
        <w:t xml:space="preserve">indemnizaciones por </w:t>
      </w:r>
      <w:r w:rsidR="00B87F9B" w:rsidRPr="008D632B">
        <w:rPr>
          <w:rFonts w:ascii="Verdana" w:hAnsi="Verdana"/>
          <w:sz w:val="20"/>
          <w:szCs w:val="20"/>
          <w:lang w:val="es-CR"/>
        </w:rPr>
        <w:t>ésta última vía</w:t>
      </w:r>
      <w:r w:rsidR="00132023" w:rsidRPr="008D632B">
        <w:rPr>
          <w:rFonts w:ascii="Verdana" w:hAnsi="Verdana"/>
          <w:sz w:val="20"/>
          <w:szCs w:val="20"/>
          <w:lang w:val="es-CR"/>
        </w:rPr>
        <w:t xml:space="preserve"> (párr. 123). En consecuencia, el Tribunal estimó pertinente fijar una cantidad </w:t>
      </w:r>
      <w:r w:rsidR="00D561C4" w:rsidRPr="008D632B">
        <w:rPr>
          <w:rFonts w:ascii="Verdana" w:hAnsi="Verdana"/>
          <w:sz w:val="20"/>
          <w:szCs w:val="20"/>
          <w:lang w:val="es-CR"/>
        </w:rPr>
        <w:t>concreta</w:t>
      </w:r>
      <w:r w:rsidR="00132023" w:rsidRPr="008D632B">
        <w:rPr>
          <w:rFonts w:ascii="Verdana" w:hAnsi="Verdana"/>
          <w:sz w:val="20"/>
          <w:szCs w:val="20"/>
          <w:lang w:val="es-CR"/>
        </w:rPr>
        <w:t xml:space="preserve"> de reparaciones para todas las víctimas del caso por concepto </w:t>
      </w:r>
      <w:r w:rsidR="00FE4255" w:rsidRPr="008D632B">
        <w:rPr>
          <w:rFonts w:ascii="Verdana" w:hAnsi="Verdana"/>
          <w:sz w:val="20"/>
          <w:szCs w:val="20"/>
          <w:lang w:val="es-CR"/>
        </w:rPr>
        <w:t>de compensación</w:t>
      </w:r>
      <w:r w:rsidR="00132023" w:rsidRPr="008D632B">
        <w:rPr>
          <w:rFonts w:ascii="Verdana" w:hAnsi="Verdana"/>
          <w:sz w:val="20"/>
          <w:szCs w:val="20"/>
          <w:lang w:val="es-CR"/>
        </w:rPr>
        <w:t xml:space="preserve"> (párr. 124).</w:t>
      </w:r>
    </w:p>
    <w:p w14:paraId="7F341ED2" w14:textId="77777777" w:rsidR="00132023" w:rsidRPr="008D632B" w:rsidRDefault="00132023" w:rsidP="00132023">
      <w:pPr>
        <w:pStyle w:val="ListParagraph"/>
        <w:ind w:left="0"/>
        <w:jc w:val="both"/>
        <w:rPr>
          <w:rFonts w:ascii="Verdana" w:hAnsi="Verdana"/>
          <w:sz w:val="20"/>
          <w:szCs w:val="20"/>
          <w:lang w:val="es-CR"/>
        </w:rPr>
      </w:pPr>
    </w:p>
    <w:p w14:paraId="0D8F6085" w14:textId="77777777" w:rsidR="00132023" w:rsidRPr="008D632B" w:rsidRDefault="00132023" w:rsidP="004475DC">
      <w:pPr>
        <w:pStyle w:val="ListParagraph"/>
        <w:numPr>
          <w:ilvl w:val="0"/>
          <w:numId w:val="10"/>
        </w:numPr>
        <w:ind w:left="0" w:firstLine="0"/>
        <w:jc w:val="both"/>
        <w:rPr>
          <w:rFonts w:ascii="Verdana" w:hAnsi="Verdana"/>
          <w:sz w:val="20"/>
          <w:szCs w:val="20"/>
          <w:lang w:val="es-CR"/>
        </w:rPr>
      </w:pPr>
      <w:r w:rsidRPr="008D632B">
        <w:rPr>
          <w:rFonts w:ascii="Verdana" w:hAnsi="Verdana"/>
          <w:sz w:val="20"/>
          <w:szCs w:val="20"/>
          <w:lang w:val="es-CR"/>
        </w:rPr>
        <w:t xml:space="preserve">Dos cuestiones llaman la atención del análisis realizado por la Corte en relación con esta medida de reparación. La primera es </w:t>
      </w:r>
      <w:r w:rsidR="00B87F9B" w:rsidRPr="008D632B">
        <w:rPr>
          <w:rFonts w:ascii="Verdana" w:hAnsi="Verdana"/>
          <w:sz w:val="20"/>
          <w:szCs w:val="20"/>
          <w:lang w:val="es-CR"/>
        </w:rPr>
        <w:t>la forma en que la Corte hizo</w:t>
      </w:r>
      <w:r w:rsidRPr="008D632B">
        <w:rPr>
          <w:rFonts w:ascii="Verdana" w:hAnsi="Verdana"/>
          <w:sz w:val="20"/>
          <w:szCs w:val="20"/>
          <w:lang w:val="es-CR"/>
        </w:rPr>
        <w:t xml:space="preserve"> uso del principio de complementariedad o subsidiariedad en el presente caso. Este principio ha sido utilizado por la Corte en múltiples sentencias para resaltar que </w:t>
      </w:r>
      <w:r w:rsidR="001C69B5" w:rsidRPr="008D632B">
        <w:rPr>
          <w:rFonts w:ascii="Verdana" w:hAnsi="Verdana"/>
          <w:sz w:val="20"/>
          <w:szCs w:val="20"/>
          <w:lang w:val="es-CR"/>
        </w:rPr>
        <w:t>la responsabilidad estatal b</w:t>
      </w:r>
      <w:r w:rsidR="00D561C4" w:rsidRPr="008D632B">
        <w:rPr>
          <w:rFonts w:ascii="Verdana" w:hAnsi="Verdana"/>
          <w:sz w:val="20"/>
          <w:szCs w:val="20"/>
          <w:lang w:val="es-CR"/>
        </w:rPr>
        <w:t>ajo la Convención so</w:t>
      </w:r>
      <w:r w:rsidR="001C69B5" w:rsidRPr="008D632B">
        <w:rPr>
          <w:rFonts w:ascii="Verdana" w:hAnsi="Verdana"/>
          <w:sz w:val="20"/>
          <w:szCs w:val="20"/>
          <w:lang w:val="es-CR"/>
        </w:rPr>
        <w:t>lo puede ser exigida a nivel internacional después de que el Estado haya tenido la oportunidad de reconocer una violación a los derechos humanos y reparar por sus propios medios los daños ocasionados</w:t>
      </w:r>
      <w:r w:rsidR="001C69B5" w:rsidRPr="008D632B">
        <w:rPr>
          <w:rStyle w:val="FootnoteReference"/>
          <w:rFonts w:ascii="Verdana" w:hAnsi="Verdana"/>
          <w:sz w:val="20"/>
          <w:szCs w:val="20"/>
          <w:lang w:val="es-CR"/>
        </w:rPr>
        <w:footnoteReference w:id="4"/>
      </w:r>
      <w:r w:rsidR="001C69B5" w:rsidRPr="008D632B">
        <w:rPr>
          <w:rFonts w:ascii="Verdana" w:hAnsi="Verdana"/>
          <w:sz w:val="20"/>
          <w:szCs w:val="20"/>
          <w:lang w:val="es-CR"/>
        </w:rPr>
        <w:t>. En materia de reparaciones</w:t>
      </w:r>
      <w:r w:rsidR="00D561C4" w:rsidRPr="008D632B">
        <w:rPr>
          <w:rFonts w:ascii="Verdana" w:hAnsi="Verdana"/>
          <w:sz w:val="20"/>
          <w:szCs w:val="20"/>
          <w:lang w:val="es-CR"/>
        </w:rPr>
        <w:t>,</w:t>
      </w:r>
      <w:r w:rsidR="001C69B5" w:rsidRPr="008D632B">
        <w:rPr>
          <w:rFonts w:ascii="Verdana" w:hAnsi="Verdana"/>
          <w:sz w:val="20"/>
          <w:szCs w:val="20"/>
          <w:lang w:val="es-CR"/>
        </w:rPr>
        <w:t xml:space="preserve"> el uso de este principio ha servido para resaltar la labor del Estado cuando diseña mecanismos internos de reparación administrativa, sobre todo en casos de situaciones fácticas que generaron grandes cantidades de víctimas</w:t>
      </w:r>
      <w:r w:rsidR="00B87F9B" w:rsidRPr="008D632B">
        <w:rPr>
          <w:rFonts w:ascii="Verdana" w:hAnsi="Verdana"/>
          <w:sz w:val="20"/>
          <w:szCs w:val="20"/>
          <w:lang w:val="es-CR"/>
        </w:rPr>
        <w:t xml:space="preserve"> (como ha sucedido en Colombia, en Perú o en Chile)</w:t>
      </w:r>
      <w:r w:rsidR="001C69B5" w:rsidRPr="008D632B">
        <w:rPr>
          <w:rFonts w:ascii="Verdana" w:hAnsi="Verdana"/>
          <w:sz w:val="20"/>
          <w:szCs w:val="20"/>
          <w:lang w:val="es-CR"/>
        </w:rPr>
        <w:t xml:space="preserve">. La Corte ha valorado </w:t>
      </w:r>
      <w:r w:rsidR="001B5FA3" w:rsidRPr="008D632B">
        <w:rPr>
          <w:rFonts w:ascii="Verdana" w:hAnsi="Verdana"/>
          <w:sz w:val="20"/>
          <w:szCs w:val="20"/>
          <w:lang w:val="es-CR"/>
        </w:rPr>
        <w:t>los</w:t>
      </w:r>
      <w:r w:rsidR="001C69B5" w:rsidRPr="008D632B">
        <w:rPr>
          <w:rFonts w:ascii="Verdana" w:hAnsi="Verdana"/>
          <w:sz w:val="20"/>
          <w:szCs w:val="20"/>
          <w:lang w:val="es-CR"/>
        </w:rPr>
        <w:t xml:space="preserve"> esfuerzos estatales y </w:t>
      </w:r>
      <w:r w:rsidR="00D561C4" w:rsidRPr="008D632B">
        <w:rPr>
          <w:rFonts w:ascii="Verdana" w:hAnsi="Verdana"/>
          <w:sz w:val="20"/>
          <w:szCs w:val="20"/>
          <w:lang w:val="es-CR"/>
        </w:rPr>
        <w:t xml:space="preserve">ha </w:t>
      </w:r>
      <w:r w:rsidR="001C69B5" w:rsidRPr="008D632B">
        <w:rPr>
          <w:rFonts w:ascii="Verdana" w:hAnsi="Verdana"/>
          <w:sz w:val="20"/>
          <w:szCs w:val="20"/>
          <w:lang w:val="es-CR"/>
        </w:rPr>
        <w:t>tomado en cuenta las reparaciones que se han otorgado a nivel interno</w:t>
      </w:r>
      <w:r w:rsidR="001B5FA3" w:rsidRPr="008D632B">
        <w:rPr>
          <w:rFonts w:ascii="Verdana" w:hAnsi="Verdana"/>
          <w:sz w:val="20"/>
          <w:szCs w:val="20"/>
          <w:lang w:val="es-CR"/>
        </w:rPr>
        <w:t>,</w:t>
      </w:r>
      <w:r w:rsidR="001C69B5" w:rsidRPr="008D632B">
        <w:rPr>
          <w:rFonts w:ascii="Verdana" w:hAnsi="Verdana"/>
          <w:sz w:val="20"/>
          <w:szCs w:val="20"/>
          <w:lang w:val="es-CR"/>
        </w:rPr>
        <w:t xml:space="preserve"> </w:t>
      </w:r>
      <w:r w:rsidR="001B5FA3" w:rsidRPr="008D632B">
        <w:rPr>
          <w:rFonts w:ascii="Verdana" w:hAnsi="Verdana"/>
          <w:sz w:val="20"/>
          <w:szCs w:val="20"/>
          <w:lang w:val="es-CR"/>
        </w:rPr>
        <w:t>evitando así fijar reparaciones autónomas en el ejercicio de su</w:t>
      </w:r>
      <w:r w:rsidR="00B87F9B" w:rsidRPr="008D632B">
        <w:rPr>
          <w:rFonts w:ascii="Verdana" w:hAnsi="Verdana"/>
          <w:sz w:val="20"/>
          <w:szCs w:val="20"/>
          <w:lang w:val="es-CR"/>
        </w:rPr>
        <w:t>s competencias</w:t>
      </w:r>
      <w:r w:rsidR="001B5FA3" w:rsidRPr="008D632B">
        <w:rPr>
          <w:rStyle w:val="FootnoteReference"/>
          <w:rFonts w:ascii="Verdana" w:hAnsi="Verdana"/>
          <w:sz w:val="20"/>
          <w:szCs w:val="20"/>
          <w:lang w:val="es-CR"/>
        </w:rPr>
        <w:footnoteReference w:id="5"/>
      </w:r>
      <w:r w:rsidR="001B5FA3" w:rsidRPr="008D632B">
        <w:rPr>
          <w:rFonts w:ascii="Verdana" w:hAnsi="Verdana"/>
          <w:sz w:val="20"/>
          <w:szCs w:val="20"/>
          <w:lang w:val="es-CR"/>
        </w:rPr>
        <w:t xml:space="preserve">, o bien </w:t>
      </w:r>
      <w:r w:rsidR="00B87F9B" w:rsidRPr="008D632B">
        <w:rPr>
          <w:rFonts w:ascii="Verdana" w:hAnsi="Verdana"/>
          <w:sz w:val="20"/>
          <w:szCs w:val="20"/>
          <w:lang w:val="es-CR"/>
        </w:rPr>
        <w:t>ha toma</w:t>
      </w:r>
      <w:r w:rsidR="001B5FA3" w:rsidRPr="008D632B">
        <w:rPr>
          <w:rFonts w:ascii="Verdana" w:hAnsi="Verdana"/>
          <w:sz w:val="20"/>
          <w:szCs w:val="20"/>
          <w:lang w:val="es-CR"/>
        </w:rPr>
        <w:t xml:space="preserve">do en consideración las medidas ya otorgadas para el cálculo de las reparaciones </w:t>
      </w:r>
      <w:r w:rsidR="00B87F9B" w:rsidRPr="008D632B">
        <w:rPr>
          <w:rFonts w:ascii="Verdana" w:hAnsi="Verdana"/>
          <w:sz w:val="20"/>
          <w:szCs w:val="20"/>
          <w:lang w:val="es-CR"/>
        </w:rPr>
        <w:t>otorgadas</w:t>
      </w:r>
      <w:r w:rsidR="001B5FA3" w:rsidRPr="008D632B">
        <w:rPr>
          <w:rStyle w:val="FootnoteReference"/>
          <w:rFonts w:ascii="Verdana" w:hAnsi="Verdana"/>
          <w:sz w:val="20"/>
          <w:szCs w:val="20"/>
          <w:lang w:val="es-CR"/>
        </w:rPr>
        <w:footnoteReference w:id="6"/>
      </w:r>
      <w:r w:rsidR="001B5FA3" w:rsidRPr="008D632B">
        <w:rPr>
          <w:rFonts w:ascii="Verdana" w:hAnsi="Verdana"/>
          <w:sz w:val="20"/>
          <w:szCs w:val="20"/>
          <w:lang w:val="es-CR"/>
        </w:rPr>
        <w:t>.</w:t>
      </w:r>
    </w:p>
    <w:p w14:paraId="5076761A" w14:textId="77777777" w:rsidR="001B5FA3" w:rsidRPr="008D632B" w:rsidRDefault="001B5FA3" w:rsidP="001B5FA3">
      <w:pPr>
        <w:pStyle w:val="ListParagraph"/>
        <w:ind w:left="0"/>
        <w:jc w:val="both"/>
        <w:rPr>
          <w:rFonts w:ascii="Verdana" w:hAnsi="Verdana"/>
          <w:sz w:val="20"/>
          <w:szCs w:val="20"/>
          <w:lang w:val="es-CR"/>
        </w:rPr>
      </w:pPr>
    </w:p>
    <w:p w14:paraId="6B9DAE97" w14:textId="51ACB901" w:rsidR="001B5FA3" w:rsidRPr="008D632B" w:rsidRDefault="001B5FA3" w:rsidP="004475DC">
      <w:pPr>
        <w:pStyle w:val="ListParagraph"/>
        <w:numPr>
          <w:ilvl w:val="0"/>
          <w:numId w:val="10"/>
        </w:numPr>
        <w:ind w:left="0" w:firstLine="0"/>
        <w:jc w:val="both"/>
        <w:rPr>
          <w:rFonts w:ascii="Verdana" w:hAnsi="Verdana"/>
          <w:sz w:val="20"/>
          <w:szCs w:val="20"/>
          <w:lang w:val="es-CR"/>
        </w:rPr>
      </w:pPr>
      <w:r w:rsidRPr="008D632B">
        <w:rPr>
          <w:rFonts w:ascii="Verdana" w:hAnsi="Verdana"/>
          <w:sz w:val="20"/>
          <w:szCs w:val="20"/>
          <w:lang w:val="es-CR"/>
        </w:rPr>
        <w:t xml:space="preserve">En este caso la Corte utilizó el principio de complementariedad en una forma </w:t>
      </w:r>
      <w:r w:rsidR="001B2EC1" w:rsidRPr="008D632B">
        <w:rPr>
          <w:rFonts w:ascii="Verdana" w:hAnsi="Verdana"/>
          <w:sz w:val="20"/>
          <w:szCs w:val="20"/>
          <w:lang w:val="es-CR"/>
        </w:rPr>
        <w:t>distinta</w:t>
      </w:r>
      <w:r w:rsidRPr="008D632B">
        <w:rPr>
          <w:rFonts w:ascii="Verdana" w:hAnsi="Verdana"/>
          <w:sz w:val="20"/>
          <w:szCs w:val="20"/>
          <w:lang w:val="es-CR"/>
        </w:rPr>
        <w:t xml:space="preserve"> a aquel que </w:t>
      </w:r>
      <w:r w:rsidR="00B87F9B" w:rsidRPr="008D632B">
        <w:rPr>
          <w:rFonts w:ascii="Verdana" w:hAnsi="Verdana"/>
          <w:sz w:val="20"/>
          <w:szCs w:val="20"/>
          <w:lang w:val="es-CR"/>
        </w:rPr>
        <w:t xml:space="preserve">ha seguido en </w:t>
      </w:r>
      <w:r w:rsidRPr="008D632B">
        <w:rPr>
          <w:rFonts w:ascii="Verdana" w:hAnsi="Verdana"/>
          <w:sz w:val="20"/>
          <w:szCs w:val="20"/>
          <w:lang w:val="es-CR"/>
        </w:rPr>
        <w:t xml:space="preserve">la jurisprudencia reciente. </w:t>
      </w:r>
      <w:r w:rsidR="001B2EC1" w:rsidRPr="008D632B">
        <w:rPr>
          <w:rFonts w:ascii="Verdana" w:hAnsi="Verdana"/>
          <w:sz w:val="20"/>
          <w:szCs w:val="20"/>
          <w:lang w:val="es-CR"/>
        </w:rPr>
        <w:t>No consideró</w:t>
      </w:r>
      <w:r w:rsidR="00CD6C22" w:rsidRPr="008D632B">
        <w:rPr>
          <w:rFonts w:ascii="Verdana" w:hAnsi="Verdana"/>
          <w:sz w:val="20"/>
          <w:szCs w:val="20"/>
          <w:lang w:val="es-CR"/>
        </w:rPr>
        <w:t>, o por lo menos no lo hizo de manera expresa,</w:t>
      </w:r>
      <w:r w:rsidRPr="008D632B">
        <w:rPr>
          <w:rFonts w:ascii="Verdana" w:hAnsi="Verdana"/>
          <w:sz w:val="20"/>
          <w:szCs w:val="20"/>
          <w:lang w:val="es-CR"/>
        </w:rPr>
        <w:t xml:space="preserve"> las reparaciones fijadas a nivel interno</w:t>
      </w:r>
      <w:r w:rsidR="00B87F9B" w:rsidRPr="008D632B">
        <w:rPr>
          <w:rFonts w:ascii="Verdana" w:hAnsi="Verdana"/>
          <w:sz w:val="20"/>
          <w:szCs w:val="20"/>
          <w:lang w:val="es-CR"/>
        </w:rPr>
        <w:t xml:space="preserve"> para el cálculo de las reparaciones fijadas a nivel internacional</w:t>
      </w:r>
      <w:r w:rsidRPr="008D632B">
        <w:rPr>
          <w:rFonts w:ascii="Verdana" w:hAnsi="Verdana"/>
          <w:sz w:val="20"/>
          <w:szCs w:val="20"/>
          <w:lang w:val="es-CR"/>
        </w:rPr>
        <w:t xml:space="preserve">, </w:t>
      </w:r>
      <w:r w:rsidR="001B2EC1" w:rsidRPr="008D632B">
        <w:rPr>
          <w:rFonts w:ascii="Verdana" w:hAnsi="Verdana"/>
          <w:sz w:val="20"/>
          <w:szCs w:val="20"/>
          <w:lang w:val="es-CR"/>
        </w:rPr>
        <w:t>y</w:t>
      </w:r>
      <w:r w:rsidRPr="008D632B">
        <w:rPr>
          <w:rFonts w:ascii="Verdana" w:hAnsi="Verdana"/>
          <w:sz w:val="20"/>
          <w:szCs w:val="20"/>
          <w:lang w:val="es-CR"/>
        </w:rPr>
        <w:t xml:space="preserve"> adem</w:t>
      </w:r>
      <w:r w:rsidR="00B87F9B" w:rsidRPr="008D632B">
        <w:rPr>
          <w:rFonts w:ascii="Verdana" w:hAnsi="Verdana"/>
          <w:sz w:val="20"/>
          <w:szCs w:val="20"/>
          <w:lang w:val="es-CR"/>
        </w:rPr>
        <w:t>ás fijó</w:t>
      </w:r>
      <w:r w:rsidRPr="008D632B">
        <w:rPr>
          <w:rFonts w:ascii="Verdana" w:hAnsi="Verdana"/>
          <w:sz w:val="20"/>
          <w:szCs w:val="20"/>
          <w:lang w:val="es-CR"/>
        </w:rPr>
        <w:t xml:space="preserve"> reparaciones de manera autónoma sobre aspectos que no eran parte de la controversia –</w:t>
      </w:r>
      <w:r w:rsidR="00B87F9B" w:rsidRPr="008D632B">
        <w:rPr>
          <w:rFonts w:ascii="Verdana" w:hAnsi="Verdana"/>
          <w:sz w:val="20"/>
          <w:szCs w:val="20"/>
          <w:lang w:val="es-CR"/>
        </w:rPr>
        <w:t>como lo expresó el Estado</w:t>
      </w:r>
      <w:r w:rsidRPr="008D632B">
        <w:rPr>
          <w:rFonts w:ascii="Verdana" w:hAnsi="Verdana"/>
          <w:sz w:val="20"/>
          <w:szCs w:val="20"/>
          <w:lang w:val="es-CR"/>
        </w:rPr>
        <w:t>,</w:t>
      </w:r>
      <w:r w:rsidR="00B87F9B" w:rsidRPr="008D632B">
        <w:rPr>
          <w:rFonts w:ascii="Verdana" w:hAnsi="Verdana"/>
          <w:sz w:val="20"/>
          <w:szCs w:val="20"/>
          <w:lang w:val="es-CR"/>
        </w:rPr>
        <w:t xml:space="preserve"> el caso no involucraba</w:t>
      </w:r>
      <w:r w:rsidRPr="008D632B">
        <w:rPr>
          <w:rFonts w:ascii="Verdana" w:hAnsi="Verdana"/>
          <w:sz w:val="20"/>
          <w:szCs w:val="20"/>
          <w:lang w:val="es-CR"/>
        </w:rPr>
        <w:t xml:space="preserve"> la </w:t>
      </w:r>
      <w:r w:rsidR="00BD51D0">
        <w:rPr>
          <w:rFonts w:ascii="Verdana" w:hAnsi="Verdana"/>
          <w:sz w:val="20"/>
          <w:szCs w:val="20"/>
          <w:lang w:val="es-CR"/>
        </w:rPr>
        <w:t xml:space="preserve">competencia de la Corte para </w:t>
      </w:r>
      <w:r w:rsidRPr="008D632B">
        <w:rPr>
          <w:rFonts w:ascii="Verdana" w:hAnsi="Verdana"/>
          <w:sz w:val="20"/>
          <w:szCs w:val="20"/>
          <w:lang w:val="es-CR"/>
        </w:rPr>
        <w:t>determina</w:t>
      </w:r>
      <w:r w:rsidR="00BD51D0">
        <w:rPr>
          <w:rFonts w:ascii="Verdana" w:hAnsi="Verdana"/>
          <w:sz w:val="20"/>
          <w:szCs w:val="20"/>
          <w:lang w:val="es-CR"/>
        </w:rPr>
        <w:t>r</w:t>
      </w:r>
      <w:r w:rsidRPr="008D632B">
        <w:rPr>
          <w:rFonts w:ascii="Verdana" w:hAnsi="Verdana"/>
          <w:sz w:val="20"/>
          <w:szCs w:val="20"/>
          <w:lang w:val="es-CR"/>
        </w:rPr>
        <w:t xml:space="preserve"> de si los actos que afectaron a los familiares de las víctimas constituyeron crímenes de lesa humanidad o graves violaciones de los derechos humanos. </w:t>
      </w:r>
      <w:r w:rsidR="003C296E" w:rsidRPr="008D632B">
        <w:rPr>
          <w:rFonts w:ascii="Verdana" w:hAnsi="Verdana"/>
          <w:sz w:val="20"/>
          <w:szCs w:val="20"/>
          <w:lang w:val="es-CR"/>
        </w:rPr>
        <w:t>Sin duda se trata de una posición</w:t>
      </w:r>
      <w:r w:rsidR="00586EE4" w:rsidRPr="008D632B">
        <w:rPr>
          <w:rFonts w:ascii="Verdana" w:hAnsi="Verdana"/>
          <w:sz w:val="20"/>
          <w:szCs w:val="20"/>
          <w:lang w:val="es-CR"/>
        </w:rPr>
        <w:t xml:space="preserve"> alejada</w:t>
      </w:r>
      <w:r w:rsidR="003C296E" w:rsidRPr="008D632B">
        <w:rPr>
          <w:rFonts w:ascii="Verdana" w:hAnsi="Verdana"/>
          <w:sz w:val="20"/>
          <w:szCs w:val="20"/>
          <w:lang w:val="es-CR"/>
        </w:rPr>
        <w:t xml:space="preserve"> de la génesis y objetivos perseguidos por </w:t>
      </w:r>
      <w:r w:rsidR="00586EE4" w:rsidRPr="008D632B">
        <w:rPr>
          <w:rFonts w:ascii="Verdana" w:hAnsi="Verdana"/>
          <w:sz w:val="20"/>
          <w:szCs w:val="20"/>
          <w:lang w:val="es-CR"/>
        </w:rPr>
        <w:t>el principio de complementariedad</w:t>
      </w:r>
      <w:r w:rsidR="00B87F9B" w:rsidRPr="008D632B">
        <w:rPr>
          <w:rFonts w:ascii="Verdana" w:hAnsi="Verdana"/>
          <w:sz w:val="20"/>
          <w:szCs w:val="20"/>
          <w:lang w:val="es-CR"/>
        </w:rPr>
        <w:t xml:space="preserve"> o subsidiariedad</w:t>
      </w:r>
      <w:r w:rsidR="00586EE4" w:rsidRPr="008D632B">
        <w:rPr>
          <w:rFonts w:ascii="Verdana" w:hAnsi="Verdana"/>
          <w:sz w:val="20"/>
          <w:szCs w:val="20"/>
          <w:lang w:val="es-CR"/>
        </w:rPr>
        <w:t xml:space="preserve"> en materia de reparaciones</w:t>
      </w:r>
      <w:r w:rsidR="00B87F9B" w:rsidRPr="008D632B">
        <w:rPr>
          <w:rFonts w:ascii="Verdana" w:hAnsi="Verdana"/>
          <w:sz w:val="20"/>
          <w:szCs w:val="20"/>
          <w:lang w:val="es-CR"/>
        </w:rPr>
        <w:t xml:space="preserve">. </w:t>
      </w:r>
      <w:r w:rsidR="00CD6C22" w:rsidRPr="008D632B">
        <w:rPr>
          <w:rFonts w:ascii="Verdana" w:hAnsi="Verdana"/>
          <w:sz w:val="20"/>
          <w:szCs w:val="20"/>
          <w:lang w:val="es-CR"/>
        </w:rPr>
        <w:t>Al margen de las anteriores consideraciones,</w:t>
      </w:r>
      <w:r w:rsidR="00B87F9B" w:rsidRPr="008D632B">
        <w:rPr>
          <w:rFonts w:ascii="Verdana" w:hAnsi="Verdana"/>
          <w:sz w:val="20"/>
          <w:szCs w:val="20"/>
          <w:lang w:val="es-CR"/>
        </w:rPr>
        <w:t xml:space="preserve"> </w:t>
      </w:r>
      <w:r w:rsidR="005945CE" w:rsidRPr="008D632B">
        <w:rPr>
          <w:rFonts w:ascii="Verdana" w:hAnsi="Verdana"/>
          <w:sz w:val="20"/>
          <w:szCs w:val="20"/>
          <w:lang w:val="es-CR"/>
        </w:rPr>
        <w:t xml:space="preserve">el argumento de la sentencia es simple y lineal: </w:t>
      </w:r>
      <w:r w:rsidR="00B87F9B" w:rsidRPr="008D632B">
        <w:rPr>
          <w:rFonts w:ascii="Verdana" w:hAnsi="Verdana"/>
          <w:sz w:val="20"/>
          <w:szCs w:val="20"/>
          <w:lang w:val="es-CR"/>
        </w:rPr>
        <w:t>se</w:t>
      </w:r>
      <w:r w:rsidR="00586EE4" w:rsidRPr="008D632B">
        <w:rPr>
          <w:rFonts w:ascii="Verdana" w:hAnsi="Verdana"/>
          <w:sz w:val="20"/>
          <w:szCs w:val="20"/>
          <w:lang w:val="es-CR"/>
        </w:rPr>
        <w:t xml:space="preserve"> advirtió la existencia de una violación de derechos humanos protegidos a nivel internacional</w:t>
      </w:r>
      <w:r w:rsidR="00B87F9B" w:rsidRPr="008D632B">
        <w:rPr>
          <w:rFonts w:ascii="Verdana" w:hAnsi="Verdana"/>
          <w:sz w:val="20"/>
          <w:szCs w:val="20"/>
          <w:lang w:val="es-CR"/>
        </w:rPr>
        <w:t xml:space="preserve"> (el derecho a las garantías judiciales y la protección judicial)</w:t>
      </w:r>
      <w:r w:rsidR="00586EE4" w:rsidRPr="008D632B">
        <w:rPr>
          <w:rFonts w:ascii="Verdana" w:hAnsi="Verdana"/>
          <w:sz w:val="20"/>
          <w:szCs w:val="20"/>
          <w:lang w:val="es-CR"/>
        </w:rPr>
        <w:t xml:space="preserve"> y procedió a fijar una reparación autónoma</w:t>
      </w:r>
      <w:r w:rsidR="00B87F9B" w:rsidRPr="008D632B">
        <w:rPr>
          <w:rFonts w:ascii="Verdana" w:hAnsi="Verdana"/>
          <w:sz w:val="20"/>
          <w:szCs w:val="20"/>
          <w:lang w:val="es-CR"/>
        </w:rPr>
        <w:t xml:space="preserve"> (una cantidad fija de dinero). Este ejercicio se hizo</w:t>
      </w:r>
      <w:r w:rsidR="00586EE4" w:rsidRPr="008D632B">
        <w:rPr>
          <w:rFonts w:ascii="Verdana" w:hAnsi="Verdana"/>
          <w:sz w:val="20"/>
          <w:szCs w:val="20"/>
          <w:lang w:val="es-CR"/>
        </w:rPr>
        <w:t xml:space="preserve"> con independencia del mecanismo interno de reparación o de aquellas reparaciones que ya hubieran sido otorgadas</w:t>
      </w:r>
      <w:r w:rsidR="00B87F9B" w:rsidRPr="008D632B">
        <w:rPr>
          <w:rFonts w:ascii="Verdana" w:hAnsi="Verdana"/>
          <w:sz w:val="20"/>
          <w:szCs w:val="20"/>
          <w:lang w:val="es-CR"/>
        </w:rPr>
        <w:t xml:space="preserve"> a nivel administrativo</w:t>
      </w:r>
      <w:r w:rsidR="005945CE" w:rsidRPr="008D632B">
        <w:rPr>
          <w:rFonts w:ascii="Verdana" w:hAnsi="Verdana"/>
          <w:sz w:val="20"/>
          <w:szCs w:val="20"/>
          <w:lang w:val="es-CR"/>
        </w:rPr>
        <w:t>, como habría requerido un análisis que tomara en cuenta la subsidiariedad</w:t>
      </w:r>
      <w:r w:rsidR="00586EE4" w:rsidRPr="008D632B">
        <w:rPr>
          <w:rFonts w:ascii="Verdana" w:hAnsi="Verdana"/>
          <w:sz w:val="20"/>
          <w:szCs w:val="20"/>
          <w:lang w:val="es-CR"/>
        </w:rPr>
        <w:t>.</w:t>
      </w:r>
      <w:r w:rsidR="003C296E" w:rsidRPr="008D632B">
        <w:rPr>
          <w:rFonts w:ascii="Verdana" w:hAnsi="Verdana"/>
          <w:sz w:val="20"/>
          <w:szCs w:val="20"/>
          <w:lang w:val="es-CR"/>
        </w:rPr>
        <w:t xml:space="preserve"> </w:t>
      </w:r>
    </w:p>
    <w:p w14:paraId="1B3FCD52" w14:textId="77777777" w:rsidR="00586EE4" w:rsidRPr="008D632B" w:rsidRDefault="00586EE4" w:rsidP="00586EE4">
      <w:pPr>
        <w:rPr>
          <w:rFonts w:ascii="Verdana" w:hAnsi="Verdana"/>
          <w:lang w:val="es-CR"/>
        </w:rPr>
      </w:pPr>
    </w:p>
    <w:p w14:paraId="79B47D01" w14:textId="77777777" w:rsidR="00E86035" w:rsidRPr="008D632B" w:rsidRDefault="00586EE4" w:rsidP="004475DC">
      <w:pPr>
        <w:pStyle w:val="ListParagraph"/>
        <w:numPr>
          <w:ilvl w:val="0"/>
          <w:numId w:val="10"/>
        </w:numPr>
        <w:ind w:left="0" w:firstLine="0"/>
        <w:jc w:val="both"/>
        <w:rPr>
          <w:rFonts w:ascii="Verdana" w:hAnsi="Verdana"/>
          <w:sz w:val="20"/>
          <w:szCs w:val="20"/>
          <w:lang w:val="es-CR"/>
        </w:rPr>
      </w:pPr>
      <w:r w:rsidRPr="008D632B">
        <w:rPr>
          <w:rFonts w:ascii="Verdana" w:hAnsi="Verdana"/>
          <w:sz w:val="20"/>
          <w:szCs w:val="20"/>
          <w:lang w:val="es-CR"/>
        </w:rPr>
        <w:t xml:space="preserve">De lo anterior no se debe desprender mi desacuerdo con la medida de reparación fijada, pues en efecto este caso tenía algunos elementos que permitirían concluir que convenía fijar una reparación autónoma para las víctimas </w:t>
      </w:r>
      <w:r w:rsidR="00B87F9B" w:rsidRPr="008D632B">
        <w:rPr>
          <w:rFonts w:ascii="Verdana" w:hAnsi="Verdana"/>
          <w:sz w:val="20"/>
          <w:szCs w:val="20"/>
          <w:lang w:val="es-CR"/>
        </w:rPr>
        <w:t>(el tipo de delitos cometidos y los problemas pr</w:t>
      </w:r>
      <w:r w:rsidR="006F796A" w:rsidRPr="008D632B">
        <w:rPr>
          <w:rFonts w:ascii="Verdana" w:hAnsi="Verdana"/>
          <w:sz w:val="20"/>
          <w:szCs w:val="20"/>
          <w:lang w:val="es-CR"/>
        </w:rPr>
        <w:t xml:space="preserve">ácticos de </w:t>
      </w:r>
      <w:r w:rsidR="00EB3D3C" w:rsidRPr="008D632B">
        <w:rPr>
          <w:rFonts w:ascii="Verdana" w:hAnsi="Verdana"/>
          <w:sz w:val="20"/>
          <w:szCs w:val="20"/>
          <w:lang w:val="es-CR"/>
        </w:rPr>
        <w:t>remitir a la jurisdicción interna para que resolviera sobre una nueva acción civil</w:t>
      </w:r>
      <w:r w:rsidR="006F796A" w:rsidRPr="008D632B">
        <w:rPr>
          <w:rFonts w:ascii="Verdana" w:hAnsi="Verdana"/>
          <w:sz w:val="20"/>
          <w:szCs w:val="20"/>
          <w:lang w:val="es-CR"/>
        </w:rPr>
        <w:t>)</w:t>
      </w:r>
      <w:r w:rsidRPr="008D632B">
        <w:rPr>
          <w:rFonts w:ascii="Verdana" w:hAnsi="Verdana"/>
          <w:sz w:val="20"/>
          <w:szCs w:val="20"/>
          <w:lang w:val="es-CR"/>
        </w:rPr>
        <w:t>. La reflexión que expongo</w:t>
      </w:r>
      <w:r w:rsidR="006F796A" w:rsidRPr="008D632B">
        <w:rPr>
          <w:rFonts w:ascii="Verdana" w:hAnsi="Verdana"/>
          <w:sz w:val="20"/>
          <w:szCs w:val="20"/>
          <w:lang w:val="es-CR"/>
        </w:rPr>
        <w:t xml:space="preserve"> –y esta es la segunda cuestión que </w:t>
      </w:r>
      <w:r w:rsidR="00CD6C22" w:rsidRPr="008D632B">
        <w:rPr>
          <w:rFonts w:ascii="Verdana" w:hAnsi="Verdana"/>
          <w:sz w:val="20"/>
          <w:szCs w:val="20"/>
          <w:lang w:val="es-CR"/>
        </w:rPr>
        <w:t>quiero destacar</w:t>
      </w:r>
      <w:r w:rsidR="006F796A" w:rsidRPr="008D632B">
        <w:rPr>
          <w:rFonts w:ascii="Verdana" w:hAnsi="Verdana"/>
          <w:sz w:val="20"/>
          <w:szCs w:val="20"/>
          <w:lang w:val="es-CR"/>
        </w:rPr>
        <w:t>-</w:t>
      </w:r>
      <w:r w:rsidRPr="008D632B">
        <w:rPr>
          <w:rFonts w:ascii="Verdana" w:hAnsi="Verdana"/>
          <w:sz w:val="20"/>
          <w:szCs w:val="20"/>
          <w:lang w:val="es-CR"/>
        </w:rPr>
        <w:t xml:space="preserve"> se dirige al uso inadecuado de la lógica y el contenido del principio de complementariedad en la Sentencia. Este principio tiene </w:t>
      </w:r>
      <w:r w:rsidR="00F63D4B" w:rsidRPr="008D632B">
        <w:rPr>
          <w:rFonts w:ascii="Verdana" w:hAnsi="Verdana"/>
          <w:sz w:val="20"/>
          <w:szCs w:val="20"/>
          <w:lang w:val="es-CR"/>
        </w:rPr>
        <w:t xml:space="preserve">como sustento la noción de que el cumplimiento de las obligaciones internacionales </w:t>
      </w:r>
      <w:r w:rsidR="00CD6C22" w:rsidRPr="008D632B">
        <w:rPr>
          <w:rFonts w:ascii="Verdana" w:hAnsi="Verdana"/>
          <w:sz w:val="20"/>
          <w:szCs w:val="20"/>
          <w:lang w:val="es-CR"/>
        </w:rPr>
        <w:t>-</w:t>
      </w:r>
      <w:r w:rsidR="00F63D4B" w:rsidRPr="008D632B">
        <w:rPr>
          <w:rFonts w:ascii="Verdana" w:hAnsi="Verdana"/>
          <w:sz w:val="20"/>
          <w:szCs w:val="20"/>
          <w:lang w:val="es-CR"/>
        </w:rPr>
        <w:t>incluidas las medidas de reparación- sean garantizadas por el actuar cooperativo de la jurisdicción nacional y la internacional</w:t>
      </w:r>
      <w:r w:rsidR="006F796A" w:rsidRPr="008D632B">
        <w:rPr>
          <w:rFonts w:ascii="Verdana" w:hAnsi="Verdana"/>
          <w:sz w:val="20"/>
          <w:szCs w:val="20"/>
          <w:lang w:val="es-CR"/>
        </w:rPr>
        <w:t xml:space="preserve">, en el entendido de que el </w:t>
      </w:r>
      <w:r w:rsidR="006F796A" w:rsidRPr="008D632B">
        <w:rPr>
          <w:rFonts w:ascii="Verdana" w:hAnsi="Verdana"/>
          <w:sz w:val="20"/>
          <w:szCs w:val="20"/>
          <w:lang w:val="es-CR"/>
        </w:rPr>
        <w:lastRenderedPageBreak/>
        <w:t>Estado es el principal garante de los derechos de las personas</w:t>
      </w:r>
      <w:r w:rsidR="00F63D4B" w:rsidRPr="008D632B">
        <w:rPr>
          <w:rFonts w:ascii="Verdana" w:hAnsi="Verdana"/>
          <w:sz w:val="20"/>
          <w:szCs w:val="20"/>
          <w:lang w:val="es-CR"/>
        </w:rPr>
        <w:t xml:space="preserve">. Esto implica </w:t>
      </w:r>
      <w:r w:rsidR="006F796A" w:rsidRPr="008D632B">
        <w:rPr>
          <w:rFonts w:ascii="Verdana" w:hAnsi="Verdana"/>
          <w:sz w:val="20"/>
          <w:szCs w:val="20"/>
          <w:lang w:val="es-CR"/>
        </w:rPr>
        <w:t>que la Corte tenga</w:t>
      </w:r>
      <w:r w:rsidR="00F63D4B" w:rsidRPr="008D632B">
        <w:rPr>
          <w:rFonts w:ascii="Verdana" w:hAnsi="Verdana"/>
          <w:sz w:val="20"/>
          <w:szCs w:val="20"/>
          <w:lang w:val="es-CR"/>
        </w:rPr>
        <w:t xml:space="preserve"> </w:t>
      </w:r>
      <w:r w:rsidR="00E86035" w:rsidRPr="008D632B">
        <w:rPr>
          <w:rFonts w:ascii="Verdana" w:hAnsi="Verdana"/>
          <w:sz w:val="20"/>
          <w:szCs w:val="20"/>
          <w:lang w:val="es-CR"/>
        </w:rPr>
        <w:t xml:space="preserve">una relación dialógica y </w:t>
      </w:r>
      <w:r w:rsidR="006F796A" w:rsidRPr="008D632B">
        <w:rPr>
          <w:rFonts w:ascii="Verdana" w:hAnsi="Verdana"/>
          <w:sz w:val="20"/>
          <w:szCs w:val="20"/>
          <w:lang w:val="es-CR"/>
        </w:rPr>
        <w:t>más cercana con el derecho y las instituciones estatales cuando esta</w:t>
      </w:r>
      <w:r w:rsidR="00E86035" w:rsidRPr="008D632B">
        <w:rPr>
          <w:rFonts w:ascii="Verdana" w:hAnsi="Verdana"/>
          <w:sz w:val="20"/>
          <w:szCs w:val="20"/>
          <w:lang w:val="es-CR"/>
        </w:rPr>
        <w:t>s adoptan medidas para reparar a las víctimas</w:t>
      </w:r>
      <w:r w:rsidR="00F63D4B" w:rsidRPr="008D632B">
        <w:rPr>
          <w:rFonts w:ascii="Verdana" w:hAnsi="Verdana"/>
          <w:sz w:val="20"/>
          <w:szCs w:val="20"/>
          <w:lang w:val="es-CR"/>
        </w:rPr>
        <w:t xml:space="preserve">, y </w:t>
      </w:r>
      <w:r w:rsidR="00E86035" w:rsidRPr="008D632B">
        <w:rPr>
          <w:rFonts w:ascii="Verdana" w:hAnsi="Verdana"/>
          <w:sz w:val="20"/>
          <w:szCs w:val="20"/>
          <w:lang w:val="es-CR"/>
        </w:rPr>
        <w:t xml:space="preserve">por lo tanto </w:t>
      </w:r>
      <w:r w:rsidR="00F63D4B" w:rsidRPr="008D632B">
        <w:rPr>
          <w:rFonts w:ascii="Verdana" w:hAnsi="Verdana"/>
          <w:sz w:val="20"/>
          <w:szCs w:val="20"/>
          <w:lang w:val="es-CR"/>
        </w:rPr>
        <w:t xml:space="preserve">aceptar que en determinadas circunstancias la Corte debe limitar el ejercicio de sus competencias </w:t>
      </w:r>
      <w:r w:rsidR="00E86035" w:rsidRPr="008D632B">
        <w:rPr>
          <w:rFonts w:ascii="Verdana" w:hAnsi="Verdana"/>
          <w:sz w:val="20"/>
          <w:szCs w:val="20"/>
          <w:lang w:val="es-CR"/>
        </w:rPr>
        <w:t>al momento de fijar medidas de reparación</w:t>
      </w:r>
      <w:r w:rsidR="00F63D4B" w:rsidRPr="008D632B">
        <w:rPr>
          <w:rFonts w:ascii="Verdana" w:hAnsi="Verdana"/>
          <w:sz w:val="20"/>
          <w:szCs w:val="20"/>
          <w:lang w:val="es-CR"/>
        </w:rPr>
        <w:t>. Este caso no sigue esta lógica</w:t>
      </w:r>
      <w:r w:rsidR="00E86035" w:rsidRPr="008D632B">
        <w:rPr>
          <w:rFonts w:ascii="Verdana" w:hAnsi="Verdana"/>
          <w:sz w:val="20"/>
          <w:szCs w:val="20"/>
          <w:lang w:val="es-CR"/>
        </w:rPr>
        <w:t>. P</w:t>
      </w:r>
      <w:r w:rsidR="00F63D4B" w:rsidRPr="008D632B">
        <w:rPr>
          <w:rFonts w:ascii="Verdana" w:hAnsi="Verdana"/>
          <w:sz w:val="20"/>
          <w:szCs w:val="20"/>
          <w:lang w:val="es-CR"/>
        </w:rPr>
        <w:t>or el contrario</w:t>
      </w:r>
      <w:r w:rsidR="00E86035" w:rsidRPr="008D632B">
        <w:rPr>
          <w:rFonts w:ascii="Verdana" w:hAnsi="Verdana"/>
          <w:sz w:val="20"/>
          <w:szCs w:val="20"/>
          <w:lang w:val="es-CR"/>
        </w:rPr>
        <w:t>, la Corte</w:t>
      </w:r>
      <w:r w:rsidR="00F63D4B" w:rsidRPr="008D632B">
        <w:rPr>
          <w:rFonts w:ascii="Verdana" w:hAnsi="Verdana"/>
          <w:sz w:val="20"/>
          <w:szCs w:val="20"/>
          <w:lang w:val="es-CR"/>
        </w:rPr>
        <w:t xml:space="preserve"> asumió una posición vertical en la determinación de las obligaciones del Estado a la luz de la Convenci</w:t>
      </w:r>
      <w:r w:rsidR="00E86035" w:rsidRPr="008D632B">
        <w:rPr>
          <w:rFonts w:ascii="Verdana" w:hAnsi="Verdana"/>
          <w:sz w:val="20"/>
          <w:szCs w:val="20"/>
          <w:lang w:val="es-CR"/>
        </w:rPr>
        <w:t>ón</w:t>
      </w:r>
      <w:r w:rsidR="001B2EC1" w:rsidRPr="008D632B">
        <w:rPr>
          <w:rFonts w:ascii="Verdana" w:hAnsi="Verdana"/>
          <w:sz w:val="20"/>
          <w:szCs w:val="20"/>
          <w:lang w:val="es-CR"/>
        </w:rPr>
        <w:t xml:space="preserve"> sin tomar en cuenta</w:t>
      </w:r>
      <w:r w:rsidR="00E07E0F" w:rsidRPr="008D632B">
        <w:rPr>
          <w:rFonts w:ascii="Verdana" w:hAnsi="Verdana"/>
          <w:sz w:val="20"/>
          <w:szCs w:val="20"/>
          <w:lang w:val="es-CR"/>
        </w:rPr>
        <w:t xml:space="preserve">, esto es, incorporar en su argumentación </w:t>
      </w:r>
      <w:r w:rsidR="001B2EC1" w:rsidRPr="008D632B">
        <w:rPr>
          <w:rFonts w:ascii="Verdana" w:hAnsi="Verdana"/>
          <w:sz w:val="20"/>
          <w:szCs w:val="20"/>
          <w:lang w:val="es-CR"/>
        </w:rPr>
        <w:t>los esfuerzos del Estado</w:t>
      </w:r>
      <w:r w:rsidR="00E86035" w:rsidRPr="008D632B">
        <w:rPr>
          <w:rFonts w:ascii="Verdana" w:hAnsi="Verdana"/>
          <w:sz w:val="20"/>
          <w:szCs w:val="20"/>
          <w:lang w:val="es-CR"/>
        </w:rPr>
        <w:t>.</w:t>
      </w:r>
    </w:p>
    <w:p w14:paraId="1C2C94BD" w14:textId="77777777" w:rsidR="00E86035" w:rsidRPr="008D632B" w:rsidRDefault="00E86035" w:rsidP="00E86035">
      <w:pPr>
        <w:pStyle w:val="ListParagraph"/>
        <w:rPr>
          <w:rFonts w:ascii="Verdana" w:hAnsi="Verdana"/>
          <w:sz w:val="20"/>
          <w:szCs w:val="20"/>
          <w:lang w:val="es-CR"/>
        </w:rPr>
      </w:pPr>
    </w:p>
    <w:p w14:paraId="7552D66C" w14:textId="660314E0" w:rsidR="00E07E0F" w:rsidRPr="008D632B" w:rsidRDefault="00E86035" w:rsidP="00A2324A">
      <w:pPr>
        <w:pStyle w:val="ListParagraph"/>
        <w:numPr>
          <w:ilvl w:val="0"/>
          <w:numId w:val="10"/>
        </w:numPr>
        <w:ind w:left="0" w:firstLine="0"/>
        <w:jc w:val="both"/>
        <w:rPr>
          <w:rFonts w:ascii="Verdana" w:hAnsi="Verdana"/>
          <w:sz w:val="20"/>
          <w:szCs w:val="20"/>
          <w:lang w:val="es-CR"/>
        </w:rPr>
      </w:pPr>
      <w:r w:rsidRPr="008D632B">
        <w:rPr>
          <w:rFonts w:ascii="Verdana" w:hAnsi="Verdana"/>
          <w:sz w:val="20"/>
          <w:szCs w:val="20"/>
          <w:lang w:val="es-CR"/>
        </w:rPr>
        <w:t>La referencia al</w:t>
      </w:r>
      <w:r w:rsidR="00F63D4B" w:rsidRPr="008D632B">
        <w:rPr>
          <w:rFonts w:ascii="Verdana" w:hAnsi="Verdana"/>
          <w:sz w:val="20"/>
          <w:szCs w:val="20"/>
          <w:lang w:val="es-CR"/>
        </w:rPr>
        <w:t xml:space="preserve"> principio de complementariedad</w:t>
      </w:r>
      <w:r w:rsidRPr="008D632B">
        <w:rPr>
          <w:rFonts w:ascii="Verdana" w:hAnsi="Verdana"/>
          <w:sz w:val="20"/>
          <w:szCs w:val="20"/>
          <w:lang w:val="es-CR"/>
        </w:rPr>
        <w:t xml:space="preserve"> o subsidiariedad</w:t>
      </w:r>
      <w:r w:rsidR="00F63D4B" w:rsidRPr="008D632B">
        <w:rPr>
          <w:rFonts w:ascii="Verdana" w:hAnsi="Verdana"/>
          <w:sz w:val="20"/>
          <w:szCs w:val="20"/>
          <w:lang w:val="es-CR"/>
        </w:rPr>
        <w:t xml:space="preserve"> fue</w:t>
      </w:r>
      <w:r w:rsidRPr="008D632B">
        <w:rPr>
          <w:rFonts w:ascii="Verdana" w:hAnsi="Verdana"/>
          <w:sz w:val="20"/>
          <w:szCs w:val="20"/>
          <w:lang w:val="es-CR"/>
        </w:rPr>
        <w:t xml:space="preserve"> por lo tanto </w:t>
      </w:r>
      <w:r w:rsidR="003363AB" w:rsidRPr="008D632B">
        <w:rPr>
          <w:rFonts w:ascii="Verdana" w:hAnsi="Verdana"/>
          <w:sz w:val="20"/>
          <w:szCs w:val="20"/>
          <w:lang w:val="es-CR"/>
        </w:rPr>
        <w:t>innecesaria</w:t>
      </w:r>
      <w:r w:rsidR="00F63D4B" w:rsidRPr="008D632B">
        <w:rPr>
          <w:rFonts w:ascii="Verdana" w:hAnsi="Verdana"/>
          <w:sz w:val="20"/>
          <w:szCs w:val="20"/>
          <w:lang w:val="es-CR"/>
        </w:rPr>
        <w:t>, además de t</w:t>
      </w:r>
      <w:r w:rsidRPr="008D632B">
        <w:rPr>
          <w:rFonts w:ascii="Verdana" w:hAnsi="Verdana"/>
          <w:sz w:val="20"/>
          <w:szCs w:val="20"/>
          <w:lang w:val="es-CR"/>
        </w:rPr>
        <w:t>écnicamente incorrecta</w:t>
      </w:r>
      <w:r w:rsidR="00F63D4B" w:rsidRPr="008D632B">
        <w:rPr>
          <w:rFonts w:ascii="Verdana" w:hAnsi="Verdana"/>
          <w:sz w:val="20"/>
          <w:szCs w:val="20"/>
          <w:lang w:val="es-CR"/>
        </w:rPr>
        <w:t>.</w:t>
      </w:r>
      <w:r w:rsidRPr="008D632B">
        <w:rPr>
          <w:rFonts w:ascii="Verdana" w:hAnsi="Verdana"/>
          <w:sz w:val="20"/>
          <w:szCs w:val="20"/>
          <w:lang w:val="es-CR"/>
        </w:rPr>
        <w:t xml:space="preserve"> Si la Corte </w:t>
      </w:r>
      <w:r w:rsidR="00EB3D3C" w:rsidRPr="008D632B">
        <w:rPr>
          <w:rFonts w:ascii="Verdana" w:hAnsi="Verdana"/>
          <w:sz w:val="20"/>
          <w:szCs w:val="20"/>
          <w:lang w:val="es-CR"/>
        </w:rPr>
        <w:t>iba a optar</w:t>
      </w:r>
      <w:r w:rsidRPr="008D632B">
        <w:rPr>
          <w:rFonts w:ascii="Verdana" w:hAnsi="Verdana"/>
          <w:sz w:val="20"/>
          <w:szCs w:val="20"/>
          <w:lang w:val="es-CR"/>
        </w:rPr>
        <w:t xml:space="preserve"> por la vía de la subsidiariedad, debió tomar en serio el requisito del Estado de interpretar el deber de </w:t>
      </w:r>
      <w:r w:rsidR="00524C47" w:rsidRPr="008D632B">
        <w:rPr>
          <w:rFonts w:ascii="Verdana" w:hAnsi="Verdana"/>
          <w:sz w:val="20"/>
          <w:szCs w:val="20"/>
          <w:lang w:val="es-CR"/>
        </w:rPr>
        <w:t>pagar reparaciones</w:t>
      </w:r>
      <w:r w:rsidRPr="008D632B">
        <w:rPr>
          <w:rFonts w:ascii="Verdana" w:hAnsi="Verdana"/>
          <w:sz w:val="20"/>
          <w:szCs w:val="20"/>
          <w:lang w:val="es-CR"/>
        </w:rPr>
        <w:t xml:space="preserve"> a la luz del mecanism</w:t>
      </w:r>
      <w:r w:rsidR="00524C47" w:rsidRPr="008D632B">
        <w:rPr>
          <w:rFonts w:ascii="Verdana" w:hAnsi="Verdana"/>
          <w:sz w:val="20"/>
          <w:szCs w:val="20"/>
          <w:lang w:val="es-CR"/>
        </w:rPr>
        <w:t xml:space="preserve">o de reparación desarrollado en virtud de la Ley No. 19.123. Esta evaluación habría permitido a la Corte </w:t>
      </w:r>
      <w:r w:rsidR="006F796A" w:rsidRPr="008D632B">
        <w:rPr>
          <w:rFonts w:ascii="Verdana" w:hAnsi="Verdana"/>
          <w:sz w:val="20"/>
          <w:szCs w:val="20"/>
          <w:lang w:val="es-CR"/>
        </w:rPr>
        <w:t>determinar</w:t>
      </w:r>
      <w:r w:rsidR="00524C47" w:rsidRPr="008D632B">
        <w:rPr>
          <w:rFonts w:ascii="Verdana" w:hAnsi="Verdana"/>
          <w:sz w:val="20"/>
          <w:szCs w:val="20"/>
          <w:lang w:val="es-CR"/>
        </w:rPr>
        <w:t xml:space="preserve"> si las acciones del Estado habían sido suficientes en términos de los estándares internacionales, o en su caso tomarlas en consideración para fijar las reparaciones correspondientes en el ámbito internacional. Es importante que cuando la Corte haga referencia a este principio, le dé las implicaciones normativas pertinentes. El principio de complementariedad o subsidiariedad tiene una naturaleza estructural, lo que significa que informa transversalmente todas sus normas procesales y sustantivas</w:t>
      </w:r>
      <w:r w:rsidR="001B2EC1" w:rsidRPr="008D632B">
        <w:rPr>
          <w:rFonts w:ascii="Verdana" w:hAnsi="Verdana"/>
          <w:sz w:val="20"/>
          <w:szCs w:val="20"/>
          <w:lang w:val="es-CR"/>
        </w:rPr>
        <w:t>, incluyendo aquellas normas que disponen su competencia</w:t>
      </w:r>
      <w:r w:rsidR="00524C47" w:rsidRPr="008D632B">
        <w:rPr>
          <w:rFonts w:ascii="Verdana" w:hAnsi="Verdana"/>
          <w:sz w:val="20"/>
          <w:szCs w:val="20"/>
          <w:lang w:val="es-CR"/>
        </w:rPr>
        <w:t xml:space="preserve">. </w:t>
      </w:r>
      <w:r w:rsidR="001B2EC1" w:rsidRPr="008D632B">
        <w:rPr>
          <w:rFonts w:ascii="Verdana" w:hAnsi="Verdana"/>
          <w:sz w:val="20"/>
          <w:szCs w:val="20"/>
          <w:lang w:val="es-CR"/>
        </w:rPr>
        <w:t>Reconocer dicho peso normativo debe verse reflejado en el análisis de las sentencias</w:t>
      </w:r>
      <w:r w:rsidR="00524C47" w:rsidRPr="008D632B">
        <w:rPr>
          <w:rFonts w:ascii="Verdana" w:hAnsi="Verdana"/>
          <w:sz w:val="20"/>
          <w:szCs w:val="20"/>
          <w:lang w:val="es-CR"/>
        </w:rPr>
        <w:t>.</w:t>
      </w:r>
      <w:r w:rsidR="006F796A" w:rsidRPr="008D632B">
        <w:rPr>
          <w:rFonts w:ascii="Verdana" w:hAnsi="Verdana"/>
          <w:sz w:val="20"/>
          <w:szCs w:val="20"/>
          <w:lang w:val="es-CR"/>
        </w:rPr>
        <w:t xml:space="preserve"> </w:t>
      </w:r>
    </w:p>
    <w:p w14:paraId="1F44D2F5" w14:textId="77777777" w:rsidR="00F81A87" w:rsidRPr="008D632B" w:rsidRDefault="00F81A87" w:rsidP="00F81A87">
      <w:pPr>
        <w:pStyle w:val="ListParagraph"/>
        <w:ind w:left="0"/>
        <w:jc w:val="both"/>
        <w:rPr>
          <w:rFonts w:ascii="Verdana" w:hAnsi="Verdana"/>
          <w:sz w:val="20"/>
          <w:szCs w:val="20"/>
          <w:lang w:val="es-CR"/>
        </w:rPr>
      </w:pPr>
    </w:p>
    <w:p w14:paraId="05F8DD2E" w14:textId="77777777" w:rsidR="004475DC" w:rsidRPr="008D632B" w:rsidRDefault="004475DC" w:rsidP="0089740C">
      <w:pPr>
        <w:jc w:val="both"/>
        <w:rPr>
          <w:rFonts w:ascii="Verdana" w:hAnsi="Verdana"/>
        </w:rPr>
      </w:pPr>
    </w:p>
    <w:p w14:paraId="3749EF93" w14:textId="08B105AF" w:rsidR="006D7A6C" w:rsidRPr="008D632B" w:rsidRDefault="00E07E0F" w:rsidP="004475DC">
      <w:pPr>
        <w:jc w:val="both"/>
        <w:rPr>
          <w:rFonts w:ascii="Verdana" w:hAnsi="Verdana"/>
          <w:b/>
          <w:i/>
        </w:rPr>
      </w:pPr>
      <w:r w:rsidRPr="008D632B">
        <w:rPr>
          <w:rFonts w:ascii="Verdana" w:hAnsi="Verdana"/>
          <w:b/>
          <w:i/>
        </w:rPr>
        <w:t>(iii)</w:t>
      </w:r>
      <w:r w:rsidR="000F568D" w:rsidRPr="008D632B">
        <w:rPr>
          <w:rFonts w:ascii="Verdana" w:hAnsi="Verdana"/>
          <w:i/>
        </w:rPr>
        <w:t xml:space="preserve"> </w:t>
      </w:r>
      <w:r w:rsidR="000F568D" w:rsidRPr="008D632B">
        <w:rPr>
          <w:rFonts w:ascii="Verdana" w:hAnsi="Verdana"/>
          <w:b/>
        </w:rPr>
        <w:t>El control de convencionalidad, carácter dialógico y los inconvenientes de utilizarlo como medida de reparación.</w:t>
      </w:r>
    </w:p>
    <w:p w14:paraId="0F635D62" w14:textId="72022A93" w:rsidR="006D016D" w:rsidRPr="008D632B" w:rsidRDefault="006D016D" w:rsidP="004475DC">
      <w:pPr>
        <w:jc w:val="both"/>
        <w:rPr>
          <w:rFonts w:ascii="Verdana" w:hAnsi="Verdana"/>
          <w:b/>
          <w:i/>
        </w:rPr>
      </w:pPr>
    </w:p>
    <w:p w14:paraId="2A78A748" w14:textId="70EE2C5B" w:rsidR="001C4CB6" w:rsidRPr="008D632B" w:rsidRDefault="00D14483" w:rsidP="003C562D">
      <w:pPr>
        <w:pStyle w:val="ListParagraph"/>
        <w:ind w:left="0"/>
        <w:jc w:val="both"/>
        <w:rPr>
          <w:rFonts w:ascii="Verdana" w:hAnsi="Verdana"/>
          <w:b/>
          <w:sz w:val="20"/>
          <w:szCs w:val="20"/>
          <w:lang w:val="es-CR"/>
        </w:rPr>
      </w:pPr>
      <w:r w:rsidRPr="008D632B">
        <w:rPr>
          <w:rFonts w:ascii="Verdana" w:hAnsi="Verdana"/>
          <w:b/>
          <w:sz w:val="20"/>
          <w:szCs w:val="20"/>
          <w:lang w:val="es-CR"/>
        </w:rPr>
        <w:t>La decisión de la Corte</w:t>
      </w:r>
    </w:p>
    <w:p w14:paraId="7C2889D4" w14:textId="3A3C8413" w:rsidR="00C90AC6" w:rsidRPr="008D632B" w:rsidRDefault="00C90AC6" w:rsidP="003C562D">
      <w:pPr>
        <w:pStyle w:val="ListParagraph"/>
        <w:ind w:left="0"/>
        <w:jc w:val="both"/>
        <w:rPr>
          <w:rFonts w:ascii="Verdana" w:hAnsi="Verdana"/>
          <w:b/>
          <w:sz w:val="20"/>
          <w:szCs w:val="20"/>
          <w:lang w:val="es-CR"/>
        </w:rPr>
      </w:pPr>
    </w:p>
    <w:p w14:paraId="44F31C1C" w14:textId="409D7D1C" w:rsidR="00766824" w:rsidRPr="008D632B" w:rsidRDefault="00766824" w:rsidP="008D632B">
      <w:pPr>
        <w:pStyle w:val="ListParagraph"/>
        <w:numPr>
          <w:ilvl w:val="0"/>
          <w:numId w:val="10"/>
        </w:numPr>
        <w:ind w:left="0" w:firstLine="0"/>
        <w:jc w:val="both"/>
        <w:rPr>
          <w:rFonts w:ascii="Verdana" w:hAnsi="Verdana"/>
          <w:sz w:val="20"/>
          <w:szCs w:val="20"/>
        </w:rPr>
      </w:pPr>
      <w:r w:rsidRPr="008D632B">
        <w:rPr>
          <w:rFonts w:ascii="Verdana" w:hAnsi="Verdana"/>
          <w:sz w:val="20"/>
          <w:szCs w:val="20"/>
          <w:lang w:val="es-CR"/>
        </w:rPr>
        <w:t>En el presente caso el</w:t>
      </w:r>
      <w:r w:rsidRPr="008D632B">
        <w:rPr>
          <w:rFonts w:ascii="Verdana" w:hAnsi="Verdana"/>
          <w:sz w:val="20"/>
          <w:szCs w:val="20"/>
          <w:lang w:val="es-CO"/>
        </w:rPr>
        <w:t xml:space="preserve"> Estado chileno reconoció su responsabilidad internacional específicamente por la violación de los derechos a las garantías judiciales y protección judicial reconocidos en los artículos 8.1 y 25 de la Convención, en relación con los artículos 1.1 y 2 de la misma. La base de su allanamiento a las pretensiones de las víctimas y a las conclusiones de la Comisión fue que la naturaleza de tales hechos ha llevado al Estado, con base en el cambio jurisprudencial de su máxima autoridad judicial, a reconocer ante este Tribunal que no es aplicable la prescripción civil a acciones que procuren reparaciones por daños y perjuicios morales ocasionados por hechos calificados como crímenes de lesa humanidad. En efecto, la Segunda Sala de la Corte Suprema de Justicia chilena ha venido declarando la imprescriptibilidad de la acción civil en casos análogos. El Estado afirmó que su Corte Suprema de Justicia, en lo que actualmente considera una posición robusta y consolidada, “ha superado la dicotomía entre derecho interno y derecho externo, conjugando coherentemente ambas fuentes normativas a la luz de las obligaciones internacionales de derechos humanos” (párrs. </w:t>
      </w:r>
      <w:r w:rsidRPr="008D632B">
        <w:rPr>
          <w:rFonts w:ascii="Verdana" w:hAnsi="Verdana"/>
          <w:sz w:val="20"/>
          <w:szCs w:val="20"/>
        </w:rPr>
        <w:t xml:space="preserve">91 a 94). </w:t>
      </w:r>
    </w:p>
    <w:p w14:paraId="3D8A316B" w14:textId="77777777" w:rsidR="00766824" w:rsidRPr="008D632B" w:rsidRDefault="00766824" w:rsidP="00766824">
      <w:pPr>
        <w:pStyle w:val="ListParagraph"/>
        <w:ind w:left="0"/>
        <w:jc w:val="both"/>
        <w:rPr>
          <w:rFonts w:ascii="Verdana" w:hAnsi="Verdana"/>
          <w:sz w:val="20"/>
          <w:szCs w:val="20"/>
        </w:rPr>
      </w:pPr>
    </w:p>
    <w:p w14:paraId="7996A824" w14:textId="1E9D12CD" w:rsidR="00766824" w:rsidRPr="008D632B" w:rsidRDefault="00766824" w:rsidP="008D632B">
      <w:pPr>
        <w:pStyle w:val="ListParagraph"/>
        <w:numPr>
          <w:ilvl w:val="0"/>
          <w:numId w:val="10"/>
        </w:numPr>
        <w:ind w:left="0" w:firstLine="0"/>
        <w:jc w:val="both"/>
        <w:rPr>
          <w:rFonts w:ascii="Verdana" w:hAnsi="Verdana"/>
          <w:sz w:val="20"/>
          <w:szCs w:val="20"/>
          <w:lang w:val="es-CO"/>
        </w:rPr>
      </w:pPr>
      <w:r w:rsidRPr="008D632B">
        <w:rPr>
          <w:rFonts w:ascii="Verdana" w:hAnsi="Verdana"/>
          <w:sz w:val="20"/>
          <w:szCs w:val="20"/>
          <w:lang w:val="es-CO"/>
        </w:rPr>
        <w:t xml:space="preserve">En </w:t>
      </w:r>
      <w:r w:rsidRPr="008D632B">
        <w:rPr>
          <w:rFonts w:ascii="Verdana" w:hAnsi="Verdana"/>
          <w:sz w:val="20"/>
          <w:szCs w:val="20"/>
          <w:lang w:val="es-CR"/>
        </w:rPr>
        <w:t>relación</w:t>
      </w:r>
      <w:r w:rsidR="008D646D">
        <w:rPr>
          <w:rFonts w:ascii="Verdana" w:hAnsi="Verdana"/>
          <w:sz w:val="20"/>
          <w:szCs w:val="20"/>
          <w:lang w:val="es-CO"/>
        </w:rPr>
        <w:t xml:space="preserve"> con el tema relevante de este v</w:t>
      </w:r>
      <w:r w:rsidRPr="008D632B">
        <w:rPr>
          <w:rFonts w:ascii="Verdana" w:hAnsi="Verdana"/>
          <w:sz w:val="20"/>
          <w:szCs w:val="20"/>
          <w:lang w:val="es-CO"/>
        </w:rPr>
        <w:t xml:space="preserve">oto </w:t>
      </w:r>
      <w:r w:rsidR="008D646D">
        <w:rPr>
          <w:rFonts w:ascii="Verdana" w:hAnsi="Verdana"/>
          <w:sz w:val="20"/>
          <w:szCs w:val="20"/>
          <w:lang w:val="es-CO"/>
        </w:rPr>
        <w:t>co</w:t>
      </w:r>
      <w:r w:rsidRPr="008D632B">
        <w:rPr>
          <w:rFonts w:ascii="Verdana" w:hAnsi="Verdana"/>
          <w:sz w:val="20"/>
          <w:szCs w:val="20"/>
          <w:lang w:val="es-CO"/>
        </w:rPr>
        <w:t>ncurrente, interesa destacar que efectivamente la Corte Suprema de Justicia chilena ha variado su jurisprudencia, según señaló el propio Estado, con base –entre otras razones– en: a) la necesidad de los órganos estatales de cumplir con la obligación internacional del Estado de dar reparación integral a las víctimas de graves violaciones, desestimando en general los razonamientos tendientes a no otorgar reparación; y b) que ha establecido una jerarquía normativa bajo la cual las normas legales sólo pueden aplicarse mientras no estén en contradicción con los principios y normas del derecho internacional de los derechos humanos.</w:t>
      </w:r>
    </w:p>
    <w:p w14:paraId="23BD57DA" w14:textId="77777777" w:rsidR="00766824" w:rsidRPr="008D632B" w:rsidRDefault="00766824" w:rsidP="00766824">
      <w:pPr>
        <w:jc w:val="both"/>
        <w:rPr>
          <w:rFonts w:ascii="Verdana" w:hAnsi="Verdana"/>
        </w:rPr>
      </w:pPr>
    </w:p>
    <w:p w14:paraId="31E019E4" w14:textId="77777777" w:rsidR="00766824" w:rsidRPr="008D632B" w:rsidRDefault="00766824" w:rsidP="008D632B">
      <w:pPr>
        <w:pStyle w:val="ListParagraph"/>
        <w:numPr>
          <w:ilvl w:val="0"/>
          <w:numId w:val="10"/>
        </w:numPr>
        <w:ind w:left="0" w:firstLine="0"/>
        <w:jc w:val="both"/>
        <w:rPr>
          <w:rFonts w:ascii="Verdana" w:hAnsi="Verdana"/>
          <w:sz w:val="20"/>
          <w:szCs w:val="20"/>
          <w:lang w:val="es-CO"/>
        </w:rPr>
      </w:pPr>
      <w:r w:rsidRPr="008D632B">
        <w:rPr>
          <w:rFonts w:ascii="Verdana" w:hAnsi="Verdana"/>
          <w:sz w:val="20"/>
          <w:szCs w:val="20"/>
          <w:lang w:val="es-CO"/>
        </w:rPr>
        <w:lastRenderedPageBreak/>
        <w:t xml:space="preserve">Al </w:t>
      </w:r>
      <w:r w:rsidRPr="008D632B">
        <w:rPr>
          <w:rFonts w:ascii="Verdana" w:hAnsi="Verdana"/>
          <w:sz w:val="20"/>
          <w:szCs w:val="20"/>
          <w:lang w:val="es-CR"/>
        </w:rPr>
        <w:t>declarar</w:t>
      </w:r>
      <w:r w:rsidRPr="008D632B">
        <w:rPr>
          <w:rFonts w:ascii="Verdana" w:hAnsi="Verdana"/>
          <w:sz w:val="20"/>
          <w:szCs w:val="20"/>
          <w:lang w:val="es-CO"/>
        </w:rPr>
        <w:t xml:space="preserve"> la violación de los referidos derechos, con base en tal allanamiento, el Tribunal Interamericano consideró que “ciertamente la jurisprudencia de los últimos años de la Corte Suprema de Justicia chilena ha variado notablemente </w:t>
      </w:r>
      <w:r w:rsidRPr="008D632B">
        <w:rPr>
          <w:rFonts w:ascii="Verdana" w:hAnsi="Verdana"/>
          <w:i/>
          <w:sz w:val="20"/>
          <w:szCs w:val="20"/>
          <w:lang w:val="es-CO"/>
        </w:rPr>
        <w:t>hacia una interpretación razonable[, consecuente] y adecuada con su deber de ejercer un efectivo control de convencionalidad</w:t>
      </w:r>
      <w:r w:rsidRPr="008D632B">
        <w:rPr>
          <w:rFonts w:ascii="Verdana" w:hAnsi="Verdana"/>
          <w:sz w:val="20"/>
          <w:szCs w:val="20"/>
          <w:lang w:val="es-CO"/>
        </w:rPr>
        <w:t>. La Corte Interamericana valora positivamente tal cambio jurisprudencial” (párrs. 101 y 131) (énfasis añadido).</w:t>
      </w:r>
    </w:p>
    <w:p w14:paraId="7D4E158B" w14:textId="77777777" w:rsidR="00766824" w:rsidRPr="008D632B" w:rsidRDefault="00766824" w:rsidP="00766824">
      <w:pPr>
        <w:jc w:val="both"/>
        <w:rPr>
          <w:rFonts w:ascii="Verdana" w:hAnsi="Verdana"/>
        </w:rPr>
      </w:pPr>
    </w:p>
    <w:p w14:paraId="379D6DE8" w14:textId="77777777" w:rsidR="00766824" w:rsidRPr="008D632B" w:rsidRDefault="00766824" w:rsidP="008D632B">
      <w:pPr>
        <w:pStyle w:val="ListParagraph"/>
        <w:numPr>
          <w:ilvl w:val="0"/>
          <w:numId w:val="10"/>
        </w:numPr>
        <w:ind w:left="0" w:firstLine="0"/>
        <w:jc w:val="both"/>
        <w:rPr>
          <w:rFonts w:ascii="Verdana" w:hAnsi="Verdana"/>
          <w:sz w:val="20"/>
          <w:szCs w:val="20"/>
        </w:rPr>
      </w:pPr>
      <w:r w:rsidRPr="008D632B">
        <w:rPr>
          <w:rFonts w:ascii="Verdana" w:hAnsi="Verdana"/>
          <w:sz w:val="20"/>
          <w:szCs w:val="20"/>
          <w:lang w:val="es-CR"/>
        </w:rPr>
        <w:t>Además</w:t>
      </w:r>
      <w:r w:rsidRPr="008D632B">
        <w:rPr>
          <w:rFonts w:ascii="Verdana" w:hAnsi="Verdana"/>
          <w:sz w:val="20"/>
          <w:szCs w:val="20"/>
          <w:lang w:val="es-CO"/>
        </w:rPr>
        <w:t xml:space="preserve"> de lo anterior, en el capítulo de Reparaciones de la Sentencia, aspecto que se mantuvo en controversia a pesar del allanamiento estatal, el Tribunal hizo otras consideraciones respecto del llamado “control de convencionalidad”. En particular, se analizó una posición de la Comisión, la cual solicitó al Tribunal que ordenara al Estado un cambio legislativo que determinara expresamente la inaplicabilidad de la figura de prescripción en acciones civiles de reparación por crímenes de lesa humanidad. En este sentido, la Comisión consideró necesaria tal medida porque el Estado no ha adoptado una solución general y duradera para cumplir con las medidas de no repetición recomendadas, pues el propio Estado reconoció que el criterio jurisprudencial de la Corte Suprema ha oscilado entre declarar la prescripción y afirmar la imprescriptibilidad de tales acciones. Además, la Comisión enfatizó que esta última tendencia depende de la concentración del conocimiento de las acciones de reparación por la Segunda Sala de la Corte Suprema, por lo que una distribución o composición distintas en el futuro podría significar la modificación del criterio, y que las decisiones judiciales tienen efectos únicamente entre las partes. De ese modo, consideró la Comisión, la información presentada por el Estado no permitía acreditar, en términos de seguridad jurídica, que actualmente la imprescriptibilidad de esas acciones resulte un criterio obligatorio para las autoridades judiciales. Por ello, la Comisión solicitó tal reforma legislativa y, mientras ésta se completa, solicitó a la Corte “que efectúe un llamado a las autoridades judiciales chilenas a realizar un control de convencionalidad para asegurar que no se aplique tal figura” (párr. </w:t>
      </w:r>
      <w:r w:rsidRPr="008D632B">
        <w:rPr>
          <w:rFonts w:ascii="Verdana" w:hAnsi="Verdana"/>
          <w:sz w:val="20"/>
          <w:szCs w:val="20"/>
        </w:rPr>
        <w:t xml:space="preserve">128). </w:t>
      </w:r>
    </w:p>
    <w:p w14:paraId="2D8E333A" w14:textId="77777777" w:rsidR="00766824" w:rsidRPr="008D632B" w:rsidRDefault="00766824" w:rsidP="008D632B">
      <w:pPr>
        <w:pStyle w:val="ListParagraph"/>
        <w:ind w:left="0"/>
        <w:jc w:val="both"/>
        <w:rPr>
          <w:rFonts w:ascii="Verdana" w:hAnsi="Verdana"/>
          <w:sz w:val="20"/>
          <w:szCs w:val="20"/>
        </w:rPr>
      </w:pPr>
    </w:p>
    <w:p w14:paraId="434FF8A9" w14:textId="77777777" w:rsidR="00766824" w:rsidRPr="008D632B" w:rsidRDefault="00766824" w:rsidP="008D632B">
      <w:pPr>
        <w:pStyle w:val="ListParagraph"/>
        <w:numPr>
          <w:ilvl w:val="0"/>
          <w:numId w:val="10"/>
        </w:numPr>
        <w:ind w:left="0" w:firstLine="0"/>
        <w:jc w:val="both"/>
        <w:rPr>
          <w:rFonts w:ascii="Verdana" w:hAnsi="Verdana"/>
          <w:sz w:val="20"/>
          <w:szCs w:val="20"/>
          <w:lang w:val="es-CO"/>
        </w:rPr>
      </w:pPr>
      <w:r w:rsidRPr="008D632B">
        <w:rPr>
          <w:rFonts w:ascii="Verdana" w:hAnsi="Verdana"/>
          <w:sz w:val="20"/>
          <w:szCs w:val="20"/>
          <w:lang w:val="es-CO"/>
        </w:rPr>
        <w:t xml:space="preserve">Al </w:t>
      </w:r>
      <w:r w:rsidRPr="008D632B">
        <w:rPr>
          <w:rFonts w:ascii="Verdana" w:hAnsi="Verdana"/>
          <w:sz w:val="20"/>
          <w:szCs w:val="20"/>
          <w:lang w:val="es-CR"/>
        </w:rPr>
        <w:t>respecto</w:t>
      </w:r>
      <w:r w:rsidRPr="008D632B">
        <w:rPr>
          <w:rFonts w:ascii="Verdana" w:hAnsi="Verdana"/>
          <w:sz w:val="20"/>
          <w:szCs w:val="20"/>
          <w:lang w:val="es-CO"/>
        </w:rPr>
        <w:t xml:space="preserve">, si bien el Estado señaló que, en efecto, en Chile las sentencias judiciales tienen efectos </w:t>
      </w:r>
      <w:r w:rsidRPr="008D632B">
        <w:rPr>
          <w:rFonts w:ascii="Verdana" w:hAnsi="Verdana"/>
          <w:i/>
          <w:sz w:val="20"/>
          <w:szCs w:val="20"/>
          <w:lang w:val="es-CO"/>
        </w:rPr>
        <w:t>inter partes</w:t>
      </w:r>
      <w:r w:rsidRPr="008D632B">
        <w:rPr>
          <w:rFonts w:ascii="Verdana" w:hAnsi="Verdana"/>
          <w:sz w:val="20"/>
          <w:szCs w:val="20"/>
          <w:lang w:val="es-CO"/>
        </w:rPr>
        <w:t xml:space="preserve"> y no </w:t>
      </w:r>
      <w:r w:rsidRPr="008D632B">
        <w:rPr>
          <w:rFonts w:ascii="Verdana" w:hAnsi="Verdana"/>
          <w:i/>
          <w:sz w:val="20"/>
          <w:szCs w:val="20"/>
          <w:lang w:val="es-CO"/>
        </w:rPr>
        <w:t>erga omnes</w:t>
      </w:r>
      <w:r w:rsidRPr="008D632B">
        <w:rPr>
          <w:rFonts w:ascii="Verdana" w:hAnsi="Verdana"/>
          <w:sz w:val="20"/>
          <w:szCs w:val="20"/>
          <w:lang w:val="es-CO"/>
        </w:rPr>
        <w:t>, pues no se está sujeto a un sistema tipo “</w:t>
      </w:r>
      <w:r w:rsidRPr="008D632B">
        <w:rPr>
          <w:rFonts w:ascii="Verdana" w:hAnsi="Verdana"/>
          <w:i/>
          <w:sz w:val="20"/>
          <w:szCs w:val="20"/>
          <w:lang w:val="es-CO"/>
        </w:rPr>
        <w:t>stare decisis</w:t>
      </w:r>
      <w:r w:rsidRPr="008D632B">
        <w:rPr>
          <w:rFonts w:ascii="Verdana" w:hAnsi="Verdana"/>
          <w:sz w:val="20"/>
          <w:szCs w:val="20"/>
          <w:lang w:val="es-CO"/>
        </w:rPr>
        <w:t>” (en que una resolución judicial constituiría una fuente formal y general de derecho), también consideró que la adopción de tal medida legislativa era innecesaria –en virtud del referido cambio jurisprudencial– e inadmisible –por estimar que ello crearía espacios serios de incertidumbre al interior del ordenamiento jurídico chileno–.</w:t>
      </w:r>
    </w:p>
    <w:p w14:paraId="6E0334E6" w14:textId="77777777" w:rsidR="00766824" w:rsidRPr="008D632B" w:rsidRDefault="00766824" w:rsidP="00766824">
      <w:pPr>
        <w:pStyle w:val="ListParagraph"/>
        <w:ind w:left="0"/>
        <w:jc w:val="both"/>
        <w:rPr>
          <w:rFonts w:ascii="Verdana" w:hAnsi="Verdana"/>
          <w:sz w:val="20"/>
          <w:szCs w:val="20"/>
          <w:lang w:val="es-CO"/>
        </w:rPr>
      </w:pPr>
    </w:p>
    <w:p w14:paraId="0C113CAA" w14:textId="77777777" w:rsidR="00766824" w:rsidRPr="008D632B" w:rsidRDefault="00766824" w:rsidP="008D632B">
      <w:pPr>
        <w:pStyle w:val="ListParagraph"/>
        <w:numPr>
          <w:ilvl w:val="0"/>
          <w:numId w:val="10"/>
        </w:numPr>
        <w:ind w:left="0" w:firstLine="0"/>
        <w:jc w:val="both"/>
        <w:rPr>
          <w:rFonts w:ascii="Verdana" w:hAnsi="Verdana"/>
          <w:sz w:val="20"/>
          <w:szCs w:val="20"/>
          <w:lang w:val="es-CO"/>
        </w:rPr>
      </w:pPr>
      <w:r w:rsidRPr="008D632B">
        <w:rPr>
          <w:rFonts w:ascii="Verdana" w:hAnsi="Verdana"/>
          <w:sz w:val="20"/>
          <w:szCs w:val="20"/>
          <w:lang w:val="es-CO"/>
        </w:rPr>
        <w:t>En su decisión, la Corte Interamericana fue consciente de que tribunales de instancia o apelación continúan sosteniendo interpretaciones disconformes con el criterio de la Corte Suprema; que en otras causas judiciales el Consejo de Defensa del Estado continúa presentando excepciones de prescripción de la acción en defensa del Fisco chileno; que la uniformidad del criterio de la Corte Suprema puede depender de que efectivamente sea su Segunda Sala (penal) la que conozca de las acciones de reparación; y que la jurisprudencia puede variar en el futuro (párr. 132). Sin embargo, la Corte decidió no ordenar la medida de reparación solicitada con base en lo siguiente:</w:t>
      </w:r>
    </w:p>
    <w:p w14:paraId="0C5108D2" w14:textId="77777777" w:rsidR="00766824" w:rsidRPr="008D632B" w:rsidRDefault="00766824" w:rsidP="00766824">
      <w:pPr>
        <w:pStyle w:val="ListParagraph"/>
        <w:ind w:left="0"/>
        <w:jc w:val="both"/>
        <w:rPr>
          <w:rFonts w:ascii="Verdana" w:hAnsi="Verdana"/>
          <w:i/>
          <w:sz w:val="20"/>
          <w:szCs w:val="20"/>
          <w:lang w:val="es-CO"/>
        </w:rPr>
      </w:pPr>
    </w:p>
    <w:p w14:paraId="1BCC2992" w14:textId="77777777" w:rsidR="00766824" w:rsidRPr="008D646D" w:rsidRDefault="00766824" w:rsidP="00766824">
      <w:pPr>
        <w:pStyle w:val="ListParagraph"/>
        <w:ind w:left="708"/>
        <w:jc w:val="both"/>
        <w:rPr>
          <w:rFonts w:ascii="Verdana" w:hAnsi="Verdana"/>
          <w:i/>
          <w:sz w:val="18"/>
          <w:szCs w:val="20"/>
          <w:lang w:val="es-CO"/>
        </w:rPr>
      </w:pPr>
      <w:r w:rsidRPr="008D646D">
        <w:rPr>
          <w:rFonts w:ascii="Verdana" w:hAnsi="Verdana"/>
          <w:i/>
          <w:sz w:val="18"/>
          <w:szCs w:val="20"/>
          <w:lang w:val="es-CO"/>
        </w:rPr>
        <w:t>“133.</w:t>
      </w:r>
      <w:r w:rsidRPr="008D646D">
        <w:rPr>
          <w:rFonts w:ascii="Verdana" w:hAnsi="Verdana"/>
          <w:i/>
          <w:sz w:val="18"/>
          <w:szCs w:val="20"/>
          <w:lang w:val="es-CO"/>
        </w:rPr>
        <w:tab/>
        <w:t xml:space="preserve">[…] si el hecho ilícito internacional reconocido se originó en incorrectas interpretaciones judiciales de la norma civil de prescripción y no en la norma en sí misma, un cambio sustancial en la jurisprudencia de la máxima autoridad judicial del Estado, que controla –en última instancia– la constitucionalidad y convencionalidad de las normas e interpretaciones de las demás instancias judiciales, brinda seguridad jurídica suficiente respecto de situaciones jurídicas como las presentadas en este caso y constituye, efectivamente, una garantía de no repetición. El Estado ha reconocido ante esta instancia internacional que una interpretación diferente de la figura de la prescripción en acciones civiles de reparación en casos de crímenes de lesa humanidad constituye una violación de derechos reconocidos en la Convención. La consecuencia necesaria de la posición del Estado es que interpretaciones judiciales actuales o futuras </w:t>
      </w:r>
      <w:r w:rsidRPr="008D646D">
        <w:rPr>
          <w:rFonts w:ascii="Verdana" w:hAnsi="Verdana"/>
          <w:i/>
          <w:sz w:val="18"/>
          <w:szCs w:val="20"/>
          <w:lang w:val="es-CO"/>
        </w:rPr>
        <w:lastRenderedPageBreak/>
        <w:t xml:space="preserve">inconsecuentes con ese criterio serían contrarias a la Convención y, por ende, comprometerían la responsabilidad del Estado.  </w:t>
      </w:r>
    </w:p>
    <w:p w14:paraId="0263923F" w14:textId="77777777" w:rsidR="00766824" w:rsidRPr="008D646D" w:rsidRDefault="00766824" w:rsidP="00766824">
      <w:pPr>
        <w:pStyle w:val="ListParagraph"/>
        <w:ind w:left="708"/>
        <w:jc w:val="both"/>
        <w:rPr>
          <w:rFonts w:ascii="Verdana" w:hAnsi="Verdana"/>
          <w:i/>
          <w:sz w:val="18"/>
          <w:szCs w:val="20"/>
          <w:lang w:val="es-CO"/>
        </w:rPr>
      </w:pPr>
    </w:p>
    <w:p w14:paraId="40EE23F3" w14:textId="77777777" w:rsidR="00766824" w:rsidRPr="008D646D" w:rsidRDefault="00766824" w:rsidP="00766824">
      <w:pPr>
        <w:pStyle w:val="ListParagraph"/>
        <w:ind w:left="708"/>
        <w:jc w:val="both"/>
        <w:rPr>
          <w:rFonts w:ascii="Verdana" w:hAnsi="Verdana"/>
          <w:i/>
          <w:sz w:val="18"/>
          <w:szCs w:val="20"/>
          <w:lang w:val="es-CO"/>
        </w:rPr>
      </w:pPr>
      <w:r w:rsidRPr="008D646D">
        <w:rPr>
          <w:rFonts w:ascii="Verdana" w:hAnsi="Verdana"/>
          <w:i/>
          <w:sz w:val="18"/>
          <w:szCs w:val="20"/>
          <w:lang w:val="es-CO"/>
        </w:rPr>
        <w:t>134.</w:t>
      </w:r>
      <w:r w:rsidRPr="008D646D">
        <w:rPr>
          <w:rFonts w:ascii="Verdana" w:hAnsi="Verdana"/>
          <w:i/>
          <w:sz w:val="18"/>
          <w:szCs w:val="20"/>
          <w:lang w:val="es-CO"/>
        </w:rPr>
        <w:tab/>
        <w:t>De tal modo, este Tribunal parte de que, en atención a la buena fe del Estado en el cumplimiento de sus obligaciones, la referida línea jurisprudencial se mantendrá en posteriores acciones que tenga que resolver la Corte Suprema, a efecto de garantizar que las circunstancias del presente caso no se vuelvan a repetir. Esta consideración no precluye la posibilidad de este Tribunal para pronunciarse en el futuro si se le llegare a someter otro caso contencioso por hechos similares.</w:t>
      </w:r>
    </w:p>
    <w:p w14:paraId="0AE5E970" w14:textId="77777777" w:rsidR="00766824" w:rsidRPr="008D646D" w:rsidRDefault="00766824" w:rsidP="00766824">
      <w:pPr>
        <w:pStyle w:val="ListParagraph"/>
        <w:ind w:left="708"/>
        <w:jc w:val="both"/>
        <w:rPr>
          <w:rFonts w:ascii="Verdana" w:hAnsi="Verdana"/>
          <w:i/>
          <w:sz w:val="18"/>
          <w:szCs w:val="20"/>
          <w:lang w:val="es-CO"/>
        </w:rPr>
      </w:pPr>
    </w:p>
    <w:p w14:paraId="31393518" w14:textId="77777777" w:rsidR="00766824" w:rsidRPr="008D646D" w:rsidRDefault="00766824" w:rsidP="00766824">
      <w:pPr>
        <w:pStyle w:val="ListParagraph"/>
        <w:ind w:left="708"/>
        <w:jc w:val="both"/>
        <w:rPr>
          <w:rFonts w:ascii="Verdana" w:hAnsi="Verdana"/>
          <w:i/>
          <w:sz w:val="18"/>
          <w:szCs w:val="20"/>
          <w:lang w:val="es-CO"/>
        </w:rPr>
      </w:pPr>
      <w:r w:rsidRPr="008D646D">
        <w:rPr>
          <w:rFonts w:ascii="Verdana" w:hAnsi="Verdana"/>
          <w:i/>
          <w:sz w:val="18"/>
          <w:szCs w:val="20"/>
          <w:lang w:val="es-CO"/>
        </w:rPr>
        <w:t>135.</w:t>
      </w:r>
      <w:r w:rsidRPr="008D646D">
        <w:rPr>
          <w:rFonts w:ascii="Verdana" w:hAnsi="Verdana"/>
          <w:i/>
          <w:sz w:val="18"/>
          <w:szCs w:val="20"/>
          <w:lang w:val="es-CO"/>
        </w:rPr>
        <w:tab/>
        <w:t>Sin perjuicio de lo anterior, es también necesario recordar que la obligación de ejercer un “control de convencionalidad” entre las normas internas o los actos estatales y la Convención Americana, incumbe a todos los jueces y órganos vinculados a la administración de justicia, en todos los niveles, y debe ser realizada ex officio en el marco de sus respectivas competencias y de las regulaciones procesales correspondientes. En consecuencia, sin duda corresponde también a todas las instancias judiciales, en todos los niveles, y no sólo a la Corte Suprema, mantener coherencia de criterio respecto de un tema que, en atención al referido cambio jurisprudencial, al reconocimiento de responsabilidad efectuado por el Estado y a la evolución de las políticas públicas chilenas en materia de justicia, verdad y reparaciones para víctimas de graves violaciones de derechos humanos, en este momento se encuentra resuelto.</w:t>
      </w:r>
    </w:p>
    <w:p w14:paraId="7AB6B787" w14:textId="77777777" w:rsidR="00766824" w:rsidRPr="008D646D" w:rsidRDefault="00766824" w:rsidP="00766824">
      <w:pPr>
        <w:pStyle w:val="ListParagraph"/>
        <w:ind w:left="708"/>
        <w:jc w:val="both"/>
        <w:rPr>
          <w:rFonts w:ascii="Verdana" w:hAnsi="Verdana"/>
          <w:i/>
          <w:sz w:val="18"/>
          <w:szCs w:val="20"/>
          <w:lang w:val="es-CO"/>
        </w:rPr>
      </w:pPr>
    </w:p>
    <w:p w14:paraId="4EAB9FC4" w14:textId="4DE1B420" w:rsidR="00766824" w:rsidRPr="008D646D" w:rsidRDefault="00766824" w:rsidP="00766824">
      <w:pPr>
        <w:pStyle w:val="ListParagraph"/>
        <w:ind w:left="708"/>
        <w:jc w:val="both"/>
        <w:rPr>
          <w:rFonts w:ascii="Verdana" w:hAnsi="Verdana"/>
          <w:sz w:val="18"/>
          <w:szCs w:val="20"/>
          <w:lang w:val="es-CO"/>
        </w:rPr>
      </w:pPr>
      <w:r w:rsidRPr="008D646D">
        <w:rPr>
          <w:rFonts w:ascii="Verdana" w:hAnsi="Verdana"/>
          <w:i/>
          <w:sz w:val="18"/>
          <w:szCs w:val="20"/>
          <w:lang w:val="es-CO"/>
        </w:rPr>
        <w:t>136.</w:t>
      </w:r>
      <w:r w:rsidRPr="008D646D">
        <w:rPr>
          <w:rFonts w:ascii="Verdana" w:hAnsi="Verdana"/>
          <w:i/>
          <w:sz w:val="18"/>
          <w:szCs w:val="20"/>
          <w:lang w:val="es-CO"/>
        </w:rPr>
        <w:tab/>
        <w:t xml:space="preserve">En virtud de lo anterior, si bien la emisión de una ley que determine expresamente la inaplicabilidad de la figura de la prescripción en ese tipo de acciones civiles, podría ser una vía pertinente para cerrar en definitiva futuras interpretaciones contrarias a la Convención en ese sentido, la Corte considera que no han sido aportadas suficientes razones para considerar que ello sea una medida absolutamente indispensable para garantizar la no repetición de los hechos, por lo cual no corresponde ordenarlo. Corresponderá a las autoridades legislativas del Estado determinar la viabilidad y pertinencia de ello en el marco de sus competencias. </w:t>
      </w:r>
      <w:r w:rsidRPr="008D646D">
        <w:rPr>
          <w:rFonts w:ascii="Verdana" w:hAnsi="Verdana"/>
          <w:b/>
          <w:i/>
          <w:sz w:val="18"/>
          <w:szCs w:val="20"/>
          <w:lang w:val="es-CO"/>
        </w:rPr>
        <w:t>Sin perjuicio de ello, es función actual y futura de todos los órganos vinculados a la administración de justicia del Estado, en todos los niveles, ejercer un adecuado control de convencionalidad en causas similares a las presentadas en este caso.</w:t>
      </w:r>
      <w:r w:rsidR="000E1063" w:rsidRPr="008D646D">
        <w:rPr>
          <w:rFonts w:ascii="Verdana" w:hAnsi="Verdana"/>
          <w:b/>
          <w:i/>
          <w:sz w:val="18"/>
          <w:szCs w:val="20"/>
          <w:lang w:val="es-CO"/>
        </w:rPr>
        <w:t xml:space="preserve"> </w:t>
      </w:r>
      <w:r w:rsidR="000E1063" w:rsidRPr="008D646D">
        <w:rPr>
          <w:rFonts w:ascii="Verdana" w:hAnsi="Verdana"/>
          <w:i/>
          <w:sz w:val="18"/>
          <w:szCs w:val="20"/>
          <w:lang w:val="es-CO"/>
        </w:rPr>
        <w:t>(cursivas y negrilla, añadidas)</w:t>
      </w:r>
    </w:p>
    <w:p w14:paraId="291D076F" w14:textId="77777777" w:rsidR="00766824" w:rsidRPr="008D632B" w:rsidRDefault="00766824" w:rsidP="00766824">
      <w:pPr>
        <w:pStyle w:val="ListParagraph"/>
        <w:ind w:left="0"/>
        <w:jc w:val="both"/>
        <w:rPr>
          <w:rFonts w:ascii="Verdana" w:hAnsi="Verdana"/>
          <w:sz w:val="20"/>
          <w:szCs w:val="20"/>
          <w:lang w:val="es-CO"/>
        </w:rPr>
      </w:pPr>
    </w:p>
    <w:p w14:paraId="59B2F002" w14:textId="77777777" w:rsidR="00766824" w:rsidRPr="008D632B" w:rsidRDefault="00766824" w:rsidP="008D632B">
      <w:pPr>
        <w:pStyle w:val="ListParagraph"/>
        <w:numPr>
          <w:ilvl w:val="0"/>
          <w:numId w:val="10"/>
        </w:numPr>
        <w:ind w:left="0" w:firstLine="0"/>
        <w:jc w:val="both"/>
        <w:rPr>
          <w:rFonts w:ascii="Verdana" w:hAnsi="Verdana"/>
          <w:sz w:val="20"/>
          <w:szCs w:val="20"/>
          <w:lang w:val="es-CO"/>
        </w:rPr>
      </w:pPr>
      <w:r w:rsidRPr="008D632B">
        <w:rPr>
          <w:rFonts w:ascii="Verdana" w:hAnsi="Verdana"/>
          <w:sz w:val="20"/>
          <w:szCs w:val="20"/>
          <w:lang w:val="es-CO"/>
        </w:rPr>
        <w:t>Es decir, aun sabiendo que, como es natural, la jurisprudencia de los tribunales nacionales de un Estado, inclusive de la autoridad judicial máxima o suprema (como lo es la Corte Suprema de Justicia de Chile), puede variar en un futuro, la Corte ha confiado en que un cambio sustancial y reiterado en la jurisprudencia de esa autoridad (que debe controlar en última instancia la constitucionalidad y convencionalidad de las normas e interpretaciones de las instancias judiciales inferiores) “brinda seguridad jurídica suficiente respecto de situaciones jurídicas como las presentadas en este caso y constituye, efectivamente, una garantía de no repetición”.</w:t>
      </w:r>
      <w:r w:rsidRPr="008D632B">
        <w:rPr>
          <w:rFonts w:ascii="Verdana" w:hAnsi="Verdana"/>
          <w:b/>
          <w:sz w:val="20"/>
          <w:szCs w:val="20"/>
          <w:lang w:val="es-CO"/>
        </w:rPr>
        <w:t xml:space="preserve"> </w:t>
      </w:r>
      <w:r w:rsidRPr="00BC16F9">
        <w:rPr>
          <w:rFonts w:ascii="Verdana" w:hAnsi="Verdana"/>
          <w:sz w:val="20"/>
          <w:szCs w:val="20"/>
          <w:lang w:val="es-CO"/>
        </w:rPr>
        <w:t>A la vez, de forma consecuente con su propio concepto sobre “control de convencionalidad”</w:t>
      </w:r>
      <w:r w:rsidRPr="00BC16F9">
        <w:rPr>
          <w:rStyle w:val="FootnoteReference"/>
          <w:rFonts w:ascii="Verdana" w:hAnsi="Verdana"/>
          <w:sz w:val="20"/>
          <w:szCs w:val="20"/>
        </w:rPr>
        <w:footnoteReference w:id="7"/>
      </w:r>
      <w:r w:rsidRPr="00BC16F9">
        <w:rPr>
          <w:rFonts w:ascii="Verdana" w:hAnsi="Verdana"/>
          <w:sz w:val="20"/>
          <w:szCs w:val="20"/>
          <w:lang w:val="es-CO"/>
        </w:rPr>
        <w:t xml:space="preserve">, la Corte ha recordado al Estado que ejercer tal control es una obligación suya bajo el Derecho Internacional, la cual recae en cabeza de todos los jueces y órganos vinculados a la administración de justicia, en todos los niveles, y que debe ser </w:t>
      </w:r>
      <w:r w:rsidRPr="00BC16F9">
        <w:rPr>
          <w:rFonts w:ascii="Verdana" w:hAnsi="Verdana"/>
          <w:sz w:val="20"/>
          <w:szCs w:val="20"/>
          <w:lang w:val="es-CO"/>
        </w:rPr>
        <w:lastRenderedPageBreak/>
        <w:t xml:space="preserve">realizada </w:t>
      </w:r>
      <w:r w:rsidRPr="00BC16F9">
        <w:rPr>
          <w:rFonts w:ascii="Verdana" w:hAnsi="Verdana"/>
          <w:i/>
          <w:sz w:val="20"/>
          <w:szCs w:val="20"/>
          <w:lang w:val="es-CO"/>
        </w:rPr>
        <w:t>ex officio</w:t>
      </w:r>
      <w:r w:rsidRPr="00BC16F9">
        <w:rPr>
          <w:rFonts w:ascii="Verdana" w:hAnsi="Verdana"/>
          <w:sz w:val="20"/>
          <w:szCs w:val="20"/>
          <w:lang w:val="es-CO"/>
        </w:rPr>
        <w:t>, en el marco de las respectivas competencias de cada juzgador y de las regulaciones procesales correspondientes.</w:t>
      </w:r>
      <w:r w:rsidRPr="008D632B">
        <w:rPr>
          <w:rFonts w:ascii="Verdana" w:hAnsi="Verdana"/>
          <w:b/>
          <w:sz w:val="20"/>
          <w:szCs w:val="20"/>
          <w:lang w:val="es-CO"/>
        </w:rPr>
        <w:t xml:space="preserve"> </w:t>
      </w:r>
    </w:p>
    <w:p w14:paraId="40AE6FE4" w14:textId="77777777" w:rsidR="00766824" w:rsidRPr="008D632B" w:rsidRDefault="00766824" w:rsidP="00766824">
      <w:pPr>
        <w:pStyle w:val="ListParagraph"/>
        <w:ind w:left="0"/>
        <w:jc w:val="both"/>
        <w:rPr>
          <w:rFonts w:ascii="Verdana" w:hAnsi="Verdana"/>
          <w:sz w:val="20"/>
          <w:szCs w:val="20"/>
          <w:lang w:val="es-CO"/>
        </w:rPr>
      </w:pPr>
    </w:p>
    <w:p w14:paraId="7F075EA2" w14:textId="77777777" w:rsidR="00766824" w:rsidRPr="008D632B" w:rsidRDefault="00766824" w:rsidP="008D632B">
      <w:pPr>
        <w:pStyle w:val="ListParagraph"/>
        <w:numPr>
          <w:ilvl w:val="0"/>
          <w:numId w:val="10"/>
        </w:numPr>
        <w:ind w:left="0" w:firstLine="0"/>
        <w:jc w:val="both"/>
        <w:rPr>
          <w:rFonts w:ascii="Verdana" w:hAnsi="Verdana"/>
          <w:sz w:val="20"/>
          <w:szCs w:val="20"/>
          <w:lang w:val="es-CO"/>
        </w:rPr>
      </w:pPr>
      <w:r w:rsidRPr="008D632B">
        <w:rPr>
          <w:rFonts w:ascii="Verdana" w:hAnsi="Verdana"/>
          <w:sz w:val="20"/>
          <w:szCs w:val="20"/>
          <w:lang w:val="es-CO"/>
        </w:rPr>
        <w:t xml:space="preserve">En consecuencia, y partiendo de que – por la buena fe del Estado – la referida línea jurisprudencial se mantendrá en posteriores acciones que tenga que resolver la Corte Suprema, la Corte Interamericana consideró que “sin duda corresponde también a todas las instancias judiciales, en todos los niveles, y no sólo a la Corte Suprema, mantener coherencia de criterio respecto de un tema que […] en este momento se encuentra resuelto” y, por ello, es su función “actual y futura […] ejercer un adecuado control de convencionalidad en causas similares a las presentadas en este caso”. De tal modo, dada la fundamentación de la Corte para no disponer un cambio legislativo que impediría a los jueces una interpretación diferente sobre la prescripción civil en ese tipo de acciones judiciales, se entiende que en Chile, en casos análogos, el adecuado y efectivo ejercicio del control de convencionalidad sólo podría solo podrá ser ejercido por cualquier autoridad judicial si falla en el sentido que lo ha venido haciendo la Corte Suprema y que este Tribunal internacional ha valorado positivamente. </w:t>
      </w:r>
    </w:p>
    <w:p w14:paraId="03BAA734" w14:textId="77777777" w:rsidR="0023299E" w:rsidRPr="008D632B" w:rsidRDefault="0023299E" w:rsidP="003C562D">
      <w:pPr>
        <w:pStyle w:val="ListParagraph"/>
        <w:ind w:left="0"/>
        <w:jc w:val="both"/>
        <w:rPr>
          <w:rFonts w:ascii="Verdana" w:hAnsi="Verdana"/>
          <w:color w:val="auto"/>
          <w:sz w:val="20"/>
          <w:szCs w:val="20"/>
          <w:lang w:val="es-CR"/>
        </w:rPr>
      </w:pPr>
    </w:p>
    <w:p w14:paraId="1B302A4E" w14:textId="7AB1309E" w:rsidR="0073767E" w:rsidRPr="008D632B" w:rsidRDefault="00BD51D0" w:rsidP="00E26319">
      <w:pPr>
        <w:pStyle w:val="ListParagraph"/>
        <w:numPr>
          <w:ilvl w:val="0"/>
          <w:numId w:val="10"/>
        </w:numPr>
        <w:ind w:left="0" w:firstLine="0"/>
        <w:jc w:val="both"/>
        <w:rPr>
          <w:rFonts w:ascii="Verdana" w:hAnsi="Verdana"/>
          <w:color w:val="auto"/>
          <w:sz w:val="20"/>
          <w:szCs w:val="20"/>
          <w:lang w:val="es-CR"/>
        </w:rPr>
      </w:pPr>
      <w:r>
        <w:rPr>
          <w:rFonts w:ascii="Verdana" w:hAnsi="Verdana"/>
          <w:color w:val="auto"/>
          <w:sz w:val="20"/>
          <w:szCs w:val="20"/>
          <w:lang w:val="es-CR"/>
        </w:rPr>
        <w:t>A mi juicio, aunque no lo indica de manera expresa, l</w:t>
      </w:r>
      <w:r w:rsidR="00B8324B" w:rsidRPr="008D632B">
        <w:rPr>
          <w:rFonts w:ascii="Verdana" w:hAnsi="Verdana"/>
          <w:color w:val="auto"/>
          <w:sz w:val="20"/>
          <w:szCs w:val="20"/>
          <w:lang w:val="es-CR"/>
        </w:rPr>
        <w:t>a Sentencia establece como medida</w:t>
      </w:r>
      <w:r w:rsidR="001A1081" w:rsidRPr="008D632B">
        <w:rPr>
          <w:rFonts w:ascii="Verdana" w:hAnsi="Verdana"/>
          <w:color w:val="auto"/>
          <w:sz w:val="20"/>
          <w:szCs w:val="20"/>
          <w:lang w:val="es-CR"/>
        </w:rPr>
        <w:t xml:space="preserve"> adicional</w:t>
      </w:r>
      <w:r w:rsidR="00B8324B" w:rsidRPr="008D632B">
        <w:rPr>
          <w:rFonts w:ascii="Verdana" w:hAnsi="Verdana"/>
          <w:color w:val="auto"/>
          <w:sz w:val="20"/>
          <w:szCs w:val="20"/>
          <w:lang w:val="es-CR"/>
        </w:rPr>
        <w:t xml:space="preserve"> de reparación que todos los órganos vinculados a la administración de justicia del Estado ejerzan un adecuado control de convencionalidad en causas similares a las del presente caso (párr. 136). </w:t>
      </w:r>
      <w:r w:rsidR="007524E1" w:rsidRPr="008D632B">
        <w:rPr>
          <w:rFonts w:ascii="Verdana" w:hAnsi="Verdana"/>
          <w:color w:val="auto"/>
          <w:sz w:val="20"/>
          <w:szCs w:val="20"/>
          <w:lang w:val="es-CR"/>
        </w:rPr>
        <w:t>Esta medida surge en virtud de la solicitud de la Comisión -y la respuesta del Estado- en relación con que se adoptaran medidas legislativas, administrativas o de cualquier otra índole, para que se prohibiera aplicar la prescripción a las acciones civiles de reparación en casos como el presente (párr. 12</w:t>
      </w:r>
      <w:r w:rsidR="0086352B">
        <w:rPr>
          <w:rFonts w:ascii="Verdana" w:hAnsi="Verdana"/>
          <w:color w:val="auto"/>
          <w:sz w:val="20"/>
          <w:szCs w:val="20"/>
          <w:lang w:val="es-CR"/>
        </w:rPr>
        <w:t>8</w:t>
      </w:r>
      <w:r w:rsidR="007524E1" w:rsidRPr="008D632B">
        <w:rPr>
          <w:rFonts w:ascii="Verdana" w:hAnsi="Verdana"/>
          <w:color w:val="auto"/>
          <w:sz w:val="20"/>
          <w:szCs w:val="20"/>
          <w:lang w:val="es-CR"/>
        </w:rPr>
        <w:t xml:space="preserve">). El Estado reiteró que la jurisprudencia del tribunal superior del país ha reconocido sistemáticamente la admisibilidad de acciones judiciales en casos similares, por lo que este criterio interpretativo constituye una garantía de no repetición (párr. 127). La Corte reconoció que </w:t>
      </w:r>
      <w:r w:rsidR="00CC3123" w:rsidRPr="008D632B">
        <w:rPr>
          <w:rFonts w:ascii="Verdana" w:hAnsi="Verdana"/>
          <w:color w:val="auto"/>
          <w:sz w:val="20"/>
          <w:szCs w:val="20"/>
          <w:lang w:val="es-CR"/>
        </w:rPr>
        <w:t>las interpretaciones recientes de la Corte Suprema de Justicia han</w:t>
      </w:r>
      <w:r w:rsidR="007524E1" w:rsidRPr="008D632B">
        <w:rPr>
          <w:rFonts w:ascii="Verdana" w:hAnsi="Verdana"/>
          <w:color w:val="auto"/>
          <w:sz w:val="20"/>
          <w:szCs w:val="20"/>
          <w:lang w:val="es-CR"/>
        </w:rPr>
        <w:t xml:space="preserve"> variado hacia una interpretación adecuada con su deber de ejercer un control de convencionalidad (párr. 131). </w:t>
      </w:r>
      <w:r w:rsidR="001B2EC1" w:rsidRPr="008D632B">
        <w:rPr>
          <w:rFonts w:ascii="Verdana" w:hAnsi="Verdana"/>
          <w:color w:val="auto"/>
          <w:sz w:val="20"/>
          <w:szCs w:val="20"/>
          <w:lang w:val="es-CR"/>
        </w:rPr>
        <w:t xml:space="preserve">Sin embargo, ante la posibilidad de que estas interpretaciones </w:t>
      </w:r>
      <w:r w:rsidR="00594D54" w:rsidRPr="008D632B">
        <w:rPr>
          <w:rFonts w:ascii="Verdana" w:hAnsi="Verdana"/>
          <w:color w:val="auto"/>
          <w:sz w:val="20"/>
          <w:szCs w:val="20"/>
          <w:lang w:val="es-CR"/>
        </w:rPr>
        <w:t>varíen</w:t>
      </w:r>
      <w:r w:rsidR="001B2EC1" w:rsidRPr="008D632B">
        <w:rPr>
          <w:rFonts w:ascii="Verdana" w:hAnsi="Verdana"/>
          <w:color w:val="auto"/>
          <w:sz w:val="20"/>
          <w:szCs w:val="20"/>
          <w:lang w:val="es-CR"/>
        </w:rPr>
        <w:t xml:space="preserve"> en el futuro, consideró conveniente </w:t>
      </w:r>
      <w:r w:rsidR="00BC16F9">
        <w:rPr>
          <w:rFonts w:ascii="Verdana" w:hAnsi="Verdana"/>
          <w:color w:val="auto"/>
          <w:sz w:val="20"/>
          <w:szCs w:val="20"/>
          <w:lang w:val="es-CR"/>
        </w:rPr>
        <w:t>disponer</w:t>
      </w:r>
      <w:r w:rsidR="001B2EC1" w:rsidRPr="008D632B">
        <w:rPr>
          <w:rFonts w:ascii="Verdana" w:hAnsi="Verdana"/>
          <w:color w:val="auto"/>
          <w:sz w:val="20"/>
          <w:szCs w:val="20"/>
          <w:lang w:val="es-CR"/>
        </w:rPr>
        <w:t xml:space="preserve"> que se ejerciera un control de convencionalidad en casos similares, como una garantía de no repetición</w:t>
      </w:r>
      <w:r w:rsidR="007B60FF" w:rsidRPr="008D632B">
        <w:rPr>
          <w:rFonts w:ascii="Verdana" w:hAnsi="Verdana"/>
          <w:color w:val="auto"/>
          <w:sz w:val="20"/>
          <w:szCs w:val="20"/>
          <w:lang w:val="es-CR"/>
        </w:rPr>
        <w:t xml:space="preserve">, todo bajo el presupuesto que en Chile las sentencias judiciales tienen efectos </w:t>
      </w:r>
      <w:r w:rsidR="008D4D3E" w:rsidRPr="008D632B">
        <w:rPr>
          <w:rFonts w:ascii="Verdana" w:hAnsi="Verdana"/>
          <w:i/>
          <w:color w:val="auto"/>
          <w:sz w:val="20"/>
          <w:szCs w:val="20"/>
          <w:lang w:val="es-CR"/>
        </w:rPr>
        <w:t>inter-partes</w:t>
      </w:r>
      <w:r w:rsidR="007B60FF" w:rsidRPr="008D632B">
        <w:rPr>
          <w:rFonts w:ascii="Verdana" w:hAnsi="Verdana"/>
          <w:i/>
          <w:color w:val="auto"/>
          <w:sz w:val="20"/>
          <w:szCs w:val="20"/>
          <w:lang w:val="es-CR"/>
        </w:rPr>
        <w:t xml:space="preserve"> </w:t>
      </w:r>
      <w:r w:rsidR="007B60FF" w:rsidRPr="008D632B">
        <w:rPr>
          <w:rFonts w:ascii="Verdana" w:hAnsi="Verdana"/>
          <w:color w:val="auto"/>
          <w:sz w:val="20"/>
          <w:szCs w:val="20"/>
          <w:lang w:val="es-CR"/>
        </w:rPr>
        <w:t xml:space="preserve">y no </w:t>
      </w:r>
      <w:r w:rsidR="007B60FF" w:rsidRPr="008D632B">
        <w:rPr>
          <w:rFonts w:ascii="Verdana" w:hAnsi="Verdana"/>
          <w:i/>
          <w:color w:val="auto"/>
          <w:sz w:val="20"/>
          <w:szCs w:val="20"/>
          <w:lang w:val="es-CR"/>
        </w:rPr>
        <w:t>erga omnes</w:t>
      </w:r>
      <w:r w:rsidR="007B60FF" w:rsidRPr="008D632B">
        <w:rPr>
          <w:rFonts w:ascii="Verdana" w:hAnsi="Verdana"/>
          <w:color w:val="auto"/>
          <w:sz w:val="20"/>
          <w:szCs w:val="20"/>
          <w:lang w:val="es-CR"/>
        </w:rPr>
        <w:t>.</w:t>
      </w:r>
      <w:r w:rsidR="003A62E7" w:rsidRPr="008D632B">
        <w:rPr>
          <w:rFonts w:ascii="Verdana" w:hAnsi="Verdana"/>
          <w:color w:val="auto"/>
          <w:sz w:val="20"/>
          <w:szCs w:val="20"/>
          <w:lang w:val="es-CR"/>
        </w:rPr>
        <w:t xml:space="preserve"> </w:t>
      </w:r>
      <w:r w:rsidR="00656E54" w:rsidRPr="008D632B">
        <w:rPr>
          <w:rFonts w:ascii="Verdana" w:hAnsi="Verdana"/>
          <w:color w:val="auto"/>
          <w:sz w:val="20"/>
          <w:szCs w:val="20"/>
          <w:lang w:val="es-CR"/>
        </w:rPr>
        <w:t>Para hacer efe</w:t>
      </w:r>
      <w:r w:rsidR="0086352B">
        <w:rPr>
          <w:rFonts w:ascii="Verdana" w:hAnsi="Verdana"/>
          <w:color w:val="auto"/>
          <w:sz w:val="20"/>
          <w:szCs w:val="20"/>
          <w:lang w:val="es-CR"/>
        </w:rPr>
        <w:t>ctiva la sentencia, se consideró</w:t>
      </w:r>
      <w:r w:rsidR="00656E54" w:rsidRPr="008D632B">
        <w:rPr>
          <w:rFonts w:ascii="Verdana" w:hAnsi="Verdana"/>
          <w:color w:val="auto"/>
          <w:sz w:val="20"/>
          <w:szCs w:val="20"/>
          <w:lang w:val="es-CR"/>
        </w:rPr>
        <w:t xml:space="preserve"> que </w:t>
      </w:r>
      <w:r w:rsidR="00B71ED9" w:rsidRPr="008D632B">
        <w:rPr>
          <w:rFonts w:ascii="Verdana" w:hAnsi="Verdana"/>
          <w:color w:val="auto"/>
          <w:sz w:val="20"/>
          <w:szCs w:val="20"/>
          <w:lang w:val="es-CR"/>
        </w:rPr>
        <w:t xml:space="preserve">no era necesario una ley, sino que bastaba la </w:t>
      </w:r>
      <w:r w:rsidR="00FF761D" w:rsidRPr="008D632B">
        <w:rPr>
          <w:rFonts w:ascii="Verdana" w:hAnsi="Verdana"/>
          <w:color w:val="auto"/>
          <w:sz w:val="20"/>
          <w:szCs w:val="20"/>
          <w:lang w:val="es-CR"/>
        </w:rPr>
        <w:t xml:space="preserve">línea interpretativa que ha seguido </w:t>
      </w:r>
      <w:r w:rsidR="00952EF4" w:rsidRPr="008D632B">
        <w:rPr>
          <w:rFonts w:ascii="Verdana" w:hAnsi="Verdana"/>
          <w:color w:val="auto"/>
          <w:sz w:val="20"/>
          <w:szCs w:val="20"/>
          <w:lang w:val="es-CR"/>
        </w:rPr>
        <w:t>últimamente</w:t>
      </w:r>
      <w:r w:rsidR="0086352B">
        <w:rPr>
          <w:rFonts w:ascii="Verdana" w:hAnsi="Verdana"/>
          <w:color w:val="auto"/>
          <w:sz w:val="20"/>
          <w:szCs w:val="20"/>
          <w:lang w:val="es-CR"/>
        </w:rPr>
        <w:t xml:space="preserve"> la Corte S</w:t>
      </w:r>
      <w:r w:rsidR="00FF761D" w:rsidRPr="008D632B">
        <w:rPr>
          <w:rFonts w:ascii="Verdana" w:hAnsi="Verdana"/>
          <w:color w:val="auto"/>
          <w:sz w:val="20"/>
          <w:szCs w:val="20"/>
          <w:lang w:val="es-CR"/>
        </w:rPr>
        <w:t xml:space="preserve">uprema Chilena </w:t>
      </w:r>
      <w:r w:rsidR="00EE70F2" w:rsidRPr="008D632B">
        <w:rPr>
          <w:rFonts w:ascii="Verdana" w:hAnsi="Verdana"/>
          <w:color w:val="auto"/>
          <w:sz w:val="20"/>
          <w:szCs w:val="20"/>
          <w:lang w:val="es-CR"/>
        </w:rPr>
        <w:t>y la realización de un control de convencionalidad por todos los jueces</w:t>
      </w:r>
      <w:r w:rsidR="0086352B">
        <w:rPr>
          <w:rFonts w:ascii="Verdana" w:hAnsi="Verdana"/>
          <w:color w:val="auto"/>
          <w:sz w:val="20"/>
          <w:szCs w:val="20"/>
          <w:lang w:val="es-CR"/>
        </w:rPr>
        <w:t>.</w:t>
      </w:r>
      <w:r w:rsidR="00B54EEB" w:rsidRPr="008D632B">
        <w:rPr>
          <w:rFonts w:ascii="Verdana" w:hAnsi="Verdana"/>
          <w:color w:val="auto"/>
          <w:sz w:val="20"/>
          <w:szCs w:val="20"/>
          <w:lang w:val="es-CR"/>
        </w:rPr>
        <w:t xml:space="preserve"> </w:t>
      </w:r>
      <w:r w:rsidR="0086352B">
        <w:rPr>
          <w:rFonts w:ascii="Verdana" w:hAnsi="Verdana"/>
          <w:color w:val="auto"/>
          <w:sz w:val="20"/>
          <w:szCs w:val="20"/>
          <w:lang w:val="es-CR"/>
        </w:rPr>
        <w:t>E</w:t>
      </w:r>
      <w:r w:rsidR="00B54EEB" w:rsidRPr="008D632B">
        <w:rPr>
          <w:rFonts w:ascii="Verdana" w:hAnsi="Verdana"/>
          <w:color w:val="auto"/>
          <w:sz w:val="20"/>
          <w:szCs w:val="20"/>
          <w:lang w:val="es-CR"/>
        </w:rPr>
        <w:t>n ambos aspectos considero</w:t>
      </w:r>
      <w:r w:rsidR="00EE70F2" w:rsidRPr="008D632B">
        <w:rPr>
          <w:rFonts w:ascii="Verdana" w:hAnsi="Verdana"/>
          <w:color w:val="auto"/>
          <w:sz w:val="20"/>
          <w:szCs w:val="20"/>
          <w:lang w:val="es-CR"/>
        </w:rPr>
        <w:t xml:space="preserve"> que</w:t>
      </w:r>
      <w:r w:rsidR="00986307" w:rsidRPr="008D632B">
        <w:rPr>
          <w:rFonts w:ascii="Verdana" w:hAnsi="Verdana"/>
          <w:color w:val="auto"/>
          <w:sz w:val="20"/>
          <w:szCs w:val="20"/>
          <w:lang w:val="es-CR"/>
        </w:rPr>
        <w:t xml:space="preserve"> era</w:t>
      </w:r>
      <w:r w:rsidR="00EE70F2" w:rsidRPr="008D632B">
        <w:rPr>
          <w:rFonts w:ascii="Verdana" w:hAnsi="Verdana"/>
          <w:color w:val="auto"/>
          <w:sz w:val="20"/>
          <w:szCs w:val="20"/>
          <w:lang w:val="es-CR"/>
        </w:rPr>
        <w:t xml:space="preserve"> necesari</w:t>
      </w:r>
      <w:r w:rsidR="00D17435" w:rsidRPr="008D632B">
        <w:rPr>
          <w:rFonts w:ascii="Verdana" w:hAnsi="Verdana"/>
          <w:color w:val="auto"/>
          <w:sz w:val="20"/>
          <w:szCs w:val="20"/>
          <w:lang w:val="es-CR"/>
        </w:rPr>
        <w:t>o</w:t>
      </w:r>
      <w:r w:rsidR="00EE70F2" w:rsidRPr="008D632B">
        <w:rPr>
          <w:rFonts w:ascii="Verdana" w:hAnsi="Verdana"/>
          <w:color w:val="auto"/>
          <w:sz w:val="20"/>
          <w:szCs w:val="20"/>
          <w:lang w:val="es-CR"/>
        </w:rPr>
        <w:t xml:space="preserve"> mayor </w:t>
      </w:r>
      <w:r w:rsidR="00030BF6" w:rsidRPr="008D632B">
        <w:rPr>
          <w:rFonts w:ascii="Verdana" w:hAnsi="Verdana"/>
          <w:color w:val="auto"/>
          <w:sz w:val="20"/>
          <w:szCs w:val="20"/>
          <w:lang w:val="es-CR"/>
        </w:rPr>
        <w:t>precisión</w:t>
      </w:r>
      <w:r w:rsidR="00F27626" w:rsidRPr="008D632B">
        <w:rPr>
          <w:rFonts w:ascii="Verdana" w:hAnsi="Verdana"/>
          <w:color w:val="auto"/>
          <w:sz w:val="20"/>
          <w:szCs w:val="20"/>
          <w:lang w:val="es-CR"/>
        </w:rPr>
        <w:t xml:space="preserve"> y</w:t>
      </w:r>
      <w:r w:rsidR="00D17435" w:rsidRPr="008D632B">
        <w:rPr>
          <w:rFonts w:ascii="Verdana" w:hAnsi="Verdana"/>
          <w:color w:val="auto"/>
          <w:sz w:val="20"/>
          <w:szCs w:val="20"/>
          <w:lang w:val="es-CR"/>
        </w:rPr>
        <w:t xml:space="preserve"> </w:t>
      </w:r>
      <w:r w:rsidR="00030BF6" w:rsidRPr="008D632B">
        <w:rPr>
          <w:rFonts w:ascii="Verdana" w:hAnsi="Verdana"/>
          <w:color w:val="auto"/>
          <w:sz w:val="20"/>
          <w:szCs w:val="20"/>
          <w:lang w:val="es-CR"/>
        </w:rPr>
        <w:t>argumentación</w:t>
      </w:r>
      <w:r w:rsidR="00F27626" w:rsidRPr="008D632B">
        <w:rPr>
          <w:rFonts w:ascii="Verdana" w:hAnsi="Verdana"/>
          <w:color w:val="auto"/>
          <w:sz w:val="20"/>
          <w:szCs w:val="20"/>
          <w:lang w:val="es-CR"/>
        </w:rPr>
        <w:t xml:space="preserve"> en la fundamentación</w:t>
      </w:r>
      <w:r w:rsidR="00030BF6" w:rsidRPr="008D632B">
        <w:rPr>
          <w:rFonts w:ascii="Verdana" w:hAnsi="Verdana"/>
          <w:color w:val="auto"/>
          <w:sz w:val="20"/>
          <w:szCs w:val="20"/>
          <w:lang w:val="es-CR"/>
        </w:rPr>
        <w:t xml:space="preserve"> de la sentencia</w:t>
      </w:r>
      <w:r w:rsidR="00EE70F2" w:rsidRPr="008D632B">
        <w:rPr>
          <w:rFonts w:ascii="Verdana" w:hAnsi="Verdana"/>
          <w:color w:val="auto"/>
          <w:sz w:val="20"/>
          <w:szCs w:val="20"/>
          <w:lang w:val="es-CR"/>
        </w:rPr>
        <w:t>.</w:t>
      </w:r>
    </w:p>
    <w:p w14:paraId="1D166FF6" w14:textId="5E64A44E" w:rsidR="00900B64" w:rsidRPr="008D632B" w:rsidRDefault="00900B64" w:rsidP="00900B64">
      <w:pPr>
        <w:jc w:val="both"/>
        <w:rPr>
          <w:rFonts w:ascii="Verdana" w:hAnsi="Verdana"/>
          <w:lang w:val="es-CR"/>
        </w:rPr>
      </w:pPr>
    </w:p>
    <w:p w14:paraId="56002CB6" w14:textId="77777777" w:rsidR="00986307" w:rsidRPr="008D632B" w:rsidRDefault="00986307" w:rsidP="00900B64">
      <w:pPr>
        <w:jc w:val="both"/>
        <w:rPr>
          <w:rFonts w:ascii="Verdana" w:hAnsi="Verdana"/>
          <w:lang w:val="es-CR"/>
        </w:rPr>
      </w:pPr>
    </w:p>
    <w:p w14:paraId="43F2B58D" w14:textId="3A480565" w:rsidR="00900B64" w:rsidRPr="008D632B" w:rsidRDefault="00900B64" w:rsidP="00900B64">
      <w:pPr>
        <w:jc w:val="both"/>
        <w:rPr>
          <w:rFonts w:ascii="Verdana" w:hAnsi="Verdana"/>
          <w:b/>
          <w:lang w:val="es-CR"/>
        </w:rPr>
      </w:pPr>
      <w:r w:rsidRPr="008D632B">
        <w:rPr>
          <w:rFonts w:ascii="Verdana" w:hAnsi="Verdana"/>
          <w:b/>
          <w:lang w:val="es-CR"/>
        </w:rPr>
        <w:t>Planteamiento del problema</w:t>
      </w:r>
    </w:p>
    <w:p w14:paraId="4F3991FC" w14:textId="77777777" w:rsidR="0073767E" w:rsidRPr="008D632B" w:rsidRDefault="0073767E" w:rsidP="0073767E">
      <w:pPr>
        <w:pStyle w:val="ListParagraph"/>
        <w:ind w:left="0"/>
        <w:jc w:val="both"/>
        <w:rPr>
          <w:rFonts w:ascii="Verdana" w:hAnsi="Verdana"/>
          <w:sz w:val="20"/>
          <w:szCs w:val="20"/>
          <w:lang w:val="es-CR"/>
        </w:rPr>
      </w:pPr>
    </w:p>
    <w:p w14:paraId="353B0C48" w14:textId="7AA30E50" w:rsidR="00E67DCE" w:rsidRPr="008D632B" w:rsidRDefault="008058F7" w:rsidP="00E26319">
      <w:pPr>
        <w:pStyle w:val="ListParagraph"/>
        <w:numPr>
          <w:ilvl w:val="0"/>
          <w:numId w:val="10"/>
        </w:numPr>
        <w:ind w:left="0" w:firstLine="0"/>
        <w:jc w:val="both"/>
        <w:rPr>
          <w:rFonts w:ascii="Verdana" w:hAnsi="Verdana"/>
          <w:sz w:val="20"/>
          <w:szCs w:val="20"/>
          <w:lang w:val="es-CR"/>
        </w:rPr>
      </w:pPr>
      <w:r w:rsidRPr="008D632B">
        <w:rPr>
          <w:rFonts w:ascii="Verdana" w:hAnsi="Verdana"/>
          <w:sz w:val="20"/>
          <w:szCs w:val="20"/>
          <w:lang w:val="es-CR"/>
        </w:rPr>
        <w:t xml:space="preserve">En la decisión mayoritaria expresada en la sentencia </w:t>
      </w:r>
      <w:r w:rsidR="00640EA5" w:rsidRPr="008D632B">
        <w:rPr>
          <w:rFonts w:ascii="Verdana" w:hAnsi="Verdana"/>
          <w:sz w:val="20"/>
          <w:szCs w:val="20"/>
          <w:lang w:val="es-CR"/>
        </w:rPr>
        <w:t>se utiliza la figura del control de convencionalidad de manera indistinta</w:t>
      </w:r>
      <w:r w:rsidR="0086352B">
        <w:rPr>
          <w:rFonts w:ascii="Verdana" w:hAnsi="Verdana"/>
          <w:sz w:val="20"/>
          <w:szCs w:val="20"/>
          <w:lang w:val="es-CR"/>
        </w:rPr>
        <w:t>;</w:t>
      </w:r>
      <w:r w:rsidR="00B222FA" w:rsidRPr="008D632B">
        <w:rPr>
          <w:rFonts w:ascii="Verdana" w:hAnsi="Verdana"/>
          <w:sz w:val="20"/>
          <w:szCs w:val="20"/>
          <w:lang w:val="es-CR"/>
        </w:rPr>
        <w:t xml:space="preserve"> no se diferencia entre el control de convencionalidad como deber del Estado y todos sus órganos y funcionarios de cumplir una sentencia condenatoria, de </w:t>
      </w:r>
      <w:r w:rsidR="00A114B9" w:rsidRPr="008D632B">
        <w:rPr>
          <w:rFonts w:ascii="Verdana" w:hAnsi="Verdana"/>
          <w:sz w:val="20"/>
          <w:szCs w:val="20"/>
          <w:lang w:val="es-CR"/>
        </w:rPr>
        <w:t xml:space="preserve">control de convencionalidad como deber de todos los funcionarios de “utilizar” los </w:t>
      </w:r>
      <w:r w:rsidR="00E67DCE" w:rsidRPr="008D632B">
        <w:rPr>
          <w:rFonts w:ascii="Verdana" w:hAnsi="Verdana"/>
          <w:sz w:val="20"/>
          <w:szCs w:val="20"/>
          <w:lang w:val="es-CR"/>
        </w:rPr>
        <w:t>estándares</w:t>
      </w:r>
      <w:r w:rsidR="00A114B9" w:rsidRPr="008D632B">
        <w:rPr>
          <w:rFonts w:ascii="Verdana" w:hAnsi="Verdana"/>
          <w:sz w:val="20"/>
          <w:szCs w:val="20"/>
          <w:lang w:val="es-CR"/>
        </w:rPr>
        <w:t xml:space="preserve"> </w:t>
      </w:r>
      <w:r w:rsidR="00C36AE3" w:rsidRPr="008D632B">
        <w:rPr>
          <w:rFonts w:ascii="Verdana" w:hAnsi="Verdana"/>
          <w:sz w:val="20"/>
          <w:szCs w:val="20"/>
          <w:lang w:val="es-CR"/>
        </w:rPr>
        <w:t xml:space="preserve">contemplados en sentencias de condena de la Corte IDH a países </w:t>
      </w:r>
      <w:r w:rsidR="00E67DCE" w:rsidRPr="008D632B">
        <w:rPr>
          <w:rFonts w:ascii="Verdana" w:hAnsi="Verdana"/>
          <w:sz w:val="20"/>
          <w:szCs w:val="20"/>
          <w:lang w:val="es-CR"/>
        </w:rPr>
        <w:t xml:space="preserve">diferentes a Chile. La ausencia de </w:t>
      </w:r>
      <w:r w:rsidR="00787D43" w:rsidRPr="008D632B">
        <w:rPr>
          <w:rFonts w:ascii="Verdana" w:hAnsi="Verdana"/>
          <w:sz w:val="20"/>
          <w:szCs w:val="20"/>
          <w:lang w:val="es-CR"/>
        </w:rPr>
        <w:t>distinciones</w:t>
      </w:r>
      <w:r w:rsidR="001E42BF" w:rsidRPr="008D632B">
        <w:rPr>
          <w:rFonts w:ascii="Verdana" w:hAnsi="Verdana"/>
          <w:sz w:val="20"/>
          <w:szCs w:val="20"/>
          <w:lang w:val="es-CR"/>
        </w:rPr>
        <w:t xml:space="preserve"> puede generar confusión</w:t>
      </w:r>
      <w:r w:rsidR="008E400B" w:rsidRPr="008D632B">
        <w:rPr>
          <w:rFonts w:ascii="Verdana" w:hAnsi="Verdana"/>
          <w:sz w:val="20"/>
          <w:szCs w:val="20"/>
          <w:lang w:val="es-CR"/>
        </w:rPr>
        <w:t xml:space="preserve"> y mengua en la eficacia de la sentencia</w:t>
      </w:r>
      <w:r w:rsidR="00463A25" w:rsidRPr="008D632B">
        <w:rPr>
          <w:rFonts w:ascii="Verdana" w:hAnsi="Verdana"/>
          <w:sz w:val="20"/>
          <w:szCs w:val="20"/>
          <w:lang w:val="es-CR"/>
        </w:rPr>
        <w:t xml:space="preserve"> </w:t>
      </w:r>
      <w:r w:rsidR="001E42BF" w:rsidRPr="008D632B">
        <w:rPr>
          <w:rFonts w:ascii="Verdana" w:hAnsi="Verdana"/>
          <w:sz w:val="20"/>
          <w:szCs w:val="20"/>
          <w:lang w:val="es-CR"/>
        </w:rPr>
        <w:t>por los distintos operadores jurídicos chilenos.</w:t>
      </w:r>
    </w:p>
    <w:p w14:paraId="5873D6F7" w14:textId="77777777" w:rsidR="00E67DCE" w:rsidRPr="008D632B" w:rsidRDefault="00E67DCE" w:rsidP="00226EAE">
      <w:pPr>
        <w:pStyle w:val="ListParagraph"/>
        <w:ind w:left="0"/>
        <w:jc w:val="both"/>
        <w:rPr>
          <w:rFonts w:ascii="Verdana" w:hAnsi="Verdana"/>
          <w:sz w:val="20"/>
          <w:szCs w:val="20"/>
          <w:lang w:val="es-CR"/>
        </w:rPr>
      </w:pPr>
    </w:p>
    <w:p w14:paraId="4651F708" w14:textId="494181D6" w:rsidR="00E26319" w:rsidRPr="008D632B" w:rsidRDefault="00E35D00" w:rsidP="00E26319">
      <w:pPr>
        <w:pStyle w:val="ListParagraph"/>
        <w:numPr>
          <w:ilvl w:val="0"/>
          <w:numId w:val="10"/>
        </w:numPr>
        <w:ind w:left="0" w:firstLine="0"/>
        <w:jc w:val="both"/>
        <w:rPr>
          <w:rFonts w:ascii="Verdana" w:hAnsi="Verdana"/>
          <w:sz w:val="20"/>
          <w:szCs w:val="20"/>
          <w:lang w:val="es-CR"/>
        </w:rPr>
      </w:pPr>
      <w:r w:rsidRPr="008D632B">
        <w:rPr>
          <w:rFonts w:ascii="Verdana" w:hAnsi="Verdana"/>
          <w:sz w:val="20"/>
          <w:szCs w:val="20"/>
          <w:lang w:val="es-CR"/>
        </w:rPr>
        <w:t>En efecto, u</w:t>
      </w:r>
      <w:r w:rsidR="00226EAE" w:rsidRPr="008D632B">
        <w:rPr>
          <w:rFonts w:ascii="Verdana" w:hAnsi="Verdana"/>
          <w:sz w:val="20"/>
          <w:szCs w:val="20"/>
          <w:lang w:val="es-CR"/>
        </w:rPr>
        <w:t>na cosa es</w:t>
      </w:r>
      <w:r w:rsidR="004B6385" w:rsidRPr="008D632B">
        <w:rPr>
          <w:rFonts w:ascii="Verdana" w:hAnsi="Verdana"/>
          <w:sz w:val="20"/>
          <w:szCs w:val="20"/>
          <w:lang w:val="es-CR"/>
        </w:rPr>
        <w:t xml:space="preserve"> </w:t>
      </w:r>
      <w:r w:rsidR="00730642" w:rsidRPr="008D632B">
        <w:rPr>
          <w:rFonts w:ascii="Verdana" w:hAnsi="Verdana"/>
          <w:sz w:val="20"/>
          <w:szCs w:val="20"/>
          <w:lang w:val="es-CR"/>
        </w:rPr>
        <w:t>u</w:t>
      </w:r>
      <w:r w:rsidR="00431DA4" w:rsidRPr="008D632B">
        <w:rPr>
          <w:rFonts w:ascii="Verdana" w:hAnsi="Verdana"/>
          <w:sz w:val="20"/>
          <w:szCs w:val="20"/>
          <w:lang w:val="es-CR"/>
        </w:rPr>
        <w:t xml:space="preserve">tilizar la figura del control de convencionalidad como </w:t>
      </w:r>
      <w:r w:rsidR="00967DFE" w:rsidRPr="008D632B">
        <w:rPr>
          <w:rFonts w:ascii="Verdana" w:hAnsi="Verdana"/>
          <w:sz w:val="20"/>
          <w:szCs w:val="20"/>
          <w:lang w:val="es-CR"/>
        </w:rPr>
        <w:t xml:space="preserve">(i) </w:t>
      </w:r>
      <w:r w:rsidR="00431DA4" w:rsidRPr="008D632B">
        <w:rPr>
          <w:rFonts w:ascii="Verdana" w:hAnsi="Verdana"/>
          <w:sz w:val="20"/>
          <w:szCs w:val="20"/>
          <w:lang w:val="es-CR"/>
        </w:rPr>
        <w:t>un mecanismo para</w:t>
      </w:r>
      <w:r w:rsidR="00463A25" w:rsidRPr="008D632B">
        <w:rPr>
          <w:rFonts w:ascii="Verdana" w:hAnsi="Verdana"/>
          <w:sz w:val="20"/>
          <w:szCs w:val="20"/>
          <w:lang w:val="es-CR"/>
        </w:rPr>
        <w:t xml:space="preserve"> </w:t>
      </w:r>
      <w:r w:rsidR="00584B9E" w:rsidRPr="008D632B">
        <w:rPr>
          <w:rFonts w:ascii="Verdana" w:hAnsi="Verdana"/>
          <w:sz w:val="20"/>
          <w:szCs w:val="20"/>
          <w:lang w:val="es-CR"/>
        </w:rPr>
        <w:t>hacer cumplir una sentencia por las autoridades judiciales de un país condenado</w:t>
      </w:r>
      <w:r w:rsidR="00150A3B" w:rsidRPr="008D632B">
        <w:rPr>
          <w:rFonts w:ascii="Verdana" w:hAnsi="Verdana"/>
          <w:sz w:val="20"/>
          <w:szCs w:val="20"/>
          <w:lang w:val="es-CR"/>
        </w:rPr>
        <w:t xml:space="preserve">, </w:t>
      </w:r>
      <w:r w:rsidRPr="008D632B">
        <w:rPr>
          <w:rFonts w:ascii="Verdana" w:hAnsi="Verdana"/>
          <w:sz w:val="20"/>
          <w:szCs w:val="20"/>
          <w:lang w:val="es-CR"/>
        </w:rPr>
        <w:t xml:space="preserve">en este caso </w:t>
      </w:r>
      <w:r w:rsidR="00150A3B" w:rsidRPr="008D632B">
        <w:rPr>
          <w:rFonts w:ascii="Verdana" w:hAnsi="Verdana"/>
          <w:sz w:val="20"/>
          <w:szCs w:val="20"/>
          <w:lang w:val="es-CR"/>
        </w:rPr>
        <w:t>para</w:t>
      </w:r>
      <w:r w:rsidR="00431DA4" w:rsidRPr="008D632B">
        <w:rPr>
          <w:rFonts w:ascii="Verdana" w:hAnsi="Verdana"/>
          <w:sz w:val="20"/>
          <w:szCs w:val="20"/>
          <w:lang w:val="es-CR"/>
        </w:rPr>
        <w:t xml:space="preserve"> </w:t>
      </w:r>
      <w:r w:rsidR="007F649D" w:rsidRPr="008D632B">
        <w:rPr>
          <w:rFonts w:ascii="Verdana" w:hAnsi="Verdana"/>
          <w:sz w:val="20"/>
          <w:szCs w:val="20"/>
          <w:lang w:val="es-CR"/>
        </w:rPr>
        <w:t>log</w:t>
      </w:r>
      <w:r w:rsidR="009A31AC" w:rsidRPr="008D632B">
        <w:rPr>
          <w:rFonts w:ascii="Verdana" w:hAnsi="Verdana"/>
          <w:sz w:val="20"/>
          <w:szCs w:val="20"/>
          <w:lang w:val="es-CR"/>
        </w:rPr>
        <w:t xml:space="preserve">rar una </w:t>
      </w:r>
      <w:r w:rsidRPr="008D632B">
        <w:rPr>
          <w:rFonts w:ascii="Verdana" w:hAnsi="Verdana"/>
          <w:sz w:val="20"/>
          <w:szCs w:val="20"/>
          <w:lang w:val="es-CR"/>
        </w:rPr>
        <w:t xml:space="preserve">interpretación y </w:t>
      </w:r>
      <w:r w:rsidR="009A31AC" w:rsidRPr="008D632B">
        <w:rPr>
          <w:rFonts w:ascii="Verdana" w:hAnsi="Verdana"/>
          <w:sz w:val="20"/>
          <w:szCs w:val="20"/>
          <w:lang w:val="es-CR"/>
        </w:rPr>
        <w:t xml:space="preserve">aplicación homogénea </w:t>
      </w:r>
      <w:r w:rsidR="008D116E" w:rsidRPr="008D632B">
        <w:rPr>
          <w:rFonts w:ascii="Verdana" w:hAnsi="Verdana"/>
          <w:sz w:val="20"/>
          <w:szCs w:val="20"/>
          <w:lang w:val="es-CR"/>
        </w:rPr>
        <w:t>de la ley</w:t>
      </w:r>
      <w:r w:rsidR="006666F5" w:rsidRPr="008D632B">
        <w:rPr>
          <w:rFonts w:ascii="Verdana" w:hAnsi="Verdana"/>
          <w:sz w:val="20"/>
          <w:szCs w:val="20"/>
          <w:lang w:val="es-CR"/>
        </w:rPr>
        <w:t xml:space="preserve"> en el país condenado</w:t>
      </w:r>
      <w:r w:rsidR="00AF2C64" w:rsidRPr="008D632B">
        <w:rPr>
          <w:rFonts w:ascii="Verdana" w:hAnsi="Verdana"/>
          <w:sz w:val="20"/>
          <w:szCs w:val="20"/>
          <w:lang w:val="es-CR"/>
        </w:rPr>
        <w:t>, como una especie de garantía de no repetición</w:t>
      </w:r>
      <w:r w:rsidRPr="008D632B">
        <w:rPr>
          <w:rFonts w:ascii="Verdana" w:hAnsi="Verdana"/>
          <w:sz w:val="20"/>
          <w:szCs w:val="20"/>
          <w:lang w:val="es-CR"/>
        </w:rPr>
        <w:t>,</w:t>
      </w:r>
      <w:r w:rsidR="00730642" w:rsidRPr="008D632B">
        <w:rPr>
          <w:rFonts w:ascii="Verdana" w:hAnsi="Verdana"/>
          <w:sz w:val="20"/>
          <w:szCs w:val="20"/>
          <w:lang w:val="es-CR"/>
        </w:rPr>
        <w:t xml:space="preserve"> y otra </w:t>
      </w:r>
      <w:r w:rsidR="00967DFE" w:rsidRPr="008D632B">
        <w:rPr>
          <w:rFonts w:ascii="Verdana" w:hAnsi="Verdana"/>
          <w:sz w:val="20"/>
          <w:szCs w:val="20"/>
          <w:lang w:val="es-CR"/>
        </w:rPr>
        <w:t>diferente</w:t>
      </w:r>
      <w:r w:rsidRPr="008D632B">
        <w:rPr>
          <w:rFonts w:ascii="Verdana" w:hAnsi="Verdana"/>
          <w:sz w:val="20"/>
          <w:szCs w:val="20"/>
          <w:lang w:val="es-CR"/>
        </w:rPr>
        <w:t xml:space="preserve"> emplearlo</w:t>
      </w:r>
      <w:r w:rsidR="00967DFE" w:rsidRPr="008D632B">
        <w:rPr>
          <w:rFonts w:ascii="Verdana" w:hAnsi="Verdana"/>
          <w:sz w:val="20"/>
          <w:szCs w:val="20"/>
          <w:lang w:val="es-CR"/>
        </w:rPr>
        <w:t xml:space="preserve"> (ii) </w:t>
      </w:r>
      <w:r w:rsidR="00453F9C" w:rsidRPr="008D632B">
        <w:rPr>
          <w:rFonts w:ascii="Verdana" w:hAnsi="Verdana"/>
          <w:sz w:val="20"/>
          <w:szCs w:val="20"/>
          <w:lang w:val="es-CR"/>
        </w:rPr>
        <w:t xml:space="preserve">como </w:t>
      </w:r>
      <w:r w:rsidR="004D7CBC" w:rsidRPr="008D632B">
        <w:rPr>
          <w:rFonts w:ascii="Verdana" w:hAnsi="Verdana"/>
          <w:sz w:val="20"/>
          <w:szCs w:val="20"/>
          <w:lang w:val="es-CR"/>
        </w:rPr>
        <w:t>mecanismo de obligatoria</w:t>
      </w:r>
      <w:r w:rsidR="00150A3B" w:rsidRPr="008D632B">
        <w:rPr>
          <w:rFonts w:ascii="Verdana" w:hAnsi="Verdana"/>
          <w:sz w:val="20"/>
          <w:szCs w:val="20"/>
          <w:lang w:val="es-CR"/>
        </w:rPr>
        <w:t xml:space="preserve"> </w:t>
      </w:r>
      <w:r w:rsidR="00E36B65" w:rsidRPr="008D632B">
        <w:rPr>
          <w:rFonts w:ascii="Verdana" w:hAnsi="Verdana"/>
          <w:sz w:val="20"/>
          <w:szCs w:val="20"/>
          <w:lang w:val="es-CR"/>
        </w:rPr>
        <w:t>utilización del derecho inter</w:t>
      </w:r>
      <w:r w:rsidR="00FB065E" w:rsidRPr="008D632B">
        <w:rPr>
          <w:rFonts w:ascii="Verdana" w:hAnsi="Verdana"/>
          <w:sz w:val="20"/>
          <w:szCs w:val="20"/>
          <w:lang w:val="es-CR"/>
        </w:rPr>
        <w:t>americano</w:t>
      </w:r>
      <w:r w:rsidR="004250B4" w:rsidRPr="008D632B">
        <w:rPr>
          <w:rFonts w:ascii="Verdana" w:hAnsi="Verdana"/>
          <w:sz w:val="20"/>
          <w:szCs w:val="20"/>
          <w:lang w:val="es-CR"/>
        </w:rPr>
        <w:t xml:space="preserve"> (de </w:t>
      </w:r>
      <w:r w:rsidR="00967DFE" w:rsidRPr="008D632B">
        <w:rPr>
          <w:rFonts w:ascii="Verdana" w:hAnsi="Verdana"/>
          <w:sz w:val="20"/>
          <w:szCs w:val="20"/>
          <w:lang w:val="es-CR"/>
        </w:rPr>
        <w:t>aplicación</w:t>
      </w:r>
      <w:r w:rsidR="004250B4" w:rsidRPr="008D632B">
        <w:rPr>
          <w:rFonts w:ascii="Verdana" w:hAnsi="Verdana"/>
          <w:sz w:val="20"/>
          <w:szCs w:val="20"/>
          <w:lang w:val="es-CR"/>
        </w:rPr>
        <w:t xml:space="preserve"> de </w:t>
      </w:r>
      <w:r w:rsidR="004250B4" w:rsidRPr="008D632B">
        <w:rPr>
          <w:rFonts w:ascii="Verdana" w:hAnsi="Verdana"/>
          <w:sz w:val="20"/>
          <w:szCs w:val="20"/>
          <w:lang w:val="es-CR"/>
        </w:rPr>
        <w:lastRenderedPageBreak/>
        <w:t>estándar</w:t>
      </w:r>
      <w:r w:rsidR="004B6385" w:rsidRPr="008D632B">
        <w:rPr>
          <w:rFonts w:ascii="Verdana" w:hAnsi="Verdana"/>
          <w:sz w:val="20"/>
          <w:szCs w:val="20"/>
          <w:lang w:val="es-CR"/>
        </w:rPr>
        <w:t>es</w:t>
      </w:r>
      <w:r w:rsidR="004250B4" w:rsidRPr="008D632B">
        <w:rPr>
          <w:rFonts w:ascii="Verdana" w:hAnsi="Verdana"/>
          <w:sz w:val="20"/>
          <w:szCs w:val="20"/>
          <w:lang w:val="es-CR"/>
        </w:rPr>
        <w:t xml:space="preserve"> o líneas de interpretación de derechos humanos</w:t>
      </w:r>
      <w:r w:rsidR="004B6385" w:rsidRPr="008D632B">
        <w:rPr>
          <w:rFonts w:ascii="Verdana" w:hAnsi="Verdana"/>
          <w:sz w:val="20"/>
          <w:szCs w:val="20"/>
          <w:lang w:val="es-CR"/>
        </w:rPr>
        <w:t>)</w:t>
      </w:r>
      <w:r w:rsidR="00FB065E" w:rsidRPr="008D632B">
        <w:rPr>
          <w:rFonts w:ascii="Verdana" w:hAnsi="Verdana"/>
          <w:sz w:val="20"/>
          <w:szCs w:val="20"/>
          <w:lang w:val="es-CR"/>
        </w:rPr>
        <w:t xml:space="preserve"> </w:t>
      </w:r>
      <w:r w:rsidR="00E36B65" w:rsidRPr="008D632B">
        <w:rPr>
          <w:rFonts w:ascii="Verdana" w:hAnsi="Verdana"/>
          <w:sz w:val="20"/>
          <w:szCs w:val="20"/>
          <w:lang w:val="es-CR"/>
        </w:rPr>
        <w:t>junto con las fuentes internas</w:t>
      </w:r>
      <w:r w:rsidR="00092CE4" w:rsidRPr="008D632B">
        <w:rPr>
          <w:rFonts w:ascii="Verdana" w:hAnsi="Verdana"/>
          <w:sz w:val="20"/>
          <w:szCs w:val="20"/>
          <w:lang w:val="es-CR"/>
        </w:rPr>
        <w:t xml:space="preserve"> de manera </w:t>
      </w:r>
      <w:r w:rsidR="00CB7FB1" w:rsidRPr="008D632B">
        <w:rPr>
          <w:rFonts w:ascii="Verdana" w:hAnsi="Verdana"/>
          <w:sz w:val="20"/>
          <w:szCs w:val="20"/>
          <w:lang w:val="es-CR"/>
        </w:rPr>
        <w:t>“</w:t>
      </w:r>
      <w:r w:rsidR="00CB7FB1" w:rsidRPr="008D632B">
        <w:rPr>
          <w:rFonts w:ascii="Verdana" w:hAnsi="Verdana"/>
          <w:i/>
          <w:sz w:val="20"/>
          <w:szCs w:val="20"/>
          <w:lang w:val="es-CO"/>
        </w:rPr>
        <w:t>ex officio</w:t>
      </w:r>
      <w:r w:rsidR="00CB7FB1" w:rsidRPr="008D632B">
        <w:rPr>
          <w:rFonts w:ascii="Verdana" w:hAnsi="Verdana"/>
          <w:sz w:val="20"/>
          <w:szCs w:val="20"/>
          <w:lang w:val="es-CO"/>
        </w:rPr>
        <w:t xml:space="preserve"> en el marco de sus respectivas competencias y de las regulaciones procesales correspondientes” (párrafo 135)</w:t>
      </w:r>
      <w:r w:rsidR="00AF2C64" w:rsidRPr="008D632B">
        <w:rPr>
          <w:rFonts w:ascii="Verdana" w:hAnsi="Verdana"/>
          <w:sz w:val="20"/>
          <w:szCs w:val="20"/>
          <w:lang w:val="es-CR"/>
        </w:rPr>
        <w:t>.</w:t>
      </w:r>
      <w:r w:rsidR="0073767E" w:rsidRPr="008D632B">
        <w:rPr>
          <w:rFonts w:ascii="Verdana" w:hAnsi="Verdana"/>
          <w:sz w:val="20"/>
          <w:szCs w:val="20"/>
          <w:lang w:val="es-CR"/>
        </w:rPr>
        <w:t xml:space="preserve"> Para explicar </w:t>
      </w:r>
      <w:r w:rsidR="00D706E5" w:rsidRPr="008D632B">
        <w:rPr>
          <w:rFonts w:ascii="Verdana" w:hAnsi="Verdana"/>
          <w:sz w:val="20"/>
          <w:szCs w:val="20"/>
          <w:lang w:val="es-CR"/>
        </w:rPr>
        <w:t xml:space="preserve">mi </w:t>
      </w:r>
      <w:r w:rsidRPr="008D632B">
        <w:rPr>
          <w:rFonts w:ascii="Verdana" w:hAnsi="Verdana"/>
          <w:sz w:val="20"/>
          <w:szCs w:val="20"/>
          <w:lang w:val="es-CR"/>
        </w:rPr>
        <w:t xml:space="preserve">punto de vista </w:t>
      </w:r>
      <w:r w:rsidR="00D706E5" w:rsidRPr="008D632B">
        <w:rPr>
          <w:rFonts w:ascii="Verdana" w:hAnsi="Verdana"/>
          <w:sz w:val="20"/>
          <w:szCs w:val="20"/>
          <w:lang w:val="es-CR"/>
        </w:rPr>
        <w:t xml:space="preserve">sobre este aspecto de la sentencia me referiré en primer lugar a </w:t>
      </w:r>
      <w:r w:rsidR="002D7293" w:rsidRPr="008D632B">
        <w:rPr>
          <w:rFonts w:ascii="Verdana" w:hAnsi="Verdana"/>
          <w:sz w:val="20"/>
          <w:szCs w:val="20"/>
          <w:lang w:val="es-CR"/>
        </w:rPr>
        <w:t xml:space="preserve">unos </w:t>
      </w:r>
      <w:r w:rsidR="009C0F10" w:rsidRPr="008D632B">
        <w:rPr>
          <w:rFonts w:ascii="Verdana" w:hAnsi="Verdana"/>
          <w:sz w:val="20"/>
          <w:szCs w:val="20"/>
          <w:lang w:val="es-CR"/>
        </w:rPr>
        <w:t>aspectos</w:t>
      </w:r>
      <w:r w:rsidR="002D7293" w:rsidRPr="008D632B">
        <w:rPr>
          <w:rFonts w:ascii="Verdana" w:hAnsi="Verdana"/>
          <w:sz w:val="20"/>
          <w:szCs w:val="20"/>
          <w:lang w:val="es-CR"/>
        </w:rPr>
        <w:t xml:space="preserve"> relativos a</w:t>
      </w:r>
      <w:r w:rsidR="00B60CF5" w:rsidRPr="008D632B">
        <w:rPr>
          <w:rFonts w:ascii="Verdana" w:hAnsi="Verdana"/>
          <w:sz w:val="20"/>
          <w:szCs w:val="20"/>
          <w:lang w:val="es-CR"/>
        </w:rPr>
        <w:t xml:space="preserve"> las </w:t>
      </w:r>
      <w:r w:rsidR="00760F3F" w:rsidRPr="008D632B">
        <w:rPr>
          <w:rFonts w:ascii="Verdana" w:hAnsi="Verdana"/>
          <w:sz w:val="20"/>
          <w:szCs w:val="20"/>
          <w:lang w:val="es-CR"/>
        </w:rPr>
        <w:t xml:space="preserve">distintas </w:t>
      </w:r>
      <w:r w:rsidR="002D7293" w:rsidRPr="008D632B">
        <w:rPr>
          <w:rFonts w:ascii="Verdana" w:hAnsi="Verdana"/>
          <w:sz w:val="20"/>
          <w:szCs w:val="20"/>
          <w:lang w:val="es-CR"/>
        </w:rPr>
        <w:t>forma</w:t>
      </w:r>
      <w:r w:rsidR="00760F3F" w:rsidRPr="008D632B">
        <w:rPr>
          <w:rFonts w:ascii="Verdana" w:hAnsi="Verdana"/>
          <w:sz w:val="20"/>
          <w:szCs w:val="20"/>
          <w:lang w:val="es-CR"/>
        </w:rPr>
        <w:t>s</w:t>
      </w:r>
      <w:r w:rsidR="002D7293" w:rsidRPr="008D632B">
        <w:rPr>
          <w:rFonts w:ascii="Verdana" w:hAnsi="Verdana"/>
          <w:sz w:val="20"/>
          <w:szCs w:val="20"/>
          <w:lang w:val="es-CR"/>
        </w:rPr>
        <w:t xml:space="preserve"> de comprender </w:t>
      </w:r>
      <w:r w:rsidR="0053387A" w:rsidRPr="008D632B">
        <w:rPr>
          <w:rFonts w:ascii="Verdana" w:hAnsi="Verdana"/>
          <w:sz w:val="20"/>
          <w:szCs w:val="20"/>
          <w:lang w:val="es-CR"/>
        </w:rPr>
        <w:t>el control de convencionalidad, y en segundo lugar a las peculiaridades del caso concreto</w:t>
      </w:r>
      <w:r w:rsidR="00760F3F" w:rsidRPr="008D632B">
        <w:rPr>
          <w:rFonts w:ascii="Verdana" w:hAnsi="Verdana"/>
          <w:sz w:val="20"/>
          <w:szCs w:val="20"/>
          <w:lang w:val="es-CR"/>
        </w:rPr>
        <w:t xml:space="preserve"> y a la</w:t>
      </w:r>
      <w:r w:rsidR="006666F5" w:rsidRPr="008D632B">
        <w:rPr>
          <w:rFonts w:ascii="Verdana" w:hAnsi="Verdana"/>
          <w:sz w:val="20"/>
          <w:szCs w:val="20"/>
          <w:lang w:val="es-CR"/>
        </w:rPr>
        <w:t xml:space="preserve">s confusiones </w:t>
      </w:r>
      <w:r w:rsidR="006161ED" w:rsidRPr="008D632B">
        <w:rPr>
          <w:rFonts w:ascii="Verdana" w:hAnsi="Verdana"/>
          <w:sz w:val="20"/>
          <w:szCs w:val="20"/>
          <w:lang w:val="es-CR"/>
        </w:rPr>
        <w:t xml:space="preserve">que se podrían </w:t>
      </w:r>
      <w:r w:rsidR="00373ADE" w:rsidRPr="008D632B">
        <w:rPr>
          <w:rFonts w:ascii="Verdana" w:hAnsi="Verdana"/>
          <w:sz w:val="20"/>
          <w:szCs w:val="20"/>
          <w:lang w:val="es-CR"/>
        </w:rPr>
        <w:t>generar</w:t>
      </w:r>
      <w:r w:rsidR="006161ED" w:rsidRPr="008D632B">
        <w:rPr>
          <w:rFonts w:ascii="Verdana" w:hAnsi="Verdana"/>
          <w:sz w:val="20"/>
          <w:szCs w:val="20"/>
          <w:lang w:val="es-CR"/>
        </w:rPr>
        <w:t xml:space="preserve"> por la manera como se </w:t>
      </w:r>
      <w:r w:rsidR="00373ADE" w:rsidRPr="008D632B">
        <w:rPr>
          <w:rFonts w:ascii="Verdana" w:hAnsi="Verdana"/>
          <w:sz w:val="20"/>
          <w:szCs w:val="20"/>
          <w:lang w:val="es-CR"/>
        </w:rPr>
        <w:t>formula la deci</w:t>
      </w:r>
      <w:r w:rsidR="00FE0A42" w:rsidRPr="008D632B">
        <w:rPr>
          <w:rFonts w:ascii="Verdana" w:hAnsi="Verdana"/>
          <w:sz w:val="20"/>
          <w:szCs w:val="20"/>
          <w:lang w:val="es-CR"/>
        </w:rPr>
        <w:t>sió</w:t>
      </w:r>
      <w:r w:rsidR="00373ADE" w:rsidRPr="008D632B">
        <w:rPr>
          <w:rFonts w:ascii="Verdana" w:hAnsi="Verdana"/>
          <w:sz w:val="20"/>
          <w:szCs w:val="20"/>
          <w:lang w:val="es-CR"/>
        </w:rPr>
        <w:t>n de la</w:t>
      </w:r>
      <w:r w:rsidR="006161ED" w:rsidRPr="008D632B">
        <w:rPr>
          <w:rFonts w:ascii="Verdana" w:hAnsi="Verdana"/>
          <w:sz w:val="20"/>
          <w:szCs w:val="20"/>
          <w:lang w:val="es-CR"/>
        </w:rPr>
        <w:t xml:space="preserve"> Corte</w:t>
      </w:r>
      <w:r w:rsidR="00373ADE" w:rsidRPr="008D632B">
        <w:rPr>
          <w:rFonts w:ascii="Verdana" w:hAnsi="Verdana"/>
          <w:sz w:val="20"/>
          <w:szCs w:val="20"/>
          <w:lang w:val="es-CR"/>
        </w:rPr>
        <w:t>.</w:t>
      </w:r>
    </w:p>
    <w:p w14:paraId="47BD05DD" w14:textId="77777777" w:rsidR="007071AE" w:rsidRPr="008D632B" w:rsidRDefault="007071AE" w:rsidP="007071AE">
      <w:pPr>
        <w:pStyle w:val="ListParagraph"/>
        <w:ind w:left="0"/>
        <w:jc w:val="both"/>
        <w:rPr>
          <w:rFonts w:ascii="Verdana" w:hAnsi="Verdana"/>
          <w:sz w:val="20"/>
          <w:szCs w:val="20"/>
          <w:lang w:val="es-CR"/>
        </w:rPr>
      </w:pPr>
    </w:p>
    <w:p w14:paraId="1CBFBB32" w14:textId="2B5E3973" w:rsidR="007071AE" w:rsidRPr="008D632B" w:rsidRDefault="007071AE" w:rsidP="008E0996">
      <w:pPr>
        <w:pStyle w:val="ListParagraph"/>
        <w:rPr>
          <w:rFonts w:ascii="Verdana" w:hAnsi="Verdana"/>
          <w:sz w:val="20"/>
          <w:szCs w:val="20"/>
          <w:lang w:val="es-CR"/>
        </w:rPr>
      </w:pPr>
    </w:p>
    <w:p w14:paraId="0C1B30CC" w14:textId="2A6026E3" w:rsidR="007071AE" w:rsidRPr="008D632B" w:rsidRDefault="007071AE" w:rsidP="007071AE">
      <w:pPr>
        <w:jc w:val="both"/>
        <w:rPr>
          <w:rFonts w:ascii="Verdana" w:hAnsi="Verdana"/>
          <w:b/>
          <w:i/>
        </w:rPr>
      </w:pPr>
      <w:r w:rsidRPr="008D632B">
        <w:rPr>
          <w:rFonts w:ascii="Verdana" w:hAnsi="Verdana"/>
          <w:b/>
          <w:i/>
        </w:rPr>
        <w:t>Sobre el concepto</w:t>
      </w:r>
      <w:r w:rsidR="00141727" w:rsidRPr="008D632B">
        <w:rPr>
          <w:rFonts w:ascii="Verdana" w:hAnsi="Verdana"/>
          <w:b/>
          <w:i/>
        </w:rPr>
        <w:t xml:space="preserve"> y las modalidades del control de convencionalidad</w:t>
      </w:r>
    </w:p>
    <w:p w14:paraId="11FD11CF" w14:textId="77777777" w:rsidR="008E0996" w:rsidRPr="008D632B" w:rsidRDefault="008E0996" w:rsidP="008E0996">
      <w:pPr>
        <w:jc w:val="both"/>
        <w:rPr>
          <w:rFonts w:ascii="Verdana" w:hAnsi="Verdana"/>
          <w:lang w:val="es-CR"/>
        </w:rPr>
      </w:pPr>
    </w:p>
    <w:p w14:paraId="26840376" w14:textId="5D433984" w:rsidR="00451F74" w:rsidRPr="008D632B" w:rsidRDefault="00AC4855" w:rsidP="00451F74">
      <w:pPr>
        <w:pStyle w:val="ListParagraph"/>
        <w:numPr>
          <w:ilvl w:val="0"/>
          <w:numId w:val="10"/>
        </w:numPr>
        <w:ind w:left="0" w:firstLine="0"/>
        <w:jc w:val="both"/>
        <w:rPr>
          <w:rFonts w:ascii="Verdana" w:hAnsi="Verdana"/>
          <w:sz w:val="20"/>
          <w:szCs w:val="20"/>
          <w:lang w:val="es-CR"/>
        </w:rPr>
      </w:pPr>
      <w:r w:rsidRPr="008D632B">
        <w:rPr>
          <w:rFonts w:ascii="Verdana" w:hAnsi="Verdana"/>
          <w:sz w:val="20"/>
          <w:szCs w:val="20"/>
          <w:lang w:val="es-CR"/>
        </w:rPr>
        <w:t>E</w:t>
      </w:r>
      <w:r w:rsidR="00A316FC" w:rsidRPr="008D632B">
        <w:rPr>
          <w:rFonts w:ascii="Verdana" w:hAnsi="Verdana"/>
          <w:sz w:val="20"/>
          <w:szCs w:val="20"/>
          <w:lang w:val="es-CR"/>
        </w:rPr>
        <w:t>l control de convencionalidad ha sido definido por la Corte como</w:t>
      </w:r>
      <w:r w:rsidR="006E2F02" w:rsidRPr="008D632B">
        <w:rPr>
          <w:rFonts w:ascii="Verdana" w:hAnsi="Verdana"/>
          <w:sz w:val="20"/>
          <w:szCs w:val="20"/>
          <w:lang w:val="es-CR"/>
        </w:rPr>
        <w:t xml:space="preserve"> “una institución que se utiliza para aplicar el Derecho Internacional, en este caso el Derecho Internacional de los Derechos Humanos, y específicamente la Convención Americana y sus fuentes, incluyendo la jurisprudencia de este Tribunal”</w:t>
      </w:r>
      <w:r w:rsidR="006E2F02" w:rsidRPr="008D632B">
        <w:rPr>
          <w:rStyle w:val="FootnoteReference"/>
          <w:rFonts w:ascii="Verdana" w:hAnsi="Verdana"/>
          <w:sz w:val="20"/>
          <w:szCs w:val="20"/>
          <w:lang w:val="es-CR"/>
        </w:rPr>
        <w:footnoteReference w:id="8"/>
      </w:r>
      <w:r w:rsidR="006E2F02" w:rsidRPr="008D632B">
        <w:rPr>
          <w:rFonts w:ascii="Verdana" w:hAnsi="Verdana"/>
          <w:sz w:val="20"/>
          <w:szCs w:val="20"/>
          <w:lang w:val="es-CR"/>
        </w:rPr>
        <w:t>. Recientemente, se ha hecho énfasis en que</w:t>
      </w:r>
      <w:r w:rsidR="0086352B">
        <w:rPr>
          <w:rFonts w:ascii="Verdana" w:hAnsi="Verdana"/>
          <w:sz w:val="20"/>
          <w:szCs w:val="20"/>
          <w:lang w:val="es-CR"/>
        </w:rPr>
        <w:t>,</w:t>
      </w:r>
      <w:r w:rsidR="006E2F02" w:rsidRPr="008D632B">
        <w:rPr>
          <w:rFonts w:ascii="Verdana" w:hAnsi="Verdana"/>
          <w:sz w:val="20"/>
          <w:szCs w:val="20"/>
          <w:lang w:val="es-CR"/>
        </w:rPr>
        <w:t xml:space="preserve"> en virtud de la naturaleza complementaria o subsidiaria de la jurisdicción internacional</w:t>
      </w:r>
      <w:r w:rsidR="0086352B">
        <w:rPr>
          <w:rFonts w:ascii="Verdana" w:hAnsi="Verdana"/>
          <w:sz w:val="20"/>
          <w:szCs w:val="20"/>
          <w:lang w:val="es-CR"/>
        </w:rPr>
        <w:t>,</w:t>
      </w:r>
      <w:r w:rsidR="006E2F02" w:rsidRPr="008D632B">
        <w:rPr>
          <w:rFonts w:ascii="Verdana" w:hAnsi="Verdana"/>
          <w:sz w:val="20"/>
          <w:szCs w:val="20"/>
          <w:lang w:val="es-CR"/>
        </w:rPr>
        <w:t xml:space="preserve"> las autoridades estatales deben realizar un control de convencionalidad de forma tal que “la interpretación y aplicación del derecho nacional sea consistente con las obligaciones internacionales del Estado en materia de derechos humanos”</w:t>
      </w:r>
      <w:r w:rsidR="006E2F02" w:rsidRPr="008D632B">
        <w:rPr>
          <w:rStyle w:val="FootnoteReference"/>
          <w:rFonts w:ascii="Verdana" w:hAnsi="Verdana"/>
          <w:sz w:val="20"/>
          <w:szCs w:val="20"/>
          <w:lang w:val="es-CR"/>
        </w:rPr>
        <w:footnoteReference w:id="9"/>
      </w:r>
      <w:r w:rsidR="006E2F02" w:rsidRPr="008D632B">
        <w:rPr>
          <w:rFonts w:ascii="Verdana" w:hAnsi="Verdana"/>
          <w:sz w:val="20"/>
          <w:szCs w:val="20"/>
          <w:lang w:val="es-CR"/>
        </w:rPr>
        <w:t>. En su formulación habitual –la cual es</w:t>
      </w:r>
      <w:r w:rsidR="00451F74" w:rsidRPr="008D632B">
        <w:rPr>
          <w:rFonts w:ascii="Verdana" w:hAnsi="Verdana"/>
          <w:sz w:val="20"/>
          <w:szCs w:val="20"/>
          <w:lang w:val="es-CR"/>
        </w:rPr>
        <w:t xml:space="preserve"> </w:t>
      </w:r>
      <w:r w:rsidR="007F2D2D" w:rsidRPr="008D632B">
        <w:rPr>
          <w:rFonts w:ascii="Verdana" w:hAnsi="Verdana"/>
          <w:sz w:val="20"/>
          <w:szCs w:val="20"/>
          <w:lang w:val="es-CR"/>
        </w:rPr>
        <w:t>reiterada en esta S</w:t>
      </w:r>
      <w:r w:rsidR="006E2F02" w:rsidRPr="008D632B">
        <w:rPr>
          <w:rFonts w:ascii="Verdana" w:hAnsi="Verdana"/>
          <w:sz w:val="20"/>
          <w:szCs w:val="20"/>
          <w:lang w:val="es-CR"/>
        </w:rPr>
        <w:t>entencia–</w:t>
      </w:r>
      <w:r w:rsidR="007F2D2D" w:rsidRPr="008D632B">
        <w:rPr>
          <w:rFonts w:ascii="Verdana" w:hAnsi="Verdana"/>
          <w:sz w:val="20"/>
          <w:szCs w:val="20"/>
          <w:lang w:val="es-CR"/>
        </w:rPr>
        <w:t>,</w:t>
      </w:r>
      <w:r w:rsidR="006E2F02" w:rsidRPr="008D632B">
        <w:rPr>
          <w:rFonts w:ascii="Verdana" w:hAnsi="Verdana"/>
          <w:sz w:val="20"/>
          <w:szCs w:val="20"/>
          <w:lang w:val="es-CR"/>
        </w:rPr>
        <w:t xml:space="preserve"> la Cort</w:t>
      </w:r>
      <w:r w:rsidR="00451F74" w:rsidRPr="008D632B">
        <w:rPr>
          <w:rFonts w:ascii="Verdana" w:hAnsi="Verdana"/>
          <w:sz w:val="20"/>
          <w:szCs w:val="20"/>
          <w:lang w:val="es-CR"/>
        </w:rPr>
        <w:t xml:space="preserve">e ha establecido que “es también necesario recordar que la obligación de ejercer un “control de convencionalidad” entre las normas internas o los actos estatales y la Convención Americana, incumbe a todos los jueces y órganos vinculados a la administración de justicia, en todos los niveles, y debe ser realizada </w:t>
      </w:r>
      <w:r w:rsidR="00451F74" w:rsidRPr="008D632B">
        <w:rPr>
          <w:rFonts w:ascii="Verdana" w:hAnsi="Verdana"/>
          <w:i/>
          <w:sz w:val="20"/>
          <w:szCs w:val="20"/>
          <w:lang w:val="es-CR"/>
        </w:rPr>
        <w:t>ex officio</w:t>
      </w:r>
      <w:r w:rsidR="00451F74" w:rsidRPr="008D632B">
        <w:rPr>
          <w:rFonts w:ascii="Verdana" w:hAnsi="Verdana"/>
          <w:sz w:val="20"/>
          <w:szCs w:val="20"/>
          <w:lang w:val="es-CR"/>
        </w:rPr>
        <w:t xml:space="preserve"> en el marco de sus respectivas competencias y de las regulaciones procesales correspondientes”</w:t>
      </w:r>
      <w:r w:rsidR="00451F74" w:rsidRPr="008D632B">
        <w:rPr>
          <w:rStyle w:val="FootnoteReference"/>
          <w:rFonts w:ascii="Verdana" w:hAnsi="Verdana"/>
          <w:sz w:val="20"/>
          <w:szCs w:val="20"/>
          <w:lang w:val="es-CR"/>
        </w:rPr>
        <w:footnoteReference w:id="10"/>
      </w:r>
      <w:r w:rsidR="00451F74" w:rsidRPr="008D632B">
        <w:rPr>
          <w:rFonts w:ascii="Verdana" w:hAnsi="Verdana"/>
          <w:sz w:val="20"/>
          <w:szCs w:val="20"/>
          <w:lang w:val="es-CR"/>
        </w:rPr>
        <w:t>.</w:t>
      </w:r>
    </w:p>
    <w:p w14:paraId="4E874BDB" w14:textId="7AC6CFE6" w:rsidR="00E05972" w:rsidRPr="008D632B" w:rsidRDefault="00E05972" w:rsidP="00E05972">
      <w:pPr>
        <w:jc w:val="both"/>
        <w:rPr>
          <w:rFonts w:ascii="Verdana" w:hAnsi="Verdana"/>
          <w:lang w:val="es-CR"/>
        </w:rPr>
      </w:pPr>
    </w:p>
    <w:p w14:paraId="716AAC19" w14:textId="5C690913" w:rsidR="007071AE" w:rsidRPr="008D632B" w:rsidRDefault="00414DA3" w:rsidP="008D632B">
      <w:pPr>
        <w:pStyle w:val="ListParagraph"/>
        <w:numPr>
          <w:ilvl w:val="0"/>
          <w:numId w:val="10"/>
        </w:numPr>
        <w:ind w:left="0" w:firstLine="0"/>
        <w:jc w:val="both"/>
        <w:rPr>
          <w:rFonts w:ascii="Verdana" w:hAnsi="Verdana"/>
          <w:sz w:val="20"/>
          <w:szCs w:val="20"/>
          <w:lang w:val="es-CR"/>
        </w:rPr>
      </w:pPr>
      <w:r w:rsidRPr="008D632B">
        <w:rPr>
          <w:rFonts w:ascii="Verdana" w:hAnsi="Verdana"/>
          <w:sz w:val="20"/>
          <w:szCs w:val="20"/>
          <w:lang w:val="es-CR"/>
        </w:rPr>
        <w:t>Desde esta perspectiva e</w:t>
      </w:r>
      <w:r w:rsidR="00E05972" w:rsidRPr="008D632B">
        <w:rPr>
          <w:rFonts w:ascii="Verdana" w:hAnsi="Verdana"/>
          <w:sz w:val="20"/>
          <w:szCs w:val="20"/>
          <w:lang w:val="es-CR"/>
        </w:rPr>
        <w:t>l control de convencionalidad</w:t>
      </w:r>
      <w:r w:rsidR="00C44D15" w:rsidRPr="008D632B">
        <w:rPr>
          <w:rFonts w:ascii="Verdana" w:hAnsi="Verdana"/>
          <w:sz w:val="20"/>
          <w:szCs w:val="20"/>
          <w:lang w:val="es-CR"/>
        </w:rPr>
        <w:t xml:space="preserve"> consiste en la </w:t>
      </w:r>
      <w:r w:rsidR="00D816F1" w:rsidRPr="008D632B">
        <w:rPr>
          <w:rFonts w:ascii="Verdana" w:hAnsi="Verdana"/>
          <w:sz w:val="20"/>
          <w:szCs w:val="20"/>
          <w:lang w:val="es-CR"/>
        </w:rPr>
        <w:t>obligación</w:t>
      </w:r>
      <w:r w:rsidR="00C44D15" w:rsidRPr="008D632B">
        <w:rPr>
          <w:rFonts w:ascii="Verdana" w:hAnsi="Verdana"/>
          <w:sz w:val="20"/>
          <w:szCs w:val="20"/>
          <w:lang w:val="es-CR"/>
        </w:rPr>
        <w:t xml:space="preserve"> de todos los operadores jurídicos</w:t>
      </w:r>
      <w:r w:rsidR="00342AF7" w:rsidRPr="008D632B">
        <w:rPr>
          <w:rFonts w:ascii="Verdana" w:hAnsi="Verdana"/>
          <w:sz w:val="20"/>
          <w:szCs w:val="20"/>
          <w:lang w:val="es-CR"/>
        </w:rPr>
        <w:t xml:space="preserve"> de utilizar las fuentes del derecho interno, constitución, ley, reglamentos, jurisprudencia</w:t>
      </w:r>
      <w:r w:rsidR="00A1164B" w:rsidRPr="008D632B">
        <w:rPr>
          <w:rFonts w:ascii="Verdana" w:hAnsi="Verdana"/>
          <w:sz w:val="20"/>
          <w:szCs w:val="20"/>
          <w:lang w:val="es-CR"/>
        </w:rPr>
        <w:t xml:space="preserve"> y todas las demás </w:t>
      </w:r>
      <w:r w:rsidR="00972608" w:rsidRPr="008D632B">
        <w:rPr>
          <w:rFonts w:ascii="Verdana" w:hAnsi="Verdana"/>
          <w:sz w:val="20"/>
          <w:szCs w:val="20"/>
          <w:lang w:val="es-CR"/>
        </w:rPr>
        <w:t xml:space="preserve">categorías </w:t>
      </w:r>
      <w:r w:rsidR="00A1164B" w:rsidRPr="008D632B">
        <w:rPr>
          <w:rFonts w:ascii="Verdana" w:hAnsi="Verdana"/>
          <w:sz w:val="20"/>
          <w:szCs w:val="20"/>
          <w:lang w:val="es-CR"/>
        </w:rPr>
        <w:t>previstas en su ordenamiento interno</w:t>
      </w:r>
      <w:r w:rsidR="00972608" w:rsidRPr="008D632B">
        <w:rPr>
          <w:rFonts w:ascii="Verdana" w:hAnsi="Verdana"/>
          <w:sz w:val="20"/>
          <w:szCs w:val="20"/>
          <w:lang w:val="es-CR"/>
        </w:rPr>
        <w:t>, junto con la Convención Americana</w:t>
      </w:r>
      <w:r w:rsidR="007D2F35" w:rsidRPr="008D632B">
        <w:rPr>
          <w:rFonts w:ascii="Verdana" w:hAnsi="Verdana"/>
          <w:sz w:val="20"/>
          <w:szCs w:val="20"/>
          <w:lang w:val="es-CR"/>
        </w:rPr>
        <w:t xml:space="preserve"> y </w:t>
      </w:r>
      <w:r w:rsidR="00972608" w:rsidRPr="008D632B">
        <w:rPr>
          <w:rFonts w:ascii="Verdana" w:hAnsi="Verdana"/>
          <w:sz w:val="20"/>
          <w:szCs w:val="20"/>
          <w:lang w:val="es-CR"/>
        </w:rPr>
        <w:t xml:space="preserve">la jurisprudencia de </w:t>
      </w:r>
      <w:r w:rsidR="00D62389" w:rsidRPr="008D632B">
        <w:rPr>
          <w:rFonts w:ascii="Verdana" w:hAnsi="Verdana"/>
          <w:sz w:val="20"/>
          <w:szCs w:val="20"/>
          <w:lang w:val="es-CR"/>
        </w:rPr>
        <w:t>esta</w:t>
      </w:r>
      <w:r w:rsidR="00972608" w:rsidRPr="008D632B">
        <w:rPr>
          <w:rFonts w:ascii="Verdana" w:hAnsi="Verdana"/>
          <w:sz w:val="20"/>
          <w:szCs w:val="20"/>
          <w:lang w:val="es-CR"/>
        </w:rPr>
        <w:t xml:space="preserve"> Corte</w:t>
      </w:r>
      <w:r w:rsidR="007D2F35" w:rsidRPr="008D632B">
        <w:rPr>
          <w:rFonts w:ascii="Verdana" w:hAnsi="Verdana"/>
          <w:sz w:val="20"/>
          <w:szCs w:val="20"/>
          <w:lang w:val="es-CR"/>
        </w:rPr>
        <w:t xml:space="preserve">. Esto debe hacerse de manera obligatoria en todo caso en el que </w:t>
      </w:r>
      <w:r w:rsidR="00541077" w:rsidRPr="008D632B">
        <w:rPr>
          <w:rFonts w:ascii="Verdana" w:hAnsi="Verdana"/>
          <w:sz w:val="20"/>
          <w:szCs w:val="20"/>
          <w:lang w:val="es-CR"/>
        </w:rPr>
        <w:t xml:space="preserve">se deba </w:t>
      </w:r>
      <w:r w:rsidR="0079454E" w:rsidRPr="008D632B">
        <w:rPr>
          <w:rFonts w:ascii="Verdana" w:hAnsi="Verdana"/>
          <w:sz w:val="20"/>
          <w:szCs w:val="20"/>
          <w:lang w:val="es-CR"/>
        </w:rPr>
        <w:t>resolver o decidir asuntos en l</w:t>
      </w:r>
      <w:r w:rsidR="00870C50" w:rsidRPr="008D632B">
        <w:rPr>
          <w:rFonts w:ascii="Verdana" w:hAnsi="Verdana"/>
          <w:sz w:val="20"/>
          <w:szCs w:val="20"/>
          <w:lang w:val="es-CR"/>
        </w:rPr>
        <w:t>os</w:t>
      </w:r>
      <w:r w:rsidR="0079454E" w:rsidRPr="008D632B">
        <w:rPr>
          <w:rFonts w:ascii="Verdana" w:hAnsi="Verdana"/>
          <w:sz w:val="20"/>
          <w:szCs w:val="20"/>
          <w:lang w:val="es-CR"/>
        </w:rPr>
        <w:t xml:space="preserve"> que </w:t>
      </w:r>
      <w:r w:rsidR="00541077" w:rsidRPr="008D632B">
        <w:rPr>
          <w:rFonts w:ascii="Verdana" w:hAnsi="Verdana"/>
          <w:sz w:val="20"/>
          <w:szCs w:val="20"/>
          <w:lang w:val="es-CR"/>
        </w:rPr>
        <w:t>estén</w:t>
      </w:r>
      <w:r w:rsidR="0079454E" w:rsidRPr="008D632B">
        <w:rPr>
          <w:rFonts w:ascii="Verdana" w:hAnsi="Verdana"/>
          <w:sz w:val="20"/>
          <w:szCs w:val="20"/>
          <w:lang w:val="es-CR"/>
        </w:rPr>
        <w:t xml:space="preserve"> involucrados derechos humanos</w:t>
      </w:r>
      <w:r w:rsidR="00541077" w:rsidRPr="008D632B">
        <w:rPr>
          <w:rFonts w:ascii="Verdana" w:hAnsi="Verdana"/>
          <w:sz w:val="20"/>
          <w:szCs w:val="20"/>
          <w:lang w:val="es-CR"/>
        </w:rPr>
        <w:t xml:space="preserve">. El carácter obligatorio y vinculante no </w:t>
      </w:r>
      <w:r w:rsidR="00C11DFF" w:rsidRPr="008D632B">
        <w:rPr>
          <w:rFonts w:ascii="Verdana" w:hAnsi="Verdana"/>
          <w:sz w:val="20"/>
          <w:szCs w:val="20"/>
          <w:lang w:val="es-CR"/>
        </w:rPr>
        <w:t xml:space="preserve">conlleva en todos los Estados una </w:t>
      </w:r>
      <w:r w:rsidRPr="008D632B">
        <w:rPr>
          <w:rFonts w:ascii="Verdana" w:hAnsi="Verdana"/>
          <w:sz w:val="20"/>
          <w:szCs w:val="20"/>
          <w:lang w:val="es-CR"/>
        </w:rPr>
        <w:t xml:space="preserve">dimensión </w:t>
      </w:r>
      <w:r w:rsidR="00330F6C" w:rsidRPr="008D632B">
        <w:rPr>
          <w:rFonts w:ascii="Verdana" w:hAnsi="Verdana"/>
          <w:sz w:val="20"/>
          <w:szCs w:val="20"/>
          <w:lang w:val="es-CR"/>
        </w:rPr>
        <w:t>jerárquica</w:t>
      </w:r>
      <w:r w:rsidR="00D62389" w:rsidRPr="008D632B">
        <w:rPr>
          <w:rFonts w:ascii="Verdana" w:hAnsi="Verdana"/>
          <w:sz w:val="20"/>
          <w:szCs w:val="20"/>
          <w:lang w:val="es-CR"/>
        </w:rPr>
        <w:t>.</w:t>
      </w:r>
      <w:r w:rsidR="00DE391D" w:rsidRPr="008D632B">
        <w:rPr>
          <w:rFonts w:ascii="Verdana" w:hAnsi="Verdana"/>
          <w:sz w:val="20"/>
          <w:szCs w:val="20"/>
          <w:lang w:val="es-CR"/>
        </w:rPr>
        <w:t xml:space="preserve"> La obligatoriedad, el carácter vinculante de </w:t>
      </w:r>
      <w:r w:rsidR="003D75D1" w:rsidRPr="008D632B">
        <w:rPr>
          <w:rFonts w:ascii="Verdana" w:hAnsi="Verdana"/>
          <w:sz w:val="20"/>
          <w:szCs w:val="20"/>
          <w:lang w:val="es-CR"/>
        </w:rPr>
        <w:t>la Convención y de la jurisprudencia de esta Corte debe hacerse</w:t>
      </w:r>
      <w:r w:rsidR="00AE3DED" w:rsidRPr="008D632B">
        <w:rPr>
          <w:rFonts w:ascii="Verdana" w:hAnsi="Verdana"/>
          <w:sz w:val="20"/>
          <w:szCs w:val="20"/>
          <w:lang w:val="es-CR"/>
        </w:rPr>
        <w:t xml:space="preserve">, según nuestros propios criterios jurisprudenciales, respetando la </w:t>
      </w:r>
      <w:r w:rsidR="00D874AC" w:rsidRPr="008D632B">
        <w:rPr>
          <w:rFonts w:ascii="Verdana" w:hAnsi="Verdana"/>
          <w:sz w:val="20"/>
          <w:szCs w:val="20"/>
          <w:lang w:val="es-CR"/>
        </w:rPr>
        <w:t>asignación y distribución de competencias internas</w:t>
      </w:r>
      <w:r w:rsidR="003917CA" w:rsidRPr="008D632B">
        <w:rPr>
          <w:rFonts w:ascii="Verdana" w:hAnsi="Verdana"/>
          <w:sz w:val="20"/>
          <w:szCs w:val="20"/>
          <w:lang w:val="es-CR"/>
        </w:rPr>
        <w:t>, lo que conduce necesariamente a que el control de convencionalidad depend</w:t>
      </w:r>
      <w:r w:rsidR="000061CD" w:rsidRPr="008D632B">
        <w:rPr>
          <w:rFonts w:ascii="Verdana" w:hAnsi="Verdana"/>
          <w:sz w:val="20"/>
          <w:szCs w:val="20"/>
          <w:lang w:val="es-CR"/>
        </w:rPr>
        <w:t>a</w:t>
      </w:r>
      <w:r w:rsidR="003917CA" w:rsidRPr="008D632B">
        <w:rPr>
          <w:rFonts w:ascii="Verdana" w:hAnsi="Verdana"/>
          <w:sz w:val="20"/>
          <w:szCs w:val="20"/>
          <w:lang w:val="es-CR"/>
        </w:rPr>
        <w:t xml:space="preserve"> </w:t>
      </w:r>
      <w:r w:rsidR="00BD3999" w:rsidRPr="008D632B">
        <w:rPr>
          <w:rFonts w:ascii="Verdana" w:hAnsi="Verdana"/>
          <w:sz w:val="20"/>
          <w:szCs w:val="20"/>
          <w:lang w:val="es-CR"/>
        </w:rPr>
        <w:t>también</w:t>
      </w:r>
      <w:r w:rsidR="00330F6C" w:rsidRPr="008D632B">
        <w:rPr>
          <w:rFonts w:ascii="Verdana" w:hAnsi="Verdana"/>
          <w:sz w:val="20"/>
          <w:szCs w:val="20"/>
          <w:lang w:val="es-CR"/>
        </w:rPr>
        <w:t xml:space="preserve"> de las peculiaridades del sistema jurídico nacional</w:t>
      </w:r>
      <w:r w:rsidR="003F0094">
        <w:rPr>
          <w:rFonts w:ascii="Verdana" w:hAnsi="Verdana"/>
          <w:sz w:val="20"/>
          <w:szCs w:val="20"/>
          <w:lang w:val="es-CR"/>
        </w:rPr>
        <w:t>. E</w:t>
      </w:r>
      <w:r w:rsidR="009B3D4C" w:rsidRPr="008D632B">
        <w:rPr>
          <w:rFonts w:ascii="Verdana" w:hAnsi="Verdana"/>
          <w:sz w:val="20"/>
          <w:szCs w:val="20"/>
          <w:lang w:val="es-CR"/>
        </w:rPr>
        <w:t>n este sentido el control de convencionalidad es</w:t>
      </w:r>
      <w:r w:rsidR="007E73BB" w:rsidRPr="008D632B">
        <w:rPr>
          <w:rFonts w:ascii="Verdana" w:hAnsi="Verdana"/>
          <w:sz w:val="20"/>
          <w:szCs w:val="20"/>
          <w:lang w:val="es-CR"/>
        </w:rPr>
        <w:t>, tiene que ser,</w:t>
      </w:r>
      <w:r w:rsidR="009B3D4C" w:rsidRPr="008D632B">
        <w:rPr>
          <w:rFonts w:ascii="Verdana" w:hAnsi="Verdana"/>
          <w:sz w:val="20"/>
          <w:szCs w:val="20"/>
          <w:lang w:val="es-CR"/>
        </w:rPr>
        <w:t xml:space="preserve"> un concepto </w:t>
      </w:r>
      <w:r w:rsidR="007E73BB" w:rsidRPr="008D632B">
        <w:rPr>
          <w:rFonts w:ascii="Verdana" w:hAnsi="Verdana"/>
          <w:sz w:val="20"/>
          <w:szCs w:val="20"/>
          <w:lang w:val="es-CR"/>
        </w:rPr>
        <w:t>de construcción compartida.</w:t>
      </w:r>
    </w:p>
    <w:p w14:paraId="2459396A" w14:textId="78592BFC" w:rsidR="007071AE" w:rsidRDefault="007071AE" w:rsidP="007071AE">
      <w:pPr>
        <w:pStyle w:val="ListParagraph"/>
        <w:rPr>
          <w:rFonts w:ascii="Verdana" w:hAnsi="Verdana"/>
          <w:b/>
          <w:sz w:val="20"/>
          <w:szCs w:val="20"/>
          <w:lang w:val="es-CR"/>
        </w:rPr>
      </w:pPr>
    </w:p>
    <w:p w14:paraId="2FFE220E" w14:textId="77777777" w:rsidR="00BC16F9" w:rsidRDefault="00BC16F9" w:rsidP="007071AE">
      <w:pPr>
        <w:pStyle w:val="ListParagraph"/>
        <w:rPr>
          <w:rFonts w:ascii="Verdana" w:hAnsi="Verdana"/>
          <w:b/>
          <w:sz w:val="20"/>
          <w:szCs w:val="20"/>
          <w:lang w:val="es-CR"/>
        </w:rPr>
      </w:pPr>
    </w:p>
    <w:p w14:paraId="2539A866" w14:textId="77777777" w:rsidR="00BC16F9" w:rsidRPr="008D632B" w:rsidRDefault="00BC16F9" w:rsidP="007071AE">
      <w:pPr>
        <w:pStyle w:val="ListParagraph"/>
        <w:rPr>
          <w:rFonts w:ascii="Verdana" w:hAnsi="Verdana"/>
          <w:b/>
          <w:sz w:val="20"/>
          <w:szCs w:val="20"/>
          <w:lang w:val="es-CR"/>
        </w:rPr>
      </w:pPr>
    </w:p>
    <w:p w14:paraId="28D7222A" w14:textId="448DFB0A" w:rsidR="00B22E04" w:rsidRPr="008D632B" w:rsidRDefault="00B22E04" w:rsidP="00985C01">
      <w:pPr>
        <w:jc w:val="both"/>
        <w:rPr>
          <w:rFonts w:ascii="Verdana" w:hAnsi="Verdana"/>
          <w:b/>
          <w:lang w:val="es-CR"/>
        </w:rPr>
      </w:pPr>
      <w:r w:rsidRPr="008D632B">
        <w:rPr>
          <w:rFonts w:ascii="Verdana" w:hAnsi="Verdana"/>
          <w:b/>
          <w:lang w:val="es-CR"/>
        </w:rPr>
        <w:lastRenderedPageBreak/>
        <w:t xml:space="preserve">No es lo mismo </w:t>
      </w:r>
      <w:r w:rsidR="004D1EC3" w:rsidRPr="008D632B">
        <w:rPr>
          <w:rFonts w:ascii="Verdana" w:hAnsi="Verdana"/>
          <w:b/>
          <w:lang w:val="es-CR"/>
        </w:rPr>
        <w:t xml:space="preserve">control de convencionalidad </w:t>
      </w:r>
      <w:r w:rsidR="00AD441B" w:rsidRPr="008D632B">
        <w:rPr>
          <w:rFonts w:ascii="Verdana" w:hAnsi="Verdana"/>
          <w:b/>
          <w:lang w:val="es-CR"/>
        </w:rPr>
        <w:t>como mecanismo para cumplir una sentencia</w:t>
      </w:r>
      <w:r w:rsidR="00414DA3" w:rsidRPr="008D632B">
        <w:rPr>
          <w:rFonts w:ascii="Verdana" w:hAnsi="Verdana"/>
          <w:b/>
          <w:lang w:val="es-CR"/>
        </w:rPr>
        <w:t xml:space="preserve"> condenatoria contra un Estado</w:t>
      </w:r>
      <w:r w:rsidR="00AD441B" w:rsidRPr="008D632B">
        <w:rPr>
          <w:rFonts w:ascii="Verdana" w:hAnsi="Verdana"/>
          <w:b/>
          <w:lang w:val="es-CR"/>
        </w:rPr>
        <w:t>, que C</w:t>
      </w:r>
      <w:r w:rsidR="00EA134E" w:rsidRPr="008D632B">
        <w:rPr>
          <w:rFonts w:ascii="Verdana" w:hAnsi="Verdana"/>
          <w:b/>
          <w:lang w:val="es-CR"/>
        </w:rPr>
        <w:t xml:space="preserve">ontrol de </w:t>
      </w:r>
      <w:r w:rsidR="00AD441B" w:rsidRPr="008D632B">
        <w:rPr>
          <w:rFonts w:ascii="Verdana" w:hAnsi="Verdana"/>
          <w:b/>
          <w:lang w:val="es-CR"/>
        </w:rPr>
        <w:t>C</w:t>
      </w:r>
      <w:r w:rsidR="00EA134E" w:rsidRPr="008D632B">
        <w:rPr>
          <w:rFonts w:ascii="Verdana" w:hAnsi="Verdana"/>
          <w:b/>
          <w:lang w:val="es-CR"/>
        </w:rPr>
        <w:t>onvencionalidad</w:t>
      </w:r>
      <w:r w:rsidR="00AD441B" w:rsidRPr="008D632B">
        <w:rPr>
          <w:rFonts w:ascii="Verdana" w:hAnsi="Verdana"/>
          <w:b/>
          <w:lang w:val="es-CR"/>
        </w:rPr>
        <w:t xml:space="preserve"> como </w:t>
      </w:r>
      <w:r w:rsidR="003E751C" w:rsidRPr="008D632B">
        <w:rPr>
          <w:rFonts w:ascii="Verdana" w:hAnsi="Verdana"/>
          <w:b/>
          <w:lang w:val="es-CR"/>
        </w:rPr>
        <w:t xml:space="preserve">figura para </w:t>
      </w:r>
      <w:r w:rsidR="005757ED" w:rsidRPr="008D632B">
        <w:rPr>
          <w:rFonts w:ascii="Verdana" w:hAnsi="Verdana"/>
          <w:b/>
          <w:lang w:val="es-CR"/>
        </w:rPr>
        <w:t>hacer efectiv</w:t>
      </w:r>
      <w:r w:rsidR="003F0094">
        <w:rPr>
          <w:rFonts w:ascii="Verdana" w:hAnsi="Verdana"/>
          <w:b/>
          <w:lang w:val="es-CR"/>
        </w:rPr>
        <w:t>a</w:t>
      </w:r>
      <w:r w:rsidR="005757ED" w:rsidRPr="008D632B">
        <w:rPr>
          <w:rFonts w:ascii="Verdana" w:hAnsi="Verdana"/>
          <w:b/>
          <w:lang w:val="es-CR"/>
        </w:rPr>
        <w:t xml:space="preserve"> la obligación de hacer una protección multinivel de los </w:t>
      </w:r>
      <w:r w:rsidR="00C11CE3" w:rsidRPr="008D632B">
        <w:rPr>
          <w:rFonts w:ascii="Verdana" w:hAnsi="Verdana"/>
          <w:b/>
          <w:lang w:val="es-CR"/>
        </w:rPr>
        <w:t>derechos humanos</w:t>
      </w:r>
    </w:p>
    <w:p w14:paraId="6417FA8F" w14:textId="77777777" w:rsidR="00C11CE3" w:rsidRPr="008D632B" w:rsidRDefault="00C11CE3" w:rsidP="00C11CE3">
      <w:pPr>
        <w:rPr>
          <w:rFonts w:ascii="Verdana" w:hAnsi="Verdana"/>
          <w:lang w:val="es-CR"/>
        </w:rPr>
      </w:pPr>
    </w:p>
    <w:p w14:paraId="22A301C1" w14:textId="1CB632FF" w:rsidR="008146EB" w:rsidRPr="00BC16F9" w:rsidRDefault="00DD03D0" w:rsidP="008D632B">
      <w:pPr>
        <w:pStyle w:val="ListParagraph"/>
        <w:numPr>
          <w:ilvl w:val="0"/>
          <w:numId w:val="10"/>
        </w:numPr>
        <w:ind w:left="0" w:firstLine="0"/>
        <w:jc w:val="both"/>
        <w:rPr>
          <w:rFonts w:ascii="Verdana" w:hAnsi="Verdana"/>
          <w:sz w:val="20"/>
          <w:szCs w:val="20"/>
          <w:lang w:val="es-CR"/>
        </w:rPr>
      </w:pPr>
      <w:r w:rsidRPr="008D632B">
        <w:rPr>
          <w:rFonts w:ascii="Verdana" w:hAnsi="Verdana"/>
          <w:sz w:val="20"/>
          <w:szCs w:val="20"/>
          <w:lang w:val="es-CR"/>
        </w:rPr>
        <w:t>El control de convencionalidad</w:t>
      </w:r>
      <w:r w:rsidR="00A3750D" w:rsidRPr="008D632B">
        <w:rPr>
          <w:rFonts w:ascii="Verdana" w:hAnsi="Verdana"/>
          <w:sz w:val="20"/>
          <w:szCs w:val="20"/>
          <w:lang w:val="es-CR"/>
        </w:rPr>
        <w:t xml:space="preserve">, </w:t>
      </w:r>
      <w:r w:rsidR="0077738E" w:rsidRPr="008D632B">
        <w:rPr>
          <w:rFonts w:ascii="Verdana" w:hAnsi="Verdana"/>
          <w:sz w:val="20"/>
          <w:szCs w:val="20"/>
          <w:lang w:val="es-CR"/>
        </w:rPr>
        <w:t>entendido como la obligación de utilizar la Convención y la jurisprudencia</w:t>
      </w:r>
      <w:r w:rsidR="00CB3435" w:rsidRPr="008D632B">
        <w:rPr>
          <w:rFonts w:ascii="Verdana" w:hAnsi="Verdana"/>
          <w:sz w:val="20"/>
          <w:szCs w:val="20"/>
          <w:lang w:val="es-CR"/>
        </w:rPr>
        <w:t xml:space="preserve"> por todos los operadores </w:t>
      </w:r>
      <w:r w:rsidR="00811ECD" w:rsidRPr="008D632B">
        <w:rPr>
          <w:rFonts w:ascii="Verdana" w:hAnsi="Verdana"/>
          <w:sz w:val="20"/>
          <w:szCs w:val="20"/>
          <w:lang w:val="es-CR"/>
        </w:rPr>
        <w:t>jurídicos es diferente</w:t>
      </w:r>
      <w:r w:rsidR="00D72BE1" w:rsidRPr="008D632B">
        <w:rPr>
          <w:rFonts w:ascii="Verdana" w:hAnsi="Verdana"/>
          <w:sz w:val="20"/>
          <w:szCs w:val="20"/>
          <w:lang w:val="es-CR"/>
        </w:rPr>
        <w:t>, insisto,</w:t>
      </w:r>
      <w:r w:rsidR="00811ECD" w:rsidRPr="008D632B">
        <w:rPr>
          <w:rFonts w:ascii="Verdana" w:hAnsi="Verdana"/>
          <w:sz w:val="20"/>
          <w:szCs w:val="20"/>
          <w:lang w:val="es-CR"/>
        </w:rPr>
        <w:t xml:space="preserve"> cuando se refiere a las obligaciones de los Estados condenados,</w:t>
      </w:r>
      <w:r w:rsidR="002F0116" w:rsidRPr="008D632B">
        <w:rPr>
          <w:rFonts w:ascii="Verdana" w:hAnsi="Verdana"/>
          <w:sz w:val="20"/>
          <w:szCs w:val="20"/>
          <w:lang w:val="es-CR"/>
        </w:rPr>
        <w:t xml:space="preserve"> que cuando se relaciona con las obligaciones que tienen todos los estados que aceptan la competencia contenciosa de la Corte interamericana</w:t>
      </w:r>
      <w:r w:rsidR="0082524C" w:rsidRPr="008D632B">
        <w:rPr>
          <w:rFonts w:ascii="Verdana" w:hAnsi="Verdana"/>
          <w:sz w:val="20"/>
          <w:szCs w:val="20"/>
          <w:lang w:val="es-CR"/>
        </w:rPr>
        <w:t xml:space="preserve">, que si bien no han sido condenados por una sentencia en concreto, </w:t>
      </w:r>
      <w:r w:rsidR="00E449F6" w:rsidRPr="008D632B">
        <w:rPr>
          <w:rFonts w:ascii="Verdana" w:hAnsi="Verdana"/>
          <w:sz w:val="20"/>
          <w:szCs w:val="20"/>
          <w:lang w:val="es-CR"/>
        </w:rPr>
        <w:t>tienen la obligación de</w:t>
      </w:r>
      <w:r w:rsidR="0082524C" w:rsidRPr="008D632B">
        <w:rPr>
          <w:rFonts w:ascii="Verdana" w:hAnsi="Verdana"/>
          <w:sz w:val="20"/>
          <w:szCs w:val="20"/>
          <w:lang w:val="es-CR"/>
        </w:rPr>
        <w:t xml:space="preserve"> utilizar sus </w:t>
      </w:r>
      <w:r w:rsidR="00C864CA" w:rsidRPr="008D632B">
        <w:rPr>
          <w:rFonts w:ascii="Verdana" w:hAnsi="Verdana"/>
          <w:sz w:val="20"/>
          <w:szCs w:val="20"/>
          <w:lang w:val="es-CR"/>
        </w:rPr>
        <w:t>estándares</w:t>
      </w:r>
      <w:r w:rsidR="0082524C" w:rsidRPr="008D632B">
        <w:rPr>
          <w:rFonts w:ascii="Verdana" w:hAnsi="Verdana"/>
          <w:sz w:val="20"/>
          <w:szCs w:val="20"/>
          <w:lang w:val="es-CR"/>
        </w:rPr>
        <w:t xml:space="preserve"> </w:t>
      </w:r>
      <w:r w:rsidR="00F56E90" w:rsidRPr="008D632B">
        <w:rPr>
          <w:rFonts w:ascii="Verdana" w:hAnsi="Verdana"/>
          <w:sz w:val="20"/>
          <w:szCs w:val="20"/>
          <w:lang w:val="es-CR"/>
        </w:rPr>
        <w:t xml:space="preserve">para resolver casos en </w:t>
      </w:r>
      <w:r w:rsidR="00C864CA" w:rsidRPr="008D632B">
        <w:rPr>
          <w:rFonts w:ascii="Verdana" w:hAnsi="Verdana"/>
          <w:sz w:val="20"/>
          <w:szCs w:val="20"/>
          <w:lang w:val="es-CR"/>
        </w:rPr>
        <w:t>donde</w:t>
      </w:r>
      <w:r w:rsidR="00F56E90" w:rsidRPr="008D632B">
        <w:rPr>
          <w:rFonts w:ascii="Verdana" w:hAnsi="Verdana"/>
          <w:sz w:val="20"/>
          <w:szCs w:val="20"/>
          <w:lang w:val="es-CR"/>
        </w:rPr>
        <w:t xml:space="preserve"> existe una relación analógica con hechos </w:t>
      </w:r>
      <w:r w:rsidR="00F20C25" w:rsidRPr="008D632B">
        <w:rPr>
          <w:rFonts w:ascii="Verdana" w:hAnsi="Verdana"/>
          <w:sz w:val="20"/>
          <w:szCs w:val="20"/>
          <w:lang w:val="es-CR"/>
        </w:rPr>
        <w:t xml:space="preserve">o eventualmente </w:t>
      </w:r>
      <w:r w:rsidR="0026743F" w:rsidRPr="008D632B">
        <w:rPr>
          <w:rFonts w:ascii="Verdana" w:hAnsi="Verdana"/>
          <w:sz w:val="20"/>
          <w:szCs w:val="20"/>
          <w:lang w:val="es-CR"/>
        </w:rPr>
        <w:t>también</w:t>
      </w:r>
      <w:r w:rsidR="00F20C25" w:rsidRPr="008D632B">
        <w:rPr>
          <w:rFonts w:ascii="Verdana" w:hAnsi="Verdana"/>
          <w:sz w:val="20"/>
          <w:szCs w:val="20"/>
          <w:lang w:val="es-CR"/>
        </w:rPr>
        <w:t xml:space="preserve"> con normas </w:t>
      </w:r>
      <w:r w:rsidR="00C864CA" w:rsidRPr="008D632B">
        <w:rPr>
          <w:rFonts w:ascii="Verdana" w:hAnsi="Verdana"/>
          <w:sz w:val="20"/>
          <w:szCs w:val="20"/>
          <w:lang w:val="es-CR"/>
        </w:rPr>
        <w:t>jurídicas</w:t>
      </w:r>
      <w:r w:rsidR="00F20C25" w:rsidRPr="008D632B">
        <w:rPr>
          <w:rFonts w:ascii="Verdana" w:hAnsi="Verdana"/>
          <w:sz w:val="20"/>
          <w:szCs w:val="20"/>
          <w:lang w:val="es-CR"/>
        </w:rPr>
        <w:t>.</w:t>
      </w:r>
      <w:r w:rsidR="007B61DC" w:rsidRPr="008D632B">
        <w:rPr>
          <w:rFonts w:ascii="Verdana" w:hAnsi="Verdana"/>
          <w:sz w:val="20"/>
          <w:szCs w:val="20"/>
          <w:lang w:val="es-CR"/>
        </w:rPr>
        <w:t xml:space="preserve"> Todo en el entendido que </w:t>
      </w:r>
      <w:r w:rsidR="004B2904" w:rsidRPr="008D632B">
        <w:rPr>
          <w:rFonts w:ascii="Verdana" w:hAnsi="Verdana"/>
          <w:sz w:val="20"/>
          <w:szCs w:val="20"/>
          <w:lang w:val="es-CR"/>
        </w:rPr>
        <w:t>esta obligación no conlleva a alterar el régimen interno de competencias establecido en su sistema de fuentes.</w:t>
      </w:r>
      <w:r w:rsidR="00F20C25" w:rsidRPr="008D632B">
        <w:rPr>
          <w:rFonts w:ascii="Verdana" w:hAnsi="Verdana"/>
          <w:sz w:val="20"/>
          <w:szCs w:val="20"/>
          <w:lang w:val="es-CR"/>
        </w:rPr>
        <w:t xml:space="preserve"> </w:t>
      </w:r>
      <w:r w:rsidR="00F20C25" w:rsidRPr="00BC16F9">
        <w:rPr>
          <w:rFonts w:ascii="Verdana" w:hAnsi="Verdana"/>
          <w:sz w:val="20"/>
          <w:szCs w:val="20"/>
          <w:lang w:val="es-CR"/>
        </w:rPr>
        <w:t>En el presente caso</w:t>
      </w:r>
      <w:r w:rsidR="00C864CA" w:rsidRPr="00BC16F9">
        <w:rPr>
          <w:rFonts w:ascii="Verdana" w:hAnsi="Verdana"/>
          <w:sz w:val="20"/>
          <w:szCs w:val="20"/>
          <w:lang w:val="es-CR"/>
        </w:rPr>
        <w:t xml:space="preserve">, estamos en el primer supuesto, esto es, las obligaciones que tiene un </w:t>
      </w:r>
      <w:r w:rsidR="00354670" w:rsidRPr="00BC16F9">
        <w:rPr>
          <w:rFonts w:ascii="Verdana" w:hAnsi="Verdana"/>
          <w:sz w:val="20"/>
          <w:szCs w:val="20"/>
          <w:lang w:val="es-CR"/>
        </w:rPr>
        <w:t>E</w:t>
      </w:r>
      <w:r w:rsidR="00C864CA" w:rsidRPr="00BC16F9">
        <w:rPr>
          <w:rFonts w:ascii="Verdana" w:hAnsi="Verdana"/>
          <w:sz w:val="20"/>
          <w:szCs w:val="20"/>
          <w:lang w:val="es-CR"/>
        </w:rPr>
        <w:t xml:space="preserve">stado y todos sus poderes, órganos y funcionarios </w:t>
      </w:r>
      <w:r w:rsidR="0088261F" w:rsidRPr="00BC16F9">
        <w:rPr>
          <w:rFonts w:ascii="Verdana" w:hAnsi="Verdana"/>
          <w:sz w:val="20"/>
          <w:szCs w:val="20"/>
          <w:lang w:val="es-CR"/>
        </w:rPr>
        <w:t>de respetar y hacer efectiva una sentencia en la que han sido condenados internacionalmente.</w:t>
      </w:r>
    </w:p>
    <w:p w14:paraId="62871AC9" w14:textId="77777777" w:rsidR="008146EB" w:rsidRPr="008D632B" w:rsidRDefault="008146EB" w:rsidP="008146EB">
      <w:pPr>
        <w:pStyle w:val="ListParagraph"/>
        <w:rPr>
          <w:rFonts w:ascii="Verdana" w:hAnsi="Verdana"/>
          <w:sz w:val="20"/>
          <w:szCs w:val="20"/>
          <w:lang w:val="es-CR"/>
        </w:rPr>
      </w:pPr>
    </w:p>
    <w:p w14:paraId="1E0E5746" w14:textId="7A5A150E" w:rsidR="004E6617" w:rsidRPr="008D632B" w:rsidRDefault="008146EB" w:rsidP="008D632B">
      <w:pPr>
        <w:pStyle w:val="ListParagraph"/>
        <w:numPr>
          <w:ilvl w:val="0"/>
          <w:numId w:val="10"/>
        </w:numPr>
        <w:ind w:left="0" w:firstLine="0"/>
        <w:jc w:val="both"/>
        <w:rPr>
          <w:rFonts w:ascii="Verdana" w:hAnsi="Verdana"/>
          <w:sz w:val="20"/>
          <w:szCs w:val="20"/>
          <w:lang w:val="es-CR"/>
        </w:rPr>
      </w:pPr>
      <w:r w:rsidRPr="008D632B">
        <w:rPr>
          <w:rFonts w:ascii="Verdana" w:hAnsi="Verdana"/>
          <w:sz w:val="20"/>
          <w:szCs w:val="20"/>
          <w:lang w:val="es-CR"/>
        </w:rPr>
        <w:t xml:space="preserve"> </w:t>
      </w:r>
      <w:r w:rsidR="00054C43" w:rsidRPr="008D632B">
        <w:rPr>
          <w:rFonts w:ascii="Verdana" w:hAnsi="Verdana"/>
          <w:sz w:val="20"/>
          <w:szCs w:val="20"/>
          <w:lang w:val="es-CR"/>
        </w:rPr>
        <w:t>El control de convencionalidad</w:t>
      </w:r>
      <w:r w:rsidR="00FE722E" w:rsidRPr="008D632B">
        <w:rPr>
          <w:rFonts w:ascii="Verdana" w:hAnsi="Verdana"/>
          <w:sz w:val="20"/>
          <w:szCs w:val="20"/>
          <w:lang w:val="es-CR"/>
        </w:rPr>
        <w:t xml:space="preserve"> </w:t>
      </w:r>
      <w:r w:rsidR="000861C8" w:rsidRPr="008D632B">
        <w:rPr>
          <w:rFonts w:ascii="Verdana" w:hAnsi="Verdana"/>
          <w:sz w:val="20"/>
          <w:szCs w:val="20"/>
          <w:lang w:val="es-CR"/>
        </w:rPr>
        <w:t>e</w:t>
      </w:r>
      <w:r w:rsidR="00F355DA" w:rsidRPr="008D632B">
        <w:rPr>
          <w:rFonts w:ascii="Verdana" w:hAnsi="Verdana"/>
          <w:sz w:val="20"/>
          <w:szCs w:val="20"/>
          <w:lang w:val="es-CR"/>
        </w:rPr>
        <w:t>s un concepto del que se derivan</w:t>
      </w:r>
      <w:r w:rsidR="00F355DA" w:rsidRPr="00BD51D0">
        <w:rPr>
          <w:rFonts w:ascii="Verdana" w:hAnsi="Verdana"/>
          <w:sz w:val="20"/>
          <w:szCs w:val="20"/>
          <w:lang w:val="es-CR"/>
        </w:rPr>
        <w:t xml:space="preserve"> diferentes</w:t>
      </w:r>
      <w:r w:rsidR="00F355DA" w:rsidRPr="008D632B">
        <w:rPr>
          <w:rFonts w:ascii="Verdana" w:hAnsi="Verdana"/>
          <w:sz w:val="20"/>
          <w:szCs w:val="20"/>
          <w:lang w:val="es-CR"/>
        </w:rPr>
        <w:t xml:space="preserve"> efectos </w:t>
      </w:r>
      <w:r w:rsidR="00AC6618" w:rsidRPr="008D632B">
        <w:rPr>
          <w:rFonts w:ascii="Verdana" w:hAnsi="Verdana"/>
          <w:sz w:val="20"/>
          <w:szCs w:val="20"/>
          <w:lang w:val="es-CR"/>
        </w:rPr>
        <w:t>si la sentencia que se aplica</w:t>
      </w:r>
      <w:r w:rsidR="008306B8" w:rsidRPr="008D632B">
        <w:rPr>
          <w:rFonts w:ascii="Verdana" w:hAnsi="Verdana"/>
          <w:sz w:val="20"/>
          <w:szCs w:val="20"/>
          <w:lang w:val="es-CR"/>
        </w:rPr>
        <w:t xml:space="preserve"> ha sido dictada en un caso en el que el Estado sea parte o no.</w:t>
      </w:r>
      <w:r w:rsidR="003B23B1" w:rsidRPr="008D632B">
        <w:rPr>
          <w:rFonts w:ascii="Verdana" w:hAnsi="Verdana"/>
          <w:sz w:val="20"/>
          <w:szCs w:val="20"/>
          <w:lang w:val="es-CR"/>
        </w:rPr>
        <w:t xml:space="preserve"> </w:t>
      </w:r>
      <w:r w:rsidR="003B23B1" w:rsidRPr="00BC16F9">
        <w:rPr>
          <w:rFonts w:ascii="Verdana" w:hAnsi="Verdana"/>
          <w:sz w:val="20"/>
          <w:szCs w:val="20"/>
          <w:lang w:val="es-CR"/>
        </w:rPr>
        <w:t>Esta diversa manera de comprender la</w:t>
      </w:r>
      <w:r w:rsidR="001549EA" w:rsidRPr="00BC16F9">
        <w:rPr>
          <w:rFonts w:ascii="Verdana" w:hAnsi="Verdana"/>
          <w:sz w:val="20"/>
          <w:szCs w:val="20"/>
          <w:lang w:val="es-CR"/>
        </w:rPr>
        <w:t>s</w:t>
      </w:r>
      <w:r w:rsidR="003B23B1" w:rsidRPr="00BC16F9">
        <w:rPr>
          <w:rFonts w:ascii="Verdana" w:hAnsi="Verdana"/>
          <w:sz w:val="20"/>
          <w:szCs w:val="20"/>
          <w:lang w:val="es-CR"/>
        </w:rPr>
        <w:t xml:space="preserve"> obligaciones del </w:t>
      </w:r>
      <w:r w:rsidR="00A06D95" w:rsidRPr="00BC16F9">
        <w:rPr>
          <w:rFonts w:ascii="Verdana" w:hAnsi="Verdana"/>
          <w:sz w:val="20"/>
          <w:szCs w:val="20"/>
          <w:lang w:val="es-CR"/>
        </w:rPr>
        <w:t>Estado</w:t>
      </w:r>
      <w:r w:rsidR="003B23B1" w:rsidRPr="00BC16F9">
        <w:rPr>
          <w:rFonts w:ascii="Verdana" w:hAnsi="Verdana"/>
          <w:sz w:val="20"/>
          <w:szCs w:val="20"/>
          <w:lang w:val="es-CR"/>
        </w:rPr>
        <w:t xml:space="preserve"> </w:t>
      </w:r>
      <w:r w:rsidR="00A06D95" w:rsidRPr="00BC16F9">
        <w:rPr>
          <w:rFonts w:ascii="Verdana" w:hAnsi="Verdana"/>
          <w:sz w:val="20"/>
          <w:szCs w:val="20"/>
          <w:lang w:val="es-CR"/>
        </w:rPr>
        <w:t xml:space="preserve">de utilizar en el derecho interno la </w:t>
      </w:r>
      <w:r w:rsidR="003F0094" w:rsidRPr="00BC16F9">
        <w:rPr>
          <w:rFonts w:ascii="Verdana" w:hAnsi="Verdana"/>
          <w:sz w:val="20"/>
          <w:szCs w:val="20"/>
          <w:lang w:val="es-CR"/>
        </w:rPr>
        <w:t>C</w:t>
      </w:r>
      <w:r w:rsidR="00A06D95" w:rsidRPr="00BC16F9">
        <w:rPr>
          <w:rFonts w:ascii="Verdana" w:hAnsi="Verdana"/>
          <w:sz w:val="20"/>
          <w:szCs w:val="20"/>
          <w:lang w:val="es-CR"/>
        </w:rPr>
        <w:t>onvención y la jurisprudencia de la Corte IDH</w:t>
      </w:r>
      <w:r w:rsidR="005E7D41" w:rsidRPr="00BC16F9">
        <w:rPr>
          <w:rFonts w:ascii="Verdana" w:hAnsi="Verdana"/>
          <w:sz w:val="20"/>
          <w:szCs w:val="20"/>
          <w:lang w:val="es-CR"/>
        </w:rPr>
        <w:t xml:space="preserve"> fue destacado </w:t>
      </w:r>
      <w:r w:rsidR="00241CD6" w:rsidRPr="00BC16F9">
        <w:rPr>
          <w:rFonts w:ascii="Verdana" w:hAnsi="Verdana"/>
          <w:sz w:val="20"/>
          <w:szCs w:val="20"/>
          <w:lang w:val="es-CR"/>
        </w:rPr>
        <w:t xml:space="preserve">con ocasión de las dificultades en el cumplimiento </w:t>
      </w:r>
      <w:r w:rsidR="00C401A0" w:rsidRPr="00BC16F9">
        <w:rPr>
          <w:rFonts w:ascii="Verdana" w:hAnsi="Verdana"/>
          <w:sz w:val="20"/>
          <w:szCs w:val="20"/>
          <w:lang w:val="es-CR"/>
        </w:rPr>
        <w:t>de la parte resolutiva de</w:t>
      </w:r>
      <w:r w:rsidR="005E7D41" w:rsidRPr="00BC16F9">
        <w:rPr>
          <w:rFonts w:ascii="Verdana" w:hAnsi="Verdana"/>
          <w:sz w:val="20"/>
          <w:szCs w:val="20"/>
          <w:lang w:val="es-CR"/>
        </w:rPr>
        <w:t xml:space="preserve">l </w:t>
      </w:r>
      <w:r w:rsidR="005E7D41" w:rsidRPr="00BC16F9">
        <w:rPr>
          <w:rFonts w:ascii="Verdana" w:hAnsi="Verdana"/>
          <w:i/>
          <w:sz w:val="20"/>
          <w:szCs w:val="20"/>
          <w:lang w:val="es-CR"/>
        </w:rPr>
        <w:t>caso Gelman Vs Urugua</w:t>
      </w:r>
      <w:r w:rsidR="00510C25" w:rsidRPr="00BC16F9">
        <w:rPr>
          <w:rFonts w:ascii="Verdana" w:hAnsi="Verdana"/>
          <w:i/>
          <w:sz w:val="20"/>
          <w:szCs w:val="20"/>
          <w:lang w:val="es-CR"/>
        </w:rPr>
        <w:t>y</w:t>
      </w:r>
      <w:r w:rsidR="00936399" w:rsidRPr="008D632B">
        <w:rPr>
          <w:rStyle w:val="FootnoteReference"/>
          <w:rFonts w:ascii="Verdana" w:hAnsi="Verdana"/>
          <w:sz w:val="20"/>
          <w:szCs w:val="20"/>
          <w:lang w:val="es-CR"/>
        </w:rPr>
        <w:footnoteReference w:id="11"/>
      </w:r>
      <w:r w:rsidR="00510C25" w:rsidRPr="008D632B">
        <w:rPr>
          <w:rFonts w:ascii="Verdana" w:hAnsi="Verdana"/>
          <w:sz w:val="20"/>
          <w:szCs w:val="20"/>
          <w:lang w:val="es-CR"/>
        </w:rPr>
        <w:t>.</w:t>
      </w:r>
      <w:r w:rsidR="00C401A0" w:rsidRPr="008D632B">
        <w:rPr>
          <w:rFonts w:ascii="Verdana" w:hAnsi="Verdana"/>
          <w:sz w:val="20"/>
          <w:szCs w:val="20"/>
          <w:lang w:val="es-CR"/>
        </w:rPr>
        <w:t xml:space="preserve"> </w:t>
      </w:r>
      <w:r w:rsidR="00B12E1A" w:rsidRPr="008D632B">
        <w:rPr>
          <w:rFonts w:ascii="Verdana" w:hAnsi="Verdana"/>
          <w:sz w:val="20"/>
          <w:szCs w:val="20"/>
          <w:lang w:val="es-CR"/>
        </w:rPr>
        <w:t xml:space="preserve"> </w:t>
      </w:r>
      <w:r w:rsidR="008E4E0E" w:rsidRPr="008D632B">
        <w:rPr>
          <w:rFonts w:ascii="Verdana" w:hAnsi="Verdana"/>
          <w:sz w:val="20"/>
          <w:szCs w:val="20"/>
          <w:lang w:val="es-CR"/>
        </w:rPr>
        <w:t>La</w:t>
      </w:r>
      <w:r w:rsidR="00B01544" w:rsidRPr="008D632B">
        <w:rPr>
          <w:rFonts w:ascii="Verdana" w:hAnsi="Verdana"/>
          <w:sz w:val="20"/>
          <w:szCs w:val="20"/>
          <w:lang w:val="es-CO"/>
        </w:rPr>
        <w:t xml:space="preserve"> Corte</w:t>
      </w:r>
      <w:r w:rsidR="00325648" w:rsidRPr="008D632B">
        <w:rPr>
          <w:rFonts w:ascii="Verdana" w:hAnsi="Verdana"/>
          <w:sz w:val="20"/>
          <w:szCs w:val="20"/>
          <w:lang w:val="es-CO"/>
        </w:rPr>
        <w:t xml:space="preserve"> </w:t>
      </w:r>
      <w:r w:rsidR="003F0094">
        <w:rPr>
          <w:rFonts w:ascii="Verdana" w:hAnsi="Verdana"/>
          <w:sz w:val="20"/>
          <w:szCs w:val="20"/>
          <w:lang w:val="es-CO"/>
        </w:rPr>
        <w:t>estimó</w:t>
      </w:r>
      <w:r w:rsidR="00325648" w:rsidRPr="008D632B">
        <w:rPr>
          <w:rFonts w:ascii="Verdana" w:hAnsi="Verdana"/>
          <w:sz w:val="20"/>
          <w:szCs w:val="20"/>
          <w:lang w:val="es-CO"/>
        </w:rPr>
        <w:t xml:space="preserve"> </w:t>
      </w:r>
      <w:r w:rsidR="00325648" w:rsidRPr="008D632B">
        <w:rPr>
          <w:rFonts w:ascii="Verdana" w:eastAsia="Times New Roman" w:hAnsi="Verdana"/>
          <w:sz w:val="20"/>
          <w:szCs w:val="20"/>
          <w:lang w:val="es-CO"/>
        </w:rPr>
        <w:t>que determinadas consideraciones contenidas en la decisión de febrero de 2013 de la Suprema Corte de Justicia uruguaya, por la forma en que est</w:t>
      </w:r>
      <w:r w:rsidR="003F0094">
        <w:rPr>
          <w:rFonts w:ascii="Verdana" w:eastAsia="Times New Roman" w:hAnsi="Verdana"/>
          <w:sz w:val="20"/>
          <w:szCs w:val="20"/>
          <w:lang w:val="es-CO"/>
        </w:rPr>
        <w:t>aban</w:t>
      </w:r>
      <w:r w:rsidR="00325648" w:rsidRPr="008D632B">
        <w:rPr>
          <w:rFonts w:ascii="Verdana" w:eastAsia="Times New Roman" w:hAnsi="Verdana"/>
          <w:sz w:val="20"/>
          <w:szCs w:val="20"/>
          <w:lang w:val="es-CO"/>
        </w:rPr>
        <w:t xml:space="preserve"> expuestas, en particular sobre una interpretación de la obligación de los Estados de ejercer el control de convencionalidad, podían implicar un serio obstáculo para las investigaciones de las graves violaciones de derechos humanos cometidas o podrían tener el efecto de obstaculizar o hacer ilusorio el cumplimiento de la Sentencia</w:t>
      </w:r>
      <w:r w:rsidR="00325648" w:rsidRPr="008D632B">
        <w:rPr>
          <w:rStyle w:val="FootnoteReference"/>
          <w:rFonts w:ascii="Verdana" w:hAnsi="Verdana"/>
          <w:sz w:val="20"/>
          <w:szCs w:val="20"/>
        </w:rPr>
        <w:footnoteReference w:id="12"/>
      </w:r>
      <w:r w:rsidR="00325648" w:rsidRPr="008D632B">
        <w:rPr>
          <w:rFonts w:ascii="Verdana" w:eastAsia="Times New Roman" w:hAnsi="Verdana"/>
          <w:sz w:val="20"/>
          <w:szCs w:val="20"/>
          <w:lang w:val="es-CO"/>
        </w:rPr>
        <w:t>.</w:t>
      </w:r>
      <w:r w:rsidR="00636405" w:rsidRPr="008D632B">
        <w:rPr>
          <w:rFonts w:ascii="Verdana" w:eastAsia="Times New Roman" w:hAnsi="Verdana"/>
          <w:sz w:val="20"/>
          <w:szCs w:val="20"/>
          <w:lang w:val="es-CO"/>
        </w:rPr>
        <w:t xml:space="preserve"> </w:t>
      </w:r>
    </w:p>
    <w:p w14:paraId="2736DFB0" w14:textId="77777777" w:rsidR="004E6617" w:rsidRPr="008D632B" w:rsidRDefault="004E6617" w:rsidP="004E6617">
      <w:pPr>
        <w:pStyle w:val="ListParagraph"/>
        <w:rPr>
          <w:rFonts w:ascii="Verdana" w:hAnsi="Verdana"/>
          <w:sz w:val="20"/>
          <w:szCs w:val="20"/>
          <w:lang w:val="es-CO"/>
        </w:rPr>
      </w:pPr>
    </w:p>
    <w:p w14:paraId="43621BEE" w14:textId="442F1F65" w:rsidR="00325648" w:rsidRPr="008D632B" w:rsidRDefault="004E6617" w:rsidP="008D632B">
      <w:pPr>
        <w:pStyle w:val="ListParagraph"/>
        <w:numPr>
          <w:ilvl w:val="0"/>
          <w:numId w:val="10"/>
        </w:numPr>
        <w:ind w:left="0" w:firstLine="0"/>
        <w:jc w:val="both"/>
        <w:rPr>
          <w:rFonts w:ascii="Verdana" w:hAnsi="Verdana"/>
          <w:sz w:val="20"/>
          <w:szCs w:val="20"/>
          <w:lang w:val="es-CR"/>
        </w:rPr>
      </w:pPr>
      <w:r w:rsidRPr="008D632B">
        <w:rPr>
          <w:rFonts w:ascii="Verdana" w:hAnsi="Verdana"/>
          <w:sz w:val="20"/>
          <w:szCs w:val="20"/>
          <w:lang w:val="es-CO"/>
        </w:rPr>
        <w:t xml:space="preserve">La </w:t>
      </w:r>
      <w:r w:rsidRPr="008D632B">
        <w:rPr>
          <w:rFonts w:ascii="Verdana" w:hAnsi="Verdana"/>
          <w:sz w:val="20"/>
          <w:szCs w:val="20"/>
          <w:lang w:val="es-CR"/>
        </w:rPr>
        <w:t>anterior</w:t>
      </w:r>
      <w:r w:rsidRPr="008D632B">
        <w:rPr>
          <w:rFonts w:ascii="Verdana" w:hAnsi="Verdana"/>
          <w:sz w:val="20"/>
          <w:szCs w:val="20"/>
          <w:lang w:val="es-CO"/>
        </w:rPr>
        <w:t xml:space="preserve"> </w:t>
      </w:r>
      <w:r w:rsidR="00325648" w:rsidRPr="008D632B">
        <w:rPr>
          <w:rFonts w:ascii="Verdana" w:hAnsi="Verdana"/>
          <w:sz w:val="20"/>
          <w:szCs w:val="20"/>
          <w:lang w:val="es-CO"/>
        </w:rPr>
        <w:t>situación llevó al Tribunal a “observar dos manifestaciones distintas de esa obligación de los Estados de ejercer el control de convencionalidad, dependiendo de si la Sentencia ha sido dictada en un caso en el cual el Estado ha sido parte o no, […] debido a que la norma convencional interpretada y aplicada adquiere distinta vinculación dependiendo si el Estado fue parte material o no en el proceso internacional”</w:t>
      </w:r>
      <w:r w:rsidR="00414DA3" w:rsidRPr="008D632B">
        <w:rPr>
          <w:rFonts w:ascii="Verdana" w:hAnsi="Verdana"/>
          <w:sz w:val="20"/>
          <w:szCs w:val="20"/>
          <w:lang w:val="es-CO"/>
        </w:rPr>
        <w:t>.</w:t>
      </w:r>
      <w:r w:rsidRPr="008D632B">
        <w:rPr>
          <w:rFonts w:ascii="Verdana" w:hAnsi="Verdana"/>
          <w:sz w:val="20"/>
          <w:szCs w:val="20"/>
          <w:lang w:val="es-CO"/>
        </w:rPr>
        <w:t xml:space="preserve"> </w:t>
      </w:r>
      <w:r w:rsidR="00325648" w:rsidRPr="008D632B">
        <w:rPr>
          <w:rFonts w:ascii="Verdana" w:hAnsi="Verdana"/>
          <w:sz w:val="20"/>
          <w:szCs w:val="20"/>
          <w:lang w:val="es-CO"/>
        </w:rPr>
        <w:t xml:space="preserve">De conformidad con el artículo 68 de la Convención Americana, la sentencia dictada por la Corte tiene carácter vinculante para el Estado concernido. Así: </w:t>
      </w:r>
    </w:p>
    <w:p w14:paraId="25D64E48" w14:textId="4BB61C83" w:rsidR="00325648" w:rsidRPr="008D632B" w:rsidRDefault="00325648" w:rsidP="00670CBB">
      <w:pPr>
        <w:jc w:val="both"/>
        <w:rPr>
          <w:rFonts w:ascii="Verdana" w:hAnsi="Verdana"/>
          <w:lang w:val="es-CO"/>
        </w:rPr>
      </w:pPr>
    </w:p>
    <w:p w14:paraId="2985EB50" w14:textId="77777777" w:rsidR="00325648" w:rsidRPr="003F0094" w:rsidRDefault="00325648" w:rsidP="00BC032A">
      <w:pPr>
        <w:ind w:left="708"/>
        <w:jc w:val="both"/>
        <w:rPr>
          <w:rFonts w:ascii="Verdana" w:hAnsi="Verdana"/>
          <w:sz w:val="18"/>
          <w:lang w:val="es-CO"/>
        </w:rPr>
      </w:pPr>
      <w:r w:rsidRPr="003F0094">
        <w:rPr>
          <w:rFonts w:ascii="Verdana" w:hAnsi="Verdana"/>
          <w:sz w:val="18"/>
          <w:lang w:val="es-CO"/>
        </w:rPr>
        <w:t>“</w:t>
      </w:r>
      <w:r w:rsidRPr="003F0094">
        <w:rPr>
          <w:rFonts w:ascii="Verdana" w:hAnsi="Verdana" w:cs="Times-Roman"/>
          <w:sz w:val="18"/>
          <w:lang w:val="pl-PL" w:bidi="en-US"/>
        </w:rPr>
        <w:t xml:space="preserve">En relación con la primera manifestación, </w:t>
      </w:r>
      <w:r w:rsidRPr="003F0094">
        <w:rPr>
          <w:rFonts w:ascii="Verdana" w:hAnsi="Verdana"/>
          <w:sz w:val="18"/>
          <w:lang w:val="es-CO"/>
        </w:rPr>
        <w:t>c</w:t>
      </w:r>
      <w:r w:rsidRPr="003F0094">
        <w:rPr>
          <w:rFonts w:ascii="Verdana" w:hAnsi="Verdana" w:cs="Times-Roman"/>
          <w:bCs/>
          <w:sz w:val="18"/>
          <w:lang w:val="pl-PL" w:bidi="en-US"/>
        </w:rPr>
        <w:t>uando existe una sentencia internacional dictada con carácter de cosa juzgada respecto de un Estado que ha sido parte en el caso sometido a la jurisdicción de la Corte Interamericana</w:t>
      </w:r>
      <w:r w:rsidRPr="003F0094">
        <w:rPr>
          <w:rFonts w:ascii="Verdana" w:hAnsi="Verdana" w:cs="Times-Roman"/>
          <w:sz w:val="18"/>
          <w:lang w:val="pl-PL" w:bidi="en-US"/>
        </w:rPr>
        <w:t xml:space="preserve">, </w:t>
      </w:r>
      <w:r w:rsidRPr="003F0094">
        <w:rPr>
          <w:rFonts w:ascii="Verdana" w:hAnsi="Verdana" w:cs="Times-Roman"/>
          <w:bCs/>
          <w:sz w:val="18"/>
          <w:lang w:val="pl-PL" w:bidi="en-US"/>
        </w:rPr>
        <w:t>todos sus órganos, incluidos sus jueces y órganos vinculados</w:t>
      </w:r>
      <w:r w:rsidRPr="003F0094">
        <w:rPr>
          <w:rFonts w:ascii="Verdana" w:hAnsi="Verdana" w:cs="Times-Roman"/>
          <w:sz w:val="18"/>
          <w:lang w:val="pl-PL" w:bidi="en-US"/>
        </w:rPr>
        <w:t xml:space="preserve"> a la administración de </w:t>
      </w:r>
      <w:r w:rsidRPr="003F0094">
        <w:rPr>
          <w:rFonts w:ascii="Verdana" w:hAnsi="Verdana"/>
          <w:sz w:val="18"/>
          <w:lang w:val="pl-PL"/>
        </w:rPr>
        <w:t>j</w:t>
      </w:r>
      <w:r w:rsidRPr="003F0094">
        <w:rPr>
          <w:rFonts w:ascii="Verdana" w:hAnsi="Verdana" w:cs="Times-Roman"/>
          <w:sz w:val="18"/>
          <w:lang w:val="pl-PL" w:bidi="en-US"/>
        </w:rPr>
        <w:t>u</w:t>
      </w:r>
      <w:r w:rsidRPr="003F0094">
        <w:rPr>
          <w:rFonts w:ascii="Verdana" w:hAnsi="Verdana"/>
          <w:sz w:val="18"/>
          <w:lang w:val="pl-PL"/>
        </w:rPr>
        <w:t>sticia</w:t>
      </w:r>
      <w:r w:rsidRPr="003F0094">
        <w:rPr>
          <w:rFonts w:ascii="Verdana" w:hAnsi="Verdana" w:cs="Times"/>
          <w:bCs/>
          <w:sz w:val="18"/>
          <w:lang w:val="pl-PL"/>
        </w:rPr>
        <w:t>,</w:t>
      </w:r>
      <w:r w:rsidRPr="003F0094">
        <w:rPr>
          <w:rFonts w:ascii="Verdana" w:hAnsi="Verdana"/>
          <w:sz w:val="18"/>
          <w:lang w:val="pl-PL"/>
        </w:rPr>
        <w:t xml:space="preserve"> también están somet</w:t>
      </w:r>
      <w:r w:rsidRPr="003F0094">
        <w:rPr>
          <w:rFonts w:ascii="Verdana" w:hAnsi="Verdana" w:cs="Times-Roman"/>
          <w:sz w:val="18"/>
          <w:lang w:val="pl-PL" w:bidi="en-US"/>
        </w:rPr>
        <w:t>idos al tratado y a la sentencia</w:t>
      </w:r>
      <w:r w:rsidRPr="003F0094">
        <w:rPr>
          <w:rFonts w:ascii="Verdana" w:hAnsi="Verdana"/>
          <w:sz w:val="18"/>
          <w:lang w:val="es-CO"/>
        </w:rPr>
        <w:t xml:space="preserve"> de este Tribunal</w:t>
      </w:r>
      <w:r w:rsidRPr="003F0094">
        <w:rPr>
          <w:rFonts w:ascii="Verdana" w:hAnsi="Verdana" w:cs="Times-Roman"/>
          <w:sz w:val="18"/>
          <w:lang w:val="pl-PL" w:bidi="en-US"/>
        </w:rPr>
        <w:t xml:space="preserve">, lo cual les obliga a velar para que los efectos de las </w:t>
      </w:r>
      <w:r w:rsidRPr="003F0094">
        <w:rPr>
          <w:rFonts w:ascii="Verdana" w:hAnsi="Verdana"/>
          <w:sz w:val="18"/>
          <w:lang w:val="es-CO"/>
        </w:rPr>
        <w:t>d</w:t>
      </w:r>
      <w:r w:rsidRPr="003F0094">
        <w:rPr>
          <w:rFonts w:ascii="Verdana" w:hAnsi="Verdana" w:cs="Times-Roman"/>
          <w:sz w:val="18"/>
          <w:lang w:val="pl-PL" w:bidi="en-US"/>
        </w:rPr>
        <w:t>is</w:t>
      </w:r>
      <w:r w:rsidRPr="003F0094">
        <w:rPr>
          <w:rFonts w:ascii="Verdana" w:hAnsi="Verdana" w:cs="Times-Roman"/>
          <w:sz w:val="18"/>
          <w:lang w:val="es-CO" w:bidi="en-US"/>
        </w:rPr>
        <w:t>p</w:t>
      </w:r>
      <w:r w:rsidRPr="003F0094">
        <w:rPr>
          <w:rFonts w:ascii="Verdana" w:hAnsi="Verdana"/>
          <w:sz w:val="18"/>
          <w:lang w:val="es-CO"/>
        </w:rPr>
        <w:t xml:space="preserve">osiciones de la </w:t>
      </w:r>
      <w:r w:rsidRPr="003F0094">
        <w:rPr>
          <w:rFonts w:ascii="Verdana" w:hAnsi="Verdana"/>
          <w:sz w:val="18"/>
          <w:lang w:val="es-CO"/>
        </w:rPr>
        <w:lastRenderedPageBreak/>
        <w:t xml:space="preserve">Convención y, consecuentemente, las decisiones de la Corte Interamericana, no se vean mermados por la aplicación de normas contrarias a su objeto y fin o por decisiones judiciales o administrativas que hagan ilusorio el cumplimiento total o parcial de la sentencia. Es decir, en este supuesto, se está en presencia de cosa juzgada internacional, en razón de lo cual el Estado está obligado a cumplir y aplicar la sentencia. En esta situación se encuentra el Estado de Uruguay respecto de la Sentencia dictada en el </w:t>
      </w:r>
      <w:r w:rsidRPr="003F0094">
        <w:rPr>
          <w:rFonts w:ascii="Verdana" w:hAnsi="Verdana"/>
          <w:i/>
          <w:sz w:val="18"/>
          <w:lang w:val="es-CO"/>
        </w:rPr>
        <w:t>caso Gelman</w:t>
      </w:r>
      <w:r w:rsidRPr="003F0094">
        <w:rPr>
          <w:rFonts w:ascii="Verdana" w:hAnsi="Verdana"/>
          <w:sz w:val="18"/>
          <w:lang w:val="es-CO"/>
        </w:rPr>
        <w:t>. Por ello, precisamente porque el control de convencionalidad es una institución que sirve como instrumento para aplicar el Derecho Internacional, en el presente caso que existe cosa juzgada se trata simplemente de emplearlo para dar cumplimiento en su integridad y de buena fe a lo ordenado en la Sentencia dictada por la Corte en el caso concreto, por lo que sería incongruente utilizar esa herramienta como justificación para dejar de cumplir con la misma”.</w:t>
      </w:r>
    </w:p>
    <w:p w14:paraId="11A116A9" w14:textId="77777777" w:rsidR="00325648" w:rsidRPr="003F0094" w:rsidRDefault="00325648" w:rsidP="00BC032A">
      <w:pPr>
        <w:pStyle w:val="ListParagraph"/>
        <w:ind w:left="1776"/>
        <w:jc w:val="both"/>
        <w:rPr>
          <w:rFonts w:ascii="Verdana" w:hAnsi="Verdana"/>
          <w:sz w:val="18"/>
          <w:szCs w:val="20"/>
          <w:lang w:val="es-CO"/>
        </w:rPr>
      </w:pPr>
    </w:p>
    <w:p w14:paraId="6BEF0684" w14:textId="77777777" w:rsidR="00325648" w:rsidRPr="003F0094" w:rsidRDefault="00325648" w:rsidP="00BC032A">
      <w:pPr>
        <w:ind w:left="708"/>
        <w:contextualSpacing/>
        <w:jc w:val="both"/>
        <w:rPr>
          <w:rFonts w:ascii="Verdana" w:hAnsi="Verdana"/>
          <w:b/>
          <w:sz w:val="18"/>
          <w:lang w:val="es-CO"/>
        </w:rPr>
      </w:pPr>
      <w:r w:rsidRPr="003F0094">
        <w:rPr>
          <w:rFonts w:ascii="Verdana" w:hAnsi="Verdana" w:cs="Arial"/>
          <w:sz w:val="18"/>
          <w:lang w:val="es-CO"/>
        </w:rPr>
        <w:t xml:space="preserve">“Respecto de la segunda manifestación del control de convencionalidad, en situaciones y casos en que el Estado concernido no ha sido parte en el proceso internacional en que fue establecida determinada jurisprudencia, por el solo hecho de ser </w:t>
      </w:r>
      <w:r w:rsidRPr="003F0094">
        <w:rPr>
          <w:rFonts w:ascii="Verdana" w:hAnsi="Verdana" w:cs="Times-Roman"/>
          <w:bCs/>
          <w:sz w:val="18"/>
          <w:lang w:val="pl-PL" w:bidi="en-US"/>
        </w:rPr>
        <w:t xml:space="preserve">Parte en la Convención Americana, todas sus autoridades públicas y todos sus órganos, incluidas las instancias democráticas, jueces y demás </w:t>
      </w:r>
      <w:r w:rsidRPr="003F0094">
        <w:rPr>
          <w:rFonts w:ascii="Verdana" w:hAnsi="Verdana" w:cs="Times-Roman"/>
          <w:sz w:val="18"/>
          <w:lang w:val="pl-PL" w:bidi="en-US"/>
        </w:rPr>
        <w:t xml:space="preserve">órganos vinculados a la administración de </w:t>
      </w:r>
      <w:r w:rsidRPr="003F0094">
        <w:rPr>
          <w:rFonts w:ascii="Verdana" w:hAnsi="Verdana"/>
          <w:sz w:val="18"/>
          <w:lang w:val="pl-PL"/>
        </w:rPr>
        <w:t>j</w:t>
      </w:r>
      <w:r w:rsidRPr="003F0094">
        <w:rPr>
          <w:rFonts w:ascii="Verdana" w:hAnsi="Verdana" w:cs="Times-Roman"/>
          <w:sz w:val="18"/>
          <w:lang w:val="pl-PL" w:bidi="en-US"/>
        </w:rPr>
        <w:t>u</w:t>
      </w:r>
      <w:r w:rsidRPr="003F0094">
        <w:rPr>
          <w:rFonts w:ascii="Verdana" w:hAnsi="Verdana"/>
          <w:sz w:val="18"/>
          <w:lang w:val="pl-PL"/>
        </w:rPr>
        <w:t>sticia</w:t>
      </w:r>
      <w:r w:rsidRPr="003F0094">
        <w:rPr>
          <w:rFonts w:ascii="Verdana" w:hAnsi="Verdana"/>
          <w:sz w:val="18"/>
          <w:lang w:val="es-CO"/>
        </w:rPr>
        <w:t xml:space="preserve"> en todos los niveles</w:t>
      </w:r>
      <w:r w:rsidRPr="003F0094">
        <w:rPr>
          <w:rFonts w:ascii="Verdana" w:hAnsi="Verdana" w:cs="Times"/>
          <w:bCs/>
          <w:sz w:val="18"/>
          <w:lang w:val="pl-PL"/>
        </w:rPr>
        <w:t>,</w:t>
      </w:r>
      <w:r w:rsidRPr="003F0094">
        <w:rPr>
          <w:rFonts w:ascii="Verdana" w:hAnsi="Verdana"/>
          <w:sz w:val="18"/>
          <w:lang w:val="pl-PL"/>
        </w:rPr>
        <w:t xml:space="preserve"> están obligados por</w:t>
      </w:r>
      <w:r w:rsidRPr="003F0094">
        <w:rPr>
          <w:rFonts w:ascii="Verdana" w:hAnsi="Verdana" w:cs="Times-Roman"/>
          <w:sz w:val="18"/>
          <w:lang w:val="pl-PL" w:bidi="en-US"/>
        </w:rPr>
        <w:t xml:space="preserve"> el tratado, por lo cual deben </w:t>
      </w:r>
      <w:r w:rsidRPr="003F0094">
        <w:rPr>
          <w:rFonts w:ascii="Verdana" w:hAnsi="Verdana"/>
          <w:sz w:val="18"/>
          <w:lang w:val="es-CO"/>
        </w:rPr>
        <w:t>ejercer [… tal] control […] tanto en la emisión y aplicación de normas, en cuanto a su validez y compatibilidad con la Convención, como en la determinación, juzgamiento y resolución de situaciones particulares y casos concretos, teniendo en cuenta el propio tratado y, según corresponda, los precedentes o lineamientos jurisprudenciales de la Corte Interamericana”</w:t>
      </w:r>
      <w:r w:rsidRPr="003F0094">
        <w:rPr>
          <w:rStyle w:val="FootnoteReference"/>
          <w:rFonts w:ascii="Verdana" w:hAnsi="Verdana"/>
          <w:sz w:val="18"/>
          <w:lang w:val="es-CO"/>
        </w:rPr>
        <w:footnoteReference w:id="13"/>
      </w:r>
      <w:r w:rsidRPr="003F0094">
        <w:rPr>
          <w:rFonts w:ascii="Verdana" w:hAnsi="Verdana"/>
          <w:sz w:val="18"/>
          <w:lang w:val="es-CO"/>
        </w:rPr>
        <w:t>.</w:t>
      </w:r>
    </w:p>
    <w:p w14:paraId="4BD9EDD7" w14:textId="77777777" w:rsidR="00325648" w:rsidRPr="008D632B" w:rsidRDefault="00325648" w:rsidP="00325648">
      <w:pPr>
        <w:jc w:val="both"/>
        <w:rPr>
          <w:rFonts w:ascii="Verdana" w:hAnsi="Verdana"/>
        </w:rPr>
      </w:pPr>
    </w:p>
    <w:p w14:paraId="02861C90" w14:textId="3CD8E083" w:rsidR="00325648" w:rsidRPr="008D632B" w:rsidRDefault="00111B19" w:rsidP="008D646D">
      <w:pPr>
        <w:pStyle w:val="ListParagraph"/>
        <w:numPr>
          <w:ilvl w:val="0"/>
          <w:numId w:val="10"/>
        </w:numPr>
        <w:ind w:left="0" w:firstLine="0"/>
        <w:jc w:val="both"/>
        <w:rPr>
          <w:rFonts w:ascii="Verdana" w:hAnsi="Verdana" w:cs="Arial"/>
          <w:sz w:val="20"/>
          <w:szCs w:val="20"/>
          <w:lang w:val="es-CO"/>
        </w:rPr>
      </w:pPr>
      <w:r w:rsidRPr="008D632B">
        <w:rPr>
          <w:rFonts w:ascii="Verdana" w:hAnsi="Verdana"/>
          <w:sz w:val="20"/>
          <w:szCs w:val="20"/>
          <w:lang w:val="es-CO"/>
        </w:rPr>
        <w:t>S</w:t>
      </w:r>
      <w:r w:rsidR="00325648" w:rsidRPr="008D632B">
        <w:rPr>
          <w:rFonts w:ascii="Verdana" w:hAnsi="Verdana"/>
          <w:sz w:val="20"/>
          <w:szCs w:val="20"/>
          <w:lang w:val="es-CO"/>
        </w:rPr>
        <w:t>in perjuicio de lo anterior, y en relación con esa primera manifestación del control de convencionalidad (cuando existe cosa juzgada internacional), la Corte señaló que “este control también posee un rol importante en el cumplimiento o implementación de una determinada Sentencia de la Corte Interamericana, especialmente cuando dicho acatamiento queda a cargo de los jueces nacionales. Bajo este supuesto, el órgano judicial tiene la función de hacer prevalecer la Convención Americana y los fallos de esta Corte sobre la normatividad interna, interpretaciones y prácticas que obstruyan el cumplimiento de lo dispuesto en un determinado caso”</w:t>
      </w:r>
      <w:r w:rsidR="00325648" w:rsidRPr="008D632B">
        <w:rPr>
          <w:rStyle w:val="FootnoteReference"/>
          <w:rFonts w:ascii="Verdana" w:hAnsi="Verdana"/>
          <w:sz w:val="20"/>
          <w:szCs w:val="20"/>
          <w:lang w:val="es-CO"/>
        </w:rPr>
        <w:footnoteReference w:id="14"/>
      </w:r>
      <w:r w:rsidR="00A53789" w:rsidRPr="008D632B">
        <w:rPr>
          <w:rFonts w:ascii="Verdana" w:hAnsi="Verdana"/>
          <w:sz w:val="20"/>
          <w:szCs w:val="20"/>
          <w:lang w:val="es-CO"/>
        </w:rPr>
        <w:t>.</w:t>
      </w:r>
    </w:p>
    <w:p w14:paraId="6E02706A" w14:textId="659FD0CC" w:rsidR="00325648" w:rsidRPr="008D632B" w:rsidRDefault="00325648" w:rsidP="00325648">
      <w:pPr>
        <w:pStyle w:val="ListParagraph"/>
        <w:ind w:left="0"/>
        <w:jc w:val="both"/>
        <w:rPr>
          <w:rFonts w:ascii="Verdana" w:hAnsi="Verdana" w:cs="Arial"/>
          <w:sz w:val="20"/>
          <w:szCs w:val="20"/>
          <w:lang w:val="es-CO"/>
        </w:rPr>
      </w:pPr>
    </w:p>
    <w:p w14:paraId="1A6E72A5" w14:textId="15E48002" w:rsidR="002C423C" w:rsidRPr="008D632B" w:rsidRDefault="00AE1E68" w:rsidP="008D646D">
      <w:pPr>
        <w:pStyle w:val="ListParagraph"/>
        <w:numPr>
          <w:ilvl w:val="0"/>
          <w:numId w:val="10"/>
        </w:numPr>
        <w:ind w:left="0" w:firstLine="0"/>
        <w:jc w:val="both"/>
        <w:rPr>
          <w:rFonts w:ascii="Verdana" w:hAnsi="Verdana"/>
          <w:sz w:val="20"/>
          <w:szCs w:val="20"/>
          <w:lang w:val="es-CR"/>
        </w:rPr>
      </w:pPr>
      <w:r w:rsidRPr="008D632B">
        <w:rPr>
          <w:rFonts w:ascii="Verdana" w:hAnsi="Verdana"/>
          <w:sz w:val="20"/>
          <w:szCs w:val="20"/>
          <w:lang w:val="es-CR"/>
        </w:rPr>
        <w:t xml:space="preserve">En la </w:t>
      </w:r>
      <w:r w:rsidR="006224AD" w:rsidRPr="008D632B">
        <w:rPr>
          <w:rFonts w:ascii="Verdana" w:hAnsi="Verdana"/>
          <w:sz w:val="20"/>
          <w:szCs w:val="20"/>
          <w:lang w:val="es-CR"/>
        </w:rPr>
        <w:t>presente sentencia</w:t>
      </w:r>
      <w:r w:rsidR="00414DA3" w:rsidRPr="008D632B">
        <w:rPr>
          <w:rFonts w:ascii="Verdana" w:hAnsi="Verdana"/>
          <w:sz w:val="20"/>
          <w:szCs w:val="20"/>
          <w:lang w:val="es-CR"/>
        </w:rPr>
        <w:t xml:space="preserve"> del </w:t>
      </w:r>
      <w:r w:rsidR="00414DA3" w:rsidRPr="00D96146">
        <w:rPr>
          <w:rFonts w:ascii="Verdana" w:hAnsi="Verdana"/>
          <w:i/>
          <w:sz w:val="20"/>
          <w:szCs w:val="20"/>
          <w:lang w:val="es-CR"/>
        </w:rPr>
        <w:t>Caso</w:t>
      </w:r>
      <w:r w:rsidR="00A111B7" w:rsidRPr="00D96146">
        <w:rPr>
          <w:rFonts w:ascii="Verdana" w:hAnsi="Verdana"/>
          <w:i/>
          <w:sz w:val="20"/>
          <w:szCs w:val="20"/>
          <w:lang w:val="es-CR"/>
        </w:rPr>
        <w:t xml:space="preserve"> Ordenes Guerra y otros Vs Chile</w:t>
      </w:r>
      <w:r w:rsidR="00A111B7" w:rsidRPr="008D632B">
        <w:rPr>
          <w:rFonts w:ascii="Verdana" w:hAnsi="Verdana"/>
          <w:sz w:val="20"/>
          <w:szCs w:val="20"/>
          <w:lang w:val="es-CR"/>
        </w:rPr>
        <w:t xml:space="preserve">, </w:t>
      </w:r>
      <w:r w:rsidR="006242B8" w:rsidRPr="008D632B">
        <w:rPr>
          <w:rFonts w:ascii="Verdana" w:hAnsi="Verdana"/>
          <w:sz w:val="20"/>
          <w:szCs w:val="20"/>
          <w:lang w:val="es-CR"/>
        </w:rPr>
        <w:t>no se precisa esta distinción y puede generar confusi</w:t>
      </w:r>
      <w:r w:rsidR="00B73C69" w:rsidRPr="008D632B">
        <w:rPr>
          <w:rFonts w:ascii="Verdana" w:hAnsi="Verdana"/>
          <w:sz w:val="20"/>
          <w:szCs w:val="20"/>
          <w:lang w:val="es-CR"/>
        </w:rPr>
        <w:t xml:space="preserve">ones que </w:t>
      </w:r>
      <w:r w:rsidR="00414DA3" w:rsidRPr="008D632B">
        <w:rPr>
          <w:rFonts w:ascii="Verdana" w:hAnsi="Verdana"/>
          <w:sz w:val="20"/>
          <w:szCs w:val="20"/>
          <w:lang w:val="es-CR"/>
        </w:rPr>
        <w:t xml:space="preserve">eventualmente en el futuro ocasionarían </w:t>
      </w:r>
      <w:r w:rsidR="00CF7D1C" w:rsidRPr="008D646D">
        <w:rPr>
          <w:rFonts w:ascii="Verdana" w:hAnsi="Verdana"/>
          <w:sz w:val="20"/>
          <w:szCs w:val="20"/>
          <w:lang w:val="es-CO"/>
        </w:rPr>
        <w:t>situaciones</w:t>
      </w:r>
      <w:r w:rsidR="00CF7D1C" w:rsidRPr="008D632B">
        <w:rPr>
          <w:rFonts w:ascii="Verdana" w:hAnsi="Verdana"/>
          <w:sz w:val="20"/>
          <w:szCs w:val="20"/>
          <w:lang w:val="es-CR"/>
        </w:rPr>
        <w:t xml:space="preserve"> similares a las que se produjeron en el </w:t>
      </w:r>
      <w:r w:rsidR="00CF7D1C" w:rsidRPr="00D96146">
        <w:rPr>
          <w:rFonts w:ascii="Verdana" w:hAnsi="Verdana"/>
          <w:i/>
          <w:sz w:val="20"/>
          <w:szCs w:val="20"/>
          <w:lang w:val="es-CR"/>
        </w:rPr>
        <w:t>caso Gelman</w:t>
      </w:r>
      <w:r w:rsidR="00A111B7" w:rsidRPr="00D96146">
        <w:rPr>
          <w:rFonts w:ascii="Verdana" w:hAnsi="Verdana"/>
          <w:i/>
          <w:sz w:val="20"/>
          <w:szCs w:val="20"/>
          <w:lang w:val="es-CR"/>
        </w:rPr>
        <w:t xml:space="preserve"> vs Uruguay</w:t>
      </w:r>
      <w:r w:rsidR="00A111B7" w:rsidRPr="008D632B">
        <w:rPr>
          <w:rFonts w:ascii="Verdana" w:hAnsi="Verdana"/>
          <w:sz w:val="20"/>
          <w:szCs w:val="20"/>
          <w:lang w:val="es-CR"/>
        </w:rPr>
        <w:t xml:space="preserve">, </w:t>
      </w:r>
      <w:r w:rsidR="00824911" w:rsidRPr="008D632B">
        <w:rPr>
          <w:rFonts w:ascii="Verdana" w:hAnsi="Verdana"/>
          <w:sz w:val="20"/>
          <w:szCs w:val="20"/>
          <w:lang w:val="es-CR"/>
        </w:rPr>
        <w:t xml:space="preserve">todas derivadas de una </w:t>
      </w:r>
      <w:r w:rsidR="009C4543" w:rsidRPr="008D632B">
        <w:rPr>
          <w:rFonts w:ascii="Verdana" w:hAnsi="Verdana"/>
          <w:sz w:val="20"/>
          <w:szCs w:val="20"/>
          <w:lang w:val="es-CR"/>
        </w:rPr>
        <w:t>in</w:t>
      </w:r>
      <w:r w:rsidR="00824911" w:rsidRPr="008D632B">
        <w:rPr>
          <w:rFonts w:ascii="Verdana" w:hAnsi="Verdana"/>
          <w:sz w:val="20"/>
          <w:szCs w:val="20"/>
          <w:lang w:val="es-CR"/>
        </w:rPr>
        <w:t xml:space="preserve">adecuada comprensión de la modalidad de control de convencionalidad que requiere el caso concreto, y que no es otra que </w:t>
      </w:r>
      <w:r w:rsidR="007B7F26" w:rsidRPr="008D632B">
        <w:rPr>
          <w:rFonts w:ascii="Verdana" w:hAnsi="Verdana"/>
          <w:sz w:val="20"/>
          <w:szCs w:val="20"/>
          <w:lang w:val="es-CR"/>
        </w:rPr>
        <w:t xml:space="preserve">el cumplimiento sin </w:t>
      </w:r>
      <w:r w:rsidR="007D1A2B" w:rsidRPr="008D632B">
        <w:rPr>
          <w:rFonts w:ascii="Verdana" w:hAnsi="Verdana"/>
          <w:sz w:val="20"/>
          <w:szCs w:val="20"/>
          <w:lang w:val="es-CR"/>
        </w:rPr>
        <w:t>más,</w:t>
      </w:r>
      <w:r w:rsidR="007B7F26" w:rsidRPr="008D632B">
        <w:rPr>
          <w:rFonts w:ascii="Verdana" w:hAnsi="Verdana"/>
          <w:sz w:val="20"/>
          <w:szCs w:val="20"/>
          <w:lang w:val="es-CR"/>
        </w:rPr>
        <w:t xml:space="preserve"> del estándar establecido</w:t>
      </w:r>
      <w:r w:rsidR="00C13391" w:rsidRPr="008D632B">
        <w:rPr>
          <w:rFonts w:ascii="Verdana" w:hAnsi="Verdana"/>
          <w:sz w:val="20"/>
          <w:szCs w:val="20"/>
          <w:lang w:val="es-CR"/>
        </w:rPr>
        <w:t xml:space="preserve"> de no permitir plazo de </w:t>
      </w:r>
      <w:r w:rsidR="00D96146">
        <w:rPr>
          <w:rFonts w:ascii="Verdana" w:hAnsi="Verdana"/>
          <w:sz w:val="20"/>
          <w:szCs w:val="20"/>
          <w:lang w:val="es-CR"/>
        </w:rPr>
        <w:t>prescripción</w:t>
      </w:r>
      <w:r w:rsidR="00D96146" w:rsidRPr="008D632B">
        <w:rPr>
          <w:rFonts w:ascii="Verdana" w:hAnsi="Verdana"/>
          <w:sz w:val="20"/>
          <w:szCs w:val="20"/>
          <w:lang w:val="es-CR"/>
        </w:rPr>
        <w:t xml:space="preserve"> </w:t>
      </w:r>
      <w:r w:rsidR="00C13391" w:rsidRPr="008D632B">
        <w:rPr>
          <w:rFonts w:ascii="Verdana" w:hAnsi="Verdana"/>
          <w:sz w:val="20"/>
          <w:szCs w:val="20"/>
          <w:lang w:val="es-CR"/>
        </w:rPr>
        <w:t xml:space="preserve">ante las violaciones de derechos </w:t>
      </w:r>
      <w:r w:rsidR="00C95059" w:rsidRPr="008D632B">
        <w:rPr>
          <w:rFonts w:ascii="Verdana" w:hAnsi="Verdana"/>
          <w:sz w:val="20"/>
          <w:szCs w:val="20"/>
          <w:lang w:val="es-CR"/>
        </w:rPr>
        <w:t>calificados como crímenes de lesa humanidad</w:t>
      </w:r>
      <w:r w:rsidR="007D1A2B" w:rsidRPr="008D632B">
        <w:rPr>
          <w:rFonts w:ascii="Verdana" w:hAnsi="Verdana"/>
          <w:sz w:val="20"/>
          <w:szCs w:val="20"/>
          <w:lang w:val="es-CR"/>
        </w:rPr>
        <w:t>.</w:t>
      </w:r>
    </w:p>
    <w:p w14:paraId="2337B561" w14:textId="77777777" w:rsidR="00C26195" w:rsidRPr="008D632B" w:rsidRDefault="00C26195" w:rsidP="00C26195">
      <w:pPr>
        <w:rPr>
          <w:rFonts w:ascii="Verdana" w:hAnsi="Verdana"/>
          <w:b/>
          <w:lang w:val="es-CR"/>
        </w:rPr>
      </w:pPr>
    </w:p>
    <w:p w14:paraId="525928F2" w14:textId="4E1E7E23" w:rsidR="000D38D2" w:rsidRPr="008D632B" w:rsidRDefault="000D38D2" w:rsidP="000D38D2">
      <w:pPr>
        <w:jc w:val="both"/>
        <w:rPr>
          <w:rFonts w:ascii="Verdana" w:hAnsi="Verdana"/>
          <w:b/>
          <w:lang w:val="es-CR"/>
        </w:rPr>
      </w:pPr>
    </w:p>
    <w:p w14:paraId="02D9F244" w14:textId="1C87A3DD" w:rsidR="000D38D2" w:rsidRPr="008D632B" w:rsidRDefault="00205F08" w:rsidP="000D38D2">
      <w:pPr>
        <w:jc w:val="both"/>
        <w:rPr>
          <w:rFonts w:ascii="Verdana" w:hAnsi="Verdana"/>
          <w:b/>
          <w:lang w:val="es-CR"/>
        </w:rPr>
      </w:pPr>
      <w:r w:rsidRPr="008D632B">
        <w:rPr>
          <w:rFonts w:ascii="Verdana" w:hAnsi="Verdana"/>
          <w:b/>
          <w:lang w:val="es-CR"/>
        </w:rPr>
        <w:t xml:space="preserve">Los </w:t>
      </w:r>
      <w:r w:rsidR="00A2324A" w:rsidRPr="008D632B">
        <w:rPr>
          <w:rFonts w:ascii="Verdana" w:hAnsi="Verdana"/>
          <w:b/>
          <w:lang w:val="es-CR"/>
        </w:rPr>
        <w:t>inconvenientes de la fórmula utilizada por la Corte</w:t>
      </w:r>
      <w:r w:rsidR="000D38D2" w:rsidRPr="008D632B">
        <w:rPr>
          <w:rFonts w:ascii="Verdana" w:hAnsi="Verdana"/>
          <w:b/>
          <w:lang w:val="es-CR"/>
        </w:rPr>
        <w:t>.</w:t>
      </w:r>
    </w:p>
    <w:p w14:paraId="5E99DD38" w14:textId="0B970CEA" w:rsidR="00173950" w:rsidRPr="008D632B" w:rsidRDefault="00173950" w:rsidP="00173950">
      <w:pPr>
        <w:jc w:val="both"/>
        <w:rPr>
          <w:rFonts w:ascii="Verdana" w:hAnsi="Verdana"/>
          <w:lang w:val="es-CR"/>
        </w:rPr>
      </w:pPr>
    </w:p>
    <w:p w14:paraId="2FCE5D26" w14:textId="133CAF4B" w:rsidR="003200CD" w:rsidRPr="008D632B" w:rsidRDefault="00917510" w:rsidP="008D646D">
      <w:pPr>
        <w:pStyle w:val="ListParagraph"/>
        <w:numPr>
          <w:ilvl w:val="0"/>
          <w:numId w:val="10"/>
        </w:numPr>
        <w:ind w:left="0" w:firstLine="0"/>
        <w:jc w:val="both"/>
        <w:rPr>
          <w:rFonts w:ascii="Verdana" w:hAnsi="Verdana"/>
          <w:sz w:val="20"/>
          <w:szCs w:val="20"/>
          <w:lang w:val="es-CR"/>
        </w:rPr>
      </w:pPr>
      <w:r w:rsidRPr="008D632B">
        <w:rPr>
          <w:rFonts w:ascii="Verdana" w:hAnsi="Verdana"/>
          <w:sz w:val="20"/>
          <w:szCs w:val="20"/>
          <w:lang w:val="es-CR"/>
        </w:rPr>
        <w:t>L</w:t>
      </w:r>
      <w:r w:rsidR="006E3AB0" w:rsidRPr="008D632B">
        <w:rPr>
          <w:rFonts w:ascii="Verdana" w:hAnsi="Verdana"/>
          <w:sz w:val="20"/>
          <w:szCs w:val="20"/>
          <w:lang w:val="es-CR"/>
        </w:rPr>
        <w:t xml:space="preserve">as anteriores consideraciones sobre el régimen </w:t>
      </w:r>
      <w:r w:rsidR="008D6352" w:rsidRPr="008D632B">
        <w:rPr>
          <w:rFonts w:ascii="Verdana" w:hAnsi="Verdana"/>
          <w:sz w:val="20"/>
          <w:szCs w:val="20"/>
          <w:lang w:val="es-CR"/>
        </w:rPr>
        <w:t>jurídico</w:t>
      </w:r>
      <w:r w:rsidR="006E3AB0" w:rsidRPr="008D632B">
        <w:rPr>
          <w:rFonts w:ascii="Verdana" w:hAnsi="Verdana"/>
          <w:sz w:val="20"/>
          <w:szCs w:val="20"/>
          <w:lang w:val="es-CR"/>
        </w:rPr>
        <w:t xml:space="preserve"> del control de convencionalidad</w:t>
      </w:r>
      <w:r w:rsidR="008D6352" w:rsidRPr="008D632B">
        <w:rPr>
          <w:rFonts w:ascii="Verdana" w:hAnsi="Verdana"/>
          <w:sz w:val="20"/>
          <w:szCs w:val="20"/>
          <w:lang w:val="es-CR"/>
        </w:rPr>
        <w:t xml:space="preserve"> propi</w:t>
      </w:r>
      <w:r w:rsidR="00D96146">
        <w:rPr>
          <w:rFonts w:ascii="Verdana" w:hAnsi="Verdana"/>
          <w:sz w:val="20"/>
          <w:szCs w:val="20"/>
          <w:lang w:val="es-CR"/>
        </w:rPr>
        <w:t>a</w:t>
      </w:r>
      <w:r w:rsidR="008D6352" w:rsidRPr="008D632B">
        <w:rPr>
          <w:rFonts w:ascii="Verdana" w:hAnsi="Verdana"/>
          <w:sz w:val="20"/>
          <w:szCs w:val="20"/>
          <w:lang w:val="es-CR"/>
        </w:rPr>
        <w:t xml:space="preserve">s de la aplicación de </w:t>
      </w:r>
      <w:r w:rsidR="00DD5B53" w:rsidRPr="008D632B">
        <w:rPr>
          <w:rFonts w:ascii="Verdana" w:hAnsi="Verdana"/>
          <w:sz w:val="20"/>
          <w:szCs w:val="20"/>
          <w:lang w:val="es-CR"/>
        </w:rPr>
        <w:t xml:space="preserve">sentencias </w:t>
      </w:r>
      <w:r w:rsidR="00622646" w:rsidRPr="008D632B">
        <w:rPr>
          <w:rFonts w:ascii="Verdana" w:hAnsi="Verdana"/>
          <w:sz w:val="20"/>
          <w:szCs w:val="20"/>
          <w:lang w:val="es-CR"/>
        </w:rPr>
        <w:t xml:space="preserve">interamericanas por parte de operadores jurídicos cuya nacionalidad </w:t>
      </w:r>
      <w:r w:rsidR="004E69E3" w:rsidRPr="008D632B">
        <w:rPr>
          <w:rFonts w:ascii="Verdana" w:hAnsi="Verdana"/>
          <w:sz w:val="20"/>
          <w:szCs w:val="20"/>
          <w:lang w:val="es-CR"/>
        </w:rPr>
        <w:t>sea diferente a la del Estado condenado</w:t>
      </w:r>
      <w:r w:rsidR="004D4E94" w:rsidRPr="008D632B">
        <w:rPr>
          <w:rFonts w:ascii="Verdana" w:hAnsi="Verdana"/>
          <w:sz w:val="20"/>
          <w:szCs w:val="20"/>
          <w:lang w:val="es-CR"/>
        </w:rPr>
        <w:t xml:space="preserve">, no son aplicables </w:t>
      </w:r>
      <w:r w:rsidR="00B15394" w:rsidRPr="008D632B">
        <w:rPr>
          <w:rFonts w:ascii="Verdana" w:hAnsi="Verdana"/>
          <w:sz w:val="20"/>
          <w:szCs w:val="20"/>
          <w:lang w:val="es-CR"/>
        </w:rPr>
        <w:t xml:space="preserve">plenamente </w:t>
      </w:r>
      <w:r w:rsidRPr="008D632B">
        <w:rPr>
          <w:rFonts w:ascii="Verdana" w:hAnsi="Verdana"/>
          <w:sz w:val="20"/>
          <w:szCs w:val="20"/>
          <w:lang w:val="es-CR"/>
        </w:rPr>
        <w:t>a este caso</w:t>
      </w:r>
      <w:r w:rsidR="00B15394" w:rsidRPr="008D632B">
        <w:rPr>
          <w:rFonts w:ascii="Verdana" w:hAnsi="Verdana"/>
          <w:sz w:val="20"/>
          <w:szCs w:val="20"/>
          <w:lang w:val="es-CR"/>
        </w:rPr>
        <w:t xml:space="preserve"> concreto en el que Chile es condenado.</w:t>
      </w:r>
      <w:r w:rsidR="00595FA6" w:rsidRPr="008D632B">
        <w:rPr>
          <w:rFonts w:ascii="Verdana" w:hAnsi="Verdana"/>
          <w:sz w:val="20"/>
          <w:szCs w:val="20"/>
          <w:lang w:val="es-CR"/>
        </w:rPr>
        <w:t xml:space="preserve"> </w:t>
      </w:r>
      <w:r w:rsidR="00DF7D0B" w:rsidRPr="008D632B">
        <w:rPr>
          <w:rFonts w:ascii="Verdana" w:hAnsi="Verdana"/>
          <w:sz w:val="20"/>
          <w:szCs w:val="20"/>
          <w:lang w:val="es-CR"/>
        </w:rPr>
        <w:t xml:space="preserve">Aquí estamos ante el supuesto de </w:t>
      </w:r>
      <w:r w:rsidR="00F31F32">
        <w:rPr>
          <w:rFonts w:ascii="Verdana" w:hAnsi="Verdana"/>
          <w:sz w:val="20"/>
          <w:szCs w:val="20"/>
          <w:lang w:val="es-CR"/>
        </w:rPr>
        <w:t xml:space="preserve">la obligación de todos los jueces de aplicar el estándar establecido en la </w:t>
      </w:r>
      <w:r w:rsidR="007E4FC0" w:rsidRPr="008D632B">
        <w:rPr>
          <w:rFonts w:ascii="Verdana" w:hAnsi="Verdana"/>
          <w:sz w:val="20"/>
          <w:szCs w:val="20"/>
          <w:lang w:val="es-CR"/>
        </w:rPr>
        <w:t xml:space="preserve">sentencia de la Corte Interamericana </w:t>
      </w:r>
      <w:r w:rsidR="00BC16F9">
        <w:rPr>
          <w:rFonts w:ascii="Verdana" w:hAnsi="Verdana"/>
          <w:sz w:val="20"/>
          <w:szCs w:val="20"/>
          <w:lang w:val="es-CR"/>
        </w:rPr>
        <w:t xml:space="preserve">aún </w:t>
      </w:r>
      <w:r w:rsidR="00EB7D05" w:rsidRPr="008D632B">
        <w:rPr>
          <w:rFonts w:ascii="Verdana" w:hAnsi="Verdana"/>
          <w:sz w:val="20"/>
          <w:szCs w:val="20"/>
          <w:lang w:val="es-CR"/>
        </w:rPr>
        <w:t xml:space="preserve">en </w:t>
      </w:r>
      <w:r w:rsidR="00BC16F9">
        <w:rPr>
          <w:rFonts w:ascii="Verdana" w:hAnsi="Verdana"/>
          <w:sz w:val="20"/>
          <w:szCs w:val="20"/>
          <w:lang w:val="es-CR"/>
        </w:rPr>
        <w:t xml:space="preserve">el </w:t>
      </w:r>
      <w:r w:rsidR="00EB7D05" w:rsidRPr="008D632B">
        <w:rPr>
          <w:rFonts w:ascii="Verdana" w:hAnsi="Verdana"/>
          <w:sz w:val="20"/>
          <w:szCs w:val="20"/>
          <w:lang w:val="es-CR"/>
        </w:rPr>
        <w:t xml:space="preserve">caso de que la Corte </w:t>
      </w:r>
      <w:r w:rsidR="00D96146">
        <w:rPr>
          <w:rFonts w:ascii="Verdana" w:hAnsi="Verdana"/>
          <w:sz w:val="20"/>
          <w:szCs w:val="20"/>
          <w:lang w:val="es-CR"/>
        </w:rPr>
        <w:t>S</w:t>
      </w:r>
      <w:r w:rsidR="00EB7D05" w:rsidRPr="008D632B">
        <w:rPr>
          <w:rFonts w:ascii="Verdana" w:hAnsi="Verdana"/>
          <w:sz w:val="20"/>
          <w:szCs w:val="20"/>
          <w:lang w:val="es-CR"/>
        </w:rPr>
        <w:t xml:space="preserve">uprema cambie su línea </w:t>
      </w:r>
      <w:r w:rsidR="00EB7D05" w:rsidRPr="008D632B">
        <w:rPr>
          <w:rFonts w:ascii="Verdana" w:hAnsi="Verdana"/>
          <w:sz w:val="20"/>
          <w:szCs w:val="20"/>
          <w:lang w:val="es-CR"/>
        </w:rPr>
        <w:lastRenderedPageBreak/>
        <w:t xml:space="preserve">interpretativa, y a </w:t>
      </w:r>
      <w:r w:rsidR="009F7BF6" w:rsidRPr="008D632B">
        <w:rPr>
          <w:rFonts w:ascii="Verdana" w:hAnsi="Verdana"/>
          <w:sz w:val="20"/>
          <w:szCs w:val="20"/>
          <w:lang w:val="es-CR"/>
        </w:rPr>
        <w:t xml:space="preserve">impedir que aspectos de la autonomía judicial propia del </w:t>
      </w:r>
      <w:r w:rsidR="00E77BD4" w:rsidRPr="008D632B">
        <w:rPr>
          <w:rFonts w:ascii="Verdana" w:hAnsi="Verdana"/>
          <w:sz w:val="20"/>
          <w:szCs w:val="20"/>
          <w:lang w:val="es-CR"/>
        </w:rPr>
        <w:t>ordenamiento</w:t>
      </w:r>
      <w:r w:rsidR="009F7BF6" w:rsidRPr="008D632B">
        <w:rPr>
          <w:rFonts w:ascii="Verdana" w:hAnsi="Verdana"/>
          <w:sz w:val="20"/>
          <w:szCs w:val="20"/>
          <w:lang w:val="es-CR"/>
        </w:rPr>
        <w:t xml:space="preserve"> sean fundamento para </w:t>
      </w:r>
      <w:r w:rsidR="00E77BD4" w:rsidRPr="008D632B">
        <w:rPr>
          <w:rFonts w:ascii="Verdana" w:hAnsi="Verdana"/>
          <w:sz w:val="20"/>
          <w:szCs w:val="20"/>
          <w:lang w:val="es-CR"/>
        </w:rPr>
        <w:t>inaplicar la decisión de la Corte.</w:t>
      </w:r>
    </w:p>
    <w:p w14:paraId="09577602" w14:textId="77777777" w:rsidR="003200CD" w:rsidRPr="008D632B" w:rsidRDefault="003200CD" w:rsidP="003200CD">
      <w:pPr>
        <w:pStyle w:val="ListParagraph"/>
        <w:rPr>
          <w:rFonts w:ascii="Verdana" w:hAnsi="Verdana"/>
          <w:sz w:val="20"/>
          <w:szCs w:val="20"/>
          <w:lang w:val="es-CR"/>
        </w:rPr>
      </w:pPr>
    </w:p>
    <w:p w14:paraId="67F65CC6" w14:textId="359B3A6F" w:rsidR="005A2E61" w:rsidRPr="008D632B" w:rsidRDefault="00595FA6" w:rsidP="008D646D">
      <w:pPr>
        <w:pStyle w:val="ListParagraph"/>
        <w:numPr>
          <w:ilvl w:val="0"/>
          <w:numId w:val="10"/>
        </w:numPr>
        <w:ind w:left="0" w:firstLine="0"/>
        <w:jc w:val="both"/>
        <w:rPr>
          <w:rFonts w:ascii="Verdana" w:hAnsi="Verdana"/>
          <w:sz w:val="20"/>
          <w:szCs w:val="20"/>
          <w:lang w:val="es-CR"/>
        </w:rPr>
      </w:pPr>
      <w:r w:rsidRPr="008D632B">
        <w:rPr>
          <w:rFonts w:ascii="Verdana" w:hAnsi="Verdana"/>
          <w:sz w:val="20"/>
          <w:szCs w:val="20"/>
          <w:lang w:val="es-CR"/>
        </w:rPr>
        <w:t xml:space="preserve">Las </w:t>
      </w:r>
      <w:r w:rsidR="00C86A4E" w:rsidRPr="008D632B">
        <w:rPr>
          <w:rFonts w:ascii="Verdana" w:hAnsi="Verdana"/>
          <w:sz w:val="20"/>
          <w:szCs w:val="20"/>
          <w:lang w:val="es-CR"/>
        </w:rPr>
        <w:t>lógicas</w:t>
      </w:r>
      <w:r w:rsidRPr="008D632B">
        <w:rPr>
          <w:rFonts w:ascii="Verdana" w:hAnsi="Verdana"/>
          <w:sz w:val="20"/>
          <w:szCs w:val="20"/>
          <w:lang w:val="es-CR"/>
        </w:rPr>
        <w:t xml:space="preserve"> de utilización del control de convencionalidad </w:t>
      </w:r>
      <w:r w:rsidR="00A20B5E" w:rsidRPr="008D632B">
        <w:rPr>
          <w:rFonts w:ascii="Verdana" w:hAnsi="Verdana"/>
          <w:sz w:val="20"/>
          <w:szCs w:val="20"/>
          <w:lang w:val="es-CR"/>
        </w:rPr>
        <w:t xml:space="preserve">que se articulan y fundamentan, </w:t>
      </w:r>
      <w:r w:rsidR="00C86A4E" w:rsidRPr="008D632B">
        <w:rPr>
          <w:rFonts w:ascii="Verdana" w:hAnsi="Verdana"/>
          <w:sz w:val="20"/>
          <w:szCs w:val="20"/>
          <w:lang w:val="es-CR"/>
        </w:rPr>
        <w:t>también</w:t>
      </w:r>
      <w:r w:rsidR="00A20B5E" w:rsidRPr="008D632B">
        <w:rPr>
          <w:rFonts w:ascii="Verdana" w:hAnsi="Verdana"/>
          <w:sz w:val="20"/>
          <w:szCs w:val="20"/>
          <w:lang w:val="es-CR"/>
        </w:rPr>
        <w:t xml:space="preserve"> en </w:t>
      </w:r>
      <w:r w:rsidR="00D11D0A" w:rsidRPr="008D632B">
        <w:rPr>
          <w:rFonts w:ascii="Verdana" w:hAnsi="Verdana"/>
          <w:sz w:val="20"/>
          <w:szCs w:val="20"/>
          <w:lang w:val="es-CR"/>
        </w:rPr>
        <w:t>el respeto de las competencias internas y en el diseño del sistema de fuentes interno</w:t>
      </w:r>
      <w:r w:rsidR="00D96146">
        <w:rPr>
          <w:rFonts w:ascii="Verdana" w:hAnsi="Verdana"/>
          <w:sz w:val="20"/>
          <w:szCs w:val="20"/>
          <w:lang w:val="es-CR"/>
        </w:rPr>
        <w:t>,</w:t>
      </w:r>
      <w:r w:rsidR="00613097" w:rsidRPr="008D632B">
        <w:rPr>
          <w:rFonts w:ascii="Verdana" w:hAnsi="Verdana"/>
          <w:sz w:val="20"/>
          <w:szCs w:val="20"/>
          <w:lang w:val="es-CR"/>
        </w:rPr>
        <w:t xml:space="preserve"> no permiten e</w:t>
      </w:r>
      <w:r w:rsidR="00C86A4E" w:rsidRPr="008D632B">
        <w:rPr>
          <w:rFonts w:ascii="Verdana" w:hAnsi="Verdana"/>
          <w:sz w:val="20"/>
          <w:szCs w:val="20"/>
          <w:lang w:val="es-CR"/>
        </w:rPr>
        <w:t>l nivel de eficacia, de homogeneidad que se pretende en el caso concreto</w:t>
      </w:r>
      <w:r w:rsidR="00E742FF" w:rsidRPr="008D632B">
        <w:rPr>
          <w:rFonts w:ascii="Verdana" w:hAnsi="Verdana"/>
          <w:sz w:val="20"/>
          <w:szCs w:val="20"/>
          <w:lang w:val="es-CR"/>
        </w:rPr>
        <w:t>. Aquí control de convencionalidad es un mecanismo para el cumplimiento de</w:t>
      </w:r>
      <w:r w:rsidR="00BC5300" w:rsidRPr="008D632B">
        <w:rPr>
          <w:rFonts w:ascii="Verdana" w:hAnsi="Verdana"/>
          <w:sz w:val="20"/>
          <w:szCs w:val="20"/>
          <w:lang w:val="es-CR"/>
        </w:rPr>
        <w:t xml:space="preserve"> una sentencia concreta, </w:t>
      </w:r>
      <w:r w:rsidR="005A2E61" w:rsidRPr="008D632B">
        <w:rPr>
          <w:rFonts w:ascii="Verdana" w:hAnsi="Verdana"/>
          <w:sz w:val="20"/>
          <w:szCs w:val="20"/>
          <w:lang w:val="es-CR"/>
        </w:rPr>
        <w:t>una garantía de no repetici</w:t>
      </w:r>
      <w:r w:rsidR="003D2BF0" w:rsidRPr="008D632B">
        <w:rPr>
          <w:rFonts w:ascii="Verdana" w:hAnsi="Verdana"/>
          <w:sz w:val="20"/>
          <w:szCs w:val="20"/>
          <w:lang w:val="es-CR"/>
        </w:rPr>
        <w:t>ó</w:t>
      </w:r>
      <w:r w:rsidR="00BC5300" w:rsidRPr="008D632B">
        <w:rPr>
          <w:rFonts w:ascii="Verdana" w:hAnsi="Verdana"/>
          <w:sz w:val="20"/>
          <w:szCs w:val="20"/>
          <w:lang w:val="es-CR"/>
        </w:rPr>
        <w:t>n</w:t>
      </w:r>
      <w:r w:rsidR="0035152B" w:rsidRPr="008D632B">
        <w:rPr>
          <w:rFonts w:ascii="Verdana" w:hAnsi="Verdana"/>
          <w:sz w:val="20"/>
          <w:szCs w:val="20"/>
          <w:lang w:val="es-CR"/>
        </w:rPr>
        <w:t>,</w:t>
      </w:r>
      <w:r w:rsidR="003D2BF0" w:rsidRPr="008D632B">
        <w:rPr>
          <w:rFonts w:ascii="Verdana" w:hAnsi="Verdana"/>
          <w:sz w:val="20"/>
          <w:szCs w:val="20"/>
          <w:lang w:val="es-CR"/>
        </w:rPr>
        <w:t xml:space="preserve"> n</w:t>
      </w:r>
      <w:r w:rsidR="00BC5300" w:rsidRPr="008D632B">
        <w:rPr>
          <w:rFonts w:ascii="Verdana" w:hAnsi="Verdana"/>
          <w:sz w:val="20"/>
          <w:szCs w:val="20"/>
          <w:lang w:val="es-CR"/>
        </w:rPr>
        <w:t xml:space="preserve">o un instrumento </w:t>
      </w:r>
      <w:r w:rsidR="00530C88" w:rsidRPr="008D632B">
        <w:rPr>
          <w:rFonts w:ascii="Verdana" w:hAnsi="Verdana"/>
          <w:sz w:val="20"/>
          <w:szCs w:val="20"/>
          <w:lang w:val="es-CR"/>
        </w:rPr>
        <w:t>dialógico</w:t>
      </w:r>
      <w:r w:rsidR="003D2BF0" w:rsidRPr="008D632B">
        <w:rPr>
          <w:rFonts w:ascii="Verdana" w:hAnsi="Verdana"/>
          <w:sz w:val="20"/>
          <w:szCs w:val="20"/>
          <w:lang w:val="es-CR"/>
        </w:rPr>
        <w:t xml:space="preserve">, de construcción compartida de decisiones </w:t>
      </w:r>
      <w:r w:rsidR="00436E31" w:rsidRPr="008D632B">
        <w:rPr>
          <w:rFonts w:ascii="Verdana" w:hAnsi="Verdana"/>
          <w:sz w:val="20"/>
          <w:szCs w:val="20"/>
          <w:lang w:val="es-CR"/>
        </w:rPr>
        <w:t>dirigidas a la protección de derechos humanos</w:t>
      </w:r>
      <w:r w:rsidR="008B3AA0" w:rsidRPr="008D632B">
        <w:rPr>
          <w:rFonts w:ascii="Verdana" w:hAnsi="Verdana"/>
          <w:sz w:val="20"/>
          <w:szCs w:val="20"/>
          <w:lang w:val="es-CR"/>
        </w:rPr>
        <w:t xml:space="preserve">. </w:t>
      </w:r>
    </w:p>
    <w:p w14:paraId="72A0429C" w14:textId="77777777" w:rsidR="005A2E61" w:rsidRPr="008D632B" w:rsidRDefault="005A2E61" w:rsidP="00DA1F12">
      <w:pPr>
        <w:jc w:val="both"/>
        <w:rPr>
          <w:rFonts w:ascii="Verdana" w:hAnsi="Verdana"/>
          <w:lang w:val="es-CR"/>
        </w:rPr>
      </w:pPr>
    </w:p>
    <w:p w14:paraId="3CD72EDF" w14:textId="1F1D8F70" w:rsidR="00173950" w:rsidRPr="008D632B" w:rsidRDefault="008B3AA0" w:rsidP="008D646D">
      <w:pPr>
        <w:pStyle w:val="ListParagraph"/>
        <w:numPr>
          <w:ilvl w:val="0"/>
          <w:numId w:val="10"/>
        </w:numPr>
        <w:ind w:left="0" w:firstLine="0"/>
        <w:jc w:val="both"/>
        <w:rPr>
          <w:rFonts w:ascii="Verdana" w:hAnsi="Verdana"/>
          <w:sz w:val="20"/>
          <w:szCs w:val="20"/>
          <w:lang w:val="es-CR"/>
        </w:rPr>
      </w:pPr>
      <w:r w:rsidRPr="008D632B">
        <w:rPr>
          <w:rFonts w:ascii="Verdana" w:hAnsi="Verdana"/>
          <w:sz w:val="20"/>
          <w:szCs w:val="20"/>
          <w:lang w:val="es-CR"/>
        </w:rPr>
        <w:t>La</w:t>
      </w:r>
      <w:r w:rsidR="00994874" w:rsidRPr="008D632B">
        <w:rPr>
          <w:rFonts w:ascii="Verdana" w:hAnsi="Verdana"/>
          <w:sz w:val="20"/>
          <w:szCs w:val="20"/>
          <w:lang w:val="es-CR"/>
        </w:rPr>
        <w:t xml:space="preserve"> ambigüedad conceptual y la</w:t>
      </w:r>
      <w:r w:rsidRPr="008D632B">
        <w:rPr>
          <w:rFonts w:ascii="Verdana" w:hAnsi="Verdana"/>
          <w:sz w:val="20"/>
          <w:szCs w:val="20"/>
          <w:lang w:val="es-CR"/>
        </w:rPr>
        <w:t xml:space="preserve"> utilización </w:t>
      </w:r>
      <w:r w:rsidR="00436E31" w:rsidRPr="008D632B">
        <w:rPr>
          <w:rFonts w:ascii="Verdana" w:hAnsi="Verdana"/>
          <w:sz w:val="20"/>
          <w:szCs w:val="20"/>
          <w:lang w:val="es-CR"/>
        </w:rPr>
        <w:t xml:space="preserve">no diferenciada </w:t>
      </w:r>
      <w:r w:rsidR="00D96146">
        <w:rPr>
          <w:rFonts w:ascii="Verdana" w:hAnsi="Verdana"/>
          <w:sz w:val="20"/>
          <w:szCs w:val="20"/>
          <w:lang w:val="es-CR"/>
        </w:rPr>
        <w:t xml:space="preserve">del </w:t>
      </w:r>
      <w:r w:rsidR="00436E31" w:rsidRPr="008D632B">
        <w:rPr>
          <w:rFonts w:ascii="Verdana" w:hAnsi="Verdana"/>
          <w:sz w:val="20"/>
          <w:szCs w:val="20"/>
          <w:lang w:val="es-CR"/>
        </w:rPr>
        <w:t xml:space="preserve">concepto </w:t>
      </w:r>
      <w:r w:rsidRPr="008D632B">
        <w:rPr>
          <w:rFonts w:ascii="Verdana" w:hAnsi="Verdana"/>
          <w:sz w:val="20"/>
          <w:szCs w:val="20"/>
          <w:lang w:val="es-CR"/>
        </w:rPr>
        <w:t>del control de convencionalidad</w:t>
      </w:r>
      <w:r w:rsidR="00C14348" w:rsidRPr="008D632B">
        <w:rPr>
          <w:rFonts w:ascii="Verdana" w:hAnsi="Verdana"/>
          <w:sz w:val="20"/>
          <w:szCs w:val="20"/>
          <w:lang w:val="es-CR"/>
        </w:rPr>
        <w:t xml:space="preserve">, </w:t>
      </w:r>
      <w:r w:rsidR="00A66CFF" w:rsidRPr="008D632B">
        <w:rPr>
          <w:rFonts w:ascii="Verdana" w:hAnsi="Verdana"/>
          <w:sz w:val="20"/>
          <w:szCs w:val="20"/>
          <w:lang w:val="es-CR"/>
        </w:rPr>
        <w:t>genera</w:t>
      </w:r>
      <w:r w:rsidR="00994874" w:rsidRPr="008D632B">
        <w:rPr>
          <w:rFonts w:ascii="Verdana" w:hAnsi="Verdana"/>
          <w:sz w:val="20"/>
          <w:szCs w:val="20"/>
          <w:lang w:val="es-CR"/>
        </w:rPr>
        <w:t xml:space="preserve"> confusiones innecesarias </w:t>
      </w:r>
      <w:r w:rsidR="00CC1558" w:rsidRPr="008D632B">
        <w:rPr>
          <w:rFonts w:ascii="Verdana" w:hAnsi="Verdana"/>
          <w:sz w:val="20"/>
          <w:szCs w:val="20"/>
          <w:lang w:val="es-CR"/>
        </w:rPr>
        <w:t>y posibilidades de un cumplimiento deficiente de las decisiones de la Corte.</w:t>
      </w:r>
    </w:p>
    <w:p w14:paraId="496ED17A" w14:textId="5C560D8B" w:rsidR="00A66CFF" w:rsidRPr="008D632B" w:rsidRDefault="00A66CFF" w:rsidP="00173950">
      <w:pPr>
        <w:jc w:val="both"/>
        <w:rPr>
          <w:rFonts w:ascii="Verdana" w:hAnsi="Verdana"/>
          <w:lang w:val="es-CR"/>
        </w:rPr>
      </w:pPr>
    </w:p>
    <w:p w14:paraId="396792C2" w14:textId="0AD84D24" w:rsidR="00451F74" w:rsidRPr="008D632B" w:rsidRDefault="00451F74" w:rsidP="00465B2F">
      <w:pPr>
        <w:jc w:val="both"/>
        <w:rPr>
          <w:rFonts w:ascii="Verdana" w:hAnsi="Verdana"/>
          <w:lang w:val="es-CR"/>
        </w:rPr>
      </w:pPr>
    </w:p>
    <w:p w14:paraId="5575F052" w14:textId="77777777" w:rsidR="0089740C" w:rsidRPr="008D632B" w:rsidRDefault="0089740C" w:rsidP="009D7294">
      <w:pPr>
        <w:jc w:val="both"/>
        <w:rPr>
          <w:rFonts w:ascii="Verdana" w:hAnsi="Verdana"/>
          <w:lang w:val="es-CR"/>
        </w:rPr>
      </w:pPr>
    </w:p>
    <w:p w14:paraId="28915D72" w14:textId="77777777" w:rsidR="00035BF0" w:rsidRPr="008D632B" w:rsidRDefault="00035BF0" w:rsidP="00035BF0">
      <w:pPr>
        <w:pStyle w:val="ListParagraph"/>
        <w:jc w:val="center"/>
        <w:rPr>
          <w:rFonts w:ascii="Verdana" w:hAnsi="Verdana"/>
          <w:sz w:val="20"/>
          <w:szCs w:val="20"/>
          <w:lang w:val="es-ES"/>
        </w:rPr>
      </w:pPr>
    </w:p>
    <w:p w14:paraId="6BBAA837" w14:textId="44A22451" w:rsidR="00A71CD3" w:rsidRPr="008D632B" w:rsidRDefault="00A71CD3" w:rsidP="00035BF0">
      <w:pPr>
        <w:pStyle w:val="ListParagraph"/>
        <w:jc w:val="center"/>
        <w:rPr>
          <w:rFonts w:ascii="Verdana" w:hAnsi="Verdana"/>
          <w:sz w:val="20"/>
          <w:szCs w:val="20"/>
          <w:lang w:val="es-ES"/>
        </w:rPr>
      </w:pPr>
    </w:p>
    <w:p w14:paraId="72D442F5" w14:textId="77777777" w:rsidR="00035BF0" w:rsidRPr="008D632B" w:rsidRDefault="00035BF0" w:rsidP="00035BF0">
      <w:pPr>
        <w:ind w:left="4248"/>
        <w:jc w:val="center"/>
        <w:rPr>
          <w:rFonts w:ascii="Verdana" w:hAnsi="Verdana"/>
          <w:lang w:val="es-CR"/>
        </w:rPr>
      </w:pPr>
      <w:r w:rsidRPr="008D632B">
        <w:rPr>
          <w:rFonts w:ascii="Verdana" w:hAnsi="Verdana"/>
          <w:lang w:val="pt-BR"/>
        </w:rPr>
        <w:t>Humberto Antonio Sierra Porto</w:t>
      </w:r>
    </w:p>
    <w:p w14:paraId="5419B04E" w14:textId="6C52775E" w:rsidR="00035BF0" w:rsidRPr="008D632B" w:rsidRDefault="00035BF0" w:rsidP="00035BF0">
      <w:pPr>
        <w:ind w:left="4248"/>
        <w:jc w:val="center"/>
        <w:rPr>
          <w:rFonts w:ascii="Verdana" w:hAnsi="Verdana"/>
          <w:lang w:val="es-CR"/>
        </w:rPr>
      </w:pPr>
      <w:r w:rsidRPr="008D632B">
        <w:rPr>
          <w:rFonts w:ascii="Verdana" w:hAnsi="Verdana"/>
          <w:lang w:val="es-CR"/>
        </w:rPr>
        <w:t>Juez</w:t>
      </w:r>
    </w:p>
    <w:p w14:paraId="788D918D" w14:textId="77777777" w:rsidR="00035BF0" w:rsidRPr="008D632B" w:rsidRDefault="00035BF0" w:rsidP="00035BF0">
      <w:pPr>
        <w:tabs>
          <w:tab w:val="left" w:pos="1440"/>
        </w:tabs>
        <w:jc w:val="center"/>
        <w:rPr>
          <w:rFonts w:ascii="Verdana" w:hAnsi="Verdana"/>
          <w:lang w:val="es-CR"/>
        </w:rPr>
      </w:pPr>
    </w:p>
    <w:p w14:paraId="6A15B9AB" w14:textId="77777777" w:rsidR="00035BF0" w:rsidRDefault="00035BF0" w:rsidP="00035BF0">
      <w:pPr>
        <w:tabs>
          <w:tab w:val="left" w:pos="1440"/>
        </w:tabs>
        <w:rPr>
          <w:rFonts w:ascii="Verdana" w:hAnsi="Verdana"/>
          <w:lang w:val="es-CR"/>
        </w:rPr>
      </w:pPr>
    </w:p>
    <w:p w14:paraId="00D9BFC6" w14:textId="77777777" w:rsidR="008D646D" w:rsidRDefault="008D646D" w:rsidP="00035BF0">
      <w:pPr>
        <w:tabs>
          <w:tab w:val="left" w:pos="1440"/>
        </w:tabs>
        <w:rPr>
          <w:rFonts w:ascii="Verdana" w:hAnsi="Verdana"/>
          <w:lang w:val="es-CR"/>
        </w:rPr>
      </w:pPr>
    </w:p>
    <w:p w14:paraId="3C9EC22E" w14:textId="77777777" w:rsidR="008D646D" w:rsidRDefault="008D646D" w:rsidP="00035BF0">
      <w:pPr>
        <w:tabs>
          <w:tab w:val="left" w:pos="1440"/>
        </w:tabs>
        <w:rPr>
          <w:rFonts w:ascii="Verdana" w:hAnsi="Verdana"/>
          <w:lang w:val="es-CR"/>
        </w:rPr>
      </w:pPr>
    </w:p>
    <w:p w14:paraId="318C41D8" w14:textId="77777777" w:rsidR="008D646D" w:rsidRDefault="008D646D" w:rsidP="00035BF0">
      <w:pPr>
        <w:tabs>
          <w:tab w:val="left" w:pos="1440"/>
        </w:tabs>
        <w:rPr>
          <w:rFonts w:ascii="Verdana" w:hAnsi="Verdana"/>
          <w:lang w:val="es-CR"/>
        </w:rPr>
      </w:pPr>
    </w:p>
    <w:p w14:paraId="6CC6C652" w14:textId="58E246EA" w:rsidR="008D646D" w:rsidRPr="008D632B" w:rsidRDefault="008D646D" w:rsidP="00035BF0">
      <w:pPr>
        <w:tabs>
          <w:tab w:val="left" w:pos="1440"/>
        </w:tabs>
        <w:rPr>
          <w:rFonts w:ascii="Verdana" w:hAnsi="Verdana"/>
          <w:lang w:val="es-CR"/>
        </w:rPr>
      </w:pPr>
    </w:p>
    <w:p w14:paraId="5E80C13E" w14:textId="77777777" w:rsidR="00035BF0" w:rsidRPr="008D632B" w:rsidRDefault="00035BF0" w:rsidP="00035BF0">
      <w:pPr>
        <w:tabs>
          <w:tab w:val="left" w:pos="1440"/>
        </w:tabs>
        <w:rPr>
          <w:rFonts w:ascii="Verdana" w:hAnsi="Verdana"/>
          <w:lang w:val="es-CR"/>
        </w:rPr>
      </w:pPr>
      <w:r w:rsidRPr="008D632B">
        <w:rPr>
          <w:rFonts w:ascii="Verdana" w:hAnsi="Verdana"/>
          <w:lang w:val="es-CR"/>
        </w:rPr>
        <w:t>Pablo Saavedra Alessandri</w:t>
      </w:r>
    </w:p>
    <w:p w14:paraId="0C82457D" w14:textId="135BA0EC" w:rsidR="00924DAA" w:rsidRPr="008D632B" w:rsidRDefault="008D646D" w:rsidP="008D646D">
      <w:pPr>
        <w:rPr>
          <w:rFonts w:ascii="Verdana" w:hAnsi="Verdana"/>
        </w:rPr>
      </w:pPr>
      <w:r>
        <w:rPr>
          <w:rFonts w:ascii="Verdana" w:hAnsi="Verdana"/>
        </w:rPr>
        <w:tab/>
      </w:r>
      <w:r w:rsidR="00035BF0" w:rsidRPr="008D632B">
        <w:rPr>
          <w:rFonts w:ascii="Verdana" w:hAnsi="Verdana"/>
        </w:rPr>
        <w:t>Secretario</w:t>
      </w:r>
    </w:p>
    <w:sectPr w:rsidR="00924DAA" w:rsidRPr="008D632B" w:rsidSect="00BC16F9">
      <w:headerReference w:type="default" r:id="rId9"/>
      <w:footerReference w:type="default" r:id="rId10"/>
      <w:pgSz w:w="12240" w:h="15840"/>
      <w:pgMar w:top="1417" w:right="1325" w:bottom="1417"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9C591" w14:textId="77777777" w:rsidR="005773DC" w:rsidRDefault="005773DC" w:rsidP="00CD29C6">
      <w:r>
        <w:separator/>
      </w:r>
    </w:p>
  </w:endnote>
  <w:endnote w:type="continuationSeparator" w:id="0">
    <w:p w14:paraId="734B005A" w14:textId="77777777" w:rsidR="005773DC" w:rsidRDefault="005773DC" w:rsidP="00CD2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Bold">
    <w:altName w:val="Times New Roman"/>
    <w:panose1 w:val="020B0804030504040204"/>
    <w:charset w:val="00"/>
    <w:family w:val="auto"/>
    <w:pitch w:val="variable"/>
    <w:sig w:usb0="00000001"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4D"/>
    <w:family w:val="roman"/>
    <w:pitch w:val="default"/>
    <w:sig w:usb0="03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5241D" w14:textId="77777777" w:rsidR="00A2324A" w:rsidRDefault="00A2324A">
    <w:pPr>
      <w:pStyle w:val="Footer"/>
      <w:jc w:val="right"/>
    </w:pPr>
  </w:p>
  <w:p w14:paraId="2E676938" w14:textId="77777777" w:rsidR="00A2324A" w:rsidRDefault="00A232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83605" w14:textId="77777777" w:rsidR="005773DC" w:rsidRDefault="005773DC" w:rsidP="00CD29C6">
      <w:r>
        <w:separator/>
      </w:r>
    </w:p>
  </w:footnote>
  <w:footnote w:type="continuationSeparator" w:id="0">
    <w:p w14:paraId="1E67D333" w14:textId="77777777" w:rsidR="005773DC" w:rsidRDefault="005773DC" w:rsidP="00CD29C6">
      <w:r>
        <w:continuationSeparator/>
      </w:r>
    </w:p>
  </w:footnote>
  <w:footnote w:id="1">
    <w:p w14:paraId="6BEA49C2" w14:textId="77777777" w:rsidR="00A2324A" w:rsidRPr="0086352B" w:rsidRDefault="00A2324A" w:rsidP="0053326B">
      <w:pPr>
        <w:pStyle w:val="FootnoteText"/>
        <w:spacing w:before="120" w:after="120"/>
        <w:jc w:val="both"/>
        <w:rPr>
          <w:rFonts w:ascii="Verdana" w:hAnsi="Verdana"/>
          <w:spacing w:val="-12"/>
          <w:sz w:val="16"/>
          <w:szCs w:val="16"/>
          <w:lang w:val="es-CR"/>
        </w:rPr>
      </w:pPr>
      <w:r w:rsidRPr="0086352B">
        <w:rPr>
          <w:rStyle w:val="FootnoteReference"/>
          <w:rFonts w:ascii="Verdana" w:hAnsi="Verdana"/>
          <w:spacing w:val="-12"/>
          <w:sz w:val="16"/>
          <w:szCs w:val="16"/>
        </w:rPr>
        <w:footnoteRef/>
      </w:r>
      <w:r w:rsidRPr="0086352B">
        <w:rPr>
          <w:rFonts w:ascii="Verdana" w:hAnsi="Verdana"/>
          <w:spacing w:val="-12"/>
          <w:sz w:val="16"/>
          <w:szCs w:val="16"/>
        </w:rPr>
        <w:t xml:space="preserve"> </w:t>
      </w:r>
      <w:r w:rsidRPr="0086352B">
        <w:rPr>
          <w:rFonts w:ascii="Verdana" w:hAnsi="Verdana"/>
          <w:spacing w:val="-12"/>
          <w:sz w:val="16"/>
          <w:szCs w:val="16"/>
          <w:lang w:val="es-CR"/>
        </w:rPr>
        <w:tab/>
      </w:r>
      <w:r w:rsidRPr="0086352B">
        <w:rPr>
          <w:rFonts w:ascii="Verdana" w:hAnsi="Verdana"/>
          <w:i/>
          <w:spacing w:val="-12"/>
          <w:sz w:val="16"/>
          <w:szCs w:val="16"/>
          <w:lang w:val="es-CR"/>
        </w:rPr>
        <w:t xml:space="preserve">Cfr. </w:t>
      </w:r>
      <w:r w:rsidRPr="0086352B">
        <w:rPr>
          <w:rStyle w:val="Strong"/>
          <w:rFonts w:ascii="Verdana" w:hAnsi="Verdana"/>
          <w:b w:val="0"/>
          <w:i/>
          <w:color w:val="000000"/>
          <w:spacing w:val="-12"/>
          <w:sz w:val="16"/>
          <w:szCs w:val="16"/>
          <w:shd w:val="clear" w:color="auto" w:fill="FFFFFF"/>
        </w:rPr>
        <w:t>Caso Ibsen Cárdenas e Ibsen Peña Vs. Bolivia. Fondo, Reparaciones y Costas.</w:t>
      </w:r>
      <w:r w:rsidRPr="0086352B">
        <w:rPr>
          <w:rStyle w:val="Strong"/>
          <w:rFonts w:ascii="Verdana" w:hAnsi="Verdana"/>
          <w:b w:val="0"/>
          <w:color w:val="000000"/>
          <w:spacing w:val="-12"/>
          <w:sz w:val="16"/>
          <w:szCs w:val="16"/>
          <w:shd w:val="clear" w:color="auto" w:fill="FFFFFF"/>
        </w:rPr>
        <w:t xml:space="preserve"> Sentencia de 1 de septiembre de 2010. Serie C No. 217., párr. 207, </w:t>
      </w:r>
      <w:r w:rsidRPr="0086352B">
        <w:rPr>
          <w:rStyle w:val="Strong"/>
          <w:rFonts w:ascii="Verdana" w:hAnsi="Verdana"/>
          <w:b w:val="0"/>
          <w:i/>
          <w:color w:val="000000"/>
          <w:spacing w:val="-12"/>
          <w:sz w:val="16"/>
          <w:szCs w:val="16"/>
          <w:shd w:val="clear" w:color="auto" w:fill="FFFFFF"/>
        </w:rPr>
        <w:t>Caso Albán Cornejo y otros Vs. Ecuador. Fondo, Reparaciones y Costas.</w:t>
      </w:r>
      <w:r w:rsidRPr="0086352B">
        <w:rPr>
          <w:rStyle w:val="Strong"/>
          <w:rFonts w:ascii="Verdana" w:hAnsi="Verdana"/>
          <w:b w:val="0"/>
          <w:color w:val="000000"/>
          <w:spacing w:val="-12"/>
          <w:sz w:val="16"/>
          <w:szCs w:val="16"/>
          <w:shd w:val="clear" w:color="auto" w:fill="FFFFFF"/>
        </w:rPr>
        <w:t xml:space="preserve"> Sentencia de 22 de noviembre de 2007. Serie C No. 171., párr. 111.</w:t>
      </w:r>
    </w:p>
  </w:footnote>
  <w:footnote w:id="2">
    <w:p w14:paraId="161C95A9" w14:textId="30EACAA9" w:rsidR="00A2324A" w:rsidRPr="0086352B" w:rsidRDefault="00A2324A" w:rsidP="0053326B">
      <w:pPr>
        <w:pStyle w:val="FootnoteText"/>
        <w:spacing w:before="120" w:after="120"/>
        <w:jc w:val="both"/>
        <w:rPr>
          <w:rFonts w:ascii="Verdana" w:hAnsi="Verdana"/>
          <w:spacing w:val="-12"/>
          <w:sz w:val="16"/>
          <w:szCs w:val="16"/>
        </w:rPr>
      </w:pPr>
      <w:r w:rsidRPr="0086352B">
        <w:rPr>
          <w:rStyle w:val="FootnoteReference"/>
          <w:rFonts w:ascii="Verdana" w:hAnsi="Verdana"/>
          <w:spacing w:val="-12"/>
          <w:sz w:val="16"/>
          <w:szCs w:val="16"/>
        </w:rPr>
        <w:footnoteRef/>
      </w:r>
      <w:r w:rsidRPr="0086352B">
        <w:rPr>
          <w:rFonts w:ascii="Verdana" w:hAnsi="Verdana"/>
          <w:spacing w:val="-12"/>
          <w:sz w:val="16"/>
          <w:szCs w:val="16"/>
        </w:rPr>
        <w:t xml:space="preserve"> </w:t>
      </w:r>
      <w:r w:rsidRPr="0086352B">
        <w:rPr>
          <w:rFonts w:ascii="Verdana" w:hAnsi="Verdana"/>
          <w:spacing w:val="-12"/>
          <w:sz w:val="16"/>
          <w:szCs w:val="16"/>
        </w:rPr>
        <w:tab/>
      </w:r>
      <w:r w:rsidR="00E35D00" w:rsidRPr="0086352B">
        <w:rPr>
          <w:rFonts w:ascii="Verdana" w:hAnsi="Verdana"/>
          <w:i/>
          <w:spacing w:val="-12"/>
          <w:sz w:val="16"/>
          <w:szCs w:val="16"/>
        </w:rPr>
        <w:t xml:space="preserve">Cfr. Caso </w:t>
      </w:r>
      <w:r w:rsidRPr="0086352B">
        <w:rPr>
          <w:rFonts w:ascii="Verdana" w:hAnsi="Verdana"/>
          <w:i/>
          <w:spacing w:val="-12"/>
          <w:sz w:val="16"/>
          <w:szCs w:val="16"/>
        </w:rPr>
        <w:t>Barrios Altos</w:t>
      </w:r>
      <w:r w:rsidR="00E35D00" w:rsidRPr="0086352B">
        <w:rPr>
          <w:rFonts w:ascii="Verdana" w:hAnsi="Verdana"/>
          <w:i/>
          <w:spacing w:val="-12"/>
          <w:sz w:val="16"/>
          <w:szCs w:val="16"/>
        </w:rPr>
        <w:t xml:space="preserve"> Vs. Perú, Fondo</w:t>
      </w:r>
      <w:r w:rsidR="00E35D00" w:rsidRPr="0086352B">
        <w:rPr>
          <w:rFonts w:ascii="Verdana" w:hAnsi="Verdana"/>
          <w:spacing w:val="-12"/>
          <w:sz w:val="16"/>
          <w:szCs w:val="16"/>
        </w:rPr>
        <w:t>. Sentencia de 14 de marzo de 2001. Serie C No. 75</w:t>
      </w:r>
      <w:r w:rsidRPr="0086352B">
        <w:rPr>
          <w:rFonts w:ascii="Verdana" w:hAnsi="Verdana"/>
          <w:spacing w:val="-12"/>
          <w:sz w:val="16"/>
          <w:szCs w:val="16"/>
        </w:rPr>
        <w:t>, párr. 41.</w:t>
      </w:r>
    </w:p>
  </w:footnote>
  <w:footnote w:id="3">
    <w:p w14:paraId="61A6235F" w14:textId="25472E29" w:rsidR="00A2324A" w:rsidRPr="0086352B" w:rsidRDefault="00A2324A" w:rsidP="0053326B">
      <w:pPr>
        <w:pStyle w:val="FootnoteText"/>
        <w:spacing w:before="120" w:after="120"/>
        <w:jc w:val="both"/>
        <w:rPr>
          <w:rFonts w:ascii="Verdana" w:hAnsi="Verdana"/>
          <w:spacing w:val="-12"/>
          <w:sz w:val="16"/>
          <w:szCs w:val="16"/>
        </w:rPr>
      </w:pPr>
      <w:r w:rsidRPr="0086352B">
        <w:rPr>
          <w:rStyle w:val="FootnoteReference"/>
          <w:rFonts w:ascii="Verdana" w:hAnsi="Verdana"/>
          <w:spacing w:val="-12"/>
          <w:sz w:val="16"/>
          <w:szCs w:val="16"/>
        </w:rPr>
        <w:footnoteRef/>
      </w:r>
      <w:r w:rsidRPr="0086352B">
        <w:rPr>
          <w:rFonts w:ascii="Verdana" w:hAnsi="Verdana"/>
          <w:spacing w:val="-12"/>
          <w:sz w:val="16"/>
          <w:szCs w:val="16"/>
        </w:rPr>
        <w:t xml:space="preserve"> </w:t>
      </w:r>
      <w:r w:rsidRPr="0086352B">
        <w:rPr>
          <w:rFonts w:ascii="Verdana" w:hAnsi="Verdana"/>
          <w:spacing w:val="-12"/>
          <w:sz w:val="16"/>
          <w:szCs w:val="16"/>
        </w:rPr>
        <w:tab/>
      </w:r>
      <w:r w:rsidR="00E35D00" w:rsidRPr="0086352B">
        <w:rPr>
          <w:rFonts w:ascii="Verdana" w:hAnsi="Verdana"/>
          <w:i/>
          <w:spacing w:val="-12"/>
          <w:sz w:val="16"/>
          <w:szCs w:val="16"/>
        </w:rPr>
        <w:t xml:space="preserve">Cfr. Caso </w:t>
      </w:r>
      <w:r w:rsidRPr="0086352B">
        <w:rPr>
          <w:rFonts w:ascii="Verdana" w:hAnsi="Verdana"/>
          <w:i/>
          <w:spacing w:val="-12"/>
          <w:sz w:val="16"/>
          <w:szCs w:val="16"/>
        </w:rPr>
        <w:t>Barrios Altos</w:t>
      </w:r>
      <w:r w:rsidR="00E35D00" w:rsidRPr="0086352B">
        <w:rPr>
          <w:rFonts w:ascii="Verdana" w:hAnsi="Verdana"/>
          <w:i/>
          <w:spacing w:val="-12"/>
          <w:sz w:val="16"/>
          <w:szCs w:val="16"/>
        </w:rPr>
        <w:t xml:space="preserve"> Vs. Perú</w:t>
      </w:r>
      <w:r w:rsidRPr="0086352B">
        <w:rPr>
          <w:rFonts w:ascii="Verdana" w:hAnsi="Verdana"/>
          <w:spacing w:val="-12"/>
          <w:sz w:val="16"/>
          <w:szCs w:val="16"/>
        </w:rPr>
        <w:t>, párr. 43.</w:t>
      </w:r>
    </w:p>
  </w:footnote>
  <w:footnote w:id="4">
    <w:p w14:paraId="3DA7EF72" w14:textId="77777777" w:rsidR="00A2324A" w:rsidRPr="0086352B" w:rsidRDefault="00A2324A" w:rsidP="0053326B">
      <w:pPr>
        <w:pStyle w:val="FootnoteText"/>
        <w:spacing w:before="120" w:after="120"/>
        <w:jc w:val="both"/>
        <w:rPr>
          <w:rFonts w:ascii="Verdana" w:hAnsi="Verdana"/>
          <w:spacing w:val="-12"/>
          <w:sz w:val="16"/>
          <w:szCs w:val="16"/>
          <w:lang w:val="es-CR"/>
        </w:rPr>
      </w:pPr>
      <w:r w:rsidRPr="0086352B">
        <w:rPr>
          <w:rStyle w:val="FootnoteReference"/>
          <w:rFonts w:ascii="Verdana" w:hAnsi="Verdana"/>
          <w:spacing w:val="-12"/>
          <w:sz w:val="16"/>
          <w:szCs w:val="16"/>
        </w:rPr>
        <w:footnoteRef/>
      </w:r>
      <w:r w:rsidRPr="0086352B">
        <w:rPr>
          <w:rFonts w:ascii="Verdana" w:hAnsi="Verdana"/>
          <w:spacing w:val="-12"/>
          <w:sz w:val="16"/>
          <w:szCs w:val="16"/>
        </w:rPr>
        <w:t xml:space="preserve"> </w:t>
      </w:r>
      <w:r w:rsidRPr="0086352B">
        <w:rPr>
          <w:rFonts w:ascii="Verdana" w:hAnsi="Verdana"/>
          <w:spacing w:val="-12"/>
          <w:sz w:val="16"/>
          <w:szCs w:val="16"/>
          <w:lang w:val="es-CR"/>
        </w:rPr>
        <w:tab/>
      </w:r>
      <w:r w:rsidRPr="0086352B">
        <w:rPr>
          <w:rFonts w:ascii="Verdana" w:hAnsi="Verdana"/>
          <w:i/>
          <w:spacing w:val="-12"/>
          <w:sz w:val="16"/>
          <w:szCs w:val="16"/>
          <w:lang w:val="es-CR"/>
        </w:rPr>
        <w:t xml:space="preserve">Cfr. </w:t>
      </w:r>
      <w:r w:rsidRPr="0086352B">
        <w:rPr>
          <w:rStyle w:val="Strong"/>
          <w:rFonts w:ascii="Verdana" w:hAnsi="Verdana"/>
          <w:b w:val="0"/>
          <w:i/>
          <w:color w:val="000000"/>
          <w:spacing w:val="-12"/>
          <w:sz w:val="16"/>
          <w:szCs w:val="16"/>
          <w:shd w:val="clear" w:color="auto" w:fill="FFFFFF"/>
        </w:rPr>
        <w:t>Caso Masacre de Santo Domingo Vs. Colombia. Excepciones Preliminares, Fondo y Reparaciones.</w:t>
      </w:r>
      <w:r w:rsidRPr="0086352B">
        <w:rPr>
          <w:rStyle w:val="Strong"/>
          <w:rFonts w:ascii="Verdana" w:hAnsi="Verdana"/>
          <w:b w:val="0"/>
          <w:color w:val="000000"/>
          <w:spacing w:val="-12"/>
          <w:sz w:val="16"/>
          <w:szCs w:val="16"/>
          <w:shd w:val="clear" w:color="auto" w:fill="FFFFFF"/>
        </w:rPr>
        <w:t xml:space="preserve"> Sentencia de 30 de noviembre de 2012. Serie C No. 259., párr. 143, y </w:t>
      </w:r>
      <w:r w:rsidRPr="0086352B">
        <w:rPr>
          <w:rStyle w:val="Strong"/>
          <w:rFonts w:ascii="Verdana" w:hAnsi="Verdana"/>
          <w:b w:val="0"/>
          <w:i/>
          <w:color w:val="000000"/>
          <w:spacing w:val="-12"/>
          <w:sz w:val="16"/>
          <w:szCs w:val="16"/>
          <w:shd w:val="clear" w:color="auto" w:fill="FFFFFF"/>
        </w:rPr>
        <w:t>Caso Vereda La Esperanza Vs. Colombia. Excepciones Preliminares, Fondo, Reparaciones y Costas.</w:t>
      </w:r>
      <w:r w:rsidRPr="0086352B">
        <w:rPr>
          <w:rStyle w:val="Strong"/>
          <w:rFonts w:ascii="Verdana" w:hAnsi="Verdana"/>
          <w:b w:val="0"/>
          <w:color w:val="000000"/>
          <w:spacing w:val="-12"/>
          <w:sz w:val="16"/>
          <w:szCs w:val="16"/>
          <w:shd w:val="clear" w:color="auto" w:fill="FFFFFF"/>
        </w:rPr>
        <w:t xml:space="preserve"> Sentencia de 31 de agosto de 2017. Serie C No. 341., párr. 261.</w:t>
      </w:r>
    </w:p>
  </w:footnote>
  <w:footnote w:id="5">
    <w:p w14:paraId="6E99AC85" w14:textId="77777777" w:rsidR="00A2324A" w:rsidRPr="0086352B" w:rsidRDefault="00A2324A" w:rsidP="0053326B">
      <w:pPr>
        <w:pStyle w:val="FootnoteText"/>
        <w:spacing w:before="120" w:after="120"/>
        <w:jc w:val="both"/>
        <w:rPr>
          <w:rFonts w:ascii="Verdana" w:hAnsi="Verdana"/>
          <w:spacing w:val="-12"/>
          <w:sz w:val="16"/>
          <w:szCs w:val="16"/>
          <w:lang w:val="es-CR"/>
        </w:rPr>
      </w:pPr>
      <w:r w:rsidRPr="0086352B">
        <w:rPr>
          <w:rStyle w:val="FootnoteReference"/>
          <w:rFonts w:ascii="Verdana" w:hAnsi="Verdana"/>
          <w:spacing w:val="-12"/>
          <w:sz w:val="16"/>
          <w:szCs w:val="16"/>
        </w:rPr>
        <w:footnoteRef/>
      </w:r>
      <w:r w:rsidRPr="0086352B">
        <w:rPr>
          <w:rFonts w:ascii="Verdana" w:hAnsi="Verdana"/>
          <w:spacing w:val="-12"/>
          <w:sz w:val="16"/>
          <w:szCs w:val="16"/>
        </w:rPr>
        <w:t xml:space="preserve"> </w:t>
      </w:r>
      <w:r w:rsidRPr="0086352B">
        <w:rPr>
          <w:rFonts w:ascii="Verdana" w:hAnsi="Verdana"/>
          <w:spacing w:val="-12"/>
          <w:sz w:val="16"/>
          <w:szCs w:val="16"/>
          <w:lang w:val="es-CR"/>
        </w:rPr>
        <w:tab/>
      </w:r>
      <w:r w:rsidRPr="0086352B">
        <w:rPr>
          <w:rFonts w:ascii="Verdana" w:hAnsi="Verdana"/>
          <w:i/>
          <w:spacing w:val="-12"/>
          <w:sz w:val="16"/>
          <w:szCs w:val="16"/>
          <w:lang w:val="es-CR"/>
        </w:rPr>
        <w:t xml:space="preserve">Cfr. </w:t>
      </w:r>
      <w:r w:rsidRPr="0086352B">
        <w:rPr>
          <w:rStyle w:val="Strong"/>
          <w:rFonts w:ascii="Verdana" w:hAnsi="Verdana"/>
          <w:b w:val="0"/>
          <w:i/>
          <w:color w:val="000000"/>
          <w:spacing w:val="-12"/>
          <w:sz w:val="16"/>
          <w:szCs w:val="16"/>
          <w:shd w:val="clear" w:color="auto" w:fill="FFFFFF"/>
        </w:rPr>
        <w:t>Caso Masacre de Santo Domingo Vs. Colombia. Excepciones Preliminares, Fondo y Reparaciones.</w:t>
      </w:r>
      <w:r w:rsidRPr="0086352B">
        <w:rPr>
          <w:rStyle w:val="Strong"/>
          <w:rFonts w:ascii="Verdana" w:hAnsi="Verdana"/>
          <w:b w:val="0"/>
          <w:color w:val="000000"/>
          <w:spacing w:val="-12"/>
          <w:sz w:val="16"/>
          <w:szCs w:val="16"/>
          <w:shd w:val="clear" w:color="auto" w:fill="FFFFFF"/>
        </w:rPr>
        <w:t xml:space="preserve"> Sentencia de 30 de noviembre de 2012. Serie C No. 259., párrs. 336-337.</w:t>
      </w:r>
    </w:p>
  </w:footnote>
  <w:footnote w:id="6">
    <w:p w14:paraId="187C6ECB" w14:textId="77777777" w:rsidR="00A2324A" w:rsidRPr="0086352B" w:rsidRDefault="00A2324A" w:rsidP="0053326B">
      <w:pPr>
        <w:pStyle w:val="FootnoteText"/>
        <w:spacing w:before="120" w:after="120"/>
        <w:jc w:val="both"/>
        <w:rPr>
          <w:rFonts w:ascii="Verdana" w:hAnsi="Verdana"/>
          <w:spacing w:val="-12"/>
          <w:sz w:val="16"/>
          <w:szCs w:val="16"/>
          <w:lang w:val="es-CR"/>
        </w:rPr>
      </w:pPr>
      <w:r w:rsidRPr="0086352B">
        <w:rPr>
          <w:rStyle w:val="FootnoteReference"/>
          <w:rFonts w:ascii="Verdana" w:hAnsi="Verdana"/>
          <w:spacing w:val="-12"/>
          <w:sz w:val="16"/>
          <w:szCs w:val="16"/>
        </w:rPr>
        <w:footnoteRef/>
      </w:r>
      <w:r w:rsidRPr="0086352B">
        <w:rPr>
          <w:rFonts w:ascii="Verdana" w:hAnsi="Verdana"/>
          <w:spacing w:val="-12"/>
          <w:sz w:val="16"/>
          <w:szCs w:val="16"/>
        </w:rPr>
        <w:t xml:space="preserve"> </w:t>
      </w:r>
      <w:r w:rsidRPr="0086352B">
        <w:rPr>
          <w:rFonts w:ascii="Verdana" w:hAnsi="Verdana"/>
          <w:spacing w:val="-12"/>
          <w:sz w:val="16"/>
          <w:szCs w:val="16"/>
          <w:lang w:val="es-CR"/>
        </w:rPr>
        <w:tab/>
      </w:r>
      <w:r w:rsidRPr="0086352B">
        <w:rPr>
          <w:rFonts w:ascii="Verdana" w:hAnsi="Verdana"/>
          <w:i/>
          <w:spacing w:val="-12"/>
          <w:sz w:val="16"/>
          <w:szCs w:val="16"/>
          <w:lang w:val="es-CR"/>
        </w:rPr>
        <w:t xml:space="preserve">Cfr. </w:t>
      </w:r>
      <w:r w:rsidRPr="0086352B">
        <w:rPr>
          <w:rStyle w:val="Strong"/>
          <w:rFonts w:ascii="Verdana" w:hAnsi="Verdana"/>
          <w:b w:val="0"/>
          <w:i/>
          <w:color w:val="000000"/>
          <w:spacing w:val="-12"/>
          <w:sz w:val="16"/>
          <w:szCs w:val="16"/>
          <w:shd w:val="clear" w:color="auto" w:fill="FFFFFF"/>
        </w:rPr>
        <w:t>Caso Trabajadores Cesados de Petroperú y otros Vs. Perú. Excepciones Preliminares, Fondo, Reparaciones y Costas.</w:t>
      </w:r>
      <w:r w:rsidRPr="0086352B">
        <w:rPr>
          <w:rStyle w:val="Strong"/>
          <w:rFonts w:ascii="Verdana" w:hAnsi="Verdana"/>
          <w:b w:val="0"/>
          <w:color w:val="000000"/>
          <w:spacing w:val="-12"/>
          <w:sz w:val="16"/>
          <w:szCs w:val="16"/>
          <w:shd w:val="clear" w:color="auto" w:fill="FFFFFF"/>
        </w:rPr>
        <w:t xml:space="preserve"> Sentencia de 23 de noviembre de 2017. Serie C No. 344., párr. 209.</w:t>
      </w:r>
    </w:p>
  </w:footnote>
  <w:footnote w:id="7">
    <w:p w14:paraId="58C660C4" w14:textId="77777777" w:rsidR="00A2324A" w:rsidRPr="0086352B" w:rsidRDefault="00A2324A" w:rsidP="0053326B">
      <w:pPr>
        <w:spacing w:before="120" w:after="120"/>
        <w:jc w:val="both"/>
        <w:rPr>
          <w:rFonts w:ascii="Verdana" w:hAnsi="Verdana"/>
          <w:spacing w:val="-12"/>
          <w:sz w:val="16"/>
          <w:szCs w:val="16"/>
        </w:rPr>
      </w:pPr>
      <w:r w:rsidRPr="0086352B">
        <w:rPr>
          <w:rStyle w:val="FootnoteReference"/>
          <w:rFonts w:ascii="Verdana" w:hAnsi="Verdana"/>
          <w:spacing w:val="-12"/>
          <w:sz w:val="16"/>
          <w:szCs w:val="16"/>
        </w:rPr>
        <w:footnoteRef/>
      </w:r>
      <w:r w:rsidRPr="0086352B">
        <w:rPr>
          <w:rFonts w:ascii="Verdana" w:hAnsi="Verdana"/>
          <w:spacing w:val="-12"/>
          <w:sz w:val="16"/>
          <w:szCs w:val="16"/>
        </w:rPr>
        <w:t xml:space="preserve"> </w:t>
      </w:r>
      <w:r w:rsidRPr="0086352B">
        <w:rPr>
          <w:rFonts w:ascii="Verdana" w:hAnsi="Verdana"/>
          <w:spacing w:val="-12"/>
          <w:sz w:val="16"/>
          <w:szCs w:val="16"/>
        </w:rPr>
        <w:tab/>
        <w:t>En varias sentencias la Corte ha establecido que es consciente de que las autoridades internas están sujetas al imperio de la ley y, por ello, están obligadas a aplicar las disposiciones vigentes en el ordenamiento jurídico. Pero cuando un Estado es Parte en un tratado internacional como la Convención Americana, todos sus órganos, incluidos sus jueces y demás órganos vinculados a la administración de justicia en todos los niveles, también están sometidos al tratado, lo cual les obliga a velar para que los efectos de las disposiciones de la Convención no se vean mermados por la aplicación de normas contrarias a su objeto y fin, de modo que decisiones judiciales o administrativas no hagan ilusorio el cumplimiento total o parcial de las obligaciones internacionales. Es decir, todas la autoridades estatales, están en la obligación de ejercer ex officio un “control de convencionalidad” entre las normas internas y la Convención Americana, en el marco de sus respectivas competencias y de las regulaciones procesales correspondientes. En esta tarea, deben tener en cuenta no solamente el tratado, sino también la interpretación que del mismo ha hecho la Corte Interamericana, intérprete última de la Convención Americana. Ver, por ejemplo, las sentencias dictadas en los siguientes casos:</w:t>
      </w:r>
      <w:r w:rsidRPr="0086352B">
        <w:rPr>
          <w:rFonts w:ascii="Verdana" w:hAnsi="Verdana"/>
          <w:i/>
          <w:iCs/>
          <w:spacing w:val="-12"/>
          <w:sz w:val="16"/>
          <w:szCs w:val="16"/>
          <w:lang w:val="es-MX"/>
        </w:rPr>
        <w:t xml:space="preserve"> Cfr. Caso Almonacid Arellano y otros Vs. Chile</w:t>
      </w:r>
      <w:r w:rsidRPr="0086352B">
        <w:rPr>
          <w:rFonts w:ascii="Verdana" w:hAnsi="Verdana"/>
          <w:spacing w:val="-12"/>
          <w:sz w:val="16"/>
          <w:szCs w:val="16"/>
          <w:lang w:val="es-MX"/>
        </w:rPr>
        <w:t xml:space="preserve">, párr. 124; </w:t>
      </w:r>
      <w:r w:rsidRPr="0086352B">
        <w:rPr>
          <w:rFonts w:ascii="Verdana" w:hAnsi="Verdana"/>
          <w:bCs/>
          <w:i/>
          <w:color w:val="000000"/>
          <w:spacing w:val="-12"/>
          <w:sz w:val="16"/>
          <w:szCs w:val="16"/>
        </w:rPr>
        <w:t xml:space="preserve">Caso Gomes Lund y otros (Guerrilha do Araguaia) Vs. Brasil, </w:t>
      </w:r>
      <w:r w:rsidRPr="0086352B">
        <w:rPr>
          <w:rFonts w:ascii="Verdana" w:hAnsi="Verdana"/>
          <w:color w:val="000000"/>
          <w:spacing w:val="-12"/>
          <w:sz w:val="16"/>
          <w:szCs w:val="16"/>
        </w:rPr>
        <w:t xml:space="preserve">párr. 176, y </w:t>
      </w:r>
      <w:r w:rsidRPr="0086352B">
        <w:rPr>
          <w:rFonts w:ascii="Verdana" w:hAnsi="Verdana"/>
          <w:bCs/>
          <w:i/>
          <w:color w:val="000000"/>
          <w:spacing w:val="-12"/>
          <w:sz w:val="16"/>
          <w:szCs w:val="16"/>
        </w:rPr>
        <w:t xml:space="preserve">Caso Cabrera García y Montiel Flores Vs. México. </w:t>
      </w:r>
      <w:r w:rsidRPr="0086352B">
        <w:rPr>
          <w:rFonts w:ascii="Verdana" w:hAnsi="Verdana"/>
          <w:bCs/>
          <w:i/>
          <w:color w:val="000000"/>
          <w:spacing w:val="-12"/>
          <w:sz w:val="16"/>
          <w:szCs w:val="16"/>
          <w:lang w:val="it-IT"/>
        </w:rPr>
        <w:t xml:space="preserve">Excepción Preliminar, Fondo, Reparaciones y Costas. </w:t>
      </w:r>
      <w:r w:rsidRPr="0086352B">
        <w:rPr>
          <w:rFonts w:ascii="Verdana" w:hAnsi="Verdana"/>
          <w:bCs/>
          <w:color w:val="000000"/>
          <w:spacing w:val="-12"/>
          <w:sz w:val="16"/>
          <w:szCs w:val="16"/>
          <w:lang w:val="it-IT"/>
        </w:rPr>
        <w:t>Sentencia de 26 de noviembre de 2010. Serie C No. 220</w:t>
      </w:r>
      <w:r w:rsidRPr="0086352B">
        <w:rPr>
          <w:rFonts w:ascii="Verdana" w:hAnsi="Verdana"/>
          <w:bCs/>
          <w:color w:val="000000"/>
          <w:spacing w:val="-12"/>
          <w:sz w:val="16"/>
          <w:szCs w:val="16"/>
        </w:rPr>
        <w:t>,</w:t>
      </w:r>
      <w:r w:rsidRPr="0086352B">
        <w:rPr>
          <w:rFonts w:ascii="Verdana" w:hAnsi="Verdana"/>
          <w:color w:val="000000"/>
          <w:spacing w:val="-12"/>
          <w:sz w:val="16"/>
          <w:szCs w:val="16"/>
        </w:rPr>
        <w:t xml:space="preserve"> párr. 225</w:t>
      </w:r>
      <w:r w:rsidRPr="0086352B">
        <w:rPr>
          <w:rFonts w:ascii="Verdana" w:hAnsi="Verdana"/>
          <w:spacing w:val="-12"/>
          <w:sz w:val="16"/>
          <w:szCs w:val="16"/>
          <w:lang w:val="es-MX"/>
        </w:rPr>
        <w:t xml:space="preserve">. Véase asimismo </w:t>
      </w:r>
      <w:r w:rsidRPr="0086352B">
        <w:rPr>
          <w:rFonts w:ascii="Verdana" w:hAnsi="Verdana"/>
          <w:i/>
          <w:spacing w:val="-12"/>
          <w:sz w:val="16"/>
          <w:szCs w:val="16"/>
          <w:lang w:val="es-MX"/>
        </w:rPr>
        <w:t>Caso Gelman Vs. Uruguay</w:t>
      </w:r>
      <w:r w:rsidRPr="0086352B">
        <w:rPr>
          <w:rFonts w:ascii="Verdana" w:hAnsi="Verdana"/>
          <w:spacing w:val="-12"/>
          <w:sz w:val="16"/>
          <w:szCs w:val="16"/>
          <w:lang w:val="es-MX"/>
        </w:rPr>
        <w:t xml:space="preserve">, párr. 193, </w:t>
      </w:r>
      <w:r w:rsidRPr="0086352B">
        <w:rPr>
          <w:rFonts w:ascii="Verdana" w:hAnsi="Verdana"/>
          <w:iCs/>
          <w:spacing w:val="-12"/>
          <w:sz w:val="16"/>
          <w:szCs w:val="16"/>
          <w:lang w:val="es-CO"/>
        </w:rPr>
        <w:t xml:space="preserve">y </w:t>
      </w:r>
      <w:r w:rsidRPr="0086352B">
        <w:rPr>
          <w:rFonts w:ascii="Verdana" w:hAnsi="Verdana" w:cs="Verdana"/>
          <w:i/>
          <w:spacing w:val="-12"/>
          <w:sz w:val="16"/>
          <w:szCs w:val="16"/>
          <w:lang w:val="es-CO"/>
        </w:rPr>
        <w:t>Caso Furlan y familiares Vs. Argentina. Excepciones Preliminares, Fondo, Reparaciones y Costas</w:t>
      </w:r>
      <w:r w:rsidRPr="0086352B">
        <w:rPr>
          <w:rFonts w:ascii="Verdana" w:hAnsi="Verdana" w:cs="Verdana"/>
          <w:spacing w:val="-12"/>
          <w:sz w:val="16"/>
          <w:szCs w:val="16"/>
          <w:lang w:val="es-CO"/>
        </w:rPr>
        <w:t>. Sentencia de 31 de agosto de 2012. Serie C No. 246</w:t>
      </w:r>
      <w:r w:rsidRPr="0086352B">
        <w:rPr>
          <w:rFonts w:ascii="Verdana" w:hAnsi="Verdana" w:cs="Verdana"/>
          <w:bCs/>
          <w:spacing w:val="-12"/>
          <w:sz w:val="16"/>
          <w:szCs w:val="16"/>
          <w:lang w:val="es-CO"/>
        </w:rPr>
        <w:t>, párr. 302párr. 303.</w:t>
      </w:r>
    </w:p>
  </w:footnote>
  <w:footnote w:id="8">
    <w:p w14:paraId="78B31A9D" w14:textId="711ED491" w:rsidR="00A2324A" w:rsidRPr="0086352B" w:rsidRDefault="00A2324A" w:rsidP="0053326B">
      <w:pPr>
        <w:pStyle w:val="FootnoteText"/>
        <w:spacing w:before="120" w:after="120"/>
        <w:jc w:val="both"/>
        <w:rPr>
          <w:rFonts w:ascii="Verdana" w:hAnsi="Verdana"/>
          <w:spacing w:val="-12"/>
          <w:sz w:val="16"/>
          <w:szCs w:val="16"/>
          <w:lang w:val="es-CR"/>
        </w:rPr>
      </w:pPr>
      <w:r w:rsidRPr="0086352B">
        <w:rPr>
          <w:rStyle w:val="FootnoteReference"/>
          <w:rFonts w:ascii="Verdana" w:hAnsi="Verdana"/>
          <w:spacing w:val="-12"/>
          <w:sz w:val="16"/>
          <w:szCs w:val="16"/>
        </w:rPr>
        <w:footnoteRef/>
      </w:r>
      <w:r w:rsidRPr="0086352B">
        <w:rPr>
          <w:rFonts w:ascii="Verdana" w:hAnsi="Verdana"/>
          <w:spacing w:val="-12"/>
          <w:sz w:val="16"/>
          <w:szCs w:val="16"/>
        </w:rPr>
        <w:t xml:space="preserve"> </w:t>
      </w:r>
      <w:r w:rsidRPr="0086352B">
        <w:rPr>
          <w:rFonts w:ascii="Verdana" w:hAnsi="Verdana"/>
          <w:spacing w:val="-12"/>
          <w:sz w:val="16"/>
          <w:szCs w:val="16"/>
        </w:rPr>
        <w:tab/>
      </w:r>
      <w:r w:rsidRPr="0086352B">
        <w:rPr>
          <w:rStyle w:val="Strong"/>
          <w:rFonts w:ascii="Verdana" w:hAnsi="Verdana"/>
          <w:b w:val="0"/>
          <w:i/>
          <w:color w:val="000000"/>
          <w:spacing w:val="-12"/>
          <w:sz w:val="16"/>
          <w:szCs w:val="16"/>
          <w:shd w:val="clear" w:color="auto" w:fill="FFFFFF"/>
        </w:rPr>
        <w:t>C</w:t>
      </w:r>
      <w:r w:rsidR="0086352B" w:rsidRPr="0086352B">
        <w:rPr>
          <w:rStyle w:val="Strong"/>
          <w:rFonts w:ascii="Verdana" w:hAnsi="Verdana"/>
          <w:b w:val="0"/>
          <w:i/>
          <w:color w:val="000000"/>
          <w:spacing w:val="-12"/>
          <w:sz w:val="16"/>
          <w:szCs w:val="16"/>
          <w:shd w:val="clear" w:color="auto" w:fill="FFFFFF"/>
        </w:rPr>
        <w:t>fr. C</w:t>
      </w:r>
      <w:r w:rsidRPr="0086352B">
        <w:rPr>
          <w:rStyle w:val="Strong"/>
          <w:rFonts w:ascii="Verdana" w:hAnsi="Verdana"/>
          <w:b w:val="0"/>
          <w:i/>
          <w:color w:val="000000"/>
          <w:spacing w:val="-12"/>
          <w:sz w:val="16"/>
          <w:szCs w:val="16"/>
          <w:shd w:val="clear" w:color="auto" w:fill="FFFFFF"/>
        </w:rPr>
        <w:t>aso Gelman Vs. Uruguay. Supervisión de Cumplimiento de Sentencia.</w:t>
      </w:r>
      <w:r w:rsidRPr="0086352B">
        <w:rPr>
          <w:rStyle w:val="Strong"/>
          <w:rFonts w:ascii="Verdana" w:hAnsi="Verdana"/>
          <w:b w:val="0"/>
          <w:color w:val="000000"/>
          <w:spacing w:val="-12"/>
          <w:sz w:val="16"/>
          <w:szCs w:val="16"/>
          <w:shd w:val="clear" w:color="auto" w:fill="FFFFFF"/>
        </w:rPr>
        <w:t xml:space="preserve"> Resolución de la Corte Interamericana de Derechos Humanos de 20 de marzo de 2013, párr. 65.</w:t>
      </w:r>
    </w:p>
  </w:footnote>
  <w:footnote w:id="9">
    <w:p w14:paraId="0A10F412" w14:textId="77777777" w:rsidR="00A2324A" w:rsidRPr="0086352B" w:rsidRDefault="00A2324A" w:rsidP="0053326B">
      <w:pPr>
        <w:pStyle w:val="FootnoteText"/>
        <w:spacing w:before="120" w:after="120"/>
        <w:jc w:val="both"/>
        <w:rPr>
          <w:rFonts w:ascii="Verdana" w:hAnsi="Verdana"/>
          <w:spacing w:val="-12"/>
          <w:sz w:val="16"/>
          <w:szCs w:val="16"/>
          <w:lang w:val="es-CR"/>
        </w:rPr>
      </w:pPr>
      <w:r w:rsidRPr="0086352B">
        <w:rPr>
          <w:rStyle w:val="FootnoteReference"/>
          <w:rFonts w:ascii="Verdana" w:hAnsi="Verdana"/>
          <w:spacing w:val="-12"/>
          <w:sz w:val="16"/>
          <w:szCs w:val="16"/>
        </w:rPr>
        <w:footnoteRef/>
      </w:r>
      <w:r w:rsidRPr="0086352B">
        <w:rPr>
          <w:rFonts w:ascii="Verdana" w:hAnsi="Verdana"/>
          <w:spacing w:val="-12"/>
          <w:sz w:val="16"/>
          <w:szCs w:val="16"/>
        </w:rPr>
        <w:t xml:space="preserve"> </w:t>
      </w:r>
      <w:r w:rsidRPr="0086352B">
        <w:rPr>
          <w:rFonts w:ascii="Verdana" w:hAnsi="Verdana"/>
          <w:spacing w:val="-12"/>
          <w:sz w:val="16"/>
          <w:szCs w:val="16"/>
          <w:lang w:val="es-CR"/>
        </w:rPr>
        <w:tab/>
      </w:r>
      <w:r w:rsidRPr="0086352B">
        <w:rPr>
          <w:rStyle w:val="Strong"/>
          <w:rFonts w:ascii="Verdana" w:hAnsi="Verdana"/>
          <w:b w:val="0"/>
          <w:i/>
          <w:color w:val="000000"/>
          <w:spacing w:val="-12"/>
          <w:sz w:val="16"/>
          <w:szCs w:val="16"/>
          <w:shd w:val="clear" w:color="auto" w:fill="FFFFFF"/>
        </w:rPr>
        <w:t>Caso Andrade Salmón Vs. Bolivia. Fondo, Reparaciones y Costas.</w:t>
      </w:r>
      <w:r w:rsidRPr="0086352B">
        <w:rPr>
          <w:rStyle w:val="Strong"/>
          <w:rFonts w:ascii="Verdana" w:hAnsi="Verdana"/>
          <w:b w:val="0"/>
          <w:color w:val="000000"/>
          <w:spacing w:val="-12"/>
          <w:sz w:val="16"/>
          <w:szCs w:val="16"/>
          <w:shd w:val="clear" w:color="auto" w:fill="FFFFFF"/>
        </w:rPr>
        <w:t xml:space="preserve"> Sentencia de 1 de diciembre de 2016. Serie C No. 330., párr. 93.</w:t>
      </w:r>
    </w:p>
  </w:footnote>
  <w:footnote w:id="10">
    <w:p w14:paraId="477013E8" w14:textId="2673561F" w:rsidR="00A2324A" w:rsidRPr="0086352B" w:rsidRDefault="00A2324A" w:rsidP="0053326B">
      <w:pPr>
        <w:pStyle w:val="FootnoteText"/>
        <w:spacing w:before="120" w:after="120"/>
        <w:jc w:val="both"/>
        <w:rPr>
          <w:rFonts w:ascii="Verdana" w:hAnsi="Verdana"/>
          <w:spacing w:val="-12"/>
          <w:sz w:val="16"/>
          <w:szCs w:val="16"/>
          <w:lang w:val="es-CR"/>
        </w:rPr>
      </w:pPr>
      <w:r w:rsidRPr="0086352B">
        <w:rPr>
          <w:rStyle w:val="FootnoteReference"/>
          <w:rFonts w:ascii="Verdana" w:hAnsi="Verdana"/>
          <w:spacing w:val="-12"/>
          <w:sz w:val="16"/>
          <w:szCs w:val="16"/>
        </w:rPr>
        <w:footnoteRef/>
      </w:r>
      <w:r w:rsidRPr="0086352B">
        <w:rPr>
          <w:rFonts w:ascii="Verdana" w:hAnsi="Verdana"/>
          <w:spacing w:val="-12"/>
          <w:sz w:val="16"/>
          <w:szCs w:val="16"/>
        </w:rPr>
        <w:t xml:space="preserve"> </w:t>
      </w:r>
      <w:r w:rsidRPr="0086352B">
        <w:rPr>
          <w:rFonts w:ascii="Verdana" w:hAnsi="Verdana"/>
          <w:spacing w:val="-12"/>
          <w:sz w:val="16"/>
          <w:szCs w:val="16"/>
          <w:lang w:val="es-CR"/>
        </w:rPr>
        <w:tab/>
      </w:r>
      <w:r w:rsidRPr="0086352B">
        <w:rPr>
          <w:rFonts w:ascii="Verdana" w:hAnsi="Verdana"/>
          <w:i/>
          <w:iCs/>
          <w:spacing w:val="-12"/>
          <w:sz w:val="16"/>
          <w:szCs w:val="16"/>
        </w:rPr>
        <w:t>Cfr. Caso Almonacid Arellano</w:t>
      </w:r>
      <w:r w:rsidRPr="0086352B">
        <w:rPr>
          <w:rFonts w:ascii="Verdana" w:hAnsi="Verdana"/>
          <w:i/>
          <w:spacing w:val="-12"/>
          <w:sz w:val="16"/>
          <w:szCs w:val="16"/>
        </w:rPr>
        <w:t xml:space="preserve"> </w:t>
      </w:r>
      <w:r w:rsidRPr="0086352B">
        <w:rPr>
          <w:rFonts w:ascii="Verdana" w:hAnsi="Verdana"/>
          <w:i/>
          <w:iCs/>
          <w:spacing w:val="-12"/>
          <w:sz w:val="16"/>
          <w:szCs w:val="16"/>
        </w:rPr>
        <w:t>y otros Vs. Chile</w:t>
      </w:r>
      <w:r w:rsidRPr="0086352B">
        <w:rPr>
          <w:rFonts w:ascii="Verdana" w:hAnsi="Verdana"/>
          <w:spacing w:val="-12"/>
          <w:sz w:val="16"/>
          <w:szCs w:val="16"/>
        </w:rPr>
        <w:t xml:space="preserve">. </w:t>
      </w:r>
      <w:r w:rsidRPr="0086352B">
        <w:rPr>
          <w:rFonts w:ascii="Verdana" w:hAnsi="Verdana"/>
          <w:i/>
          <w:iCs/>
          <w:spacing w:val="-12"/>
          <w:sz w:val="16"/>
          <w:szCs w:val="16"/>
        </w:rPr>
        <w:t>Excepciones Preliminares, Fondo, Reparaciones y costas</w:t>
      </w:r>
      <w:r w:rsidRPr="0086352B">
        <w:rPr>
          <w:rFonts w:ascii="Verdana" w:hAnsi="Verdana"/>
          <w:spacing w:val="-12"/>
          <w:sz w:val="16"/>
          <w:szCs w:val="16"/>
        </w:rPr>
        <w:t xml:space="preserve">. Sentencia de 26 de septiembre de 2006. Serie C No. 154, párr. 124; y </w:t>
      </w:r>
      <w:r w:rsidRPr="0086352B">
        <w:rPr>
          <w:rFonts w:ascii="Verdana" w:hAnsi="Verdana"/>
          <w:i/>
          <w:spacing w:val="-12"/>
          <w:sz w:val="16"/>
          <w:szCs w:val="16"/>
        </w:rPr>
        <w:t>Caso Trabajadores Cesados del Congreso (Aguado Alfaro y otros) Vs. Perú. Excepciones Preliminares, Fondo, Reparaciones y Costas</w:t>
      </w:r>
      <w:r w:rsidRPr="0086352B">
        <w:rPr>
          <w:rFonts w:ascii="Verdana" w:hAnsi="Verdana"/>
          <w:spacing w:val="-12"/>
          <w:sz w:val="16"/>
          <w:szCs w:val="16"/>
        </w:rPr>
        <w:t xml:space="preserve">. Sentencia de 24 de noviembre de 2006. Serie C No. 158, párr. 128, </w:t>
      </w:r>
      <w:r w:rsidRPr="0086352B">
        <w:rPr>
          <w:rStyle w:val="Strong"/>
          <w:rFonts w:ascii="Verdana" w:hAnsi="Verdana"/>
          <w:b w:val="0"/>
          <w:i/>
          <w:color w:val="000000"/>
          <w:spacing w:val="-12"/>
          <w:sz w:val="16"/>
          <w:szCs w:val="16"/>
          <w:shd w:val="clear" w:color="auto" w:fill="FFFFFF"/>
        </w:rPr>
        <w:t>Caso Radilla Pacheco Vs. México. Excepciones Preliminares, Fondo, Reparaciones y Costas. Sentencia de 23 de noviembre de 2009.</w:t>
      </w:r>
      <w:r w:rsidRPr="0086352B">
        <w:rPr>
          <w:rStyle w:val="Strong"/>
          <w:rFonts w:ascii="Verdana" w:hAnsi="Verdana"/>
          <w:b w:val="0"/>
          <w:color w:val="000000"/>
          <w:spacing w:val="-12"/>
          <w:sz w:val="16"/>
          <w:szCs w:val="16"/>
          <w:shd w:val="clear" w:color="auto" w:fill="FFFFFF"/>
        </w:rPr>
        <w:t xml:space="preserve"> Serie C No. 209., párr. 339,</w:t>
      </w:r>
      <w:r w:rsidRPr="0086352B">
        <w:rPr>
          <w:rStyle w:val="Strong"/>
          <w:rFonts w:ascii="Verdana" w:hAnsi="Verdana"/>
          <w:color w:val="000000"/>
          <w:spacing w:val="-12"/>
          <w:sz w:val="16"/>
          <w:szCs w:val="16"/>
          <w:shd w:val="clear" w:color="auto" w:fill="FFFFFF"/>
        </w:rPr>
        <w:t xml:space="preserve"> </w:t>
      </w:r>
      <w:r w:rsidRPr="0086352B">
        <w:rPr>
          <w:rFonts w:ascii="Verdana" w:hAnsi="Verdana"/>
          <w:i/>
          <w:spacing w:val="-12"/>
          <w:sz w:val="16"/>
          <w:szCs w:val="16"/>
        </w:rPr>
        <w:t>Caso Gelman Vs. Uruguay. Fondo y Reparaciones</w:t>
      </w:r>
      <w:r w:rsidRPr="0086352B">
        <w:rPr>
          <w:rFonts w:ascii="Verdana" w:hAnsi="Verdana"/>
          <w:spacing w:val="-12"/>
          <w:sz w:val="16"/>
          <w:szCs w:val="16"/>
        </w:rPr>
        <w:t xml:space="preserve">. Sentencia de 24 de febrero de 2011 Serie C No. 221, párr. 193; </w:t>
      </w:r>
      <w:r w:rsidRPr="0086352B">
        <w:rPr>
          <w:rStyle w:val="Strong"/>
          <w:rFonts w:ascii="Verdana" w:hAnsi="Verdana"/>
          <w:b w:val="0"/>
          <w:i/>
          <w:color w:val="000000"/>
          <w:spacing w:val="-12"/>
          <w:sz w:val="16"/>
          <w:szCs w:val="16"/>
          <w:shd w:val="clear" w:color="auto" w:fill="FFFFFF"/>
        </w:rPr>
        <w:t>Caso Andrade Salmón Vs. Bolivia. Fondo, Reparaciones y Costas.</w:t>
      </w:r>
      <w:r w:rsidRPr="0086352B">
        <w:rPr>
          <w:rStyle w:val="Strong"/>
          <w:rFonts w:ascii="Verdana" w:hAnsi="Verdana"/>
          <w:b w:val="0"/>
          <w:color w:val="000000"/>
          <w:spacing w:val="-12"/>
          <w:sz w:val="16"/>
          <w:szCs w:val="16"/>
          <w:shd w:val="clear" w:color="auto" w:fill="FFFFFF"/>
        </w:rPr>
        <w:t xml:space="preserve"> Sentencia de 1 de diciembre de 2016. Serie C No. 330., párr. 93, y</w:t>
      </w:r>
      <w:r w:rsidRPr="0086352B">
        <w:rPr>
          <w:rFonts w:ascii="Verdana" w:hAnsi="Verdana"/>
          <w:b/>
          <w:spacing w:val="-12"/>
          <w:sz w:val="16"/>
          <w:szCs w:val="16"/>
        </w:rPr>
        <w:t xml:space="preserve"> </w:t>
      </w:r>
      <w:r w:rsidRPr="0086352B">
        <w:rPr>
          <w:rStyle w:val="Strong"/>
          <w:rFonts w:ascii="Verdana" w:hAnsi="Verdana"/>
          <w:b w:val="0"/>
          <w:i/>
          <w:color w:val="000000"/>
          <w:spacing w:val="-12"/>
          <w:sz w:val="16"/>
          <w:szCs w:val="16"/>
          <w:shd w:val="clear" w:color="auto" w:fill="FFFFFF"/>
        </w:rPr>
        <w:t xml:space="preserve">Caso San Miguel Sosa y otras Vs. Venezuela. Fondo, Reparaciones y Costas. </w:t>
      </w:r>
      <w:r w:rsidRPr="0086352B">
        <w:rPr>
          <w:rStyle w:val="Strong"/>
          <w:rFonts w:ascii="Verdana" w:hAnsi="Verdana"/>
          <w:b w:val="0"/>
          <w:color w:val="000000"/>
          <w:spacing w:val="-12"/>
          <w:sz w:val="16"/>
          <w:szCs w:val="16"/>
          <w:shd w:val="clear" w:color="auto" w:fill="FFFFFF"/>
        </w:rPr>
        <w:t>Sentencia de 8 de febrero de 2018. Serie C No. 348</w:t>
      </w:r>
      <w:r w:rsidR="0086352B" w:rsidRPr="0086352B">
        <w:rPr>
          <w:rStyle w:val="Strong"/>
          <w:rFonts w:ascii="Verdana" w:hAnsi="Verdana"/>
          <w:b w:val="0"/>
          <w:color w:val="000000"/>
          <w:spacing w:val="-12"/>
          <w:sz w:val="16"/>
          <w:szCs w:val="16"/>
          <w:shd w:val="clear" w:color="auto" w:fill="FFFFFF"/>
        </w:rPr>
        <w:t xml:space="preserve">, </w:t>
      </w:r>
      <w:r w:rsidRPr="0086352B">
        <w:rPr>
          <w:rFonts w:ascii="Verdana" w:hAnsi="Verdana"/>
          <w:spacing w:val="-12"/>
          <w:sz w:val="16"/>
          <w:szCs w:val="16"/>
        </w:rPr>
        <w:t>párr. 191.</w:t>
      </w:r>
    </w:p>
  </w:footnote>
  <w:footnote w:id="11">
    <w:p w14:paraId="5D92DCF8" w14:textId="730700D2" w:rsidR="00A2324A" w:rsidRPr="003F0094" w:rsidRDefault="00A2324A" w:rsidP="003F0094">
      <w:pPr>
        <w:pStyle w:val="ListParagraph"/>
        <w:spacing w:before="120" w:after="120"/>
        <w:ind w:left="0"/>
        <w:jc w:val="both"/>
        <w:rPr>
          <w:rFonts w:ascii="Verdana" w:hAnsi="Verdana"/>
          <w:spacing w:val="-12"/>
          <w:sz w:val="16"/>
          <w:szCs w:val="16"/>
          <w:lang w:val="es-CR"/>
        </w:rPr>
      </w:pPr>
      <w:r w:rsidRPr="0086352B">
        <w:rPr>
          <w:rStyle w:val="FootnoteReference"/>
          <w:rFonts w:ascii="Verdana" w:hAnsi="Verdana"/>
          <w:spacing w:val="-12"/>
          <w:sz w:val="16"/>
          <w:szCs w:val="16"/>
        </w:rPr>
        <w:footnoteRef/>
      </w:r>
      <w:r w:rsidRPr="0086352B">
        <w:rPr>
          <w:rFonts w:ascii="Verdana" w:hAnsi="Verdana"/>
          <w:spacing w:val="-12"/>
          <w:sz w:val="16"/>
          <w:szCs w:val="16"/>
          <w:lang w:val="es-CO"/>
        </w:rPr>
        <w:t xml:space="preserve"> </w:t>
      </w:r>
      <w:r w:rsidR="0086352B">
        <w:rPr>
          <w:rFonts w:ascii="Verdana" w:hAnsi="Verdana"/>
          <w:spacing w:val="-12"/>
          <w:sz w:val="16"/>
          <w:szCs w:val="16"/>
          <w:lang w:val="es-CO"/>
        </w:rPr>
        <w:tab/>
      </w:r>
      <w:r w:rsidRPr="0086352B">
        <w:rPr>
          <w:rFonts w:ascii="Verdana" w:hAnsi="Verdana"/>
          <w:spacing w:val="-12"/>
          <w:sz w:val="16"/>
          <w:szCs w:val="16"/>
          <w:lang w:val="es-CR"/>
        </w:rPr>
        <w:t>D</w:t>
      </w:r>
      <w:r w:rsidRPr="0086352B">
        <w:rPr>
          <w:rFonts w:ascii="Verdana" w:hAnsi="Verdana"/>
          <w:spacing w:val="-12"/>
          <w:sz w:val="16"/>
          <w:szCs w:val="16"/>
          <w:lang w:val="es-CO"/>
        </w:rPr>
        <w:t xml:space="preserve">urante la supervisión de cumplimiento de la referida Sentencia, se informó a la Corte que en octubre de 2011 fue promulgada la Ley 18.831 que dejaba sin efectos la Ley de Caducidad y restablecía “la pretensión punitiva del Estado para los delitos cometidos en aplicación del terrorismo de Estado hasta el 1º de marzo de 1985”. Sin embargo, esta ley de 2001 fue impugnada mediante varios recursos de inconstitucionalidad ante la Suprema Corte de Justicia y, a partir de febrero de 2013, ésta emitió varias resoluciones en las cuales declaraba la inconstitucionalidad de la ley 18.831. </w:t>
      </w:r>
      <w:r w:rsidRPr="0086352B">
        <w:rPr>
          <w:rFonts w:ascii="Verdana" w:eastAsia="Times New Roman" w:hAnsi="Verdana"/>
          <w:spacing w:val="-12"/>
          <w:sz w:val="16"/>
          <w:szCs w:val="16"/>
          <w:lang w:val="es-CO"/>
        </w:rPr>
        <w:t>Entre otras consideraciones, la Suprema Corte citó una serie de cuestionamientos doctrinales sobre el control de convencionalidad y consideró que su “ordenamiento constitucional y legal no instituye un deber de las autoridades judiciales de la República Oriental del Uruguay de considerar como precedentes vinculantes los fallos de los órganos interamericanos” y que, “si bien la Corte Interamericana es la intérprete última de la Convención Americana –naturalmente en el ámbito de sus competencias- tampoco puede desconocerse que la intérprete última de la Constitución de la República Oriental del Uruguay es la Suprema Corte de Justicia. […]”.</w:t>
      </w:r>
    </w:p>
  </w:footnote>
  <w:footnote w:id="12">
    <w:p w14:paraId="3D35ADCB" w14:textId="77777777" w:rsidR="00A2324A" w:rsidRPr="0086352B" w:rsidRDefault="00A2324A" w:rsidP="0053326B">
      <w:pPr>
        <w:pStyle w:val="FootnoteText"/>
        <w:spacing w:before="120" w:after="120"/>
        <w:jc w:val="both"/>
        <w:rPr>
          <w:rFonts w:ascii="Verdana" w:hAnsi="Verdana"/>
          <w:spacing w:val="-12"/>
          <w:sz w:val="16"/>
          <w:szCs w:val="16"/>
        </w:rPr>
      </w:pPr>
      <w:r w:rsidRPr="0086352B">
        <w:rPr>
          <w:rStyle w:val="FootnoteReference"/>
          <w:rFonts w:ascii="Verdana" w:hAnsi="Verdana"/>
          <w:spacing w:val="-12"/>
          <w:sz w:val="16"/>
          <w:szCs w:val="16"/>
        </w:rPr>
        <w:footnoteRef/>
      </w:r>
      <w:r w:rsidRPr="0086352B">
        <w:rPr>
          <w:rFonts w:ascii="Verdana" w:hAnsi="Verdana"/>
          <w:spacing w:val="-12"/>
          <w:sz w:val="16"/>
          <w:szCs w:val="16"/>
        </w:rPr>
        <w:t xml:space="preserve"> </w:t>
      </w:r>
      <w:r w:rsidRPr="0086352B">
        <w:rPr>
          <w:rFonts w:ascii="Verdana" w:hAnsi="Verdana"/>
          <w:spacing w:val="-12"/>
          <w:sz w:val="16"/>
          <w:szCs w:val="16"/>
        </w:rPr>
        <w:tab/>
      </w:r>
      <w:r w:rsidRPr="0086352B">
        <w:rPr>
          <w:rFonts w:ascii="Verdana" w:hAnsi="Verdana"/>
          <w:i/>
          <w:color w:val="000000"/>
          <w:spacing w:val="-12"/>
          <w:sz w:val="16"/>
          <w:szCs w:val="16"/>
        </w:rPr>
        <w:t>Cfr</w:t>
      </w:r>
      <w:r w:rsidRPr="0086352B">
        <w:rPr>
          <w:rFonts w:ascii="Verdana" w:hAnsi="Verdana"/>
          <w:color w:val="000000"/>
          <w:spacing w:val="-12"/>
          <w:sz w:val="16"/>
          <w:szCs w:val="16"/>
        </w:rPr>
        <w:t xml:space="preserve">. </w:t>
      </w:r>
      <w:r w:rsidRPr="0086352B">
        <w:rPr>
          <w:rFonts w:ascii="Verdana" w:hAnsi="Verdana"/>
          <w:i/>
          <w:color w:val="000000"/>
          <w:spacing w:val="-12"/>
          <w:sz w:val="16"/>
          <w:szCs w:val="16"/>
        </w:rPr>
        <w:t>Caso Gelman Vs. Uruguay. Supervisión de Cumplimiento de Sentencia.</w:t>
      </w:r>
      <w:r w:rsidRPr="0086352B">
        <w:rPr>
          <w:rFonts w:ascii="Verdana" w:hAnsi="Verdana"/>
          <w:color w:val="000000"/>
          <w:spacing w:val="-12"/>
          <w:sz w:val="16"/>
          <w:szCs w:val="16"/>
        </w:rPr>
        <w:t xml:space="preserve"> Resolución de la Corte Interamericana de Derechos Humanos de 20 de marzo de 2013, párrs. 54 y 57.</w:t>
      </w:r>
    </w:p>
  </w:footnote>
  <w:footnote w:id="13">
    <w:p w14:paraId="4F591D63" w14:textId="77777777" w:rsidR="00A2324A" w:rsidRPr="0086352B" w:rsidRDefault="00A2324A" w:rsidP="0053326B">
      <w:pPr>
        <w:pStyle w:val="FootnoteText"/>
        <w:spacing w:before="120" w:after="120"/>
        <w:jc w:val="both"/>
        <w:rPr>
          <w:rFonts w:ascii="Verdana" w:hAnsi="Verdana"/>
          <w:spacing w:val="-12"/>
          <w:sz w:val="16"/>
          <w:szCs w:val="16"/>
        </w:rPr>
      </w:pPr>
      <w:r w:rsidRPr="0086352B">
        <w:rPr>
          <w:rStyle w:val="FootnoteReference"/>
          <w:rFonts w:ascii="Verdana" w:hAnsi="Verdana"/>
          <w:spacing w:val="-12"/>
          <w:sz w:val="16"/>
          <w:szCs w:val="16"/>
        </w:rPr>
        <w:footnoteRef/>
      </w:r>
      <w:r w:rsidRPr="0086352B">
        <w:rPr>
          <w:rFonts w:ascii="Verdana" w:hAnsi="Verdana"/>
          <w:spacing w:val="-12"/>
          <w:sz w:val="16"/>
          <w:szCs w:val="16"/>
        </w:rPr>
        <w:t xml:space="preserve"> </w:t>
      </w:r>
      <w:r w:rsidRPr="0086352B">
        <w:rPr>
          <w:rFonts w:ascii="Verdana" w:hAnsi="Verdana"/>
          <w:spacing w:val="-12"/>
          <w:sz w:val="16"/>
          <w:szCs w:val="16"/>
        </w:rPr>
        <w:tab/>
      </w:r>
      <w:r w:rsidRPr="0086352B">
        <w:rPr>
          <w:rFonts w:ascii="Verdana" w:hAnsi="Verdana"/>
          <w:i/>
          <w:color w:val="000000"/>
          <w:spacing w:val="-12"/>
          <w:sz w:val="16"/>
          <w:szCs w:val="16"/>
        </w:rPr>
        <w:t>Cfr</w:t>
      </w:r>
      <w:r w:rsidRPr="0086352B">
        <w:rPr>
          <w:rFonts w:ascii="Verdana" w:hAnsi="Verdana"/>
          <w:color w:val="000000"/>
          <w:spacing w:val="-12"/>
          <w:sz w:val="16"/>
          <w:szCs w:val="16"/>
        </w:rPr>
        <w:t xml:space="preserve">. </w:t>
      </w:r>
      <w:r w:rsidRPr="0086352B">
        <w:rPr>
          <w:rFonts w:ascii="Verdana" w:hAnsi="Verdana"/>
          <w:i/>
          <w:color w:val="000000"/>
          <w:spacing w:val="-12"/>
          <w:sz w:val="16"/>
          <w:szCs w:val="16"/>
        </w:rPr>
        <w:t>Caso Gelman Vs. Uruguay. Supervisión de Cumplimiento de Sentencia.</w:t>
      </w:r>
      <w:r w:rsidRPr="0086352B">
        <w:rPr>
          <w:rFonts w:ascii="Verdana" w:hAnsi="Verdana"/>
          <w:color w:val="000000"/>
          <w:spacing w:val="-12"/>
          <w:sz w:val="16"/>
          <w:szCs w:val="16"/>
        </w:rPr>
        <w:t xml:space="preserve"> Resolución de la Corte Interamericana de Derechos Humanos de 20 de marzo de 2013, párrs. 67 a 69.</w:t>
      </w:r>
    </w:p>
  </w:footnote>
  <w:footnote w:id="14">
    <w:p w14:paraId="28C9343C" w14:textId="6FB184A6" w:rsidR="00A2324A" w:rsidRPr="0086352B" w:rsidRDefault="00A2324A" w:rsidP="0053326B">
      <w:pPr>
        <w:pStyle w:val="FootnoteText"/>
        <w:spacing w:before="120" w:after="120"/>
        <w:jc w:val="both"/>
        <w:rPr>
          <w:rFonts w:ascii="Verdana" w:hAnsi="Verdana"/>
          <w:spacing w:val="-12"/>
          <w:sz w:val="16"/>
          <w:szCs w:val="16"/>
          <w:lang w:val="es-ES_tradnl"/>
        </w:rPr>
      </w:pPr>
      <w:r w:rsidRPr="0086352B">
        <w:rPr>
          <w:rStyle w:val="FootnoteReference"/>
          <w:rFonts w:ascii="Verdana" w:hAnsi="Verdana"/>
          <w:spacing w:val="-12"/>
          <w:sz w:val="16"/>
          <w:szCs w:val="16"/>
        </w:rPr>
        <w:footnoteRef/>
      </w:r>
      <w:r w:rsidRPr="0086352B">
        <w:rPr>
          <w:rFonts w:ascii="Verdana" w:hAnsi="Verdana"/>
          <w:spacing w:val="-12"/>
          <w:sz w:val="16"/>
          <w:szCs w:val="16"/>
          <w:lang w:val="es-ES_tradnl"/>
        </w:rPr>
        <w:tab/>
      </w:r>
      <w:r w:rsidR="00127E6F" w:rsidRPr="0086352B">
        <w:rPr>
          <w:rFonts w:ascii="Verdana" w:hAnsi="Verdana"/>
          <w:i/>
          <w:spacing w:val="-12"/>
          <w:sz w:val="16"/>
          <w:szCs w:val="16"/>
        </w:rPr>
        <w:t>I</w:t>
      </w:r>
      <w:r w:rsidRPr="0086352B">
        <w:rPr>
          <w:rFonts w:ascii="Verdana" w:hAnsi="Verdana"/>
          <w:i/>
          <w:spacing w:val="-12"/>
          <w:sz w:val="16"/>
          <w:szCs w:val="16"/>
        </w:rPr>
        <w:t>bidem</w:t>
      </w:r>
      <w:r w:rsidRPr="0086352B">
        <w:rPr>
          <w:rFonts w:ascii="Verdana" w:hAnsi="Verdana"/>
          <w:color w:val="000000"/>
          <w:spacing w:val="-12"/>
          <w:sz w:val="16"/>
          <w:szCs w:val="16"/>
        </w:rPr>
        <w:t xml:space="preserve">, párr. 73. Ver también </w:t>
      </w:r>
      <w:r w:rsidRPr="0086352B">
        <w:rPr>
          <w:rFonts w:ascii="Verdana" w:hAnsi="Verdana"/>
          <w:i/>
          <w:spacing w:val="-12"/>
          <w:sz w:val="16"/>
          <w:szCs w:val="16"/>
        </w:rPr>
        <w:t>Caso Apitz Barbera y otros Vs. Venezuela</w:t>
      </w:r>
      <w:r w:rsidRPr="0086352B">
        <w:rPr>
          <w:rFonts w:ascii="Verdana" w:hAnsi="Verdana"/>
          <w:spacing w:val="-12"/>
          <w:sz w:val="16"/>
          <w:szCs w:val="16"/>
        </w:rPr>
        <w:t xml:space="preserve">. </w:t>
      </w:r>
      <w:r w:rsidRPr="0086352B">
        <w:rPr>
          <w:rFonts w:ascii="Verdana" w:hAnsi="Verdana"/>
          <w:i/>
          <w:spacing w:val="-12"/>
          <w:sz w:val="16"/>
          <w:szCs w:val="16"/>
        </w:rPr>
        <w:t>Supervisión de cumplimiento de sentencia</w:t>
      </w:r>
      <w:r w:rsidRPr="0086352B">
        <w:rPr>
          <w:rFonts w:ascii="Verdana" w:hAnsi="Verdana"/>
          <w:spacing w:val="-12"/>
          <w:sz w:val="16"/>
          <w:szCs w:val="16"/>
        </w:rPr>
        <w:t xml:space="preserve">. Resolución de la Corte Interamericana de Derechos Humanos de 23 de noviembre de 2012, considerando 26.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rPr>
      <w:id w:val="1820299137"/>
      <w:docPartObj>
        <w:docPartGallery w:val="Page Numbers (Top of Page)"/>
        <w:docPartUnique/>
      </w:docPartObj>
    </w:sdtPr>
    <w:sdtEndPr>
      <w:rPr>
        <w:noProof/>
      </w:rPr>
    </w:sdtEndPr>
    <w:sdtContent>
      <w:p w14:paraId="39B65E66" w14:textId="77777777" w:rsidR="00A2324A" w:rsidRPr="008F2B34" w:rsidRDefault="00A2324A">
        <w:pPr>
          <w:pStyle w:val="Header"/>
          <w:jc w:val="center"/>
          <w:rPr>
            <w:rFonts w:ascii="Verdana" w:hAnsi="Verdana"/>
          </w:rPr>
        </w:pPr>
        <w:r>
          <w:rPr>
            <w:rFonts w:ascii="Verdana" w:hAnsi="Verdana"/>
          </w:rPr>
          <w:t>-</w:t>
        </w:r>
        <w:r w:rsidRPr="008F2B34">
          <w:rPr>
            <w:rFonts w:ascii="Verdana" w:hAnsi="Verdana"/>
          </w:rPr>
          <w:fldChar w:fldCharType="begin"/>
        </w:r>
        <w:r w:rsidRPr="008F2B34">
          <w:rPr>
            <w:rFonts w:ascii="Verdana" w:hAnsi="Verdana"/>
          </w:rPr>
          <w:instrText xml:space="preserve"> PAGE   \* MERGEFORMAT </w:instrText>
        </w:r>
        <w:r w:rsidRPr="008F2B34">
          <w:rPr>
            <w:rFonts w:ascii="Verdana" w:hAnsi="Verdana"/>
          </w:rPr>
          <w:fldChar w:fldCharType="separate"/>
        </w:r>
        <w:r w:rsidR="0038433B">
          <w:rPr>
            <w:rFonts w:ascii="Verdana" w:hAnsi="Verdana"/>
            <w:noProof/>
          </w:rPr>
          <w:t>12</w:t>
        </w:r>
        <w:r w:rsidRPr="008F2B34">
          <w:rPr>
            <w:rFonts w:ascii="Verdana" w:hAnsi="Verdana"/>
            <w:noProof/>
          </w:rPr>
          <w:fldChar w:fldCharType="end"/>
        </w:r>
        <w:r>
          <w:rPr>
            <w:rFonts w:ascii="Verdana" w:hAnsi="Verdana"/>
            <w:noProof/>
          </w:rPr>
          <w:t>-</w:t>
        </w:r>
      </w:p>
    </w:sdtContent>
  </w:sdt>
  <w:p w14:paraId="24505230" w14:textId="77777777" w:rsidR="00A2324A" w:rsidRDefault="00A232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FC320B"/>
    <w:multiLevelType w:val="hybridMultilevel"/>
    <w:tmpl w:val="42AADCCA"/>
    <w:lvl w:ilvl="0" w:tplc="E9586572">
      <w:start w:val="1"/>
      <w:numFmt w:val="decimal"/>
      <w:lvlText w:val="%1."/>
      <w:lvlJc w:val="left"/>
      <w:pPr>
        <w:ind w:left="720" w:hanging="360"/>
      </w:pPr>
      <w:rPr>
        <w:rFonts w:ascii="Verdana" w:hAnsi="Verdana" w:hint="default"/>
        <w:b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12E2293B"/>
    <w:multiLevelType w:val="hybridMultilevel"/>
    <w:tmpl w:val="5BE4D60C"/>
    <w:lvl w:ilvl="0" w:tplc="33BE4BF8">
      <w:start w:val="1"/>
      <w:numFmt w:val="decimal"/>
      <w:lvlText w:val="%1."/>
      <w:lvlJc w:val="left"/>
      <w:pPr>
        <w:ind w:left="360" w:hanging="360"/>
      </w:pPr>
      <w:rPr>
        <w:rFonts w:hint="default"/>
        <w:b w:val="0"/>
        <w:i w:val="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140412F1"/>
    <w:multiLevelType w:val="hybridMultilevel"/>
    <w:tmpl w:val="E16EE408"/>
    <w:lvl w:ilvl="0" w:tplc="56741354">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19700A19"/>
    <w:multiLevelType w:val="hybridMultilevel"/>
    <w:tmpl w:val="82800068"/>
    <w:lvl w:ilvl="0" w:tplc="A332246A">
      <w:numFmt w:val="bullet"/>
      <w:lvlText w:val="-"/>
      <w:lvlJc w:val="left"/>
      <w:pPr>
        <w:ind w:left="1068" w:hanging="360"/>
      </w:pPr>
      <w:rPr>
        <w:rFonts w:ascii="Calibri" w:eastAsiaTheme="minorHAnsi" w:hAnsi="Calibri" w:cstheme="minorBidi"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5">
    <w:nsid w:val="47456DE5"/>
    <w:multiLevelType w:val="hybridMultilevel"/>
    <w:tmpl w:val="5BE4D60C"/>
    <w:lvl w:ilvl="0" w:tplc="33BE4BF8">
      <w:start w:val="1"/>
      <w:numFmt w:val="decimal"/>
      <w:lvlText w:val="%1."/>
      <w:lvlJc w:val="left"/>
      <w:pPr>
        <w:ind w:left="360" w:hanging="360"/>
      </w:pPr>
      <w:rPr>
        <w:rFonts w:hint="default"/>
        <w:b w:val="0"/>
        <w:i w:val="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47460567"/>
    <w:multiLevelType w:val="hybridMultilevel"/>
    <w:tmpl w:val="B14AF2BA"/>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503D70FF"/>
    <w:multiLevelType w:val="hybridMultilevel"/>
    <w:tmpl w:val="272C298E"/>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641546F7"/>
    <w:multiLevelType w:val="hybridMultilevel"/>
    <w:tmpl w:val="11320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6A9646C8"/>
    <w:multiLevelType w:val="hybridMultilevel"/>
    <w:tmpl w:val="5FB4E9D0"/>
    <w:lvl w:ilvl="0" w:tplc="B7C0BCBE">
      <w:start w:val="1"/>
      <w:numFmt w:val="upperRoman"/>
      <w:lvlText w:val="%1."/>
      <w:lvlJc w:val="left"/>
      <w:pPr>
        <w:ind w:left="1080" w:hanging="72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6B4F0C5E"/>
    <w:multiLevelType w:val="hybridMultilevel"/>
    <w:tmpl w:val="41C6A6CA"/>
    <w:lvl w:ilvl="0" w:tplc="77264A14">
      <w:start w:val="13"/>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C369FF"/>
    <w:multiLevelType w:val="hybridMultilevel"/>
    <w:tmpl w:val="88F24608"/>
    <w:lvl w:ilvl="0" w:tplc="9F701216">
      <w:start w:val="1"/>
      <w:numFmt w:val="decimal"/>
      <w:lvlText w:val="%1."/>
      <w:lvlJc w:val="left"/>
      <w:pPr>
        <w:ind w:left="847" w:hanging="705"/>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2">
    <w:nsid w:val="7DEE76C6"/>
    <w:multiLevelType w:val="hybridMultilevel"/>
    <w:tmpl w:val="9D3EDA5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5"/>
  </w:num>
  <w:num w:numId="2">
    <w:abstractNumId w:val="9"/>
  </w:num>
  <w:num w:numId="3">
    <w:abstractNumId w:val="6"/>
  </w:num>
  <w:num w:numId="4">
    <w:abstractNumId w:val="2"/>
  </w:num>
  <w:num w:numId="5">
    <w:abstractNumId w:val="10"/>
  </w:num>
  <w:num w:numId="6">
    <w:abstractNumId w:val="3"/>
  </w:num>
  <w:num w:numId="7">
    <w:abstractNumId w:val="11"/>
  </w:num>
  <w:num w:numId="8">
    <w:abstractNumId w:val="0"/>
  </w:num>
  <w:num w:numId="9">
    <w:abstractNumId w:val="8"/>
  </w:num>
  <w:num w:numId="10">
    <w:abstractNumId w:val="1"/>
  </w:num>
  <w:num w:numId="11">
    <w:abstractNumId w:val="7"/>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ES_tradnl" w:vendorID="64" w:dllVersion="6" w:nlCheck="1" w:checkStyle="1"/>
  <w:activeWritingStyle w:appName="MSWord" w:lang="es-CR" w:vendorID="64" w:dllVersion="6" w:nlCheck="1" w:checkStyle="1"/>
  <w:activeWritingStyle w:appName="MSWord" w:lang="es-MX" w:vendorID="64" w:dllVersion="6" w:nlCheck="1" w:checkStyle="1"/>
  <w:activeWritingStyle w:appName="MSWord" w:lang="es-CO" w:vendorID="64" w:dllVersion="6" w:nlCheck="1" w:checkStyle="1"/>
  <w:activeWritingStyle w:appName="MSWord" w:lang="es-CL" w:vendorID="64" w:dllVersion="6" w:nlCheck="1" w:checkStyle="1"/>
  <w:activeWritingStyle w:appName="MSWord" w:lang="en-US" w:vendorID="64" w:dllVersion="6" w:nlCheck="1" w:checkStyle="1"/>
  <w:activeWritingStyle w:appName="MSWord" w:lang="es-CR"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0" w:nlCheck="1" w:checkStyle="0"/>
  <w:activeWritingStyle w:appName="MSWord" w:lang="pt-BR" w:vendorID="64" w:dllVersion="0" w:nlCheck="1" w:checkStyle="0"/>
  <w:activeWritingStyle w:appName="MSWord" w:lang="es-MX" w:vendorID="64" w:dllVersion="0" w:nlCheck="1" w:checkStyle="0"/>
  <w:activeWritingStyle w:appName="MSWord" w:lang="es-ES_tradnl" w:vendorID="64" w:dllVersion="131078" w:nlCheck="1" w:checkStyle="1"/>
  <w:activeWritingStyle w:appName="MSWord" w:lang="es-CR" w:vendorID="64" w:dllVersion="131078" w:nlCheck="1" w:checkStyle="1"/>
  <w:activeWritingStyle w:appName="MSWord" w:lang="es-CO" w:vendorID="64" w:dllVersion="131078" w:nlCheck="1" w:checkStyle="1"/>
  <w:activeWritingStyle w:appName="MSWord" w:lang="es-MX" w:vendorID="64" w:dllVersion="131078" w:nlCheck="1" w:checkStyle="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78C"/>
    <w:rsid w:val="00002704"/>
    <w:rsid w:val="000043D0"/>
    <w:rsid w:val="00005018"/>
    <w:rsid w:val="000061CD"/>
    <w:rsid w:val="000063CF"/>
    <w:rsid w:val="00007F81"/>
    <w:rsid w:val="0001075D"/>
    <w:rsid w:val="00010C33"/>
    <w:rsid w:val="00011C11"/>
    <w:rsid w:val="00012C79"/>
    <w:rsid w:val="00013E01"/>
    <w:rsid w:val="00015C57"/>
    <w:rsid w:val="00015D4F"/>
    <w:rsid w:val="00017D5A"/>
    <w:rsid w:val="0002146C"/>
    <w:rsid w:val="00022C9C"/>
    <w:rsid w:val="00024163"/>
    <w:rsid w:val="00024D7D"/>
    <w:rsid w:val="00026D51"/>
    <w:rsid w:val="000270C2"/>
    <w:rsid w:val="0003001B"/>
    <w:rsid w:val="00030BF6"/>
    <w:rsid w:val="000321E7"/>
    <w:rsid w:val="00033A29"/>
    <w:rsid w:val="00035BF0"/>
    <w:rsid w:val="00035DDC"/>
    <w:rsid w:val="00036F42"/>
    <w:rsid w:val="00041A3D"/>
    <w:rsid w:val="00041E39"/>
    <w:rsid w:val="000430AE"/>
    <w:rsid w:val="000436C0"/>
    <w:rsid w:val="00045802"/>
    <w:rsid w:val="0004598E"/>
    <w:rsid w:val="0005000C"/>
    <w:rsid w:val="00050933"/>
    <w:rsid w:val="00054C43"/>
    <w:rsid w:val="0006016C"/>
    <w:rsid w:val="00061374"/>
    <w:rsid w:val="000614D5"/>
    <w:rsid w:val="00061CB4"/>
    <w:rsid w:val="00062F21"/>
    <w:rsid w:val="00064D15"/>
    <w:rsid w:val="00065330"/>
    <w:rsid w:val="0006539A"/>
    <w:rsid w:val="00066D5D"/>
    <w:rsid w:val="00066E4F"/>
    <w:rsid w:val="0007043C"/>
    <w:rsid w:val="00071B30"/>
    <w:rsid w:val="000737C2"/>
    <w:rsid w:val="00074799"/>
    <w:rsid w:val="00085E5F"/>
    <w:rsid w:val="000861C8"/>
    <w:rsid w:val="000869CF"/>
    <w:rsid w:val="000911C1"/>
    <w:rsid w:val="00092CE4"/>
    <w:rsid w:val="00093971"/>
    <w:rsid w:val="000946EF"/>
    <w:rsid w:val="00095950"/>
    <w:rsid w:val="000A0CA2"/>
    <w:rsid w:val="000A2705"/>
    <w:rsid w:val="000A2DBE"/>
    <w:rsid w:val="000A334D"/>
    <w:rsid w:val="000A59F7"/>
    <w:rsid w:val="000A7603"/>
    <w:rsid w:val="000A7D15"/>
    <w:rsid w:val="000B30D0"/>
    <w:rsid w:val="000B3E38"/>
    <w:rsid w:val="000B517F"/>
    <w:rsid w:val="000B6BD9"/>
    <w:rsid w:val="000C07E3"/>
    <w:rsid w:val="000C18A8"/>
    <w:rsid w:val="000C1F1F"/>
    <w:rsid w:val="000C2A97"/>
    <w:rsid w:val="000C3A89"/>
    <w:rsid w:val="000C5016"/>
    <w:rsid w:val="000C51CD"/>
    <w:rsid w:val="000D162A"/>
    <w:rsid w:val="000D3448"/>
    <w:rsid w:val="000D34D5"/>
    <w:rsid w:val="000D38D2"/>
    <w:rsid w:val="000D54B4"/>
    <w:rsid w:val="000D7159"/>
    <w:rsid w:val="000E1063"/>
    <w:rsid w:val="000E3112"/>
    <w:rsid w:val="000E3D14"/>
    <w:rsid w:val="000E4097"/>
    <w:rsid w:val="000E41F9"/>
    <w:rsid w:val="000E4BB4"/>
    <w:rsid w:val="000E6A83"/>
    <w:rsid w:val="000E6B75"/>
    <w:rsid w:val="000F22A0"/>
    <w:rsid w:val="000F3071"/>
    <w:rsid w:val="000F514F"/>
    <w:rsid w:val="000F568D"/>
    <w:rsid w:val="000F5B47"/>
    <w:rsid w:val="000F5EF1"/>
    <w:rsid w:val="000F791E"/>
    <w:rsid w:val="0010034E"/>
    <w:rsid w:val="00101421"/>
    <w:rsid w:val="00101A8E"/>
    <w:rsid w:val="00101BAD"/>
    <w:rsid w:val="00102F6A"/>
    <w:rsid w:val="00106868"/>
    <w:rsid w:val="00107681"/>
    <w:rsid w:val="00107B18"/>
    <w:rsid w:val="00111B19"/>
    <w:rsid w:val="00112255"/>
    <w:rsid w:val="00112414"/>
    <w:rsid w:val="0011537D"/>
    <w:rsid w:val="0011730F"/>
    <w:rsid w:val="00117968"/>
    <w:rsid w:val="00120E3C"/>
    <w:rsid w:val="001215F6"/>
    <w:rsid w:val="001218F2"/>
    <w:rsid w:val="00121DF2"/>
    <w:rsid w:val="00123086"/>
    <w:rsid w:val="00124B62"/>
    <w:rsid w:val="00125AA9"/>
    <w:rsid w:val="00125FED"/>
    <w:rsid w:val="00127E6F"/>
    <w:rsid w:val="00131163"/>
    <w:rsid w:val="00132023"/>
    <w:rsid w:val="00132199"/>
    <w:rsid w:val="00132C6E"/>
    <w:rsid w:val="00133387"/>
    <w:rsid w:val="001351CB"/>
    <w:rsid w:val="00137E21"/>
    <w:rsid w:val="00140F35"/>
    <w:rsid w:val="00141727"/>
    <w:rsid w:val="00142A8E"/>
    <w:rsid w:val="001430F6"/>
    <w:rsid w:val="00145458"/>
    <w:rsid w:val="00146DB0"/>
    <w:rsid w:val="00147835"/>
    <w:rsid w:val="00147AC9"/>
    <w:rsid w:val="00147B36"/>
    <w:rsid w:val="00150A3B"/>
    <w:rsid w:val="00151EE0"/>
    <w:rsid w:val="001549EA"/>
    <w:rsid w:val="00154A93"/>
    <w:rsid w:val="00154E11"/>
    <w:rsid w:val="0016266D"/>
    <w:rsid w:val="001644E0"/>
    <w:rsid w:val="00164684"/>
    <w:rsid w:val="0016563B"/>
    <w:rsid w:val="0016588D"/>
    <w:rsid w:val="001662ED"/>
    <w:rsid w:val="001725EB"/>
    <w:rsid w:val="00172F42"/>
    <w:rsid w:val="00173950"/>
    <w:rsid w:val="00174935"/>
    <w:rsid w:val="00176117"/>
    <w:rsid w:val="00176790"/>
    <w:rsid w:val="0017735B"/>
    <w:rsid w:val="001830ED"/>
    <w:rsid w:val="001849CB"/>
    <w:rsid w:val="00186E87"/>
    <w:rsid w:val="00187C8F"/>
    <w:rsid w:val="00190CA2"/>
    <w:rsid w:val="00192AAC"/>
    <w:rsid w:val="00193EBA"/>
    <w:rsid w:val="00194271"/>
    <w:rsid w:val="001A1081"/>
    <w:rsid w:val="001A1374"/>
    <w:rsid w:val="001A14B2"/>
    <w:rsid w:val="001A3BEE"/>
    <w:rsid w:val="001B0859"/>
    <w:rsid w:val="001B2EC1"/>
    <w:rsid w:val="001B3B0A"/>
    <w:rsid w:val="001B504F"/>
    <w:rsid w:val="001B5FA3"/>
    <w:rsid w:val="001B6D12"/>
    <w:rsid w:val="001C2AC8"/>
    <w:rsid w:val="001C3BA1"/>
    <w:rsid w:val="001C3BD2"/>
    <w:rsid w:val="001C3BFA"/>
    <w:rsid w:val="001C4CB6"/>
    <w:rsid w:val="001C69B5"/>
    <w:rsid w:val="001C7465"/>
    <w:rsid w:val="001C77D6"/>
    <w:rsid w:val="001C79BD"/>
    <w:rsid w:val="001C7BD1"/>
    <w:rsid w:val="001D195B"/>
    <w:rsid w:val="001D3E71"/>
    <w:rsid w:val="001D7AE0"/>
    <w:rsid w:val="001E09E0"/>
    <w:rsid w:val="001E1010"/>
    <w:rsid w:val="001E36D2"/>
    <w:rsid w:val="001E3AF8"/>
    <w:rsid w:val="001E4202"/>
    <w:rsid w:val="001E42BF"/>
    <w:rsid w:val="001E52B5"/>
    <w:rsid w:val="001E71EC"/>
    <w:rsid w:val="001E7A95"/>
    <w:rsid w:val="001F158C"/>
    <w:rsid w:val="001F2249"/>
    <w:rsid w:val="001F2C96"/>
    <w:rsid w:val="001F3C71"/>
    <w:rsid w:val="001F4ACC"/>
    <w:rsid w:val="0020083B"/>
    <w:rsid w:val="002024FC"/>
    <w:rsid w:val="00204679"/>
    <w:rsid w:val="00205F08"/>
    <w:rsid w:val="002064E9"/>
    <w:rsid w:val="00206631"/>
    <w:rsid w:val="0021036B"/>
    <w:rsid w:val="00212835"/>
    <w:rsid w:val="00212873"/>
    <w:rsid w:val="002143F0"/>
    <w:rsid w:val="002151DB"/>
    <w:rsid w:val="00215856"/>
    <w:rsid w:val="002222F1"/>
    <w:rsid w:val="002228C1"/>
    <w:rsid w:val="00224C7A"/>
    <w:rsid w:val="00224D20"/>
    <w:rsid w:val="002263EC"/>
    <w:rsid w:val="00226EAE"/>
    <w:rsid w:val="0023178C"/>
    <w:rsid w:val="00231CF8"/>
    <w:rsid w:val="0023299E"/>
    <w:rsid w:val="00232E79"/>
    <w:rsid w:val="002351B4"/>
    <w:rsid w:val="0023579E"/>
    <w:rsid w:val="00235E40"/>
    <w:rsid w:val="00235E49"/>
    <w:rsid w:val="002376D7"/>
    <w:rsid w:val="002403C9"/>
    <w:rsid w:val="00240EF5"/>
    <w:rsid w:val="00240F59"/>
    <w:rsid w:val="00241CD6"/>
    <w:rsid w:val="00242F3A"/>
    <w:rsid w:val="00243034"/>
    <w:rsid w:val="00243DE6"/>
    <w:rsid w:val="00245C36"/>
    <w:rsid w:val="0024692C"/>
    <w:rsid w:val="00246F0B"/>
    <w:rsid w:val="00247707"/>
    <w:rsid w:val="00250DD3"/>
    <w:rsid w:val="00250F19"/>
    <w:rsid w:val="00251E17"/>
    <w:rsid w:val="0025249A"/>
    <w:rsid w:val="0025265F"/>
    <w:rsid w:val="002550DB"/>
    <w:rsid w:val="00255259"/>
    <w:rsid w:val="00256ED2"/>
    <w:rsid w:val="00260830"/>
    <w:rsid w:val="00260C2F"/>
    <w:rsid w:val="0026167F"/>
    <w:rsid w:val="0026458B"/>
    <w:rsid w:val="002645C3"/>
    <w:rsid w:val="0026663C"/>
    <w:rsid w:val="0026743F"/>
    <w:rsid w:val="00271556"/>
    <w:rsid w:val="002715DD"/>
    <w:rsid w:val="00271FA9"/>
    <w:rsid w:val="00272FA2"/>
    <w:rsid w:val="00275002"/>
    <w:rsid w:val="00275B44"/>
    <w:rsid w:val="00281142"/>
    <w:rsid w:val="0028146C"/>
    <w:rsid w:val="002825C2"/>
    <w:rsid w:val="00286B7B"/>
    <w:rsid w:val="002900A3"/>
    <w:rsid w:val="0029048A"/>
    <w:rsid w:val="00290917"/>
    <w:rsid w:val="002909AE"/>
    <w:rsid w:val="00290D02"/>
    <w:rsid w:val="00293F88"/>
    <w:rsid w:val="00294008"/>
    <w:rsid w:val="00294C0B"/>
    <w:rsid w:val="00297C21"/>
    <w:rsid w:val="002A4E21"/>
    <w:rsid w:val="002B204C"/>
    <w:rsid w:val="002C151B"/>
    <w:rsid w:val="002C37BB"/>
    <w:rsid w:val="002C423C"/>
    <w:rsid w:val="002C4350"/>
    <w:rsid w:val="002C5FC8"/>
    <w:rsid w:val="002C68A1"/>
    <w:rsid w:val="002C7299"/>
    <w:rsid w:val="002D2898"/>
    <w:rsid w:val="002D3855"/>
    <w:rsid w:val="002D5C8F"/>
    <w:rsid w:val="002D613B"/>
    <w:rsid w:val="002D63DC"/>
    <w:rsid w:val="002D6E15"/>
    <w:rsid w:val="002D7293"/>
    <w:rsid w:val="002D7664"/>
    <w:rsid w:val="002E13E2"/>
    <w:rsid w:val="002E1C3A"/>
    <w:rsid w:val="002E24AC"/>
    <w:rsid w:val="002E3870"/>
    <w:rsid w:val="002E5BEA"/>
    <w:rsid w:val="002E5FEA"/>
    <w:rsid w:val="002E7E26"/>
    <w:rsid w:val="002E7E33"/>
    <w:rsid w:val="002F0116"/>
    <w:rsid w:val="002F1577"/>
    <w:rsid w:val="002F16AB"/>
    <w:rsid w:val="002F522E"/>
    <w:rsid w:val="002F6253"/>
    <w:rsid w:val="002F65D0"/>
    <w:rsid w:val="002F6EA7"/>
    <w:rsid w:val="002F6FC8"/>
    <w:rsid w:val="00301260"/>
    <w:rsid w:val="0030218B"/>
    <w:rsid w:val="003031B7"/>
    <w:rsid w:val="00303A4C"/>
    <w:rsid w:val="00303AE3"/>
    <w:rsid w:val="00303D11"/>
    <w:rsid w:val="00306CA2"/>
    <w:rsid w:val="00307B2C"/>
    <w:rsid w:val="00307F97"/>
    <w:rsid w:val="0031346D"/>
    <w:rsid w:val="003200CD"/>
    <w:rsid w:val="0032152D"/>
    <w:rsid w:val="00322927"/>
    <w:rsid w:val="00322DB5"/>
    <w:rsid w:val="00325648"/>
    <w:rsid w:val="0033034B"/>
    <w:rsid w:val="003304BE"/>
    <w:rsid w:val="00330F6C"/>
    <w:rsid w:val="00331745"/>
    <w:rsid w:val="00332918"/>
    <w:rsid w:val="0033292C"/>
    <w:rsid w:val="00334F26"/>
    <w:rsid w:val="003363AB"/>
    <w:rsid w:val="00336D40"/>
    <w:rsid w:val="00342AF7"/>
    <w:rsid w:val="0034403B"/>
    <w:rsid w:val="00344223"/>
    <w:rsid w:val="0034488C"/>
    <w:rsid w:val="003466F6"/>
    <w:rsid w:val="0034705D"/>
    <w:rsid w:val="00347772"/>
    <w:rsid w:val="003510CA"/>
    <w:rsid w:val="0035152B"/>
    <w:rsid w:val="00351C0C"/>
    <w:rsid w:val="003531A3"/>
    <w:rsid w:val="00354670"/>
    <w:rsid w:val="003552CE"/>
    <w:rsid w:val="0035634C"/>
    <w:rsid w:val="00356C2B"/>
    <w:rsid w:val="0035740E"/>
    <w:rsid w:val="00357E35"/>
    <w:rsid w:val="00360215"/>
    <w:rsid w:val="003602BC"/>
    <w:rsid w:val="00364AB1"/>
    <w:rsid w:val="0036594F"/>
    <w:rsid w:val="003724BE"/>
    <w:rsid w:val="00373ADE"/>
    <w:rsid w:val="003745BA"/>
    <w:rsid w:val="00374BCB"/>
    <w:rsid w:val="00374D99"/>
    <w:rsid w:val="003757B0"/>
    <w:rsid w:val="00377105"/>
    <w:rsid w:val="00380BE0"/>
    <w:rsid w:val="00380DD7"/>
    <w:rsid w:val="00381481"/>
    <w:rsid w:val="003831F9"/>
    <w:rsid w:val="0038433B"/>
    <w:rsid w:val="00384C01"/>
    <w:rsid w:val="00385159"/>
    <w:rsid w:val="00387D0B"/>
    <w:rsid w:val="00391226"/>
    <w:rsid w:val="003917CA"/>
    <w:rsid w:val="003A247E"/>
    <w:rsid w:val="003A5559"/>
    <w:rsid w:val="003A62E7"/>
    <w:rsid w:val="003B0884"/>
    <w:rsid w:val="003B23B1"/>
    <w:rsid w:val="003B287C"/>
    <w:rsid w:val="003B5597"/>
    <w:rsid w:val="003B71E5"/>
    <w:rsid w:val="003B7330"/>
    <w:rsid w:val="003B78BB"/>
    <w:rsid w:val="003C0223"/>
    <w:rsid w:val="003C0318"/>
    <w:rsid w:val="003C0D6C"/>
    <w:rsid w:val="003C1A1A"/>
    <w:rsid w:val="003C296E"/>
    <w:rsid w:val="003C29F1"/>
    <w:rsid w:val="003C53AB"/>
    <w:rsid w:val="003C562D"/>
    <w:rsid w:val="003C5DFA"/>
    <w:rsid w:val="003D1033"/>
    <w:rsid w:val="003D1128"/>
    <w:rsid w:val="003D2BF0"/>
    <w:rsid w:val="003D31C8"/>
    <w:rsid w:val="003D589E"/>
    <w:rsid w:val="003D6B78"/>
    <w:rsid w:val="003D75D1"/>
    <w:rsid w:val="003D7B75"/>
    <w:rsid w:val="003E0BDF"/>
    <w:rsid w:val="003E143F"/>
    <w:rsid w:val="003E274C"/>
    <w:rsid w:val="003E3C14"/>
    <w:rsid w:val="003E4646"/>
    <w:rsid w:val="003E4BFB"/>
    <w:rsid w:val="003E5360"/>
    <w:rsid w:val="003E5386"/>
    <w:rsid w:val="003E570C"/>
    <w:rsid w:val="003E6144"/>
    <w:rsid w:val="003E751C"/>
    <w:rsid w:val="003F0094"/>
    <w:rsid w:val="003F0BAA"/>
    <w:rsid w:val="003F145B"/>
    <w:rsid w:val="003F1B8B"/>
    <w:rsid w:val="003F225B"/>
    <w:rsid w:val="003F2C14"/>
    <w:rsid w:val="003F4017"/>
    <w:rsid w:val="003F45A4"/>
    <w:rsid w:val="003F5C57"/>
    <w:rsid w:val="003F7458"/>
    <w:rsid w:val="00400D98"/>
    <w:rsid w:val="004017C3"/>
    <w:rsid w:val="00401881"/>
    <w:rsid w:val="004024B7"/>
    <w:rsid w:val="00402CEB"/>
    <w:rsid w:val="00403728"/>
    <w:rsid w:val="00405B09"/>
    <w:rsid w:val="00405F85"/>
    <w:rsid w:val="00406636"/>
    <w:rsid w:val="004104FC"/>
    <w:rsid w:val="00413D13"/>
    <w:rsid w:val="00414DA3"/>
    <w:rsid w:val="0041764D"/>
    <w:rsid w:val="004229B0"/>
    <w:rsid w:val="0042305E"/>
    <w:rsid w:val="004233F8"/>
    <w:rsid w:val="004250B4"/>
    <w:rsid w:val="0043072D"/>
    <w:rsid w:val="004307DA"/>
    <w:rsid w:val="00431751"/>
    <w:rsid w:val="00431C9F"/>
    <w:rsid w:val="00431DA4"/>
    <w:rsid w:val="004321E9"/>
    <w:rsid w:val="00436615"/>
    <w:rsid w:val="00436E31"/>
    <w:rsid w:val="004403A0"/>
    <w:rsid w:val="00441D26"/>
    <w:rsid w:val="00442971"/>
    <w:rsid w:val="00443B60"/>
    <w:rsid w:val="004475DC"/>
    <w:rsid w:val="004517D0"/>
    <w:rsid w:val="00451F74"/>
    <w:rsid w:val="0045329E"/>
    <w:rsid w:val="00453F9C"/>
    <w:rsid w:val="00454B20"/>
    <w:rsid w:val="00454DF2"/>
    <w:rsid w:val="00457663"/>
    <w:rsid w:val="00461EBA"/>
    <w:rsid w:val="0046250F"/>
    <w:rsid w:val="004628E1"/>
    <w:rsid w:val="00463A25"/>
    <w:rsid w:val="00464B3B"/>
    <w:rsid w:val="00465AE6"/>
    <w:rsid w:val="00465B2F"/>
    <w:rsid w:val="00465E73"/>
    <w:rsid w:val="00465EB2"/>
    <w:rsid w:val="004664FE"/>
    <w:rsid w:val="004676F5"/>
    <w:rsid w:val="004732AB"/>
    <w:rsid w:val="00473498"/>
    <w:rsid w:val="0047419E"/>
    <w:rsid w:val="00474CD0"/>
    <w:rsid w:val="004756C2"/>
    <w:rsid w:val="00475E73"/>
    <w:rsid w:val="00477E06"/>
    <w:rsid w:val="004803C8"/>
    <w:rsid w:val="0048097E"/>
    <w:rsid w:val="00480A31"/>
    <w:rsid w:val="004823A6"/>
    <w:rsid w:val="00482A2D"/>
    <w:rsid w:val="004865DD"/>
    <w:rsid w:val="004913F8"/>
    <w:rsid w:val="004969EC"/>
    <w:rsid w:val="004978D2"/>
    <w:rsid w:val="00497DD4"/>
    <w:rsid w:val="004A0F52"/>
    <w:rsid w:val="004A10D1"/>
    <w:rsid w:val="004A10F2"/>
    <w:rsid w:val="004A12AB"/>
    <w:rsid w:val="004A17DA"/>
    <w:rsid w:val="004A2223"/>
    <w:rsid w:val="004A3C0D"/>
    <w:rsid w:val="004A400B"/>
    <w:rsid w:val="004A5458"/>
    <w:rsid w:val="004A7FCF"/>
    <w:rsid w:val="004B1740"/>
    <w:rsid w:val="004B2904"/>
    <w:rsid w:val="004B4230"/>
    <w:rsid w:val="004B47F2"/>
    <w:rsid w:val="004B49D1"/>
    <w:rsid w:val="004B6385"/>
    <w:rsid w:val="004B6907"/>
    <w:rsid w:val="004C1F81"/>
    <w:rsid w:val="004C2DC0"/>
    <w:rsid w:val="004C535E"/>
    <w:rsid w:val="004C60BD"/>
    <w:rsid w:val="004D059F"/>
    <w:rsid w:val="004D0C02"/>
    <w:rsid w:val="004D1B45"/>
    <w:rsid w:val="004D1C42"/>
    <w:rsid w:val="004D1EC3"/>
    <w:rsid w:val="004D3D5F"/>
    <w:rsid w:val="004D4E94"/>
    <w:rsid w:val="004D6B40"/>
    <w:rsid w:val="004D7CBC"/>
    <w:rsid w:val="004E21CC"/>
    <w:rsid w:val="004E2758"/>
    <w:rsid w:val="004E3AAF"/>
    <w:rsid w:val="004E46FD"/>
    <w:rsid w:val="004E6617"/>
    <w:rsid w:val="004E69E3"/>
    <w:rsid w:val="004E7A5C"/>
    <w:rsid w:val="004E7ABE"/>
    <w:rsid w:val="004F1966"/>
    <w:rsid w:val="004F1B5F"/>
    <w:rsid w:val="004F2F7D"/>
    <w:rsid w:val="004F30EF"/>
    <w:rsid w:val="004F4A5B"/>
    <w:rsid w:val="004F5FC9"/>
    <w:rsid w:val="004F71EE"/>
    <w:rsid w:val="004F7781"/>
    <w:rsid w:val="004F7B12"/>
    <w:rsid w:val="004F7CD0"/>
    <w:rsid w:val="00500ADD"/>
    <w:rsid w:val="005011A4"/>
    <w:rsid w:val="0050293C"/>
    <w:rsid w:val="0050400F"/>
    <w:rsid w:val="00505478"/>
    <w:rsid w:val="00505BC3"/>
    <w:rsid w:val="005067D8"/>
    <w:rsid w:val="00510465"/>
    <w:rsid w:val="00510C25"/>
    <w:rsid w:val="0051209A"/>
    <w:rsid w:val="00512CF0"/>
    <w:rsid w:val="00512EF3"/>
    <w:rsid w:val="00513362"/>
    <w:rsid w:val="00513966"/>
    <w:rsid w:val="00514336"/>
    <w:rsid w:val="00514B8F"/>
    <w:rsid w:val="00515FC7"/>
    <w:rsid w:val="00517D2E"/>
    <w:rsid w:val="00521052"/>
    <w:rsid w:val="00523B93"/>
    <w:rsid w:val="00524C47"/>
    <w:rsid w:val="0052514A"/>
    <w:rsid w:val="00530C88"/>
    <w:rsid w:val="00531F4D"/>
    <w:rsid w:val="0053326B"/>
    <w:rsid w:val="0053387A"/>
    <w:rsid w:val="00534A72"/>
    <w:rsid w:val="00537664"/>
    <w:rsid w:val="00537FE8"/>
    <w:rsid w:val="00540532"/>
    <w:rsid w:val="00541077"/>
    <w:rsid w:val="00541716"/>
    <w:rsid w:val="005449E9"/>
    <w:rsid w:val="00544E05"/>
    <w:rsid w:val="0054547A"/>
    <w:rsid w:val="0054576D"/>
    <w:rsid w:val="00546057"/>
    <w:rsid w:val="00547ABC"/>
    <w:rsid w:val="00551189"/>
    <w:rsid w:val="005535B5"/>
    <w:rsid w:val="00554D8B"/>
    <w:rsid w:val="00554D9D"/>
    <w:rsid w:val="00555773"/>
    <w:rsid w:val="00561A32"/>
    <w:rsid w:val="00563CE1"/>
    <w:rsid w:val="005654C2"/>
    <w:rsid w:val="00566ECE"/>
    <w:rsid w:val="00566FA1"/>
    <w:rsid w:val="00567F1C"/>
    <w:rsid w:val="00572021"/>
    <w:rsid w:val="00573180"/>
    <w:rsid w:val="0057407D"/>
    <w:rsid w:val="005751DE"/>
    <w:rsid w:val="005757ED"/>
    <w:rsid w:val="00576B53"/>
    <w:rsid w:val="00576F74"/>
    <w:rsid w:val="005773DC"/>
    <w:rsid w:val="0057791C"/>
    <w:rsid w:val="0058069E"/>
    <w:rsid w:val="00582FDB"/>
    <w:rsid w:val="005835BB"/>
    <w:rsid w:val="00583F35"/>
    <w:rsid w:val="00584B9E"/>
    <w:rsid w:val="00586EE4"/>
    <w:rsid w:val="00587D1B"/>
    <w:rsid w:val="0059093E"/>
    <w:rsid w:val="00590D35"/>
    <w:rsid w:val="00592283"/>
    <w:rsid w:val="00593E77"/>
    <w:rsid w:val="005945CE"/>
    <w:rsid w:val="00594D54"/>
    <w:rsid w:val="00595335"/>
    <w:rsid w:val="00595E4B"/>
    <w:rsid w:val="00595FA6"/>
    <w:rsid w:val="0059714F"/>
    <w:rsid w:val="00597B03"/>
    <w:rsid w:val="00597BEA"/>
    <w:rsid w:val="00597FFE"/>
    <w:rsid w:val="005A18B7"/>
    <w:rsid w:val="005A2202"/>
    <w:rsid w:val="005A2E61"/>
    <w:rsid w:val="005A338D"/>
    <w:rsid w:val="005A41F8"/>
    <w:rsid w:val="005B05E5"/>
    <w:rsid w:val="005B2B3B"/>
    <w:rsid w:val="005B5B2D"/>
    <w:rsid w:val="005C3394"/>
    <w:rsid w:val="005C4BD4"/>
    <w:rsid w:val="005C7D0C"/>
    <w:rsid w:val="005D13A5"/>
    <w:rsid w:val="005D3377"/>
    <w:rsid w:val="005D3827"/>
    <w:rsid w:val="005D5CF9"/>
    <w:rsid w:val="005D62E0"/>
    <w:rsid w:val="005D76F1"/>
    <w:rsid w:val="005D7780"/>
    <w:rsid w:val="005D7798"/>
    <w:rsid w:val="005E2020"/>
    <w:rsid w:val="005E4725"/>
    <w:rsid w:val="005E626B"/>
    <w:rsid w:val="005E6EE2"/>
    <w:rsid w:val="005E7D41"/>
    <w:rsid w:val="005F0EFF"/>
    <w:rsid w:val="005F1CCC"/>
    <w:rsid w:val="005F2E8F"/>
    <w:rsid w:val="005F3495"/>
    <w:rsid w:val="005F41BA"/>
    <w:rsid w:val="005F4BA4"/>
    <w:rsid w:val="005F621B"/>
    <w:rsid w:val="005F631D"/>
    <w:rsid w:val="005F63D1"/>
    <w:rsid w:val="005F66E7"/>
    <w:rsid w:val="005F6D6D"/>
    <w:rsid w:val="005F6D97"/>
    <w:rsid w:val="005F6DFC"/>
    <w:rsid w:val="005F7938"/>
    <w:rsid w:val="00600C5D"/>
    <w:rsid w:val="00602D1D"/>
    <w:rsid w:val="006039CC"/>
    <w:rsid w:val="006043F0"/>
    <w:rsid w:val="00605318"/>
    <w:rsid w:val="006110D2"/>
    <w:rsid w:val="0061270E"/>
    <w:rsid w:val="00613097"/>
    <w:rsid w:val="006161ED"/>
    <w:rsid w:val="00620136"/>
    <w:rsid w:val="00622343"/>
    <w:rsid w:val="006224AD"/>
    <w:rsid w:val="00622646"/>
    <w:rsid w:val="00623CD3"/>
    <w:rsid w:val="006240DF"/>
    <w:rsid w:val="006242B8"/>
    <w:rsid w:val="0062612B"/>
    <w:rsid w:val="00626F26"/>
    <w:rsid w:val="00631191"/>
    <w:rsid w:val="006313EE"/>
    <w:rsid w:val="00632991"/>
    <w:rsid w:val="00633131"/>
    <w:rsid w:val="00634E19"/>
    <w:rsid w:val="00635E83"/>
    <w:rsid w:val="0063628D"/>
    <w:rsid w:val="00636405"/>
    <w:rsid w:val="00637D8D"/>
    <w:rsid w:val="006405A5"/>
    <w:rsid w:val="00640EA5"/>
    <w:rsid w:val="00643347"/>
    <w:rsid w:val="006455DB"/>
    <w:rsid w:val="006470E2"/>
    <w:rsid w:val="00647D8B"/>
    <w:rsid w:val="0065089D"/>
    <w:rsid w:val="00650957"/>
    <w:rsid w:val="006510CE"/>
    <w:rsid w:val="00652CA3"/>
    <w:rsid w:val="006532FA"/>
    <w:rsid w:val="00653402"/>
    <w:rsid w:val="006538EA"/>
    <w:rsid w:val="00654245"/>
    <w:rsid w:val="006546BE"/>
    <w:rsid w:val="00654B21"/>
    <w:rsid w:val="00655FC0"/>
    <w:rsid w:val="006564D7"/>
    <w:rsid w:val="006567EF"/>
    <w:rsid w:val="00656E54"/>
    <w:rsid w:val="00657E30"/>
    <w:rsid w:val="006603F2"/>
    <w:rsid w:val="00661903"/>
    <w:rsid w:val="006628F7"/>
    <w:rsid w:val="006631E4"/>
    <w:rsid w:val="00663CC0"/>
    <w:rsid w:val="00663D97"/>
    <w:rsid w:val="00665759"/>
    <w:rsid w:val="00666674"/>
    <w:rsid w:val="006666F5"/>
    <w:rsid w:val="00670CBB"/>
    <w:rsid w:val="00670F5A"/>
    <w:rsid w:val="0067108A"/>
    <w:rsid w:val="00671DD0"/>
    <w:rsid w:val="00672399"/>
    <w:rsid w:val="0067341C"/>
    <w:rsid w:val="00673A02"/>
    <w:rsid w:val="00673B32"/>
    <w:rsid w:val="00673CEF"/>
    <w:rsid w:val="006740C4"/>
    <w:rsid w:val="00674A12"/>
    <w:rsid w:val="006751ED"/>
    <w:rsid w:val="00675A65"/>
    <w:rsid w:val="00676AAA"/>
    <w:rsid w:val="006818B4"/>
    <w:rsid w:val="0068217D"/>
    <w:rsid w:val="00685772"/>
    <w:rsid w:val="006911B7"/>
    <w:rsid w:val="00691E9C"/>
    <w:rsid w:val="00692594"/>
    <w:rsid w:val="00693D2D"/>
    <w:rsid w:val="00694484"/>
    <w:rsid w:val="00695E06"/>
    <w:rsid w:val="00696FB7"/>
    <w:rsid w:val="006977E7"/>
    <w:rsid w:val="006A06E2"/>
    <w:rsid w:val="006A15E6"/>
    <w:rsid w:val="006A17BE"/>
    <w:rsid w:val="006A4D4C"/>
    <w:rsid w:val="006A7820"/>
    <w:rsid w:val="006B0410"/>
    <w:rsid w:val="006B09A8"/>
    <w:rsid w:val="006B0A4F"/>
    <w:rsid w:val="006B2186"/>
    <w:rsid w:val="006B2A93"/>
    <w:rsid w:val="006B32F0"/>
    <w:rsid w:val="006B3B54"/>
    <w:rsid w:val="006B5B81"/>
    <w:rsid w:val="006C28A8"/>
    <w:rsid w:val="006C35DD"/>
    <w:rsid w:val="006C5F84"/>
    <w:rsid w:val="006C6C0C"/>
    <w:rsid w:val="006D016D"/>
    <w:rsid w:val="006D1C60"/>
    <w:rsid w:val="006D4CBF"/>
    <w:rsid w:val="006D565F"/>
    <w:rsid w:val="006D7999"/>
    <w:rsid w:val="006D7A6C"/>
    <w:rsid w:val="006D7F7E"/>
    <w:rsid w:val="006E046A"/>
    <w:rsid w:val="006E1ED7"/>
    <w:rsid w:val="006E2F02"/>
    <w:rsid w:val="006E3AB0"/>
    <w:rsid w:val="006E4BA8"/>
    <w:rsid w:val="006E537F"/>
    <w:rsid w:val="006E7B04"/>
    <w:rsid w:val="006F003E"/>
    <w:rsid w:val="006F0332"/>
    <w:rsid w:val="006F27CD"/>
    <w:rsid w:val="006F6316"/>
    <w:rsid w:val="006F67F7"/>
    <w:rsid w:val="006F796A"/>
    <w:rsid w:val="00700512"/>
    <w:rsid w:val="007029A8"/>
    <w:rsid w:val="007041EC"/>
    <w:rsid w:val="00704AFE"/>
    <w:rsid w:val="00704FF0"/>
    <w:rsid w:val="00705CF3"/>
    <w:rsid w:val="007071AE"/>
    <w:rsid w:val="00710135"/>
    <w:rsid w:val="0071182F"/>
    <w:rsid w:val="00714293"/>
    <w:rsid w:val="0071780D"/>
    <w:rsid w:val="00720D91"/>
    <w:rsid w:val="00722FEA"/>
    <w:rsid w:val="00724AFA"/>
    <w:rsid w:val="00724E08"/>
    <w:rsid w:val="00725065"/>
    <w:rsid w:val="00725531"/>
    <w:rsid w:val="00730600"/>
    <w:rsid w:val="00730642"/>
    <w:rsid w:val="00735836"/>
    <w:rsid w:val="0073767E"/>
    <w:rsid w:val="00742E8E"/>
    <w:rsid w:val="0074396A"/>
    <w:rsid w:val="00747D54"/>
    <w:rsid w:val="00751313"/>
    <w:rsid w:val="007524E1"/>
    <w:rsid w:val="0075291F"/>
    <w:rsid w:val="00752ECD"/>
    <w:rsid w:val="00757258"/>
    <w:rsid w:val="00760612"/>
    <w:rsid w:val="00760EFB"/>
    <w:rsid w:val="00760F3F"/>
    <w:rsid w:val="00763D27"/>
    <w:rsid w:val="00765E46"/>
    <w:rsid w:val="00766097"/>
    <w:rsid w:val="00766501"/>
    <w:rsid w:val="00766824"/>
    <w:rsid w:val="00767715"/>
    <w:rsid w:val="00770235"/>
    <w:rsid w:val="00770552"/>
    <w:rsid w:val="00770DEF"/>
    <w:rsid w:val="00771854"/>
    <w:rsid w:val="00772CB3"/>
    <w:rsid w:val="007749CD"/>
    <w:rsid w:val="00774A48"/>
    <w:rsid w:val="00774CDE"/>
    <w:rsid w:val="00776368"/>
    <w:rsid w:val="007766CF"/>
    <w:rsid w:val="0077738E"/>
    <w:rsid w:val="0078090D"/>
    <w:rsid w:val="007840E1"/>
    <w:rsid w:val="0078726C"/>
    <w:rsid w:val="0078735D"/>
    <w:rsid w:val="00787D32"/>
    <w:rsid w:val="00787D43"/>
    <w:rsid w:val="00790B55"/>
    <w:rsid w:val="00793AC1"/>
    <w:rsid w:val="00794371"/>
    <w:rsid w:val="0079454E"/>
    <w:rsid w:val="00795EF8"/>
    <w:rsid w:val="007A0B78"/>
    <w:rsid w:val="007A36CE"/>
    <w:rsid w:val="007A59B4"/>
    <w:rsid w:val="007A7285"/>
    <w:rsid w:val="007A7979"/>
    <w:rsid w:val="007B072C"/>
    <w:rsid w:val="007B105D"/>
    <w:rsid w:val="007B3D37"/>
    <w:rsid w:val="007B4812"/>
    <w:rsid w:val="007B60FF"/>
    <w:rsid w:val="007B61DC"/>
    <w:rsid w:val="007B7C21"/>
    <w:rsid w:val="007B7F26"/>
    <w:rsid w:val="007C105A"/>
    <w:rsid w:val="007C1384"/>
    <w:rsid w:val="007C14B2"/>
    <w:rsid w:val="007C1ADB"/>
    <w:rsid w:val="007C511D"/>
    <w:rsid w:val="007C60F2"/>
    <w:rsid w:val="007C7A35"/>
    <w:rsid w:val="007C7F89"/>
    <w:rsid w:val="007D1A2B"/>
    <w:rsid w:val="007D2F35"/>
    <w:rsid w:val="007D3850"/>
    <w:rsid w:val="007D4385"/>
    <w:rsid w:val="007D4E5B"/>
    <w:rsid w:val="007D6800"/>
    <w:rsid w:val="007E1F3B"/>
    <w:rsid w:val="007E22AE"/>
    <w:rsid w:val="007E22DC"/>
    <w:rsid w:val="007E355F"/>
    <w:rsid w:val="007E4FC0"/>
    <w:rsid w:val="007E56A6"/>
    <w:rsid w:val="007E73BB"/>
    <w:rsid w:val="007E7602"/>
    <w:rsid w:val="007F0F49"/>
    <w:rsid w:val="007F157B"/>
    <w:rsid w:val="007F2C86"/>
    <w:rsid w:val="007F2D2D"/>
    <w:rsid w:val="007F5161"/>
    <w:rsid w:val="007F60FB"/>
    <w:rsid w:val="007F649D"/>
    <w:rsid w:val="007F6C77"/>
    <w:rsid w:val="007F7472"/>
    <w:rsid w:val="007F7CBC"/>
    <w:rsid w:val="007F7D40"/>
    <w:rsid w:val="00801319"/>
    <w:rsid w:val="00803DE6"/>
    <w:rsid w:val="0080415F"/>
    <w:rsid w:val="00804AF5"/>
    <w:rsid w:val="008058F7"/>
    <w:rsid w:val="0081037A"/>
    <w:rsid w:val="00810C93"/>
    <w:rsid w:val="00811ECD"/>
    <w:rsid w:val="008146EB"/>
    <w:rsid w:val="008156C4"/>
    <w:rsid w:val="00816CC6"/>
    <w:rsid w:val="00821476"/>
    <w:rsid w:val="008214F2"/>
    <w:rsid w:val="0082385B"/>
    <w:rsid w:val="00824911"/>
    <w:rsid w:val="0082524C"/>
    <w:rsid w:val="008306B8"/>
    <w:rsid w:val="00831E89"/>
    <w:rsid w:val="008322C5"/>
    <w:rsid w:val="008335D3"/>
    <w:rsid w:val="00833E90"/>
    <w:rsid w:val="008347D6"/>
    <w:rsid w:val="00834D4B"/>
    <w:rsid w:val="0083569E"/>
    <w:rsid w:val="00835926"/>
    <w:rsid w:val="008416AE"/>
    <w:rsid w:val="00843751"/>
    <w:rsid w:val="00843764"/>
    <w:rsid w:val="00843F17"/>
    <w:rsid w:val="00844342"/>
    <w:rsid w:val="00844F6F"/>
    <w:rsid w:val="008451C0"/>
    <w:rsid w:val="00846F8A"/>
    <w:rsid w:val="00851B3A"/>
    <w:rsid w:val="00851F1C"/>
    <w:rsid w:val="00852965"/>
    <w:rsid w:val="00854FC8"/>
    <w:rsid w:val="008552F0"/>
    <w:rsid w:val="00855854"/>
    <w:rsid w:val="00855E64"/>
    <w:rsid w:val="00861132"/>
    <w:rsid w:val="00861600"/>
    <w:rsid w:val="00861EE1"/>
    <w:rsid w:val="00862F1D"/>
    <w:rsid w:val="0086352B"/>
    <w:rsid w:val="00864154"/>
    <w:rsid w:val="00864B48"/>
    <w:rsid w:val="00864DDD"/>
    <w:rsid w:val="008706BD"/>
    <w:rsid w:val="00870861"/>
    <w:rsid w:val="00870C50"/>
    <w:rsid w:val="00871EAF"/>
    <w:rsid w:val="008739EA"/>
    <w:rsid w:val="0087498A"/>
    <w:rsid w:val="008773EE"/>
    <w:rsid w:val="008776D7"/>
    <w:rsid w:val="00881276"/>
    <w:rsid w:val="0088261F"/>
    <w:rsid w:val="00885B6E"/>
    <w:rsid w:val="00886DB6"/>
    <w:rsid w:val="00886FE7"/>
    <w:rsid w:val="00887ABC"/>
    <w:rsid w:val="008910BB"/>
    <w:rsid w:val="00891352"/>
    <w:rsid w:val="008928DF"/>
    <w:rsid w:val="00895DCB"/>
    <w:rsid w:val="0089740C"/>
    <w:rsid w:val="00897A4C"/>
    <w:rsid w:val="008A0868"/>
    <w:rsid w:val="008A0FDF"/>
    <w:rsid w:val="008A1EFB"/>
    <w:rsid w:val="008A20EF"/>
    <w:rsid w:val="008A2522"/>
    <w:rsid w:val="008A7DB3"/>
    <w:rsid w:val="008B35FA"/>
    <w:rsid w:val="008B3AA0"/>
    <w:rsid w:val="008B4956"/>
    <w:rsid w:val="008B5AFB"/>
    <w:rsid w:val="008B5D12"/>
    <w:rsid w:val="008B6C90"/>
    <w:rsid w:val="008B734C"/>
    <w:rsid w:val="008B73C4"/>
    <w:rsid w:val="008C07E7"/>
    <w:rsid w:val="008C0AC0"/>
    <w:rsid w:val="008C313B"/>
    <w:rsid w:val="008C6881"/>
    <w:rsid w:val="008D0005"/>
    <w:rsid w:val="008D116E"/>
    <w:rsid w:val="008D48D8"/>
    <w:rsid w:val="008D4D3E"/>
    <w:rsid w:val="008D618E"/>
    <w:rsid w:val="008D632B"/>
    <w:rsid w:val="008D6352"/>
    <w:rsid w:val="008D646D"/>
    <w:rsid w:val="008D6E68"/>
    <w:rsid w:val="008D7138"/>
    <w:rsid w:val="008E021E"/>
    <w:rsid w:val="008E0996"/>
    <w:rsid w:val="008E2D9A"/>
    <w:rsid w:val="008E3748"/>
    <w:rsid w:val="008E400B"/>
    <w:rsid w:val="008E4D0C"/>
    <w:rsid w:val="008E4E0E"/>
    <w:rsid w:val="008E5D93"/>
    <w:rsid w:val="008E694C"/>
    <w:rsid w:val="008E70EC"/>
    <w:rsid w:val="008E71CE"/>
    <w:rsid w:val="008F06BE"/>
    <w:rsid w:val="008F102B"/>
    <w:rsid w:val="008F22CD"/>
    <w:rsid w:val="008F2B34"/>
    <w:rsid w:val="008F45AF"/>
    <w:rsid w:val="008F55B4"/>
    <w:rsid w:val="00900B64"/>
    <w:rsid w:val="00901A05"/>
    <w:rsid w:val="00901F46"/>
    <w:rsid w:val="00904288"/>
    <w:rsid w:val="0090679A"/>
    <w:rsid w:val="00907352"/>
    <w:rsid w:val="00910284"/>
    <w:rsid w:val="00910EA5"/>
    <w:rsid w:val="00912C1C"/>
    <w:rsid w:val="00912D53"/>
    <w:rsid w:val="00912EA4"/>
    <w:rsid w:val="00913411"/>
    <w:rsid w:val="009144DB"/>
    <w:rsid w:val="00914700"/>
    <w:rsid w:val="00915E16"/>
    <w:rsid w:val="0091643E"/>
    <w:rsid w:val="00917510"/>
    <w:rsid w:val="00923B0F"/>
    <w:rsid w:val="00924DAA"/>
    <w:rsid w:val="00926E2F"/>
    <w:rsid w:val="00927A2C"/>
    <w:rsid w:val="009338C8"/>
    <w:rsid w:val="00936399"/>
    <w:rsid w:val="009376C2"/>
    <w:rsid w:val="00937A8E"/>
    <w:rsid w:val="00940AF7"/>
    <w:rsid w:val="00942075"/>
    <w:rsid w:val="00942255"/>
    <w:rsid w:val="00942668"/>
    <w:rsid w:val="0094502B"/>
    <w:rsid w:val="0094720D"/>
    <w:rsid w:val="00951167"/>
    <w:rsid w:val="00951821"/>
    <w:rsid w:val="009525B0"/>
    <w:rsid w:val="00952EF4"/>
    <w:rsid w:val="00953A3B"/>
    <w:rsid w:val="009549A5"/>
    <w:rsid w:val="00955002"/>
    <w:rsid w:val="00956C7A"/>
    <w:rsid w:val="009570CC"/>
    <w:rsid w:val="009575FC"/>
    <w:rsid w:val="009615A2"/>
    <w:rsid w:val="00961B7E"/>
    <w:rsid w:val="009623DF"/>
    <w:rsid w:val="00962F83"/>
    <w:rsid w:val="009651F9"/>
    <w:rsid w:val="00965833"/>
    <w:rsid w:val="009659CF"/>
    <w:rsid w:val="00967BD8"/>
    <w:rsid w:val="00967DFE"/>
    <w:rsid w:val="00970962"/>
    <w:rsid w:val="00971525"/>
    <w:rsid w:val="00971AF2"/>
    <w:rsid w:val="00972608"/>
    <w:rsid w:val="00976C79"/>
    <w:rsid w:val="00982DAD"/>
    <w:rsid w:val="00983CD2"/>
    <w:rsid w:val="009841F1"/>
    <w:rsid w:val="00985B0A"/>
    <w:rsid w:val="00985C01"/>
    <w:rsid w:val="00986307"/>
    <w:rsid w:val="00986D6C"/>
    <w:rsid w:val="00993173"/>
    <w:rsid w:val="00994874"/>
    <w:rsid w:val="009A063C"/>
    <w:rsid w:val="009A31AC"/>
    <w:rsid w:val="009A358C"/>
    <w:rsid w:val="009A5DBB"/>
    <w:rsid w:val="009A5FF8"/>
    <w:rsid w:val="009A6AD4"/>
    <w:rsid w:val="009B07D7"/>
    <w:rsid w:val="009B25F9"/>
    <w:rsid w:val="009B33CF"/>
    <w:rsid w:val="009B3D4C"/>
    <w:rsid w:val="009C066C"/>
    <w:rsid w:val="009C0F10"/>
    <w:rsid w:val="009C4543"/>
    <w:rsid w:val="009C49ED"/>
    <w:rsid w:val="009C7158"/>
    <w:rsid w:val="009C7CED"/>
    <w:rsid w:val="009D6A1D"/>
    <w:rsid w:val="009D7294"/>
    <w:rsid w:val="009D73B1"/>
    <w:rsid w:val="009E4C25"/>
    <w:rsid w:val="009E6550"/>
    <w:rsid w:val="009E6556"/>
    <w:rsid w:val="009F2211"/>
    <w:rsid w:val="009F3112"/>
    <w:rsid w:val="009F6682"/>
    <w:rsid w:val="009F6E82"/>
    <w:rsid w:val="009F7BF6"/>
    <w:rsid w:val="009F7EB9"/>
    <w:rsid w:val="00A002AA"/>
    <w:rsid w:val="00A0330C"/>
    <w:rsid w:val="00A03378"/>
    <w:rsid w:val="00A03A72"/>
    <w:rsid w:val="00A04E6E"/>
    <w:rsid w:val="00A0562B"/>
    <w:rsid w:val="00A06D95"/>
    <w:rsid w:val="00A06F94"/>
    <w:rsid w:val="00A06FF8"/>
    <w:rsid w:val="00A111B7"/>
    <w:rsid w:val="00A114B9"/>
    <w:rsid w:val="00A1164B"/>
    <w:rsid w:val="00A11A70"/>
    <w:rsid w:val="00A11B6E"/>
    <w:rsid w:val="00A136A4"/>
    <w:rsid w:val="00A1410C"/>
    <w:rsid w:val="00A15F46"/>
    <w:rsid w:val="00A1668A"/>
    <w:rsid w:val="00A167A2"/>
    <w:rsid w:val="00A203F2"/>
    <w:rsid w:val="00A20B5E"/>
    <w:rsid w:val="00A20F6C"/>
    <w:rsid w:val="00A22EF9"/>
    <w:rsid w:val="00A2324A"/>
    <w:rsid w:val="00A27772"/>
    <w:rsid w:val="00A27A3A"/>
    <w:rsid w:val="00A27CA8"/>
    <w:rsid w:val="00A31110"/>
    <w:rsid w:val="00A314B9"/>
    <w:rsid w:val="00A316FC"/>
    <w:rsid w:val="00A31D06"/>
    <w:rsid w:val="00A349D5"/>
    <w:rsid w:val="00A364EA"/>
    <w:rsid w:val="00A36ADD"/>
    <w:rsid w:val="00A36C5E"/>
    <w:rsid w:val="00A3750D"/>
    <w:rsid w:val="00A41285"/>
    <w:rsid w:val="00A414FB"/>
    <w:rsid w:val="00A429F6"/>
    <w:rsid w:val="00A439FC"/>
    <w:rsid w:val="00A46BC1"/>
    <w:rsid w:val="00A47ED2"/>
    <w:rsid w:val="00A50D43"/>
    <w:rsid w:val="00A52115"/>
    <w:rsid w:val="00A531D3"/>
    <w:rsid w:val="00A53789"/>
    <w:rsid w:val="00A55680"/>
    <w:rsid w:val="00A56639"/>
    <w:rsid w:val="00A601D3"/>
    <w:rsid w:val="00A6441D"/>
    <w:rsid w:val="00A652A1"/>
    <w:rsid w:val="00A656B4"/>
    <w:rsid w:val="00A65CC5"/>
    <w:rsid w:val="00A66CFF"/>
    <w:rsid w:val="00A70005"/>
    <w:rsid w:val="00A701CF"/>
    <w:rsid w:val="00A71CD3"/>
    <w:rsid w:val="00A72F4E"/>
    <w:rsid w:val="00A75CA8"/>
    <w:rsid w:val="00A77B34"/>
    <w:rsid w:val="00A8647A"/>
    <w:rsid w:val="00A878AA"/>
    <w:rsid w:val="00A878F4"/>
    <w:rsid w:val="00A91767"/>
    <w:rsid w:val="00A946A2"/>
    <w:rsid w:val="00A95C52"/>
    <w:rsid w:val="00AA0907"/>
    <w:rsid w:val="00AA23A4"/>
    <w:rsid w:val="00AA26E5"/>
    <w:rsid w:val="00AA3259"/>
    <w:rsid w:val="00AA3A6A"/>
    <w:rsid w:val="00AA4941"/>
    <w:rsid w:val="00AA4B5C"/>
    <w:rsid w:val="00AA5720"/>
    <w:rsid w:val="00AA6594"/>
    <w:rsid w:val="00AB0C39"/>
    <w:rsid w:val="00AB2026"/>
    <w:rsid w:val="00AB286E"/>
    <w:rsid w:val="00AC354D"/>
    <w:rsid w:val="00AC4855"/>
    <w:rsid w:val="00AC6618"/>
    <w:rsid w:val="00AD21D6"/>
    <w:rsid w:val="00AD441B"/>
    <w:rsid w:val="00AD7A61"/>
    <w:rsid w:val="00AE1192"/>
    <w:rsid w:val="00AE1E68"/>
    <w:rsid w:val="00AE2901"/>
    <w:rsid w:val="00AE3DED"/>
    <w:rsid w:val="00AE42E2"/>
    <w:rsid w:val="00AE49EC"/>
    <w:rsid w:val="00AE6309"/>
    <w:rsid w:val="00AE6A82"/>
    <w:rsid w:val="00AE78FA"/>
    <w:rsid w:val="00AF14B6"/>
    <w:rsid w:val="00AF2C64"/>
    <w:rsid w:val="00AF3C03"/>
    <w:rsid w:val="00AF44E9"/>
    <w:rsid w:val="00AF5A6F"/>
    <w:rsid w:val="00AF6286"/>
    <w:rsid w:val="00AF715C"/>
    <w:rsid w:val="00AF77A2"/>
    <w:rsid w:val="00AF77D7"/>
    <w:rsid w:val="00B01544"/>
    <w:rsid w:val="00B02847"/>
    <w:rsid w:val="00B03A1A"/>
    <w:rsid w:val="00B04AD5"/>
    <w:rsid w:val="00B0665C"/>
    <w:rsid w:val="00B066B1"/>
    <w:rsid w:val="00B12E1A"/>
    <w:rsid w:val="00B12EEB"/>
    <w:rsid w:val="00B13028"/>
    <w:rsid w:val="00B15394"/>
    <w:rsid w:val="00B16CD5"/>
    <w:rsid w:val="00B16E30"/>
    <w:rsid w:val="00B16FF6"/>
    <w:rsid w:val="00B208AA"/>
    <w:rsid w:val="00B2157B"/>
    <w:rsid w:val="00B222FA"/>
    <w:rsid w:val="00B22E04"/>
    <w:rsid w:val="00B23B51"/>
    <w:rsid w:val="00B246CA"/>
    <w:rsid w:val="00B2476A"/>
    <w:rsid w:val="00B24EC8"/>
    <w:rsid w:val="00B24F8D"/>
    <w:rsid w:val="00B3252F"/>
    <w:rsid w:val="00B328AA"/>
    <w:rsid w:val="00B33FD0"/>
    <w:rsid w:val="00B36E9F"/>
    <w:rsid w:val="00B37076"/>
    <w:rsid w:val="00B37179"/>
    <w:rsid w:val="00B37D20"/>
    <w:rsid w:val="00B4197C"/>
    <w:rsid w:val="00B42923"/>
    <w:rsid w:val="00B460B0"/>
    <w:rsid w:val="00B462E9"/>
    <w:rsid w:val="00B508ED"/>
    <w:rsid w:val="00B50FA4"/>
    <w:rsid w:val="00B52D43"/>
    <w:rsid w:val="00B54C14"/>
    <w:rsid w:val="00B54EEB"/>
    <w:rsid w:val="00B55586"/>
    <w:rsid w:val="00B60CF5"/>
    <w:rsid w:val="00B61D76"/>
    <w:rsid w:val="00B62AF4"/>
    <w:rsid w:val="00B638B5"/>
    <w:rsid w:val="00B676B3"/>
    <w:rsid w:val="00B677FB"/>
    <w:rsid w:val="00B71ED9"/>
    <w:rsid w:val="00B72222"/>
    <w:rsid w:val="00B73BD1"/>
    <w:rsid w:val="00B73C69"/>
    <w:rsid w:val="00B74F32"/>
    <w:rsid w:val="00B76299"/>
    <w:rsid w:val="00B772AC"/>
    <w:rsid w:val="00B801E6"/>
    <w:rsid w:val="00B80C74"/>
    <w:rsid w:val="00B8324B"/>
    <w:rsid w:val="00B85640"/>
    <w:rsid w:val="00B8697A"/>
    <w:rsid w:val="00B87F9B"/>
    <w:rsid w:val="00B90E96"/>
    <w:rsid w:val="00B94395"/>
    <w:rsid w:val="00B957AD"/>
    <w:rsid w:val="00B95831"/>
    <w:rsid w:val="00B95AE0"/>
    <w:rsid w:val="00B96922"/>
    <w:rsid w:val="00BA2B4C"/>
    <w:rsid w:val="00BA5751"/>
    <w:rsid w:val="00BA59E7"/>
    <w:rsid w:val="00BA6602"/>
    <w:rsid w:val="00BA6998"/>
    <w:rsid w:val="00BA69AE"/>
    <w:rsid w:val="00BB011E"/>
    <w:rsid w:val="00BB13EA"/>
    <w:rsid w:val="00BB1497"/>
    <w:rsid w:val="00BB24D2"/>
    <w:rsid w:val="00BB3039"/>
    <w:rsid w:val="00BB4634"/>
    <w:rsid w:val="00BB7DB9"/>
    <w:rsid w:val="00BC032A"/>
    <w:rsid w:val="00BC157C"/>
    <w:rsid w:val="00BC16F9"/>
    <w:rsid w:val="00BC2309"/>
    <w:rsid w:val="00BC5300"/>
    <w:rsid w:val="00BC5B46"/>
    <w:rsid w:val="00BD193F"/>
    <w:rsid w:val="00BD1AE0"/>
    <w:rsid w:val="00BD1CB8"/>
    <w:rsid w:val="00BD2A6F"/>
    <w:rsid w:val="00BD3999"/>
    <w:rsid w:val="00BD4F73"/>
    <w:rsid w:val="00BD51D0"/>
    <w:rsid w:val="00BD791F"/>
    <w:rsid w:val="00BE5CB6"/>
    <w:rsid w:val="00BE678A"/>
    <w:rsid w:val="00BE768D"/>
    <w:rsid w:val="00BF0346"/>
    <w:rsid w:val="00BF0BB0"/>
    <w:rsid w:val="00BF0C34"/>
    <w:rsid w:val="00BF2123"/>
    <w:rsid w:val="00BF36BB"/>
    <w:rsid w:val="00BF3B1A"/>
    <w:rsid w:val="00BF42CA"/>
    <w:rsid w:val="00BF6334"/>
    <w:rsid w:val="00BF716F"/>
    <w:rsid w:val="00C028E5"/>
    <w:rsid w:val="00C04C6C"/>
    <w:rsid w:val="00C054F0"/>
    <w:rsid w:val="00C0565D"/>
    <w:rsid w:val="00C1026A"/>
    <w:rsid w:val="00C1178F"/>
    <w:rsid w:val="00C11CE3"/>
    <w:rsid w:val="00C11DFF"/>
    <w:rsid w:val="00C12C9D"/>
    <w:rsid w:val="00C13391"/>
    <w:rsid w:val="00C14348"/>
    <w:rsid w:val="00C15665"/>
    <w:rsid w:val="00C1795B"/>
    <w:rsid w:val="00C225BC"/>
    <w:rsid w:val="00C23A9B"/>
    <w:rsid w:val="00C24AB5"/>
    <w:rsid w:val="00C25E38"/>
    <w:rsid w:val="00C25EAA"/>
    <w:rsid w:val="00C26195"/>
    <w:rsid w:val="00C3017D"/>
    <w:rsid w:val="00C31BC9"/>
    <w:rsid w:val="00C33FE2"/>
    <w:rsid w:val="00C34123"/>
    <w:rsid w:val="00C36AE3"/>
    <w:rsid w:val="00C376FD"/>
    <w:rsid w:val="00C401A0"/>
    <w:rsid w:val="00C40C50"/>
    <w:rsid w:val="00C41786"/>
    <w:rsid w:val="00C41A57"/>
    <w:rsid w:val="00C422C9"/>
    <w:rsid w:val="00C43814"/>
    <w:rsid w:val="00C44D15"/>
    <w:rsid w:val="00C454B3"/>
    <w:rsid w:val="00C501A6"/>
    <w:rsid w:val="00C523EB"/>
    <w:rsid w:val="00C54471"/>
    <w:rsid w:val="00C54E73"/>
    <w:rsid w:val="00C5564A"/>
    <w:rsid w:val="00C6163C"/>
    <w:rsid w:val="00C62E91"/>
    <w:rsid w:val="00C66EB5"/>
    <w:rsid w:val="00C701E0"/>
    <w:rsid w:val="00C73EC6"/>
    <w:rsid w:val="00C76CF6"/>
    <w:rsid w:val="00C80C2E"/>
    <w:rsid w:val="00C80FB0"/>
    <w:rsid w:val="00C8171F"/>
    <w:rsid w:val="00C83F3E"/>
    <w:rsid w:val="00C84535"/>
    <w:rsid w:val="00C84884"/>
    <w:rsid w:val="00C84B45"/>
    <w:rsid w:val="00C86124"/>
    <w:rsid w:val="00C864CA"/>
    <w:rsid w:val="00C86A4E"/>
    <w:rsid w:val="00C90AC6"/>
    <w:rsid w:val="00C93897"/>
    <w:rsid w:val="00C93FD3"/>
    <w:rsid w:val="00C95059"/>
    <w:rsid w:val="00C95F97"/>
    <w:rsid w:val="00CA0189"/>
    <w:rsid w:val="00CA0F83"/>
    <w:rsid w:val="00CA3D37"/>
    <w:rsid w:val="00CA4115"/>
    <w:rsid w:val="00CA46D1"/>
    <w:rsid w:val="00CA4C29"/>
    <w:rsid w:val="00CA7E29"/>
    <w:rsid w:val="00CB3435"/>
    <w:rsid w:val="00CB47A4"/>
    <w:rsid w:val="00CB4CD8"/>
    <w:rsid w:val="00CB5B83"/>
    <w:rsid w:val="00CB7FB1"/>
    <w:rsid w:val="00CC0F50"/>
    <w:rsid w:val="00CC1558"/>
    <w:rsid w:val="00CC17A0"/>
    <w:rsid w:val="00CC1A0C"/>
    <w:rsid w:val="00CC1A56"/>
    <w:rsid w:val="00CC27DB"/>
    <w:rsid w:val="00CC2ABD"/>
    <w:rsid w:val="00CC3123"/>
    <w:rsid w:val="00CC3B17"/>
    <w:rsid w:val="00CC6588"/>
    <w:rsid w:val="00CC6F28"/>
    <w:rsid w:val="00CC739A"/>
    <w:rsid w:val="00CD00E5"/>
    <w:rsid w:val="00CD29C6"/>
    <w:rsid w:val="00CD3773"/>
    <w:rsid w:val="00CD38BE"/>
    <w:rsid w:val="00CD462A"/>
    <w:rsid w:val="00CD5E41"/>
    <w:rsid w:val="00CD6C22"/>
    <w:rsid w:val="00CE0242"/>
    <w:rsid w:val="00CE049D"/>
    <w:rsid w:val="00CE1D23"/>
    <w:rsid w:val="00CE2B01"/>
    <w:rsid w:val="00CE3E96"/>
    <w:rsid w:val="00CE7912"/>
    <w:rsid w:val="00CF4689"/>
    <w:rsid w:val="00CF469B"/>
    <w:rsid w:val="00CF7D1C"/>
    <w:rsid w:val="00D00F8E"/>
    <w:rsid w:val="00D01C0E"/>
    <w:rsid w:val="00D01C9B"/>
    <w:rsid w:val="00D035E0"/>
    <w:rsid w:val="00D03609"/>
    <w:rsid w:val="00D07EC8"/>
    <w:rsid w:val="00D117BA"/>
    <w:rsid w:val="00D11D0A"/>
    <w:rsid w:val="00D12331"/>
    <w:rsid w:val="00D14483"/>
    <w:rsid w:val="00D1525F"/>
    <w:rsid w:val="00D17435"/>
    <w:rsid w:val="00D17D39"/>
    <w:rsid w:val="00D20491"/>
    <w:rsid w:val="00D2146A"/>
    <w:rsid w:val="00D24E3A"/>
    <w:rsid w:val="00D261B1"/>
    <w:rsid w:val="00D26A52"/>
    <w:rsid w:val="00D30D5B"/>
    <w:rsid w:val="00D324B0"/>
    <w:rsid w:val="00D32ED2"/>
    <w:rsid w:val="00D3483B"/>
    <w:rsid w:val="00D34A78"/>
    <w:rsid w:val="00D355BE"/>
    <w:rsid w:val="00D35C59"/>
    <w:rsid w:val="00D41D14"/>
    <w:rsid w:val="00D42C56"/>
    <w:rsid w:val="00D42DB8"/>
    <w:rsid w:val="00D43177"/>
    <w:rsid w:val="00D43C27"/>
    <w:rsid w:val="00D44E22"/>
    <w:rsid w:val="00D45BC8"/>
    <w:rsid w:val="00D46AC6"/>
    <w:rsid w:val="00D50908"/>
    <w:rsid w:val="00D514B6"/>
    <w:rsid w:val="00D528F4"/>
    <w:rsid w:val="00D54AF4"/>
    <w:rsid w:val="00D561C4"/>
    <w:rsid w:val="00D6160F"/>
    <w:rsid w:val="00D62389"/>
    <w:rsid w:val="00D6255B"/>
    <w:rsid w:val="00D6294B"/>
    <w:rsid w:val="00D636FC"/>
    <w:rsid w:val="00D65F66"/>
    <w:rsid w:val="00D6604B"/>
    <w:rsid w:val="00D66E1C"/>
    <w:rsid w:val="00D706E5"/>
    <w:rsid w:val="00D71088"/>
    <w:rsid w:val="00D71141"/>
    <w:rsid w:val="00D728B1"/>
    <w:rsid w:val="00D72BE1"/>
    <w:rsid w:val="00D72E78"/>
    <w:rsid w:val="00D73FA6"/>
    <w:rsid w:val="00D778E9"/>
    <w:rsid w:val="00D816F1"/>
    <w:rsid w:val="00D81CC5"/>
    <w:rsid w:val="00D82833"/>
    <w:rsid w:val="00D82DCC"/>
    <w:rsid w:val="00D840DE"/>
    <w:rsid w:val="00D84B33"/>
    <w:rsid w:val="00D85043"/>
    <w:rsid w:val="00D864C1"/>
    <w:rsid w:val="00D86D55"/>
    <w:rsid w:val="00D86F92"/>
    <w:rsid w:val="00D874AC"/>
    <w:rsid w:val="00D8767A"/>
    <w:rsid w:val="00D87BD6"/>
    <w:rsid w:val="00D9022A"/>
    <w:rsid w:val="00D90D7A"/>
    <w:rsid w:val="00D91B63"/>
    <w:rsid w:val="00D91D4E"/>
    <w:rsid w:val="00D92E4C"/>
    <w:rsid w:val="00D93E74"/>
    <w:rsid w:val="00D94349"/>
    <w:rsid w:val="00D94630"/>
    <w:rsid w:val="00D955D1"/>
    <w:rsid w:val="00D95C48"/>
    <w:rsid w:val="00D95E11"/>
    <w:rsid w:val="00D96146"/>
    <w:rsid w:val="00D96E38"/>
    <w:rsid w:val="00DA159B"/>
    <w:rsid w:val="00DA1F12"/>
    <w:rsid w:val="00DA4EB8"/>
    <w:rsid w:val="00DA7371"/>
    <w:rsid w:val="00DB1806"/>
    <w:rsid w:val="00DB26A6"/>
    <w:rsid w:val="00DB2EAF"/>
    <w:rsid w:val="00DB53DE"/>
    <w:rsid w:val="00DB67DA"/>
    <w:rsid w:val="00DB7029"/>
    <w:rsid w:val="00DC0233"/>
    <w:rsid w:val="00DC1327"/>
    <w:rsid w:val="00DC4940"/>
    <w:rsid w:val="00DC5207"/>
    <w:rsid w:val="00DC6FBF"/>
    <w:rsid w:val="00DC7A29"/>
    <w:rsid w:val="00DC7EE1"/>
    <w:rsid w:val="00DD03D0"/>
    <w:rsid w:val="00DD333D"/>
    <w:rsid w:val="00DD5B53"/>
    <w:rsid w:val="00DE32F5"/>
    <w:rsid w:val="00DE391D"/>
    <w:rsid w:val="00DE39C9"/>
    <w:rsid w:val="00DE755C"/>
    <w:rsid w:val="00DE7AFC"/>
    <w:rsid w:val="00DF12C0"/>
    <w:rsid w:val="00DF47DF"/>
    <w:rsid w:val="00DF7D0B"/>
    <w:rsid w:val="00E01394"/>
    <w:rsid w:val="00E01C7C"/>
    <w:rsid w:val="00E02487"/>
    <w:rsid w:val="00E03353"/>
    <w:rsid w:val="00E0475F"/>
    <w:rsid w:val="00E056D2"/>
    <w:rsid w:val="00E05972"/>
    <w:rsid w:val="00E07DD3"/>
    <w:rsid w:val="00E07E0F"/>
    <w:rsid w:val="00E10F62"/>
    <w:rsid w:val="00E15574"/>
    <w:rsid w:val="00E164E4"/>
    <w:rsid w:val="00E177F3"/>
    <w:rsid w:val="00E2064F"/>
    <w:rsid w:val="00E21611"/>
    <w:rsid w:val="00E22404"/>
    <w:rsid w:val="00E23831"/>
    <w:rsid w:val="00E24671"/>
    <w:rsid w:val="00E24A20"/>
    <w:rsid w:val="00E24DA8"/>
    <w:rsid w:val="00E24DCA"/>
    <w:rsid w:val="00E25C3F"/>
    <w:rsid w:val="00E26319"/>
    <w:rsid w:val="00E26B67"/>
    <w:rsid w:val="00E26EA4"/>
    <w:rsid w:val="00E26F7E"/>
    <w:rsid w:val="00E303BD"/>
    <w:rsid w:val="00E305A0"/>
    <w:rsid w:val="00E32EF7"/>
    <w:rsid w:val="00E35D00"/>
    <w:rsid w:val="00E36951"/>
    <w:rsid w:val="00E36B65"/>
    <w:rsid w:val="00E37986"/>
    <w:rsid w:val="00E40068"/>
    <w:rsid w:val="00E42BE4"/>
    <w:rsid w:val="00E42E67"/>
    <w:rsid w:val="00E449F6"/>
    <w:rsid w:val="00E452BF"/>
    <w:rsid w:val="00E53691"/>
    <w:rsid w:val="00E552A1"/>
    <w:rsid w:val="00E5610F"/>
    <w:rsid w:val="00E57E3D"/>
    <w:rsid w:val="00E60823"/>
    <w:rsid w:val="00E60BC5"/>
    <w:rsid w:val="00E614E4"/>
    <w:rsid w:val="00E61743"/>
    <w:rsid w:val="00E64505"/>
    <w:rsid w:val="00E651E8"/>
    <w:rsid w:val="00E66349"/>
    <w:rsid w:val="00E67DCE"/>
    <w:rsid w:val="00E714A6"/>
    <w:rsid w:val="00E733B2"/>
    <w:rsid w:val="00E742FF"/>
    <w:rsid w:val="00E74BEB"/>
    <w:rsid w:val="00E75D90"/>
    <w:rsid w:val="00E76831"/>
    <w:rsid w:val="00E77BD4"/>
    <w:rsid w:val="00E8266E"/>
    <w:rsid w:val="00E82844"/>
    <w:rsid w:val="00E83FEB"/>
    <w:rsid w:val="00E85F5A"/>
    <w:rsid w:val="00E86035"/>
    <w:rsid w:val="00E860C6"/>
    <w:rsid w:val="00E879C6"/>
    <w:rsid w:val="00E92824"/>
    <w:rsid w:val="00E9398A"/>
    <w:rsid w:val="00E972C6"/>
    <w:rsid w:val="00EA134E"/>
    <w:rsid w:val="00EA1526"/>
    <w:rsid w:val="00EA24DD"/>
    <w:rsid w:val="00EA278C"/>
    <w:rsid w:val="00EA405B"/>
    <w:rsid w:val="00EA45F1"/>
    <w:rsid w:val="00EA7C59"/>
    <w:rsid w:val="00EB07FB"/>
    <w:rsid w:val="00EB0FA5"/>
    <w:rsid w:val="00EB3D3C"/>
    <w:rsid w:val="00EB4274"/>
    <w:rsid w:val="00EB437A"/>
    <w:rsid w:val="00EB6451"/>
    <w:rsid w:val="00EB7727"/>
    <w:rsid w:val="00EB7D05"/>
    <w:rsid w:val="00EC1678"/>
    <w:rsid w:val="00EC207E"/>
    <w:rsid w:val="00EC2A30"/>
    <w:rsid w:val="00EC354D"/>
    <w:rsid w:val="00EC3C45"/>
    <w:rsid w:val="00EC5AAC"/>
    <w:rsid w:val="00EC63C7"/>
    <w:rsid w:val="00EC71E7"/>
    <w:rsid w:val="00ED158D"/>
    <w:rsid w:val="00ED2718"/>
    <w:rsid w:val="00ED35BC"/>
    <w:rsid w:val="00ED3963"/>
    <w:rsid w:val="00ED6549"/>
    <w:rsid w:val="00ED78C3"/>
    <w:rsid w:val="00ED79E8"/>
    <w:rsid w:val="00EE4E73"/>
    <w:rsid w:val="00EE6275"/>
    <w:rsid w:val="00EE70F2"/>
    <w:rsid w:val="00EE7A50"/>
    <w:rsid w:val="00EF3B51"/>
    <w:rsid w:val="00EF59A6"/>
    <w:rsid w:val="00F00E7D"/>
    <w:rsid w:val="00F012B3"/>
    <w:rsid w:val="00F01696"/>
    <w:rsid w:val="00F03434"/>
    <w:rsid w:val="00F03E20"/>
    <w:rsid w:val="00F07F9F"/>
    <w:rsid w:val="00F07FD6"/>
    <w:rsid w:val="00F101B8"/>
    <w:rsid w:val="00F124E5"/>
    <w:rsid w:val="00F149A7"/>
    <w:rsid w:val="00F14BD3"/>
    <w:rsid w:val="00F17C34"/>
    <w:rsid w:val="00F2068E"/>
    <w:rsid w:val="00F20C25"/>
    <w:rsid w:val="00F22CC2"/>
    <w:rsid w:val="00F238F2"/>
    <w:rsid w:val="00F27626"/>
    <w:rsid w:val="00F315DF"/>
    <w:rsid w:val="00F31F32"/>
    <w:rsid w:val="00F3214E"/>
    <w:rsid w:val="00F33BEB"/>
    <w:rsid w:val="00F34292"/>
    <w:rsid w:val="00F355DA"/>
    <w:rsid w:val="00F35851"/>
    <w:rsid w:val="00F37CF0"/>
    <w:rsid w:val="00F4037E"/>
    <w:rsid w:val="00F41657"/>
    <w:rsid w:val="00F42979"/>
    <w:rsid w:val="00F440D4"/>
    <w:rsid w:val="00F44364"/>
    <w:rsid w:val="00F470ED"/>
    <w:rsid w:val="00F4786D"/>
    <w:rsid w:val="00F47C57"/>
    <w:rsid w:val="00F503EE"/>
    <w:rsid w:val="00F507A9"/>
    <w:rsid w:val="00F5228A"/>
    <w:rsid w:val="00F52FB8"/>
    <w:rsid w:val="00F55714"/>
    <w:rsid w:val="00F55C37"/>
    <w:rsid w:val="00F55EA9"/>
    <w:rsid w:val="00F56E90"/>
    <w:rsid w:val="00F571AD"/>
    <w:rsid w:val="00F576AA"/>
    <w:rsid w:val="00F60031"/>
    <w:rsid w:val="00F61754"/>
    <w:rsid w:val="00F61C84"/>
    <w:rsid w:val="00F62867"/>
    <w:rsid w:val="00F63D4B"/>
    <w:rsid w:val="00F640DB"/>
    <w:rsid w:val="00F65B02"/>
    <w:rsid w:val="00F66F42"/>
    <w:rsid w:val="00F67F45"/>
    <w:rsid w:val="00F70766"/>
    <w:rsid w:val="00F71319"/>
    <w:rsid w:val="00F717F0"/>
    <w:rsid w:val="00F71951"/>
    <w:rsid w:val="00F74654"/>
    <w:rsid w:val="00F77E64"/>
    <w:rsid w:val="00F80397"/>
    <w:rsid w:val="00F81006"/>
    <w:rsid w:val="00F81A87"/>
    <w:rsid w:val="00F81BE2"/>
    <w:rsid w:val="00F861D5"/>
    <w:rsid w:val="00F874ED"/>
    <w:rsid w:val="00F90CD8"/>
    <w:rsid w:val="00F937A7"/>
    <w:rsid w:val="00F96346"/>
    <w:rsid w:val="00FA054F"/>
    <w:rsid w:val="00FA38DC"/>
    <w:rsid w:val="00FA4FBE"/>
    <w:rsid w:val="00FA5A74"/>
    <w:rsid w:val="00FA6D56"/>
    <w:rsid w:val="00FB065E"/>
    <w:rsid w:val="00FB08E9"/>
    <w:rsid w:val="00FB0EF2"/>
    <w:rsid w:val="00FB1B9E"/>
    <w:rsid w:val="00FB29C8"/>
    <w:rsid w:val="00FB3E85"/>
    <w:rsid w:val="00FC16AF"/>
    <w:rsid w:val="00FC31B0"/>
    <w:rsid w:val="00FC4709"/>
    <w:rsid w:val="00FC4D63"/>
    <w:rsid w:val="00FC4E28"/>
    <w:rsid w:val="00FC57E8"/>
    <w:rsid w:val="00FC5D1F"/>
    <w:rsid w:val="00FC6AA2"/>
    <w:rsid w:val="00FC6F58"/>
    <w:rsid w:val="00FC6FC8"/>
    <w:rsid w:val="00FC6FE2"/>
    <w:rsid w:val="00FC73D6"/>
    <w:rsid w:val="00FC7EC8"/>
    <w:rsid w:val="00FC7FF7"/>
    <w:rsid w:val="00FD0BA9"/>
    <w:rsid w:val="00FD2A04"/>
    <w:rsid w:val="00FD3A0D"/>
    <w:rsid w:val="00FD3BEC"/>
    <w:rsid w:val="00FD3EF1"/>
    <w:rsid w:val="00FD47FE"/>
    <w:rsid w:val="00FD575C"/>
    <w:rsid w:val="00FD6F33"/>
    <w:rsid w:val="00FE0A42"/>
    <w:rsid w:val="00FE37C0"/>
    <w:rsid w:val="00FE4255"/>
    <w:rsid w:val="00FE691F"/>
    <w:rsid w:val="00FE71F1"/>
    <w:rsid w:val="00FE722E"/>
    <w:rsid w:val="00FF05EA"/>
    <w:rsid w:val="00FF128E"/>
    <w:rsid w:val="00FF1696"/>
    <w:rsid w:val="00FF17A1"/>
    <w:rsid w:val="00FF2C63"/>
    <w:rsid w:val="00FF45B5"/>
    <w:rsid w:val="00FF45E5"/>
    <w:rsid w:val="00FF5886"/>
    <w:rsid w:val="00FF6210"/>
    <w:rsid w:val="00FF761D"/>
    <w:rsid w:val="00FF7648"/>
    <w:rsid w:val="00FF7CC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D5E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rPr>
      <w:lang w:val="es-ES_tradnl"/>
    </w:rPr>
  </w:style>
  <w:style w:type="paragraph" w:styleId="Heading1">
    <w:name w:val="heading 1"/>
    <w:basedOn w:val="Normal"/>
    <w:next w:val="Normal"/>
    <w:link w:val="Heading1Char"/>
    <w:uiPriority w:val="9"/>
    <w:qFormat/>
    <w:rsid w:val="005D5CF9"/>
    <w:pPr>
      <w:keepNext/>
      <w:spacing w:before="240" w:after="60" w:line="276" w:lineRule="auto"/>
      <w:jc w:val="center"/>
      <w:outlineLvl w:val="0"/>
    </w:pPr>
    <w:rPr>
      <w:rFonts w:ascii="Verdana Bold" w:eastAsia="Times New Roman" w:hAnsi="Verdana Bold"/>
      <w:b/>
      <w:bCs/>
      <w:caps/>
      <w:kern w:val="32"/>
      <w:szCs w:val="32"/>
    </w:rPr>
  </w:style>
  <w:style w:type="paragraph" w:styleId="Heading2">
    <w:name w:val="heading 2"/>
    <w:basedOn w:val="Normal"/>
    <w:next w:val="Normal"/>
    <w:link w:val="Heading2Char"/>
    <w:uiPriority w:val="9"/>
    <w:unhideWhenUsed/>
    <w:qFormat/>
    <w:rsid w:val="005D5CF9"/>
    <w:pPr>
      <w:keepNext/>
      <w:spacing w:before="240" w:after="60" w:line="276" w:lineRule="auto"/>
      <w:jc w:val="both"/>
      <w:outlineLvl w:val="1"/>
    </w:pPr>
    <w:rPr>
      <w:rFonts w:ascii="Verdana" w:eastAsia="Times New Roman" w:hAnsi="Verdana"/>
      <w:b/>
      <w:bCs/>
      <w:i/>
      <w:iCs/>
      <w:szCs w:val="28"/>
    </w:rPr>
  </w:style>
  <w:style w:type="paragraph" w:styleId="Heading3">
    <w:name w:val="heading 3"/>
    <w:basedOn w:val="Normal"/>
    <w:next w:val="Normal"/>
    <w:link w:val="Heading3Char"/>
    <w:uiPriority w:val="9"/>
    <w:semiHidden/>
    <w:unhideWhenUsed/>
    <w:qFormat/>
    <w:rsid w:val="005D5CF9"/>
    <w:pPr>
      <w:keepNext/>
      <w:spacing w:before="240" w:after="60" w:line="276" w:lineRule="auto"/>
      <w:outlineLvl w:val="2"/>
    </w:pPr>
    <w:rPr>
      <w:rFonts w:ascii="Cambria" w:eastAsia="Times New Roman" w:hAnsi="Cambria"/>
      <w:b/>
      <w:bCs/>
      <w:sz w:val="26"/>
      <w:szCs w:val="26"/>
    </w:rPr>
  </w:style>
  <w:style w:type="paragraph" w:styleId="Heading5">
    <w:name w:val="heading 5"/>
    <w:basedOn w:val="Normal"/>
    <w:next w:val="Normal"/>
    <w:link w:val="Heading5Char"/>
    <w:qFormat/>
    <w:rsid w:val="005D5CF9"/>
    <w:pPr>
      <w:spacing w:before="240" w:after="60"/>
      <w:outlineLvl w:val="4"/>
    </w:pPr>
    <w:rPr>
      <w:rFonts w:ascii="Verdana" w:eastAsia="Times New Roman" w:hAnsi="Verdana"/>
      <w:b/>
      <w:i/>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delibro">
    <w:name w:val="Título de libro"/>
    <w:uiPriority w:val="33"/>
    <w:qFormat/>
    <w:rsid w:val="005D5CF9"/>
    <w:rPr>
      <w:b/>
      <w:bCs/>
      <w:smallCaps/>
      <w:spacing w:val="5"/>
    </w:rPr>
  </w:style>
  <w:style w:type="paragraph" w:customStyle="1" w:styleId="Estilo1">
    <w:name w:val="Estilo1"/>
    <w:basedOn w:val="Normal"/>
    <w:link w:val="Estilo1Car"/>
    <w:qFormat/>
    <w:rsid w:val="005D5CF9"/>
    <w:pPr>
      <w:spacing w:after="120"/>
      <w:ind w:left="2018" w:right="6" w:hanging="180"/>
      <w:jc w:val="both"/>
    </w:pPr>
    <w:rPr>
      <w:rFonts w:ascii="Verdana" w:eastAsia="Batang" w:hAnsi="Verdana" w:cs="Times"/>
      <w:i/>
      <w:noProof/>
      <w:szCs w:val="24"/>
      <w:lang w:eastAsia="en-US"/>
    </w:rPr>
  </w:style>
  <w:style w:type="character" w:customStyle="1" w:styleId="Estilo1Car">
    <w:name w:val="Estilo1 Car"/>
    <w:link w:val="Estilo1"/>
    <w:rsid w:val="005D5CF9"/>
    <w:rPr>
      <w:rFonts w:ascii="Verdana" w:eastAsia="Batang" w:hAnsi="Verdana" w:cs="Times"/>
      <w:i/>
      <w:noProof/>
      <w:szCs w:val="24"/>
      <w:lang w:val="es-ES_tradnl" w:eastAsia="en-US"/>
    </w:rPr>
  </w:style>
  <w:style w:type="character" w:customStyle="1" w:styleId="Heading1Char">
    <w:name w:val="Heading 1 Char"/>
    <w:link w:val="Heading1"/>
    <w:uiPriority w:val="9"/>
    <w:rsid w:val="005D5CF9"/>
    <w:rPr>
      <w:rFonts w:ascii="Verdana Bold" w:eastAsia="Times New Roman" w:hAnsi="Verdana Bold"/>
      <w:b/>
      <w:bCs/>
      <w:caps/>
      <w:kern w:val="32"/>
      <w:szCs w:val="32"/>
    </w:rPr>
  </w:style>
  <w:style w:type="character" w:customStyle="1" w:styleId="Heading2Char">
    <w:name w:val="Heading 2 Char"/>
    <w:link w:val="Heading2"/>
    <w:uiPriority w:val="9"/>
    <w:rsid w:val="005D5CF9"/>
    <w:rPr>
      <w:rFonts w:ascii="Verdana" w:eastAsia="Times New Roman" w:hAnsi="Verdana"/>
      <w:b/>
      <w:bCs/>
      <w:i/>
      <w:iCs/>
      <w:szCs w:val="28"/>
    </w:rPr>
  </w:style>
  <w:style w:type="character" w:customStyle="1" w:styleId="Heading3Char">
    <w:name w:val="Heading 3 Char"/>
    <w:link w:val="Heading3"/>
    <w:uiPriority w:val="9"/>
    <w:semiHidden/>
    <w:rsid w:val="005D5CF9"/>
    <w:rPr>
      <w:rFonts w:ascii="Cambria" w:eastAsia="Times New Roman" w:hAnsi="Cambria"/>
      <w:b/>
      <w:bCs/>
      <w:sz w:val="26"/>
      <w:szCs w:val="26"/>
    </w:rPr>
  </w:style>
  <w:style w:type="character" w:customStyle="1" w:styleId="Heading5Char">
    <w:name w:val="Heading 5 Char"/>
    <w:link w:val="Heading5"/>
    <w:rsid w:val="005D5CF9"/>
    <w:rPr>
      <w:rFonts w:ascii="Verdana" w:eastAsia="Times New Roman" w:hAnsi="Verdana"/>
      <w:b/>
      <w:i/>
      <w:szCs w:val="26"/>
      <w:lang w:eastAsia="x-none"/>
    </w:rPr>
  </w:style>
  <w:style w:type="paragraph" w:styleId="FootnoteText">
    <w:name w:val="footnote text"/>
    <w:aliases w:val="Footnote Text Char Char Char Char Char,Footnote Text Char Char Char Char,Footnote reference,FA Fu,Footnote Text Char Char Char,footnote text,Footnote Text Cha,FA Fußnotentext,FA Fuﬂnotentext,Texto nota pie Car,Footnote Text Char Char,Car"/>
    <w:basedOn w:val="Normal"/>
    <w:link w:val="FootnoteTextChar"/>
    <w:qFormat/>
    <w:rsid w:val="005D5CF9"/>
    <w:rPr>
      <w:rFonts w:ascii="Times New Roman" w:eastAsia="Times New Roman" w:hAnsi="Times New Roman"/>
      <w:lang w:val="es-MX"/>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r,Footnote Text Cha Char,FA Fußnotentext Char,Car Char"/>
    <w:link w:val="FootnoteText"/>
    <w:qFormat/>
    <w:rsid w:val="005D5CF9"/>
    <w:rPr>
      <w:rFonts w:ascii="Times New Roman" w:eastAsia="Times New Roman" w:hAnsi="Times New Roman"/>
      <w:lang w:val="es-MX"/>
    </w:rPr>
  </w:style>
  <w:style w:type="paragraph" w:styleId="Title">
    <w:name w:val="Title"/>
    <w:basedOn w:val="Normal"/>
    <w:link w:val="TitleChar"/>
    <w:uiPriority w:val="99"/>
    <w:qFormat/>
    <w:rsid w:val="005D5CF9"/>
    <w:pPr>
      <w:spacing w:before="60" w:after="60"/>
      <w:jc w:val="center"/>
    </w:pPr>
    <w:rPr>
      <w:rFonts w:ascii="Verdana" w:eastAsia="Times New Roman" w:hAnsi="Verdana"/>
      <w:b/>
      <w:lang w:eastAsia="en-US"/>
    </w:rPr>
  </w:style>
  <w:style w:type="character" w:customStyle="1" w:styleId="TitleChar">
    <w:name w:val="Title Char"/>
    <w:link w:val="Title"/>
    <w:uiPriority w:val="99"/>
    <w:rsid w:val="005D5CF9"/>
    <w:rPr>
      <w:rFonts w:ascii="Verdana" w:eastAsia="Times New Roman" w:hAnsi="Verdana"/>
      <w:b/>
      <w:lang w:val="es-ES_tradnl" w:eastAsia="en-US"/>
    </w:rPr>
  </w:style>
  <w:style w:type="paragraph" w:styleId="Subtitle">
    <w:name w:val="Subtitle"/>
    <w:basedOn w:val="Normal"/>
    <w:next w:val="Normal"/>
    <w:link w:val="SubtitleChar"/>
    <w:qFormat/>
    <w:rsid w:val="005D5CF9"/>
    <w:pPr>
      <w:numPr>
        <w:ilvl w:val="1"/>
      </w:numPr>
      <w:spacing w:before="60" w:after="60"/>
      <w:jc w:val="center"/>
    </w:pPr>
    <w:rPr>
      <w:rFonts w:ascii="Verdana" w:eastAsia="Times New Roman" w:hAnsi="Verdana"/>
      <w:b/>
      <w:i/>
      <w:iCs/>
      <w:spacing w:val="15"/>
      <w:szCs w:val="24"/>
      <w:lang w:eastAsia="en-US"/>
    </w:rPr>
  </w:style>
  <w:style w:type="character" w:customStyle="1" w:styleId="SubtitleChar">
    <w:name w:val="Subtitle Char"/>
    <w:link w:val="Subtitle"/>
    <w:rsid w:val="005D5CF9"/>
    <w:rPr>
      <w:rFonts w:ascii="Verdana" w:eastAsia="Times New Roman" w:hAnsi="Verdana"/>
      <w:b/>
      <w:i/>
      <w:iCs/>
      <w:spacing w:val="15"/>
      <w:szCs w:val="24"/>
      <w:lang w:val="es-ES_tradnl" w:eastAsia="en-US"/>
    </w:rPr>
  </w:style>
  <w:style w:type="character" w:styleId="Strong">
    <w:name w:val="Strong"/>
    <w:aliases w:val="Heading 2.1"/>
    <w:uiPriority w:val="22"/>
    <w:qFormat/>
    <w:rsid w:val="005D5CF9"/>
    <w:rPr>
      <w:b/>
      <w:bCs/>
    </w:rPr>
  </w:style>
  <w:style w:type="paragraph" w:styleId="NoSpacing">
    <w:name w:val="No Spacing"/>
    <w:uiPriority w:val="1"/>
    <w:qFormat/>
    <w:rsid w:val="005D5CF9"/>
    <w:rPr>
      <w:sz w:val="22"/>
      <w:szCs w:val="22"/>
      <w:lang w:val="en-US" w:eastAsia="en-US"/>
    </w:rPr>
  </w:style>
  <w:style w:type="paragraph" w:styleId="ListParagraph">
    <w:name w:val="List Paragraph"/>
    <w:aliases w:val="Colorful List - Accent 11,Lista vistosa - Énfasis 11,Footnote,List Paragraph1,Párrafo de lista1,List Paragraph2"/>
    <w:link w:val="ListParagraphChar1"/>
    <w:uiPriority w:val="99"/>
    <w:qFormat/>
    <w:rsid w:val="005D5CF9"/>
    <w:pPr>
      <w:ind w:left="720"/>
    </w:pPr>
    <w:rPr>
      <w:rFonts w:ascii="Cambria" w:eastAsia="Cambria" w:hAnsi="Cambria" w:cs="Cambria"/>
      <w:color w:val="000000"/>
      <w:sz w:val="24"/>
      <w:szCs w:val="24"/>
      <w:u w:color="000000"/>
      <w:lang w:val="en-US" w:eastAsia="es-ES"/>
    </w:rPr>
  </w:style>
  <w:style w:type="paragraph" w:styleId="TOCHeading">
    <w:name w:val="TOC Heading"/>
    <w:basedOn w:val="Heading1"/>
    <w:next w:val="Normal"/>
    <w:uiPriority w:val="39"/>
    <w:semiHidden/>
    <w:unhideWhenUsed/>
    <w:qFormat/>
    <w:rsid w:val="005D5CF9"/>
    <w:pPr>
      <w:keepLines/>
      <w:spacing w:before="480" w:after="0"/>
      <w:jc w:val="left"/>
      <w:outlineLvl w:val="9"/>
    </w:pPr>
    <w:rPr>
      <w:rFonts w:ascii="Cambria" w:hAnsi="Cambria"/>
      <w:color w:val="365F91"/>
      <w:kern w:val="0"/>
      <w:sz w:val="28"/>
      <w:szCs w:val="28"/>
      <w:lang w:val="en-US" w:eastAsia="ja-JP"/>
    </w:rPr>
  </w:style>
  <w:style w:type="character" w:customStyle="1" w:styleId="ColorfulList-Accent1Char">
    <w:name w:val="Colorful List - Accent 1 Char"/>
    <w:aliases w:val="Párrafo de lista1 Char,List Paragraph1 Char,List Paragraph2 Char,List Paragraph Char,Footnote Char,Colorful List - Accent 11 Char,Lista vistosa - Énfasis 11 Char"/>
    <w:link w:val="ColorfulList-Accent1"/>
    <w:rsid w:val="005D5CF9"/>
    <w:rPr>
      <w:rFonts w:eastAsia="Times New Roman"/>
      <w:lang w:val="es-CR" w:eastAsia="es-CR"/>
    </w:rPr>
  </w:style>
  <w:style w:type="table" w:styleId="ColorfulList-Accent1">
    <w:name w:val="Colorful List Accent 1"/>
    <w:basedOn w:val="TableNormal"/>
    <w:link w:val="ColorfulList-Accent1Char"/>
    <w:uiPriority w:val="99"/>
    <w:rsid w:val="005D5CF9"/>
    <w:rPr>
      <w:rFonts w:eastAsia="Times New Roman"/>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FootnoteReference">
    <w:name w:val="footnote reference"/>
    <w:aliases w:val="Appel note de bas de page,Footnotes refss,Footnote number,referencia nota al pie,BVI fnr,f,4_G,16 Point,Superscript 6 Point,Texto nota al pie,Footnote Reference Char3,Footnote Reference Char1 Char,Ref. de nota al,Ref. de nota al pi"/>
    <w:basedOn w:val="DefaultParagraphFont"/>
    <w:link w:val="4GChar"/>
    <w:unhideWhenUsed/>
    <w:qFormat/>
    <w:rsid w:val="00CD29C6"/>
    <w:rPr>
      <w:vertAlign w:val="superscript"/>
    </w:rPr>
  </w:style>
  <w:style w:type="paragraph" w:styleId="NormalWeb">
    <w:name w:val="Normal (Web)"/>
    <w:aliases w:val="Normal (Web) Char1,Normal (Web) Char Char,Normal (Web) Char1 Char,Normal (Web) Char Char Char"/>
    <w:basedOn w:val="Normal"/>
    <w:uiPriority w:val="99"/>
    <w:unhideWhenUsed/>
    <w:rsid w:val="00E8266E"/>
    <w:pPr>
      <w:spacing w:before="100" w:beforeAutospacing="1" w:after="100" w:afterAutospacing="1"/>
    </w:pPr>
    <w:rPr>
      <w:rFonts w:ascii="Times New Roman" w:eastAsia="Times New Roman" w:hAnsi="Times New Roman"/>
      <w:sz w:val="24"/>
      <w:szCs w:val="24"/>
      <w:lang w:val="en-US" w:eastAsia="en-US"/>
    </w:rPr>
  </w:style>
  <w:style w:type="character" w:styleId="CommentReference">
    <w:name w:val="annotation reference"/>
    <w:basedOn w:val="DefaultParagraphFont"/>
    <w:uiPriority w:val="99"/>
    <w:semiHidden/>
    <w:unhideWhenUsed/>
    <w:rsid w:val="0075291F"/>
    <w:rPr>
      <w:sz w:val="16"/>
      <w:szCs w:val="16"/>
    </w:rPr>
  </w:style>
  <w:style w:type="paragraph" w:styleId="CommentText">
    <w:name w:val="annotation text"/>
    <w:basedOn w:val="Normal"/>
    <w:link w:val="CommentTextChar"/>
    <w:uiPriority w:val="99"/>
    <w:semiHidden/>
    <w:unhideWhenUsed/>
    <w:rsid w:val="0075291F"/>
  </w:style>
  <w:style w:type="character" w:customStyle="1" w:styleId="CommentTextChar">
    <w:name w:val="Comment Text Char"/>
    <w:basedOn w:val="DefaultParagraphFont"/>
    <w:link w:val="CommentText"/>
    <w:uiPriority w:val="99"/>
    <w:semiHidden/>
    <w:rsid w:val="0075291F"/>
  </w:style>
  <w:style w:type="paragraph" w:styleId="CommentSubject">
    <w:name w:val="annotation subject"/>
    <w:basedOn w:val="CommentText"/>
    <w:next w:val="CommentText"/>
    <w:link w:val="CommentSubjectChar"/>
    <w:uiPriority w:val="99"/>
    <w:semiHidden/>
    <w:unhideWhenUsed/>
    <w:rsid w:val="0075291F"/>
    <w:rPr>
      <w:b/>
      <w:bCs/>
    </w:rPr>
  </w:style>
  <w:style w:type="character" w:customStyle="1" w:styleId="CommentSubjectChar">
    <w:name w:val="Comment Subject Char"/>
    <w:basedOn w:val="CommentTextChar"/>
    <w:link w:val="CommentSubject"/>
    <w:uiPriority w:val="99"/>
    <w:semiHidden/>
    <w:rsid w:val="0075291F"/>
    <w:rPr>
      <w:b/>
      <w:bCs/>
    </w:rPr>
  </w:style>
  <w:style w:type="paragraph" w:styleId="BalloonText">
    <w:name w:val="Balloon Text"/>
    <w:basedOn w:val="Normal"/>
    <w:link w:val="BalloonTextChar"/>
    <w:uiPriority w:val="99"/>
    <w:semiHidden/>
    <w:unhideWhenUsed/>
    <w:rsid w:val="0075291F"/>
    <w:rPr>
      <w:rFonts w:ascii="Tahoma" w:hAnsi="Tahoma" w:cs="Tahoma"/>
      <w:sz w:val="16"/>
      <w:szCs w:val="16"/>
    </w:rPr>
  </w:style>
  <w:style w:type="character" w:customStyle="1" w:styleId="BalloonTextChar">
    <w:name w:val="Balloon Text Char"/>
    <w:basedOn w:val="DefaultParagraphFont"/>
    <w:link w:val="BalloonText"/>
    <w:uiPriority w:val="99"/>
    <w:semiHidden/>
    <w:rsid w:val="0075291F"/>
    <w:rPr>
      <w:rFonts w:ascii="Tahoma" w:hAnsi="Tahoma" w:cs="Tahoma"/>
      <w:sz w:val="16"/>
      <w:szCs w:val="16"/>
    </w:rPr>
  </w:style>
  <w:style w:type="paragraph" w:styleId="Header">
    <w:name w:val="header"/>
    <w:basedOn w:val="Normal"/>
    <w:link w:val="HeaderChar"/>
    <w:uiPriority w:val="99"/>
    <w:unhideWhenUsed/>
    <w:rsid w:val="000F5EF1"/>
    <w:pPr>
      <w:tabs>
        <w:tab w:val="center" w:pos="4419"/>
        <w:tab w:val="right" w:pos="8838"/>
      </w:tabs>
    </w:pPr>
  </w:style>
  <w:style w:type="character" w:customStyle="1" w:styleId="HeaderChar">
    <w:name w:val="Header Char"/>
    <w:basedOn w:val="DefaultParagraphFont"/>
    <w:link w:val="Header"/>
    <w:uiPriority w:val="99"/>
    <w:rsid w:val="000F5EF1"/>
  </w:style>
  <w:style w:type="paragraph" w:styleId="Footer">
    <w:name w:val="footer"/>
    <w:basedOn w:val="Normal"/>
    <w:link w:val="FooterChar"/>
    <w:uiPriority w:val="99"/>
    <w:unhideWhenUsed/>
    <w:rsid w:val="000F5EF1"/>
    <w:pPr>
      <w:tabs>
        <w:tab w:val="center" w:pos="4419"/>
        <w:tab w:val="right" w:pos="8838"/>
      </w:tabs>
    </w:pPr>
  </w:style>
  <w:style w:type="character" w:customStyle="1" w:styleId="FooterChar">
    <w:name w:val="Footer Char"/>
    <w:basedOn w:val="DefaultParagraphFont"/>
    <w:link w:val="Footer"/>
    <w:uiPriority w:val="99"/>
    <w:rsid w:val="000F5EF1"/>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3C562D"/>
    <w:pPr>
      <w:jc w:val="both"/>
    </w:pPr>
    <w:rPr>
      <w:vertAlign w:val="superscript"/>
    </w:rPr>
  </w:style>
  <w:style w:type="paragraph" w:styleId="DocumentMap">
    <w:name w:val="Document Map"/>
    <w:basedOn w:val="Normal"/>
    <w:link w:val="DocumentMapChar"/>
    <w:uiPriority w:val="99"/>
    <w:semiHidden/>
    <w:unhideWhenUsed/>
    <w:rsid w:val="009C7158"/>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9C7158"/>
    <w:rPr>
      <w:rFonts w:ascii="Times New Roman" w:hAnsi="Times New Roman"/>
      <w:sz w:val="24"/>
      <w:szCs w:val="24"/>
    </w:rPr>
  </w:style>
  <w:style w:type="paragraph" w:styleId="Revision">
    <w:name w:val="Revision"/>
    <w:hidden/>
    <w:uiPriority w:val="99"/>
    <w:semiHidden/>
    <w:rsid w:val="009C7158"/>
  </w:style>
  <w:style w:type="character" w:customStyle="1" w:styleId="ListParagraphChar1">
    <w:name w:val="List Paragraph Char1"/>
    <w:aliases w:val="Colorful List - Accent 11 Char1,Lista vistosa - Énfasis 11 Char1,Footnote Char1,List Paragraph1 Char1,Párrafo de lista1 Char1,List Paragraph2 Char1"/>
    <w:basedOn w:val="DefaultParagraphFont"/>
    <w:link w:val="ListParagraph"/>
    <w:uiPriority w:val="99"/>
    <w:locked/>
    <w:rsid w:val="00D41D14"/>
    <w:rPr>
      <w:rFonts w:ascii="Cambria" w:eastAsia="Cambria" w:hAnsi="Cambria" w:cs="Cambria"/>
      <w:color w:val="000000"/>
      <w:sz w:val="24"/>
      <w:szCs w:val="24"/>
      <w:u w:color="000000"/>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rPr>
      <w:lang w:val="es-ES_tradnl"/>
    </w:rPr>
  </w:style>
  <w:style w:type="paragraph" w:styleId="Heading1">
    <w:name w:val="heading 1"/>
    <w:basedOn w:val="Normal"/>
    <w:next w:val="Normal"/>
    <w:link w:val="Heading1Char"/>
    <w:uiPriority w:val="9"/>
    <w:qFormat/>
    <w:rsid w:val="005D5CF9"/>
    <w:pPr>
      <w:keepNext/>
      <w:spacing w:before="240" w:after="60" w:line="276" w:lineRule="auto"/>
      <w:jc w:val="center"/>
      <w:outlineLvl w:val="0"/>
    </w:pPr>
    <w:rPr>
      <w:rFonts w:ascii="Verdana Bold" w:eastAsia="Times New Roman" w:hAnsi="Verdana Bold"/>
      <w:b/>
      <w:bCs/>
      <w:caps/>
      <w:kern w:val="32"/>
      <w:szCs w:val="32"/>
    </w:rPr>
  </w:style>
  <w:style w:type="paragraph" w:styleId="Heading2">
    <w:name w:val="heading 2"/>
    <w:basedOn w:val="Normal"/>
    <w:next w:val="Normal"/>
    <w:link w:val="Heading2Char"/>
    <w:uiPriority w:val="9"/>
    <w:unhideWhenUsed/>
    <w:qFormat/>
    <w:rsid w:val="005D5CF9"/>
    <w:pPr>
      <w:keepNext/>
      <w:spacing w:before="240" w:after="60" w:line="276" w:lineRule="auto"/>
      <w:jc w:val="both"/>
      <w:outlineLvl w:val="1"/>
    </w:pPr>
    <w:rPr>
      <w:rFonts w:ascii="Verdana" w:eastAsia="Times New Roman" w:hAnsi="Verdana"/>
      <w:b/>
      <w:bCs/>
      <w:i/>
      <w:iCs/>
      <w:szCs w:val="28"/>
    </w:rPr>
  </w:style>
  <w:style w:type="paragraph" w:styleId="Heading3">
    <w:name w:val="heading 3"/>
    <w:basedOn w:val="Normal"/>
    <w:next w:val="Normal"/>
    <w:link w:val="Heading3Char"/>
    <w:uiPriority w:val="9"/>
    <w:semiHidden/>
    <w:unhideWhenUsed/>
    <w:qFormat/>
    <w:rsid w:val="005D5CF9"/>
    <w:pPr>
      <w:keepNext/>
      <w:spacing w:before="240" w:after="60" w:line="276" w:lineRule="auto"/>
      <w:outlineLvl w:val="2"/>
    </w:pPr>
    <w:rPr>
      <w:rFonts w:ascii="Cambria" w:eastAsia="Times New Roman" w:hAnsi="Cambria"/>
      <w:b/>
      <w:bCs/>
      <w:sz w:val="26"/>
      <w:szCs w:val="26"/>
    </w:rPr>
  </w:style>
  <w:style w:type="paragraph" w:styleId="Heading5">
    <w:name w:val="heading 5"/>
    <w:basedOn w:val="Normal"/>
    <w:next w:val="Normal"/>
    <w:link w:val="Heading5Char"/>
    <w:qFormat/>
    <w:rsid w:val="005D5CF9"/>
    <w:pPr>
      <w:spacing w:before="240" w:after="60"/>
      <w:outlineLvl w:val="4"/>
    </w:pPr>
    <w:rPr>
      <w:rFonts w:ascii="Verdana" w:eastAsia="Times New Roman" w:hAnsi="Verdana"/>
      <w:b/>
      <w:i/>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delibro">
    <w:name w:val="Título de libro"/>
    <w:uiPriority w:val="33"/>
    <w:qFormat/>
    <w:rsid w:val="005D5CF9"/>
    <w:rPr>
      <w:b/>
      <w:bCs/>
      <w:smallCaps/>
      <w:spacing w:val="5"/>
    </w:rPr>
  </w:style>
  <w:style w:type="paragraph" w:customStyle="1" w:styleId="Estilo1">
    <w:name w:val="Estilo1"/>
    <w:basedOn w:val="Normal"/>
    <w:link w:val="Estilo1Car"/>
    <w:qFormat/>
    <w:rsid w:val="005D5CF9"/>
    <w:pPr>
      <w:spacing w:after="120"/>
      <w:ind w:left="2018" w:right="6" w:hanging="180"/>
      <w:jc w:val="both"/>
    </w:pPr>
    <w:rPr>
      <w:rFonts w:ascii="Verdana" w:eastAsia="Batang" w:hAnsi="Verdana" w:cs="Times"/>
      <w:i/>
      <w:noProof/>
      <w:szCs w:val="24"/>
      <w:lang w:eastAsia="en-US"/>
    </w:rPr>
  </w:style>
  <w:style w:type="character" w:customStyle="1" w:styleId="Estilo1Car">
    <w:name w:val="Estilo1 Car"/>
    <w:link w:val="Estilo1"/>
    <w:rsid w:val="005D5CF9"/>
    <w:rPr>
      <w:rFonts w:ascii="Verdana" w:eastAsia="Batang" w:hAnsi="Verdana" w:cs="Times"/>
      <w:i/>
      <w:noProof/>
      <w:szCs w:val="24"/>
      <w:lang w:val="es-ES_tradnl" w:eastAsia="en-US"/>
    </w:rPr>
  </w:style>
  <w:style w:type="character" w:customStyle="1" w:styleId="Heading1Char">
    <w:name w:val="Heading 1 Char"/>
    <w:link w:val="Heading1"/>
    <w:uiPriority w:val="9"/>
    <w:rsid w:val="005D5CF9"/>
    <w:rPr>
      <w:rFonts w:ascii="Verdana Bold" w:eastAsia="Times New Roman" w:hAnsi="Verdana Bold"/>
      <w:b/>
      <w:bCs/>
      <w:caps/>
      <w:kern w:val="32"/>
      <w:szCs w:val="32"/>
    </w:rPr>
  </w:style>
  <w:style w:type="character" w:customStyle="1" w:styleId="Heading2Char">
    <w:name w:val="Heading 2 Char"/>
    <w:link w:val="Heading2"/>
    <w:uiPriority w:val="9"/>
    <w:rsid w:val="005D5CF9"/>
    <w:rPr>
      <w:rFonts w:ascii="Verdana" w:eastAsia="Times New Roman" w:hAnsi="Verdana"/>
      <w:b/>
      <w:bCs/>
      <w:i/>
      <w:iCs/>
      <w:szCs w:val="28"/>
    </w:rPr>
  </w:style>
  <w:style w:type="character" w:customStyle="1" w:styleId="Heading3Char">
    <w:name w:val="Heading 3 Char"/>
    <w:link w:val="Heading3"/>
    <w:uiPriority w:val="9"/>
    <w:semiHidden/>
    <w:rsid w:val="005D5CF9"/>
    <w:rPr>
      <w:rFonts w:ascii="Cambria" w:eastAsia="Times New Roman" w:hAnsi="Cambria"/>
      <w:b/>
      <w:bCs/>
      <w:sz w:val="26"/>
      <w:szCs w:val="26"/>
    </w:rPr>
  </w:style>
  <w:style w:type="character" w:customStyle="1" w:styleId="Heading5Char">
    <w:name w:val="Heading 5 Char"/>
    <w:link w:val="Heading5"/>
    <w:rsid w:val="005D5CF9"/>
    <w:rPr>
      <w:rFonts w:ascii="Verdana" w:eastAsia="Times New Roman" w:hAnsi="Verdana"/>
      <w:b/>
      <w:i/>
      <w:szCs w:val="26"/>
      <w:lang w:eastAsia="x-none"/>
    </w:rPr>
  </w:style>
  <w:style w:type="paragraph" w:styleId="FootnoteText">
    <w:name w:val="footnote text"/>
    <w:aliases w:val="Footnote Text Char Char Char Char Char,Footnote Text Char Char Char Char,Footnote reference,FA Fu,Footnote Text Char Char Char,footnote text,Footnote Text Cha,FA Fußnotentext,FA Fuﬂnotentext,Texto nota pie Car,Footnote Text Char Char,Car"/>
    <w:basedOn w:val="Normal"/>
    <w:link w:val="FootnoteTextChar"/>
    <w:qFormat/>
    <w:rsid w:val="005D5CF9"/>
    <w:rPr>
      <w:rFonts w:ascii="Times New Roman" w:eastAsia="Times New Roman" w:hAnsi="Times New Roman"/>
      <w:lang w:val="es-MX"/>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r,Footnote Text Cha Char,FA Fußnotentext Char,Car Char"/>
    <w:link w:val="FootnoteText"/>
    <w:qFormat/>
    <w:rsid w:val="005D5CF9"/>
    <w:rPr>
      <w:rFonts w:ascii="Times New Roman" w:eastAsia="Times New Roman" w:hAnsi="Times New Roman"/>
      <w:lang w:val="es-MX"/>
    </w:rPr>
  </w:style>
  <w:style w:type="paragraph" w:styleId="Title">
    <w:name w:val="Title"/>
    <w:basedOn w:val="Normal"/>
    <w:link w:val="TitleChar"/>
    <w:uiPriority w:val="99"/>
    <w:qFormat/>
    <w:rsid w:val="005D5CF9"/>
    <w:pPr>
      <w:spacing w:before="60" w:after="60"/>
      <w:jc w:val="center"/>
    </w:pPr>
    <w:rPr>
      <w:rFonts w:ascii="Verdana" w:eastAsia="Times New Roman" w:hAnsi="Verdana"/>
      <w:b/>
      <w:lang w:eastAsia="en-US"/>
    </w:rPr>
  </w:style>
  <w:style w:type="character" w:customStyle="1" w:styleId="TitleChar">
    <w:name w:val="Title Char"/>
    <w:link w:val="Title"/>
    <w:uiPriority w:val="99"/>
    <w:rsid w:val="005D5CF9"/>
    <w:rPr>
      <w:rFonts w:ascii="Verdana" w:eastAsia="Times New Roman" w:hAnsi="Verdana"/>
      <w:b/>
      <w:lang w:val="es-ES_tradnl" w:eastAsia="en-US"/>
    </w:rPr>
  </w:style>
  <w:style w:type="paragraph" w:styleId="Subtitle">
    <w:name w:val="Subtitle"/>
    <w:basedOn w:val="Normal"/>
    <w:next w:val="Normal"/>
    <w:link w:val="SubtitleChar"/>
    <w:qFormat/>
    <w:rsid w:val="005D5CF9"/>
    <w:pPr>
      <w:numPr>
        <w:ilvl w:val="1"/>
      </w:numPr>
      <w:spacing w:before="60" w:after="60"/>
      <w:jc w:val="center"/>
    </w:pPr>
    <w:rPr>
      <w:rFonts w:ascii="Verdana" w:eastAsia="Times New Roman" w:hAnsi="Verdana"/>
      <w:b/>
      <w:i/>
      <w:iCs/>
      <w:spacing w:val="15"/>
      <w:szCs w:val="24"/>
      <w:lang w:eastAsia="en-US"/>
    </w:rPr>
  </w:style>
  <w:style w:type="character" w:customStyle="1" w:styleId="SubtitleChar">
    <w:name w:val="Subtitle Char"/>
    <w:link w:val="Subtitle"/>
    <w:rsid w:val="005D5CF9"/>
    <w:rPr>
      <w:rFonts w:ascii="Verdana" w:eastAsia="Times New Roman" w:hAnsi="Verdana"/>
      <w:b/>
      <w:i/>
      <w:iCs/>
      <w:spacing w:val="15"/>
      <w:szCs w:val="24"/>
      <w:lang w:val="es-ES_tradnl" w:eastAsia="en-US"/>
    </w:rPr>
  </w:style>
  <w:style w:type="character" w:styleId="Strong">
    <w:name w:val="Strong"/>
    <w:aliases w:val="Heading 2.1"/>
    <w:uiPriority w:val="22"/>
    <w:qFormat/>
    <w:rsid w:val="005D5CF9"/>
    <w:rPr>
      <w:b/>
      <w:bCs/>
    </w:rPr>
  </w:style>
  <w:style w:type="paragraph" w:styleId="NoSpacing">
    <w:name w:val="No Spacing"/>
    <w:uiPriority w:val="1"/>
    <w:qFormat/>
    <w:rsid w:val="005D5CF9"/>
    <w:rPr>
      <w:sz w:val="22"/>
      <w:szCs w:val="22"/>
      <w:lang w:val="en-US" w:eastAsia="en-US"/>
    </w:rPr>
  </w:style>
  <w:style w:type="paragraph" w:styleId="ListParagraph">
    <w:name w:val="List Paragraph"/>
    <w:aliases w:val="Colorful List - Accent 11,Lista vistosa - Énfasis 11,Footnote,List Paragraph1,Párrafo de lista1,List Paragraph2"/>
    <w:link w:val="ListParagraphChar1"/>
    <w:uiPriority w:val="99"/>
    <w:qFormat/>
    <w:rsid w:val="005D5CF9"/>
    <w:pPr>
      <w:ind w:left="720"/>
    </w:pPr>
    <w:rPr>
      <w:rFonts w:ascii="Cambria" w:eastAsia="Cambria" w:hAnsi="Cambria" w:cs="Cambria"/>
      <w:color w:val="000000"/>
      <w:sz w:val="24"/>
      <w:szCs w:val="24"/>
      <w:u w:color="000000"/>
      <w:lang w:val="en-US" w:eastAsia="es-ES"/>
    </w:rPr>
  </w:style>
  <w:style w:type="paragraph" w:styleId="TOCHeading">
    <w:name w:val="TOC Heading"/>
    <w:basedOn w:val="Heading1"/>
    <w:next w:val="Normal"/>
    <w:uiPriority w:val="39"/>
    <w:semiHidden/>
    <w:unhideWhenUsed/>
    <w:qFormat/>
    <w:rsid w:val="005D5CF9"/>
    <w:pPr>
      <w:keepLines/>
      <w:spacing w:before="480" w:after="0"/>
      <w:jc w:val="left"/>
      <w:outlineLvl w:val="9"/>
    </w:pPr>
    <w:rPr>
      <w:rFonts w:ascii="Cambria" w:hAnsi="Cambria"/>
      <w:color w:val="365F91"/>
      <w:kern w:val="0"/>
      <w:sz w:val="28"/>
      <w:szCs w:val="28"/>
      <w:lang w:val="en-US" w:eastAsia="ja-JP"/>
    </w:rPr>
  </w:style>
  <w:style w:type="character" w:customStyle="1" w:styleId="ColorfulList-Accent1Char">
    <w:name w:val="Colorful List - Accent 1 Char"/>
    <w:aliases w:val="Párrafo de lista1 Char,List Paragraph1 Char,List Paragraph2 Char,List Paragraph Char,Footnote Char,Colorful List - Accent 11 Char,Lista vistosa - Énfasis 11 Char"/>
    <w:link w:val="ColorfulList-Accent1"/>
    <w:rsid w:val="005D5CF9"/>
    <w:rPr>
      <w:rFonts w:eastAsia="Times New Roman"/>
      <w:lang w:val="es-CR" w:eastAsia="es-CR"/>
    </w:rPr>
  </w:style>
  <w:style w:type="table" w:styleId="ColorfulList-Accent1">
    <w:name w:val="Colorful List Accent 1"/>
    <w:basedOn w:val="TableNormal"/>
    <w:link w:val="ColorfulList-Accent1Char"/>
    <w:uiPriority w:val="99"/>
    <w:rsid w:val="005D5CF9"/>
    <w:rPr>
      <w:rFonts w:eastAsia="Times New Roman"/>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FootnoteReference">
    <w:name w:val="footnote reference"/>
    <w:aliases w:val="Appel note de bas de page,Footnotes refss,Footnote number,referencia nota al pie,BVI fnr,f,4_G,16 Point,Superscript 6 Point,Texto nota al pie,Footnote Reference Char3,Footnote Reference Char1 Char,Ref. de nota al,Ref. de nota al pi"/>
    <w:basedOn w:val="DefaultParagraphFont"/>
    <w:link w:val="4GChar"/>
    <w:unhideWhenUsed/>
    <w:qFormat/>
    <w:rsid w:val="00CD29C6"/>
    <w:rPr>
      <w:vertAlign w:val="superscript"/>
    </w:rPr>
  </w:style>
  <w:style w:type="paragraph" w:styleId="NormalWeb">
    <w:name w:val="Normal (Web)"/>
    <w:aliases w:val="Normal (Web) Char1,Normal (Web) Char Char,Normal (Web) Char1 Char,Normal (Web) Char Char Char"/>
    <w:basedOn w:val="Normal"/>
    <w:uiPriority w:val="99"/>
    <w:unhideWhenUsed/>
    <w:rsid w:val="00E8266E"/>
    <w:pPr>
      <w:spacing w:before="100" w:beforeAutospacing="1" w:after="100" w:afterAutospacing="1"/>
    </w:pPr>
    <w:rPr>
      <w:rFonts w:ascii="Times New Roman" w:eastAsia="Times New Roman" w:hAnsi="Times New Roman"/>
      <w:sz w:val="24"/>
      <w:szCs w:val="24"/>
      <w:lang w:val="en-US" w:eastAsia="en-US"/>
    </w:rPr>
  </w:style>
  <w:style w:type="character" w:styleId="CommentReference">
    <w:name w:val="annotation reference"/>
    <w:basedOn w:val="DefaultParagraphFont"/>
    <w:uiPriority w:val="99"/>
    <w:semiHidden/>
    <w:unhideWhenUsed/>
    <w:rsid w:val="0075291F"/>
    <w:rPr>
      <w:sz w:val="16"/>
      <w:szCs w:val="16"/>
    </w:rPr>
  </w:style>
  <w:style w:type="paragraph" w:styleId="CommentText">
    <w:name w:val="annotation text"/>
    <w:basedOn w:val="Normal"/>
    <w:link w:val="CommentTextChar"/>
    <w:uiPriority w:val="99"/>
    <w:semiHidden/>
    <w:unhideWhenUsed/>
    <w:rsid w:val="0075291F"/>
  </w:style>
  <w:style w:type="character" w:customStyle="1" w:styleId="CommentTextChar">
    <w:name w:val="Comment Text Char"/>
    <w:basedOn w:val="DefaultParagraphFont"/>
    <w:link w:val="CommentText"/>
    <w:uiPriority w:val="99"/>
    <w:semiHidden/>
    <w:rsid w:val="0075291F"/>
  </w:style>
  <w:style w:type="paragraph" w:styleId="CommentSubject">
    <w:name w:val="annotation subject"/>
    <w:basedOn w:val="CommentText"/>
    <w:next w:val="CommentText"/>
    <w:link w:val="CommentSubjectChar"/>
    <w:uiPriority w:val="99"/>
    <w:semiHidden/>
    <w:unhideWhenUsed/>
    <w:rsid w:val="0075291F"/>
    <w:rPr>
      <w:b/>
      <w:bCs/>
    </w:rPr>
  </w:style>
  <w:style w:type="character" w:customStyle="1" w:styleId="CommentSubjectChar">
    <w:name w:val="Comment Subject Char"/>
    <w:basedOn w:val="CommentTextChar"/>
    <w:link w:val="CommentSubject"/>
    <w:uiPriority w:val="99"/>
    <w:semiHidden/>
    <w:rsid w:val="0075291F"/>
    <w:rPr>
      <w:b/>
      <w:bCs/>
    </w:rPr>
  </w:style>
  <w:style w:type="paragraph" w:styleId="BalloonText">
    <w:name w:val="Balloon Text"/>
    <w:basedOn w:val="Normal"/>
    <w:link w:val="BalloonTextChar"/>
    <w:uiPriority w:val="99"/>
    <w:semiHidden/>
    <w:unhideWhenUsed/>
    <w:rsid w:val="0075291F"/>
    <w:rPr>
      <w:rFonts w:ascii="Tahoma" w:hAnsi="Tahoma" w:cs="Tahoma"/>
      <w:sz w:val="16"/>
      <w:szCs w:val="16"/>
    </w:rPr>
  </w:style>
  <w:style w:type="character" w:customStyle="1" w:styleId="BalloonTextChar">
    <w:name w:val="Balloon Text Char"/>
    <w:basedOn w:val="DefaultParagraphFont"/>
    <w:link w:val="BalloonText"/>
    <w:uiPriority w:val="99"/>
    <w:semiHidden/>
    <w:rsid w:val="0075291F"/>
    <w:rPr>
      <w:rFonts w:ascii="Tahoma" w:hAnsi="Tahoma" w:cs="Tahoma"/>
      <w:sz w:val="16"/>
      <w:szCs w:val="16"/>
    </w:rPr>
  </w:style>
  <w:style w:type="paragraph" w:styleId="Header">
    <w:name w:val="header"/>
    <w:basedOn w:val="Normal"/>
    <w:link w:val="HeaderChar"/>
    <w:uiPriority w:val="99"/>
    <w:unhideWhenUsed/>
    <w:rsid w:val="000F5EF1"/>
    <w:pPr>
      <w:tabs>
        <w:tab w:val="center" w:pos="4419"/>
        <w:tab w:val="right" w:pos="8838"/>
      </w:tabs>
    </w:pPr>
  </w:style>
  <w:style w:type="character" w:customStyle="1" w:styleId="HeaderChar">
    <w:name w:val="Header Char"/>
    <w:basedOn w:val="DefaultParagraphFont"/>
    <w:link w:val="Header"/>
    <w:uiPriority w:val="99"/>
    <w:rsid w:val="000F5EF1"/>
  </w:style>
  <w:style w:type="paragraph" w:styleId="Footer">
    <w:name w:val="footer"/>
    <w:basedOn w:val="Normal"/>
    <w:link w:val="FooterChar"/>
    <w:uiPriority w:val="99"/>
    <w:unhideWhenUsed/>
    <w:rsid w:val="000F5EF1"/>
    <w:pPr>
      <w:tabs>
        <w:tab w:val="center" w:pos="4419"/>
        <w:tab w:val="right" w:pos="8838"/>
      </w:tabs>
    </w:pPr>
  </w:style>
  <w:style w:type="character" w:customStyle="1" w:styleId="FooterChar">
    <w:name w:val="Footer Char"/>
    <w:basedOn w:val="DefaultParagraphFont"/>
    <w:link w:val="Footer"/>
    <w:uiPriority w:val="99"/>
    <w:rsid w:val="000F5EF1"/>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3C562D"/>
    <w:pPr>
      <w:jc w:val="both"/>
    </w:pPr>
    <w:rPr>
      <w:vertAlign w:val="superscript"/>
    </w:rPr>
  </w:style>
  <w:style w:type="paragraph" w:styleId="DocumentMap">
    <w:name w:val="Document Map"/>
    <w:basedOn w:val="Normal"/>
    <w:link w:val="DocumentMapChar"/>
    <w:uiPriority w:val="99"/>
    <w:semiHidden/>
    <w:unhideWhenUsed/>
    <w:rsid w:val="009C7158"/>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9C7158"/>
    <w:rPr>
      <w:rFonts w:ascii="Times New Roman" w:hAnsi="Times New Roman"/>
      <w:sz w:val="24"/>
      <w:szCs w:val="24"/>
    </w:rPr>
  </w:style>
  <w:style w:type="paragraph" w:styleId="Revision">
    <w:name w:val="Revision"/>
    <w:hidden/>
    <w:uiPriority w:val="99"/>
    <w:semiHidden/>
    <w:rsid w:val="009C7158"/>
  </w:style>
  <w:style w:type="character" w:customStyle="1" w:styleId="ListParagraphChar1">
    <w:name w:val="List Paragraph Char1"/>
    <w:aliases w:val="Colorful List - Accent 11 Char1,Lista vistosa - Énfasis 11 Char1,Footnote Char1,List Paragraph1 Char1,Párrafo de lista1 Char1,List Paragraph2 Char1"/>
    <w:basedOn w:val="DefaultParagraphFont"/>
    <w:link w:val="ListParagraph"/>
    <w:uiPriority w:val="99"/>
    <w:locked/>
    <w:rsid w:val="00D41D14"/>
    <w:rPr>
      <w:rFonts w:ascii="Cambria" w:eastAsia="Cambria" w:hAnsi="Cambria" w:cs="Cambria"/>
      <w:color w:val="000000"/>
      <w:sz w:val="24"/>
      <w:szCs w:val="24"/>
      <w:u w:color="00000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18635">
      <w:bodyDiv w:val="1"/>
      <w:marLeft w:val="0"/>
      <w:marRight w:val="0"/>
      <w:marTop w:val="0"/>
      <w:marBottom w:val="0"/>
      <w:divBdr>
        <w:top w:val="none" w:sz="0" w:space="0" w:color="auto"/>
        <w:left w:val="none" w:sz="0" w:space="0" w:color="auto"/>
        <w:bottom w:val="none" w:sz="0" w:space="0" w:color="auto"/>
        <w:right w:val="none" w:sz="0" w:space="0" w:color="auto"/>
      </w:divBdr>
    </w:div>
    <w:div w:id="218634838">
      <w:bodyDiv w:val="1"/>
      <w:marLeft w:val="0"/>
      <w:marRight w:val="0"/>
      <w:marTop w:val="0"/>
      <w:marBottom w:val="0"/>
      <w:divBdr>
        <w:top w:val="none" w:sz="0" w:space="0" w:color="auto"/>
        <w:left w:val="none" w:sz="0" w:space="0" w:color="auto"/>
        <w:bottom w:val="none" w:sz="0" w:space="0" w:color="auto"/>
        <w:right w:val="none" w:sz="0" w:space="0" w:color="auto"/>
      </w:divBdr>
      <w:divsChild>
        <w:div w:id="83889797">
          <w:marLeft w:val="0"/>
          <w:marRight w:val="0"/>
          <w:marTop w:val="0"/>
          <w:marBottom w:val="0"/>
          <w:divBdr>
            <w:top w:val="none" w:sz="0" w:space="0" w:color="auto"/>
            <w:left w:val="none" w:sz="0" w:space="0" w:color="auto"/>
            <w:bottom w:val="none" w:sz="0" w:space="0" w:color="auto"/>
            <w:right w:val="none" w:sz="0" w:space="0" w:color="auto"/>
          </w:divBdr>
          <w:divsChild>
            <w:div w:id="1248539688">
              <w:marLeft w:val="0"/>
              <w:marRight w:val="0"/>
              <w:marTop w:val="0"/>
              <w:marBottom w:val="0"/>
              <w:divBdr>
                <w:top w:val="none" w:sz="0" w:space="0" w:color="auto"/>
                <w:left w:val="none" w:sz="0" w:space="0" w:color="auto"/>
                <w:bottom w:val="none" w:sz="0" w:space="0" w:color="auto"/>
                <w:right w:val="none" w:sz="0" w:space="0" w:color="auto"/>
              </w:divBdr>
              <w:divsChild>
                <w:div w:id="153816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05248">
      <w:bodyDiv w:val="1"/>
      <w:marLeft w:val="0"/>
      <w:marRight w:val="0"/>
      <w:marTop w:val="0"/>
      <w:marBottom w:val="0"/>
      <w:divBdr>
        <w:top w:val="none" w:sz="0" w:space="0" w:color="auto"/>
        <w:left w:val="none" w:sz="0" w:space="0" w:color="auto"/>
        <w:bottom w:val="none" w:sz="0" w:space="0" w:color="auto"/>
        <w:right w:val="none" w:sz="0" w:space="0" w:color="auto"/>
      </w:divBdr>
      <w:divsChild>
        <w:div w:id="824859781">
          <w:marLeft w:val="0"/>
          <w:marRight w:val="0"/>
          <w:marTop w:val="0"/>
          <w:marBottom w:val="0"/>
          <w:divBdr>
            <w:top w:val="none" w:sz="0" w:space="0" w:color="auto"/>
            <w:left w:val="none" w:sz="0" w:space="0" w:color="auto"/>
            <w:bottom w:val="none" w:sz="0" w:space="0" w:color="auto"/>
            <w:right w:val="none" w:sz="0" w:space="0" w:color="auto"/>
          </w:divBdr>
          <w:divsChild>
            <w:div w:id="841242651">
              <w:marLeft w:val="0"/>
              <w:marRight w:val="0"/>
              <w:marTop w:val="0"/>
              <w:marBottom w:val="0"/>
              <w:divBdr>
                <w:top w:val="none" w:sz="0" w:space="0" w:color="auto"/>
                <w:left w:val="none" w:sz="0" w:space="0" w:color="auto"/>
                <w:bottom w:val="none" w:sz="0" w:space="0" w:color="auto"/>
                <w:right w:val="none" w:sz="0" w:space="0" w:color="auto"/>
              </w:divBdr>
              <w:divsChild>
                <w:div w:id="103750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25532">
      <w:bodyDiv w:val="1"/>
      <w:marLeft w:val="0"/>
      <w:marRight w:val="0"/>
      <w:marTop w:val="0"/>
      <w:marBottom w:val="0"/>
      <w:divBdr>
        <w:top w:val="none" w:sz="0" w:space="0" w:color="auto"/>
        <w:left w:val="none" w:sz="0" w:space="0" w:color="auto"/>
        <w:bottom w:val="none" w:sz="0" w:space="0" w:color="auto"/>
        <w:right w:val="none" w:sz="0" w:space="0" w:color="auto"/>
      </w:divBdr>
      <w:divsChild>
        <w:div w:id="2015298928">
          <w:marLeft w:val="0"/>
          <w:marRight w:val="0"/>
          <w:marTop w:val="0"/>
          <w:marBottom w:val="0"/>
          <w:divBdr>
            <w:top w:val="none" w:sz="0" w:space="0" w:color="auto"/>
            <w:left w:val="none" w:sz="0" w:space="0" w:color="auto"/>
            <w:bottom w:val="none" w:sz="0" w:space="0" w:color="auto"/>
            <w:right w:val="none" w:sz="0" w:space="0" w:color="auto"/>
          </w:divBdr>
          <w:divsChild>
            <w:div w:id="658463220">
              <w:marLeft w:val="0"/>
              <w:marRight w:val="0"/>
              <w:marTop w:val="0"/>
              <w:marBottom w:val="0"/>
              <w:divBdr>
                <w:top w:val="none" w:sz="0" w:space="0" w:color="auto"/>
                <w:left w:val="none" w:sz="0" w:space="0" w:color="auto"/>
                <w:bottom w:val="none" w:sz="0" w:space="0" w:color="auto"/>
                <w:right w:val="none" w:sz="0" w:space="0" w:color="auto"/>
              </w:divBdr>
              <w:divsChild>
                <w:div w:id="17759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34232">
      <w:bodyDiv w:val="1"/>
      <w:marLeft w:val="0"/>
      <w:marRight w:val="0"/>
      <w:marTop w:val="0"/>
      <w:marBottom w:val="0"/>
      <w:divBdr>
        <w:top w:val="none" w:sz="0" w:space="0" w:color="auto"/>
        <w:left w:val="none" w:sz="0" w:space="0" w:color="auto"/>
        <w:bottom w:val="none" w:sz="0" w:space="0" w:color="auto"/>
        <w:right w:val="none" w:sz="0" w:space="0" w:color="auto"/>
      </w:divBdr>
    </w:div>
    <w:div w:id="1784299228">
      <w:bodyDiv w:val="1"/>
      <w:marLeft w:val="0"/>
      <w:marRight w:val="0"/>
      <w:marTop w:val="0"/>
      <w:marBottom w:val="0"/>
      <w:divBdr>
        <w:top w:val="none" w:sz="0" w:space="0" w:color="auto"/>
        <w:left w:val="none" w:sz="0" w:space="0" w:color="auto"/>
        <w:bottom w:val="none" w:sz="0" w:space="0" w:color="auto"/>
        <w:right w:val="none" w:sz="0" w:space="0" w:color="auto"/>
      </w:divBdr>
    </w:div>
    <w:div w:id="2012833334">
      <w:bodyDiv w:val="1"/>
      <w:marLeft w:val="0"/>
      <w:marRight w:val="0"/>
      <w:marTop w:val="0"/>
      <w:marBottom w:val="0"/>
      <w:divBdr>
        <w:top w:val="none" w:sz="0" w:space="0" w:color="auto"/>
        <w:left w:val="none" w:sz="0" w:space="0" w:color="auto"/>
        <w:bottom w:val="none" w:sz="0" w:space="0" w:color="auto"/>
        <w:right w:val="none" w:sz="0" w:space="0" w:color="auto"/>
      </w:divBdr>
      <w:divsChild>
        <w:div w:id="1468157307">
          <w:marLeft w:val="0"/>
          <w:marRight w:val="0"/>
          <w:marTop w:val="0"/>
          <w:marBottom w:val="0"/>
          <w:divBdr>
            <w:top w:val="none" w:sz="0" w:space="0" w:color="auto"/>
            <w:left w:val="none" w:sz="0" w:space="0" w:color="auto"/>
            <w:bottom w:val="none" w:sz="0" w:space="0" w:color="auto"/>
            <w:right w:val="none" w:sz="0" w:space="0" w:color="auto"/>
          </w:divBdr>
          <w:divsChild>
            <w:div w:id="1754014541">
              <w:marLeft w:val="0"/>
              <w:marRight w:val="0"/>
              <w:marTop w:val="0"/>
              <w:marBottom w:val="0"/>
              <w:divBdr>
                <w:top w:val="none" w:sz="0" w:space="0" w:color="auto"/>
                <w:left w:val="none" w:sz="0" w:space="0" w:color="auto"/>
                <w:bottom w:val="none" w:sz="0" w:space="0" w:color="auto"/>
                <w:right w:val="none" w:sz="0" w:space="0" w:color="auto"/>
              </w:divBdr>
              <w:divsChild>
                <w:div w:id="12084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95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7D4DF-B15D-48BD-9184-EC534AEFA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5999</Words>
  <Characters>34196</Characters>
  <Application>Microsoft Office Word</Application>
  <DocSecurity>4</DocSecurity>
  <Lines>284</Lines>
  <Paragraphs>80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Patricia Calderon</cp:lastModifiedBy>
  <cp:revision>2</cp:revision>
  <cp:lastPrinted>2018-05-31T21:15:00Z</cp:lastPrinted>
  <dcterms:created xsi:type="dcterms:W3CDTF">2018-12-21T21:42:00Z</dcterms:created>
  <dcterms:modified xsi:type="dcterms:W3CDTF">2018-12-21T21:42:00Z</dcterms:modified>
</cp:coreProperties>
</file>