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596BD" w14:textId="77777777" w:rsidR="007A144A" w:rsidRDefault="007A144A" w:rsidP="007A144A">
      <w:pPr>
        <w:jc w:val="center"/>
        <w:rPr>
          <w:rFonts w:ascii="Verdana" w:hAnsi="Verdana"/>
          <w:b/>
        </w:rPr>
      </w:pPr>
      <w:r>
        <w:rPr>
          <w:rFonts w:ascii="Verdana" w:hAnsi="Verdana"/>
          <w:b/>
        </w:rPr>
        <w:t xml:space="preserve">VOTO CONCURRENTE DEL </w:t>
      </w:r>
    </w:p>
    <w:p w14:paraId="0F0497C5" w14:textId="77777777" w:rsidR="007A144A" w:rsidRDefault="007A144A" w:rsidP="007A144A">
      <w:pPr>
        <w:jc w:val="center"/>
        <w:rPr>
          <w:rFonts w:ascii="Verdana" w:hAnsi="Verdana"/>
          <w:b/>
        </w:rPr>
      </w:pPr>
      <w:r>
        <w:rPr>
          <w:rFonts w:ascii="Verdana" w:hAnsi="Verdana"/>
          <w:b/>
        </w:rPr>
        <w:t xml:space="preserve">JUEZ HUMBERTO ANTONIO SIERRA PORTO </w:t>
      </w:r>
    </w:p>
    <w:p w14:paraId="3E3F2281" w14:textId="77777777" w:rsidR="007A144A" w:rsidRDefault="007A144A" w:rsidP="007A144A">
      <w:pPr>
        <w:jc w:val="center"/>
        <w:rPr>
          <w:rFonts w:ascii="Verdana" w:hAnsi="Verdana"/>
          <w:b/>
        </w:rPr>
      </w:pPr>
    </w:p>
    <w:p w14:paraId="171B82B6" w14:textId="77777777" w:rsidR="007A144A" w:rsidRDefault="007A144A" w:rsidP="007A144A">
      <w:pPr>
        <w:jc w:val="center"/>
        <w:rPr>
          <w:rFonts w:ascii="Verdana" w:hAnsi="Verdana"/>
          <w:b/>
        </w:rPr>
      </w:pPr>
      <w:r>
        <w:rPr>
          <w:rFonts w:ascii="Verdana" w:hAnsi="Verdana"/>
          <w:b/>
        </w:rPr>
        <w:t>A LA SENTENCIA DE 14 DE OCTUBRE DE 2019</w:t>
      </w:r>
    </w:p>
    <w:p w14:paraId="15723D69" w14:textId="77777777" w:rsidR="007A144A" w:rsidRDefault="007A144A" w:rsidP="007A144A">
      <w:pPr>
        <w:jc w:val="center"/>
        <w:outlineLvl w:val="0"/>
        <w:rPr>
          <w:rFonts w:ascii="Verdana" w:hAnsi="Verdana"/>
          <w:b/>
        </w:rPr>
      </w:pPr>
      <w:r>
        <w:rPr>
          <w:rFonts w:ascii="Verdana" w:hAnsi="Verdana"/>
          <w:b/>
        </w:rPr>
        <w:t>DE LA CORTE INTERAMERICANA DE DERECHOS HUMANOS</w:t>
      </w:r>
    </w:p>
    <w:p w14:paraId="5AAAAEF3" w14:textId="77777777" w:rsidR="007A144A" w:rsidRDefault="007A144A" w:rsidP="007A144A">
      <w:pPr>
        <w:jc w:val="center"/>
        <w:rPr>
          <w:rFonts w:ascii="Verdana" w:hAnsi="Verdana"/>
          <w:b/>
        </w:rPr>
      </w:pPr>
    </w:p>
    <w:p w14:paraId="610676E5" w14:textId="79FF6436" w:rsidR="007A144A" w:rsidRDefault="007A144A" w:rsidP="007A144A">
      <w:pPr>
        <w:jc w:val="center"/>
        <w:outlineLvl w:val="0"/>
        <w:rPr>
          <w:rFonts w:ascii="Verdana" w:hAnsi="Verdana"/>
          <w:b/>
        </w:rPr>
      </w:pPr>
      <w:r>
        <w:rPr>
          <w:rFonts w:ascii="Verdana" w:hAnsi="Verdana"/>
          <w:b/>
        </w:rPr>
        <w:t>EN EL CASO DE RODR</w:t>
      </w:r>
      <w:r w:rsidR="00261CDA">
        <w:rPr>
          <w:rFonts w:ascii="Verdana" w:hAnsi="Verdana"/>
          <w:b/>
        </w:rPr>
        <w:t>Í</w:t>
      </w:r>
      <w:r>
        <w:rPr>
          <w:rFonts w:ascii="Verdana" w:hAnsi="Verdana"/>
          <w:b/>
        </w:rPr>
        <w:t>GUEZ REVOLORIO Y OTROS VS. GUATEMALA</w:t>
      </w:r>
    </w:p>
    <w:p w14:paraId="500C0821" w14:textId="77777777" w:rsidR="00793814" w:rsidRDefault="00256A37"/>
    <w:p w14:paraId="78A0CB20" w14:textId="77777777" w:rsidR="007A144A" w:rsidRPr="0010132C" w:rsidRDefault="007A144A" w:rsidP="007A144A">
      <w:pPr>
        <w:rPr>
          <w:rFonts w:ascii="Verdana" w:hAnsi="Verdana"/>
          <w:b/>
          <w:i/>
        </w:rPr>
      </w:pPr>
      <w:r w:rsidRPr="0010132C">
        <w:rPr>
          <w:rFonts w:ascii="Verdana" w:hAnsi="Verdana"/>
          <w:b/>
          <w:i/>
        </w:rPr>
        <w:t>I. Introducción</w:t>
      </w:r>
    </w:p>
    <w:p w14:paraId="4B9D9577" w14:textId="77777777" w:rsidR="007A144A" w:rsidRDefault="007A144A" w:rsidP="007A144A">
      <w:pPr>
        <w:rPr>
          <w:rFonts w:ascii="Verdana" w:hAnsi="Verdana"/>
          <w:b/>
        </w:rPr>
      </w:pPr>
    </w:p>
    <w:p w14:paraId="777BE665" w14:textId="301B2994" w:rsidR="00DF350D" w:rsidRPr="00DF350D" w:rsidRDefault="007A144A" w:rsidP="00EF7767">
      <w:pPr>
        <w:pStyle w:val="ListParagraph"/>
        <w:numPr>
          <w:ilvl w:val="0"/>
          <w:numId w:val="1"/>
        </w:numPr>
        <w:ind w:left="0" w:firstLine="0"/>
        <w:jc w:val="both"/>
        <w:rPr>
          <w:rFonts w:ascii="Verdana" w:hAnsi="Verdana"/>
          <w:sz w:val="20"/>
          <w:szCs w:val="20"/>
          <w:lang w:val="es-CR"/>
        </w:rPr>
      </w:pPr>
      <w:r w:rsidRPr="00DF350D">
        <w:rPr>
          <w:rFonts w:ascii="Verdana" w:hAnsi="Verdana"/>
          <w:sz w:val="20"/>
          <w:szCs w:val="20"/>
          <w:lang w:val="es-CR"/>
        </w:rPr>
        <w:t xml:space="preserve">Con el acostumbrado respeto por las decisiones de la Corte Interamericana de Derechos Humanos (en adelante “la Corte” o “el Tribunal”), me permito formular el presente voto concurrente. El voto se relaciona con la discusión que existe en la Corte sobre </w:t>
      </w:r>
      <w:r w:rsidRPr="00DF350D">
        <w:rPr>
          <w:rFonts w:ascii="Verdana" w:hAnsi="Verdana"/>
          <w:sz w:val="20"/>
          <w:szCs w:val="20"/>
          <w:lang w:val="es-CR"/>
        </w:rPr>
        <w:lastRenderedPageBreak/>
        <w:t>el análisis</w:t>
      </w:r>
      <w:r w:rsidR="002C551F" w:rsidRPr="00DF350D">
        <w:rPr>
          <w:rFonts w:ascii="Verdana" w:hAnsi="Verdana"/>
          <w:sz w:val="20"/>
          <w:szCs w:val="20"/>
          <w:lang w:val="es-CR"/>
        </w:rPr>
        <w:t xml:space="preserve"> de casos</w:t>
      </w:r>
      <w:r w:rsidRPr="00DF350D">
        <w:rPr>
          <w:rFonts w:ascii="Verdana" w:hAnsi="Verdana"/>
          <w:sz w:val="20"/>
          <w:szCs w:val="20"/>
          <w:lang w:val="es-CR"/>
        </w:rPr>
        <w:t xml:space="preserve"> </w:t>
      </w:r>
      <w:r w:rsidR="002C551F" w:rsidRPr="00DF350D">
        <w:rPr>
          <w:rFonts w:ascii="Verdana" w:hAnsi="Verdana"/>
          <w:sz w:val="20"/>
          <w:szCs w:val="20"/>
          <w:lang w:val="es-CR"/>
        </w:rPr>
        <w:t xml:space="preserve">que involucren </w:t>
      </w:r>
      <w:r w:rsidR="00A67F1B" w:rsidRPr="00DF350D">
        <w:rPr>
          <w:rFonts w:ascii="Verdana" w:hAnsi="Verdana"/>
          <w:sz w:val="20"/>
          <w:szCs w:val="20"/>
          <w:lang w:val="es-CR"/>
        </w:rPr>
        <w:t>afectacio</w:t>
      </w:r>
      <w:bookmarkStart w:id="0" w:name="_GoBack"/>
      <w:bookmarkEnd w:id="0"/>
      <w:r w:rsidR="00A67F1B" w:rsidRPr="00DF350D">
        <w:rPr>
          <w:rFonts w:ascii="Verdana" w:hAnsi="Verdana"/>
          <w:sz w:val="20"/>
          <w:szCs w:val="20"/>
          <w:lang w:val="es-CR"/>
        </w:rPr>
        <w:t>nes</w:t>
      </w:r>
      <w:r w:rsidR="002C551F" w:rsidRPr="00DF350D">
        <w:rPr>
          <w:rFonts w:ascii="Verdana" w:hAnsi="Verdana"/>
          <w:sz w:val="20"/>
          <w:szCs w:val="20"/>
          <w:lang w:val="es-CR"/>
        </w:rPr>
        <w:t xml:space="preserve"> a los</w:t>
      </w:r>
      <w:r w:rsidRPr="00DF350D">
        <w:rPr>
          <w:rFonts w:ascii="Verdana" w:hAnsi="Verdana"/>
          <w:sz w:val="20"/>
          <w:szCs w:val="20"/>
          <w:lang w:val="es-CR"/>
        </w:rPr>
        <w:t xml:space="preserve"> derechos económicos, sociales, culturales y ambientales (en adelante “DESCA”) sobre la base del artículo 26 de la Convención Americana sobre Derechos Humanos (en adelante </w:t>
      </w:r>
      <w:r w:rsidR="00DF350D" w:rsidRPr="00DF350D">
        <w:rPr>
          <w:rFonts w:ascii="Verdana" w:hAnsi="Verdana"/>
          <w:sz w:val="20"/>
          <w:szCs w:val="20"/>
          <w:lang w:val="es-CR"/>
        </w:rPr>
        <w:t>“la Convención”). En particular</w:t>
      </w:r>
      <w:r w:rsidR="00DF350D">
        <w:rPr>
          <w:rFonts w:ascii="Verdana" w:hAnsi="Verdana"/>
          <w:sz w:val="20"/>
          <w:szCs w:val="20"/>
          <w:lang w:val="es-CR"/>
        </w:rPr>
        <w:t xml:space="preserve">, a propósito del presente caso, haré una breve reflexión </w:t>
      </w:r>
      <w:r w:rsidR="00622659">
        <w:rPr>
          <w:rFonts w:ascii="Verdana" w:hAnsi="Verdana"/>
          <w:sz w:val="20"/>
          <w:szCs w:val="20"/>
          <w:lang w:val="es-CR"/>
        </w:rPr>
        <w:t>de</w:t>
      </w:r>
      <w:r w:rsidR="003550D6">
        <w:rPr>
          <w:rFonts w:ascii="Verdana" w:hAnsi="Verdana"/>
          <w:sz w:val="20"/>
          <w:szCs w:val="20"/>
          <w:lang w:val="es-CR"/>
        </w:rPr>
        <w:t xml:space="preserve"> </w:t>
      </w:r>
      <w:r w:rsidR="00622659">
        <w:rPr>
          <w:rFonts w:ascii="Verdana" w:hAnsi="Verdana"/>
          <w:sz w:val="20"/>
          <w:szCs w:val="20"/>
          <w:lang w:val="es-CR"/>
        </w:rPr>
        <w:t>l</w:t>
      </w:r>
      <w:r w:rsidR="003550D6">
        <w:rPr>
          <w:rFonts w:ascii="Verdana" w:hAnsi="Verdana"/>
          <w:sz w:val="20"/>
          <w:szCs w:val="20"/>
          <w:lang w:val="es-CR"/>
        </w:rPr>
        <w:t>o que considero un</w:t>
      </w:r>
      <w:r w:rsidR="00622659">
        <w:rPr>
          <w:rFonts w:ascii="Verdana" w:hAnsi="Verdana"/>
          <w:sz w:val="20"/>
          <w:szCs w:val="20"/>
          <w:lang w:val="es-CR"/>
        </w:rPr>
        <w:t xml:space="preserve"> </w:t>
      </w:r>
      <w:r w:rsidRPr="00DF350D">
        <w:rPr>
          <w:rFonts w:ascii="Verdana" w:hAnsi="Verdana"/>
          <w:sz w:val="20"/>
          <w:szCs w:val="20"/>
          <w:lang w:val="es-CR"/>
        </w:rPr>
        <w:t xml:space="preserve">uso inconsistente </w:t>
      </w:r>
      <w:r w:rsidR="00DF350D" w:rsidRPr="00DF350D">
        <w:rPr>
          <w:rFonts w:ascii="Verdana" w:hAnsi="Verdana"/>
          <w:sz w:val="20"/>
          <w:szCs w:val="20"/>
          <w:lang w:val="es-CR"/>
        </w:rPr>
        <w:t>e inadecuado</w:t>
      </w:r>
      <w:r w:rsidRPr="00DF350D">
        <w:rPr>
          <w:rFonts w:ascii="Verdana" w:hAnsi="Verdana"/>
          <w:sz w:val="20"/>
          <w:szCs w:val="20"/>
          <w:lang w:val="es-CR"/>
        </w:rPr>
        <w:t xml:space="preserve"> </w:t>
      </w:r>
      <w:r w:rsidR="003550D6">
        <w:rPr>
          <w:rFonts w:ascii="Verdana" w:hAnsi="Verdana"/>
          <w:sz w:val="20"/>
          <w:szCs w:val="20"/>
          <w:lang w:val="es-CR"/>
        </w:rPr>
        <w:t xml:space="preserve">que la </w:t>
      </w:r>
      <w:r w:rsidR="00DF350D" w:rsidRPr="00DF350D">
        <w:rPr>
          <w:rFonts w:ascii="Verdana" w:hAnsi="Verdana"/>
          <w:sz w:val="20"/>
          <w:szCs w:val="20"/>
          <w:lang w:val="es-CR"/>
        </w:rPr>
        <w:t xml:space="preserve">Corte ha hecho </w:t>
      </w:r>
      <w:r w:rsidRPr="00DF350D">
        <w:rPr>
          <w:rFonts w:ascii="Verdana" w:hAnsi="Verdana"/>
          <w:sz w:val="20"/>
          <w:szCs w:val="20"/>
          <w:lang w:val="es-CR"/>
        </w:rPr>
        <w:t xml:space="preserve">del principio </w:t>
      </w:r>
      <w:r w:rsidRPr="00DF350D">
        <w:rPr>
          <w:rFonts w:ascii="Verdana" w:hAnsi="Verdana"/>
          <w:i/>
          <w:sz w:val="20"/>
          <w:szCs w:val="20"/>
          <w:lang w:val="es-CR"/>
        </w:rPr>
        <w:t>iura novit curia</w:t>
      </w:r>
      <w:r w:rsidRPr="00DF350D">
        <w:rPr>
          <w:rFonts w:ascii="Verdana" w:hAnsi="Verdana"/>
          <w:sz w:val="20"/>
          <w:szCs w:val="20"/>
          <w:lang w:val="es-CR"/>
        </w:rPr>
        <w:t xml:space="preserve"> en sus sentencias </w:t>
      </w:r>
      <w:r w:rsidR="00DF350D" w:rsidRPr="00DF350D">
        <w:rPr>
          <w:rFonts w:ascii="Verdana" w:hAnsi="Verdana"/>
          <w:sz w:val="20"/>
          <w:szCs w:val="20"/>
          <w:lang w:val="es-CR"/>
        </w:rPr>
        <w:t xml:space="preserve">recientes </w:t>
      </w:r>
      <w:r w:rsidRPr="00DF350D">
        <w:rPr>
          <w:rFonts w:ascii="Verdana" w:hAnsi="Verdana"/>
          <w:sz w:val="20"/>
          <w:szCs w:val="20"/>
          <w:lang w:val="es-CR"/>
        </w:rPr>
        <w:t xml:space="preserve">que involucran derechos sociales. En ese sentido, mis reflexiones complementan lo ya expresado en mis votos de los casos </w:t>
      </w:r>
      <w:r w:rsidRPr="00DF350D">
        <w:rPr>
          <w:rFonts w:ascii="Verdana" w:hAnsi="Verdana"/>
          <w:i/>
          <w:sz w:val="20"/>
          <w:szCs w:val="20"/>
          <w:lang w:val="es-CR"/>
        </w:rPr>
        <w:t>Gonzales Lluy y otros Vs. Ecuador</w:t>
      </w:r>
      <w:r w:rsidR="0037355B" w:rsidRPr="00E27FD9">
        <w:rPr>
          <w:rStyle w:val="FootnoteReference"/>
          <w:rFonts w:ascii="Verdana" w:hAnsi="Verdana"/>
          <w:sz w:val="20"/>
          <w:szCs w:val="20"/>
          <w:lang w:val="es-CR"/>
        </w:rPr>
        <w:footnoteReference w:id="1"/>
      </w:r>
      <w:r w:rsidRPr="00DF350D">
        <w:rPr>
          <w:rFonts w:ascii="Verdana" w:hAnsi="Verdana"/>
          <w:sz w:val="20"/>
          <w:szCs w:val="20"/>
          <w:lang w:val="es-CR"/>
        </w:rPr>
        <w:t xml:space="preserve">, </w:t>
      </w:r>
      <w:r w:rsidRPr="00DF350D">
        <w:rPr>
          <w:rFonts w:ascii="Verdana" w:hAnsi="Verdana"/>
          <w:i/>
          <w:sz w:val="20"/>
          <w:szCs w:val="20"/>
          <w:lang w:val="es-CR"/>
        </w:rPr>
        <w:t>Lagos del Campo Vs. Perú</w:t>
      </w:r>
      <w:r w:rsidR="0037355B" w:rsidRPr="00E27FD9">
        <w:rPr>
          <w:rStyle w:val="FootnoteReference"/>
          <w:rFonts w:ascii="Verdana" w:hAnsi="Verdana"/>
          <w:sz w:val="20"/>
          <w:szCs w:val="20"/>
          <w:lang w:val="es-CR"/>
        </w:rPr>
        <w:footnoteReference w:id="2"/>
      </w:r>
      <w:r w:rsidRPr="00E27FD9">
        <w:rPr>
          <w:rFonts w:ascii="Verdana" w:hAnsi="Verdana"/>
          <w:sz w:val="20"/>
          <w:szCs w:val="20"/>
          <w:lang w:val="es-CR"/>
        </w:rPr>
        <w:t>,</w:t>
      </w:r>
      <w:r w:rsidRPr="00DF350D">
        <w:rPr>
          <w:rFonts w:ascii="Verdana" w:hAnsi="Verdana"/>
          <w:sz w:val="20"/>
          <w:szCs w:val="20"/>
          <w:lang w:val="es-CR"/>
        </w:rPr>
        <w:t xml:space="preserve"> </w:t>
      </w:r>
      <w:r w:rsidRPr="00DF350D">
        <w:rPr>
          <w:rFonts w:ascii="Verdana" w:hAnsi="Verdana"/>
          <w:i/>
          <w:sz w:val="20"/>
          <w:szCs w:val="20"/>
          <w:lang w:val="es-CR"/>
        </w:rPr>
        <w:t>Trabajadores Cesados de Petroperú y otros Vs. Perú</w:t>
      </w:r>
      <w:r w:rsidR="0037355B" w:rsidRPr="00E27FD9">
        <w:rPr>
          <w:rStyle w:val="FootnoteReference"/>
          <w:rFonts w:ascii="Verdana" w:hAnsi="Verdana"/>
          <w:sz w:val="20"/>
          <w:szCs w:val="20"/>
          <w:lang w:val="es-CR"/>
        </w:rPr>
        <w:footnoteReference w:id="3"/>
      </w:r>
      <w:r w:rsidRPr="00E27FD9">
        <w:rPr>
          <w:rFonts w:ascii="Verdana" w:hAnsi="Verdana"/>
          <w:sz w:val="20"/>
          <w:szCs w:val="20"/>
          <w:lang w:val="es-CR"/>
        </w:rPr>
        <w:t>,</w:t>
      </w:r>
      <w:r w:rsidRPr="00DF350D">
        <w:rPr>
          <w:rFonts w:ascii="Verdana" w:hAnsi="Verdana"/>
          <w:sz w:val="20"/>
          <w:szCs w:val="20"/>
          <w:lang w:val="es-CR"/>
        </w:rPr>
        <w:t xml:space="preserve"> </w:t>
      </w:r>
      <w:r w:rsidRPr="00DF350D">
        <w:rPr>
          <w:rFonts w:ascii="Verdana" w:hAnsi="Verdana"/>
          <w:i/>
          <w:sz w:val="20"/>
          <w:szCs w:val="20"/>
          <w:lang w:val="es-CR"/>
        </w:rPr>
        <w:t>San Miguel Sosa y otras Vs. Venezuela</w:t>
      </w:r>
      <w:r w:rsidR="0037355B" w:rsidRPr="00E27FD9">
        <w:rPr>
          <w:rStyle w:val="FootnoteReference"/>
          <w:rFonts w:ascii="Verdana" w:hAnsi="Verdana"/>
          <w:sz w:val="20"/>
          <w:szCs w:val="20"/>
          <w:lang w:val="es-CR"/>
        </w:rPr>
        <w:footnoteReference w:id="4"/>
      </w:r>
      <w:r w:rsidRPr="00E27FD9">
        <w:rPr>
          <w:rFonts w:ascii="Verdana" w:hAnsi="Verdana"/>
          <w:sz w:val="20"/>
          <w:szCs w:val="20"/>
          <w:lang w:val="es-CR"/>
        </w:rPr>
        <w:t>,</w:t>
      </w:r>
      <w:r w:rsidR="00D9334A" w:rsidRPr="00E27FD9">
        <w:rPr>
          <w:rFonts w:ascii="Verdana" w:hAnsi="Verdana"/>
          <w:sz w:val="20"/>
          <w:szCs w:val="20"/>
          <w:lang w:val="es-CR"/>
        </w:rPr>
        <w:t xml:space="preserve"> </w:t>
      </w:r>
      <w:r w:rsidR="00D9334A">
        <w:rPr>
          <w:rFonts w:ascii="Verdana" w:hAnsi="Verdana"/>
          <w:i/>
          <w:sz w:val="20"/>
          <w:szCs w:val="20"/>
          <w:lang w:val="es-CR"/>
        </w:rPr>
        <w:t>Poblete Vilches y otros Vs. Chile</w:t>
      </w:r>
      <w:r w:rsidR="0037355B" w:rsidRPr="00E27FD9">
        <w:rPr>
          <w:rStyle w:val="FootnoteReference"/>
          <w:rFonts w:ascii="Verdana" w:hAnsi="Verdana"/>
          <w:sz w:val="20"/>
          <w:szCs w:val="20"/>
          <w:lang w:val="es-CR"/>
        </w:rPr>
        <w:footnoteReference w:id="5"/>
      </w:r>
      <w:r w:rsidR="00D9334A" w:rsidRPr="00E27FD9">
        <w:rPr>
          <w:rFonts w:ascii="Verdana" w:hAnsi="Verdana"/>
          <w:sz w:val="20"/>
          <w:szCs w:val="20"/>
          <w:lang w:val="es-CR"/>
        </w:rPr>
        <w:t>,</w:t>
      </w:r>
      <w:r w:rsidRPr="00DF350D">
        <w:rPr>
          <w:rFonts w:ascii="Verdana" w:hAnsi="Verdana"/>
          <w:sz w:val="20"/>
          <w:szCs w:val="20"/>
          <w:lang w:val="es-CR"/>
        </w:rPr>
        <w:t xml:space="preserve"> </w:t>
      </w:r>
      <w:r w:rsidRPr="00DF350D">
        <w:rPr>
          <w:rFonts w:ascii="Verdana" w:hAnsi="Verdana"/>
          <w:i/>
          <w:sz w:val="20"/>
          <w:szCs w:val="20"/>
          <w:lang w:val="es-CR"/>
        </w:rPr>
        <w:t>Cuscul Pivaral y otros Vs. Guatemala</w:t>
      </w:r>
      <w:r w:rsidR="0037355B" w:rsidRPr="00E27FD9">
        <w:rPr>
          <w:rStyle w:val="FootnoteReference"/>
          <w:rFonts w:ascii="Verdana" w:hAnsi="Verdana"/>
          <w:sz w:val="20"/>
          <w:szCs w:val="20"/>
          <w:lang w:val="es-CR"/>
        </w:rPr>
        <w:footnoteReference w:id="6"/>
      </w:r>
      <w:r w:rsidRPr="00DF350D">
        <w:rPr>
          <w:rFonts w:ascii="Verdana" w:hAnsi="Verdana"/>
          <w:i/>
          <w:sz w:val="20"/>
          <w:szCs w:val="20"/>
          <w:lang w:val="es-CR"/>
        </w:rPr>
        <w:t xml:space="preserve"> </w:t>
      </w:r>
      <w:r w:rsidRPr="00DF350D">
        <w:rPr>
          <w:rFonts w:ascii="Verdana" w:hAnsi="Verdana"/>
          <w:sz w:val="20"/>
          <w:szCs w:val="20"/>
          <w:lang w:val="es-CR"/>
        </w:rPr>
        <w:t xml:space="preserve">y </w:t>
      </w:r>
      <w:r w:rsidRPr="00DF350D">
        <w:rPr>
          <w:rFonts w:ascii="Verdana" w:hAnsi="Verdana"/>
          <w:i/>
          <w:sz w:val="20"/>
          <w:szCs w:val="20"/>
          <w:lang w:val="es-CR"/>
        </w:rPr>
        <w:t>Muelle Flores Vs. Perú</w:t>
      </w:r>
      <w:r w:rsidR="0037355B" w:rsidRPr="00E27FD9">
        <w:rPr>
          <w:rStyle w:val="FootnoteReference"/>
          <w:rFonts w:ascii="Verdana" w:hAnsi="Verdana"/>
          <w:sz w:val="20"/>
          <w:szCs w:val="20"/>
          <w:lang w:val="es-CR"/>
        </w:rPr>
        <w:footnoteReference w:id="7"/>
      </w:r>
      <w:r w:rsidR="00A67F1B" w:rsidRPr="00DF350D">
        <w:rPr>
          <w:rFonts w:ascii="Verdana" w:hAnsi="Verdana"/>
          <w:i/>
          <w:sz w:val="20"/>
          <w:szCs w:val="20"/>
          <w:lang w:val="es-CR"/>
        </w:rPr>
        <w:t xml:space="preserve"> </w:t>
      </w:r>
      <w:r w:rsidR="00DF350D" w:rsidRPr="00DF350D">
        <w:rPr>
          <w:rFonts w:ascii="Verdana" w:hAnsi="Verdana"/>
          <w:sz w:val="20"/>
          <w:szCs w:val="20"/>
          <w:lang w:val="es-CR"/>
        </w:rPr>
        <w:t>respecto a lo</w:t>
      </w:r>
      <w:r w:rsidR="00A67F1B" w:rsidRPr="00DF350D">
        <w:rPr>
          <w:rFonts w:ascii="Verdana" w:hAnsi="Verdana"/>
          <w:sz w:val="20"/>
          <w:szCs w:val="20"/>
          <w:lang w:val="es-CR"/>
        </w:rPr>
        <w:t xml:space="preserve">s múltiples </w:t>
      </w:r>
      <w:r w:rsidR="00A67F1B" w:rsidRPr="00DF350D">
        <w:rPr>
          <w:rFonts w:ascii="Verdana" w:hAnsi="Verdana"/>
          <w:sz w:val="20"/>
          <w:szCs w:val="20"/>
          <w:lang w:val="es-CR"/>
        </w:rPr>
        <w:lastRenderedPageBreak/>
        <w:t xml:space="preserve">problemas lógicos, jurídicos y prácticos que </w:t>
      </w:r>
      <w:r w:rsidR="00DF350D">
        <w:rPr>
          <w:rFonts w:ascii="Verdana" w:hAnsi="Verdana"/>
          <w:sz w:val="20"/>
          <w:szCs w:val="20"/>
          <w:lang w:val="es-CR"/>
        </w:rPr>
        <w:t>resultan de la tendencia iniciada por</w:t>
      </w:r>
      <w:r w:rsidR="00A67F1B" w:rsidRPr="00DF350D">
        <w:rPr>
          <w:rFonts w:ascii="Verdana" w:hAnsi="Verdana"/>
          <w:sz w:val="20"/>
          <w:szCs w:val="20"/>
          <w:lang w:val="es-CR"/>
        </w:rPr>
        <w:t xml:space="preserve"> la mayoría</w:t>
      </w:r>
      <w:r w:rsidR="00D51585" w:rsidRPr="00DF350D">
        <w:rPr>
          <w:rFonts w:ascii="Verdana" w:hAnsi="Verdana"/>
          <w:sz w:val="20"/>
          <w:szCs w:val="20"/>
          <w:lang w:val="es-CR"/>
        </w:rPr>
        <w:t xml:space="preserve"> </w:t>
      </w:r>
      <w:r w:rsidR="00DF350D">
        <w:rPr>
          <w:rFonts w:ascii="Verdana" w:hAnsi="Verdana"/>
          <w:sz w:val="20"/>
          <w:szCs w:val="20"/>
          <w:lang w:val="es-CR"/>
        </w:rPr>
        <w:t xml:space="preserve">desde la sentencia del caso </w:t>
      </w:r>
      <w:r w:rsidR="00DF350D">
        <w:rPr>
          <w:rFonts w:ascii="Verdana" w:hAnsi="Verdana"/>
          <w:i/>
          <w:sz w:val="20"/>
          <w:szCs w:val="20"/>
          <w:lang w:val="es-CR"/>
        </w:rPr>
        <w:t>Lagos del Campo</w:t>
      </w:r>
      <w:r w:rsidR="00913DEF">
        <w:rPr>
          <w:rFonts w:ascii="Verdana" w:hAnsi="Verdana"/>
          <w:i/>
          <w:sz w:val="20"/>
          <w:szCs w:val="20"/>
          <w:lang w:val="es-CR"/>
        </w:rPr>
        <w:t xml:space="preserve"> Vs. Perú</w:t>
      </w:r>
      <w:r w:rsidR="00EF7767" w:rsidRPr="00DF350D">
        <w:rPr>
          <w:rFonts w:ascii="Verdana" w:hAnsi="Verdana"/>
          <w:sz w:val="20"/>
          <w:szCs w:val="20"/>
          <w:lang w:val="es-CR"/>
        </w:rPr>
        <w:t>.</w:t>
      </w:r>
    </w:p>
    <w:p w14:paraId="6742ADAB" w14:textId="77777777" w:rsidR="00977A68" w:rsidRDefault="00977A68" w:rsidP="00977A68">
      <w:pPr>
        <w:pStyle w:val="ListParagraph"/>
        <w:ind w:left="0"/>
        <w:jc w:val="both"/>
        <w:rPr>
          <w:rFonts w:ascii="Verdana" w:hAnsi="Verdana"/>
          <w:sz w:val="20"/>
          <w:szCs w:val="20"/>
          <w:lang w:val="es-CR"/>
        </w:rPr>
      </w:pPr>
    </w:p>
    <w:p w14:paraId="040D786E" w14:textId="11E4BA7A" w:rsidR="00977A68" w:rsidRPr="00977A68" w:rsidRDefault="00977A68" w:rsidP="00977A68">
      <w:pPr>
        <w:jc w:val="both"/>
        <w:rPr>
          <w:rFonts w:ascii="Verdana" w:eastAsia="Cambria" w:hAnsi="Verdana" w:cs="Cambria"/>
          <w:b/>
          <w:i/>
          <w:color w:val="000000"/>
          <w:u w:color="000000"/>
          <w:lang w:val="es-CR" w:eastAsia="es-ES"/>
        </w:rPr>
      </w:pPr>
      <w:r w:rsidRPr="00977A68">
        <w:rPr>
          <w:rFonts w:ascii="Verdana" w:eastAsia="Cambria" w:hAnsi="Verdana" w:cs="Cambria"/>
          <w:b/>
          <w:i/>
          <w:color w:val="000000"/>
          <w:u w:color="000000"/>
          <w:lang w:val="es-CR" w:eastAsia="es-ES"/>
        </w:rPr>
        <w:t xml:space="preserve">II. Respecto al </w:t>
      </w:r>
      <w:r w:rsidR="005E3523">
        <w:rPr>
          <w:rFonts w:ascii="Verdana" w:eastAsia="Cambria" w:hAnsi="Verdana" w:cs="Cambria"/>
          <w:b/>
          <w:i/>
          <w:color w:val="000000"/>
          <w:u w:color="000000"/>
          <w:lang w:val="es-CR" w:eastAsia="es-ES"/>
        </w:rPr>
        <w:t>uso</w:t>
      </w:r>
      <w:r w:rsidR="00A6546B">
        <w:rPr>
          <w:rFonts w:ascii="Verdana" w:eastAsia="Cambria" w:hAnsi="Verdana" w:cs="Cambria"/>
          <w:b/>
          <w:i/>
          <w:color w:val="000000"/>
          <w:u w:color="000000"/>
          <w:lang w:val="es-CR" w:eastAsia="es-ES"/>
        </w:rPr>
        <w:t xml:space="preserve"> inadecuado</w:t>
      </w:r>
      <w:r w:rsidR="005E3523">
        <w:rPr>
          <w:rFonts w:ascii="Verdana" w:eastAsia="Cambria" w:hAnsi="Verdana" w:cs="Cambria"/>
          <w:b/>
          <w:i/>
          <w:color w:val="000000"/>
          <w:u w:color="000000"/>
          <w:lang w:val="es-CR" w:eastAsia="es-ES"/>
        </w:rPr>
        <w:t xml:space="preserve"> </w:t>
      </w:r>
      <w:r w:rsidR="00A6546B">
        <w:rPr>
          <w:rFonts w:ascii="Verdana" w:eastAsia="Cambria" w:hAnsi="Verdana" w:cs="Cambria"/>
          <w:b/>
          <w:i/>
          <w:color w:val="000000"/>
          <w:u w:color="000000"/>
          <w:lang w:val="es-CR" w:eastAsia="es-ES"/>
        </w:rPr>
        <w:t>de</w:t>
      </w:r>
      <w:r w:rsidR="005E3523">
        <w:rPr>
          <w:rFonts w:ascii="Verdana" w:eastAsia="Cambria" w:hAnsi="Verdana" w:cs="Cambria"/>
          <w:b/>
          <w:i/>
          <w:color w:val="000000"/>
          <w:u w:color="000000"/>
          <w:lang w:val="es-CR" w:eastAsia="es-ES"/>
        </w:rPr>
        <w:t xml:space="preserve"> la Corte del principio </w:t>
      </w:r>
      <w:r w:rsidR="002162CD">
        <w:rPr>
          <w:rFonts w:ascii="Verdana" w:eastAsia="Cambria" w:hAnsi="Verdana" w:cs="Cambria"/>
          <w:b/>
          <w:i/>
          <w:color w:val="000000"/>
          <w:u w:color="000000"/>
          <w:lang w:val="es-CR" w:eastAsia="es-ES"/>
        </w:rPr>
        <w:t>iura novit curia</w:t>
      </w:r>
      <w:r w:rsidR="00A6546B">
        <w:rPr>
          <w:rFonts w:ascii="Verdana" w:eastAsia="Cambria" w:hAnsi="Verdana" w:cs="Cambria"/>
          <w:b/>
          <w:i/>
          <w:color w:val="000000"/>
          <w:u w:color="000000"/>
          <w:lang w:val="es-CR" w:eastAsia="es-ES"/>
        </w:rPr>
        <w:t xml:space="preserve"> en sentencias recientes en materia de DESCA</w:t>
      </w:r>
    </w:p>
    <w:p w14:paraId="13D1B861" w14:textId="77777777" w:rsidR="00977A68" w:rsidRDefault="00977A68" w:rsidP="00977A68">
      <w:pPr>
        <w:jc w:val="both"/>
        <w:rPr>
          <w:rFonts w:ascii="Verdana" w:eastAsia="Cambria" w:hAnsi="Verdana" w:cs="Cambria"/>
          <w:color w:val="000000"/>
          <w:u w:color="000000"/>
          <w:lang w:val="es-CR" w:eastAsia="es-ES"/>
        </w:rPr>
      </w:pPr>
    </w:p>
    <w:p w14:paraId="6F9B1F5A" w14:textId="13B6F0EC" w:rsidR="004A65D3" w:rsidRPr="004A65D3" w:rsidRDefault="00D51585" w:rsidP="004A65D3">
      <w:pPr>
        <w:pStyle w:val="ListParagraph"/>
        <w:numPr>
          <w:ilvl w:val="0"/>
          <w:numId w:val="1"/>
        </w:numPr>
        <w:ind w:left="0" w:firstLine="0"/>
        <w:jc w:val="both"/>
        <w:rPr>
          <w:rFonts w:ascii="Verdana" w:hAnsi="Verdana"/>
          <w:lang w:val="es-CR"/>
        </w:rPr>
      </w:pPr>
      <w:r>
        <w:rPr>
          <w:rFonts w:ascii="Verdana" w:hAnsi="Verdana"/>
          <w:sz w:val="20"/>
          <w:szCs w:val="20"/>
          <w:lang w:val="es-CR"/>
        </w:rPr>
        <w:t xml:space="preserve">En mi voto en el caso </w:t>
      </w:r>
      <w:r>
        <w:rPr>
          <w:rFonts w:ascii="Verdana" w:hAnsi="Verdana"/>
          <w:i/>
          <w:sz w:val="20"/>
          <w:szCs w:val="20"/>
          <w:lang w:val="es-CR"/>
        </w:rPr>
        <w:t xml:space="preserve">Lagos del Campo Vs. Perú </w:t>
      </w:r>
      <w:r>
        <w:rPr>
          <w:rFonts w:ascii="Verdana" w:hAnsi="Verdana"/>
          <w:sz w:val="20"/>
          <w:szCs w:val="20"/>
          <w:lang w:val="es-CR"/>
        </w:rPr>
        <w:t xml:space="preserve">manifesté que </w:t>
      </w:r>
      <w:r w:rsidR="003550D6">
        <w:rPr>
          <w:rFonts w:ascii="Verdana" w:hAnsi="Verdana"/>
          <w:sz w:val="20"/>
          <w:szCs w:val="20"/>
          <w:lang w:val="es-CR"/>
        </w:rPr>
        <w:t>resultaba imprudente</w:t>
      </w:r>
      <w:r>
        <w:rPr>
          <w:rFonts w:ascii="Verdana" w:hAnsi="Verdana"/>
          <w:sz w:val="20"/>
          <w:szCs w:val="20"/>
          <w:lang w:val="es-CR"/>
        </w:rPr>
        <w:t xml:space="preserve"> hacer uso del principio </w:t>
      </w:r>
      <w:r>
        <w:rPr>
          <w:rFonts w:ascii="Verdana" w:hAnsi="Verdana"/>
          <w:i/>
          <w:sz w:val="20"/>
          <w:szCs w:val="20"/>
          <w:lang w:val="es-CR"/>
        </w:rPr>
        <w:t xml:space="preserve">iura novit curia </w:t>
      </w:r>
      <w:r w:rsidR="00DC2D5B">
        <w:rPr>
          <w:rFonts w:ascii="Verdana" w:hAnsi="Verdana"/>
          <w:sz w:val="20"/>
          <w:szCs w:val="20"/>
          <w:lang w:val="es-CR"/>
        </w:rPr>
        <w:t>para analizar el caso y de esa forma concluir que existía una violación al derecho a la estabilidad laboral</w:t>
      </w:r>
      <w:r w:rsidR="004A65D3">
        <w:rPr>
          <w:rFonts w:ascii="Verdana" w:hAnsi="Verdana"/>
          <w:sz w:val="20"/>
          <w:szCs w:val="20"/>
          <w:lang w:val="es-CR"/>
        </w:rPr>
        <w:t xml:space="preserve"> sobre la base del artículo 26 de la Convención</w:t>
      </w:r>
      <w:r w:rsidR="00DC2D5B">
        <w:rPr>
          <w:rFonts w:ascii="Verdana" w:hAnsi="Verdana"/>
          <w:sz w:val="20"/>
          <w:szCs w:val="20"/>
          <w:lang w:val="es-CR"/>
        </w:rPr>
        <w:t xml:space="preserve">. </w:t>
      </w:r>
      <w:r w:rsidR="00775890">
        <w:rPr>
          <w:rFonts w:ascii="Verdana" w:hAnsi="Verdana"/>
          <w:sz w:val="20"/>
          <w:szCs w:val="20"/>
          <w:lang w:val="es-CR"/>
        </w:rPr>
        <w:t xml:space="preserve">Mi criterio se </w:t>
      </w:r>
      <w:r w:rsidR="003550D6">
        <w:rPr>
          <w:rFonts w:ascii="Verdana" w:hAnsi="Verdana"/>
          <w:sz w:val="20"/>
          <w:szCs w:val="20"/>
          <w:lang w:val="es-CR"/>
        </w:rPr>
        <w:t>fundamentó</w:t>
      </w:r>
      <w:r w:rsidR="00775890">
        <w:rPr>
          <w:rFonts w:ascii="Verdana" w:hAnsi="Verdana"/>
          <w:sz w:val="20"/>
          <w:szCs w:val="20"/>
          <w:lang w:val="es-CR"/>
        </w:rPr>
        <w:t xml:space="preserve"> en</w:t>
      </w:r>
      <w:r w:rsidR="003550D6">
        <w:rPr>
          <w:rFonts w:ascii="Verdana" w:hAnsi="Verdana"/>
          <w:sz w:val="20"/>
          <w:szCs w:val="20"/>
          <w:lang w:val="es-CR"/>
        </w:rPr>
        <w:t xml:space="preserve"> </w:t>
      </w:r>
      <w:r w:rsidR="00DC2D5B">
        <w:rPr>
          <w:rFonts w:ascii="Verdana" w:hAnsi="Verdana"/>
          <w:sz w:val="20"/>
          <w:szCs w:val="20"/>
          <w:lang w:val="es-CR"/>
        </w:rPr>
        <w:t>que</w:t>
      </w:r>
      <w:r w:rsidR="00913DEF">
        <w:rPr>
          <w:rFonts w:ascii="Verdana" w:hAnsi="Verdana"/>
          <w:sz w:val="20"/>
          <w:szCs w:val="20"/>
          <w:lang w:val="es-CR"/>
        </w:rPr>
        <w:t>,</w:t>
      </w:r>
      <w:r w:rsidR="00DC2D5B">
        <w:rPr>
          <w:rFonts w:ascii="Verdana" w:hAnsi="Verdana"/>
          <w:sz w:val="20"/>
          <w:szCs w:val="20"/>
          <w:lang w:val="es-CR"/>
        </w:rPr>
        <w:t xml:space="preserve"> si bien los jueces interamericanos pueden aplicar una norma que no ha </w:t>
      </w:r>
      <w:r w:rsidR="00DC2D5B">
        <w:rPr>
          <w:rFonts w:ascii="Verdana" w:hAnsi="Verdana"/>
          <w:sz w:val="20"/>
          <w:szCs w:val="20"/>
          <w:lang w:val="es-CR"/>
        </w:rPr>
        <w:lastRenderedPageBreak/>
        <w:t>sido alegada por la Comisión o por los representantes,</w:t>
      </w:r>
      <w:r w:rsidR="00A6546B">
        <w:rPr>
          <w:rFonts w:ascii="Verdana" w:hAnsi="Verdana"/>
          <w:sz w:val="20"/>
          <w:szCs w:val="20"/>
          <w:lang w:val="es-CR"/>
        </w:rPr>
        <w:t xml:space="preserve"> este principio no puede ser invocado</w:t>
      </w:r>
      <w:r w:rsidR="00DC2D5B">
        <w:rPr>
          <w:rFonts w:ascii="Verdana" w:hAnsi="Verdana"/>
          <w:sz w:val="20"/>
          <w:szCs w:val="20"/>
          <w:lang w:val="es-CR"/>
        </w:rPr>
        <w:t xml:space="preserve"> bajo cualquier circunstancia y sin acudir a criterios de razonabilidad y pertinencia. </w:t>
      </w:r>
      <w:r w:rsidR="00A6546B">
        <w:rPr>
          <w:rFonts w:ascii="Verdana" w:hAnsi="Verdana"/>
          <w:sz w:val="20"/>
          <w:szCs w:val="20"/>
          <w:lang w:val="es-CR"/>
        </w:rPr>
        <w:t>Habrá casos donde</w:t>
      </w:r>
      <w:r w:rsidR="00DC2D5B">
        <w:rPr>
          <w:rFonts w:ascii="Verdana" w:hAnsi="Verdana"/>
          <w:sz w:val="20"/>
          <w:szCs w:val="20"/>
          <w:lang w:val="es-CR"/>
        </w:rPr>
        <w:t xml:space="preserve"> sea manifiesta la violación a un derecho humano</w:t>
      </w:r>
      <w:r w:rsidR="00A6546B">
        <w:rPr>
          <w:rFonts w:ascii="Verdana" w:hAnsi="Verdana"/>
          <w:sz w:val="20"/>
          <w:szCs w:val="20"/>
          <w:lang w:val="es-CR"/>
        </w:rPr>
        <w:t xml:space="preserve"> que no fue alegado</w:t>
      </w:r>
      <w:r w:rsidR="00775890">
        <w:rPr>
          <w:rFonts w:ascii="Verdana" w:hAnsi="Verdana"/>
          <w:sz w:val="20"/>
          <w:szCs w:val="20"/>
          <w:lang w:val="es-CR"/>
        </w:rPr>
        <w:t xml:space="preserve"> o en los que </w:t>
      </w:r>
      <w:r w:rsidR="00DC2D5B">
        <w:rPr>
          <w:rFonts w:ascii="Verdana" w:hAnsi="Verdana"/>
          <w:sz w:val="20"/>
          <w:szCs w:val="20"/>
          <w:lang w:val="es-CR"/>
        </w:rPr>
        <w:t xml:space="preserve">la Comisión y los representantes </w:t>
      </w:r>
      <w:r w:rsidR="003550D6">
        <w:rPr>
          <w:rFonts w:ascii="Verdana" w:hAnsi="Verdana"/>
          <w:sz w:val="20"/>
          <w:szCs w:val="20"/>
          <w:lang w:val="es-CR"/>
        </w:rPr>
        <w:t>incurran</w:t>
      </w:r>
      <w:r w:rsidR="00DC2D5B">
        <w:rPr>
          <w:rFonts w:ascii="Verdana" w:hAnsi="Verdana"/>
          <w:sz w:val="20"/>
          <w:szCs w:val="20"/>
          <w:lang w:val="es-CR"/>
        </w:rPr>
        <w:t xml:space="preserve"> en un grave olvido o error, de manera que </w:t>
      </w:r>
      <w:r w:rsidR="003550D6">
        <w:rPr>
          <w:rFonts w:ascii="Verdana" w:hAnsi="Verdana"/>
          <w:sz w:val="20"/>
          <w:szCs w:val="20"/>
          <w:lang w:val="es-CR"/>
        </w:rPr>
        <w:t>resulte necesario</w:t>
      </w:r>
      <w:r w:rsidR="00775890">
        <w:rPr>
          <w:rFonts w:ascii="Verdana" w:hAnsi="Verdana"/>
          <w:sz w:val="20"/>
          <w:szCs w:val="20"/>
          <w:lang w:val="es-CR"/>
        </w:rPr>
        <w:t xml:space="preserve"> recurrir al referido principio para </w:t>
      </w:r>
      <w:r w:rsidR="003550D6">
        <w:rPr>
          <w:rFonts w:ascii="Verdana" w:hAnsi="Verdana"/>
          <w:sz w:val="20"/>
          <w:szCs w:val="20"/>
          <w:lang w:val="es-CR"/>
        </w:rPr>
        <w:t>evitar</w:t>
      </w:r>
      <w:r w:rsidR="00DC2D5B">
        <w:rPr>
          <w:rFonts w:ascii="Verdana" w:hAnsi="Verdana"/>
          <w:sz w:val="20"/>
          <w:szCs w:val="20"/>
          <w:lang w:val="es-CR"/>
        </w:rPr>
        <w:t xml:space="preserve"> una posible injusticia. </w:t>
      </w:r>
      <w:r w:rsidR="00730961">
        <w:rPr>
          <w:rFonts w:ascii="Verdana" w:hAnsi="Verdana"/>
          <w:sz w:val="20"/>
          <w:szCs w:val="20"/>
          <w:lang w:val="es-CR"/>
        </w:rPr>
        <w:t xml:space="preserve">No obstante, </w:t>
      </w:r>
      <w:r w:rsidR="00DC2D5B">
        <w:rPr>
          <w:rFonts w:ascii="Verdana" w:hAnsi="Verdana"/>
          <w:sz w:val="20"/>
          <w:szCs w:val="20"/>
          <w:lang w:val="es-CR"/>
        </w:rPr>
        <w:t xml:space="preserve">este principio no </w:t>
      </w:r>
      <w:r w:rsidR="00B554F1">
        <w:rPr>
          <w:rFonts w:ascii="Verdana" w:hAnsi="Verdana"/>
          <w:sz w:val="20"/>
          <w:szCs w:val="20"/>
          <w:lang w:val="es-CR"/>
        </w:rPr>
        <w:t>debe</w:t>
      </w:r>
      <w:r w:rsidR="00DC2D5B">
        <w:rPr>
          <w:rFonts w:ascii="Verdana" w:hAnsi="Verdana"/>
          <w:sz w:val="20"/>
          <w:szCs w:val="20"/>
          <w:lang w:val="es-CR"/>
        </w:rPr>
        <w:t xml:space="preserve"> ser utilizado para sorprender a un Estado con una violación que no preveía en lo más mínimo y que no tuvo oportunidad de subsanar ni de controvertir ni siquiera en los hechos.</w:t>
      </w:r>
      <w:r w:rsidR="00A3434F">
        <w:rPr>
          <w:rFonts w:ascii="Verdana" w:hAnsi="Verdana"/>
          <w:sz w:val="20"/>
          <w:szCs w:val="20"/>
          <w:lang w:val="es-CR"/>
        </w:rPr>
        <w:t xml:space="preserve"> El caso </w:t>
      </w:r>
      <w:r w:rsidR="00A3434F">
        <w:rPr>
          <w:rFonts w:ascii="Verdana" w:hAnsi="Verdana"/>
          <w:i/>
          <w:sz w:val="20"/>
          <w:szCs w:val="20"/>
          <w:lang w:val="es-CR"/>
        </w:rPr>
        <w:t>Lagos del Campo</w:t>
      </w:r>
      <w:r w:rsidR="00913DEF">
        <w:rPr>
          <w:rFonts w:ascii="Verdana" w:hAnsi="Verdana"/>
          <w:i/>
          <w:sz w:val="20"/>
          <w:szCs w:val="20"/>
          <w:lang w:val="es-CR"/>
        </w:rPr>
        <w:t xml:space="preserve"> Vs. Perú</w:t>
      </w:r>
      <w:r w:rsidR="00A3434F">
        <w:rPr>
          <w:rFonts w:ascii="Verdana" w:hAnsi="Verdana"/>
          <w:i/>
          <w:sz w:val="20"/>
          <w:szCs w:val="20"/>
          <w:lang w:val="es-CR"/>
        </w:rPr>
        <w:t xml:space="preserve"> </w:t>
      </w:r>
      <w:r w:rsidR="00A3434F">
        <w:rPr>
          <w:rFonts w:ascii="Verdana" w:hAnsi="Verdana"/>
          <w:sz w:val="20"/>
          <w:szCs w:val="20"/>
          <w:lang w:val="es-CR"/>
        </w:rPr>
        <w:t xml:space="preserve">es un ejemplo muy claro de cómo se puede utilizar este principio sin ninguna razón que lo justifique, </w:t>
      </w:r>
      <w:r w:rsidR="001C49B5">
        <w:rPr>
          <w:rFonts w:ascii="Verdana" w:hAnsi="Verdana"/>
          <w:sz w:val="20"/>
          <w:szCs w:val="20"/>
          <w:lang w:val="es-CR"/>
        </w:rPr>
        <w:t xml:space="preserve">pues su invocación pareció más el </w:t>
      </w:r>
      <w:r w:rsidR="001C49B5">
        <w:rPr>
          <w:rFonts w:ascii="Verdana" w:hAnsi="Verdana"/>
          <w:sz w:val="20"/>
          <w:szCs w:val="20"/>
          <w:lang w:val="es-CR"/>
        </w:rPr>
        <w:lastRenderedPageBreak/>
        <w:t xml:space="preserve">resultado de una decisión inspirada en el deseo de </w:t>
      </w:r>
      <w:r w:rsidR="00D9334A">
        <w:rPr>
          <w:rFonts w:ascii="Verdana" w:hAnsi="Verdana"/>
          <w:sz w:val="20"/>
          <w:szCs w:val="20"/>
          <w:lang w:val="es-CR"/>
        </w:rPr>
        <w:t>plasmar</w:t>
      </w:r>
      <w:r w:rsidR="001C49B5">
        <w:rPr>
          <w:rFonts w:ascii="Verdana" w:hAnsi="Verdana"/>
          <w:sz w:val="20"/>
          <w:szCs w:val="20"/>
          <w:lang w:val="es-CR"/>
        </w:rPr>
        <w:t xml:space="preserve"> </w:t>
      </w:r>
      <w:r w:rsidR="003550D6">
        <w:rPr>
          <w:rFonts w:ascii="Verdana" w:hAnsi="Verdana"/>
          <w:sz w:val="20"/>
          <w:szCs w:val="20"/>
          <w:lang w:val="es-CR"/>
        </w:rPr>
        <w:t>un criterio “novedoso”</w:t>
      </w:r>
      <w:r w:rsidR="001C49B5">
        <w:rPr>
          <w:rFonts w:ascii="Verdana" w:hAnsi="Verdana"/>
          <w:sz w:val="20"/>
          <w:szCs w:val="20"/>
          <w:lang w:val="es-CR"/>
        </w:rPr>
        <w:t xml:space="preserve"> que de una necesidad práctica para h</w:t>
      </w:r>
      <w:r w:rsidR="003550D6">
        <w:rPr>
          <w:rFonts w:ascii="Verdana" w:hAnsi="Verdana"/>
          <w:sz w:val="20"/>
          <w:szCs w:val="20"/>
          <w:lang w:val="es-CR"/>
        </w:rPr>
        <w:t>acer justicia a las víctimas de un</w:t>
      </w:r>
      <w:r w:rsidR="001C49B5">
        <w:rPr>
          <w:rFonts w:ascii="Verdana" w:hAnsi="Verdana"/>
          <w:sz w:val="20"/>
          <w:szCs w:val="20"/>
          <w:lang w:val="es-CR"/>
        </w:rPr>
        <w:t xml:space="preserve"> caso.</w:t>
      </w:r>
    </w:p>
    <w:p w14:paraId="2D0EAFCA" w14:textId="77777777" w:rsidR="004A65D3" w:rsidRDefault="004A65D3" w:rsidP="004A65D3">
      <w:pPr>
        <w:pStyle w:val="ListParagraph"/>
        <w:ind w:left="0"/>
        <w:jc w:val="both"/>
        <w:rPr>
          <w:rFonts w:ascii="Verdana" w:hAnsi="Verdana"/>
          <w:lang w:val="es-CR"/>
        </w:rPr>
      </w:pPr>
    </w:p>
    <w:p w14:paraId="44BDC5CC" w14:textId="5290C9FB" w:rsidR="00947375" w:rsidRDefault="001C49B5" w:rsidP="00947375">
      <w:pPr>
        <w:pStyle w:val="ListParagraph"/>
        <w:numPr>
          <w:ilvl w:val="0"/>
          <w:numId w:val="1"/>
        </w:numPr>
        <w:ind w:left="0" w:firstLine="0"/>
        <w:jc w:val="both"/>
        <w:rPr>
          <w:rFonts w:ascii="Verdana" w:hAnsi="Verdana"/>
          <w:sz w:val="20"/>
          <w:szCs w:val="20"/>
          <w:lang w:val="es-CR"/>
        </w:rPr>
      </w:pPr>
      <w:r>
        <w:rPr>
          <w:rFonts w:ascii="Verdana" w:hAnsi="Verdana"/>
          <w:sz w:val="20"/>
          <w:szCs w:val="20"/>
          <w:lang w:val="es-CR"/>
        </w:rPr>
        <w:t>Es importante tener en cuenta que l</w:t>
      </w:r>
      <w:r w:rsidR="004A65D3" w:rsidRPr="004A65D3">
        <w:rPr>
          <w:rFonts w:ascii="Verdana" w:hAnsi="Verdana"/>
          <w:sz w:val="20"/>
          <w:szCs w:val="20"/>
          <w:lang w:val="es-CR"/>
        </w:rPr>
        <w:t>a falta de op</w:t>
      </w:r>
      <w:r w:rsidR="004A65D3">
        <w:rPr>
          <w:rFonts w:ascii="Verdana" w:hAnsi="Verdana"/>
          <w:sz w:val="20"/>
          <w:szCs w:val="20"/>
          <w:lang w:val="es-CR"/>
        </w:rPr>
        <w:t>ortunidad procesal para que los Estados se pronuncien</w:t>
      </w:r>
      <w:r w:rsidR="00A3434F">
        <w:rPr>
          <w:rFonts w:ascii="Verdana" w:hAnsi="Verdana"/>
          <w:sz w:val="20"/>
          <w:szCs w:val="20"/>
          <w:lang w:val="es-CR"/>
        </w:rPr>
        <w:t xml:space="preserve"> sobr</w:t>
      </w:r>
      <w:r>
        <w:rPr>
          <w:rFonts w:ascii="Verdana" w:hAnsi="Verdana"/>
          <w:sz w:val="20"/>
          <w:szCs w:val="20"/>
          <w:lang w:val="es-CR"/>
        </w:rPr>
        <w:t>e cuestiones</w:t>
      </w:r>
      <w:r w:rsidR="00A3434F">
        <w:rPr>
          <w:rFonts w:ascii="Verdana" w:hAnsi="Verdana"/>
          <w:sz w:val="20"/>
          <w:szCs w:val="20"/>
          <w:lang w:val="es-CR"/>
        </w:rPr>
        <w:t xml:space="preserve"> de derecho </w:t>
      </w:r>
      <w:r>
        <w:rPr>
          <w:rFonts w:ascii="Verdana" w:hAnsi="Verdana"/>
          <w:sz w:val="20"/>
          <w:szCs w:val="20"/>
          <w:lang w:val="es-CR"/>
        </w:rPr>
        <w:t>colisiona con</w:t>
      </w:r>
      <w:r w:rsidR="004A65D3">
        <w:rPr>
          <w:rFonts w:ascii="Verdana" w:hAnsi="Verdana"/>
          <w:sz w:val="20"/>
          <w:szCs w:val="20"/>
          <w:lang w:val="es-CR"/>
        </w:rPr>
        <w:t xml:space="preserve"> al menos dos </w:t>
      </w:r>
      <w:r w:rsidR="00193F38">
        <w:rPr>
          <w:rFonts w:ascii="Verdana" w:hAnsi="Verdana"/>
          <w:sz w:val="20"/>
          <w:szCs w:val="20"/>
          <w:lang w:val="es-CR"/>
        </w:rPr>
        <w:t>cuestiones</w:t>
      </w:r>
      <w:r w:rsidR="004A65D3">
        <w:rPr>
          <w:rFonts w:ascii="Verdana" w:hAnsi="Verdana"/>
          <w:sz w:val="20"/>
          <w:szCs w:val="20"/>
          <w:lang w:val="es-CR"/>
        </w:rPr>
        <w:t xml:space="preserve"> fundamentales del régimen de protección del Sistema Interamericano de Derechos Humanos. </w:t>
      </w:r>
      <w:r w:rsidR="00193F38">
        <w:rPr>
          <w:rFonts w:ascii="Verdana" w:hAnsi="Verdana"/>
          <w:sz w:val="20"/>
          <w:szCs w:val="20"/>
          <w:lang w:val="es-CR"/>
        </w:rPr>
        <w:t>La primera</w:t>
      </w:r>
      <w:r w:rsidR="004A65D3">
        <w:rPr>
          <w:rFonts w:ascii="Verdana" w:hAnsi="Verdana"/>
          <w:sz w:val="20"/>
          <w:szCs w:val="20"/>
          <w:lang w:val="es-CR"/>
        </w:rPr>
        <w:t xml:space="preserve"> es el derecho a la defensa</w:t>
      </w:r>
      <w:r w:rsidR="00193F38">
        <w:rPr>
          <w:rFonts w:ascii="Verdana" w:hAnsi="Verdana"/>
          <w:sz w:val="20"/>
          <w:szCs w:val="20"/>
          <w:lang w:val="es-CR"/>
        </w:rPr>
        <w:t xml:space="preserve"> del Estado</w:t>
      </w:r>
      <w:r>
        <w:rPr>
          <w:rFonts w:ascii="Verdana" w:hAnsi="Verdana"/>
          <w:sz w:val="20"/>
          <w:szCs w:val="20"/>
          <w:lang w:val="es-CR"/>
        </w:rPr>
        <w:t>. Este derecho</w:t>
      </w:r>
      <w:r w:rsidR="004A65D3">
        <w:rPr>
          <w:rFonts w:ascii="Verdana" w:hAnsi="Verdana"/>
          <w:sz w:val="20"/>
          <w:szCs w:val="20"/>
          <w:lang w:val="es-CR"/>
        </w:rPr>
        <w:t xml:space="preserve"> implica </w:t>
      </w:r>
      <w:r w:rsidR="00D11CF0">
        <w:rPr>
          <w:rFonts w:ascii="Verdana" w:hAnsi="Verdana"/>
          <w:sz w:val="20"/>
          <w:szCs w:val="20"/>
          <w:lang w:val="es-CR"/>
        </w:rPr>
        <w:t>-</w:t>
      </w:r>
      <w:r w:rsidR="004A65D3">
        <w:rPr>
          <w:rFonts w:ascii="Verdana" w:hAnsi="Verdana"/>
          <w:sz w:val="20"/>
          <w:szCs w:val="20"/>
          <w:lang w:val="es-CR"/>
        </w:rPr>
        <w:t>como mínimo</w:t>
      </w:r>
      <w:r w:rsidR="00D11CF0">
        <w:rPr>
          <w:rFonts w:ascii="Verdana" w:hAnsi="Verdana"/>
          <w:sz w:val="20"/>
          <w:szCs w:val="20"/>
          <w:lang w:val="es-CR"/>
        </w:rPr>
        <w:t>-</w:t>
      </w:r>
      <w:r w:rsidR="004A65D3">
        <w:rPr>
          <w:rFonts w:ascii="Verdana" w:hAnsi="Verdana"/>
          <w:sz w:val="20"/>
          <w:szCs w:val="20"/>
          <w:lang w:val="es-CR"/>
        </w:rPr>
        <w:t xml:space="preserve"> que</w:t>
      </w:r>
      <w:r>
        <w:rPr>
          <w:rFonts w:ascii="Verdana" w:hAnsi="Verdana"/>
          <w:sz w:val="20"/>
          <w:szCs w:val="20"/>
          <w:lang w:val="es-CR"/>
        </w:rPr>
        <w:t xml:space="preserve"> el Estado</w:t>
      </w:r>
      <w:r w:rsidR="004A65D3">
        <w:rPr>
          <w:rFonts w:ascii="Verdana" w:hAnsi="Verdana"/>
          <w:sz w:val="20"/>
          <w:szCs w:val="20"/>
          <w:lang w:val="es-CR"/>
        </w:rPr>
        <w:t xml:space="preserve"> tenga la posibilidad de controvertir los alegatos relacionados con su responsabilidad internacional por la violación a un derecho humano</w:t>
      </w:r>
      <w:r w:rsidR="00193F38">
        <w:rPr>
          <w:rFonts w:ascii="Verdana" w:hAnsi="Verdana"/>
          <w:sz w:val="20"/>
          <w:szCs w:val="20"/>
          <w:lang w:val="es-CR"/>
        </w:rPr>
        <w:t>, más aún cuando se tratan cuestiones relacionadas con un enfoque totalmente novedoso en la jurisprudencia del Tribunal</w:t>
      </w:r>
      <w:r>
        <w:rPr>
          <w:rFonts w:ascii="Verdana" w:hAnsi="Verdana"/>
          <w:sz w:val="20"/>
          <w:szCs w:val="20"/>
          <w:lang w:val="es-CR"/>
        </w:rPr>
        <w:t xml:space="preserve">, como es el caso de la </w:t>
      </w:r>
      <w:r>
        <w:rPr>
          <w:rFonts w:ascii="Verdana" w:hAnsi="Verdana"/>
          <w:sz w:val="20"/>
          <w:szCs w:val="20"/>
          <w:lang w:val="es-CR"/>
        </w:rPr>
        <w:lastRenderedPageBreak/>
        <w:t>justiciabilidad directa de los DESCA</w:t>
      </w:r>
      <w:r w:rsidR="004A65D3">
        <w:rPr>
          <w:rFonts w:ascii="Verdana" w:hAnsi="Verdana"/>
          <w:sz w:val="20"/>
          <w:szCs w:val="20"/>
          <w:lang w:val="es-CR"/>
        </w:rPr>
        <w:t>. Al analizar violaciones a de</w:t>
      </w:r>
      <w:r>
        <w:rPr>
          <w:rFonts w:ascii="Verdana" w:hAnsi="Verdana"/>
          <w:sz w:val="20"/>
          <w:szCs w:val="20"/>
          <w:lang w:val="es-CR"/>
        </w:rPr>
        <w:t>rechos que nunca fueron debatido</w:t>
      </w:r>
      <w:r w:rsidR="004A65D3">
        <w:rPr>
          <w:rFonts w:ascii="Verdana" w:hAnsi="Verdana"/>
          <w:sz w:val="20"/>
          <w:szCs w:val="20"/>
          <w:lang w:val="es-CR"/>
        </w:rPr>
        <w:t>s en ninguna etapa del procedimiento, la Corte afecta la posibilidad de que el Estado esgrima argumentos y presente prueba</w:t>
      </w:r>
      <w:r w:rsidR="00193F38">
        <w:rPr>
          <w:rFonts w:ascii="Verdana" w:hAnsi="Verdana"/>
          <w:sz w:val="20"/>
          <w:szCs w:val="20"/>
          <w:lang w:val="es-CR"/>
        </w:rPr>
        <w:t>s para refutar dichas</w:t>
      </w:r>
      <w:r w:rsidR="004A65D3">
        <w:rPr>
          <w:rFonts w:ascii="Verdana" w:hAnsi="Verdana"/>
          <w:sz w:val="20"/>
          <w:szCs w:val="20"/>
          <w:lang w:val="es-CR"/>
        </w:rPr>
        <w:t xml:space="preserve"> violaciones. </w:t>
      </w:r>
      <w:r w:rsidR="00193F38">
        <w:rPr>
          <w:rFonts w:ascii="Verdana" w:hAnsi="Verdana"/>
          <w:sz w:val="20"/>
          <w:szCs w:val="20"/>
          <w:lang w:val="es-CR"/>
        </w:rPr>
        <w:t>La segunda es la regla del agotamiento de los recursos internos, que implica la oportunidad procesal para que el Estado remedie</w:t>
      </w:r>
      <w:r w:rsidR="00D11CF0">
        <w:rPr>
          <w:rFonts w:ascii="Verdana" w:hAnsi="Verdana"/>
          <w:sz w:val="20"/>
          <w:szCs w:val="20"/>
          <w:lang w:val="es-CR"/>
        </w:rPr>
        <w:t xml:space="preserve"> a través de los recursos de la jurisdicción interna</w:t>
      </w:r>
      <w:r w:rsidR="00193F38">
        <w:rPr>
          <w:rFonts w:ascii="Verdana" w:hAnsi="Verdana"/>
          <w:sz w:val="20"/>
          <w:szCs w:val="20"/>
          <w:lang w:val="es-CR"/>
        </w:rPr>
        <w:t xml:space="preserve"> las posibles violaciones a derechos que –de no hacerlo- serían luego analizadas en el ámbito internacional. </w:t>
      </w:r>
      <w:r w:rsidR="003550D6">
        <w:rPr>
          <w:rFonts w:ascii="Verdana" w:hAnsi="Verdana"/>
          <w:sz w:val="20"/>
          <w:szCs w:val="20"/>
          <w:lang w:val="es-CR"/>
        </w:rPr>
        <w:t>Es fundamental recordar que</w:t>
      </w:r>
      <w:r w:rsidR="00193F38">
        <w:rPr>
          <w:rFonts w:ascii="Verdana" w:hAnsi="Verdana"/>
          <w:sz w:val="20"/>
          <w:szCs w:val="20"/>
          <w:lang w:val="es-CR"/>
        </w:rPr>
        <w:t xml:space="preserve"> estas reglas existen y que son parte del sistema jurídico </w:t>
      </w:r>
      <w:r w:rsidR="00B554F1">
        <w:rPr>
          <w:rFonts w:ascii="Verdana" w:hAnsi="Verdana"/>
          <w:sz w:val="20"/>
          <w:szCs w:val="20"/>
          <w:lang w:val="es-CR"/>
        </w:rPr>
        <w:t>del que la</w:t>
      </w:r>
      <w:r w:rsidR="00193F38">
        <w:rPr>
          <w:rFonts w:ascii="Verdana" w:hAnsi="Verdana"/>
          <w:sz w:val="20"/>
          <w:szCs w:val="20"/>
          <w:lang w:val="es-CR"/>
        </w:rPr>
        <w:t xml:space="preserve"> Corte</w:t>
      </w:r>
      <w:r w:rsidR="00B554F1">
        <w:rPr>
          <w:rFonts w:ascii="Verdana" w:hAnsi="Verdana"/>
          <w:sz w:val="20"/>
          <w:szCs w:val="20"/>
          <w:lang w:val="es-CR"/>
        </w:rPr>
        <w:t xml:space="preserve"> es parte y por cuya vigencia le corresponde velar</w:t>
      </w:r>
      <w:r w:rsidR="00A37220">
        <w:rPr>
          <w:rStyle w:val="FootnoteReference"/>
          <w:rFonts w:ascii="Verdana" w:hAnsi="Verdana"/>
          <w:sz w:val="20"/>
          <w:szCs w:val="20"/>
          <w:lang w:val="es-CR"/>
        </w:rPr>
        <w:footnoteReference w:id="8"/>
      </w:r>
      <w:r w:rsidR="00193F38">
        <w:rPr>
          <w:rFonts w:ascii="Verdana" w:hAnsi="Verdana"/>
          <w:sz w:val="20"/>
          <w:szCs w:val="20"/>
          <w:lang w:val="es-CR"/>
        </w:rPr>
        <w:t>.</w:t>
      </w:r>
    </w:p>
    <w:p w14:paraId="7C4C67CD" w14:textId="77777777" w:rsidR="00947375" w:rsidRDefault="00947375" w:rsidP="00947375">
      <w:pPr>
        <w:pStyle w:val="ListParagraph"/>
        <w:ind w:left="0"/>
        <w:jc w:val="both"/>
        <w:rPr>
          <w:rFonts w:ascii="Verdana" w:hAnsi="Verdana"/>
          <w:sz w:val="20"/>
          <w:szCs w:val="20"/>
          <w:lang w:val="es-CR"/>
        </w:rPr>
      </w:pPr>
    </w:p>
    <w:p w14:paraId="6ADD4F7F" w14:textId="7E47B312" w:rsidR="00D11CF0" w:rsidRPr="003550D6" w:rsidRDefault="00D11CF0" w:rsidP="004A65D3">
      <w:pPr>
        <w:pStyle w:val="ListParagraph"/>
        <w:numPr>
          <w:ilvl w:val="0"/>
          <w:numId w:val="1"/>
        </w:numPr>
        <w:ind w:left="0" w:firstLine="0"/>
        <w:jc w:val="both"/>
        <w:rPr>
          <w:rFonts w:ascii="Verdana" w:hAnsi="Verdana"/>
          <w:sz w:val="20"/>
          <w:szCs w:val="20"/>
          <w:lang w:val="es-CR"/>
        </w:rPr>
      </w:pPr>
      <w:r w:rsidRPr="003550D6">
        <w:rPr>
          <w:rFonts w:ascii="Verdana" w:hAnsi="Verdana"/>
          <w:sz w:val="20"/>
          <w:szCs w:val="20"/>
          <w:lang w:val="es-CR"/>
        </w:rPr>
        <w:t>L</w:t>
      </w:r>
      <w:r w:rsidR="00B554F1" w:rsidRPr="003550D6">
        <w:rPr>
          <w:rFonts w:ascii="Verdana" w:hAnsi="Verdana"/>
          <w:sz w:val="20"/>
          <w:szCs w:val="20"/>
          <w:lang w:val="es-CR"/>
        </w:rPr>
        <w:t xml:space="preserve">a práctica jurisprudencial </w:t>
      </w:r>
      <w:r w:rsidR="00C11333" w:rsidRPr="003550D6">
        <w:rPr>
          <w:rFonts w:ascii="Verdana" w:hAnsi="Verdana"/>
          <w:sz w:val="20"/>
          <w:szCs w:val="20"/>
          <w:lang w:val="es-CR"/>
        </w:rPr>
        <w:t>reciente</w:t>
      </w:r>
      <w:r w:rsidR="00B554F1" w:rsidRPr="003550D6">
        <w:rPr>
          <w:rFonts w:ascii="Verdana" w:hAnsi="Verdana"/>
          <w:sz w:val="20"/>
          <w:szCs w:val="20"/>
          <w:lang w:val="es-CR"/>
        </w:rPr>
        <w:t xml:space="preserve"> muestra </w:t>
      </w:r>
      <w:r w:rsidR="003550D6" w:rsidRPr="003550D6">
        <w:rPr>
          <w:rFonts w:ascii="Verdana" w:hAnsi="Verdana"/>
          <w:sz w:val="20"/>
          <w:szCs w:val="20"/>
          <w:lang w:val="es-CR"/>
        </w:rPr>
        <w:t xml:space="preserve">un uso </w:t>
      </w:r>
      <w:r w:rsidR="00A37220">
        <w:rPr>
          <w:rFonts w:ascii="Verdana" w:hAnsi="Verdana"/>
          <w:sz w:val="20"/>
          <w:szCs w:val="20"/>
          <w:lang w:val="es-CR"/>
        </w:rPr>
        <w:t>frecuente</w:t>
      </w:r>
      <w:r w:rsidR="003550D6" w:rsidRPr="003550D6">
        <w:rPr>
          <w:rFonts w:ascii="Verdana" w:hAnsi="Verdana"/>
          <w:sz w:val="20"/>
          <w:szCs w:val="20"/>
          <w:lang w:val="es-CR"/>
        </w:rPr>
        <w:t xml:space="preserve"> del principio </w:t>
      </w:r>
      <w:r w:rsidR="003550D6" w:rsidRPr="0080681E">
        <w:rPr>
          <w:rFonts w:ascii="Verdana" w:hAnsi="Verdana"/>
          <w:i/>
          <w:sz w:val="20"/>
          <w:szCs w:val="20"/>
          <w:lang w:val="es-CR"/>
        </w:rPr>
        <w:t>iura novit curia</w:t>
      </w:r>
      <w:r w:rsidR="003550D6" w:rsidRPr="003550D6">
        <w:rPr>
          <w:rFonts w:ascii="Verdana" w:hAnsi="Verdana"/>
          <w:sz w:val="20"/>
          <w:szCs w:val="20"/>
          <w:lang w:val="es-CR"/>
        </w:rPr>
        <w:t xml:space="preserve"> </w:t>
      </w:r>
      <w:r w:rsidR="008E7537">
        <w:rPr>
          <w:rFonts w:ascii="Verdana" w:hAnsi="Verdana"/>
          <w:sz w:val="20"/>
          <w:szCs w:val="20"/>
          <w:lang w:val="es-CR"/>
        </w:rPr>
        <w:t>con poca</w:t>
      </w:r>
      <w:r w:rsidR="003550D6" w:rsidRPr="003550D6">
        <w:rPr>
          <w:rFonts w:ascii="Verdana" w:hAnsi="Verdana"/>
          <w:sz w:val="20"/>
          <w:szCs w:val="20"/>
          <w:lang w:val="es-CR"/>
        </w:rPr>
        <w:t xml:space="preserve"> consideración a las reglas antes mencionadas</w:t>
      </w:r>
      <w:r w:rsidR="00C70E31" w:rsidRPr="003550D6">
        <w:rPr>
          <w:rFonts w:ascii="Verdana" w:hAnsi="Verdana"/>
          <w:sz w:val="20"/>
          <w:szCs w:val="20"/>
          <w:lang w:val="es-CR"/>
        </w:rPr>
        <w:t xml:space="preserve">. </w:t>
      </w:r>
      <w:r w:rsidRPr="003550D6">
        <w:rPr>
          <w:rFonts w:ascii="Verdana" w:hAnsi="Verdana"/>
          <w:sz w:val="20"/>
          <w:szCs w:val="20"/>
          <w:lang w:val="es-CR"/>
        </w:rPr>
        <w:t>En l</w:t>
      </w:r>
      <w:r w:rsidR="00C70E31" w:rsidRPr="003550D6">
        <w:rPr>
          <w:rFonts w:ascii="Verdana" w:hAnsi="Verdana"/>
          <w:sz w:val="20"/>
          <w:szCs w:val="20"/>
          <w:lang w:val="es-CR"/>
        </w:rPr>
        <w:t>as sentencias de</w:t>
      </w:r>
      <w:r w:rsidR="0080681E">
        <w:rPr>
          <w:rFonts w:ascii="Verdana" w:hAnsi="Verdana"/>
          <w:sz w:val="20"/>
          <w:szCs w:val="20"/>
          <w:lang w:val="es-CR"/>
        </w:rPr>
        <w:t xml:space="preserve"> </w:t>
      </w:r>
      <w:r w:rsidR="0080681E">
        <w:rPr>
          <w:rFonts w:ascii="Verdana" w:hAnsi="Verdana"/>
          <w:i/>
          <w:sz w:val="20"/>
          <w:szCs w:val="20"/>
          <w:lang w:val="es-CR"/>
        </w:rPr>
        <w:t>Lagos del Campo,</w:t>
      </w:r>
      <w:r w:rsidR="00C70E31" w:rsidRPr="003550D6">
        <w:rPr>
          <w:rFonts w:ascii="Verdana" w:hAnsi="Verdana"/>
          <w:sz w:val="20"/>
          <w:szCs w:val="20"/>
          <w:lang w:val="es-CR"/>
        </w:rPr>
        <w:t xml:space="preserve"> </w:t>
      </w:r>
      <w:r w:rsidR="00D46A9A" w:rsidRPr="003550D6">
        <w:rPr>
          <w:rFonts w:ascii="Verdana" w:hAnsi="Verdana"/>
          <w:i/>
          <w:sz w:val="20"/>
          <w:szCs w:val="20"/>
          <w:lang w:val="es-CR"/>
        </w:rPr>
        <w:t>San Miguel Sosa</w:t>
      </w:r>
      <w:r w:rsidR="0080681E">
        <w:rPr>
          <w:rFonts w:ascii="Verdana" w:hAnsi="Verdana"/>
          <w:i/>
          <w:sz w:val="20"/>
          <w:szCs w:val="20"/>
          <w:lang w:val="es-CR"/>
        </w:rPr>
        <w:t>, Cuscul Pivaral</w:t>
      </w:r>
      <w:r w:rsidR="0080681E">
        <w:rPr>
          <w:rFonts w:ascii="Verdana" w:hAnsi="Verdana"/>
          <w:sz w:val="20"/>
          <w:szCs w:val="20"/>
          <w:lang w:val="es-CR"/>
        </w:rPr>
        <w:t xml:space="preserve"> y </w:t>
      </w:r>
      <w:r w:rsidR="0080681E">
        <w:rPr>
          <w:rFonts w:ascii="Verdana" w:hAnsi="Verdana"/>
          <w:i/>
          <w:sz w:val="20"/>
          <w:szCs w:val="20"/>
          <w:lang w:val="es-CR"/>
        </w:rPr>
        <w:t>Muelle Flores</w:t>
      </w:r>
      <w:r w:rsidRPr="003550D6">
        <w:rPr>
          <w:rFonts w:ascii="Verdana" w:hAnsi="Verdana"/>
          <w:sz w:val="20"/>
          <w:szCs w:val="20"/>
          <w:lang w:val="es-CR"/>
        </w:rPr>
        <w:t xml:space="preserve"> </w:t>
      </w:r>
      <w:r w:rsidR="00C11333" w:rsidRPr="003550D6">
        <w:rPr>
          <w:rFonts w:ascii="Verdana" w:hAnsi="Verdana"/>
          <w:sz w:val="20"/>
          <w:szCs w:val="20"/>
          <w:lang w:val="es-CR"/>
        </w:rPr>
        <w:t>se procedió a analizar</w:t>
      </w:r>
      <w:r w:rsidR="00D46A9A" w:rsidRPr="003550D6">
        <w:rPr>
          <w:rFonts w:ascii="Verdana" w:hAnsi="Verdana"/>
          <w:sz w:val="20"/>
          <w:szCs w:val="20"/>
          <w:lang w:val="es-CR"/>
        </w:rPr>
        <w:t xml:space="preserve"> los der</w:t>
      </w:r>
      <w:r w:rsidR="0080681E">
        <w:rPr>
          <w:rFonts w:ascii="Verdana" w:hAnsi="Verdana"/>
          <w:sz w:val="20"/>
          <w:szCs w:val="20"/>
          <w:lang w:val="es-CR"/>
        </w:rPr>
        <w:t>echos a la estabilidad laboral,</w:t>
      </w:r>
      <w:r w:rsidR="00D46A9A" w:rsidRPr="003550D6">
        <w:rPr>
          <w:rFonts w:ascii="Verdana" w:hAnsi="Verdana"/>
          <w:sz w:val="20"/>
          <w:szCs w:val="20"/>
          <w:lang w:val="es-CR"/>
        </w:rPr>
        <w:t xml:space="preserve"> la salud</w:t>
      </w:r>
      <w:r w:rsidR="001C49B5" w:rsidRPr="003550D6">
        <w:rPr>
          <w:rFonts w:ascii="Verdana" w:hAnsi="Verdana"/>
          <w:sz w:val="20"/>
          <w:szCs w:val="20"/>
          <w:lang w:val="es-CR"/>
        </w:rPr>
        <w:t>,</w:t>
      </w:r>
      <w:r w:rsidR="0080681E">
        <w:rPr>
          <w:rFonts w:ascii="Verdana" w:hAnsi="Verdana"/>
          <w:sz w:val="20"/>
          <w:szCs w:val="20"/>
          <w:lang w:val="es-CR"/>
        </w:rPr>
        <w:t xml:space="preserve"> la integridad personal y la dignidad,</w:t>
      </w:r>
      <w:r w:rsidR="001C49B5" w:rsidRPr="003550D6">
        <w:rPr>
          <w:rFonts w:ascii="Verdana" w:hAnsi="Verdana"/>
          <w:sz w:val="20"/>
          <w:szCs w:val="20"/>
          <w:lang w:val="es-CR"/>
        </w:rPr>
        <w:t xml:space="preserve"> respectivamente,</w:t>
      </w:r>
      <w:r w:rsidR="00D46A9A" w:rsidRPr="003550D6">
        <w:rPr>
          <w:rFonts w:ascii="Verdana" w:hAnsi="Verdana"/>
          <w:sz w:val="20"/>
          <w:szCs w:val="20"/>
          <w:lang w:val="es-CR"/>
        </w:rPr>
        <w:t xml:space="preserve"> sin </w:t>
      </w:r>
      <w:r w:rsidR="00C11333" w:rsidRPr="003550D6">
        <w:rPr>
          <w:rFonts w:ascii="Verdana" w:hAnsi="Verdana"/>
          <w:sz w:val="20"/>
          <w:szCs w:val="20"/>
          <w:lang w:val="es-CR"/>
        </w:rPr>
        <w:t>formular una</w:t>
      </w:r>
      <w:r w:rsidR="00D46A9A" w:rsidRPr="003550D6">
        <w:rPr>
          <w:rFonts w:ascii="Verdana" w:hAnsi="Verdana"/>
          <w:sz w:val="20"/>
          <w:szCs w:val="20"/>
          <w:lang w:val="es-CR"/>
        </w:rPr>
        <w:t xml:space="preserve"> justifi</w:t>
      </w:r>
      <w:r w:rsidR="00C11333" w:rsidRPr="003550D6">
        <w:rPr>
          <w:rFonts w:ascii="Verdana" w:hAnsi="Verdana"/>
          <w:sz w:val="20"/>
          <w:szCs w:val="20"/>
          <w:lang w:val="es-CR"/>
        </w:rPr>
        <w:t>cación suficiente</w:t>
      </w:r>
      <w:r w:rsidRPr="003550D6">
        <w:rPr>
          <w:rFonts w:ascii="Verdana" w:hAnsi="Verdana"/>
          <w:sz w:val="20"/>
          <w:szCs w:val="20"/>
          <w:lang w:val="es-CR"/>
        </w:rPr>
        <w:t xml:space="preserve"> para la invocación del principio antes mencionado</w:t>
      </w:r>
      <w:r w:rsidR="00C11333" w:rsidRPr="003550D6">
        <w:rPr>
          <w:rFonts w:ascii="Verdana" w:hAnsi="Verdana"/>
          <w:sz w:val="20"/>
          <w:szCs w:val="20"/>
          <w:lang w:val="es-CR"/>
        </w:rPr>
        <w:t xml:space="preserve">. </w:t>
      </w:r>
      <w:r w:rsidRPr="003550D6">
        <w:rPr>
          <w:rFonts w:ascii="Verdana" w:hAnsi="Verdana"/>
          <w:sz w:val="20"/>
          <w:szCs w:val="20"/>
          <w:lang w:val="es-CR"/>
        </w:rPr>
        <w:t xml:space="preserve">En </w:t>
      </w:r>
      <w:r w:rsidR="0080681E">
        <w:rPr>
          <w:rFonts w:ascii="Verdana" w:hAnsi="Verdana"/>
          <w:i/>
          <w:sz w:val="20"/>
          <w:szCs w:val="20"/>
          <w:lang w:val="es-CR"/>
        </w:rPr>
        <w:t>Muelle Flores</w:t>
      </w:r>
      <w:r w:rsidRPr="003550D6">
        <w:rPr>
          <w:rFonts w:ascii="Verdana" w:hAnsi="Verdana"/>
          <w:sz w:val="20"/>
          <w:szCs w:val="20"/>
          <w:lang w:val="es-CR"/>
        </w:rPr>
        <w:t xml:space="preserve"> la sentencia </w:t>
      </w:r>
      <w:r w:rsidR="00961352">
        <w:rPr>
          <w:rFonts w:ascii="Verdana" w:hAnsi="Verdana"/>
          <w:sz w:val="20"/>
          <w:szCs w:val="20"/>
          <w:lang w:val="es-CR"/>
        </w:rPr>
        <w:t xml:space="preserve">solo expresa que puede invocarse el </w:t>
      </w:r>
      <w:r w:rsidR="00961352">
        <w:rPr>
          <w:rFonts w:ascii="Verdana" w:hAnsi="Verdana"/>
          <w:i/>
          <w:sz w:val="20"/>
          <w:szCs w:val="20"/>
          <w:lang w:val="es-CR"/>
        </w:rPr>
        <w:lastRenderedPageBreak/>
        <w:t xml:space="preserve">iura novit curia </w:t>
      </w:r>
      <w:r w:rsidR="00961352">
        <w:rPr>
          <w:rFonts w:ascii="Verdana" w:hAnsi="Verdana"/>
          <w:sz w:val="20"/>
          <w:szCs w:val="20"/>
          <w:lang w:val="es-CR"/>
        </w:rPr>
        <w:t>en virtud de que es un principio general de derecho que ha sido reiteradamente utilizado en la jurisprudencia internacional</w:t>
      </w:r>
      <w:r w:rsidRPr="003550D6">
        <w:rPr>
          <w:rFonts w:ascii="Verdana" w:hAnsi="Verdana"/>
          <w:sz w:val="20"/>
          <w:szCs w:val="20"/>
          <w:lang w:val="es-CR"/>
        </w:rPr>
        <w:t xml:space="preserve">. En </w:t>
      </w:r>
      <w:r w:rsidRPr="003550D6">
        <w:rPr>
          <w:rFonts w:ascii="Verdana" w:hAnsi="Verdana"/>
          <w:i/>
          <w:sz w:val="20"/>
          <w:szCs w:val="20"/>
          <w:lang w:val="es-CR"/>
        </w:rPr>
        <w:t>Cuscul Pivaral</w:t>
      </w:r>
      <w:r w:rsidR="003550D6">
        <w:rPr>
          <w:rFonts w:ascii="Verdana" w:hAnsi="Verdana"/>
          <w:i/>
          <w:sz w:val="20"/>
          <w:szCs w:val="20"/>
          <w:lang w:val="es-CR"/>
        </w:rPr>
        <w:t xml:space="preserve"> </w:t>
      </w:r>
      <w:r w:rsidRPr="003550D6">
        <w:rPr>
          <w:rFonts w:ascii="Verdana" w:hAnsi="Verdana"/>
          <w:sz w:val="20"/>
          <w:szCs w:val="20"/>
          <w:lang w:val="es-CR"/>
        </w:rPr>
        <w:t xml:space="preserve">los </w:t>
      </w:r>
      <w:r w:rsidR="00B12A00">
        <w:rPr>
          <w:rFonts w:ascii="Verdana" w:hAnsi="Verdana"/>
          <w:sz w:val="20"/>
          <w:szCs w:val="20"/>
          <w:lang w:val="es-CR"/>
        </w:rPr>
        <w:t>alegatos de los representantes sobre la violación a las obligaciones de progresividad poco tuvieron que ver con la determinación de responsabilidad internacional por la violación al artículo 26</w:t>
      </w:r>
      <w:r w:rsidRPr="003550D6">
        <w:rPr>
          <w:rFonts w:ascii="Verdana" w:hAnsi="Verdana"/>
          <w:sz w:val="20"/>
          <w:szCs w:val="20"/>
          <w:lang w:val="es-CR"/>
        </w:rPr>
        <w:t xml:space="preserve">. En </w:t>
      </w:r>
      <w:r w:rsidR="00961352">
        <w:rPr>
          <w:rFonts w:ascii="Verdana" w:hAnsi="Verdana"/>
          <w:i/>
          <w:sz w:val="20"/>
          <w:szCs w:val="20"/>
          <w:lang w:val="es-CR"/>
        </w:rPr>
        <w:t xml:space="preserve">Lagos del Campo </w:t>
      </w:r>
      <w:r w:rsidR="00961352">
        <w:rPr>
          <w:rFonts w:ascii="Verdana" w:hAnsi="Verdana"/>
          <w:sz w:val="20"/>
          <w:szCs w:val="20"/>
          <w:lang w:val="es-CR"/>
        </w:rPr>
        <w:t xml:space="preserve">y en </w:t>
      </w:r>
      <w:r w:rsidRPr="00B12A00">
        <w:rPr>
          <w:rFonts w:ascii="Verdana" w:hAnsi="Verdana"/>
          <w:i/>
          <w:sz w:val="20"/>
          <w:szCs w:val="20"/>
          <w:lang w:val="es-CR"/>
        </w:rPr>
        <w:t>San Miguel Sosa</w:t>
      </w:r>
      <w:r w:rsidRPr="003550D6">
        <w:rPr>
          <w:rFonts w:ascii="Verdana" w:hAnsi="Verdana"/>
          <w:sz w:val="20"/>
          <w:szCs w:val="20"/>
          <w:lang w:val="es-CR"/>
        </w:rPr>
        <w:t xml:space="preserve"> </w:t>
      </w:r>
      <w:r w:rsidR="00E10C5C" w:rsidRPr="003550D6">
        <w:rPr>
          <w:rFonts w:ascii="Verdana" w:hAnsi="Verdana"/>
          <w:sz w:val="20"/>
          <w:szCs w:val="20"/>
          <w:lang w:val="es-CR"/>
        </w:rPr>
        <w:t>se intentó fundamentar el uso del</w:t>
      </w:r>
      <w:r w:rsidR="009A41FB" w:rsidRPr="003550D6">
        <w:rPr>
          <w:rFonts w:ascii="Verdana" w:hAnsi="Verdana"/>
          <w:sz w:val="20"/>
          <w:szCs w:val="20"/>
          <w:lang w:val="es-CR"/>
        </w:rPr>
        <w:t xml:space="preserve"> principio del </w:t>
      </w:r>
      <w:r w:rsidR="009A41FB" w:rsidRPr="00B12A00">
        <w:rPr>
          <w:rFonts w:ascii="Verdana" w:hAnsi="Verdana"/>
          <w:i/>
          <w:sz w:val="20"/>
          <w:szCs w:val="20"/>
          <w:lang w:val="es-CR"/>
        </w:rPr>
        <w:t>iura novit curia</w:t>
      </w:r>
      <w:r w:rsidR="00567296" w:rsidRPr="003550D6">
        <w:rPr>
          <w:rFonts w:ascii="Verdana" w:hAnsi="Verdana"/>
          <w:sz w:val="20"/>
          <w:szCs w:val="20"/>
          <w:lang w:val="es-CR"/>
        </w:rPr>
        <w:t>,</w:t>
      </w:r>
      <w:r w:rsidR="009A41FB" w:rsidRPr="003550D6">
        <w:rPr>
          <w:rFonts w:ascii="Verdana" w:hAnsi="Verdana"/>
          <w:sz w:val="20"/>
          <w:szCs w:val="20"/>
          <w:lang w:val="es-CR"/>
        </w:rPr>
        <w:t xml:space="preserve"> pero</w:t>
      </w:r>
      <w:r w:rsidR="00C11333" w:rsidRPr="003550D6">
        <w:rPr>
          <w:rFonts w:ascii="Verdana" w:hAnsi="Verdana"/>
          <w:sz w:val="20"/>
          <w:szCs w:val="20"/>
          <w:lang w:val="es-CR"/>
        </w:rPr>
        <w:t xml:space="preserve"> </w:t>
      </w:r>
      <w:r w:rsidR="00E10C5C" w:rsidRPr="003550D6">
        <w:rPr>
          <w:rFonts w:ascii="Verdana" w:hAnsi="Verdana"/>
          <w:sz w:val="20"/>
          <w:szCs w:val="20"/>
          <w:lang w:val="es-CR"/>
        </w:rPr>
        <w:t xml:space="preserve">la Corte simplemente </w:t>
      </w:r>
      <w:r w:rsidR="00C11333" w:rsidRPr="003550D6">
        <w:rPr>
          <w:rFonts w:ascii="Verdana" w:hAnsi="Verdana"/>
          <w:sz w:val="20"/>
          <w:szCs w:val="20"/>
          <w:lang w:val="es-CR"/>
        </w:rPr>
        <w:t>se</w:t>
      </w:r>
      <w:r w:rsidRPr="003550D6">
        <w:rPr>
          <w:rFonts w:ascii="Verdana" w:hAnsi="Verdana"/>
          <w:sz w:val="20"/>
          <w:szCs w:val="20"/>
          <w:lang w:val="es-CR"/>
        </w:rPr>
        <w:t xml:space="preserve"> limitó a manifestar</w:t>
      </w:r>
      <w:r w:rsidR="00C11333" w:rsidRPr="003550D6">
        <w:rPr>
          <w:rFonts w:ascii="Verdana" w:hAnsi="Verdana"/>
          <w:sz w:val="20"/>
          <w:szCs w:val="20"/>
          <w:lang w:val="es-CR"/>
        </w:rPr>
        <w:t xml:space="preserve"> que el Estado ha t</w:t>
      </w:r>
      <w:r w:rsidR="008F45C8" w:rsidRPr="003550D6">
        <w:rPr>
          <w:rFonts w:ascii="Verdana" w:hAnsi="Verdana"/>
          <w:sz w:val="20"/>
          <w:szCs w:val="20"/>
          <w:lang w:val="es-CR"/>
        </w:rPr>
        <w:t>enido la oportunidad de expresar</w:t>
      </w:r>
      <w:r w:rsidR="00C11333" w:rsidRPr="003550D6">
        <w:rPr>
          <w:rFonts w:ascii="Verdana" w:hAnsi="Verdana"/>
          <w:sz w:val="20"/>
          <w:szCs w:val="20"/>
          <w:lang w:val="es-CR"/>
        </w:rPr>
        <w:t xml:space="preserve"> sus respectivas posiciones en relación a los hechos que sustentan las violaciones declaradas,</w:t>
      </w:r>
      <w:r w:rsidR="00567296" w:rsidRPr="003550D6">
        <w:rPr>
          <w:rFonts w:ascii="Verdana" w:hAnsi="Verdana"/>
          <w:sz w:val="20"/>
          <w:szCs w:val="20"/>
          <w:lang w:val="es-CR"/>
        </w:rPr>
        <w:t xml:space="preserve"> y reiteró</w:t>
      </w:r>
      <w:r w:rsidR="00C11333" w:rsidRPr="003550D6">
        <w:rPr>
          <w:rFonts w:ascii="Verdana" w:hAnsi="Verdana"/>
          <w:sz w:val="20"/>
          <w:szCs w:val="20"/>
          <w:lang w:val="es-CR"/>
        </w:rPr>
        <w:t xml:space="preserve"> que el artículo 29 per</w:t>
      </w:r>
      <w:r w:rsidR="00567296" w:rsidRPr="003550D6">
        <w:rPr>
          <w:rFonts w:ascii="Verdana" w:hAnsi="Verdana"/>
          <w:sz w:val="20"/>
          <w:szCs w:val="20"/>
          <w:lang w:val="es-CR"/>
        </w:rPr>
        <w:t>mitía</w:t>
      </w:r>
      <w:r w:rsidR="00C11333" w:rsidRPr="003550D6">
        <w:rPr>
          <w:rFonts w:ascii="Verdana" w:hAnsi="Verdana"/>
          <w:sz w:val="20"/>
          <w:szCs w:val="20"/>
          <w:lang w:val="es-CR"/>
        </w:rPr>
        <w:t xml:space="preserve"> examinar </w:t>
      </w:r>
      <w:r w:rsidR="00567296" w:rsidRPr="003550D6">
        <w:rPr>
          <w:rFonts w:ascii="Verdana" w:hAnsi="Verdana"/>
          <w:sz w:val="20"/>
          <w:szCs w:val="20"/>
          <w:lang w:val="es-CR"/>
        </w:rPr>
        <w:t>el</w:t>
      </w:r>
      <w:r w:rsidR="00961352">
        <w:rPr>
          <w:rFonts w:ascii="Verdana" w:hAnsi="Verdana"/>
          <w:sz w:val="20"/>
          <w:szCs w:val="20"/>
          <w:lang w:val="es-CR"/>
        </w:rPr>
        <w:t xml:space="preserve"> caso a la luz de los DESCA</w:t>
      </w:r>
      <w:r w:rsidR="00C11333" w:rsidRPr="003550D6">
        <w:rPr>
          <w:rFonts w:ascii="Verdana" w:hAnsi="Verdana"/>
          <w:sz w:val="20"/>
          <w:szCs w:val="20"/>
          <w:lang w:val="es-CR"/>
        </w:rPr>
        <w:t xml:space="preserve">. </w:t>
      </w:r>
    </w:p>
    <w:p w14:paraId="473FA323" w14:textId="77777777" w:rsidR="00D11CF0" w:rsidRPr="00D11CF0" w:rsidRDefault="00D11CF0" w:rsidP="00D11CF0">
      <w:pPr>
        <w:pStyle w:val="ListParagraph"/>
        <w:rPr>
          <w:rFonts w:ascii="Verdana" w:hAnsi="Verdana"/>
          <w:sz w:val="20"/>
          <w:szCs w:val="20"/>
          <w:lang w:val="es-CR"/>
        </w:rPr>
      </w:pPr>
    </w:p>
    <w:p w14:paraId="6F62540C" w14:textId="3B1E32E7" w:rsidR="00B554F1" w:rsidRDefault="008F45C8" w:rsidP="004A65D3">
      <w:pPr>
        <w:pStyle w:val="ListParagraph"/>
        <w:numPr>
          <w:ilvl w:val="0"/>
          <w:numId w:val="1"/>
        </w:numPr>
        <w:ind w:left="0" w:firstLine="0"/>
        <w:jc w:val="both"/>
        <w:rPr>
          <w:rFonts w:ascii="Verdana" w:hAnsi="Verdana"/>
          <w:sz w:val="20"/>
          <w:szCs w:val="20"/>
          <w:lang w:val="es-CR"/>
        </w:rPr>
      </w:pPr>
      <w:r>
        <w:rPr>
          <w:rFonts w:ascii="Verdana" w:hAnsi="Verdana"/>
          <w:sz w:val="20"/>
          <w:szCs w:val="20"/>
          <w:lang w:val="es-CR"/>
        </w:rPr>
        <w:t>Pareciera que la única razón que se ha expresado para invocar el principio de</w:t>
      </w:r>
      <w:r w:rsidR="00567296">
        <w:rPr>
          <w:rFonts w:ascii="Verdana" w:hAnsi="Verdana"/>
          <w:sz w:val="20"/>
          <w:szCs w:val="20"/>
          <w:lang w:val="es-CR"/>
        </w:rPr>
        <w:t xml:space="preserve"> </w:t>
      </w:r>
      <w:r w:rsidR="00567296">
        <w:rPr>
          <w:rFonts w:ascii="Verdana" w:hAnsi="Verdana"/>
          <w:i/>
          <w:sz w:val="20"/>
          <w:szCs w:val="20"/>
          <w:lang w:val="es-CR"/>
        </w:rPr>
        <w:t xml:space="preserve">iura </w:t>
      </w:r>
      <w:r w:rsidR="00567296">
        <w:rPr>
          <w:rFonts w:ascii="Verdana" w:hAnsi="Verdana"/>
          <w:i/>
          <w:sz w:val="20"/>
          <w:szCs w:val="20"/>
          <w:lang w:val="es-CR"/>
        </w:rPr>
        <w:lastRenderedPageBreak/>
        <w:t>novit curia</w:t>
      </w:r>
      <w:r w:rsidR="002040BE">
        <w:rPr>
          <w:rFonts w:ascii="Verdana" w:hAnsi="Verdana"/>
          <w:i/>
          <w:sz w:val="20"/>
          <w:szCs w:val="20"/>
          <w:lang w:val="es-CR"/>
        </w:rPr>
        <w:t xml:space="preserve"> </w:t>
      </w:r>
      <w:r w:rsidR="00961352">
        <w:rPr>
          <w:rFonts w:ascii="Verdana" w:hAnsi="Verdana"/>
          <w:sz w:val="20"/>
          <w:szCs w:val="20"/>
          <w:lang w:val="es-CR"/>
        </w:rPr>
        <w:t>–más allá de su reconocimiento como un principio general de derecho</w:t>
      </w:r>
      <w:r w:rsidR="002676AC">
        <w:rPr>
          <w:rFonts w:ascii="Verdana" w:hAnsi="Verdana"/>
          <w:sz w:val="20"/>
          <w:szCs w:val="20"/>
          <w:lang w:val="es-CR"/>
        </w:rPr>
        <w:t>–</w:t>
      </w:r>
      <w:r w:rsidR="00961352">
        <w:rPr>
          <w:rFonts w:ascii="Verdana" w:hAnsi="Verdana"/>
          <w:sz w:val="20"/>
          <w:szCs w:val="20"/>
          <w:lang w:val="es-CR"/>
        </w:rPr>
        <w:t xml:space="preserve"> </w:t>
      </w:r>
      <w:r>
        <w:rPr>
          <w:rFonts w:ascii="Verdana" w:hAnsi="Verdana"/>
          <w:sz w:val="20"/>
          <w:szCs w:val="20"/>
          <w:lang w:val="es-CR"/>
        </w:rPr>
        <w:t>es que el Estado conoció los hechos durante todo el procedimiento</w:t>
      </w:r>
      <w:r w:rsidR="00B12A00">
        <w:rPr>
          <w:rFonts w:ascii="Verdana" w:hAnsi="Verdana"/>
          <w:sz w:val="20"/>
          <w:szCs w:val="20"/>
          <w:lang w:val="es-CR"/>
        </w:rPr>
        <w:t xml:space="preserve"> y que por ello habría tenido oportunidad procesal para pronunciarse sobre posibles violaciones</w:t>
      </w:r>
      <w:r>
        <w:rPr>
          <w:rFonts w:ascii="Verdana" w:hAnsi="Verdana"/>
          <w:sz w:val="20"/>
          <w:szCs w:val="20"/>
          <w:lang w:val="es-CR"/>
        </w:rPr>
        <w:t xml:space="preserve">. Sin embargo, es necesario reflexionar respecto a </w:t>
      </w:r>
      <w:r w:rsidR="002040BE">
        <w:rPr>
          <w:rFonts w:ascii="Verdana" w:hAnsi="Verdana"/>
          <w:sz w:val="20"/>
          <w:szCs w:val="20"/>
          <w:lang w:val="es-CR"/>
        </w:rPr>
        <w:t xml:space="preserve">hasta qué punto resulta razonable que </w:t>
      </w:r>
      <w:r w:rsidR="00C11333">
        <w:rPr>
          <w:rFonts w:ascii="Verdana" w:hAnsi="Verdana"/>
          <w:sz w:val="20"/>
          <w:szCs w:val="20"/>
          <w:lang w:val="es-CR"/>
        </w:rPr>
        <w:t>el Estado “adivi</w:t>
      </w:r>
      <w:r w:rsidR="002040BE">
        <w:rPr>
          <w:rFonts w:ascii="Verdana" w:hAnsi="Verdana"/>
          <w:sz w:val="20"/>
          <w:szCs w:val="20"/>
          <w:lang w:val="es-CR"/>
        </w:rPr>
        <w:t>ne</w:t>
      </w:r>
      <w:r w:rsidR="00C11333">
        <w:rPr>
          <w:rFonts w:ascii="Verdana" w:hAnsi="Verdana"/>
          <w:sz w:val="20"/>
          <w:szCs w:val="20"/>
          <w:lang w:val="es-CR"/>
        </w:rPr>
        <w:t>” los derechos que la Corte utilizará para analizar los hechos del caso</w:t>
      </w:r>
      <w:r w:rsidR="00567296">
        <w:rPr>
          <w:rFonts w:ascii="Verdana" w:hAnsi="Verdana"/>
          <w:sz w:val="20"/>
          <w:szCs w:val="20"/>
          <w:lang w:val="es-CR"/>
        </w:rPr>
        <w:t xml:space="preserve">, </w:t>
      </w:r>
      <w:r w:rsidR="002040BE">
        <w:rPr>
          <w:rFonts w:ascii="Verdana" w:hAnsi="Verdana"/>
          <w:sz w:val="20"/>
          <w:szCs w:val="20"/>
          <w:lang w:val="es-CR"/>
        </w:rPr>
        <w:t>pues</w:t>
      </w:r>
      <w:r w:rsidR="00567296">
        <w:rPr>
          <w:rFonts w:ascii="Verdana" w:hAnsi="Verdana"/>
          <w:sz w:val="20"/>
          <w:szCs w:val="20"/>
          <w:lang w:val="es-CR"/>
        </w:rPr>
        <w:t xml:space="preserve"> pedirle que se pronuncie sobre cada hecho que podría ser relevante para una violación a un DESCA es</w:t>
      </w:r>
      <w:r>
        <w:rPr>
          <w:rFonts w:ascii="Verdana" w:hAnsi="Verdana"/>
          <w:sz w:val="20"/>
          <w:szCs w:val="20"/>
          <w:lang w:val="es-CR"/>
        </w:rPr>
        <w:t xml:space="preserve"> violatorio del derecho a la defensa y además </w:t>
      </w:r>
      <w:r w:rsidR="002040BE">
        <w:rPr>
          <w:rFonts w:ascii="Verdana" w:hAnsi="Verdana"/>
          <w:sz w:val="20"/>
          <w:szCs w:val="20"/>
          <w:lang w:val="es-CR"/>
        </w:rPr>
        <w:t xml:space="preserve">raya en lo </w:t>
      </w:r>
      <w:r>
        <w:rPr>
          <w:rFonts w:ascii="Verdana" w:hAnsi="Verdana"/>
          <w:sz w:val="20"/>
          <w:szCs w:val="20"/>
          <w:lang w:val="es-CR"/>
        </w:rPr>
        <w:t xml:space="preserve">absurdo. </w:t>
      </w:r>
      <w:r w:rsidR="009A41FB">
        <w:rPr>
          <w:rFonts w:ascii="Verdana" w:hAnsi="Verdana"/>
          <w:sz w:val="20"/>
          <w:szCs w:val="20"/>
          <w:lang w:val="es-CR"/>
        </w:rPr>
        <w:t xml:space="preserve">Tal como lo mencioné en el voto de </w:t>
      </w:r>
      <w:r w:rsidR="009A41FB">
        <w:rPr>
          <w:rFonts w:ascii="Verdana" w:hAnsi="Verdana"/>
          <w:i/>
          <w:sz w:val="20"/>
          <w:szCs w:val="20"/>
          <w:lang w:val="es-CR"/>
        </w:rPr>
        <w:t>Lagos del Campo</w:t>
      </w:r>
      <w:r w:rsidR="009A41FB">
        <w:rPr>
          <w:rFonts w:ascii="Verdana" w:hAnsi="Verdana"/>
          <w:sz w:val="20"/>
          <w:szCs w:val="20"/>
          <w:lang w:val="es-CR"/>
        </w:rPr>
        <w:t xml:space="preserve">, la forma en que se ha desarrollado la jurisprudencia de los </w:t>
      </w:r>
      <w:r w:rsidR="00567296">
        <w:rPr>
          <w:rFonts w:ascii="Verdana" w:hAnsi="Verdana"/>
          <w:sz w:val="20"/>
          <w:szCs w:val="20"/>
          <w:lang w:val="es-CR"/>
        </w:rPr>
        <w:t>DESCA</w:t>
      </w:r>
      <w:r w:rsidR="009A41FB">
        <w:rPr>
          <w:rFonts w:ascii="Verdana" w:hAnsi="Verdana"/>
          <w:sz w:val="20"/>
          <w:szCs w:val="20"/>
          <w:lang w:val="es-CR"/>
        </w:rPr>
        <w:t xml:space="preserve"> –incluido el uso del principio </w:t>
      </w:r>
      <w:r w:rsidR="009A41FB">
        <w:rPr>
          <w:rFonts w:ascii="Verdana" w:hAnsi="Verdana"/>
          <w:i/>
          <w:sz w:val="20"/>
          <w:szCs w:val="20"/>
          <w:lang w:val="es-CR"/>
        </w:rPr>
        <w:t>iura novit curia</w:t>
      </w:r>
      <w:r w:rsidR="009A41FB">
        <w:rPr>
          <w:rFonts w:ascii="Verdana" w:hAnsi="Verdana"/>
          <w:sz w:val="20"/>
          <w:szCs w:val="20"/>
          <w:lang w:val="es-CR"/>
        </w:rPr>
        <w:t>-</w:t>
      </w:r>
      <w:r w:rsidR="009A41FB">
        <w:rPr>
          <w:rFonts w:ascii="Verdana" w:hAnsi="Verdana"/>
          <w:i/>
          <w:sz w:val="20"/>
          <w:szCs w:val="20"/>
          <w:lang w:val="es-CR"/>
        </w:rPr>
        <w:t xml:space="preserve"> </w:t>
      </w:r>
      <w:r w:rsidR="009A41FB">
        <w:rPr>
          <w:rFonts w:ascii="Verdana" w:hAnsi="Verdana"/>
          <w:sz w:val="20"/>
          <w:szCs w:val="20"/>
          <w:lang w:val="es-CR"/>
        </w:rPr>
        <w:t>ha provocado opacidad en el debate de su justiciabilidad</w:t>
      </w:r>
      <w:r w:rsidR="002040BE">
        <w:rPr>
          <w:rFonts w:ascii="Verdana" w:hAnsi="Verdana"/>
          <w:sz w:val="20"/>
          <w:szCs w:val="20"/>
          <w:lang w:val="es-CR"/>
        </w:rPr>
        <w:t xml:space="preserve"> porque</w:t>
      </w:r>
      <w:r>
        <w:rPr>
          <w:rFonts w:ascii="Verdana" w:hAnsi="Verdana"/>
          <w:sz w:val="20"/>
          <w:szCs w:val="20"/>
          <w:lang w:val="es-CR"/>
        </w:rPr>
        <w:t xml:space="preserve"> no ha permitido que </w:t>
      </w:r>
      <w:r>
        <w:rPr>
          <w:rFonts w:ascii="Verdana" w:hAnsi="Verdana"/>
          <w:sz w:val="20"/>
          <w:szCs w:val="20"/>
          <w:lang w:val="es-CR"/>
        </w:rPr>
        <w:lastRenderedPageBreak/>
        <w:t>exista un</w:t>
      </w:r>
      <w:r w:rsidR="00077AE7">
        <w:rPr>
          <w:rFonts w:ascii="Verdana" w:hAnsi="Verdana"/>
          <w:sz w:val="20"/>
          <w:szCs w:val="20"/>
          <w:lang w:val="es-CR"/>
        </w:rPr>
        <w:t>a discusión transparente</w:t>
      </w:r>
      <w:r>
        <w:rPr>
          <w:rFonts w:ascii="Verdana" w:hAnsi="Verdana"/>
          <w:sz w:val="20"/>
          <w:szCs w:val="20"/>
          <w:lang w:val="es-CR"/>
        </w:rPr>
        <w:t xml:space="preserve"> sobre una cuestión que requeriría de la participación de los Estados, la Comisión y los representantes </w:t>
      </w:r>
      <w:r w:rsidR="008E7537">
        <w:rPr>
          <w:rFonts w:ascii="Verdana" w:hAnsi="Verdana"/>
          <w:sz w:val="20"/>
          <w:szCs w:val="20"/>
          <w:lang w:val="es-CR"/>
        </w:rPr>
        <w:t>a través de</w:t>
      </w:r>
      <w:r>
        <w:rPr>
          <w:rFonts w:ascii="Verdana" w:hAnsi="Verdana"/>
          <w:sz w:val="20"/>
          <w:szCs w:val="20"/>
          <w:lang w:val="es-CR"/>
        </w:rPr>
        <w:t xml:space="preserve"> procedimientos formales. También ha</w:t>
      </w:r>
      <w:r w:rsidR="009A41FB">
        <w:rPr>
          <w:rFonts w:ascii="Verdana" w:hAnsi="Verdana"/>
          <w:sz w:val="20"/>
          <w:szCs w:val="20"/>
          <w:lang w:val="es-CR"/>
        </w:rPr>
        <w:t xml:space="preserve"> debilit</w:t>
      </w:r>
      <w:r>
        <w:rPr>
          <w:rFonts w:ascii="Verdana" w:hAnsi="Verdana"/>
          <w:sz w:val="20"/>
          <w:szCs w:val="20"/>
          <w:lang w:val="es-CR"/>
        </w:rPr>
        <w:t>ado la fuerza de la propia jurisprudencia</w:t>
      </w:r>
      <w:r w:rsidR="005065B3">
        <w:rPr>
          <w:rFonts w:ascii="Verdana" w:hAnsi="Verdana"/>
          <w:sz w:val="20"/>
          <w:szCs w:val="20"/>
          <w:lang w:val="es-CR"/>
        </w:rPr>
        <w:t xml:space="preserve"> </w:t>
      </w:r>
      <w:r w:rsidR="002040BE">
        <w:rPr>
          <w:rFonts w:ascii="Verdana" w:hAnsi="Verdana"/>
          <w:sz w:val="20"/>
          <w:szCs w:val="20"/>
          <w:lang w:val="es-CR"/>
        </w:rPr>
        <w:t xml:space="preserve">en tanto que </w:t>
      </w:r>
      <w:r w:rsidR="005065B3">
        <w:rPr>
          <w:rFonts w:ascii="Verdana" w:hAnsi="Verdana"/>
          <w:sz w:val="20"/>
          <w:szCs w:val="20"/>
          <w:lang w:val="es-CR"/>
        </w:rPr>
        <w:t xml:space="preserve">este principio se ha utilizado </w:t>
      </w:r>
      <w:r w:rsidR="00D038BA">
        <w:rPr>
          <w:rFonts w:ascii="Verdana" w:hAnsi="Verdana"/>
          <w:sz w:val="20"/>
          <w:szCs w:val="20"/>
          <w:lang w:val="es-CR"/>
        </w:rPr>
        <w:t xml:space="preserve">de manera </w:t>
      </w:r>
      <w:r w:rsidR="00E10C5C">
        <w:rPr>
          <w:rFonts w:ascii="Verdana" w:hAnsi="Verdana"/>
          <w:sz w:val="20"/>
          <w:szCs w:val="20"/>
          <w:lang w:val="es-CR"/>
        </w:rPr>
        <w:t>poco objetiva</w:t>
      </w:r>
      <w:r w:rsidR="005065B3">
        <w:rPr>
          <w:rFonts w:ascii="Verdana" w:hAnsi="Verdana"/>
          <w:sz w:val="20"/>
          <w:szCs w:val="20"/>
          <w:lang w:val="es-CR"/>
        </w:rPr>
        <w:t xml:space="preserve">, </w:t>
      </w:r>
      <w:r w:rsidR="00E10C5C">
        <w:rPr>
          <w:rFonts w:ascii="Verdana" w:hAnsi="Verdana"/>
          <w:sz w:val="20"/>
          <w:szCs w:val="20"/>
          <w:lang w:val="es-CR"/>
        </w:rPr>
        <w:t xml:space="preserve">hasta el extremo de que </w:t>
      </w:r>
      <w:r w:rsidR="009A41FB">
        <w:rPr>
          <w:rFonts w:ascii="Verdana" w:hAnsi="Verdana"/>
          <w:sz w:val="20"/>
          <w:szCs w:val="20"/>
          <w:lang w:val="es-CR"/>
        </w:rPr>
        <w:t>p</w:t>
      </w:r>
      <w:r>
        <w:rPr>
          <w:rFonts w:ascii="Verdana" w:hAnsi="Verdana"/>
          <w:sz w:val="20"/>
          <w:szCs w:val="20"/>
          <w:lang w:val="es-CR"/>
        </w:rPr>
        <w:t>arece</w:t>
      </w:r>
      <w:r w:rsidR="009A41FB">
        <w:rPr>
          <w:rFonts w:ascii="Verdana" w:hAnsi="Verdana"/>
          <w:sz w:val="20"/>
          <w:szCs w:val="20"/>
          <w:lang w:val="es-CR"/>
        </w:rPr>
        <w:t xml:space="preserve"> más un acto de</w:t>
      </w:r>
      <w:r w:rsidR="00B12A00">
        <w:rPr>
          <w:rFonts w:ascii="Verdana" w:hAnsi="Verdana"/>
          <w:sz w:val="20"/>
          <w:szCs w:val="20"/>
          <w:lang w:val="es-CR"/>
        </w:rPr>
        <w:t xml:space="preserve"> puro</w:t>
      </w:r>
      <w:r w:rsidR="009A41FB">
        <w:rPr>
          <w:rFonts w:ascii="Verdana" w:hAnsi="Verdana"/>
          <w:sz w:val="20"/>
          <w:szCs w:val="20"/>
          <w:lang w:val="es-CR"/>
        </w:rPr>
        <w:t xml:space="preserve"> activismo ju</w:t>
      </w:r>
      <w:r>
        <w:rPr>
          <w:rFonts w:ascii="Verdana" w:hAnsi="Verdana"/>
          <w:sz w:val="20"/>
          <w:szCs w:val="20"/>
          <w:lang w:val="es-CR"/>
        </w:rPr>
        <w:t>dicial</w:t>
      </w:r>
      <w:r w:rsidR="009A41FB">
        <w:rPr>
          <w:rFonts w:ascii="Verdana" w:hAnsi="Verdana"/>
          <w:sz w:val="20"/>
          <w:szCs w:val="20"/>
          <w:lang w:val="es-CR"/>
        </w:rPr>
        <w:t xml:space="preserve"> que la acción de un tribunal</w:t>
      </w:r>
      <w:r w:rsidR="0068037D">
        <w:rPr>
          <w:rFonts w:ascii="Verdana" w:hAnsi="Verdana"/>
          <w:sz w:val="20"/>
          <w:szCs w:val="20"/>
          <w:lang w:val="es-CR"/>
        </w:rPr>
        <w:t xml:space="preserve"> de derechos humanos</w:t>
      </w:r>
      <w:r w:rsidR="009A41FB">
        <w:rPr>
          <w:rFonts w:ascii="Verdana" w:hAnsi="Verdana"/>
          <w:sz w:val="20"/>
          <w:szCs w:val="20"/>
          <w:lang w:val="es-CR"/>
        </w:rPr>
        <w:t xml:space="preserve"> sujeto a las reglas del derecho.</w:t>
      </w:r>
    </w:p>
    <w:p w14:paraId="2A3F4480" w14:textId="77777777" w:rsidR="009A41FB" w:rsidRDefault="009A41FB" w:rsidP="009A41FB">
      <w:pPr>
        <w:pStyle w:val="ListParagraph"/>
        <w:ind w:left="0"/>
        <w:jc w:val="both"/>
        <w:rPr>
          <w:rFonts w:ascii="Verdana" w:hAnsi="Verdana"/>
          <w:sz w:val="20"/>
          <w:szCs w:val="20"/>
          <w:lang w:val="es-CR"/>
        </w:rPr>
      </w:pPr>
    </w:p>
    <w:p w14:paraId="5833AAF4" w14:textId="77777777" w:rsidR="005247B7" w:rsidRPr="00DA2F9C" w:rsidRDefault="005247B7" w:rsidP="005247B7">
      <w:pPr>
        <w:jc w:val="both"/>
        <w:rPr>
          <w:rFonts w:ascii="Verdana" w:eastAsia="Cambria" w:hAnsi="Verdana" w:cs="Cambria"/>
          <w:b/>
          <w:i/>
          <w:color w:val="000000"/>
          <w:u w:color="000000"/>
          <w:lang w:val="es-CR" w:eastAsia="es-ES"/>
        </w:rPr>
      </w:pPr>
      <w:r w:rsidRPr="00DA2F9C">
        <w:rPr>
          <w:rFonts w:ascii="Verdana" w:eastAsia="Cambria" w:hAnsi="Verdana" w:cs="Cambria"/>
          <w:b/>
          <w:i/>
          <w:color w:val="000000"/>
          <w:u w:color="000000"/>
          <w:lang w:val="es-CR" w:eastAsia="es-ES"/>
        </w:rPr>
        <w:t xml:space="preserve">III. </w:t>
      </w:r>
      <w:r w:rsidR="0049715A" w:rsidRPr="00DA2F9C">
        <w:rPr>
          <w:rFonts w:ascii="Verdana" w:eastAsia="Cambria" w:hAnsi="Verdana" w:cs="Cambria"/>
          <w:b/>
          <w:i/>
          <w:color w:val="000000"/>
          <w:u w:color="000000"/>
          <w:lang w:val="es-CR" w:eastAsia="es-ES"/>
        </w:rPr>
        <w:t>La no aplicación del principio iura novit curia en el presente caso</w:t>
      </w:r>
    </w:p>
    <w:p w14:paraId="51324548" w14:textId="77777777" w:rsidR="005247B7" w:rsidRPr="009A41FB" w:rsidRDefault="005247B7" w:rsidP="005247B7">
      <w:pPr>
        <w:jc w:val="both"/>
        <w:rPr>
          <w:rFonts w:ascii="Verdana" w:eastAsia="Cambria" w:hAnsi="Verdana" w:cs="Cambria"/>
          <w:color w:val="000000"/>
          <w:u w:color="000000"/>
          <w:lang w:val="es-CR" w:eastAsia="es-ES"/>
        </w:rPr>
      </w:pPr>
    </w:p>
    <w:p w14:paraId="1098B18D" w14:textId="3ABD2DAE" w:rsidR="0068037D" w:rsidRDefault="009A41FB" w:rsidP="009A41FB">
      <w:pPr>
        <w:pStyle w:val="ListParagraph"/>
        <w:numPr>
          <w:ilvl w:val="0"/>
          <w:numId w:val="1"/>
        </w:numPr>
        <w:ind w:left="0" w:firstLine="0"/>
        <w:jc w:val="both"/>
        <w:rPr>
          <w:rFonts w:ascii="Verdana" w:hAnsi="Verdana"/>
          <w:sz w:val="20"/>
          <w:szCs w:val="20"/>
          <w:lang w:val="es-CR"/>
        </w:rPr>
      </w:pPr>
      <w:r w:rsidRPr="009A41FB">
        <w:rPr>
          <w:rFonts w:ascii="Verdana" w:hAnsi="Verdana"/>
          <w:sz w:val="20"/>
          <w:szCs w:val="20"/>
          <w:lang w:val="es-CR"/>
        </w:rPr>
        <w:t>Precisamente</w:t>
      </w:r>
      <w:r>
        <w:rPr>
          <w:rFonts w:ascii="Verdana" w:hAnsi="Verdana"/>
          <w:sz w:val="20"/>
          <w:szCs w:val="20"/>
          <w:lang w:val="es-CR"/>
        </w:rPr>
        <w:t xml:space="preserve"> por el reciente deseo de activismo</w:t>
      </w:r>
      <w:r w:rsidR="00666271">
        <w:rPr>
          <w:rFonts w:ascii="Verdana" w:hAnsi="Verdana"/>
          <w:sz w:val="20"/>
          <w:szCs w:val="20"/>
          <w:lang w:val="es-CR"/>
        </w:rPr>
        <w:t xml:space="preserve"> judicial</w:t>
      </w:r>
      <w:r>
        <w:rPr>
          <w:rFonts w:ascii="Verdana" w:hAnsi="Verdana"/>
          <w:sz w:val="20"/>
          <w:szCs w:val="20"/>
          <w:lang w:val="es-CR"/>
        </w:rPr>
        <w:t xml:space="preserve"> que ha demostrado la mayoría </w:t>
      </w:r>
      <w:r w:rsidR="00666271">
        <w:rPr>
          <w:rFonts w:ascii="Verdana" w:hAnsi="Verdana"/>
          <w:sz w:val="20"/>
          <w:szCs w:val="20"/>
          <w:lang w:val="es-CR"/>
        </w:rPr>
        <w:t xml:space="preserve">de la </w:t>
      </w:r>
      <w:r>
        <w:rPr>
          <w:rFonts w:ascii="Verdana" w:hAnsi="Verdana"/>
          <w:sz w:val="20"/>
          <w:szCs w:val="20"/>
          <w:lang w:val="es-CR"/>
        </w:rPr>
        <w:t xml:space="preserve">Corte en materia de </w:t>
      </w:r>
      <w:r w:rsidR="00666271">
        <w:rPr>
          <w:rFonts w:ascii="Verdana" w:hAnsi="Verdana"/>
          <w:sz w:val="20"/>
          <w:szCs w:val="20"/>
          <w:lang w:val="es-CR"/>
        </w:rPr>
        <w:t>DESCA</w:t>
      </w:r>
      <w:r>
        <w:rPr>
          <w:rFonts w:ascii="Verdana" w:hAnsi="Verdana"/>
          <w:sz w:val="20"/>
          <w:szCs w:val="20"/>
          <w:lang w:val="es-CR"/>
        </w:rPr>
        <w:t xml:space="preserve"> es que llama tanto la </w:t>
      </w:r>
      <w:r w:rsidR="0068037D">
        <w:rPr>
          <w:rFonts w:ascii="Verdana" w:hAnsi="Verdana"/>
          <w:sz w:val="20"/>
          <w:szCs w:val="20"/>
          <w:lang w:val="es-CR"/>
        </w:rPr>
        <w:t xml:space="preserve">atención que en el presente caso no se hayan analizado las violaciones </w:t>
      </w:r>
      <w:r w:rsidR="0068037D">
        <w:rPr>
          <w:rFonts w:ascii="Verdana" w:hAnsi="Verdana"/>
          <w:sz w:val="20"/>
          <w:szCs w:val="20"/>
          <w:lang w:val="es-CR"/>
        </w:rPr>
        <w:lastRenderedPageBreak/>
        <w:t>ocurridas en perjuicio de las víctimas desde la perspectiva del derecho a la salud</w:t>
      </w:r>
      <w:r w:rsidR="00666271">
        <w:rPr>
          <w:rFonts w:ascii="Verdana" w:hAnsi="Verdana"/>
          <w:sz w:val="20"/>
          <w:szCs w:val="20"/>
          <w:lang w:val="es-CR"/>
        </w:rPr>
        <w:t xml:space="preserve"> y el derecho a la alimentación</w:t>
      </w:r>
      <w:r w:rsidR="0068037D">
        <w:rPr>
          <w:rFonts w:ascii="Verdana" w:hAnsi="Verdana"/>
          <w:sz w:val="20"/>
          <w:szCs w:val="20"/>
          <w:lang w:val="es-CR"/>
        </w:rPr>
        <w:t>, y</w:t>
      </w:r>
      <w:r w:rsidR="00666271">
        <w:rPr>
          <w:rFonts w:ascii="Verdana" w:hAnsi="Verdana"/>
          <w:sz w:val="20"/>
          <w:szCs w:val="20"/>
          <w:lang w:val="es-CR"/>
        </w:rPr>
        <w:t xml:space="preserve"> en cambio</w:t>
      </w:r>
      <w:r w:rsidR="0068037D">
        <w:rPr>
          <w:rFonts w:ascii="Verdana" w:hAnsi="Verdana"/>
          <w:sz w:val="20"/>
          <w:szCs w:val="20"/>
          <w:lang w:val="es-CR"/>
        </w:rPr>
        <w:t xml:space="preserve"> se haya hecho desde la perspectiva del derecho a la integridad personal. En este caso</w:t>
      </w:r>
      <w:r w:rsidR="00636180">
        <w:rPr>
          <w:rFonts w:ascii="Verdana" w:hAnsi="Verdana"/>
          <w:sz w:val="20"/>
          <w:szCs w:val="20"/>
          <w:lang w:val="es-CR"/>
        </w:rPr>
        <w:t>,</w:t>
      </w:r>
      <w:r w:rsidR="0068037D">
        <w:rPr>
          <w:rFonts w:ascii="Verdana" w:hAnsi="Verdana"/>
          <w:sz w:val="20"/>
          <w:szCs w:val="20"/>
          <w:lang w:val="es-CR"/>
        </w:rPr>
        <w:t xml:space="preserve"> la Corte reiteró sus estándares </w:t>
      </w:r>
      <w:r w:rsidR="00636180">
        <w:rPr>
          <w:rFonts w:ascii="Verdana" w:hAnsi="Verdana"/>
          <w:sz w:val="20"/>
          <w:szCs w:val="20"/>
          <w:lang w:val="es-CR"/>
        </w:rPr>
        <w:t>sobre</w:t>
      </w:r>
      <w:r w:rsidR="0068037D">
        <w:rPr>
          <w:rFonts w:ascii="Verdana" w:hAnsi="Verdana"/>
          <w:sz w:val="20"/>
          <w:szCs w:val="20"/>
          <w:lang w:val="es-CR"/>
        </w:rPr>
        <w:t xml:space="preserve"> la posición especial de garante que el Estado tiene respecto de cualquier persona que se halle bajo su custodia, lo que implica el deber del Estado de salvaguardar la salud y el bienestar de los reclusos brindándoles la asistencia médica que requieran y que garantice que la manera y el método de privación de libertad no excedan el nivel de sufrimiento inherente a la detención (párr. 71). Desde esta óptica analizó </w:t>
      </w:r>
      <w:r w:rsidR="005763AC">
        <w:rPr>
          <w:rFonts w:ascii="Verdana" w:hAnsi="Verdana"/>
          <w:sz w:val="20"/>
          <w:szCs w:val="20"/>
          <w:lang w:val="es-CR"/>
        </w:rPr>
        <w:t>los hechos del caso relacionados con las condiciones carcelarias de los señores Rodr</w:t>
      </w:r>
      <w:r w:rsidR="00636180">
        <w:rPr>
          <w:rFonts w:ascii="Verdana" w:hAnsi="Verdana"/>
          <w:sz w:val="20"/>
          <w:szCs w:val="20"/>
          <w:lang w:val="es-CR"/>
        </w:rPr>
        <w:t>í</w:t>
      </w:r>
      <w:r w:rsidR="005763AC">
        <w:rPr>
          <w:rFonts w:ascii="Verdana" w:hAnsi="Verdana"/>
          <w:sz w:val="20"/>
          <w:szCs w:val="20"/>
          <w:lang w:val="es-CR"/>
        </w:rPr>
        <w:t xml:space="preserve">guez Revolorio, López Calo y Archila Pérez, así como las deficiencias que hubo </w:t>
      </w:r>
      <w:r w:rsidR="00636180">
        <w:rPr>
          <w:rFonts w:ascii="Verdana" w:hAnsi="Verdana"/>
          <w:sz w:val="20"/>
          <w:szCs w:val="20"/>
          <w:lang w:val="es-CR"/>
        </w:rPr>
        <w:t>en cuanto a</w:t>
      </w:r>
      <w:r w:rsidR="005763AC">
        <w:rPr>
          <w:rFonts w:ascii="Verdana" w:hAnsi="Verdana"/>
          <w:sz w:val="20"/>
          <w:szCs w:val="20"/>
          <w:lang w:val="es-CR"/>
        </w:rPr>
        <w:t xml:space="preserve"> la atención médica, la alimentación </w:t>
      </w:r>
      <w:r w:rsidR="005763AC">
        <w:rPr>
          <w:rFonts w:ascii="Verdana" w:hAnsi="Verdana"/>
          <w:sz w:val="20"/>
          <w:szCs w:val="20"/>
          <w:lang w:val="es-CR"/>
        </w:rPr>
        <w:lastRenderedPageBreak/>
        <w:t xml:space="preserve">y el régimen de visitas (párrs. </w:t>
      </w:r>
      <w:r w:rsidR="00947375">
        <w:rPr>
          <w:rFonts w:ascii="Verdana" w:hAnsi="Verdana"/>
          <w:sz w:val="20"/>
          <w:szCs w:val="20"/>
          <w:lang w:val="es-CR"/>
        </w:rPr>
        <w:t>71</w:t>
      </w:r>
      <w:r w:rsidR="005763AC">
        <w:rPr>
          <w:rFonts w:ascii="Verdana" w:hAnsi="Verdana"/>
          <w:sz w:val="20"/>
          <w:szCs w:val="20"/>
          <w:lang w:val="es-CR"/>
        </w:rPr>
        <w:t xml:space="preserve"> a </w:t>
      </w:r>
      <w:r w:rsidR="00947375">
        <w:rPr>
          <w:rFonts w:ascii="Verdana" w:hAnsi="Verdana"/>
          <w:sz w:val="20"/>
          <w:szCs w:val="20"/>
          <w:lang w:val="es-CR"/>
        </w:rPr>
        <w:t>92</w:t>
      </w:r>
      <w:r w:rsidR="005763AC">
        <w:rPr>
          <w:rFonts w:ascii="Verdana" w:hAnsi="Verdana"/>
          <w:sz w:val="20"/>
          <w:szCs w:val="20"/>
          <w:lang w:val="es-CR"/>
        </w:rPr>
        <w:t>). En el caso concreto, la Corte concluyó que estas condiciones en su conjunto resultaron en tratos crueles, inhumanos y degradantes en violación al artículo 5.1 y 5.2 de la Convención (párr. 92).</w:t>
      </w:r>
    </w:p>
    <w:p w14:paraId="4CE03242" w14:textId="77777777" w:rsidR="0068037D" w:rsidRDefault="0068037D" w:rsidP="0068037D">
      <w:pPr>
        <w:pStyle w:val="ListParagraph"/>
        <w:ind w:left="0"/>
        <w:jc w:val="both"/>
        <w:rPr>
          <w:rFonts w:ascii="Verdana" w:hAnsi="Verdana"/>
          <w:sz w:val="20"/>
          <w:szCs w:val="20"/>
          <w:lang w:val="es-CR"/>
        </w:rPr>
      </w:pPr>
    </w:p>
    <w:p w14:paraId="4FF4E51E" w14:textId="4F8EC21B" w:rsidR="009A41FB" w:rsidRDefault="0068037D" w:rsidP="009A41FB">
      <w:pPr>
        <w:pStyle w:val="ListParagraph"/>
        <w:numPr>
          <w:ilvl w:val="0"/>
          <w:numId w:val="1"/>
        </w:numPr>
        <w:ind w:left="0" w:firstLine="0"/>
        <w:jc w:val="both"/>
        <w:rPr>
          <w:rFonts w:ascii="Verdana" w:hAnsi="Verdana"/>
          <w:sz w:val="20"/>
          <w:szCs w:val="20"/>
          <w:lang w:val="es-CR"/>
        </w:rPr>
      </w:pPr>
      <w:r>
        <w:rPr>
          <w:rFonts w:ascii="Verdana" w:hAnsi="Verdana"/>
          <w:sz w:val="20"/>
          <w:szCs w:val="20"/>
          <w:lang w:val="es-CR"/>
        </w:rPr>
        <w:t>Qu</w:t>
      </w:r>
      <w:r w:rsidR="005763AC">
        <w:rPr>
          <w:rFonts w:ascii="Verdana" w:hAnsi="Verdana"/>
          <w:sz w:val="20"/>
          <w:szCs w:val="20"/>
          <w:lang w:val="es-CR"/>
        </w:rPr>
        <w:t xml:space="preserve">e no se malentienda mi sorpresa con la decisión de la mayoría. Si existe es porque coincido plenamente con </w:t>
      </w:r>
      <w:r w:rsidR="008A1608">
        <w:rPr>
          <w:rFonts w:ascii="Verdana" w:hAnsi="Verdana"/>
          <w:sz w:val="20"/>
          <w:szCs w:val="20"/>
          <w:lang w:val="es-CR"/>
        </w:rPr>
        <w:t xml:space="preserve">el resultado al que arribó la </w:t>
      </w:r>
      <w:r w:rsidR="00666271">
        <w:rPr>
          <w:rFonts w:ascii="Verdana" w:hAnsi="Verdana"/>
          <w:sz w:val="20"/>
          <w:szCs w:val="20"/>
          <w:lang w:val="es-CR"/>
        </w:rPr>
        <w:t>Corte (por unanimidad)</w:t>
      </w:r>
      <w:r w:rsidR="005763AC">
        <w:rPr>
          <w:rFonts w:ascii="Verdana" w:hAnsi="Verdana"/>
          <w:sz w:val="20"/>
          <w:szCs w:val="20"/>
          <w:lang w:val="es-CR"/>
        </w:rPr>
        <w:t xml:space="preserve">, y </w:t>
      </w:r>
      <w:r w:rsidR="008A1608">
        <w:rPr>
          <w:rFonts w:ascii="Verdana" w:hAnsi="Verdana"/>
          <w:sz w:val="20"/>
          <w:szCs w:val="20"/>
          <w:lang w:val="es-CR"/>
        </w:rPr>
        <w:t>es por esta razón que</w:t>
      </w:r>
      <w:r w:rsidR="005763AC">
        <w:rPr>
          <w:rFonts w:ascii="Verdana" w:hAnsi="Verdana"/>
          <w:sz w:val="20"/>
          <w:szCs w:val="20"/>
          <w:lang w:val="es-CR"/>
        </w:rPr>
        <w:t xml:space="preserve"> vot</w:t>
      </w:r>
      <w:r w:rsidR="00636180">
        <w:rPr>
          <w:rFonts w:ascii="Verdana" w:hAnsi="Verdana"/>
          <w:sz w:val="20"/>
          <w:szCs w:val="20"/>
          <w:lang w:val="es-CR"/>
        </w:rPr>
        <w:t>é</w:t>
      </w:r>
      <w:r w:rsidR="005763AC">
        <w:rPr>
          <w:rFonts w:ascii="Verdana" w:hAnsi="Verdana"/>
          <w:sz w:val="20"/>
          <w:szCs w:val="20"/>
          <w:lang w:val="es-CR"/>
        </w:rPr>
        <w:t xml:space="preserve"> a favor en los puntos res</w:t>
      </w:r>
      <w:r w:rsidR="00947375">
        <w:rPr>
          <w:rFonts w:ascii="Verdana" w:hAnsi="Verdana"/>
          <w:sz w:val="20"/>
          <w:szCs w:val="20"/>
          <w:lang w:val="es-CR"/>
        </w:rPr>
        <w:t>olutivos de la Sentencia (Punto Resolutivo</w:t>
      </w:r>
      <w:r w:rsidR="005763AC">
        <w:rPr>
          <w:rFonts w:ascii="Verdana" w:hAnsi="Verdana"/>
          <w:sz w:val="20"/>
          <w:szCs w:val="20"/>
          <w:lang w:val="es-CR"/>
        </w:rPr>
        <w:t xml:space="preserve"> </w:t>
      </w:r>
      <w:r w:rsidR="00947375">
        <w:rPr>
          <w:rFonts w:ascii="Verdana" w:hAnsi="Verdana"/>
          <w:sz w:val="20"/>
          <w:szCs w:val="20"/>
          <w:lang w:val="es-CR"/>
        </w:rPr>
        <w:t>3</w:t>
      </w:r>
      <w:r w:rsidR="005763AC">
        <w:rPr>
          <w:rFonts w:ascii="Verdana" w:hAnsi="Verdana"/>
          <w:sz w:val="20"/>
          <w:szCs w:val="20"/>
          <w:lang w:val="es-CR"/>
        </w:rPr>
        <w:t xml:space="preserve">). Tal como lo he sostenido en mis votos concurrentes y disidentes a las sentencias recientes en </w:t>
      </w:r>
      <w:r w:rsidR="008A1608">
        <w:rPr>
          <w:rFonts w:ascii="Verdana" w:hAnsi="Verdana"/>
          <w:sz w:val="20"/>
          <w:szCs w:val="20"/>
          <w:lang w:val="es-CR"/>
        </w:rPr>
        <w:t>materia de DESCA</w:t>
      </w:r>
      <w:r w:rsidR="005763AC">
        <w:rPr>
          <w:rFonts w:ascii="Verdana" w:hAnsi="Verdana"/>
          <w:sz w:val="20"/>
          <w:szCs w:val="20"/>
          <w:lang w:val="es-CR"/>
        </w:rPr>
        <w:t>, el análisis por conexidad de las violaciones de cuestiones relacionadas con los DESCA genera el mismo resultado práctico que el aná</w:t>
      </w:r>
      <w:r w:rsidR="005763AC">
        <w:rPr>
          <w:rFonts w:ascii="Verdana" w:hAnsi="Verdana"/>
          <w:sz w:val="20"/>
          <w:szCs w:val="20"/>
          <w:lang w:val="es-CR"/>
        </w:rPr>
        <w:lastRenderedPageBreak/>
        <w:t>lisis “autónomo” que ha propuesto la mayoría en sentencias recientes</w:t>
      </w:r>
      <w:r w:rsidR="008A1608">
        <w:rPr>
          <w:rFonts w:ascii="Verdana" w:hAnsi="Verdana"/>
          <w:sz w:val="20"/>
          <w:szCs w:val="20"/>
          <w:lang w:val="es-CR"/>
        </w:rPr>
        <w:t>. Por supuesto, l</w:t>
      </w:r>
      <w:r w:rsidR="005763AC">
        <w:rPr>
          <w:rFonts w:ascii="Verdana" w:hAnsi="Verdana"/>
          <w:sz w:val="20"/>
          <w:szCs w:val="20"/>
          <w:lang w:val="es-CR"/>
        </w:rPr>
        <w:t>a ventaja</w:t>
      </w:r>
      <w:r w:rsidR="008A1608">
        <w:rPr>
          <w:rFonts w:ascii="Verdana" w:hAnsi="Verdana"/>
          <w:sz w:val="20"/>
          <w:szCs w:val="20"/>
          <w:lang w:val="es-CR"/>
        </w:rPr>
        <w:t xml:space="preserve"> del análisis por conexidad es</w:t>
      </w:r>
      <w:r w:rsidR="005763AC">
        <w:rPr>
          <w:rFonts w:ascii="Verdana" w:hAnsi="Verdana"/>
          <w:sz w:val="20"/>
          <w:szCs w:val="20"/>
          <w:lang w:val="es-CR"/>
        </w:rPr>
        <w:t xml:space="preserve"> </w:t>
      </w:r>
      <w:r w:rsidR="008A1608">
        <w:rPr>
          <w:rFonts w:ascii="Verdana" w:hAnsi="Verdana"/>
          <w:sz w:val="20"/>
          <w:szCs w:val="20"/>
          <w:lang w:val="es-CR"/>
        </w:rPr>
        <w:t xml:space="preserve">que </w:t>
      </w:r>
      <w:r w:rsidR="00AD61B7">
        <w:rPr>
          <w:rFonts w:ascii="Verdana" w:hAnsi="Verdana"/>
          <w:sz w:val="20"/>
          <w:szCs w:val="20"/>
          <w:lang w:val="es-CR"/>
        </w:rPr>
        <w:t>protege derechos sin</w:t>
      </w:r>
      <w:r w:rsidR="00666271">
        <w:rPr>
          <w:rFonts w:ascii="Verdana" w:hAnsi="Verdana"/>
          <w:sz w:val="20"/>
          <w:szCs w:val="20"/>
          <w:lang w:val="es-CR"/>
        </w:rPr>
        <w:t xml:space="preserve"> genera</w:t>
      </w:r>
      <w:r w:rsidR="00AD61B7">
        <w:rPr>
          <w:rFonts w:ascii="Verdana" w:hAnsi="Verdana"/>
          <w:sz w:val="20"/>
          <w:szCs w:val="20"/>
          <w:lang w:val="es-CR"/>
        </w:rPr>
        <w:t>r</w:t>
      </w:r>
      <w:r w:rsidR="00666271">
        <w:rPr>
          <w:rFonts w:ascii="Verdana" w:hAnsi="Verdana"/>
          <w:sz w:val="20"/>
          <w:szCs w:val="20"/>
          <w:lang w:val="es-CR"/>
        </w:rPr>
        <w:t xml:space="preserve"> el desgaste institucional y la debilidad argumentativa</w:t>
      </w:r>
      <w:r w:rsidR="00947375">
        <w:rPr>
          <w:rFonts w:ascii="Verdana" w:hAnsi="Verdana"/>
          <w:sz w:val="20"/>
          <w:szCs w:val="20"/>
          <w:lang w:val="es-CR"/>
        </w:rPr>
        <w:t xml:space="preserve"> y probatoria</w:t>
      </w:r>
      <w:r w:rsidR="00666271">
        <w:rPr>
          <w:rFonts w:ascii="Verdana" w:hAnsi="Verdana"/>
          <w:sz w:val="20"/>
          <w:szCs w:val="20"/>
          <w:lang w:val="es-CR"/>
        </w:rPr>
        <w:t xml:space="preserve"> que </w:t>
      </w:r>
      <w:r w:rsidR="00636180">
        <w:rPr>
          <w:rFonts w:ascii="Verdana" w:hAnsi="Verdana"/>
          <w:sz w:val="20"/>
          <w:szCs w:val="20"/>
          <w:lang w:val="es-CR"/>
        </w:rPr>
        <w:t xml:space="preserve">suscita </w:t>
      </w:r>
      <w:r w:rsidR="00666271">
        <w:rPr>
          <w:rFonts w:ascii="Verdana" w:hAnsi="Verdana"/>
          <w:sz w:val="20"/>
          <w:szCs w:val="20"/>
          <w:lang w:val="es-CR"/>
        </w:rPr>
        <w:t xml:space="preserve">el análisis </w:t>
      </w:r>
      <w:r w:rsidR="00B12A00">
        <w:rPr>
          <w:rFonts w:ascii="Verdana" w:hAnsi="Verdana"/>
          <w:sz w:val="20"/>
          <w:szCs w:val="20"/>
          <w:lang w:val="es-CR"/>
        </w:rPr>
        <w:t>contrario</w:t>
      </w:r>
      <w:r w:rsidR="005763AC">
        <w:rPr>
          <w:rFonts w:ascii="Verdana" w:hAnsi="Verdana"/>
          <w:sz w:val="20"/>
          <w:szCs w:val="20"/>
          <w:lang w:val="es-CR"/>
        </w:rPr>
        <w:t xml:space="preserve">. </w:t>
      </w:r>
      <w:r w:rsidR="008A1608">
        <w:rPr>
          <w:rFonts w:ascii="Verdana" w:hAnsi="Verdana"/>
          <w:sz w:val="20"/>
          <w:szCs w:val="20"/>
          <w:lang w:val="es-CR"/>
        </w:rPr>
        <w:t xml:space="preserve">Y este caso prueba el punto: la Sentencia aborda las cuestiones relacionadas con la falta de atención médica adecuada y la falta de alimentación de las víctimas bajo el espectro del deber de garantizar la integridad personal de las personas privadas de libertad. La decisión resulta razonable y apegada a derecho, respeta la jurisprudencia construida por la Corte en las últimas décadas, y refleja un voto de consenso entre todos los jueces. Todo ello fortalece la posición </w:t>
      </w:r>
      <w:r w:rsidR="00666271">
        <w:rPr>
          <w:rFonts w:ascii="Verdana" w:hAnsi="Verdana"/>
          <w:sz w:val="20"/>
          <w:szCs w:val="20"/>
          <w:lang w:val="es-CR"/>
        </w:rPr>
        <w:t>de la Corte</w:t>
      </w:r>
      <w:r w:rsidR="008A1608">
        <w:rPr>
          <w:rFonts w:ascii="Verdana" w:hAnsi="Verdana"/>
          <w:sz w:val="20"/>
          <w:szCs w:val="20"/>
          <w:lang w:val="es-CR"/>
        </w:rPr>
        <w:t xml:space="preserve"> y garantiza los derechos </w:t>
      </w:r>
      <w:r w:rsidR="00F40F71">
        <w:rPr>
          <w:rFonts w:ascii="Verdana" w:hAnsi="Verdana"/>
          <w:sz w:val="20"/>
          <w:szCs w:val="20"/>
          <w:lang w:val="es-CR"/>
        </w:rPr>
        <w:t>involucrados</w:t>
      </w:r>
      <w:r w:rsidR="008A1608">
        <w:rPr>
          <w:rFonts w:ascii="Verdana" w:hAnsi="Verdana"/>
          <w:sz w:val="20"/>
          <w:szCs w:val="20"/>
          <w:lang w:val="es-CR"/>
        </w:rPr>
        <w:t xml:space="preserve"> de forma adecuada.</w:t>
      </w:r>
    </w:p>
    <w:p w14:paraId="01069342" w14:textId="77777777" w:rsidR="008A1608" w:rsidRPr="008A1608" w:rsidRDefault="008A1608" w:rsidP="008A1608">
      <w:pPr>
        <w:pStyle w:val="ListParagraph"/>
        <w:rPr>
          <w:rFonts w:ascii="Verdana" w:hAnsi="Verdana"/>
          <w:sz w:val="20"/>
          <w:szCs w:val="20"/>
          <w:lang w:val="es-CR"/>
        </w:rPr>
      </w:pPr>
    </w:p>
    <w:p w14:paraId="744BF8E8" w14:textId="50E08BD5" w:rsidR="008A1608" w:rsidRPr="009A41FB" w:rsidRDefault="008A1608" w:rsidP="009A41FB">
      <w:pPr>
        <w:pStyle w:val="ListParagraph"/>
        <w:numPr>
          <w:ilvl w:val="0"/>
          <w:numId w:val="1"/>
        </w:numPr>
        <w:ind w:left="0" w:firstLine="0"/>
        <w:jc w:val="both"/>
        <w:rPr>
          <w:rFonts w:ascii="Verdana" w:hAnsi="Verdana"/>
          <w:sz w:val="20"/>
          <w:szCs w:val="20"/>
          <w:lang w:val="es-CR"/>
        </w:rPr>
      </w:pPr>
      <w:r>
        <w:rPr>
          <w:rFonts w:ascii="Verdana" w:hAnsi="Verdana"/>
          <w:sz w:val="20"/>
          <w:szCs w:val="20"/>
          <w:lang w:val="es-CR"/>
        </w:rPr>
        <w:lastRenderedPageBreak/>
        <w:t xml:space="preserve">Nada garantiza que en el futuro </w:t>
      </w:r>
      <w:r w:rsidR="00F40F71">
        <w:rPr>
          <w:rFonts w:ascii="Verdana" w:hAnsi="Verdana"/>
          <w:sz w:val="20"/>
          <w:szCs w:val="20"/>
          <w:lang w:val="es-CR"/>
        </w:rPr>
        <w:t xml:space="preserve">la Corte camine por un sendero prudente en materia de DESCA. De hecho pareciera lo contrario, de forma tal que </w:t>
      </w:r>
      <w:r w:rsidR="00F40F71">
        <w:rPr>
          <w:rFonts w:ascii="Verdana" w:hAnsi="Verdana"/>
          <w:i/>
          <w:sz w:val="20"/>
          <w:szCs w:val="20"/>
          <w:lang w:val="es-CR"/>
        </w:rPr>
        <w:t>Rodr</w:t>
      </w:r>
      <w:r w:rsidR="00636180">
        <w:rPr>
          <w:rFonts w:ascii="Verdana" w:hAnsi="Verdana"/>
          <w:i/>
          <w:sz w:val="20"/>
          <w:szCs w:val="20"/>
          <w:lang w:val="es-CR"/>
        </w:rPr>
        <w:t>í</w:t>
      </w:r>
      <w:r w:rsidR="00F40F71">
        <w:rPr>
          <w:rFonts w:ascii="Verdana" w:hAnsi="Verdana"/>
          <w:i/>
          <w:sz w:val="20"/>
          <w:szCs w:val="20"/>
          <w:lang w:val="es-CR"/>
        </w:rPr>
        <w:t xml:space="preserve">guez Revolorio </w:t>
      </w:r>
      <w:r w:rsidR="00F40F71">
        <w:rPr>
          <w:rFonts w:ascii="Verdana" w:hAnsi="Verdana"/>
          <w:sz w:val="20"/>
          <w:szCs w:val="20"/>
          <w:lang w:val="es-CR"/>
        </w:rPr>
        <w:t xml:space="preserve">quizás sea una excepción dentro de lo que se muestra como una tendencia expansiva que no parece tener otro límite que la imaginación y la voluntad </w:t>
      </w:r>
      <w:r w:rsidR="00636180">
        <w:rPr>
          <w:rFonts w:ascii="Verdana" w:hAnsi="Verdana"/>
          <w:sz w:val="20"/>
          <w:szCs w:val="20"/>
          <w:lang w:val="es-CR"/>
        </w:rPr>
        <w:t xml:space="preserve">de </w:t>
      </w:r>
      <w:r w:rsidR="00F40F71">
        <w:rPr>
          <w:rFonts w:ascii="Verdana" w:hAnsi="Verdana"/>
          <w:sz w:val="20"/>
          <w:szCs w:val="20"/>
          <w:lang w:val="es-CR"/>
        </w:rPr>
        <w:t>declarar la violación de más derechos</w:t>
      </w:r>
      <w:r w:rsidR="00AD61B7">
        <w:rPr>
          <w:rFonts w:ascii="Verdana" w:hAnsi="Verdana"/>
          <w:sz w:val="20"/>
          <w:szCs w:val="20"/>
          <w:lang w:val="es-CR"/>
        </w:rPr>
        <w:t xml:space="preserve"> sociales</w:t>
      </w:r>
      <w:r w:rsidR="00A37220">
        <w:rPr>
          <w:rFonts w:ascii="Verdana" w:hAnsi="Verdana"/>
          <w:sz w:val="20"/>
          <w:szCs w:val="20"/>
          <w:lang w:val="es-CR"/>
        </w:rPr>
        <w:t xml:space="preserve"> (los más posibles)</w:t>
      </w:r>
      <w:r w:rsidR="00AD61B7">
        <w:rPr>
          <w:rFonts w:ascii="Verdana" w:hAnsi="Verdana"/>
          <w:sz w:val="20"/>
          <w:szCs w:val="20"/>
          <w:lang w:val="es-CR"/>
        </w:rPr>
        <w:t xml:space="preserve">, aun cuando esto implique </w:t>
      </w:r>
      <w:r w:rsidR="006A728B">
        <w:rPr>
          <w:rFonts w:ascii="Verdana" w:hAnsi="Verdana"/>
          <w:sz w:val="20"/>
          <w:szCs w:val="20"/>
          <w:lang w:val="es-CR"/>
        </w:rPr>
        <w:t>ignorar</w:t>
      </w:r>
      <w:r w:rsidR="00AD61B7">
        <w:rPr>
          <w:rFonts w:ascii="Verdana" w:hAnsi="Verdana"/>
          <w:sz w:val="20"/>
          <w:szCs w:val="20"/>
          <w:lang w:val="es-CR"/>
        </w:rPr>
        <w:t xml:space="preserve"> reglas y principios básicos de </w:t>
      </w:r>
      <w:r w:rsidR="00947375">
        <w:rPr>
          <w:rFonts w:ascii="Verdana" w:hAnsi="Verdana"/>
          <w:sz w:val="20"/>
          <w:szCs w:val="20"/>
          <w:lang w:val="es-CR"/>
        </w:rPr>
        <w:t>derecho procesal</w:t>
      </w:r>
      <w:r w:rsidR="00814744">
        <w:rPr>
          <w:rFonts w:ascii="Verdana" w:hAnsi="Verdana"/>
          <w:sz w:val="20"/>
          <w:szCs w:val="20"/>
          <w:lang w:val="es-CR"/>
        </w:rPr>
        <w:t xml:space="preserve">, y además no cumpla ningún </w:t>
      </w:r>
      <w:r w:rsidR="00A37220">
        <w:rPr>
          <w:rFonts w:ascii="Verdana" w:hAnsi="Verdana"/>
          <w:sz w:val="20"/>
          <w:szCs w:val="20"/>
          <w:lang w:val="es-CR"/>
        </w:rPr>
        <w:t>propósito</w:t>
      </w:r>
      <w:r w:rsidR="00814744">
        <w:rPr>
          <w:rFonts w:ascii="Verdana" w:hAnsi="Verdana"/>
          <w:sz w:val="20"/>
          <w:szCs w:val="20"/>
          <w:lang w:val="es-CR"/>
        </w:rPr>
        <w:t xml:space="preserve"> práctico</w:t>
      </w:r>
      <w:r w:rsidR="00F40F71">
        <w:rPr>
          <w:rFonts w:ascii="Verdana" w:hAnsi="Verdana"/>
          <w:sz w:val="20"/>
          <w:szCs w:val="20"/>
          <w:lang w:val="es-CR"/>
        </w:rPr>
        <w:t>. En esa misma medida quizás t</w:t>
      </w:r>
      <w:r>
        <w:rPr>
          <w:rFonts w:ascii="Verdana" w:hAnsi="Verdana"/>
          <w:sz w:val="20"/>
          <w:szCs w:val="20"/>
          <w:lang w:val="es-CR"/>
        </w:rPr>
        <w:t xml:space="preserve">ambién </w:t>
      </w:r>
      <w:r w:rsidR="00F40F71">
        <w:rPr>
          <w:rFonts w:ascii="Verdana" w:hAnsi="Verdana"/>
          <w:sz w:val="20"/>
          <w:szCs w:val="20"/>
          <w:lang w:val="es-CR"/>
        </w:rPr>
        <w:t>continuará el uso</w:t>
      </w:r>
      <w:r>
        <w:rPr>
          <w:rFonts w:ascii="Verdana" w:hAnsi="Verdana"/>
          <w:sz w:val="20"/>
          <w:szCs w:val="20"/>
          <w:lang w:val="es-CR"/>
        </w:rPr>
        <w:t xml:space="preserve"> </w:t>
      </w:r>
      <w:r w:rsidR="00F40F71">
        <w:rPr>
          <w:rFonts w:ascii="Verdana" w:hAnsi="Verdana"/>
          <w:sz w:val="20"/>
          <w:szCs w:val="20"/>
          <w:lang w:val="es-CR"/>
        </w:rPr>
        <w:t>ligero del principio</w:t>
      </w:r>
      <w:r>
        <w:rPr>
          <w:rFonts w:ascii="Verdana" w:hAnsi="Verdana"/>
          <w:sz w:val="20"/>
          <w:szCs w:val="20"/>
          <w:lang w:val="es-CR"/>
        </w:rPr>
        <w:t xml:space="preserve"> del </w:t>
      </w:r>
      <w:r>
        <w:rPr>
          <w:rFonts w:ascii="Verdana" w:hAnsi="Verdana"/>
          <w:i/>
          <w:sz w:val="20"/>
          <w:szCs w:val="20"/>
          <w:lang w:val="es-CR"/>
        </w:rPr>
        <w:t xml:space="preserve">iura novit curia </w:t>
      </w:r>
      <w:r>
        <w:rPr>
          <w:rFonts w:ascii="Verdana" w:hAnsi="Verdana"/>
          <w:sz w:val="20"/>
          <w:szCs w:val="20"/>
          <w:lang w:val="es-CR"/>
        </w:rPr>
        <w:t xml:space="preserve">para el análisis de casos que </w:t>
      </w:r>
      <w:r w:rsidR="008E7537">
        <w:rPr>
          <w:rFonts w:ascii="Verdana" w:hAnsi="Verdana"/>
          <w:sz w:val="20"/>
          <w:szCs w:val="20"/>
          <w:lang w:val="es-CR"/>
        </w:rPr>
        <w:t>poco</w:t>
      </w:r>
      <w:r>
        <w:rPr>
          <w:rFonts w:ascii="Verdana" w:hAnsi="Verdana"/>
          <w:sz w:val="20"/>
          <w:szCs w:val="20"/>
          <w:lang w:val="es-CR"/>
        </w:rPr>
        <w:t xml:space="preserve"> tengan que ver con los </w:t>
      </w:r>
      <w:r w:rsidR="00F40F71">
        <w:rPr>
          <w:rFonts w:ascii="Verdana" w:hAnsi="Verdana"/>
          <w:sz w:val="20"/>
          <w:szCs w:val="20"/>
          <w:lang w:val="es-CR"/>
        </w:rPr>
        <w:t xml:space="preserve">DESCA, como sucedió en </w:t>
      </w:r>
      <w:r w:rsidR="00AD61B7">
        <w:rPr>
          <w:rFonts w:ascii="Verdana" w:hAnsi="Verdana"/>
          <w:i/>
          <w:sz w:val="20"/>
          <w:szCs w:val="20"/>
          <w:lang w:val="es-CR"/>
        </w:rPr>
        <w:t>Lagos del Campo,</w:t>
      </w:r>
      <w:r w:rsidR="00F40F71">
        <w:rPr>
          <w:rFonts w:ascii="Verdana" w:hAnsi="Verdana"/>
          <w:sz w:val="20"/>
          <w:szCs w:val="20"/>
          <w:lang w:val="es-CR"/>
        </w:rPr>
        <w:t xml:space="preserve"> </w:t>
      </w:r>
      <w:r w:rsidR="00F40F71">
        <w:rPr>
          <w:rFonts w:ascii="Verdana" w:hAnsi="Verdana"/>
          <w:i/>
          <w:sz w:val="20"/>
          <w:szCs w:val="20"/>
          <w:lang w:val="es-CR"/>
        </w:rPr>
        <w:t>Petroperú</w:t>
      </w:r>
      <w:r w:rsidR="00AD61B7">
        <w:rPr>
          <w:rFonts w:ascii="Verdana" w:hAnsi="Verdana"/>
          <w:i/>
          <w:sz w:val="20"/>
          <w:szCs w:val="20"/>
          <w:lang w:val="es-CR"/>
        </w:rPr>
        <w:t xml:space="preserve"> </w:t>
      </w:r>
      <w:r w:rsidR="00AD61B7">
        <w:rPr>
          <w:rFonts w:ascii="Verdana" w:hAnsi="Verdana"/>
          <w:sz w:val="20"/>
          <w:szCs w:val="20"/>
          <w:lang w:val="es-CR"/>
        </w:rPr>
        <w:t xml:space="preserve">y </w:t>
      </w:r>
      <w:r w:rsidR="00AD61B7">
        <w:rPr>
          <w:rFonts w:ascii="Verdana" w:hAnsi="Verdana"/>
          <w:i/>
          <w:sz w:val="20"/>
          <w:szCs w:val="20"/>
          <w:lang w:val="es-CR"/>
        </w:rPr>
        <w:t>San Miguel Sosa</w:t>
      </w:r>
      <w:r w:rsidR="00F40F71">
        <w:rPr>
          <w:rFonts w:ascii="Verdana" w:hAnsi="Verdana"/>
          <w:i/>
          <w:sz w:val="20"/>
          <w:szCs w:val="20"/>
          <w:lang w:val="es-CR"/>
        </w:rPr>
        <w:t xml:space="preserve"> </w:t>
      </w:r>
      <w:r w:rsidR="00F40F71">
        <w:rPr>
          <w:rFonts w:ascii="Verdana" w:hAnsi="Verdana"/>
          <w:sz w:val="20"/>
          <w:szCs w:val="20"/>
          <w:lang w:val="es-CR"/>
        </w:rPr>
        <w:t xml:space="preserve">(por mencionar </w:t>
      </w:r>
      <w:r w:rsidR="00AD61B7">
        <w:rPr>
          <w:rFonts w:ascii="Verdana" w:hAnsi="Verdana"/>
          <w:sz w:val="20"/>
          <w:szCs w:val="20"/>
          <w:lang w:val="es-CR"/>
        </w:rPr>
        <w:t>tres</w:t>
      </w:r>
      <w:r w:rsidR="00F40F71">
        <w:rPr>
          <w:rFonts w:ascii="Verdana" w:hAnsi="Verdana"/>
          <w:sz w:val="20"/>
          <w:szCs w:val="20"/>
          <w:lang w:val="es-CR"/>
        </w:rPr>
        <w:t xml:space="preserve">). Sin embargo, como </w:t>
      </w:r>
      <w:r w:rsidR="002C2CFF">
        <w:rPr>
          <w:rFonts w:ascii="Verdana" w:hAnsi="Verdana"/>
          <w:sz w:val="20"/>
          <w:szCs w:val="20"/>
          <w:lang w:val="es-CR"/>
        </w:rPr>
        <w:t>mucho</w:t>
      </w:r>
      <w:r w:rsidR="00F40F71">
        <w:rPr>
          <w:rFonts w:ascii="Verdana" w:hAnsi="Verdana"/>
          <w:sz w:val="20"/>
          <w:szCs w:val="20"/>
          <w:lang w:val="es-CR"/>
        </w:rPr>
        <w:t xml:space="preserve"> en el derecho, esto solo es una posibilidad. También podría s</w:t>
      </w:r>
      <w:r w:rsidR="002C2CFF">
        <w:rPr>
          <w:rFonts w:ascii="Verdana" w:hAnsi="Verdana"/>
          <w:sz w:val="20"/>
          <w:szCs w:val="20"/>
          <w:lang w:val="es-CR"/>
        </w:rPr>
        <w:t xml:space="preserve">uceder que la </w:t>
      </w:r>
      <w:r w:rsidR="002C2CFF">
        <w:rPr>
          <w:rFonts w:ascii="Verdana" w:hAnsi="Verdana"/>
          <w:sz w:val="20"/>
          <w:szCs w:val="20"/>
          <w:lang w:val="es-CR"/>
        </w:rPr>
        <w:lastRenderedPageBreak/>
        <w:t xml:space="preserve">Corte haga un uso más delimitado y razonado de este principio, de </w:t>
      </w:r>
      <w:r w:rsidR="00636180">
        <w:rPr>
          <w:rFonts w:ascii="Verdana" w:hAnsi="Verdana"/>
          <w:sz w:val="20"/>
          <w:szCs w:val="20"/>
          <w:lang w:val="es-CR"/>
        </w:rPr>
        <w:t xml:space="preserve">manera </w:t>
      </w:r>
      <w:r w:rsidR="002C2CFF">
        <w:rPr>
          <w:rFonts w:ascii="Verdana" w:hAnsi="Verdana"/>
          <w:sz w:val="20"/>
          <w:szCs w:val="20"/>
          <w:lang w:val="es-CR"/>
        </w:rPr>
        <w:t xml:space="preserve">tal que esté restringido por un parámetro de razonabilidad, pertinencia al caso concreto y cercanía con </w:t>
      </w:r>
      <w:r w:rsidR="00AD61B7">
        <w:rPr>
          <w:rFonts w:ascii="Verdana" w:hAnsi="Verdana"/>
          <w:sz w:val="20"/>
          <w:szCs w:val="20"/>
          <w:lang w:val="es-CR"/>
        </w:rPr>
        <w:t>éste</w:t>
      </w:r>
      <w:r w:rsidR="002C2CFF">
        <w:rPr>
          <w:rFonts w:ascii="Verdana" w:hAnsi="Verdana"/>
          <w:sz w:val="20"/>
          <w:szCs w:val="20"/>
          <w:lang w:val="es-CR"/>
        </w:rPr>
        <w:t xml:space="preserve">. Esta es la práctica de otros tribunales internacionales, y ha sido la práctica de la Corte en el pasado. Avanzar en ese sentido parece ser el camino más adecuado para la Corte, sobre todo en esta nueva tendencia jurisprudencial en materia de DESCA, que tantas dudas </w:t>
      </w:r>
      <w:r w:rsidR="00814744">
        <w:rPr>
          <w:rFonts w:ascii="Verdana" w:hAnsi="Verdana"/>
          <w:sz w:val="20"/>
          <w:szCs w:val="20"/>
          <w:lang w:val="es-CR"/>
        </w:rPr>
        <w:t>sigue generando</w:t>
      </w:r>
      <w:r w:rsidR="002C2CFF">
        <w:rPr>
          <w:rFonts w:ascii="Verdana" w:hAnsi="Verdana"/>
          <w:sz w:val="20"/>
          <w:szCs w:val="20"/>
          <w:lang w:val="es-CR"/>
        </w:rPr>
        <w:t>.</w:t>
      </w:r>
    </w:p>
    <w:p w14:paraId="2198C363" w14:textId="77777777" w:rsidR="009A41FB" w:rsidRDefault="009A41FB" w:rsidP="005247B7">
      <w:pPr>
        <w:jc w:val="both"/>
        <w:rPr>
          <w:rFonts w:ascii="Verdana" w:eastAsia="Cambria" w:hAnsi="Verdana" w:cs="Cambria"/>
          <w:color w:val="000000"/>
          <w:u w:color="000000"/>
          <w:lang w:val="es-CR" w:eastAsia="es-ES"/>
        </w:rPr>
      </w:pPr>
    </w:p>
    <w:p w14:paraId="60094941" w14:textId="77777777" w:rsidR="00947375" w:rsidRDefault="00947375" w:rsidP="005247B7">
      <w:pPr>
        <w:jc w:val="both"/>
        <w:rPr>
          <w:rFonts w:ascii="Verdana" w:eastAsia="Cambria" w:hAnsi="Verdana" w:cs="Cambria"/>
          <w:color w:val="000000"/>
          <w:u w:color="000000"/>
          <w:lang w:val="es-CR" w:eastAsia="es-ES"/>
        </w:rPr>
      </w:pPr>
    </w:p>
    <w:p w14:paraId="4CC0F16B" w14:textId="77777777" w:rsidR="00A37220" w:rsidRDefault="00A37220" w:rsidP="005247B7">
      <w:pPr>
        <w:jc w:val="both"/>
        <w:rPr>
          <w:rFonts w:ascii="Verdana" w:eastAsia="Cambria" w:hAnsi="Verdana" w:cs="Cambria"/>
          <w:color w:val="000000"/>
          <w:u w:color="000000"/>
          <w:lang w:val="es-CR" w:eastAsia="es-ES"/>
        </w:rPr>
      </w:pPr>
    </w:p>
    <w:p w14:paraId="20FA630D" w14:textId="77777777" w:rsidR="00A37220" w:rsidRDefault="00A37220" w:rsidP="005247B7">
      <w:pPr>
        <w:jc w:val="both"/>
        <w:rPr>
          <w:rFonts w:ascii="Verdana" w:eastAsia="Cambria" w:hAnsi="Verdana" w:cs="Cambria"/>
          <w:color w:val="000000"/>
          <w:u w:color="000000"/>
          <w:lang w:val="es-CR" w:eastAsia="es-ES"/>
        </w:rPr>
      </w:pPr>
    </w:p>
    <w:p w14:paraId="5F4C25BE" w14:textId="77777777" w:rsidR="00947375" w:rsidRDefault="00947375" w:rsidP="005247B7">
      <w:pPr>
        <w:jc w:val="both"/>
        <w:rPr>
          <w:rFonts w:ascii="Verdana" w:eastAsia="Cambria" w:hAnsi="Verdana" w:cs="Cambria"/>
          <w:color w:val="000000"/>
          <w:u w:color="000000"/>
          <w:lang w:val="es-CR" w:eastAsia="es-ES"/>
        </w:rPr>
      </w:pPr>
    </w:p>
    <w:p w14:paraId="0750CFC8" w14:textId="77777777" w:rsidR="00947375" w:rsidRDefault="00947375" w:rsidP="005247B7">
      <w:pPr>
        <w:jc w:val="both"/>
        <w:rPr>
          <w:rFonts w:ascii="Verdana" w:eastAsia="Cambria" w:hAnsi="Verdana" w:cs="Cambria"/>
          <w:color w:val="000000"/>
          <w:u w:color="000000"/>
          <w:lang w:val="es-CR" w:eastAsia="es-ES"/>
        </w:rPr>
      </w:pPr>
    </w:p>
    <w:p w14:paraId="007140D8" w14:textId="77777777" w:rsidR="00947375" w:rsidRPr="0067769A" w:rsidRDefault="00947375" w:rsidP="00947375">
      <w:pPr>
        <w:ind w:left="4248"/>
        <w:jc w:val="center"/>
        <w:rPr>
          <w:rFonts w:ascii="Verdana" w:hAnsi="Verdana"/>
          <w:lang w:val="es-CR"/>
        </w:rPr>
      </w:pPr>
      <w:r w:rsidRPr="0067769A">
        <w:rPr>
          <w:rFonts w:ascii="Verdana" w:hAnsi="Verdana"/>
          <w:lang w:val="pt-BR"/>
        </w:rPr>
        <w:t>Humberto Antonio Sierra Porto</w:t>
      </w:r>
    </w:p>
    <w:p w14:paraId="13D15DF0" w14:textId="77777777" w:rsidR="00947375" w:rsidRPr="0067769A" w:rsidRDefault="00947375" w:rsidP="00947375">
      <w:pPr>
        <w:ind w:left="4248"/>
        <w:jc w:val="center"/>
        <w:rPr>
          <w:rFonts w:ascii="Verdana" w:hAnsi="Verdana"/>
          <w:lang w:val="es-CR"/>
        </w:rPr>
      </w:pPr>
      <w:r w:rsidRPr="0067769A">
        <w:rPr>
          <w:rFonts w:ascii="Verdana" w:hAnsi="Verdana"/>
          <w:lang w:val="es-CR"/>
        </w:rPr>
        <w:t>Juez</w:t>
      </w:r>
    </w:p>
    <w:p w14:paraId="620D6DE5" w14:textId="77777777" w:rsidR="00947375" w:rsidRPr="0067769A" w:rsidRDefault="00947375" w:rsidP="00947375">
      <w:pPr>
        <w:tabs>
          <w:tab w:val="left" w:pos="1440"/>
        </w:tabs>
        <w:jc w:val="center"/>
        <w:rPr>
          <w:rFonts w:ascii="Verdana" w:hAnsi="Verdana"/>
          <w:highlight w:val="yellow"/>
          <w:lang w:val="es-CR"/>
        </w:rPr>
      </w:pPr>
    </w:p>
    <w:p w14:paraId="383DC7E4" w14:textId="77777777" w:rsidR="00947375" w:rsidRPr="0067769A" w:rsidRDefault="00947375" w:rsidP="00947375">
      <w:pPr>
        <w:tabs>
          <w:tab w:val="left" w:pos="1440"/>
        </w:tabs>
        <w:rPr>
          <w:rFonts w:ascii="Verdana" w:hAnsi="Verdana"/>
          <w:highlight w:val="yellow"/>
          <w:lang w:val="es-CR"/>
        </w:rPr>
      </w:pPr>
    </w:p>
    <w:p w14:paraId="352A41F5" w14:textId="77777777" w:rsidR="00947375" w:rsidRPr="0067769A" w:rsidRDefault="00947375" w:rsidP="00947375">
      <w:pPr>
        <w:tabs>
          <w:tab w:val="left" w:pos="1440"/>
        </w:tabs>
        <w:rPr>
          <w:rFonts w:ascii="Verdana" w:hAnsi="Verdana"/>
          <w:highlight w:val="yellow"/>
          <w:lang w:val="es-CR"/>
        </w:rPr>
      </w:pPr>
    </w:p>
    <w:p w14:paraId="31311C76" w14:textId="77777777" w:rsidR="00947375" w:rsidRPr="0067769A" w:rsidRDefault="00947375" w:rsidP="00947375">
      <w:pPr>
        <w:tabs>
          <w:tab w:val="left" w:pos="1440"/>
        </w:tabs>
        <w:rPr>
          <w:rFonts w:ascii="Verdana" w:hAnsi="Verdana"/>
          <w:highlight w:val="yellow"/>
          <w:lang w:val="es-CR"/>
        </w:rPr>
      </w:pPr>
    </w:p>
    <w:p w14:paraId="23D331C7" w14:textId="77777777" w:rsidR="00947375" w:rsidRPr="0067769A" w:rsidRDefault="00947375" w:rsidP="00947375">
      <w:pPr>
        <w:tabs>
          <w:tab w:val="left" w:pos="1440"/>
        </w:tabs>
        <w:rPr>
          <w:rFonts w:ascii="Verdana" w:hAnsi="Verdana"/>
          <w:highlight w:val="yellow"/>
          <w:lang w:val="es-CR"/>
        </w:rPr>
      </w:pPr>
    </w:p>
    <w:p w14:paraId="7829766E" w14:textId="77777777" w:rsidR="00947375" w:rsidRPr="0067769A" w:rsidRDefault="00947375" w:rsidP="00947375">
      <w:pPr>
        <w:tabs>
          <w:tab w:val="left" w:pos="1440"/>
        </w:tabs>
        <w:rPr>
          <w:rFonts w:ascii="Verdana" w:hAnsi="Verdana"/>
          <w:highlight w:val="yellow"/>
          <w:lang w:val="es-CR"/>
        </w:rPr>
      </w:pPr>
    </w:p>
    <w:p w14:paraId="69B163AD" w14:textId="3B2E9FDA" w:rsidR="00947375" w:rsidRPr="0067769A" w:rsidRDefault="002343C8" w:rsidP="00947375">
      <w:pPr>
        <w:tabs>
          <w:tab w:val="left" w:pos="1440"/>
        </w:tabs>
        <w:rPr>
          <w:rFonts w:ascii="Verdana" w:hAnsi="Verdana"/>
          <w:lang w:val="es-CR"/>
        </w:rPr>
      </w:pPr>
      <w:r>
        <w:rPr>
          <w:rFonts w:ascii="Verdana" w:hAnsi="Verdana"/>
          <w:lang w:val="es-CR"/>
        </w:rPr>
        <w:t xml:space="preserve">    </w:t>
      </w:r>
      <w:r w:rsidR="00947375" w:rsidRPr="0067769A">
        <w:rPr>
          <w:rFonts w:ascii="Verdana" w:hAnsi="Verdana"/>
          <w:lang w:val="es-CR"/>
        </w:rPr>
        <w:t xml:space="preserve">Pablo Saavedra Alessandri </w:t>
      </w:r>
    </w:p>
    <w:p w14:paraId="5549DEA7" w14:textId="581561D6" w:rsidR="00947375" w:rsidRPr="0067769A" w:rsidRDefault="002343C8" w:rsidP="00947375">
      <w:pPr>
        <w:tabs>
          <w:tab w:val="left" w:pos="1440"/>
        </w:tabs>
        <w:rPr>
          <w:rFonts w:ascii="Verdana" w:hAnsi="Verdana"/>
        </w:rPr>
      </w:pPr>
      <w:r>
        <w:rPr>
          <w:rFonts w:ascii="Verdana" w:hAnsi="Verdana"/>
        </w:rPr>
        <w:t xml:space="preserve">        </w:t>
      </w:r>
      <w:r w:rsidR="00947375" w:rsidRPr="0067769A">
        <w:rPr>
          <w:rFonts w:ascii="Verdana" w:hAnsi="Verdana"/>
        </w:rPr>
        <w:t xml:space="preserve"> Secretario</w:t>
      </w:r>
    </w:p>
    <w:p w14:paraId="0DEFA1B6" w14:textId="77777777" w:rsidR="00947375" w:rsidRPr="0067769A" w:rsidRDefault="00947375" w:rsidP="00947375">
      <w:pPr>
        <w:jc w:val="both"/>
        <w:rPr>
          <w:rFonts w:ascii="Verdana" w:eastAsia="Cambria" w:hAnsi="Verdana" w:cs="Cambria"/>
          <w:color w:val="000000"/>
          <w:u w:color="000000"/>
          <w:lang w:val="es-CR" w:eastAsia="es-ES"/>
        </w:rPr>
      </w:pPr>
    </w:p>
    <w:p w14:paraId="3D1B6BF4" w14:textId="77777777" w:rsidR="00947375" w:rsidRPr="009A41FB" w:rsidRDefault="00947375" w:rsidP="00947375">
      <w:pPr>
        <w:jc w:val="both"/>
        <w:rPr>
          <w:rFonts w:ascii="Verdana" w:eastAsia="Cambria" w:hAnsi="Verdana" w:cs="Cambria"/>
          <w:color w:val="000000"/>
          <w:u w:color="000000"/>
          <w:lang w:val="es-CR" w:eastAsia="es-ES"/>
        </w:rPr>
      </w:pPr>
    </w:p>
    <w:p w14:paraId="3013BE1E" w14:textId="77777777" w:rsidR="00947375" w:rsidRPr="009A41FB" w:rsidRDefault="00947375" w:rsidP="005247B7">
      <w:pPr>
        <w:jc w:val="both"/>
        <w:rPr>
          <w:rFonts w:ascii="Verdana" w:eastAsia="Cambria" w:hAnsi="Verdana" w:cs="Cambria"/>
          <w:color w:val="000000"/>
          <w:u w:color="000000"/>
          <w:lang w:val="es-CR" w:eastAsia="es-ES"/>
        </w:rPr>
      </w:pPr>
    </w:p>
    <w:sectPr w:rsidR="00947375" w:rsidRPr="009A41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B017C" w14:textId="77777777" w:rsidR="006F3A34" w:rsidRDefault="006F3A34" w:rsidP="007A144A">
      <w:r>
        <w:separator/>
      </w:r>
    </w:p>
  </w:endnote>
  <w:endnote w:type="continuationSeparator" w:id="0">
    <w:p w14:paraId="6E6DF1A6" w14:textId="77777777" w:rsidR="006F3A34" w:rsidRDefault="006F3A34" w:rsidP="007A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F25FA" w14:textId="77777777" w:rsidR="006F3A34" w:rsidRDefault="006F3A34" w:rsidP="007A144A">
      <w:r>
        <w:separator/>
      </w:r>
    </w:p>
  </w:footnote>
  <w:footnote w:type="continuationSeparator" w:id="0">
    <w:p w14:paraId="71A9B301" w14:textId="77777777" w:rsidR="006F3A34" w:rsidRDefault="006F3A34" w:rsidP="007A144A">
      <w:r>
        <w:continuationSeparator/>
      </w:r>
    </w:p>
  </w:footnote>
  <w:footnote w:id="1">
    <w:p w14:paraId="2136EA35" w14:textId="16F6896E" w:rsidR="0037355B" w:rsidRPr="0037355B" w:rsidRDefault="0037355B" w:rsidP="0037355B">
      <w:pPr>
        <w:pStyle w:val="FootnoteText"/>
        <w:jc w:val="both"/>
        <w:rPr>
          <w:rFonts w:ascii="Arial" w:hAnsi="Arial" w:cs="Arial"/>
          <w:sz w:val="16"/>
          <w:szCs w:val="16"/>
          <w:lang w:val="es-CR"/>
        </w:rPr>
      </w:pPr>
      <w:r w:rsidRPr="0037355B">
        <w:rPr>
          <w:rStyle w:val="FootnoteReference"/>
          <w:rFonts w:ascii="Arial" w:hAnsi="Arial" w:cs="Arial"/>
          <w:sz w:val="16"/>
          <w:szCs w:val="16"/>
        </w:rPr>
        <w:footnoteRef/>
      </w:r>
      <w:r w:rsidRPr="0037355B">
        <w:rPr>
          <w:rFonts w:ascii="Arial" w:hAnsi="Arial" w:cs="Arial"/>
          <w:sz w:val="16"/>
          <w:szCs w:val="16"/>
        </w:rPr>
        <w:t xml:space="preserve"> </w:t>
      </w:r>
      <w:r w:rsidRPr="0037355B">
        <w:rPr>
          <w:rFonts w:ascii="Arial" w:hAnsi="Arial" w:cs="Arial"/>
          <w:sz w:val="16"/>
          <w:szCs w:val="16"/>
        </w:rPr>
        <w:tab/>
      </w:r>
      <w:r w:rsidRPr="0037355B">
        <w:rPr>
          <w:rFonts w:ascii="Arial" w:hAnsi="Arial" w:cs="Arial"/>
          <w:i/>
          <w:sz w:val="16"/>
          <w:szCs w:val="16"/>
        </w:rPr>
        <w:t>Cfr. Caso Gonzales Lluy y otros Vs. Ecuador. Excepciones Preliminares, Fondo, Reparaciones y Costas</w:t>
      </w:r>
      <w:r w:rsidRPr="0037355B">
        <w:rPr>
          <w:rFonts w:ascii="Arial" w:hAnsi="Arial" w:cs="Arial"/>
          <w:sz w:val="16"/>
          <w:szCs w:val="16"/>
        </w:rPr>
        <w:t>. Sentencia de 1 de septiembre de 2015. Serie C No. 298.</w:t>
      </w:r>
    </w:p>
  </w:footnote>
  <w:footnote w:id="2">
    <w:p w14:paraId="0F3C7243" w14:textId="39825DB9" w:rsidR="0037355B" w:rsidRPr="0037355B" w:rsidRDefault="0037355B" w:rsidP="0037355B">
      <w:pPr>
        <w:pStyle w:val="FootnoteText"/>
        <w:jc w:val="both"/>
        <w:rPr>
          <w:rFonts w:ascii="Arial" w:hAnsi="Arial" w:cs="Arial"/>
          <w:sz w:val="16"/>
          <w:szCs w:val="16"/>
        </w:rPr>
      </w:pPr>
      <w:r w:rsidRPr="0037355B">
        <w:rPr>
          <w:rStyle w:val="FootnoteReference"/>
          <w:rFonts w:ascii="Arial" w:hAnsi="Arial" w:cs="Arial"/>
          <w:sz w:val="16"/>
          <w:szCs w:val="16"/>
        </w:rPr>
        <w:footnoteRef/>
      </w:r>
      <w:r w:rsidRPr="0037355B">
        <w:rPr>
          <w:rFonts w:ascii="Arial" w:hAnsi="Arial" w:cs="Arial"/>
          <w:sz w:val="16"/>
          <w:szCs w:val="16"/>
        </w:rPr>
        <w:t xml:space="preserve"> </w:t>
      </w:r>
      <w:r w:rsidRPr="0037355B">
        <w:rPr>
          <w:rFonts w:ascii="Arial" w:hAnsi="Arial" w:cs="Arial"/>
          <w:sz w:val="16"/>
          <w:szCs w:val="16"/>
        </w:rPr>
        <w:tab/>
      </w:r>
      <w:r w:rsidRPr="0037355B">
        <w:rPr>
          <w:rFonts w:ascii="Arial" w:hAnsi="Arial" w:cs="Arial"/>
          <w:i/>
          <w:sz w:val="16"/>
          <w:szCs w:val="16"/>
        </w:rPr>
        <w:t>Cfr.</w:t>
      </w:r>
      <w:r w:rsidRPr="0037355B">
        <w:rPr>
          <w:rFonts w:ascii="Arial" w:hAnsi="Arial" w:cs="Arial"/>
          <w:i/>
          <w:sz w:val="16"/>
          <w:szCs w:val="16"/>
        </w:rPr>
        <w:t xml:space="preserve"> </w:t>
      </w:r>
      <w:r w:rsidRPr="0037355B">
        <w:rPr>
          <w:rStyle w:val="Strong"/>
          <w:rFonts w:ascii="Arial" w:hAnsi="Arial" w:cs="Arial"/>
          <w:b w:val="0"/>
          <w:i/>
          <w:sz w:val="16"/>
          <w:szCs w:val="16"/>
        </w:rPr>
        <w:t>Caso Lagos del Campo Vs. Perú. Excepciones Preliminares, Fondo, Reparaciones y Costas</w:t>
      </w:r>
      <w:r w:rsidRPr="0037355B">
        <w:rPr>
          <w:rStyle w:val="Strong"/>
          <w:rFonts w:ascii="Arial" w:hAnsi="Arial" w:cs="Arial"/>
          <w:b w:val="0"/>
          <w:sz w:val="16"/>
          <w:szCs w:val="16"/>
        </w:rPr>
        <w:t>. Sentencia de 31 de agosto de 2017. Serie C No. 340</w:t>
      </w:r>
      <w:r w:rsidRPr="0037355B">
        <w:rPr>
          <w:rStyle w:val="Strong"/>
          <w:rFonts w:ascii="Arial" w:hAnsi="Arial" w:cs="Arial"/>
          <w:b w:val="0"/>
          <w:sz w:val="16"/>
          <w:szCs w:val="16"/>
        </w:rPr>
        <w:t>.</w:t>
      </w:r>
    </w:p>
  </w:footnote>
  <w:footnote w:id="3">
    <w:p w14:paraId="6F84E89E" w14:textId="5952524E" w:rsidR="0037355B" w:rsidRPr="0037355B" w:rsidRDefault="0037355B" w:rsidP="0037355B">
      <w:pPr>
        <w:pStyle w:val="FootnoteText"/>
        <w:jc w:val="both"/>
        <w:rPr>
          <w:rFonts w:ascii="Arial" w:hAnsi="Arial" w:cs="Arial"/>
          <w:sz w:val="16"/>
          <w:szCs w:val="16"/>
        </w:rPr>
      </w:pPr>
      <w:r w:rsidRPr="0037355B">
        <w:rPr>
          <w:rStyle w:val="FootnoteReference"/>
          <w:rFonts w:ascii="Arial" w:hAnsi="Arial" w:cs="Arial"/>
          <w:sz w:val="16"/>
          <w:szCs w:val="16"/>
        </w:rPr>
        <w:footnoteRef/>
      </w:r>
      <w:r w:rsidRPr="0037355B">
        <w:rPr>
          <w:rFonts w:ascii="Arial" w:hAnsi="Arial" w:cs="Arial"/>
          <w:sz w:val="16"/>
          <w:szCs w:val="16"/>
        </w:rPr>
        <w:t xml:space="preserve"> </w:t>
      </w:r>
      <w:r w:rsidRPr="0037355B">
        <w:rPr>
          <w:rFonts w:ascii="Arial" w:hAnsi="Arial" w:cs="Arial"/>
          <w:sz w:val="16"/>
          <w:szCs w:val="16"/>
        </w:rPr>
        <w:tab/>
      </w:r>
      <w:r w:rsidRPr="0037355B">
        <w:rPr>
          <w:rFonts w:ascii="Arial" w:hAnsi="Arial" w:cs="Arial"/>
          <w:i/>
          <w:sz w:val="16"/>
          <w:szCs w:val="16"/>
        </w:rPr>
        <w:t>Cfr.</w:t>
      </w:r>
      <w:r w:rsidRPr="0037355B">
        <w:rPr>
          <w:rFonts w:ascii="Arial" w:hAnsi="Arial" w:cs="Arial"/>
          <w:i/>
          <w:sz w:val="16"/>
          <w:szCs w:val="16"/>
        </w:rPr>
        <w:t xml:space="preserve"> </w:t>
      </w:r>
      <w:r w:rsidRPr="0037355B">
        <w:rPr>
          <w:rStyle w:val="Strong"/>
          <w:rFonts w:ascii="Arial" w:hAnsi="Arial" w:cs="Arial"/>
          <w:b w:val="0"/>
          <w:i/>
          <w:sz w:val="16"/>
          <w:szCs w:val="16"/>
        </w:rPr>
        <w:t>Caso Trabajadores Cesados de Petroperú y otros Vs. Perú. Interpretación de la Sentencia de Excepciones Preliminares, Fondo, Reparaciones y Costas</w:t>
      </w:r>
      <w:r w:rsidRPr="0037355B">
        <w:rPr>
          <w:rStyle w:val="Strong"/>
          <w:rFonts w:ascii="Arial" w:hAnsi="Arial" w:cs="Arial"/>
          <w:b w:val="0"/>
          <w:sz w:val="16"/>
          <w:szCs w:val="16"/>
        </w:rPr>
        <w:t>. Sentencia de 22 de agosto de 2018. Serie C No. 358.</w:t>
      </w:r>
    </w:p>
  </w:footnote>
  <w:footnote w:id="4">
    <w:p w14:paraId="14DF09B8" w14:textId="462C5AD8" w:rsidR="0037355B" w:rsidRPr="0037355B" w:rsidRDefault="0037355B" w:rsidP="0037355B">
      <w:pPr>
        <w:pStyle w:val="FootnoteText"/>
        <w:jc w:val="both"/>
        <w:rPr>
          <w:rFonts w:ascii="Arial" w:hAnsi="Arial" w:cs="Arial"/>
          <w:sz w:val="16"/>
          <w:szCs w:val="16"/>
        </w:rPr>
      </w:pPr>
      <w:r w:rsidRPr="0037355B">
        <w:rPr>
          <w:rStyle w:val="FootnoteReference"/>
          <w:rFonts w:ascii="Arial" w:hAnsi="Arial" w:cs="Arial"/>
          <w:sz w:val="16"/>
          <w:szCs w:val="16"/>
        </w:rPr>
        <w:footnoteRef/>
      </w:r>
      <w:r w:rsidRPr="0037355B">
        <w:rPr>
          <w:rFonts w:ascii="Arial" w:hAnsi="Arial" w:cs="Arial"/>
          <w:sz w:val="16"/>
          <w:szCs w:val="16"/>
        </w:rPr>
        <w:t xml:space="preserve"> </w:t>
      </w:r>
      <w:r w:rsidRPr="0037355B">
        <w:rPr>
          <w:rFonts w:ascii="Arial" w:hAnsi="Arial" w:cs="Arial"/>
          <w:sz w:val="16"/>
          <w:szCs w:val="16"/>
        </w:rPr>
        <w:tab/>
      </w:r>
      <w:r w:rsidRPr="0037355B">
        <w:rPr>
          <w:rFonts w:ascii="Arial" w:hAnsi="Arial" w:cs="Arial"/>
          <w:i/>
          <w:sz w:val="16"/>
          <w:szCs w:val="16"/>
        </w:rPr>
        <w:t>Cfr.</w:t>
      </w:r>
      <w:r w:rsidRPr="0037355B">
        <w:rPr>
          <w:rFonts w:ascii="Arial" w:hAnsi="Arial" w:cs="Arial"/>
          <w:i/>
          <w:sz w:val="16"/>
          <w:szCs w:val="16"/>
        </w:rPr>
        <w:t xml:space="preserve"> </w:t>
      </w:r>
      <w:r w:rsidRPr="0037355B">
        <w:rPr>
          <w:rStyle w:val="Strong"/>
          <w:rFonts w:ascii="Arial" w:hAnsi="Arial" w:cs="Arial"/>
          <w:b w:val="0"/>
          <w:i/>
          <w:sz w:val="16"/>
          <w:szCs w:val="16"/>
        </w:rPr>
        <w:t>Caso San Miguel Sosa y otras Vs. Venezuela. Fondo, Reparaciones y Costas</w:t>
      </w:r>
      <w:r w:rsidRPr="0037355B">
        <w:rPr>
          <w:rStyle w:val="Strong"/>
          <w:rFonts w:ascii="Arial" w:hAnsi="Arial" w:cs="Arial"/>
          <w:b w:val="0"/>
          <w:sz w:val="16"/>
          <w:szCs w:val="16"/>
        </w:rPr>
        <w:t>. Sentencia de 8 de febrero de 2018. Serie C No. 348.</w:t>
      </w:r>
    </w:p>
  </w:footnote>
  <w:footnote w:id="5">
    <w:p w14:paraId="180E3D0D" w14:textId="2EA5E883" w:rsidR="0037355B" w:rsidRPr="0037355B" w:rsidRDefault="0037355B" w:rsidP="0037355B">
      <w:pPr>
        <w:pStyle w:val="FootnoteText"/>
        <w:jc w:val="both"/>
        <w:rPr>
          <w:rFonts w:ascii="Arial" w:hAnsi="Arial" w:cs="Arial"/>
          <w:sz w:val="16"/>
          <w:szCs w:val="16"/>
        </w:rPr>
      </w:pPr>
      <w:r w:rsidRPr="0037355B">
        <w:rPr>
          <w:rStyle w:val="FootnoteReference"/>
          <w:rFonts w:ascii="Arial" w:hAnsi="Arial" w:cs="Arial"/>
          <w:sz w:val="16"/>
          <w:szCs w:val="16"/>
        </w:rPr>
        <w:footnoteRef/>
      </w:r>
      <w:r w:rsidRPr="0037355B">
        <w:rPr>
          <w:rFonts w:ascii="Arial" w:hAnsi="Arial" w:cs="Arial"/>
          <w:sz w:val="16"/>
          <w:szCs w:val="16"/>
        </w:rPr>
        <w:t xml:space="preserve"> </w:t>
      </w:r>
      <w:r w:rsidRPr="0037355B">
        <w:rPr>
          <w:rFonts w:ascii="Arial" w:hAnsi="Arial" w:cs="Arial"/>
          <w:sz w:val="16"/>
          <w:szCs w:val="16"/>
        </w:rPr>
        <w:tab/>
      </w:r>
      <w:r w:rsidRPr="0037355B">
        <w:rPr>
          <w:rFonts w:ascii="Arial" w:hAnsi="Arial" w:cs="Arial"/>
          <w:i/>
          <w:sz w:val="16"/>
          <w:szCs w:val="16"/>
        </w:rPr>
        <w:t>Cfr.</w:t>
      </w:r>
      <w:r w:rsidRPr="0037355B">
        <w:rPr>
          <w:rFonts w:ascii="Arial" w:hAnsi="Arial" w:cs="Arial"/>
          <w:i/>
          <w:sz w:val="16"/>
          <w:szCs w:val="16"/>
        </w:rPr>
        <w:t xml:space="preserve"> </w:t>
      </w:r>
      <w:r w:rsidRPr="0037355B">
        <w:rPr>
          <w:rStyle w:val="Strong"/>
          <w:rFonts w:ascii="Arial" w:hAnsi="Arial" w:cs="Arial"/>
          <w:b w:val="0"/>
          <w:i/>
          <w:sz w:val="16"/>
          <w:szCs w:val="16"/>
        </w:rPr>
        <w:t>Caso Poblete Vilches y otros Vs. Chile. Fondo, Reparaciones y Costas</w:t>
      </w:r>
      <w:r w:rsidRPr="0037355B">
        <w:rPr>
          <w:rStyle w:val="Strong"/>
          <w:rFonts w:ascii="Arial" w:hAnsi="Arial" w:cs="Arial"/>
          <w:b w:val="0"/>
          <w:sz w:val="16"/>
          <w:szCs w:val="16"/>
        </w:rPr>
        <w:t>. Sentencia de 8 de marzo de 2018. Serie C No. 349.</w:t>
      </w:r>
    </w:p>
  </w:footnote>
  <w:footnote w:id="6">
    <w:p w14:paraId="3588AFBD" w14:textId="2DD5AD7A" w:rsidR="0037355B" w:rsidRPr="0037355B" w:rsidRDefault="0037355B" w:rsidP="0037355B">
      <w:pPr>
        <w:pStyle w:val="FootnoteText"/>
        <w:jc w:val="both"/>
        <w:rPr>
          <w:rFonts w:ascii="Arial" w:hAnsi="Arial" w:cs="Arial"/>
          <w:sz w:val="16"/>
          <w:szCs w:val="16"/>
        </w:rPr>
      </w:pPr>
      <w:r w:rsidRPr="0037355B">
        <w:rPr>
          <w:rStyle w:val="FootnoteReference"/>
          <w:rFonts w:ascii="Arial" w:hAnsi="Arial" w:cs="Arial"/>
          <w:sz w:val="16"/>
          <w:szCs w:val="16"/>
        </w:rPr>
        <w:footnoteRef/>
      </w:r>
      <w:r w:rsidRPr="0037355B">
        <w:rPr>
          <w:rFonts w:ascii="Arial" w:hAnsi="Arial" w:cs="Arial"/>
          <w:sz w:val="16"/>
          <w:szCs w:val="16"/>
        </w:rPr>
        <w:t xml:space="preserve"> </w:t>
      </w:r>
      <w:r w:rsidRPr="0037355B">
        <w:rPr>
          <w:rFonts w:ascii="Arial" w:hAnsi="Arial" w:cs="Arial"/>
          <w:sz w:val="16"/>
          <w:szCs w:val="16"/>
        </w:rPr>
        <w:tab/>
      </w:r>
      <w:r w:rsidRPr="0037355B">
        <w:rPr>
          <w:rFonts w:ascii="Arial" w:hAnsi="Arial" w:cs="Arial"/>
          <w:i/>
          <w:sz w:val="16"/>
          <w:szCs w:val="16"/>
        </w:rPr>
        <w:t>Cfr.</w:t>
      </w:r>
      <w:r w:rsidRPr="0037355B">
        <w:rPr>
          <w:rFonts w:ascii="Arial" w:hAnsi="Arial" w:cs="Arial"/>
          <w:i/>
          <w:sz w:val="16"/>
          <w:szCs w:val="16"/>
        </w:rPr>
        <w:t xml:space="preserve"> </w:t>
      </w:r>
      <w:r w:rsidRPr="0037355B">
        <w:rPr>
          <w:rStyle w:val="Strong"/>
          <w:rFonts w:ascii="Arial" w:hAnsi="Arial" w:cs="Arial"/>
          <w:b w:val="0"/>
          <w:i/>
          <w:sz w:val="16"/>
          <w:szCs w:val="16"/>
        </w:rPr>
        <w:t>Caso Cuscul Pivaral y otros Vs. Guatemala. Excepción Preliminar, Fondo, Reparaciones y Costas</w:t>
      </w:r>
      <w:r w:rsidRPr="0037355B">
        <w:rPr>
          <w:rStyle w:val="Strong"/>
          <w:rFonts w:ascii="Arial" w:hAnsi="Arial" w:cs="Arial"/>
          <w:b w:val="0"/>
          <w:sz w:val="16"/>
          <w:szCs w:val="16"/>
        </w:rPr>
        <w:t>. Sentencia de 23 de agosto de 2018. Serie C No. 359.</w:t>
      </w:r>
    </w:p>
  </w:footnote>
  <w:footnote w:id="7">
    <w:p w14:paraId="04366FAB" w14:textId="796CEA86" w:rsidR="0037355B" w:rsidRPr="0037355B" w:rsidRDefault="0037355B" w:rsidP="0037355B">
      <w:pPr>
        <w:pStyle w:val="FootnoteText"/>
        <w:jc w:val="both"/>
        <w:rPr>
          <w:rFonts w:ascii="Arial" w:hAnsi="Arial" w:cs="Arial"/>
          <w:sz w:val="16"/>
          <w:szCs w:val="16"/>
        </w:rPr>
      </w:pPr>
      <w:r w:rsidRPr="0037355B">
        <w:rPr>
          <w:rStyle w:val="FootnoteReference"/>
          <w:rFonts w:ascii="Arial" w:hAnsi="Arial" w:cs="Arial"/>
          <w:sz w:val="16"/>
          <w:szCs w:val="16"/>
        </w:rPr>
        <w:footnoteRef/>
      </w:r>
      <w:r w:rsidRPr="0037355B">
        <w:rPr>
          <w:rFonts w:ascii="Arial" w:hAnsi="Arial" w:cs="Arial"/>
          <w:sz w:val="16"/>
          <w:szCs w:val="16"/>
        </w:rPr>
        <w:t xml:space="preserve"> </w:t>
      </w:r>
      <w:r w:rsidRPr="0037355B">
        <w:rPr>
          <w:rFonts w:ascii="Arial" w:hAnsi="Arial" w:cs="Arial"/>
          <w:sz w:val="16"/>
          <w:szCs w:val="16"/>
        </w:rPr>
        <w:tab/>
      </w:r>
      <w:r w:rsidRPr="0037355B">
        <w:rPr>
          <w:rFonts w:ascii="Arial" w:hAnsi="Arial" w:cs="Arial"/>
          <w:i/>
          <w:sz w:val="16"/>
          <w:szCs w:val="16"/>
        </w:rPr>
        <w:t>Cfr.</w:t>
      </w:r>
      <w:r w:rsidRPr="0037355B">
        <w:rPr>
          <w:rFonts w:ascii="Arial" w:hAnsi="Arial" w:cs="Arial"/>
          <w:i/>
          <w:sz w:val="16"/>
          <w:szCs w:val="16"/>
        </w:rPr>
        <w:t xml:space="preserve"> </w:t>
      </w:r>
      <w:r w:rsidRPr="0037355B">
        <w:rPr>
          <w:rStyle w:val="Strong"/>
          <w:rFonts w:ascii="Arial" w:hAnsi="Arial" w:cs="Arial"/>
          <w:b w:val="0"/>
          <w:i/>
          <w:sz w:val="16"/>
          <w:szCs w:val="16"/>
        </w:rPr>
        <w:t>Caso Muelle Flores Vs. Perú. Excepciones Preliminares, Fondo, Reparaciones y Costas</w:t>
      </w:r>
      <w:r w:rsidRPr="0037355B">
        <w:rPr>
          <w:rStyle w:val="Strong"/>
          <w:rFonts w:ascii="Arial" w:hAnsi="Arial" w:cs="Arial"/>
          <w:b w:val="0"/>
          <w:sz w:val="16"/>
          <w:szCs w:val="16"/>
        </w:rPr>
        <w:t>. Sentencia de 6 de marzo de 2019. Serie C No. 375.</w:t>
      </w:r>
    </w:p>
  </w:footnote>
  <w:footnote w:id="8">
    <w:p w14:paraId="4DA0EC0D" w14:textId="318C7D06" w:rsidR="00A37220" w:rsidRPr="0037355B" w:rsidRDefault="00A37220" w:rsidP="0037355B">
      <w:pPr>
        <w:jc w:val="both"/>
        <w:rPr>
          <w:rFonts w:ascii="Arial" w:hAnsi="Arial" w:cs="Arial"/>
          <w:sz w:val="16"/>
          <w:szCs w:val="16"/>
        </w:rPr>
      </w:pPr>
      <w:r w:rsidRPr="0037355B">
        <w:rPr>
          <w:rStyle w:val="FootnoteReference"/>
          <w:rFonts w:ascii="Arial" w:hAnsi="Arial" w:cs="Arial"/>
          <w:sz w:val="16"/>
          <w:szCs w:val="16"/>
        </w:rPr>
        <w:footnoteRef/>
      </w:r>
      <w:r w:rsidRPr="0037355B">
        <w:rPr>
          <w:rFonts w:ascii="Arial" w:hAnsi="Arial" w:cs="Arial"/>
          <w:sz w:val="16"/>
          <w:szCs w:val="16"/>
        </w:rPr>
        <w:t xml:space="preserve"> </w:t>
      </w:r>
      <w:r w:rsidRPr="0037355B">
        <w:rPr>
          <w:rFonts w:ascii="Arial" w:hAnsi="Arial" w:cs="Arial"/>
          <w:sz w:val="16"/>
          <w:szCs w:val="16"/>
        </w:rPr>
        <w:tab/>
        <w:t xml:space="preserve">La consideración que hago sobre las limitaciones connaturales al principio del </w:t>
      </w:r>
      <w:r w:rsidRPr="0037355B">
        <w:rPr>
          <w:rFonts w:ascii="Arial" w:hAnsi="Arial" w:cs="Arial"/>
          <w:i/>
          <w:iCs/>
          <w:sz w:val="16"/>
          <w:szCs w:val="16"/>
        </w:rPr>
        <w:t>iura novit</w:t>
      </w:r>
      <w:r w:rsidRPr="0037355B">
        <w:rPr>
          <w:rFonts w:ascii="Arial" w:hAnsi="Arial" w:cs="Arial"/>
          <w:sz w:val="16"/>
          <w:szCs w:val="16"/>
        </w:rPr>
        <w:t xml:space="preserve"> </w:t>
      </w:r>
      <w:r w:rsidRPr="0037355B">
        <w:rPr>
          <w:rFonts w:ascii="Arial" w:hAnsi="Arial" w:cs="Arial"/>
          <w:i/>
          <w:iCs/>
          <w:sz w:val="16"/>
          <w:szCs w:val="16"/>
        </w:rPr>
        <w:t>curia</w:t>
      </w:r>
      <w:r w:rsidRPr="0037355B">
        <w:rPr>
          <w:rFonts w:ascii="Arial" w:hAnsi="Arial" w:cs="Arial"/>
          <w:sz w:val="16"/>
          <w:szCs w:val="16"/>
        </w:rPr>
        <w:t xml:space="preserve"> no son criterios inéditos o aislados, sino que forman parte del </w:t>
      </w:r>
      <w:r w:rsidRPr="0037355B">
        <w:rPr>
          <w:rFonts w:ascii="Arial" w:hAnsi="Arial" w:cs="Arial"/>
          <w:i/>
          <w:iCs/>
          <w:sz w:val="16"/>
          <w:szCs w:val="16"/>
        </w:rPr>
        <w:t>corpus iuris</w:t>
      </w:r>
      <w:r w:rsidRPr="0037355B">
        <w:rPr>
          <w:rFonts w:ascii="Arial" w:hAnsi="Arial" w:cs="Arial"/>
          <w:sz w:val="16"/>
          <w:szCs w:val="16"/>
        </w:rPr>
        <w:t xml:space="preserve"> del Derecho Internacional, el cual se ha visto sistematizado a través de decisiones de otros órganos jurisdiccionales de alcance internacional. La Corte Internacional de Justicia ha determinado que su aplicación está restringida por un parámetro de razonabilidad, pertinencia y prohibición de decidir más allá de lo que la </w:t>
      </w:r>
      <w:r w:rsidRPr="0037355B">
        <w:rPr>
          <w:rFonts w:ascii="Arial" w:hAnsi="Arial" w:cs="Arial"/>
          <w:i/>
          <w:iCs/>
          <w:sz w:val="16"/>
          <w:szCs w:val="16"/>
        </w:rPr>
        <w:t>litis</w:t>
      </w:r>
      <w:r w:rsidRPr="0037355B">
        <w:rPr>
          <w:rFonts w:ascii="Arial" w:hAnsi="Arial" w:cs="Arial"/>
          <w:sz w:val="16"/>
          <w:szCs w:val="16"/>
        </w:rPr>
        <w:t xml:space="preserve"> y el marco del caso naturalmente permiten (</w:t>
      </w:r>
      <w:r w:rsidRPr="0037355B">
        <w:rPr>
          <w:rFonts w:ascii="Arial" w:hAnsi="Arial" w:cs="Arial"/>
          <w:i/>
          <w:sz w:val="16"/>
          <w:szCs w:val="16"/>
        </w:rPr>
        <w:t xml:space="preserve">Cfr. Corte Internacional de Justicia, Caso relativo a la Jurisdicción Pesquera (Reino Unido vs. Islandia), Sentencia de 25 de julio de 1974, párr. 17; </w:t>
      </w:r>
      <w:r w:rsidRPr="0037355B">
        <w:rPr>
          <w:rFonts w:ascii="Arial" w:hAnsi="Arial" w:cs="Arial"/>
          <w:i/>
          <w:sz w:val="16"/>
          <w:szCs w:val="16"/>
          <w:lang w:val="es-CR"/>
        </w:rPr>
        <w:t>Corte Internacional de Justicia, Decisión de Interpretación de Sentencia de 10 de noviembre de 1950 sobre el caso de Asilo Político (Colombia vs. Perú), párr. 404; y Corte Internacional de Justicia, Caso sobre la “Orden de Arresto” (República Democrática del Congo vs. Bélgica), Sentencia de 14 de febrero de 2002, párr. 43</w:t>
      </w:r>
      <w:r w:rsidRPr="0037355B">
        <w:rPr>
          <w:rFonts w:ascii="Arial" w:hAnsi="Arial" w:cs="Arial"/>
          <w:sz w:val="16"/>
          <w:szCs w:val="16"/>
        </w:rPr>
        <w:t xml:space="preserve">; Por su parte, Tanto la Corte Penal Internacional como el Tribunal Penal </w:t>
      </w:r>
      <w:r w:rsidRPr="0037355B">
        <w:rPr>
          <w:rFonts w:ascii="Arial" w:hAnsi="Arial" w:cs="Arial"/>
          <w:i/>
          <w:iCs/>
          <w:sz w:val="16"/>
          <w:szCs w:val="16"/>
        </w:rPr>
        <w:t>Ad Hoc</w:t>
      </w:r>
      <w:r w:rsidRPr="0037355B">
        <w:rPr>
          <w:rFonts w:ascii="Arial" w:hAnsi="Arial" w:cs="Arial"/>
          <w:sz w:val="16"/>
          <w:szCs w:val="16"/>
        </w:rPr>
        <w:t xml:space="preserve"> para la Ex-Yugoslavia han coincidido en que las consecuencias de una invocación discrecional, indiscriminado, arbitraria o en el mejor de los casos, insuficientemente razonada, del principio del </w:t>
      </w:r>
      <w:r w:rsidRPr="0037355B">
        <w:rPr>
          <w:rFonts w:ascii="Arial" w:hAnsi="Arial" w:cs="Arial"/>
          <w:i/>
          <w:sz w:val="16"/>
          <w:szCs w:val="16"/>
        </w:rPr>
        <w:t>iu</w:t>
      </w:r>
      <w:r w:rsidRPr="0037355B">
        <w:rPr>
          <w:rFonts w:ascii="Arial" w:hAnsi="Arial" w:cs="Arial"/>
          <w:i/>
          <w:iCs/>
          <w:sz w:val="16"/>
          <w:szCs w:val="16"/>
        </w:rPr>
        <w:t>ra novit curia</w:t>
      </w:r>
      <w:r w:rsidRPr="0037355B">
        <w:rPr>
          <w:rFonts w:ascii="Arial" w:hAnsi="Arial" w:cs="Arial"/>
          <w:sz w:val="16"/>
          <w:szCs w:val="16"/>
        </w:rPr>
        <w:t xml:space="preserve">, puede derivar en la indefensión de la parte demandada </w:t>
      </w:r>
      <w:r w:rsidRPr="0037355B">
        <w:rPr>
          <w:rFonts w:ascii="Arial" w:hAnsi="Arial" w:cs="Arial"/>
          <w:i/>
          <w:sz w:val="16"/>
          <w:szCs w:val="16"/>
        </w:rPr>
        <w:t>Cfr.</w:t>
      </w:r>
      <w:r w:rsidRPr="0037355B">
        <w:rPr>
          <w:rFonts w:ascii="Arial" w:hAnsi="Arial" w:cs="Arial"/>
          <w:i/>
          <w:sz w:val="16"/>
          <w:szCs w:val="16"/>
          <w:lang w:val="es-CR"/>
        </w:rPr>
        <w:t xml:space="preserve"> Corte Penal Internacional, Caso Fiscal Vs. Thomas Lubanga Dyilo, Sentencia relativa al Artículo 74 del Estatuto de Roma, de 14 de marzo de 2012 (ICC-01/04-01/06-2842); Tribunal Penal ad hoc para la Ex-Yugoslavia, Caso Fiscal Vs. Kupreskic, Sentencia de 14 de enero de 2000, párr. 733-738</w:t>
      </w:r>
      <w:r w:rsidRPr="0037355B">
        <w:rPr>
          <w:rFonts w:ascii="Arial" w:hAnsi="Arial" w:cs="Arial"/>
          <w:sz w:val="16"/>
          <w:szCs w:val="16"/>
        </w:rPr>
        <w:t xml:space="preserve">. </w:t>
      </w:r>
    </w:p>
    <w:p w14:paraId="17A19547" w14:textId="6D5AC0BC" w:rsidR="00A37220" w:rsidRPr="0037355B" w:rsidRDefault="00A37220" w:rsidP="0037355B">
      <w:pPr>
        <w:pStyle w:val="FootnoteText"/>
        <w:jc w:val="both"/>
        <w:rPr>
          <w:rFonts w:ascii="Arial" w:hAnsi="Arial" w:cs="Arial"/>
          <w:sz w:val="16"/>
          <w:szCs w:val="16"/>
          <w:lang w:val="es-C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320B"/>
    <w:multiLevelType w:val="hybridMultilevel"/>
    <w:tmpl w:val="95FC487E"/>
    <w:lvl w:ilvl="0" w:tplc="94809758">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CR"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4A"/>
    <w:rsid w:val="000756D2"/>
    <w:rsid w:val="00077AE7"/>
    <w:rsid w:val="000D68E7"/>
    <w:rsid w:val="00117C36"/>
    <w:rsid w:val="0015503B"/>
    <w:rsid w:val="00193F38"/>
    <w:rsid w:val="001A0EDE"/>
    <w:rsid w:val="001A34FD"/>
    <w:rsid w:val="001C49B5"/>
    <w:rsid w:val="002040BE"/>
    <w:rsid w:val="002162CD"/>
    <w:rsid w:val="002343C8"/>
    <w:rsid w:val="00256A37"/>
    <w:rsid w:val="00261CDA"/>
    <w:rsid w:val="002676AC"/>
    <w:rsid w:val="00294B3E"/>
    <w:rsid w:val="002C2CFF"/>
    <w:rsid w:val="002C551F"/>
    <w:rsid w:val="002D747C"/>
    <w:rsid w:val="003550D6"/>
    <w:rsid w:val="0037355B"/>
    <w:rsid w:val="0049715A"/>
    <w:rsid w:val="004A65D3"/>
    <w:rsid w:val="005065B3"/>
    <w:rsid w:val="005247B7"/>
    <w:rsid w:val="00567296"/>
    <w:rsid w:val="005763AC"/>
    <w:rsid w:val="005E3523"/>
    <w:rsid w:val="00622659"/>
    <w:rsid w:val="00631EE6"/>
    <w:rsid w:val="00636180"/>
    <w:rsid w:val="00666271"/>
    <w:rsid w:val="0068037D"/>
    <w:rsid w:val="006A728B"/>
    <w:rsid w:val="006E5FB7"/>
    <w:rsid w:val="006F3A34"/>
    <w:rsid w:val="00730961"/>
    <w:rsid w:val="00751581"/>
    <w:rsid w:val="00775890"/>
    <w:rsid w:val="007A144A"/>
    <w:rsid w:val="007D2E27"/>
    <w:rsid w:val="0080681E"/>
    <w:rsid w:val="00814744"/>
    <w:rsid w:val="008526D9"/>
    <w:rsid w:val="00861523"/>
    <w:rsid w:val="00870BC1"/>
    <w:rsid w:val="008919D0"/>
    <w:rsid w:val="008A1608"/>
    <w:rsid w:val="008B6A9F"/>
    <w:rsid w:val="008C140D"/>
    <w:rsid w:val="008E7537"/>
    <w:rsid w:val="008F231C"/>
    <w:rsid w:val="008F45C8"/>
    <w:rsid w:val="00913DEF"/>
    <w:rsid w:val="00925025"/>
    <w:rsid w:val="00947375"/>
    <w:rsid w:val="00961352"/>
    <w:rsid w:val="00977A68"/>
    <w:rsid w:val="009A41FB"/>
    <w:rsid w:val="009A60E1"/>
    <w:rsid w:val="00A3434F"/>
    <w:rsid w:val="00A37220"/>
    <w:rsid w:val="00A6546B"/>
    <w:rsid w:val="00A67F1B"/>
    <w:rsid w:val="00A74C0E"/>
    <w:rsid w:val="00AC6138"/>
    <w:rsid w:val="00AD61B7"/>
    <w:rsid w:val="00AE67AF"/>
    <w:rsid w:val="00B12A00"/>
    <w:rsid w:val="00B554F1"/>
    <w:rsid w:val="00B62A64"/>
    <w:rsid w:val="00C11333"/>
    <w:rsid w:val="00C47884"/>
    <w:rsid w:val="00C52B2F"/>
    <w:rsid w:val="00C70E31"/>
    <w:rsid w:val="00C75617"/>
    <w:rsid w:val="00C80050"/>
    <w:rsid w:val="00C932D2"/>
    <w:rsid w:val="00D038BA"/>
    <w:rsid w:val="00D06473"/>
    <w:rsid w:val="00D11CF0"/>
    <w:rsid w:val="00D46A9A"/>
    <w:rsid w:val="00D51585"/>
    <w:rsid w:val="00D66C32"/>
    <w:rsid w:val="00D8561D"/>
    <w:rsid w:val="00D9334A"/>
    <w:rsid w:val="00DA2F9C"/>
    <w:rsid w:val="00DC2D5B"/>
    <w:rsid w:val="00DF350D"/>
    <w:rsid w:val="00E10C5C"/>
    <w:rsid w:val="00E27FD9"/>
    <w:rsid w:val="00E660C5"/>
    <w:rsid w:val="00EF7767"/>
    <w:rsid w:val="00F149F0"/>
    <w:rsid w:val="00F212BD"/>
    <w:rsid w:val="00F40F71"/>
    <w:rsid w:val="00F930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9876"/>
  <w15:docId w15:val="{DA2A5A73-AE35-4637-9310-27DF1F9C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0EDE"/>
    <w:pPr>
      <w:spacing w:after="0" w:line="240" w:lineRule="auto"/>
    </w:pPr>
    <w:rPr>
      <w:rFonts w:ascii="Calibri" w:eastAsia="Calibri" w:hAnsi="Calibri" w:cs="Times New Roman"/>
      <w:sz w:val="20"/>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Footnote Text Cha,FA Fußnotentext,FA Fuﬂnotentext,Footnote Text Char Char,Car"/>
    <w:basedOn w:val="Normal"/>
    <w:link w:val="FootnoteTextChar"/>
    <w:qFormat/>
    <w:rsid w:val="007A144A"/>
    <w:rPr>
      <w:rFonts w:ascii="Times New Roman" w:eastAsia="Times New Roman" w:hAnsi="Times New Roman"/>
      <w:lang w:val="es-MX"/>
    </w:rPr>
  </w:style>
  <w:style w:type="character" w:customStyle="1" w:styleId="TextonotapieCar">
    <w:name w:val="Texto nota pie Car"/>
    <w:basedOn w:val="DefaultParagraphFont"/>
    <w:uiPriority w:val="99"/>
    <w:semiHidden/>
    <w:rsid w:val="007A144A"/>
    <w:rPr>
      <w:rFonts w:ascii="Calibri" w:eastAsia="Calibri" w:hAnsi="Calibri" w:cs="Times New Roman"/>
      <w:sz w:val="20"/>
      <w:szCs w:val="20"/>
      <w:lang w:val="es-ES_tradnl" w:eastAsia="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
    <w:link w:val="FootnoteText"/>
    <w:qFormat/>
    <w:rsid w:val="007A144A"/>
    <w:rPr>
      <w:rFonts w:ascii="Times New Roman" w:eastAsia="Times New Roman" w:hAnsi="Times New Roman" w:cs="Times New Roman"/>
      <w:sz w:val="20"/>
      <w:szCs w:val="20"/>
      <w:lang w:val="es-MX" w:eastAsia="es-CR"/>
    </w:rPr>
  </w:style>
  <w:style w:type="character" w:styleId="Strong">
    <w:name w:val="Strong"/>
    <w:uiPriority w:val="22"/>
    <w:qFormat/>
    <w:rsid w:val="007A144A"/>
    <w:rPr>
      <w:b/>
      <w:bCs/>
    </w:rPr>
  </w:style>
  <w:style w:type="paragraph" w:styleId="ListParagraph">
    <w:name w:val="List Paragraph"/>
    <w:aliases w:val="Colorful List - Accent 11,Lista vistosa - Énfasis 11,Footnote,List Paragraph1,Párrafo de lista1"/>
    <w:link w:val="ListParagraphChar"/>
    <w:qFormat/>
    <w:rsid w:val="007A144A"/>
    <w:pPr>
      <w:spacing w:after="0" w:line="240" w:lineRule="auto"/>
      <w:ind w:left="720"/>
    </w:pPr>
    <w:rPr>
      <w:rFonts w:ascii="Cambria" w:eastAsia="Cambria" w:hAnsi="Cambria" w:cs="Cambria"/>
      <w:color w:val="000000"/>
      <w:sz w:val="24"/>
      <w:szCs w:val="24"/>
      <w:u w:color="000000"/>
      <w:lang w:val="en-US" w:eastAsia="es-ES"/>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iPriority w:val="99"/>
    <w:unhideWhenUsed/>
    <w:qFormat/>
    <w:rsid w:val="007A144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7A144A"/>
    <w:pPr>
      <w:jc w:val="both"/>
    </w:pPr>
    <w:rPr>
      <w:rFonts w:asciiTheme="minorHAnsi" w:eastAsiaTheme="minorHAnsi" w:hAnsiTheme="minorHAnsi" w:cstheme="minorBidi"/>
      <w:sz w:val="22"/>
      <w:szCs w:val="22"/>
      <w:vertAlign w:val="superscript"/>
      <w:lang w:val="es-CR" w:eastAsia="en-US"/>
    </w:rPr>
  </w:style>
  <w:style w:type="character" w:customStyle="1" w:styleId="ListParagraphChar">
    <w:name w:val="List Paragraph Char"/>
    <w:aliases w:val="Colorful List - Accent 11 Char,Lista vistosa - Énfasis 11 Char,Footnote Char,List Paragraph1 Char,Párrafo de lista1 Char"/>
    <w:basedOn w:val="DefaultParagraphFont"/>
    <w:link w:val="ListParagraph"/>
    <w:locked/>
    <w:rsid w:val="007A144A"/>
    <w:rPr>
      <w:rFonts w:ascii="Cambria" w:eastAsia="Cambria" w:hAnsi="Cambria" w:cs="Cambria"/>
      <w:color w:val="000000"/>
      <w:sz w:val="24"/>
      <w:szCs w:val="24"/>
      <w:u w:color="000000"/>
      <w:lang w:val="en-US" w:eastAsia="es-ES"/>
    </w:rPr>
  </w:style>
  <w:style w:type="character" w:styleId="CommentReference">
    <w:name w:val="annotation reference"/>
    <w:basedOn w:val="DefaultParagraphFont"/>
    <w:uiPriority w:val="99"/>
    <w:semiHidden/>
    <w:unhideWhenUsed/>
    <w:rsid w:val="00261CDA"/>
    <w:rPr>
      <w:sz w:val="16"/>
      <w:szCs w:val="16"/>
    </w:rPr>
  </w:style>
  <w:style w:type="paragraph" w:styleId="CommentText">
    <w:name w:val="annotation text"/>
    <w:basedOn w:val="Normal"/>
    <w:link w:val="CommentTextChar"/>
    <w:uiPriority w:val="99"/>
    <w:semiHidden/>
    <w:unhideWhenUsed/>
    <w:rsid w:val="00261CDA"/>
  </w:style>
  <w:style w:type="character" w:customStyle="1" w:styleId="CommentTextChar">
    <w:name w:val="Comment Text Char"/>
    <w:basedOn w:val="DefaultParagraphFont"/>
    <w:link w:val="CommentText"/>
    <w:uiPriority w:val="99"/>
    <w:semiHidden/>
    <w:rsid w:val="00261CDA"/>
    <w:rPr>
      <w:rFonts w:ascii="Calibri" w:eastAsia="Calibri" w:hAnsi="Calibri" w:cs="Times New Roman"/>
      <w:sz w:val="20"/>
      <w:szCs w:val="20"/>
      <w:lang w:val="es-ES_tradnl" w:eastAsia="es-CR"/>
    </w:rPr>
  </w:style>
  <w:style w:type="paragraph" w:styleId="CommentSubject">
    <w:name w:val="annotation subject"/>
    <w:basedOn w:val="CommentText"/>
    <w:next w:val="CommentText"/>
    <w:link w:val="CommentSubjectChar"/>
    <w:uiPriority w:val="99"/>
    <w:semiHidden/>
    <w:unhideWhenUsed/>
    <w:rsid w:val="00261CDA"/>
    <w:rPr>
      <w:b/>
      <w:bCs/>
    </w:rPr>
  </w:style>
  <w:style w:type="character" w:customStyle="1" w:styleId="CommentSubjectChar">
    <w:name w:val="Comment Subject Char"/>
    <w:basedOn w:val="CommentTextChar"/>
    <w:link w:val="CommentSubject"/>
    <w:uiPriority w:val="99"/>
    <w:semiHidden/>
    <w:rsid w:val="00261CDA"/>
    <w:rPr>
      <w:rFonts w:ascii="Calibri" w:eastAsia="Calibri" w:hAnsi="Calibri" w:cs="Times New Roman"/>
      <w:b/>
      <w:bCs/>
      <w:sz w:val="20"/>
      <w:szCs w:val="20"/>
      <w:lang w:val="es-ES_tradnl" w:eastAsia="es-CR"/>
    </w:rPr>
  </w:style>
  <w:style w:type="paragraph" w:styleId="BalloonText">
    <w:name w:val="Balloon Text"/>
    <w:basedOn w:val="Normal"/>
    <w:link w:val="BalloonTextChar"/>
    <w:uiPriority w:val="99"/>
    <w:semiHidden/>
    <w:unhideWhenUsed/>
    <w:rsid w:val="00261CDA"/>
    <w:rPr>
      <w:rFonts w:ascii="Tahoma" w:hAnsi="Tahoma" w:cs="Tahoma"/>
      <w:sz w:val="16"/>
      <w:szCs w:val="16"/>
    </w:rPr>
  </w:style>
  <w:style w:type="character" w:customStyle="1" w:styleId="BalloonTextChar">
    <w:name w:val="Balloon Text Char"/>
    <w:basedOn w:val="DefaultParagraphFont"/>
    <w:link w:val="BalloonText"/>
    <w:uiPriority w:val="99"/>
    <w:semiHidden/>
    <w:rsid w:val="00261CDA"/>
    <w:rPr>
      <w:rFonts w:ascii="Tahoma" w:eastAsia="Calibri" w:hAnsi="Tahoma" w:cs="Tahoma"/>
      <w:sz w:val="16"/>
      <w:szCs w:val="16"/>
      <w:lang w:val="es-ES_tradnl" w:eastAsia="es-CR"/>
    </w:rPr>
  </w:style>
  <w:style w:type="character" w:styleId="PlaceholderText">
    <w:name w:val="Placeholder Text"/>
    <w:basedOn w:val="DefaultParagraphFont"/>
    <w:uiPriority w:val="99"/>
    <w:semiHidden/>
    <w:rsid w:val="006361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0967-F794-4801-AEF6-B8E2B9C6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1651</Words>
  <Characters>9417</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Marta Cabrera</cp:lastModifiedBy>
  <cp:revision>7</cp:revision>
  <dcterms:created xsi:type="dcterms:W3CDTF">2019-12-02T16:21:00Z</dcterms:created>
  <dcterms:modified xsi:type="dcterms:W3CDTF">2019-12-02T17:02:00Z</dcterms:modified>
</cp:coreProperties>
</file>