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9F99C" w14:textId="77777777" w:rsidR="00BD7D70" w:rsidRDefault="00BD7D70" w:rsidP="00D1286C">
      <w:pPr>
        <w:pStyle w:val="Title"/>
        <w:ind w:right="-138"/>
        <w:rPr>
          <w:rFonts w:eastAsia="MS Mincho"/>
          <w:noProof w:val="0"/>
          <w:lang w:val="es-CR"/>
        </w:rPr>
      </w:pPr>
    </w:p>
    <w:p w14:paraId="3309B428" w14:textId="77777777" w:rsidR="00BD7D70" w:rsidRDefault="00BD7D70" w:rsidP="00D1286C">
      <w:pPr>
        <w:pStyle w:val="Title"/>
        <w:ind w:right="-138"/>
        <w:rPr>
          <w:rFonts w:eastAsia="MS Mincho"/>
          <w:noProof w:val="0"/>
          <w:lang w:val="es-CR"/>
        </w:rPr>
      </w:pPr>
    </w:p>
    <w:p w14:paraId="16513E3F" w14:textId="77777777" w:rsidR="00BD7D70" w:rsidRDefault="00BD7D70" w:rsidP="00D1286C">
      <w:pPr>
        <w:pStyle w:val="Title"/>
        <w:ind w:right="-138"/>
        <w:rPr>
          <w:rFonts w:eastAsia="MS Mincho"/>
          <w:noProof w:val="0"/>
          <w:lang w:val="es-CR"/>
        </w:rPr>
      </w:pPr>
    </w:p>
    <w:p w14:paraId="45CDB6F3" w14:textId="77777777" w:rsidR="00BD7D70" w:rsidRDefault="00BD7D70" w:rsidP="00D1286C">
      <w:pPr>
        <w:pStyle w:val="Title"/>
        <w:ind w:right="-138"/>
        <w:rPr>
          <w:rFonts w:eastAsia="MS Mincho"/>
          <w:noProof w:val="0"/>
          <w:lang w:val="es-CR"/>
        </w:rPr>
      </w:pPr>
    </w:p>
    <w:p w14:paraId="7FF06DBA" w14:textId="77777777" w:rsidR="00BD7D70" w:rsidRDefault="00BD7D70" w:rsidP="00D1286C">
      <w:pPr>
        <w:pStyle w:val="Title"/>
        <w:ind w:right="-138"/>
        <w:rPr>
          <w:rFonts w:eastAsia="MS Mincho"/>
          <w:noProof w:val="0"/>
          <w:lang w:val="es-CR"/>
        </w:rPr>
      </w:pPr>
    </w:p>
    <w:p w14:paraId="45AE7686" w14:textId="77777777" w:rsidR="00BD7D70" w:rsidRDefault="00BD7D70" w:rsidP="00D1286C">
      <w:pPr>
        <w:pStyle w:val="Title"/>
        <w:ind w:right="-138"/>
        <w:rPr>
          <w:rFonts w:eastAsia="MS Mincho"/>
          <w:noProof w:val="0"/>
          <w:lang w:val="es-CR"/>
        </w:rPr>
      </w:pPr>
    </w:p>
    <w:p w14:paraId="5105D98E" w14:textId="77777777" w:rsidR="00BD7D70" w:rsidRDefault="00BD7D70" w:rsidP="00D1286C">
      <w:pPr>
        <w:pStyle w:val="Title"/>
        <w:ind w:right="-138"/>
        <w:rPr>
          <w:rFonts w:eastAsia="MS Mincho"/>
          <w:noProof w:val="0"/>
          <w:lang w:val="es-CR"/>
        </w:rPr>
      </w:pPr>
    </w:p>
    <w:p w14:paraId="2B3E76F3" w14:textId="22AC09D9" w:rsidR="00D1286C" w:rsidRDefault="00D1286C" w:rsidP="00D1286C">
      <w:pPr>
        <w:pStyle w:val="Title"/>
        <w:ind w:right="-138"/>
        <w:rPr>
          <w:rFonts w:eastAsia="MS Mincho"/>
          <w:noProof w:val="0"/>
          <w:lang w:val="es-CR"/>
        </w:rPr>
      </w:pPr>
      <w:r w:rsidRPr="00BA0ED4">
        <w:rPr>
          <w:rFonts w:eastAsia="MS Mincho"/>
          <w:noProof w:val="0"/>
          <w:lang w:val="es-CR"/>
        </w:rPr>
        <w:t xml:space="preserve">VOTO CONCURRENTE </w:t>
      </w:r>
      <w:r w:rsidR="000C0B25" w:rsidRPr="00BA0ED4">
        <w:rPr>
          <w:rFonts w:eastAsia="MS Mincho"/>
          <w:noProof w:val="0"/>
          <w:lang w:val="es-CR"/>
        </w:rPr>
        <w:t xml:space="preserve">CONJUNTO </w:t>
      </w:r>
      <w:r w:rsidRPr="00BA0ED4">
        <w:rPr>
          <w:rFonts w:eastAsia="MS Mincho"/>
          <w:noProof w:val="0"/>
          <w:lang w:val="es-CR"/>
        </w:rPr>
        <w:t>DE LOS JUECES</w:t>
      </w:r>
    </w:p>
    <w:p w14:paraId="6A13683B" w14:textId="77777777" w:rsidR="00133520" w:rsidRPr="00BA0ED4" w:rsidRDefault="00133520" w:rsidP="00D1286C">
      <w:pPr>
        <w:pStyle w:val="Title"/>
        <w:ind w:right="-138"/>
        <w:rPr>
          <w:rFonts w:eastAsia="MS Mincho"/>
          <w:noProof w:val="0"/>
          <w:lang w:val="es-CR"/>
        </w:rPr>
      </w:pPr>
    </w:p>
    <w:p w14:paraId="302A4989" w14:textId="77777777" w:rsidR="00133520" w:rsidRDefault="00D1286C" w:rsidP="004522A9">
      <w:pPr>
        <w:pStyle w:val="Title"/>
        <w:ind w:right="-138"/>
        <w:rPr>
          <w:rFonts w:eastAsia="MS Mincho"/>
          <w:noProof w:val="0"/>
          <w:lang w:val="es-CR"/>
        </w:rPr>
      </w:pPr>
      <w:r w:rsidRPr="00BA0ED4">
        <w:rPr>
          <w:rFonts w:eastAsia="MS Mincho"/>
          <w:noProof w:val="0"/>
          <w:lang w:val="es-CR"/>
        </w:rPr>
        <w:t xml:space="preserve">HUMBERTO ANTONIO SIERRA PORTO Y </w:t>
      </w:r>
    </w:p>
    <w:p w14:paraId="05928E08" w14:textId="77777777" w:rsidR="00133520" w:rsidRDefault="00133520" w:rsidP="004522A9">
      <w:pPr>
        <w:pStyle w:val="Title"/>
        <w:ind w:right="-138"/>
        <w:rPr>
          <w:rFonts w:eastAsia="MS Mincho"/>
          <w:noProof w:val="0"/>
          <w:lang w:val="es-CR"/>
        </w:rPr>
      </w:pPr>
    </w:p>
    <w:p w14:paraId="166603D9" w14:textId="6153E209" w:rsidR="00D1286C" w:rsidRPr="00BA0ED4" w:rsidRDefault="00D1286C" w:rsidP="004522A9">
      <w:pPr>
        <w:pStyle w:val="Title"/>
        <w:ind w:right="-138"/>
        <w:rPr>
          <w:rFonts w:eastAsia="MS Mincho"/>
          <w:noProof w:val="0"/>
          <w:lang w:val="es-CR"/>
        </w:rPr>
      </w:pPr>
      <w:r w:rsidRPr="00BA0ED4">
        <w:rPr>
          <w:rFonts w:eastAsia="MS Mincho"/>
          <w:noProof w:val="0"/>
          <w:lang w:val="es-CR"/>
        </w:rPr>
        <w:t>EDUARDO FERRER MAC-GREGOR POISOT</w:t>
      </w:r>
    </w:p>
    <w:p w14:paraId="62AE5ED1" w14:textId="77777777" w:rsidR="00D1286C" w:rsidRPr="00300069" w:rsidRDefault="00D1286C" w:rsidP="00D1286C">
      <w:pPr>
        <w:pStyle w:val="Title"/>
        <w:ind w:left="-142" w:right="-138"/>
        <w:rPr>
          <w:rFonts w:eastAsia="MS Mincho"/>
          <w:noProof w:val="0"/>
        </w:rPr>
      </w:pPr>
    </w:p>
    <w:p w14:paraId="56786099" w14:textId="77777777" w:rsidR="000C0B25" w:rsidRPr="00BA0ED4" w:rsidRDefault="000C0B25" w:rsidP="000C0B25">
      <w:pPr>
        <w:jc w:val="center"/>
        <w:rPr>
          <w:b/>
          <w:szCs w:val="20"/>
          <w:u w:val="single"/>
        </w:rPr>
      </w:pPr>
      <w:r w:rsidRPr="00BA0ED4">
        <w:rPr>
          <w:b/>
          <w:szCs w:val="20"/>
          <w:u w:val="single"/>
        </w:rPr>
        <w:t xml:space="preserve">CASO PUEBLOS KALIÑA Y LOKONO </w:t>
      </w:r>
      <w:r w:rsidRPr="00BA0ED4">
        <w:rPr>
          <w:b/>
          <w:i/>
          <w:szCs w:val="20"/>
          <w:u w:val="single"/>
        </w:rPr>
        <w:t xml:space="preserve">VS. </w:t>
      </w:r>
      <w:r w:rsidRPr="00BA0ED4">
        <w:rPr>
          <w:b/>
          <w:szCs w:val="20"/>
          <w:u w:val="single"/>
        </w:rPr>
        <w:t>SURINAM</w:t>
      </w:r>
    </w:p>
    <w:p w14:paraId="631EC444" w14:textId="77777777" w:rsidR="000C0B25" w:rsidRPr="00605208" w:rsidRDefault="000C0B25" w:rsidP="000C0B25">
      <w:pPr>
        <w:jc w:val="center"/>
        <w:rPr>
          <w:b/>
          <w:szCs w:val="20"/>
        </w:rPr>
      </w:pPr>
      <w:r w:rsidRPr="00BA0ED4">
        <w:rPr>
          <w:b/>
          <w:szCs w:val="20"/>
        </w:rPr>
        <w:t>SENTENCIA DE 25 DE NOVIEMBRE DE</w:t>
      </w:r>
      <w:r w:rsidRPr="00605208">
        <w:rPr>
          <w:b/>
          <w:szCs w:val="20"/>
        </w:rPr>
        <w:t xml:space="preserve"> 2015</w:t>
      </w:r>
    </w:p>
    <w:p w14:paraId="2E5C5A1E" w14:textId="1E5AC8FE" w:rsidR="00D1286C" w:rsidRPr="00605208" w:rsidRDefault="000C0B25" w:rsidP="000C0B25">
      <w:pPr>
        <w:ind w:right="-138"/>
        <w:jc w:val="center"/>
        <w:rPr>
          <w:noProof w:val="0"/>
          <w:szCs w:val="20"/>
        </w:rPr>
      </w:pPr>
      <w:r w:rsidRPr="00605208">
        <w:rPr>
          <w:b/>
          <w:i/>
          <w:szCs w:val="20"/>
        </w:rPr>
        <w:t>(Fondo, Reparaciones y Costas</w:t>
      </w:r>
      <w:r w:rsidR="002667C1" w:rsidRPr="00605208">
        <w:rPr>
          <w:b/>
          <w:i/>
          <w:szCs w:val="20"/>
        </w:rPr>
        <w:t>)</w:t>
      </w:r>
    </w:p>
    <w:p w14:paraId="27F9FC94" w14:textId="77777777" w:rsidR="00D1286C" w:rsidRPr="00C50548" w:rsidRDefault="00D1286C" w:rsidP="00D1286C">
      <w:pPr>
        <w:ind w:right="-138"/>
        <w:rPr>
          <w:noProof w:val="0"/>
          <w:szCs w:val="20"/>
        </w:rPr>
      </w:pPr>
    </w:p>
    <w:p w14:paraId="3C5B7EC6" w14:textId="0A3180A2" w:rsidR="00E058B2" w:rsidRPr="00BA0ED4" w:rsidRDefault="004B6195" w:rsidP="008A3C30">
      <w:pPr>
        <w:ind w:right="-138"/>
        <w:rPr>
          <w:szCs w:val="20"/>
          <w:lang w:val="es-CR"/>
        </w:rPr>
      </w:pPr>
      <w:r w:rsidRPr="00BA0ED4">
        <w:rPr>
          <w:noProof w:val="0"/>
          <w:szCs w:val="20"/>
        </w:rPr>
        <w:t>1.</w:t>
      </w:r>
      <w:r w:rsidRPr="00BA0ED4">
        <w:rPr>
          <w:noProof w:val="0"/>
          <w:szCs w:val="20"/>
        </w:rPr>
        <w:tab/>
      </w:r>
      <w:r w:rsidR="002667C1" w:rsidRPr="00BA0ED4">
        <w:rPr>
          <w:rFonts w:eastAsia="Calibri"/>
          <w:szCs w:val="20"/>
        </w:rPr>
        <w:t>F</w:t>
      </w:r>
      <w:r w:rsidR="00E058B2" w:rsidRPr="00605208">
        <w:rPr>
          <w:rFonts w:eastAsia="Calibri"/>
          <w:szCs w:val="20"/>
          <w:lang w:val="es-CR"/>
        </w:rPr>
        <w:t xml:space="preserve">ormulamos el presente voto </w:t>
      </w:r>
      <w:r w:rsidR="00E058B2" w:rsidRPr="00605208">
        <w:rPr>
          <w:szCs w:val="20"/>
          <w:lang w:val="es-CR"/>
        </w:rPr>
        <w:t xml:space="preserve">concurrente, en relación con </w:t>
      </w:r>
      <w:r w:rsidR="006E25B7" w:rsidRPr="00605208">
        <w:rPr>
          <w:szCs w:val="20"/>
          <w:lang w:val="es-CR"/>
        </w:rPr>
        <w:t xml:space="preserve">dos temas abordados en la Sentencia del caso de los </w:t>
      </w:r>
      <w:r w:rsidR="006E25B7" w:rsidRPr="00605208">
        <w:rPr>
          <w:i/>
          <w:szCs w:val="20"/>
          <w:lang w:val="es-CR"/>
        </w:rPr>
        <w:t>Pueblos Kal</w:t>
      </w:r>
      <w:r w:rsidR="006E25B7" w:rsidRPr="00605208">
        <w:rPr>
          <w:i/>
          <w:szCs w:val="20"/>
        </w:rPr>
        <w:t>iña y Lokono Vs. Surinam</w:t>
      </w:r>
      <w:r w:rsidR="006E25B7" w:rsidRPr="00605208">
        <w:rPr>
          <w:szCs w:val="20"/>
        </w:rPr>
        <w:t xml:space="preserve">, a saber: i) sobre </w:t>
      </w:r>
      <w:r w:rsidR="00E058B2" w:rsidRPr="00C50548">
        <w:rPr>
          <w:szCs w:val="20"/>
          <w:lang w:val="es-CR"/>
        </w:rPr>
        <w:t xml:space="preserve">las </w:t>
      </w:r>
      <w:r w:rsidR="00E058B2" w:rsidRPr="001C303C">
        <w:rPr>
          <w:szCs w:val="20"/>
          <w:lang w:val="es-CR"/>
        </w:rPr>
        <w:t>garantías a la propiedad colectiva frent</w:t>
      </w:r>
      <w:r w:rsidR="00E058B2" w:rsidRPr="00D34002">
        <w:rPr>
          <w:szCs w:val="20"/>
          <w:lang w:val="es-CR"/>
        </w:rPr>
        <w:t>e a la concesión minera dentro de la Reserva Natural Wane Kreek</w:t>
      </w:r>
      <w:r w:rsidR="008A3C30" w:rsidRPr="00BA0ED4">
        <w:rPr>
          <w:szCs w:val="20"/>
          <w:lang w:val="es-CR"/>
        </w:rPr>
        <w:t xml:space="preserve">, </w:t>
      </w:r>
      <w:r w:rsidR="00BF0BEE" w:rsidRPr="00BA0ED4">
        <w:rPr>
          <w:szCs w:val="20"/>
          <w:lang w:val="es-CR"/>
        </w:rPr>
        <w:t>particularmente respecto del dere</w:t>
      </w:r>
      <w:r w:rsidR="006E25B7" w:rsidRPr="00BA0ED4">
        <w:rPr>
          <w:szCs w:val="20"/>
          <w:lang w:val="es-CR"/>
        </w:rPr>
        <w:t>cho a la participación efectiva</w:t>
      </w:r>
      <w:r w:rsidR="00BF0BEE" w:rsidRPr="00BA0ED4">
        <w:rPr>
          <w:szCs w:val="20"/>
          <w:lang w:val="es-CR"/>
        </w:rPr>
        <w:t xml:space="preserve"> a través de un proceso de consulta, </w:t>
      </w:r>
      <w:r w:rsidR="006E25B7" w:rsidRPr="00BA0ED4">
        <w:rPr>
          <w:szCs w:val="20"/>
          <w:lang w:val="es-CR"/>
        </w:rPr>
        <w:t xml:space="preserve">y ii) sobre </w:t>
      </w:r>
      <w:r w:rsidR="008A3C30" w:rsidRPr="00BA0ED4">
        <w:rPr>
          <w:szCs w:val="20"/>
          <w:lang w:val="es-CR"/>
        </w:rPr>
        <w:t xml:space="preserve">el reconocimiento de la personalidad jurídica de manera colectiva. </w:t>
      </w:r>
    </w:p>
    <w:p w14:paraId="1D1B56EF" w14:textId="77777777" w:rsidR="008A3C30" w:rsidRPr="00BA0ED4" w:rsidRDefault="008A3C30" w:rsidP="008A3C30">
      <w:pPr>
        <w:ind w:right="-138"/>
        <w:rPr>
          <w:noProof w:val="0"/>
          <w:szCs w:val="20"/>
        </w:rPr>
      </w:pPr>
    </w:p>
    <w:p w14:paraId="3CE2E2F8" w14:textId="28208C16" w:rsidR="00E058B2" w:rsidRPr="00BA0ED4" w:rsidRDefault="004B6195" w:rsidP="008A3C30">
      <w:pPr>
        <w:ind w:right="-138"/>
        <w:rPr>
          <w:szCs w:val="20"/>
          <w:lang w:val="es-CR"/>
        </w:rPr>
      </w:pPr>
      <w:r w:rsidRPr="00BA0ED4">
        <w:rPr>
          <w:noProof w:val="0"/>
          <w:szCs w:val="20"/>
        </w:rPr>
        <w:t xml:space="preserve">2. </w:t>
      </w:r>
      <w:r w:rsidRPr="00BA0ED4">
        <w:rPr>
          <w:noProof w:val="0"/>
          <w:szCs w:val="20"/>
        </w:rPr>
        <w:tab/>
      </w:r>
      <w:r w:rsidR="00BF0BEE" w:rsidRPr="00BA0ED4">
        <w:rPr>
          <w:noProof w:val="0"/>
          <w:szCs w:val="20"/>
        </w:rPr>
        <w:t>En relación con el</w:t>
      </w:r>
      <w:r w:rsidR="008A3C30" w:rsidRPr="00BA0ED4">
        <w:rPr>
          <w:noProof w:val="0"/>
          <w:szCs w:val="20"/>
        </w:rPr>
        <w:t xml:space="preserve"> primer punto, </w:t>
      </w:r>
      <w:r w:rsidR="00E058B2" w:rsidRPr="00BA0ED4">
        <w:rPr>
          <w:szCs w:val="20"/>
          <w:lang w:val="es-CR"/>
        </w:rPr>
        <w:t xml:space="preserve">la Corte </w:t>
      </w:r>
      <w:r w:rsidR="00EB7A9A" w:rsidRPr="00BA0ED4">
        <w:rPr>
          <w:szCs w:val="20"/>
          <w:lang w:val="es-CR"/>
        </w:rPr>
        <w:t>en dicha</w:t>
      </w:r>
      <w:r w:rsidR="006E25B7" w:rsidRPr="00BA0ED4">
        <w:rPr>
          <w:szCs w:val="20"/>
          <w:lang w:val="es-CR"/>
        </w:rPr>
        <w:t xml:space="preserve"> Se</w:t>
      </w:r>
      <w:r w:rsidR="00E058B2" w:rsidRPr="00BA0ED4">
        <w:rPr>
          <w:szCs w:val="20"/>
          <w:lang w:val="es-CR"/>
        </w:rPr>
        <w:t>n</w:t>
      </w:r>
      <w:r w:rsidR="006E25B7" w:rsidRPr="00BA0ED4">
        <w:rPr>
          <w:szCs w:val="20"/>
          <w:lang w:val="es-CR"/>
        </w:rPr>
        <w:t>t</w:t>
      </w:r>
      <w:r w:rsidR="002667C1" w:rsidRPr="00BA0ED4">
        <w:rPr>
          <w:szCs w:val="20"/>
          <w:lang w:val="es-CR"/>
        </w:rPr>
        <w:t>encia</w:t>
      </w:r>
      <w:r w:rsidR="00E058B2" w:rsidRPr="00BA0ED4">
        <w:rPr>
          <w:szCs w:val="20"/>
          <w:lang w:val="es-CR"/>
        </w:rPr>
        <w:t xml:space="preserve"> estableció que: </w:t>
      </w:r>
    </w:p>
    <w:p w14:paraId="672A1D42" w14:textId="77777777" w:rsidR="008A3C30" w:rsidRPr="00BA0ED4" w:rsidRDefault="008A3C30" w:rsidP="008A3C30">
      <w:pPr>
        <w:ind w:right="-138"/>
        <w:rPr>
          <w:noProof w:val="0"/>
          <w:szCs w:val="20"/>
        </w:rPr>
      </w:pPr>
    </w:p>
    <w:p w14:paraId="55B14CA9" w14:textId="2EB58783" w:rsidR="00E058B2" w:rsidRPr="00300069" w:rsidRDefault="00E058B2" w:rsidP="003717FF">
      <w:pPr>
        <w:spacing w:after="240"/>
        <w:ind w:left="567" w:right="616"/>
        <w:rPr>
          <w:szCs w:val="20"/>
          <w:lang w:val="es-CR"/>
        </w:rPr>
      </w:pPr>
      <w:r w:rsidRPr="00300069">
        <w:rPr>
          <w:szCs w:val="20"/>
          <w:lang w:val="es-CR"/>
        </w:rPr>
        <w:t>200.</w:t>
      </w:r>
      <w:r w:rsidRPr="00300069">
        <w:rPr>
          <w:szCs w:val="20"/>
          <w:lang w:val="es-CR"/>
        </w:rPr>
        <w:tab/>
      </w:r>
      <w:r w:rsidR="00BF0BEE" w:rsidRPr="00300069">
        <w:rPr>
          <w:szCs w:val="20"/>
          <w:lang w:val="es-CR"/>
        </w:rPr>
        <w:t xml:space="preserve"> </w:t>
      </w:r>
      <w:r w:rsidRPr="00300069">
        <w:rPr>
          <w:szCs w:val="20"/>
          <w:lang w:val="es-CR"/>
        </w:rPr>
        <w:t>Como fue constatado</w:t>
      </w:r>
      <w:r w:rsidR="00605208">
        <w:rPr>
          <w:lang w:val="es-CR"/>
        </w:rPr>
        <w:t xml:space="preserve"> </w:t>
      </w:r>
      <w:r w:rsidR="00605208" w:rsidRPr="007F327D">
        <w:rPr>
          <w:lang w:val="es-MX"/>
        </w:rPr>
        <w:t>en 1958</w:t>
      </w:r>
      <w:r w:rsidR="00605208" w:rsidRPr="007F327D">
        <w:rPr>
          <w:szCs w:val="20"/>
          <w:lang w:val="es-MX"/>
        </w:rPr>
        <w:t xml:space="preserve"> Surinam</w:t>
      </w:r>
      <w:r w:rsidR="00605208" w:rsidRPr="007F327D">
        <w:rPr>
          <w:lang w:val="es-MX"/>
        </w:rPr>
        <w:t xml:space="preserve"> otorgó una concesión minera hasta el año 2033 a la empresa Suralco, con el fin de extraer bauxita en la zona este del país. En el año 1997 la compañía comenzó las actividades de extracción de depósitos de bauxita en un área de entre 100 a 144 ha, aproximadamente, comprendida dentro de la reserva de Wane Kreek, denominadas como Wane Kreek </w:t>
      </w:r>
      <w:r w:rsidR="00605208">
        <w:rPr>
          <w:lang w:val="es-MX"/>
        </w:rPr>
        <w:t>1</w:t>
      </w:r>
      <w:r w:rsidR="00605208" w:rsidRPr="007F327D">
        <w:rPr>
          <w:lang w:val="es-MX"/>
        </w:rPr>
        <w:t xml:space="preserve"> y </w:t>
      </w:r>
      <w:r w:rsidR="00605208">
        <w:rPr>
          <w:lang w:val="es-MX"/>
        </w:rPr>
        <w:t>2</w:t>
      </w:r>
      <w:r w:rsidR="00605208" w:rsidRPr="007F327D">
        <w:rPr>
          <w:lang w:val="es-MX"/>
        </w:rPr>
        <w:t xml:space="preserve"> (</w:t>
      </w:r>
      <w:r w:rsidR="00605208" w:rsidRPr="007F327D">
        <w:rPr>
          <w:i/>
          <w:lang w:val="es-MX"/>
        </w:rPr>
        <w:t>supra</w:t>
      </w:r>
      <w:r w:rsidR="00605208" w:rsidRPr="007F327D">
        <w:rPr>
          <w:lang w:val="es-MX"/>
        </w:rPr>
        <w:t xml:space="preserve"> párr</w:t>
      </w:r>
      <w:r w:rsidR="00605208">
        <w:rPr>
          <w:lang w:val="es-MX"/>
        </w:rPr>
        <w:t>s</w:t>
      </w:r>
      <w:r w:rsidR="00605208" w:rsidRPr="007F327D">
        <w:rPr>
          <w:lang w:val="es-MX"/>
        </w:rPr>
        <w:t xml:space="preserve">. </w:t>
      </w:r>
      <w:r w:rsidR="00605208">
        <w:rPr>
          <w:lang w:val="es-MX"/>
        </w:rPr>
        <w:t>88 y 90</w:t>
      </w:r>
      <w:r w:rsidR="00605208" w:rsidRPr="007F327D">
        <w:rPr>
          <w:lang w:val="es-MX"/>
        </w:rPr>
        <w:t xml:space="preserve">). </w:t>
      </w:r>
      <w:r w:rsidR="00605208" w:rsidRPr="007703D4">
        <w:rPr>
          <w:szCs w:val="20"/>
          <w:lang w:val="es-MX"/>
        </w:rPr>
        <w:t>Ello implicó que a mediados de los noventa se iniciaran trabajos preparatorios como la construcción de una carretera para acceder a la mina y transportar dicho mineral (</w:t>
      </w:r>
      <w:r w:rsidR="00605208" w:rsidRPr="007703D4">
        <w:rPr>
          <w:i/>
          <w:szCs w:val="20"/>
          <w:lang w:val="es-MX"/>
        </w:rPr>
        <w:t>supra</w:t>
      </w:r>
      <w:r w:rsidR="00605208" w:rsidRPr="007703D4">
        <w:rPr>
          <w:szCs w:val="20"/>
          <w:lang w:val="es-MX"/>
        </w:rPr>
        <w:t xml:space="preserve"> párr</w:t>
      </w:r>
      <w:r w:rsidR="00605208">
        <w:rPr>
          <w:szCs w:val="20"/>
          <w:lang w:val="es-MX"/>
        </w:rPr>
        <w:t>.</w:t>
      </w:r>
      <w:r w:rsidR="00605208" w:rsidRPr="007703D4">
        <w:rPr>
          <w:szCs w:val="20"/>
          <w:lang w:val="es-MX"/>
        </w:rPr>
        <w:t xml:space="preserve"> </w:t>
      </w:r>
      <w:r w:rsidR="00605208">
        <w:rPr>
          <w:szCs w:val="20"/>
          <w:lang w:val="es-MX"/>
        </w:rPr>
        <w:t>89</w:t>
      </w:r>
      <w:r w:rsidR="00605208" w:rsidRPr="007703D4">
        <w:rPr>
          <w:szCs w:val="20"/>
          <w:lang w:val="es-MX"/>
        </w:rPr>
        <w:t xml:space="preserve">). </w:t>
      </w:r>
      <w:r w:rsidR="00605208" w:rsidRPr="00945759">
        <w:rPr>
          <w:szCs w:val="20"/>
          <w:lang w:val="es-MX"/>
        </w:rPr>
        <w:t>No existe controversia respecto de que ninguna de dichas actividades cont</w:t>
      </w:r>
      <w:r w:rsidR="00605208">
        <w:rPr>
          <w:szCs w:val="20"/>
          <w:lang w:val="es-MX"/>
        </w:rPr>
        <w:t>ó</w:t>
      </w:r>
      <w:r w:rsidR="00605208" w:rsidRPr="00945759">
        <w:rPr>
          <w:szCs w:val="20"/>
          <w:lang w:val="es-MX"/>
        </w:rPr>
        <w:t xml:space="preserve"> con la participación efectiva de los Pueblos Kaliña y Lokono, y de que no se realizó un estudio de impacto ambiental </w:t>
      </w:r>
      <w:r w:rsidR="00605208" w:rsidRPr="007F327D">
        <w:rPr>
          <w:szCs w:val="20"/>
          <w:lang w:val="es-MX"/>
        </w:rPr>
        <w:t xml:space="preserve">al respecto </w:t>
      </w:r>
      <w:r w:rsidR="00605208" w:rsidRPr="00945759">
        <w:rPr>
          <w:szCs w:val="20"/>
          <w:lang w:val="es-MX"/>
        </w:rPr>
        <w:t>(</w:t>
      </w:r>
      <w:r w:rsidR="00605208">
        <w:rPr>
          <w:i/>
          <w:szCs w:val="20"/>
          <w:lang w:val="es-MX"/>
        </w:rPr>
        <w:t>infra</w:t>
      </w:r>
      <w:r w:rsidR="00605208" w:rsidRPr="00945759">
        <w:rPr>
          <w:szCs w:val="20"/>
          <w:lang w:val="es-MX"/>
        </w:rPr>
        <w:t xml:space="preserve"> párr. </w:t>
      </w:r>
      <w:r w:rsidR="00605208">
        <w:rPr>
          <w:szCs w:val="20"/>
          <w:lang w:val="es-MX"/>
        </w:rPr>
        <w:t>213</w:t>
      </w:r>
      <w:r w:rsidR="00605208" w:rsidRPr="00945759">
        <w:rPr>
          <w:szCs w:val="20"/>
          <w:lang w:val="es-MX"/>
        </w:rPr>
        <w:t xml:space="preserve">). Sin perjuicio de lo anterior, la Corte no tiene competencia respecto del otorgamiento de la </w:t>
      </w:r>
      <w:r w:rsidR="00605208" w:rsidRPr="007F327D">
        <w:rPr>
          <w:szCs w:val="20"/>
          <w:lang w:val="es-MX"/>
        </w:rPr>
        <w:t>concesión</w:t>
      </w:r>
      <w:r w:rsidR="00605208" w:rsidRPr="007703D4">
        <w:rPr>
          <w:szCs w:val="20"/>
          <w:lang w:val="es-MX"/>
        </w:rPr>
        <w:t xml:space="preserve"> minera otorgada en 1958</w:t>
      </w:r>
      <w:r w:rsidR="00605208">
        <w:rPr>
          <w:szCs w:val="20"/>
          <w:lang w:val="es-MX"/>
        </w:rPr>
        <w:t xml:space="preserve">. No obstante, </w:t>
      </w:r>
      <w:r w:rsidR="00605208" w:rsidRPr="007F327D">
        <w:rPr>
          <w:szCs w:val="20"/>
          <w:lang w:val="es-MX"/>
        </w:rPr>
        <w:t>la Corte</w:t>
      </w:r>
      <w:r w:rsidR="00605208" w:rsidRPr="00945759">
        <w:rPr>
          <w:szCs w:val="20"/>
          <w:lang w:val="es-MX"/>
        </w:rPr>
        <w:t xml:space="preserve"> sí es competente para analizar </w:t>
      </w:r>
      <w:r w:rsidR="00605208" w:rsidRPr="007F327D">
        <w:rPr>
          <w:lang w:val="es-MX"/>
        </w:rPr>
        <w:t xml:space="preserve">las acciones realizadas con posterioridad a la entrada en vigencia de su competencia, </w:t>
      </w:r>
      <w:r w:rsidR="00605208" w:rsidRPr="007F327D">
        <w:rPr>
          <w:rFonts w:eastAsia="Times New Roman"/>
          <w:color w:val="000000"/>
          <w:lang w:val="es-CR" w:eastAsia="es-CR"/>
        </w:rPr>
        <w:t>en particular, las actividades extractivas llevadas a cabo a partir 1997</w:t>
      </w:r>
      <w:r w:rsidR="00605208">
        <w:rPr>
          <w:rFonts w:eastAsia="Times New Roman"/>
          <w:color w:val="000000"/>
          <w:lang w:val="es-CR" w:eastAsia="es-CR"/>
        </w:rPr>
        <w:t>.</w:t>
      </w:r>
    </w:p>
    <w:p w14:paraId="0DD6C783" w14:textId="051C79B2" w:rsidR="00E058B2" w:rsidRPr="00300069" w:rsidRDefault="00E058B2" w:rsidP="003717FF">
      <w:pPr>
        <w:spacing w:after="240"/>
        <w:ind w:left="567" w:right="616"/>
        <w:rPr>
          <w:rFonts w:eastAsia="Calibri"/>
          <w:szCs w:val="20"/>
          <w:lang w:val="es-CR"/>
        </w:rPr>
      </w:pPr>
      <w:r w:rsidRPr="00300069">
        <w:rPr>
          <w:rFonts w:eastAsia="Calibri"/>
          <w:szCs w:val="20"/>
          <w:lang w:val="es-CR"/>
        </w:rPr>
        <w:t>201.</w:t>
      </w:r>
      <w:r w:rsidRPr="00300069">
        <w:rPr>
          <w:rFonts w:eastAsia="Calibri"/>
          <w:szCs w:val="20"/>
          <w:lang w:val="es-CR"/>
        </w:rPr>
        <w:tab/>
      </w:r>
      <w:r w:rsidR="00BF0BEE" w:rsidRPr="00300069">
        <w:rPr>
          <w:rFonts w:eastAsia="Calibri"/>
          <w:szCs w:val="20"/>
          <w:lang w:val="es-CR"/>
        </w:rPr>
        <w:t xml:space="preserve"> </w:t>
      </w:r>
      <w:r w:rsidRPr="00300069">
        <w:rPr>
          <w:rFonts w:eastAsia="Calibri"/>
          <w:szCs w:val="20"/>
          <w:lang w:val="es-CR"/>
        </w:rPr>
        <w:t xml:space="preserve">En este particular, esta Corte ya estableció en el caso </w:t>
      </w:r>
      <w:r w:rsidRPr="00300069">
        <w:rPr>
          <w:rFonts w:eastAsia="Calibri"/>
          <w:i/>
          <w:szCs w:val="20"/>
          <w:lang w:val="es-CR"/>
        </w:rPr>
        <w:t>Saramaka Vs. Surinam</w:t>
      </w:r>
      <w:r w:rsidRPr="00300069">
        <w:rPr>
          <w:rFonts w:eastAsia="Calibri"/>
          <w:szCs w:val="20"/>
          <w:lang w:val="es-CR"/>
        </w:rPr>
        <w:t xml:space="preserve"> que de conformidad con el artículo 1.1 de la Convención, a fin de garantizar que las restricciones impuestas respecto del derecho a la propiedad de los pueblos indígenas y tribales, por la emisión de concesiones dentro de su territorio, no impliquen una denegación de su subsistencia, el Estado debe cumplir con las siguientes tres garantías: “primero, debe ase</w:t>
      </w:r>
      <w:r w:rsidR="00D83083" w:rsidRPr="00300069">
        <w:rPr>
          <w:rFonts w:eastAsia="Calibri"/>
          <w:szCs w:val="20"/>
          <w:lang w:val="es-CR"/>
        </w:rPr>
        <w:t>gurar la participación efectiva</w:t>
      </w:r>
      <w:r w:rsidRPr="00300069">
        <w:rPr>
          <w:rFonts w:eastAsia="Calibri"/>
          <w:szCs w:val="20"/>
          <w:lang w:val="es-CR"/>
        </w:rPr>
        <w:t xml:space="preserve"> de los miembros de los [pueblos indígenas y tribales], de conformidad con sus costumbres y tradiciones, en relación con todo plan de desarrollo, inversión, exploración </w:t>
      </w:r>
      <w:r w:rsidRPr="00300069">
        <w:rPr>
          <w:rFonts w:eastAsia="Calibri"/>
          <w:szCs w:val="20"/>
          <w:lang w:val="es-CR"/>
        </w:rPr>
        <w:lastRenderedPageBreak/>
        <w:t>o extracción (en adelante “plan de desarrollo o inversión”) que se lleve a cabo dentro de su territorio.  Segundo, el Estado debe garantizar que los miembros de los [pueblos indígenas y tribales], se beneficien razonablemente del plan que se lleve a cabo dentro de su territorio. Tercero, el Estado debe garantizar que no se emitirá ninguna concesión dentro de su territorio a menos y hasta que entidades independientes y técnicamente capaces, bajo la supervisión del Estado, realicen un estudio previo de impacto social y ambiental. Mediante estas salvaguardas se intenta preservar, proteger y garantizar la relación especial que los miembros de los [pueblos indígenas y tribales], tienen con su territorio, la cual a su vez, garantiza su subsistencia como pueblo indígena”. En el presente caso, la Corte analizará el alegado incumplimiento de las referidas salvaguardias por parte del Estado, en relación con el inicio de actividades de extracción de bauxita en 1997.</w:t>
      </w:r>
    </w:p>
    <w:p w14:paraId="2D7A5580" w14:textId="3075519F" w:rsidR="00E058B2" w:rsidRPr="00300069" w:rsidRDefault="00E058B2" w:rsidP="003717FF">
      <w:pPr>
        <w:spacing w:after="240"/>
        <w:ind w:left="567" w:right="616"/>
        <w:rPr>
          <w:rFonts w:eastAsia="Calibri"/>
          <w:szCs w:val="20"/>
          <w:lang w:val="es-CR"/>
        </w:rPr>
      </w:pPr>
      <w:r w:rsidRPr="00300069">
        <w:rPr>
          <w:rFonts w:eastAsia="Calibri"/>
          <w:szCs w:val="20"/>
          <w:lang w:val="es-CR"/>
        </w:rPr>
        <w:t>202.</w:t>
      </w:r>
      <w:r w:rsidRPr="00300069">
        <w:rPr>
          <w:rFonts w:eastAsia="Calibri"/>
          <w:szCs w:val="20"/>
          <w:lang w:val="es-CR"/>
        </w:rPr>
        <w:tab/>
      </w:r>
      <w:r w:rsidR="00BF0BEE" w:rsidRPr="00300069">
        <w:rPr>
          <w:rFonts w:eastAsia="Calibri"/>
          <w:szCs w:val="20"/>
          <w:lang w:val="es-CR"/>
        </w:rPr>
        <w:t xml:space="preserve"> </w:t>
      </w:r>
      <w:r w:rsidRPr="00300069">
        <w:rPr>
          <w:rFonts w:eastAsia="Calibri"/>
          <w:szCs w:val="20"/>
          <w:lang w:val="es-CR"/>
        </w:rPr>
        <w:t xml:space="preserve">Adicionalmente a lo anterior, la Corte reitera que el artículo 23 de la Convención Americana dispone que “todos los ciudadanos deben gozar de los siguientes derechos y oportunidades: a) participar en la dirección de los asuntos públicos […]”. En similar sentido, el artículo 18 de la Declaración de Naciones Unidas sobre Pueblos Indígenas establece “el derecho [de los pueblos indígenas] a participar en la adopción de decisiones en las cuestiones que afecten a sus derechos, por conducto de representantes […]”, y el artículo 32, en lo pertinente, dispone el deber de los Estados de “celebrar consultas y cooperación de buena fe […] antes de aprobar cualquier proyecto que afecte sus tierras […], particularmente en relación con [la utilización o la explotación de recursos minerales […]”. </w:t>
      </w:r>
    </w:p>
    <w:p w14:paraId="492ED51C" w14:textId="1C36CE9A" w:rsidR="00E058B2" w:rsidRPr="00300069" w:rsidRDefault="00E058B2" w:rsidP="003717FF">
      <w:pPr>
        <w:spacing w:after="240"/>
        <w:ind w:left="567" w:right="616"/>
        <w:rPr>
          <w:rFonts w:eastAsia="Calibri"/>
          <w:szCs w:val="20"/>
          <w:lang w:val="es-CR"/>
        </w:rPr>
      </w:pPr>
      <w:r w:rsidRPr="00300069">
        <w:rPr>
          <w:rFonts w:eastAsia="Calibri"/>
          <w:szCs w:val="20"/>
          <w:lang w:val="es-CR"/>
        </w:rPr>
        <w:t>203.</w:t>
      </w:r>
      <w:r w:rsidRPr="00300069">
        <w:rPr>
          <w:rFonts w:eastAsia="Calibri"/>
          <w:szCs w:val="20"/>
          <w:lang w:val="es-CR"/>
        </w:rPr>
        <w:tab/>
      </w:r>
      <w:r w:rsidR="00BF0BEE" w:rsidRPr="00300069">
        <w:rPr>
          <w:rFonts w:eastAsia="Calibri"/>
          <w:szCs w:val="20"/>
          <w:lang w:val="es-CR"/>
        </w:rPr>
        <w:t xml:space="preserve"> </w:t>
      </w:r>
      <w:r w:rsidRPr="00300069">
        <w:rPr>
          <w:rFonts w:eastAsia="Calibri"/>
          <w:szCs w:val="20"/>
          <w:lang w:val="es-CR"/>
        </w:rPr>
        <w:t xml:space="preserve">En vista de ello, a fin de garantizar el uso y goce del derecho a la propiedad colectiva indígena, </w:t>
      </w:r>
      <w:r w:rsidR="00034882">
        <w:rPr>
          <w:rFonts w:eastAsia="Calibri"/>
          <w:szCs w:val="20"/>
          <w:lang w:val="es-CR"/>
        </w:rPr>
        <w:t>conforme a</w:t>
      </w:r>
      <w:r w:rsidRPr="00300069">
        <w:rPr>
          <w:rFonts w:eastAsia="Calibri"/>
          <w:szCs w:val="20"/>
          <w:lang w:val="es-CR"/>
        </w:rPr>
        <w:t xml:space="preserve"> los artículo 1.1 y 21 de la Convención, frente a la utilización o explotación de recursos naturales en su territorio tradicional, el Estado debe, para efectos del presente caso, contar con mecanismos para la participación efectiva de los pueblos indígenas, a través de procedimientos culturalmente adecuados para la toma de decisiones de dichos pueblos. Lo anterior, no sólo consiste en un asunto de interés público sino que también forma parte del ejercicio de su derecho a participar en la adopción de decisiones en las cuestiones que afectan sus intereses, de conformidad con sus propios procedimientos e instituciones, en relación con el artículo 23 de la Convención Americana (</w:t>
      </w:r>
      <w:r w:rsidRPr="00300069">
        <w:rPr>
          <w:rFonts w:eastAsia="Calibri"/>
          <w:i/>
          <w:szCs w:val="20"/>
          <w:lang w:val="es-CR"/>
        </w:rPr>
        <w:t>supra</w:t>
      </w:r>
      <w:r w:rsidRPr="00300069">
        <w:rPr>
          <w:rFonts w:eastAsia="Calibri"/>
          <w:szCs w:val="20"/>
          <w:lang w:val="es-CR"/>
        </w:rPr>
        <w:t xml:space="preserve"> párr</w:t>
      </w:r>
      <w:r w:rsidR="00034882">
        <w:rPr>
          <w:rFonts w:eastAsia="Calibri"/>
          <w:szCs w:val="20"/>
          <w:lang w:val="es-CR"/>
        </w:rPr>
        <w:t>. 196</w:t>
      </w:r>
      <w:r w:rsidRPr="00300069">
        <w:rPr>
          <w:rFonts w:eastAsia="Calibri"/>
          <w:szCs w:val="20"/>
          <w:lang w:val="es-CR"/>
        </w:rPr>
        <w:t>).</w:t>
      </w:r>
    </w:p>
    <w:p w14:paraId="24B26333" w14:textId="1A41D62E" w:rsidR="00D83083" w:rsidRPr="00C50548" w:rsidRDefault="004B6195" w:rsidP="00D83083">
      <w:pPr>
        <w:spacing w:after="240"/>
        <w:ind w:right="96"/>
        <w:rPr>
          <w:szCs w:val="20"/>
          <w:lang w:val="es-CR"/>
        </w:rPr>
      </w:pPr>
      <w:r w:rsidRPr="00BA0ED4">
        <w:rPr>
          <w:szCs w:val="20"/>
          <w:lang w:val="es-CR"/>
        </w:rPr>
        <w:t xml:space="preserve">3. </w:t>
      </w:r>
      <w:r w:rsidRPr="00BA0ED4">
        <w:rPr>
          <w:szCs w:val="20"/>
          <w:lang w:val="es-CR"/>
        </w:rPr>
        <w:tab/>
      </w:r>
      <w:r w:rsidR="00D83083" w:rsidRPr="00BA0ED4">
        <w:rPr>
          <w:szCs w:val="20"/>
          <w:lang w:val="es-CR"/>
        </w:rPr>
        <w:t xml:space="preserve">Al respecto, concurrimos en esencia con la mayoría de la Corte en el sentido de reiterar las salvaguardias dispuestas por la Corte en su jurisprudencia frente a </w:t>
      </w:r>
      <w:r w:rsidR="00D83083" w:rsidRPr="00C50548">
        <w:rPr>
          <w:szCs w:val="20"/>
          <w:lang w:val="es-CR"/>
        </w:rPr>
        <w:t>proyectos de inversión o desarrollo en territorio indígena</w:t>
      </w:r>
      <w:r w:rsidR="00351B7D" w:rsidRPr="001C303C">
        <w:rPr>
          <w:szCs w:val="20"/>
          <w:lang w:val="es-CR"/>
        </w:rPr>
        <w:t xml:space="preserve"> o tribal</w:t>
      </w:r>
      <w:r w:rsidR="00D83083" w:rsidRPr="001C303C">
        <w:rPr>
          <w:szCs w:val="20"/>
          <w:lang w:val="es-CR"/>
        </w:rPr>
        <w:t xml:space="preserve">. Particularmente, el deber del Estado de llevar a cabo </w:t>
      </w:r>
      <w:r w:rsidR="00D71254" w:rsidRPr="00BA0ED4">
        <w:rPr>
          <w:szCs w:val="20"/>
          <w:lang w:val="es-CR"/>
        </w:rPr>
        <w:t xml:space="preserve">un </w:t>
      </w:r>
      <w:r w:rsidR="00D83083" w:rsidRPr="00BA0ED4">
        <w:rPr>
          <w:szCs w:val="20"/>
          <w:lang w:val="es-CR"/>
        </w:rPr>
        <w:t>proceso de participación efectiva, lo cual se materializa a través de la consulta previa,</w:t>
      </w:r>
      <w:r w:rsidR="00034882">
        <w:rPr>
          <w:szCs w:val="20"/>
          <w:lang w:val="es-CR"/>
        </w:rPr>
        <w:t xml:space="preserve"> </w:t>
      </w:r>
      <w:r w:rsidR="00D83083" w:rsidRPr="00034882">
        <w:rPr>
          <w:szCs w:val="20"/>
          <w:lang w:val="es-CR"/>
        </w:rPr>
        <w:t xml:space="preserve">libre e informada. </w:t>
      </w:r>
    </w:p>
    <w:p w14:paraId="0BE0BD78" w14:textId="43CC8ED4" w:rsidR="005D1A50" w:rsidRPr="00C50548" w:rsidRDefault="00D83083" w:rsidP="00300069">
      <w:pPr>
        <w:spacing w:after="240"/>
        <w:ind w:right="96"/>
        <w:jc w:val="center"/>
        <w:rPr>
          <w:szCs w:val="20"/>
          <w:lang w:val="es-CR"/>
        </w:rPr>
      </w:pPr>
      <w:r w:rsidRPr="00C50548">
        <w:rPr>
          <w:b/>
          <w:szCs w:val="20"/>
          <w:lang w:val="es-CR"/>
        </w:rPr>
        <w:t>La consulta previa, libre e informada</w:t>
      </w:r>
    </w:p>
    <w:p w14:paraId="33497E11" w14:textId="47F8BF51" w:rsidR="002465FA" w:rsidRDefault="002465FA" w:rsidP="00300069">
      <w:pPr>
        <w:widowControl w:val="0"/>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9"/>
        <w:rPr>
          <w:szCs w:val="20"/>
        </w:rPr>
      </w:pPr>
      <w:r w:rsidRPr="001C303C">
        <w:rPr>
          <w:szCs w:val="20"/>
        </w:rPr>
        <w:t xml:space="preserve">4. </w:t>
      </w:r>
      <w:r w:rsidRPr="001C303C">
        <w:rPr>
          <w:szCs w:val="20"/>
        </w:rPr>
        <w:tab/>
        <w:t xml:space="preserve">Uno de los aportes </w:t>
      </w:r>
      <w:r w:rsidR="0069493D" w:rsidRPr="001C303C">
        <w:rPr>
          <w:szCs w:val="20"/>
        </w:rPr>
        <w:t>más significativos</w:t>
      </w:r>
      <w:r w:rsidR="004522A9" w:rsidRPr="001C303C">
        <w:rPr>
          <w:szCs w:val="20"/>
        </w:rPr>
        <w:t xml:space="preserve"> </w:t>
      </w:r>
      <w:r w:rsidRPr="00313166">
        <w:rPr>
          <w:szCs w:val="20"/>
        </w:rPr>
        <w:t>en materia indígena y tribal en la jurisprude</w:t>
      </w:r>
      <w:r w:rsidR="00A55A58" w:rsidRPr="00D34002">
        <w:rPr>
          <w:szCs w:val="20"/>
        </w:rPr>
        <w:t>ncia de la Corte Interamericana</w:t>
      </w:r>
      <w:r w:rsidRPr="00BA0ED4">
        <w:rPr>
          <w:szCs w:val="20"/>
        </w:rPr>
        <w:t xml:space="preserve"> ha sido la interpretación realizada al artículo 21 de la Convención Americana; así, la Corte ha desarrollado</w:t>
      </w:r>
      <w:r w:rsidR="00A55A58" w:rsidRPr="00BA0ED4">
        <w:rPr>
          <w:szCs w:val="20"/>
        </w:rPr>
        <w:t xml:space="preserve"> </w:t>
      </w:r>
      <w:r w:rsidRPr="00BA0ED4">
        <w:rPr>
          <w:szCs w:val="20"/>
        </w:rPr>
        <w:t>una interpretación que protege una de las realidades características de la región, la propiedad comunal de los territorios ancestrales. En este entendido, en los contexto</w:t>
      </w:r>
      <w:r w:rsidR="002A3DD3" w:rsidRPr="00BA0ED4">
        <w:rPr>
          <w:szCs w:val="20"/>
        </w:rPr>
        <w:t>s</w:t>
      </w:r>
      <w:r w:rsidRPr="00BA0ED4">
        <w:rPr>
          <w:szCs w:val="20"/>
        </w:rPr>
        <w:t xml:space="preserve"> de grandes proyectos o </w:t>
      </w:r>
      <w:r w:rsidRPr="00BA0ED4">
        <w:rPr>
          <w:szCs w:val="20"/>
        </w:rPr>
        <w:lastRenderedPageBreak/>
        <w:t xml:space="preserve">planes de desarrollo, inversión, exploración, explotación y extracción, la Corte ha creado una sólida línea jurisprudencial sobre la obligación de consulta a los pueblos indígenas y tribales, en la medida en que dichos proyectos, afecten tanto sus territorios como su forma de vida dentro de los </w:t>
      </w:r>
      <w:r w:rsidR="00A55A58" w:rsidRPr="00BA0ED4">
        <w:rPr>
          <w:szCs w:val="20"/>
        </w:rPr>
        <w:t>mismos</w:t>
      </w:r>
      <w:r w:rsidRPr="00BA0ED4">
        <w:rPr>
          <w:rStyle w:val="FootnoteReference"/>
          <w:szCs w:val="20"/>
        </w:rPr>
        <w:footnoteReference w:id="1"/>
      </w:r>
      <w:r w:rsidRPr="00BA0ED4">
        <w:rPr>
          <w:szCs w:val="20"/>
        </w:rPr>
        <w:t xml:space="preserve">. </w:t>
      </w:r>
    </w:p>
    <w:p w14:paraId="6878057C" w14:textId="77777777" w:rsidR="00BD7D70" w:rsidRPr="00BA0ED4" w:rsidRDefault="00BD7D70" w:rsidP="00300069">
      <w:pPr>
        <w:widowControl w:val="0"/>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9"/>
        <w:rPr>
          <w:szCs w:val="20"/>
        </w:rPr>
      </w:pPr>
    </w:p>
    <w:p w14:paraId="569C2B8D" w14:textId="29D98C91" w:rsidR="00D83083" w:rsidRPr="00034882" w:rsidRDefault="002465FA" w:rsidP="00E058B2">
      <w:pPr>
        <w:spacing w:after="240"/>
        <w:ind w:right="96"/>
        <w:rPr>
          <w:i/>
          <w:szCs w:val="20"/>
          <w:lang w:val="es-CR"/>
        </w:rPr>
      </w:pPr>
      <w:r w:rsidRPr="00BA0ED4">
        <w:rPr>
          <w:szCs w:val="20"/>
          <w:lang w:val="es-CR"/>
        </w:rPr>
        <w:t xml:space="preserve">5. </w:t>
      </w:r>
      <w:r w:rsidRPr="00BA0ED4">
        <w:rPr>
          <w:szCs w:val="20"/>
          <w:lang w:val="es-CR"/>
        </w:rPr>
        <w:tab/>
      </w:r>
      <w:r w:rsidR="0011417F" w:rsidRPr="00BA0ED4">
        <w:rPr>
          <w:szCs w:val="20"/>
          <w:lang w:val="es-CR"/>
        </w:rPr>
        <w:t xml:space="preserve">La Corte se ha pronunciado respecto de la consulta </w:t>
      </w:r>
      <w:r w:rsidR="005D1A50" w:rsidRPr="00605208">
        <w:rPr>
          <w:szCs w:val="20"/>
          <w:lang w:val="es-CR"/>
        </w:rPr>
        <w:t xml:space="preserve">previa </w:t>
      </w:r>
      <w:r w:rsidR="0011417F" w:rsidRPr="00605208">
        <w:rPr>
          <w:szCs w:val="20"/>
          <w:lang w:val="es-CR"/>
        </w:rPr>
        <w:t>en cuatro casos relativos a pueblos indígenas o tribales</w:t>
      </w:r>
      <w:r w:rsidR="005D1A50" w:rsidRPr="00034882">
        <w:rPr>
          <w:szCs w:val="20"/>
          <w:lang w:val="es-CR"/>
        </w:rPr>
        <w:t>, a saber:</w:t>
      </w:r>
      <w:r w:rsidR="0011417F" w:rsidRPr="00034882">
        <w:rPr>
          <w:szCs w:val="20"/>
          <w:lang w:val="es-CR"/>
        </w:rPr>
        <w:t xml:space="preserve"> </w:t>
      </w:r>
      <w:r w:rsidR="004B6195" w:rsidRPr="00034882">
        <w:rPr>
          <w:i/>
          <w:szCs w:val="20"/>
          <w:lang w:val="es-CR"/>
        </w:rPr>
        <w:t>C</w:t>
      </w:r>
      <w:r w:rsidR="0011417F" w:rsidRPr="00034882">
        <w:rPr>
          <w:i/>
          <w:szCs w:val="20"/>
          <w:lang w:val="es-CR"/>
        </w:rPr>
        <w:t xml:space="preserve">aso </w:t>
      </w:r>
      <w:r w:rsidR="004B6195" w:rsidRPr="00034882">
        <w:rPr>
          <w:i/>
          <w:szCs w:val="20"/>
          <w:lang w:val="es-CR"/>
        </w:rPr>
        <w:t xml:space="preserve">del Pueblo </w:t>
      </w:r>
      <w:r w:rsidR="0011417F" w:rsidRPr="00034882">
        <w:rPr>
          <w:i/>
          <w:szCs w:val="20"/>
          <w:lang w:val="es-CR"/>
        </w:rPr>
        <w:t xml:space="preserve">Saramaka Vs. Surinam; </w:t>
      </w:r>
      <w:r w:rsidR="004B6195" w:rsidRPr="00C50548">
        <w:rPr>
          <w:i/>
          <w:szCs w:val="20"/>
          <w:lang w:val="es-CR"/>
        </w:rPr>
        <w:t xml:space="preserve">Caso Pueblo Indígena Kichwa de </w:t>
      </w:r>
      <w:r w:rsidR="0011417F" w:rsidRPr="00C50548">
        <w:rPr>
          <w:i/>
          <w:szCs w:val="20"/>
          <w:lang w:val="es-CR"/>
        </w:rPr>
        <w:t xml:space="preserve">Sarayaku Vs. Ecuador; </w:t>
      </w:r>
      <w:r w:rsidR="004B6195" w:rsidRPr="00C50548">
        <w:rPr>
          <w:i/>
          <w:szCs w:val="20"/>
          <w:lang w:val="es-CR"/>
        </w:rPr>
        <w:t xml:space="preserve">Caso </w:t>
      </w:r>
      <w:r w:rsidR="0011417F" w:rsidRPr="00C50548">
        <w:rPr>
          <w:i/>
          <w:szCs w:val="20"/>
          <w:lang w:val="es-CR"/>
        </w:rPr>
        <w:t>Comunidad Garífuna de Punta Piedra</w:t>
      </w:r>
      <w:r w:rsidR="00034882">
        <w:rPr>
          <w:i/>
          <w:szCs w:val="20"/>
          <w:lang w:val="es-CR"/>
        </w:rPr>
        <w:t xml:space="preserve"> y sus miembros</w:t>
      </w:r>
      <w:r w:rsidR="0011417F" w:rsidRPr="00034882">
        <w:rPr>
          <w:i/>
          <w:szCs w:val="20"/>
          <w:lang w:val="es-CR"/>
        </w:rPr>
        <w:t xml:space="preserve">, y </w:t>
      </w:r>
      <w:r w:rsidR="004B6195" w:rsidRPr="00034882">
        <w:rPr>
          <w:i/>
          <w:szCs w:val="20"/>
          <w:lang w:val="es-CR"/>
        </w:rPr>
        <w:t xml:space="preserve">Caso </w:t>
      </w:r>
      <w:r w:rsidR="0011417F" w:rsidRPr="00034882">
        <w:rPr>
          <w:i/>
          <w:szCs w:val="20"/>
          <w:lang w:val="es-CR"/>
        </w:rPr>
        <w:t>Comunidad Garífuna Triunfo de la Cruz</w:t>
      </w:r>
      <w:r w:rsidR="00034882">
        <w:rPr>
          <w:i/>
          <w:szCs w:val="20"/>
          <w:lang w:val="es-CR"/>
        </w:rPr>
        <w:t xml:space="preserve"> y sus miembros</w:t>
      </w:r>
      <w:r w:rsidR="004B6195" w:rsidRPr="00034882">
        <w:rPr>
          <w:i/>
          <w:szCs w:val="20"/>
          <w:lang w:val="es-CR"/>
        </w:rPr>
        <w:t>, ambos Vs. Honduras.</w:t>
      </w:r>
      <w:r w:rsidR="0011417F" w:rsidRPr="00034882">
        <w:rPr>
          <w:i/>
          <w:szCs w:val="20"/>
          <w:lang w:val="es-CR"/>
        </w:rPr>
        <w:t xml:space="preserve"> </w:t>
      </w:r>
    </w:p>
    <w:p w14:paraId="403FAA19" w14:textId="5493F47A" w:rsidR="0011417F" w:rsidRPr="00605208" w:rsidRDefault="002465FA" w:rsidP="0011417F">
      <w:pPr>
        <w:autoSpaceDE w:val="0"/>
        <w:autoSpaceDN w:val="0"/>
        <w:adjustRightInd w:val="0"/>
        <w:spacing w:before="240" w:after="240"/>
        <w:rPr>
          <w:rFonts w:eastAsiaTheme="minorHAnsi"/>
          <w:szCs w:val="20"/>
          <w:lang w:val="es-MX"/>
        </w:rPr>
      </w:pPr>
      <w:r w:rsidRPr="00034882">
        <w:rPr>
          <w:szCs w:val="20"/>
          <w:lang w:val="es-CR"/>
        </w:rPr>
        <w:t xml:space="preserve">6. </w:t>
      </w:r>
      <w:r w:rsidRPr="00034882">
        <w:rPr>
          <w:szCs w:val="20"/>
          <w:lang w:val="es-CR"/>
        </w:rPr>
        <w:tab/>
      </w:r>
      <w:r w:rsidR="0011417F" w:rsidRPr="00034882">
        <w:rPr>
          <w:szCs w:val="20"/>
          <w:lang w:val="es-CR"/>
        </w:rPr>
        <w:t xml:space="preserve">En este sentido, </w:t>
      </w:r>
      <w:r w:rsidR="00351B7D" w:rsidRPr="00034882">
        <w:rPr>
          <w:szCs w:val="20"/>
          <w:lang w:val="es-CR"/>
        </w:rPr>
        <w:t>adicionalmente a lo expue</w:t>
      </w:r>
      <w:r w:rsidR="002A3DD3" w:rsidRPr="00034882">
        <w:rPr>
          <w:szCs w:val="20"/>
          <w:lang w:val="es-CR"/>
        </w:rPr>
        <w:t>sto</w:t>
      </w:r>
      <w:r w:rsidR="00351B7D" w:rsidRPr="00034882">
        <w:rPr>
          <w:szCs w:val="20"/>
          <w:lang w:val="es-CR"/>
        </w:rPr>
        <w:t xml:space="preserve"> en el párrafo 201 de la </w:t>
      </w:r>
      <w:r w:rsidR="00BF0BEE" w:rsidRPr="00034882">
        <w:rPr>
          <w:szCs w:val="20"/>
          <w:lang w:val="es-CR"/>
        </w:rPr>
        <w:t xml:space="preserve">presente </w:t>
      </w:r>
      <w:r w:rsidR="00351B7D" w:rsidRPr="00C50548">
        <w:rPr>
          <w:szCs w:val="20"/>
          <w:lang w:val="es-CR"/>
        </w:rPr>
        <w:t>Sentencia, en</w:t>
      </w:r>
      <w:r w:rsidR="0011417F" w:rsidRPr="00C50548">
        <w:rPr>
          <w:szCs w:val="20"/>
          <w:lang w:val="es-CR"/>
        </w:rPr>
        <w:t xml:space="preserve"> el caso </w:t>
      </w:r>
      <w:r w:rsidR="006E25B7" w:rsidRPr="00C50548">
        <w:rPr>
          <w:szCs w:val="20"/>
          <w:lang w:val="es-CR"/>
        </w:rPr>
        <w:t>del</w:t>
      </w:r>
      <w:r w:rsidR="006E25B7" w:rsidRPr="00C50548">
        <w:rPr>
          <w:i/>
          <w:szCs w:val="20"/>
          <w:lang w:val="es-CR"/>
        </w:rPr>
        <w:t xml:space="preserve"> Pueblo </w:t>
      </w:r>
      <w:r w:rsidR="0011417F" w:rsidRPr="00C50548">
        <w:rPr>
          <w:i/>
          <w:szCs w:val="20"/>
          <w:lang w:val="es-CR"/>
        </w:rPr>
        <w:t>Saramaka</w:t>
      </w:r>
      <w:r w:rsidR="0011417F" w:rsidRPr="00C50548">
        <w:rPr>
          <w:szCs w:val="20"/>
          <w:lang w:val="es-CR"/>
        </w:rPr>
        <w:t xml:space="preserve"> la Corte señaló que </w:t>
      </w:r>
      <w:r w:rsidR="0011417F" w:rsidRPr="00C50548">
        <w:rPr>
          <w:rFonts w:eastAsiaTheme="minorHAnsi"/>
          <w:szCs w:val="20"/>
          <w:lang w:val="es-MX"/>
        </w:rPr>
        <w:t>la consulta debe garantizar la participación efectiva de los integrantes de la Comunidad y esta debe ser: i) de buena fe y con el fin de llegar a un acuerdo; ii) conforme a las propias costumbres y tradiciones de la comunidad y métodos tradicionales para la toma de decisiones; iii) en las primeras etapas del proyecto en cuestión, y iv) previa entrega de toda la información relevante, y posibles riesgos</w:t>
      </w:r>
      <w:r w:rsidR="0011417F" w:rsidRPr="00BA0ED4">
        <w:rPr>
          <w:rStyle w:val="FootnoteReference"/>
          <w:rFonts w:eastAsiaTheme="minorHAnsi"/>
          <w:szCs w:val="20"/>
          <w:lang w:val="es-MX"/>
        </w:rPr>
        <w:footnoteReference w:id="2"/>
      </w:r>
      <w:r w:rsidR="006E25B7" w:rsidRPr="00BA0ED4">
        <w:rPr>
          <w:rFonts w:eastAsiaTheme="minorHAnsi"/>
          <w:szCs w:val="20"/>
          <w:lang w:val="es-MX"/>
        </w:rPr>
        <w:t>.</w:t>
      </w:r>
      <w:r w:rsidR="0011417F" w:rsidRPr="00BA0ED4">
        <w:rPr>
          <w:rFonts w:eastAsiaTheme="minorHAnsi"/>
          <w:szCs w:val="20"/>
          <w:lang w:val="es-MX"/>
        </w:rPr>
        <w:t xml:space="preserve"> </w:t>
      </w:r>
    </w:p>
    <w:p w14:paraId="656D4DCF" w14:textId="6B394A9D" w:rsidR="000D367E" w:rsidRPr="00605208" w:rsidRDefault="002465FA" w:rsidP="00EB7A9A">
      <w:pPr>
        <w:pStyle w:val="ListParagraph"/>
        <w:spacing w:after="0" w:line="240" w:lineRule="auto"/>
        <w:ind w:left="0"/>
        <w:jc w:val="both"/>
        <w:rPr>
          <w:rFonts w:ascii="Verdana" w:hAnsi="Verdana"/>
          <w:sz w:val="20"/>
          <w:szCs w:val="20"/>
          <w:lang w:val="es-CR"/>
        </w:rPr>
      </w:pPr>
      <w:r w:rsidRPr="00C50548">
        <w:rPr>
          <w:rFonts w:ascii="Verdana" w:hAnsi="Verdana"/>
          <w:sz w:val="20"/>
          <w:szCs w:val="20"/>
          <w:lang w:val="es-MX"/>
        </w:rPr>
        <w:t xml:space="preserve">7. </w:t>
      </w:r>
      <w:r w:rsidRPr="00C50548">
        <w:rPr>
          <w:rFonts w:ascii="Verdana" w:hAnsi="Verdana"/>
          <w:sz w:val="20"/>
          <w:szCs w:val="20"/>
          <w:lang w:val="es-MX"/>
        </w:rPr>
        <w:tab/>
      </w:r>
      <w:r w:rsidR="000D367E" w:rsidRPr="00C50548">
        <w:rPr>
          <w:rFonts w:ascii="Verdana" w:hAnsi="Verdana"/>
          <w:sz w:val="20"/>
          <w:szCs w:val="20"/>
          <w:lang w:val="es-MX"/>
        </w:rPr>
        <w:t xml:space="preserve">En el caso </w:t>
      </w:r>
      <w:r w:rsidR="00D709CF" w:rsidRPr="00C50548">
        <w:rPr>
          <w:rFonts w:ascii="Verdana" w:hAnsi="Verdana"/>
          <w:sz w:val="20"/>
          <w:szCs w:val="20"/>
          <w:lang w:val="es-MX"/>
        </w:rPr>
        <w:t xml:space="preserve">del </w:t>
      </w:r>
      <w:r w:rsidR="00D709CF" w:rsidRPr="00C50548">
        <w:rPr>
          <w:rFonts w:ascii="Verdana" w:hAnsi="Verdana"/>
          <w:i/>
          <w:sz w:val="20"/>
          <w:szCs w:val="20"/>
          <w:lang w:val="es-MX"/>
        </w:rPr>
        <w:t xml:space="preserve">Pueblo </w:t>
      </w:r>
      <w:r w:rsidR="00C50548" w:rsidRPr="00666D79">
        <w:rPr>
          <w:rFonts w:ascii="Verdana" w:hAnsi="Verdana"/>
          <w:i/>
          <w:sz w:val="20"/>
          <w:szCs w:val="20"/>
          <w:lang w:val="es-CR"/>
        </w:rPr>
        <w:t xml:space="preserve">Indígena </w:t>
      </w:r>
      <w:proofErr w:type="spellStart"/>
      <w:r w:rsidR="00C50548" w:rsidRPr="00666D79">
        <w:rPr>
          <w:rFonts w:ascii="Verdana" w:hAnsi="Verdana"/>
          <w:i/>
          <w:sz w:val="20"/>
          <w:szCs w:val="20"/>
          <w:lang w:val="es-CR"/>
        </w:rPr>
        <w:t>Kichwa</w:t>
      </w:r>
      <w:proofErr w:type="spellEnd"/>
      <w:r w:rsidR="00C50548" w:rsidRPr="00666D79">
        <w:rPr>
          <w:rFonts w:ascii="Verdana" w:hAnsi="Verdana"/>
          <w:i/>
          <w:sz w:val="20"/>
          <w:szCs w:val="20"/>
          <w:lang w:val="es-CR"/>
        </w:rPr>
        <w:t xml:space="preserve"> de </w:t>
      </w:r>
      <w:proofErr w:type="spellStart"/>
      <w:r w:rsidR="000D367E" w:rsidRPr="00C50548">
        <w:rPr>
          <w:rFonts w:ascii="Verdana" w:hAnsi="Verdana"/>
          <w:i/>
          <w:sz w:val="20"/>
          <w:szCs w:val="20"/>
          <w:lang w:val="es-MX"/>
        </w:rPr>
        <w:t>Sarayaku</w:t>
      </w:r>
      <w:proofErr w:type="spellEnd"/>
      <w:r w:rsidR="000D367E" w:rsidRPr="00C50548">
        <w:rPr>
          <w:rFonts w:ascii="Verdana" w:hAnsi="Verdana"/>
          <w:sz w:val="20"/>
          <w:szCs w:val="20"/>
          <w:lang w:val="es-MX"/>
        </w:rPr>
        <w:t xml:space="preserve"> </w:t>
      </w:r>
      <w:r w:rsidR="00BF0BEE" w:rsidRPr="00C50548">
        <w:rPr>
          <w:rFonts w:ascii="Verdana" w:hAnsi="Verdana"/>
          <w:sz w:val="20"/>
          <w:szCs w:val="20"/>
          <w:lang w:val="es-MX"/>
        </w:rPr>
        <w:t xml:space="preserve">y posteriormente reiterado en el caso de la </w:t>
      </w:r>
      <w:r w:rsidR="00BF0BEE" w:rsidRPr="00C50548">
        <w:rPr>
          <w:rFonts w:ascii="Verdana" w:hAnsi="Verdana"/>
          <w:i/>
          <w:sz w:val="20"/>
          <w:szCs w:val="20"/>
          <w:lang w:val="es-CR"/>
        </w:rPr>
        <w:t>Comunidad Garífuna Triunfo de la Cruz,</w:t>
      </w:r>
      <w:r w:rsidR="00BF0BEE" w:rsidRPr="00C50548">
        <w:rPr>
          <w:rFonts w:ascii="Verdana" w:hAnsi="Verdana"/>
          <w:sz w:val="20"/>
          <w:szCs w:val="20"/>
          <w:lang w:val="es-MX"/>
        </w:rPr>
        <w:t xml:space="preserve"> </w:t>
      </w:r>
      <w:r w:rsidR="000D367E" w:rsidRPr="00C50548">
        <w:rPr>
          <w:rFonts w:ascii="Verdana" w:hAnsi="Verdana"/>
          <w:sz w:val="20"/>
          <w:szCs w:val="20"/>
          <w:lang w:val="es-MX"/>
        </w:rPr>
        <w:t xml:space="preserve">la Corte especificó </w:t>
      </w:r>
      <w:r w:rsidR="000D367E" w:rsidRPr="00C50548">
        <w:rPr>
          <w:rFonts w:ascii="Verdana" w:hAnsi="Verdana"/>
          <w:sz w:val="20"/>
          <w:szCs w:val="20"/>
          <w:lang w:val="es-CR"/>
        </w:rPr>
        <w:t>que “para que la exploración o extracción de recursos naturales en los territorios ancestrales no impliquen una denegación de la subsistencia de</w:t>
      </w:r>
      <w:r w:rsidR="000D367E" w:rsidRPr="00FC0995">
        <w:rPr>
          <w:rFonts w:ascii="Verdana" w:hAnsi="Verdana"/>
          <w:sz w:val="20"/>
          <w:szCs w:val="20"/>
          <w:lang w:val="es-CR"/>
        </w:rPr>
        <w:t>l pueblo indígena como tal, el Estado debe cumplir con las siguientes salvaguardias: i) efectuar un proceso adecuado y participativo que garantice su derecho a la consulta, en particular, entre otros supuestos,</w:t>
      </w:r>
      <w:r w:rsidR="00BF0BEE" w:rsidRPr="00FC0995">
        <w:rPr>
          <w:rFonts w:ascii="Verdana" w:hAnsi="Verdana"/>
          <w:sz w:val="20"/>
          <w:szCs w:val="20"/>
          <w:lang w:val="es-CR"/>
        </w:rPr>
        <w:t xml:space="preserve"> </w:t>
      </w:r>
      <w:r w:rsidR="000D367E" w:rsidRPr="00FC0995">
        <w:rPr>
          <w:rFonts w:ascii="Verdana" w:hAnsi="Verdana"/>
          <w:sz w:val="20"/>
          <w:szCs w:val="20"/>
          <w:lang w:val="es-CR"/>
        </w:rPr>
        <w:t xml:space="preserve">en casos </w:t>
      </w:r>
      <w:r w:rsidR="000D367E" w:rsidRPr="00FC0995">
        <w:rPr>
          <w:rFonts w:ascii="Verdana" w:hAnsi="Verdana"/>
          <w:sz w:val="20"/>
          <w:szCs w:val="20"/>
          <w:lang w:val="es-ES"/>
        </w:rPr>
        <w:t>de planes de desarrollo o de inversión a gran escala</w:t>
      </w:r>
      <w:r w:rsidR="000D367E" w:rsidRPr="00FC0995">
        <w:rPr>
          <w:rFonts w:ascii="Verdana" w:hAnsi="Verdana"/>
          <w:sz w:val="20"/>
          <w:szCs w:val="20"/>
          <w:lang w:val="es-CR"/>
        </w:rPr>
        <w:t>; ii) la realización de un estudio de impacto ambiental; y iii) en su caso, compartir razonablemente los beneficios que se produzcan de la explotación de los recursos naturales (como una forma de justa indemnización exigida por el artículo 21 de la Convención), según lo que la propia comunidad determine y resuelva respecto de quiénes serían los beneficiarios de tal compensación según sus costumbres y tradiciones”</w:t>
      </w:r>
      <w:r w:rsidR="000D367E" w:rsidRPr="00300069">
        <w:rPr>
          <w:rStyle w:val="FootnoteReference"/>
          <w:rFonts w:ascii="Verdana" w:hAnsi="Verdana"/>
          <w:sz w:val="20"/>
          <w:szCs w:val="20"/>
        </w:rPr>
        <w:footnoteReference w:id="3"/>
      </w:r>
      <w:r w:rsidR="000D367E" w:rsidRPr="00BA0ED4">
        <w:rPr>
          <w:rFonts w:ascii="Verdana" w:hAnsi="Verdana"/>
          <w:sz w:val="20"/>
          <w:szCs w:val="20"/>
          <w:lang w:val="es-CR"/>
        </w:rPr>
        <w:t>.</w:t>
      </w:r>
      <w:r w:rsidR="000D367E" w:rsidRPr="00BA0ED4">
        <w:rPr>
          <w:rFonts w:ascii="Verdana" w:hAnsi="Verdana"/>
          <w:sz w:val="20"/>
          <w:szCs w:val="20"/>
          <w:lang w:val="es-PE"/>
        </w:rPr>
        <w:t xml:space="preserve"> </w:t>
      </w:r>
    </w:p>
    <w:p w14:paraId="2D4ED80A" w14:textId="77777777" w:rsidR="00E058B2" w:rsidRPr="00C50548" w:rsidRDefault="00E058B2" w:rsidP="00E058B2">
      <w:pPr>
        <w:pStyle w:val="ListParagraph"/>
        <w:spacing w:after="240" w:line="240" w:lineRule="auto"/>
        <w:ind w:left="0" w:right="96"/>
        <w:jc w:val="both"/>
        <w:rPr>
          <w:rFonts w:ascii="Verdana" w:hAnsi="Verdana"/>
          <w:sz w:val="20"/>
          <w:szCs w:val="20"/>
          <w:lang w:val="es-CR"/>
        </w:rPr>
      </w:pPr>
    </w:p>
    <w:p w14:paraId="44C2C94E" w14:textId="59944A2A" w:rsidR="00BF0BEE" w:rsidRDefault="002465FA" w:rsidP="00EB7A9A">
      <w:pPr>
        <w:pStyle w:val="ListParagraph"/>
        <w:spacing w:after="0" w:line="240" w:lineRule="auto"/>
        <w:ind w:left="0"/>
        <w:jc w:val="both"/>
        <w:rPr>
          <w:rFonts w:ascii="Verdana" w:hAnsi="Verdana"/>
          <w:sz w:val="20"/>
          <w:szCs w:val="20"/>
          <w:lang w:val="es-CR"/>
        </w:rPr>
      </w:pPr>
      <w:r w:rsidRPr="00BA0ED4">
        <w:rPr>
          <w:rFonts w:ascii="Verdana" w:hAnsi="Verdana"/>
          <w:sz w:val="20"/>
          <w:szCs w:val="20"/>
          <w:lang w:val="es-CR"/>
        </w:rPr>
        <w:t xml:space="preserve">8. </w:t>
      </w:r>
      <w:r w:rsidRPr="00BA0ED4">
        <w:rPr>
          <w:rFonts w:ascii="Verdana" w:hAnsi="Verdana"/>
          <w:sz w:val="20"/>
          <w:szCs w:val="20"/>
          <w:lang w:val="es-CR"/>
        </w:rPr>
        <w:tab/>
      </w:r>
      <w:r w:rsidR="00EB7A9A" w:rsidRPr="00BA0ED4">
        <w:rPr>
          <w:rFonts w:ascii="Verdana" w:hAnsi="Verdana"/>
          <w:sz w:val="20"/>
          <w:szCs w:val="20"/>
          <w:lang w:val="es-CR"/>
        </w:rPr>
        <w:t xml:space="preserve">En el caso de la </w:t>
      </w:r>
      <w:r w:rsidR="00EB7A9A" w:rsidRPr="00BA0ED4">
        <w:rPr>
          <w:rFonts w:ascii="Verdana" w:hAnsi="Verdana"/>
          <w:i/>
          <w:sz w:val="20"/>
          <w:szCs w:val="20"/>
          <w:lang w:val="es-CR"/>
        </w:rPr>
        <w:t>Comunidad Garífuna de Punta Piedra</w:t>
      </w:r>
      <w:r w:rsidR="00EB7A9A" w:rsidRPr="00BA0ED4">
        <w:rPr>
          <w:rFonts w:ascii="Verdana" w:hAnsi="Verdana"/>
          <w:sz w:val="20"/>
          <w:szCs w:val="20"/>
          <w:lang w:val="es-CR"/>
        </w:rPr>
        <w:t xml:space="preserve">, la Corte reiteró que el Tribunal ha establecido que, </w:t>
      </w:r>
      <w:r w:rsidR="001C303C">
        <w:rPr>
          <w:rFonts w:ascii="Verdana" w:hAnsi="Verdana"/>
          <w:sz w:val="20"/>
          <w:szCs w:val="20"/>
          <w:lang w:val="es-CR"/>
        </w:rPr>
        <w:t>“</w:t>
      </w:r>
      <w:r w:rsidR="00EB7A9A" w:rsidRPr="001C303C">
        <w:rPr>
          <w:rFonts w:ascii="Verdana" w:hAnsi="Verdana"/>
          <w:sz w:val="20"/>
          <w:szCs w:val="20"/>
          <w:lang w:val="es-CR"/>
        </w:rPr>
        <w:t xml:space="preserve">para todo plan de desarrollo, inversión, exploración o extracción </w:t>
      </w:r>
      <w:r w:rsidR="00EB7A9A" w:rsidRPr="00BA0ED4">
        <w:rPr>
          <w:rFonts w:ascii="Verdana" w:hAnsi="Verdana"/>
          <w:sz w:val="20"/>
          <w:szCs w:val="20"/>
          <w:lang w:val="es-CR"/>
        </w:rPr>
        <w:t xml:space="preserve">en territorios tradicionales de comunidades indígenas o tribales, el Estado debe cumplir con las siguientes salvaguardias: i) efectuar un proceso adecuado y participativo que garantice su derecho a la consulta; ii) realizar un estudio previo de </w:t>
      </w:r>
      <w:r w:rsidR="00EB7A9A" w:rsidRPr="00BA0ED4">
        <w:rPr>
          <w:rFonts w:ascii="Verdana" w:hAnsi="Verdana"/>
          <w:sz w:val="20"/>
          <w:szCs w:val="20"/>
          <w:lang w:val="es-CR"/>
        </w:rPr>
        <w:lastRenderedPageBreak/>
        <w:t>impacto ambiental y social; y iii) en su caso, compartir razonablemente los beneficios que se produzcan de la explotación de los recursos naturales</w:t>
      </w:r>
      <w:r w:rsidR="001C303C">
        <w:rPr>
          <w:rFonts w:ascii="Verdana" w:hAnsi="Verdana"/>
          <w:sz w:val="20"/>
          <w:szCs w:val="20"/>
          <w:lang w:val="es-CR"/>
        </w:rPr>
        <w:t>”</w:t>
      </w:r>
      <w:r w:rsidR="00EB7A9A" w:rsidRPr="00300069">
        <w:rPr>
          <w:rStyle w:val="FootnoteReference"/>
          <w:rFonts w:ascii="Verdana" w:eastAsia="Batang" w:hAnsi="Verdana"/>
          <w:sz w:val="20"/>
          <w:szCs w:val="20"/>
        </w:rPr>
        <w:footnoteReference w:id="4"/>
      </w:r>
      <w:r w:rsidR="00EB7A9A" w:rsidRPr="00BA0ED4">
        <w:rPr>
          <w:rFonts w:ascii="Verdana" w:hAnsi="Verdana"/>
          <w:sz w:val="20"/>
          <w:szCs w:val="20"/>
          <w:lang w:val="es-CR"/>
        </w:rPr>
        <w:t xml:space="preserve">. </w:t>
      </w:r>
    </w:p>
    <w:p w14:paraId="221DF650" w14:textId="77777777" w:rsidR="003717FF" w:rsidRPr="00BA0ED4" w:rsidRDefault="003717FF" w:rsidP="00EB7A9A">
      <w:pPr>
        <w:pStyle w:val="ListParagraph"/>
        <w:spacing w:after="0" w:line="240" w:lineRule="auto"/>
        <w:ind w:left="0"/>
        <w:jc w:val="both"/>
        <w:rPr>
          <w:rFonts w:ascii="Verdana" w:hAnsi="Verdana"/>
          <w:sz w:val="20"/>
          <w:szCs w:val="20"/>
          <w:lang w:val="es-CR"/>
        </w:rPr>
      </w:pPr>
    </w:p>
    <w:p w14:paraId="59BD43CB" w14:textId="763E1F3C" w:rsidR="00351B7D" w:rsidRPr="00FC0995" w:rsidRDefault="002465FA">
      <w:pPr>
        <w:rPr>
          <w:szCs w:val="20"/>
          <w:lang w:val="es-CR"/>
        </w:rPr>
      </w:pPr>
      <w:r w:rsidRPr="001C303C">
        <w:rPr>
          <w:szCs w:val="20"/>
          <w:lang w:val="es-CR"/>
        </w:rPr>
        <w:t xml:space="preserve">9. </w:t>
      </w:r>
      <w:r w:rsidRPr="001C303C">
        <w:rPr>
          <w:szCs w:val="20"/>
          <w:lang w:val="es-CR"/>
        </w:rPr>
        <w:tab/>
      </w:r>
      <w:r w:rsidR="00BF0BEE" w:rsidRPr="001C303C">
        <w:rPr>
          <w:szCs w:val="20"/>
          <w:lang w:val="es-CR"/>
        </w:rPr>
        <w:t>A</w:t>
      </w:r>
      <w:r w:rsidR="00D71254" w:rsidRPr="001C303C">
        <w:rPr>
          <w:szCs w:val="20"/>
          <w:lang w:val="es-CR"/>
        </w:rPr>
        <w:t>demás, c</w:t>
      </w:r>
      <w:r w:rsidR="00351B7D" w:rsidRPr="001C303C">
        <w:rPr>
          <w:szCs w:val="20"/>
          <w:lang w:val="es-CR"/>
        </w:rPr>
        <w:t xml:space="preserve">abe señalar que tal como fue dispuesto en la </w:t>
      </w:r>
      <w:r w:rsidR="00BF0BEE" w:rsidRPr="001C303C">
        <w:rPr>
          <w:szCs w:val="20"/>
          <w:lang w:val="es-CR"/>
        </w:rPr>
        <w:t>S</w:t>
      </w:r>
      <w:r w:rsidR="00351B7D" w:rsidRPr="001C303C">
        <w:rPr>
          <w:szCs w:val="20"/>
          <w:lang w:val="es-CR"/>
        </w:rPr>
        <w:t>entencia</w:t>
      </w:r>
      <w:r w:rsidR="00D709CF" w:rsidRPr="001C303C">
        <w:rPr>
          <w:szCs w:val="20"/>
          <w:lang w:val="es-CR"/>
        </w:rPr>
        <w:t xml:space="preserve"> en comento</w:t>
      </w:r>
      <w:r w:rsidR="00351B7D" w:rsidRPr="001C303C">
        <w:rPr>
          <w:szCs w:val="20"/>
          <w:lang w:val="es-CR"/>
        </w:rPr>
        <w:t xml:space="preserve">, si bien Surinam no es parte del Convenio 169 de la OIT, </w:t>
      </w:r>
      <w:r w:rsidR="00B92EAA" w:rsidRPr="00FC0995">
        <w:rPr>
          <w:szCs w:val="20"/>
          <w:lang w:val="es-CR"/>
        </w:rPr>
        <w:t xml:space="preserve">la Corte reiteró lo dispuesto en el caso </w:t>
      </w:r>
      <w:r w:rsidR="00B92EAA" w:rsidRPr="00FC0995">
        <w:rPr>
          <w:i/>
          <w:szCs w:val="20"/>
          <w:lang w:val="es-CR"/>
        </w:rPr>
        <w:t>Saram</w:t>
      </w:r>
      <w:r w:rsidRPr="00FC0995">
        <w:rPr>
          <w:i/>
          <w:szCs w:val="20"/>
          <w:lang w:val="es-CR"/>
        </w:rPr>
        <w:t>a</w:t>
      </w:r>
      <w:r w:rsidR="00B92EAA" w:rsidRPr="00FC0995">
        <w:rPr>
          <w:i/>
          <w:szCs w:val="20"/>
          <w:lang w:val="es-CR"/>
        </w:rPr>
        <w:t>ka</w:t>
      </w:r>
      <w:r w:rsidR="00BF0BEE" w:rsidRPr="00300069">
        <w:rPr>
          <w:rStyle w:val="FootnoteReference"/>
          <w:szCs w:val="20"/>
          <w:lang w:val="es-CR"/>
        </w:rPr>
        <w:footnoteReference w:id="5"/>
      </w:r>
      <w:r w:rsidR="00B92EAA" w:rsidRPr="001C303C">
        <w:rPr>
          <w:szCs w:val="20"/>
          <w:lang w:val="es-CR"/>
        </w:rPr>
        <w:t>, en el sentido que “el derecho a la propiedad protegido conforme al artícu</w:t>
      </w:r>
      <w:r w:rsidR="00B92EAA" w:rsidRPr="00FC0995">
        <w:rPr>
          <w:szCs w:val="20"/>
          <w:lang w:val="es-CR"/>
        </w:rPr>
        <w:t>lo 21 de la Convención Americana, e interpretado a la luz de los derechos reconocidos en los artículos 1 en común y 27 del PIDCP</w:t>
      </w:r>
      <w:r w:rsidR="001C303C">
        <w:rPr>
          <w:szCs w:val="20"/>
          <w:lang w:val="es-CR"/>
        </w:rPr>
        <w:t xml:space="preserve">, </w:t>
      </w:r>
      <w:r w:rsidR="00B92EAA" w:rsidRPr="001C303C">
        <w:rPr>
          <w:szCs w:val="20"/>
          <w:lang w:val="es-CR"/>
        </w:rPr>
        <w:t xml:space="preserve">los cuales no podrán ser restringidos al interpretar la Convención Americana en el presente caso, confiere a los integrantes </w:t>
      </w:r>
      <w:r w:rsidR="00B92EAA" w:rsidRPr="00FC0995">
        <w:rPr>
          <w:szCs w:val="20"/>
          <w:lang w:val="es-CR"/>
        </w:rPr>
        <w:t>de los Pueblos Kaliña y Lokono el derecho al goce de su propiedad de conformidad con su tradición comunitaria”</w:t>
      </w:r>
      <w:r w:rsidRPr="00BA0ED4">
        <w:rPr>
          <w:rStyle w:val="FootnoteReference"/>
          <w:szCs w:val="20"/>
        </w:rPr>
        <w:footnoteReference w:id="6"/>
      </w:r>
      <w:r w:rsidRPr="00BA0ED4">
        <w:rPr>
          <w:szCs w:val="20"/>
        </w:rPr>
        <w:t>.</w:t>
      </w:r>
      <w:r w:rsidR="00F92DA6" w:rsidRPr="00FC0995">
        <w:rPr>
          <w:szCs w:val="20"/>
          <w:lang w:val="es-CR"/>
        </w:rPr>
        <w:t xml:space="preserve"> </w:t>
      </w:r>
    </w:p>
    <w:p w14:paraId="4CDEB4DD" w14:textId="77777777" w:rsidR="00B92EAA" w:rsidRPr="00FC0995" w:rsidRDefault="00B92EAA">
      <w:pPr>
        <w:rPr>
          <w:szCs w:val="20"/>
          <w:lang w:val="es-CR"/>
        </w:rPr>
      </w:pPr>
    </w:p>
    <w:p w14:paraId="16CD4E44" w14:textId="3F6E729A" w:rsidR="00B92EAA" w:rsidRPr="00FC0995" w:rsidRDefault="002A3DD3">
      <w:pPr>
        <w:rPr>
          <w:szCs w:val="20"/>
          <w:lang w:val="es-CR"/>
        </w:rPr>
      </w:pPr>
      <w:r w:rsidRPr="00FC0995">
        <w:rPr>
          <w:szCs w:val="20"/>
          <w:lang w:val="es-CR"/>
        </w:rPr>
        <w:t xml:space="preserve">10. </w:t>
      </w:r>
      <w:r w:rsidRPr="00FC0995">
        <w:rPr>
          <w:szCs w:val="20"/>
          <w:lang w:val="es-CR"/>
        </w:rPr>
        <w:tab/>
      </w:r>
      <w:r w:rsidR="00B92EAA" w:rsidRPr="00FC0995">
        <w:rPr>
          <w:szCs w:val="20"/>
          <w:lang w:val="es-CR"/>
        </w:rPr>
        <w:t>Así</w:t>
      </w:r>
      <w:r w:rsidR="00D71254" w:rsidRPr="00FC0995">
        <w:rPr>
          <w:szCs w:val="20"/>
          <w:lang w:val="es-CR"/>
        </w:rPr>
        <w:t>,</w:t>
      </w:r>
      <w:r w:rsidR="00B92EAA" w:rsidRPr="00FC0995">
        <w:rPr>
          <w:szCs w:val="20"/>
          <w:lang w:val="es-CR"/>
        </w:rPr>
        <w:t xml:space="preserve"> la Corte determinó que</w:t>
      </w:r>
      <w:r w:rsidR="00F92DA6" w:rsidRPr="00FC0995">
        <w:rPr>
          <w:szCs w:val="20"/>
          <w:lang w:val="es-CR"/>
        </w:rPr>
        <w:t>,</w:t>
      </w:r>
      <w:r w:rsidR="00D709CF" w:rsidRPr="00FC0995">
        <w:rPr>
          <w:szCs w:val="20"/>
          <w:lang w:val="es-CR"/>
        </w:rPr>
        <w:t xml:space="preserve"> </w:t>
      </w:r>
      <w:r w:rsidR="00B92EAA" w:rsidRPr="00FC0995">
        <w:rPr>
          <w:szCs w:val="20"/>
          <w:lang w:val="es-CR"/>
        </w:rPr>
        <w:t xml:space="preserve">aplicando el criterio </w:t>
      </w:r>
      <w:r w:rsidR="00D709CF" w:rsidRPr="00FC0995">
        <w:rPr>
          <w:szCs w:val="20"/>
          <w:lang w:val="es-CR"/>
        </w:rPr>
        <w:t xml:space="preserve">antes </w:t>
      </w:r>
      <w:r w:rsidR="00B92EAA" w:rsidRPr="00FC0995">
        <w:rPr>
          <w:szCs w:val="20"/>
          <w:lang w:val="es-CR"/>
        </w:rPr>
        <w:t xml:space="preserve">mencionado al presente caso, </w:t>
      </w:r>
      <w:r w:rsidR="00D709CF" w:rsidRPr="00FC0995">
        <w:rPr>
          <w:szCs w:val="20"/>
          <w:lang w:val="es-CO"/>
        </w:rPr>
        <w:t>“</w:t>
      </w:r>
      <w:r w:rsidR="00B92EAA" w:rsidRPr="00FC0995">
        <w:rPr>
          <w:szCs w:val="20"/>
          <w:lang w:val="es-CR"/>
        </w:rPr>
        <w:t>los Pueblos Kaliña y Lokono conformados como pueblos indígenas, se encuentran protegidos por el derecho internacional de los derechos humanos que garantiza el derecho al territorio colectivo que han usado y ocupado tradicionalmente, derivado del uso y ocupación de la tierra y de los recursos necesarios para su subsistencia física y cultural y, asimismo, que el Estado tiene la obligación de adoptar medidas especiales para reconocer, respetar, proteger y garantizar a sus integrantes el derecho de propiedad comunal respecto de dicho territorio”</w:t>
      </w:r>
      <w:r w:rsidRPr="00BA0ED4">
        <w:rPr>
          <w:rStyle w:val="FootnoteReference"/>
          <w:szCs w:val="20"/>
        </w:rPr>
        <w:footnoteReference w:id="7"/>
      </w:r>
      <w:r w:rsidR="00B92EAA" w:rsidRPr="00FC0995">
        <w:rPr>
          <w:szCs w:val="20"/>
          <w:lang w:val="es-CR"/>
        </w:rPr>
        <w:t>.</w:t>
      </w:r>
    </w:p>
    <w:p w14:paraId="5D404138" w14:textId="77777777" w:rsidR="00B92EAA" w:rsidRPr="00FC0995" w:rsidRDefault="00B92EAA">
      <w:pPr>
        <w:rPr>
          <w:szCs w:val="20"/>
          <w:lang w:val="es-CR"/>
        </w:rPr>
      </w:pPr>
    </w:p>
    <w:p w14:paraId="0512FC3B" w14:textId="6FAF00AA" w:rsidR="00351B7D" w:rsidRPr="00FC0995" w:rsidRDefault="002A3DD3">
      <w:pPr>
        <w:rPr>
          <w:szCs w:val="20"/>
          <w:lang w:val="es-CR"/>
        </w:rPr>
      </w:pPr>
      <w:r w:rsidRPr="00FC0995">
        <w:rPr>
          <w:szCs w:val="20"/>
          <w:lang w:val="es-CR"/>
        </w:rPr>
        <w:t xml:space="preserve">11. </w:t>
      </w:r>
      <w:r w:rsidRPr="00FC0995">
        <w:rPr>
          <w:szCs w:val="20"/>
          <w:lang w:val="es-CR"/>
        </w:rPr>
        <w:tab/>
      </w:r>
      <w:r w:rsidR="00B92EAA" w:rsidRPr="00FC0995">
        <w:rPr>
          <w:szCs w:val="20"/>
          <w:lang w:val="es-CR"/>
        </w:rPr>
        <w:t xml:space="preserve">Adicionalmente a ello, la Corte consideró </w:t>
      </w:r>
      <w:r w:rsidR="00D608FA" w:rsidRPr="00FC0995">
        <w:rPr>
          <w:szCs w:val="20"/>
          <w:lang w:val="es-CR"/>
        </w:rPr>
        <w:t xml:space="preserve">que </w:t>
      </w:r>
      <w:r w:rsidR="00B92EAA" w:rsidRPr="00FC0995">
        <w:rPr>
          <w:szCs w:val="20"/>
          <w:lang w:val="es-CR"/>
        </w:rPr>
        <w:t xml:space="preserve">para efectos del </w:t>
      </w:r>
      <w:r w:rsidR="00D709CF" w:rsidRPr="00FC0995">
        <w:rPr>
          <w:szCs w:val="20"/>
          <w:lang w:val="es-CR"/>
        </w:rPr>
        <w:t xml:space="preserve">presente </w:t>
      </w:r>
      <w:r w:rsidR="00B92EAA" w:rsidRPr="00FC0995">
        <w:rPr>
          <w:szCs w:val="20"/>
          <w:lang w:val="es-CR"/>
        </w:rPr>
        <w:t>caso, el</w:t>
      </w:r>
      <w:r w:rsidR="00D709CF" w:rsidRPr="00FC0995">
        <w:rPr>
          <w:szCs w:val="20"/>
          <w:lang w:val="es-CR"/>
        </w:rPr>
        <w:t xml:space="preserve"> </w:t>
      </w:r>
      <w:r w:rsidR="00B92EAA" w:rsidRPr="00FC0995">
        <w:rPr>
          <w:szCs w:val="20"/>
          <w:lang w:val="es-CR"/>
        </w:rPr>
        <w:t xml:space="preserve"> derecho a la consulta </w:t>
      </w:r>
      <w:r w:rsidR="00B92EAA" w:rsidRPr="0060550D">
        <w:rPr>
          <w:szCs w:val="20"/>
          <w:lang w:val="es-CR"/>
        </w:rPr>
        <w:t>encu</w:t>
      </w:r>
      <w:r w:rsidR="006556A6" w:rsidRPr="0060550D">
        <w:rPr>
          <w:szCs w:val="20"/>
          <w:lang w:val="es-CR"/>
        </w:rPr>
        <w:t>e</w:t>
      </w:r>
      <w:r w:rsidR="00B92EAA" w:rsidRPr="0060550D">
        <w:rPr>
          <w:szCs w:val="20"/>
          <w:lang w:val="es-CR"/>
        </w:rPr>
        <w:t>ntra</w:t>
      </w:r>
      <w:r w:rsidR="00B92EAA" w:rsidRPr="00FC0995">
        <w:rPr>
          <w:szCs w:val="20"/>
          <w:lang w:val="es-CR"/>
        </w:rPr>
        <w:t xml:space="preserve"> fundamento también en el artículo 23 de la Convención Americana, </w:t>
      </w:r>
      <w:r w:rsidR="00D608FA" w:rsidRPr="00FC0995">
        <w:rPr>
          <w:szCs w:val="20"/>
          <w:lang w:val="es-CR"/>
        </w:rPr>
        <w:t>a la luz de los estándares internacionales</w:t>
      </w:r>
      <w:r w:rsidR="00D608FA" w:rsidRPr="00FC0995">
        <w:rPr>
          <w:rStyle w:val="FootnoteReference"/>
          <w:szCs w:val="20"/>
          <w:lang w:val="es-PR"/>
        </w:rPr>
        <w:footnoteReference w:id="8"/>
      </w:r>
      <w:r w:rsidR="00D608FA" w:rsidRPr="00FC0995">
        <w:rPr>
          <w:szCs w:val="20"/>
          <w:lang w:val="es-CR"/>
        </w:rPr>
        <w:t xml:space="preserve">. Para ello, </w:t>
      </w:r>
      <w:r w:rsidR="00F92DA6" w:rsidRPr="00FC0995">
        <w:rPr>
          <w:szCs w:val="20"/>
          <w:lang w:val="es-CR"/>
        </w:rPr>
        <w:t xml:space="preserve">señaló que </w:t>
      </w:r>
      <w:r w:rsidR="00D608FA" w:rsidRPr="00FC0995">
        <w:rPr>
          <w:szCs w:val="20"/>
          <w:lang w:val="es-CR"/>
        </w:rPr>
        <w:t>el Estado debe contar con “mecanismos para garantiza</w:t>
      </w:r>
      <w:r w:rsidR="002A6AE0">
        <w:rPr>
          <w:szCs w:val="20"/>
          <w:lang w:val="es-CR"/>
        </w:rPr>
        <w:t>r</w:t>
      </w:r>
      <w:r w:rsidR="00D608FA" w:rsidRPr="002A6AE0">
        <w:rPr>
          <w:szCs w:val="20"/>
          <w:lang w:val="es-CR"/>
        </w:rPr>
        <w:t xml:space="preserve"> la participación efectiva de los pueblos indígenas, a través de procedimientos culturalmente adecuados para la toma de decisiones de dichos pueblos. Lo </w:t>
      </w:r>
      <w:r w:rsidR="00D608FA" w:rsidRPr="00BA0ED4">
        <w:rPr>
          <w:szCs w:val="20"/>
          <w:lang w:val="es-CR"/>
        </w:rPr>
        <w:t>anterior, no sólo consiste en un asunto de interés público sino que también forma parte del ejercicio de su derecho a participar en la adopción de decisiones en las cuestiones que afectan sus intereses, de conformidad con sus propios procedimientos e instituciones, en relación con el artículo 23 de la Convención Americana”</w:t>
      </w:r>
      <w:r w:rsidR="00DB5E94" w:rsidRPr="00BA0ED4">
        <w:rPr>
          <w:rStyle w:val="FootnoteReference"/>
          <w:szCs w:val="20"/>
        </w:rPr>
        <w:footnoteReference w:id="9"/>
      </w:r>
      <w:r w:rsidR="00DB5E94" w:rsidRPr="00BA0ED4">
        <w:rPr>
          <w:szCs w:val="20"/>
        </w:rPr>
        <w:t>.</w:t>
      </w:r>
    </w:p>
    <w:p w14:paraId="446312B7" w14:textId="77777777" w:rsidR="00B92EAA" w:rsidRPr="00FC0995" w:rsidRDefault="00B92EAA">
      <w:pPr>
        <w:rPr>
          <w:szCs w:val="20"/>
          <w:lang w:val="es-CR"/>
        </w:rPr>
      </w:pPr>
    </w:p>
    <w:p w14:paraId="27D1C18F" w14:textId="0A8551CA" w:rsidR="00BF0BEE" w:rsidRPr="00FC0995" w:rsidRDefault="00DB5E94" w:rsidP="00BF0BEE">
      <w:pPr>
        <w:rPr>
          <w:szCs w:val="20"/>
          <w:lang w:val="es-CR"/>
        </w:rPr>
      </w:pPr>
      <w:r w:rsidRPr="00FC0995">
        <w:rPr>
          <w:szCs w:val="20"/>
          <w:lang w:val="es-CR"/>
        </w:rPr>
        <w:t xml:space="preserve">12. </w:t>
      </w:r>
      <w:r w:rsidRPr="00FC0995">
        <w:rPr>
          <w:szCs w:val="20"/>
          <w:lang w:val="es-CR"/>
        </w:rPr>
        <w:tab/>
      </w:r>
      <w:r w:rsidR="00BF0BEE" w:rsidRPr="00FC0995">
        <w:rPr>
          <w:szCs w:val="20"/>
          <w:lang w:val="es-CR"/>
        </w:rPr>
        <w:t>En vista de lo</w:t>
      </w:r>
      <w:r w:rsidR="00F92DA6" w:rsidRPr="00FC0995">
        <w:rPr>
          <w:szCs w:val="20"/>
          <w:lang w:val="es-CR"/>
        </w:rPr>
        <w:t xml:space="preserve"> anterior, </w:t>
      </w:r>
      <w:r w:rsidR="00BF0BEE" w:rsidRPr="00FC0995">
        <w:rPr>
          <w:szCs w:val="20"/>
          <w:lang w:val="es-CR"/>
        </w:rPr>
        <w:t xml:space="preserve">resulta claro que la participación efectiva </w:t>
      </w:r>
      <w:r w:rsidR="00F92DA6" w:rsidRPr="00FC0995">
        <w:rPr>
          <w:szCs w:val="20"/>
          <w:lang w:val="es-CR"/>
        </w:rPr>
        <w:t xml:space="preserve">aludida en el Capítulo B.4, párrafos 204 a 212 </w:t>
      </w:r>
      <w:r w:rsidR="00BF0BEE" w:rsidRPr="00FC0995">
        <w:rPr>
          <w:szCs w:val="20"/>
          <w:lang w:val="es-CR"/>
        </w:rPr>
        <w:t xml:space="preserve">de la </w:t>
      </w:r>
      <w:r w:rsidR="00BF0BEE" w:rsidRPr="0060550D">
        <w:rPr>
          <w:szCs w:val="20"/>
          <w:lang w:val="es-CR"/>
        </w:rPr>
        <w:t>Sentencia, debe entenderse en el sentido de garantizar</w:t>
      </w:r>
      <w:r w:rsidR="002A6AE0" w:rsidRPr="0060550D">
        <w:rPr>
          <w:szCs w:val="20"/>
          <w:lang w:val="es-CR"/>
        </w:rPr>
        <w:t xml:space="preserve"> </w:t>
      </w:r>
      <w:r w:rsidR="00BF0BEE" w:rsidRPr="0060550D">
        <w:rPr>
          <w:szCs w:val="20"/>
          <w:lang w:val="es-CR"/>
        </w:rPr>
        <w:t xml:space="preserve">la consulta previa, libre e informada, de conformidad con los desarrollos jurisprudenciales de esta Corte </w:t>
      </w:r>
      <w:r w:rsidR="00F92DA6" w:rsidRPr="0060550D">
        <w:rPr>
          <w:szCs w:val="20"/>
          <w:lang w:val="es-CR"/>
        </w:rPr>
        <w:t>en la materia</w:t>
      </w:r>
      <w:r w:rsidR="00BF0BEE" w:rsidRPr="00FC0995">
        <w:rPr>
          <w:szCs w:val="20"/>
          <w:lang w:val="es-CR"/>
        </w:rPr>
        <w:t>.</w:t>
      </w:r>
    </w:p>
    <w:p w14:paraId="34FB64F0" w14:textId="77777777" w:rsidR="00BF0BEE" w:rsidRPr="00FC0995" w:rsidRDefault="00BF0BEE">
      <w:pPr>
        <w:rPr>
          <w:szCs w:val="20"/>
          <w:lang w:val="es-CR"/>
        </w:rPr>
      </w:pPr>
    </w:p>
    <w:p w14:paraId="2B5C2ACC" w14:textId="5DD034FC" w:rsidR="00B92EAA" w:rsidRPr="00FC0995" w:rsidRDefault="00DB5E94">
      <w:pPr>
        <w:rPr>
          <w:szCs w:val="20"/>
          <w:lang w:val="es-CR"/>
        </w:rPr>
      </w:pPr>
      <w:r w:rsidRPr="00FC0995">
        <w:rPr>
          <w:szCs w:val="20"/>
          <w:lang w:val="es-CR"/>
        </w:rPr>
        <w:t xml:space="preserve">13. </w:t>
      </w:r>
      <w:r w:rsidRPr="00FC0995">
        <w:rPr>
          <w:szCs w:val="20"/>
          <w:lang w:val="es-CR"/>
        </w:rPr>
        <w:tab/>
      </w:r>
      <w:r w:rsidR="00D608FA" w:rsidRPr="00FC0995">
        <w:rPr>
          <w:szCs w:val="20"/>
          <w:lang w:val="es-CR"/>
        </w:rPr>
        <w:t>Respecto del momento en que debe realizarse la consulta previa, la Corte estableció que:</w:t>
      </w:r>
    </w:p>
    <w:p w14:paraId="09E2A543" w14:textId="77777777" w:rsidR="00D608FA" w:rsidRPr="00FC0995" w:rsidRDefault="00D608FA">
      <w:pPr>
        <w:rPr>
          <w:szCs w:val="20"/>
          <w:lang w:val="es-CR"/>
        </w:rPr>
      </w:pPr>
    </w:p>
    <w:p w14:paraId="56EAA3F3" w14:textId="77777777" w:rsidR="00D608FA" w:rsidRPr="00300069" w:rsidRDefault="00B266C5" w:rsidP="00B266C5">
      <w:pPr>
        <w:pStyle w:val="ListParagraph"/>
        <w:numPr>
          <w:ilvl w:val="0"/>
          <w:numId w:val="5"/>
        </w:numPr>
        <w:spacing w:after="0" w:line="240" w:lineRule="auto"/>
        <w:ind w:left="567" w:right="616" w:firstLine="0"/>
        <w:jc w:val="both"/>
        <w:rPr>
          <w:rFonts w:ascii="Verdana" w:hAnsi="Verdana"/>
          <w:sz w:val="20"/>
          <w:szCs w:val="20"/>
          <w:lang w:val="es-CR"/>
        </w:rPr>
      </w:pPr>
      <w:r w:rsidRPr="00300069">
        <w:rPr>
          <w:rFonts w:ascii="Verdana" w:hAnsi="Verdana"/>
          <w:sz w:val="20"/>
          <w:szCs w:val="20"/>
          <w:lang w:val="es-CR"/>
        </w:rPr>
        <w:lastRenderedPageBreak/>
        <w:t xml:space="preserve">En este sentido, la Corte ya ha establecido que el Estado debe garantizar la </w:t>
      </w:r>
      <w:r w:rsidR="00D608FA" w:rsidRPr="00300069">
        <w:rPr>
          <w:rFonts w:ascii="Verdana" w:hAnsi="Verdana"/>
          <w:sz w:val="20"/>
          <w:szCs w:val="20"/>
          <w:lang w:val="es-CR"/>
        </w:rPr>
        <w:t>participación efectiva “en relación con todo plan de desarrollo, inversión, exploración o extracción”</w:t>
      </w:r>
      <w:r w:rsidR="00D608FA" w:rsidRPr="00300069">
        <w:rPr>
          <w:rStyle w:val="FootnoteReference"/>
          <w:rFonts w:ascii="Verdana" w:eastAsia="MS Mincho" w:hAnsi="Verdana"/>
          <w:sz w:val="20"/>
          <w:szCs w:val="20"/>
        </w:rPr>
        <w:footnoteReference w:id="10"/>
      </w:r>
      <w:r w:rsidR="00D608FA" w:rsidRPr="00300069">
        <w:rPr>
          <w:rFonts w:ascii="Verdana" w:hAnsi="Verdana"/>
          <w:sz w:val="20"/>
          <w:szCs w:val="20"/>
          <w:lang w:val="es-CR"/>
        </w:rPr>
        <w:t>. En particular la Corte se refirió a planes de desarrollo e inversión como “cualquier actividad que pueda afectar la integridad de las tierras y recursos naturales […], en particular, cualquier propuesta relacionada con concesiones madereras o mineras”</w:t>
      </w:r>
      <w:r w:rsidR="00D608FA" w:rsidRPr="00300069">
        <w:rPr>
          <w:rStyle w:val="FootnoteReference"/>
          <w:rFonts w:ascii="Verdana" w:eastAsia="MS Mincho" w:hAnsi="Verdana"/>
          <w:sz w:val="20"/>
          <w:szCs w:val="20"/>
        </w:rPr>
        <w:footnoteReference w:id="11"/>
      </w:r>
      <w:r w:rsidR="00D608FA" w:rsidRPr="00300069">
        <w:rPr>
          <w:rFonts w:ascii="Verdana" w:hAnsi="Verdana"/>
          <w:sz w:val="20"/>
          <w:szCs w:val="20"/>
          <w:lang w:val="es-MX"/>
        </w:rPr>
        <w:t xml:space="preserve">. </w:t>
      </w:r>
    </w:p>
    <w:p w14:paraId="02A08C5B" w14:textId="77777777" w:rsidR="00D608FA" w:rsidRPr="00300069" w:rsidRDefault="00D608FA" w:rsidP="00D608FA">
      <w:pPr>
        <w:pStyle w:val="ListParagraph"/>
        <w:ind w:left="567" w:right="616"/>
        <w:jc w:val="both"/>
        <w:rPr>
          <w:rFonts w:ascii="Verdana" w:hAnsi="Verdana"/>
          <w:sz w:val="20"/>
          <w:szCs w:val="20"/>
          <w:lang w:val="es-CR"/>
        </w:rPr>
      </w:pPr>
    </w:p>
    <w:p w14:paraId="643521D3" w14:textId="6798A96D" w:rsidR="00D608FA" w:rsidRPr="00300069" w:rsidRDefault="00D608FA" w:rsidP="00D608FA">
      <w:pPr>
        <w:pStyle w:val="ListParagraph"/>
        <w:numPr>
          <w:ilvl w:val="0"/>
          <w:numId w:val="5"/>
        </w:numPr>
        <w:spacing w:after="0" w:line="240" w:lineRule="auto"/>
        <w:ind w:left="567" w:right="616" w:firstLine="0"/>
        <w:jc w:val="both"/>
        <w:rPr>
          <w:rFonts w:ascii="Verdana" w:hAnsi="Verdana"/>
          <w:sz w:val="20"/>
          <w:szCs w:val="20"/>
          <w:lang w:val="es-CR"/>
        </w:rPr>
      </w:pPr>
      <w:r w:rsidRPr="00300069">
        <w:rPr>
          <w:rFonts w:ascii="Verdana" w:hAnsi="Verdana"/>
          <w:sz w:val="20"/>
          <w:szCs w:val="20"/>
          <w:lang w:val="es-MX"/>
        </w:rPr>
        <w:t xml:space="preserve">Al respecto, el Tribunal considera que el deber del Estado en relación con dicha garantía se actualiza de manera previa a la ejecución de acciones que podrían afectar de manera relevante los intereses de los pueblos indígenas y tribales, tales como las etapas de exploración y explotación o extracción. En el presente caso, si bien la concesión minera se dio en el año 1958, las actividades de extracción de bauxita se iniciaron en el año 1997, es decir 40 años después, momento en el cual ya se contaba con la determinación precisa del lugar donde se realizarían las actividades extractivas, respecto del resto del territorio previamente explorado. </w:t>
      </w:r>
      <w:r w:rsidRPr="00300069">
        <w:rPr>
          <w:rFonts w:ascii="Verdana" w:hAnsi="Verdana"/>
          <w:sz w:val="20"/>
          <w:szCs w:val="20"/>
          <w:lang w:val="es-CR"/>
        </w:rPr>
        <w:t>En este sentido, la garantía de participación efectiva debió llevarse a cabo de manera previa al inicio de la extracción o explotación minera, lo cual no ocurrió en el presente caso.</w:t>
      </w:r>
      <w:r w:rsidRPr="00300069">
        <w:rPr>
          <w:rFonts w:ascii="Verdana" w:hAnsi="Verdana"/>
          <w:sz w:val="20"/>
          <w:szCs w:val="20"/>
          <w:lang w:val="es-MX"/>
        </w:rPr>
        <w:t xml:space="preserve"> Particularmente, respecto de los Pueblos Kaliña y Lokono que se encontraban cerca del área y mantenían una vinculación directa con esta zona, los cuales enfrentaron afectaciones en parte de su territorio tradicional </w:t>
      </w:r>
      <w:r w:rsidR="00BE187A">
        <w:rPr>
          <w:rFonts w:ascii="Verdana" w:hAnsi="Verdana"/>
          <w:sz w:val="20"/>
          <w:lang w:val="es-MX"/>
        </w:rPr>
        <w:t>(</w:t>
      </w:r>
      <w:r w:rsidR="00BE187A" w:rsidRPr="007E20F9">
        <w:rPr>
          <w:rFonts w:ascii="Verdana" w:hAnsi="Verdana"/>
          <w:i/>
          <w:sz w:val="20"/>
          <w:lang w:val="es-MX"/>
        </w:rPr>
        <w:t>supra</w:t>
      </w:r>
      <w:r w:rsidR="00BE187A">
        <w:rPr>
          <w:rFonts w:ascii="Verdana" w:hAnsi="Verdana"/>
          <w:sz w:val="20"/>
          <w:lang w:val="es-MX"/>
        </w:rPr>
        <w:t xml:space="preserve"> párr. 92).</w:t>
      </w:r>
    </w:p>
    <w:p w14:paraId="655F8048" w14:textId="77777777" w:rsidR="00D608FA" w:rsidRPr="00BA0ED4" w:rsidRDefault="00D608FA">
      <w:pPr>
        <w:rPr>
          <w:szCs w:val="20"/>
          <w:lang w:val="es-CR"/>
        </w:rPr>
      </w:pPr>
    </w:p>
    <w:p w14:paraId="1BC938D4" w14:textId="336A4C56" w:rsidR="009D359F" w:rsidRPr="00E2432E" w:rsidRDefault="00DB5E94">
      <w:pPr>
        <w:rPr>
          <w:szCs w:val="20"/>
          <w:highlight w:val="yellow"/>
          <w:lang w:val="es-CR"/>
        </w:rPr>
      </w:pPr>
      <w:r w:rsidRPr="00BA0ED4">
        <w:rPr>
          <w:szCs w:val="20"/>
          <w:lang w:val="es-CR"/>
        </w:rPr>
        <w:t xml:space="preserve">14. </w:t>
      </w:r>
      <w:r w:rsidRPr="00BA0ED4">
        <w:rPr>
          <w:szCs w:val="20"/>
          <w:lang w:val="es-CR"/>
        </w:rPr>
        <w:tab/>
      </w:r>
      <w:r w:rsidR="00B266C5" w:rsidRPr="00605208">
        <w:rPr>
          <w:szCs w:val="20"/>
          <w:lang w:val="es-CR"/>
        </w:rPr>
        <w:t>Al respect</w:t>
      </w:r>
      <w:r w:rsidR="006E3771" w:rsidRPr="00605208">
        <w:rPr>
          <w:szCs w:val="20"/>
          <w:lang w:val="es-CR"/>
        </w:rPr>
        <w:t>o, concurrimos en el particular</w:t>
      </w:r>
      <w:r w:rsidR="00BE187A">
        <w:rPr>
          <w:szCs w:val="20"/>
          <w:lang w:val="es-CR"/>
        </w:rPr>
        <w:t>,</w:t>
      </w:r>
      <w:r w:rsidR="00B266C5" w:rsidRPr="00C50548">
        <w:rPr>
          <w:szCs w:val="20"/>
          <w:lang w:val="es-CR"/>
        </w:rPr>
        <w:t xml:space="preserve"> ya que si bien la Corte no tuvo competencia para analizar el momento previo a</w:t>
      </w:r>
      <w:r w:rsidR="006E3771" w:rsidRPr="00BE187A">
        <w:rPr>
          <w:szCs w:val="20"/>
          <w:lang w:val="es-CR"/>
        </w:rPr>
        <w:t>l otorgamiento de</w:t>
      </w:r>
      <w:r w:rsidR="00B266C5" w:rsidRPr="00BE187A">
        <w:rPr>
          <w:szCs w:val="20"/>
          <w:lang w:val="es-CR"/>
        </w:rPr>
        <w:t xml:space="preserve"> la concesión inicial, resulta </w:t>
      </w:r>
      <w:r w:rsidR="006E3771" w:rsidRPr="00BE187A">
        <w:rPr>
          <w:szCs w:val="20"/>
          <w:lang w:val="es-CR"/>
        </w:rPr>
        <w:t>de gran</w:t>
      </w:r>
      <w:r w:rsidR="009D359F" w:rsidRPr="00BE187A">
        <w:rPr>
          <w:szCs w:val="20"/>
          <w:lang w:val="es-CR"/>
        </w:rPr>
        <w:t xml:space="preserve"> relevancia, por las particularidades del caso, </w:t>
      </w:r>
      <w:r w:rsidR="00BE187A">
        <w:rPr>
          <w:szCs w:val="20"/>
          <w:lang w:val="es-CR"/>
        </w:rPr>
        <w:t xml:space="preserve">resaltar que </w:t>
      </w:r>
      <w:r w:rsidR="009D359F" w:rsidRPr="00BE187A">
        <w:rPr>
          <w:szCs w:val="20"/>
          <w:lang w:val="es-CR"/>
        </w:rPr>
        <w:t>el deber de consultar se actualiza de manera previa a distintos momentos. Al respecto, un proyecto minero está conformado por distintas etapas, entre ellas la de exploración y de factibilidad, de con</w:t>
      </w:r>
      <w:r w:rsidR="00BE48AC" w:rsidRPr="00BE187A">
        <w:rPr>
          <w:szCs w:val="20"/>
          <w:lang w:val="es-CR"/>
        </w:rPr>
        <w:t>strucción y explotación y la de</w:t>
      </w:r>
      <w:r w:rsidR="009D359F" w:rsidRPr="00BE187A">
        <w:rPr>
          <w:szCs w:val="20"/>
          <w:lang w:val="es-CR"/>
        </w:rPr>
        <w:t xml:space="preserve"> cierre del proyecto. En este sentido, la ejecución de estas etapas son actos independientes, </w:t>
      </w:r>
      <w:r w:rsidR="00BE187A">
        <w:rPr>
          <w:szCs w:val="20"/>
          <w:lang w:val="es-CR"/>
        </w:rPr>
        <w:t xml:space="preserve">que </w:t>
      </w:r>
      <w:r w:rsidR="009D359F" w:rsidRPr="00BE187A">
        <w:rPr>
          <w:szCs w:val="20"/>
          <w:lang w:val="es-CR"/>
        </w:rPr>
        <w:t xml:space="preserve">si bien </w:t>
      </w:r>
      <w:r w:rsidR="00BE187A">
        <w:rPr>
          <w:szCs w:val="20"/>
          <w:lang w:val="es-CR"/>
        </w:rPr>
        <w:t xml:space="preserve">están </w:t>
      </w:r>
      <w:r w:rsidR="009D359F" w:rsidRPr="00BE187A">
        <w:rPr>
          <w:szCs w:val="20"/>
          <w:lang w:val="es-CR"/>
        </w:rPr>
        <w:t xml:space="preserve">relacionados entre sí y </w:t>
      </w:r>
      <w:r w:rsidR="00BE187A">
        <w:rPr>
          <w:szCs w:val="20"/>
          <w:lang w:val="es-CR"/>
        </w:rPr>
        <w:t xml:space="preserve">se </w:t>
      </w:r>
      <w:r w:rsidR="009D359F" w:rsidRPr="00BE187A">
        <w:rPr>
          <w:szCs w:val="20"/>
          <w:lang w:val="es-CR"/>
        </w:rPr>
        <w:t>deriva</w:t>
      </w:r>
      <w:r w:rsidR="00BE187A">
        <w:rPr>
          <w:szCs w:val="20"/>
          <w:lang w:val="es-CR"/>
        </w:rPr>
        <w:t>n</w:t>
      </w:r>
      <w:r w:rsidR="009D359F" w:rsidRPr="00BE187A">
        <w:rPr>
          <w:szCs w:val="20"/>
          <w:lang w:val="es-CR"/>
        </w:rPr>
        <w:t xml:space="preserve"> del acto originario de la concesión misma, </w:t>
      </w:r>
      <w:r w:rsidR="00BE48AC" w:rsidRPr="00BE187A">
        <w:rPr>
          <w:szCs w:val="20"/>
          <w:lang w:val="es-CR"/>
        </w:rPr>
        <w:t xml:space="preserve">por sus características, </w:t>
      </w:r>
      <w:r w:rsidR="009D359F" w:rsidRPr="00BE187A">
        <w:rPr>
          <w:szCs w:val="20"/>
          <w:lang w:val="es-CR"/>
        </w:rPr>
        <w:t>deben ser consultados previamente.</w:t>
      </w:r>
      <w:r w:rsidR="00BE48AC" w:rsidRPr="00BE187A">
        <w:rPr>
          <w:szCs w:val="20"/>
          <w:lang w:val="es-CR"/>
        </w:rPr>
        <w:t xml:space="preserve"> En el presente caso, la Corte </w:t>
      </w:r>
      <w:r w:rsidR="00BE48AC" w:rsidRPr="00FC0995">
        <w:rPr>
          <w:szCs w:val="20"/>
          <w:lang w:val="es-CR"/>
        </w:rPr>
        <w:t>constató que en el año 1997 se iniciaron las actividades de extracción de bauxita en Wane Kreek, siendo esta una de las actividades más importantes del proyecto minero, respecto de la cual se verificaron también las consecuencias en el impacto al medio ambiente de la zona</w:t>
      </w:r>
      <w:r w:rsidR="00A55A58" w:rsidRPr="00BA0ED4">
        <w:rPr>
          <w:rStyle w:val="FootnoteReference"/>
          <w:szCs w:val="20"/>
        </w:rPr>
        <w:footnoteReference w:id="12"/>
      </w:r>
      <w:r w:rsidR="00D54550">
        <w:rPr>
          <w:szCs w:val="20"/>
          <w:lang w:val="es-CR"/>
        </w:rPr>
        <w:t>.</w:t>
      </w:r>
    </w:p>
    <w:p w14:paraId="1195DB5C" w14:textId="77777777" w:rsidR="009D359F" w:rsidRPr="00FC0995" w:rsidRDefault="009D359F">
      <w:pPr>
        <w:rPr>
          <w:szCs w:val="20"/>
          <w:highlight w:val="yellow"/>
          <w:lang w:val="es-CR"/>
        </w:rPr>
      </w:pPr>
    </w:p>
    <w:p w14:paraId="22657E27" w14:textId="12234874" w:rsidR="00DB5E94" w:rsidRPr="00E2432E" w:rsidRDefault="00DB5E94" w:rsidP="00300069">
      <w:pPr>
        <w:rPr>
          <w:szCs w:val="20"/>
        </w:rPr>
      </w:pPr>
      <w:r w:rsidRPr="00FC0995">
        <w:rPr>
          <w:szCs w:val="20"/>
        </w:rPr>
        <w:t xml:space="preserve">15. </w:t>
      </w:r>
      <w:r w:rsidRPr="007764BD">
        <w:rPr>
          <w:szCs w:val="20"/>
        </w:rPr>
        <w:tab/>
        <w:t xml:space="preserve">Así, la obligacion de los Estados frente a los proyectos de desarrollo en territorio indigena o tribal surge desde el momento </w:t>
      </w:r>
      <w:r w:rsidR="00FC0995" w:rsidRPr="007764BD">
        <w:rPr>
          <w:szCs w:val="20"/>
        </w:rPr>
        <w:t xml:space="preserve">en </w:t>
      </w:r>
      <w:r w:rsidRPr="007764BD">
        <w:rPr>
          <w:szCs w:val="20"/>
        </w:rPr>
        <w:t>que los Estados aceptan las obligaciones contenidas en las disposiciones de la Convención Americana, con independencia del momento del otorgamiento de la concesión, ya que como se hab</w:t>
      </w:r>
      <w:r w:rsidR="00E2432E" w:rsidRPr="007764BD">
        <w:rPr>
          <w:szCs w:val="20"/>
        </w:rPr>
        <w:t>í</w:t>
      </w:r>
      <w:r w:rsidRPr="007764BD">
        <w:rPr>
          <w:szCs w:val="20"/>
        </w:rPr>
        <w:t xml:space="preserve">a mencionado anteriormente, son fases independientes. </w:t>
      </w:r>
      <w:r w:rsidR="007764BD">
        <w:rPr>
          <w:szCs w:val="20"/>
        </w:rPr>
        <w:t>Negar lo anterior y tener u</w:t>
      </w:r>
      <w:r w:rsidRPr="00E2432E">
        <w:rPr>
          <w:szCs w:val="20"/>
        </w:rPr>
        <w:t>na comprensión distinta de la consulta previa, ciñ</w:t>
      </w:r>
      <w:r w:rsidR="00E2432E">
        <w:rPr>
          <w:szCs w:val="20"/>
        </w:rPr>
        <w:t>í</w:t>
      </w:r>
      <w:r w:rsidRPr="00E2432E">
        <w:rPr>
          <w:szCs w:val="20"/>
        </w:rPr>
        <w:t>endola expresamente s</w:t>
      </w:r>
      <w:r w:rsidR="00E2432E">
        <w:rPr>
          <w:szCs w:val="20"/>
        </w:rPr>
        <w:t>o</w:t>
      </w:r>
      <w:r w:rsidRPr="00E2432E">
        <w:rPr>
          <w:szCs w:val="20"/>
        </w:rPr>
        <w:t>lo a las primeras etapas de</w:t>
      </w:r>
      <w:r w:rsidR="00FC0995">
        <w:rPr>
          <w:szCs w:val="20"/>
        </w:rPr>
        <w:t xml:space="preserve"> la con</w:t>
      </w:r>
      <w:r w:rsidR="00FA0792">
        <w:rPr>
          <w:szCs w:val="20"/>
        </w:rPr>
        <w:t>c</w:t>
      </w:r>
      <w:r w:rsidR="00FC0995">
        <w:rPr>
          <w:szCs w:val="20"/>
        </w:rPr>
        <w:t>e</w:t>
      </w:r>
      <w:r w:rsidR="00FA0792">
        <w:rPr>
          <w:szCs w:val="20"/>
        </w:rPr>
        <w:t>s</w:t>
      </w:r>
      <w:r w:rsidR="00FC0995">
        <w:rPr>
          <w:szCs w:val="20"/>
        </w:rPr>
        <w:t>ión de</w:t>
      </w:r>
      <w:r w:rsidRPr="00E2432E">
        <w:rPr>
          <w:szCs w:val="20"/>
        </w:rPr>
        <w:t xml:space="preserve"> un proyecto, llevar</w:t>
      </w:r>
      <w:r w:rsidR="00E2432E">
        <w:rPr>
          <w:szCs w:val="20"/>
        </w:rPr>
        <w:t>í</w:t>
      </w:r>
      <w:r w:rsidRPr="00E2432E">
        <w:rPr>
          <w:szCs w:val="20"/>
        </w:rPr>
        <w:t xml:space="preserve">a al absurdo de permitir nuevas explotaciones que tengan un impacto actual sobre </w:t>
      </w:r>
      <w:r w:rsidR="00E2432E">
        <w:rPr>
          <w:szCs w:val="20"/>
        </w:rPr>
        <w:t xml:space="preserve">la cultura y </w:t>
      </w:r>
      <w:r w:rsidRPr="00E2432E">
        <w:rPr>
          <w:szCs w:val="20"/>
        </w:rPr>
        <w:t>el territorio indígena</w:t>
      </w:r>
      <w:r w:rsidR="00FC0995">
        <w:rPr>
          <w:szCs w:val="20"/>
        </w:rPr>
        <w:t>,</w:t>
      </w:r>
      <w:r w:rsidRPr="00E2432E">
        <w:rPr>
          <w:szCs w:val="20"/>
        </w:rPr>
        <w:t xml:space="preserve"> afecta</w:t>
      </w:r>
      <w:r w:rsidR="00FC0995">
        <w:rPr>
          <w:szCs w:val="20"/>
        </w:rPr>
        <w:t>n</w:t>
      </w:r>
      <w:r w:rsidRPr="00E2432E">
        <w:rPr>
          <w:szCs w:val="20"/>
        </w:rPr>
        <w:t>do</w:t>
      </w:r>
      <w:r w:rsidR="00FC0995">
        <w:rPr>
          <w:szCs w:val="20"/>
        </w:rPr>
        <w:t>los</w:t>
      </w:r>
      <w:r w:rsidR="00E2432E">
        <w:rPr>
          <w:szCs w:val="20"/>
        </w:rPr>
        <w:t xml:space="preserve"> por el </w:t>
      </w:r>
      <w:r w:rsidR="00E2432E">
        <w:rPr>
          <w:szCs w:val="20"/>
        </w:rPr>
        <w:lastRenderedPageBreak/>
        <w:t>resto del tiempo en que la concesi</w:t>
      </w:r>
      <w:r w:rsidR="00313166">
        <w:rPr>
          <w:szCs w:val="20"/>
        </w:rPr>
        <w:t>ón siga</w:t>
      </w:r>
      <w:r w:rsidR="00E2432E">
        <w:rPr>
          <w:szCs w:val="20"/>
        </w:rPr>
        <w:t xml:space="preserve"> vigente. </w:t>
      </w:r>
      <w:r w:rsidRPr="00E2432E">
        <w:rPr>
          <w:szCs w:val="20"/>
        </w:rPr>
        <w:t xml:space="preserve">Evidentemente al ser un proceso constante de diálogo, la consulta no sólo se circunscribe a las primeras etapas de un proyecto, sino que la obligación se materializa cuando exista un posible impacto a la vida tradicional indígena o tribal en cuestión. </w:t>
      </w:r>
    </w:p>
    <w:p w14:paraId="0FBCA976" w14:textId="77777777" w:rsidR="00DB5E94" w:rsidRPr="00FC0995" w:rsidRDefault="00DB5E94" w:rsidP="00BE48AC">
      <w:pPr>
        <w:pStyle w:val="ListParagraph"/>
        <w:spacing w:after="0" w:line="240" w:lineRule="auto"/>
        <w:ind w:left="0"/>
        <w:jc w:val="both"/>
        <w:rPr>
          <w:rFonts w:ascii="Verdana" w:eastAsia="Batang" w:hAnsi="Verdana" w:cs="Times"/>
          <w:noProof/>
          <w:sz w:val="20"/>
          <w:szCs w:val="20"/>
          <w:lang w:val="es-CR"/>
        </w:rPr>
      </w:pPr>
    </w:p>
    <w:p w14:paraId="3D0D10B2" w14:textId="1F2763AE" w:rsidR="00BE48AC" w:rsidRPr="00FC0995" w:rsidRDefault="00DB5E94" w:rsidP="00BE48AC">
      <w:pPr>
        <w:pStyle w:val="ListParagraph"/>
        <w:spacing w:after="0" w:line="240" w:lineRule="auto"/>
        <w:ind w:left="0"/>
        <w:jc w:val="both"/>
        <w:rPr>
          <w:rFonts w:ascii="Verdana" w:eastAsia="Batang" w:hAnsi="Verdana" w:cs="Times"/>
          <w:noProof/>
          <w:sz w:val="20"/>
          <w:szCs w:val="20"/>
          <w:lang w:val="es-CR"/>
        </w:rPr>
      </w:pPr>
      <w:r w:rsidRPr="00FC0995">
        <w:rPr>
          <w:rFonts w:ascii="Verdana" w:eastAsia="Batang" w:hAnsi="Verdana" w:cs="Times"/>
          <w:noProof/>
          <w:sz w:val="20"/>
          <w:szCs w:val="20"/>
          <w:lang w:val="es-CR"/>
        </w:rPr>
        <w:t xml:space="preserve">16. </w:t>
      </w:r>
      <w:r w:rsidRPr="00FC0995">
        <w:rPr>
          <w:rFonts w:ascii="Verdana" w:eastAsia="Batang" w:hAnsi="Verdana" w:cs="Times"/>
          <w:noProof/>
          <w:sz w:val="20"/>
          <w:szCs w:val="20"/>
          <w:lang w:val="es-CR"/>
        </w:rPr>
        <w:tab/>
      </w:r>
      <w:r w:rsidR="00BE48AC" w:rsidRPr="00FC0995">
        <w:rPr>
          <w:rFonts w:ascii="Verdana" w:eastAsia="Batang" w:hAnsi="Verdana" w:cs="Times"/>
          <w:noProof/>
          <w:sz w:val="20"/>
          <w:szCs w:val="20"/>
          <w:lang w:val="es-CR"/>
        </w:rPr>
        <w:t xml:space="preserve">En vista de lo </w:t>
      </w:r>
      <w:r w:rsidR="00F92DA6" w:rsidRPr="00FC0995">
        <w:rPr>
          <w:rFonts w:ascii="Verdana" w:eastAsia="Batang" w:hAnsi="Verdana" w:cs="Times"/>
          <w:noProof/>
          <w:sz w:val="20"/>
          <w:szCs w:val="20"/>
          <w:lang w:val="es-CR"/>
        </w:rPr>
        <w:t xml:space="preserve">antes expuesto, </w:t>
      </w:r>
      <w:r w:rsidR="00BE48AC" w:rsidRPr="00FC0995">
        <w:rPr>
          <w:rFonts w:ascii="Verdana" w:eastAsia="Batang" w:hAnsi="Verdana" w:cs="Times"/>
          <w:noProof/>
          <w:sz w:val="20"/>
          <w:szCs w:val="20"/>
          <w:lang w:val="es-CR"/>
        </w:rPr>
        <w:t>tal como fue concluido en el párrafo 212 de la Sentencia, siendo que el Estado no garantizó la participación efectiva, a través de un proceso de consulta a los Pueblos de Kaliña y Lokono antes de emprender o autorizar la explotación de la mina de bauxita dentro de parte de su territorio tradicional, el Estado violó los artículos 21 y 23 de la Convención, en relación con los artículos 1.1 y 2 de la misma, en perjuicio de los Pueblos Kaliña y Lokono y sus miembros.</w:t>
      </w:r>
    </w:p>
    <w:p w14:paraId="39463FF3" w14:textId="77777777" w:rsidR="00BE48AC" w:rsidRPr="00FC0995" w:rsidRDefault="00BE48AC">
      <w:pPr>
        <w:rPr>
          <w:szCs w:val="20"/>
          <w:lang w:val="es-CR"/>
        </w:rPr>
      </w:pPr>
    </w:p>
    <w:p w14:paraId="082DE1DD" w14:textId="77777777" w:rsidR="002B2383" w:rsidRPr="00BA0ED4" w:rsidRDefault="00BE48AC" w:rsidP="00300069">
      <w:pPr>
        <w:jc w:val="center"/>
        <w:rPr>
          <w:b/>
          <w:szCs w:val="20"/>
          <w:lang w:val="es-CR"/>
        </w:rPr>
      </w:pPr>
      <w:r w:rsidRPr="00300069">
        <w:rPr>
          <w:b/>
          <w:szCs w:val="20"/>
          <w:lang w:val="es-CR"/>
        </w:rPr>
        <w:t>El reconocimiento de la personalidad jurídica colectiva</w:t>
      </w:r>
    </w:p>
    <w:p w14:paraId="57102B76" w14:textId="1022082E" w:rsidR="00B92EAA" w:rsidRPr="00300069" w:rsidRDefault="00B92EAA" w:rsidP="00300069">
      <w:pPr>
        <w:jc w:val="center"/>
        <w:rPr>
          <w:b/>
          <w:szCs w:val="20"/>
          <w:lang w:val="es-CR"/>
        </w:rPr>
      </w:pPr>
    </w:p>
    <w:p w14:paraId="22603412" w14:textId="04A07EC4" w:rsidR="00BE48AC" w:rsidRPr="001C303C" w:rsidRDefault="00DB5E94" w:rsidP="00BE48AC">
      <w:pPr>
        <w:rPr>
          <w:szCs w:val="20"/>
          <w:lang w:val="es-CR"/>
        </w:rPr>
      </w:pPr>
      <w:r w:rsidRPr="00BA0ED4">
        <w:rPr>
          <w:szCs w:val="20"/>
          <w:lang w:val="es-CR"/>
        </w:rPr>
        <w:t xml:space="preserve">17. </w:t>
      </w:r>
      <w:r w:rsidRPr="00BA0ED4">
        <w:rPr>
          <w:szCs w:val="20"/>
          <w:lang w:val="es-CR"/>
        </w:rPr>
        <w:tab/>
      </w:r>
      <w:r w:rsidR="00DC4C4F" w:rsidRPr="00BA0ED4">
        <w:rPr>
          <w:szCs w:val="20"/>
          <w:lang w:val="es-CR"/>
        </w:rPr>
        <w:t>En la presente Sentencia la Corte</w:t>
      </w:r>
      <w:r w:rsidR="006E3771" w:rsidRPr="00605208">
        <w:rPr>
          <w:szCs w:val="20"/>
          <w:lang w:val="es-CR"/>
        </w:rPr>
        <w:t>,</w:t>
      </w:r>
      <w:r w:rsidR="00DC4C4F" w:rsidRPr="00605208">
        <w:rPr>
          <w:szCs w:val="20"/>
          <w:lang w:val="es-CR"/>
        </w:rPr>
        <w:t xml:space="preserve"> con base en los casos precedentes de Surinam</w:t>
      </w:r>
      <w:r w:rsidR="00F92DA6" w:rsidRPr="00C50548">
        <w:rPr>
          <w:rStyle w:val="FootnoteReference"/>
          <w:szCs w:val="20"/>
          <w:lang w:val="es-CR"/>
        </w:rPr>
        <w:footnoteReference w:id="13"/>
      </w:r>
      <w:r w:rsidR="00DC4C4F" w:rsidRPr="001C303C">
        <w:rPr>
          <w:szCs w:val="20"/>
          <w:lang w:val="es-CR"/>
        </w:rPr>
        <w:t xml:space="preserve">, </w:t>
      </w:r>
      <w:r w:rsidR="006E3771" w:rsidRPr="001C303C">
        <w:rPr>
          <w:szCs w:val="20"/>
          <w:lang w:val="es-CR"/>
        </w:rPr>
        <w:t xml:space="preserve">declaró </w:t>
      </w:r>
      <w:r w:rsidR="00DC4C4F" w:rsidRPr="001C303C">
        <w:rPr>
          <w:szCs w:val="20"/>
          <w:lang w:val="es-CR"/>
        </w:rPr>
        <w:t xml:space="preserve">que: </w:t>
      </w:r>
    </w:p>
    <w:p w14:paraId="5FBA6716" w14:textId="77777777" w:rsidR="00DC4C4F" w:rsidRPr="00300069" w:rsidRDefault="00DC4C4F" w:rsidP="00DC4C4F">
      <w:pPr>
        <w:ind w:left="567" w:right="616"/>
        <w:rPr>
          <w:szCs w:val="20"/>
          <w:lang w:val="es-CR"/>
        </w:rPr>
      </w:pPr>
    </w:p>
    <w:p w14:paraId="0D119AF3" w14:textId="5B12C6A3" w:rsidR="00DC4C4F" w:rsidRPr="00300069" w:rsidRDefault="00DC4C4F" w:rsidP="00DC4C4F">
      <w:pPr>
        <w:ind w:left="567" w:right="616"/>
        <w:rPr>
          <w:szCs w:val="20"/>
          <w:lang w:val="es-CR"/>
        </w:rPr>
      </w:pPr>
      <w:r w:rsidRPr="00300069">
        <w:rPr>
          <w:szCs w:val="20"/>
          <w:lang w:val="es-CR"/>
        </w:rPr>
        <w:t>114.</w:t>
      </w:r>
      <w:r w:rsidRPr="00300069">
        <w:rPr>
          <w:szCs w:val="20"/>
          <w:lang w:val="es-CR"/>
        </w:rPr>
        <w:tab/>
        <w:t xml:space="preserve">En conclusión, ya que el ordenamiento jurídico interno de Surinam no reconoce el ejercicio de la personalidad jurídica de los pueblos indígenas y tribales de manera colectiva, esta Corte considera que el Estado ha violado el artículo 3 de la Convención Americana, en perjuicio de los Pueblos Kaliña y Lokono, en relación con el artículo 2 de la misma. Además, para efectos del presente caso, la falta de reconocimiento de la personalidad jurídica de los </w:t>
      </w:r>
      <w:r w:rsidR="00313166">
        <w:rPr>
          <w:szCs w:val="20"/>
          <w:lang w:val="es-CR"/>
        </w:rPr>
        <w:t>P</w:t>
      </w:r>
      <w:r w:rsidRPr="00300069">
        <w:rPr>
          <w:szCs w:val="20"/>
          <w:lang w:val="es-CR"/>
        </w:rPr>
        <w:t xml:space="preserve">ueblos de Kaliña y Lokono impacta, como será analizado </w:t>
      </w:r>
      <w:r w:rsidRPr="00300069">
        <w:rPr>
          <w:i/>
          <w:szCs w:val="20"/>
          <w:lang w:val="es-CR"/>
        </w:rPr>
        <w:t>infra</w:t>
      </w:r>
      <w:r w:rsidRPr="00300069">
        <w:rPr>
          <w:szCs w:val="20"/>
          <w:lang w:val="es-CR"/>
        </w:rPr>
        <w:t>, en la violación de otros derechos reconocidos en los artículos 1.1, 21 y 25 de la Convención.</w:t>
      </w:r>
    </w:p>
    <w:p w14:paraId="77721B97" w14:textId="77777777" w:rsidR="00BE48AC" w:rsidRPr="00BA0ED4" w:rsidRDefault="00BE48AC" w:rsidP="00BE48AC">
      <w:pPr>
        <w:rPr>
          <w:szCs w:val="20"/>
          <w:lang w:val="es-CR"/>
        </w:rPr>
      </w:pPr>
    </w:p>
    <w:p w14:paraId="6F995C59" w14:textId="16DCE1DA" w:rsidR="00DC4C4F" w:rsidRPr="00614FB7" w:rsidRDefault="00DB5E94" w:rsidP="00BE48AC">
      <w:pPr>
        <w:rPr>
          <w:szCs w:val="20"/>
          <w:lang w:val="es-CR"/>
        </w:rPr>
      </w:pPr>
      <w:r w:rsidRPr="00BA0ED4">
        <w:rPr>
          <w:szCs w:val="20"/>
          <w:lang w:val="es-CR"/>
        </w:rPr>
        <w:t xml:space="preserve">18. </w:t>
      </w:r>
      <w:r w:rsidRPr="00BA0ED4">
        <w:rPr>
          <w:szCs w:val="20"/>
          <w:lang w:val="es-CR"/>
        </w:rPr>
        <w:tab/>
      </w:r>
      <w:r w:rsidR="00DC4C4F" w:rsidRPr="00605208">
        <w:rPr>
          <w:szCs w:val="20"/>
          <w:lang w:val="es-CR"/>
        </w:rPr>
        <w:t xml:space="preserve">Concurrimos con dicho razonamiento, </w:t>
      </w:r>
      <w:r w:rsidR="00614FB7">
        <w:rPr>
          <w:szCs w:val="20"/>
          <w:lang w:val="es-CR"/>
        </w:rPr>
        <w:t>ya</w:t>
      </w:r>
      <w:r w:rsidR="00DC4C4F" w:rsidRPr="00605208">
        <w:rPr>
          <w:szCs w:val="20"/>
          <w:lang w:val="es-CR"/>
        </w:rPr>
        <w:t xml:space="preserve"> que </w:t>
      </w:r>
      <w:r w:rsidR="00614FB7">
        <w:rPr>
          <w:szCs w:val="20"/>
          <w:lang w:val="es-CR"/>
        </w:rPr>
        <w:t xml:space="preserve">el </w:t>
      </w:r>
      <w:r w:rsidR="00DC4C4F" w:rsidRPr="00605208">
        <w:rPr>
          <w:szCs w:val="20"/>
          <w:lang w:val="es-CR"/>
        </w:rPr>
        <w:t xml:space="preserve">reconocimiento de la personalidad jurídica en su carácter colectivo </w:t>
      </w:r>
      <w:r w:rsidR="00614FB7">
        <w:rPr>
          <w:szCs w:val="20"/>
          <w:lang w:val="es-CR"/>
        </w:rPr>
        <w:t>es</w:t>
      </w:r>
      <w:r w:rsidR="00DC4C4F" w:rsidRPr="00C50548">
        <w:rPr>
          <w:szCs w:val="20"/>
          <w:lang w:val="es-CR"/>
        </w:rPr>
        <w:t xml:space="preserve"> un prerrequisito esencial para que los pueblos indígenas y tribales puedan ejercer diversos derechos, que por sus característica</w:t>
      </w:r>
      <w:r w:rsidR="00313166">
        <w:rPr>
          <w:szCs w:val="20"/>
          <w:lang w:val="es-CR"/>
        </w:rPr>
        <w:t>s</w:t>
      </w:r>
      <w:r w:rsidR="00DC4C4F" w:rsidRPr="00C50548">
        <w:rPr>
          <w:szCs w:val="20"/>
          <w:lang w:val="es-CR"/>
        </w:rPr>
        <w:t xml:space="preserve"> comunitarias, requieren ser amparad</w:t>
      </w:r>
      <w:r w:rsidR="00313166">
        <w:rPr>
          <w:szCs w:val="20"/>
          <w:lang w:val="es-CR"/>
        </w:rPr>
        <w:t>o</w:t>
      </w:r>
      <w:r w:rsidR="00DC4C4F" w:rsidRPr="00C50548">
        <w:rPr>
          <w:szCs w:val="20"/>
          <w:lang w:val="es-CR"/>
        </w:rPr>
        <w:t xml:space="preserve">s de manera colectiva. </w:t>
      </w:r>
      <w:r w:rsidR="005B09F1" w:rsidRPr="00313166">
        <w:rPr>
          <w:szCs w:val="20"/>
          <w:lang w:val="es-CR"/>
        </w:rPr>
        <w:t>En este sentido, el Tri</w:t>
      </w:r>
      <w:r w:rsidRPr="00313166">
        <w:rPr>
          <w:szCs w:val="20"/>
          <w:lang w:val="es-CR"/>
        </w:rPr>
        <w:t>bunal</w:t>
      </w:r>
      <w:r w:rsidR="005B09F1" w:rsidRPr="00614FB7">
        <w:rPr>
          <w:szCs w:val="20"/>
          <w:lang w:val="es-CR"/>
        </w:rPr>
        <w:t xml:space="preserve"> reiteró que: </w:t>
      </w:r>
    </w:p>
    <w:p w14:paraId="6978C322" w14:textId="77777777" w:rsidR="005B09F1" w:rsidRDefault="005B09F1" w:rsidP="00BE48AC">
      <w:pPr>
        <w:rPr>
          <w:szCs w:val="20"/>
          <w:lang w:val="es-CR"/>
        </w:rPr>
      </w:pPr>
    </w:p>
    <w:p w14:paraId="69242309" w14:textId="463E11A0" w:rsidR="00614FB7" w:rsidRDefault="00614FB7" w:rsidP="003717FF">
      <w:pPr>
        <w:tabs>
          <w:tab w:val="left" w:pos="851"/>
          <w:tab w:val="left" w:pos="1418"/>
        </w:tabs>
        <w:ind w:left="567" w:right="616"/>
        <w:rPr>
          <w:rFonts w:eastAsiaTheme="minorHAnsi" w:cs="Verdana"/>
          <w:szCs w:val="20"/>
          <w:lang w:val="es-CR"/>
        </w:rPr>
      </w:pPr>
      <w:r>
        <w:rPr>
          <w:szCs w:val="20"/>
          <w:lang w:val="es-CR"/>
        </w:rPr>
        <w:t xml:space="preserve">107. </w:t>
      </w:r>
      <w:r>
        <w:rPr>
          <w:szCs w:val="20"/>
          <w:lang w:val="es-CR"/>
        </w:rPr>
        <w:tab/>
        <w:t>[..] “</w:t>
      </w:r>
      <w:r w:rsidRPr="00A26293">
        <w:rPr>
          <w:rFonts w:eastAsiaTheme="minorHAnsi" w:cs="Verdana"/>
          <w:szCs w:val="20"/>
          <w:lang w:val="es-CR"/>
        </w:rPr>
        <w:t>el derecho a que el Estado reconozca su personalidad jurídica es una de las medidas especiales que se debe proporcionar a los grupos indígenas y tribales a fin de garantizar que éstos puedan gozar de sus territorios según sus tradiciones. Ésta es la consecuencia natural del reconocimiento del derecho que tienen los miembros de los grupos indígenas y tribales a gozar de ciertos derechos de forma comunitaria</w:t>
      </w:r>
      <w:r>
        <w:rPr>
          <w:rFonts w:eastAsiaTheme="minorHAnsi" w:cs="Verdana"/>
          <w:szCs w:val="20"/>
          <w:lang w:val="es-CR"/>
        </w:rPr>
        <w:t>”.</w:t>
      </w:r>
    </w:p>
    <w:p w14:paraId="31A60DD1" w14:textId="77777777" w:rsidR="00614FB7" w:rsidRPr="00614FB7" w:rsidRDefault="00614FB7" w:rsidP="003717FF">
      <w:pPr>
        <w:ind w:left="567" w:right="616"/>
        <w:rPr>
          <w:szCs w:val="20"/>
          <w:lang w:val="es-CR"/>
        </w:rPr>
      </w:pPr>
    </w:p>
    <w:p w14:paraId="58E2D27B" w14:textId="7734D111" w:rsidR="005B09F1" w:rsidRPr="00300069" w:rsidRDefault="005B09F1" w:rsidP="003717FF">
      <w:pPr>
        <w:ind w:left="567" w:right="616"/>
        <w:rPr>
          <w:szCs w:val="20"/>
          <w:lang w:val="es-CR"/>
        </w:rPr>
      </w:pPr>
      <w:r w:rsidRPr="00300069">
        <w:rPr>
          <w:szCs w:val="20"/>
          <w:lang w:val="es-CR"/>
        </w:rPr>
        <w:t>109.</w:t>
      </w:r>
      <w:r w:rsidRPr="00300069">
        <w:rPr>
          <w:szCs w:val="20"/>
          <w:lang w:val="es-CR"/>
        </w:rPr>
        <w:tab/>
        <w:t>[..] “el reconocimiento de la personalidad jurídica es un modo, aunque no sea el único, de asegurar que la comunidad, en su conjunto, podrá gozar y ejercer plenamente el derecho a la propiedad, de conformidad con sus sistema de propiedad comunal, así como el derecho a igual protección judicial contra toda violación de dicho derecho”.</w:t>
      </w:r>
    </w:p>
    <w:p w14:paraId="10B19E70" w14:textId="77777777" w:rsidR="00DC4C4F" w:rsidRPr="00BA0ED4" w:rsidRDefault="00DC4C4F" w:rsidP="00BE48AC">
      <w:pPr>
        <w:rPr>
          <w:szCs w:val="20"/>
          <w:lang w:val="es-CR"/>
        </w:rPr>
      </w:pPr>
    </w:p>
    <w:p w14:paraId="0917FBCB" w14:textId="6E9F4315" w:rsidR="005B09F1" w:rsidRPr="00D0529A" w:rsidRDefault="00DB5E94" w:rsidP="00BE48AC">
      <w:pPr>
        <w:rPr>
          <w:szCs w:val="20"/>
          <w:lang w:val="es-MX"/>
        </w:rPr>
      </w:pPr>
      <w:r w:rsidRPr="00BA0ED4">
        <w:rPr>
          <w:szCs w:val="20"/>
          <w:lang w:val="es-CR"/>
        </w:rPr>
        <w:t xml:space="preserve">19. </w:t>
      </w:r>
      <w:r w:rsidRPr="00BA0ED4">
        <w:rPr>
          <w:szCs w:val="20"/>
          <w:lang w:val="es-CR"/>
        </w:rPr>
        <w:tab/>
      </w:r>
      <w:r w:rsidR="005B09F1" w:rsidRPr="00605208">
        <w:rPr>
          <w:szCs w:val="20"/>
          <w:lang w:val="es-CR"/>
        </w:rPr>
        <w:t>Cabe hacer notar que la Corte llamó la atención del Estado al considerar que dicho incumplimiento</w:t>
      </w:r>
      <w:r w:rsidR="005B09F1" w:rsidRPr="00C50548">
        <w:rPr>
          <w:szCs w:val="20"/>
          <w:lang w:val="es-MX"/>
        </w:rPr>
        <w:t xml:space="preserve"> </w:t>
      </w:r>
      <w:r w:rsidR="005B09F1" w:rsidRPr="001C303C">
        <w:rPr>
          <w:szCs w:val="20"/>
          <w:lang w:val="es-MX"/>
        </w:rPr>
        <w:t xml:space="preserve">resulta aún más gravoso con motivo de lo ya dispuesto en la sentencia en el caso </w:t>
      </w:r>
      <w:r w:rsidR="006E3771" w:rsidRPr="00A41420">
        <w:rPr>
          <w:szCs w:val="20"/>
          <w:lang w:val="es-MX"/>
        </w:rPr>
        <w:t xml:space="preserve">del </w:t>
      </w:r>
      <w:r w:rsidR="006E3771" w:rsidRPr="00A41420">
        <w:rPr>
          <w:i/>
          <w:szCs w:val="20"/>
          <w:lang w:val="es-MX"/>
        </w:rPr>
        <w:t xml:space="preserve">Pueblo </w:t>
      </w:r>
      <w:r w:rsidR="005B09F1" w:rsidRPr="00A41420">
        <w:rPr>
          <w:i/>
          <w:szCs w:val="20"/>
          <w:lang w:val="es-MX"/>
        </w:rPr>
        <w:t>Saramaka</w:t>
      </w:r>
      <w:r w:rsidR="005B09F1" w:rsidRPr="00A41420">
        <w:rPr>
          <w:szCs w:val="20"/>
          <w:lang w:val="es-MX"/>
        </w:rPr>
        <w:t xml:space="preserve"> de 28 de noviembre de 2007 (</w:t>
      </w:r>
      <w:r w:rsidR="00D0529A" w:rsidRPr="00366D91">
        <w:rPr>
          <w:i/>
          <w:szCs w:val="20"/>
          <w:lang w:val="es-ES"/>
        </w:rPr>
        <w:t>supra</w:t>
      </w:r>
      <w:r w:rsidR="00D0529A">
        <w:rPr>
          <w:szCs w:val="20"/>
          <w:lang w:val="es-ES"/>
        </w:rPr>
        <w:t xml:space="preserve"> párr. </w:t>
      </w:r>
      <w:r w:rsidR="00D0529A">
        <w:rPr>
          <w:szCs w:val="20"/>
          <w:lang w:val="es-ES"/>
        </w:rPr>
        <w:lastRenderedPageBreak/>
        <w:t>107</w:t>
      </w:r>
      <w:r w:rsidR="005B09F1" w:rsidRPr="00A41420">
        <w:rPr>
          <w:szCs w:val="20"/>
          <w:lang w:val="es-MX"/>
        </w:rPr>
        <w:t>), obligación que fue reiterada al Estado para efectos de dicho caso, mediante Resolución de Cumplimiento de 23 de nov</w:t>
      </w:r>
      <w:r w:rsidR="006E3771" w:rsidRPr="00A41420">
        <w:rPr>
          <w:szCs w:val="20"/>
          <w:lang w:val="es-MX"/>
        </w:rPr>
        <w:t>iembre de 2011</w:t>
      </w:r>
      <w:r w:rsidRPr="00D0529A">
        <w:rPr>
          <w:rStyle w:val="FootnoteReference"/>
          <w:szCs w:val="20"/>
        </w:rPr>
        <w:footnoteReference w:id="14"/>
      </w:r>
      <w:r w:rsidRPr="00D0529A">
        <w:rPr>
          <w:szCs w:val="20"/>
          <w:lang w:val="es-MX"/>
        </w:rPr>
        <w:t>.</w:t>
      </w:r>
    </w:p>
    <w:p w14:paraId="78234AB2" w14:textId="77777777" w:rsidR="00D608FA" w:rsidRPr="00FC0995" w:rsidRDefault="00D608FA">
      <w:pPr>
        <w:rPr>
          <w:szCs w:val="20"/>
          <w:lang w:val="es-CR"/>
        </w:rPr>
      </w:pPr>
    </w:p>
    <w:p w14:paraId="7CF59874" w14:textId="6239083D" w:rsidR="005B09F1" w:rsidRDefault="00DB5E94">
      <w:pPr>
        <w:rPr>
          <w:szCs w:val="20"/>
          <w:lang w:val="es-CR"/>
        </w:rPr>
      </w:pPr>
      <w:r w:rsidRPr="00FC0995">
        <w:rPr>
          <w:szCs w:val="20"/>
          <w:lang w:val="es-CR"/>
        </w:rPr>
        <w:t xml:space="preserve">20. </w:t>
      </w:r>
      <w:r w:rsidRPr="00FC0995">
        <w:rPr>
          <w:szCs w:val="20"/>
          <w:lang w:val="es-CR"/>
        </w:rPr>
        <w:tab/>
      </w:r>
      <w:r w:rsidR="005B09F1" w:rsidRPr="00FC0995">
        <w:rPr>
          <w:szCs w:val="20"/>
          <w:lang w:val="es-CR"/>
        </w:rPr>
        <w:t>En vista de lo anterior, el Tribunal en sus reparaciones</w:t>
      </w:r>
      <w:r w:rsidR="001F0768" w:rsidRPr="00FC0995">
        <w:rPr>
          <w:szCs w:val="20"/>
          <w:lang w:val="es-CR"/>
        </w:rPr>
        <w:t xml:space="preserve">, adicionalmente a lo ordenado </w:t>
      </w:r>
      <w:r w:rsidR="00F92DA6" w:rsidRPr="00FC0995">
        <w:rPr>
          <w:szCs w:val="20"/>
          <w:lang w:val="es-CR"/>
        </w:rPr>
        <w:t>en</w:t>
      </w:r>
      <w:r w:rsidR="001F0768" w:rsidRPr="00FC0995">
        <w:rPr>
          <w:szCs w:val="20"/>
          <w:lang w:val="es-CR"/>
        </w:rPr>
        <w:t xml:space="preserve"> favor de los Pueblos Kaliña y Lokono</w:t>
      </w:r>
      <w:r w:rsidRPr="00BA0ED4">
        <w:rPr>
          <w:rStyle w:val="FootnoteReference"/>
          <w:szCs w:val="20"/>
        </w:rPr>
        <w:footnoteReference w:id="15"/>
      </w:r>
      <w:r w:rsidR="001F0768" w:rsidRPr="00FC0995">
        <w:rPr>
          <w:szCs w:val="20"/>
          <w:lang w:val="es-CR"/>
        </w:rPr>
        <w:t xml:space="preserve">, </w:t>
      </w:r>
      <w:r w:rsidR="005B09F1" w:rsidRPr="00FC0995">
        <w:rPr>
          <w:szCs w:val="20"/>
          <w:lang w:val="es-CR"/>
        </w:rPr>
        <w:t xml:space="preserve"> ordenó a Surinam como garantía de no repetición</w:t>
      </w:r>
      <w:r w:rsidRPr="00BA0ED4">
        <w:rPr>
          <w:rStyle w:val="FootnoteReference"/>
          <w:szCs w:val="20"/>
        </w:rPr>
        <w:footnoteReference w:id="16"/>
      </w:r>
      <w:r w:rsidR="005B09F1" w:rsidRPr="00D0529A">
        <w:rPr>
          <w:szCs w:val="20"/>
          <w:lang w:val="es-CR"/>
        </w:rPr>
        <w:t xml:space="preserve">: </w:t>
      </w:r>
    </w:p>
    <w:p w14:paraId="59CB7CC7" w14:textId="77777777" w:rsidR="00BD7D70" w:rsidRDefault="00BD7D70">
      <w:pPr>
        <w:rPr>
          <w:szCs w:val="20"/>
          <w:lang w:val="es-CR"/>
        </w:rPr>
      </w:pPr>
    </w:p>
    <w:p w14:paraId="4DF57121" w14:textId="51C0E39B" w:rsidR="005B09F1" w:rsidRPr="00300069" w:rsidRDefault="005B09F1" w:rsidP="003717FF">
      <w:pPr>
        <w:tabs>
          <w:tab w:val="left" w:pos="567"/>
        </w:tabs>
        <w:ind w:left="567" w:right="616"/>
        <w:rPr>
          <w:szCs w:val="20"/>
          <w:lang w:val="es-MX"/>
        </w:rPr>
      </w:pPr>
      <w:r w:rsidRPr="00300069">
        <w:rPr>
          <w:szCs w:val="20"/>
          <w:lang w:val="es-MX"/>
        </w:rPr>
        <w:t>a)</w:t>
      </w:r>
      <w:r w:rsidRPr="00300069">
        <w:rPr>
          <w:szCs w:val="20"/>
          <w:lang w:val="es-MX"/>
        </w:rPr>
        <w:tab/>
        <w:t>otorgar a los pueblos indígenas y tribales en Surinam el reconocimiento legal de la personalidad jurídica colectiva, con el propósito de garantizarles el ejercicio y goce pleno de su derecho a la propiedad, de conformidad con sus costumbres y tradiciones, de acuerdo a lo establecido en los párrafos</w:t>
      </w:r>
      <w:r w:rsidR="00D0529A">
        <w:rPr>
          <w:szCs w:val="20"/>
          <w:lang w:val="es-MX"/>
        </w:rPr>
        <w:t xml:space="preserve"> 105 a 114</w:t>
      </w:r>
      <w:r w:rsidRPr="00300069">
        <w:rPr>
          <w:szCs w:val="20"/>
          <w:lang w:val="es-MX"/>
        </w:rPr>
        <w:t>. El Estado deberá cumplir con esta medida de reparación dentro de un plazo no mayor a dos años, a partir de la notificación de la presente Sentencia</w:t>
      </w:r>
      <w:r w:rsidR="00DB5E94" w:rsidRPr="00300069">
        <w:rPr>
          <w:szCs w:val="20"/>
          <w:lang w:val="es-MX"/>
        </w:rPr>
        <w:t>.</w:t>
      </w:r>
      <w:r w:rsidRPr="00300069">
        <w:rPr>
          <w:szCs w:val="20"/>
          <w:lang w:val="es-MX"/>
        </w:rPr>
        <w:t xml:space="preserve"> </w:t>
      </w:r>
    </w:p>
    <w:p w14:paraId="5C01D9BA" w14:textId="77777777" w:rsidR="005B09F1" w:rsidRPr="00BA0ED4" w:rsidRDefault="005B09F1" w:rsidP="003717FF">
      <w:pPr>
        <w:tabs>
          <w:tab w:val="left" w:pos="567"/>
        </w:tabs>
        <w:rPr>
          <w:szCs w:val="20"/>
          <w:lang w:val="es-CR"/>
        </w:rPr>
      </w:pPr>
    </w:p>
    <w:p w14:paraId="4E0A8D23" w14:textId="35CEB97D" w:rsidR="001F0768" w:rsidRPr="00605208" w:rsidRDefault="008A3C30" w:rsidP="00300069">
      <w:pPr>
        <w:pStyle w:val="ListParagraph"/>
        <w:ind w:left="1068"/>
        <w:jc w:val="center"/>
        <w:rPr>
          <w:rFonts w:ascii="Verdana" w:eastAsia="Batang" w:hAnsi="Verdana" w:cs="Times"/>
          <w:b/>
          <w:noProof/>
          <w:sz w:val="20"/>
          <w:szCs w:val="20"/>
          <w:lang w:val="es-CR"/>
        </w:rPr>
      </w:pPr>
      <w:r w:rsidRPr="00BA0ED4">
        <w:rPr>
          <w:rFonts w:ascii="Verdana" w:eastAsia="Batang" w:hAnsi="Verdana" w:cs="Times"/>
          <w:b/>
          <w:noProof/>
          <w:sz w:val="20"/>
          <w:szCs w:val="20"/>
          <w:lang w:val="es-CR"/>
        </w:rPr>
        <w:t>Conclusión</w:t>
      </w:r>
    </w:p>
    <w:p w14:paraId="1B4FA5EE" w14:textId="3A526491" w:rsidR="002B2383" w:rsidRPr="00FC0995" w:rsidRDefault="004522A9">
      <w:pPr>
        <w:rPr>
          <w:szCs w:val="20"/>
          <w:lang w:val="es-CR"/>
        </w:rPr>
      </w:pPr>
      <w:r w:rsidRPr="00C50548">
        <w:rPr>
          <w:szCs w:val="20"/>
          <w:lang w:val="es-CR"/>
        </w:rPr>
        <w:t xml:space="preserve">21. </w:t>
      </w:r>
      <w:r w:rsidRPr="00C50548">
        <w:rPr>
          <w:szCs w:val="20"/>
          <w:lang w:val="es-CR"/>
        </w:rPr>
        <w:tab/>
      </w:r>
      <w:r w:rsidR="001F0768" w:rsidRPr="001C303C">
        <w:rPr>
          <w:szCs w:val="20"/>
          <w:lang w:val="es-CR"/>
        </w:rPr>
        <w:t>Por lo anterior, quienes suscribimos este voto destacamos los desarrollos antes mencionados en relación con el dere</w:t>
      </w:r>
      <w:r w:rsidR="006E3771" w:rsidRPr="00FC0995">
        <w:rPr>
          <w:szCs w:val="20"/>
          <w:lang w:val="es-CR"/>
        </w:rPr>
        <w:t>cho a la participación efectiva</w:t>
      </w:r>
      <w:r w:rsidR="001F0768" w:rsidRPr="00FC0995">
        <w:rPr>
          <w:szCs w:val="20"/>
          <w:lang w:val="es-CR"/>
        </w:rPr>
        <w:t xml:space="preserve"> a través de un proceso de consulta, la cual debe ser entendida a la luz de la jurisprudencia constante de esta Corte, </w:t>
      </w:r>
      <w:r w:rsidR="008A3C30" w:rsidRPr="00FC0995">
        <w:rPr>
          <w:szCs w:val="20"/>
          <w:lang w:val="es-CR"/>
        </w:rPr>
        <w:t>y en el caso particu</w:t>
      </w:r>
      <w:r w:rsidRPr="00FC0995">
        <w:rPr>
          <w:szCs w:val="20"/>
          <w:lang w:val="es-CR"/>
        </w:rPr>
        <w:t>lar</w:t>
      </w:r>
      <w:r w:rsidR="00D0529A">
        <w:rPr>
          <w:szCs w:val="20"/>
          <w:lang w:val="es-CR"/>
        </w:rPr>
        <w:t>,</w:t>
      </w:r>
      <w:r w:rsidR="008A3C30" w:rsidRPr="00D0529A">
        <w:rPr>
          <w:szCs w:val="20"/>
          <w:lang w:val="es-CR"/>
        </w:rPr>
        <w:t xml:space="preserve"> a la luz del derecho a la participación </w:t>
      </w:r>
      <w:r w:rsidR="008A3C30" w:rsidRPr="00D0529A">
        <w:rPr>
          <w:szCs w:val="20"/>
        </w:rPr>
        <w:t>en la dirección de los asuntos públicos, reconocido en el artícu</w:t>
      </w:r>
      <w:r w:rsidRPr="00D0529A">
        <w:rPr>
          <w:szCs w:val="20"/>
        </w:rPr>
        <w:t>lo</w:t>
      </w:r>
      <w:r w:rsidR="008A3C30" w:rsidRPr="00D0529A">
        <w:rPr>
          <w:szCs w:val="20"/>
        </w:rPr>
        <w:t xml:space="preserve"> 23 de la Convención Americana.</w:t>
      </w:r>
      <w:r w:rsidR="008A3C30" w:rsidRPr="00FC0995">
        <w:rPr>
          <w:szCs w:val="20"/>
          <w:lang w:val="es-CR"/>
        </w:rPr>
        <w:t xml:space="preserve"> </w:t>
      </w:r>
    </w:p>
    <w:p w14:paraId="1BFD2552" w14:textId="77777777" w:rsidR="002B2383" w:rsidRPr="00FC0995" w:rsidRDefault="002B2383">
      <w:pPr>
        <w:rPr>
          <w:szCs w:val="20"/>
          <w:lang w:val="es-CR"/>
        </w:rPr>
      </w:pPr>
    </w:p>
    <w:p w14:paraId="05D54605" w14:textId="3AF6F3AF" w:rsidR="005B09F1" w:rsidRPr="00FC0995" w:rsidRDefault="002B2383" w:rsidP="00DC424F">
      <w:pPr>
        <w:tabs>
          <w:tab w:val="left" w:pos="567"/>
        </w:tabs>
        <w:rPr>
          <w:szCs w:val="20"/>
          <w:lang w:val="es-CR"/>
        </w:rPr>
      </w:pPr>
      <w:r w:rsidRPr="00FC0995">
        <w:rPr>
          <w:szCs w:val="20"/>
          <w:lang w:val="es-CR"/>
        </w:rPr>
        <w:t xml:space="preserve">22. </w:t>
      </w:r>
      <w:r w:rsidRPr="00FC0995">
        <w:rPr>
          <w:szCs w:val="20"/>
          <w:lang w:val="es-CR"/>
        </w:rPr>
        <w:tab/>
      </w:r>
      <w:r w:rsidR="008A3C30" w:rsidRPr="00FC0995">
        <w:rPr>
          <w:szCs w:val="20"/>
          <w:lang w:val="es-CR"/>
        </w:rPr>
        <w:t xml:space="preserve">Asimismo, en relación con </w:t>
      </w:r>
      <w:r w:rsidR="001F0768" w:rsidRPr="00FC0995">
        <w:rPr>
          <w:szCs w:val="20"/>
          <w:lang w:val="es-CR"/>
        </w:rPr>
        <w:t xml:space="preserve">el </w:t>
      </w:r>
      <w:r w:rsidR="00375867" w:rsidRPr="00FC0995">
        <w:rPr>
          <w:szCs w:val="20"/>
          <w:lang w:val="es-CR"/>
        </w:rPr>
        <w:t xml:space="preserve">derecho al </w:t>
      </w:r>
      <w:r w:rsidR="001F0768" w:rsidRPr="00FC0995">
        <w:rPr>
          <w:szCs w:val="20"/>
          <w:lang w:val="es-CR"/>
        </w:rPr>
        <w:t xml:space="preserve">reconocimiento de la personalidad jurídica, </w:t>
      </w:r>
      <w:r w:rsidR="008A3C30" w:rsidRPr="00FC0995">
        <w:rPr>
          <w:szCs w:val="20"/>
          <w:lang w:val="es-CR"/>
        </w:rPr>
        <w:t>reconocido en el artículo 3 de la Convención Americana, ha sido interpretad</w:t>
      </w:r>
      <w:r w:rsidR="00D34002">
        <w:rPr>
          <w:szCs w:val="20"/>
          <w:lang w:val="es-CR"/>
        </w:rPr>
        <w:t>o</w:t>
      </w:r>
      <w:r w:rsidR="00D0529A">
        <w:rPr>
          <w:szCs w:val="20"/>
          <w:lang w:val="es-CR"/>
        </w:rPr>
        <w:t xml:space="preserve"> </w:t>
      </w:r>
      <w:r w:rsidR="008A3C30" w:rsidRPr="00D34002">
        <w:rPr>
          <w:szCs w:val="20"/>
          <w:lang w:val="es-CR"/>
        </w:rPr>
        <w:t xml:space="preserve">destacando la relevancia de </w:t>
      </w:r>
      <w:r w:rsidR="00D34002">
        <w:rPr>
          <w:szCs w:val="20"/>
          <w:lang w:val="es-CR"/>
        </w:rPr>
        <w:t>la</w:t>
      </w:r>
      <w:r w:rsidR="001F0768" w:rsidRPr="00D34002">
        <w:rPr>
          <w:szCs w:val="20"/>
          <w:lang w:val="es-CR"/>
        </w:rPr>
        <w:t xml:space="preserve"> </w:t>
      </w:r>
      <w:r w:rsidR="008A3C30" w:rsidRPr="00D34002">
        <w:rPr>
          <w:szCs w:val="20"/>
          <w:lang w:val="es-CR"/>
        </w:rPr>
        <w:t>dimensión colectiva</w:t>
      </w:r>
      <w:r w:rsidR="00D34002">
        <w:rPr>
          <w:szCs w:val="20"/>
          <w:lang w:val="es-CR"/>
        </w:rPr>
        <w:t xml:space="preserve"> de los </w:t>
      </w:r>
      <w:r w:rsidR="00D34002" w:rsidRPr="00666D79">
        <w:rPr>
          <w:szCs w:val="20"/>
          <w:lang w:val="es-CR"/>
        </w:rPr>
        <w:t>pueblos indígenas y tribales</w:t>
      </w:r>
      <w:r w:rsidR="001F0768" w:rsidRPr="00D34002">
        <w:rPr>
          <w:szCs w:val="20"/>
          <w:lang w:val="es-CR"/>
        </w:rPr>
        <w:t xml:space="preserve">. Lo anterior, en consonancia con la acertada interpretación que esta Corte ha desarrollado a lo largo de su </w:t>
      </w:r>
      <w:r w:rsidR="008A3C30" w:rsidRPr="00D34002">
        <w:rPr>
          <w:szCs w:val="20"/>
          <w:lang w:val="es-CR"/>
        </w:rPr>
        <w:t>jurisprudencia en la materia</w:t>
      </w:r>
      <w:r w:rsidR="001F0768" w:rsidRPr="00D34002">
        <w:rPr>
          <w:szCs w:val="20"/>
          <w:lang w:val="es-CR"/>
        </w:rPr>
        <w:t xml:space="preserve">, en el sentido de reconocer que los derechos de los pueblos indígenas y tribales se dotan de características </w:t>
      </w:r>
      <w:r w:rsidR="00133520">
        <w:rPr>
          <w:szCs w:val="20"/>
          <w:lang w:val="es-CR"/>
        </w:rPr>
        <w:t>singulares</w:t>
      </w:r>
      <w:r w:rsidR="00133520" w:rsidRPr="00D34002">
        <w:rPr>
          <w:szCs w:val="20"/>
          <w:lang w:val="es-CR"/>
        </w:rPr>
        <w:t xml:space="preserve"> </w:t>
      </w:r>
      <w:r w:rsidR="008A3C30" w:rsidRPr="00D34002">
        <w:rPr>
          <w:szCs w:val="20"/>
          <w:lang w:val="es-CR"/>
        </w:rPr>
        <w:t xml:space="preserve">relacionadas con sus formas particulares de </w:t>
      </w:r>
      <w:r w:rsidR="001F0768" w:rsidRPr="00D34002">
        <w:rPr>
          <w:szCs w:val="20"/>
          <w:lang w:val="es-CR"/>
        </w:rPr>
        <w:t xml:space="preserve">vida, </w:t>
      </w:r>
      <w:r w:rsidR="008A3C30" w:rsidRPr="00D34002">
        <w:rPr>
          <w:szCs w:val="20"/>
          <w:lang w:val="es-CR"/>
        </w:rPr>
        <w:t>tradiciones, cosmovi</w:t>
      </w:r>
      <w:r w:rsidR="004522A9" w:rsidRPr="00FC0995">
        <w:rPr>
          <w:szCs w:val="20"/>
          <w:lang w:val="es-CR"/>
        </w:rPr>
        <w:t>sión</w:t>
      </w:r>
      <w:r w:rsidR="008A3C30" w:rsidRPr="00FC0995">
        <w:rPr>
          <w:szCs w:val="20"/>
          <w:lang w:val="es-CR"/>
        </w:rPr>
        <w:t xml:space="preserve"> y cultura, las cuales también se encu</w:t>
      </w:r>
      <w:r w:rsidR="004522A9" w:rsidRPr="00FC0995">
        <w:rPr>
          <w:szCs w:val="20"/>
          <w:lang w:val="es-CR"/>
        </w:rPr>
        <w:t>entran</w:t>
      </w:r>
      <w:r w:rsidR="008A3C30" w:rsidRPr="00FC0995">
        <w:rPr>
          <w:szCs w:val="20"/>
          <w:lang w:val="es-CR"/>
        </w:rPr>
        <w:t xml:space="preserve"> protegidas por </w:t>
      </w:r>
      <w:r w:rsidR="008A3C30" w:rsidRPr="0060550D">
        <w:rPr>
          <w:szCs w:val="20"/>
          <w:lang w:val="es-CR"/>
        </w:rPr>
        <w:t>la Con</w:t>
      </w:r>
      <w:r w:rsidR="006556A6" w:rsidRPr="0060550D">
        <w:rPr>
          <w:szCs w:val="20"/>
          <w:lang w:val="es-CR"/>
        </w:rPr>
        <w:t>v</w:t>
      </w:r>
      <w:r w:rsidR="008A3C30" w:rsidRPr="0060550D">
        <w:rPr>
          <w:szCs w:val="20"/>
          <w:lang w:val="es-CR"/>
        </w:rPr>
        <w:t>e</w:t>
      </w:r>
      <w:r w:rsidR="006556A6" w:rsidRPr="0060550D">
        <w:rPr>
          <w:szCs w:val="20"/>
          <w:lang w:val="es-CR"/>
        </w:rPr>
        <w:t>n</w:t>
      </w:r>
      <w:r w:rsidR="008A3C30" w:rsidRPr="0060550D">
        <w:rPr>
          <w:szCs w:val="20"/>
          <w:lang w:val="es-CR"/>
        </w:rPr>
        <w:t>ción</w:t>
      </w:r>
      <w:r w:rsidR="008A3C30" w:rsidRPr="00FC0995">
        <w:rPr>
          <w:szCs w:val="20"/>
          <w:lang w:val="es-CR"/>
        </w:rPr>
        <w:t xml:space="preserve"> Americana de Derechos Humanos. </w:t>
      </w:r>
    </w:p>
    <w:p w14:paraId="61EBDA2C" w14:textId="77777777" w:rsidR="005B09F1" w:rsidRPr="00FC0995" w:rsidRDefault="005B09F1" w:rsidP="00343138">
      <w:pPr>
        <w:rPr>
          <w:szCs w:val="20"/>
          <w:lang w:val="es-CR"/>
        </w:rPr>
      </w:pPr>
    </w:p>
    <w:p w14:paraId="6EC1D25F" w14:textId="77777777" w:rsidR="00B82B1B" w:rsidRDefault="00B82B1B" w:rsidP="00343138">
      <w:pPr>
        <w:jc w:val="left"/>
        <w:rPr>
          <w:szCs w:val="20"/>
          <w:lang w:val="es-CR"/>
        </w:rPr>
      </w:pPr>
    </w:p>
    <w:p w14:paraId="110702AB" w14:textId="77777777" w:rsidR="003717FF" w:rsidRDefault="003717FF" w:rsidP="00343138">
      <w:pPr>
        <w:jc w:val="left"/>
        <w:rPr>
          <w:szCs w:val="20"/>
          <w:lang w:val="es-CR"/>
        </w:rPr>
      </w:pPr>
    </w:p>
    <w:p w14:paraId="2FCD32BA" w14:textId="4F6D316A" w:rsidR="00343138" w:rsidRDefault="00343138" w:rsidP="00343138">
      <w:pPr>
        <w:jc w:val="left"/>
        <w:rPr>
          <w:szCs w:val="20"/>
          <w:lang w:val="es-CR"/>
        </w:rPr>
      </w:pPr>
    </w:p>
    <w:p w14:paraId="54FE110B" w14:textId="2EEF43A3" w:rsidR="003717FF" w:rsidRPr="00FC0995" w:rsidRDefault="003717FF" w:rsidP="00343138">
      <w:pPr>
        <w:jc w:val="left"/>
        <w:rPr>
          <w:szCs w:val="20"/>
          <w:lang w:val="es-CR"/>
        </w:rPr>
      </w:pPr>
    </w:p>
    <w:p w14:paraId="54C7F7D5" w14:textId="3573EAEC" w:rsidR="004522A9" w:rsidRPr="00BA0ED4" w:rsidRDefault="00343138" w:rsidP="00300069">
      <w:pPr>
        <w:pStyle w:val="NormalWeb"/>
        <w:spacing w:before="0" w:beforeAutospacing="0" w:after="0" w:afterAutospacing="0"/>
        <w:ind w:right="96"/>
        <w:rPr>
          <w:rFonts w:ascii="Verdana" w:eastAsia="Calibri" w:hAnsi="Verdana"/>
          <w:sz w:val="20"/>
          <w:szCs w:val="20"/>
          <w:lang w:eastAsia="en-US"/>
        </w:rPr>
      </w:pPr>
      <w:r>
        <w:rPr>
          <w:rFonts w:ascii="Verdana" w:eastAsia="Calibri" w:hAnsi="Verdana"/>
          <w:sz w:val="20"/>
          <w:szCs w:val="20"/>
          <w:lang w:eastAsia="en-US"/>
        </w:rPr>
        <w:t xml:space="preserve">   </w:t>
      </w:r>
      <w:r w:rsidR="004522A9" w:rsidRPr="00BA0ED4">
        <w:rPr>
          <w:rFonts w:ascii="Verdana" w:eastAsia="Calibri" w:hAnsi="Verdana"/>
          <w:sz w:val="20"/>
          <w:szCs w:val="20"/>
          <w:lang w:eastAsia="en-US"/>
        </w:rPr>
        <w:t>Humberto Antonio Sierra Porto</w:t>
      </w:r>
      <w:r w:rsidR="004522A9" w:rsidRPr="00BA0ED4">
        <w:rPr>
          <w:rFonts w:ascii="Verdana" w:eastAsia="Calibri" w:hAnsi="Verdana"/>
          <w:sz w:val="20"/>
          <w:szCs w:val="20"/>
          <w:lang w:eastAsia="en-US"/>
        </w:rPr>
        <w:tab/>
      </w:r>
      <w:r w:rsidR="004522A9" w:rsidRPr="00BA0ED4">
        <w:rPr>
          <w:rFonts w:ascii="Verdana" w:eastAsia="Calibri" w:hAnsi="Verdana"/>
          <w:sz w:val="20"/>
          <w:szCs w:val="20"/>
          <w:lang w:eastAsia="en-US"/>
        </w:rPr>
        <w:tab/>
      </w:r>
      <w:r w:rsidR="004522A9" w:rsidRPr="00BA0ED4">
        <w:rPr>
          <w:rFonts w:ascii="Verdana" w:eastAsia="Calibri" w:hAnsi="Verdana"/>
          <w:sz w:val="20"/>
          <w:szCs w:val="20"/>
          <w:lang w:eastAsia="en-US"/>
        </w:rPr>
        <w:tab/>
        <w:t>Eduardo Ferrer Mac-Gregor Poisot</w:t>
      </w:r>
    </w:p>
    <w:p w14:paraId="167B7D26" w14:textId="3B083321" w:rsidR="004522A9" w:rsidRPr="00BA0ED4" w:rsidRDefault="004522A9" w:rsidP="00300069">
      <w:pPr>
        <w:pStyle w:val="NormalWeb"/>
        <w:spacing w:before="0" w:beforeAutospacing="0" w:after="0" w:afterAutospacing="0"/>
        <w:ind w:right="96" w:firstLine="708"/>
        <w:rPr>
          <w:rFonts w:ascii="Verdana" w:eastAsia="Calibri" w:hAnsi="Verdana"/>
          <w:sz w:val="20"/>
          <w:szCs w:val="20"/>
          <w:lang w:eastAsia="en-US"/>
        </w:rPr>
      </w:pPr>
      <w:r w:rsidRPr="00BA0ED4">
        <w:rPr>
          <w:rFonts w:ascii="Verdana" w:eastAsia="Calibri" w:hAnsi="Verdana"/>
          <w:sz w:val="20"/>
          <w:szCs w:val="20"/>
          <w:lang w:eastAsia="en-US"/>
        </w:rPr>
        <w:t xml:space="preserve">     </w:t>
      </w:r>
      <w:r w:rsidR="00343138">
        <w:rPr>
          <w:rFonts w:ascii="Verdana" w:eastAsia="Calibri" w:hAnsi="Verdana"/>
          <w:sz w:val="20"/>
          <w:szCs w:val="20"/>
          <w:lang w:eastAsia="en-US"/>
        </w:rPr>
        <w:t xml:space="preserve">  </w:t>
      </w:r>
      <w:r w:rsidRPr="00BA0ED4">
        <w:rPr>
          <w:rFonts w:ascii="Verdana" w:eastAsia="Calibri" w:hAnsi="Verdana"/>
          <w:sz w:val="20"/>
          <w:szCs w:val="20"/>
          <w:lang w:eastAsia="en-US"/>
        </w:rPr>
        <w:t xml:space="preserve"> Juez</w:t>
      </w:r>
      <w:r w:rsidRPr="00BA0ED4">
        <w:rPr>
          <w:rFonts w:ascii="Verdana" w:eastAsia="Calibri" w:hAnsi="Verdana"/>
          <w:sz w:val="20"/>
          <w:szCs w:val="20"/>
          <w:lang w:eastAsia="en-US"/>
        </w:rPr>
        <w:tab/>
      </w:r>
      <w:r w:rsidRPr="00BA0ED4">
        <w:rPr>
          <w:rFonts w:ascii="Verdana" w:eastAsia="Calibri" w:hAnsi="Verdana"/>
          <w:sz w:val="20"/>
          <w:szCs w:val="20"/>
          <w:lang w:eastAsia="en-US"/>
        </w:rPr>
        <w:tab/>
      </w:r>
      <w:r w:rsidRPr="00BA0ED4">
        <w:rPr>
          <w:rFonts w:ascii="Verdana" w:eastAsia="Calibri" w:hAnsi="Verdana"/>
          <w:sz w:val="20"/>
          <w:szCs w:val="20"/>
          <w:lang w:eastAsia="en-US"/>
        </w:rPr>
        <w:tab/>
      </w:r>
      <w:r w:rsidRPr="00BA0ED4">
        <w:rPr>
          <w:rFonts w:ascii="Verdana" w:eastAsia="Calibri" w:hAnsi="Verdana"/>
          <w:sz w:val="20"/>
          <w:szCs w:val="20"/>
          <w:lang w:eastAsia="en-US"/>
        </w:rPr>
        <w:tab/>
      </w:r>
      <w:bookmarkStart w:id="0" w:name="_GoBack"/>
      <w:bookmarkEnd w:id="0"/>
      <w:r w:rsidRPr="00BA0ED4">
        <w:rPr>
          <w:rFonts w:ascii="Verdana" w:eastAsia="Calibri" w:hAnsi="Verdana"/>
          <w:sz w:val="20"/>
          <w:szCs w:val="20"/>
          <w:lang w:eastAsia="en-US"/>
        </w:rPr>
        <w:tab/>
      </w:r>
      <w:r w:rsidRPr="00BA0ED4">
        <w:rPr>
          <w:rFonts w:ascii="Verdana" w:eastAsia="Calibri" w:hAnsi="Verdana"/>
          <w:sz w:val="20"/>
          <w:szCs w:val="20"/>
          <w:lang w:eastAsia="en-US"/>
        </w:rPr>
        <w:tab/>
      </w:r>
      <w:r w:rsidRPr="00BA0ED4">
        <w:rPr>
          <w:rFonts w:ascii="Verdana" w:eastAsia="Calibri" w:hAnsi="Verdana"/>
          <w:sz w:val="20"/>
          <w:szCs w:val="20"/>
          <w:lang w:eastAsia="en-US"/>
        </w:rPr>
        <w:tab/>
        <w:t>Juez</w:t>
      </w:r>
    </w:p>
    <w:p w14:paraId="1A7CDB52" w14:textId="77777777" w:rsidR="004522A9" w:rsidRPr="00FC0995" w:rsidRDefault="004522A9" w:rsidP="004522A9">
      <w:pPr>
        <w:rPr>
          <w:szCs w:val="20"/>
          <w:lang w:val="es-CR"/>
        </w:rPr>
      </w:pPr>
    </w:p>
    <w:p w14:paraId="5AF20308" w14:textId="77777777" w:rsidR="004522A9" w:rsidRPr="00FC0995" w:rsidRDefault="004522A9" w:rsidP="004522A9">
      <w:pPr>
        <w:rPr>
          <w:szCs w:val="20"/>
          <w:lang w:val="es-CR"/>
        </w:rPr>
      </w:pPr>
    </w:p>
    <w:p w14:paraId="4B09841B" w14:textId="77777777" w:rsidR="004522A9" w:rsidRPr="00FC0995" w:rsidRDefault="004522A9" w:rsidP="004522A9">
      <w:pPr>
        <w:rPr>
          <w:szCs w:val="20"/>
          <w:lang w:val="es-CR"/>
        </w:rPr>
      </w:pPr>
    </w:p>
    <w:p w14:paraId="364BEFE8" w14:textId="77777777" w:rsidR="004522A9" w:rsidRPr="00FC0995" w:rsidRDefault="004522A9" w:rsidP="004522A9">
      <w:pPr>
        <w:rPr>
          <w:szCs w:val="20"/>
          <w:lang w:val="es-CR"/>
        </w:rPr>
      </w:pPr>
    </w:p>
    <w:p w14:paraId="5C777B4B" w14:textId="77777777" w:rsidR="00B82B1B" w:rsidRPr="00FC0995" w:rsidRDefault="00B82B1B" w:rsidP="004522A9">
      <w:pPr>
        <w:rPr>
          <w:szCs w:val="20"/>
          <w:lang w:val="es-CR"/>
        </w:rPr>
      </w:pPr>
    </w:p>
    <w:p w14:paraId="710394AD" w14:textId="4B73CCD1" w:rsidR="004522A9" w:rsidRPr="00FC0995" w:rsidRDefault="004522A9" w:rsidP="00887D51">
      <w:pPr>
        <w:jc w:val="center"/>
        <w:rPr>
          <w:szCs w:val="20"/>
          <w:lang w:val="es-CR"/>
        </w:rPr>
      </w:pPr>
    </w:p>
    <w:p w14:paraId="42F69B53" w14:textId="408E8653" w:rsidR="004522A9" w:rsidRPr="00BA0ED4" w:rsidRDefault="004522A9" w:rsidP="00887D51">
      <w:pPr>
        <w:jc w:val="center"/>
        <w:rPr>
          <w:szCs w:val="20"/>
          <w:lang w:val="es-CR"/>
        </w:rPr>
      </w:pPr>
      <w:r w:rsidRPr="00BA0ED4">
        <w:rPr>
          <w:szCs w:val="20"/>
          <w:lang w:val="es-CR"/>
        </w:rPr>
        <w:t>Pablo Saavedra Alessandri</w:t>
      </w:r>
    </w:p>
    <w:p w14:paraId="771CC6E9" w14:textId="73CAC43A" w:rsidR="004522A9" w:rsidRPr="00FC0995" w:rsidRDefault="004522A9" w:rsidP="00887D51">
      <w:pPr>
        <w:jc w:val="center"/>
        <w:rPr>
          <w:szCs w:val="20"/>
          <w:lang w:val="es-CR"/>
        </w:rPr>
      </w:pPr>
      <w:r w:rsidRPr="00BA0ED4">
        <w:rPr>
          <w:szCs w:val="20"/>
          <w:lang w:val="es-CR"/>
        </w:rPr>
        <w:t>Secretario</w:t>
      </w:r>
    </w:p>
    <w:sectPr w:rsidR="004522A9" w:rsidRPr="00FC0995" w:rsidSect="00343138">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4A76CE" w15:done="0"/>
  <w15:commentEx w15:paraId="5ABC7DF3" w15:done="0"/>
  <w15:commentEx w15:paraId="0C38A7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A7431" w14:textId="77777777" w:rsidR="00D3183C" w:rsidRDefault="00D3183C" w:rsidP="00E058B2">
      <w:r>
        <w:separator/>
      </w:r>
    </w:p>
  </w:endnote>
  <w:endnote w:type="continuationSeparator" w:id="0">
    <w:p w14:paraId="24E3B503" w14:textId="77777777" w:rsidR="00D3183C" w:rsidRDefault="00D3183C" w:rsidP="00E0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Palatino-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36279" w14:textId="77777777" w:rsidR="00BD7D70" w:rsidRDefault="00BD7D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504513"/>
      <w:docPartObj>
        <w:docPartGallery w:val="Page Numbers (Bottom of Page)"/>
        <w:docPartUnique/>
      </w:docPartObj>
    </w:sdtPr>
    <w:sdtEndPr/>
    <w:sdtContent>
      <w:p w14:paraId="0774BB6F" w14:textId="5E5E977C" w:rsidR="00B0528F" w:rsidRDefault="00B0528F">
        <w:pPr>
          <w:pStyle w:val="Footer"/>
          <w:jc w:val="center"/>
        </w:pPr>
        <w:r>
          <w:fldChar w:fldCharType="begin"/>
        </w:r>
        <w:r>
          <w:instrText>PAGE   \* MERGEFORMAT</w:instrText>
        </w:r>
        <w:r>
          <w:fldChar w:fldCharType="separate"/>
        </w:r>
        <w:r w:rsidR="002A3CBE" w:rsidRPr="002A3CBE">
          <w:rPr>
            <w:lang w:val="es-ES"/>
          </w:rPr>
          <w:t>7</w:t>
        </w:r>
        <w:r>
          <w:fldChar w:fldCharType="end"/>
        </w:r>
      </w:p>
    </w:sdtContent>
  </w:sdt>
  <w:p w14:paraId="24473657" w14:textId="77777777" w:rsidR="00B0528F" w:rsidRDefault="00B052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C57FF" w14:textId="77777777" w:rsidR="00BD7D70" w:rsidRDefault="00BD7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D4BE0" w14:textId="77777777" w:rsidR="00D3183C" w:rsidRDefault="00D3183C" w:rsidP="00E058B2">
      <w:r>
        <w:separator/>
      </w:r>
    </w:p>
  </w:footnote>
  <w:footnote w:type="continuationSeparator" w:id="0">
    <w:p w14:paraId="3E86219A" w14:textId="77777777" w:rsidR="00D3183C" w:rsidRDefault="00D3183C" w:rsidP="00E058B2">
      <w:r>
        <w:continuationSeparator/>
      </w:r>
    </w:p>
  </w:footnote>
  <w:footnote w:id="1">
    <w:p w14:paraId="028E0DA1" w14:textId="51CB254F" w:rsidR="00B0528F" w:rsidRPr="001C303C" w:rsidRDefault="00B0528F" w:rsidP="00CD62F5">
      <w:pPr>
        <w:pStyle w:val="FootnoteText"/>
        <w:tabs>
          <w:tab w:val="left" w:pos="567"/>
        </w:tabs>
        <w:spacing w:after="120"/>
        <w:jc w:val="both"/>
        <w:rPr>
          <w:rFonts w:ascii="Verdana" w:hAnsi="Verdana"/>
          <w:sz w:val="16"/>
          <w:szCs w:val="16"/>
        </w:rPr>
      </w:pPr>
      <w:r w:rsidRPr="001C303C">
        <w:rPr>
          <w:rStyle w:val="FootnoteReference"/>
          <w:rFonts w:ascii="Verdana" w:hAnsi="Verdana"/>
          <w:sz w:val="16"/>
          <w:szCs w:val="16"/>
        </w:rPr>
        <w:footnoteRef/>
      </w:r>
      <w:r w:rsidRPr="001C303C">
        <w:rPr>
          <w:rFonts w:ascii="Verdana" w:hAnsi="Verdana"/>
          <w:sz w:val="16"/>
          <w:szCs w:val="16"/>
        </w:rPr>
        <w:t xml:space="preserve"> </w:t>
      </w:r>
      <w:r w:rsidR="006556A6" w:rsidRPr="00313166">
        <w:rPr>
          <w:rFonts w:ascii="Verdana" w:hAnsi="Verdana"/>
          <w:sz w:val="16"/>
          <w:szCs w:val="16"/>
        </w:rPr>
        <w:tab/>
      </w:r>
      <w:r w:rsidRPr="00313166">
        <w:rPr>
          <w:rFonts w:ascii="Verdana" w:hAnsi="Verdana"/>
          <w:sz w:val="16"/>
          <w:szCs w:val="16"/>
        </w:rPr>
        <w:t xml:space="preserve">Este Tribunal ha determinado que “[l]os indígenas por el hecho de su propia existencia tienen derecho a vivir libremente en sus propios territorios; la estrecha relación que los indígenas mantienen con la tierra debe </w:t>
      </w:r>
      <w:r w:rsidRPr="001C303C">
        <w:rPr>
          <w:rFonts w:ascii="Verdana" w:hAnsi="Verdana"/>
          <w:sz w:val="16"/>
          <w:szCs w:val="16"/>
        </w:rPr>
        <w:t xml:space="preserve">de ser reconocida y comprendida como la base fundamental de sus culturas, su vida espiritual, su integridad y su supervivencia económica.  Para las comunidades indígenas la relación con la tierra no es meramente una cuestión de posesión y producción sino un elemento material y espiritual del que deben gozar plenamente, inclusive para preservar su legado cultural y transmitirlo a las generaciones futuras”. </w:t>
      </w:r>
      <w:r w:rsidRPr="001C303C">
        <w:rPr>
          <w:rStyle w:val="apple-converted-space"/>
          <w:rFonts w:ascii="Verdana" w:hAnsi="Verdana"/>
          <w:bCs/>
          <w:i/>
          <w:color w:val="000000"/>
          <w:sz w:val="16"/>
          <w:szCs w:val="16"/>
        </w:rPr>
        <w:t xml:space="preserve">Caso </w:t>
      </w:r>
      <w:r w:rsidRPr="001C303C">
        <w:rPr>
          <w:rStyle w:val="Strong"/>
          <w:rFonts w:ascii="Verdana" w:hAnsi="Verdana"/>
          <w:b w:val="0"/>
          <w:i/>
          <w:color w:val="000000"/>
          <w:sz w:val="16"/>
          <w:szCs w:val="16"/>
        </w:rPr>
        <w:t xml:space="preserve">de la Comunidad </w:t>
      </w:r>
      <w:proofErr w:type="spellStart"/>
      <w:r w:rsidRPr="001C303C">
        <w:rPr>
          <w:rStyle w:val="Strong"/>
          <w:rFonts w:ascii="Verdana" w:hAnsi="Verdana"/>
          <w:b w:val="0"/>
          <w:i/>
          <w:color w:val="000000"/>
          <w:sz w:val="16"/>
          <w:szCs w:val="16"/>
        </w:rPr>
        <w:t>Mayagna</w:t>
      </w:r>
      <w:proofErr w:type="spellEnd"/>
      <w:r w:rsidRPr="001C303C">
        <w:rPr>
          <w:rStyle w:val="Strong"/>
          <w:rFonts w:ascii="Verdana" w:hAnsi="Verdana"/>
          <w:b w:val="0"/>
          <w:i/>
          <w:color w:val="000000"/>
          <w:sz w:val="16"/>
          <w:szCs w:val="16"/>
        </w:rPr>
        <w:t xml:space="preserve"> (Sumo) </w:t>
      </w:r>
      <w:proofErr w:type="spellStart"/>
      <w:r w:rsidRPr="001C303C">
        <w:rPr>
          <w:rStyle w:val="Strong"/>
          <w:rFonts w:ascii="Verdana" w:hAnsi="Verdana"/>
          <w:b w:val="0"/>
          <w:i/>
          <w:color w:val="000000"/>
          <w:sz w:val="16"/>
          <w:szCs w:val="16"/>
        </w:rPr>
        <w:t>Awas</w:t>
      </w:r>
      <w:proofErr w:type="spellEnd"/>
      <w:r w:rsidRPr="001C303C">
        <w:rPr>
          <w:rStyle w:val="Strong"/>
          <w:rFonts w:ascii="Verdana" w:hAnsi="Verdana"/>
          <w:b w:val="0"/>
          <w:i/>
          <w:color w:val="000000"/>
          <w:sz w:val="16"/>
          <w:szCs w:val="16"/>
        </w:rPr>
        <w:t xml:space="preserve"> </w:t>
      </w:r>
      <w:proofErr w:type="spellStart"/>
      <w:r w:rsidRPr="001C303C">
        <w:rPr>
          <w:rStyle w:val="Strong"/>
          <w:rFonts w:ascii="Verdana" w:hAnsi="Verdana"/>
          <w:b w:val="0"/>
          <w:i/>
          <w:color w:val="000000"/>
          <w:sz w:val="16"/>
          <w:szCs w:val="16"/>
        </w:rPr>
        <w:t>Tingni</w:t>
      </w:r>
      <w:proofErr w:type="spellEnd"/>
      <w:r w:rsidRPr="001C303C">
        <w:rPr>
          <w:rStyle w:val="Strong"/>
          <w:rFonts w:ascii="Verdana" w:hAnsi="Verdana"/>
          <w:b w:val="0"/>
          <w:i/>
          <w:color w:val="000000"/>
          <w:sz w:val="16"/>
          <w:szCs w:val="16"/>
        </w:rPr>
        <w:t xml:space="preserve"> Vs. Nicaragua. Fondo, Reparaciones y Costas.</w:t>
      </w:r>
      <w:r w:rsidRPr="001C303C">
        <w:rPr>
          <w:rStyle w:val="Strong"/>
          <w:rFonts w:ascii="Verdana" w:hAnsi="Verdana"/>
          <w:b w:val="0"/>
          <w:color w:val="000000"/>
          <w:sz w:val="16"/>
          <w:szCs w:val="16"/>
        </w:rPr>
        <w:t xml:space="preserve"> Sentencia de 31 de agosto de 2001. Serie C No. 79, </w:t>
      </w:r>
      <w:r w:rsidRPr="001C303C">
        <w:rPr>
          <w:rFonts w:ascii="Verdana" w:hAnsi="Verdana"/>
          <w:sz w:val="16"/>
          <w:szCs w:val="16"/>
          <w:lang w:val="es-MX"/>
        </w:rPr>
        <w:t xml:space="preserve"> párr. 149</w:t>
      </w:r>
      <w:r w:rsidR="00034882" w:rsidRPr="001C303C">
        <w:rPr>
          <w:rFonts w:ascii="Verdana" w:hAnsi="Verdana"/>
          <w:sz w:val="16"/>
          <w:szCs w:val="16"/>
          <w:lang w:val="es-MX"/>
        </w:rPr>
        <w:t>.</w:t>
      </w:r>
    </w:p>
  </w:footnote>
  <w:footnote w:id="2">
    <w:p w14:paraId="23976AD1" w14:textId="6EC6D0DC" w:rsidR="006556A6" w:rsidRPr="001C303C" w:rsidRDefault="00B0528F" w:rsidP="00CD62F5">
      <w:pPr>
        <w:pStyle w:val="FootnoteText"/>
        <w:tabs>
          <w:tab w:val="left" w:pos="567"/>
        </w:tabs>
        <w:spacing w:after="120"/>
        <w:jc w:val="both"/>
        <w:rPr>
          <w:rFonts w:ascii="Verdana" w:hAnsi="Verdana"/>
          <w:i/>
          <w:sz w:val="16"/>
          <w:szCs w:val="16"/>
        </w:rPr>
      </w:pPr>
      <w:r w:rsidRPr="00300069">
        <w:rPr>
          <w:rStyle w:val="FootnoteReference"/>
          <w:rFonts w:ascii="Verdana" w:hAnsi="Verdana"/>
          <w:sz w:val="16"/>
          <w:szCs w:val="16"/>
        </w:rPr>
        <w:footnoteRef/>
      </w:r>
      <w:r w:rsidRPr="001C303C">
        <w:rPr>
          <w:rFonts w:ascii="Verdana" w:hAnsi="Verdana"/>
          <w:sz w:val="16"/>
          <w:szCs w:val="16"/>
        </w:rPr>
        <w:t xml:space="preserve"> </w:t>
      </w:r>
      <w:r w:rsidRPr="001C303C">
        <w:rPr>
          <w:rFonts w:ascii="Verdana" w:hAnsi="Verdana"/>
          <w:sz w:val="16"/>
          <w:szCs w:val="16"/>
        </w:rPr>
        <w:tab/>
      </w:r>
      <w:r w:rsidRPr="00313166">
        <w:rPr>
          <w:rFonts w:ascii="Verdana" w:hAnsi="Verdana"/>
          <w:i/>
          <w:sz w:val="16"/>
          <w:szCs w:val="16"/>
        </w:rPr>
        <w:t>Cfr</w:t>
      </w:r>
      <w:r w:rsidR="00C50548" w:rsidRPr="00313166">
        <w:rPr>
          <w:rFonts w:ascii="Verdana" w:hAnsi="Verdana"/>
          <w:i/>
          <w:sz w:val="16"/>
          <w:szCs w:val="16"/>
        </w:rPr>
        <w:t xml:space="preserve">. </w:t>
      </w:r>
      <w:r w:rsidRPr="001C303C">
        <w:rPr>
          <w:rStyle w:val="Strong"/>
          <w:rFonts w:ascii="Verdana" w:hAnsi="Verdana"/>
          <w:b w:val="0"/>
          <w:i/>
          <w:color w:val="000000"/>
          <w:sz w:val="16"/>
          <w:szCs w:val="16"/>
        </w:rPr>
        <w:t xml:space="preserve">Caso del Pueblo </w:t>
      </w:r>
      <w:proofErr w:type="spellStart"/>
      <w:r w:rsidRPr="001C303C">
        <w:rPr>
          <w:rStyle w:val="Strong"/>
          <w:rFonts w:ascii="Verdana" w:hAnsi="Verdana"/>
          <w:b w:val="0"/>
          <w:i/>
          <w:color w:val="000000"/>
          <w:sz w:val="16"/>
          <w:szCs w:val="16"/>
        </w:rPr>
        <w:t>Saramaka</w:t>
      </w:r>
      <w:proofErr w:type="spellEnd"/>
      <w:r w:rsidRPr="001C303C">
        <w:rPr>
          <w:rStyle w:val="Strong"/>
          <w:rFonts w:ascii="Verdana" w:hAnsi="Verdana"/>
          <w:b w:val="0"/>
          <w:i/>
          <w:color w:val="000000"/>
          <w:sz w:val="16"/>
          <w:szCs w:val="16"/>
        </w:rPr>
        <w:t xml:space="preserve">. Vs. Surinam. Excepciones Preliminares, Fondo, Reparaciones y Costas. </w:t>
      </w:r>
      <w:r w:rsidRPr="00300069">
        <w:rPr>
          <w:rStyle w:val="Strong"/>
          <w:rFonts w:ascii="Verdana" w:hAnsi="Verdana"/>
          <w:b w:val="0"/>
          <w:color w:val="000000"/>
          <w:sz w:val="16"/>
          <w:szCs w:val="16"/>
        </w:rPr>
        <w:t>Sentencia de 28 de noviembre de 2007. Serie C No. 172</w:t>
      </w:r>
      <w:r w:rsidR="00C50548" w:rsidRPr="001C303C">
        <w:rPr>
          <w:rFonts w:ascii="Verdana" w:hAnsi="Verdana"/>
          <w:sz w:val="16"/>
          <w:szCs w:val="16"/>
        </w:rPr>
        <w:t xml:space="preserve">, </w:t>
      </w:r>
      <w:r w:rsidRPr="00300069">
        <w:rPr>
          <w:rFonts w:ascii="Verdana" w:hAnsi="Verdana"/>
          <w:sz w:val="16"/>
          <w:szCs w:val="16"/>
        </w:rPr>
        <w:t>párr. 133.</w:t>
      </w:r>
    </w:p>
  </w:footnote>
  <w:footnote w:id="3">
    <w:p w14:paraId="02E99A23" w14:textId="76712B70" w:rsidR="006556A6" w:rsidRPr="001C303C" w:rsidRDefault="00B0528F" w:rsidP="00CD62F5">
      <w:pPr>
        <w:pStyle w:val="Footnotes"/>
        <w:spacing w:before="0" w:after="120"/>
        <w:rPr>
          <w:rFonts w:cs="Verdana"/>
          <w:bCs/>
          <w:snapToGrid w:val="0"/>
          <w:lang w:eastAsia="es-ES"/>
        </w:rPr>
      </w:pPr>
      <w:r w:rsidRPr="001C303C">
        <w:rPr>
          <w:rStyle w:val="FootnoteReference"/>
        </w:rPr>
        <w:footnoteRef/>
      </w:r>
      <w:r w:rsidRPr="001C303C">
        <w:t xml:space="preserve"> </w:t>
      </w:r>
      <w:r w:rsidRPr="001C303C">
        <w:tab/>
      </w:r>
      <w:r w:rsidRPr="00313166">
        <w:rPr>
          <w:i/>
        </w:rPr>
        <w:t xml:space="preserve">Caso del </w:t>
      </w:r>
      <w:r w:rsidRPr="00313166">
        <w:rPr>
          <w:rFonts w:cs="Verdana"/>
          <w:bCs/>
          <w:i/>
          <w:snapToGrid w:val="0"/>
          <w:lang w:eastAsia="es-ES"/>
        </w:rPr>
        <w:t xml:space="preserve">Pueblo Indígena </w:t>
      </w:r>
      <w:proofErr w:type="spellStart"/>
      <w:r w:rsidRPr="00313166">
        <w:rPr>
          <w:rFonts w:cs="Verdana"/>
          <w:bCs/>
          <w:i/>
          <w:snapToGrid w:val="0"/>
          <w:lang w:eastAsia="es-ES"/>
        </w:rPr>
        <w:t>Kichwa</w:t>
      </w:r>
      <w:proofErr w:type="spellEnd"/>
      <w:r w:rsidRPr="00313166">
        <w:rPr>
          <w:rFonts w:cs="Verdana"/>
          <w:bCs/>
          <w:i/>
          <w:snapToGrid w:val="0"/>
          <w:lang w:eastAsia="es-ES"/>
        </w:rPr>
        <w:t xml:space="preserve"> de </w:t>
      </w:r>
      <w:proofErr w:type="spellStart"/>
      <w:r w:rsidRPr="00313166">
        <w:rPr>
          <w:rFonts w:cs="Verdana"/>
          <w:bCs/>
          <w:i/>
          <w:snapToGrid w:val="0"/>
          <w:lang w:eastAsia="es-ES"/>
        </w:rPr>
        <w:t>Sarayaku</w:t>
      </w:r>
      <w:proofErr w:type="spellEnd"/>
      <w:r w:rsidRPr="00313166">
        <w:rPr>
          <w:rFonts w:cs="Verdana"/>
          <w:bCs/>
          <w:i/>
          <w:snapToGrid w:val="0"/>
          <w:lang w:eastAsia="es-ES"/>
        </w:rPr>
        <w:t xml:space="preserve"> </w:t>
      </w:r>
      <w:r w:rsidRPr="00D34002">
        <w:rPr>
          <w:i/>
        </w:rPr>
        <w:t xml:space="preserve">Vs. Ecuador. Fondo y Reparaciones. Sentencia de 27 de junio de 2012. </w:t>
      </w:r>
      <w:r w:rsidRPr="00300069">
        <w:t>Serie C No. 245</w:t>
      </w:r>
      <w:r w:rsidRPr="001C303C">
        <w:rPr>
          <w:rFonts w:cs="Verdana"/>
          <w:bCs/>
          <w:snapToGrid w:val="0"/>
          <w:lang w:eastAsia="es-ES"/>
        </w:rPr>
        <w:t>,</w:t>
      </w:r>
      <w:r w:rsidRPr="00D34002">
        <w:rPr>
          <w:rFonts w:cs="Verdana"/>
          <w:bCs/>
          <w:snapToGrid w:val="0"/>
          <w:lang w:eastAsia="es-ES"/>
        </w:rPr>
        <w:t xml:space="preserve"> párr. 157</w:t>
      </w:r>
      <w:r w:rsidRPr="001C303C">
        <w:rPr>
          <w:rFonts w:cs="Verdana"/>
          <w:bCs/>
          <w:snapToGrid w:val="0"/>
          <w:lang w:eastAsia="es-ES"/>
        </w:rPr>
        <w:t xml:space="preserve">, y </w:t>
      </w:r>
      <w:r w:rsidRPr="001C303C">
        <w:rPr>
          <w:i/>
        </w:rPr>
        <w:t xml:space="preserve">Caso Comunidad Garífuna Triunfo de la Cruz </w:t>
      </w:r>
      <w:r w:rsidR="005301C5" w:rsidRPr="001C303C">
        <w:rPr>
          <w:i/>
          <w:lang w:val="es-CR"/>
        </w:rPr>
        <w:t>y sus miembros Vs. Honduras. Fondo, Reparaciones y Costas.</w:t>
      </w:r>
      <w:r w:rsidR="005301C5" w:rsidRPr="001C303C">
        <w:rPr>
          <w:lang w:val="es-CR"/>
        </w:rPr>
        <w:t xml:space="preserve"> Sentencia de 8 de octubre de 2015. Serie C No. 305</w:t>
      </w:r>
      <w:r w:rsidRPr="001C303C">
        <w:rPr>
          <w:i/>
        </w:rPr>
        <w:t>,</w:t>
      </w:r>
      <w:r w:rsidRPr="001C303C">
        <w:t xml:space="preserve"> párr. 156.</w:t>
      </w:r>
    </w:p>
  </w:footnote>
  <w:footnote w:id="4">
    <w:p w14:paraId="2B5661DA" w14:textId="7D2644E4" w:rsidR="006556A6" w:rsidRPr="001C303C" w:rsidRDefault="00B0528F" w:rsidP="00CD62F5">
      <w:pPr>
        <w:pStyle w:val="Footnotes"/>
        <w:spacing w:before="0" w:after="120"/>
      </w:pPr>
      <w:r w:rsidRPr="001C303C">
        <w:rPr>
          <w:rStyle w:val="FootnoteReference"/>
        </w:rPr>
        <w:footnoteRef/>
      </w:r>
      <w:r w:rsidRPr="001C303C">
        <w:t xml:space="preserve"> </w:t>
      </w:r>
      <w:r w:rsidRPr="001C303C">
        <w:tab/>
      </w:r>
      <w:r w:rsidR="00C50548" w:rsidRPr="00313166">
        <w:rPr>
          <w:i/>
          <w:lang w:val="es-CR"/>
        </w:rPr>
        <w:t>Caso Comunidad Garífuna de Punta Piedra y sus miembros Vs. Honduras. Excepciones Preliminares, Fondo, Reparaciones y Costas.</w:t>
      </w:r>
      <w:r w:rsidR="00C50548" w:rsidRPr="00D34002">
        <w:rPr>
          <w:lang w:val="es-CR"/>
        </w:rPr>
        <w:t xml:space="preserve"> Sentencia de </w:t>
      </w:r>
      <w:r w:rsidR="00C50548" w:rsidRPr="001C303C">
        <w:rPr>
          <w:lang w:val="es-CR"/>
        </w:rPr>
        <w:t>8 de octubre de 2015. Serie C No. 304</w:t>
      </w:r>
      <w:r w:rsidR="00C50548" w:rsidRPr="001C303C">
        <w:t xml:space="preserve">, </w:t>
      </w:r>
      <w:r w:rsidRPr="001C303C">
        <w:t>párr. 215.</w:t>
      </w:r>
    </w:p>
  </w:footnote>
  <w:footnote w:id="5">
    <w:p w14:paraId="7CF0C24E" w14:textId="695E5F85" w:rsidR="006556A6" w:rsidRPr="001C303C" w:rsidRDefault="00B0528F" w:rsidP="00CD62F5">
      <w:pPr>
        <w:pStyle w:val="FootnoteText"/>
        <w:tabs>
          <w:tab w:val="left" w:pos="567"/>
        </w:tabs>
        <w:spacing w:after="120"/>
        <w:jc w:val="both"/>
        <w:rPr>
          <w:rFonts w:ascii="Verdana" w:hAnsi="Verdana"/>
          <w:sz w:val="16"/>
          <w:szCs w:val="16"/>
          <w:lang w:val="es-CR"/>
        </w:rPr>
      </w:pPr>
      <w:r w:rsidRPr="00300069">
        <w:rPr>
          <w:rStyle w:val="FootnoteReference"/>
          <w:rFonts w:ascii="Verdana" w:hAnsi="Verdana"/>
          <w:sz w:val="16"/>
          <w:szCs w:val="16"/>
        </w:rPr>
        <w:footnoteRef/>
      </w:r>
      <w:r w:rsidRPr="00300069">
        <w:rPr>
          <w:rFonts w:ascii="Verdana" w:hAnsi="Verdana"/>
          <w:sz w:val="16"/>
          <w:szCs w:val="16"/>
        </w:rPr>
        <w:t xml:space="preserve"> </w:t>
      </w:r>
      <w:r w:rsidRPr="00300069">
        <w:rPr>
          <w:rFonts w:ascii="Verdana" w:hAnsi="Verdana"/>
          <w:sz w:val="16"/>
          <w:szCs w:val="16"/>
        </w:rPr>
        <w:tab/>
      </w:r>
      <w:r w:rsidR="00CD62F5" w:rsidRPr="00300069">
        <w:rPr>
          <w:rFonts w:ascii="Verdana" w:hAnsi="Verdana"/>
          <w:i/>
          <w:sz w:val="16"/>
          <w:szCs w:val="16"/>
        </w:rPr>
        <w:t>Cfr.</w:t>
      </w:r>
      <w:r w:rsidR="00CD62F5" w:rsidRPr="001C303C">
        <w:rPr>
          <w:rFonts w:ascii="Verdana" w:hAnsi="Verdana"/>
          <w:sz w:val="16"/>
          <w:szCs w:val="16"/>
        </w:rPr>
        <w:t xml:space="preserve"> </w:t>
      </w:r>
      <w:r w:rsidRPr="001C303C">
        <w:rPr>
          <w:rFonts w:ascii="Verdana" w:hAnsi="Verdana"/>
          <w:i/>
          <w:sz w:val="16"/>
          <w:szCs w:val="16"/>
        </w:rPr>
        <w:t xml:space="preserve">Caso </w:t>
      </w:r>
      <w:r w:rsidR="00313166">
        <w:rPr>
          <w:rFonts w:ascii="Verdana" w:hAnsi="Verdana"/>
          <w:i/>
          <w:sz w:val="16"/>
          <w:szCs w:val="16"/>
        </w:rPr>
        <w:t xml:space="preserve">del </w:t>
      </w:r>
      <w:r w:rsidRPr="001C303C">
        <w:rPr>
          <w:rFonts w:ascii="Verdana" w:hAnsi="Verdana"/>
          <w:i/>
          <w:sz w:val="16"/>
          <w:szCs w:val="16"/>
        </w:rPr>
        <w:t xml:space="preserve">Pueblo </w:t>
      </w:r>
      <w:proofErr w:type="spellStart"/>
      <w:r w:rsidRPr="001C303C">
        <w:rPr>
          <w:rFonts w:ascii="Verdana" w:hAnsi="Verdana"/>
          <w:i/>
          <w:sz w:val="16"/>
          <w:szCs w:val="16"/>
        </w:rPr>
        <w:t>Saramaka</w:t>
      </w:r>
      <w:proofErr w:type="spellEnd"/>
      <w:r w:rsidR="00CD62F5">
        <w:rPr>
          <w:rFonts w:ascii="Verdana" w:hAnsi="Verdana"/>
          <w:i/>
          <w:sz w:val="16"/>
          <w:szCs w:val="16"/>
        </w:rPr>
        <w:t xml:space="preserve">, </w:t>
      </w:r>
      <w:r w:rsidRPr="001C303C">
        <w:rPr>
          <w:rFonts w:ascii="Verdana" w:hAnsi="Verdana"/>
          <w:i/>
          <w:sz w:val="16"/>
          <w:szCs w:val="16"/>
        </w:rPr>
        <w:t>supra,</w:t>
      </w:r>
      <w:r w:rsidRPr="00313166">
        <w:rPr>
          <w:rFonts w:ascii="Verdana" w:hAnsi="Verdana"/>
          <w:i/>
          <w:sz w:val="16"/>
          <w:szCs w:val="16"/>
        </w:rPr>
        <w:t xml:space="preserve"> </w:t>
      </w:r>
      <w:r w:rsidRPr="00D34002">
        <w:rPr>
          <w:rFonts w:ascii="Verdana" w:hAnsi="Verdana"/>
          <w:sz w:val="16"/>
          <w:szCs w:val="16"/>
        </w:rPr>
        <w:t>párr. 95</w:t>
      </w:r>
      <w:r w:rsidRPr="001C303C">
        <w:rPr>
          <w:rFonts w:ascii="Verdana" w:hAnsi="Verdana"/>
          <w:sz w:val="16"/>
          <w:szCs w:val="16"/>
        </w:rPr>
        <w:t>.</w:t>
      </w:r>
    </w:p>
  </w:footnote>
  <w:footnote w:id="6">
    <w:p w14:paraId="6CD0F199" w14:textId="3A173E5F" w:rsidR="001C303C" w:rsidRPr="00313166" w:rsidRDefault="00B0528F" w:rsidP="00DC424F">
      <w:pPr>
        <w:pStyle w:val="FootnoteText"/>
        <w:tabs>
          <w:tab w:val="left" w:pos="567"/>
        </w:tabs>
        <w:spacing w:after="120"/>
        <w:jc w:val="both"/>
        <w:rPr>
          <w:rFonts w:ascii="Verdana" w:hAnsi="Verdana"/>
          <w:sz w:val="16"/>
          <w:szCs w:val="16"/>
        </w:rPr>
      </w:pPr>
      <w:r w:rsidRPr="001C303C">
        <w:rPr>
          <w:rStyle w:val="FootnoteReference"/>
          <w:rFonts w:ascii="Verdana" w:hAnsi="Verdana"/>
          <w:sz w:val="16"/>
          <w:szCs w:val="16"/>
        </w:rPr>
        <w:footnoteRef/>
      </w:r>
      <w:r w:rsidRPr="001C303C">
        <w:rPr>
          <w:rFonts w:ascii="Verdana" w:hAnsi="Verdana"/>
          <w:sz w:val="16"/>
          <w:szCs w:val="16"/>
        </w:rPr>
        <w:t xml:space="preserve"> </w:t>
      </w:r>
      <w:r w:rsidRPr="001C303C">
        <w:rPr>
          <w:rFonts w:ascii="Verdana" w:hAnsi="Verdana"/>
          <w:sz w:val="16"/>
          <w:szCs w:val="16"/>
        </w:rPr>
        <w:tab/>
      </w:r>
      <w:r w:rsidR="001C303C" w:rsidRPr="00300069">
        <w:rPr>
          <w:rFonts w:ascii="Verdana" w:hAnsi="Verdana"/>
          <w:i/>
          <w:sz w:val="16"/>
          <w:szCs w:val="16"/>
        </w:rPr>
        <w:t>Cfr.</w:t>
      </w:r>
      <w:r w:rsidR="001C303C" w:rsidRPr="001C303C">
        <w:rPr>
          <w:rFonts w:ascii="Verdana" w:hAnsi="Verdana"/>
          <w:sz w:val="16"/>
          <w:szCs w:val="16"/>
        </w:rPr>
        <w:t xml:space="preserve"> </w:t>
      </w:r>
      <w:r w:rsidRPr="001C303C">
        <w:rPr>
          <w:rFonts w:ascii="Verdana" w:hAnsi="Verdana"/>
          <w:sz w:val="16"/>
          <w:szCs w:val="16"/>
        </w:rPr>
        <w:t xml:space="preserve">Párrafos 122, 123 y 124 de la Sentencia. </w:t>
      </w:r>
    </w:p>
  </w:footnote>
  <w:footnote w:id="7">
    <w:p w14:paraId="4C835915" w14:textId="69E9142C" w:rsidR="00B0528F" w:rsidRPr="002A6AE0" w:rsidRDefault="00B0528F" w:rsidP="00DC424F">
      <w:pPr>
        <w:pStyle w:val="FootnoteText"/>
        <w:tabs>
          <w:tab w:val="left" w:pos="567"/>
        </w:tabs>
        <w:spacing w:after="120"/>
        <w:jc w:val="both"/>
        <w:rPr>
          <w:rFonts w:ascii="Verdana" w:hAnsi="Verdana"/>
          <w:sz w:val="16"/>
          <w:szCs w:val="16"/>
        </w:rPr>
      </w:pPr>
      <w:r w:rsidRPr="001C303C">
        <w:rPr>
          <w:rStyle w:val="FootnoteReference"/>
          <w:rFonts w:ascii="Verdana" w:hAnsi="Verdana"/>
          <w:sz w:val="16"/>
          <w:szCs w:val="16"/>
        </w:rPr>
        <w:footnoteRef/>
      </w:r>
      <w:r w:rsidRPr="001C303C">
        <w:rPr>
          <w:rFonts w:ascii="Verdana" w:hAnsi="Verdana"/>
          <w:sz w:val="16"/>
          <w:szCs w:val="16"/>
        </w:rPr>
        <w:t xml:space="preserve"> </w:t>
      </w:r>
      <w:r w:rsidRPr="001C303C">
        <w:rPr>
          <w:rFonts w:ascii="Verdana" w:hAnsi="Verdana"/>
          <w:sz w:val="16"/>
          <w:szCs w:val="16"/>
        </w:rPr>
        <w:tab/>
        <w:t>Párrafo 125 de la Sentencia.</w:t>
      </w:r>
    </w:p>
  </w:footnote>
  <w:footnote w:id="8">
    <w:p w14:paraId="3B5B1556" w14:textId="521C26B7" w:rsidR="006556A6" w:rsidRPr="00300069" w:rsidRDefault="00B0528F" w:rsidP="00DC424F">
      <w:pPr>
        <w:pStyle w:val="NormalWeb"/>
        <w:tabs>
          <w:tab w:val="left" w:pos="567"/>
        </w:tabs>
        <w:spacing w:before="0" w:beforeAutospacing="0" w:after="120" w:afterAutospacing="0"/>
        <w:jc w:val="both"/>
        <w:rPr>
          <w:rFonts w:ascii="Verdana" w:hAnsi="Verdana"/>
          <w:color w:val="000000"/>
          <w:sz w:val="16"/>
          <w:szCs w:val="16"/>
        </w:rPr>
      </w:pPr>
      <w:r w:rsidRPr="00300069">
        <w:rPr>
          <w:rStyle w:val="FootnoteReference"/>
          <w:rFonts w:ascii="Verdana" w:eastAsia="MS Mincho" w:hAnsi="Verdana"/>
          <w:sz w:val="16"/>
          <w:szCs w:val="16"/>
        </w:rPr>
        <w:footnoteRef/>
      </w:r>
      <w:r w:rsidRPr="001C303C">
        <w:rPr>
          <w:rFonts w:ascii="Verdana" w:hAnsi="Verdana"/>
          <w:sz w:val="16"/>
          <w:szCs w:val="16"/>
        </w:rPr>
        <w:t xml:space="preserve"> </w:t>
      </w:r>
      <w:r w:rsidRPr="001C303C">
        <w:rPr>
          <w:rFonts w:ascii="Verdana" w:hAnsi="Verdana"/>
          <w:sz w:val="16"/>
          <w:szCs w:val="16"/>
        </w:rPr>
        <w:tab/>
        <w:t xml:space="preserve">Artículo 18 y 32 de la </w:t>
      </w:r>
      <w:r w:rsidRPr="001C303C">
        <w:rPr>
          <w:rFonts w:ascii="Verdana" w:hAnsi="Verdana"/>
          <w:color w:val="000000"/>
          <w:sz w:val="16"/>
          <w:szCs w:val="16"/>
        </w:rPr>
        <w:t>Declaración de las Naciones Unidas sobre los derechos de los pueblos indígenas (A/RES/61/295</w:t>
      </w:r>
      <w:r w:rsidRPr="002A6AE0">
        <w:rPr>
          <w:rFonts w:ascii="Verdana" w:hAnsi="Verdana" w:cs="Arial"/>
          <w:color w:val="000000"/>
          <w:sz w:val="16"/>
          <w:szCs w:val="16"/>
        </w:rPr>
        <w:t>)</w:t>
      </w:r>
      <w:r w:rsidRPr="002A6AE0">
        <w:rPr>
          <w:rFonts w:ascii="Verdana" w:hAnsi="Verdana"/>
          <w:i/>
          <w:color w:val="000000"/>
          <w:sz w:val="16"/>
          <w:szCs w:val="16"/>
        </w:rPr>
        <w:t>.</w:t>
      </w:r>
      <w:r w:rsidRPr="002A6AE0">
        <w:rPr>
          <w:rFonts w:ascii="Verdana" w:hAnsi="Verdana"/>
          <w:color w:val="000000"/>
          <w:sz w:val="16"/>
          <w:szCs w:val="16"/>
        </w:rPr>
        <w:t xml:space="preserve"> </w:t>
      </w:r>
      <w:r w:rsidRPr="002A6AE0">
        <w:rPr>
          <w:rFonts w:ascii="Verdana" w:hAnsi="Verdana"/>
          <w:sz w:val="16"/>
          <w:szCs w:val="16"/>
        </w:rPr>
        <w:t xml:space="preserve">Ver también el artículo 29 de la misma Declaración. Asimismo, el artículo 6 de la Carta Democrática señala que </w:t>
      </w:r>
      <w:r w:rsidRPr="00313166">
        <w:rPr>
          <w:rFonts w:ascii="Verdana" w:hAnsi="Verdana"/>
          <w:color w:val="000000"/>
          <w:sz w:val="16"/>
          <w:szCs w:val="16"/>
        </w:rPr>
        <w:t xml:space="preserve">“La participación de la </w:t>
      </w:r>
      <w:r w:rsidRPr="00D34002">
        <w:rPr>
          <w:rFonts w:ascii="Verdana" w:hAnsi="Verdana"/>
          <w:color w:val="000000"/>
          <w:sz w:val="16"/>
          <w:szCs w:val="16"/>
        </w:rPr>
        <w:t>ciudadanía en las decisiones relativas a su propio desarrollo es un derecho y una responsabilidad […]”.</w:t>
      </w:r>
    </w:p>
  </w:footnote>
  <w:footnote w:id="9">
    <w:p w14:paraId="38C61370" w14:textId="516FEB36" w:rsidR="00B0528F" w:rsidRPr="002A6AE0" w:rsidRDefault="00B0528F" w:rsidP="00DC424F">
      <w:pPr>
        <w:pStyle w:val="FootnoteText"/>
        <w:tabs>
          <w:tab w:val="left" w:pos="567"/>
        </w:tabs>
        <w:spacing w:after="120"/>
        <w:jc w:val="both"/>
        <w:rPr>
          <w:rFonts w:ascii="Verdana" w:hAnsi="Verdana"/>
          <w:sz w:val="16"/>
          <w:szCs w:val="16"/>
        </w:rPr>
      </w:pPr>
      <w:r w:rsidRPr="001C303C">
        <w:rPr>
          <w:rStyle w:val="FootnoteReference"/>
          <w:rFonts w:ascii="Verdana" w:hAnsi="Verdana"/>
          <w:sz w:val="16"/>
          <w:szCs w:val="16"/>
        </w:rPr>
        <w:footnoteRef/>
      </w:r>
      <w:r w:rsidRPr="001C303C">
        <w:rPr>
          <w:rFonts w:ascii="Verdana" w:hAnsi="Verdana"/>
          <w:sz w:val="16"/>
          <w:szCs w:val="16"/>
        </w:rPr>
        <w:t xml:space="preserve"> </w:t>
      </w:r>
      <w:r w:rsidRPr="001C303C">
        <w:rPr>
          <w:rFonts w:ascii="Verdana" w:hAnsi="Verdana"/>
          <w:sz w:val="16"/>
          <w:szCs w:val="16"/>
        </w:rPr>
        <w:tab/>
        <w:t>Párrafo 203 de la Sentencia.</w:t>
      </w:r>
    </w:p>
  </w:footnote>
  <w:footnote w:id="10">
    <w:p w14:paraId="4125C272" w14:textId="23601667" w:rsidR="00B0528F" w:rsidRPr="001C303C" w:rsidRDefault="00B0528F" w:rsidP="00CD62F5">
      <w:pPr>
        <w:pStyle w:val="FootnoteText"/>
        <w:tabs>
          <w:tab w:val="left" w:pos="567"/>
        </w:tabs>
        <w:spacing w:after="120"/>
        <w:jc w:val="both"/>
        <w:rPr>
          <w:rFonts w:ascii="Verdana" w:hAnsi="Verdana"/>
          <w:sz w:val="16"/>
          <w:szCs w:val="16"/>
        </w:rPr>
      </w:pPr>
      <w:r w:rsidRPr="00300069">
        <w:rPr>
          <w:rStyle w:val="FootnoteReference"/>
          <w:rFonts w:ascii="Verdana" w:hAnsi="Verdana"/>
          <w:sz w:val="16"/>
          <w:szCs w:val="16"/>
        </w:rPr>
        <w:footnoteRef/>
      </w:r>
      <w:r w:rsidRPr="00300069">
        <w:rPr>
          <w:rFonts w:ascii="Verdana" w:hAnsi="Verdana"/>
          <w:sz w:val="16"/>
          <w:szCs w:val="16"/>
        </w:rPr>
        <w:t xml:space="preserve"> </w:t>
      </w:r>
      <w:r w:rsidRPr="00300069">
        <w:rPr>
          <w:rFonts w:ascii="Verdana" w:hAnsi="Verdana"/>
          <w:sz w:val="16"/>
          <w:szCs w:val="16"/>
        </w:rPr>
        <w:tab/>
      </w:r>
      <w:r w:rsidRPr="001C303C">
        <w:rPr>
          <w:rFonts w:ascii="Verdana" w:hAnsi="Verdana"/>
          <w:i/>
          <w:sz w:val="16"/>
          <w:szCs w:val="16"/>
        </w:rPr>
        <w:t>Cfr.</w:t>
      </w:r>
      <w:r w:rsidRPr="001C303C">
        <w:rPr>
          <w:rFonts w:ascii="Verdana" w:hAnsi="Verdana"/>
          <w:sz w:val="16"/>
          <w:szCs w:val="16"/>
        </w:rPr>
        <w:t xml:space="preserve"> </w:t>
      </w:r>
      <w:r w:rsidRPr="002A6AE0">
        <w:rPr>
          <w:rFonts w:ascii="Verdana" w:hAnsi="Verdana"/>
          <w:i/>
          <w:sz w:val="16"/>
          <w:szCs w:val="16"/>
        </w:rPr>
        <w:t xml:space="preserve">Caso del </w:t>
      </w:r>
      <w:r w:rsidRPr="00EA2E54">
        <w:rPr>
          <w:rFonts w:ascii="Verdana" w:hAnsi="Verdana"/>
          <w:i/>
          <w:snapToGrid w:val="0"/>
          <w:sz w:val="16"/>
          <w:szCs w:val="16"/>
        </w:rPr>
        <w:t xml:space="preserve">Pueblo </w:t>
      </w:r>
      <w:proofErr w:type="spellStart"/>
      <w:r w:rsidRPr="00EA2E54">
        <w:rPr>
          <w:rFonts w:ascii="Verdana" w:hAnsi="Verdana"/>
          <w:i/>
          <w:snapToGrid w:val="0"/>
          <w:sz w:val="16"/>
          <w:szCs w:val="16"/>
        </w:rPr>
        <w:t>Saramaka</w:t>
      </w:r>
      <w:proofErr w:type="spellEnd"/>
      <w:r w:rsidRPr="00EA2E54">
        <w:rPr>
          <w:rFonts w:ascii="Verdana" w:hAnsi="Verdana"/>
          <w:i/>
          <w:snapToGrid w:val="0"/>
          <w:sz w:val="16"/>
          <w:szCs w:val="16"/>
        </w:rPr>
        <w:t>,</w:t>
      </w:r>
      <w:r w:rsidRPr="00EA2E54">
        <w:rPr>
          <w:rFonts w:ascii="Verdana" w:hAnsi="Verdana"/>
          <w:snapToGrid w:val="0"/>
          <w:sz w:val="16"/>
          <w:szCs w:val="16"/>
        </w:rPr>
        <w:t xml:space="preserve"> </w:t>
      </w:r>
      <w:r w:rsidRPr="00EA2E54">
        <w:rPr>
          <w:rFonts w:ascii="Verdana" w:hAnsi="Verdana"/>
          <w:i/>
          <w:snapToGrid w:val="0"/>
          <w:sz w:val="16"/>
          <w:szCs w:val="16"/>
        </w:rPr>
        <w:t>supra</w:t>
      </w:r>
      <w:r w:rsidRPr="00EA2E54">
        <w:rPr>
          <w:rFonts w:ascii="Verdana" w:hAnsi="Verdana"/>
          <w:snapToGrid w:val="0"/>
          <w:sz w:val="16"/>
          <w:szCs w:val="16"/>
        </w:rPr>
        <w:t xml:space="preserve">, párr. 129. </w:t>
      </w:r>
      <w:r w:rsidRPr="00EA2E54">
        <w:rPr>
          <w:rFonts w:ascii="Verdana" w:hAnsi="Verdana"/>
          <w:sz w:val="16"/>
          <w:szCs w:val="16"/>
        </w:rPr>
        <w:t xml:space="preserve">En este mismo sentido en el caso de la </w:t>
      </w:r>
      <w:r w:rsidRPr="00EA2E54">
        <w:rPr>
          <w:rFonts w:ascii="Verdana" w:hAnsi="Verdana"/>
          <w:i/>
          <w:sz w:val="16"/>
          <w:szCs w:val="16"/>
        </w:rPr>
        <w:t xml:space="preserve">Comunidad Garífuna de </w:t>
      </w:r>
      <w:r w:rsidRPr="001C303C">
        <w:rPr>
          <w:rFonts w:ascii="Verdana" w:hAnsi="Verdana"/>
          <w:i/>
          <w:sz w:val="16"/>
          <w:szCs w:val="16"/>
        </w:rPr>
        <w:t>Punta Piedra</w:t>
      </w:r>
      <w:r w:rsidRPr="001C303C">
        <w:rPr>
          <w:rFonts w:ascii="Verdana" w:hAnsi="Verdana"/>
          <w:sz w:val="16"/>
          <w:szCs w:val="16"/>
        </w:rPr>
        <w:t xml:space="preserve">, </w:t>
      </w:r>
      <w:r w:rsidRPr="001C303C">
        <w:rPr>
          <w:rFonts w:ascii="Verdana" w:hAnsi="Verdana"/>
          <w:sz w:val="16"/>
          <w:szCs w:val="16"/>
          <w:lang w:val="es-CR"/>
        </w:rPr>
        <w:t>la Corte señaló que la consulta debe ser previa y debe realizarse desde las primeras etapas del plan de desarrollo o inversión, a fin de que los pueblos indígenas o tribales puedan verdaderamente participar e influir en el proceso de adopción de decisiones.</w:t>
      </w:r>
      <w:r w:rsidRPr="001C303C">
        <w:rPr>
          <w:rFonts w:ascii="Verdana" w:hAnsi="Verdana"/>
          <w:i/>
          <w:sz w:val="16"/>
          <w:szCs w:val="16"/>
        </w:rPr>
        <w:t xml:space="preserve"> Cfr.</w:t>
      </w:r>
      <w:r w:rsidRPr="001C303C">
        <w:rPr>
          <w:rFonts w:ascii="Verdana" w:hAnsi="Verdana"/>
          <w:sz w:val="16"/>
          <w:szCs w:val="16"/>
        </w:rPr>
        <w:t xml:space="preserve"> </w:t>
      </w:r>
      <w:r w:rsidRPr="001C303C">
        <w:rPr>
          <w:rFonts w:ascii="Verdana" w:hAnsi="Verdana"/>
          <w:i/>
          <w:sz w:val="16"/>
          <w:szCs w:val="16"/>
        </w:rPr>
        <w:t>Caso de la Comunidad Garífuna de Punta Piedra</w:t>
      </w:r>
      <w:r w:rsidR="00CD62F5">
        <w:rPr>
          <w:rFonts w:ascii="Verdana" w:hAnsi="Verdana"/>
          <w:i/>
          <w:sz w:val="16"/>
          <w:szCs w:val="16"/>
        </w:rPr>
        <w:t xml:space="preserve"> y sus miembros</w:t>
      </w:r>
      <w:r w:rsidRPr="001C303C">
        <w:rPr>
          <w:rFonts w:ascii="Verdana" w:hAnsi="Verdana"/>
          <w:i/>
          <w:sz w:val="16"/>
          <w:szCs w:val="16"/>
        </w:rPr>
        <w:t>, supra</w:t>
      </w:r>
      <w:r w:rsidRPr="001C303C">
        <w:rPr>
          <w:rFonts w:ascii="Verdana" w:hAnsi="Verdana"/>
          <w:sz w:val="16"/>
          <w:szCs w:val="16"/>
        </w:rPr>
        <w:t>, párr. 217.</w:t>
      </w:r>
    </w:p>
  </w:footnote>
  <w:footnote w:id="11">
    <w:p w14:paraId="7386CA7D" w14:textId="4914AB40" w:rsidR="00EA2E54" w:rsidRPr="00EA2E54" w:rsidRDefault="00B0528F" w:rsidP="00CD62F5">
      <w:pPr>
        <w:pStyle w:val="FootnoteText"/>
        <w:tabs>
          <w:tab w:val="left" w:pos="567"/>
        </w:tabs>
        <w:spacing w:after="120"/>
        <w:rPr>
          <w:rFonts w:ascii="Verdana" w:hAnsi="Verdana"/>
          <w:sz w:val="16"/>
          <w:szCs w:val="16"/>
        </w:rPr>
      </w:pPr>
      <w:r w:rsidRPr="001C303C">
        <w:rPr>
          <w:rStyle w:val="FootnoteReference"/>
          <w:rFonts w:ascii="Verdana" w:hAnsi="Verdana"/>
          <w:sz w:val="16"/>
          <w:szCs w:val="16"/>
        </w:rPr>
        <w:footnoteRef/>
      </w:r>
      <w:r w:rsidRPr="001C303C">
        <w:rPr>
          <w:rFonts w:ascii="Verdana" w:hAnsi="Verdana"/>
          <w:sz w:val="16"/>
          <w:szCs w:val="16"/>
        </w:rPr>
        <w:t xml:space="preserve"> </w:t>
      </w:r>
      <w:r w:rsidRPr="001C303C">
        <w:rPr>
          <w:rFonts w:ascii="Verdana" w:hAnsi="Verdana"/>
          <w:sz w:val="16"/>
          <w:szCs w:val="16"/>
        </w:rPr>
        <w:tab/>
      </w:r>
      <w:r w:rsidRPr="001C303C">
        <w:rPr>
          <w:rFonts w:ascii="Verdana" w:hAnsi="Verdana"/>
          <w:i/>
          <w:sz w:val="16"/>
          <w:szCs w:val="16"/>
        </w:rPr>
        <w:t xml:space="preserve">Caso del Pueblo </w:t>
      </w:r>
      <w:proofErr w:type="spellStart"/>
      <w:r w:rsidRPr="001C303C">
        <w:rPr>
          <w:rFonts w:ascii="Verdana" w:hAnsi="Verdana"/>
          <w:i/>
          <w:sz w:val="16"/>
          <w:szCs w:val="16"/>
        </w:rPr>
        <w:t>Saramaka</w:t>
      </w:r>
      <w:proofErr w:type="spellEnd"/>
      <w:r w:rsidRPr="001C303C">
        <w:rPr>
          <w:rFonts w:ascii="Verdana" w:hAnsi="Verdana"/>
          <w:i/>
          <w:sz w:val="16"/>
          <w:szCs w:val="16"/>
        </w:rPr>
        <w:t>, supra,</w:t>
      </w:r>
      <w:r w:rsidRPr="002A6AE0">
        <w:rPr>
          <w:rFonts w:ascii="Verdana" w:hAnsi="Verdana"/>
          <w:sz w:val="16"/>
          <w:szCs w:val="16"/>
        </w:rPr>
        <w:t xml:space="preserve"> párr. 129.</w:t>
      </w:r>
    </w:p>
  </w:footnote>
  <w:footnote w:id="12">
    <w:p w14:paraId="68BF49BF" w14:textId="558877DC" w:rsidR="00B0528F" w:rsidRPr="00300069" w:rsidRDefault="00B0528F" w:rsidP="00DC424F">
      <w:pPr>
        <w:pStyle w:val="ListParagraph"/>
        <w:tabs>
          <w:tab w:val="left" w:pos="567"/>
        </w:tabs>
        <w:spacing w:after="120" w:line="240" w:lineRule="auto"/>
        <w:ind w:left="0"/>
        <w:jc w:val="both"/>
        <w:rPr>
          <w:rFonts w:ascii="Verdana" w:hAnsi="Verdana"/>
          <w:sz w:val="16"/>
          <w:szCs w:val="16"/>
          <w:lang w:val="es-CR"/>
        </w:rPr>
      </w:pPr>
      <w:r w:rsidRPr="00EA2E54">
        <w:rPr>
          <w:rStyle w:val="FootnoteReference"/>
          <w:rFonts w:ascii="Verdana" w:hAnsi="Verdana"/>
          <w:sz w:val="16"/>
          <w:szCs w:val="16"/>
        </w:rPr>
        <w:footnoteRef/>
      </w:r>
      <w:r w:rsidRPr="00300069">
        <w:rPr>
          <w:rFonts w:ascii="Verdana" w:hAnsi="Verdana"/>
          <w:sz w:val="16"/>
          <w:szCs w:val="16"/>
          <w:lang w:val="es-CR"/>
        </w:rPr>
        <w:t xml:space="preserve"> </w:t>
      </w:r>
      <w:r w:rsidRPr="00300069">
        <w:rPr>
          <w:rFonts w:ascii="Verdana" w:hAnsi="Verdana"/>
          <w:sz w:val="16"/>
          <w:szCs w:val="16"/>
          <w:lang w:val="es-CR"/>
        </w:rPr>
        <w:tab/>
      </w:r>
      <w:r w:rsidR="00EA2E54" w:rsidRPr="00300069">
        <w:rPr>
          <w:rFonts w:ascii="Verdana" w:hAnsi="Verdana"/>
          <w:i/>
          <w:sz w:val="16"/>
          <w:szCs w:val="16"/>
          <w:lang w:val="es-CR"/>
        </w:rPr>
        <w:t>Cfr.</w:t>
      </w:r>
      <w:r w:rsidR="00EA2E54">
        <w:rPr>
          <w:rFonts w:ascii="Verdana" w:hAnsi="Verdana"/>
          <w:sz w:val="16"/>
          <w:szCs w:val="16"/>
          <w:lang w:val="es-ES_tradnl"/>
        </w:rPr>
        <w:t xml:space="preserve"> </w:t>
      </w:r>
      <w:r w:rsidRPr="00EA2E54">
        <w:rPr>
          <w:rFonts w:ascii="Verdana" w:hAnsi="Verdana"/>
          <w:sz w:val="16"/>
          <w:szCs w:val="16"/>
          <w:lang w:val="es-ES_tradnl"/>
        </w:rPr>
        <w:t xml:space="preserve"> Párrafos 216 a 222 de la Sentencia.</w:t>
      </w:r>
    </w:p>
  </w:footnote>
  <w:footnote w:id="13">
    <w:p w14:paraId="2D9C89D5" w14:textId="16534A6B" w:rsidR="00313166" w:rsidRPr="00313166" w:rsidRDefault="00B0528F" w:rsidP="00CD62F5">
      <w:pPr>
        <w:pStyle w:val="FootnoteText"/>
        <w:tabs>
          <w:tab w:val="left" w:pos="567"/>
        </w:tabs>
        <w:spacing w:after="120"/>
        <w:jc w:val="both"/>
        <w:rPr>
          <w:rFonts w:ascii="Verdana" w:hAnsi="Verdana"/>
          <w:sz w:val="16"/>
          <w:szCs w:val="16"/>
          <w:lang w:val="es-CR"/>
        </w:rPr>
      </w:pPr>
      <w:r w:rsidRPr="001C303C">
        <w:rPr>
          <w:rStyle w:val="FootnoteReference"/>
          <w:rFonts w:ascii="Verdana" w:hAnsi="Verdana"/>
          <w:sz w:val="16"/>
          <w:szCs w:val="16"/>
        </w:rPr>
        <w:footnoteRef/>
      </w:r>
      <w:r w:rsidRPr="001C303C">
        <w:rPr>
          <w:rFonts w:ascii="Verdana" w:hAnsi="Verdana"/>
          <w:sz w:val="16"/>
          <w:szCs w:val="16"/>
        </w:rPr>
        <w:t xml:space="preserve"> </w:t>
      </w:r>
      <w:r w:rsidRPr="00BE187A">
        <w:rPr>
          <w:rFonts w:ascii="Verdana" w:hAnsi="Verdana"/>
          <w:sz w:val="16"/>
          <w:szCs w:val="16"/>
          <w:lang w:val="es-CR"/>
        </w:rPr>
        <w:tab/>
      </w:r>
      <w:r w:rsidRPr="00E2432E">
        <w:rPr>
          <w:rFonts w:ascii="Verdana" w:hAnsi="Verdana"/>
          <w:i/>
          <w:sz w:val="16"/>
          <w:szCs w:val="16"/>
          <w:lang w:val="es-CR"/>
        </w:rPr>
        <w:t>Cfr. Caso de la Comunidad Moiwana Vs. Surinam. Excepciones Preliminares, Fondo, Reparaciones y Costas.</w:t>
      </w:r>
      <w:r w:rsidRPr="00313166">
        <w:rPr>
          <w:rFonts w:ascii="Verdana" w:hAnsi="Verdana"/>
          <w:sz w:val="16"/>
          <w:szCs w:val="16"/>
          <w:lang w:val="es-CR"/>
        </w:rPr>
        <w:t xml:space="preserve"> Sentencia 15 de junio de 2005. Serie C No. 124, párr. 86.5,  </w:t>
      </w:r>
      <w:r w:rsidR="00313166">
        <w:rPr>
          <w:rFonts w:ascii="Verdana" w:hAnsi="Verdana"/>
          <w:sz w:val="16"/>
          <w:szCs w:val="16"/>
          <w:lang w:val="pt-BR"/>
        </w:rPr>
        <w:t xml:space="preserve">y </w:t>
      </w:r>
      <w:r w:rsidRPr="00313166">
        <w:rPr>
          <w:rFonts w:ascii="Verdana" w:hAnsi="Verdana"/>
          <w:i/>
          <w:sz w:val="16"/>
          <w:szCs w:val="16"/>
          <w:lang w:val="pt-BR"/>
        </w:rPr>
        <w:t xml:space="preserve">Caso </w:t>
      </w:r>
      <w:r w:rsidR="00313166">
        <w:rPr>
          <w:rFonts w:ascii="Verdana" w:hAnsi="Verdana"/>
          <w:i/>
          <w:sz w:val="16"/>
          <w:szCs w:val="16"/>
          <w:lang w:val="pt-BR"/>
        </w:rPr>
        <w:t xml:space="preserve">del Pueblo </w:t>
      </w:r>
      <w:r w:rsidRPr="00313166">
        <w:rPr>
          <w:rFonts w:ascii="Verdana" w:hAnsi="Verdana"/>
          <w:i/>
          <w:sz w:val="16"/>
          <w:szCs w:val="16"/>
          <w:lang w:val="pt-BR"/>
        </w:rPr>
        <w:t>Saramaka, supra,</w:t>
      </w:r>
      <w:r w:rsidRPr="00313166">
        <w:rPr>
          <w:rFonts w:ascii="Verdana" w:hAnsi="Verdana"/>
          <w:sz w:val="16"/>
          <w:szCs w:val="16"/>
          <w:lang w:val="pt-BR"/>
        </w:rPr>
        <w:t xml:space="preserve"> p</w:t>
      </w:r>
      <w:r w:rsidRPr="00313166">
        <w:rPr>
          <w:rFonts w:ascii="Verdana" w:hAnsi="Verdana"/>
          <w:sz w:val="16"/>
          <w:szCs w:val="16"/>
        </w:rPr>
        <w:t>á</w:t>
      </w:r>
      <w:r w:rsidRPr="00313166">
        <w:rPr>
          <w:rFonts w:ascii="Verdana" w:hAnsi="Verdana"/>
          <w:sz w:val="16"/>
          <w:szCs w:val="16"/>
          <w:lang w:val="pt-BR"/>
        </w:rPr>
        <w:t>rr</w:t>
      </w:r>
      <w:r w:rsidR="00313166">
        <w:rPr>
          <w:rFonts w:ascii="Verdana" w:hAnsi="Verdana"/>
          <w:sz w:val="16"/>
          <w:szCs w:val="16"/>
          <w:lang w:val="pt-BR"/>
        </w:rPr>
        <w:t>s</w:t>
      </w:r>
      <w:r w:rsidRPr="00313166">
        <w:rPr>
          <w:rFonts w:ascii="Verdana" w:hAnsi="Verdana"/>
          <w:sz w:val="16"/>
          <w:szCs w:val="16"/>
          <w:lang w:val="pt-BR"/>
        </w:rPr>
        <w:t xml:space="preserve">. 173 </w:t>
      </w:r>
      <w:r w:rsidR="00313166">
        <w:rPr>
          <w:rFonts w:ascii="Verdana" w:hAnsi="Verdana"/>
          <w:sz w:val="16"/>
          <w:szCs w:val="16"/>
          <w:lang w:val="pt-BR"/>
        </w:rPr>
        <w:t>a</w:t>
      </w:r>
      <w:r w:rsidRPr="00313166">
        <w:rPr>
          <w:rFonts w:ascii="Verdana" w:hAnsi="Verdana"/>
          <w:sz w:val="16"/>
          <w:szCs w:val="16"/>
          <w:lang w:val="pt-BR"/>
        </w:rPr>
        <w:t xml:space="preserve"> 174.</w:t>
      </w:r>
    </w:p>
  </w:footnote>
  <w:footnote w:id="14">
    <w:p w14:paraId="68AE7BC2" w14:textId="145A9CDA" w:rsidR="00B0528F" w:rsidRPr="00D0529A" w:rsidRDefault="00B0528F" w:rsidP="00DC424F">
      <w:pPr>
        <w:pStyle w:val="FootnoteText"/>
        <w:tabs>
          <w:tab w:val="left" w:pos="567"/>
        </w:tabs>
        <w:spacing w:after="120"/>
        <w:jc w:val="both"/>
        <w:rPr>
          <w:rFonts w:ascii="Verdana" w:hAnsi="Verdana"/>
          <w:sz w:val="16"/>
          <w:szCs w:val="16"/>
        </w:rPr>
      </w:pPr>
      <w:r w:rsidRPr="001C303C">
        <w:rPr>
          <w:rStyle w:val="FootnoteReference"/>
          <w:rFonts w:ascii="Verdana" w:hAnsi="Verdana"/>
          <w:sz w:val="16"/>
          <w:szCs w:val="16"/>
        </w:rPr>
        <w:footnoteRef/>
      </w:r>
      <w:r w:rsidRPr="001C303C">
        <w:rPr>
          <w:rFonts w:ascii="Verdana" w:hAnsi="Verdana"/>
          <w:sz w:val="16"/>
          <w:szCs w:val="16"/>
        </w:rPr>
        <w:t xml:space="preserve"> </w:t>
      </w:r>
      <w:r w:rsidRPr="001C303C">
        <w:rPr>
          <w:rFonts w:ascii="Verdana" w:hAnsi="Verdana"/>
          <w:sz w:val="16"/>
          <w:szCs w:val="16"/>
        </w:rPr>
        <w:tab/>
      </w:r>
      <w:r w:rsidR="00D0529A" w:rsidRPr="00300069">
        <w:rPr>
          <w:rFonts w:ascii="Verdana" w:hAnsi="Verdana"/>
          <w:i/>
          <w:sz w:val="16"/>
          <w:szCs w:val="16"/>
        </w:rPr>
        <w:t>Cfr.</w:t>
      </w:r>
      <w:r w:rsidR="00D0529A">
        <w:rPr>
          <w:rFonts w:ascii="Verdana" w:hAnsi="Verdana"/>
          <w:sz w:val="16"/>
          <w:szCs w:val="16"/>
        </w:rPr>
        <w:t xml:space="preserve"> </w:t>
      </w:r>
      <w:r w:rsidRPr="001C303C">
        <w:rPr>
          <w:rFonts w:ascii="Verdana" w:hAnsi="Verdana"/>
          <w:sz w:val="16"/>
          <w:szCs w:val="16"/>
        </w:rPr>
        <w:t xml:space="preserve">Párrafo 113 de la Sentencia. </w:t>
      </w:r>
    </w:p>
  </w:footnote>
  <w:footnote w:id="15">
    <w:p w14:paraId="5CBFADB2" w14:textId="34997DE9" w:rsidR="00B0528F" w:rsidRPr="00D0529A" w:rsidRDefault="00B0528F" w:rsidP="00DC424F">
      <w:pPr>
        <w:pStyle w:val="FootnoteText"/>
        <w:tabs>
          <w:tab w:val="left" w:pos="567"/>
        </w:tabs>
        <w:spacing w:after="120"/>
        <w:jc w:val="both"/>
        <w:rPr>
          <w:rFonts w:ascii="Verdana" w:hAnsi="Verdana"/>
          <w:sz w:val="16"/>
          <w:szCs w:val="16"/>
        </w:rPr>
      </w:pPr>
      <w:r w:rsidRPr="00D0529A">
        <w:rPr>
          <w:rStyle w:val="FootnoteReference"/>
          <w:rFonts w:ascii="Verdana" w:hAnsi="Verdana"/>
          <w:sz w:val="16"/>
          <w:szCs w:val="16"/>
        </w:rPr>
        <w:footnoteRef/>
      </w:r>
      <w:r w:rsidRPr="00D0529A">
        <w:rPr>
          <w:rFonts w:ascii="Verdana" w:hAnsi="Verdana"/>
          <w:sz w:val="16"/>
          <w:szCs w:val="16"/>
        </w:rPr>
        <w:t xml:space="preserve"> </w:t>
      </w:r>
      <w:r w:rsidRPr="00D0529A">
        <w:rPr>
          <w:rFonts w:ascii="Verdana" w:hAnsi="Verdana"/>
          <w:sz w:val="16"/>
          <w:szCs w:val="16"/>
        </w:rPr>
        <w:tab/>
      </w:r>
      <w:r w:rsidR="00D0529A" w:rsidRPr="00300069">
        <w:rPr>
          <w:rFonts w:ascii="Verdana" w:hAnsi="Verdana"/>
          <w:i/>
          <w:sz w:val="16"/>
          <w:szCs w:val="16"/>
        </w:rPr>
        <w:t>Cfr.</w:t>
      </w:r>
      <w:r w:rsidR="00D0529A">
        <w:rPr>
          <w:rFonts w:ascii="Verdana" w:hAnsi="Verdana"/>
          <w:sz w:val="16"/>
          <w:szCs w:val="16"/>
        </w:rPr>
        <w:t xml:space="preserve"> </w:t>
      </w:r>
      <w:r w:rsidRPr="00D0529A">
        <w:rPr>
          <w:rFonts w:ascii="Verdana" w:hAnsi="Verdana"/>
          <w:sz w:val="16"/>
          <w:szCs w:val="16"/>
        </w:rPr>
        <w:t xml:space="preserve">Párrafo 279 a) de la Sentencia. </w:t>
      </w:r>
    </w:p>
  </w:footnote>
  <w:footnote w:id="16">
    <w:p w14:paraId="43DFA8D6" w14:textId="122FE10E" w:rsidR="00B0528F" w:rsidRPr="00D0529A" w:rsidRDefault="00B0528F" w:rsidP="00DC424F">
      <w:pPr>
        <w:pStyle w:val="FootnoteText"/>
        <w:tabs>
          <w:tab w:val="left" w:pos="567"/>
        </w:tabs>
        <w:spacing w:after="120"/>
        <w:jc w:val="both"/>
        <w:rPr>
          <w:rFonts w:ascii="Verdana" w:hAnsi="Verdana"/>
          <w:sz w:val="16"/>
          <w:szCs w:val="16"/>
        </w:rPr>
      </w:pPr>
      <w:r w:rsidRPr="00D0529A">
        <w:rPr>
          <w:rStyle w:val="FootnoteReference"/>
          <w:rFonts w:ascii="Verdana" w:hAnsi="Verdana"/>
          <w:sz w:val="16"/>
          <w:szCs w:val="16"/>
        </w:rPr>
        <w:footnoteRef/>
      </w:r>
      <w:r w:rsidRPr="00D0529A">
        <w:rPr>
          <w:rFonts w:ascii="Verdana" w:hAnsi="Verdana"/>
          <w:sz w:val="16"/>
          <w:szCs w:val="16"/>
        </w:rPr>
        <w:tab/>
      </w:r>
      <w:r w:rsidR="00D0529A" w:rsidRPr="00300069">
        <w:rPr>
          <w:rFonts w:ascii="Verdana" w:hAnsi="Verdana"/>
          <w:i/>
          <w:sz w:val="16"/>
          <w:szCs w:val="16"/>
        </w:rPr>
        <w:t>Cfr.</w:t>
      </w:r>
      <w:r w:rsidR="00D0529A">
        <w:rPr>
          <w:rFonts w:ascii="Verdana" w:hAnsi="Verdana"/>
          <w:sz w:val="16"/>
          <w:szCs w:val="16"/>
        </w:rPr>
        <w:t xml:space="preserve"> </w:t>
      </w:r>
      <w:r w:rsidRPr="00D0529A">
        <w:rPr>
          <w:rFonts w:ascii="Verdana" w:hAnsi="Verdana"/>
          <w:sz w:val="16"/>
          <w:szCs w:val="16"/>
        </w:rPr>
        <w:t xml:space="preserve">Párrafo 305 de la Sentencia.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A1E20" w14:textId="77777777" w:rsidR="00BD7D70" w:rsidRDefault="00BD7D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7198B" w14:textId="77777777" w:rsidR="00BD7D70" w:rsidRDefault="00BD7D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AFAF3" w14:textId="77777777" w:rsidR="00BD7D70" w:rsidRDefault="00BD7D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665FF"/>
    <w:multiLevelType w:val="hybridMultilevel"/>
    <w:tmpl w:val="6020336E"/>
    <w:lvl w:ilvl="0" w:tplc="E170453C">
      <w:start w:val="206"/>
      <w:numFmt w:val="decimal"/>
      <w:lvlText w:val="%1."/>
      <w:lvlJc w:val="left"/>
      <w:pPr>
        <w:ind w:left="1003" w:hanging="435"/>
      </w:pPr>
      <w:rPr>
        <w:rFonts w:hint="default"/>
      </w:rPr>
    </w:lvl>
    <w:lvl w:ilvl="1" w:tplc="140A0019" w:tentative="1">
      <w:start w:val="1"/>
      <w:numFmt w:val="lowerLetter"/>
      <w:lvlText w:val="%2."/>
      <w:lvlJc w:val="left"/>
      <w:pPr>
        <w:ind w:left="1648" w:hanging="360"/>
      </w:pPr>
    </w:lvl>
    <w:lvl w:ilvl="2" w:tplc="140A001B" w:tentative="1">
      <w:start w:val="1"/>
      <w:numFmt w:val="lowerRoman"/>
      <w:lvlText w:val="%3."/>
      <w:lvlJc w:val="right"/>
      <w:pPr>
        <w:ind w:left="2368" w:hanging="180"/>
      </w:pPr>
    </w:lvl>
    <w:lvl w:ilvl="3" w:tplc="140A000F" w:tentative="1">
      <w:start w:val="1"/>
      <w:numFmt w:val="decimal"/>
      <w:lvlText w:val="%4."/>
      <w:lvlJc w:val="left"/>
      <w:pPr>
        <w:ind w:left="3088" w:hanging="360"/>
      </w:pPr>
    </w:lvl>
    <w:lvl w:ilvl="4" w:tplc="140A0019" w:tentative="1">
      <w:start w:val="1"/>
      <w:numFmt w:val="lowerLetter"/>
      <w:lvlText w:val="%5."/>
      <w:lvlJc w:val="left"/>
      <w:pPr>
        <w:ind w:left="3808" w:hanging="360"/>
      </w:pPr>
    </w:lvl>
    <w:lvl w:ilvl="5" w:tplc="140A001B" w:tentative="1">
      <w:start w:val="1"/>
      <w:numFmt w:val="lowerRoman"/>
      <w:lvlText w:val="%6."/>
      <w:lvlJc w:val="right"/>
      <w:pPr>
        <w:ind w:left="4528" w:hanging="180"/>
      </w:pPr>
    </w:lvl>
    <w:lvl w:ilvl="6" w:tplc="140A000F" w:tentative="1">
      <w:start w:val="1"/>
      <w:numFmt w:val="decimal"/>
      <w:lvlText w:val="%7."/>
      <w:lvlJc w:val="left"/>
      <w:pPr>
        <w:ind w:left="5248" w:hanging="360"/>
      </w:pPr>
    </w:lvl>
    <w:lvl w:ilvl="7" w:tplc="140A0019" w:tentative="1">
      <w:start w:val="1"/>
      <w:numFmt w:val="lowerLetter"/>
      <w:lvlText w:val="%8."/>
      <w:lvlJc w:val="left"/>
      <w:pPr>
        <w:ind w:left="5968" w:hanging="360"/>
      </w:pPr>
    </w:lvl>
    <w:lvl w:ilvl="8" w:tplc="140A001B" w:tentative="1">
      <w:start w:val="1"/>
      <w:numFmt w:val="lowerRoman"/>
      <w:lvlText w:val="%9."/>
      <w:lvlJc w:val="right"/>
      <w:pPr>
        <w:ind w:left="6688" w:hanging="180"/>
      </w:pPr>
    </w:lvl>
  </w:abstractNum>
  <w:abstractNum w:abstractNumId="1">
    <w:nsid w:val="38BF2D83"/>
    <w:multiLevelType w:val="hybridMultilevel"/>
    <w:tmpl w:val="C8EEFB4C"/>
    <w:lvl w:ilvl="0" w:tplc="0C0A000F">
      <w:start w:val="4"/>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46696005"/>
    <w:multiLevelType w:val="hybridMultilevel"/>
    <w:tmpl w:val="5F3C0B08"/>
    <w:lvl w:ilvl="0" w:tplc="E9E472D2">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4EA31B0E"/>
    <w:multiLevelType w:val="hybridMultilevel"/>
    <w:tmpl w:val="D98A3A36"/>
    <w:lvl w:ilvl="0" w:tplc="1E04FEE2">
      <w:start w:val="15"/>
      <w:numFmt w:val="decimal"/>
      <w:lvlText w:val="%1."/>
      <w:lvlJc w:val="left"/>
      <w:pPr>
        <w:ind w:left="1776" w:hanging="360"/>
      </w:pPr>
      <w:rPr>
        <w:rFonts w:eastAsia="Batang" w:cs="Times" w:hint="default"/>
        <w:sz w:val="20"/>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nsid w:val="6450298B"/>
    <w:multiLevelType w:val="hybridMultilevel"/>
    <w:tmpl w:val="31F85BDE"/>
    <w:lvl w:ilvl="0" w:tplc="E1B67F44">
      <w:start w:val="201"/>
      <w:numFmt w:val="decimal"/>
      <w:lvlText w:val="%1."/>
      <w:lvlJc w:val="left"/>
      <w:pPr>
        <w:ind w:left="1530" w:hanging="360"/>
      </w:pPr>
      <w:rPr>
        <w:rFonts w:ascii="Verdana" w:hAnsi="Verdana" w:hint="default"/>
        <w:b w:val="0"/>
        <w:i w:val="0"/>
        <w:sz w:val="18"/>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69A93FBA"/>
    <w:multiLevelType w:val="hybridMultilevel"/>
    <w:tmpl w:val="11347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DCF6F77"/>
    <w:multiLevelType w:val="hybridMultilevel"/>
    <w:tmpl w:val="6020336E"/>
    <w:lvl w:ilvl="0" w:tplc="E170453C">
      <w:start w:val="206"/>
      <w:numFmt w:val="decimal"/>
      <w:lvlText w:val="%1."/>
      <w:lvlJc w:val="left"/>
      <w:pPr>
        <w:ind w:left="1003" w:hanging="435"/>
      </w:pPr>
      <w:rPr>
        <w:rFonts w:hint="default"/>
      </w:rPr>
    </w:lvl>
    <w:lvl w:ilvl="1" w:tplc="140A0019" w:tentative="1">
      <w:start w:val="1"/>
      <w:numFmt w:val="lowerLetter"/>
      <w:lvlText w:val="%2."/>
      <w:lvlJc w:val="left"/>
      <w:pPr>
        <w:ind w:left="1648" w:hanging="360"/>
      </w:pPr>
    </w:lvl>
    <w:lvl w:ilvl="2" w:tplc="140A001B" w:tentative="1">
      <w:start w:val="1"/>
      <w:numFmt w:val="lowerRoman"/>
      <w:lvlText w:val="%3."/>
      <w:lvlJc w:val="right"/>
      <w:pPr>
        <w:ind w:left="2368" w:hanging="180"/>
      </w:pPr>
    </w:lvl>
    <w:lvl w:ilvl="3" w:tplc="140A000F" w:tentative="1">
      <w:start w:val="1"/>
      <w:numFmt w:val="decimal"/>
      <w:lvlText w:val="%4."/>
      <w:lvlJc w:val="left"/>
      <w:pPr>
        <w:ind w:left="3088" w:hanging="360"/>
      </w:pPr>
    </w:lvl>
    <w:lvl w:ilvl="4" w:tplc="140A0019" w:tentative="1">
      <w:start w:val="1"/>
      <w:numFmt w:val="lowerLetter"/>
      <w:lvlText w:val="%5."/>
      <w:lvlJc w:val="left"/>
      <w:pPr>
        <w:ind w:left="3808" w:hanging="360"/>
      </w:pPr>
    </w:lvl>
    <w:lvl w:ilvl="5" w:tplc="140A001B" w:tentative="1">
      <w:start w:val="1"/>
      <w:numFmt w:val="lowerRoman"/>
      <w:lvlText w:val="%6."/>
      <w:lvlJc w:val="right"/>
      <w:pPr>
        <w:ind w:left="4528" w:hanging="180"/>
      </w:pPr>
    </w:lvl>
    <w:lvl w:ilvl="6" w:tplc="140A000F" w:tentative="1">
      <w:start w:val="1"/>
      <w:numFmt w:val="decimal"/>
      <w:lvlText w:val="%7."/>
      <w:lvlJc w:val="left"/>
      <w:pPr>
        <w:ind w:left="5248" w:hanging="360"/>
      </w:pPr>
    </w:lvl>
    <w:lvl w:ilvl="7" w:tplc="140A0019" w:tentative="1">
      <w:start w:val="1"/>
      <w:numFmt w:val="lowerLetter"/>
      <w:lvlText w:val="%8."/>
      <w:lvlJc w:val="left"/>
      <w:pPr>
        <w:ind w:left="5968" w:hanging="360"/>
      </w:pPr>
    </w:lvl>
    <w:lvl w:ilvl="8" w:tplc="140A001B" w:tentative="1">
      <w:start w:val="1"/>
      <w:numFmt w:val="lowerRoman"/>
      <w:lvlText w:val="%9."/>
      <w:lvlJc w:val="right"/>
      <w:pPr>
        <w:ind w:left="6688" w:hanging="180"/>
      </w:pPr>
    </w:lvl>
  </w:abstractNum>
  <w:abstractNum w:abstractNumId="7">
    <w:nsid w:val="751B6362"/>
    <w:multiLevelType w:val="hybridMultilevel"/>
    <w:tmpl w:val="00120FD8"/>
    <w:lvl w:ilvl="0" w:tplc="6EC282D0">
      <w:start w:val="1"/>
      <w:numFmt w:val="decimal"/>
      <w:lvlText w:val="%1."/>
      <w:lvlJc w:val="left"/>
      <w:pPr>
        <w:ind w:left="502" w:hanging="360"/>
      </w:pPr>
      <w:rPr>
        <w:rFonts w:hint="default"/>
        <w:b w:val="0"/>
        <w:color w:val="auto"/>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7B816689"/>
    <w:multiLevelType w:val="hybridMultilevel"/>
    <w:tmpl w:val="866EBD1C"/>
    <w:lvl w:ilvl="0" w:tplc="B9AED388">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7F384F5B"/>
    <w:multiLevelType w:val="hybridMultilevel"/>
    <w:tmpl w:val="623036EA"/>
    <w:lvl w:ilvl="0" w:tplc="09E4D896">
      <w:start w:val="1"/>
      <w:numFmt w:val="decimal"/>
      <w:lvlText w:val="%1."/>
      <w:lvlJc w:val="left"/>
      <w:pPr>
        <w:ind w:left="720" w:hanging="360"/>
      </w:pPr>
      <w:rPr>
        <w:i w:val="0"/>
      </w:rPr>
    </w:lvl>
    <w:lvl w:ilvl="1" w:tplc="0C0A0019">
      <w:start w:val="1"/>
      <w:numFmt w:val="lowerLetter"/>
      <w:lvlText w:val="%2."/>
      <w:lvlJc w:val="left"/>
      <w:pPr>
        <w:ind w:left="1440" w:hanging="360"/>
      </w:pPr>
    </w:lvl>
    <w:lvl w:ilvl="2" w:tplc="68EEF3DC">
      <w:start w:val="1"/>
      <w:numFmt w:val="lowerLetter"/>
      <w:lvlText w:val="%3)"/>
      <w:lvlJc w:val="left"/>
      <w:pPr>
        <w:ind w:left="2700" w:hanging="7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4"/>
  </w:num>
  <w:num w:numId="5">
    <w:abstractNumId w:val="0"/>
  </w:num>
  <w:num w:numId="6">
    <w:abstractNumId w:val="6"/>
  </w:num>
  <w:num w:numId="7">
    <w:abstractNumId w:val="7"/>
  </w:num>
  <w:num w:numId="8">
    <w:abstractNumId w:val="1"/>
  </w:num>
  <w:num w:numId="9">
    <w:abstractNumId w:val="9"/>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mberto A. Sierra Porto">
    <w15:presenceInfo w15:providerId="None" w15:userId="Humberto A. Sierra Por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86C"/>
    <w:rsid w:val="00034882"/>
    <w:rsid w:val="00042EBF"/>
    <w:rsid w:val="000C0B25"/>
    <w:rsid w:val="000D367E"/>
    <w:rsid w:val="00110EA5"/>
    <w:rsid w:val="0011417F"/>
    <w:rsid w:val="00133520"/>
    <w:rsid w:val="001C303C"/>
    <w:rsid w:val="001F0768"/>
    <w:rsid w:val="002041C5"/>
    <w:rsid w:val="002465FA"/>
    <w:rsid w:val="002667C1"/>
    <w:rsid w:val="002A3CBE"/>
    <w:rsid w:val="002A3DD3"/>
    <w:rsid w:val="002A6AE0"/>
    <w:rsid w:val="002B2383"/>
    <w:rsid w:val="002C456D"/>
    <w:rsid w:val="00300069"/>
    <w:rsid w:val="00313166"/>
    <w:rsid w:val="00343138"/>
    <w:rsid w:val="00351B7D"/>
    <w:rsid w:val="003717FF"/>
    <w:rsid w:val="00375867"/>
    <w:rsid w:val="003E3173"/>
    <w:rsid w:val="004522A9"/>
    <w:rsid w:val="004A5A10"/>
    <w:rsid w:val="004B6195"/>
    <w:rsid w:val="004F0B2A"/>
    <w:rsid w:val="005301C5"/>
    <w:rsid w:val="005A7D8F"/>
    <w:rsid w:val="005B09D1"/>
    <w:rsid w:val="005B09F1"/>
    <w:rsid w:val="005D1A50"/>
    <w:rsid w:val="00605208"/>
    <w:rsid w:val="0060550D"/>
    <w:rsid w:val="00614FB7"/>
    <w:rsid w:val="006556A6"/>
    <w:rsid w:val="0069493D"/>
    <w:rsid w:val="006B7831"/>
    <w:rsid w:val="006E25B7"/>
    <w:rsid w:val="006E3771"/>
    <w:rsid w:val="00775E43"/>
    <w:rsid w:val="007764BD"/>
    <w:rsid w:val="00887D51"/>
    <w:rsid w:val="00890DA1"/>
    <w:rsid w:val="008A3C30"/>
    <w:rsid w:val="008C02FF"/>
    <w:rsid w:val="0091125B"/>
    <w:rsid w:val="009C37DB"/>
    <w:rsid w:val="009D359F"/>
    <w:rsid w:val="00A41420"/>
    <w:rsid w:val="00A55A58"/>
    <w:rsid w:val="00A80A6F"/>
    <w:rsid w:val="00AC41E9"/>
    <w:rsid w:val="00B0528F"/>
    <w:rsid w:val="00B266C5"/>
    <w:rsid w:val="00B82B1B"/>
    <w:rsid w:val="00B92EAA"/>
    <w:rsid w:val="00BA0ED4"/>
    <w:rsid w:val="00BD7D70"/>
    <w:rsid w:val="00BE187A"/>
    <w:rsid w:val="00BE48AC"/>
    <w:rsid w:val="00BF0BEE"/>
    <w:rsid w:val="00BF2CA2"/>
    <w:rsid w:val="00C50548"/>
    <w:rsid w:val="00CC64BF"/>
    <w:rsid w:val="00CD62F5"/>
    <w:rsid w:val="00D0529A"/>
    <w:rsid w:val="00D1286C"/>
    <w:rsid w:val="00D3183C"/>
    <w:rsid w:val="00D34002"/>
    <w:rsid w:val="00D54550"/>
    <w:rsid w:val="00D608FA"/>
    <w:rsid w:val="00D709CF"/>
    <w:rsid w:val="00D71254"/>
    <w:rsid w:val="00D83083"/>
    <w:rsid w:val="00DB5E94"/>
    <w:rsid w:val="00DC424F"/>
    <w:rsid w:val="00DC4380"/>
    <w:rsid w:val="00DC4C4F"/>
    <w:rsid w:val="00E058B2"/>
    <w:rsid w:val="00E2432E"/>
    <w:rsid w:val="00EA2E54"/>
    <w:rsid w:val="00EB7A9A"/>
    <w:rsid w:val="00F17862"/>
    <w:rsid w:val="00F92DA6"/>
    <w:rsid w:val="00FA0792"/>
    <w:rsid w:val="00FC0995"/>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0A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6C"/>
    <w:pPr>
      <w:spacing w:after="0" w:line="240" w:lineRule="auto"/>
      <w:jc w:val="both"/>
    </w:pPr>
    <w:rPr>
      <w:rFonts w:ascii="Verdana" w:eastAsia="Batang" w:hAnsi="Verdana" w:cs="Times"/>
      <w:noProof/>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1286C"/>
    <w:pPr>
      <w:jc w:val="center"/>
    </w:pPr>
    <w:rPr>
      <w:rFonts w:eastAsia="Times New Roman" w:cs="Times New Roman"/>
      <w:b/>
      <w:szCs w:val="20"/>
    </w:rPr>
  </w:style>
  <w:style w:type="character" w:customStyle="1" w:styleId="TtuloCar">
    <w:name w:val="Título Car"/>
    <w:basedOn w:val="DefaultParagraphFont"/>
    <w:uiPriority w:val="10"/>
    <w:rsid w:val="00D1286C"/>
    <w:rPr>
      <w:rFonts w:asciiTheme="majorHAnsi" w:eastAsiaTheme="majorEastAsia" w:hAnsiTheme="majorHAnsi" w:cstheme="majorBidi"/>
      <w:noProof/>
      <w:color w:val="17365D" w:themeColor="text2" w:themeShade="BF"/>
      <w:spacing w:val="5"/>
      <w:kern w:val="28"/>
      <w:sz w:val="52"/>
      <w:szCs w:val="52"/>
      <w:lang w:val="es-ES_tradnl"/>
    </w:rPr>
  </w:style>
  <w:style w:type="paragraph" w:styleId="Subtitle">
    <w:name w:val="Subtitle"/>
    <w:basedOn w:val="Normal"/>
    <w:next w:val="Normal"/>
    <w:link w:val="SubtitleChar"/>
    <w:uiPriority w:val="11"/>
    <w:qFormat/>
    <w:rsid w:val="00D1286C"/>
    <w:pPr>
      <w:jc w:val="center"/>
    </w:pPr>
    <w:rPr>
      <w:rFonts w:eastAsia="Times New Roman" w:cs="Times New Roman"/>
      <w:b/>
      <w:i/>
      <w:iCs/>
      <w:spacing w:val="15"/>
    </w:rPr>
  </w:style>
  <w:style w:type="character" w:customStyle="1" w:styleId="SubttuloCar">
    <w:name w:val="Subtítulo Car"/>
    <w:basedOn w:val="DefaultParagraphFont"/>
    <w:uiPriority w:val="11"/>
    <w:rsid w:val="00D1286C"/>
    <w:rPr>
      <w:rFonts w:asciiTheme="majorHAnsi" w:eastAsiaTheme="majorEastAsia" w:hAnsiTheme="majorHAnsi" w:cstheme="majorBidi"/>
      <w:i/>
      <w:iCs/>
      <w:noProof/>
      <w:color w:val="4F81BD" w:themeColor="accent1"/>
      <w:spacing w:val="15"/>
      <w:sz w:val="24"/>
      <w:szCs w:val="24"/>
      <w:lang w:val="es-ES_tradnl"/>
    </w:rPr>
  </w:style>
  <w:style w:type="character" w:customStyle="1" w:styleId="TitleChar">
    <w:name w:val="Title Char"/>
    <w:basedOn w:val="DefaultParagraphFont"/>
    <w:link w:val="Title"/>
    <w:locked/>
    <w:rsid w:val="00D1286C"/>
    <w:rPr>
      <w:rFonts w:ascii="Verdana" w:eastAsia="Times New Roman" w:hAnsi="Verdana" w:cs="Times New Roman"/>
      <w:b/>
      <w:noProof/>
      <w:sz w:val="20"/>
      <w:szCs w:val="20"/>
      <w:lang w:val="es-ES_tradnl"/>
    </w:rPr>
  </w:style>
  <w:style w:type="character" w:customStyle="1" w:styleId="SubtitleChar">
    <w:name w:val="Subtitle Char"/>
    <w:basedOn w:val="DefaultParagraphFont"/>
    <w:link w:val="Subtitle"/>
    <w:uiPriority w:val="11"/>
    <w:locked/>
    <w:rsid w:val="00D1286C"/>
    <w:rPr>
      <w:rFonts w:ascii="Verdana" w:eastAsia="Times New Roman" w:hAnsi="Verdana" w:cs="Times New Roman"/>
      <w:b/>
      <w:i/>
      <w:iCs/>
      <w:noProof/>
      <w:spacing w:val="15"/>
      <w:sz w:val="20"/>
      <w:szCs w:val="24"/>
      <w:lang w:val="es-ES_tradnl"/>
    </w:rPr>
  </w:style>
  <w:style w:type="paragraph" w:styleId="ListParagraph">
    <w:name w:val="List Paragraph"/>
    <w:aliases w:val="Colorful List - Accent 11,Párrafo de lista1,Footnote,List Paragraph1,List Paragraph2,Lista vistosa - Énfasis 11"/>
    <w:basedOn w:val="Normal"/>
    <w:link w:val="ListParagraphChar"/>
    <w:uiPriority w:val="99"/>
    <w:qFormat/>
    <w:rsid w:val="00E058B2"/>
    <w:pPr>
      <w:spacing w:after="200" w:line="276" w:lineRule="auto"/>
      <w:ind w:left="720"/>
      <w:contextualSpacing/>
      <w:jc w:val="left"/>
    </w:pPr>
    <w:rPr>
      <w:rFonts w:ascii="Cambria" w:eastAsia="Times New Roman" w:hAnsi="Cambria" w:cs="Times New Roman"/>
      <w:noProof w:val="0"/>
      <w:sz w:val="22"/>
      <w:szCs w:val="22"/>
      <w:lang w:val="en-US"/>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2. Footnote Text,C"/>
    <w:basedOn w:val="Normal"/>
    <w:link w:val="FootnoteTextChar"/>
    <w:unhideWhenUsed/>
    <w:qFormat/>
    <w:rsid w:val="0011417F"/>
    <w:pPr>
      <w:jc w:val="left"/>
    </w:pPr>
    <w:rPr>
      <w:rFonts w:ascii="Cambria" w:eastAsia="MS Mincho" w:hAnsi="Cambria" w:cs="Times New Roman"/>
      <w:noProof w:val="0"/>
      <w:szCs w:val="20"/>
      <w:lang w:eastAsia="es-ES"/>
    </w:rPr>
  </w:style>
  <w:style w:type="character" w:customStyle="1" w:styleId="TextonotapieCar">
    <w:name w:val="Texto nota pie Car"/>
    <w:aliases w:val="2. Footnote Text Car,Footnote Tesina Car"/>
    <w:basedOn w:val="DefaultParagraphFont"/>
    <w:uiPriority w:val="99"/>
    <w:rsid w:val="0011417F"/>
    <w:rPr>
      <w:rFonts w:ascii="Verdana" w:eastAsia="Batang" w:hAnsi="Verdana" w:cs="Times"/>
      <w:noProof/>
      <w:sz w:val="20"/>
      <w:szCs w:val="20"/>
      <w:lang w:val="es-ES_tradnl"/>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11417F"/>
    <w:rPr>
      <w:rFonts w:ascii="Cambria" w:eastAsia="MS Mincho" w:hAnsi="Cambria" w:cs="Times New Roman"/>
      <w:sz w:val="20"/>
      <w:szCs w:val="20"/>
      <w:lang w:val="es-ES_tradnl" w:eastAsia="es-ES"/>
    </w:rPr>
  </w:style>
  <w:style w:type="character" w:styleId="FootnoteReference">
    <w:name w:val="footnote reference"/>
    <w:aliases w:val="Texto de nota al pie,Appel note de bas de page,Footnotes refss,f,Footnote number,referencia nota al pie,BVI fnr,4_G,16 Point,Superscript 6 Point,Texto nota al pie,Footnote Reference Char3,Footnote Reference Char1 Char,Ref. de nota al"/>
    <w:basedOn w:val="DefaultParagraphFont"/>
    <w:unhideWhenUsed/>
    <w:qFormat/>
    <w:rsid w:val="0011417F"/>
    <w:rPr>
      <w:vertAlign w:val="superscript"/>
    </w:rPr>
  </w:style>
  <w:style w:type="character" w:styleId="Strong">
    <w:name w:val="Strong"/>
    <w:basedOn w:val="DefaultParagraphFont"/>
    <w:uiPriority w:val="22"/>
    <w:qFormat/>
    <w:rsid w:val="0011417F"/>
    <w:rPr>
      <w:b/>
      <w:bCs/>
    </w:rPr>
  </w:style>
  <w:style w:type="character" w:customStyle="1" w:styleId="ListParagraphChar">
    <w:name w:val="List Paragraph Char"/>
    <w:aliases w:val="Colorful List - Accent 11 Char,Párrafo de lista1 Char,Footnote Char,List Paragraph1 Char,List Paragraph2 Char,Lista vistosa - Énfasis 11 Char"/>
    <w:basedOn w:val="DefaultParagraphFont"/>
    <w:link w:val="ListParagraph"/>
    <w:uiPriority w:val="99"/>
    <w:locked/>
    <w:rsid w:val="000D367E"/>
    <w:rPr>
      <w:rFonts w:ascii="Cambria" w:eastAsia="Times New Roman" w:hAnsi="Cambria" w:cs="Times New Roman"/>
      <w:lang w:val="en-US"/>
    </w:rPr>
  </w:style>
  <w:style w:type="paragraph" w:customStyle="1" w:styleId="Footnotes">
    <w:name w:val="**. Footnotes"/>
    <w:basedOn w:val="FootnoteText"/>
    <w:link w:val="FootnotesChar"/>
    <w:autoRedefine/>
    <w:qFormat/>
    <w:rsid w:val="000D367E"/>
    <w:pPr>
      <w:tabs>
        <w:tab w:val="left" w:pos="567"/>
        <w:tab w:val="left" w:pos="6030"/>
      </w:tabs>
      <w:spacing w:before="120"/>
      <w:jc w:val="both"/>
    </w:pPr>
    <w:rPr>
      <w:rFonts w:ascii="Verdana" w:eastAsia="Batang" w:hAnsi="Verdana" w:cs="Palatino-Italic"/>
      <w:iCs/>
      <w:sz w:val="16"/>
      <w:szCs w:val="16"/>
      <w:lang w:val="es-ES" w:eastAsia="en-US"/>
    </w:rPr>
  </w:style>
  <w:style w:type="character" w:customStyle="1" w:styleId="FootnotesChar">
    <w:name w:val="**. Footnotes Char"/>
    <w:basedOn w:val="DefaultParagraphFont"/>
    <w:link w:val="Footnotes"/>
    <w:rsid w:val="000D367E"/>
    <w:rPr>
      <w:rFonts w:ascii="Verdana" w:eastAsia="Batang" w:hAnsi="Verdana" w:cs="Palatino-Italic"/>
      <w:iCs/>
      <w:sz w:val="16"/>
      <w:szCs w:val="16"/>
      <w:lang w:val="es-ES"/>
    </w:rPr>
  </w:style>
  <w:style w:type="paragraph" w:styleId="NormalWeb">
    <w:name w:val="Normal (Web)"/>
    <w:aliases w:val="Normal (Web) Char1,Normal (Web) Char Char,Normal (Web) Char1 Char,Normal (Web) Char Char Char"/>
    <w:basedOn w:val="Normal"/>
    <w:uiPriority w:val="99"/>
    <w:unhideWhenUsed/>
    <w:rsid w:val="00B92EAA"/>
    <w:pPr>
      <w:spacing w:before="100" w:beforeAutospacing="1" w:after="100" w:afterAutospacing="1"/>
      <w:jc w:val="left"/>
    </w:pPr>
    <w:rPr>
      <w:rFonts w:ascii="Times New Roman" w:eastAsia="Times New Roman" w:hAnsi="Times New Roman" w:cs="Times New Roman"/>
      <w:noProof w:val="0"/>
      <w:sz w:val="24"/>
      <w:lang w:val="es-CR" w:eastAsia="es-CR"/>
    </w:rPr>
  </w:style>
  <w:style w:type="paragraph" w:styleId="Header">
    <w:name w:val="header"/>
    <w:basedOn w:val="Normal"/>
    <w:link w:val="HeaderChar"/>
    <w:uiPriority w:val="99"/>
    <w:unhideWhenUsed/>
    <w:rsid w:val="00D71254"/>
    <w:pPr>
      <w:tabs>
        <w:tab w:val="center" w:pos="4419"/>
        <w:tab w:val="right" w:pos="8838"/>
      </w:tabs>
    </w:pPr>
  </w:style>
  <w:style w:type="character" w:customStyle="1" w:styleId="HeaderChar">
    <w:name w:val="Header Char"/>
    <w:basedOn w:val="DefaultParagraphFont"/>
    <w:link w:val="Header"/>
    <w:uiPriority w:val="99"/>
    <w:rsid w:val="00D71254"/>
    <w:rPr>
      <w:rFonts w:ascii="Verdana" w:eastAsia="Batang" w:hAnsi="Verdana" w:cs="Times"/>
      <w:noProof/>
      <w:sz w:val="20"/>
      <w:szCs w:val="24"/>
      <w:lang w:val="es-ES_tradnl"/>
    </w:rPr>
  </w:style>
  <w:style w:type="paragraph" w:styleId="Footer">
    <w:name w:val="footer"/>
    <w:basedOn w:val="Normal"/>
    <w:link w:val="FooterChar"/>
    <w:uiPriority w:val="99"/>
    <w:unhideWhenUsed/>
    <w:rsid w:val="00D71254"/>
    <w:pPr>
      <w:tabs>
        <w:tab w:val="center" w:pos="4419"/>
        <w:tab w:val="right" w:pos="8838"/>
      </w:tabs>
    </w:pPr>
  </w:style>
  <w:style w:type="character" w:customStyle="1" w:styleId="FooterChar">
    <w:name w:val="Footer Char"/>
    <w:basedOn w:val="DefaultParagraphFont"/>
    <w:link w:val="Footer"/>
    <w:uiPriority w:val="99"/>
    <w:rsid w:val="00D71254"/>
    <w:rPr>
      <w:rFonts w:ascii="Verdana" w:eastAsia="Batang" w:hAnsi="Verdana" w:cs="Times"/>
      <w:noProof/>
      <w:sz w:val="20"/>
      <w:szCs w:val="24"/>
      <w:lang w:val="es-ES_tradnl"/>
    </w:rPr>
  </w:style>
  <w:style w:type="paragraph" w:styleId="BalloonText">
    <w:name w:val="Balloon Text"/>
    <w:basedOn w:val="Normal"/>
    <w:link w:val="BalloonTextChar"/>
    <w:uiPriority w:val="99"/>
    <w:semiHidden/>
    <w:unhideWhenUsed/>
    <w:rsid w:val="00D71254"/>
    <w:rPr>
      <w:rFonts w:ascii="Tahoma" w:hAnsi="Tahoma" w:cs="Tahoma"/>
      <w:sz w:val="16"/>
      <w:szCs w:val="16"/>
    </w:rPr>
  </w:style>
  <w:style w:type="character" w:customStyle="1" w:styleId="BalloonTextChar">
    <w:name w:val="Balloon Text Char"/>
    <w:basedOn w:val="DefaultParagraphFont"/>
    <w:link w:val="BalloonText"/>
    <w:uiPriority w:val="99"/>
    <w:semiHidden/>
    <w:rsid w:val="00D71254"/>
    <w:rPr>
      <w:rFonts w:ascii="Tahoma" w:eastAsia="Batang" w:hAnsi="Tahoma" w:cs="Tahoma"/>
      <w:noProof/>
      <w:sz w:val="16"/>
      <w:szCs w:val="16"/>
      <w:lang w:val="es-ES_tradnl"/>
    </w:rPr>
  </w:style>
  <w:style w:type="character" w:styleId="CommentReference">
    <w:name w:val="annotation reference"/>
    <w:basedOn w:val="DefaultParagraphFont"/>
    <w:uiPriority w:val="99"/>
    <w:semiHidden/>
    <w:unhideWhenUsed/>
    <w:rsid w:val="00775E43"/>
    <w:rPr>
      <w:sz w:val="16"/>
      <w:szCs w:val="16"/>
    </w:rPr>
  </w:style>
  <w:style w:type="paragraph" w:styleId="CommentText">
    <w:name w:val="annotation text"/>
    <w:basedOn w:val="Normal"/>
    <w:link w:val="CommentTextChar"/>
    <w:uiPriority w:val="99"/>
    <w:semiHidden/>
    <w:unhideWhenUsed/>
    <w:rsid w:val="00775E43"/>
    <w:rPr>
      <w:szCs w:val="20"/>
    </w:rPr>
  </w:style>
  <w:style w:type="character" w:customStyle="1" w:styleId="CommentTextChar">
    <w:name w:val="Comment Text Char"/>
    <w:basedOn w:val="DefaultParagraphFont"/>
    <w:link w:val="CommentText"/>
    <w:uiPriority w:val="99"/>
    <w:semiHidden/>
    <w:rsid w:val="00775E43"/>
    <w:rPr>
      <w:rFonts w:ascii="Verdana" w:eastAsia="Batang" w:hAnsi="Verdana" w:cs="Times"/>
      <w:noProof/>
      <w:sz w:val="20"/>
      <w:szCs w:val="20"/>
      <w:lang w:val="es-ES_tradnl"/>
    </w:rPr>
  </w:style>
  <w:style w:type="paragraph" w:styleId="CommentSubject">
    <w:name w:val="annotation subject"/>
    <w:basedOn w:val="CommentText"/>
    <w:next w:val="CommentText"/>
    <w:link w:val="CommentSubjectChar"/>
    <w:uiPriority w:val="99"/>
    <w:semiHidden/>
    <w:unhideWhenUsed/>
    <w:rsid w:val="00775E43"/>
    <w:rPr>
      <w:b/>
      <w:bCs/>
    </w:rPr>
  </w:style>
  <w:style w:type="character" w:customStyle="1" w:styleId="CommentSubjectChar">
    <w:name w:val="Comment Subject Char"/>
    <w:basedOn w:val="CommentTextChar"/>
    <w:link w:val="CommentSubject"/>
    <w:uiPriority w:val="99"/>
    <w:semiHidden/>
    <w:rsid w:val="00775E43"/>
    <w:rPr>
      <w:rFonts w:ascii="Verdana" w:eastAsia="Batang" w:hAnsi="Verdana" w:cs="Times"/>
      <w:b/>
      <w:bCs/>
      <w:noProof/>
      <w:sz w:val="20"/>
      <w:szCs w:val="20"/>
      <w:lang w:val="es-ES_tradnl"/>
    </w:rPr>
  </w:style>
  <w:style w:type="paragraph" w:styleId="Revision">
    <w:name w:val="Revision"/>
    <w:hidden/>
    <w:uiPriority w:val="99"/>
    <w:semiHidden/>
    <w:rsid w:val="002667C1"/>
    <w:pPr>
      <w:spacing w:after="0" w:line="240" w:lineRule="auto"/>
    </w:pPr>
    <w:rPr>
      <w:rFonts w:ascii="Verdana" w:eastAsia="Batang" w:hAnsi="Verdana" w:cs="Times"/>
      <w:noProof/>
      <w:sz w:val="20"/>
      <w:szCs w:val="24"/>
      <w:lang w:val="es-ES_tradnl"/>
    </w:rPr>
  </w:style>
  <w:style w:type="character" w:customStyle="1" w:styleId="apple-converted-space">
    <w:name w:val="apple-converted-space"/>
    <w:basedOn w:val="DefaultParagraphFont"/>
    <w:rsid w:val="005D1A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6C"/>
    <w:pPr>
      <w:spacing w:after="0" w:line="240" w:lineRule="auto"/>
      <w:jc w:val="both"/>
    </w:pPr>
    <w:rPr>
      <w:rFonts w:ascii="Verdana" w:eastAsia="Batang" w:hAnsi="Verdana" w:cs="Times"/>
      <w:noProof/>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1286C"/>
    <w:pPr>
      <w:jc w:val="center"/>
    </w:pPr>
    <w:rPr>
      <w:rFonts w:eastAsia="Times New Roman" w:cs="Times New Roman"/>
      <w:b/>
      <w:szCs w:val="20"/>
    </w:rPr>
  </w:style>
  <w:style w:type="character" w:customStyle="1" w:styleId="TtuloCar">
    <w:name w:val="Título Car"/>
    <w:basedOn w:val="DefaultParagraphFont"/>
    <w:uiPriority w:val="10"/>
    <w:rsid w:val="00D1286C"/>
    <w:rPr>
      <w:rFonts w:asciiTheme="majorHAnsi" w:eastAsiaTheme="majorEastAsia" w:hAnsiTheme="majorHAnsi" w:cstheme="majorBidi"/>
      <w:noProof/>
      <w:color w:val="17365D" w:themeColor="text2" w:themeShade="BF"/>
      <w:spacing w:val="5"/>
      <w:kern w:val="28"/>
      <w:sz w:val="52"/>
      <w:szCs w:val="52"/>
      <w:lang w:val="es-ES_tradnl"/>
    </w:rPr>
  </w:style>
  <w:style w:type="paragraph" w:styleId="Subtitle">
    <w:name w:val="Subtitle"/>
    <w:basedOn w:val="Normal"/>
    <w:next w:val="Normal"/>
    <w:link w:val="SubtitleChar"/>
    <w:uiPriority w:val="11"/>
    <w:qFormat/>
    <w:rsid w:val="00D1286C"/>
    <w:pPr>
      <w:jc w:val="center"/>
    </w:pPr>
    <w:rPr>
      <w:rFonts w:eastAsia="Times New Roman" w:cs="Times New Roman"/>
      <w:b/>
      <w:i/>
      <w:iCs/>
      <w:spacing w:val="15"/>
    </w:rPr>
  </w:style>
  <w:style w:type="character" w:customStyle="1" w:styleId="SubttuloCar">
    <w:name w:val="Subtítulo Car"/>
    <w:basedOn w:val="DefaultParagraphFont"/>
    <w:uiPriority w:val="11"/>
    <w:rsid w:val="00D1286C"/>
    <w:rPr>
      <w:rFonts w:asciiTheme="majorHAnsi" w:eastAsiaTheme="majorEastAsia" w:hAnsiTheme="majorHAnsi" w:cstheme="majorBidi"/>
      <w:i/>
      <w:iCs/>
      <w:noProof/>
      <w:color w:val="4F81BD" w:themeColor="accent1"/>
      <w:spacing w:val="15"/>
      <w:sz w:val="24"/>
      <w:szCs w:val="24"/>
      <w:lang w:val="es-ES_tradnl"/>
    </w:rPr>
  </w:style>
  <w:style w:type="character" w:customStyle="1" w:styleId="TitleChar">
    <w:name w:val="Title Char"/>
    <w:basedOn w:val="DefaultParagraphFont"/>
    <w:link w:val="Title"/>
    <w:locked/>
    <w:rsid w:val="00D1286C"/>
    <w:rPr>
      <w:rFonts w:ascii="Verdana" w:eastAsia="Times New Roman" w:hAnsi="Verdana" w:cs="Times New Roman"/>
      <w:b/>
      <w:noProof/>
      <w:sz w:val="20"/>
      <w:szCs w:val="20"/>
      <w:lang w:val="es-ES_tradnl"/>
    </w:rPr>
  </w:style>
  <w:style w:type="character" w:customStyle="1" w:styleId="SubtitleChar">
    <w:name w:val="Subtitle Char"/>
    <w:basedOn w:val="DefaultParagraphFont"/>
    <w:link w:val="Subtitle"/>
    <w:uiPriority w:val="11"/>
    <w:locked/>
    <w:rsid w:val="00D1286C"/>
    <w:rPr>
      <w:rFonts w:ascii="Verdana" w:eastAsia="Times New Roman" w:hAnsi="Verdana" w:cs="Times New Roman"/>
      <w:b/>
      <w:i/>
      <w:iCs/>
      <w:noProof/>
      <w:spacing w:val="15"/>
      <w:sz w:val="20"/>
      <w:szCs w:val="24"/>
      <w:lang w:val="es-ES_tradnl"/>
    </w:rPr>
  </w:style>
  <w:style w:type="paragraph" w:styleId="ListParagraph">
    <w:name w:val="List Paragraph"/>
    <w:aliases w:val="Colorful List - Accent 11,Párrafo de lista1,Footnote,List Paragraph1,List Paragraph2,Lista vistosa - Énfasis 11"/>
    <w:basedOn w:val="Normal"/>
    <w:link w:val="ListParagraphChar"/>
    <w:uiPriority w:val="99"/>
    <w:qFormat/>
    <w:rsid w:val="00E058B2"/>
    <w:pPr>
      <w:spacing w:after="200" w:line="276" w:lineRule="auto"/>
      <w:ind w:left="720"/>
      <w:contextualSpacing/>
      <w:jc w:val="left"/>
    </w:pPr>
    <w:rPr>
      <w:rFonts w:ascii="Cambria" w:eastAsia="Times New Roman" w:hAnsi="Cambria" w:cs="Times New Roman"/>
      <w:noProof w:val="0"/>
      <w:sz w:val="22"/>
      <w:szCs w:val="22"/>
      <w:lang w:val="en-US"/>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2. Footnote Text,C"/>
    <w:basedOn w:val="Normal"/>
    <w:link w:val="FootnoteTextChar"/>
    <w:unhideWhenUsed/>
    <w:qFormat/>
    <w:rsid w:val="0011417F"/>
    <w:pPr>
      <w:jc w:val="left"/>
    </w:pPr>
    <w:rPr>
      <w:rFonts w:ascii="Cambria" w:eastAsia="MS Mincho" w:hAnsi="Cambria" w:cs="Times New Roman"/>
      <w:noProof w:val="0"/>
      <w:szCs w:val="20"/>
      <w:lang w:eastAsia="es-ES"/>
    </w:rPr>
  </w:style>
  <w:style w:type="character" w:customStyle="1" w:styleId="TextonotapieCar">
    <w:name w:val="Texto nota pie Car"/>
    <w:aliases w:val="2. Footnote Text Car,Footnote Tesina Car"/>
    <w:basedOn w:val="DefaultParagraphFont"/>
    <w:uiPriority w:val="99"/>
    <w:rsid w:val="0011417F"/>
    <w:rPr>
      <w:rFonts w:ascii="Verdana" w:eastAsia="Batang" w:hAnsi="Verdana" w:cs="Times"/>
      <w:noProof/>
      <w:sz w:val="20"/>
      <w:szCs w:val="20"/>
      <w:lang w:val="es-ES_tradnl"/>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11417F"/>
    <w:rPr>
      <w:rFonts w:ascii="Cambria" w:eastAsia="MS Mincho" w:hAnsi="Cambria" w:cs="Times New Roman"/>
      <w:sz w:val="20"/>
      <w:szCs w:val="20"/>
      <w:lang w:val="es-ES_tradnl" w:eastAsia="es-ES"/>
    </w:rPr>
  </w:style>
  <w:style w:type="character" w:styleId="FootnoteReference">
    <w:name w:val="footnote reference"/>
    <w:aliases w:val="Texto de nota al pie,Appel note de bas de page,Footnotes refss,f,Footnote number,referencia nota al pie,BVI fnr,4_G,16 Point,Superscript 6 Point,Texto nota al pie,Footnote Reference Char3,Footnote Reference Char1 Char,Ref. de nota al"/>
    <w:basedOn w:val="DefaultParagraphFont"/>
    <w:unhideWhenUsed/>
    <w:qFormat/>
    <w:rsid w:val="0011417F"/>
    <w:rPr>
      <w:vertAlign w:val="superscript"/>
    </w:rPr>
  </w:style>
  <w:style w:type="character" w:styleId="Strong">
    <w:name w:val="Strong"/>
    <w:basedOn w:val="DefaultParagraphFont"/>
    <w:uiPriority w:val="22"/>
    <w:qFormat/>
    <w:rsid w:val="0011417F"/>
    <w:rPr>
      <w:b/>
      <w:bCs/>
    </w:rPr>
  </w:style>
  <w:style w:type="character" w:customStyle="1" w:styleId="ListParagraphChar">
    <w:name w:val="List Paragraph Char"/>
    <w:aliases w:val="Colorful List - Accent 11 Char,Párrafo de lista1 Char,Footnote Char,List Paragraph1 Char,List Paragraph2 Char,Lista vistosa - Énfasis 11 Char"/>
    <w:basedOn w:val="DefaultParagraphFont"/>
    <w:link w:val="ListParagraph"/>
    <w:uiPriority w:val="99"/>
    <w:locked/>
    <w:rsid w:val="000D367E"/>
    <w:rPr>
      <w:rFonts w:ascii="Cambria" w:eastAsia="Times New Roman" w:hAnsi="Cambria" w:cs="Times New Roman"/>
      <w:lang w:val="en-US"/>
    </w:rPr>
  </w:style>
  <w:style w:type="paragraph" w:customStyle="1" w:styleId="Footnotes">
    <w:name w:val="**. Footnotes"/>
    <w:basedOn w:val="FootnoteText"/>
    <w:link w:val="FootnotesChar"/>
    <w:autoRedefine/>
    <w:qFormat/>
    <w:rsid w:val="000D367E"/>
    <w:pPr>
      <w:tabs>
        <w:tab w:val="left" w:pos="567"/>
        <w:tab w:val="left" w:pos="6030"/>
      </w:tabs>
      <w:spacing w:before="120"/>
      <w:jc w:val="both"/>
    </w:pPr>
    <w:rPr>
      <w:rFonts w:ascii="Verdana" w:eastAsia="Batang" w:hAnsi="Verdana" w:cs="Palatino-Italic"/>
      <w:iCs/>
      <w:sz w:val="16"/>
      <w:szCs w:val="16"/>
      <w:lang w:val="es-ES" w:eastAsia="en-US"/>
    </w:rPr>
  </w:style>
  <w:style w:type="character" w:customStyle="1" w:styleId="FootnotesChar">
    <w:name w:val="**. Footnotes Char"/>
    <w:basedOn w:val="DefaultParagraphFont"/>
    <w:link w:val="Footnotes"/>
    <w:rsid w:val="000D367E"/>
    <w:rPr>
      <w:rFonts w:ascii="Verdana" w:eastAsia="Batang" w:hAnsi="Verdana" w:cs="Palatino-Italic"/>
      <w:iCs/>
      <w:sz w:val="16"/>
      <w:szCs w:val="16"/>
      <w:lang w:val="es-ES"/>
    </w:rPr>
  </w:style>
  <w:style w:type="paragraph" w:styleId="NormalWeb">
    <w:name w:val="Normal (Web)"/>
    <w:aliases w:val="Normal (Web) Char1,Normal (Web) Char Char,Normal (Web) Char1 Char,Normal (Web) Char Char Char"/>
    <w:basedOn w:val="Normal"/>
    <w:uiPriority w:val="99"/>
    <w:unhideWhenUsed/>
    <w:rsid w:val="00B92EAA"/>
    <w:pPr>
      <w:spacing w:before="100" w:beforeAutospacing="1" w:after="100" w:afterAutospacing="1"/>
      <w:jc w:val="left"/>
    </w:pPr>
    <w:rPr>
      <w:rFonts w:ascii="Times New Roman" w:eastAsia="Times New Roman" w:hAnsi="Times New Roman" w:cs="Times New Roman"/>
      <w:noProof w:val="0"/>
      <w:sz w:val="24"/>
      <w:lang w:val="es-CR" w:eastAsia="es-CR"/>
    </w:rPr>
  </w:style>
  <w:style w:type="paragraph" w:styleId="Header">
    <w:name w:val="header"/>
    <w:basedOn w:val="Normal"/>
    <w:link w:val="HeaderChar"/>
    <w:uiPriority w:val="99"/>
    <w:unhideWhenUsed/>
    <w:rsid w:val="00D71254"/>
    <w:pPr>
      <w:tabs>
        <w:tab w:val="center" w:pos="4419"/>
        <w:tab w:val="right" w:pos="8838"/>
      </w:tabs>
    </w:pPr>
  </w:style>
  <w:style w:type="character" w:customStyle="1" w:styleId="HeaderChar">
    <w:name w:val="Header Char"/>
    <w:basedOn w:val="DefaultParagraphFont"/>
    <w:link w:val="Header"/>
    <w:uiPriority w:val="99"/>
    <w:rsid w:val="00D71254"/>
    <w:rPr>
      <w:rFonts w:ascii="Verdana" w:eastAsia="Batang" w:hAnsi="Verdana" w:cs="Times"/>
      <w:noProof/>
      <w:sz w:val="20"/>
      <w:szCs w:val="24"/>
      <w:lang w:val="es-ES_tradnl"/>
    </w:rPr>
  </w:style>
  <w:style w:type="paragraph" w:styleId="Footer">
    <w:name w:val="footer"/>
    <w:basedOn w:val="Normal"/>
    <w:link w:val="FooterChar"/>
    <w:uiPriority w:val="99"/>
    <w:unhideWhenUsed/>
    <w:rsid w:val="00D71254"/>
    <w:pPr>
      <w:tabs>
        <w:tab w:val="center" w:pos="4419"/>
        <w:tab w:val="right" w:pos="8838"/>
      </w:tabs>
    </w:pPr>
  </w:style>
  <w:style w:type="character" w:customStyle="1" w:styleId="FooterChar">
    <w:name w:val="Footer Char"/>
    <w:basedOn w:val="DefaultParagraphFont"/>
    <w:link w:val="Footer"/>
    <w:uiPriority w:val="99"/>
    <w:rsid w:val="00D71254"/>
    <w:rPr>
      <w:rFonts w:ascii="Verdana" w:eastAsia="Batang" w:hAnsi="Verdana" w:cs="Times"/>
      <w:noProof/>
      <w:sz w:val="20"/>
      <w:szCs w:val="24"/>
      <w:lang w:val="es-ES_tradnl"/>
    </w:rPr>
  </w:style>
  <w:style w:type="paragraph" w:styleId="BalloonText">
    <w:name w:val="Balloon Text"/>
    <w:basedOn w:val="Normal"/>
    <w:link w:val="BalloonTextChar"/>
    <w:uiPriority w:val="99"/>
    <w:semiHidden/>
    <w:unhideWhenUsed/>
    <w:rsid w:val="00D71254"/>
    <w:rPr>
      <w:rFonts w:ascii="Tahoma" w:hAnsi="Tahoma" w:cs="Tahoma"/>
      <w:sz w:val="16"/>
      <w:szCs w:val="16"/>
    </w:rPr>
  </w:style>
  <w:style w:type="character" w:customStyle="1" w:styleId="BalloonTextChar">
    <w:name w:val="Balloon Text Char"/>
    <w:basedOn w:val="DefaultParagraphFont"/>
    <w:link w:val="BalloonText"/>
    <w:uiPriority w:val="99"/>
    <w:semiHidden/>
    <w:rsid w:val="00D71254"/>
    <w:rPr>
      <w:rFonts w:ascii="Tahoma" w:eastAsia="Batang" w:hAnsi="Tahoma" w:cs="Tahoma"/>
      <w:noProof/>
      <w:sz w:val="16"/>
      <w:szCs w:val="16"/>
      <w:lang w:val="es-ES_tradnl"/>
    </w:rPr>
  </w:style>
  <w:style w:type="character" w:styleId="CommentReference">
    <w:name w:val="annotation reference"/>
    <w:basedOn w:val="DefaultParagraphFont"/>
    <w:uiPriority w:val="99"/>
    <w:semiHidden/>
    <w:unhideWhenUsed/>
    <w:rsid w:val="00775E43"/>
    <w:rPr>
      <w:sz w:val="16"/>
      <w:szCs w:val="16"/>
    </w:rPr>
  </w:style>
  <w:style w:type="paragraph" w:styleId="CommentText">
    <w:name w:val="annotation text"/>
    <w:basedOn w:val="Normal"/>
    <w:link w:val="CommentTextChar"/>
    <w:uiPriority w:val="99"/>
    <w:semiHidden/>
    <w:unhideWhenUsed/>
    <w:rsid w:val="00775E43"/>
    <w:rPr>
      <w:szCs w:val="20"/>
    </w:rPr>
  </w:style>
  <w:style w:type="character" w:customStyle="1" w:styleId="CommentTextChar">
    <w:name w:val="Comment Text Char"/>
    <w:basedOn w:val="DefaultParagraphFont"/>
    <w:link w:val="CommentText"/>
    <w:uiPriority w:val="99"/>
    <w:semiHidden/>
    <w:rsid w:val="00775E43"/>
    <w:rPr>
      <w:rFonts w:ascii="Verdana" w:eastAsia="Batang" w:hAnsi="Verdana" w:cs="Times"/>
      <w:noProof/>
      <w:sz w:val="20"/>
      <w:szCs w:val="20"/>
      <w:lang w:val="es-ES_tradnl"/>
    </w:rPr>
  </w:style>
  <w:style w:type="paragraph" w:styleId="CommentSubject">
    <w:name w:val="annotation subject"/>
    <w:basedOn w:val="CommentText"/>
    <w:next w:val="CommentText"/>
    <w:link w:val="CommentSubjectChar"/>
    <w:uiPriority w:val="99"/>
    <w:semiHidden/>
    <w:unhideWhenUsed/>
    <w:rsid w:val="00775E43"/>
    <w:rPr>
      <w:b/>
      <w:bCs/>
    </w:rPr>
  </w:style>
  <w:style w:type="character" w:customStyle="1" w:styleId="CommentSubjectChar">
    <w:name w:val="Comment Subject Char"/>
    <w:basedOn w:val="CommentTextChar"/>
    <w:link w:val="CommentSubject"/>
    <w:uiPriority w:val="99"/>
    <w:semiHidden/>
    <w:rsid w:val="00775E43"/>
    <w:rPr>
      <w:rFonts w:ascii="Verdana" w:eastAsia="Batang" w:hAnsi="Verdana" w:cs="Times"/>
      <w:b/>
      <w:bCs/>
      <w:noProof/>
      <w:sz w:val="20"/>
      <w:szCs w:val="20"/>
      <w:lang w:val="es-ES_tradnl"/>
    </w:rPr>
  </w:style>
  <w:style w:type="paragraph" w:styleId="Revision">
    <w:name w:val="Revision"/>
    <w:hidden/>
    <w:uiPriority w:val="99"/>
    <w:semiHidden/>
    <w:rsid w:val="002667C1"/>
    <w:pPr>
      <w:spacing w:after="0" w:line="240" w:lineRule="auto"/>
    </w:pPr>
    <w:rPr>
      <w:rFonts w:ascii="Verdana" w:eastAsia="Batang" w:hAnsi="Verdana" w:cs="Times"/>
      <w:noProof/>
      <w:sz w:val="20"/>
      <w:szCs w:val="24"/>
      <w:lang w:val="es-ES_tradnl"/>
    </w:rPr>
  </w:style>
  <w:style w:type="character" w:customStyle="1" w:styleId="apple-converted-space">
    <w:name w:val="apple-converted-space"/>
    <w:basedOn w:val="DefaultParagraphFont"/>
    <w:rsid w:val="005D1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15BEBE2BF87F40A76A9C926EBECC0C" ma:contentTypeVersion="0" ma:contentTypeDescription="Create a new document." ma:contentTypeScope="" ma:versionID="ad8069bb81a7b5dc5c766ad6aa2648bb">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EAF97-EF63-4719-8319-16FF65060E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88395B-48C5-4E07-8A6E-6DB2AC552724}">
  <ds:schemaRefs>
    <ds:schemaRef ds:uri="http://schemas.microsoft.com/sharepoint/v3/contenttype/forms"/>
  </ds:schemaRefs>
</ds:datastoreItem>
</file>

<file path=customXml/itemProps3.xml><?xml version="1.0" encoding="utf-8"?>
<ds:datastoreItem xmlns:ds="http://schemas.openxmlformats.org/officeDocument/2006/customXml" ds:itemID="{38923EF1-B922-4A31-B36A-9DBFD5507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34D4D5-4185-4AB5-91F6-4AB38546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2998</Words>
  <Characters>16491</Characters>
  <Application>Microsoft Office Word</Application>
  <DocSecurity>0</DocSecurity>
  <Lines>137</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2</cp:revision>
  <cp:lastPrinted>2016-01-28T16:55:00Z</cp:lastPrinted>
  <dcterms:created xsi:type="dcterms:W3CDTF">2016-01-28T19:23:00Z</dcterms:created>
  <dcterms:modified xsi:type="dcterms:W3CDTF">2016-01-28T19:23:00Z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0x010100D015BEBE2BF87F40A76A9C926EBECC0C</vt:lpwstr>
  </property>
</Properties>
</file>