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34E0" w14:textId="77777777" w:rsidR="00C837F5" w:rsidRPr="006C09C5" w:rsidRDefault="00C837F5" w:rsidP="00CB6A51">
      <w:pPr>
        <w:tabs>
          <w:tab w:val="left" w:pos="709"/>
        </w:tabs>
        <w:spacing w:line="276" w:lineRule="auto"/>
        <w:jc w:val="center"/>
        <w:rPr>
          <w:b/>
          <w:szCs w:val="20"/>
          <w:lang w:val="es-CO"/>
        </w:rPr>
      </w:pPr>
    </w:p>
    <w:p w14:paraId="34E33DC2" w14:textId="77777777" w:rsidR="00C837F5" w:rsidRPr="006C09C5" w:rsidRDefault="00C837F5" w:rsidP="00CB6A51">
      <w:pPr>
        <w:tabs>
          <w:tab w:val="left" w:pos="709"/>
        </w:tabs>
        <w:spacing w:line="276" w:lineRule="auto"/>
        <w:jc w:val="center"/>
        <w:rPr>
          <w:b/>
          <w:szCs w:val="20"/>
          <w:lang w:val="es-CO"/>
        </w:rPr>
      </w:pPr>
      <w:r w:rsidRPr="006C09C5">
        <w:rPr>
          <w:b/>
          <w:szCs w:val="20"/>
          <w:lang w:val="es-CO"/>
        </w:rPr>
        <w:t xml:space="preserve">VOTO PARCIALMENTE DISIDENTE DEL </w:t>
      </w:r>
    </w:p>
    <w:p w14:paraId="0CC500CA" w14:textId="77777777" w:rsidR="00C837F5" w:rsidRPr="006C09C5" w:rsidRDefault="00C837F5" w:rsidP="00CB6A51">
      <w:pPr>
        <w:tabs>
          <w:tab w:val="left" w:pos="709"/>
        </w:tabs>
        <w:spacing w:line="276" w:lineRule="auto"/>
        <w:jc w:val="center"/>
        <w:rPr>
          <w:b/>
          <w:szCs w:val="20"/>
          <w:lang w:val="es-CO"/>
        </w:rPr>
      </w:pPr>
      <w:r w:rsidRPr="006C09C5">
        <w:rPr>
          <w:b/>
          <w:szCs w:val="20"/>
          <w:lang w:val="es-CO"/>
        </w:rPr>
        <w:t>JUEZ HUMBERTO ANTONIO SIERRA PORTO</w:t>
      </w:r>
    </w:p>
    <w:p w14:paraId="7CBBF988" w14:textId="77777777" w:rsidR="00C837F5" w:rsidRPr="006C09C5" w:rsidRDefault="00C837F5" w:rsidP="00CB6A51">
      <w:pPr>
        <w:tabs>
          <w:tab w:val="left" w:pos="709"/>
        </w:tabs>
        <w:spacing w:line="276" w:lineRule="auto"/>
        <w:jc w:val="center"/>
        <w:rPr>
          <w:b/>
          <w:szCs w:val="20"/>
          <w:lang w:val="es-CO"/>
        </w:rPr>
      </w:pPr>
    </w:p>
    <w:p w14:paraId="5260C06E" w14:textId="77777777" w:rsidR="00C837F5" w:rsidRPr="006C09C5" w:rsidRDefault="00C837F5" w:rsidP="00CB6A51">
      <w:pPr>
        <w:spacing w:line="276" w:lineRule="auto"/>
        <w:jc w:val="center"/>
        <w:rPr>
          <w:b/>
          <w:i/>
          <w:szCs w:val="20"/>
          <w:u w:val="single"/>
          <w:lang w:val="es-CO"/>
        </w:rPr>
      </w:pPr>
      <w:r w:rsidRPr="006C09C5">
        <w:rPr>
          <w:b/>
          <w:i/>
          <w:szCs w:val="20"/>
          <w:u w:val="single"/>
          <w:lang w:val="es-CO"/>
        </w:rPr>
        <w:t>CASO EMPLEADOS DE LA FÁBRICA DE FUEGOS EN SANTO ANTÔNIO DE JESUS</w:t>
      </w:r>
      <w:r w:rsidRPr="006C09C5" w:rsidDel="00A41E0A">
        <w:rPr>
          <w:b/>
          <w:i/>
          <w:szCs w:val="20"/>
          <w:u w:val="single"/>
          <w:lang w:val="es-CO"/>
        </w:rPr>
        <w:t xml:space="preserve"> </w:t>
      </w:r>
      <w:r w:rsidRPr="006C09C5">
        <w:rPr>
          <w:b/>
          <w:i/>
          <w:szCs w:val="20"/>
          <w:u w:val="single"/>
          <w:lang w:val="es-CO"/>
        </w:rPr>
        <w:t>Y SUS FAMILIARES VS. BRASIL</w:t>
      </w:r>
    </w:p>
    <w:p w14:paraId="64C316B2" w14:textId="77777777" w:rsidR="00C837F5" w:rsidRPr="006C09C5" w:rsidRDefault="00C837F5" w:rsidP="00CB6A51">
      <w:pPr>
        <w:spacing w:line="276" w:lineRule="auto"/>
        <w:jc w:val="center"/>
        <w:rPr>
          <w:b/>
          <w:i/>
          <w:szCs w:val="20"/>
          <w:u w:val="single"/>
          <w:lang w:val="es-CO"/>
        </w:rPr>
      </w:pPr>
    </w:p>
    <w:p w14:paraId="2B4AA998" w14:textId="77777777" w:rsidR="00C837F5" w:rsidRPr="006C09C5" w:rsidRDefault="00C837F5" w:rsidP="00CB6A51">
      <w:pPr>
        <w:spacing w:line="276" w:lineRule="auto"/>
        <w:jc w:val="center"/>
        <w:rPr>
          <w:b/>
          <w:szCs w:val="20"/>
          <w:lang w:val="es-CO"/>
        </w:rPr>
      </w:pPr>
      <w:r w:rsidRPr="006C09C5">
        <w:rPr>
          <w:b/>
          <w:szCs w:val="20"/>
          <w:lang w:val="es-CO"/>
        </w:rPr>
        <w:t>SENTENCIA DE 15 DE JULIO DE 2020</w:t>
      </w:r>
    </w:p>
    <w:p w14:paraId="6A58FA84" w14:textId="77777777" w:rsidR="00C837F5" w:rsidRPr="006C09C5" w:rsidRDefault="00C837F5" w:rsidP="00CB6A51">
      <w:pPr>
        <w:spacing w:line="276" w:lineRule="auto"/>
        <w:jc w:val="center"/>
        <w:rPr>
          <w:b/>
          <w:szCs w:val="20"/>
          <w:lang w:val="es-CO"/>
        </w:rPr>
      </w:pPr>
      <w:r w:rsidRPr="006C09C5">
        <w:rPr>
          <w:b/>
          <w:szCs w:val="20"/>
          <w:lang w:val="es-CO"/>
        </w:rPr>
        <w:t>(Excepciones Preliminares, Fondo, Reparaciones y Costas)</w:t>
      </w:r>
    </w:p>
    <w:p w14:paraId="728F9309" w14:textId="77777777" w:rsidR="00C837F5" w:rsidRDefault="00C837F5" w:rsidP="00CB6A51">
      <w:pPr>
        <w:spacing w:line="276" w:lineRule="auto"/>
        <w:rPr>
          <w:szCs w:val="20"/>
          <w:lang w:val="es-CO"/>
        </w:rPr>
      </w:pPr>
    </w:p>
    <w:p w14:paraId="0908AE7E" w14:textId="77777777" w:rsidR="00CB6A51" w:rsidRPr="006C09C5" w:rsidRDefault="00CB6A51" w:rsidP="00CB6A51">
      <w:pPr>
        <w:spacing w:line="276" w:lineRule="auto"/>
        <w:rPr>
          <w:szCs w:val="20"/>
          <w:lang w:val="es-CO"/>
        </w:rPr>
      </w:pPr>
    </w:p>
    <w:p w14:paraId="2D1AD2BE" w14:textId="77777777" w:rsidR="00BB7894" w:rsidRPr="006C09C5" w:rsidRDefault="00C837F5" w:rsidP="00CB6A51">
      <w:pPr>
        <w:pStyle w:val="PrrafodeSentencia"/>
        <w:tabs>
          <w:tab w:val="left" w:pos="990"/>
        </w:tabs>
        <w:rPr>
          <w:lang w:val="es-CO"/>
        </w:rPr>
      </w:pPr>
      <w:r w:rsidRPr="006C09C5">
        <w:rPr>
          <w:lang w:val="es-CO"/>
        </w:rPr>
        <w:t>Con el reiterado respeto por las decisiones de la Corte Interamericana de Derechos Humanos (en adelan</w:t>
      </w:r>
      <w:r w:rsidR="00B3677A" w:rsidRPr="006C09C5">
        <w:rPr>
          <w:lang w:val="es-CO"/>
        </w:rPr>
        <w:t>te, “la Corte” o “el Tribunal”)</w:t>
      </w:r>
      <w:r w:rsidR="00DE206F" w:rsidRPr="006C09C5">
        <w:rPr>
          <w:lang w:val="es-CO"/>
        </w:rPr>
        <w:t>,</w:t>
      </w:r>
      <w:r w:rsidR="00B3677A" w:rsidRPr="006C09C5">
        <w:rPr>
          <w:lang w:val="es-CO"/>
        </w:rPr>
        <w:t xml:space="preserve"> y aunque </w:t>
      </w:r>
      <w:r w:rsidR="00D82E61" w:rsidRPr="006C09C5">
        <w:rPr>
          <w:lang w:val="es-CO"/>
        </w:rPr>
        <w:t xml:space="preserve">comparto la mayor parte de las consideraciones que </w:t>
      </w:r>
      <w:r w:rsidR="00584C8D" w:rsidRPr="006C09C5">
        <w:rPr>
          <w:lang w:val="es-CO"/>
        </w:rPr>
        <w:t>respaldan</w:t>
      </w:r>
      <w:r w:rsidR="00D82E61" w:rsidRPr="006C09C5">
        <w:rPr>
          <w:lang w:val="es-CO"/>
        </w:rPr>
        <w:t xml:space="preserve"> la Sentencia</w:t>
      </w:r>
      <w:r w:rsidR="00057B50" w:rsidRPr="006C09C5">
        <w:rPr>
          <w:lang w:val="es-CO"/>
        </w:rPr>
        <w:t xml:space="preserve"> adoptada</w:t>
      </w:r>
      <w:r w:rsidR="00D82E61" w:rsidRPr="006C09C5">
        <w:rPr>
          <w:lang w:val="es-CO"/>
        </w:rPr>
        <w:t>, me permito formular el presente voto parcialmente disidente</w:t>
      </w:r>
      <w:r w:rsidRPr="006C09C5">
        <w:rPr>
          <w:lang w:val="es-CO"/>
        </w:rPr>
        <w:t>. E</w:t>
      </w:r>
      <w:r w:rsidR="00057B50" w:rsidRPr="006C09C5">
        <w:rPr>
          <w:lang w:val="es-CO"/>
        </w:rPr>
        <w:t>ste</w:t>
      </w:r>
      <w:r w:rsidRPr="006C09C5">
        <w:rPr>
          <w:lang w:val="es-CO"/>
        </w:rPr>
        <w:t xml:space="preserve"> voto </w:t>
      </w:r>
      <w:r w:rsidR="00DE206F" w:rsidRPr="006C09C5">
        <w:rPr>
          <w:lang w:val="es-CO"/>
        </w:rPr>
        <w:t>(i)</w:t>
      </w:r>
      <w:r w:rsidRPr="006C09C5">
        <w:rPr>
          <w:lang w:val="es-CO"/>
        </w:rPr>
        <w:t xml:space="preserve"> </w:t>
      </w:r>
      <w:r w:rsidR="00DE206F" w:rsidRPr="006C09C5">
        <w:rPr>
          <w:lang w:val="es-CO"/>
        </w:rPr>
        <w:t>presenta las razones que sustentan mi desacuerdo con</w:t>
      </w:r>
      <w:r w:rsidR="00551BD3" w:rsidRPr="006C09C5">
        <w:rPr>
          <w:lang w:val="es-CO"/>
        </w:rPr>
        <w:t xml:space="preserve"> la decisión adoptada por la </w:t>
      </w:r>
      <w:r w:rsidR="00DE206F" w:rsidRPr="006C09C5">
        <w:rPr>
          <w:lang w:val="es-CO"/>
        </w:rPr>
        <w:t>mayoría</w:t>
      </w:r>
      <w:r w:rsidR="00551BD3" w:rsidRPr="006C09C5">
        <w:rPr>
          <w:lang w:val="es-CO"/>
        </w:rPr>
        <w:t xml:space="preserve"> respecto de</w:t>
      </w:r>
      <w:r w:rsidRPr="006C09C5">
        <w:rPr>
          <w:lang w:val="es-CO"/>
        </w:rPr>
        <w:t xml:space="preserve"> </w:t>
      </w:r>
      <w:r w:rsidR="00BB7894" w:rsidRPr="006C09C5">
        <w:rPr>
          <w:lang w:val="es-CO"/>
        </w:rPr>
        <w:t xml:space="preserve">la excepción preliminar </w:t>
      </w:r>
      <w:r w:rsidR="00BB7894" w:rsidRPr="006C09C5">
        <w:rPr>
          <w:i/>
          <w:lang w:val="es-CO"/>
        </w:rPr>
        <w:t>ratione materia</w:t>
      </w:r>
      <w:r w:rsidR="00551BD3" w:rsidRPr="006C09C5">
        <w:rPr>
          <w:i/>
          <w:lang w:val="es-CO"/>
        </w:rPr>
        <w:t>e</w:t>
      </w:r>
      <w:r w:rsidR="00584BCE" w:rsidRPr="006C09C5">
        <w:rPr>
          <w:rStyle w:val="Refdenotaalpie"/>
          <w:sz w:val="20"/>
          <w:szCs w:val="20"/>
          <w:lang w:val="es-CO"/>
        </w:rPr>
        <w:footnoteReference w:id="1"/>
      </w:r>
      <w:r w:rsidR="00DE206F" w:rsidRPr="006C09C5">
        <w:rPr>
          <w:i/>
          <w:lang w:val="es-CO"/>
        </w:rPr>
        <w:t>,</w:t>
      </w:r>
      <w:r w:rsidR="00551BD3" w:rsidRPr="006C09C5">
        <w:rPr>
          <w:lang w:val="es-CO"/>
        </w:rPr>
        <w:t xml:space="preserve"> y</w:t>
      </w:r>
      <w:r w:rsidR="00DE206F" w:rsidRPr="006C09C5">
        <w:rPr>
          <w:lang w:val="es-CO"/>
        </w:rPr>
        <w:t xml:space="preserve"> (ii)</w:t>
      </w:r>
      <w:r w:rsidR="00551BD3" w:rsidRPr="006C09C5">
        <w:rPr>
          <w:lang w:val="es-CO"/>
        </w:rPr>
        <w:t xml:space="preserve"> </w:t>
      </w:r>
      <w:r w:rsidR="00DE206F" w:rsidRPr="006C09C5">
        <w:rPr>
          <w:lang w:val="es-CO"/>
        </w:rPr>
        <w:t>mis observaciones en relación con e</w:t>
      </w:r>
      <w:r w:rsidR="00BB7894" w:rsidRPr="006C09C5">
        <w:rPr>
          <w:lang w:val="es-CO"/>
        </w:rPr>
        <w:t xml:space="preserve">l análisis </w:t>
      </w:r>
      <w:r w:rsidR="00DE206F" w:rsidRPr="006C09C5">
        <w:rPr>
          <w:lang w:val="es-CO"/>
        </w:rPr>
        <w:t>hecho al atribuir</w:t>
      </w:r>
      <w:r w:rsidRPr="006C09C5">
        <w:rPr>
          <w:lang w:val="es-CO"/>
        </w:rPr>
        <w:t xml:space="preserve"> responsab</w:t>
      </w:r>
      <w:r w:rsidR="00DE206F" w:rsidRPr="006C09C5">
        <w:rPr>
          <w:lang w:val="es-CO"/>
        </w:rPr>
        <w:t>ilidad internacional a</w:t>
      </w:r>
      <w:r w:rsidR="00057B50" w:rsidRPr="006C09C5">
        <w:rPr>
          <w:lang w:val="es-CO"/>
        </w:rPr>
        <w:t>l Estado</w:t>
      </w:r>
      <w:r w:rsidRPr="006C09C5">
        <w:rPr>
          <w:lang w:val="es-CO"/>
        </w:rPr>
        <w:t xml:space="preserve"> por la violación del derecho a condiciones equitativas y satisfactori</w:t>
      </w:r>
      <w:r w:rsidR="00551BD3" w:rsidRPr="006C09C5">
        <w:rPr>
          <w:lang w:val="es-CO"/>
        </w:rPr>
        <w:t xml:space="preserve">as </w:t>
      </w:r>
      <w:r w:rsidR="00584BCE" w:rsidRPr="006C09C5">
        <w:rPr>
          <w:lang w:val="es-CO"/>
        </w:rPr>
        <w:t xml:space="preserve">que garanticen la seguridad, </w:t>
      </w:r>
      <w:r w:rsidR="00584BCE" w:rsidRPr="006C09C5">
        <w:rPr>
          <w:bCs/>
          <w:lang w:val="es-CO"/>
        </w:rPr>
        <w:t>la salud</w:t>
      </w:r>
      <w:r w:rsidR="00584BCE" w:rsidRPr="006C09C5">
        <w:rPr>
          <w:lang w:val="es-CO"/>
        </w:rPr>
        <w:t xml:space="preserve"> y la higiene en el trabajo</w:t>
      </w:r>
      <w:r w:rsidR="00AA7128" w:rsidRPr="006C09C5">
        <w:rPr>
          <w:rStyle w:val="Refdenotaalpie"/>
          <w:sz w:val="20"/>
          <w:szCs w:val="20"/>
          <w:lang w:val="es-CO"/>
        </w:rPr>
        <w:footnoteReference w:id="2"/>
      </w:r>
      <w:r w:rsidRPr="006C09C5">
        <w:rPr>
          <w:lang w:val="es-CO"/>
        </w:rPr>
        <w:t xml:space="preserve">. </w:t>
      </w:r>
    </w:p>
    <w:p w14:paraId="79139AFC" w14:textId="77777777" w:rsidR="00BB7894" w:rsidRPr="006C09C5" w:rsidRDefault="00BB7894" w:rsidP="00CB6A51">
      <w:pPr>
        <w:pStyle w:val="Prrafodelista"/>
        <w:widowControl/>
        <w:numPr>
          <w:ilvl w:val="0"/>
          <w:numId w:val="0"/>
        </w:numPr>
        <w:autoSpaceDE/>
        <w:autoSpaceDN/>
        <w:adjustRightInd/>
        <w:spacing w:line="276" w:lineRule="auto"/>
        <w:ind w:right="0"/>
        <w:rPr>
          <w:lang w:val="es-CO"/>
        </w:rPr>
      </w:pPr>
    </w:p>
    <w:p w14:paraId="002DBF32" w14:textId="77777777" w:rsidR="00C837F5" w:rsidRPr="006C09C5" w:rsidRDefault="00DE206F" w:rsidP="00CB6A51">
      <w:pPr>
        <w:pStyle w:val="PrrafodeSentencia"/>
        <w:rPr>
          <w:lang w:val="es-CO"/>
        </w:rPr>
      </w:pPr>
      <w:r w:rsidRPr="006C09C5">
        <w:rPr>
          <w:lang w:val="es-CO"/>
        </w:rPr>
        <w:t>Estas</w:t>
      </w:r>
      <w:r w:rsidR="00C837F5" w:rsidRPr="006C09C5">
        <w:rPr>
          <w:lang w:val="es-CO"/>
        </w:rPr>
        <w:t xml:space="preserve"> reflexiones complementan</w:t>
      </w:r>
      <w:r w:rsidRPr="006C09C5">
        <w:rPr>
          <w:lang w:val="es-CO"/>
        </w:rPr>
        <w:t xml:space="preserve"> </w:t>
      </w:r>
      <w:r w:rsidR="00C837F5" w:rsidRPr="006C09C5">
        <w:rPr>
          <w:lang w:val="es-CO"/>
        </w:rPr>
        <w:t xml:space="preserve">lo expresado en mis votos parcialmente disidentes </w:t>
      </w:r>
      <w:r w:rsidR="00BB7894" w:rsidRPr="006C09C5">
        <w:rPr>
          <w:lang w:val="es-CO"/>
        </w:rPr>
        <w:t>en</w:t>
      </w:r>
      <w:r w:rsidR="00C837F5" w:rsidRPr="006C09C5">
        <w:rPr>
          <w:lang w:val="es-CO"/>
        </w:rPr>
        <w:t xml:space="preserve"> los casos Lagos del Campo Vs. Perú</w:t>
      </w:r>
      <w:r w:rsidR="00C837F5" w:rsidRPr="006C09C5">
        <w:rPr>
          <w:rStyle w:val="Refdenotaalpie"/>
          <w:sz w:val="20"/>
          <w:szCs w:val="20"/>
          <w:lang w:val="es-CO"/>
        </w:rPr>
        <w:footnoteReference w:id="3"/>
      </w:r>
      <w:r w:rsidR="00C837F5" w:rsidRPr="006C09C5">
        <w:rPr>
          <w:lang w:val="es-CO"/>
        </w:rPr>
        <w:t>, Trabajadores Cesados de Petroperú y otros Vs. Perú</w:t>
      </w:r>
      <w:r w:rsidR="00C837F5" w:rsidRPr="006C09C5">
        <w:rPr>
          <w:rStyle w:val="Refdenotaalpie"/>
          <w:sz w:val="20"/>
          <w:szCs w:val="20"/>
          <w:lang w:val="es-CO"/>
        </w:rPr>
        <w:footnoteReference w:id="4"/>
      </w:r>
      <w:r w:rsidR="00C837F5" w:rsidRPr="006C09C5">
        <w:rPr>
          <w:lang w:val="es-CO"/>
        </w:rPr>
        <w:t>, San Miguel Sosa y otras Vs. Venezuela</w:t>
      </w:r>
      <w:r w:rsidR="00C837F5" w:rsidRPr="006C09C5">
        <w:rPr>
          <w:rStyle w:val="Refdenotaalpie"/>
          <w:sz w:val="20"/>
          <w:szCs w:val="20"/>
          <w:lang w:val="es-CO"/>
        </w:rPr>
        <w:footnoteReference w:id="5"/>
      </w:r>
      <w:r w:rsidR="00BB7894" w:rsidRPr="006C09C5">
        <w:rPr>
          <w:lang w:val="es-CO"/>
        </w:rPr>
        <w:t>,</w:t>
      </w:r>
      <w:r w:rsidR="00D82E61" w:rsidRPr="006C09C5">
        <w:rPr>
          <w:lang w:val="es-CO"/>
        </w:rPr>
        <w:t xml:space="preserve"> Cuscul Pivaral y otros Vs. Guatemala</w:t>
      </w:r>
      <w:r w:rsidR="00D82E61" w:rsidRPr="006C09C5">
        <w:rPr>
          <w:rStyle w:val="Refdenotaalpie"/>
          <w:bCs/>
          <w:sz w:val="20"/>
          <w:szCs w:val="20"/>
          <w:shd w:val="clear" w:color="auto" w:fill="FFFFFF"/>
          <w:lang w:val="es-CO"/>
        </w:rPr>
        <w:footnoteReference w:id="6"/>
      </w:r>
      <w:r w:rsidR="00D82E61" w:rsidRPr="006C09C5">
        <w:rPr>
          <w:rStyle w:val="Textoennegrita"/>
          <w:b w:val="0"/>
          <w:shd w:val="clear" w:color="auto" w:fill="FFFFFF"/>
          <w:lang w:val="es-CO"/>
        </w:rPr>
        <w:t>,</w:t>
      </w:r>
      <w:r w:rsidR="00C837F5" w:rsidRPr="006C09C5">
        <w:rPr>
          <w:lang w:val="es-CO"/>
        </w:rPr>
        <w:t xml:space="preserve"> </w:t>
      </w:r>
      <w:r w:rsidR="00B3677A" w:rsidRPr="006C09C5">
        <w:rPr>
          <w:lang w:val="es-CO"/>
        </w:rPr>
        <w:t>Muelle Flores</w:t>
      </w:r>
      <w:r w:rsidR="00C837F5" w:rsidRPr="006C09C5">
        <w:rPr>
          <w:lang w:val="es-CO"/>
        </w:rPr>
        <w:t xml:space="preserve"> Vs. Perú</w:t>
      </w:r>
      <w:r w:rsidR="00C837F5" w:rsidRPr="006C09C5">
        <w:rPr>
          <w:rStyle w:val="Refdenotaalpie"/>
          <w:sz w:val="20"/>
          <w:szCs w:val="20"/>
          <w:lang w:val="es-CO"/>
        </w:rPr>
        <w:footnoteReference w:id="7"/>
      </w:r>
      <w:r w:rsidR="002E4BF6" w:rsidRPr="006C09C5">
        <w:rPr>
          <w:lang w:val="es-CO"/>
        </w:rPr>
        <w:t>, Asociación Nacional de Cesantes y Jubilados de la Superintendencia Nacional de Administración Tributaria (ANCEJUB-SUNAT) Vs. Perú</w:t>
      </w:r>
      <w:r w:rsidR="002E4BF6" w:rsidRPr="006C09C5">
        <w:rPr>
          <w:rStyle w:val="Refdenotaalpie"/>
          <w:sz w:val="20"/>
          <w:szCs w:val="20"/>
          <w:lang w:val="es-CO"/>
        </w:rPr>
        <w:footnoteReference w:id="8"/>
      </w:r>
      <w:r w:rsidR="002E4BF6" w:rsidRPr="006C09C5">
        <w:rPr>
          <w:lang w:val="es-CO"/>
        </w:rPr>
        <w:t>,</w:t>
      </w:r>
      <w:r w:rsidR="00BB7894" w:rsidRPr="006C09C5">
        <w:rPr>
          <w:lang w:val="es-CO"/>
        </w:rPr>
        <w:t xml:space="preserve"> </w:t>
      </w:r>
      <w:r w:rsidR="00057B50" w:rsidRPr="006C09C5">
        <w:rPr>
          <w:lang w:val="es-CO"/>
        </w:rPr>
        <w:lastRenderedPageBreak/>
        <w:t>Hernández Vs. Argentina</w:t>
      </w:r>
      <w:r w:rsidR="00057B50" w:rsidRPr="006C09C5">
        <w:rPr>
          <w:rStyle w:val="Refdenotaalpie"/>
          <w:sz w:val="20"/>
          <w:szCs w:val="20"/>
          <w:lang w:val="es-CO"/>
        </w:rPr>
        <w:footnoteReference w:id="9"/>
      </w:r>
      <w:r w:rsidR="00057B50" w:rsidRPr="006C09C5">
        <w:rPr>
          <w:lang w:val="es-CO"/>
        </w:rPr>
        <w:t xml:space="preserve">, y </w:t>
      </w:r>
      <w:r w:rsidR="00663D5F" w:rsidRPr="006C09C5">
        <w:rPr>
          <w:lang w:val="es-CO"/>
        </w:rPr>
        <w:t>Comunidades Indígenas Miembros de la Asociación Lhaka Honhat (Nuestra Tierra) Vs. Argentina</w:t>
      </w:r>
      <w:r w:rsidR="00663D5F" w:rsidRPr="006C09C5">
        <w:rPr>
          <w:rStyle w:val="Refdenotaalpie"/>
          <w:sz w:val="20"/>
          <w:szCs w:val="20"/>
          <w:lang w:val="es-CO"/>
        </w:rPr>
        <w:footnoteReference w:id="10"/>
      </w:r>
      <w:r w:rsidR="00C837F5" w:rsidRPr="006C09C5">
        <w:rPr>
          <w:lang w:val="es-CO"/>
        </w:rPr>
        <w:t xml:space="preserve">; así como en mis votos concurrentes </w:t>
      </w:r>
      <w:r w:rsidR="00057B50" w:rsidRPr="006C09C5">
        <w:rPr>
          <w:lang w:val="es-CO"/>
        </w:rPr>
        <w:t>en</w:t>
      </w:r>
      <w:r w:rsidR="00C837F5" w:rsidRPr="006C09C5">
        <w:rPr>
          <w:lang w:val="es-CO"/>
        </w:rPr>
        <w:t xml:space="preserve"> los casos Gonzales Lluy y otros Vs. Ecuador</w:t>
      </w:r>
      <w:r w:rsidR="00C837F5" w:rsidRPr="006C09C5">
        <w:rPr>
          <w:rStyle w:val="Refdenotaalpie"/>
          <w:sz w:val="20"/>
          <w:szCs w:val="20"/>
          <w:lang w:val="es-CO"/>
        </w:rPr>
        <w:footnoteReference w:id="11"/>
      </w:r>
      <w:r w:rsidR="006C09C5">
        <w:rPr>
          <w:lang w:val="es-CO"/>
        </w:rPr>
        <w:t>, Poblete Vilches y o</w:t>
      </w:r>
      <w:r w:rsidR="00C837F5" w:rsidRPr="006C09C5">
        <w:rPr>
          <w:lang w:val="es-CO"/>
        </w:rPr>
        <w:t>tros Vs. Chile</w:t>
      </w:r>
      <w:r w:rsidR="00C837F5" w:rsidRPr="006C09C5">
        <w:rPr>
          <w:rStyle w:val="Refdenotaalpie"/>
          <w:sz w:val="20"/>
          <w:szCs w:val="20"/>
          <w:lang w:val="es-CO"/>
        </w:rPr>
        <w:footnoteReference w:id="12"/>
      </w:r>
      <w:r w:rsidR="00E94AE1" w:rsidRPr="006C09C5">
        <w:rPr>
          <w:lang w:val="es-CO"/>
        </w:rPr>
        <w:t xml:space="preserve">, </w:t>
      </w:r>
      <w:r w:rsidR="00BB7894" w:rsidRPr="006C09C5">
        <w:rPr>
          <w:lang w:val="es-CO"/>
        </w:rPr>
        <w:t>y Rodríguez Revolorio y otros Vs. Guatemala</w:t>
      </w:r>
      <w:r w:rsidR="00BB7894" w:rsidRPr="006C09C5">
        <w:rPr>
          <w:rStyle w:val="Refdenotaalpie"/>
          <w:sz w:val="20"/>
          <w:szCs w:val="20"/>
          <w:lang w:val="es-CO"/>
        </w:rPr>
        <w:footnoteReference w:id="13"/>
      </w:r>
      <w:r w:rsidR="00C837F5" w:rsidRPr="006C09C5">
        <w:rPr>
          <w:lang w:val="es-CO"/>
        </w:rPr>
        <w:t xml:space="preserve">. </w:t>
      </w:r>
    </w:p>
    <w:p w14:paraId="760C8833" w14:textId="77777777" w:rsidR="00C837F5" w:rsidRPr="006C09C5" w:rsidRDefault="00C837F5" w:rsidP="00CB6A51">
      <w:pPr>
        <w:pStyle w:val="Numberedparagraphs"/>
        <w:numPr>
          <w:ilvl w:val="0"/>
          <w:numId w:val="0"/>
        </w:numPr>
        <w:spacing w:line="276" w:lineRule="auto"/>
        <w:rPr>
          <w:rFonts w:eastAsia="Times" w:cs="Arial"/>
          <w:i/>
          <w:lang w:val="es-CO"/>
        </w:rPr>
      </w:pPr>
    </w:p>
    <w:p w14:paraId="59D1FEB8" w14:textId="77777777" w:rsidR="00B763DA" w:rsidRPr="006C09C5" w:rsidRDefault="00C837F5" w:rsidP="00CB6A51">
      <w:pPr>
        <w:pStyle w:val="PrrafodeSentencia"/>
        <w:rPr>
          <w:lang w:val="es-CO"/>
        </w:rPr>
      </w:pPr>
      <w:r w:rsidRPr="006C09C5">
        <w:rPr>
          <w:lang w:val="es-CO"/>
        </w:rPr>
        <w:t xml:space="preserve">En </w:t>
      </w:r>
      <w:r w:rsidR="00057B50" w:rsidRPr="006C09C5">
        <w:rPr>
          <w:lang w:val="es-CO"/>
        </w:rPr>
        <w:t>este</w:t>
      </w:r>
      <w:r w:rsidRPr="006C09C5">
        <w:rPr>
          <w:lang w:val="es-CO"/>
        </w:rPr>
        <w:t xml:space="preserve"> caso, el Estado </w:t>
      </w:r>
      <w:r w:rsidR="00551BD3" w:rsidRPr="006C09C5">
        <w:rPr>
          <w:lang w:val="es-CO"/>
        </w:rPr>
        <w:t xml:space="preserve">alegó que la Corte no era competente para pronunciarse sobre la alegada violación del derecho al trabajo, porque los derechos económicos, sociales y culturales no se pueden someter al régimen de peticiones individuales regulado en la Convención Americana (párr. 21). La Comisión y los representantes, por su parte, </w:t>
      </w:r>
      <w:r w:rsidR="00B763DA" w:rsidRPr="006C09C5">
        <w:rPr>
          <w:lang w:val="es-CO"/>
        </w:rPr>
        <w:t>solicitaron desestimar la excepción preliminar porque, a su juicio, al referirse a la interpretación del artículo 26 de la Convención, se trataba de un asunto que debía ser resuelto en el apartado de fondo</w:t>
      </w:r>
      <w:r w:rsidR="00057B50" w:rsidRPr="006C09C5">
        <w:rPr>
          <w:lang w:val="es-CO"/>
        </w:rPr>
        <w:t>,</w:t>
      </w:r>
      <w:r w:rsidR="00B763DA" w:rsidRPr="006C09C5">
        <w:rPr>
          <w:lang w:val="es-CO"/>
        </w:rPr>
        <w:t xml:space="preserve"> y porque desde la decisión adoptada en el caso Lagos del Campo Vs. Perú, el alegato sobre la incompetencia de la Corte para pronunciarse sobre una eventual violación del artículo 26</w:t>
      </w:r>
      <w:r w:rsidR="002A4B57" w:rsidRPr="006C09C5">
        <w:rPr>
          <w:lang w:val="es-CO"/>
        </w:rPr>
        <w:t>,</w:t>
      </w:r>
      <w:r w:rsidR="00B763DA" w:rsidRPr="006C09C5">
        <w:rPr>
          <w:lang w:val="es-CO"/>
        </w:rPr>
        <w:t xml:space="preserve"> ha sido un asunto superado (párr. 22). </w:t>
      </w:r>
      <w:r w:rsidR="00B3677A" w:rsidRPr="006C09C5">
        <w:rPr>
          <w:lang w:val="es-CO"/>
        </w:rPr>
        <w:t>En atención a los argumentos planteados</w:t>
      </w:r>
      <w:r w:rsidR="00057B50" w:rsidRPr="006C09C5">
        <w:rPr>
          <w:lang w:val="es-CO"/>
        </w:rPr>
        <w:t xml:space="preserve">, la Corte reafirmó su competencia para conocer y resolver controversias </w:t>
      </w:r>
      <w:r w:rsidR="00FD2706" w:rsidRPr="006C09C5">
        <w:rPr>
          <w:lang w:val="es-CO"/>
        </w:rPr>
        <w:t>relacionadas con el artículo 26 de la Convención Americana y reiteró</w:t>
      </w:r>
      <w:r w:rsidR="00B3677A" w:rsidRPr="006C09C5">
        <w:rPr>
          <w:lang w:val="es-CO"/>
        </w:rPr>
        <w:t xml:space="preserve"> </w:t>
      </w:r>
      <w:r w:rsidR="006C09C5">
        <w:rPr>
          <w:lang w:val="es-CO"/>
        </w:rPr>
        <w:t>que las</w:t>
      </w:r>
      <w:r w:rsidR="00B3677A" w:rsidRPr="006C09C5">
        <w:rPr>
          <w:lang w:val="es-CO"/>
        </w:rPr>
        <w:t xml:space="preserve"> </w:t>
      </w:r>
      <w:r w:rsidR="00FD2706" w:rsidRPr="006C09C5">
        <w:rPr>
          <w:lang w:val="es-CO"/>
        </w:rPr>
        <w:t xml:space="preserve">consideraciones </w:t>
      </w:r>
      <w:r w:rsidR="006C09C5">
        <w:rPr>
          <w:lang w:val="es-CO"/>
        </w:rPr>
        <w:t>sobre una</w:t>
      </w:r>
      <w:r w:rsidR="00FD2706" w:rsidRPr="006C09C5">
        <w:rPr>
          <w:lang w:val="es-CO"/>
        </w:rPr>
        <w:t xml:space="preserve"> eventual </w:t>
      </w:r>
      <w:r w:rsidR="00B3677A" w:rsidRPr="006C09C5">
        <w:rPr>
          <w:lang w:val="es-CO"/>
        </w:rPr>
        <w:t>violación</w:t>
      </w:r>
      <w:r w:rsidR="00FD2706" w:rsidRPr="006C09C5">
        <w:rPr>
          <w:lang w:val="es-CO"/>
        </w:rPr>
        <w:t xml:space="preserve"> a este artículo c</w:t>
      </w:r>
      <w:r w:rsidR="00B3677A" w:rsidRPr="006C09C5">
        <w:rPr>
          <w:lang w:val="es-CO"/>
        </w:rPr>
        <w:t>onvencional</w:t>
      </w:r>
      <w:r w:rsidR="006C09C5">
        <w:rPr>
          <w:lang w:val="es-CO"/>
        </w:rPr>
        <w:t>,</w:t>
      </w:r>
      <w:r w:rsidR="00B3677A" w:rsidRPr="006C09C5">
        <w:rPr>
          <w:lang w:val="es-CO"/>
        </w:rPr>
        <w:t xml:space="preserve"> </w:t>
      </w:r>
      <w:r w:rsidR="006C09C5">
        <w:rPr>
          <w:lang w:val="es-CO"/>
        </w:rPr>
        <w:t>corresponde hacerlas en</w:t>
      </w:r>
      <w:r w:rsidR="00FD2706" w:rsidRPr="006C09C5">
        <w:rPr>
          <w:lang w:val="es-CO"/>
        </w:rPr>
        <w:t xml:space="preserve"> el apartado de fondo</w:t>
      </w:r>
      <w:r w:rsidR="00B3677A" w:rsidRPr="006C09C5">
        <w:rPr>
          <w:lang w:val="es-CO"/>
        </w:rPr>
        <w:t xml:space="preserve">. Por lo anterior, </w:t>
      </w:r>
      <w:r w:rsidR="002A4B57" w:rsidRPr="006C09C5">
        <w:rPr>
          <w:lang w:val="es-CO"/>
        </w:rPr>
        <w:t>desestimó</w:t>
      </w:r>
      <w:r w:rsidR="00FD2706" w:rsidRPr="006C09C5">
        <w:rPr>
          <w:lang w:val="es-CO"/>
        </w:rPr>
        <w:t xml:space="preserve"> la excepción preliminar</w:t>
      </w:r>
      <w:r w:rsidR="00B3677A" w:rsidRPr="006C09C5">
        <w:rPr>
          <w:lang w:val="es-CO"/>
        </w:rPr>
        <w:t xml:space="preserve"> (párr. 23)</w:t>
      </w:r>
      <w:r w:rsidR="00FD2706" w:rsidRPr="006C09C5">
        <w:rPr>
          <w:lang w:val="es-CO"/>
        </w:rPr>
        <w:t>.</w:t>
      </w:r>
    </w:p>
    <w:p w14:paraId="6825BA2C" w14:textId="77777777" w:rsidR="00C837F5" w:rsidRPr="006C09C5" w:rsidRDefault="00551BD3" w:rsidP="00CB6A51">
      <w:pPr>
        <w:pStyle w:val="Numberedparagraphs"/>
        <w:numPr>
          <w:ilvl w:val="0"/>
          <w:numId w:val="0"/>
        </w:numPr>
        <w:spacing w:line="276" w:lineRule="auto"/>
        <w:rPr>
          <w:lang w:val="es-CO"/>
        </w:rPr>
      </w:pPr>
      <w:r w:rsidRPr="006C09C5">
        <w:rPr>
          <w:lang w:val="es-CO"/>
        </w:rPr>
        <w:t xml:space="preserve"> </w:t>
      </w:r>
    </w:p>
    <w:p w14:paraId="0A642851" w14:textId="77777777" w:rsidR="00C837F5" w:rsidRPr="006C09C5" w:rsidRDefault="003D4E61" w:rsidP="00CB6A51">
      <w:pPr>
        <w:pStyle w:val="PrrafodeSentencia"/>
        <w:rPr>
          <w:lang w:val="es-CO"/>
        </w:rPr>
      </w:pPr>
      <w:r w:rsidRPr="006C09C5">
        <w:rPr>
          <w:lang w:val="es-CO"/>
        </w:rPr>
        <w:t>Al respecto</w:t>
      </w:r>
      <w:r w:rsidR="00C837F5" w:rsidRPr="006C09C5">
        <w:rPr>
          <w:lang w:val="es-CO"/>
        </w:rPr>
        <w:t xml:space="preserve">, </w:t>
      </w:r>
      <w:r w:rsidR="00B763DA" w:rsidRPr="006C09C5">
        <w:rPr>
          <w:lang w:val="es-CO"/>
        </w:rPr>
        <w:t>debo recordar que</w:t>
      </w:r>
      <w:r w:rsidR="00C837F5" w:rsidRPr="006C09C5">
        <w:rPr>
          <w:lang w:val="es-CO"/>
        </w:rPr>
        <w:t xml:space="preserve"> las excepciones preliminares son objeciones a la </w:t>
      </w:r>
      <w:r w:rsidR="00C837F5" w:rsidRPr="006C09C5">
        <w:rPr>
          <w:i/>
          <w:lang w:val="es-CO"/>
        </w:rPr>
        <w:t>admisibilidad</w:t>
      </w:r>
      <w:r w:rsidR="00C837F5" w:rsidRPr="006C09C5">
        <w:rPr>
          <w:lang w:val="es-CO"/>
        </w:rPr>
        <w:t xml:space="preserve"> de un </w:t>
      </w:r>
      <w:r w:rsidR="00B763DA" w:rsidRPr="006C09C5">
        <w:rPr>
          <w:lang w:val="es-CO"/>
        </w:rPr>
        <w:t>asunto</w:t>
      </w:r>
      <w:r w:rsidR="00C837F5" w:rsidRPr="006C09C5">
        <w:rPr>
          <w:lang w:val="es-CO"/>
        </w:rPr>
        <w:t xml:space="preserve"> o a la </w:t>
      </w:r>
      <w:r w:rsidR="00C837F5" w:rsidRPr="006C09C5">
        <w:rPr>
          <w:i/>
          <w:lang w:val="es-CO"/>
        </w:rPr>
        <w:t>competencia</w:t>
      </w:r>
      <w:r w:rsidR="00C837F5" w:rsidRPr="006C09C5">
        <w:rPr>
          <w:lang w:val="es-CO"/>
        </w:rPr>
        <w:t xml:space="preserve"> del Tribunal para conocer un caso o alguno de sus aspectos, sea en razón de la persona,</w:t>
      </w:r>
      <w:r w:rsidR="00C91B21" w:rsidRPr="006C09C5">
        <w:rPr>
          <w:lang w:val="es-CO"/>
        </w:rPr>
        <w:t xml:space="preserve"> la</w:t>
      </w:r>
      <w:r w:rsidR="00C837F5" w:rsidRPr="006C09C5">
        <w:rPr>
          <w:lang w:val="es-CO"/>
        </w:rPr>
        <w:t xml:space="preserve"> materia, </w:t>
      </w:r>
      <w:r w:rsidR="00C91B21" w:rsidRPr="006C09C5">
        <w:rPr>
          <w:lang w:val="es-CO"/>
        </w:rPr>
        <w:t xml:space="preserve">el </w:t>
      </w:r>
      <w:r w:rsidR="00C837F5" w:rsidRPr="006C09C5">
        <w:rPr>
          <w:lang w:val="es-CO"/>
        </w:rPr>
        <w:t xml:space="preserve">tiempo o </w:t>
      </w:r>
      <w:r w:rsidR="00C91B21" w:rsidRPr="006C09C5">
        <w:rPr>
          <w:lang w:val="es-CO"/>
        </w:rPr>
        <w:t xml:space="preserve">el </w:t>
      </w:r>
      <w:r w:rsidR="00C837F5" w:rsidRPr="006C09C5">
        <w:rPr>
          <w:lang w:val="es-CO"/>
        </w:rPr>
        <w:t xml:space="preserve">lugar, siempre </w:t>
      </w:r>
      <w:r w:rsidRPr="006C09C5">
        <w:rPr>
          <w:lang w:val="es-CO"/>
        </w:rPr>
        <w:t>que</w:t>
      </w:r>
      <w:r w:rsidR="00C837F5" w:rsidRPr="006C09C5">
        <w:rPr>
          <w:lang w:val="es-CO"/>
        </w:rPr>
        <w:t xml:space="preserve"> dichos planteamientos tengan el carácter de preliminares</w:t>
      </w:r>
      <w:r w:rsidR="00C837F5" w:rsidRPr="006C09C5">
        <w:rPr>
          <w:rFonts w:eastAsia="Verdana"/>
          <w:vertAlign w:val="superscript"/>
          <w:lang w:val="es-CO"/>
        </w:rPr>
        <w:footnoteReference w:id="14"/>
      </w:r>
      <w:r w:rsidR="00C837F5" w:rsidRPr="006C09C5">
        <w:rPr>
          <w:lang w:val="es-CO"/>
        </w:rPr>
        <w:t xml:space="preserve">. </w:t>
      </w:r>
      <w:r w:rsidR="00BE1D67" w:rsidRPr="006C09C5">
        <w:rPr>
          <w:lang w:val="es-CO"/>
        </w:rPr>
        <w:t>Los que no tengan esta naturaleza, como los que se refieren al fondo de un asunto</w:t>
      </w:r>
      <w:r w:rsidR="00C837F5" w:rsidRPr="006C09C5">
        <w:rPr>
          <w:lang w:val="es-CO"/>
        </w:rPr>
        <w:t xml:space="preserve">, no pueden ser analizados </w:t>
      </w:r>
      <w:r w:rsidR="00B763DA" w:rsidRPr="006C09C5">
        <w:rPr>
          <w:lang w:val="es-CO"/>
        </w:rPr>
        <w:t>como</w:t>
      </w:r>
      <w:r w:rsidR="00C837F5" w:rsidRPr="006C09C5">
        <w:rPr>
          <w:lang w:val="es-CO"/>
        </w:rPr>
        <w:t xml:space="preserve"> </w:t>
      </w:r>
      <w:r w:rsidRPr="006C09C5">
        <w:rPr>
          <w:lang w:val="es-CO"/>
        </w:rPr>
        <w:t>tales</w:t>
      </w:r>
      <w:r w:rsidR="00C837F5" w:rsidRPr="006C09C5">
        <w:rPr>
          <w:vertAlign w:val="superscript"/>
          <w:lang w:val="es-CO"/>
        </w:rPr>
        <w:footnoteReference w:id="15"/>
      </w:r>
      <w:r w:rsidR="00BE1D67" w:rsidRPr="006C09C5">
        <w:rPr>
          <w:lang w:val="es-CO"/>
        </w:rPr>
        <w:t xml:space="preserve">, </w:t>
      </w:r>
      <w:r w:rsidR="002A4B57" w:rsidRPr="006C09C5">
        <w:rPr>
          <w:lang w:val="es-CO"/>
        </w:rPr>
        <w:t>pues</w:t>
      </w:r>
      <w:r w:rsidR="00BE1D67" w:rsidRPr="006C09C5">
        <w:rPr>
          <w:lang w:val="es-CO"/>
        </w:rPr>
        <w:t xml:space="preserve"> el objeto de </w:t>
      </w:r>
      <w:r w:rsidRPr="006C09C5">
        <w:rPr>
          <w:lang w:val="es-CO"/>
        </w:rPr>
        <w:t>las excepciones preliminares</w:t>
      </w:r>
      <w:r w:rsidR="00BE1D67" w:rsidRPr="006C09C5">
        <w:rPr>
          <w:lang w:val="es-CO"/>
        </w:rPr>
        <w:t xml:space="preserve"> es, en últimas, impedir el análisis de fondo</w:t>
      </w:r>
      <w:r w:rsidR="00C837F5" w:rsidRPr="006C09C5">
        <w:rPr>
          <w:lang w:val="es-CO"/>
        </w:rPr>
        <w:t>.</w:t>
      </w:r>
      <w:r w:rsidR="00C837F5" w:rsidRPr="006C09C5">
        <w:rPr>
          <w:rFonts w:eastAsia="Batang" w:cs="Arial"/>
          <w:b/>
          <w:iCs/>
          <w:lang w:val="es-CO"/>
        </w:rPr>
        <w:t xml:space="preserve"> </w:t>
      </w:r>
      <w:r w:rsidR="00FD2706" w:rsidRPr="00A5697A">
        <w:rPr>
          <w:lang w:val="es-CO"/>
        </w:rPr>
        <w:t>Por ello, independiente</w:t>
      </w:r>
      <w:r w:rsidR="00C837F5" w:rsidRPr="00A5697A">
        <w:rPr>
          <w:lang w:val="es-CO"/>
        </w:rPr>
        <w:t xml:space="preserve"> de la denominación </w:t>
      </w:r>
      <w:r w:rsidR="00B3677A" w:rsidRPr="00A5697A">
        <w:rPr>
          <w:lang w:val="es-CO"/>
        </w:rPr>
        <w:t>que le otorgue el Estado</w:t>
      </w:r>
      <w:r w:rsidR="00C837F5" w:rsidRPr="00A5697A">
        <w:rPr>
          <w:lang w:val="es-CO"/>
        </w:rPr>
        <w:t xml:space="preserve">, si al analizar </w:t>
      </w:r>
      <w:r w:rsidRPr="00A5697A">
        <w:rPr>
          <w:lang w:val="es-CO"/>
        </w:rPr>
        <w:t>sus</w:t>
      </w:r>
      <w:r w:rsidR="00C837F5" w:rsidRPr="00A5697A">
        <w:rPr>
          <w:lang w:val="es-CO"/>
        </w:rPr>
        <w:t xml:space="preserve"> planteamientos se determina que objet</w:t>
      </w:r>
      <w:r w:rsidR="00B763DA" w:rsidRPr="00A5697A">
        <w:rPr>
          <w:lang w:val="es-CO"/>
        </w:rPr>
        <w:t>a</w:t>
      </w:r>
      <w:r w:rsidR="00C837F5" w:rsidRPr="00A5697A">
        <w:rPr>
          <w:lang w:val="es-CO"/>
        </w:rPr>
        <w:t xml:space="preserve">n la </w:t>
      </w:r>
      <w:r w:rsidR="00C837F5" w:rsidRPr="00A5697A">
        <w:rPr>
          <w:i/>
          <w:lang w:val="es-CO"/>
        </w:rPr>
        <w:t>admisibilidad</w:t>
      </w:r>
      <w:r w:rsidR="00C837F5" w:rsidRPr="00A5697A">
        <w:rPr>
          <w:lang w:val="es-CO"/>
        </w:rPr>
        <w:t xml:space="preserve"> o la </w:t>
      </w:r>
      <w:r w:rsidR="00C837F5" w:rsidRPr="00A5697A">
        <w:rPr>
          <w:i/>
          <w:lang w:val="es-CO"/>
        </w:rPr>
        <w:t>competencia</w:t>
      </w:r>
      <w:r w:rsidR="00C837F5" w:rsidRPr="00A5697A">
        <w:rPr>
          <w:lang w:val="es-CO"/>
        </w:rPr>
        <w:t xml:space="preserve"> de la Corte para conocer del caso, deberán ser resueltos </w:t>
      </w:r>
      <w:r w:rsidR="00584C8D" w:rsidRPr="00A5697A">
        <w:rPr>
          <w:lang w:val="es-CO"/>
        </w:rPr>
        <w:t>como excepciones preliminares, en la etapa correspondiente del procedimiento</w:t>
      </w:r>
      <w:r w:rsidR="00C837F5" w:rsidRPr="006C09C5">
        <w:rPr>
          <w:rFonts w:eastAsia="Verdana"/>
          <w:vertAlign w:val="superscript"/>
          <w:lang w:val="es-CO"/>
        </w:rPr>
        <w:footnoteReference w:id="16"/>
      </w:r>
      <w:r w:rsidR="00C837F5" w:rsidRPr="006C09C5">
        <w:rPr>
          <w:lang w:val="es-CO"/>
        </w:rPr>
        <w:t>.</w:t>
      </w:r>
    </w:p>
    <w:p w14:paraId="3F6B6858" w14:textId="77777777" w:rsidR="00C837F5" w:rsidRPr="006C09C5" w:rsidRDefault="00C837F5" w:rsidP="00CB6A51">
      <w:pPr>
        <w:pStyle w:val="Numberedparagraphs"/>
        <w:numPr>
          <w:ilvl w:val="0"/>
          <w:numId w:val="0"/>
        </w:numPr>
        <w:spacing w:line="276" w:lineRule="auto"/>
        <w:rPr>
          <w:lang w:val="es-CO"/>
        </w:rPr>
      </w:pPr>
    </w:p>
    <w:p w14:paraId="168EC54C" w14:textId="77777777" w:rsidR="00827C33" w:rsidRPr="006C09C5" w:rsidRDefault="00C91B21" w:rsidP="00CB6A51">
      <w:pPr>
        <w:pStyle w:val="PrrafodeSentencia"/>
        <w:rPr>
          <w:lang w:val="es-CO"/>
        </w:rPr>
      </w:pPr>
      <w:r w:rsidRPr="006C09C5">
        <w:rPr>
          <w:lang w:val="es-CO"/>
        </w:rPr>
        <w:t xml:space="preserve">En este caso, </w:t>
      </w:r>
      <w:r w:rsidR="00B3677A" w:rsidRPr="006C09C5">
        <w:rPr>
          <w:lang w:val="es-CO"/>
        </w:rPr>
        <w:t xml:space="preserve">el Estado argumentó la falta de </w:t>
      </w:r>
      <w:r w:rsidR="00B3677A" w:rsidRPr="006C09C5">
        <w:rPr>
          <w:i/>
          <w:lang w:val="es-CO"/>
        </w:rPr>
        <w:t>competencia</w:t>
      </w:r>
      <w:r w:rsidR="00B3677A" w:rsidRPr="006C09C5">
        <w:rPr>
          <w:lang w:val="es-CO"/>
        </w:rPr>
        <w:t xml:space="preserve"> de la Corte para conocer de la alegada</w:t>
      </w:r>
      <w:r w:rsidRPr="006C09C5">
        <w:rPr>
          <w:lang w:val="es-CO"/>
        </w:rPr>
        <w:t xml:space="preserve"> violación </w:t>
      </w:r>
      <w:r w:rsidR="002A4B57" w:rsidRPr="006C09C5">
        <w:rPr>
          <w:lang w:val="es-CO"/>
        </w:rPr>
        <w:t>al</w:t>
      </w:r>
      <w:r w:rsidRPr="006C09C5">
        <w:rPr>
          <w:lang w:val="es-CO"/>
        </w:rPr>
        <w:t xml:space="preserve"> artículo 26 de la Convención Americana</w:t>
      </w:r>
      <w:r w:rsidR="003D4E61" w:rsidRPr="006C09C5">
        <w:rPr>
          <w:lang w:val="es-CO"/>
        </w:rPr>
        <w:t xml:space="preserve">, por lo que </w:t>
      </w:r>
      <w:r w:rsidRPr="006C09C5">
        <w:rPr>
          <w:lang w:val="es-CO"/>
        </w:rPr>
        <w:t>correspondía a la Corte</w:t>
      </w:r>
      <w:r w:rsidR="00864662" w:rsidRPr="006C09C5">
        <w:rPr>
          <w:lang w:val="es-CO"/>
        </w:rPr>
        <w:t xml:space="preserve">, </w:t>
      </w:r>
      <w:r w:rsidRPr="006C09C5">
        <w:rPr>
          <w:lang w:val="es-CO"/>
        </w:rPr>
        <w:t xml:space="preserve">determinar </w:t>
      </w:r>
      <w:r w:rsidR="00B3677A" w:rsidRPr="006C09C5">
        <w:rPr>
          <w:lang w:val="es-CO"/>
        </w:rPr>
        <w:t>si, en efecto, era competente</w:t>
      </w:r>
      <w:r w:rsidRPr="006C09C5">
        <w:rPr>
          <w:lang w:val="es-CO"/>
        </w:rPr>
        <w:t xml:space="preserve"> </w:t>
      </w:r>
      <w:r w:rsidR="00A646B0" w:rsidRPr="006C09C5">
        <w:rPr>
          <w:lang w:val="es-CO"/>
        </w:rPr>
        <w:t>para analizar de manera directa</w:t>
      </w:r>
      <w:r w:rsidRPr="006C09C5">
        <w:rPr>
          <w:lang w:val="es-CO"/>
        </w:rPr>
        <w:t xml:space="preserve"> </w:t>
      </w:r>
      <w:r w:rsidR="002A4B57" w:rsidRPr="006C09C5">
        <w:rPr>
          <w:lang w:val="es-CO"/>
        </w:rPr>
        <w:t xml:space="preserve">una posible </w:t>
      </w:r>
      <w:r w:rsidRPr="006C09C5">
        <w:rPr>
          <w:lang w:val="es-CO"/>
        </w:rPr>
        <w:t xml:space="preserve">violación del derecho al trabajo. </w:t>
      </w:r>
      <w:r w:rsidR="002A4B57" w:rsidRPr="006C09C5">
        <w:rPr>
          <w:rFonts w:eastAsia="Batang" w:cs="Arial"/>
          <w:lang w:val="es-CO"/>
        </w:rPr>
        <w:t>Por ello</w:t>
      </w:r>
      <w:r w:rsidR="00B3677A" w:rsidRPr="006C09C5">
        <w:rPr>
          <w:rFonts w:eastAsia="Batang" w:cs="Arial"/>
          <w:lang w:val="es-CO"/>
        </w:rPr>
        <w:t>,</w:t>
      </w:r>
      <w:r w:rsidR="00C837F5" w:rsidRPr="006C09C5">
        <w:rPr>
          <w:lang w:val="es-CO"/>
        </w:rPr>
        <w:t xml:space="preserve"> </w:t>
      </w:r>
      <w:r w:rsidR="009455DC" w:rsidRPr="006C09C5">
        <w:rPr>
          <w:lang w:val="es-CO"/>
        </w:rPr>
        <w:t xml:space="preserve">la Corte no debió desestimar de plano la excepción preliminar </w:t>
      </w:r>
      <w:r w:rsidR="00B3677A" w:rsidRPr="006C09C5">
        <w:rPr>
          <w:lang w:val="es-CO"/>
        </w:rPr>
        <w:t>planteada</w:t>
      </w:r>
      <w:r w:rsidR="009455DC" w:rsidRPr="006C09C5">
        <w:rPr>
          <w:lang w:val="es-CO"/>
        </w:rPr>
        <w:t xml:space="preserve"> y señalar que este asunto se analizaría en el fondo</w:t>
      </w:r>
      <w:r w:rsidR="00A646B0" w:rsidRPr="006C09C5">
        <w:rPr>
          <w:lang w:val="es-CO"/>
        </w:rPr>
        <w:t xml:space="preserve">, pues </w:t>
      </w:r>
      <w:r w:rsidR="00263958" w:rsidRPr="006C09C5">
        <w:rPr>
          <w:lang w:val="es-CO"/>
        </w:rPr>
        <w:t>los alegatos del Estado</w:t>
      </w:r>
      <w:r w:rsidR="002A4B57" w:rsidRPr="006C09C5">
        <w:rPr>
          <w:lang w:val="es-CO"/>
        </w:rPr>
        <w:t xml:space="preserve"> s</w:t>
      </w:r>
      <w:r w:rsidR="009455DC" w:rsidRPr="006C09C5">
        <w:rPr>
          <w:lang w:val="es-CO"/>
        </w:rPr>
        <w:t xml:space="preserve">e </w:t>
      </w:r>
      <w:r w:rsidR="003D4E61" w:rsidRPr="006C09C5">
        <w:rPr>
          <w:lang w:val="es-CO"/>
        </w:rPr>
        <w:t>referían</w:t>
      </w:r>
      <w:r w:rsidR="009455DC" w:rsidRPr="006C09C5">
        <w:rPr>
          <w:lang w:val="es-CO"/>
        </w:rPr>
        <w:t xml:space="preserve"> </w:t>
      </w:r>
      <w:r w:rsidR="00864662" w:rsidRPr="006C09C5">
        <w:rPr>
          <w:lang w:val="es-CO"/>
        </w:rPr>
        <w:t xml:space="preserve">a asuntos preliminares, </w:t>
      </w:r>
      <w:r w:rsidR="009455DC" w:rsidRPr="006C09C5">
        <w:rPr>
          <w:lang w:val="es-CO"/>
        </w:rPr>
        <w:t>que debían ser evacuados al momento de decidir la excepc</w:t>
      </w:r>
      <w:r w:rsidR="00827C33" w:rsidRPr="006C09C5">
        <w:rPr>
          <w:lang w:val="es-CO"/>
        </w:rPr>
        <w:t>ión preliminar</w:t>
      </w:r>
      <w:r w:rsidR="00B3677A" w:rsidRPr="006C09C5">
        <w:rPr>
          <w:lang w:val="es-CO"/>
        </w:rPr>
        <w:t>. A</w:t>
      </w:r>
      <w:r w:rsidR="002A4B57" w:rsidRPr="006C09C5">
        <w:rPr>
          <w:lang w:val="es-CO"/>
        </w:rPr>
        <w:t>demás, a</w:t>
      </w:r>
      <w:r w:rsidR="00827C33" w:rsidRPr="006C09C5">
        <w:rPr>
          <w:lang w:val="es-CO"/>
        </w:rPr>
        <w:t xml:space="preserve"> mi juicio</w:t>
      </w:r>
      <w:r w:rsidR="00B3677A" w:rsidRPr="006C09C5">
        <w:rPr>
          <w:lang w:val="es-CO"/>
        </w:rPr>
        <w:t xml:space="preserve">, </w:t>
      </w:r>
      <w:r w:rsidR="00827C33" w:rsidRPr="006C09C5">
        <w:rPr>
          <w:rFonts w:eastAsia="Verdana" w:cs="Verdana"/>
          <w:lang w:val="es-CO"/>
        </w:rPr>
        <w:t xml:space="preserve">la Corte debió </w:t>
      </w:r>
      <w:r w:rsidR="002A4B57" w:rsidRPr="006C09C5">
        <w:rPr>
          <w:rFonts w:eastAsia="Verdana" w:cs="Verdana"/>
          <w:lang w:val="es-CO"/>
        </w:rPr>
        <w:t>concluir</w:t>
      </w:r>
      <w:r w:rsidR="00827C33" w:rsidRPr="006C09C5">
        <w:rPr>
          <w:rFonts w:eastAsia="Verdana" w:cs="Verdana"/>
          <w:lang w:val="es-CO"/>
        </w:rPr>
        <w:t xml:space="preserve"> que no </w:t>
      </w:r>
      <w:r w:rsidR="002A4B57" w:rsidRPr="006C09C5">
        <w:rPr>
          <w:rFonts w:eastAsia="Verdana" w:cs="Verdana"/>
          <w:lang w:val="es-CO"/>
        </w:rPr>
        <w:t>era</w:t>
      </w:r>
      <w:r w:rsidR="00827C33" w:rsidRPr="006C09C5">
        <w:rPr>
          <w:rFonts w:eastAsia="Verdana" w:cs="Verdana"/>
          <w:lang w:val="es-CO"/>
        </w:rPr>
        <w:t xml:space="preserve"> competente para analizar </w:t>
      </w:r>
      <w:r w:rsidR="002A4B57" w:rsidRPr="006C09C5">
        <w:rPr>
          <w:rFonts w:eastAsia="Verdana" w:cs="Verdana"/>
          <w:lang w:val="es-CO"/>
        </w:rPr>
        <w:t>de forma directa posibles violaciones d</w:t>
      </w:r>
      <w:r w:rsidR="00827C33" w:rsidRPr="006C09C5">
        <w:rPr>
          <w:rFonts w:eastAsia="Verdana" w:cs="Verdana"/>
          <w:lang w:val="es-CO"/>
        </w:rPr>
        <w:t>el derecho al trabajo</w:t>
      </w:r>
      <w:r w:rsidR="002A4B57" w:rsidRPr="006C09C5">
        <w:rPr>
          <w:rFonts w:eastAsia="Verdana" w:cs="Verdana"/>
          <w:lang w:val="es-CO"/>
        </w:rPr>
        <w:t>, por lo que la</w:t>
      </w:r>
      <w:r w:rsidR="00827C33" w:rsidRPr="006C09C5">
        <w:rPr>
          <w:rFonts w:eastAsia="Verdana" w:cs="Verdana"/>
          <w:lang w:val="es-CO"/>
        </w:rPr>
        <w:t xml:space="preserve"> excepción preliminar </w:t>
      </w:r>
      <w:r w:rsidR="002A4B57" w:rsidRPr="006C09C5">
        <w:rPr>
          <w:rFonts w:eastAsia="Verdana" w:cs="Verdana"/>
          <w:lang w:val="es-CO"/>
        </w:rPr>
        <w:t>planteada</w:t>
      </w:r>
      <w:r w:rsidR="003D4E61" w:rsidRPr="006C09C5">
        <w:rPr>
          <w:rFonts w:eastAsia="Verdana" w:cs="Verdana"/>
          <w:lang w:val="es-CO"/>
        </w:rPr>
        <w:t xml:space="preserve"> por el Estado debió haber sido</w:t>
      </w:r>
      <w:r w:rsidR="00827C33" w:rsidRPr="006C09C5">
        <w:rPr>
          <w:rFonts w:eastAsia="Verdana" w:cs="Verdana"/>
          <w:lang w:val="es-CO"/>
        </w:rPr>
        <w:t xml:space="preserve"> acogida.</w:t>
      </w:r>
      <w:r w:rsidR="002A4B57" w:rsidRPr="006C09C5">
        <w:rPr>
          <w:rFonts w:eastAsia="Verdana" w:cs="Verdana"/>
          <w:lang w:val="es-CO"/>
        </w:rPr>
        <w:t xml:space="preserve"> Los argumentos por los cuales considero que la Corte no era competente para analizar de forma directa </w:t>
      </w:r>
      <w:r w:rsidR="00584C8D" w:rsidRPr="006C09C5">
        <w:rPr>
          <w:rFonts w:eastAsia="Verdana" w:cs="Verdana"/>
          <w:lang w:val="es-CO"/>
        </w:rPr>
        <w:t>dichas</w:t>
      </w:r>
      <w:r w:rsidR="002A4B57" w:rsidRPr="006C09C5">
        <w:rPr>
          <w:rFonts w:eastAsia="Verdana" w:cs="Verdana"/>
          <w:lang w:val="es-CO"/>
        </w:rPr>
        <w:t xml:space="preserve"> violaciones son presentados con mayor detalle en el siguiente apartado.</w:t>
      </w:r>
    </w:p>
    <w:p w14:paraId="7E33B977" w14:textId="77777777" w:rsidR="00C837F5" w:rsidRPr="006C09C5" w:rsidRDefault="00C837F5" w:rsidP="00CB6A51">
      <w:pPr>
        <w:pStyle w:val="Numberedparagraphs"/>
        <w:numPr>
          <w:ilvl w:val="0"/>
          <w:numId w:val="0"/>
        </w:numPr>
        <w:spacing w:line="276" w:lineRule="auto"/>
        <w:rPr>
          <w:lang w:val="es-CO"/>
        </w:rPr>
      </w:pPr>
    </w:p>
    <w:p w14:paraId="215F07AA" w14:textId="77777777" w:rsidR="00F37A53" w:rsidRPr="006C09C5" w:rsidRDefault="00D82E61" w:rsidP="00CB6A51">
      <w:pPr>
        <w:pStyle w:val="PrrafodeSentencia"/>
        <w:rPr>
          <w:lang w:val="es-CO"/>
        </w:rPr>
      </w:pPr>
      <w:r w:rsidRPr="006C09C5">
        <w:rPr>
          <w:lang w:val="es-CO"/>
        </w:rPr>
        <w:t xml:space="preserve">En la presente </w:t>
      </w:r>
      <w:r w:rsidR="00C25C74" w:rsidRPr="006C09C5">
        <w:rPr>
          <w:lang w:val="es-CO"/>
        </w:rPr>
        <w:t>S</w:t>
      </w:r>
      <w:r w:rsidRPr="006C09C5">
        <w:rPr>
          <w:lang w:val="es-CO"/>
        </w:rPr>
        <w:t xml:space="preserve">entencia, la Corte concluyó </w:t>
      </w:r>
      <w:r w:rsidR="00A646B0" w:rsidRPr="006C09C5">
        <w:rPr>
          <w:lang w:val="es-CO"/>
        </w:rPr>
        <w:t>que</w:t>
      </w:r>
      <w:r w:rsidR="00C91B21" w:rsidRPr="006C09C5">
        <w:rPr>
          <w:lang w:val="es-CO"/>
        </w:rPr>
        <w:t xml:space="preserve"> Brasil es responsable “</w:t>
      </w:r>
      <w:r w:rsidR="00C91B21" w:rsidRPr="006C09C5">
        <w:rPr>
          <w:rFonts w:eastAsia="Verdana"/>
          <w:lang w:val="es-CO"/>
        </w:rPr>
        <w:t xml:space="preserve">por la violación de los artículos 19, 24 y 26 de la Convención Americana, en relación con el artículo 1.1 del mismo instrumento, en perjuicio de 60 personas fallecidas y 6 sobrevivientes de la explosión de la fábrica de fuegos de </w:t>
      </w:r>
      <w:r w:rsidR="00C91B21" w:rsidRPr="006C09C5">
        <w:rPr>
          <w:lang w:val="es-CO"/>
        </w:rPr>
        <w:t>Santo Antônio de Jesus, ocurrida el 11 de diciembre de 1998”</w:t>
      </w:r>
      <w:r w:rsidR="00C65932" w:rsidRPr="006C09C5">
        <w:rPr>
          <w:rStyle w:val="Refdenotaalpie"/>
          <w:sz w:val="20"/>
          <w:szCs w:val="20"/>
          <w:lang w:val="es-CO"/>
        </w:rPr>
        <w:footnoteReference w:id="17"/>
      </w:r>
      <w:r w:rsidR="00C65932" w:rsidRPr="006C09C5">
        <w:rPr>
          <w:lang w:val="es-CO"/>
        </w:rPr>
        <w:t>. La Corte llegó a esta conclusión luego de considerar</w:t>
      </w:r>
      <w:r w:rsidR="002A4B57" w:rsidRPr="006C09C5">
        <w:rPr>
          <w:lang w:val="es-CO"/>
        </w:rPr>
        <w:t>, entre otros,</w:t>
      </w:r>
      <w:r w:rsidR="00C65932" w:rsidRPr="006C09C5">
        <w:rPr>
          <w:lang w:val="es-CO"/>
        </w:rPr>
        <w:t xml:space="preserve"> </w:t>
      </w:r>
      <w:r w:rsidR="00A646B0" w:rsidRPr="006C09C5">
        <w:rPr>
          <w:lang w:val="es-CO"/>
        </w:rPr>
        <w:t>que</w:t>
      </w:r>
      <w:r w:rsidRPr="006C09C5">
        <w:rPr>
          <w:lang w:val="es-CO"/>
        </w:rPr>
        <w:t xml:space="preserve"> </w:t>
      </w:r>
      <w:r w:rsidR="00BE3BA1" w:rsidRPr="006C09C5">
        <w:rPr>
          <w:lang w:val="es-CO"/>
        </w:rPr>
        <w:t xml:space="preserve">el Estado falló en su deber de prevenir accidentes de trabajo. </w:t>
      </w:r>
      <w:r w:rsidR="002A4B57" w:rsidRPr="006C09C5">
        <w:rPr>
          <w:lang w:val="es-CO"/>
        </w:rPr>
        <w:t>L</w:t>
      </w:r>
      <w:r w:rsidR="00C25C74" w:rsidRPr="006C09C5">
        <w:rPr>
          <w:lang w:val="es-CO"/>
        </w:rPr>
        <w:t>a S</w:t>
      </w:r>
      <w:r w:rsidR="00BE3BA1" w:rsidRPr="006C09C5">
        <w:rPr>
          <w:lang w:val="es-CO"/>
        </w:rPr>
        <w:t>entencia indic</w:t>
      </w:r>
      <w:r w:rsidR="002A4B57" w:rsidRPr="006C09C5">
        <w:rPr>
          <w:lang w:val="es-CO"/>
        </w:rPr>
        <w:t>a</w:t>
      </w:r>
      <w:r w:rsidR="00BE3BA1" w:rsidRPr="006C09C5">
        <w:rPr>
          <w:lang w:val="es-CO"/>
        </w:rPr>
        <w:t xml:space="preserve"> que este </w:t>
      </w:r>
      <w:r w:rsidR="00BE3BA1" w:rsidRPr="006C09C5">
        <w:rPr>
          <w:bCs/>
          <w:lang w:val="es-CO"/>
        </w:rPr>
        <w:t>deber “resulta aún más relevante debido a la magnitud de los hechos del presente caso, que terminaron por afectar gravemente la vida y la integridad personal de las trabajadoras y trabajadores</w:t>
      </w:r>
      <w:r w:rsidR="00BE3BA1" w:rsidRPr="006C09C5">
        <w:rPr>
          <w:lang w:val="es-CO"/>
        </w:rPr>
        <w:t>” (párr. 176</w:t>
      </w:r>
      <w:r w:rsidR="00F37A53" w:rsidRPr="006C09C5">
        <w:rPr>
          <w:lang w:val="es-CO"/>
        </w:rPr>
        <w:t>)</w:t>
      </w:r>
      <w:r w:rsidR="00F37A53" w:rsidRPr="006C09C5">
        <w:rPr>
          <w:lang w:val="es-CO" w:eastAsia="en-US"/>
        </w:rPr>
        <w:t>.</w:t>
      </w:r>
    </w:p>
    <w:p w14:paraId="55B5BAEE" w14:textId="77777777" w:rsidR="00C65932" w:rsidRPr="006C09C5" w:rsidRDefault="00C65932" w:rsidP="00CB6A51">
      <w:pPr>
        <w:pStyle w:val="Numberedparagraphs"/>
        <w:numPr>
          <w:ilvl w:val="0"/>
          <w:numId w:val="0"/>
        </w:numPr>
        <w:spacing w:line="276" w:lineRule="auto"/>
        <w:rPr>
          <w:lang w:val="es-CO"/>
        </w:rPr>
      </w:pPr>
    </w:p>
    <w:p w14:paraId="37D122D0" w14:textId="77777777" w:rsidR="00F37A53" w:rsidRPr="006C09C5" w:rsidRDefault="00F37A53" w:rsidP="00CB6A51">
      <w:pPr>
        <w:pStyle w:val="PrrafodeSentencia"/>
        <w:rPr>
          <w:lang w:val="es-CO"/>
        </w:rPr>
      </w:pPr>
      <w:r w:rsidRPr="006C09C5">
        <w:rPr>
          <w:lang w:val="es-CO"/>
        </w:rPr>
        <w:t xml:space="preserve">Si bien comparto </w:t>
      </w:r>
      <w:r w:rsidR="00FE41CC" w:rsidRPr="006C09C5">
        <w:rPr>
          <w:lang w:val="es-CO"/>
        </w:rPr>
        <w:t xml:space="preserve">de manera general </w:t>
      </w:r>
      <w:r w:rsidRPr="006C09C5">
        <w:rPr>
          <w:lang w:val="es-CO"/>
        </w:rPr>
        <w:t xml:space="preserve">el criterio sostenido por mis colegas, lo cual quedó </w:t>
      </w:r>
      <w:r w:rsidR="00FF698F" w:rsidRPr="006C09C5">
        <w:rPr>
          <w:lang w:val="es-CO"/>
        </w:rPr>
        <w:t>de manifiesto</w:t>
      </w:r>
      <w:r w:rsidRPr="006C09C5">
        <w:rPr>
          <w:lang w:val="es-CO"/>
        </w:rPr>
        <w:t xml:space="preserve"> en mi </w:t>
      </w:r>
      <w:r w:rsidR="002A4B57" w:rsidRPr="006C09C5">
        <w:rPr>
          <w:lang w:val="es-CO"/>
        </w:rPr>
        <w:t xml:space="preserve">voto </w:t>
      </w:r>
      <w:r w:rsidR="00FE41CC" w:rsidRPr="006C09C5">
        <w:rPr>
          <w:lang w:val="es-CO"/>
        </w:rPr>
        <w:t>a</w:t>
      </w:r>
      <w:r w:rsidR="002A4B57" w:rsidRPr="006C09C5">
        <w:rPr>
          <w:lang w:val="es-CO"/>
        </w:rPr>
        <w:t xml:space="preserve"> favor del</w:t>
      </w:r>
      <w:r w:rsidR="00C25C74" w:rsidRPr="006C09C5">
        <w:rPr>
          <w:lang w:val="es-CO"/>
        </w:rPr>
        <w:t xml:space="preserve"> Punto Resolutivo No. 6 de la S</w:t>
      </w:r>
      <w:r w:rsidRPr="006C09C5">
        <w:rPr>
          <w:lang w:val="es-CO"/>
        </w:rPr>
        <w:t xml:space="preserve">entencia, </w:t>
      </w:r>
      <w:r w:rsidR="00A646B0" w:rsidRPr="006C09C5">
        <w:rPr>
          <w:lang w:val="es-CO"/>
        </w:rPr>
        <w:t>considero importante</w:t>
      </w:r>
      <w:r w:rsidRPr="006C09C5">
        <w:rPr>
          <w:lang w:val="es-CO"/>
        </w:rPr>
        <w:t xml:space="preserve"> aclarar que esto no significa un distanciamiento de lo </w:t>
      </w:r>
      <w:r w:rsidR="00FF698F" w:rsidRPr="006C09C5">
        <w:rPr>
          <w:lang w:val="es-CO"/>
        </w:rPr>
        <w:t>que he</w:t>
      </w:r>
      <w:r w:rsidRPr="006C09C5">
        <w:rPr>
          <w:lang w:val="es-CO"/>
        </w:rPr>
        <w:t xml:space="preserve"> sostenido en otros votos disidentes o concurrentes </w:t>
      </w:r>
      <w:r w:rsidR="00864662" w:rsidRPr="006C09C5">
        <w:rPr>
          <w:lang w:val="es-CO"/>
        </w:rPr>
        <w:t>emitidos anteriormente</w:t>
      </w:r>
      <w:r w:rsidRPr="006C09C5">
        <w:rPr>
          <w:lang w:val="es-CO"/>
        </w:rPr>
        <w:t xml:space="preserve"> (supra, párr. 2). Reitero que la justiciabilidad de los DESCA, a través de una aplicación directa del artículo 26 de la Convención, presenta al menos dos grandes falencias: la primera, que el artículo 26 no contiene propiamente un catálogo de derechos, sino que remite a la Carta de la Organización de Estados Americanos, y </w:t>
      </w:r>
      <w:r w:rsidR="00FE41CC" w:rsidRPr="006C09C5">
        <w:rPr>
          <w:lang w:val="es-CO"/>
        </w:rPr>
        <w:t>esta</w:t>
      </w:r>
      <w:r w:rsidRPr="006C09C5">
        <w:rPr>
          <w:lang w:val="es-CO"/>
        </w:rPr>
        <w:t xml:space="preserve"> tampoco contiene un catálogo de derechos claros y precisos que permita derivar de ellos obligaciones exigibles a los Estados por vía del sistema de peticiones individuales</w:t>
      </w:r>
      <w:r w:rsidRPr="006C09C5">
        <w:rPr>
          <w:rStyle w:val="Refdenotaalpie"/>
          <w:sz w:val="20"/>
          <w:szCs w:val="20"/>
          <w:lang w:val="es-CO"/>
        </w:rPr>
        <w:footnoteReference w:id="18"/>
      </w:r>
      <w:r w:rsidRPr="006C09C5">
        <w:rPr>
          <w:lang w:val="es-CO"/>
        </w:rPr>
        <w:t>. La segunda, que el argumento utilizado en la Sentencia para justificar la competencia de la Corte ignora que los Estados acordaron, en el Protocolo de San Salvador, que la competencia de la Corte para conoc</w:t>
      </w:r>
      <w:r w:rsidR="00FE41CC" w:rsidRPr="006C09C5">
        <w:rPr>
          <w:lang w:val="es-CO"/>
        </w:rPr>
        <w:t>er sobre violaciones a los DESC</w:t>
      </w:r>
      <w:r w:rsidRPr="006C09C5">
        <w:rPr>
          <w:lang w:val="es-CO"/>
        </w:rPr>
        <w:t xml:space="preserve"> a través del sistema de peticiones individuales </w:t>
      </w:r>
      <w:r w:rsidR="00A646B0" w:rsidRPr="006C09C5">
        <w:rPr>
          <w:lang w:val="es-CO"/>
        </w:rPr>
        <w:t>está restringida</w:t>
      </w:r>
      <w:r w:rsidRPr="006C09C5">
        <w:rPr>
          <w:lang w:val="es-CO"/>
        </w:rPr>
        <w:t xml:space="preserve"> a algunos aspectos del derecho a la lib</w:t>
      </w:r>
      <w:r w:rsidR="00A646B0" w:rsidRPr="006C09C5">
        <w:rPr>
          <w:lang w:val="es-CO"/>
        </w:rPr>
        <w:t>ertad sindical y a</w:t>
      </w:r>
      <w:r w:rsidRPr="006C09C5">
        <w:rPr>
          <w:lang w:val="es-CO"/>
        </w:rPr>
        <w:t>l derecho a la educación</w:t>
      </w:r>
      <w:r w:rsidR="00FF698F" w:rsidRPr="006C09C5">
        <w:rPr>
          <w:rStyle w:val="Refdenotaalpie"/>
          <w:sz w:val="20"/>
          <w:szCs w:val="20"/>
          <w:lang w:val="es-CO"/>
        </w:rPr>
        <w:footnoteReference w:id="19"/>
      </w:r>
      <w:r w:rsidRPr="006C09C5">
        <w:rPr>
          <w:lang w:val="es-CO"/>
        </w:rPr>
        <w:t>.</w:t>
      </w:r>
    </w:p>
    <w:p w14:paraId="6D31640B" w14:textId="77777777" w:rsidR="00FF698F" w:rsidRPr="006C09C5" w:rsidRDefault="00FF698F" w:rsidP="00CB6A51">
      <w:pPr>
        <w:pStyle w:val="Numberedparagraphs"/>
        <w:numPr>
          <w:ilvl w:val="0"/>
          <w:numId w:val="0"/>
        </w:numPr>
        <w:spacing w:line="276" w:lineRule="auto"/>
        <w:rPr>
          <w:lang w:val="es-CO"/>
        </w:rPr>
      </w:pPr>
    </w:p>
    <w:p w14:paraId="1AD7FC13" w14:textId="77777777" w:rsidR="00B00BA6" w:rsidRPr="006C09C5" w:rsidRDefault="00A646B0" w:rsidP="00CB6A51">
      <w:pPr>
        <w:pStyle w:val="PrrafodeSentencia"/>
        <w:rPr>
          <w:lang w:val="es-CO"/>
        </w:rPr>
      </w:pPr>
      <w:r w:rsidRPr="006C09C5">
        <w:rPr>
          <w:lang w:val="es-CO"/>
        </w:rPr>
        <w:t>Por lo anterior, si vot</w:t>
      </w:r>
      <w:r w:rsidR="009F0387" w:rsidRPr="006C09C5">
        <w:rPr>
          <w:lang w:val="es-CO"/>
        </w:rPr>
        <w:t>é con la mayoría de mis colegas</w:t>
      </w:r>
      <w:r w:rsidR="00E620F1" w:rsidRPr="006C09C5">
        <w:rPr>
          <w:lang w:val="es-CO"/>
        </w:rPr>
        <w:t xml:space="preserve"> fue por la forma como </w:t>
      </w:r>
      <w:r w:rsidR="009F0387" w:rsidRPr="006C09C5">
        <w:rPr>
          <w:lang w:val="es-CO"/>
        </w:rPr>
        <w:t>fue</w:t>
      </w:r>
      <w:r w:rsidR="00E620F1" w:rsidRPr="006C09C5">
        <w:rPr>
          <w:lang w:val="es-CO"/>
        </w:rPr>
        <w:t xml:space="preserve"> agru</w:t>
      </w:r>
      <w:r w:rsidR="009F0387" w:rsidRPr="006C09C5">
        <w:rPr>
          <w:lang w:val="es-CO"/>
        </w:rPr>
        <w:t xml:space="preserve">pado </w:t>
      </w:r>
      <w:r w:rsidR="007C0E27" w:rsidRPr="006C09C5">
        <w:rPr>
          <w:lang w:val="es-CO"/>
        </w:rPr>
        <w:t>el análisis de las alegadas violaciones al derecho al trabajo, a los derechos de las</w:t>
      </w:r>
      <w:r w:rsidR="00FE41CC" w:rsidRPr="006C09C5">
        <w:rPr>
          <w:lang w:val="es-CO"/>
        </w:rPr>
        <w:t xml:space="preserve"> niñas</w:t>
      </w:r>
      <w:r w:rsidR="007C0E27" w:rsidRPr="006C09C5">
        <w:rPr>
          <w:lang w:val="es-CO"/>
        </w:rPr>
        <w:t xml:space="preserve"> y los niños y al derecho a la igualdad y no discriminación</w:t>
      </w:r>
      <w:r w:rsidR="009F0387" w:rsidRPr="006C09C5">
        <w:rPr>
          <w:lang w:val="es-CO"/>
        </w:rPr>
        <w:t xml:space="preserve"> (capítulo VIII-2)</w:t>
      </w:r>
      <w:r w:rsidR="007C0E27" w:rsidRPr="006C09C5">
        <w:rPr>
          <w:lang w:val="es-CO"/>
        </w:rPr>
        <w:t xml:space="preserve">; y por la forma en que fueron declaradas </w:t>
      </w:r>
      <w:r w:rsidR="00FE41CC" w:rsidRPr="006C09C5">
        <w:rPr>
          <w:lang w:val="es-CO"/>
        </w:rPr>
        <w:t xml:space="preserve">dichas violaciones, </w:t>
      </w:r>
      <w:r w:rsidR="007C0E27" w:rsidRPr="006C09C5">
        <w:rPr>
          <w:lang w:val="es-CO"/>
        </w:rPr>
        <w:t>de manera conjunta, en el Punto Resolutivo No. 6</w:t>
      </w:r>
      <w:r w:rsidR="00C25C74" w:rsidRPr="006C09C5">
        <w:rPr>
          <w:lang w:val="es-CO"/>
        </w:rPr>
        <w:t xml:space="preserve"> de la S</w:t>
      </w:r>
      <w:r w:rsidR="00FE41CC" w:rsidRPr="006C09C5">
        <w:rPr>
          <w:lang w:val="es-CO"/>
        </w:rPr>
        <w:t>entencia</w:t>
      </w:r>
      <w:r w:rsidR="007C0E27" w:rsidRPr="006C09C5">
        <w:rPr>
          <w:lang w:val="es-CO"/>
        </w:rPr>
        <w:t>. Sin embargo, t</w:t>
      </w:r>
      <w:r w:rsidR="00B00BA6" w:rsidRPr="006C09C5">
        <w:rPr>
          <w:lang w:val="es-CO"/>
        </w:rPr>
        <w:t xml:space="preserve">al como lo he sostenido en mis votos concurrentes y disidentes </w:t>
      </w:r>
      <w:r w:rsidR="00FE41CC" w:rsidRPr="006C09C5">
        <w:rPr>
          <w:lang w:val="es-CO"/>
        </w:rPr>
        <w:t>previos</w:t>
      </w:r>
      <w:r w:rsidR="00B00BA6" w:rsidRPr="006C09C5">
        <w:rPr>
          <w:lang w:val="es-CO"/>
        </w:rPr>
        <w:t xml:space="preserve">, el análisis por conexidad de las violaciones de </w:t>
      </w:r>
      <w:r w:rsidR="007C0E27" w:rsidRPr="006C09C5">
        <w:rPr>
          <w:lang w:val="es-CO"/>
        </w:rPr>
        <w:t>asuntos relacionado</w:t>
      </w:r>
      <w:r w:rsidR="00B00BA6" w:rsidRPr="006C09C5">
        <w:rPr>
          <w:lang w:val="es-CO"/>
        </w:rPr>
        <w:t xml:space="preserve">s con </w:t>
      </w:r>
      <w:r w:rsidR="007C0E27" w:rsidRPr="006C09C5">
        <w:rPr>
          <w:lang w:val="es-CO"/>
        </w:rPr>
        <w:t xml:space="preserve">esta categoría de derechos </w:t>
      </w:r>
      <w:r w:rsidR="00B00BA6" w:rsidRPr="006C09C5">
        <w:rPr>
          <w:lang w:val="es-CO"/>
        </w:rPr>
        <w:t>genera el mismo resultado</w:t>
      </w:r>
      <w:r w:rsidR="007C0E27" w:rsidRPr="006C09C5">
        <w:rPr>
          <w:lang w:val="es-CO"/>
        </w:rPr>
        <w:t xml:space="preserve"> práctico que el análisis autónomo</w:t>
      </w:r>
      <w:r w:rsidR="00B00BA6" w:rsidRPr="006C09C5">
        <w:rPr>
          <w:lang w:val="es-CO"/>
        </w:rPr>
        <w:t xml:space="preserve"> que ha propuesto la mayoría en sentencias recientes</w:t>
      </w:r>
      <w:r w:rsidR="00FE41CC" w:rsidRPr="006C09C5">
        <w:rPr>
          <w:lang w:val="es-CO"/>
        </w:rPr>
        <w:t>,</w:t>
      </w:r>
      <w:r w:rsidR="007C0E27" w:rsidRPr="006C09C5">
        <w:rPr>
          <w:lang w:val="es-CO"/>
        </w:rPr>
        <w:t xml:space="preserve"> y que se hizo en </w:t>
      </w:r>
      <w:r w:rsidR="009F0387" w:rsidRPr="006C09C5">
        <w:rPr>
          <w:lang w:val="es-CO"/>
        </w:rPr>
        <w:t>esta</w:t>
      </w:r>
      <w:r w:rsidR="007C0E27" w:rsidRPr="006C09C5">
        <w:rPr>
          <w:lang w:val="es-CO"/>
        </w:rPr>
        <w:t xml:space="preserve"> </w:t>
      </w:r>
      <w:r w:rsidR="00C25C74" w:rsidRPr="006C09C5">
        <w:rPr>
          <w:lang w:val="es-CO"/>
        </w:rPr>
        <w:t>S</w:t>
      </w:r>
      <w:r w:rsidR="007C0E27" w:rsidRPr="006C09C5">
        <w:rPr>
          <w:lang w:val="es-CO"/>
        </w:rPr>
        <w:t>entencia</w:t>
      </w:r>
      <w:r w:rsidR="00B00BA6" w:rsidRPr="006C09C5">
        <w:rPr>
          <w:lang w:val="es-CO"/>
        </w:rPr>
        <w:t>.</w:t>
      </w:r>
    </w:p>
    <w:p w14:paraId="6AEE24F7" w14:textId="77777777" w:rsidR="00B00BA6" w:rsidRPr="006C09C5" w:rsidRDefault="00B00BA6" w:rsidP="00CB6A51">
      <w:pPr>
        <w:pStyle w:val="Numberedparagraphs"/>
        <w:numPr>
          <w:ilvl w:val="0"/>
          <w:numId w:val="0"/>
        </w:numPr>
        <w:spacing w:line="276" w:lineRule="auto"/>
        <w:rPr>
          <w:lang w:val="es-CO"/>
        </w:rPr>
      </w:pPr>
    </w:p>
    <w:p w14:paraId="4D0CFD2F" w14:textId="77777777" w:rsidR="009F0387" w:rsidRPr="006C09C5" w:rsidRDefault="007C0E27" w:rsidP="00CB6A51">
      <w:pPr>
        <w:pStyle w:val="PrrafodeSentencia"/>
        <w:rPr>
          <w:lang w:val="es-CO"/>
        </w:rPr>
      </w:pPr>
      <w:r w:rsidRPr="006C09C5">
        <w:rPr>
          <w:lang w:val="es-CO"/>
        </w:rPr>
        <w:t>En ese sentido</w:t>
      </w:r>
      <w:r w:rsidR="00FF698F" w:rsidRPr="006C09C5">
        <w:rPr>
          <w:lang w:val="es-CO"/>
        </w:rPr>
        <w:t xml:space="preserve">, no cabe duda </w:t>
      </w:r>
      <w:r w:rsidR="00D3066A" w:rsidRPr="006C09C5">
        <w:rPr>
          <w:lang w:val="es-CO"/>
        </w:rPr>
        <w:t xml:space="preserve">de </w:t>
      </w:r>
      <w:r w:rsidR="00FF698F" w:rsidRPr="006C09C5">
        <w:rPr>
          <w:lang w:val="es-CO"/>
        </w:rPr>
        <w:t xml:space="preserve">que las violaciones a los derechos humanos de las personas que fallecieron o resultaron heridas como consecuencia de la explosión de la fábrica de fuegos </w:t>
      </w:r>
      <w:r w:rsidR="00FE41CC" w:rsidRPr="006C09C5">
        <w:rPr>
          <w:lang w:val="es-CO"/>
        </w:rPr>
        <w:t>-</w:t>
      </w:r>
      <w:r w:rsidR="00FF698F" w:rsidRPr="006C09C5">
        <w:rPr>
          <w:lang w:val="es-CO"/>
        </w:rPr>
        <w:t xml:space="preserve">y que fueron declaradas en </w:t>
      </w:r>
      <w:r w:rsidR="009F0387" w:rsidRPr="006C09C5">
        <w:rPr>
          <w:lang w:val="es-CO"/>
        </w:rPr>
        <w:t>la</w:t>
      </w:r>
      <w:r w:rsidR="00C25C74" w:rsidRPr="006C09C5">
        <w:rPr>
          <w:lang w:val="es-CO"/>
        </w:rPr>
        <w:t xml:space="preserve"> S</w:t>
      </w:r>
      <w:r w:rsidR="00FF698F" w:rsidRPr="006C09C5">
        <w:rPr>
          <w:lang w:val="es-CO"/>
        </w:rPr>
        <w:t>entencia</w:t>
      </w:r>
      <w:r w:rsidR="00FE41CC" w:rsidRPr="006C09C5">
        <w:rPr>
          <w:lang w:val="es-CO"/>
        </w:rPr>
        <w:t>-,</w:t>
      </w:r>
      <w:r w:rsidR="00FF698F" w:rsidRPr="006C09C5">
        <w:rPr>
          <w:lang w:val="es-CO"/>
        </w:rPr>
        <w:t xml:space="preserve"> fueron resultado de</w:t>
      </w:r>
      <w:r w:rsidR="008E05E4" w:rsidRPr="006C09C5">
        <w:rPr>
          <w:lang w:val="es-CO"/>
        </w:rPr>
        <w:t xml:space="preserve"> la falta de fiscalización y control de la actividad peligrosa de fabricación de fuegos artificiales, pese al riesgo que implicaba esta actividad. </w:t>
      </w:r>
      <w:r w:rsidR="00FE41CC" w:rsidRPr="006C09C5">
        <w:rPr>
          <w:lang w:val="es-CO"/>
        </w:rPr>
        <w:t>Por esa razón</w:t>
      </w:r>
      <w:r w:rsidR="008E05E4" w:rsidRPr="006C09C5">
        <w:rPr>
          <w:lang w:val="es-CO"/>
        </w:rPr>
        <w:t>, a mi juicio, la Corte debió vincular el análisis sobre el deber de prevenir accidentes de trabajo</w:t>
      </w:r>
      <w:r w:rsidR="00FE41CC" w:rsidRPr="006C09C5">
        <w:rPr>
          <w:lang w:val="es-CO"/>
        </w:rPr>
        <w:t>,</w:t>
      </w:r>
      <w:r w:rsidR="008E05E4" w:rsidRPr="006C09C5">
        <w:rPr>
          <w:lang w:val="es-CO"/>
        </w:rPr>
        <w:t xml:space="preserve"> al análisis de las violaciones </w:t>
      </w:r>
      <w:r w:rsidR="009F0387" w:rsidRPr="006C09C5">
        <w:rPr>
          <w:lang w:val="es-CO"/>
        </w:rPr>
        <w:t>a</w:t>
      </w:r>
      <w:r w:rsidR="008E05E4" w:rsidRPr="006C09C5">
        <w:rPr>
          <w:lang w:val="es-CO"/>
        </w:rPr>
        <w:t xml:space="preserve"> los derechos a la vida e integridad.</w:t>
      </w:r>
      <w:r w:rsidR="00FE41CC" w:rsidRPr="006C09C5">
        <w:rPr>
          <w:lang w:val="es-CO"/>
        </w:rPr>
        <w:t xml:space="preserve"> Esa línea argumentativa, habría llegado al mismo resultado práctico, sin generar desgaste institucional y sin la debilidad argumentativa y probatoria que implica el análisis contrario. Así lo he sostenido reiteradamente en relación con otros casos</w:t>
      </w:r>
      <w:r w:rsidR="00FE41CC" w:rsidRPr="006C09C5">
        <w:rPr>
          <w:rStyle w:val="Refdenotaalpie"/>
          <w:sz w:val="20"/>
          <w:szCs w:val="20"/>
          <w:lang w:val="es-CO"/>
        </w:rPr>
        <w:footnoteReference w:id="20"/>
      </w:r>
      <w:r w:rsidR="00FE41CC" w:rsidRPr="006C09C5">
        <w:rPr>
          <w:lang w:val="es-CO"/>
        </w:rPr>
        <w:t xml:space="preserve">.    </w:t>
      </w:r>
    </w:p>
    <w:p w14:paraId="0659CBD2" w14:textId="77777777" w:rsidR="009F0387" w:rsidRPr="006C09C5" w:rsidRDefault="009F0387" w:rsidP="00CB6A51">
      <w:pPr>
        <w:pStyle w:val="Prrafodelista"/>
        <w:numPr>
          <w:ilvl w:val="0"/>
          <w:numId w:val="0"/>
        </w:numPr>
        <w:spacing w:line="276" w:lineRule="auto"/>
        <w:ind w:left="1440"/>
        <w:rPr>
          <w:rFonts w:eastAsia="Verdana"/>
          <w:lang w:val="es-CO"/>
        </w:rPr>
      </w:pPr>
    </w:p>
    <w:p w14:paraId="3DECDF4D" w14:textId="77777777" w:rsidR="00827C33" w:rsidRPr="006C09C5" w:rsidRDefault="00FE41CC" w:rsidP="00CB6A51">
      <w:pPr>
        <w:pStyle w:val="PrrafodeSentencia"/>
        <w:rPr>
          <w:lang w:val="es-CO"/>
        </w:rPr>
      </w:pPr>
      <w:r w:rsidRPr="006C09C5">
        <w:rPr>
          <w:rFonts w:eastAsia="Verdana"/>
          <w:lang w:val="es-CO"/>
        </w:rPr>
        <w:t xml:space="preserve">De hecho, en este caso, </w:t>
      </w:r>
      <w:r w:rsidR="00827C33" w:rsidRPr="006C09C5">
        <w:rPr>
          <w:rFonts w:eastAsia="Verdana"/>
          <w:lang w:val="es-CO"/>
        </w:rPr>
        <w:t xml:space="preserve">el análisis de la violación al derecho a condiciones equitativas y satisfactorias </w:t>
      </w:r>
      <w:r w:rsidR="007C0E27" w:rsidRPr="006C09C5">
        <w:rPr>
          <w:lang w:val="es-CO"/>
        </w:rPr>
        <w:t>que garanticen la seguridad, la salud y la higiene en el trabajo</w:t>
      </w:r>
      <w:r w:rsidR="00D3066A" w:rsidRPr="006C09C5">
        <w:rPr>
          <w:lang w:val="es-CO"/>
        </w:rPr>
        <w:t>,</w:t>
      </w:r>
      <w:r w:rsidR="009F0387" w:rsidRPr="006C09C5">
        <w:rPr>
          <w:lang w:val="es-CO"/>
        </w:rPr>
        <w:t xml:space="preserve"> y que implica el deber de prevenir accidentes de trabajo,</w:t>
      </w:r>
      <w:r w:rsidR="007C0E27" w:rsidRPr="006C09C5">
        <w:rPr>
          <w:lang w:val="es-CO"/>
        </w:rPr>
        <w:t xml:space="preserve"> </w:t>
      </w:r>
      <w:r w:rsidR="00827C33" w:rsidRPr="006C09C5">
        <w:rPr>
          <w:rFonts w:eastAsia="Verdana"/>
          <w:lang w:val="es-CO"/>
        </w:rPr>
        <w:t>está íntimamente ligado a las afectaciones a la vida y a la integridad personal</w:t>
      </w:r>
      <w:r w:rsidR="009F0387" w:rsidRPr="006C09C5">
        <w:rPr>
          <w:rFonts w:eastAsia="Verdana"/>
          <w:lang w:val="es-CO"/>
        </w:rPr>
        <w:t xml:space="preserve"> de las víctimas fallecidas y heridas como consecuencia de la explosión</w:t>
      </w:r>
      <w:r w:rsidR="00827C33" w:rsidRPr="006C09C5">
        <w:rPr>
          <w:rFonts w:eastAsia="Verdana"/>
          <w:lang w:val="es-CO"/>
        </w:rPr>
        <w:t xml:space="preserve">. </w:t>
      </w:r>
      <w:r w:rsidRPr="006C09C5">
        <w:rPr>
          <w:rFonts w:eastAsia="Verdana"/>
          <w:lang w:val="es-CO"/>
        </w:rPr>
        <w:t>Incluso</w:t>
      </w:r>
      <w:r w:rsidR="00827C33" w:rsidRPr="006C09C5">
        <w:rPr>
          <w:rFonts w:eastAsia="Verdana"/>
          <w:lang w:val="es-CO"/>
        </w:rPr>
        <w:t xml:space="preserve">, resulta bastante difícil </w:t>
      </w:r>
      <w:r w:rsidRPr="006C09C5">
        <w:rPr>
          <w:rFonts w:eastAsia="Verdana"/>
          <w:lang w:val="es-CO"/>
        </w:rPr>
        <w:t>establecer</w:t>
      </w:r>
      <w:r w:rsidR="00827C33" w:rsidRPr="006C09C5">
        <w:rPr>
          <w:rFonts w:eastAsia="Verdana"/>
          <w:lang w:val="es-CO"/>
        </w:rPr>
        <w:t xml:space="preserve"> dónde comienzan y dónde terminan las obligaciones atinentes a cada derecho, cuyo incumplimiento derivó en la </w:t>
      </w:r>
      <w:r w:rsidR="00911A20" w:rsidRPr="006C09C5">
        <w:rPr>
          <w:rFonts w:eastAsia="Verdana"/>
          <w:lang w:val="es-CO"/>
        </w:rPr>
        <w:t>declaratoria</w:t>
      </w:r>
      <w:r w:rsidR="00827C33" w:rsidRPr="006C09C5">
        <w:rPr>
          <w:rFonts w:eastAsia="Verdana"/>
          <w:lang w:val="es-CO"/>
        </w:rPr>
        <w:t xml:space="preserve"> de responsabilidad internacional del Estado. </w:t>
      </w:r>
    </w:p>
    <w:p w14:paraId="72524B7E" w14:textId="77777777" w:rsidR="00827C33" w:rsidRPr="006C09C5" w:rsidRDefault="00911A20" w:rsidP="00CB6A51">
      <w:pPr>
        <w:pStyle w:val="PrrafodeSentencia"/>
        <w:rPr>
          <w:lang w:val="es-CO"/>
        </w:rPr>
      </w:pPr>
      <w:r w:rsidRPr="006C09C5">
        <w:rPr>
          <w:lang w:val="es-CO"/>
        </w:rPr>
        <w:t>Lo anterior implica que</w:t>
      </w:r>
      <w:r w:rsidR="009F0387" w:rsidRPr="006C09C5">
        <w:rPr>
          <w:lang w:val="es-CO"/>
        </w:rPr>
        <w:t>,</w:t>
      </w:r>
      <w:r w:rsidR="004A3416" w:rsidRPr="006C09C5">
        <w:rPr>
          <w:lang w:val="es-CO"/>
        </w:rPr>
        <w:t xml:space="preserve"> en este caso</w:t>
      </w:r>
      <w:r w:rsidR="009F0387" w:rsidRPr="006C09C5">
        <w:rPr>
          <w:lang w:val="es-CO"/>
        </w:rPr>
        <w:t>,</w:t>
      </w:r>
      <w:r w:rsidR="004A3416" w:rsidRPr="006C09C5">
        <w:rPr>
          <w:lang w:val="es-CO"/>
        </w:rPr>
        <w:t xml:space="preserve"> </w:t>
      </w:r>
      <w:r w:rsidR="00827C33" w:rsidRPr="006C09C5">
        <w:rPr>
          <w:lang w:val="es-CO"/>
        </w:rPr>
        <w:t xml:space="preserve">era </w:t>
      </w:r>
      <w:r w:rsidR="00C25C74" w:rsidRPr="006C09C5">
        <w:rPr>
          <w:lang w:val="es-CO"/>
        </w:rPr>
        <w:t xml:space="preserve">inútil </w:t>
      </w:r>
      <w:r w:rsidR="00827C33" w:rsidRPr="006C09C5">
        <w:rPr>
          <w:lang w:val="es-CO"/>
        </w:rPr>
        <w:t xml:space="preserve">el análisis del artículo 26 de manera autónoma. En efecto, </w:t>
      </w:r>
      <w:r w:rsidR="004A3416" w:rsidRPr="006C09C5">
        <w:rPr>
          <w:lang w:val="es-CO"/>
        </w:rPr>
        <w:t>ese</w:t>
      </w:r>
      <w:r w:rsidR="00827C33" w:rsidRPr="006C09C5">
        <w:rPr>
          <w:lang w:val="es-CO"/>
        </w:rPr>
        <w:t xml:space="preserve"> análisis </w:t>
      </w:r>
      <w:r w:rsidR="004A3416" w:rsidRPr="006C09C5">
        <w:rPr>
          <w:lang w:val="es-CO"/>
        </w:rPr>
        <w:t>implica</w:t>
      </w:r>
      <w:r w:rsidR="00827C33" w:rsidRPr="006C09C5">
        <w:rPr>
          <w:lang w:val="es-CO"/>
        </w:rPr>
        <w:t xml:space="preserve"> una duplicidad innecesaria en cuanto a la declaratoria de los derechos violados, lo que se evidencia en el hecho de</w:t>
      </w:r>
      <w:r w:rsidR="00B94ABD" w:rsidRPr="006C09C5">
        <w:rPr>
          <w:lang w:val="es-CO"/>
        </w:rPr>
        <w:t xml:space="preserve"> que</w:t>
      </w:r>
      <w:r w:rsidR="00827C33" w:rsidRPr="006C09C5">
        <w:rPr>
          <w:lang w:val="es-CO"/>
        </w:rPr>
        <w:t xml:space="preserve"> las actuaciones y omisiones estatales que configu</w:t>
      </w:r>
      <w:r w:rsidR="009F0387" w:rsidRPr="006C09C5">
        <w:rPr>
          <w:lang w:val="es-CO"/>
        </w:rPr>
        <w:t xml:space="preserve">ran la violación del derecho a </w:t>
      </w:r>
      <w:r w:rsidR="009F0387" w:rsidRPr="006C09C5">
        <w:rPr>
          <w:rFonts w:eastAsia="Verdana"/>
          <w:lang w:val="es-CO"/>
        </w:rPr>
        <w:t xml:space="preserve">condiciones equitativas y satisfactorias </w:t>
      </w:r>
      <w:r w:rsidR="00B94ABD" w:rsidRPr="006C09C5">
        <w:rPr>
          <w:lang w:val="es-CO"/>
        </w:rPr>
        <w:t>de</w:t>
      </w:r>
      <w:r w:rsidR="009F0387" w:rsidRPr="006C09C5">
        <w:rPr>
          <w:lang w:val="es-CO"/>
        </w:rPr>
        <w:t xml:space="preserve"> trabajo </w:t>
      </w:r>
      <w:r w:rsidR="00827C33" w:rsidRPr="006C09C5">
        <w:rPr>
          <w:lang w:val="es-CO"/>
        </w:rPr>
        <w:t>y a la vida e integridad personal</w:t>
      </w:r>
      <w:r w:rsidR="00FE41CC" w:rsidRPr="006C09C5">
        <w:rPr>
          <w:lang w:val="es-CO"/>
        </w:rPr>
        <w:t xml:space="preserve"> son</w:t>
      </w:r>
      <w:r w:rsidR="00827C33" w:rsidRPr="006C09C5">
        <w:rPr>
          <w:lang w:val="es-CO"/>
        </w:rPr>
        <w:t>, en esencia,</w:t>
      </w:r>
      <w:r w:rsidR="004A3416" w:rsidRPr="006C09C5">
        <w:rPr>
          <w:lang w:val="es-CO"/>
        </w:rPr>
        <w:t xml:space="preserve"> </w:t>
      </w:r>
      <w:r w:rsidR="00827C33" w:rsidRPr="006C09C5">
        <w:rPr>
          <w:lang w:val="es-CO"/>
        </w:rPr>
        <w:t xml:space="preserve">las mismas. </w:t>
      </w:r>
    </w:p>
    <w:p w14:paraId="5A270267" w14:textId="77777777" w:rsidR="002F45BB" w:rsidRPr="006C09C5" w:rsidRDefault="002F45BB" w:rsidP="00CB6A51">
      <w:pPr>
        <w:pStyle w:val="Prrafodelista"/>
        <w:numPr>
          <w:ilvl w:val="0"/>
          <w:numId w:val="0"/>
        </w:numPr>
        <w:spacing w:line="276" w:lineRule="auto"/>
        <w:ind w:left="1440"/>
        <w:rPr>
          <w:lang w:val="es-CO"/>
        </w:rPr>
      </w:pPr>
    </w:p>
    <w:p w14:paraId="25941D55" w14:textId="77777777" w:rsidR="002F45BB" w:rsidRPr="006C09C5" w:rsidRDefault="002F45BB" w:rsidP="00CB6A51">
      <w:pPr>
        <w:pStyle w:val="PrrafodeSentencia"/>
        <w:rPr>
          <w:lang w:val="es-CO"/>
        </w:rPr>
      </w:pPr>
      <w:r w:rsidRPr="006C09C5">
        <w:rPr>
          <w:lang w:val="es-CO"/>
        </w:rPr>
        <w:t xml:space="preserve">Por lo anterior, aclaro que mi voto </w:t>
      </w:r>
      <w:r w:rsidR="004A3416" w:rsidRPr="006C09C5">
        <w:rPr>
          <w:lang w:val="es-CO"/>
        </w:rPr>
        <w:t>en favor d</w:t>
      </w:r>
      <w:r w:rsidRPr="006C09C5">
        <w:rPr>
          <w:lang w:val="es-CO"/>
        </w:rPr>
        <w:t xml:space="preserve">el Punto Resolutivo </w:t>
      </w:r>
      <w:r w:rsidR="004A3416" w:rsidRPr="006C09C5">
        <w:rPr>
          <w:lang w:val="es-CO"/>
        </w:rPr>
        <w:t xml:space="preserve">No. 6 de la </w:t>
      </w:r>
      <w:r w:rsidR="00C25C74" w:rsidRPr="006C09C5">
        <w:rPr>
          <w:lang w:val="es-CO"/>
        </w:rPr>
        <w:t>S</w:t>
      </w:r>
      <w:r w:rsidR="004A3416" w:rsidRPr="006C09C5">
        <w:rPr>
          <w:lang w:val="es-CO"/>
        </w:rPr>
        <w:t>entencia</w:t>
      </w:r>
      <w:r w:rsidRPr="006C09C5">
        <w:rPr>
          <w:lang w:val="es-CO"/>
        </w:rPr>
        <w:t xml:space="preserve"> no debe entenderse co</w:t>
      </w:r>
      <w:r w:rsidR="00911A20" w:rsidRPr="006C09C5">
        <w:rPr>
          <w:lang w:val="es-CO"/>
        </w:rPr>
        <w:t>mo una aceptación de la tesis -</w:t>
      </w:r>
      <w:r w:rsidRPr="006C09C5">
        <w:rPr>
          <w:lang w:val="es-CO"/>
        </w:rPr>
        <w:t>en mi concepto errada- que la Corte ha sostenido recientemente</w:t>
      </w:r>
      <w:r w:rsidR="00CB6A51">
        <w:rPr>
          <w:lang w:val="es-CO"/>
        </w:rPr>
        <w:t>,</w:t>
      </w:r>
      <w:r w:rsidRPr="006C09C5">
        <w:rPr>
          <w:lang w:val="es-CO"/>
        </w:rPr>
        <w:t xml:space="preserve"> sobre la posibilidad de declarar violaciones autónomas al artículo 26 de la Convención Americana. Por el contrario, se debe entender como un voto a favor de la responsabilidad internacional de Brasil por la falta de fiscalización de la actividad peligrosa de fabricación de fuegos artificiales, lo cual derivó en la violación a los derechos a la vida y a la integridad de las personas fallecidas y heridas en la explosión en la fábrica de fuegos</w:t>
      </w:r>
      <w:r w:rsidR="004A3416" w:rsidRPr="006C09C5">
        <w:rPr>
          <w:lang w:val="es-CO"/>
        </w:rPr>
        <w:t>, dentro de las cuales se encontraban niños y niñas que, de acuerdo con la Convención Americana y la Convención sobre los Derechos del Niño</w:t>
      </w:r>
      <w:r w:rsidR="00911A20" w:rsidRPr="006C09C5">
        <w:rPr>
          <w:lang w:val="es-CO"/>
        </w:rPr>
        <w:t>,</w:t>
      </w:r>
      <w:r w:rsidR="004A3416" w:rsidRPr="006C09C5">
        <w:rPr>
          <w:lang w:val="es-CO"/>
        </w:rPr>
        <w:t xml:space="preserve"> debían ser especialmente protegidos</w:t>
      </w:r>
      <w:r w:rsidRPr="006C09C5">
        <w:rPr>
          <w:lang w:val="es-CO"/>
        </w:rPr>
        <w:t>.</w:t>
      </w:r>
    </w:p>
    <w:p w14:paraId="3E361FA5" w14:textId="77777777" w:rsidR="002F45BB" w:rsidRPr="006C09C5" w:rsidRDefault="002F45BB" w:rsidP="00CB6A51">
      <w:pPr>
        <w:pStyle w:val="Numberedparagraphs"/>
        <w:numPr>
          <w:ilvl w:val="0"/>
          <w:numId w:val="0"/>
        </w:numPr>
        <w:spacing w:line="276" w:lineRule="auto"/>
        <w:rPr>
          <w:lang w:val="es-CO"/>
        </w:rPr>
      </w:pPr>
    </w:p>
    <w:p w14:paraId="3D68C7A5" w14:textId="77777777" w:rsidR="00F14633" w:rsidRPr="006C09C5" w:rsidRDefault="002F45BB" w:rsidP="00CB6A51">
      <w:pPr>
        <w:pStyle w:val="PrrafodeSentencia"/>
        <w:rPr>
          <w:rFonts w:eastAsia="Verdana"/>
          <w:bCs/>
          <w:lang w:val="es-CO" w:eastAsia="x-none"/>
        </w:rPr>
      </w:pPr>
      <w:r w:rsidRPr="006C09C5">
        <w:rPr>
          <w:lang w:val="es-CO"/>
        </w:rPr>
        <w:t>Lo anterior me lleva</w:t>
      </w:r>
      <w:r w:rsidR="00B94ABD" w:rsidRPr="006C09C5">
        <w:rPr>
          <w:lang w:val="es-CO"/>
        </w:rPr>
        <w:t>, además,</w:t>
      </w:r>
      <w:r w:rsidRPr="006C09C5">
        <w:rPr>
          <w:lang w:val="es-CO"/>
        </w:rPr>
        <w:t xml:space="preserve"> a reiterar mis comentarios sobre el alcance de</w:t>
      </w:r>
      <w:r w:rsidR="00911A20" w:rsidRPr="006C09C5">
        <w:rPr>
          <w:lang w:val="es-CO"/>
        </w:rPr>
        <w:t xml:space="preserve"> </w:t>
      </w:r>
      <w:r w:rsidRPr="006C09C5">
        <w:rPr>
          <w:lang w:val="es-CO"/>
        </w:rPr>
        <w:t>l</w:t>
      </w:r>
      <w:r w:rsidR="00911A20" w:rsidRPr="006C09C5">
        <w:rPr>
          <w:lang w:val="es-CO"/>
        </w:rPr>
        <w:t>os</w:t>
      </w:r>
      <w:r w:rsidRPr="006C09C5">
        <w:rPr>
          <w:lang w:val="es-CO"/>
        </w:rPr>
        <w:t xml:space="preserve"> principio</w:t>
      </w:r>
      <w:r w:rsidR="00911A20" w:rsidRPr="006C09C5">
        <w:rPr>
          <w:lang w:val="es-CO"/>
        </w:rPr>
        <w:t>s</w:t>
      </w:r>
      <w:r w:rsidRPr="006C09C5">
        <w:rPr>
          <w:lang w:val="es-CO"/>
        </w:rPr>
        <w:t xml:space="preserve"> de interdependencia e indivisibilidad en relación con la interpretación al artículo 26 de la Convención</w:t>
      </w:r>
      <w:r w:rsidRPr="006C09C5">
        <w:rPr>
          <w:rStyle w:val="Refdecomentario"/>
          <w:rFonts w:eastAsia="Calibri"/>
          <w:sz w:val="20"/>
          <w:szCs w:val="20"/>
          <w:lang w:val="es-CO" w:eastAsia="es-CR"/>
        </w:rPr>
        <w:t xml:space="preserve">. </w:t>
      </w:r>
      <w:r w:rsidR="00B94ABD" w:rsidRPr="006C09C5">
        <w:rPr>
          <w:lang w:val="es-CO"/>
        </w:rPr>
        <w:t>D</w:t>
      </w:r>
      <w:r w:rsidRPr="006C09C5">
        <w:rPr>
          <w:lang w:val="es-CO"/>
        </w:rPr>
        <w:t>icho</w:t>
      </w:r>
      <w:r w:rsidR="00867464" w:rsidRPr="006C09C5">
        <w:rPr>
          <w:lang w:val="es-CO"/>
        </w:rPr>
        <w:t>s</w:t>
      </w:r>
      <w:r w:rsidRPr="006C09C5">
        <w:rPr>
          <w:lang w:val="es-CO"/>
        </w:rPr>
        <w:t xml:space="preserve"> principio</w:t>
      </w:r>
      <w:r w:rsidR="00867464" w:rsidRPr="006C09C5">
        <w:rPr>
          <w:lang w:val="es-CO"/>
        </w:rPr>
        <w:t>s</w:t>
      </w:r>
      <w:r w:rsidRPr="006C09C5">
        <w:rPr>
          <w:lang w:val="es-CO"/>
        </w:rPr>
        <w:t xml:space="preserve"> señala</w:t>
      </w:r>
      <w:r w:rsidR="00867464" w:rsidRPr="006C09C5">
        <w:rPr>
          <w:lang w:val="es-CO"/>
        </w:rPr>
        <w:t>n</w:t>
      </w:r>
      <w:r w:rsidRPr="006C09C5">
        <w:rPr>
          <w:lang w:val="es-CO"/>
        </w:rPr>
        <w:t xml:space="preserve"> que </w:t>
      </w:r>
      <w:r w:rsidR="00B309F2" w:rsidRPr="006C09C5">
        <w:rPr>
          <w:lang w:val="es-CO"/>
        </w:rPr>
        <w:t xml:space="preserve">todos los derechos tienen igual jerarquía e importancia y que </w:t>
      </w:r>
      <w:r w:rsidRPr="006C09C5">
        <w:rPr>
          <w:lang w:val="es-CO"/>
        </w:rPr>
        <w:t>el disfrute de un derecho depende de la realización de otros</w:t>
      </w:r>
      <w:r w:rsidR="004A3416" w:rsidRPr="002455A1">
        <w:rPr>
          <w:lang w:val="es-CO"/>
        </w:rPr>
        <w:t xml:space="preserve">. Sin embargo, esto </w:t>
      </w:r>
      <w:r w:rsidRPr="002455A1">
        <w:rPr>
          <w:lang w:val="es-CO"/>
        </w:rPr>
        <w:t xml:space="preserve">no implica que automáticamente se deban incorporar </w:t>
      </w:r>
      <w:r w:rsidR="004A3416" w:rsidRPr="002455A1">
        <w:rPr>
          <w:lang w:val="es-CO"/>
        </w:rPr>
        <w:t xml:space="preserve">los </w:t>
      </w:r>
      <w:r w:rsidRPr="002455A1">
        <w:rPr>
          <w:lang w:val="es-CO"/>
        </w:rPr>
        <w:t xml:space="preserve">DESCA </w:t>
      </w:r>
      <w:r w:rsidR="00A5697A" w:rsidRPr="002455A1">
        <w:rPr>
          <w:lang w:val="es-CO"/>
        </w:rPr>
        <w:t>como derechos autonomos y justiciables</w:t>
      </w:r>
      <w:r w:rsidR="00A5697A">
        <w:rPr>
          <w:lang w:val="es-CO"/>
        </w:rPr>
        <w:t xml:space="preserve"> </w:t>
      </w:r>
      <w:r w:rsidRPr="006C09C5">
        <w:rPr>
          <w:lang w:val="es-CO"/>
        </w:rPr>
        <w:t>al contenido de la Convención</w:t>
      </w:r>
      <w:r w:rsidR="000014E7" w:rsidRPr="006C09C5">
        <w:rPr>
          <w:lang w:val="es-CO"/>
        </w:rPr>
        <w:t>. Si</w:t>
      </w:r>
      <w:r w:rsidR="00867464" w:rsidRPr="006C09C5">
        <w:rPr>
          <w:lang w:val="es-CO"/>
        </w:rPr>
        <w:t xml:space="preserve"> bien </w:t>
      </w:r>
      <w:r w:rsidRPr="006C09C5">
        <w:rPr>
          <w:lang w:val="es-CO"/>
        </w:rPr>
        <w:t xml:space="preserve">es cierto que los derechos están intrínsecamente conectados y </w:t>
      </w:r>
      <w:r w:rsidR="006522DA" w:rsidRPr="006C09C5">
        <w:rPr>
          <w:lang w:val="es-CO"/>
        </w:rPr>
        <w:t>que el respeto y disfrute de ciertos derechos y libertades no puede justificar la denegación de otros</w:t>
      </w:r>
      <w:r w:rsidRPr="006C09C5">
        <w:rPr>
          <w:lang w:val="es-CO"/>
        </w:rPr>
        <w:t xml:space="preserve">, </w:t>
      </w:r>
      <w:r w:rsidR="006522DA" w:rsidRPr="006C09C5">
        <w:rPr>
          <w:lang w:val="es-CO"/>
        </w:rPr>
        <w:t xml:space="preserve">este argumento </w:t>
      </w:r>
      <w:r w:rsidR="00867464" w:rsidRPr="006C09C5">
        <w:rPr>
          <w:lang w:val="es-CO"/>
        </w:rPr>
        <w:t>no es</w:t>
      </w:r>
      <w:r w:rsidRPr="006C09C5">
        <w:rPr>
          <w:lang w:val="es-CO"/>
        </w:rPr>
        <w:t xml:space="preserve"> suficiente para modificar la competencia de un tribunal, como lo proponen quienes pretenden </w:t>
      </w:r>
      <w:r w:rsidR="00867464" w:rsidRPr="006C09C5">
        <w:rPr>
          <w:lang w:val="es-CO"/>
        </w:rPr>
        <w:t>la</w:t>
      </w:r>
      <w:r w:rsidRPr="006C09C5">
        <w:rPr>
          <w:lang w:val="es-CO"/>
        </w:rPr>
        <w:t xml:space="preserve"> justiciabilidad directa por medio de la interpretación amplia del artículo 26 de la Convención</w:t>
      </w:r>
      <w:r w:rsidRPr="006C09C5">
        <w:rPr>
          <w:rStyle w:val="Refdenotaalpie"/>
          <w:sz w:val="20"/>
          <w:szCs w:val="20"/>
          <w:lang w:val="es-CO"/>
        </w:rPr>
        <w:footnoteReference w:id="21"/>
      </w:r>
      <w:r w:rsidRPr="006C09C5">
        <w:rPr>
          <w:lang w:val="es-CO"/>
        </w:rPr>
        <w:t xml:space="preserve">. De hecho, los principios de indivisibilidad e interdependencia </w:t>
      </w:r>
      <w:r w:rsidR="000014E7" w:rsidRPr="006C09C5">
        <w:rPr>
          <w:lang w:val="es-CO"/>
        </w:rPr>
        <w:t xml:space="preserve">y </w:t>
      </w:r>
      <w:r w:rsidR="00CB6A51">
        <w:rPr>
          <w:lang w:val="es-CO"/>
        </w:rPr>
        <w:t>la idea</w:t>
      </w:r>
      <w:r w:rsidR="000014E7" w:rsidRPr="006C09C5">
        <w:rPr>
          <w:lang w:val="es-CO"/>
        </w:rPr>
        <w:t xml:space="preserve"> según </w:t>
      </w:r>
      <w:r w:rsidR="00CB6A51">
        <w:rPr>
          <w:lang w:val="es-CO"/>
        </w:rPr>
        <w:t>la</w:t>
      </w:r>
      <w:r w:rsidR="000014E7" w:rsidRPr="006C09C5">
        <w:rPr>
          <w:lang w:val="es-CO"/>
        </w:rPr>
        <w:t xml:space="preserve"> cual se debe prestar “la misma atención y urgente consideración a la aplicación, la promoción y la protección tanto de los derechos civiles y políticos como de los derechos económicos, sociales y culturales”</w:t>
      </w:r>
      <w:r w:rsidR="000014E7" w:rsidRPr="00CB6A51">
        <w:rPr>
          <w:rStyle w:val="Refdenotaalpie"/>
          <w:sz w:val="20"/>
          <w:szCs w:val="20"/>
          <w:lang w:val="es-CO"/>
        </w:rPr>
        <w:footnoteReference w:id="22"/>
      </w:r>
      <w:r w:rsidR="000014E7" w:rsidRPr="00CB6A51">
        <w:rPr>
          <w:lang w:val="es-CO"/>
        </w:rPr>
        <w:t>,</w:t>
      </w:r>
      <w:r w:rsidR="000014E7" w:rsidRPr="00CB6A51">
        <w:rPr>
          <w:rFonts w:eastAsia="Verdana"/>
          <w:bCs/>
          <w:lang w:val="es-CO" w:eastAsia="x-none"/>
        </w:rPr>
        <w:t xml:space="preserve"> </w:t>
      </w:r>
      <w:r w:rsidR="000844FC" w:rsidRPr="006C09C5">
        <w:rPr>
          <w:lang w:val="es-CO"/>
        </w:rPr>
        <w:t>son</w:t>
      </w:r>
      <w:r w:rsidR="000014E7" w:rsidRPr="006C09C5">
        <w:rPr>
          <w:lang w:val="es-CO"/>
        </w:rPr>
        <w:t xml:space="preserve"> consistente</w:t>
      </w:r>
      <w:r w:rsidR="000844FC" w:rsidRPr="006C09C5">
        <w:rPr>
          <w:lang w:val="es-CO"/>
        </w:rPr>
        <w:t>s</w:t>
      </w:r>
      <w:r w:rsidRPr="006C09C5">
        <w:rPr>
          <w:lang w:val="es-CO"/>
        </w:rPr>
        <w:t xml:space="preserve"> con un análisis de los DESCA desde la perspectiva de la conexidad, pues su aplicación no implica una expansión ilimitada de las competencias de la Corte, pero sí permite un entendimiento amplio de los derechos protegidos por la Convención</w:t>
      </w:r>
      <w:r w:rsidR="00B94ABD" w:rsidRPr="006C09C5">
        <w:rPr>
          <w:lang w:val="es-CO"/>
        </w:rPr>
        <w:t>,</w:t>
      </w:r>
      <w:r w:rsidR="006522DA" w:rsidRPr="006C09C5">
        <w:rPr>
          <w:lang w:val="es-CO"/>
        </w:rPr>
        <w:t xml:space="preserve"> que implique el respeto y garantía de todos los derechos humanos</w:t>
      </w:r>
      <w:r w:rsidR="000014E7" w:rsidRPr="006C09C5">
        <w:rPr>
          <w:lang w:val="es-CO"/>
        </w:rPr>
        <w:t>, incluidos los derechos económicos, sociales, culturales y ambientales</w:t>
      </w:r>
      <w:r w:rsidRPr="006C09C5">
        <w:rPr>
          <w:rStyle w:val="Refdenotaalpie"/>
          <w:sz w:val="20"/>
          <w:szCs w:val="20"/>
          <w:lang w:val="es-CO"/>
        </w:rPr>
        <w:footnoteReference w:id="23"/>
      </w:r>
      <w:r w:rsidRPr="006C09C5">
        <w:rPr>
          <w:lang w:val="es-CO"/>
        </w:rPr>
        <w:t>.</w:t>
      </w:r>
      <w:r w:rsidR="004A3416" w:rsidRPr="006C09C5">
        <w:rPr>
          <w:lang w:val="es-CO"/>
        </w:rPr>
        <w:t xml:space="preserve"> Además, </w:t>
      </w:r>
      <w:r w:rsidR="00F14633" w:rsidRPr="006C09C5">
        <w:rPr>
          <w:rFonts w:eastAsia="Verdana"/>
          <w:bCs/>
          <w:lang w:val="es-CO" w:eastAsia="x-none"/>
        </w:rPr>
        <w:t xml:space="preserve">el hecho de que los derechos humanos </w:t>
      </w:r>
      <w:r w:rsidR="004A3416" w:rsidRPr="006C09C5">
        <w:rPr>
          <w:rFonts w:eastAsia="Verdana"/>
          <w:bCs/>
          <w:lang w:val="es-CO" w:eastAsia="x-none"/>
        </w:rPr>
        <w:t>estén</w:t>
      </w:r>
      <w:r w:rsidR="00F14633" w:rsidRPr="006C09C5">
        <w:rPr>
          <w:rFonts w:eastAsia="Verdana"/>
          <w:bCs/>
          <w:lang w:val="es-CO" w:eastAsia="x-none"/>
        </w:rPr>
        <w:t xml:space="preserve"> interrelacionados e incluso se consideren inescindibles, no implica que no sean diferenciables entre sí y que, en consecuencia,</w:t>
      </w:r>
      <w:r w:rsidR="004A3416" w:rsidRPr="006C09C5">
        <w:rPr>
          <w:rFonts w:eastAsia="Verdana"/>
          <w:bCs/>
          <w:lang w:val="es-CO" w:eastAsia="x-none"/>
        </w:rPr>
        <w:t xml:space="preserve"> que</w:t>
      </w:r>
      <w:r w:rsidR="00F14633" w:rsidRPr="006C09C5">
        <w:rPr>
          <w:rFonts w:eastAsia="Verdana"/>
          <w:bCs/>
          <w:lang w:val="es-CO" w:eastAsia="x-none"/>
        </w:rPr>
        <w:t xml:space="preserve"> cada uno tenga su propio alcance</w:t>
      </w:r>
      <w:r w:rsidR="00F14633" w:rsidRPr="006C09C5">
        <w:rPr>
          <w:rStyle w:val="Refdenotaalpie"/>
          <w:rFonts w:eastAsia="Verdana"/>
          <w:bCs/>
          <w:sz w:val="20"/>
          <w:szCs w:val="20"/>
          <w:lang w:val="es-CO" w:eastAsia="x-none"/>
        </w:rPr>
        <w:footnoteReference w:id="24"/>
      </w:r>
      <w:r w:rsidR="00F14633" w:rsidRPr="006C09C5">
        <w:rPr>
          <w:rFonts w:eastAsia="Verdana"/>
          <w:bCs/>
          <w:lang w:val="es-CO" w:eastAsia="x-none"/>
        </w:rPr>
        <w:t>.</w:t>
      </w:r>
    </w:p>
    <w:p w14:paraId="77BFE273" w14:textId="77777777" w:rsidR="00663D5F" w:rsidRDefault="00663D5F" w:rsidP="00CB6A51">
      <w:pPr>
        <w:pStyle w:val="Numberedparagraphs"/>
        <w:numPr>
          <w:ilvl w:val="0"/>
          <w:numId w:val="0"/>
        </w:numPr>
        <w:spacing w:line="276" w:lineRule="auto"/>
        <w:rPr>
          <w:rFonts w:eastAsia="Times New Roman"/>
          <w:color w:val="auto"/>
          <w:lang w:val="es-CO" w:eastAsia="es-ES"/>
        </w:rPr>
      </w:pPr>
    </w:p>
    <w:p w14:paraId="175F49FE" w14:textId="77777777" w:rsidR="002455A1" w:rsidRPr="006C09C5" w:rsidRDefault="002455A1" w:rsidP="00CB6A51">
      <w:pPr>
        <w:pStyle w:val="Numberedparagraphs"/>
        <w:numPr>
          <w:ilvl w:val="0"/>
          <w:numId w:val="0"/>
        </w:numPr>
        <w:spacing w:line="276" w:lineRule="auto"/>
        <w:rPr>
          <w:lang w:val="es-CO"/>
        </w:rPr>
      </w:pPr>
    </w:p>
    <w:p w14:paraId="3DA6649F" w14:textId="77777777" w:rsidR="00663D5F" w:rsidRPr="006C09C5" w:rsidRDefault="00663D5F" w:rsidP="00CB6A51">
      <w:pPr>
        <w:pStyle w:val="Numberedparagraphs"/>
        <w:numPr>
          <w:ilvl w:val="0"/>
          <w:numId w:val="0"/>
        </w:numPr>
        <w:spacing w:line="276" w:lineRule="auto"/>
        <w:rPr>
          <w:lang w:val="es-CO"/>
        </w:rPr>
      </w:pPr>
    </w:p>
    <w:p w14:paraId="336F0F50" w14:textId="77777777" w:rsidR="00C837F5" w:rsidRPr="006C09C5" w:rsidRDefault="00C837F5" w:rsidP="00CB6A51">
      <w:pPr>
        <w:spacing w:line="276" w:lineRule="auto"/>
        <w:ind w:left="3600" w:right="96" w:firstLine="720"/>
        <w:jc w:val="center"/>
        <w:rPr>
          <w:rFonts w:eastAsia="Calibri" w:cs="Times New Roman"/>
          <w:szCs w:val="20"/>
          <w:lang w:val="es-CO"/>
        </w:rPr>
      </w:pPr>
      <w:r w:rsidRPr="006C09C5">
        <w:rPr>
          <w:rFonts w:eastAsia="Calibri" w:cs="Times New Roman"/>
          <w:szCs w:val="20"/>
          <w:lang w:val="es-CO"/>
        </w:rPr>
        <w:t xml:space="preserve">          Humberto Antonio Sierra Porto</w:t>
      </w:r>
    </w:p>
    <w:p w14:paraId="46AB4AF3" w14:textId="77777777" w:rsidR="00C837F5" w:rsidRPr="006C09C5" w:rsidRDefault="00C837F5" w:rsidP="00CB6A51">
      <w:pPr>
        <w:spacing w:line="276" w:lineRule="auto"/>
        <w:ind w:left="3960" w:right="96" w:firstLine="360"/>
        <w:jc w:val="center"/>
        <w:rPr>
          <w:rFonts w:eastAsia="Calibri" w:cs="Times New Roman"/>
          <w:szCs w:val="20"/>
          <w:lang w:val="es-CO"/>
        </w:rPr>
      </w:pPr>
      <w:r w:rsidRPr="006C09C5">
        <w:rPr>
          <w:rFonts w:eastAsia="Calibri" w:cs="Times New Roman"/>
          <w:szCs w:val="20"/>
          <w:lang w:val="es-CO"/>
        </w:rPr>
        <w:t xml:space="preserve">         Juez</w:t>
      </w:r>
    </w:p>
    <w:p w14:paraId="346732C8" w14:textId="77777777" w:rsidR="00C837F5" w:rsidRPr="006C09C5" w:rsidRDefault="00C837F5" w:rsidP="00CB6A51">
      <w:pPr>
        <w:spacing w:line="276" w:lineRule="auto"/>
        <w:jc w:val="left"/>
        <w:rPr>
          <w:rFonts w:eastAsia="MS Mincho" w:cs="Times New Roman"/>
          <w:szCs w:val="20"/>
          <w:lang w:val="es-CO" w:eastAsia="es-ES"/>
        </w:rPr>
      </w:pPr>
    </w:p>
    <w:p w14:paraId="7613E8B6" w14:textId="77777777" w:rsidR="00C837F5" w:rsidRPr="006C09C5" w:rsidRDefault="00C837F5" w:rsidP="00CB6A51">
      <w:pPr>
        <w:spacing w:line="276" w:lineRule="auto"/>
        <w:jc w:val="left"/>
        <w:rPr>
          <w:rFonts w:eastAsia="MS Mincho" w:cs="Times New Roman"/>
          <w:szCs w:val="20"/>
          <w:lang w:val="es-CO" w:eastAsia="es-ES"/>
        </w:rPr>
      </w:pPr>
    </w:p>
    <w:p w14:paraId="74D387F3" w14:textId="77777777" w:rsidR="00C837F5" w:rsidRPr="006C09C5" w:rsidRDefault="00C837F5" w:rsidP="00CB6A51">
      <w:pPr>
        <w:spacing w:line="276" w:lineRule="auto"/>
        <w:jc w:val="left"/>
        <w:rPr>
          <w:rFonts w:eastAsia="MS Mincho" w:cs="Times New Roman"/>
          <w:szCs w:val="20"/>
          <w:lang w:val="es-CO" w:eastAsia="es-ES"/>
        </w:rPr>
      </w:pPr>
    </w:p>
    <w:p w14:paraId="72135C9A" w14:textId="77777777" w:rsidR="00C837F5" w:rsidRPr="006C09C5" w:rsidRDefault="00C837F5" w:rsidP="00CB6A51">
      <w:pPr>
        <w:spacing w:line="276" w:lineRule="auto"/>
        <w:jc w:val="left"/>
        <w:rPr>
          <w:rFonts w:eastAsia="MS Mincho" w:cs="Times New Roman"/>
          <w:szCs w:val="20"/>
          <w:lang w:val="es-CO" w:eastAsia="es-ES"/>
        </w:rPr>
      </w:pPr>
    </w:p>
    <w:p w14:paraId="6BD46C5D" w14:textId="77777777" w:rsidR="00C837F5" w:rsidRPr="006C09C5" w:rsidRDefault="00C837F5" w:rsidP="00CB6A51">
      <w:pPr>
        <w:spacing w:line="276" w:lineRule="auto"/>
        <w:jc w:val="left"/>
        <w:rPr>
          <w:rFonts w:eastAsia="MS Mincho" w:cs="Times New Roman"/>
          <w:szCs w:val="20"/>
          <w:lang w:val="es-CO" w:eastAsia="es-ES"/>
        </w:rPr>
      </w:pPr>
      <w:r w:rsidRPr="006C09C5">
        <w:rPr>
          <w:rFonts w:eastAsia="MS Mincho" w:cs="Times New Roman"/>
          <w:szCs w:val="20"/>
          <w:lang w:val="es-CO" w:eastAsia="es-ES"/>
        </w:rPr>
        <w:t xml:space="preserve">      Pablo Saavedra Alessandri</w:t>
      </w:r>
    </w:p>
    <w:p w14:paraId="4F4E25B1" w14:textId="77777777" w:rsidR="00A21904" w:rsidRPr="006C09C5" w:rsidRDefault="00C837F5" w:rsidP="00CB6A51">
      <w:pPr>
        <w:spacing w:line="276" w:lineRule="auto"/>
        <w:contextualSpacing/>
        <w:rPr>
          <w:szCs w:val="20"/>
          <w:lang w:val="es-CO"/>
        </w:rPr>
      </w:pPr>
      <w:r w:rsidRPr="006C09C5">
        <w:rPr>
          <w:rFonts w:eastAsia="MS Mincho" w:cs="Times New Roman"/>
          <w:szCs w:val="20"/>
          <w:lang w:val="es-CO" w:eastAsia="es-ES"/>
        </w:rPr>
        <w:tab/>
        <w:t xml:space="preserve">     Secretario</w:t>
      </w:r>
    </w:p>
    <w:sectPr w:rsidR="00A21904" w:rsidRPr="006C09C5" w:rsidSect="00CB6A51">
      <w:footerReference w:type="default" r:id="rId7"/>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DDB9" w14:textId="77777777" w:rsidR="00D9043B" w:rsidRDefault="00D9043B" w:rsidP="00C837F5">
      <w:r>
        <w:separator/>
      </w:r>
    </w:p>
  </w:endnote>
  <w:endnote w:type="continuationSeparator" w:id="0">
    <w:p w14:paraId="5D6D701C" w14:textId="77777777" w:rsidR="00D9043B" w:rsidRDefault="00D9043B" w:rsidP="00C8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259533"/>
      <w:docPartObj>
        <w:docPartGallery w:val="Page Numbers (Bottom of Page)"/>
        <w:docPartUnique/>
      </w:docPartObj>
    </w:sdtPr>
    <w:sdtEndPr/>
    <w:sdtContent>
      <w:p w14:paraId="5C44D513" w14:textId="77777777" w:rsidR="00DE206F" w:rsidRDefault="00DE206F">
        <w:pPr>
          <w:pStyle w:val="Piedepgina"/>
          <w:jc w:val="center"/>
        </w:pPr>
        <w:r>
          <w:fldChar w:fldCharType="begin"/>
        </w:r>
        <w:r>
          <w:instrText>PAGE   \* MERGEFORMAT</w:instrText>
        </w:r>
        <w:r>
          <w:fldChar w:fldCharType="separate"/>
        </w:r>
        <w:r w:rsidR="00C35627" w:rsidRPr="00C35627">
          <w:rPr>
            <w:noProof/>
            <w:lang w:val="es-ES"/>
          </w:rPr>
          <w:t>6</w:t>
        </w:r>
        <w:r>
          <w:fldChar w:fldCharType="end"/>
        </w:r>
      </w:p>
    </w:sdtContent>
  </w:sdt>
  <w:p w14:paraId="57AF14A4" w14:textId="77777777" w:rsidR="00DE206F" w:rsidRDefault="00DE2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C4929" w14:textId="77777777" w:rsidR="00D9043B" w:rsidRDefault="00D9043B" w:rsidP="00C837F5">
      <w:r>
        <w:separator/>
      </w:r>
    </w:p>
  </w:footnote>
  <w:footnote w:type="continuationSeparator" w:id="0">
    <w:p w14:paraId="6903F072" w14:textId="77777777" w:rsidR="00D9043B" w:rsidRDefault="00D9043B" w:rsidP="00C837F5">
      <w:r>
        <w:continuationSeparator/>
      </w:r>
    </w:p>
  </w:footnote>
  <w:footnote w:id="1">
    <w:p w14:paraId="2932D0D2" w14:textId="77777777" w:rsidR="00584BCE" w:rsidRPr="002A4B57" w:rsidRDefault="00584BCE" w:rsidP="00C25C74">
      <w:pPr>
        <w:pStyle w:val="Textonotapie"/>
        <w:spacing w:after="80"/>
        <w:rPr>
          <w:bCs/>
          <w:color w:val="000000"/>
          <w:shd w:val="clear" w:color="auto" w:fill="FFFFFF"/>
          <w:lang w:val="es-CO"/>
        </w:rPr>
      </w:pPr>
      <w:r w:rsidRPr="00584BCE">
        <w:rPr>
          <w:rStyle w:val="Refdenotaalpie"/>
          <w:lang w:val="es-CO"/>
        </w:rPr>
        <w:footnoteRef/>
      </w:r>
      <w:r w:rsidRPr="00584BCE">
        <w:rPr>
          <w:lang w:val="es-CO"/>
        </w:rPr>
        <w:tab/>
        <w:t>Párrafo 23 de la Sentencia</w:t>
      </w:r>
      <w:r w:rsidRPr="002A4B57">
        <w:rPr>
          <w:rStyle w:val="Textoennegrita"/>
          <w:b w:val="0"/>
          <w:color w:val="000000"/>
          <w:lang w:val="es-CO"/>
        </w:rPr>
        <w:t>.</w:t>
      </w:r>
      <w:r w:rsidRPr="002A4B57">
        <w:rPr>
          <w:rStyle w:val="Textoennegrita"/>
          <w:b w:val="0"/>
          <w:color w:val="000000"/>
          <w:shd w:val="clear" w:color="auto" w:fill="FFFFFF"/>
          <w:lang w:val="es-CO"/>
        </w:rPr>
        <w:t xml:space="preserve"> </w:t>
      </w:r>
    </w:p>
  </w:footnote>
  <w:footnote w:id="2">
    <w:p w14:paraId="1D81D71E" w14:textId="77777777" w:rsidR="00AA7128" w:rsidRPr="00AA7128" w:rsidRDefault="00AA7128" w:rsidP="00C25C74">
      <w:pPr>
        <w:pStyle w:val="Textonotapie"/>
        <w:spacing w:after="80"/>
        <w:rPr>
          <w:bCs/>
          <w:color w:val="000000"/>
          <w:shd w:val="clear" w:color="auto" w:fill="FFFFFF"/>
          <w:lang w:val="es-CO"/>
        </w:rPr>
      </w:pPr>
      <w:r w:rsidRPr="00AA7128">
        <w:rPr>
          <w:rStyle w:val="Refdenotaalpie"/>
          <w:lang w:val="es-CO"/>
        </w:rPr>
        <w:footnoteRef/>
      </w:r>
      <w:r w:rsidRPr="00AA7128">
        <w:rPr>
          <w:lang w:val="es-CO"/>
        </w:rPr>
        <w:tab/>
      </w:r>
      <w:r>
        <w:rPr>
          <w:lang w:val="es-CO"/>
        </w:rPr>
        <w:t>Párrafos 153 a 176 de la Sentencia</w:t>
      </w:r>
      <w:r w:rsidRPr="00AA7128">
        <w:rPr>
          <w:rStyle w:val="Textoennegrita"/>
          <w:b w:val="0"/>
          <w:color w:val="000000"/>
          <w:lang w:val="es-CO"/>
        </w:rPr>
        <w:t>.</w:t>
      </w:r>
      <w:r w:rsidRPr="00AA7128">
        <w:rPr>
          <w:rStyle w:val="Textoennegrita"/>
          <w:b w:val="0"/>
          <w:color w:val="000000"/>
          <w:shd w:val="clear" w:color="auto" w:fill="FFFFFF"/>
          <w:lang w:val="es-CO"/>
        </w:rPr>
        <w:t xml:space="preserve"> </w:t>
      </w:r>
    </w:p>
  </w:footnote>
  <w:footnote w:id="3">
    <w:p w14:paraId="192650AC" w14:textId="77777777" w:rsidR="00F37A53" w:rsidRPr="002A4B57" w:rsidRDefault="00F37A53" w:rsidP="00C25C74">
      <w:pPr>
        <w:pStyle w:val="Textonotapie"/>
        <w:spacing w:after="80"/>
        <w:rPr>
          <w:bCs/>
          <w:color w:val="000000"/>
          <w:shd w:val="clear" w:color="auto" w:fill="FFFFFF"/>
          <w:lang w:val="es-CO"/>
        </w:rPr>
      </w:pPr>
      <w:r w:rsidRPr="002A4B57">
        <w:rPr>
          <w:rStyle w:val="Refdenotaalpie"/>
          <w:lang w:val="es-CO"/>
        </w:rPr>
        <w:footnoteRef/>
      </w:r>
      <w:r w:rsidRPr="002A4B57">
        <w:rPr>
          <w:lang w:val="es-CO"/>
        </w:rPr>
        <w:tab/>
      </w:r>
      <w:r w:rsidRPr="002A4B57">
        <w:rPr>
          <w:i/>
          <w:lang w:val="es-CO"/>
        </w:rPr>
        <w:t>Cfr.</w:t>
      </w:r>
      <w:r w:rsidRPr="002A4B57">
        <w:rPr>
          <w:lang w:val="es-CO"/>
        </w:rPr>
        <w:t xml:space="preserve"> </w:t>
      </w:r>
      <w:r w:rsidRPr="002A4B57">
        <w:rPr>
          <w:rStyle w:val="Textoennegrita"/>
          <w:b w:val="0"/>
          <w:i/>
          <w:color w:val="000000"/>
          <w:lang w:val="es-CO"/>
        </w:rPr>
        <w:t xml:space="preserve">Caso Lagos del Campo Vs. Perú. </w:t>
      </w:r>
      <w:r w:rsidRPr="002A4B57">
        <w:rPr>
          <w:bCs/>
          <w:i/>
          <w:color w:val="000000"/>
          <w:lang w:val="es-CO"/>
        </w:rPr>
        <w:t xml:space="preserve">Excepciones Preliminares, Fondo, Reparaciones y Costas. </w:t>
      </w:r>
      <w:r w:rsidRPr="002A4B57">
        <w:rPr>
          <w:bCs/>
          <w:color w:val="000000"/>
          <w:lang w:val="es-CO"/>
        </w:rPr>
        <w:t>Sentencia de 31 de</w:t>
      </w:r>
      <w:r w:rsidRPr="002A4B57">
        <w:rPr>
          <w:bCs/>
          <w:color w:val="000000"/>
          <w:shd w:val="clear" w:color="auto" w:fill="FFFFFF"/>
          <w:lang w:val="es-CO"/>
        </w:rPr>
        <w:t xml:space="preserve"> </w:t>
      </w:r>
      <w:r w:rsidRPr="002A4B57">
        <w:rPr>
          <w:bCs/>
          <w:color w:val="000000"/>
          <w:lang w:val="es-CO"/>
        </w:rPr>
        <w:t>agosto de 2017. Serie C No. 340.</w:t>
      </w:r>
      <w:r w:rsidRPr="002A4B57">
        <w:rPr>
          <w:bCs/>
          <w:i/>
          <w:color w:val="000000"/>
          <w:lang w:val="es-CO"/>
        </w:rPr>
        <w:t xml:space="preserve"> </w:t>
      </w:r>
      <w:r w:rsidRPr="002A4B57">
        <w:rPr>
          <w:rStyle w:val="Textoennegrita"/>
          <w:b w:val="0"/>
          <w:color w:val="000000"/>
          <w:lang w:val="es-CO"/>
        </w:rPr>
        <w:t>Voto parcialmente disidente del Juez Humberto Antonio Sierra Porto.</w:t>
      </w:r>
      <w:r w:rsidRPr="002A4B57">
        <w:rPr>
          <w:rStyle w:val="Textoennegrita"/>
          <w:b w:val="0"/>
          <w:color w:val="000000"/>
          <w:shd w:val="clear" w:color="auto" w:fill="FFFFFF"/>
          <w:lang w:val="es-CO"/>
        </w:rPr>
        <w:t xml:space="preserve"> </w:t>
      </w:r>
    </w:p>
  </w:footnote>
  <w:footnote w:id="4">
    <w:p w14:paraId="6DF1A7DB" w14:textId="77777777" w:rsidR="00F37A53" w:rsidRPr="002A4B57" w:rsidRDefault="00F37A53" w:rsidP="00C25C74">
      <w:pPr>
        <w:pStyle w:val="Textonotapie"/>
        <w:spacing w:after="80"/>
        <w:rPr>
          <w:rFonts w:eastAsia="Calibri"/>
          <w:bCs/>
          <w:color w:val="000000"/>
          <w:shd w:val="clear" w:color="auto" w:fill="FFFFFF"/>
          <w:lang w:val="es-CO"/>
        </w:rPr>
      </w:pPr>
      <w:r w:rsidRPr="002A4B57">
        <w:rPr>
          <w:rStyle w:val="Refdenotaalpie"/>
          <w:lang w:val="es-CO"/>
        </w:rPr>
        <w:footnoteRef/>
      </w:r>
      <w:r w:rsidRPr="002A4B57">
        <w:rPr>
          <w:lang w:val="es-CO"/>
        </w:rPr>
        <w:tab/>
      </w:r>
      <w:r w:rsidRPr="002A4B57">
        <w:rPr>
          <w:i/>
          <w:lang w:val="es-CO"/>
        </w:rPr>
        <w:t xml:space="preserve">Cfr. </w:t>
      </w:r>
      <w:r w:rsidRPr="002A4B57">
        <w:rPr>
          <w:bCs/>
          <w:i/>
          <w:lang w:val="es-CO"/>
        </w:rPr>
        <w:t xml:space="preserve">Caso Trabajadores Cesados de Petroperú y otros Vs. Perú. Excepciones Preliminares, Fondo, Reparaciones y Costas. </w:t>
      </w:r>
      <w:r w:rsidRPr="002A4B57">
        <w:rPr>
          <w:bCs/>
          <w:lang w:val="es-CO"/>
        </w:rPr>
        <w:t>Sentencia de 23 de noviembre de 2017. Serie C No. 344</w:t>
      </w:r>
      <w:r w:rsidRPr="002A4B57">
        <w:rPr>
          <w:bCs/>
          <w:i/>
          <w:lang w:val="es-CO"/>
        </w:rPr>
        <w:t>.</w:t>
      </w:r>
      <w:r w:rsidRPr="002A4B57">
        <w:rPr>
          <w:bCs/>
          <w:lang w:val="es-CO"/>
        </w:rPr>
        <w:t xml:space="preserve"> </w:t>
      </w:r>
      <w:r w:rsidRPr="002A4B57">
        <w:rPr>
          <w:rStyle w:val="Textoennegrita"/>
          <w:b w:val="0"/>
          <w:color w:val="000000"/>
          <w:lang w:val="es-CO"/>
        </w:rPr>
        <w:t>Voto parcialmente disidente del Juez Humberto</w:t>
      </w:r>
      <w:r w:rsidRPr="002A4B57">
        <w:rPr>
          <w:rStyle w:val="Textoennegrita"/>
          <w:b w:val="0"/>
          <w:color w:val="000000"/>
          <w:shd w:val="clear" w:color="auto" w:fill="FFFFFF"/>
          <w:lang w:val="es-CO"/>
        </w:rPr>
        <w:t xml:space="preserve"> </w:t>
      </w:r>
      <w:r w:rsidRPr="002A4B57">
        <w:rPr>
          <w:rStyle w:val="Textoennegrita"/>
          <w:b w:val="0"/>
          <w:color w:val="000000"/>
          <w:lang w:val="es-CO"/>
        </w:rPr>
        <w:t>Antonio Sierra Porto.</w:t>
      </w:r>
      <w:r w:rsidRPr="002A4B57">
        <w:rPr>
          <w:rStyle w:val="Textoennegrita"/>
          <w:b w:val="0"/>
          <w:color w:val="000000"/>
          <w:shd w:val="clear" w:color="auto" w:fill="FFFFFF"/>
          <w:lang w:val="es-CO"/>
        </w:rPr>
        <w:t xml:space="preserve"> </w:t>
      </w:r>
    </w:p>
  </w:footnote>
  <w:footnote w:id="5">
    <w:p w14:paraId="6AC16070"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ab/>
      </w:r>
      <w:r w:rsidRPr="002A4B57">
        <w:rPr>
          <w:i/>
          <w:lang w:val="es-CO"/>
        </w:rPr>
        <w:t xml:space="preserve">Cfr. </w:t>
      </w:r>
      <w:r w:rsidRPr="002A4B57">
        <w:rPr>
          <w:rStyle w:val="Textoennegrita"/>
          <w:b w:val="0"/>
          <w:i/>
          <w:color w:val="000000"/>
          <w:lang w:val="es-CO"/>
        </w:rPr>
        <w:t>Caso San Miguel Sosa y otras Vs. Venezuela. Fondo, Reparaciones y Costas.</w:t>
      </w:r>
      <w:r w:rsidRPr="002A4B57">
        <w:rPr>
          <w:rStyle w:val="Textoennegrita"/>
          <w:b w:val="0"/>
          <w:color w:val="000000"/>
          <w:lang w:val="es-CO"/>
        </w:rPr>
        <w:t xml:space="preserve"> Sentencia de 8 de febrero de</w:t>
      </w:r>
      <w:r w:rsidRPr="002A4B57">
        <w:rPr>
          <w:rStyle w:val="Textoennegrita"/>
          <w:b w:val="0"/>
          <w:color w:val="000000"/>
          <w:shd w:val="clear" w:color="auto" w:fill="FFFFFF"/>
          <w:lang w:val="es-CO"/>
        </w:rPr>
        <w:t xml:space="preserve"> </w:t>
      </w:r>
      <w:r w:rsidRPr="002A4B57">
        <w:rPr>
          <w:rStyle w:val="Textoennegrita"/>
          <w:b w:val="0"/>
          <w:color w:val="000000"/>
          <w:lang w:val="es-CO"/>
        </w:rPr>
        <w:t>2018. Serie C No. 348. Voto parcialmente disidente del Juez Humberto Antonio Sierra Porto.</w:t>
      </w:r>
    </w:p>
  </w:footnote>
  <w:footnote w:id="6">
    <w:p w14:paraId="179D8779"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Cfr.</w:t>
      </w:r>
      <w:r w:rsidRPr="002A4B57">
        <w:rPr>
          <w:lang w:val="es-CO"/>
        </w:rPr>
        <w:t xml:space="preserve"> </w:t>
      </w:r>
      <w:r w:rsidRPr="002A4B57">
        <w:rPr>
          <w:i/>
          <w:lang w:val="es-CO"/>
        </w:rPr>
        <w:t>Caso Cuscul Pivaral y otros Vs. Guatemala. Excepción Preliminar, Fondo, Reparaciones y Costas.</w:t>
      </w:r>
      <w:r w:rsidRPr="002A4B57">
        <w:rPr>
          <w:lang w:val="es-CO"/>
        </w:rPr>
        <w:t xml:space="preserve"> Sentencia de 23 de agosto de 2018. Serie C No. 359. </w:t>
      </w:r>
      <w:r w:rsidRPr="002A4B57">
        <w:rPr>
          <w:rStyle w:val="Textoennegrita"/>
          <w:b w:val="0"/>
          <w:color w:val="000000"/>
          <w:lang w:val="es-CO"/>
        </w:rPr>
        <w:t>Voto parcialmente disidente del Juez Humberto Antonio Sierra Porto.</w:t>
      </w:r>
    </w:p>
  </w:footnote>
  <w:footnote w:id="7">
    <w:p w14:paraId="1162FE2F"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Cfr. Caso Muelle Flores Vs. Perú. Excepciones Preliminares, Fondo, Reparaciones y Costas.</w:t>
      </w:r>
      <w:r w:rsidRPr="002A4B57">
        <w:rPr>
          <w:lang w:val="es-CO"/>
        </w:rPr>
        <w:t xml:space="preserve"> Sentencia de 6 de marzo de 2019. Serie C No. 375. </w:t>
      </w:r>
      <w:r w:rsidRPr="002A4B57">
        <w:rPr>
          <w:rStyle w:val="Textoennegrita"/>
          <w:b w:val="0"/>
          <w:color w:val="000000"/>
          <w:lang w:val="es-CO"/>
        </w:rPr>
        <w:t>Voto parcialmente disidente del Juez Humberto Antonio Sierra Porto.</w:t>
      </w:r>
    </w:p>
  </w:footnote>
  <w:footnote w:id="8">
    <w:p w14:paraId="1DBE00A8"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Cfr. Caso Asociación Nacional de Cesantes y Jubilados de la Superintendencia Nacional de Administración Tributaria (ANCEJUB-SUNAT) Vs. Perú. Excepciones Preliminares, Fondo, Reparaciones y Costas.</w:t>
      </w:r>
      <w:r w:rsidRPr="002A4B57">
        <w:rPr>
          <w:lang w:val="es-CO"/>
        </w:rPr>
        <w:t xml:space="preserve"> Sentencia de 21 de noviembre de 2019. Serie C No. 394. </w:t>
      </w:r>
      <w:r w:rsidRPr="002A4B57">
        <w:rPr>
          <w:rStyle w:val="Textoennegrita"/>
          <w:b w:val="0"/>
          <w:color w:val="000000"/>
          <w:lang w:val="es-CO"/>
        </w:rPr>
        <w:t>Voto parcialmente disidente del Juez Humberto Antonio Sierra Porto.</w:t>
      </w:r>
    </w:p>
  </w:footnote>
  <w:footnote w:id="9">
    <w:p w14:paraId="1D2BED9F"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Cfr. Caso Hernández Vs. Argentina. Excepción Preliminar, Fondo, Reparaciones y Costas.</w:t>
      </w:r>
      <w:r w:rsidRPr="002A4B57">
        <w:rPr>
          <w:lang w:val="es-CO"/>
        </w:rPr>
        <w:t xml:space="preserve"> Sentencia de 22 de noviembre de 2019. Serie C No. 395. </w:t>
      </w:r>
      <w:r w:rsidRPr="002A4B57">
        <w:rPr>
          <w:rStyle w:val="Textoennegrita"/>
          <w:b w:val="0"/>
          <w:color w:val="000000"/>
          <w:lang w:val="es-CO"/>
        </w:rPr>
        <w:t>Voto parcialmente disidente del Juez Humberto Antonio Sierra Porto.</w:t>
      </w:r>
    </w:p>
  </w:footnote>
  <w:footnote w:id="10">
    <w:p w14:paraId="3947B644"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 xml:space="preserve">Cfr. Caso Comunidades Indígenas Miembros de la Asociación Lhaka Honhat (Nuestra Tierra) Vs. Argentina. Fondo, Reparaciones y Costas. </w:t>
      </w:r>
      <w:r w:rsidRPr="002A4B57">
        <w:rPr>
          <w:lang w:val="es-CO"/>
        </w:rPr>
        <w:t xml:space="preserve">Sentencia de 6 de febrero de 2020. Serie C No. 400. </w:t>
      </w:r>
      <w:r w:rsidRPr="002A4B57">
        <w:rPr>
          <w:rStyle w:val="Textoennegrita"/>
          <w:b w:val="0"/>
          <w:color w:val="000000"/>
          <w:lang w:val="es-CO"/>
        </w:rPr>
        <w:t>Voto parcialmente disidente del Juez Humberto Antonio Sierra Porto.</w:t>
      </w:r>
    </w:p>
  </w:footnote>
  <w:footnote w:id="11">
    <w:p w14:paraId="0F282FD0" w14:textId="77777777" w:rsidR="00F37A53" w:rsidRPr="002A4B57" w:rsidRDefault="00F37A53" w:rsidP="00C25C74">
      <w:pPr>
        <w:pStyle w:val="Textonotapie"/>
        <w:spacing w:after="80"/>
        <w:rPr>
          <w:bCs/>
          <w:color w:val="000000"/>
          <w:shd w:val="clear" w:color="auto" w:fill="FFFFFF"/>
          <w:lang w:val="es-CO"/>
        </w:rPr>
      </w:pPr>
      <w:r w:rsidRPr="002A4B57">
        <w:rPr>
          <w:rStyle w:val="Refdenotaalpie"/>
          <w:lang w:val="es-CO"/>
        </w:rPr>
        <w:footnoteRef/>
      </w:r>
      <w:r w:rsidRPr="002A4B57">
        <w:rPr>
          <w:lang w:val="es-CO"/>
        </w:rPr>
        <w:tab/>
      </w:r>
      <w:r w:rsidRPr="002A4B57">
        <w:rPr>
          <w:i/>
          <w:lang w:val="es-CO"/>
        </w:rPr>
        <w:t xml:space="preserve">Cfr. </w:t>
      </w:r>
      <w:r w:rsidRPr="002A4B57">
        <w:rPr>
          <w:rStyle w:val="Textoennegrita"/>
          <w:b w:val="0"/>
          <w:i/>
          <w:color w:val="000000"/>
          <w:lang w:val="es-CO"/>
        </w:rPr>
        <w:t xml:space="preserve">Caso Gonzales Lluy y otros Vs. Ecuador. </w:t>
      </w:r>
      <w:r w:rsidRPr="002A4B57">
        <w:rPr>
          <w:bCs/>
          <w:i/>
          <w:color w:val="000000"/>
          <w:lang w:val="es-CO"/>
        </w:rPr>
        <w:t xml:space="preserve">Excepciones Preliminares, Fondo, Reparaciones y Costas. </w:t>
      </w:r>
      <w:r w:rsidRPr="002A4B57">
        <w:rPr>
          <w:bCs/>
          <w:color w:val="000000"/>
          <w:lang w:val="es-CO"/>
        </w:rPr>
        <w:t>Sentencia de</w:t>
      </w:r>
      <w:r w:rsidRPr="002A4B57">
        <w:rPr>
          <w:bCs/>
          <w:color w:val="000000"/>
          <w:shd w:val="clear" w:color="auto" w:fill="FFFFFF"/>
          <w:lang w:val="es-CO"/>
        </w:rPr>
        <w:t xml:space="preserve"> </w:t>
      </w:r>
      <w:r w:rsidRPr="002A4B57">
        <w:rPr>
          <w:bCs/>
          <w:color w:val="000000"/>
          <w:lang w:val="es-CO"/>
        </w:rPr>
        <w:t>1 de septiembre de 2015. Serie C No. 298.</w:t>
      </w:r>
      <w:r w:rsidRPr="002A4B57">
        <w:rPr>
          <w:rStyle w:val="Textoennegrita"/>
          <w:b w:val="0"/>
          <w:color w:val="000000"/>
          <w:lang w:val="es-CO"/>
        </w:rPr>
        <w:t xml:space="preserve"> Voto </w:t>
      </w:r>
      <w:r w:rsidR="00FF698F" w:rsidRPr="002A4B57">
        <w:rPr>
          <w:rStyle w:val="Textoennegrita"/>
          <w:b w:val="0"/>
          <w:color w:val="000000"/>
          <w:lang w:val="es-CO"/>
        </w:rPr>
        <w:t>c</w:t>
      </w:r>
      <w:r w:rsidRPr="002A4B57">
        <w:rPr>
          <w:rStyle w:val="Textoennegrita"/>
          <w:b w:val="0"/>
          <w:color w:val="000000"/>
          <w:lang w:val="es-CO"/>
        </w:rPr>
        <w:t>oncurrente del Juez Humberto Antonio Sierra Porto.</w:t>
      </w:r>
      <w:r w:rsidRPr="002A4B57">
        <w:rPr>
          <w:rStyle w:val="Textoennegrita"/>
          <w:b w:val="0"/>
          <w:color w:val="000000"/>
          <w:shd w:val="clear" w:color="auto" w:fill="FFFFFF"/>
          <w:lang w:val="es-CO"/>
        </w:rPr>
        <w:t xml:space="preserve"> </w:t>
      </w:r>
    </w:p>
  </w:footnote>
  <w:footnote w:id="12">
    <w:p w14:paraId="13BF01A0" w14:textId="77777777" w:rsidR="00F37A53" w:rsidRPr="002A4B57" w:rsidRDefault="00F37A53" w:rsidP="00C25C74">
      <w:pPr>
        <w:spacing w:after="80"/>
        <w:rPr>
          <w:bCs/>
          <w:color w:val="000000"/>
          <w:sz w:val="16"/>
          <w:szCs w:val="16"/>
          <w:shd w:val="clear" w:color="auto" w:fill="FFFFFF"/>
          <w:lang w:val="es-CO"/>
        </w:rPr>
      </w:pPr>
      <w:r w:rsidRPr="002A4B57">
        <w:rPr>
          <w:rStyle w:val="Refdenotaalpie"/>
          <w:lang w:val="es-CO"/>
        </w:rPr>
        <w:footnoteRef/>
      </w:r>
      <w:r w:rsidRPr="002A4B57">
        <w:rPr>
          <w:sz w:val="16"/>
          <w:szCs w:val="16"/>
          <w:lang w:val="es-CO"/>
        </w:rPr>
        <w:tab/>
      </w:r>
      <w:r w:rsidRPr="002A4B57">
        <w:rPr>
          <w:i/>
          <w:sz w:val="16"/>
          <w:szCs w:val="16"/>
          <w:lang w:val="es-CO"/>
        </w:rPr>
        <w:t xml:space="preserve">Cfr. </w:t>
      </w:r>
      <w:r w:rsidRPr="002A4B57">
        <w:rPr>
          <w:rStyle w:val="Textoennegrita"/>
          <w:rFonts w:cs="Verdana"/>
          <w:b w:val="0"/>
          <w:i/>
          <w:sz w:val="16"/>
          <w:szCs w:val="16"/>
          <w:lang w:val="es-CO"/>
        </w:rPr>
        <w:t>Caso Poblete Vilches y otros Vs. Chile. Fondo, Reparaciones y Costas</w:t>
      </w:r>
      <w:r w:rsidRPr="002A4B57">
        <w:rPr>
          <w:rStyle w:val="Textoennegrita"/>
          <w:rFonts w:cs="Verdana"/>
          <w:b w:val="0"/>
          <w:sz w:val="16"/>
          <w:szCs w:val="16"/>
          <w:lang w:val="es-CO"/>
        </w:rPr>
        <w:t>. Sentencia de 8 de marzo de 2018. Serie C No. 349.</w:t>
      </w:r>
      <w:r w:rsidRPr="002A4B57">
        <w:rPr>
          <w:rStyle w:val="Textoennegrita"/>
          <w:b w:val="0"/>
          <w:color w:val="000000"/>
          <w:sz w:val="16"/>
          <w:szCs w:val="16"/>
          <w:lang w:val="es-CO"/>
        </w:rPr>
        <w:t xml:space="preserve"> Voto Concurrente del Juez Humberto Antonio Sierra Porto.</w:t>
      </w:r>
    </w:p>
  </w:footnote>
  <w:footnote w:id="13">
    <w:p w14:paraId="21AE2068" w14:textId="77777777" w:rsidR="00F37A53" w:rsidRPr="002A4B57" w:rsidRDefault="00F37A53" w:rsidP="00C25C74">
      <w:pPr>
        <w:pStyle w:val="Textonotapie"/>
        <w:spacing w:after="80"/>
        <w:rPr>
          <w:b/>
          <w:lang w:val="es-CO"/>
        </w:rPr>
      </w:pPr>
      <w:r w:rsidRPr="002A4B57">
        <w:rPr>
          <w:rStyle w:val="Refdenotaalpie"/>
          <w:lang w:val="es-CO"/>
        </w:rPr>
        <w:footnoteRef/>
      </w:r>
      <w:r w:rsidRPr="002A4B57">
        <w:rPr>
          <w:lang w:val="es-CO"/>
        </w:rPr>
        <w:t xml:space="preserve"> </w:t>
      </w:r>
      <w:r w:rsidRPr="002A4B57">
        <w:rPr>
          <w:lang w:val="es-CO"/>
        </w:rPr>
        <w:tab/>
      </w:r>
      <w:r w:rsidRPr="002A4B57">
        <w:rPr>
          <w:i/>
          <w:lang w:val="es-CO"/>
        </w:rPr>
        <w:t xml:space="preserve">Cfr. Caso Rodríguez Revolorio y otros Vs. Guatemala. Excepción Preliminar, Fondo, Reparaciones y Costas. </w:t>
      </w:r>
      <w:r w:rsidRPr="002A4B57">
        <w:rPr>
          <w:lang w:val="es-CO"/>
        </w:rPr>
        <w:t xml:space="preserve">Sentencia de 14 de octubre de 2019. Serie C No. 387. Voto concurrente </w:t>
      </w:r>
      <w:r w:rsidRPr="002A4B57">
        <w:rPr>
          <w:rStyle w:val="Textoennegrita"/>
          <w:rFonts w:cstheme="minorHAnsi"/>
          <w:b w:val="0"/>
          <w:color w:val="000000"/>
          <w:lang w:val="es-CO"/>
        </w:rPr>
        <w:t>del Juez Humberto Antonio Sierra Porto.</w:t>
      </w:r>
    </w:p>
  </w:footnote>
  <w:footnote w:id="14">
    <w:p w14:paraId="301E01FC" w14:textId="77777777" w:rsidR="00F37A53" w:rsidRPr="00C25C74" w:rsidRDefault="00F37A53" w:rsidP="00C25C74">
      <w:pPr>
        <w:tabs>
          <w:tab w:val="left" w:pos="567"/>
        </w:tabs>
        <w:spacing w:after="80"/>
        <w:rPr>
          <w:spacing w:val="-12"/>
          <w:sz w:val="16"/>
          <w:szCs w:val="16"/>
          <w:lang w:val="es-CO"/>
        </w:rPr>
      </w:pPr>
      <w:r w:rsidRPr="002A4B57">
        <w:rPr>
          <w:spacing w:val="-12"/>
          <w:sz w:val="16"/>
          <w:szCs w:val="16"/>
          <w:vertAlign w:val="superscript"/>
          <w:lang w:val="es-CO"/>
        </w:rPr>
        <w:footnoteRef/>
      </w:r>
      <w:r w:rsidRPr="002A4B57">
        <w:rPr>
          <w:spacing w:val="-12"/>
          <w:sz w:val="16"/>
          <w:szCs w:val="16"/>
          <w:lang w:val="es-CO"/>
        </w:rPr>
        <w:t xml:space="preserve"> </w:t>
      </w:r>
      <w:r w:rsidRPr="002A4B57">
        <w:rPr>
          <w:spacing w:val="-12"/>
          <w:sz w:val="16"/>
          <w:szCs w:val="16"/>
          <w:lang w:val="es-CO"/>
        </w:rPr>
        <w:tab/>
      </w:r>
      <w:r w:rsidRPr="002A4B57">
        <w:rPr>
          <w:i/>
          <w:spacing w:val="-12"/>
          <w:sz w:val="16"/>
          <w:szCs w:val="16"/>
          <w:lang w:val="es-CO"/>
        </w:rPr>
        <w:t xml:space="preserve">Cfr. Caso Las Palmeras Vs. Colombia. Excepciones Preliminares. </w:t>
      </w:r>
      <w:r w:rsidRPr="002A4B57">
        <w:rPr>
          <w:spacing w:val="-12"/>
          <w:sz w:val="16"/>
          <w:szCs w:val="16"/>
          <w:lang w:val="es-CO"/>
        </w:rPr>
        <w:t xml:space="preserve">Sentencia de 4 de febrero de 2000. Serie C No. 67, párr. 34, </w:t>
      </w:r>
      <w:r w:rsidRPr="002A4B57">
        <w:rPr>
          <w:sz w:val="16"/>
          <w:szCs w:val="16"/>
          <w:lang w:val="es-CO"/>
        </w:rPr>
        <w:t xml:space="preserve">y </w:t>
      </w:r>
      <w:r w:rsidRPr="002A4B57">
        <w:rPr>
          <w:rStyle w:val="Textoennegrita"/>
          <w:b w:val="0"/>
          <w:i/>
          <w:color w:val="000000"/>
          <w:sz w:val="16"/>
          <w:szCs w:val="16"/>
          <w:shd w:val="clear" w:color="auto" w:fill="FFFFFF"/>
          <w:lang w:val="es-CO"/>
        </w:rPr>
        <w:t>Caso Herzog y otros Vs. Brasil. Excepciones Preliminares, Fondo, Reparaciones y Costas.</w:t>
      </w:r>
      <w:r w:rsidRPr="002A4B57">
        <w:rPr>
          <w:rStyle w:val="Textoennegrita"/>
          <w:b w:val="0"/>
          <w:color w:val="000000"/>
          <w:sz w:val="16"/>
          <w:szCs w:val="16"/>
          <w:shd w:val="clear" w:color="auto" w:fill="FFFFFF"/>
          <w:lang w:val="es-CO"/>
        </w:rPr>
        <w:t xml:space="preserve"> Sentencia de 15 de marzo de 2018. Serie C No. 353, párr. 97.</w:t>
      </w:r>
    </w:p>
  </w:footnote>
  <w:footnote w:id="15">
    <w:p w14:paraId="0A3EEFF9" w14:textId="77777777" w:rsidR="00F37A53" w:rsidRPr="00C25C74" w:rsidRDefault="00F37A53" w:rsidP="00C25C74">
      <w:pPr>
        <w:pStyle w:val="Textonotapie"/>
        <w:spacing w:after="80"/>
        <w:rPr>
          <w:lang w:val="es-CO"/>
        </w:rPr>
      </w:pPr>
      <w:r w:rsidRPr="00C25C74">
        <w:rPr>
          <w:rStyle w:val="Refdenotaalpie"/>
          <w:lang w:val="es-CO"/>
        </w:rPr>
        <w:footnoteRef/>
      </w:r>
      <w:r w:rsidRPr="00C25C74">
        <w:rPr>
          <w:lang w:val="es-CO"/>
        </w:rPr>
        <w:t xml:space="preserve"> </w:t>
      </w:r>
      <w:r w:rsidRPr="00C25C74">
        <w:rPr>
          <w:lang w:val="es-CO"/>
        </w:rPr>
        <w:tab/>
      </w:r>
      <w:r w:rsidRPr="00C25C74">
        <w:rPr>
          <w:i/>
          <w:lang w:val="es-CO"/>
        </w:rPr>
        <w:t>Cfr.</w:t>
      </w:r>
      <w:r w:rsidRPr="00C25C74">
        <w:rPr>
          <w:lang w:val="es-CO"/>
        </w:rPr>
        <w:t xml:space="preserve"> </w:t>
      </w:r>
      <w:r w:rsidRPr="00C25C74">
        <w:rPr>
          <w:i/>
          <w:lang w:val="es-CO"/>
        </w:rPr>
        <w:t>C</w:t>
      </w:r>
      <w:r w:rsidR="00C25C74" w:rsidRPr="00C25C74">
        <w:rPr>
          <w:i/>
          <w:lang w:val="es-CO"/>
        </w:rPr>
        <w:t xml:space="preserve">aso Castañeda Gutman Vs. México. Excepciones Preliminares, Fondo, Reparaciones y Costas. </w:t>
      </w:r>
      <w:r w:rsidR="00C25C74" w:rsidRPr="00C25C74">
        <w:rPr>
          <w:lang w:val="es-CO"/>
        </w:rPr>
        <w:t>Sentencia de 6 de agosto de 2008. Serie C No. 184.</w:t>
      </w:r>
      <w:r w:rsidRPr="00C25C74">
        <w:rPr>
          <w:lang w:val="es-CO"/>
        </w:rPr>
        <w:t xml:space="preserve"> párr. 39, y </w:t>
      </w:r>
      <w:r w:rsidRPr="00C25C74">
        <w:rPr>
          <w:rStyle w:val="Textoennegrita"/>
          <w:b w:val="0"/>
          <w:i/>
          <w:color w:val="000000"/>
          <w:shd w:val="clear" w:color="auto" w:fill="FFFFFF"/>
          <w:lang w:val="es-CO"/>
        </w:rPr>
        <w:t>Caso Herzog y otros Vs. Brasil</w:t>
      </w:r>
      <w:r w:rsidR="00C25C74" w:rsidRPr="00C25C74">
        <w:rPr>
          <w:rStyle w:val="Textoennegrita"/>
          <w:b w:val="0"/>
          <w:i/>
          <w:color w:val="000000"/>
          <w:shd w:val="clear" w:color="auto" w:fill="FFFFFF"/>
          <w:lang w:val="es-CO"/>
        </w:rPr>
        <w:t>, supra</w:t>
      </w:r>
      <w:r w:rsidRPr="00C25C74">
        <w:rPr>
          <w:rStyle w:val="Textoennegrita"/>
          <w:b w:val="0"/>
          <w:color w:val="000000"/>
          <w:shd w:val="clear" w:color="auto" w:fill="FFFFFF"/>
          <w:lang w:val="es-CO"/>
        </w:rPr>
        <w:t>, párr. 97.</w:t>
      </w:r>
    </w:p>
  </w:footnote>
  <w:footnote w:id="16">
    <w:p w14:paraId="2B88EB9D" w14:textId="77777777" w:rsidR="00F37A53" w:rsidRPr="002A4B57" w:rsidRDefault="00F37A53" w:rsidP="00C25C74">
      <w:pPr>
        <w:tabs>
          <w:tab w:val="left" w:pos="567"/>
        </w:tabs>
        <w:spacing w:after="80"/>
        <w:rPr>
          <w:bCs/>
          <w:color w:val="000000"/>
          <w:sz w:val="16"/>
          <w:szCs w:val="16"/>
          <w:shd w:val="clear" w:color="auto" w:fill="FFFFFF"/>
          <w:lang w:val="es-CO"/>
        </w:rPr>
      </w:pPr>
      <w:r w:rsidRPr="00C25C74">
        <w:rPr>
          <w:spacing w:val="-12"/>
          <w:sz w:val="16"/>
          <w:szCs w:val="16"/>
          <w:vertAlign w:val="superscript"/>
          <w:lang w:val="es-CO"/>
        </w:rPr>
        <w:footnoteRef/>
      </w:r>
      <w:r w:rsidRPr="00C25C74">
        <w:rPr>
          <w:spacing w:val="-12"/>
          <w:sz w:val="16"/>
          <w:szCs w:val="16"/>
          <w:lang w:val="es-CO"/>
        </w:rPr>
        <w:t xml:space="preserve">  </w:t>
      </w:r>
      <w:r w:rsidRPr="00C25C74">
        <w:rPr>
          <w:spacing w:val="-12"/>
          <w:sz w:val="16"/>
          <w:szCs w:val="16"/>
          <w:lang w:val="es-CO"/>
        </w:rPr>
        <w:tab/>
      </w:r>
      <w:r w:rsidRPr="00C25C74">
        <w:rPr>
          <w:i/>
          <w:spacing w:val="-12"/>
          <w:sz w:val="16"/>
          <w:szCs w:val="16"/>
          <w:lang w:val="es-CO"/>
        </w:rPr>
        <w:t xml:space="preserve">Cfr. </w:t>
      </w:r>
      <w:r w:rsidR="00C25C74" w:rsidRPr="00C25C74">
        <w:rPr>
          <w:i/>
          <w:sz w:val="16"/>
          <w:szCs w:val="16"/>
          <w:lang w:val="es-CO"/>
        </w:rPr>
        <w:t>Caso Castañeda Gutman Vs. México, supra</w:t>
      </w:r>
      <w:r w:rsidRPr="00C25C74">
        <w:rPr>
          <w:spacing w:val="-12"/>
          <w:sz w:val="16"/>
          <w:szCs w:val="16"/>
          <w:lang w:val="es-CO"/>
        </w:rPr>
        <w:t>,</w:t>
      </w:r>
      <w:r w:rsidRPr="002A4B57">
        <w:rPr>
          <w:spacing w:val="-12"/>
          <w:sz w:val="16"/>
          <w:szCs w:val="16"/>
          <w:lang w:val="es-CO"/>
        </w:rPr>
        <w:t xml:space="preserve"> y </w:t>
      </w:r>
      <w:r w:rsidRPr="002A4B57">
        <w:rPr>
          <w:rStyle w:val="Textoennegrita"/>
          <w:b w:val="0"/>
          <w:i/>
          <w:color w:val="000000"/>
          <w:sz w:val="16"/>
          <w:szCs w:val="16"/>
          <w:shd w:val="clear" w:color="auto" w:fill="FFFFFF"/>
          <w:lang w:val="es-CO"/>
        </w:rPr>
        <w:t>Caso Lagos del Campo Vs. Perú. Excepciones Preliminares, Fondo, Reparaciones y Costas</w:t>
      </w:r>
      <w:r w:rsidRPr="002A4B57">
        <w:rPr>
          <w:rStyle w:val="Textoennegrita"/>
          <w:b w:val="0"/>
          <w:color w:val="000000"/>
          <w:sz w:val="16"/>
          <w:szCs w:val="16"/>
          <w:shd w:val="clear" w:color="auto" w:fill="FFFFFF"/>
          <w:lang w:val="es-CO"/>
        </w:rPr>
        <w:t>. Sentencia de 31 de agosto de 2017. Serie C No. 340, párr. 17.</w:t>
      </w:r>
    </w:p>
  </w:footnote>
  <w:footnote w:id="17">
    <w:p w14:paraId="3EC3BCCD" w14:textId="77777777" w:rsidR="00F37A53" w:rsidRPr="002A4B57" w:rsidRDefault="00F37A53" w:rsidP="00C25C74">
      <w:pPr>
        <w:pStyle w:val="Textonotapie"/>
        <w:spacing w:after="80"/>
        <w:rPr>
          <w:lang w:val="es-CO"/>
        </w:rPr>
      </w:pPr>
      <w:r w:rsidRPr="002A4B57">
        <w:rPr>
          <w:rStyle w:val="Refdenotaalpie"/>
          <w:lang w:val="es-CO"/>
        </w:rPr>
        <w:footnoteRef/>
      </w:r>
      <w:r w:rsidRPr="002A4B57">
        <w:rPr>
          <w:lang w:val="es-CO"/>
        </w:rPr>
        <w:t xml:space="preserve"> </w:t>
      </w:r>
      <w:r w:rsidR="008E05E4" w:rsidRPr="002A4B57">
        <w:rPr>
          <w:lang w:val="es-CO"/>
        </w:rPr>
        <w:tab/>
        <w:t>Párr</w:t>
      </w:r>
      <w:r w:rsidR="00C25C74">
        <w:rPr>
          <w:lang w:val="es-CO"/>
        </w:rPr>
        <w:t>afo</w:t>
      </w:r>
      <w:r w:rsidR="008E05E4" w:rsidRPr="002A4B57">
        <w:rPr>
          <w:lang w:val="es-CO"/>
        </w:rPr>
        <w:t xml:space="preserve"> 204</w:t>
      </w:r>
      <w:r w:rsidR="00C25C74">
        <w:rPr>
          <w:lang w:val="es-CO"/>
        </w:rPr>
        <w:t xml:space="preserve"> de la Sentencia.</w:t>
      </w:r>
    </w:p>
  </w:footnote>
  <w:footnote w:id="18">
    <w:p w14:paraId="762EEB59" w14:textId="77777777" w:rsidR="00F37A53" w:rsidRPr="002A4B57" w:rsidRDefault="00F37A53" w:rsidP="00C25C74">
      <w:pPr>
        <w:spacing w:after="80"/>
        <w:rPr>
          <w:bCs/>
          <w:color w:val="000000"/>
          <w:sz w:val="16"/>
          <w:szCs w:val="16"/>
          <w:shd w:val="clear" w:color="auto" w:fill="FFFFFF"/>
          <w:lang w:val="es-CO"/>
        </w:rPr>
      </w:pPr>
      <w:r w:rsidRPr="002A4B57">
        <w:rPr>
          <w:rStyle w:val="Refdenotaalpie"/>
          <w:lang w:val="es-CO"/>
        </w:rPr>
        <w:footnoteRef/>
      </w:r>
      <w:r w:rsidRPr="002A4B57">
        <w:rPr>
          <w:sz w:val="16"/>
          <w:szCs w:val="16"/>
          <w:lang w:val="es-CO"/>
        </w:rPr>
        <w:t xml:space="preserve"> </w:t>
      </w:r>
      <w:r w:rsidRPr="002A4B57">
        <w:rPr>
          <w:sz w:val="16"/>
          <w:szCs w:val="16"/>
          <w:lang w:val="es-CO"/>
        </w:rPr>
        <w:tab/>
      </w:r>
      <w:r w:rsidRPr="002A4B57">
        <w:rPr>
          <w:i/>
          <w:sz w:val="16"/>
          <w:szCs w:val="16"/>
          <w:lang w:val="es-CO"/>
        </w:rPr>
        <w:t xml:space="preserve">Cfr. </w:t>
      </w:r>
      <w:r w:rsidRPr="002A4B57">
        <w:rPr>
          <w:bCs/>
          <w:i/>
          <w:sz w:val="16"/>
          <w:szCs w:val="16"/>
          <w:lang w:val="es-CO"/>
        </w:rPr>
        <w:t>Caso Gonzales Lluy y otros Vs. Ecuador. Excepciones Preliminares, Fondo, Reparaciones y Costas.</w:t>
      </w:r>
      <w:r w:rsidRPr="002A4B57">
        <w:rPr>
          <w:bCs/>
          <w:sz w:val="16"/>
          <w:szCs w:val="16"/>
          <w:lang w:val="es-CO"/>
        </w:rPr>
        <w:t xml:space="preserve"> Sentencia de 1 de septiembre de 2015. Serie C No. 298. </w:t>
      </w:r>
      <w:r w:rsidRPr="002A4B57">
        <w:rPr>
          <w:rStyle w:val="Textoennegrita"/>
          <w:b w:val="0"/>
          <w:color w:val="000000"/>
          <w:sz w:val="16"/>
          <w:szCs w:val="16"/>
          <w:shd w:val="clear" w:color="auto" w:fill="FFFFFF"/>
          <w:lang w:val="es-CO"/>
        </w:rPr>
        <w:t xml:space="preserve">Voto </w:t>
      </w:r>
      <w:r w:rsidR="00FF698F" w:rsidRPr="002A4B57">
        <w:rPr>
          <w:rStyle w:val="Textoennegrita"/>
          <w:b w:val="0"/>
          <w:color w:val="000000"/>
          <w:sz w:val="16"/>
          <w:szCs w:val="16"/>
          <w:shd w:val="clear" w:color="auto" w:fill="FFFFFF"/>
          <w:lang w:val="es-CO"/>
        </w:rPr>
        <w:t>concurrente</w:t>
      </w:r>
      <w:r w:rsidRPr="002A4B57">
        <w:rPr>
          <w:rStyle w:val="Textoennegrita"/>
          <w:b w:val="0"/>
          <w:color w:val="000000"/>
          <w:sz w:val="16"/>
          <w:szCs w:val="16"/>
          <w:shd w:val="clear" w:color="auto" w:fill="FFFFFF"/>
          <w:lang w:val="es-CO"/>
        </w:rPr>
        <w:t xml:space="preserve"> del Juez Humberto </w:t>
      </w:r>
      <w:r w:rsidR="00FF698F" w:rsidRPr="002A4B57">
        <w:rPr>
          <w:rStyle w:val="Textoennegrita"/>
          <w:b w:val="0"/>
          <w:color w:val="000000"/>
          <w:sz w:val="16"/>
          <w:szCs w:val="16"/>
          <w:shd w:val="clear" w:color="auto" w:fill="FFFFFF"/>
          <w:lang w:val="es-CO"/>
        </w:rPr>
        <w:t xml:space="preserve">Antonio </w:t>
      </w:r>
      <w:r w:rsidRPr="002A4B57">
        <w:rPr>
          <w:rStyle w:val="Textoennegrita"/>
          <w:b w:val="0"/>
          <w:color w:val="000000"/>
          <w:sz w:val="16"/>
          <w:szCs w:val="16"/>
          <w:shd w:val="clear" w:color="auto" w:fill="FFFFFF"/>
          <w:lang w:val="es-CO"/>
        </w:rPr>
        <w:t>Sierra Porto, párrs. 7 a 9</w:t>
      </w:r>
      <w:r w:rsidRPr="00C25C74">
        <w:rPr>
          <w:bCs/>
          <w:sz w:val="16"/>
          <w:szCs w:val="16"/>
          <w:lang w:val="es-CO"/>
        </w:rPr>
        <w:t>,</w:t>
      </w:r>
      <w:r w:rsidRPr="002A4B57">
        <w:rPr>
          <w:b/>
          <w:bCs/>
          <w:sz w:val="16"/>
          <w:szCs w:val="16"/>
          <w:lang w:val="es-CO"/>
        </w:rPr>
        <w:t xml:space="preserve"> </w:t>
      </w:r>
      <w:r w:rsidRPr="002A4B57">
        <w:rPr>
          <w:rStyle w:val="Textoennegrita"/>
          <w:b w:val="0"/>
          <w:i/>
          <w:color w:val="000000"/>
          <w:sz w:val="16"/>
          <w:szCs w:val="16"/>
          <w:shd w:val="clear" w:color="auto" w:fill="FFFFFF"/>
          <w:lang w:val="es-CO"/>
        </w:rPr>
        <w:t>Caso Lagos del Campo Vs. Perú.</w:t>
      </w:r>
      <w:r w:rsidRPr="002A4B57">
        <w:rPr>
          <w:rStyle w:val="Textoennegrita"/>
          <w:i/>
          <w:color w:val="000000"/>
          <w:sz w:val="16"/>
          <w:szCs w:val="16"/>
          <w:shd w:val="clear" w:color="auto" w:fill="FFFFFF"/>
          <w:lang w:val="es-CO"/>
        </w:rPr>
        <w:t xml:space="preserve"> </w:t>
      </w:r>
      <w:r w:rsidRPr="002A4B57">
        <w:rPr>
          <w:bCs/>
          <w:i/>
          <w:color w:val="000000"/>
          <w:sz w:val="16"/>
          <w:szCs w:val="16"/>
          <w:shd w:val="clear" w:color="auto" w:fill="FFFFFF"/>
          <w:lang w:val="es-CO"/>
        </w:rPr>
        <w:t xml:space="preserve">Excepciones Preliminares, Fondo, Reparaciones y Costas. </w:t>
      </w:r>
      <w:r w:rsidRPr="002A4B57">
        <w:rPr>
          <w:bCs/>
          <w:color w:val="000000"/>
          <w:sz w:val="16"/>
          <w:szCs w:val="16"/>
          <w:shd w:val="clear" w:color="auto" w:fill="FFFFFF"/>
          <w:lang w:val="es-CO"/>
        </w:rPr>
        <w:t>Sentencia de 31 de agosto de 2017. Serie C No. 340.</w:t>
      </w:r>
      <w:r w:rsidRPr="002A4B57">
        <w:rPr>
          <w:bCs/>
          <w:i/>
          <w:color w:val="000000"/>
          <w:sz w:val="16"/>
          <w:szCs w:val="16"/>
          <w:shd w:val="clear" w:color="auto" w:fill="FFFFFF"/>
          <w:lang w:val="es-CO"/>
        </w:rPr>
        <w:t xml:space="preserve"> </w:t>
      </w:r>
      <w:r w:rsidRPr="002A4B57">
        <w:rPr>
          <w:rStyle w:val="Textoennegrita"/>
          <w:b w:val="0"/>
          <w:color w:val="000000"/>
          <w:sz w:val="16"/>
          <w:szCs w:val="16"/>
          <w:shd w:val="clear" w:color="auto" w:fill="FFFFFF"/>
          <w:lang w:val="es-CO"/>
        </w:rPr>
        <w:t xml:space="preserve">Voto parcialmente disidente del Juez Antonio Humberto Sierra Porto, párr. 9 y </w:t>
      </w:r>
      <w:r w:rsidRPr="002A4B57">
        <w:rPr>
          <w:rStyle w:val="Textoennegrita"/>
          <w:rFonts w:cs="Verdana"/>
          <w:b w:val="0"/>
          <w:i/>
          <w:sz w:val="16"/>
          <w:szCs w:val="16"/>
          <w:lang w:val="es-CO"/>
        </w:rPr>
        <w:t>Caso Poblete Vilches y otros Vs. Chile. Fondo, Reparaciones y Costas</w:t>
      </w:r>
      <w:r w:rsidRPr="002A4B57">
        <w:rPr>
          <w:rStyle w:val="Textoennegrita"/>
          <w:rFonts w:cs="Verdana"/>
          <w:b w:val="0"/>
          <w:sz w:val="16"/>
          <w:szCs w:val="16"/>
          <w:lang w:val="es-CO"/>
        </w:rPr>
        <w:t>. Sentencia de 8 de marzo de 2018. Serie C No. 349.</w:t>
      </w:r>
      <w:r w:rsidRPr="002A4B57">
        <w:rPr>
          <w:rStyle w:val="Textoennegrita"/>
          <w:b w:val="0"/>
          <w:color w:val="000000"/>
          <w:sz w:val="16"/>
          <w:szCs w:val="16"/>
          <w:lang w:val="es-CO"/>
        </w:rPr>
        <w:t xml:space="preserve"> Voto Concurrente del Jue</w:t>
      </w:r>
      <w:r w:rsidR="00FF698F" w:rsidRPr="002A4B57">
        <w:rPr>
          <w:rStyle w:val="Textoennegrita"/>
          <w:b w:val="0"/>
          <w:color w:val="000000"/>
          <w:sz w:val="16"/>
          <w:szCs w:val="16"/>
          <w:lang w:val="es-CO"/>
        </w:rPr>
        <w:t xml:space="preserve">z Humberto Antonio Sierra Porto, párr. 3. </w:t>
      </w:r>
    </w:p>
  </w:footnote>
  <w:footnote w:id="19">
    <w:p w14:paraId="01079E3C" w14:textId="77777777" w:rsidR="00FF698F" w:rsidRPr="002A4B57" w:rsidRDefault="00FF698F"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t xml:space="preserve">El </w:t>
      </w:r>
      <w:r w:rsidRPr="002A4B57">
        <w:rPr>
          <w:i/>
          <w:lang w:val="es-CO"/>
        </w:rPr>
        <w:t>Protocolo adicional a la Convención Americana sobre Derechos Humanos en materia de derechos económicos, sociales y culturales "Protocolo de San Salvador"</w:t>
      </w:r>
      <w:r w:rsidRPr="002A4B57">
        <w:rPr>
          <w:lang w:val="es-CO"/>
        </w:rPr>
        <w:t>, establece en el artículo 19.6 lo siguiente: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footnote>
  <w:footnote w:id="20">
    <w:p w14:paraId="1C4E22AA" w14:textId="77777777" w:rsidR="00FE41CC" w:rsidRPr="002A4B57" w:rsidRDefault="00FE41CC" w:rsidP="00C25C74">
      <w:pPr>
        <w:pStyle w:val="Textonotapie"/>
        <w:spacing w:after="80"/>
        <w:rPr>
          <w:b/>
          <w:lang w:val="es-CO"/>
        </w:rPr>
      </w:pPr>
      <w:r w:rsidRPr="002A4B57">
        <w:rPr>
          <w:rStyle w:val="Refdenotaalpie"/>
        </w:rPr>
        <w:footnoteRef/>
      </w:r>
      <w:r w:rsidRPr="002A4B57">
        <w:t xml:space="preserve"> </w:t>
      </w:r>
      <w:r w:rsidRPr="002A4B57">
        <w:tab/>
      </w:r>
      <w:r w:rsidRPr="002A4B57">
        <w:rPr>
          <w:i/>
          <w:lang w:val="es-CO"/>
        </w:rPr>
        <w:t xml:space="preserve">Cfr. Caso Rodríguez Revolorio y otros Vs. Guatemala. Excepción Preliminar, Fondo, Reparaciones y Costas. </w:t>
      </w:r>
      <w:r w:rsidRPr="002A4B57">
        <w:rPr>
          <w:lang w:val="es-CO"/>
        </w:rPr>
        <w:t xml:space="preserve">Sentencia de 14 de octubre de 2019. Serie C No. 387. Voto concurrente </w:t>
      </w:r>
      <w:r w:rsidRPr="002A4B57">
        <w:rPr>
          <w:rStyle w:val="Textoennegrita"/>
          <w:rFonts w:cstheme="minorHAnsi"/>
          <w:b w:val="0"/>
          <w:color w:val="000000"/>
          <w:lang w:val="es-CO"/>
        </w:rPr>
        <w:t>del Juez Humberto Antonio Sierra Porto, párr. 7.</w:t>
      </w:r>
    </w:p>
  </w:footnote>
  <w:footnote w:id="21">
    <w:p w14:paraId="7C949671" w14:textId="77777777" w:rsidR="002F45BB" w:rsidRPr="002A4B57" w:rsidRDefault="002F45BB" w:rsidP="00C25C74">
      <w:pPr>
        <w:pStyle w:val="Textonotapie"/>
        <w:spacing w:after="80"/>
        <w:rPr>
          <w:lang w:val="es-CO"/>
        </w:rPr>
      </w:pPr>
      <w:r w:rsidRPr="002A4B57">
        <w:rPr>
          <w:rStyle w:val="Refdenotaalpie"/>
          <w:lang w:val="es-CO"/>
        </w:rPr>
        <w:footnoteRef/>
      </w:r>
      <w:r w:rsidRPr="002A4B57">
        <w:rPr>
          <w:lang w:val="es-CO"/>
        </w:rPr>
        <w:t xml:space="preserve"> </w:t>
      </w:r>
      <w:r w:rsidRPr="002A4B57">
        <w:rPr>
          <w:lang w:val="es-CO"/>
        </w:rPr>
        <w:tab/>
      </w:r>
      <w:r w:rsidRPr="002A4B57">
        <w:rPr>
          <w:i/>
        </w:rPr>
        <w:t xml:space="preserve">Cfr. </w:t>
      </w:r>
      <w:r w:rsidRPr="002A4B57">
        <w:rPr>
          <w:rStyle w:val="Textoennegrita"/>
          <w:b w:val="0"/>
          <w:i/>
          <w:color w:val="000000"/>
          <w:shd w:val="clear" w:color="auto" w:fill="FFFFFF"/>
          <w:lang w:val="es-CO"/>
        </w:rPr>
        <w:t xml:space="preserve">Caso Gonzales Lluy y otros Vs. Ecuador. </w:t>
      </w:r>
      <w:r w:rsidRPr="002A4B57">
        <w:rPr>
          <w:bCs/>
          <w:i/>
          <w:color w:val="000000"/>
          <w:shd w:val="clear" w:color="auto" w:fill="FFFFFF"/>
          <w:lang w:val="es-CO"/>
        </w:rPr>
        <w:t xml:space="preserve">Excepciones Preliminares, Fondo, Reparaciones y Costas. </w:t>
      </w:r>
      <w:r w:rsidRPr="002A4B57">
        <w:rPr>
          <w:bCs/>
          <w:color w:val="000000"/>
          <w:shd w:val="clear" w:color="auto" w:fill="FFFFFF"/>
          <w:lang w:val="es-CO"/>
        </w:rPr>
        <w:t>Sentencia de 1 de septiembre de 2015. Serie C No. 298</w:t>
      </w:r>
      <w:r w:rsidRPr="002A4B57">
        <w:rPr>
          <w:bCs/>
          <w:i/>
          <w:color w:val="000000"/>
          <w:shd w:val="clear" w:color="auto" w:fill="FFFFFF"/>
          <w:lang w:val="es-CO"/>
        </w:rPr>
        <w:t>.</w:t>
      </w:r>
      <w:r w:rsidRPr="002A4B57">
        <w:rPr>
          <w:rStyle w:val="Textoennegrita"/>
          <w:color w:val="000000"/>
          <w:shd w:val="clear" w:color="auto" w:fill="FFFFFF"/>
          <w:lang w:val="es-CO"/>
        </w:rPr>
        <w:t xml:space="preserve"> </w:t>
      </w:r>
      <w:r w:rsidRPr="002A4B57">
        <w:rPr>
          <w:rStyle w:val="Textoennegrita"/>
          <w:b w:val="0"/>
          <w:color w:val="000000"/>
          <w:shd w:val="clear" w:color="auto" w:fill="FFFFFF"/>
          <w:lang w:val="es-CO"/>
        </w:rPr>
        <w:t>Voto Concurrente del Juez Humberto Antonio Sierra Porto,</w:t>
      </w:r>
      <w:r w:rsidRPr="002A4B57">
        <w:rPr>
          <w:rStyle w:val="Textoennegrita"/>
          <w:color w:val="000000"/>
          <w:shd w:val="clear" w:color="auto" w:fill="FFFFFF"/>
          <w:lang w:val="es-CO"/>
        </w:rPr>
        <w:t xml:space="preserve"> </w:t>
      </w:r>
      <w:r w:rsidRPr="002A4B57">
        <w:rPr>
          <w:bCs/>
          <w:color w:val="000000"/>
          <w:shd w:val="clear" w:color="auto" w:fill="FFFFFF"/>
          <w:lang w:val="es-CO"/>
        </w:rPr>
        <w:t xml:space="preserve">párr. 4. </w:t>
      </w:r>
    </w:p>
  </w:footnote>
  <w:footnote w:id="22">
    <w:p w14:paraId="6B5C6BB7" w14:textId="77777777" w:rsidR="000014E7" w:rsidRPr="002A4B57" w:rsidRDefault="000014E7" w:rsidP="00C25C74">
      <w:pPr>
        <w:pStyle w:val="Textonotapie"/>
        <w:spacing w:after="80"/>
        <w:rPr>
          <w:lang w:val="es-ES"/>
        </w:rPr>
      </w:pPr>
      <w:r w:rsidRPr="002A4B57">
        <w:rPr>
          <w:rStyle w:val="Refdenotaalpie"/>
        </w:rPr>
        <w:footnoteRef/>
      </w:r>
      <w:r w:rsidRPr="002A4B57">
        <w:t xml:space="preserve"> </w:t>
      </w:r>
      <w:r w:rsidRPr="002A4B57">
        <w:rPr>
          <w:lang w:val="es-ES"/>
        </w:rPr>
        <w:tab/>
        <w:t xml:space="preserve">Cfr. Asamblea General de las Naciones Unidas. </w:t>
      </w:r>
      <w:r w:rsidRPr="002A4B57">
        <w:rPr>
          <w:i/>
          <w:lang w:val="es-ES"/>
        </w:rPr>
        <w:t>Distintos criterios y medios posibles dentro del Sistema de las Naciones Unidas para mejorar el goce efectivo de los derechos humanos y las libertades fundamentales.</w:t>
      </w:r>
      <w:r w:rsidRPr="002A4B57">
        <w:rPr>
          <w:lang w:val="es-ES"/>
        </w:rPr>
        <w:t xml:space="preserve"> </w:t>
      </w:r>
      <w:r w:rsidRPr="002A4B57">
        <w:t>Resolución 32/130 de 16 de diciembre de 1977.</w:t>
      </w:r>
    </w:p>
  </w:footnote>
  <w:footnote w:id="23">
    <w:p w14:paraId="539D3B0C" w14:textId="77777777" w:rsidR="002F45BB" w:rsidRPr="002A4B57" w:rsidRDefault="002F45BB" w:rsidP="00C25C74">
      <w:pPr>
        <w:spacing w:after="80"/>
        <w:rPr>
          <w:bCs/>
          <w:color w:val="000000"/>
          <w:sz w:val="16"/>
          <w:szCs w:val="16"/>
          <w:shd w:val="clear" w:color="auto" w:fill="FFFFFF"/>
          <w:lang w:val="es-CO"/>
        </w:rPr>
      </w:pPr>
      <w:r w:rsidRPr="002A4B57">
        <w:rPr>
          <w:rStyle w:val="Refdenotaalpie"/>
        </w:rPr>
        <w:footnoteRef/>
      </w:r>
      <w:r w:rsidRPr="00750396">
        <w:rPr>
          <w:lang w:val="es-CO"/>
        </w:rPr>
        <w:t xml:space="preserve"> </w:t>
      </w:r>
      <w:r w:rsidRPr="00750396">
        <w:rPr>
          <w:lang w:val="es-CO"/>
        </w:rPr>
        <w:tab/>
      </w:r>
      <w:r w:rsidRPr="00750396">
        <w:rPr>
          <w:i/>
          <w:sz w:val="16"/>
          <w:lang w:val="es-CO"/>
        </w:rPr>
        <w:t>Cfr.</w:t>
      </w:r>
      <w:r w:rsidRPr="00750396">
        <w:rPr>
          <w:sz w:val="16"/>
          <w:lang w:val="es-CO"/>
        </w:rPr>
        <w:t xml:space="preserve"> </w:t>
      </w:r>
      <w:r w:rsidRPr="002A4B57">
        <w:rPr>
          <w:rStyle w:val="Textoennegrita"/>
          <w:rFonts w:cs="Verdana"/>
          <w:b w:val="0"/>
          <w:i/>
          <w:sz w:val="16"/>
          <w:szCs w:val="16"/>
          <w:lang w:val="es-CO"/>
        </w:rPr>
        <w:t>Caso Poblete Vilches y otros Vs. Chile. Fondo, Reparaciones y Costas</w:t>
      </w:r>
      <w:r w:rsidRPr="002A4B57">
        <w:rPr>
          <w:rStyle w:val="Textoennegrita"/>
          <w:rFonts w:cs="Verdana"/>
          <w:b w:val="0"/>
          <w:sz w:val="16"/>
          <w:szCs w:val="16"/>
          <w:lang w:val="es-CO"/>
        </w:rPr>
        <w:t>. Sentencia de 8 de marzo de 2018. Serie C No. 349.</w:t>
      </w:r>
      <w:r w:rsidRPr="002A4B57">
        <w:rPr>
          <w:rStyle w:val="Textoennegrita"/>
          <w:b w:val="0"/>
          <w:color w:val="000000"/>
          <w:sz w:val="16"/>
          <w:szCs w:val="16"/>
          <w:lang w:val="es-CO"/>
        </w:rPr>
        <w:t xml:space="preserve"> Voto Concurrente del Juez Humberto Antonio Sierra Porto, párr. 15. </w:t>
      </w:r>
    </w:p>
  </w:footnote>
  <w:footnote w:id="24">
    <w:p w14:paraId="51EF2708" w14:textId="77777777" w:rsidR="00F14633" w:rsidRPr="002A4B57" w:rsidRDefault="00F14633" w:rsidP="00C25C74">
      <w:pPr>
        <w:pStyle w:val="Textonotapie"/>
        <w:spacing w:after="80"/>
        <w:rPr>
          <w:lang w:val="es-CO"/>
        </w:rPr>
      </w:pPr>
      <w:r w:rsidRPr="002A4B57">
        <w:rPr>
          <w:rStyle w:val="Refdenotaalpie"/>
        </w:rPr>
        <w:footnoteRef/>
      </w:r>
      <w:r w:rsidRPr="002A4B57">
        <w:t xml:space="preserve"> </w:t>
      </w:r>
      <w:r w:rsidRPr="002A4B57">
        <w:tab/>
      </w:r>
      <w:r w:rsidRPr="002A4B57">
        <w:rPr>
          <w:i/>
          <w:lang w:val="es-CO"/>
        </w:rPr>
        <w:t xml:space="preserve">Cfr. Caso Comunidades Indígenas Miembros de la Asociación Lhaka Honhat (Nuestra Tierra) Vs. Argentina. Fondo, Reparaciones y Costas. </w:t>
      </w:r>
      <w:r w:rsidRPr="002A4B57">
        <w:rPr>
          <w:lang w:val="es-CO"/>
        </w:rPr>
        <w:t xml:space="preserve">Sentencia de 6 de febrero de 2020. Serie C No. 400. </w:t>
      </w:r>
      <w:r w:rsidRPr="002A4B57">
        <w:rPr>
          <w:rStyle w:val="Textoennegrita"/>
          <w:b w:val="0"/>
          <w:color w:val="000000"/>
          <w:lang w:val="es-CO"/>
        </w:rPr>
        <w:t xml:space="preserve">Voto parcialmente disidente del Juez Humberto Antonio Sierra Porto, párr. 11.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B66"/>
    <w:multiLevelType w:val="hybridMultilevel"/>
    <w:tmpl w:val="3104AD0E"/>
    <w:lvl w:ilvl="0" w:tplc="1C64AA6A">
      <w:start w:val="1"/>
      <w:numFmt w:val="decimal"/>
      <w:lvlText w:val="%1."/>
      <w:lvlJc w:val="left"/>
      <w:pPr>
        <w:ind w:left="5130" w:hanging="360"/>
      </w:pPr>
      <w:rPr>
        <w:rFonts w:hint="default"/>
        <w:b w:val="0"/>
        <w:i w:val="0"/>
        <w:strike w:val="0"/>
        <w:color w:val="auto"/>
        <w:sz w:val="20"/>
        <w:szCs w:val="20"/>
        <w:vertAlign w:val="baseline"/>
        <w:lang w:val="es-CR"/>
      </w:rPr>
    </w:lvl>
    <w:lvl w:ilvl="1" w:tplc="140A0019">
      <w:start w:val="1"/>
      <w:numFmt w:val="lowerLetter"/>
      <w:pStyle w:val="Prrafodelista"/>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4939CC"/>
    <w:multiLevelType w:val="hybridMultilevel"/>
    <w:tmpl w:val="A86A7CBA"/>
    <w:lvl w:ilvl="0" w:tplc="EBFE0A0A">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320B"/>
    <w:multiLevelType w:val="hybridMultilevel"/>
    <w:tmpl w:val="73E6A92E"/>
    <w:lvl w:ilvl="0" w:tplc="8A1612C2">
      <w:start w:val="1"/>
      <w:numFmt w:val="decimal"/>
      <w:lvlText w:val="%1."/>
      <w:lvlJc w:val="left"/>
      <w:pPr>
        <w:ind w:left="720" w:hanging="360"/>
      </w:pPr>
      <w:rPr>
        <w:rFonts w:ascii="Verdana" w:hAnsi="Verdana" w:hint="default"/>
        <w:sz w:val="20"/>
        <w:szCs w:val="20"/>
        <w:lang w:val="es-A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2811A2A"/>
    <w:multiLevelType w:val="hybridMultilevel"/>
    <w:tmpl w:val="8C68099A"/>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 w15:restartNumberingAfterBreak="0">
    <w:nsid w:val="136F3EA2"/>
    <w:multiLevelType w:val="hybridMultilevel"/>
    <w:tmpl w:val="D00E4D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7C00C97"/>
    <w:multiLevelType w:val="hybridMultilevel"/>
    <w:tmpl w:val="BF5A83F6"/>
    <w:lvl w:ilvl="0" w:tplc="7FECE2E4">
      <w:start w:val="1"/>
      <w:numFmt w:val="lowerLetter"/>
      <w:lvlText w:val="%1)"/>
      <w:lvlJc w:val="left"/>
      <w:pPr>
        <w:ind w:left="720" w:hanging="360"/>
      </w:pPr>
      <w:rPr>
        <w:rFonts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1C2035A"/>
    <w:multiLevelType w:val="hybridMultilevel"/>
    <w:tmpl w:val="A554FE5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6782CD6"/>
    <w:multiLevelType w:val="hybridMultilevel"/>
    <w:tmpl w:val="0784B658"/>
    <w:lvl w:ilvl="0" w:tplc="140A0013">
      <w:start w:val="1"/>
      <w:numFmt w:val="upp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3552C4B"/>
    <w:multiLevelType w:val="hybridMultilevel"/>
    <w:tmpl w:val="7EAE6BC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8FD7D50"/>
    <w:multiLevelType w:val="multilevel"/>
    <w:tmpl w:val="630AF16A"/>
    <w:lvl w:ilvl="0">
      <w:start w:val="1"/>
      <w:numFmt w:val="decimal"/>
      <w:pStyle w:val="PrrafodeSentencia"/>
      <w:lvlText w:val="%1."/>
      <w:lvlJc w:val="left"/>
      <w:pPr>
        <w:ind w:left="967" w:hanging="825"/>
      </w:pPr>
      <w:rPr>
        <w:b w:val="0"/>
        <w:i w:val="0"/>
        <w:strike w:val="0"/>
        <w:color w:val="000000"/>
        <w:sz w:val="20"/>
        <w:szCs w:val="20"/>
      </w:rPr>
    </w:lvl>
    <w:lvl w:ilvl="1">
      <w:start w:val="1"/>
      <w:numFmt w:val="lowerLetter"/>
      <w:pStyle w:val="Ttulo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5A6F5C"/>
    <w:multiLevelType w:val="hybridMultilevel"/>
    <w:tmpl w:val="1012E60E"/>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7"/>
  </w:num>
  <w:num w:numId="5">
    <w:abstractNumId w:val="3"/>
  </w:num>
  <w:num w:numId="6">
    <w:abstractNumId w:val="1"/>
  </w:num>
  <w:num w:numId="7">
    <w:abstractNumId w:val="12"/>
  </w:num>
  <w:num w:numId="8">
    <w:abstractNumId w:val="4"/>
  </w:num>
  <w:num w:numId="9">
    <w:abstractNumId w:val="6"/>
  </w:num>
  <w:num w:numId="10">
    <w:abstractNumId w:val="5"/>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A1"/>
    <w:rsid w:val="000014E7"/>
    <w:rsid w:val="00057B50"/>
    <w:rsid w:val="000844FC"/>
    <w:rsid w:val="0012374C"/>
    <w:rsid w:val="001442F2"/>
    <w:rsid w:val="001A449E"/>
    <w:rsid w:val="00220D8C"/>
    <w:rsid w:val="002455A1"/>
    <w:rsid w:val="00263958"/>
    <w:rsid w:val="002A4B57"/>
    <w:rsid w:val="002E4BF6"/>
    <w:rsid w:val="002F45BB"/>
    <w:rsid w:val="0038251E"/>
    <w:rsid w:val="003A4521"/>
    <w:rsid w:val="003D4E61"/>
    <w:rsid w:val="00456BCD"/>
    <w:rsid w:val="004A3416"/>
    <w:rsid w:val="00517F88"/>
    <w:rsid w:val="00551BD3"/>
    <w:rsid w:val="00584BCE"/>
    <w:rsid w:val="00584C8D"/>
    <w:rsid w:val="00613859"/>
    <w:rsid w:val="0064552B"/>
    <w:rsid w:val="006522DA"/>
    <w:rsid w:val="00663D5F"/>
    <w:rsid w:val="006A3C31"/>
    <w:rsid w:val="006C09C5"/>
    <w:rsid w:val="007115A1"/>
    <w:rsid w:val="00725947"/>
    <w:rsid w:val="00750396"/>
    <w:rsid w:val="007A1BE4"/>
    <w:rsid w:val="007C0E27"/>
    <w:rsid w:val="007D7F16"/>
    <w:rsid w:val="0080133E"/>
    <w:rsid w:val="00827C33"/>
    <w:rsid w:val="00864662"/>
    <w:rsid w:val="00867464"/>
    <w:rsid w:val="008E05E4"/>
    <w:rsid w:val="00911A20"/>
    <w:rsid w:val="009455DC"/>
    <w:rsid w:val="009F0387"/>
    <w:rsid w:val="00A21904"/>
    <w:rsid w:val="00A5697A"/>
    <w:rsid w:val="00A646B0"/>
    <w:rsid w:val="00AA7128"/>
    <w:rsid w:val="00B00BA6"/>
    <w:rsid w:val="00B20BFD"/>
    <w:rsid w:val="00B309F2"/>
    <w:rsid w:val="00B3677A"/>
    <w:rsid w:val="00B763DA"/>
    <w:rsid w:val="00B94ABD"/>
    <w:rsid w:val="00BB7894"/>
    <w:rsid w:val="00BE1D67"/>
    <w:rsid w:val="00BE3BA1"/>
    <w:rsid w:val="00C25C74"/>
    <w:rsid w:val="00C35627"/>
    <w:rsid w:val="00C65932"/>
    <w:rsid w:val="00C82A72"/>
    <w:rsid w:val="00C837F5"/>
    <w:rsid w:val="00C91B21"/>
    <w:rsid w:val="00C9784F"/>
    <w:rsid w:val="00CA7ADC"/>
    <w:rsid w:val="00CB6A51"/>
    <w:rsid w:val="00D033AE"/>
    <w:rsid w:val="00D3066A"/>
    <w:rsid w:val="00D82E61"/>
    <w:rsid w:val="00D9043B"/>
    <w:rsid w:val="00D977E5"/>
    <w:rsid w:val="00DE206F"/>
    <w:rsid w:val="00E620F1"/>
    <w:rsid w:val="00E94AE1"/>
    <w:rsid w:val="00EB06B8"/>
    <w:rsid w:val="00EC74A9"/>
    <w:rsid w:val="00F14633"/>
    <w:rsid w:val="00F37A53"/>
    <w:rsid w:val="00FD2706"/>
    <w:rsid w:val="00FE41CC"/>
    <w:rsid w:val="00FF69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0DDB"/>
  <w15:chartTrackingRefBased/>
  <w15:docId w15:val="{6F62789E-5DBF-45BD-9F39-8F11BCA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F5"/>
    <w:pPr>
      <w:spacing w:after="0" w:line="240" w:lineRule="auto"/>
      <w:jc w:val="both"/>
    </w:pPr>
    <w:rPr>
      <w:rFonts w:ascii="Verdana" w:hAnsi="Verdana"/>
      <w:sz w:val="20"/>
      <w:lang w:val="en-US"/>
    </w:rPr>
  </w:style>
  <w:style w:type="paragraph" w:styleId="Ttulo1">
    <w:name w:val="heading 1"/>
    <w:basedOn w:val="Normal"/>
    <w:next w:val="Normal"/>
    <w:link w:val="Ttulo1Car"/>
    <w:uiPriority w:val="9"/>
    <w:qFormat/>
    <w:rsid w:val="00C837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Prrafodelista"/>
    <w:next w:val="Normal"/>
    <w:link w:val="Ttulo4Car"/>
    <w:qFormat/>
    <w:rsid w:val="00263958"/>
    <w:pPr>
      <w:numPr>
        <w:numId w:val="13"/>
      </w:numPr>
      <w:pBdr>
        <w:top w:val="nil"/>
        <w:left w:val="nil"/>
        <w:bottom w:val="nil"/>
        <w:right w:val="nil"/>
        <w:between w:val="nil"/>
        <w:bar w:val="nil"/>
      </w:pBdr>
      <w:autoSpaceDE/>
      <w:autoSpaceDN/>
      <w:adjustRightInd/>
      <w:spacing w:line="276" w:lineRule="auto"/>
      <w:ind w:right="0"/>
      <w:outlineLvl w:val="3"/>
    </w:pPr>
    <w:rPr>
      <w:rFonts w:eastAsia="Verdana"/>
      <w:b/>
      <w:bCs/>
      <w:color w:val="000000"/>
      <w:u w:color="000000"/>
      <w:bdr w:val="nil"/>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A Fu?notente,C,ft"/>
    <w:basedOn w:val="Normal"/>
    <w:link w:val="TextonotapieCar1"/>
    <w:qFormat/>
    <w:rsid w:val="00C837F5"/>
    <w:pPr>
      <w:tabs>
        <w:tab w:val="left" w:pos="567"/>
      </w:tabs>
    </w:pPr>
    <w:rPr>
      <w:rFonts w:cs="Verdana"/>
      <w:sz w:val="16"/>
      <w:szCs w:val="16"/>
      <w:lang w:val="es-ES_tradnl" w:eastAsia="es-ES"/>
    </w:rPr>
  </w:style>
  <w:style w:type="character" w:customStyle="1" w:styleId="TextonotapieCar">
    <w:name w:val="Texto nota pie Car"/>
    <w:aliases w:val="FA Fußnotentext Car,FA Fuﬂnotentext Car,FA Fu?notente Car"/>
    <w:basedOn w:val="Fuentedeprrafopredeter"/>
    <w:qFormat/>
    <w:rsid w:val="00C837F5"/>
    <w:rPr>
      <w:rFonts w:ascii="Verdana" w:hAnsi="Verdana"/>
      <w:sz w:val="20"/>
      <w:szCs w:val="20"/>
      <w:lang w:val="en-US"/>
    </w:rPr>
  </w:style>
  <w:style w:type="paragraph" w:customStyle="1" w:styleId="Estilo1">
    <w:name w:val="Estilo1"/>
    <w:basedOn w:val="Normal"/>
    <w:link w:val="Estilo1Car"/>
    <w:qFormat/>
    <w:rsid w:val="00C837F5"/>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C837F5"/>
    <w:rPr>
      <w:rFonts w:ascii="Verdana" w:hAnsi="Verdana" w:cs="Times New Roman"/>
      <w:sz w:val="20"/>
      <w:szCs w:val="20"/>
      <w:lang w:val="es-ES"/>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1,Ca Car"/>
    <w:basedOn w:val="Fuentedeprrafopredeter"/>
    <w:link w:val="Textonotapie"/>
    <w:qFormat/>
    <w:locked/>
    <w:rsid w:val="00C837F5"/>
    <w:rPr>
      <w:rFonts w:ascii="Verdana" w:hAnsi="Verdana" w:cs="Verdana"/>
      <w:sz w:val="16"/>
      <w:szCs w:val="16"/>
      <w:lang w:val="es-ES_tradnl" w:eastAsia="es-E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link w:val="4GChar"/>
    <w:uiPriority w:val="99"/>
    <w:qFormat/>
    <w:rsid w:val="00C837F5"/>
    <w:rPr>
      <w:rFonts w:ascii="Verdana" w:hAnsi="Verdana" w:cs="Verdana"/>
      <w:sz w:val="16"/>
      <w:szCs w:val="16"/>
      <w:vertAlign w:val="superscript"/>
    </w:rPr>
  </w:style>
  <w:style w:type="character" w:styleId="Textoennegrita">
    <w:name w:val="Strong"/>
    <w:aliases w:val="Heading 2.1"/>
    <w:basedOn w:val="Fuentedeprrafopredeter"/>
    <w:uiPriority w:val="22"/>
    <w:qFormat/>
    <w:rsid w:val="00C837F5"/>
    <w:rPr>
      <w:b/>
      <w:bCs/>
    </w:rPr>
  </w:style>
  <w:style w:type="paragraph" w:styleId="Prrafodelista">
    <w:name w:val="List Paragraph"/>
    <w:aliases w:val="Footnote,List Paragraph1,Párrafo de lista1,Colorful List - Accent 11,List Paragraph2,Lista vistosa - Énfasis 11,Subtle Emphasis1,Footnote1"/>
    <w:basedOn w:val="Normal"/>
    <w:link w:val="PrrafodelistaCar"/>
    <w:uiPriority w:val="34"/>
    <w:qFormat/>
    <w:rsid w:val="00C837F5"/>
    <w:pPr>
      <w:widowControl w:val="0"/>
      <w:numPr>
        <w:ilvl w:val="1"/>
        <w:numId w:val="1"/>
      </w:numPr>
      <w:autoSpaceDE w:val="0"/>
      <w:autoSpaceDN w:val="0"/>
      <w:adjustRightInd w:val="0"/>
      <w:ind w:right="22"/>
    </w:pPr>
    <w:rPr>
      <w:rFonts w:cs="Verdana"/>
      <w:szCs w:val="20"/>
    </w:rPr>
  </w:style>
  <w:style w:type="character" w:customStyle="1" w:styleId="PrrafodelistaCar">
    <w:name w:val="Párrafo de lista Car"/>
    <w:aliases w:val="Footnote Car,List Paragraph1 Car,Párrafo de lista1 Car,Colorful List - Accent 11 Car,List Paragraph2 Car,Lista vistosa - Énfasis 11 Car,Subtle Emphasis1 Car,Footnote1 Car"/>
    <w:link w:val="Prrafodelista"/>
    <w:rsid w:val="00C837F5"/>
    <w:rPr>
      <w:rFonts w:ascii="Verdana" w:hAnsi="Verdana" w:cs="Verdana"/>
      <w:sz w:val="20"/>
      <w:szCs w:val="20"/>
      <w:lang w:val="en-US"/>
    </w:rPr>
  </w:style>
  <w:style w:type="paragraph" w:styleId="NormalWeb">
    <w:name w:val="Normal (Web)"/>
    <w:aliases w:val="Normal (Web) Char1,Normal (Web) Char Char,Normal (Web) Char1 Char,Normal (Web) Char Char Char"/>
    <w:basedOn w:val="Ttulo1"/>
    <w:next w:val="Normal"/>
    <w:autoRedefine/>
    <w:uiPriority w:val="99"/>
    <w:unhideWhenUsed/>
    <w:qFormat/>
    <w:rsid w:val="00C837F5"/>
    <w:pPr>
      <w:keepNext w:val="0"/>
      <w:tabs>
        <w:tab w:val="center" w:pos="4320"/>
        <w:tab w:val="right" w:pos="8640"/>
      </w:tabs>
      <w:spacing w:before="480" w:line="276" w:lineRule="auto"/>
      <w:jc w:val="left"/>
      <w:outlineLvl w:val="9"/>
    </w:pPr>
    <w:rPr>
      <w:b/>
      <w:bCs/>
      <w:sz w:val="28"/>
      <w:szCs w:val="28"/>
      <w:lang w:val="es-ES_tradnl" w:eastAsia="es-ES_tradnl"/>
    </w:rPr>
  </w:style>
  <w:style w:type="character" w:styleId="Hipervnculo">
    <w:name w:val="Hyperlink"/>
    <w:basedOn w:val="Fuentedeprrafopredeter"/>
    <w:uiPriority w:val="99"/>
    <w:rsid w:val="00C837F5"/>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837F5"/>
    <w:rPr>
      <w:rFonts w:cs="Verdana"/>
      <w:sz w:val="16"/>
      <w:szCs w:val="16"/>
      <w:vertAlign w:val="superscript"/>
      <w:lang w:val="es-CR"/>
    </w:rPr>
  </w:style>
  <w:style w:type="paragraph" w:customStyle="1" w:styleId="Numberedparagraphs">
    <w:name w:val="Numbered paragraphs"/>
    <w:basedOn w:val="Normal"/>
    <w:qFormat/>
    <w:rsid w:val="00C837F5"/>
    <w:pPr>
      <w:numPr>
        <w:numId w:val="2"/>
      </w:numPr>
    </w:pPr>
    <w:rPr>
      <w:rFonts w:eastAsia="MS Mincho" w:cs="Times New Roman"/>
      <w:color w:val="000000"/>
      <w:szCs w:val="20"/>
      <w:lang w:val="es-ES_tradnl"/>
    </w:rPr>
  </w:style>
  <w:style w:type="character" w:customStyle="1" w:styleId="Ttulo1Car">
    <w:name w:val="Título 1 Car"/>
    <w:basedOn w:val="Fuentedeprrafopredeter"/>
    <w:link w:val="Ttulo1"/>
    <w:uiPriority w:val="9"/>
    <w:rsid w:val="00C837F5"/>
    <w:rPr>
      <w:rFonts w:asciiTheme="majorHAnsi" w:eastAsiaTheme="majorEastAsia" w:hAnsiTheme="majorHAnsi" w:cstheme="majorBidi"/>
      <w:color w:val="2E74B5" w:themeColor="accent1" w:themeShade="BF"/>
      <w:sz w:val="32"/>
      <w:szCs w:val="32"/>
      <w:lang w:val="en-US"/>
    </w:rPr>
  </w:style>
  <w:style w:type="table" w:styleId="Tablaconcuadrcula">
    <w:name w:val="Table Grid"/>
    <w:basedOn w:val="Tablanormal"/>
    <w:uiPriority w:val="39"/>
    <w:rsid w:val="006A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82E61"/>
    <w:rPr>
      <w:sz w:val="16"/>
      <w:szCs w:val="16"/>
    </w:rPr>
  </w:style>
  <w:style w:type="paragraph" w:styleId="Sinespaciado">
    <w:name w:val="No Spacing"/>
    <w:uiPriority w:val="1"/>
    <w:qFormat/>
    <w:rsid w:val="00057B50"/>
    <w:pPr>
      <w:spacing w:after="0" w:line="240" w:lineRule="auto"/>
      <w:jc w:val="both"/>
    </w:pPr>
    <w:rPr>
      <w:rFonts w:ascii="Verdana" w:hAnsi="Verdana"/>
      <w:sz w:val="20"/>
      <w:lang w:val="en-US"/>
    </w:rPr>
  </w:style>
  <w:style w:type="character" w:customStyle="1" w:styleId="Ttulo4Car">
    <w:name w:val="Título 4 Car"/>
    <w:basedOn w:val="Fuentedeprrafopredeter"/>
    <w:link w:val="Ttulo4"/>
    <w:rsid w:val="00263958"/>
    <w:rPr>
      <w:rFonts w:ascii="Verdana" w:eastAsia="Verdana" w:hAnsi="Verdana" w:cs="Verdana"/>
      <w:b/>
      <w:bCs/>
      <w:color w:val="000000"/>
      <w:sz w:val="20"/>
      <w:szCs w:val="20"/>
      <w:u w:color="000000"/>
      <w:bdr w:val="nil"/>
      <w:lang w:val="es-ES_tradnl" w:eastAsia="es-CR"/>
    </w:rPr>
  </w:style>
  <w:style w:type="paragraph" w:customStyle="1" w:styleId="PrrafodeSentencia">
    <w:name w:val="*. Párrafo de Sentencia"/>
    <w:basedOn w:val="Normal"/>
    <w:link w:val="PrrafodeSentenciaChar"/>
    <w:qFormat/>
    <w:rsid w:val="00A646B0"/>
    <w:pPr>
      <w:widowControl w:val="0"/>
      <w:numPr>
        <w:numId w:val="13"/>
      </w:numPr>
      <w:tabs>
        <w:tab w:val="left" w:pos="567"/>
      </w:tabs>
      <w:adjustRightInd w:val="0"/>
      <w:spacing w:line="276" w:lineRule="auto"/>
      <w:ind w:left="0" w:firstLine="0"/>
      <w:textAlignment w:val="baseline"/>
    </w:pPr>
    <w:rPr>
      <w:rFonts w:eastAsia="Times New Roman" w:cs="Times New Roman"/>
      <w:szCs w:val="20"/>
      <w:lang w:val="es-ES" w:eastAsia="es-ES"/>
    </w:rPr>
  </w:style>
  <w:style w:type="character" w:customStyle="1" w:styleId="PrrafodeSentenciaChar">
    <w:name w:val="*. Párrafo de Sentencia Char"/>
    <w:link w:val="PrrafodeSentencia"/>
    <w:locked/>
    <w:rsid w:val="00A646B0"/>
    <w:rPr>
      <w:rFonts w:ascii="Verdana" w:eastAsia="Times New Roman" w:hAnsi="Verdana" w:cs="Times New Roman"/>
      <w:sz w:val="20"/>
      <w:szCs w:val="20"/>
      <w:lang w:val="es-ES" w:eastAsia="es-ES"/>
    </w:rPr>
  </w:style>
  <w:style w:type="paragraph" w:styleId="Encabezado">
    <w:name w:val="header"/>
    <w:basedOn w:val="Normal"/>
    <w:link w:val="EncabezadoCar"/>
    <w:uiPriority w:val="99"/>
    <w:unhideWhenUsed/>
    <w:rsid w:val="00DE206F"/>
    <w:pPr>
      <w:tabs>
        <w:tab w:val="center" w:pos="4419"/>
        <w:tab w:val="right" w:pos="8838"/>
      </w:tabs>
    </w:pPr>
  </w:style>
  <w:style w:type="character" w:customStyle="1" w:styleId="EncabezadoCar">
    <w:name w:val="Encabezado Car"/>
    <w:basedOn w:val="Fuentedeprrafopredeter"/>
    <w:link w:val="Encabezado"/>
    <w:uiPriority w:val="99"/>
    <w:rsid w:val="00DE206F"/>
    <w:rPr>
      <w:rFonts w:ascii="Verdana" w:hAnsi="Verdana"/>
      <w:sz w:val="20"/>
      <w:lang w:val="en-US"/>
    </w:rPr>
  </w:style>
  <w:style w:type="paragraph" w:styleId="Piedepgina">
    <w:name w:val="footer"/>
    <w:basedOn w:val="Normal"/>
    <w:link w:val="PiedepginaCar"/>
    <w:uiPriority w:val="99"/>
    <w:unhideWhenUsed/>
    <w:rsid w:val="00DE206F"/>
    <w:pPr>
      <w:tabs>
        <w:tab w:val="center" w:pos="4419"/>
        <w:tab w:val="right" w:pos="8838"/>
      </w:tabs>
    </w:pPr>
  </w:style>
  <w:style w:type="character" w:customStyle="1" w:styleId="PiedepginaCar">
    <w:name w:val="Pie de página Car"/>
    <w:basedOn w:val="Fuentedeprrafopredeter"/>
    <w:link w:val="Piedepgina"/>
    <w:uiPriority w:val="99"/>
    <w:rsid w:val="00DE206F"/>
    <w:rPr>
      <w:rFonts w:ascii="Verdana" w:hAnsi="Verdana"/>
      <w:sz w:val="20"/>
      <w:lang w:val="en-US"/>
    </w:rPr>
  </w:style>
  <w:style w:type="paragraph" w:styleId="Textodeglobo">
    <w:name w:val="Balloon Text"/>
    <w:basedOn w:val="Normal"/>
    <w:link w:val="TextodegloboCar"/>
    <w:uiPriority w:val="99"/>
    <w:semiHidden/>
    <w:unhideWhenUsed/>
    <w:rsid w:val="00456BC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56BCD"/>
    <w:rPr>
      <w:rFonts w:ascii="Times New Roman" w:hAnsi="Times New Roman" w:cs="Times New Roman"/>
      <w:sz w:val="18"/>
      <w:szCs w:val="18"/>
      <w:lang w:val="en-US"/>
    </w:rPr>
  </w:style>
  <w:style w:type="paragraph" w:styleId="Textocomentario">
    <w:name w:val="annotation text"/>
    <w:basedOn w:val="Normal"/>
    <w:link w:val="TextocomentarioCar"/>
    <w:uiPriority w:val="99"/>
    <w:semiHidden/>
    <w:unhideWhenUsed/>
    <w:rsid w:val="00584BCE"/>
    <w:rPr>
      <w:szCs w:val="20"/>
    </w:rPr>
  </w:style>
  <w:style w:type="character" w:customStyle="1" w:styleId="TextocomentarioCar">
    <w:name w:val="Texto comentario Car"/>
    <w:basedOn w:val="Fuentedeprrafopredeter"/>
    <w:link w:val="Textocomentario"/>
    <w:uiPriority w:val="99"/>
    <w:semiHidden/>
    <w:rsid w:val="00584BCE"/>
    <w:rPr>
      <w:rFonts w:ascii="Verdana" w:hAnsi="Verdana"/>
      <w:sz w:val="20"/>
      <w:szCs w:val="20"/>
      <w:lang w:val="en-US"/>
    </w:rPr>
  </w:style>
  <w:style w:type="paragraph" w:styleId="Asuntodelcomentario">
    <w:name w:val="annotation subject"/>
    <w:basedOn w:val="Textocomentario"/>
    <w:next w:val="Textocomentario"/>
    <w:link w:val="AsuntodelcomentarioCar"/>
    <w:uiPriority w:val="99"/>
    <w:semiHidden/>
    <w:unhideWhenUsed/>
    <w:rsid w:val="00584BCE"/>
    <w:rPr>
      <w:b/>
      <w:bCs/>
    </w:rPr>
  </w:style>
  <w:style w:type="character" w:customStyle="1" w:styleId="AsuntodelcomentarioCar">
    <w:name w:val="Asunto del comentario Car"/>
    <w:basedOn w:val="TextocomentarioCar"/>
    <w:link w:val="Asuntodelcomentario"/>
    <w:uiPriority w:val="99"/>
    <w:semiHidden/>
    <w:rsid w:val="00584BCE"/>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1828</Words>
  <Characters>10059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3</cp:revision>
  <dcterms:created xsi:type="dcterms:W3CDTF">2020-10-26T15:28:00Z</dcterms:created>
  <dcterms:modified xsi:type="dcterms:W3CDTF">2020-10-26T19:28:00Z</dcterms:modified>
</cp:coreProperties>
</file>