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37121A" w14:textId="31F667DD" w:rsidR="007D080E" w:rsidRPr="00CD25E5" w:rsidRDefault="007D080E" w:rsidP="00C40754">
      <w:pPr>
        <w:tabs>
          <w:tab w:val="left" w:pos="709"/>
        </w:tabs>
        <w:spacing w:after="0" w:line="240" w:lineRule="auto"/>
        <w:jc w:val="center"/>
        <w:rPr>
          <w:rFonts w:ascii="Verdana" w:hAnsi="Verdana"/>
          <w:b/>
          <w:sz w:val="20"/>
          <w:szCs w:val="20"/>
        </w:rPr>
      </w:pPr>
      <w:r w:rsidRPr="00CD25E5">
        <w:rPr>
          <w:rFonts w:ascii="Verdana" w:hAnsi="Verdana"/>
          <w:b/>
          <w:sz w:val="20"/>
          <w:szCs w:val="20"/>
        </w:rPr>
        <w:t xml:space="preserve">VOTO </w:t>
      </w:r>
      <w:r w:rsidR="00C02A92" w:rsidRPr="00CD25E5">
        <w:rPr>
          <w:rFonts w:ascii="Verdana" w:hAnsi="Verdana"/>
          <w:b/>
          <w:sz w:val="20"/>
          <w:szCs w:val="20"/>
        </w:rPr>
        <w:t>CONCURRENTE Y PARCIALMENTE DISIDENTE</w:t>
      </w:r>
      <w:r w:rsidRPr="00CD25E5">
        <w:rPr>
          <w:rFonts w:ascii="Verdana" w:hAnsi="Verdana"/>
          <w:b/>
          <w:sz w:val="20"/>
          <w:szCs w:val="20"/>
        </w:rPr>
        <w:t xml:space="preserve"> DEL</w:t>
      </w:r>
    </w:p>
    <w:p w14:paraId="14BE14C3" w14:textId="77777777" w:rsidR="007D080E" w:rsidRPr="00CD25E5" w:rsidRDefault="007D080E" w:rsidP="00C40754">
      <w:pPr>
        <w:tabs>
          <w:tab w:val="left" w:pos="709"/>
        </w:tabs>
        <w:spacing w:after="0" w:line="240" w:lineRule="auto"/>
        <w:jc w:val="center"/>
        <w:rPr>
          <w:rFonts w:ascii="Verdana" w:hAnsi="Verdana"/>
          <w:b/>
          <w:sz w:val="20"/>
          <w:szCs w:val="20"/>
        </w:rPr>
      </w:pPr>
      <w:r w:rsidRPr="00CD25E5">
        <w:rPr>
          <w:rFonts w:ascii="Verdana" w:hAnsi="Verdana"/>
          <w:b/>
          <w:sz w:val="20"/>
          <w:szCs w:val="20"/>
        </w:rPr>
        <w:t>JUEZ HUMBERTO ANTONIO SIERRA PORTO</w:t>
      </w:r>
    </w:p>
    <w:p w14:paraId="5B2F41D9" w14:textId="77777777" w:rsidR="007D080E" w:rsidRPr="00CD25E5" w:rsidRDefault="007D080E" w:rsidP="00C40754">
      <w:pPr>
        <w:tabs>
          <w:tab w:val="left" w:pos="709"/>
        </w:tabs>
        <w:spacing w:after="0" w:line="240" w:lineRule="auto"/>
        <w:jc w:val="center"/>
        <w:rPr>
          <w:rFonts w:ascii="Verdana" w:hAnsi="Verdana"/>
          <w:b/>
          <w:sz w:val="20"/>
          <w:szCs w:val="20"/>
        </w:rPr>
      </w:pPr>
    </w:p>
    <w:p w14:paraId="66B07815" w14:textId="54FB68BE" w:rsidR="001A7A3D" w:rsidRPr="00CD25E5" w:rsidRDefault="001A7A3D" w:rsidP="00C40754">
      <w:pPr>
        <w:spacing w:after="0" w:line="240" w:lineRule="auto"/>
        <w:jc w:val="center"/>
        <w:rPr>
          <w:rFonts w:ascii="Verdana" w:eastAsia="MS Mincho" w:hAnsi="Verdana" w:cs="Times New Roman"/>
          <w:b/>
          <w:sz w:val="20"/>
          <w:szCs w:val="20"/>
          <w:lang w:val="es-CR" w:eastAsia="es-CR"/>
        </w:rPr>
      </w:pPr>
      <w:r w:rsidRPr="00CD25E5">
        <w:rPr>
          <w:rFonts w:ascii="Verdana" w:eastAsia="MS Mincho" w:hAnsi="Verdana" w:cs="Times New Roman"/>
          <w:b/>
          <w:sz w:val="20"/>
          <w:szCs w:val="20"/>
          <w:lang w:val="es-CR" w:eastAsia="es-CR"/>
        </w:rPr>
        <w:t>CORTE INTERAMERICANA DE DERECHOS HUMANOS</w:t>
      </w:r>
    </w:p>
    <w:p w14:paraId="1AFBBC6A" w14:textId="77777777" w:rsidR="001A7A3D" w:rsidRPr="00CD25E5" w:rsidRDefault="001A7A3D" w:rsidP="00C40754">
      <w:pPr>
        <w:spacing w:after="0" w:line="240" w:lineRule="auto"/>
        <w:jc w:val="center"/>
        <w:rPr>
          <w:rFonts w:ascii="Verdana" w:eastAsia="MS Mincho" w:hAnsi="Verdana" w:cs="Times New Roman"/>
          <w:b/>
          <w:sz w:val="20"/>
          <w:szCs w:val="20"/>
          <w:lang w:val="es-CR" w:eastAsia="es-CR"/>
        </w:rPr>
      </w:pPr>
    </w:p>
    <w:p w14:paraId="4677DF83" w14:textId="6FD645D6" w:rsidR="001A7A3D" w:rsidRPr="00CD25E5" w:rsidRDefault="001A7A3D" w:rsidP="00C40754">
      <w:pPr>
        <w:spacing w:after="0" w:line="240" w:lineRule="auto"/>
        <w:jc w:val="center"/>
        <w:rPr>
          <w:rFonts w:ascii="Verdana" w:eastAsia="MS Mincho" w:hAnsi="Verdana" w:cs="Times New Roman"/>
          <w:b/>
          <w:sz w:val="20"/>
          <w:szCs w:val="20"/>
          <w:lang w:val="es-CR" w:eastAsia="es-CR"/>
        </w:rPr>
      </w:pPr>
      <w:r w:rsidRPr="00CD25E5">
        <w:rPr>
          <w:rFonts w:ascii="Verdana" w:eastAsia="MS Mincho" w:hAnsi="Verdana" w:cs="Times New Roman"/>
          <w:b/>
          <w:sz w:val="20"/>
          <w:szCs w:val="20"/>
          <w:lang w:val="es-CR" w:eastAsia="es-CR"/>
        </w:rPr>
        <w:t xml:space="preserve">CASO CASA NINA </w:t>
      </w:r>
      <w:r w:rsidRPr="00CD25E5">
        <w:rPr>
          <w:rFonts w:ascii="Verdana" w:eastAsia="MS Mincho" w:hAnsi="Verdana" w:cs="Times New Roman"/>
          <w:b/>
          <w:i/>
          <w:sz w:val="20"/>
          <w:szCs w:val="20"/>
          <w:lang w:val="es-CR" w:eastAsia="es-CR"/>
        </w:rPr>
        <w:t>VS.</w:t>
      </w:r>
      <w:r w:rsidRPr="00CD25E5">
        <w:rPr>
          <w:rFonts w:ascii="Verdana" w:eastAsia="MS Mincho" w:hAnsi="Verdana" w:cs="Times New Roman"/>
          <w:b/>
          <w:sz w:val="20"/>
          <w:szCs w:val="20"/>
          <w:lang w:val="es-CR" w:eastAsia="es-CR"/>
        </w:rPr>
        <w:t xml:space="preserve"> PERÚ</w:t>
      </w:r>
    </w:p>
    <w:p w14:paraId="0A4208F3" w14:textId="77777777" w:rsidR="003C77D5" w:rsidRPr="00CD25E5" w:rsidRDefault="003C77D5" w:rsidP="00C40754">
      <w:pPr>
        <w:spacing w:after="0" w:line="240" w:lineRule="auto"/>
        <w:jc w:val="center"/>
        <w:rPr>
          <w:rFonts w:ascii="Verdana" w:eastAsia="MS Mincho" w:hAnsi="Verdana" w:cs="Times New Roman"/>
          <w:b/>
          <w:sz w:val="20"/>
          <w:szCs w:val="20"/>
          <w:lang w:val="es-CR" w:eastAsia="es-CR"/>
        </w:rPr>
      </w:pPr>
    </w:p>
    <w:p w14:paraId="325913E3" w14:textId="7BBC6157" w:rsidR="007D080E" w:rsidRPr="00CD25E5" w:rsidRDefault="001A7A3D" w:rsidP="00C40754">
      <w:pPr>
        <w:spacing w:after="0" w:line="240" w:lineRule="auto"/>
        <w:jc w:val="center"/>
        <w:rPr>
          <w:rFonts w:ascii="Verdana" w:eastAsia="MS Mincho" w:hAnsi="Verdana" w:cs="Times New Roman"/>
          <w:b/>
          <w:sz w:val="20"/>
          <w:szCs w:val="20"/>
          <w:lang w:val="es-CR" w:eastAsia="es-CR"/>
        </w:rPr>
      </w:pPr>
      <w:r w:rsidRPr="00CD25E5">
        <w:rPr>
          <w:rFonts w:ascii="Verdana" w:eastAsia="MS Mincho" w:hAnsi="Verdana" w:cs="Times New Roman"/>
          <w:b/>
          <w:sz w:val="20"/>
          <w:szCs w:val="20"/>
          <w:lang w:val="es-CR" w:eastAsia="es-CR"/>
        </w:rPr>
        <w:t>SENTENCIA DE 24 DE NOVIEMBRE DE 2020</w:t>
      </w:r>
    </w:p>
    <w:p w14:paraId="67F0342B" w14:textId="2168201B" w:rsidR="007D080E" w:rsidRPr="00CD25E5" w:rsidRDefault="007D080E" w:rsidP="00C40754">
      <w:pPr>
        <w:spacing w:after="0" w:line="240" w:lineRule="auto"/>
        <w:jc w:val="center"/>
        <w:rPr>
          <w:rFonts w:ascii="Verdana" w:eastAsia="Batang" w:hAnsi="Verdana" w:cs="Times"/>
          <w:b/>
          <w:i/>
          <w:smallCaps/>
          <w:sz w:val="20"/>
          <w:szCs w:val="20"/>
          <w:lang w:val="es-CR" w:eastAsia="es-CR"/>
        </w:rPr>
      </w:pPr>
      <w:r w:rsidRPr="00CD25E5">
        <w:rPr>
          <w:rFonts w:ascii="Verdana" w:eastAsia="MS Mincho" w:hAnsi="Verdana" w:cs="Times New Roman"/>
          <w:b/>
          <w:i/>
          <w:sz w:val="20"/>
          <w:szCs w:val="20"/>
          <w:lang w:val="es-CR" w:eastAsia="es-CR"/>
        </w:rPr>
        <w:t>(</w:t>
      </w:r>
      <w:r w:rsidR="006B4E02" w:rsidRPr="00CD25E5">
        <w:rPr>
          <w:rFonts w:ascii="Verdana" w:eastAsia="MS Mincho" w:hAnsi="Verdana" w:cs="Times New Roman"/>
          <w:b/>
          <w:i/>
          <w:sz w:val="20"/>
          <w:szCs w:val="20"/>
          <w:lang w:val="es-CR" w:eastAsia="es-CR"/>
        </w:rPr>
        <w:t xml:space="preserve">Excepciones Preliminares, </w:t>
      </w:r>
      <w:r w:rsidRPr="00CD25E5">
        <w:rPr>
          <w:rFonts w:ascii="Verdana" w:eastAsia="MS Mincho" w:hAnsi="Verdana" w:cs="Times New Roman"/>
          <w:b/>
          <w:i/>
          <w:sz w:val="20"/>
          <w:szCs w:val="20"/>
          <w:lang w:val="es-CR" w:eastAsia="es-CR"/>
        </w:rPr>
        <w:t>Fondo, Reparaciones y Costas)</w:t>
      </w:r>
    </w:p>
    <w:p w14:paraId="050E541B" w14:textId="77777777" w:rsidR="007D080E" w:rsidRPr="00CD25E5" w:rsidRDefault="007D080E" w:rsidP="00C40754">
      <w:pPr>
        <w:tabs>
          <w:tab w:val="left" w:pos="709"/>
        </w:tabs>
        <w:spacing w:after="0" w:line="240" w:lineRule="auto"/>
        <w:jc w:val="center"/>
        <w:rPr>
          <w:rFonts w:ascii="Verdana" w:hAnsi="Verdana"/>
          <w:b/>
          <w:sz w:val="20"/>
          <w:szCs w:val="20"/>
          <w:lang w:val="es-CR"/>
        </w:rPr>
      </w:pPr>
    </w:p>
    <w:p w14:paraId="23E099E7" w14:textId="0E5B7EAB" w:rsidR="00E30469" w:rsidRPr="00CD25E5" w:rsidRDefault="007D080E" w:rsidP="00C40754">
      <w:pPr>
        <w:pStyle w:val="Prrafodelista"/>
        <w:numPr>
          <w:ilvl w:val="0"/>
          <w:numId w:val="5"/>
        </w:numPr>
        <w:autoSpaceDE w:val="0"/>
        <w:autoSpaceDN w:val="0"/>
        <w:adjustRightInd w:val="0"/>
        <w:spacing w:after="0" w:line="240" w:lineRule="auto"/>
        <w:ind w:left="0" w:firstLine="0"/>
        <w:jc w:val="both"/>
        <w:rPr>
          <w:rFonts w:ascii="Verdana" w:hAnsi="Verdana"/>
          <w:sz w:val="20"/>
          <w:szCs w:val="20"/>
          <w:lang w:val="es-CR"/>
        </w:rPr>
      </w:pPr>
      <w:r w:rsidRPr="00CD25E5">
        <w:rPr>
          <w:rFonts w:ascii="Verdana" w:hAnsi="Verdana" w:cs="Times New Roman"/>
          <w:sz w:val="20"/>
          <w:szCs w:val="20"/>
          <w:lang w:val="es-CR"/>
        </w:rPr>
        <w:t>Con</w:t>
      </w:r>
      <w:r w:rsidRPr="00CD25E5">
        <w:rPr>
          <w:rFonts w:ascii="Verdana" w:hAnsi="Verdana"/>
          <w:sz w:val="20"/>
          <w:szCs w:val="20"/>
        </w:rPr>
        <w:t xml:space="preserve"> el acostumbrado respeto por las decisiones </w:t>
      </w:r>
      <w:r w:rsidR="00C02A92" w:rsidRPr="00CD25E5">
        <w:rPr>
          <w:rFonts w:ascii="Verdana" w:hAnsi="Verdana"/>
          <w:sz w:val="20"/>
          <w:szCs w:val="20"/>
        </w:rPr>
        <w:t xml:space="preserve">mayoritarias </w:t>
      </w:r>
      <w:r w:rsidRPr="00CD25E5">
        <w:rPr>
          <w:rFonts w:ascii="Verdana" w:hAnsi="Verdana"/>
          <w:sz w:val="20"/>
          <w:szCs w:val="20"/>
        </w:rPr>
        <w:t xml:space="preserve">de la Corte Interamericana de Derechos Humanos (en adelante </w:t>
      </w:r>
      <w:r w:rsidR="006B4E02" w:rsidRPr="00CD25E5">
        <w:rPr>
          <w:rFonts w:ascii="Verdana" w:hAnsi="Verdana"/>
          <w:sz w:val="20"/>
          <w:szCs w:val="20"/>
        </w:rPr>
        <w:t>“</w:t>
      </w:r>
      <w:r w:rsidRPr="00CD25E5">
        <w:rPr>
          <w:rFonts w:ascii="Verdana" w:hAnsi="Verdana"/>
          <w:sz w:val="20"/>
          <w:szCs w:val="20"/>
        </w:rPr>
        <w:t>la Corte</w:t>
      </w:r>
      <w:r w:rsidR="006B4E02" w:rsidRPr="00CD25E5">
        <w:rPr>
          <w:rFonts w:ascii="Verdana" w:hAnsi="Verdana"/>
          <w:sz w:val="20"/>
          <w:szCs w:val="20"/>
        </w:rPr>
        <w:t>”</w:t>
      </w:r>
      <w:r w:rsidRPr="00CD25E5">
        <w:rPr>
          <w:rFonts w:ascii="Verdana" w:hAnsi="Verdana"/>
          <w:sz w:val="20"/>
          <w:szCs w:val="20"/>
        </w:rPr>
        <w:t xml:space="preserve"> o </w:t>
      </w:r>
      <w:r w:rsidR="006B4E02" w:rsidRPr="00CD25E5">
        <w:rPr>
          <w:rFonts w:ascii="Verdana" w:hAnsi="Verdana"/>
          <w:sz w:val="20"/>
          <w:szCs w:val="20"/>
        </w:rPr>
        <w:t>“</w:t>
      </w:r>
      <w:r w:rsidRPr="00CD25E5">
        <w:rPr>
          <w:rFonts w:ascii="Verdana" w:hAnsi="Verdana"/>
          <w:sz w:val="20"/>
          <w:szCs w:val="20"/>
        </w:rPr>
        <w:t>el Tribunal</w:t>
      </w:r>
      <w:r w:rsidR="006B4E02" w:rsidRPr="00CD25E5">
        <w:rPr>
          <w:rFonts w:ascii="Verdana" w:hAnsi="Verdana"/>
          <w:sz w:val="20"/>
          <w:szCs w:val="20"/>
        </w:rPr>
        <w:t>”</w:t>
      </w:r>
      <w:r w:rsidRPr="00CD25E5">
        <w:rPr>
          <w:rFonts w:ascii="Verdana" w:hAnsi="Verdana"/>
          <w:sz w:val="20"/>
          <w:szCs w:val="20"/>
        </w:rPr>
        <w:t xml:space="preserve">), el presente voto tiene por objeto señalar algunas </w:t>
      </w:r>
      <w:r w:rsidR="00FA4CB4" w:rsidRPr="00CD25E5">
        <w:rPr>
          <w:rFonts w:ascii="Verdana" w:hAnsi="Verdana"/>
          <w:sz w:val="20"/>
          <w:szCs w:val="20"/>
        </w:rPr>
        <w:t>discrepancias</w:t>
      </w:r>
      <w:r w:rsidRPr="00CD25E5">
        <w:rPr>
          <w:rFonts w:ascii="Verdana" w:hAnsi="Verdana"/>
          <w:sz w:val="20"/>
          <w:szCs w:val="20"/>
        </w:rPr>
        <w:t xml:space="preserve"> frente al</w:t>
      </w:r>
      <w:r w:rsidRPr="00CD25E5">
        <w:rPr>
          <w:rFonts w:ascii="Verdana" w:hAnsi="Verdana"/>
          <w:sz w:val="20"/>
          <w:szCs w:val="20"/>
          <w:lang w:val="es-CR"/>
        </w:rPr>
        <w:t xml:space="preserve"> análisis de fondo que realizó la Corte acerca de la responsabilidad internacional del Estado de </w:t>
      </w:r>
      <w:r w:rsidR="001E0328" w:rsidRPr="00CD25E5">
        <w:rPr>
          <w:rFonts w:ascii="Verdana" w:hAnsi="Verdana"/>
          <w:sz w:val="20"/>
          <w:szCs w:val="20"/>
          <w:lang w:val="es-CR"/>
        </w:rPr>
        <w:t>Perú</w:t>
      </w:r>
      <w:r w:rsidRPr="00CD25E5">
        <w:rPr>
          <w:rFonts w:ascii="Verdana" w:hAnsi="Verdana"/>
          <w:sz w:val="20"/>
          <w:szCs w:val="20"/>
          <w:lang w:val="es-CR"/>
        </w:rPr>
        <w:t xml:space="preserve"> (en adelante </w:t>
      </w:r>
      <w:r w:rsidR="006B4E02" w:rsidRPr="00CD25E5">
        <w:rPr>
          <w:rFonts w:ascii="Verdana" w:hAnsi="Verdana"/>
          <w:sz w:val="20"/>
          <w:szCs w:val="20"/>
          <w:lang w:val="es-CR"/>
        </w:rPr>
        <w:t>“</w:t>
      </w:r>
      <w:r w:rsidRPr="00CD25E5">
        <w:rPr>
          <w:rFonts w:ascii="Verdana" w:hAnsi="Verdana"/>
          <w:sz w:val="20"/>
          <w:szCs w:val="20"/>
          <w:lang w:val="es-CR"/>
        </w:rPr>
        <w:t>el Estado</w:t>
      </w:r>
      <w:r w:rsidR="006B4E02" w:rsidRPr="00CD25E5">
        <w:rPr>
          <w:rFonts w:ascii="Verdana" w:hAnsi="Verdana"/>
          <w:sz w:val="20"/>
          <w:szCs w:val="20"/>
          <w:lang w:val="es-CR"/>
        </w:rPr>
        <w:t>”</w:t>
      </w:r>
      <w:r w:rsidRPr="00CD25E5">
        <w:rPr>
          <w:rFonts w:ascii="Verdana" w:hAnsi="Verdana"/>
          <w:sz w:val="20"/>
          <w:szCs w:val="20"/>
          <w:lang w:val="es-CR"/>
        </w:rPr>
        <w:t xml:space="preserve"> o </w:t>
      </w:r>
      <w:r w:rsidR="006B4E02" w:rsidRPr="00CD25E5">
        <w:rPr>
          <w:rFonts w:ascii="Verdana" w:hAnsi="Verdana"/>
          <w:sz w:val="20"/>
          <w:szCs w:val="20"/>
          <w:lang w:val="es-CR"/>
        </w:rPr>
        <w:t>“</w:t>
      </w:r>
      <w:r w:rsidR="001E0328" w:rsidRPr="00CD25E5">
        <w:rPr>
          <w:rFonts w:ascii="Verdana" w:hAnsi="Verdana"/>
          <w:sz w:val="20"/>
          <w:szCs w:val="20"/>
          <w:lang w:val="es-CR"/>
        </w:rPr>
        <w:t>Perú</w:t>
      </w:r>
      <w:r w:rsidR="006B4E02" w:rsidRPr="00CD25E5">
        <w:rPr>
          <w:rFonts w:ascii="Verdana" w:hAnsi="Verdana"/>
          <w:sz w:val="20"/>
          <w:szCs w:val="20"/>
          <w:lang w:val="es-CR"/>
        </w:rPr>
        <w:t>”</w:t>
      </w:r>
      <w:r w:rsidRPr="00CD25E5">
        <w:rPr>
          <w:rFonts w:ascii="Verdana" w:hAnsi="Verdana"/>
          <w:sz w:val="20"/>
          <w:szCs w:val="20"/>
          <w:lang w:val="es-CR"/>
        </w:rPr>
        <w:t xml:space="preserve">). </w:t>
      </w:r>
      <w:r w:rsidR="00FE31B7" w:rsidRPr="00CD25E5">
        <w:rPr>
          <w:rFonts w:ascii="Verdana" w:hAnsi="Verdana"/>
          <w:sz w:val="20"/>
          <w:szCs w:val="20"/>
          <w:lang w:val="es-CR"/>
        </w:rPr>
        <w:t>Asimismo,</w:t>
      </w:r>
      <w:r w:rsidRPr="00CD25E5">
        <w:rPr>
          <w:rFonts w:ascii="Verdana" w:hAnsi="Verdana"/>
          <w:sz w:val="20"/>
          <w:szCs w:val="20"/>
          <w:lang w:val="es-CR"/>
        </w:rPr>
        <w:t xml:space="preserve"> explicar mi </w:t>
      </w:r>
      <w:r w:rsidR="00FE31B7" w:rsidRPr="00CD25E5">
        <w:rPr>
          <w:rFonts w:ascii="Verdana" w:hAnsi="Verdana"/>
          <w:sz w:val="20"/>
          <w:szCs w:val="20"/>
          <w:lang w:val="es-CR"/>
        </w:rPr>
        <w:t>disidencia parcial frente al</w:t>
      </w:r>
      <w:r w:rsidRPr="00CD25E5">
        <w:rPr>
          <w:rFonts w:ascii="Verdana" w:hAnsi="Verdana"/>
          <w:sz w:val="20"/>
          <w:szCs w:val="20"/>
          <w:lang w:val="es-CR"/>
        </w:rPr>
        <w:t xml:space="preserve"> punto resolutivo 3</w:t>
      </w:r>
      <w:r w:rsidR="00440960" w:rsidRPr="00CD25E5">
        <w:rPr>
          <w:rFonts w:ascii="Verdana" w:hAnsi="Verdana"/>
          <w:sz w:val="20"/>
          <w:szCs w:val="20"/>
          <w:lang w:val="es-CR"/>
        </w:rPr>
        <w:t xml:space="preserve"> </w:t>
      </w:r>
      <w:r w:rsidRPr="00CD25E5">
        <w:rPr>
          <w:rFonts w:ascii="Verdana" w:hAnsi="Verdana"/>
          <w:sz w:val="20"/>
          <w:szCs w:val="20"/>
          <w:lang w:val="es-CR"/>
        </w:rPr>
        <w:t xml:space="preserve">en </w:t>
      </w:r>
      <w:r w:rsidR="00091E4C" w:rsidRPr="00CD25E5">
        <w:rPr>
          <w:rFonts w:ascii="Verdana" w:hAnsi="Verdana"/>
          <w:sz w:val="20"/>
          <w:szCs w:val="20"/>
          <w:lang w:val="es-CR"/>
        </w:rPr>
        <w:t>el que</w:t>
      </w:r>
      <w:r w:rsidRPr="00CD25E5">
        <w:rPr>
          <w:rFonts w:ascii="Verdana" w:hAnsi="Verdana"/>
          <w:sz w:val="20"/>
          <w:szCs w:val="20"/>
          <w:lang w:val="es-CR"/>
        </w:rPr>
        <w:t xml:space="preserve"> se declararon violad</w:t>
      </w:r>
      <w:r w:rsidR="00FE31B7" w:rsidRPr="00CD25E5">
        <w:rPr>
          <w:rFonts w:ascii="Verdana" w:hAnsi="Verdana"/>
          <w:sz w:val="20"/>
          <w:szCs w:val="20"/>
          <w:lang w:val="es-CR"/>
        </w:rPr>
        <w:t>a</w:t>
      </w:r>
      <w:r w:rsidRPr="00CD25E5">
        <w:rPr>
          <w:rFonts w:ascii="Verdana" w:hAnsi="Verdana"/>
          <w:sz w:val="20"/>
          <w:szCs w:val="20"/>
          <w:lang w:val="es-CR"/>
        </w:rPr>
        <w:t xml:space="preserve">s </w:t>
      </w:r>
      <w:r w:rsidR="00091E4C" w:rsidRPr="00CD25E5">
        <w:rPr>
          <w:rFonts w:ascii="Verdana" w:hAnsi="Verdana"/>
          <w:sz w:val="20"/>
          <w:szCs w:val="20"/>
          <w:lang w:val="es-CR"/>
        </w:rPr>
        <w:t>conjunta</w:t>
      </w:r>
      <w:r w:rsidR="002807D2" w:rsidRPr="00CD25E5">
        <w:rPr>
          <w:rFonts w:ascii="Verdana" w:hAnsi="Verdana"/>
          <w:sz w:val="20"/>
          <w:szCs w:val="20"/>
          <w:lang w:val="es-CR"/>
        </w:rPr>
        <w:t xml:space="preserve">mente las </w:t>
      </w:r>
      <w:r w:rsidR="00091E4C" w:rsidRPr="00CD25E5">
        <w:rPr>
          <w:rFonts w:ascii="Verdana" w:hAnsi="Verdana"/>
          <w:sz w:val="20"/>
          <w:szCs w:val="20"/>
          <w:lang w:val="es-CR"/>
        </w:rPr>
        <w:t>garantías judiciales, el derecho de permanecer en el cargo en condiciones de igualdad y el derecho al trabajo</w:t>
      </w:r>
      <w:r w:rsidR="00FE31B7" w:rsidRPr="00CD25E5">
        <w:rPr>
          <w:rFonts w:ascii="Verdana" w:hAnsi="Verdana"/>
          <w:sz w:val="20"/>
          <w:szCs w:val="20"/>
          <w:lang w:val="es-CR"/>
        </w:rPr>
        <w:t xml:space="preserve"> del señor Julio Casa Nina</w:t>
      </w:r>
      <w:r w:rsidRPr="00CD25E5">
        <w:rPr>
          <w:rFonts w:ascii="Verdana" w:hAnsi="Verdana"/>
          <w:sz w:val="20"/>
          <w:szCs w:val="20"/>
          <w:lang w:val="es-CR"/>
        </w:rPr>
        <w:t>.</w:t>
      </w:r>
    </w:p>
    <w:p w14:paraId="0F42AA70" w14:textId="77777777" w:rsidR="006B4E02" w:rsidRPr="00CD25E5" w:rsidRDefault="006B4E02" w:rsidP="00C40754">
      <w:pPr>
        <w:pStyle w:val="Prrafodelista"/>
        <w:autoSpaceDE w:val="0"/>
        <w:autoSpaceDN w:val="0"/>
        <w:adjustRightInd w:val="0"/>
        <w:spacing w:after="0" w:line="240" w:lineRule="auto"/>
        <w:ind w:left="0"/>
        <w:jc w:val="both"/>
        <w:rPr>
          <w:rFonts w:ascii="Verdana" w:hAnsi="Verdana"/>
          <w:sz w:val="20"/>
          <w:szCs w:val="20"/>
          <w:lang w:val="es-CR"/>
        </w:rPr>
      </w:pPr>
    </w:p>
    <w:p w14:paraId="5827C857" w14:textId="4E24CC16" w:rsidR="00E30469" w:rsidRPr="00CD25E5" w:rsidRDefault="00FE31B7" w:rsidP="00C40754">
      <w:pPr>
        <w:pStyle w:val="Prrafodelista"/>
        <w:numPr>
          <w:ilvl w:val="0"/>
          <w:numId w:val="5"/>
        </w:numPr>
        <w:autoSpaceDE w:val="0"/>
        <w:autoSpaceDN w:val="0"/>
        <w:adjustRightInd w:val="0"/>
        <w:spacing w:after="0" w:line="240" w:lineRule="auto"/>
        <w:ind w:left="0" w:firstLine="0"/>
        <w:jc w:val="both"/>
        <w:rPr>
          <w:rFonts w:ascii="Verdana" w:hAnsi="Verdana"/>
          <w:sz w:val="20"/>
          <w:szCs w:val="20"/>
          <w:lang w:val="es-CR"/>
        </w:rPr>
      </w:pPr>
      <w:r w:rsidRPr="00CD25E5">
        <w:rPr>
          <w:rFonts w:ascii="Verdana" w:hAnsi="Verdana"/>
          <w:sz w:val="20"/>
          <w:szCs w:val="20"/>
          <w:lang w:val="es-CR"/>
        </w:rPr>
        <w:t>Con este propósito abordar</w:t>
      </w:r>
      <w:r w:rsidR="00CA5A67" w:rsidRPr="00CD25E5">
        <w:rPr>
          <w:rFonts w:ascii="Verdana" w:hAnsi="Verdana"/>
          <w:sz w:val="20"/>
          <w:szCs w:val="20"/>
          <w:lang w:val="es-CR"/>
        </w:rPr>
        <w:t>é los siguientes puntos</w:t>
      </w:r>
      <w:r w:rsidR="006B4E02" w:rsidRPr="00CD25E5">
        <w:rPr>
          <w:rFonts w:ascii="Verdana" w:hAnsi="Verdana"/>
          <w:sz w:val="20"/>
          <w:szCs w:val="20"/>
          <w:lang w:val="es-CR"/>
        </w:rPr>
        <w:t>:</w:t>
      </w:r>
      <w:r w:rsidR="00CA5A67" w:rsidRPr="00CD25E5">
        <w:rPr>
          <w:rFonts w:ascii="Verdana" w:hAnsi="Verdana"/>
          <w:sz w:val="20"/>
          <w:szCs w:val="20"/>
          <w:lang w:val="es-CR"/>
        </w:rPr>
        <w:t xml:space="preserve"> </w:t>
      </w:r>
      <w:r w:rsidR="003D3D6D" w:rsidRPr="00CD25E5">
        <w:rPr>
          <w:rFonts w:ascii="Verdana" w:hAnsi="Verdana"/>
          <w:sz w:val="20"/>
          <w:szCs w:val="20"/>
          <w:lang w:val="es-CR"/>
        </w:rPr>
        <w:t>i)</w:t>
      </w:r>
      <w:r w:rsidR="00CA5A67" w:rsidRPr="00CD25E5">
        <w:rPr>
          <w:rFonts w:ascii="Verdana" w:hAnsi="Verdana"/>
          <w:sz w:val="20"/>
          <w:szCs w:val="20"/>
          <w:lang w:val="es-CR"/>
        </w:rPr>
        <w:t xml:space="preserve"> </w:t>
      </w:r>
      <w:r w:rsidR="003D3D6D" w:rsidRPr="00CD25E5">
        <w:rPr>
          <w:rFonts w:ascii="Verdana" w:hAnsi="Verdana"/>
          <w:sz w:val="20"/>
          <w:szCs w:val="20"/>
          <w:lang w:val="es-CR"/>
        </w:rPr>
        <w:t xml:space="preserve">la práctica de abordar las alegadas violaciones en un </w:t>
      </w:r>
      <w:r w:rsidR="00EE5D69" w:rsidRPr="00CD25E5">
        <w:rPr>
          <w:rFonts w:ascii="Verdana" w:hAnsi="Verdana"/>
          <w:sz w:val="20"/>
          <w:szCs w:val="20"/>
          <w:lang w:val="es-CR"/>
        </w:rPr>
        <w:t>mismo</w:t>
      </w:r>
      <w:r w:rsidR="003D3D6D" w:rsidRPr="00CD25E5">
        <w:rPr>
          <w:rFonts w:ascii="Verdana" w:hAnsi="Verdana"/>
          <w:sz w:val="20"/>
          <w:szCs w:val="20"/>
          <w:lang w:val="es-CR"/>
        </w:rPr>
        <w:t xml:space="preserve"> </w:t>
      </w:r>
      <w:r w:rsidR="00EE5D69" w:rsidRPr="00CD25E5">
        <w:rPr>
          <w:rFonts w:ascii="Verdana" w:hAnsi="Verdana"/>
          <w:sz w:val="20"/>
          <w:szCs w:val="20"/>
          <w:lang w:val="es-CR"/>
        </w:rPr>
        <w:t>punto resolutivo</w:t>
      </w:r>
      <w:r w:rsidR="00992E23" w:rsidRPr="00CD25E5">
        <w:rPr>
          <w:rFonts w:ascii="Verdana" w:hAnsi="Verdana"/>
          <w:sz w:val="20"/>
          <w:szCs w:val="20"/>
          <w:lang w:val="es-CR"/>
        </w:rPr>
        <w:t xml:space="preserve"> </w:t>
      </w:r>
      <w:r w:rsidR="003C77D5" w:rsidRPr="00CD25E5">
        <w:rPr>
          <w:rFonts w:ascii="Verdana" w:hAnsi="Verdana"/>
          <w:bCs/>
          <w:sz w:val="20"/>
          <w:szCs w:val="20"/>
          <w:lang w:val="es-CR"/>
        </w:rPr>
        <w:t xml:space="preserve">y la </w:t>
      </w:r>
      <w:proofErr w:type="spellStart"/>
      <w:r w:rsidR="003C77D5" w:rsidRPr="00CD25E5">
        <w:rPr>
          <w:rFonts w:ascii="Verdana" w:hAnsi="Verdana"/>
          <w:bCs/>
          <w:sz w:val="20"/>
          <w:szCs w:val="20"/>
          <w:lang w:val="es-CR"/>
        </w:rPr>
        <w:t>justiciabilidad</w:t>
      </w:r>
      <w:proofErr w:type="spellEnd"/>
      <w:r w:rsidR="003C77D5" w:rsidRPr="00CD25E5">
        <w:rPr>
          <w:rFonts w:ascii="Verdana" w:hAnsi="Verdana"/>
          <w:bCs/>
          <w:sz w:val="20"/>
          <w:szCs w:val="20"/>
          <w:lang w:val="es-CR"/>
        </w:rPr>
        <w:t xml:space="preserve"> de los derechos económicos, sociales, culturales y ambientales</w:t>
      </w:r>
      <w:r w:rsidR="00992E23" w:rsidRPr="00CD25E5">
        <w:rPr>
          <w:rFonts w:ascii="Verdana" w:hAnsi="Verdana"/>
          <w:sz w:val="20"/>
          <w:szCs w:val="20"/>
          <w:lang w:val="es-CR"/>
        </w:rPr>
        <w:t xml:space="preserve">; </w:t>
      </w:r>
      <w:proofErr w:type="spellStart"/>
      <w:r w:rsidR="00992E23" w:rsidRPr="00CD25E5">
        <w:rPr>
          <w:rFonts w:ascii="Verdana" w:hAnsi="Verdana"/>
          <w:sz w:val="20"/>
          <w:szCs w:val="20"/>
          <w:lang w:val="es-CR"/>
        </w:rPr>
        <w:t>ii</w:t>
      </w:r>
      <w:proofErr w:type="spellEnd"/>
      <w:r w:rsidR="00992E23" w:rsidRPr="00CD25E5">
        <w:rPr>
          <w:rFonts w:ascii="Verdana" w:hAnsi="Verdana"/>
          <w:sz w:val="20"/>
          <w:szCs w:val="20"/>
          <w:lang w:val="es-CR"/>
        </w:rPr>
        <w:t xml:space="preserve">) </w:t>
      </w:r>
      <w:r w:rsidR="004A2960" w:rsidRPr="00CD25E5">
        <w:rPr>
          <w:rFonts w:ascii="Verdana" w:hAnsi="Verdana"/>
          <w:sz w:val="20"/>
          <w:szCs w:val="20"/>
          <w:lang w:val="es-CR"/>
        </w:rPr>
        <w:t xml:space="preserve">la </w:t>
      </w:r>
      <w:r w:rsidR="00231FAF" w:rsidRPr="00CD25E5">
        <w:rPr>
          <w:rFonts w:ascii="Verdana" w:hAnsi="Verdana"/>
          <w:sz w:val="20"/>
          <w:szCs w:val="20"/>
          <w:lang w:val="es-CR"/>
        </w:rPr>
        <w:t>interpretación</w:t>
      </w:r>
      <w:r w:rsidR="004A2960" w:rsidRPr="00CD25E5">
        <w:rPr>
          <w:rFonts w:ascii="Verdana" w:hAnsi="Verdana"/>
          <w:sz w:val="20"/>
          <w:szCs w:val="20"/>
          <w:lang w:val="es-CR"/>
        </w:rPr>
        <w:t xml:space="preserve"> </w:t>
      </w:r>
      <w:r w:rsidR="00231FAF" w:rsidRPr="00CD25E5">
        <w:rPr>
          <w:rFonts w:ascii="Verdana" w:hAnsi="Verdana"/>
          <w:sz w:val="20"/>
          <w:szCs w:val="20"/>
          <w:lang w:val="es-CR"/>
        </w:rPr>
        <w:t>ambi</w:t>
      </w:r>
      <w:r w:rsidR="00BF0267" w:rsidRPr="00CD25E5">
        <w:rPr>
          <w:rFonts w:ascii="Verdana" w:hAnsi="Verdana"/>
          <w:sz w:val="20"/>
          <w:szCs w:val="20"/>
          <w:lang w:val="es-CR"/>
        </w:rPr>
        <w:t>v</w:t>
      </w:r>
      <w:r w:rsidR="00231FAF" w:rsidRPr="00CD25E5">
        <w:rPr>
          <w:rFonts w:ascii="Verdana" w:hAnsi="Verdana"/>
          <w:sz w:val="20"/>
          <w:szCs w:val="20"/>
          <w:lang w:val="es-CR"/>
        </w:rPr>
        <w:t xml:space="preserve">alente del artículo 23 en relación con </w:t>
      </w:r>
      <w:r w:rsidR="00B3239F" w:rsidRPr="00CD25E5">
        <w:rPr>
          <w:rFonts w:ascii="Verdana" w:hAnsi="Verdana"/>
          <w:sz w:val="20"/>
          <w:szCs w:val="20"/>
          <w:lang w:val="es-CR"/>
        </w:rPr>
        <w:t>la desvinculación de funcionarios públicos</w:t>
      </w:r>
      <w:r w:rsidR="00AA7A69" w:rsidRPr="00CD25E5">
        <w:rPr>
          <w:rFonts w:ascii="Verdana" w:hAnsi="Verdana"/>
          <w:sz w:val="20"/>
          <w:szCs w:val="20"/>
          <w:lang w:val="es-CR"/>
        </w:rPr>
        <w:t xml:space="preserve">; </w:t>
      </w:r>
      <w:proofErr w:type="spellStart"/>
      <w:r w:rsidR="003D3D6D" w:rsidRPr="00CD25E5">
        <w:rPr>
          <w:rFonts w:ascii="Verdana" w:hAnsi="Verdana"/>
          <w:sz w:val="20"/>
          <w:szCs w:val="20"/>
          <w:lang w:val="es-CR"/>
        </w:rPr>
        <w:t>i</w:t>
      </w:r>
      <w:r w:rsidR="00A2050B" w:rsidRPr="00CD25E5">
        <w:rPr>
          <w:rFonts w:ascii="Verdana" w:hAnsi="Verdana"/>
          <w:sz w:val="20"/>
          <w:szCs w:val="20"/>
          <w:lang w:val="es-CR"/>
        </w:rPr>
        <w:t>i</w:t>
      </w:r>
      <w:r w:rsidR="003D3D6D" w:rsidRPr="00CD25E5">
        <w:rPr>
          <w:rFonts w:ascii="Verdana" w:hAnsi="Verdana"/>
          <w:sz w:val="20"/>
          <w:szCs w:val="20"/>
          <w:lang w:val="es-CR"/>
        </w:rPr>
        <w:t>i</w:t>
      </w:r>
      <w:proofErr w:type="spellEnd"/>
      <w:r w:rsidR="003D3D6D" w:rsidRPr="00CD25E5">
        <w:rPr>
          <w:rFonts w:ascii="Verdana" w:hAnsi="Verdana"/>
          <w:sz w:val="20"/>
          <w:szCs w:val="20"/>
          <w:lang w:val="es-CR"/>
        </w:rPr>
        <w:t xml:space="preserve">) </w:t>
      </w:r>
      <w:r w:rsidR="005F2D31" w:rsidRPr="00CD25E5">
        <w:rPr>
          <w:rFonts w:ascii="Verdana" w:hAnsi="Verdana"/>
          <w:sz w:val="20"/>
          <w:szCs w:val="20"/>
          <w:lang w:val="es-CR"/>
        </w:rPr>
        <w:t xml:space="preserve">la falta de relación </w:t>
      </w:r>
      <w:r w:rsidR="00B3239F" w:rsidRPr="00CD25E5">
        <w:rPr>
          <w:rFonts w:ascii="Verdana" w:hAnsi="Verdana"/>
          <w:sz w:val="20"/>
          <w:szCs w:val="20"/>
          <w:lang w:val="es-CR"/>
        </w:rPr>
        <w:t>entre las</w:t>
      </w:r>
      <w:r w:rsidR="005F2D31" w:rsidRPr="00CD25E5">
        <w:rPr>
          <w:rFonts w:ascii="Verdana" w:hAnsi="Verdana"/>
          <w:sz w:val="20"/>
          <w:szCs w:val="20"/>
          <w:lang w:val="es-CR"/>
        </w:rPr>
        <w:t xml:space="preserve"> nociones de estabilidad laboral y los criterios </w:t>
      </w:r>
      <w:r w:rsidR="003978EA" w:rsidRPr="00CD25E5">
        <w:rPr>
          <w:rFonts w:ascii="Verdana" w:hAnsi="Verdana"/>
          <w:sz w:val="20"/>
          <w:szCs w:val="20"/>
          <w:lang w:val="es-CR"/>
        </w:rPr>
        <w:t xml:space="preserve">que </w:t>
      </w:r>
      <w:r w:rsidR="00A2050B" w:rsidRPr="00CD25E5">
        <w:rPr>
          <w:rFonts w:ascii="Verdana" w:hAnsi="Verdana"/>
          <w:sz w:val="20"/>
          <w:szCs w:val="20"/>
          <w:lang w:val="es-CR"/>
        </w:rPr>
        <w:t>condicionan</w:t>
      </w:r>
      <w:r w:rsidR="00AE4212" w:rsidRPr="00CD25E5">
        <w:rPr>
          <w:rFonts w:ascii="Verdana" w:hAnsi="Verdana"/>
          <w:sz w:val="20"/>
          <w:szCs w:val="20"/>
          <w:lang w:val="es-CR"/>
        </w:rPr>
        <w:t xml:space="preserve"> los cargos de provisionalidad: </w:t>
      </w:r>
      <w:r w:rsidR="00A2050B" w:rsidRPr="00CD25E5">
        <w:rPr>
          <w:rFonts w:ascii="Verdana" w:hAnsi="Verdana"/>
          <w:sz w:val="20"/>
          <w:szCs w:val="20"/>
          <w:lang w:val="es-CR"/>
        </w:rPr>
        <w:t xml:space="preserve">el </w:t>
      </w:r>
      <w:r w:rsidR="003978EA" w:rsidRPr="00CD25E5">
        <w:rPr>
          <w:rFonts w:ascii="Verdana" w:hAnsi="Verdana"/>
          <w:sz w:val="20"/>
          <w:szCs w:val="20"/>
          <w:lang w:val="es-CR"/>
        </w:rPr>
        <w:t>plazo</w:t>
      </w:r>
      <w:r w:rsidR="006B4E02" w:rsidRPr="00CD25E5">
        <w:rPr>
          <w:rFonts w:ascii="Verdana" w:hAnsi="Verdana"/>
          <w:sz w:val="20"/>
          <w:szCs w:val="20"/>
          <w:lang w:val="es-CR"/>
        </w:rPr>
        <w:t>,</w:t>
      </w:r>
      <w:r w:rsidR="009E7100" w:rsidRPr="00CD25E5">
        <w:rPr>
          <w:rFonts w:ascii="Verdana" w:hAnsi="Verdana"/>
          <w:sz w:val="20"/>
          <w:szCs w:val="20"/>
          <w:lang w:val="es-CR"/>
        </w:rPr>
        <w:t xml:space="preserve"> y</w:t>
      </w:r>
      <w:r w:rsidR="00146103" w:rsidRPr="00CD25E5">
        <w:rPr>
          <w:rFonts w:ascii="Verdana" w:hAnsi="Verdana"/>
          <w:sz w:val="20"/>
          <w:szCs w:val="20"/>
          <w:lang w:val="es-CR"/>
        </w:rPr>
        <w:t xml:space="preserve"> </w:t>
      </w:r>
      <w:proofErr w:type="spellStart"/>
      <w:r w:rsidR="00886457" w:rsidRPr="00CD25E5">
        <w:rPr>
          <w:rFonts w:ascii="Verdana" w:hAnsi="Verdana"/>
          <w:sz w:val="20"/>
          <w:szCs w:val="20"/>
          <w:lang w:val="es-CR"/>
        </w:rPr>
        <w:t>iv</w:t>
      </w:r>
      <w:proofErr w:type="spellEnd"/>
      <w:r w:rsidR="00886457" w:rsidRPr="00CD25E5">
        <w:rPr>
          <w:rFonts w:ascii="Verdana" w:hAnsi="Verdana"/>
          <w:sz w:val="20"/>
          <w:szCs w:val="20"/>
          <w:lang w:val="es-CR"/>
        </w:rPr>
        <w:t xml:space="preserve">) </w:t>
      </w:r>
      <w:r w:rsidR="00146103" w:rsidRPr="00CD25E5">
        <w:rPr>
          <w:rFonts w:ascii="Verdana" w:hAnsi="Verdana"/>
          <w:sz w:val="20"/>
          <w:szCs w:val="20"/>
          <w:lang w:val="es-CR"/>
        </w:rPr>
        <w:t>el alcance de la noción control de convencionalidad en lo que refiere a la obligación de reformar disposiciones del derecho interno</w:t>
      </w:r>
      <w:r w:rsidR="00064BC4" w:rsidRPr="00CD25E5">
        <w:rPr>
          <w:rFonts w:ascii="Verdana" w:hAnsi="Verdana"/>
          <w:sz w:val="20"/>
          <w:szCs w:val="20"/>
          <w:lang w:val="es-CR"/>
        </w:rPr>
        <w:t xml:space="preserve"> y</w:t>
      </w:r>
      <w:r w:rsidR="00DE28BB" w:rsidRPr="00CD25E5">
        <w:rPr>
          <w:rFonts w:ascii="Verdana" w:hAnsi="Verdana"/>
          <w:sz w:val="20"/>
          <w:szCs w:val="20"/>
          <w:lang w:val="es-CR"/>
        </w:rPr>
        <w:t xml:space="preserve"> </w:t>
      </w:r>
      <w:r w:rsidR="00064BC4" w:rsidRPr="00CD25E5">
        <w:rPr>
          <w:rFonts w:ascii="Verdana" w:hAnsi="Verdana"/>
          <w:sz w:val="20"/>
          <w:szCs w:val="20"/>
          <w:lang w:val="es-CR"/>
        </w:rPr>
        <w:t>la noción de recurso judicial efectivo</w:t>
      </w:r>
      <w:r w:rsidR="00886457" w:rsidRPr="00CD25E5">
        <w:rPr>
          <w:rFonts w:ascii="Verdana" w:hAnsi="Verdana"/>
          <w:sz w:val="20"/>
          <w:szCs w:val="20"/>
          <w:lang w:val="es-CR"/>
        </w:rPr>
        <w:t xml:space="preserve">. </w:t>
      </w:r>
    </w:p>
    <w:p w14:paraId="4E23AB2A" w14:textId="402B747E" w:rsidR="006B4E02" w:rsidRPr="00CD25E5" w:rsidRDefault="006B4E02" w:rsidP="00C40754">
      <w:pPr>
        <w:pStyle w:val="Prrafodelista"/>
        <w:autoSpaceDE w:val="0"/>
        <w:autoSpaceDN w:val="0"/>
        <w:adjustRightInd w:val="0"/>
        <w:spacing w:after="0" w:line="240" w:lineRule="auto"/>
        <w:ind w:left="0"/>
        <w:jc w:val="both"/>
        <w:rPr>
          <w:rFonts w:ascii="Verdana" w:hAnsi="Verdana"/>
          <w:sz w:val="20"/>
          <w:szCs w:val="20"/>
          <w:lang w:val="es-CR"/>
        </w:rPr>
      </w:pPr>
    </w:p>
    <w:p w14:paraId="4D135475" w14:textId="341157E1" w:rsidR="004F009B" w:rsidRPr="00CD25E5" w:rsidRDefault="009D5950" w:rsidP="00C40754">
      <w:pPr>
        <w:pStyle w:val="Prrafodelista"/>
        <w:numPr>
          <w:ilvl w:val="0"/>
          <w:numId w:val="5"/>
        </w:numPr>
        <w:autoSpaceDE w:val="0"/>
        <w:autoSpaceDN w:val="0"/>
        <w:adjustRightInd w:val="0"/>
        <w:spacing w:after="0" w:line="240" w:lineRule="auto"/>
        <w:ind w:left="0" w:firstLine="0"/>
        <w:jc w:val="both"/>
        <w:rPr>
          <w:rFonts w:ascii="Verdana" w:hAnsi="Verdana"/>
          <w:sz w:val="20"/>
          <w:szCs w:val="20"/>
          <w:lang w:val="es-CR"/>
        </w:rPr>
      </w:pPr>
      <w:r w:rsidRPr="00CD25E5">
        <w:rPr>
          <w:rFonts w:ascii="Verdana" w:hAnsi="Verdana"/>
          <w:sz w:val="20"/>
          <w:szCs w:val="20"/>
          <w:lang w:val="es-CR"/>
        </w:rPr>
        <w:t>En este sentido, el voto complementa la posición ya expresada en mis votos parcialmente disidentes a los casos</w:t>
      </w:r>
      <w:r w:rsidR="009C3FB2" w:rsidRPr="00CD25E5">
        <w:rPr>
          <w:rFonts w:ascii="Verdana" w:hAnsi="Verdana"/>
          <w:sz w:val="20"/>
          <w:szCs w:val="20"/>
          <w:lang w:val="es-CR"/>
        </w:rPr>
        <w:t xml:space="preserve"> </w:t>
      </w:r>
      <w:r w:rsidR="004F009B" w:rsidRPr="00CD25E5">
        <w:rPr>
          <w:rFonts w:ascii="Verdana" w:hAnsi="Verdana"/>
          <w:i/>
          <w:sz w:val="20"/>
          <w:szCs w:val="20"/>
        </w:rPr>
        <w:t>Lagos del Campo Vs. Perú</w:t>
      </w:r>
      <w:r w:rsidR="004F009B" w:rsidRPr="00CD25E5">
        <w:rPr>
          <w:rStyle w:val="Refdenotaalpie"/>
          <w:rFonts w:ascii="Verdana" w:hAnsi="Verdana"/>
          <w:sz w:val="20"/>
          <w:szCs w:val="20"/>
        </w:rPr>
        <w:footnoteReference w:id="1"/>
      </w:r>
      <w:r w:rsidR="004F009B" w:rsidRPr="00CD25E5">
        <w:rPr>
          <w:rFonts w:ascii="Verdana" w:hAnsi="Verdana"/>
          <w:sz w:val="20"/>
          <w:szCs w:val="20"/>
        </w:rPr>
        <w:t xml:space="preserve">, </w:t>
      </w:r>
      <w:r w:rsidR="004F009B" w:rsidRPr="00CD25E5">
        <w:rPr>
          <w:rFonts w:ascii="Verdana" w:hAnsi="Verdana"/>
          <w:i/>
          <w:sz w:val="20"/>
          <w:szCs w:val="20"/>
        </w:rPr>
        <w:t>Trabajadores Cesados de Petroperú y otros Vs. Perú</w:t>
      </w:r>
      <w:r w:rsidR="004F009B" w:rsidRPr="00CD25E5">
        <w:rPr>
          <w:rStyle w:val="Refdenotaalpie"/>
          <w:rFonts w:ascii="Verdana" w:hAnsi="Verdana"/>
          <w:sz w:val="20"/>
          <w:szCs w:val="20"/>
        </w:rPr>
        <w:footnoteReference w:id="2"/>
      </w:r>
      <w:r w:rsidR="004F009B" w:rsidRPr="00CD25E5">
        <w:rPr>
          <w:rFonts w:ascii="Verdana" w:hAnsi="Verdana"/>
          <w:sz w:val="20"/>
          <w:szCs w:val="20"/>
        </w:rPr>
        <w:t xml:space="preserve">, </w:t>
      </w:r>
      <w:r w:rsidR="004F009B" w:rsidRPr="00CD25E5">
        <w:rPr>
          <w:rFonts w:ascii="Verdana" w:hAnsi="Verdana"/>
          <w:i/>
          <w:sz w:val="20"/>
          <w:szCs w:val="20"/>
        </w:rPr>
        <w:t>San Miguel Sosa y otras Vs. Venezuela</w:t>
      </w:r>
      <w:r w:rsidR="004F009B" w:rsidRPr="00CD25E5">
        <w:rPr>
          <w:rStyle w:val="Refdenotaalpie"/>
          <w:rFonts w:ascii="Verdana" w:hAnsi="Verdana"/>
          <w:sz w:val="20"/>
          <w:szCs w:val="20"/>
        </w:rPr>
        <w:footnoteReference w:id="3"/>
      </w:r>
      <w:r w:rsidR="004F009B" w:rsidRPr="00CD25E5">
        <w:rPr>
          <w:rFonts w:ascii="Verdana" w:hAnsi="Verdana"/>
          <w:sz w:val="20"/>
          <w:szCs w:val="20"/>
        </w:rPr>
        <w:t xml:space="preserve">, </w:t>
      </w:r>
      <w:proofErr w:type="spellStart"/>
      <w:r w:rsidR="009C3FB2" w:rsidRPr="00CD25E5">
        <w:rPr>
          <w:rFonts w:ascii="Verdana" w:hAnsi="Verdana"/>
          <w:i/>
          <w:sz w:val="20"/>
          <w:szCs w:val="20"/>
        </w:rPr>
        <w:t>Cuscul</w:t>
      </w:r>
      <w:proofErr w:type="spellEnd"/>
      <w:r w:rsidR="009C3FB2" w:rsidRPr="00CD25E5">
        <w:rPr>
          <w:rFonts w:ascii="Verdana" w:hAnsi="Verdana"/>
          <w:i/>
          <w:sz w:val="20"/>
          <w:szCs w:val="20"/>
        </w:rPr>
        <w:t xml:space="preserve"> Pivaral y otros Vs. Guatemala</w:t>
      </w:r>
      <w:r w:rsidR="009C3FB2" w:rsidRPr="00CD25E5">
        <w:rPr>
          <w:rStyle w:val="Refdenotaalpie"/>
          <w:rFonts w:ascii="Verdana" w:hAnsi="Verdana"/>
          <w:bCs/>
          <w:sz w:val="20"/>
          <w:szCs w:val="20"/>
          <w:shd w:val="clear" w:color="auto" w:fill="FFFFFF"/>
        </w:rPr>
        <w:footnoteReference w:id="4"/>
      </w:r>
      <w:r w:rsidR="009C3FB2" w:rsidRPr="00CD25E5">
        <w:rPr>
          <w:rStyle w:val="Textoennegrita"/>
          <w:rFonts w:ascii="Verdana" w:hAnsi="Verdana"/>
          <w:b w:val="0"/>
          <w:sz w:val="20"/>
          <w:szCs w:val="20"/>
          <w:shd w:val="clear" w:color="auto" w:fill="FFFFFF"/>
        </w:rPr>
        <w:t>,</w:t>
      </w:r>
      <w:r w:rsidR="009C3FB2" w:rsidRPr="00CD25E5">
        <w:rPr>
          <w:rFonts w:ascii="Verdana" w:hAnsi="Verdana"/>
          <w:sz w:val="20"/>
          <w:szCs w:val="20"/>
        </w:rPr>
        <w:t xml:space="preserve"> </w:t>
      </w:r>
      <w:r w:rsidR="009C3FB2" w:rsidRPr="00CD25E5">
        <w:rPr>
          <w:rFonts w:ascii="Verdana" w:hAnsi="Verdana"/>
          <w:i/>
          <w:sz w:val="20"/>
          <w:szCs w:val="20"/>
        </w:rPr>
        <w:t>Muelle Flores Vs. Perú</w:t>
      </w:r>
      <w:r w:rsidR="009C3FB2" w:rsidRPr="00CD25E5">
        <w:rPr>
          <w:rStyle w:val="Refdenotaalpie"/>
          <w:rFonts w:ascii="Verdana" w:hAnsi="Verdana"/>
          <w:sz w:val="20"/>
          <w:szCs w:val="20"/>
        </w:rPr>
        <w:footnoteReference w:id="5"/>
      </w:r>
      <w:r w:rsidR="009C3FB2" w:rsidRPr="00CD25E5">
        <w:rPr>
          <w:rFonts w:ascii="Verdana" w:hAnsi="Verdana"/>
          <w:sz w:val="20"/>
          <w:szCs w:val="20"/>
        </w:rPr>
        <w:t>,</w:t>
      </w:r>
      <w:r w:rsidR="009C3FB2" w:rsidRPr="00CD25E5">
        <w:rPr>
          <w:rFonts w:ascii="Verdana" w:hAnsi="Verdana"/>
          <w:i/>
          <w:sz w:val="20"/>
          <w:szCs w:val="20"/>
        </w:rPr>
        <w:t xml:space="preserve"> Asociación Nacional de Cesantes y Jubilados de la Superintendencia Nacional de Administración Tributaria (ANCEJUB-</w:t>
      </w:r>
      <w:r w:rsidR="009C3FB2" w:rsidRPr="00CD25E5">
        <w:rPr>
          <w:rFonts w:ascii="Verdana" w:hAnsi="Verdana"/>
          <w:i/>
          <w:sz w:val="20"/>
          <w:szCs w:val="20"/>
        </w:rPr>
        <w:lastRenderedPageBreak/>
        <w:t>SUNAT) Vs. Perú</w:t>
      </w:r>
      <w:r w:rsidR="009C3FB2" w:rsidRPr="00CD25E5">
        <w:rPr>
          <w:rStyle w:val="Refdenotaalpie"/>
          <w:rFonts w:ascii="Verdana" w:hAnsi="Verdana"/>
          <w:sz w:val="20"/>
          <w:szCs w:val="20"/>
        </w:rPr>
        <w:footnoteReference w:id="6"/>
      </w:r>
      <w:r w:rsidR="009C3FB2" w:rsidRPr="00CD25E5">
        <w:rPr>
          <w:rFonts w:ascii="Verdana" w:hAnsi="Verdana"/>
          <w:sz w:val="20"/>
          <w:szCs w:val="20"/>
        </w:rPr>
        <w:t xml:space="preserve">, </w:t>
      </w:r>
      <w:r w:rsidR="009C3FB2" w:rsidRPr="00CD25E5">
        <w:rPr>
          <w:rFonts w:ascii="Verdana" w:hAnsi="Verdana"/>
          <w:i/>
          <w:sz w:val="20"/>
          <w:szCs w:val="20"/>
        </w:rPr>
        <w:t>Hernández Vs. Argentina</w:t>
      </w:r>
      <w:r w:rsidR="009C3FB2" w:rsidRPr="00CD25E5">
        <w:rPr>
          <w:rStyle w:val="Refdenotaalpie"/>
          <w:rFonts w:ascii="Verdana" w:hAnsi="Verdana"/>
          <w:sz w:val="20"/>
          <w:szCs w:val="20"/>
        </w:rPr>
        <w:footnoteReference w:id="7"/>
      </w:r>
      <w:r w:rsidR="009C3FB2" w:rsidRPr="00CD25E5">
        <w:rPr>
          <w:rFonts w:ascii="Verdana" w:hAnsi="Verdana"/>
          <w:sz w:val="20"/>
          <w:szCs w:val="20"/>
        </w:rPr>
        <w:t xml:space="preserve"> y </w:t>
      </w:r>
      <w:r w:rsidR="009C3FB2" w:rsidRPr="00CD25E5">
        <w:rPr>
          <w:rFonts w:ascii="Verdana" w:hAnsi="Verdana"/>
          <w:i/>
          <w:sz w:val="20"/>
          <w:szCs w:val="20"/>
        </w:rPr>
        <w:t xml:space="preserve">Comunidades Indígenas Miembros de la Asociación </w:t>
      </w:r>
      <w:proofErr w:type="spellStart"/>
      <w:r w:rsidR="009C3FB2" w:rsidRPr="00CD25E5">
        <w:rPr>
          <w:rFonts w:ascii="Verdana" w:hAnsi="Verdana"/>
          <w:i/>
          <w:sz w:val="20"/>
          <w:szCs w:val="20"/>
        </w:rPr>
        <w:t>Lhaka</w:t>
      </w:r>
      <w:proofErr w:type="spellEnd"/>
      <w:r w:rsidR="009C3FB2" w:rsidRPr="00CD25E5">
        <w:rPr>
          <w:rFonts w:ascii="Verdana" w:hAnsi="Verdana"/>
          <w:i/>
          <w:sz w:val="20"/>
          <w:szCs w:val="20"/>
        </w:rPr>
        <w:t xml:space="preserve"> </w:t>
      </w:r>
      <w:proofErr w:type="spellStart"/>
      <w:r w:rsidR="009C3FB2" w:rsidRPr="00CD25E5">
        <w:rPr>
          <w:rFonts w:ascii="Verdana" w:hAnsi="Verdana"/>
          <w:i/>
          <w:sz w:val="20"/>
          <w:szCs w:val="20"/>
        </w:rPr>
        <w:t>Honhat</w:t>
      </w:r>
      <w:proofErr w:type="spellEnd"/>
      <w:r w:rsidR="009C3FB2" w:rsidRPr="00CD25E5">
        <w:rPr>
          <w:rFonts w:ascii="Verdana" w:hAnsi="Verdana"/>
          <w:i/>
          <w:sz w:val="20"/>
          <w:szCs w:val="20"/>
        </w:rPr>
        <w:t xml:space="preserve"> (Nuestra Tierra) Vs. Argentina</w:t>
      </w:r>
      <w:r w:rsidR="009C3FB2" w:rsidRPr="00CD25E5">
        <w:rPr>
          <w:rStyle w:val="Refdenotaalpie"/>
          <w:rFonts w:ascii="Verdana" w:hAnsi="Verdana"/>
          <w:sz w:val="20"/>
          <w:szCs w:val="20"/>
        </w:rPr>
        <w:footnoteReference w:id="8"/>
      </w:r>
      <w:r w:rsidR="009C3FB2" w:rsidRPr="00CD25E5">
        <w:rPr>
          <w:rFonts w:ascii="Verdana" w:hAnsi="Verdana"/>
          <w:sz w:val="20"/>
          <w:szCs w:val="20"/>
        </w:rPr>
        <w:t xml:space="preserve">; </w:t>
      </w:r>
      <w:r w:rsidR="004F009B" w:rsidRPr="00CD25E5">
        <w:rPr>
          <w:rFonts w:ascii="Verdana" w:hAnsi="Verdana"/>
          <w:sz w:val="20"/>
          <w:szCs w:val="20"/>
        </w:rPr>
        <w:t xml:space="preserve">así como en mis votos concurrentes en los casos </w:t>
      </w:r>
      <w:r w:rsidR="004F009B" w:rsidRPr="00CD25E5">
        <w:rPr>
          <w:rFonts w:ascii="Verdana" w:hAnsi="Verdana"/>
          <w:i/>
          <w:sz w:val="20"/>
          <w:szCs w:val="20"/>
        </w:rPr>
        <w:t xml:space="preserve">Gonzales </w:t>
      </w:r>
      <w:proofErr w:type="spellStart"/>
      <w:r w:rsidR="004F009B" w:rsidRPr="00CD25E5">
        <w:rPr>
          <w:rFonts w:ascii="Verdana" w:hAnsi="Verdana"/>
          <w:i/>
          <w:sz w:val="20"/>
          <w:szCs w:val="20"/>
        </w:rPr>
        <w:t>Lluy</w:t>
      </w:r>
      <w:proofErr w:type="spellEnd"/>
      <w:r w:rsidR="004F009B" w:rsidRPr="00CD25E5">
        <w:rPr>
          <w:rFonts w:ascii="Verdana" w:hAnsi="Verdana"/>
          <w:i/>
          <w:sz w:val="20"/>
          <w:szCs w:val="20"/>
        </w:rPr>
        <w:t xml:space="preserve"> y otros Vs. Ecuador</w:t>
      </w:r>
      <w:r w:rsidR="004F009B" w:rsidRPr="00CD25E5">
        <w:rPr>
          <w:rStyle w:val="Refdenotaalpie"/>
          <w:rFonts w:ascii="Verdana" w:hAnsi="Verdana"/>
          <w:sz w:val="20"/>
          <w:szCs w:val="20"/>
        </w:rPr>
        <w:footnoteReference w:id="9"/>
      </w:r>
      <w:r w:rsidR="009C3FB2" w:rsidRPr="00CD25E5">
        <w:rPr>
          <w:rFonts w:ascii="Verdana" w:hAnsi="Verdana"/>
          <w:sz w:val="20"/>
          <w:szCs w:val="20"/>
        </w:rPr>
        <w:t xml:space="preserve"> y</w:t>
      </w:r>
      <w:r w:rsidR="004F009B" w:rsidRPr="00CD25E5">
        <w:rPr>
          <w:rFonts w:ascii="Verdana" w:hAnsi="Verdana"/>
          <w:sz w:val="20"/>
          <w:szCs w:val="20"/>
        </w:rPr>
        <w:t xml:space="preserve"> </w:t>
      </w:r>
      <w:r w:rsidR="004F009B" w:rsidRPr="00CD25E5">
        <w:rPr>
          <w:rFonts w:ascii="Verdana" w:hAnsi="Verdana"/>
          <w:i/>
          <w:sz w:val="20"/>
          <w:szCs w:val="20"/>
        </w:rPr>
        <w:t>Poblete Vilches y otros Vs. Chile</w:t>
      </w:r>
      <w:r w:rsidR="004F009B" w:rsidRPr="00CD25E5">
        <w:rPr>
          <w:rStyle w:val="Refdenotaalpie"/>
          <w:rFonts w:ascii="Verdana" w:hAnsi="Verdana"/>
          <w:sz w:val="20"/>
          <w:szCs w:val="20"/>
        </w:rPr>
        <w:footnoteReference w:id="10"/>
      </w:r>
      <w:r w:rsidR="004F009B" w:rsidRPr="00CD25E5">
        <w:rPr>
          <w:rFonts w:ascii="Verdana" w:hAnsi="Verdana"/>
          <w:sz w:val="20"/>
          <w:szCs w:val="20"/>
        </w:rPr>
        <w:t>.</w:t>
      </w:r>
    </w:p>
    <w:p w14:paraId="7798BD17" w14:textId="77777777" w:rsidR="009C3FB2" w:rsidRPr="00CD25E5" w:rsidRDefault="009C3FB2" w:rsidP="00C40754">
      <w:pPr>
        <w:pStyle w:val="Prrafodelista"/>
        <w:spacing w:after="0" w:line="240" w:lineRule="auto"/>
        <w:ind w:left="709" w:hanging="425"/>
        <w:jc w:val="both"/>
        <w:rPr>
          <w:rFonts w:ascii="Verdana" w:hAnsi="Verdana"/>
          <w:i/>
          <w:sz w:val="20"/>
          <w:szCs w:val="20"/>
          <w:lang w:val="es-CR"/>
        </w:rPr>
      </w:pPr>
    </w:p>
    <w:p w14:paraId="1DB44E15" w14:textId="46764642" w:rsidR="008314A1" w:rsidRPr="00CD25E5" w:rsidRDefault="006B4E02" w:rsidP="00C40754">
      <w:pPr>
        <w:pStyle w:val="Prrafodelista"/>
        <w:spacing w:after="0" w:line="240" w:lineRule="auto"/>
        <w:ind w:left="709" w:hanging="425"/>
        <w:jc w:val="both"/>
        <w:rPr>
          <w:rFonts w:ascii="Verdana" w:hAnsi="Verdana"/>
          <w:b/>
          <w:bCs/>
          <w:sz w:val="20"/>
          <w:szCs w:val="20"/>
          <w:lang w:val="es-CR"/>
        </w:rPr>
      </w:pPr>
      <w:r w:rsidRPr="00CD25E5">
        <w:rPr>
          <w:rFonts w:ascii="Verdana" w:hAnsi="Verdana"/>
          <w:b/>
          <w:bCs/>
          <w:sz w:val="20"/>
          <w:szCs w:val="20"/>
          <w:lang w:val="es-CR"/>
        </w:rPr>
        <w:t xml:space="preserve">i) </w:t>
      </w:r>
      <w:r w:rsidR="00AE4212" w:rsidRPr="00CD25E5">
        <w:rPr>
          <w:rFonts w:ascii="Verdana" w:hAnsi="Verdana"/>
          <w:b/>
          <w:bCs/>
          <w:sz w:val="20"/>
          <w:szCs w:val="20"/>
          <w:lang w:val="es-CR"/>
        </w:rPr>
        <w:t xml:space="preserve"> </w:t>
      </w:r>
      <w:r w:rsidR="008314A1" w:rsidRPr="00CD25E5">
        <w:rPr>
          <w:rFonts w:ascii="Verdana" w:hAnsi="Verdana"/>
          <w:b/>
          <w:bCs/>
          <w:sz w:val="20"/>
          <w:szCs w:val="20"/>
          <w:lang w:val="es-CR"/>
        </w:rPr>
        <w:t xml:space="preserve">La práctica de abordar las alegadas violaciones en un </w:t>
      </w:r>
      <w:r w:rsidR="00EE5D69" w:rsidRPr="00CD25E5">
        <w:rPr>
          <w:rFonts w:ascii="Verdana" w:hAnsi="Verdana"/>
          <w:b/>
          <w:bCs/>
          <w:sz w:val="20"/>
          <w:szCs w:val="20"/>
          <w:lang w:val="es-CR"/>
        </w:rPr>
        <w:t>mismo</w:t>
      </w:r>
      <w:r w:rsidR="008314A1" w:rsidRPr="00CD25E5">
        <w:rPr>
          <w:rFonts w:ascii="Verdana" w:hAnsi="Verdana"/>
          <w:b/>
          <w:bCs/>
          <w:sz w:val="20"/>
          <w:szCs w:val="20"/>
          <w:lang w:val="es-CR"/>
        </w:rPr>
        <w:t xml:space="preserve"> </w:t>
      </w:r>
      <w:r w:rsidR="00F94FEF" w:rsidRPr="00CD25E5">
        <w:rPr>
          <w:rFonts w:ascii="Verdana" w:hAnsi="Verdana"/>
          <w:b/>
          <w:bCs/>
          <w:sz w:val="20"/>
          <w:szCs w:val="20"/>
          <w:lang w:val="es-CR"/>
        </w:rPr>
        <w:t>punto resolutivo</w:t>
      </w:r>
      <w:r w:rsidR="00EE5D69" w:rsidRPr="00CD25E5">
        <w:rPr>
          <w:rFonts w:ascii="Verdana" w:hAnsi="Verdana"/>
          <w:b/>
          <w:bCs/>
          <w:sz w:val="20"/>
          <w:szCs w:val="20"/>
          <w:lang w:val="es-CR"/>
        </w:rPr>
        <w:t xml:space="preserve"> y l</w:t>
      </w:r>
      <w:r w:rsidR="008314A1" w:rsidRPr="00CD25E5">
        <w:rPr>
          <w:rFonts w:ascii="Verdana" w:hAnsi="Verdana"/>
          <w:b/>
          <w:bCs/>
          <w:sz w:val="20"/>
          <w:szCs w:val="20"/>
          <w:lang w:val="es-CR"/>
        </w:rPr>
        <w:t xml:space="preserve">a </w:t>
      </w:r>
      <w:proofErr w:type="spellStart"/>
      <w:r w:rsidR="008314A1" w:rsidRPr="00CD25E5">
        <w:rPr>
          <w:rFonts w:ascii="Verdana" w:hAnsi="Verdana"/>
          <w:b/>
          <w:bCs/>
          <w:sz w:val="20"/>
          <w:szCs w:val="20"/>
          <w:lang w:val="es-CR"/>
        </w:rPr>
        <w:t>justiciabilidad</w:t>
      </w:r>
      <w:proofErr w:type="spellEnd"/>
      <w:r w:rsidR="008314A1" w:rsidRPr="00CD25E5">
        <w:rPr>
          <w:rFonts w:ascii="Verdana" w:hAnsi="Verdana"/>
          <w:b/>
          <w:bCs/>
          <w:sz w:val="20"/>
          <w:szCs w:val="20"/>
          <w:lang w:val="es-CR"/>
        </w:rPr>
        <w:t xml:space="preserve"> de los </w:t>
      </w:r>
      <w:r w:rsidRPr="00CD25E5">
        <w:rPr>
          <w:rFonts w:ascii="Verdana" w:hAnsi="Verdana"/>
          <w:b/>
          <w:bCs/>
          <w:sz w:val="20"/>
          <w:szCs w:val="20"/>
          <w:lang w:val="es-CR"/>
        </w:rPr>
        <w:t>d</w:t>
      </w:r>
      <w:r w:rsidR="00F94FEF" w:rsidRPr="00CD25E5">
        <w:rPr>
          <w:rFonts w:ascii="Verdana" w:hAnsi="Verdana"/>
          <w:b/>
          <w:bCs/>
          <w:sz w:val="20"/>
          <w:szCs w:val="20"/>
          <w:lang w:val="es-CR"/>
        </w:rPr>
        <w:t>erechos económicos, sociales, culturales y ambientales</w:t>
      </w:r>
      <w:r w:rsidR="008314A1" w:rsidRPr="00CD25E5">
        <w:rPr>
          <w:rFonts w:ascii="Verdana" w:hAnsi="Verdana"/>
          <w:b/>
          <w:bCs/>
          <w:sz w:val="20"/>
          <w:szCs w:val="20"/>
          <w:lang w:val="es-CR"/>
        </w:rPr>
        <w:t xml:space="preserve">. </w:t>
      </w:r>
    </w:p>
    <w:p w14:paraId="427237F4" w14:textId="77777777" w:rsidR="003C77D5" w:rsidRPr="00CD25E5" w:rsidRDefault="003C77D5" w:rsidP="00C40754">
      <w:pPr>
        <w:pStyle w:val="Prrafodelista"/>
        <w:spacing w:after="0" w:line="240" w:lineRule="auto"/>
        <w:ind w:left="709" w:hanging="425"/>
        <w:jc w:val="both"/>
        <w:rPr>
          <w:rFonts w:ascii="Verdana" w:hAnsi="Verdana"/>
          <w:b/>
          <w:bCs/>
          <w:sz w:val="20"/>
          <w:szCs w:val="20"/>
          <w:lang w:val="es-CR"/>
        </w:rPr>
      </w:pPr>
    </w:p>
    <w:p w14:paraId="2F5BEAD1" w14:textId="6C94E4CE" w:rsidR="00B55474" w:rsidRPr="00CD25E5" w:rsidRDefault="00EF6AAD" w:rsidP="00B97AC5">
      <w:pPr>
        <w:pStyle w:val="Prrafodelista"/>
        <w:numPr>
          <w:ilvl w:val="0"/>
          <w:numId w:val="5"/>
        </w:numPr>
        <w:autoSpaceDE w:val="0"/>
        <w:autoSpaceDN w:val="0"/>
        <w:adjustRightInd w:val="0"/>
        <w:spacing w:after="0" w:line="240" w:lineRule="auto"/>
        <w:ind w:left="0" w:firstLine="0"/>
        <w:jc w:val="both"/>
        <w:rPr>
          <w:rFonts w:ascii="Verdana" w:hAnsi="Verdana"/>
          <w:bCs/>
          <w:sz w:val="20"/>
          <w:szCs w:val="20"/>
        </w:rPr>
      </w:pPr>
      <w:r w:rsidRPr="00CD25E5">
        <w:rPr>
          <w:rFonts w:ascii="Verdana" w:hAnsi="Verdana"/>
          <w:sz w:val="20"/>
          <w:szCs w:val="20"/>
          <w:lang w:val="es-CR"/>
        </w:rPr>
        <w:t xml:space="preserve">En opiniones separadas anteriores he </w:t>
      </w:r>
      <w:r w:rsidR="001250BC" w:rsidRPr="00CD25E5">
        <w:rPr>
          <w:rFonts w:ascii="Verdana" w:hAnsi="Verdana"/>
          <w:sz w:val="20"/>
          <w:szCs w:val="20"/>
          <w:lang w:val="es-CR"/>
        </w:rPr>
        <w:t>expresado</w:t>
      </w:r>
      <w:r w:rsidRPr="00CD25E5">
        <w:rPr>
          <w:rFonts w:ascii="Verdana" w:hAnsi="Verdana"/>
          <w:sz w:val="20"/>
          <w:szCs w:val="20"/>
          <w:lang w:val="es-CR"/>
        </w:rPr>
        <w:t xml:space="preserve"> detalladamente </w:t>
      </w:r>
      <w:r w:rsidR="001250BC" w:rsidRPr="00CD25E5">
        <w:rPr>
          <w:rFonts w:ascii="Verdana" w:hAnsi="Verdana"/>
          <w:sz w:val="20"/>
          <w:szCs w:val="20"/>
          <w:lang w:val="es-CR"/>
        </w:rPr>
        <w:t xml:space="preserve">múltiples </w:t>
      </w:r>
      <w:r w:rsidRPr="00CD25E5">
        <w:rPr>
          <w:rFonts w:ascii="Verdana" w:hAnsi="Verdana"/>
          <w:sz w:val="20"/>
          <w:szCs w:val="20"/>
          <w:lang w:val="es-CR"/>
        </w:rPr>
        <w:t xml:space="preserve">argumentos que </w:t>
      </w:r>
      <w:r w:rsidR="001250BC" w:rsidRPr="00CD25E5">
        <w:rPr>
          <w:rFonts w:ascii="Verdana" w:hAnsi="Verdana"/>
          <w:sz w:val="20"/>
          <w:szCs w:val="20"/>
          <w:lang w:val="es-CR"/>
        </w:rPr>
        <w:t>evidencian las</w:t>
      </w:r>
      <w:r w:rsidRPr="00CD25E5">
        <w:rPr>
          <w:rFonts w:ascii="Verdana" w:hAnsi="Verdana"/>
          <w:sz w:val="20"/>
          <w:szCs w:val="20"/>
          <w:lang w:val="es-CR"/>
        </w:rPr>
        <w:t xml:space="preserve"> contradicciones e inconsistencias lógicas y jurídicas de las que adolece la teoría de la </w:t>
      </w:r>
      <w:proofErr w:type="spellStart"/>
      <w:r w:rsidRPr="00CD25E5">
        <w:rPr>
          <w:rFonts w:ascii="Verdana" w:hAnsi="Verdana"/>
          <w:sz w:val="20"/>
          <w:szCs w:val="20"/>
          <w:lang w:val="es-CR"/>
        </w:rPr>
        <w:t>justiciabilidad</w:t>
      </w:r>
      <w:proofErr w:type="spellEnd"/>
      <w:r w:rsidRPr="00CD25E5">
        <w:rPr>
          <w:rFonts w:ascii="Verdana" w:hAnsi="Verdana"/>
          <w:sz w:val="20"/>
          <w:szCs w:val="20"/>
          <w:lang w:val="es-CR"/>
        </w:rPr>
        <w:t xml:space="preserve"> directa y autónoma de los derechos económicos, sociales, culturales y ambientales (en adelante “DESCA”) a través del artículo 26 de la </w:t>
      </w:r>
      <w:r w:rsidR="003C77D5" w:rsidRPr="00CD25E5">
        <w:rPr>
          <w:rFonts w:ascii="Verdana" w:hAnsi="Verdana"/>
          <w:sz w:val="20"/>
          <w:szCs w:val="20"/>
          <w:lang w:val="es-CR"/>
        </w:rPr>
        <w:t>Convención Americana sobre Derechos Humanos (en adelante “la Convención” o “la Convención Americana”)</w:t>
      </w:r>
      <w:r w:rsidR="00553B3A" w:rsidRPr="00CD25E5">
        <w:rPr>
          <w:rFonts w:ascii="Verdana" w:hAnsi="Verdana"/>
          <w:sz w:val="20"/>
          <w:szCs w:val="20"/>
          <w:lang w:val="es-CR"/>
        </w:rPr>
        <w:t xml:space="preserve">. Efectivamente, esta posición </w:t>
      </w:r>
      <w:r w:rsidRPr="00CD25E5">
        <w:rPr>
          <w:rFonts w:ascii="Verdana" w:hAnsi="Verdana"/>
          <w:sz w:val="20"/>
          <w:szCs w:val="20"/>
          <w:lang w:val="es-CR"/>
        </w:rPr>
        <w:t xml:space="preserve">asumida por la mayoría de los jueces del Tribunal desde el caso </w:t>
      </w:r>
      <w:r w:rsidRPr="00CD25E5">
        <w:rPr>
          <w:rFonts w:ascii="Verdana" w:hAnsi="Verdana"/>
          <w:i/>
          <w:sz w:val="20"/>
          <w:szCs w:val="20"/>
          <w:lang w:val="es-CR"/>
        </w:rPr>
        <w:t>Lagos del Campo Vs. Perú</w:t>
      </w:r>
      <w:r w:rsidR="00553B3A" w:rsidRPr="00CD25E5">
        <w:rPr>
          <w:rFonts w:ascii="Verdana" w:hAnsi="Verdana"/>
          <w:i/>
          <w:sz w:val="20"/>
          <w:szCs w:val="20"/>
          <w:lang w:val="es-CR"/>
        </w:rPr>
        <w:t xml:space="preserve"> </w:t>
      </w:r>
      <w:r w:rsidR="00A379D5" w:rsidRPr="00CD25E5">
        <w:rPr>
          <w:rFonts w:ascii="Verdana" w:hAnsi="Verdana"/>
          <w:iCs/>
          <w:sz w:val="20"/>
          <w:szCs w:val="20"/>
          <w:lang w:val="es-CR"/>
        </w:rPr>
        <w:t xml:space="preserve">desconoce las reglas de interpretación </w:t>
      </w:r>
      <w:r w:rsidR="007F4D91" w:rsidRPr="00CD25E5">
        <w:rPr>
          <w:rFonts w:ascii="Verdana" w:hAnsi="Verdana"/>
          <w:iCs/>
          <w:sz w:val="20"/>
          <w:szCs w:val="20"/>
          <w:lang w:val="es-CR"/>
        </w:rPr>
        <w:t>de la Conve</w:t>
      </w:r>
      <w:r w:rsidR="00AE4CDE" w:rsidRPr="00CD25E5">
        <w:rPr>
          <w:rFonts w:ascii="Verdana" w:hAnsi="Verdana"/>
          <w:iCs/>
          <w:sz w:val="20"/>
          <w:szCs w:val="20"/>
          <w:lang w:val="es-CR"/>
        </w:rPr>
        <w:t>nción de Viena sobre el Derecho</w:t>
      </w:r>
      <w:r w:rsidR="007F4D91" w:rsidRPr="00CD25E5">
        <w:rPr>
          <w:rFonts w:ascii="Verdana" w:hAnsi="Verdana"/>
          <w:iCs/>
          <w:sz w:val="20"/>
          <w:szCs w:val="20"/>
          <w:lang w:val="es-CR"/>
        </w:rPr>
        <w:t xml:space="preserve"> de los Tratados</w:t>
      </w:r>
      <w:r w:rsidR="005603E8" w:rsidRPr="00CD25E5">
        <w:rPr>
          <w:rStyle w:val="Refdenotaalpie"/>
          <w:rFonts w:ascii="Verdana" w:hAnsi="Verdana"/>
          <w:iCs/>
          <w:sz w:val="20"/>
          <w:szCs w:val="20"/>
          <w:lang w:val="es-CR"/>
        </w:rPr>
        <w:footnoteReference w:id="11"/>
      </w:r>
      <w:r w:rsidR="007F4D91" w:rsidRPr="00CD25E5">
        <w:rPr>
          <w:rFonts w:ascii="Verdana" w:hAnsi="Verdana"/>
          <w:iCs/>
          <w:sz w:val="20"/>
          <w:szCs w:val="20"/>
          <w:lang w:val="es-CR"/>
        </w:rPr>
        <w:t>,</w:t>
      </w:r>
      <w:r w:rsidR="007F4D91" w:rsidRPr="00CD25E5">
        <w:rPr>
          <w:rFonts w:ascii="Verdana" w:hAnsi="Verdana"/>
          <w:i/>
          <w:sz w:val="20"/>
          <w:szCs w:val="20"/>
          <w:lang w:val="es-CR"/>
        </w:rPr>
        <w:t xml:space="preserve"> </w:t>
      </w:r>
      <w:r w:rsidR="005603E8" w:rsidRPr="00CD25E5">
        <w:rPr>
          <w:rFonts w:ascii="Verdana" w:hAnsi="Verdana"/>
          <w:iCs/>
          <w:sz w:val="20"/>
          <w:szCs w:val="20"/>
          <w:lang w:val="es-CR"/>
        </w:rPr>
        <w:t>cambia la naturaleza de la obligación de progresividad</w:t>
      </w:r>
      <w:r w:rsidR="00CC5F8A" w:rsidRPr="00CD25E5">
        <w:rPr>
          <w:rStyle w:val="Refdenotaalpie"/>
          <w:rFonts w:ascii="Verdana" w:hAnsi="Verdana"/>
          <w:iCs/>
          <w:sz w:val="20"/>
          <w:szCs w:val="20"/>
          <w:lang w:val="es-CR"/>
        </w:rPr>
        <w:footnoteReference w:id="12"/>
      </w:r>
      <w:r w:rsidR="005603E8" w:rsidRPr="00CD25E5">
        <w:rPr>
          <w:rFonts w:ascii="Verdana" w:hAnsi="Verdana"/>
          <w:iCs/>
          <w:sz w:val="20"/>
          <w:szCs w:val="20"/>
          <w:lang w:val="es-CR"/>
        </w:rPr>
        <w:t xml:space="preserve">, </w:t>
      </w:r>
      <w:r w:rsidR="00082EE1" w:rsidRPr="00CD25E5">
        <w:rPr>
          <w:rFonts w:ascii="Verdana" w:hAnsi="Verdana"/>
          <w:iCs/>
          <w:sz w:val="20"/>
          <w:szCs w:val="20"/>
          <w:lang w:val="es-CR"/>
        </w:rPr>
        <w:t>ignora la voluntad de los Estados plasmada en el Protocolo de San Salvador</w:t>
      </w:r>
      <w:r w:rsidR="00082EE1" w:rsidRPr="00CD25E5">
        <w:rPr>
          <w:rStyle w:val="Refdenotaalpie"/>
          <w:rFonts w:ascii="Verdana" w:hAnsi="Verdana"/>
          <w:iCs/>
          <w:sz w:val="20"/>
          <w:szCs w:val="20"/>
          <w:lang w:val="es-CR"/>
        </w:rPr>
        <w:footnoteReference w:id="13"/>
      </w:r>
      <w:r w:rsidR="00F4731F" w:rsidRPr="00CD25E5">
        <w:rPr>
          <w:rFonts w:ascii="Verdana" w:hAnsi="Verdana"/>
          <w:iCs/>
          <w:sz w:val="20"/>
          <w:szCs w:val="20"/>
          <w:lang w:val="es-CR"/>
        </w:rPr>
        <w:t xml:space="preserve"> y </w:t>
      </w:r>
      <w:r w:rsidR="00C228E0" w:rsidRPr="00CD25E5">
        <w:rPr>
          <w:rFonts w:ascii="Verdana" w:hAnsi="Verdana"/>
          <w:iCs/>
          <w:sz w:val="20"/>
          <w:szCs w:val="20"/>
          <w:lang w:val="es-CR"/>
        </w:rPr>
        <w:t>mina la legitimidad del Tribunal</w:t>
      </w:r>
      <w:r w:rsidR="00C228E0" w:rsidRPr="00CD25E5">
        <w:rPr>
          <w:rStyle w:val="Refdenotaalpie"/>
          <w:rFonts w:ascii="Verdana" w:hAnsi="Verdana"/>
          <w:iCs/>
          <w:sz w:val="20"/>
          <w:szCs w:val="20"/>
          <w:lang w:val="es-CR"/>
        </w:rPr>
        <w:footnoteReference w:id="14"/>
      </w:r>
      <w:r w:rsidR="00F4731F" w:rsidRPr="00CD25E5">
        <w:rPr>
          <w:rFonts w:ascii="Verdana" w:hAnsi="Verdana"/>
          <w:iCs/>
          <w:sz w:val="20"/>
          <w:szCs w:val="20"/>
          <w:lang w:val="es-CR"/>
        </w:rPr>
        <w:t>; solo po</w:t>
      </w:r>
      <w:r w:rsidR="00AE4CDE" w:rsidRPr="00CD25E5">
        <w:rPr>
          <w:rFonts w:ascii="Verdana" w:hAnsi="Verdana"/>
          <w:iCs/>
          <w:sz w:val="20"/>
          <w:szCs w:val="20"/>
          <w:lang w:val="es-CR"/>
        </w:rPr>
        <w:t>r mencionar algunos argumentos.</w:t>
      </w:r>
    </w:p>
    <w:p w14:paraId="722D029D" w14:textId="77777777" w:rsidR="00AE4CDE" w:rsidRPr="00CD25E5" w:rsidRDefault="00AE4CDE" w:rsidP="00C40754">
      <w:pPr>
        <w:pStyle w:val="Prrafodelista"/>
        <w:autoSpaceDE w:val="0"/>
        <w:autoSpaceDN w:val="0"/>
        <w:adjustRightInd w:val="0"/>
        <w:spacing w:after="0" w:line="240" w:lineRule="auto"/>
        <w:ind w:left="0"/>
        <w:jc w:val="both"/>
        <w:rPr>
          <w:rFonts w:ascii="Verdana" w:hAnsi="Verdana"/>
          <w:bCs/>
          <w:sz w:val="20"/>
          <w:szCs w:val="20"/>
        </w:rPr>
      </w:pPr>
    </w:p>
    <w:p w14:paraId="69594091" w14:textId="48C882D4" w:rsidR="00491DD7" w:rsidRPr="00CD25E5" w:rsidRDefault="00B55474" w:rsidP="00C40754">
      <w:pPr>
        <w:pStyle w:val="Prrafodelista"/>
        <w:numPr>
          <w:ilvl w:val="0"/>
          <w:numId w:val="5"/>
        </w:numPr>
        <w:autoSpaceDE w:val="0"/>
        <w:autoSpaceDN w:val="0"/>
        <w:adjustRightInd w:val="0"/>
        <w:spacing w:after="0" w:line="240" w:lineRule="auto"/>
        <w:ind w:left="0" w:firstLine="0"/>
        <w:jc w:val="both"/>
        <w:rPr>
          <w:rFonts w:ascii="Verdana" w:hAnsi="Verdana"/>
          <w:sz w:val="20"/>
          <w:szCs w:val="20"/>
          <w:lang w:val="es-CR"/>
        </w:rPr>
      </w:pPr>
      <w:r w:rsidRPr="00CD25E5">
        <w:rPr>
          <w:rFonts w:ascii="Verdana" w:hAnsi="Verdana"/>
          <w:sz w:val="20"/>
          <w:szCs w:val="20"/>
          <w:lang w:val="es-CR"/>
        </w:rPr>
        <w:t xml:space="preserve">En esta oportunidad no pretendo ahondar en </w:t>
      </w:r>
      <w:r w:rsidR="00F4731F" w:rsidRPr="00CD25E5">
        <w:rPr>
          <w:rFonts w:ascii="Verdana" w:hAnsi="Verdana"/>
          <w:sz w:val="20"/>
          <w:szCs w:val="20"/>
          <w:lang w:val="es-CR"/>
        </w:rPr>
        <w:t>el sentido antes señalado</w:t>
      </w:r>
      <w:r w:rsidRPr="00CD25E5">
        <w:rPr>
          <w:rFonts w:ascii="Verdana" w:hAnsi="Verdana"/>
          <w:sz w:val="20"/>
          <w:szCs w:val="20"/>
          <w:lang w:val="es-CR"/>
        </w:rPr>
        <w:t xml:space="preserve">, </w:t>
      </w:r>
      <w:r w:rsidR="006F52D1" w:rsidRPr="00CD25E5">
        <w:rPr>
          <w:rFonts w:ascii="Verdana" w:hAnsi="Verdana"/>
          <w:sz w:val="20"/>
          <w:szCs w:val="20"/>
          <w:lang w:val="es-CR"/>
        </w:rPr>
        <w:t xml:space="preserve">sino </w:t>
      </w:r>
      <w:r w:rsidR="00545D3A" w:rsidRPr="00CD25E5">
        <w:rPr>
          <w:rFonts w:ascii="Verdana" w:hAnsi="Verdana"/>
          <w:sz w:val="20"/>
          <w:szCs w:val="20"/>
          <w:lang w:val="es-CR"/>
        </w:rPr>
        <w:t>centrar</w:t>
      </w:r>
      <w:r w:rsidR="0058004C" w:rsidRPr="00CD25E5">
        <w:rPr>
          <w:rFonts w:ascii="Verdana" w:hAnsi="Verdana"/>
          <w:sz w:val="20"/>
          <w:szCs w:val="20"/>
          <w:lang w:val="es-CR"/>
        </w:rPr>
        <w:t xml:space="preserve"> la atención en </w:t>
      </w:r>
      <w:r w:rsidR="00437D4D" w:rsidRPr="00CD25E5">
        <w:rPr>
          <w:rFonts w:ascii="Verdana" w:hAnsi="Verdana"/>
          <w:sz w:val="20"/>
          <w:szCs w:val="20"/>
          <w:lang w:val="es-CR"/>
        </w:rPr>
        <w:t>una</w:t>
      </w:r>
      <w:r w:rsidR="0058004C" w:rsidRPr="00CD25E5">
        <w:rPr>
          <w:rFonts w:ascii="Verdana" w:hAnsi="Verdana"/>
          <w:sz w:val="20"/>
          <w:szCs w:val="20"/>
          <w:lang w:val="es-CR"/>
        </w:rPr>
        <w:t xml:space="preserve"> práctica</w:t>
      </w:r>
      <w:r w:rsidR="00491DD7" w:rsidRPr="00CD25E5">
        <w:rPr>
          <w:rFonts w:ascii="Verdana" w:hAnsi="Verdana"/>
          <w:sz w:val="20"/>
          <w:szCs w:val="20"/>
          <w:lang w:val="es-CR"/>
        </w:rPr>
        <w:t>,</w:t>
      </w:r>
      <w:r w:rsidR="0058004C" w:rsidRPr="00CD25E5">
        <w:rPr>
          <w:rFonts w:ascii="Verdana" w:hAnsi="Verdana"/>
          <w:sz w:val="20"/>
          <w:szCs w:val="20"/>
          <w:lang w:val="es-CR"/>
        </w:rPr>
        <w:t xml:space="preserve"> </w:t>
      </w:r>
      <w:r w:rsidR="00491DD7" w:rsidRPr="00CD25E5">
        <w:rPr>
          <w:rFonts w:ascii="Verdana" w:hAnsi="Verdana"/>
          <w:sz w:val="20"/>
          <w:szCs w:val="20"/>
          <w:lang w:val="es-CR"/>
        </w:rPr>
        <w:t xml:space="preserve">relacionada con esta </w:t>
      </w:r>
      <w:r w:rsidR="00CD14C1" w:rsidRPr="00CD25E5">
        <w:rPr>
          <w:rFonts w:ascii="Verdana" w:hAnsi="Verdana"/>
          <w:sz w:val="20"/>
          <w:szCs w:val="20"/>
          <w:lang w:val="es-CR"/>
        </w:rPr>
        <w:t>postura jurídica</w:t>
      </w:r>
      <w:r w:rsidR="00491DD7" w:rsidRPr="00CD25E5">
        <w:rPr>
          <w:rFonts w:ascii="Verdana" w:hAnsi="Verdana"/>
          <w:sz w:val="20"/>
          <w:szCs w:val="20"/>
          <w:lang w:val="es-CR"/>
        </w:rPr>
        <w:t>,</w:t>
      </w:r>
      <w:r w:rsidR="00CD14C1" w:rsidRPr="00CD25E5">
        <w:rPr>
          <w:rFonts w:ascii="Verdana" w:hAnsi="Verdana"/>
          <w:sz w:val="20"/>
          <w:szCs w:val="20"/>
          <w:lang w:val="es-CR"/>
        </w:rPr>
        <w:t xml:space="preserve"> </w:t>
      </w:r>
      <w:r w:rsidR="00491DD7" w:rsidRPr="00CD25E5">
        <w:rPr>
          <w:rFonts w:ascii="Verdana" w:hAnsi="Verdana"/>
          <w:sz w:val="20"/>
          <w:szCs w:val="20"/>
          <w:lang w:val="es-CR"/>
        </w:rPr>
        <w:t xml:space="preserve">que se evidencia </w:t>
      </w:r>
      <w:r w:rsidR="001F73E2" w:rsidRPr="00CD25E5">
        <w:rPr>
          <w:rFonts w:ascii="Verdana" w:hAnsi="Verdana"/>
          <w:sz w:val="20"/>
          <w:szCs w:val="20"/>
          <w:lang w:val="es-CR"/>
        </w:rPr>
        <w:t>a</w:t>
      </w:r>
      <w:r w:rsidR="00491DD7" w:rsidRPr="00CD25E5">
        <w:rPr>
          <w:rFonts w:ascii="Verdana" w:hAnsi="Verdana"/>
          <w:sz w:val="20"/>
          <w:szCs w:val="20"/>
          <w:lang w:val="es-CR"/>
        </w:rPr>
        <w:t xml:space="preserve">l </w:t>
      </w:r>
      <w:r w:rsidR="001F73E2" w:rsidRPr="00CD25E5">
        <w:rPr>
          <w:rFonts w:ascii="Verdana" w:hAnsi="Verdana"/>
          <w:sz w:val="20"/>
          <w:szCs w:val="20"/>
          <w:lang w:val="es-CR"/>
        </w:rPr>
        <w:t>declarar las violaciones en los puntos resolutivos</w:t>
      </w:r>
      <w:r w:rsidR="00AE4CDE" w:rsidRPr="00CD25E5">
        <w:rPr>
          <w:rFonts w:ascii="Verdana" w:hAnsi="Verdana"/>
          <w:sz w:val="20"/>
          <w:szCs w:val="20"/>
          <w:lang w:val="es-CR"/>
        </w:rPr>
        <w:t>,</w:t>
      </w:r>
      <w:r w:rsidR="00491DD7" w:rsidRPr="00CD25E5">
        <w:rPr>
          <w:rFonts w:ascii="Verdana" w:hAnsi="Verdana"/>
          <w:sz w:val="20"/>
          <w:szCs w:val="20"/>
          <w:lang w:val="es-CR"/>
        </w:rPr>
        <w:t xml:space="preserve"> así como al abordar las alegaciones en un mismo capítulo</w:t>
      </w:r>
      <w:r w:rsidR="001F73E2" w:rsidRPr="00CD25E5">
        <w:rPr>
          <w:rFonts w:ascii="Verdana" w:hAnsi="Verdana"/>
          <w:sz w:val="20"/>
          <w:szCs w:val="20"/>
          <w:lang w:val="es-CR"/>
        </w:rPr>
        <w:t>.</w:t>
      </w:r>
    </w:p>
    <w:p w14:paraId="3F24AAB4" w14:textId="176C7D27" w:rsidR="00AE4CDE" w:rsidRPr="00CD25E5" w:rsidRDefault="00AE4CDE" w:rsidP="00C40754">
      <w:pPr>
        <w:pStyle w:val="Prrafodelista"/>
        <w:autoSpaceDE w:val="0"/>
        <w:autoSpaceDN w:val="0"/>
        <w:adjustRightInd w:val="0"/>
        <w:spacing w:after="0" w:line="240" w:lineRule="auto"/>
        <w:ind w:left="0"/>
        <w:jc w:val="both"/>
        <w:rPr>
          <w:rFonts w:ascii="Verdana" w:hAnsi="Verdana"/>
          <w:sz w:val="20"/>
          <w:szCs w:val="20"/>
          <w:lang w:val="es-CR"/>
        </w:rPr>
      </w:pPr>
    </w:p>
    <w:p w14:paraId="649D60D4" w14:textId="1CA3A8D7" w:rsidR="00491DD7" w:rsidRPr="00CD25E5" w:rsidRDefault="00491DD7" w:rsidP="00C40754">
      <w:pPr>
        <w:pStyle w:val="Prrafodelista"/>
        <w:numPr>
          <w:ilvl w:val="0"/>
          <w:numId w:val="5"/>
        </w:numPr>
        <w:autoSpaceDE w:val="0"/>
        <w:autoSpaceDN w:val="0"/>
        <w:adjustRightInd w:val="0"/>
        <w:spacing w:after="0" w:line="240" w:lineRule="auto"/>
        <w:ind w:left="0" w:firstLine="0"/>
        <w:jc w:val="both"/>
        <w:rPr>
          <w:rFonts w:ascii="Verdana" w:hAnsi="Verdana"/>
          <w:sz w:val="20"/>
          <w:szCs w:val="20"/>
          <w:lang w:val="es-CR"/>
        </w:rPr>
      </w:pPr>
      <w:r w:rsidRPr="00CD25E5">
        <w:rPr>
          <w:rFonts w:ascii="Verdana" w:hAnsi="Verdana"/>
          <w:sz w:val="20"/>
          <w:szCs w:val="20"/>
          <w:lang w:val="es-CR"/>
        </w:rPr>
        <w:t xml:space="preserve">En primer lugar, </w:t>
      </w:r>
      <w:r w:rsidR="00AE4CDE" w:rsidRPr="00CD25E5">
        <w:rPr>
          <w:rFonts w:ascii="Verdana" w:hAnsi="Verdana"/>
          <w:sz w:val="20"/>
          <w:szCs w:val="20"/>
          <w:lang w:val="es-CR"/>
        </w:rPr>
        <w:t xml:space="preserve">como lo señalé en los casos </w:t>
      </w:r>
      <w:r w:rsidR="007173FF" w:rsidRPr="00CD25E5">
        <w:rPr>
          <w:rFonts w:ascii="Verdana" w:hAnsi="Verdana"/>
          <w:i/>
          <w:sz w:val="20"/>
          <w:szCs w:val="20"/>
          <w:lang w:val="es-CR"/>
        </w:rPr>
        <w:t>Asociación Nacional de Cesantes y Jubilados de la Superintendencia Nacional de Administración Tributaria (ANCEJUB-SUNAT) Vs. Perú</w:t>
      </w:r>
      <w:r w:rsidR="00985C06" w:rsidRPr="00CD25E5">
        <w:rPr>
          <w:rStyle w:val="Refdenotaalpie"/>
          <w:rFonts w:ascii="Verdana" w:hAnsi="Verdana"/>
          <w:sz w:val="20"/>
          <w:szCs w:val="20"/>
          <w:lang w:val="es-CR"/>
        </w:rPr>
        <w:footnoteReference w:id="15"/>
      </w:r>
      <w:r w:rsidR="007173FF" w:rsidRPr="00CD25E5">
        <w:rPr>
          <w:rFonts w:ascii="Verdana" w:hAnsi="Verdana"/>
          <w:sz w:val="20"/>
          <w:szCs w:val="20"/>
          <w:lang w:val="es-CR"/>
        </w:rPr>
        <w:t xml:space="preserve"> y </w:t>
      </w:r>
      <w:r w:rsidR="007173FF" w:rsidRPr="00CD25E5">
        <w:rPr>
          <w:rFonts w:ascii="Verdana" w:hAnsi="Verdana"/>
          <w:i/>
          <w:sz w:val="20"/>
          <w:szCs w:val="20"/>
          <w:lang w:val="es-CR"/>
        </w:rPr>
        <w:t>Hernández vs. Argentina</w:t>
      </w:r>
      <w:r w:rsidR="00985C06" w:rsidRPr="00CD25E5">
        <w:rPr>
          <w:rStyle w:val="Refdenotaalpie"/>
          <w:rFonts w:ascii="Verdana" w:hAnsi="Verdana"/>
          <w:sz w:val="20"/>
          <w:szCs w:val="20"/>
          <w:lang w:val="es-CR"/>
        </w:rPr>
        <w:footnoteReference w:id="16"/>
      </w:r>
      <w:r w:rsidR="00AE4CDE" w:rsidRPr="00CD25E5">
        <w:rPr>
          <w:rFonts w:ascii="Verdana" w:hAnsi="Verdana"/>
          <w:sz w:val="20"/>
          <w:szCs w:val="20"/>
          <w:lang w:val="es-CR"/>
        </w:rPr>
        <w:t>,</w:t>
      </w:r>
      <w:r w:rsidR="007173FF" w:rsidRPr="00CD25E5">
        <w:rPr>
          <w:rFonts w:ascii="Verdana" w:hAnsi="Verdana"/>
          <w:sz w:val="20"/>
          <w:szCs w:val="20"/>
          <w:lang w:val="es-CR"/>
        </w:rPr>
        <w:t xml:space="preserve"> </w:t>
      </w:r>
      <w:r w:rsidR="006526D5" w:rsidRPr="00CD25E5">
        <w:rPr>
          <w:rFonts w:ascii="Verdana" w:hAnsi="Verdana"/>
          <w:sz w:val="20"/>
          <w:szCs w:val="20"/>
          <w:lang w:val="es-CR"/>
        </w:rPr>
        <w:t xml:space="preserve">el Tribunal modifica de manera antojadiza y sin justificación su técnica para construir la parte resolutiva de sus decisiones; </w:t>
      </w:r>
      <w:r w:rsidR="007264F8" w:rsidRPr="00CD25E5">
        <w:rPr>
          <w:rFonts w:ascii="Verdana" w:hAnsi="Verdana"/>
          <w:sz w:val="20"/>
          <w:szCs w:val="20"/>
          <w:lang w:val="es-CR"/>
        </w:rPr>
        <w:t>pretende invisibilizar las discrepancias internas sobre el alcance del artículo 26.</w:t>
      </w:r>
    </w:p>
    <w:p w14:paraId="41B0A908" w14:textId="77777777" w:rsidR="00AE4CDE" w:rsidRPr="00CD25E5" w:rsidRDefault="00AE4CDE" w:rsidP="00C40754">
      <w:pPr>
        <w:pStyle w:val="Prrafodelista"/>
        <w:spacing w:after="0" w:line="240" w:lineRule="auto"/>
        <w:rPr>
          <w:rFonts w:ascii="Verdana" w:hAnsi="Verdana"/>
          <w:sz w:val="20"/>
          <w:szCs w:val="20"/>
          <w:lang w:val="es-CR"/>
        </w:rPr>
      </w:pPr>
    </w:p>
    <w:p w14:paraId="4AF9AE86" w14:textId="45D037EB" w:rsidR="00A22E34" w:rsidRPr="00CD25E5" w:rsidRDefault="008D1606" w:rsidP="00C40754">
      <w:pPr>
        <w:pStyle w:val="Prrafodelista"/>
        <w:numPr>
          <w:ilvl w:val="0"/>
          <w:numId w:val="5"/>
        </w:numPr>
        <w:autoSpaceDE w:val="0"/>
        <w:autoSpaceDN w:val="0"/>
        <w:adjustRightInd w:val="0"/>
        <w:spacing w:after="0" w:line="240" w:lineRule="auto"/>
        <w:ind w:left="0" w:firstLine="0"/>
        <w:jc w:val="both"/>
        <w:rPr>
          <w:rFonts w:ascii="Verdana" w:hAnsi="Verdana"/>
          <w:sz w:val="20"/>
          <w:szCs w:val="20"/>
          <w:lang w:val="es-CR"/>
        </w:rPr>
      </w:pPr>
      <w:r w:rsidRPr="00CD25E5">
        <w:rPr>
          <w:rFonts w:ascii="Verdana" w:hAnsi="Verdana"/>
          <w:bCs/>
          <w:sz w:val="20"/>
          <w:szCs w:val="20"/>
        </w:rPr>
        <w:t xml:space="preserve">Adicionalmente, </w:t>
      </w:r>
      <w:r w:rsidR="00BC4303" w:rsidRPr="00CD25E5">
        <w:rPr>
          <w:rFonts w:ascii="Verdana" w:hAnsi="Verdana"/>
          <w:bCs/>
          <w:sz w:val="20"/>
          <w:szCs w:val="20"/>
        </w:rPr>
        <w:t xml:space="preserve">esta modalidad que agrupa en un solo punto resolutivo </w:t>
      </w:r>
      <w:r w:rsidR="00052F42" w:rsidRPr="00CD25E5">
        <w:rPr>
          <w:rFonts w:ascii="Verdana" w:hAnsi="Verdana"/>
          <w:bCs/>
          <w:sz w:val="20"/>
          <w:szCs w:val="20"/>
        </w:rPr>
        <w:t>la declaración de todas las violaciones</w:t>
      </w:r>
      <w:r w:rsidR="00792A4B" w:rsidRPr="00CD25E5">
        <w:rPr>
          <w:rFonts w:ascii="Verdana" w:hAnsi="Verdana"/>
          <w:bCs/>
          <w:sz w:val="20"/>
          <w:szCs w:val="20"/>
        </w:rPr>
        <w:t>,</w:t>
      </w:r>
      <w:r w:rsidR="00F92DBF" w:rsidRPr="00CD25E5">
        <w:rPr>
          <w:rFonts w:ascii="Verdana" w:hAnsi="Verdana"/>
          <w:bCs/>
          <w:sz w:val="20"/>
          <w:szCs w:val="20"/>
        </w:rPr>
        <w:t xml:space="preserve"> </w:t>
      </w:r>
      <w:r w:rsidR="00A22E34" w:rsidRPr="00CD25E5">
        <w:rPr>
          <w:rFonts w:ascii="Verdana" w:hAnsi="Verdana"/>
          <w:bCs/>
          <w:sz w:val="20"/>
          <w:szCs w:val="20"/>
        </w:rPr>
        <w:t xml:space="preserve">evita que se </w:t>
      </w:r>
      <w:r w:rsidR="00792A4B" w:rsidRPr="00CD25E5">
        <w:rPr>
          <w:rFonts w:ascii="Verdana" w:hAnsi="Verdana"/>
          <w:bCs/>
          <w:sz w:val="20"/>
          <w:szCs w:val="20"/>
        </w:rPr>
        <w:t>evidencien</w:t>
      </w:r>
      <w:r w:rsidR="00A22E34" w:rsidRPr="00CD25E5">
        <w:rPr>
          <w:rFonts w:ascii="Verdana" w:hAnsi="Verdana"/>
          <w:bCs/>
          <w:sz w:val="20"/>
          <w:szCs w:val="20"/>
        </w:rPr>
        <w:t xml:space="preserve"> las posturas divergentes en relación con la </w:t>
      </w:r>
      <w:proofErr w:type="spellStart"/>
      <w:r w:rsidR="00A22E34" w:rsidRPr="00CD25E5">
        <w:rPr>
          <w:rFonts w:ascii="Verdana" w:hAnsi="Verdana"/>
          <w:bCs/>
          <w:sz w:val="20"/>
          <w:szCs w:val="20"/>
        </w:rPr>
        <w:t>justiciabilidad</w:t>
      </w:r>
      <w:proofErr w:type="spellEnd"/>
      <w:r w:rsidR="00A22E34" w:rsidRPr="00CD25E5">
        <w:rPr>
          <w:rFonts w:ascii="Verdana" w:hAnsi="Verdana"/>
          <w:bCs/>
          <w:sz w:val="20"/>
          <w:szCs w:val="20"/>
        </w:rPr>
        <w:t xml:space="preserve"> de los DESCA</w:t>
      </w:r>
      <w:r w:rsidR="00792A4B" w:rsidRPr="00CD25E5">
        <w:rPr>
          <w:rFonts w:ascii="Verdana" w:hAnsi="Verdana"/>
          <w:bCs/>
          <w:sz w:val="20"/>
          <w:szCs w:val="20"/>
        </w:rPr>
        <w:t>,</w:t>
      </w:r>
      <w:r w:rsidR="00A22E34" w:rsidRPr="00CD25E5">
        <w:rPr>
          <w:rFonts w:ascii="Verdana" w:hAnsi="Verdana"/>
          <w:bCs/>
          <w:sz w:val="20"/>
          <w:szCs w:val="20"/>
        </w:rPr>
        <w:t xml:space="preserve"> en perjuicio de la legitimidad </w:t>
      </w:r>
      <w:r w:rsidR="00792A4B" w:rsidRPr="00CD25E5">
        <w:rPr>
          <w:rFonts w:ascii="Verdana" w:hAnsi="Verdana"/>
          <w:bCs/>
          <w:sz w:val="20"/>
          <w:szCs w:val="20"/>
        </w:rPr>
        <w:t>que otorga la postura unánime del Tribunal en relación con los demás derechos vulnerados. Me refiero a que, s</w:t>
      </w:r>
      <w:r w:rsidR="003B452B" w:rsidRPr="00CD25E5">
        <w:rPr>
          <w:rFonts w:ascii="Verdana" w:hAnsi="Verdana"/>
          <w:bCs/>
          <w:sz w:val="20"/>
          <w:szCs w:val="20"/>
        </w:rPr>
        <w:t>i bien la legi</w:t>
      </w:r>
      <w:r w:rsidR="000116B4" w:rsidRPr="00CD25E5">
        <w:rPr>
          <w:rFonts w:ascii="Verdana" w:hAnsi="Verdana"/>
          <w:bCs/>
          <w:sz w:val="20"/>
          <w:szCs w:val="20"/>
        </w:rPr>
        <w:t>t</w:t>
      </w:r>
      <w:r w:rsidR="003B452B" w:rsidRPr="00CD25E5">
        <w:rPr>
          <w:rFonts w:ascii="Verdana" w:hAnsi="Verdana"/>
          <w:bCs/>
          <w:sz w:val="20"/>
          <w:szCs w:val="20"/>
        </w:rPr>
        <w:t xml:space="preserve">imidad principal o de origen </w:t>
      </w:r>
      <w:r w:rsidR="00792A4B" w:rsidRPr="00CD25E5">
        <w:rPr>
          <w:rFonts w:ascii="Verdana" w:hAnsi="Verdana"/>
          <w:bCs/>
          <w:sz w:val="20"/>
          <w:szCs w:val="20"/>
        </w:rPr>
        <w:t xml:space="preserve">de las decisiones de la Corte </w:t>
      </w:r>
      <w:r w:rsidR="003B452B" w:rsidRPr="00CD25E5">
        <w:rPr>
          <w:rFonts w:ascii="Verdana" w:hAnsi="Verdana"/>
          <w:bCs/>
          <w:sz w:val="20"/>
          <w:szCs w:val="20"/>
        </w:rPr>
        <w:t xml:space="preserve">se da por las mayorías previstas en el </w:t>
      </w:r>
      <w:r w:rsidR="00A8347D" w:rsidRPr="00CD25E5">
        <w:rPr>
          <w:rFonts w:ascii="Verdana" w:hAnsi="Verdana"/>
          <w:bCs/>
          <w:sz w:val="20"/>
          <w:szCs w:val="20"/>
        </w:rPr>
        <w:t>R</w:t>
      </w:r>
      <w:r w:rsidR="003B452B" w:rsidRPr="00CD25E5">
        <w:rPr>
          <w:rFonts w:ascii="Verdana" w:hAnsi="Verdana"/>
          <w:bCs/>
          <w:sz w:val="20"/>
          <w:szCs w:val="20"/>
        </w:rPr>
        <w:t xml:space="preserve">eglamento, sin duda </w:t>
      </w:r>
      <w:r w:rsidR="000116B4" w:rsidRPr="00CD25E5">
        <w:rPr>
          <w:rFonts w:ascii="Verdana" w:hAnsi="Verdana"/>
          <w:bCs/>
          <w:sz w:val="20"/>
          <w:szCs w:val="20"/>
        </w:rPr>
        <w:t xml:space="preserve">esta se percibe de manera más </w:t>
      </w:r>
      <w:r w:rsidR="00792A4B" w:rsidRPr="00CD25E5">
        <w:rPr>
          <w:rFonts w:ascii="Verdana" w:hAnsi="Verdana"/>
          <w:bCs/>
          <w:sz w:val="20"/>
          <w:szCs w:val="20"/>
        </w:rPr>
        <w:t>clara</w:t>
      </w:r>
      <w:r w:rsidR="003B452B" w:rsidRPr="00CD25E5">
        <w:rPr>
          <w:rFonts w:ascii="Verdana" w:hAnsi="Verdana"/>
          <w:bCs/>
          <w:sz w:val="20"/>
          <w:szCs w:val="20"/>
        </w:rPr>
        <w:t xml:space="preserve"> cuando todos los jueces coinciden</w:t>
      </w:r>
      <w:r w:rsidR="004D2C28" w:rsidRPr="00CD25E5">
        <w:rPr>
          <w:rFonts w:ascii="Verdana" w:hAnsi="Verdana"/>
          <w:bCs/>
          <w:sz w:val="20"/>
          <w:szCs w:val="20"/>
        </w:rPr>
        <w:t xml:space="preserve"> en </w:t>
      </w:r>
      <w:r w:rsidR="00792A4B" w:rsidRPr="00CD25E5">
        <w:rPr>
          <w:rFonts w:ascii="Verdana" w:hAnsi="Verdana"/>
          <w:bCs/>
          <w:sz w:val="20"/>
          <w:szCs w:val="20"/>
        </w:rPr>
        <w:t>la</w:t>
      </w:r>
      <w:r w:rsidR="004D2C28" w:rsidRPr="00CD25E5">
        <w:rPr>
          <w:rFonts w:ascii="Verdana" w:hAnsi="Verdana"/>
          <w:bCs/>
          <w:sz w:val="20"/>
          <w:szCs w:val="20"/>
        </w:rPr>
        <w:t xml:space="preserve"> decisión</w:t>
      </w:r>
      <w:r w:rsidR="00792A4B" w:rsidRPr="00CD25E5">
        <w:rPr>
          <w:rFonts w:ascii="Verdana" w:hAnsi="Verdana"/>
          <w:bCs/>
          <w:sz w:val="20"/>
          <w:szCs w:val="20"/>
        </w:rPr>
        <w:t xml:space="preserve"> final. En este caso, agrupadas en un solo punto las vulneraciones de los artículo</w:t>
      </w:r>
      <w:r w:rsidR="00AE4CDE" w:rsidRPr="00CD25E5">
        <w:rPr>
          <w:rFonts w:ascii="Verdana" w:hAnsi="Verdana"/>
          <w:bCs/>
          <w:sz w:val="20"/>
          <w:szCs w:val="20"/>
        </w:rPr>
        <w:t>s</w:t>
      </w:r>
      <w:r w:rsidR="00792A4B" w:rsidRPr="00CD25E5">
        <w:rPr>
          <w:rFonts w:ascii="Verdana" w:hAnsi="Verdana"/>
          <w:bCs/>
          <w:sz w:val="20"/>
          <w:szCs w:val="20"/>
        </w:rPr>
        <w:t xml:space="preserve"> 8.1, 23.1 c) y 26 no se logró mostrar la unanimidad de la Corte en la condena ni la discrepancia parcial en relación con el artículo 26. </w:t>
      </w:r>
    </w:p>
    <w:p w14:paraId="0DF9F1D9" w14:textId="77777777" w:rsidR="00AE4CDE" w:rsidRPr="00CD25E5" w:rsidRDefault="00AE4CDE" w:rsidP="00C40754">
      <w:pPr>
        <w:pStyle w:val="Prrafodelista"/>
        <w:spacing w:after="0" w:line="240" w:lineRule="auto"/>
        <w:rPr>
          <w:rFonts w:ascii="Verdana" w:hAnsi="Verdana"/>
          <w:sz w:val="20"/>
          <w:szCs w:val="20"/>
          <w:lang w:val="es-CR"/>
        </w:rPr>
      </w:pPr>
    </w:p>
    <w:p w14:paraId="01D9FEC3" w14:textId="22D22405" w:rsidR="00491DD7" w:rsidRPr="00CD25E5" w:rsidRDefault="00491DD7" w:rsidP="00C40754">
      <w:pPr>
        <w:pStyle w:val="Prrafodelista"/>
        <w:numPr>
          <w:ilvl w:val="0"/>
          <w:numId w:val="5"/>
        </w:numPr>
        <w:autoSpaceDE w:val="0"/>
        <w:autoSpaceDN w:val="0"/>
        <w:adjustRightInd w:val="0"/>
        <w:spacing w:after="0" w:line="240" w:lineRule="auto"/>
        <w:ind w:left="0" w:firstLine="0"/>
        <w:jc w:val="both"/>
        <w:rPr>
          <w:rFonts w:ascii="Verdana" w:hAnsi="Verdana"/>
          <w:sz w:val="20"/>
          <w:szCs w:val="20"/>
          <w:lang w:val="es-CR"/>
        </w:rPr>
      </w:pPr>
      <w:r w:rsidRPr="00CD25E5">
        <w:rPr>
          <w:rFonts w:ascii="Verdana" w:hAnsi="Verdana"/>
          <w:bCs/>
          <w:sz w:val="20"/>
          <w:szCs w:val="20"/>
        </w:rPr>
        <w:t xml:space="preserve">En segundo lugar, </w:t>
      </w:r>
      <w:r w:rsidRPr="00CD25E5">
        <w:rPr>
          <w:rFonts w:ascii="Verdana" w:hAnsi="Verdana"/>
          <w:sz w:val="20"/>
          <w:szCs w:val="20"/>
          <w:lang w:val="es-CR"/>
        </w:rPr>
        <w:t xml:space="preserve">en el presente caso, la mayoría consideró apropiado abordar los alegatos de fondo en un único apartado, y declarar la violación de las garantías judiciales, el derecho de permanecer en el cargo en condiciones de igualdad y el derecho al trabajo del señor Casa Nina en un solo punto resolutivo. Como se puede entrever del análisis de fondo, que evacúa la alegada violación del derecho al trabajo en apenas un par de párrafos </w:t>
      </w:r>
      <w:r w:rsidR="00985C06" w:rsidRPr="00CD25E5">
        <w:rPr>
          <w:rFonts w:ascii="Verdana" w:hAnsi="Verdana"/>
          <w:sz w:val="20"/>
          <w:szCs w:val="20"/>
          <w:lang w:val="es-CR"/>
        </w:rPr>
        <w:t xml:space="preserve">(108 y </w:t>
      </w:r>
      <w:r w:rsidRPr="00CD25E5">
        <w:rPr>
          <w:rFonts w:ascii="Verdana" w:hAnsi="Verdana"/>
          <w:sz w:val="20"/>
          <w:szCs w:val="20"/>
          <w:lang w:val="es-CR"/>
        </w:rPr>
        <w:t>109), es claro que la misma solo se explica y justifica en su relación con el derecho a la permanencia en el cargo en condiciones de igualdad. Así, no solo se evidencia u</w:t>
      </w:r>
      <w:proofErr w:type="spellStart"/>
      <w:r w:rsidRPr="00CD25E5">
        <w:rPr>
          <w:rFonts w:ascii="Verdana" w:hAnsi="Verdana"/>
          <w:bCs/>
          <w:sz w:val="20"/>
          <w:szCs w:val="20"/>
        </w:rPr>
        <w:t>na</w:t>
      </w:r>
      <w:proofErr w:type="spellEnd"/>
      <w:r w:rsidRPr="00CD25E5">
        <w:rPr>
          <w:rFonts w:ascii="Verdana" w:hAnsi="Verdana"/>
          <w:bCs/>
          <w:sz w:val="20"/>
          <w:szCs w:val="20"/>
        </w:rPr>
        <w:t xml:space="preserve"> vez más la inutilidad del análisis del artículo 26 de la Convención, sino que</w:t>
      </w:r>
      <w:r w:rsidR="00AE4CDE" w:rsidRPr="00CD25E5">
        <w:rPr>
          <w:rFonts w:ascii="Verdana" w:hAnsi="Verdana"/>
          <w:bCs/>
          <w:sz w:val="20"/>
          <w:szCs w:val="20"/>
        </w:rPr>
        <w:t>,</w:t>
      </w:r>
      <w:r w:rsidRPr="00CD25E5">
        <w:rPr>
          <w:rFonts w:ascii="Verdana" w:hAnsi="Verdana"/>
          <w:bCs/>
          <w:sz w:val="20"/>
          <w:szCs w:val="20"/>
        </w:rPr>
        <w:t xml:space="preserve"> además, queda palmario c</w:t>
      </w:r>
      <w:r w:rsidR="00AE4CDE" w:rsidRPr="00CD25E5">
        <w:rPr>
          <w:rFonts w:ascii="Verdana" w:hAnsi="Verdana"/>
          <w:bCs/>
          <w:sz w:val="20"/>
          <w:szCs w:val="20"/>
        </w:rPr>
        <w:t>ó</w:t>
      </w:r>
      <w:r w:rsidRPr="00CD25E5">
        <w:rPr>
          <w:rFonts w:ascii="Verdana" w:hAnsi="Verdana"/>
          <w:bCs/>
          <w:sz w:val="20"/>
          <w:szCs w:val="20"/>
        </w:rPr>
        <w:t>mo a través de la técnica de agrupar las alegadas violaciones en un único capítulo se desdibujan los contornos de los derechos protegidos por la Convención y se empobrece la calidad argumentativa del Tribunal al momento de acre</w:t>
      </w:r>
      <w:r w:rsidR="00AE4CDE" w:rsidRPr="00CD25E5">
        <w:rPr>
          <w:rFonts w:ascii="Verdana" w:hAnsi="Verdana"/>
          <w:bCs/>
          <w:sz w:val="20"/>
          <w:szCs w:val="20"/>
        </w:rPr>
        <w:t>ditar las alegadas violaciones.</w:t>
      </w:r>
    </w:p>
    <w:p w14:paraId="603F598B" w14:textId="77777777" w:rsidR="00AE4CDE" w:rsidRPr="00CD25E5" w:rsidRDefault="00AE4CDE" w:rsidP="00C40754">
      <w:pPr>
        <w:pStyle w:val="Prrafodelista"/>
        <w:spacing w:after="0" w:line="240" w:lineRule="auto"/>
        <w:rPr>
          <w:rFonts w:ascii="Verdana" w:hAnsi="Verdana"/>
          <w:sz w:val="20"/>
          <w:szCs w:val="20"/>
          <w:lang w:val="es-CR"/>
        </w:rPr>
      </w:pPr>
    </w:p>
    <w:p w14:paraId="17287C82" w14:textId="663FD5F4" w:rsidR="00F835C9" w:rsidRPr="00CD25E5" w:rsidRDefault="00BD7912" w:rsidP="00C40754">
      <w:pPr>
        <w:pStyle w:val="Prrafodelista"/>
        <w:numPr>
          <w:ilvl w:val="0"/>
          <w:numId w:val="5"/>
        </w:numPr>
        <w:autoSpaceDE w:val="0"/>
        <w:autoSpaceDN w:val="0"/>
        <w:adjustRightInd w:val="0"/>
        <w:spacing w:after="0" w:line="240" w:lineRule="auto"/>
        <w:ind w:left="0" w:firstLine="0"/>
        <w:jc w:val="both"/>
        <w:rPr>
          <w:rFonts w:ascii="Verdana" w:hAnsi="Verdana"/>
          <w:sz w:val="20"/>
          <w:szCs w:val="20"/>
          <w:lang w:val="es-CR"/>
        </w:rPr>
      </w:pPr>
      <w:r w:rsidRPr="00CD25E5">
        <w:rPr>
          <w:rFonts w:ascii="Verdana" w:hAnsi="Verdana"/>
          <w:bCs/>
          <w:sz w:val="20"/>
          <w:szCs w:val="20"/>
        </w:rPr>
        <w:t>Este razonamiento es el que motiva</w:t>
      </w:r>
      <w:r w:rsidR="00491DD7" w:rsidRPr="00CD25E5">
        <w:rPr>
          <w:rFonts w:ascii="Verdana" w:hAnsi="Verdana"/>
          <w:bCs/>
          <w:sz w:val="20"/>
          <w:szCs w:val="20"/>
        </w:rPr>
        <w:t xml:space="preserve"> esta opinión separada </w:t>
      </w:r>
      <w:r w:rsidR="006B4246" w:rsidRPr="00CD25E5">
        <w:rPr>
          <w:rFonts w:ascii="Verdana" w:hAnsi="Verdana"/>
          <w:bCs/>
          <w:sz w:val="20"/>
          <w:szCs w:val="20"/>
        </w:rPr>
        <w:t>pues</w:t>
      </w:r>
      <w:r w:rsidR="00491DD7" w:rsidRPr="00CD25E5">
        <w:rPr>
          <w:rFonts w:ascii="Verdana" w:hAnsi="Verdana"/>
          <w:bCs/>
          <w:sz w:val="20"/>
          <w:szCs w:val="20"/>
        </w:rPr>
        <w:t>,</w:t>
      </w:r>
      <w:r w:rsidR="006B4246" w:rsidRPr="00CD25E5">
        <w:rPr>
          <w:rFonts w:ascii="Verdana" w:hAnsi="Verdana"/>
          <w:bCs/>
          <w:sz w:val="20"/>
          <w:szCs w:val="20"/>
        </w:rPr>
        <w:t xml:space="preserve"> </w:t>
      </w:r>
      <w:r w:rsidR="00801DDB" w:rsidRPr="00CD25E5">
        <w:rPr>
          <w:rFonts w:ascii="Verdana" w:hAnsi="Verdana"/>
          <w:bCs/>
          <w:sz w:val="20"/>
          <w:szCs w:val="20"/>
        </w:rPr>
        <w:t>aunque coincido con que se haya declarado la violación de los artículo</w:t>
      </w:r>
      <w:r w:rsidR="00AE4CDE" w:rsidRPr="00CD25E5">
        <w:rPr>
          <w:rFonts w:ascii="Verdana" w:hAnsi="Verdana"/>
          <w:bCs/>
          <w:sz w:val="20"/>
          <w:szCs w:val="20"/>
        </w:rPr>
        <w:t>s</w:t>
      </w:r>
      <w:r w:rsidR="00801DDB" w:rsidRPr="00CD25E5">
        <w:rPr>
          <w:rFonts w:ascii="Verdana" w:hAnsi="Verdana"/>
          <w:bCs/>
          <w:sz w:val="20"/>
          <w:szCs w:val="20"/>
        </w:rPr>
        <w:t xml:space="preserve"> 8.1 y 23.1 c)</w:t>
      </w:r>
      <w:r w:rsidR="00491DD7" w:rsidRPr="00CD25E5">
        <w:rPr>
          <w:rFonts w:ascii="Verdana" w:hAnsi="Verdana"/>
          <w:bCs/>
          <w:sz w:val="20"/>
          <w:szCs w:val="20"/>
        </w:rPr>
        <w:t xml:space="preserve"> y en consecuencia expresé mi voto a favor del punto resolutivo 3</w:t>
      </w:r>
      <w:r w:rsidR="00801DDB" w:rsidRPr="00CD25E5">
        <w:rPr>
          <w:rFonts w:ascii="Verdana" w:hAnsi="Verdana"/>
          <w:bCs/>
          <w:sz w:val="20"/>
          <w:szCs w:val="20"/>
        </w:rPr>
        <w:t>,</w:t>
      </w:r>
      <w:r w:rsidR="003813AF" w:rsidRPr="00CD25E5">
        <w:rPr>
          <w:rFonts w:ascii="Verdana" w:hAnsi="Verdana"/>
          <w:bCs/>
          <w:sz w:val="20"/>
          <w:szCs w:val="20"/>
        </w:rPr>
        <w:t xml:space="preserve"> solo por la violaci</w:t>
      </w:r>
      <w:r w:rsidR="00AE4CDE" w:rsidRPr="00CD25E5">
        <w:rPr>
          <w:rFonts w:ascii="Verdana" w:hAnsi="Verdana"/>
          <w:bCs/>
          <w:sz w:val="20"/>
          <w:szCs w:val="20"/>
        </w:rPr>
        <w:t>ó</w:t>
      </w:r>
      <w:r w:rsidR="003813AF" w:rsidRPr="00CD25E5">
        <w:rPr>
          <w:rFonts w:ascii="Verdana" w:hAnsi="Verdana"/>
          <w:bCs/>
          <w:sz w:val="20"/>
          <w:szCs w:val="20"/>
        </w:rPr>
        <w:t>n de estos dos art</w:t>
      </w:r>
      <w:r w:rsidR="00AE4CDE" w:rsidRPr="00CD25E5">
        <w:rPr>
          <w:rFonts w:ascii="Verdana" w:hAnsi="Verdana"/>
          <w:bCs/>
          <w:sz w:val="20"/>
          <w:szCs w:val="20"/>
        </w:rPr>
        <w:t>í</w:t>
      </w:r>
      <w:r w:rsidR="003813AF" w:rsidRPr="00CD25E5">
        <w:rPr>
          <w:rFonts w:ascii="Verdana" w:hAnsi="Verdana"/>
          <w:bCs/>
          <w:sz w:val="20"/>
          <w:szCs w:val="20"/>
        </w:rPr>
        <w:t>culos.</w:t>
      </w:r>
      <w:r w:rsidR="00491DD7" w:rsidRPr="00CD25E5">
        <w:rPr>
          <w:rFonts w:ascii="Verdana" w:hAnsi="Verdana"/>
          <w:bCs/>
          <w:sz w:val="20"/>
          <w:szCs w:val="20"/>
        </w:rPr>
        <w:t xml:space="preserve"> </w:t>
      </w:r>
      <w:r w:rsidR="003813AF" w:rsidRPr="00CD25E5">
        <w:rPr>
          <w:rFonts w:ascii="Verdana" w:hAnsi="Verdana"/>
          <w:bCs/>
          <w:sz w:val="20"/>
          <w:szCs w:val="20"/>
        </w:rPr>
        <w:t>L</w:t>
      </w:r>
      <w:r w:rsidR="00491DD7" w:rsidRPr="00CD25E5">
        <w:rPr>
          <w:rFonts w:ascii="Verdana" w:hAnsi="Verdana"/>
          <w:bCs/>
          <w:sz w:val="20"/>
          <w:szCs w:val="20"/>
        </w:rPr>
        <w:t xml:space="preserve">a técnica que utiliza la Corte en esta decisión no me permitió expresar adecuadamente mi posición </w:t>
      </w:r>
      <w:r w:rsidR="00AE4CDE" w:rsidRPr="00CD25E5">
        <w:rPr>
          <w:rFonts w:ascii="Verdana" w:hAnsi="Verdana"/>
          <w:bCs/>
          <w:sz w:val="20"/>
          <w:szCs w:val="20"/>
        </w:rPr>
        <w:t>jurídica,</w:t>
      </w:r>
      <w:r w:rsidR="00014653" w:rsidRPr="00CD25E5">
        <w:rPr>
          <w:rFonts w:ascii="Verdana" w:hAnsi="Verdana"/>
          <w:bCs/>
          <w:sz w:val="20"/>
          <w:szCs w:val="20"/>
        </w:rPr>
        <w:t xml:space="preserve"> aunque </w:t>
      </w:r>
      <w:r w:rsidR="006B4246" w:rsidRPr="00CD25E5">
        <w:rPr>
          <w:rFonts w:ascii="Verdana" w:hAnsi="Verdana"/>
          <w:bCs/>
          <w:sz w:val="20"/>
          <w:szCs w:val="20"/>
        </w:rPr>
        <w:t xml:space="preserve">considero </w:t>
      </w:r>
      <w:r w:rsidR="006A1E30" w:rsidRPr="00CD25E5">
        <w:rPr>
          <w:rFonts w:ascii="Verdana" w:hAnsi="Verdana"/>
          <w:bCs/>
          <w:sz w:val="20"/>
          <w:szCs w:val="20"/>
        </w:rPr>
        <w:t xml:space="preserve">que, no solo </w:t>
      </w:r>
      <w:r w:rsidR="00BD7261" w:rsidRPr="00CD25E5">
        <w:rPr>
          <w:rFonts w:ascii="Verdana" w:hAnsi="Verdana"/>
          <w:bCs/>
          <w:sz w:val="20"/>
          <w:szCs w:val="20"/>
        </w:rPr>
        <w:t xml:space="preserve">la </w:t>
      </w:r>
      <w:proofErr w:type="spellStart"/>
      <w:r w:rsidR="00BD7261" w:rsidRPr="00CD25E5">
        <w:rPr>
          <w:rFonts w:ascii="Verdana" w:hAnsi="Verdana"/>
          <w:bCs/>
          <w:sz w:val="20"/>
          <w:szCs w:val="20"/>
        </w:rPr>
        <w:t>justiciabilidad</w:t>
      </w:r>
      <w:proofErr w:type="spellEnd"/>
      <w:r w:rsidR="00BD7261" w:rsidRPr="00CD25E5">
        <w:rPr>
          <w:rFonts w:ascii="Verdana" w:hAnsi="Verdana"/>
          <w:bCs/>
          <w:sz w:val="20"/>
          <w:szCs w:val="20"/>
        </w:rPr>
        <w:t xml:space="preserve"> del</w:t>
      </w:r>
      <w:r w:rsidR="006B4246" w:rsidRPr="00CD25E5">
        <w:rPr>
          <w:rFonts w:ascii="Verdana" w:hAnsi="Verdana"/>
          <w:bCs/>
          <w:sz w:val="20"/>
          <w:szCs w:val="20"/>
        </w:rPr>
        <w:t xml:space="preserve"> </w:t>
      </w:r>
      <w:r w:rsidR="00431ADA" w:rsidRPr="00CD25E5">
        <w:rPr>
          <w:rFonts w:ascii="Verdana" w:hAnsi="Verdana"/>
          <w:bCs/>
          <w:sz w:val="20"/>
          <w:szCs w:val="20"/>
        </w:rPr>
        <w:t xml:space="preserve">derecho al </w:t>
      </w:r>
      <w:r w:rsidR="006B4246" w:rsidRPr="00CD25E5">
        <w:rPr>
          <w:rFonts w:ascii="Verdana" w:hAnsi="Verdana"/>
          <w:bCs/>
          <w:sz w:val="20"/>
          <w:szCs w:val="20"/>
        </w:rPr>
        <w:t xml:space="preserve">trabajo </w:t>
      </w:r>
      <w:r w:rsidR="00BD7261" w:rsidRPr="00CD25E5">
        <w:rPr>
          <w:rFonts w:ascii="Verdana" w:hAnsi="Verdana"/>
          <w:bCs/>
          <w:sz w:val="20"/>
          <w:szCs w:val="20"/>
        </w:rPr>
        <w:t xml:space="preserve">no es jurídicamente viable en el </w:t>
      </w:r>
      <w:r w:rsidR="006A1E30" w:rsidRPr="00CD25E5">
        <w:rPr>
          <w:rFonts w:ascii="Verdana" w:hAnsi="Verdana"/>
          <w:bCs/>
          <w:sz w:val="20"/>
          <w:szCs w:val="20"/>
        </w:rPr>
        <w:t>proceso ante la Corte IDH, sino que</w:t>
      </w:r>
      <w:r w:rsidR="005E075F" w:rsidRPr="00CD25E5">
        <w:rPr>
          <w:rFonts w:ascii="Verdana" w:hAnsi="Verdana"/>
          <w:bCs/>
          <w:sz w:val="20"/>
          <w:szCs w:val="20"/>
        </w:rPr>
        <w:t xml:space="preserve"> incluso bajo los criterios desarrollados en la jurisprudencia, la violación del artículo 26 no se encontró probada en el caso.</w:t>
      </w:r>
      <w:r w:rsidR="00491DD7" w:rsidRPr="00CD25E5">
        <w:rPr>
          <w:rFonts w:ascii="Verdana" w:hAnsi="Verdana"/>
          <w:bCs/>
          <w:sz w:val="20"/>
          <w:szCs w:val="20"/>
        </w:rPr>
        <w:t xml:space="preserve"> </w:t>
      </w:r>
      <w:r w:rsidR="005E075F" w:rsidRPr="00CD25E5">
        <w:rPr>
          <w:rFonts w:ascii="Verdana" w:hAnsi="Verdana"/>
          <w:bCs/>
          <w:sz w:val="20"/>
          <w:szCs w:val="20"/>
        </w:rPr>
        <w:t xml:space="preserve"> </w:t>
      </w:r>
    </w:p>
    <w:p w14:paraId="292A6BE4" w14:textId="77777777" w:rsidR="00F94FEF" w:rsidRPr="00CD25E5" w:rsidRDefault="00F94FEF" w:rsidP="00C40754">
      <w:pPr>
        <w:pStyle w:val="Prrafodelista"/>
        <w:autoSpaceDE w:val="0"/>
        <w:autoSpaceDN w:val="0"/>
        <w:adjustRightInd w:val="0"/>
        <w:spacing w:after="0" w:line="240" w:lineRule="auto"/>
        <w:ind w:left="0"/>
        <w:jc w:val="both"/>
        <w:rPr>
          <w:rFonts w:ascii="Verdana" w:hAnsi="Verdana"/>
          <w:sz w:val="20"/>
          <w:szCs w:val="20"/>
          <w:lang w:val="es-CR"/>
        </w:rPr>
      </w:pPr>
    </w:p>
    <w:p w14:paraId="0A640F71" w14:textId="4676081C" w:rsidR="00F94FEF" w:rsidRPr="00CD25E5" w:rsidRDefault="00AE4CDE" w:rsidP="00C40754">
      <w:pPr>
        <w:pStyle w:val="Prrafodelista"/>
        <w:spacing w:after="0" w:line="240" w:lineRule="auto"/>
        <w:ind w:hanging="436"/>
        <w:jc w:val="both"/>
        <w:rPr>
          <w:rFonts w:ascii="Verdana" w:hAnsi="Verdana"/>
          <w:b/>
          <w:bCs/>
          <w:sz w:val="20"/>
          <w:szCs w:val="20"/>
        </w:rPr>
      </w:pPr>
      <w:proofErr w:type="spellStart"/>
      <w:r w:rsidRPr="00CD25E5">
        <w:rPr>
          <w:rFonts w:ascii="Verdana" w:hAnsi="Verdana"/>
          <w:b/>
          <w:bCs/>
          <w:sz w:val="20"/>
          <w:szCs w:val="20"/>
          <w:lang w:val="es-CR"/>
        </w:rPr>
        <w:t>ii</w:t>
      </w:r>
      <w:proofErr w:type="spellEnd"/>
      <w:r w:rsidRPr="00CD25E5">
        <w:rPr>
          <w:rFonts w:ascii="Verdana" w:hAnsi="Verdana"/>
          <w:b/>
          <w:bCs/>
          <w:sz w:val="20"/>
          <w:szCs w:val="20"/>
          <w:lang w:val="es-CR"/>
        </w:rPr>
        <w:t xml:space="preserve">) </w:t>
      </w:r>
      <w:r w:rsidR="00F94FEF" w:rsidRPr="00CD25E5">
        <w:rPr>
          <w:rFonts w:ascii="Verdana" w:hAnsi="Verdana"/>
          <w:b/>
          <w:bCs/>
          <w:sz w:val="20"/>
          <w:szCs w:val="20"/>
          <w:lang w:val="es-CR"/>
        </w:rPr>
        <w:t>La interpretación ambivalente del artículo 23 en relación con la desvinculación de funcionarios públicos</w:t>
      </w:r>
      <w:r w:rsidR="00945DE8" w:rsidRPr="00CD25E5">
        <w:rPr>
          <w:rFonts w:ascii="Verdana" w:hAnsi="Verdana"/>
          <w:b/>
          <w:bCs/>
          <w:sz w:val="20"/>
          <w:szCs w:val="20"/>
          <w:lang w:val="es-CR"/>
        </w:rPr>
        <w:t>.</w:t>
      </w:r>
    </w:p>
    <w:p w14:paraId="40464068" w14:textId="77777777" w:rsidR="00DA6225" w:rsidRPr="00CD25E5" w:rsidRDefault="00DA6225" w:rsidP="00C40754">
      <w:pPr>
        <w:pStyle w:val="Prrafodelista"/>
        <w:spacing w:after="0" w:line="240" w:lineRule="auto"/>
        <w:jc w:val="both"/>
        <w:rPr>
          <w:rFonts w:ascii="Verdana" w:hAnsi="Verdana"/>
          <w:b/>
          <w:bCs/>
          <w:sz w:val="20"/>
          <w:szCs w:val="20"/>
        </w:rPr>
      </w:pPr>
    </w:p>
    <w:p w14:paraId="2C2E0964" w14:textId="05930408" w:rsidR="00F94FEF" w:rsidRPr="00CD25E5" w:rsidRDefault="00DA6225" w:rsidP="00C40754">
      <w:pPr>
        <w:pStyle w:val="Prrafodelista"/>
        <w:numPr>
          <w:ilvl w:val="0"/>
          <w:numId w:val="5"/>
        </w:numPr>
        <w:autoSpaceDE w:val="0"/>
        <w:autoSpaceDN w:val="0"/>
        <w:adjustRightInd w:val="0"/>
        <w:spacing w:after="0" w:line="240" w:lineRule="auto"/>
        <w:ind w:left="0" w:firstLine="0"/>
        <w:jc w:val="both"/>
        <w:rPr>
          <w:rFonts w:ascii="Verdana" w:hAnsi="Verdana"/>
          <w:sz w:val="20"/>
          <w:szCs w:val="20"/>
          <w:lang w:val="es-CR"/>
        </w:rPr>
      </w:pPr>
      <w:r w:rsidRPr="00CD25E5">
        <w:rPr>
          <w:rFonts w:ascii="Verdana" w:hAnsi="Verdana"/>
          <w:sz w:val="20"/>
          <w:szCs w:val="20"/>
          <w:lang w:val="es-CR"/>
        </w:rPr>
        <w:t xml:space="preserve">De manera adicional a los criterios que me llevaron a plantear mi voto </w:t>
      </w:r>
      <w:r w:rsidR="004B36F2" w:rsidRPr="00CD25E5">
        <w:rPr>
          <w:rFonts w:ascii="Verdana" w:hAnsi="Verdana"/>
          <w:sz w:val="20"/>
          <w:szCs w:val="20"/>
          <w:lang w:val="es-CR"/>
        </w:rPr>
        <w:t xml:space="preserve">parcial </w:t>
      </w:r>
      <w:r w:rsidRPr="00CD25E5">
        <w:rPr>
          <w:rFonts w:ascii="Verdana" w:hAnsi="Verdana"/>
          <w:sz w:val="20"/>
          <w:szCs w:val="20"/>
          <w:lang w:val="es-CR"/>
        </w:rPr>
        <w:t xml:space="preserve">en relación con el punto resolutivo </w:t>
      </w:r>
      <w:r w:rsidR="00AE4CDE" w:rsidRPr="00CD25E5">
        <w:rPr>
          <w:rFonts w:ascii="Verdana" w:hAnsi="Verdana"/>
          <w:sz w:val="20"/>
          <w:szCs w:val="20"/>
          <w:lang w:val="es-CR"/>
        </w:rPr>
        <w:t>3</w:t>
      </w:r>
      <w:r w:rsidR="00B3337D" w:rsidRPr="00CD25E5">
        <w:rPr>
          <w:rFonts w:ascii="Verdana" w:hAnsi="Verdana"/>
          <w:sz w:val="20"/>
          <w:szCs w:val="20"/>
          <w:lang w:val="es-CR"/>
        </w:rPr>
        <w:t>, considero relevante hacer referencia a algunos elementos problemáticos del análisis de fondo</w:t>
      </w:r>
      <w:r w:rsidR="00AE4CDE" w:rsidRPr="00CD25E5">
        <w:rPr>
          <w:rFonts w:ascii="Verdana" w:hAnsi="Verdana"/>
          <w:sz w:val="20"/>
          <w:szCs w:val="20"/>
          <w:lang w:val="es-CR"/>
        </w:rPr>
        <w:t>,</w:t>
      </w:r>
      <w:r w:rsidR="00B3337D" w:rsidRPr="00CD25E5">
        <w:rPr>
          <w:rFonts w:ascii="Verdana" w:hAnsi="Verdana"/>
          <w:sz w:val="20"/>
          <w:szCs w:val="20"/>
          <w:lang w:val="es-CR"/>
        </w:rPr>
        <w:t xml:space="preserve"> e</w:t>
      </w:r>
      <w:r w:rsidR="00D56252" w:rsidRPr="00CD25E5">
        <w:rPr>
          <w:rFonts w:ascii="Verdana" w:hAnsi="Verdana"/>
          <w:sz w:val="20"/>
          <w:szCs w:val="20"/>
          <w:lang w:val="es-CR"/>
        </w:rPr>
        <w:t xml:space="preserve">mpezando por la interpretación del alcance y contenido del artículo 23 de la Convención. </w:t>
      </w:r>
      <w:r w:rsidR="007E3747" w:rsidRPr="00CD25E5">
        <w:rPr>
          <w:rFonts w:ascii="Verdana" w:hAnsi="Verdana"/>
          <w:sz w:val="20"/>
          <w:szCs w:val="20"/>
          <w:lang w:val="es-CR"/>
        </w:rPr>
        <w:t xml:space="preserve">En este caso la Corte </w:t>
      </w:r>
      <w:r w:rsidR="00743180" w:rsidRPr="00CD25E5">
        <w:rPr>
          <w:rFonts w:ascii="Verdana" w:hAnsi="Verdana"/>
          <w:sz w:val="20"/>
          <w:szCs w:val="20"/>
          <w:lang w:val="es-CR"/>
        </w:rPr>
        <w:t xml:space="preserve">encontró probada </w:t>
      </w:r>
      <w:r w:rsidR="00795A74" w:rsidRPr="00CD25E5">
        <w:rPr>
          <w:rFonts w:ascii="Verdana" w:hAnsi="Verdana"/>
          <w:sz w:val="20"/>
          <w:szCs w:val="20"/>
          <w:lang w:val="es-CR"/>
        </w:rPr>
        <w:t>la vulneración del derecho de acceso en condiciones generales de igualdad a las funciones públicas</w:t>
      </w:r>
      <w:r w:rsidR="00A64234" w:rsidRPr="00CD25E5">
        <w:rPr>
          <w:rFonts w:ascii="Verdana" w:hAnsi="Verdana"/>
          <w:sz w:val="20"/>
          <w:szCs w:val="20"/>
          <w:lang w:val="es-CR"/>
        </w:rPr>
        <w:t xml:space="preserve"> al considerar que</w:t>
      </w:r>
      <w:r w:rsidR="00743180" w:rsidRPr="00CD25E5">
        <w:rPr>
          <w:rFonts w:ascii="Verdana" w:hAnsi="Verdana"/>
          <w:sz w:val="20"/>
          <w:szCs w:val="20"/>
          <w:lang w:val="es-CR"/>
        </w:rPr>
        <w:t xml:space="preserve"> </w:t>
      </w:r>
      <w:r w:rsidR="00D0323F" w:rsidRPr="00CD25E5">
        <w:rPr>
          <w:rFonts w:ascii="Verdana" w:hAnsi="Verdana"/>
          <w:sz w:val="20"/>
          <w:szCs w:val="20"/>
          <w:lang w:val="es-CR"/>
        </w:rPr>
        <w:t>la decisión que dio por terminado el nombramiento de</w:t>
      </w:r>
      <w:r w:rsidR="0089529E" w:rsidRPr="00CD25E5">
        <w:rPr>
          <w:rFonts w:ascii="Verdana" w:hAnsi="Verdana"/>
          <w:sz w:val="20"/>
          <w:szCs w:val="20"/>
          <w:lang w:val="es-CR"/>
        </w:rPr>
        <w:t>l señor Casa Nina</w:t>
      </w:r>
      <w:r w:rsidR="00D0323F" w:rsidRPr="00CD25E5">
        <w:rPr>
          <w:rFonts w:ascii="Verdana" w:hAnsi="Verdana"/>
          <w:sz w:val="20"/>
          <w:szCs w:val="20"/>
          <w:lang w:val="es-CR"/>
        </w:rPr>
        <w:t xml:space="preserve"> fue arbitraria, al no corresponder </w:t>
      </w:r>
      <w:r w:rsidR="00A64234" w:rsidRPr="00CD25E5">
        <w:rPr>
          <w:rFonts w:ascii="Verdana" w:hAnsi="Verdana"/>
          <w:sz w:val="20"/>
          <w:szCs w:val="20"/>
          <w:lang w:val="es-CR"/>
        </w:rPr>
        <w:t>a</w:t>
      </w:r>
      <w:r w:rsidR="00D0323F" w:rsidRPr="00CD25E5">
        <w:rPr>
          <w:rFonts w:ascii="Verdana" w:hAnsi="Verdana"/>
          <w:sz w:val="20"/>
          <w:szCs w:val="20"/>
          <w:lang w:val="es-CR"/>
        </w:rPr>
        <w:t xml:space="preserve"> los motivos permitidos para garantizar su independencia en el cargo de fiscal provisional</w:t>
      </w:r>
      <w:r w:rsidR="0089529E" w:rsidRPr="00CD25E5">
        <w:rPr>
          <w:rFonts w:ascii="Verdana" w:hAnsi="Verdana"/>
          <w:sz w:val="20"/>
          <w:szCs w:val="20"/>
          <w:lang w:val="es-CR"/>
        </w:rPr>
        <w:t>. Si bien concuerdo con este razonamiento</w:t>
      </w:r>
      <w:r w:rsidR="00165EE7" w:rsidRPr="00CD25E5">
        <w:rPr>
          <w:rFonts w:ascii="Verdana" w:hAnsi="Verdana"/>
          <w:sz w:val="20"/>
          <w:szCs w:val="20"/>
          <w:lang w:val="es-CR"/>
        </w:rPr>
        <w:t>,</w:t>
      </w:r>
      <w:r w:rsidR="0089529E" w:rsidRPr="00CD25E5">
        <w:rPr>
          <w:rFonts w:ascii="Verdana" w:hAnsi="Verdana"/>
          <w:sz w:val="20"/>
          <w:szCs w:val="20"/>
          <w:lang w:val="es-CR"/>
        </w:rPr>
        <w:t xml:space="preserve"> debo advertir que la Corte obvi</w:t>
      </w:r>
      <w:r w:rsidR="00A22E34" w:rsidRPr="00CD25E5">
        <w:rPr>
          <w:rFonts w:ascii="Verdana" w:hAnsi="Verdana"/>
          <w:sz w:val="20"/>
          <w:szCs w:val="20"/>
          <w:lang w:val="es-CR"/>
        </w:rPr>
        <w:t xml:space="preserve">ó </w:t>
      </w:r>
      <w:r w:rsidR="0089529E" w:rsidRPr="00CD25E5">
        <w:rPr>
          <w:rFonts w:ascii="Verdana" w:hAnsi="Verdana"/>
          <w:sz w:val="20"/>
          <w:szCs w:val="20"/>
          <w:lang w:val="es-CR"/>
        </w:rPr>
        <w:t xml:space="preserve">una </w:t>
      </w:r>
      <w:r w:rsidR="00AE4CDE" w:rsidRPr="00CD25E5">
        <w:rPr>
          <w:rFonts w:ascii="Verdana" w:hAnsi="Verdana"/>
          <w:sz w:val="20"/>
          <w:szCs w:val="20"/>
          <w:lang w:val="es-CR"/>
        </w:rPr>
        <w:t>discusión</w:t>
      </w:r>
      <w:r w:rsidR="0089529E" w:rsidRPr="00CD25E5">
        <w:rPr>
          <w:rFonts w:ascii="Verdana" w:hAnsi="Verdana"/>
          <w:sz w:val="20"/>
          <w:szCs w:val="20"/>
          <w:lang w:val="es-CR"/>
        </w:rPr>
        <w:t xml:space="preserve"> trascendental</w:t>
      </w:r>
      <w:r w:rsidR="00165EE7" w:rsidRPr="00CD25E5">
        <w:rPr>
          <w:rFonts w:ascii="Verdana" w:hAnsi="Verdana"/>
          <w:sz w:val="20"/>
          <w:szCs w:val="20"/>
          <w:lang w:val="es-CR"/>
        </w:rPr>
        <w:t xml:space="preserve"> que </w:t>
      </w:r>
      <w:r w:rsidR="002D634B" w:rsidRPr="00CD25E5">
        <w:rPr>
          <w:rFonts w:ascii="Verdana" w:hAnsi="Verdana"/>
          <w:sz w:val="20"/>
          <w:szCs w:val="20"/>
          <w:lang w:val="es-CR"/>
        </w:rPr>
        <w:t xml:space="preserve">el caso ponía nuevamente sobre la mesa, </w:t>
      </w:r>
      <w:r w:rsidR="0089529E" w:rsidRPr="00CD25E5">
        <w:rPr>
          <w:rFonts w:ascii="Verdana" w:hAnsi="Verdana"/>
          <w:sz w:val="20"/>
          <w:szCs w:val="20"/>
          <w:lang w:val="es-CR"/>
        </w:rPr>
        <w:t xml:space="preserve">relacionada no </w:t>
      </w:r>
      <w:r w:rsidR="002D634B" w:rsidRPr="00CD25E5">
        <w:rPr>
          <w:rFonts w:ascii="Verdana" w:hAnsi="Verdana"/>
          <w:sz w:val="20"/>
          <w:szCs w:val="20"/>
          <w:lang w:val="es-CR"/>
        </w:rPr>
        <w:t>ya</w:t>
      </w:r>
      <w:r w:rsidR="0089529E" w:rsidRPr="00CD25E5">
        <w:rPr>
          <w:rFonts w:ascii="Verdana" w:hAnsi="Verdana"/>
          <w:sz w:val="20"/>
          <w:szCs w:val="20"/>
          <w:lang w:val="es-CR"/>
        </w:rPr>
        <w:t xml:space="preserve"> con el</w:t>
      </w:r>
      <w:r w:rsidR="00165EE7" w:rsidRPr="00CD25E5">
        <w:rPr>
          <w:rFonts w:ascii="Verdana" w:hAnsi="Verdana"/>
          <w:sz w:val="20"/>
          <w:szCs w:val="20"/>
          <w:lang w:val="es-CR"/>
        </w:rPr>
        <w:t xml:space="preserve"> </w:t>
      </w:r>
      <w:r w:rsidR="0089529E" w:rsidRPr="00CD25E5">
        <w:rPr>
          <w:rFonts w:ascii="Verdana" w:hAnsi="Verdana"/>
          <w:sz w:val="20"/>
          <w:szCs w:val="20"/>
          <w:lang w:val="es-CR"/>
        </w:rPr>
        <w:t>artículo 23.1 c) sino con el artículo 23.2</w:t>
      </w:r>
      <w:r w:rsidR="002D634B" w:rsidRPr="00CD25E5">
        <w:rPr>
          <w:rFonts w:ascii="Verdana" w:hAnsi="Verdana"/>
          <w:sz w:val="20"/>
          <w:szCs w:val="20"/>
          <w:lang w:val="es-CR"/>
        </w:rPr>
        <w:t xml:space="preserve">. </w:t>
      </w:r>
    </w:p>
    <w:p w14:paraId="601375D1" w14:textId="77777777" w:rsidR="00AE4CDE" w:rsidRPr="00CD25E5" w:rsidRDefault="00AE4CDE" w:rsidP="00C40754">
      <w:pPr>
        <w:pStyle w:val="Prrafodelista"/>
        <w:autoSpaceDE w:val="0"/>
        <w:autoSpaceDN w:val="0"/>
        <w:adjustRightInd w:val="0"/>
        <w:spacing w:after="0" w:line="240" w:lineRule="auto"/>
        <w:ind w:left="0"/>
        <w:jc w:val="both"/>
        <w:rPr>
          <w:rFonts w:ascii="Verdana" w:hAnsi="Verdana"/>
          <w:sz w:val="20"/>
          <w:szCs w:val="20"/>
          <w:lang w:val="es-CR"/>
        </w:rPr>
      </w:pPr>
    </w:p>
    <w:p w14:paraId="4397F074" w14:textId="702C8581" w:rsidR="00AE4CDE" w:rsidRPr="00CD25E5" w:rsidRDefault="004833B0" w:rsidP="00C40754">
      <w:pPr>
        <w:pStyle w:val="Prrafodelista"/>
        <w:numPr>
          <w:ilvl w:val="0"/>
          <w:numId w:val="5"/>
        </w:numPr>
        <w:autoSpaceDE w:val="0"/>
        <w:autoSpaceDN w:val="0"/>
        <w:adjustRightInd w:val="0"/>
        <w:spacing w:after="0" w:line="240" w:lineRule="auto"/>
        <w:ind w:left="0" w:firstLine="0"/>
        <w:jc w:val="both"/>
        <w:rPr>
          <w:rFonts w:ascii="Verdana" w:hAnsi="Verdana"/>
          <w:sz w:val="20"/>
          <w:szCs w:val="20"/>
          <w:lang w:val="es-CR"/>
        </w:rPr>
      </w:pPr>
      <w:r w:rsidRPr="00CD25E5">
        <w:rPr>
          <w:rFonts w:ascii="Verdana" w:hAnsi="Verdana"/>
          <w:sz w:val="20"/>
          <w:szCs w:val="20"/>
          <w:lang w:val="es-CR"/>
        </w:rPr>
        <w:t xml:space="preserve">En el presente caso, </w:t>
      </w:r>
      <w:r w:rsidR="008C6E65" w:rsidRPr="00CD25E5">
        <w:rPr>
          <w:rFonts w:ascii="Verdana" w:hAnsi="Verdana"/>
          <w:sz w:val="20"/>
          <w:szCs w:val="20"/>
          <w:lang w:val="es-CR"/>
        </w:rPr>
        <w:t xml:space="preserve">se extiende una postura </w:t>
      </w:r>
      <w:r w:rsidR="00922B8B" w:rsidRPr="00CD25E5">
        <w:rPr>
          <w:rFonts w:ascii="Verdana" w:hAnsi="Verdana"/>
          <w:sz w:val="20"/>
          <w:szCs w:val="20"/>
          <w:lang w:val="es-CR"/>
        </w:rPr>
        <w:t>jurisprudencial consolidada en decisiones previas referidas a funcionarios judiciales</w:t>
      </w:r>
      <w:r w:rsidR="007941C8" w:rsidRPr="00CD25E5">
        <w:rPr>
          <w:rStyle w:val="Refdenotaalpie"/>
          <w:rFonts w:ascii="Verdana" w:hAnsi="Verdana"/>
          <w:sz w:val="20"/>
          <w:szCs w:val="20"/>
          <w:lang w:val="es-CR"/>
        </w:rPr>
        <w:footnoteReference w:id="17"/>
      </w:r>
      <w:r w:rsidR="00922B8B" w:rsidRPr="00CD25E5">
        <w:rPr>
          <w:rFonts w:ascii="Verdana" w:hAnsi="Verdana"/>
          <w:sz w:val="20"/>
          <w:szCs w:val="20"/>
          <w:lang w:val="es-CR"/>
        </w:rPr>
        <w:t xml:space="preserve"> </w:t>
      </w:r>
      <w:r w:rsidR="009F652E" w:rsidRPr="00CD25E5">
        <w:rPr>
          <w:rFonts w:ascii="Verdana" w:hAnsi="Verdana"/>
          <w:sz w:val="20"/>
          <w:szCs w:val="20"/>
          <w:lang w:val="es-CR"/>
        </w:rPr>
        <w:t xml:space="preserve">en relación con los criterios </w:t>
      </w:r>
      <w:r w:rsidR="002C3823" w:rsidRPr="00CD25E5">
        <w:rPr>
          <w:rFonts w:ascii="Verdana" w:hAnsi="Verdana"/>
          <w:sz w:val="20"/>
          <w:szCs w:val="20"/>
          <w:lang w:val="es-CR"/>
        </w:rPr>
        <w:t xml:space="preserve">para </w:t>
      </w:r>
      <w:r w:rsidR="009F652E" w:rsidRPr="00CD25E5">
        <w:rPr>
          <w:rFonts w:ascii="Verdana" w:hAnsi="Verdana"/>
          <w:sz w:val="20"/>
          <w:szCs w:val="20"/>
          <w:lang w:val="es-CR"/>
        </w:rPr>
        <w:t>la separación del cargo</w:t>
      </w:r>
      <w:r w:rsidR="002C3823" w:rsidRPr="00CD25E5">
        <w:rPr>
          <w:rFonts w:ascii="Verdana" w:hAnsi="Verdana"/>
          <w:sz w:val="20"/>
          <w:szCs w:val="20"/>
          <w:lang w:val="es-CR"/>
        </w:rPr>
        <w:t>,</w:t>
      </w:r>
      <w:r w:rsidR="0013458D" w:rsidRPr="00CD25E5">
        <w:rPr>
          <w:rFonts w:ascii="Verdana" w:hAnsi="Verdana"/>
          <w:sz w:val="20"/>
          <w:szCs w:val="20"/>
          <w:lang w:val="es-CR"/>
        </w:rPr>
        <w:t xml:space="preserve"> en las cuales </w:t>
      </w:r>
      <w:r w:rsidR="00A64234" w:rsidRPr="00CD25E5">
        <w:rPr>
          <w:rFonts w:ascii="Verdana" w:hAnsi="Verdana"/>
          <w:sz w:val="20"/>
          <w:szCs w:val="20"/>
          <w:lang w:val="es-CR"/>
        </w:rPr>
        <w:t>no</w:t>
      </w:r>
      <w:r w:rsidR="0013458D" w:rsidRPr="00CD25E5">
        <w:rPr>
          <w:rFonts w:ascii="Verdana" w:hAnsi="Verdana"/>
          <w:sz w:val="20"/>
          <w:szCs w:val="20"/>
          <w:lang w:val="es-CR"/>
        </w:rPr>
        <w:t xml:space="preserve"> se abord</w:t>
      </w:r>
      <w:r w:rsidR="00A64234" w:rsidRPr="00CD25E5">
        <w:rPr>
          <w:rFonts w:ascii="Verdana" w:hAnsi="Verdana"/>
          <w:sz w:val="20"/>
          <w:szCs w:val="20"/>
          <w:lang w:val="es-CR"/>
        </w:rPr>
        <w:t>ó</w:t>
      </w:r>
      <w:r w:rsidR="0013458D" w:rsidRPr="00CD25E5">
        <w:rPr>
          <w:rFonts w:ascii="Verdana" w:hAnsi="Verdana"/>
          <w:sz w:val="20"/>
          <w:szCs w:val="20"/>
          <w:lang w:val="es-CR"/>
        </w:rPr>
        <w:t xml:space="preserve"> la cuestión </w:t>
      </w:r>
      <w:r w:rsidR="00AA7582" w:rsidRPr="00CD25E5">
        <w:rPr>
          <w:rFonts w:ascii="Verdana" w:hAnsi="Verdana"/>
          <w:sz w:val="20"/>
          <w:szCs w:val="20"/>
          <w:lang w:val="es-CR"/>
        </w:rPr>
        <w:t xml:space="preserve">de la </w:t>
      </w:r>
      <w:r w:rsidR="00015C69" w:rsidRPr="00CD25E5">
        <w:rPr>
          <w:rFonts w:ascii="Verdana" w:hAnsi="Verdana"/>
          <w:sz w:val="20"/>
          <w:szCs w:val="20"/>
          <w:lang w:val="es-CR"/>
        </w:rPr>
        <w:t>interpretación literal de</w:t>
      </w:r>
      <w:r w:rsidR="00A64234" w:rsidRPr="00CD25E5">
        <w:rPr>
          <w:rFonts w:ascii="Verdana" w:hAnsi="Verdana"/>
          <w:sz w:val="20"/>
          <w:szCs w:val="20"/>
          <w:lang w:val="es-CR"/>
        </w:rPr>
        <w:t xml:space="preserve"> </w:t>
      </w:r>
      <w:r w:rsidR="00015C69" w:rsidRPr="00CD25E5">
        <w:rPr>
          <w:rFonts w:ascii="Verdana" w:hAnsi="Verdana"/>
          <w:sz w:val="20"/>
          <w:szCs w:val="20"/>
          <w:lang w:val="es-CR"/>
        </w:rPr>
        <w:t>l</w:t>
      </w:r>
      <w:r w:rsidR="00A64234" w:rsidRPr="00CD25E5">
        <w:rPr>
          <w:rFonts w:ascii="Verdana" w:hAnsi="Verdana"/>
          <w:sz w:val="20"/>
          <w:szCs w:val="20"/>
          <w:lang w:val="es-CR"/>
        </w:rPr>
        <w:t xml:space="preserve">as limitaciones a derechos políticos </w:t>
      </w:r>
      <w:r w:rsidR="00AE4CDE" w:rsidRPr="00CD25E5">
        <w:rPr>
          <w:rFonts w:ascii="Verdana" w:hAnsi="Verdana"/>
          <w:sz w:val="20"/>
          <w:szCs w:val="20"/>
          <w:lang w:val="es-CR"/>
        </w:rPr>
        <w:t>contempladas</w:t>
      </w:r>
      <w:r w:rsidR="00A64234" w:rsidRPr="00CD25E5">
        <w:rPr>
          <w:rFonts w:ascii="Verdana" w:hAnsi="Verdana"/>
          <w:sz w:val="20"/>
          <w:szCs w:val="20"/>
          <w:lang w:val="es-CR"/>
        </w:rPr>
        <w:t xml:space="preserve"> en el</w:t>
      </w:r>
      <w:r w:rsidR="00015C69" w:rsidRPr="00CD25E5">
        <w:rPr>
          <w:rFonts w:ascii="Verdana" w:hAnsi="Verdana"/>
          <w:sz w:val="20"/>
          <w:szCs w:val="20"/>
          <w:lang w:val="es-CR"/>
        </w:rPr>
        <w:t xml:space="preserve"> artículo 23</w:t>
      </w:r>
      <w:r w:rsidR="00A64234" w:rsidRPr="00CD25E5">
        <w:rPr>
          <w:rFonts w:ascii="Verdana" w:hAnsi="Verdana"/>
          <w:sz w:val="20"/>
          <w:szCs w:val="20"/>
          <w:lang w:val="es-CR"/>
        </w:rPr>
        <w:t xml:space="preserve">. </w:t>
      </w:r>
      <w:r w:rsidR="00015C69" w:rsidRPr="00CD25E5">
        <w:rPr>
          <w:rFonts w:ascii="Verdana" w:hAnsi="Verdana"/>
          <w:sz w:val="20"/>
          <w:szCs w:val="20"/>
          <w:lang w:val="es-CR"/>
        </w:rPr>
        <w:t xml:space="preserve">La Corte señaló, </w:t>
      </w:r>
      <w:r w:rsidR="00F15DBE" w:rsidRPr="00CD25E5">
        <w:rPr>
          <w:rFonts w:ascii="Verdana" w:hAnsi="Verdana"/>
          <w:sz w:val="20"/>
          <w:szCs w:val="20"/>
          <w:lang w:val="es-CR"/>
        </w:rPr>
        <w:t>“</w:t>
      </w:r>
      <w:r w:rsidR="00015C69" w:rsidRPr="00CD25E5">
        <w:rPr>
          <w:rFonts w:ascii="Verdana" w:hAnsi="Verdana"/>
          <w:i/>
          <w:iCs/>
          <w:sz w:val="20"/>
          <w:szCs w:val="20"/>
          <w:lang w:val="es-CR"/>
        </w:rPr>
        <w:t>[…]</w:t>
      </w:r>
      <w:r w:rsidR="008A3DEB" w:rsidRPr="00CD25E5">
        <w:rPr>
          <w:rFonts w:ascii="Verdana" w:hAnsi="Verdana"/>
          <w:i/>
          <w:iCs/>
          <w:sz w:val="20"/>
          <w:szCs w:val="20"/>
          <w:lang w:val="es-CR"/>
        </w:rPr>
        <w:t xml:space="preserve"> </w:t>
      </w:r>
      <w:r w:rsidR="00F15DBE" w:rsidRPr="00CD25E5">
        <w:rPr>
          <w:rFonts w:ascii="Verdana" w:hAnsi="Verdana"/>
          <w:i/>
          <w:iCs/>
          <w:sz w:val="20"/>
          <w:szCs w:val="20"/>
          <w:lang w:val="es-CR"/>
        </w:rPr>
        <w:t>esta garantía específica de las y los fiscales, en aplicación equivalente de los mecanismos de protección reconocidos a las juezas y los jueces, conlleva lo siguiente: (i) que la separación del cargo obedezca exclusivamente a las causales permitidas, ya sea por medio de un proceso que cumpla con las garantías judiciales o porque se ha cumplido el término o período de su mandato; (</w:t>
      </w:r>
      <w:proofErr w:type="spellStart"/>
      <w:r w:rsidR="00F15DBE" w:rsidRPr="00CD25E5">
        <w:rPr>
          <w:rFonts w:ascii="Verdana" w:hAnsi="Verdana"/>
          <w:i/>
          <w:iCs/>
          <w:sz w:val="20"/>
          <w:szCs w:val="20"/>
          <w:lang w:val="es-CR"/>
        </w:rPr>
        <w:t>ii</w:t>
      </w:r>
      <w:proofErr w:type="spellEnd"/>
      <w:r w:rsidR="00F15DBE" w:rsidRPr="00CD25E5">
        <w:rPr>
          <w:rFonts w:ascii="Verdana" w:hAnsi="Verdana"/>
          <w:i/>
          <w:iCs/>
          <w:sz w:val="20"/>
          <w:szCs w:val="20"/>
          <w:lang w:val="es-CR"/>
        </w:rPr>
        <w:t>) que las y los fiscales solo pueden ser destituidas o destituidos por faltas de disciplina graves o incompetencia, y (</w:t>
      </w:r>
      <w:proofErr w:type="spellStart"/>
      <w:r w:rsidR="00F15DBE" w:rsidRPr="00CD25E5">
        <w:rPr>
          <w:rFonts w:ascii="Verdana" w:hAnsi="Verdana"/>
          <w:i/>
          <w:iCs/>
          <w:sz w:val="20"/>
          <w:szCs w:val="20"/>
          <w:lang w:val="es-CR"/>
        </w:rPr>
        <w:t>iii</w:t>
      </w:r>
      <w:proofErr w:type="spellEnd"/>
      <w:r w:rsidR="00F15DBE" w:rsidRPr="00CD25E5">
        <w:rPr>
          <w:rFonts w:ascii="Verdana" w:hAnsi="Verdana"/>
          <w:i/>
          <w:iCs/>
          <w:sz w:val="20"/>
          <w:szCs w:val="20"/>
          <w:lang w:val="es-CR"/>
        </w:rPr>
        <w:t>) que todo proceso seguido contra fiscales se resuelva mediante procedimientos justos, objetivos e imparciales, según la Constitución o la ley, pues la libre remoción de las y los fiscales fomenta la duda objetiva sobre la posibilidad efectiva que tienen de ejercer sus funciones sin temor a represalias</w:t>
      </w:r>
      <w:r w:rsidR="00F15DBE" w:rsidRPr="00CD25E5">
        <w:rPr>
          <w:rFonts w:ascii="Verdana" w:hAnsi="Verdana"/>
          <w:sz w:val="20"/>
          <w:szCs w:val="20"/>
          <w:lang w:val="es-CR"/>
        </w:rPr>
        <w:t>”</w:t>
      </w:r>
      <w:r w:rsidR="00F15DBE" w:rsidRPr="00CD25E5">
        <w:rPr>
          <w:rStyle w:val="Refdenotaalpie"/>
          <w:rFonts w:ascii="Verdana" w:hAnsi="Verdana"/>
          <w:sz w:val="20"/>
          <w:szCs w:val="20"/>
          <w:lang w:val="es-CR"/>
        </w:rPr>
        <w:footnoteReference w:id="18"/>
      </w:r>
      <w:r w:rsidR="00F15DBE" w:rsidRPr="00CD25E5">
        <w:rPr>
          <w:rFonts w:ascii="Verdana" w:hAnsi="Verdana"/>
          <w:sz w:val="20"/>
          <w:szCs w:val="20"/>
          <w:lang w:val="es-CR"/>
        </w:rPr>
        <w:t>.</w:t>
      </w:r>
    </w:p>
    <w:p w14:paraId="668E692F" w14:textId="77777777" w:rsidR="00AE4CDE" w:rsidRPr="00CD25E5" w:rsidRDefault="00AE4CDE" w:rsidP="00C40754">
      <w:pPr>
        <w:pStyle w:val="Prrafodelista"/>
        <w:autoSpaceDE w:val="0"/>
        <w:autoSpaceDN w:val="0"/>
        <w:adjustRightInd w:val="0"/>
        <w:spacing w:after="0" w:line="240" w:lineRule="auto"/>
        <w:ind w:left="0"/>
        <w:jc w:val="both"/>
        <w:rPr>
          <w:rFonts w:ascii="Verdana" w:hAnsi="Verdana"/>
          <w:sz w:val="20"/>
          <w:szCs w:val="20"/>
          <w:lang w:val="es-CR"/>
        </w:rPr>
      </w:pPr>
    </w:p>
    <w:p w14:paraId="1238BA9D" w14:textId="22AB8F65" w:rsidR="00324729" w:rsidRPr="00CD25E5" w:rsidRDefault="00A64234" w:rsidP="00C40754">
      <w:pPr>
        <w:pStyle w:val="Prrafodelista"/>
        <w:numPr>
          <w:ilvl w:val="0"/>
          <w:numId w:val="5"/>
        </w:numPr>
        <w:autoSpaceDE w:val="0"/>
        <w:autoSpaceDN w:val="0"/>
        <w:adjustRightInd w:val="0"/>
        <w:spacing w:after="0" w:line="240" w:lineRule="auto"/>
        <w:ind w:left="0" w:firstLine="0"/>
        <w:jc w:val="both"/>
        <w:rPr>
          <w:rFonts w:ascii="Verdana" w:hAnsi="Verdana"/>
          <w:sz w:val="20"/>
          <w:szCs w:val="20"/>
          <w:lang w:val="es-CR"/>
        </w:rPr>
      </w:pPr>
      <w:r w:rsidRPr="00CD25E5">
        <w:rPr>
          <w:rFonts w:ascii="Verdana" w:hAnsi="Verdana"/>
          <w:sz w:val="20"/>
          <w:szCs w:val="20"/>
          <w:lang w:val="es-CR"/>
        </w:rPr>
        <w:t>Por el contrario</w:t>
      </w:r>
      <w:r w:rsidR="00AE4212" w:rsidRPr="00CD25E5">
        <w:rPr>
          <w:rFonts w:ascii="Verdana" w:hAnsi="Verdana"/>
          <w:sz w:val="20"/>
          <w:szCs w:val="20"/>
          <w:lang w:val="es-CR"/>
        </w:rPr>
        <w:t>,</w:t>
      </w:r>
      <w:r w:rsidRPr="00CD25E5">
        <w:rPr>
          <w:rFonts w:ascii="Verdana" w:hAnsi="Verdana"/>
          <w:sz w:val="20"/>
          <w:szCs w:val="20"/>
          <w:lang w:val="es-CR"/>
        </w:rPr>
        <w:t xml:space="preserve"> en la reciente decisión del caso </w:t>
      </w:r>
      <w:r w:rsidRPr="00CD25E5">
        <w:rPr>
          <w:rFonts w:ascii="Verdana" w:hAnsi="Verdana"/>
          <w:i/>
          <w:sz w:val="20"/>
          <w:szCs w:val="20"/>
          <w:lang w:val="es-CR"/>
        </w:rPr>
        <w:t>Petro Urrego vs. Colombia</w:t>
      </w:r>
      <w:r w:rsidRPr="00CD25E5">
        <w:rPr>
          <w:rFonts w:ascii="Verdana" w:hAnsi="Verdana"/>
          <w:sz w:val="20"/>
          <w:szCs w:val="20"/>
          <w:lang w:val="es-CR"/>
        </w:rPr>
        <w:t xml:space="preserve"> la Corte reiteró la posición del caso </w:t>
      </w:r>
      <w:r w:rsidRPr="00CD25E5">
        <w:rPr>
          <w:rFonts w:ascii="Verdana" w:hAnsi="Verdana"/>
          <w:i/>
          <w:sz w:val="20"/>
          <w:szCs w:val="20"/>
          <w:lang w:val="es-CR"/>
        </w:rPr>
        <w:t>López Mendoza vs. Venezuela</w:t>
      </w:r>
      <w:r w:rsidRPr="00CD25E5">
        <w:rPr>
          <w:rStyle w:val="Refdenotaalpie"/>
          <w:rFonts w:ascii="Verdana" w:hAnsi="Verdana"/>
          <w:sz w:val="20"/>
          <w:szCs w:val="20"/>
          <w:lang w:val="es-CR"/>
        </w:rPr>
        <w:footnoteReference w:id="19"/>
      </w:r>
      <w:r w:rsidRPr="00CD25E5">
        <w:rPr>
          <w:rFonts w:ascii="Verdana" w:hAnsi="Verdana"/>
          <w:sz w:val="20"/>
          <w:szCs w:val="20"/>
          <w:lang w:val="es-CR"/>
        </w:rPr>
        <w:t xml:space="preserve"> según la cual </w:t>
      </w:r>
      <w:r w:rsidRPr="00CD25E5">
        <w:rPr>
          <w:rFonts w:ascii="Verdana" w:hAnsi="Verdana"/>
          <w:i/>
          <w:iCs/>
          <w:sz w:val="20"/>
          <w:szCs w:val="20"/>
          <w:lang w:val="es-CR"/>
        </w:rPr>
        <w:t xml:space="preserve">“[…] </w:t>
      </w:r>
      <w:r w:rsidRPr="00CD25E5">
        <w:rPr>
          <w:rFonts w:ascii="Verdana" w:hAnsi="Verdana"/>
          <w:i/>
          <w:iCs/>
          <w:sz w:val="20"/>
          <w:szCs w:val="20"/>
        </w:rPr>
        <w:t>el artículo 23.2 de la Convención Americana es claro en el sentido de que dicho instrumento no permite que órgano administrativo alguno pueda aplicar una sanción que implique una restricción (por ejemplo, imponer una pena de inhabilitación o destitución) a una persona por su inconducta social (en el ejercicio de la función pública o fuera de ella) para el ejercicio de los derechos políticos a elegir y ser elegido: sólo puede serlo por acto jurisdiccional (sentencia) del juez competente en el correspondiente proceso penal</w:t>
      </w:r>
      <w:r w:rsidRPr="00CD25E5">
        <w:rPr>
          <w:rFonts w:ascii="Verdana" w:hAnsi="Verdana"/>
          <w:sz w:val="20"/>
          <w:szCs w:val="20"/>
        </w:rPr>
        <w:t>”</w:t>
      </w:r>
      <w:r w:rsidRPr="00CD25E5">
        <w:rPr>
          <w:rStyle w:val="Refdenotaalpie"/>
          <w:rFonts w:ascii="Verdana" w:hAnsi="Verdana"/>
          <w:sz w:val="20"/>
          <w:szCs w:val="20"/>
        </w:rPr>
        <w:footnoteReference w:id="20"/>
      </w:r>
      <w:r w:rsidRPr="00CD25E5">
        <w:rPr>
          <w:rFonts w:ascii="Verdana" w:hAnsi="Verdana"/>
          <w:sz w:val="20"/>
          <w:szCs w:val="20"/>
        </w:rPr>
        <w:t>. En est</w:t>
      </w:r>
      <w:r w:rsidR="00324729" w:rsidRPr="00CD25E5">
        <w:rPr>
          <w:rFonts w:ascii="Verdana" w:hAnsi="Verdana"/>
          <w:sz w:val="20"/>
          <w:szCs w:val="20"/>
        </w:rPr>
        <w:t>a</w:t>
      </w:r>
      <w:r w:rsidRPr="00CD25E5">
        <w:rPr>
          <w:rFonts w:ascii="Verdana" w:hAnsi="Verdana"/>
          <w:sz w:val="20"/>
          <w:szCs w:val="20"/>
        </w:rPr>
        <w:t xml:space="preserve"> ocasión, si bien la Corte fundamentó su postura en una interpretación literal y teleológica del precepto, </w:t>
      </w:r>
      <w:proofErr w:type="gramStart"/>
      <w:r w:rsidRPr="00CD25E5">
        <w:rPr>
          <w:rFonts w:ascii="Verdana" w:hAnsi="Verdana"/>
          <w:sz w:val="20"/>
          <w:szCs w:val="20"/>
        </w:rPr>
        <w:t>le</w:t>
      </w:r>
      <w:proofErr w:type="gramEnd"/>
      <w:r w:rsidRPr="00CD25E5">
        <w:rPr>
          <w:rFonts w:ascii="Verdana" w:hAnsi="Verdana"/>
          <w:sz w:val="20"/>
          <w:szCs w:val="20"/>
        </w:rPr>
        <w:t xml:space="preserve"> dio una categoría diferencial a los derechos políticos de los funcionarios elegidos mediante voto popular,</w:t>
      </w:r>
      <w:r w:rsidR="00324729" w:rsidRPr="00CD25E5">
        <w:rPr>
          <w:rFonts w:ascii="Verdana" w:hAnsi="Verdana"/>
          <w:sz w:val="20"/>
          <w:szCs w:val="20"/>
        </w:rPr>
        <w:t xml:space="preserve"> que no se encuentra justificada en el tenor literal de la norma, sin explicar el fundamento de su posición.  </w:t>
      </w:r>
    </w:p>
    <w:p w14:paraId="2A3FB104" w14:textId="77777777" w:rsidR="00AE4212" w:rsidRPr="00CD25E5" w:rsidRDefault="00AE4212" w:rsidP="00C40754">
      <w:pPr>
        <w:pStyle w:val="Prrafodelista"/>
        <w:spacing w:after="0" w:line="240" w:lineRule="auto"/>
        <w:rPr>
          <w:rFonts w:ascii="Verdana" w:hAnsi="Verdana"/>
          <w:sz w:val="20"/>
          <w:szCs w:val="20"/>
          <w:lang w:val="es-CR"/>
        </w:rPr>
      </w:pPr>
    </w:p>
    <w:p w14:paraId="394B3546" w14:textId="089EDC40" w:rsidR="00192600" w:rsidRPr="00CD25E5" w:rsidRDefault="00324729" w:rsidP="00C40754">
      <w:pPr>
        <w:pStyle w:val="Prrafodelista"/>
        <w:numPr>
          <w:ilvl w:val="0"/>
          <w:numId w:val="5"/>
        </w:numPr>
        <w:autoSpaceDE w:val="0"/>
        <w:autoSpaceDN w:val="0"/>
        <w:adjustRightInd w:val="0"/>
        <w:spacing w:after="0" w:line="240" w:lineRule="auto"/>
        <w:ind w:left="0" w:firstLine="0"/>
        <w:jc w:val="both"/>
        <w:rPr>
          <w:rFonts w:ascii="Verdana" w:hAnsi="Verdana"/>
          <w:sz w:val="20"/>
          <w:szCs w:val="20"/>
          <w:lang w:val="es-CR"/>
        </w:rPr>
      </w:pPr>
      <w:r w:rsidRPr="00CD25E5">
        <w:rPr>
          <w:rFonts w:ascii="Verdana" w:hAnsi="Verdana"/>
          <w:sz w:val="20"/>
          <w:szCs w:val="20"/>
          <w:lang w:val="es-CR"/>
        </w:rPr>
        <w:t>L</w:t>
      </w:r>
      <w:proofErr w:type="spellStart"/>
      <w:r w:rsidR="00A64234" w:rsidRPr="00CD25E5">
        <w:rPr>
          <w:rFonts w:ascii="Verdana" w:hAnsi="Verdana"/>
          <w:sz w:val="20"/>
          <w:szCs w:val="20"/>
        </w:rPr>
        <w:t>o</w:t>
      </w:r>
      <w:proofErr w:type="spellEnd"/>
      <w:r w:rsidR="00A64234" w:rsidRPr="00CD25E5">
        <w:rPr>
          <w:rFonts w:ascii="Verdana" w:hAnsi="Verdana"/>
          <w:sz w:val="20"/>
          <w:szCs w:val="20"/>
        </w:rPr>
        <w:t xml:space="preserve"> cierto es que n</w:t>
      </w:r>
      <w:r w:rsidRPr="00CD25E5">
        <w:rPr>
          <w:rFonts w:ascii="Verdana" w:hAnsi="Verdana"/>
          <w:sz w:val="20"/>
          <w:szCs w:val="20"/>
        </w:rPr>
        <w:t>i</w:t>
      </w:r>
      <w:r w:rsidR="00A64234" w:rsidRPr="00CD25E5">
        <w:rPr>
          <w:rFonts w:ascii="Verdana" w:hAnsi="Verdana"/>
          <w:sz w:val="20"/>
          <w:szCs w:val="20"/>
        </w:rPr>
        <w:t xml:space="preserve"> entonces n</w:t>
      </w:r>
      <w:r w:rsidRPr="00CD25E5">
        <w:rPr>
          <w:rFonts w:ascii="Verdana" w:hAnsi="Verdana"/>
          <w:sz w:val="20"/>
          <w:szCs w:val="20"/>
        </w:rPr>
        <w:t>i</w:t>
      </w:r>
      <w:r w:rsidR="00A64234" w:rsidRPr="00CD25E5">
        <w:rPr>
          <w:rFonts w:ascii="Verdana" w:hAnsi="Verdana"/>
          <w:sz w:val="20"/>
          <w:szCs w:val="20"/>
        </w:rPr>
        <w:t xml:space="preserve"> ahora la Corte aborda la cuestión de que el artículo 23 no </w:t>
      </w:r>
      <w:r w:rsidRPr="00CD25E5">
        <w:rPr>
          <w:rFonts w:ascii="Verdana" w:hAnsi="Verdana"/>
          <w:sz w:val="20"/>
          <w:szCs w:val="20"/>
        </w:rPr>
        <w:t xml:space="preserve">reconoce </w:t>
      </w:r>
      <w:r w:rsidR="00A64234" w:rsidRPr="00CD25E5">
        <w:rPr>
          <w:rFonts w:ascii="Verdana" w:hAnsi="Verdana"/>
          <w:sz w:val="20"/>
          <w:szCs w:val="20"/>
        </w:rPr>
        <w:t>diferencias de trato entre los</w:t>
      </w:r>
      <w:r w:rsidRPr="00CD25E5">
        <w:rPr>
          <w:rFonts w:ascii="Verdana" w:hAnsi="Verdana"/>
          <w:sz w:val="20"/>
          <w:szCs w:val="20"/>
        </w:rPr>
        <w:t xml:space="preserve"> derechos políticos de los funcionarios públicos</w:t>
      </w:r>
      <w:r w:rsidR="00A64234" w:rsidRPr="00CD25E5">
        <w:rPr>
          <w:rFonts w:ascii="Verdana" w:hAnsi="Verdana"/>
          <w:sz w:val="20"/>
          <w:szCs w:val="20"/>
        </w:rPr>
        <w:t xml:space="preserve"> en razón de su forma de nombramiento</w:t>
      </w:r>
      <w:r w:rsidR="00192600" w:rsidRPr="00CD25E5">
        <w:rPr>
          <w:rFonts w:ascii="Verdana" w:hAnsi="Verdana"/>
          <w:sz w:val="20"/>
          <w:szCs w:val="20"/>
        </w:rPr>
        <w:t xml:space="preserve"> a pesar de que ha fundado su razonamiento en una </w:t>
      </w:r>
      <w:r w:rsidR="00AE4212" w:rsidRPr="00CD25E5">
        <w:rPr>
          <w:rFonts w:ascii="Verdana" w:hAnsi="Verdana"/>
          <w:sz w:val="20"/>
          <w:szCs w:val="20"/>
        </w:rPr>
        <w:t>interpretación</w:t>
      </w:r>
      <w:r w:rsidR="00192600" w:rsidRPr="00CD25E5">
        <w:rPr>
          <w:rFonts w:ascii="Verdana" w:hAnsi="Verdana"/>
          <w:sz w:val="20"/>
          <w:szCs w:val="20"/>
        </w:rPr>
        <w:t xml:space="preserve"> fundamentalmente literal</w:t>
      </w:r>
      <w:r w:rsidR="00A64234" w:rsidRPr="00CD25E5">
        <w:rPr>
          <w:rStyle w:val="Refdenotaalpie"/>
          <w:rFonts w:ascii="Verdana" w:hAnsi="Verdana"/>
          <w:sz w:val="20"/>
          <w:szCs w:val="20"/>
        </w:rPr>
        <w:footnoteReference w:id="21"/>
      </w:r>
      <w:r w:rsidR="00192600" w:rsidRPr="00CD25E5">
        <w:rPr>
          <w:rFonts w:ascii="Verdana" w:hAnsi="Verdana"/>
          <w:sz w:val="20"/>
          <w:szCs w:val="20"/>
        </w:rPr>
        <w:t>. Tampoco ha cumplido el Tribunal con la carga argumentativa que le corresponde satisfacer al plantear en su jurisprudencia diferencias en el grado de protección de los derechos de los funcionarios públicos</w:t>
      </w:r>
      <w:r w:rsidR="00A64234" w:rsidRPr="00CD25E5">
        <w:rPr>
          <w:rFonts w:ascii="Verdana" w:hAnsi="Verdana"/>
          <w:sz w:val="20"/>
          <w:szCs w:val="20"/>
        </w:rPr>
        <w:t xml:space="preserve">. </w:t>
      </w:r>
    </w:p>
    <w:p w14:paraId="71F1546A" w14:textId="77777777" w:rsidR="00AE4212" w:rsidRPr="00CD25E5" w:rsidRDefault="00AE4212" w:rsidP="00C40754">
      <w:pPr>
        <w:pStyle w:val="Prrafodelista"/>
        <w:spacing w:after="0" w:line="240" w:lineRule="auto"/>
        <w:rPr>
          <w:rFonts w:ascii="Verdana" w:hAnsi="Verdana"/>
          <w:sz w:val="20"/>
          <w:szCs w:val="20"/>
          <w:lang w:val="es-CR"/>
        </w:rPr>
      </w:pPr>
    </w:p>
    <w:p w14:paraId="756D811D" w14:textId="3DCB6EF2" w:rsidR="00192600" w:rsidRPr="00CD25E5" w:rsidRDefault="00192600" w:rsidP="00C40754">
      <w:pPr>
        <w:pStyle w:val="Prrafodelista"/>
        <w:numPr>
          <w:ilvl w:val="0"/>
          <w:numId w:val="5"/>
        </w:numPr>
        <w:autoSpaceDE w:val="0"/>
        <w:autoSpaceDN w:val="0"/>
        <w:adjustRightInd w:val="0"/>
        <w:spacing w:after="0" w:line="240" w:lineRule="auto"/>
        <w:ind w:left="0" w:firstLine="0"/>
        <w:jc w:val="both"/>
        <w:rPr>
          <w:rFonts w:ascii="Verdana" w:hAnsi="Verdana"/>
          <w:sz w:val="20"/>
          <w:szCs w:val="20"/>
          <w:lang w:val="es-CR"/>
        </w:rPr>
      </w:pPr>
      <w:r w:rsidRPr="00CD25E5">
        <w:rPr>
          <w:rFonts w:ascii="Verdana" w:hAnsi="Verdana"/>
          <w:sz w:val="20"/>
          <w:szCs w:val="20"/>
        </w:rPr>
        <w:t xml:space="preserve">Adicionalmente, el vacío persiste en relación con el alcance del artículo 23.2 y la taxatividad de las hipótesis contempladas para la limitación de derechos políticos. En la decisión </w:t>
      </w:r>
      <w:r w:rsidR="00A66221" w:rsidRPr="00CD25E5">
        <w:rPr>
          <w:rFonts w:ascii="Verdana" w:hAnsi="Verdana"/>
          <w:sz w:val="20"/>
          <w:szCs w:val="20"/>
          <w:lang w:val="es-CR"/>
        </w:rPr>
        <w:t>queda explícito que</w:t>
      </w:r>
      <w:r w:rsidR="00324729" w:rsidRPr="00CD25E5">
        <w:rPr>
          <w:rFonts w:ascii="Verdana" w:hAnsi="Verdana"/>
          <w:sz w:val="20"/>
          <w:szCs w:val="20"/>
          <w:lang w:val="es-CR"/>
        </w:rPr>
        <w:t xml:space="preserve"> tratándose de fiscales</w:t>
      </w:r>
      <w:r w:rsidR="00A66221" w:rsidRPr="00CD25E5">
        <w:rPr>
          <w:rFonts w:ascii="Verdana" w:hAnsi="Verdana"/>
          <w:sz w:val="20"/>
          <w:szCs w:val="20"/>
          <w:lang w:val="es-CR"/>
        </w:rPr>
        <w:t xml:space="preserve"> </w:t>
      </w:r>
      <w:r w:rsidR="00B84944" w:rsidRPr="00CD25E5">
        <w:rPr>
          <w:rFonts w:ascii="Verdana" w:hAnsi="Verdana"/>
          <w:sz w:val="20"/>
          <w:szCs w:val="20"/>
          <w:lang w:val="es-CR"/>
        </w:rPr>
        <w:t>la desvinculación del cargo</w:t>
      </w:r>
      <w:r w:rsidRPr="00CD25E5">
        <w:rPr>
          <w:rFonts w:ascii="Verdana" w:hAnsi="Verdana"/>
          <w:sz w:val="20"/>
          <w:szCs w:val="20"/>
          <w:lang w:val="es-CR"/>
        </w:rPr>
        <w:t>,</w:t>
      </w:r>
      <w:r w:rsidR="002F47DC" w:rsidRPr="00CD25E5">
        <w:rPr>
          <w:rFonts w:ascii="Verdana" w:hAnsi="Verdana"/>
          <w:sz w:val="20"/>
          <w:szCs w:val="20"/>
          <w:lang w:val="es-CR"/>
        </w:rPr>
        <w:t xml:space="preserve"> como una forma de</w:t>
      </w:r>
      <w:r w:rsidR="00B84944" w:rsidRPr="00CD25E5">
        <w:rPr>
          <w:rFonts w:ascii="Verdana" w:hAnsi="Verdana"/>
          <w:sz w:val="20"/>
          <w:szCs w:val="20"/>
          <w:lang w:val="es-CR"/>
        </w:rPr>
        <w:t xml:space="preserve"> limitación de derechos políticos</w:t>
      </w:r>
      <w:r w:rsidRPr="00CD25E5">
        <w:rPr>
          <w:rFonts w:ascii="Verdana" w:hAnsi="Verdana"/>
          <w:sz w:val="20"/>
          <w:szCs w:val="20"/>
          <w:lang w:val="es-CR"/>
        </w:rPr>
        <w:t>,</w:t>
      </w:r>
      <w:r w:rsidR="00B84944" w:rsidRPr="00CD25E5">
        <w:rPr>
          <w:rFonts w:ascii="Verdana" w:hAnsi="Verdana"/>
          <w:sz w:val="20"/>
          <w:szCs w:val="20"/>
          <w:lang w:val="es-CR"/>
        </w:rPr>
        <w:t xml:space="preserve"> </w:t>
      </w:r>
      <w:r w:rsidR="00657672" w:rsidRPr="00CD25E5">
        <w:rPr>
          <w:rFonts w:ascii="Verdana" w:hAnsi="Verdana"/>
          <w:sz w:val="20"/>
          <w:szCs w:val="20"/>
          <w:lang w:val="es-CR"/>
        </w:rPr>
        <w:t xml:space="preserve">es convencional a pesar de que no se </w:t>
      </w:r>
      <w:r w:rsidRPr="00CD25E5">
        <w:rPr>
          <w:rFonts w:ascii="Verdana" w:hAnsi="Verdana"/>
          <w:sz w:val="20"/>
          <w:szCs w:val="20"/>
          <w:lang w:val="es-CR"/>
        </w:rPr>
        <w:t>ordene</w:t>
      </w:r>
      <w:r w:rsidR="00657672" w:rsidRPr="00CD25E5">
        <w:rPr>
          <w:rFonts w:ascii="Verdana" w:hAnsi="Verdana"/>
          <w:sz w:val="20"/>
          <w:szCs w:val="20"/>
          <w:lang w:val="es-CR"/>
        </w:rPr>
        <w:t xml:space="preserve"> mediante condena ante juez competente en proceso penal. </w:t>
      </w:r>
      <w:r w:rsidRPr="00CD25E5">
        <w:rPr>
          <w:rFonts w:ascii="Verdana" w:hAnsi="Verdana"/>
          <w:sz w:val="20"/>
          <w:szCs w:val="20"/>
          <w:lang w:val="es-CR"/>
        </w:rPr>
        <w:t xml:space="preserve">Esto último nos lleva también a considerar que la Convención </w:t>
      </w:r>
      <w:r w:rsidRPr="00CD25E5">
        <w:rPr>
          <w:rFonts w:ascii="Verdana" w:hAnsi="Verdana"/>
          <w:sz w:val="20"/>
          <w:szCs w:val="20"/>
        </w:rPr>
        <w:t xml:space="preserve">no consagra una </w:t>
      </w:r>
      <w:r w:rsidR="00AE4212" w:rsidRPr="00CD25E5">
        <w:rPr>
          <w:rFonts w:ascii="Verdana" w:hAnsi="Verdana"/>
          <w:sz w:val="20"/>
          <w:szCs w:val="20"/>
        </w:rPr>
        <w:t>prohibición</w:t>
      </w:r>
      <w:r w:rsidRPr="00CD25E5">
        <w:rPr>
          <w:rFonts w:ascii="Verdana" w:hAnsi="Verdana"/>
          <w:sz w:val="20"/>
          <w:szCs w:val="20"/>
        </w:rPr>
        <w:t xml:space="preserve"> absoluta que impida que, en ciertos supuestos, el derecho </w:t>
      </w:r>
      <w:r w:rsidR="00AE4212" w:rsidRPr="00CD25E5">
        <w:rPr>
          <w:rFonts w:ascii="Verdana" w:hAnsi="Verdana"/>
          <w:sz w:val="20"/>
          <w:szCs w:val="20"/>
        </w:rPr>
        <w:t>disciplinario</w:t>
      </w:r>
      <w:r w:rsidRPr="00CD25E5">
        <w:rPr>
          <w:rFonts w:ascii="Verdana" w:hAnsi="Verdana"/>
          <w:sz w:val="20"/>
          <w:szCs w:val="20"/>
        </w:rPr>
        <w:t xml:space="preserve"> pueda tener efectos en la permanencia en el cargo. </w:t>
      </w:r>
    </w:p>
    <w:p w14:paraId="06FDA550" w14:textId="77777777" w:rsidR="0075259B" w:rsidRPr="00CD25E5" w:rsidRDefault="0075259B" w:rsidP="00C40754">
      <w:pPr>
        <w:pStyle w:val="Prrafodelista"/>
        <w:autoSpaceDE w:val="0"/>
        <w:autoSpaceDN w:val="0"/>
        <w:adjustRightInd w:val="0"/>
        <w:spacing w:after="0" w:line="240" w:lineRule="auto"/>
        <w:ind w:left="0"/>
        <w:jc w:val="both"/>
        <w:rPr>
          <w:rFonts w:ascii="Verdana" w:hAnsi="Verdana"/>
          <w:sz w:val="20"/>
          <w:szCs w:val="20"/>
          <w:lang w:val="es-CR"/>
        </w:rPr>
      </w:pPr>
    </w:p>
    <w:p w14:paraId="588AC2EB" w14:textId="3921F4D6" w:rsidR="00064F96" w:rsidRPr="00CD25E5" w:rsidRDefault="00AE4212" w:rsidP="00C40754">
      <w:pPr>
        <w:pStyle w:val="Prrafodelista"/>
        <w:autoSpaceDE w:val="0"/>
        <w:autoSpaceDN w:val="0"/>
        <w:adjustRightInd w:val="0"/>
        <w:spacing w:after="0" w:line="240" w:lineRule="auto"/>
        <w:ind w:hanging="436"/>
        <w:jc w:val="both"/>
        <w:rPr>
          <w:rFonts w:ascii="Verdana" w:hAnsi="Verdana"/>
          <w:b/>
          <w:bCs/>
          <w:sz w:val="20"/>
          <w:szCs w:val="20"/>
          <w:lang w:val="es-CR"/>
        </w:rPr>
      </w:pPr>
      <w:proofErr w:type="spellStart"/>
      <w:r w:rsidRPr="00CD25E5">
        <w:rPr>
          <w:rFonts w:ascii="Verdana" w:hAnsi="Verdana"/>
          <w:b/>
          <w:bCs/>
          <w:sz w:val="20"/>
          <w:szCs w:val="20"/>
          <w:lang w:val="es-CR"/>
        </w:rPr>
        <w:t>iii</w:t>
      </w:r>
      <w:proofErr w:type="spellEnd"/>
      <w:r w:rsidRPr="00CD25E5">
        <w:rPr>
          <w:rFonts w:ascii="Verdana" w:hAnsi="Verdana"/>
          <w:b/>
          <w:bCs/>
          <w:sz w:val="20"/>
          <w:szCs w:val="20"/>
          <w:lang w:val="es-CR"/>
        </w:rPr>
        <w:t xml:space="preserve">) </w:t>
      </w:r>
      <w:r w:rsidRPr="00CD25E5">
        <w:rPr>
          <w:rFonts w:ascii="Verdana" w:hAnsi="Verdana"/>
          <w:b/>
          <w:bCs/>
          <w:sz w:val="20"/>
          <w:szCs w:val="20"/>
          <w:lang w:val="es-CR"/>
        </w:rPr>
        <w:tab/>
      </w:r>
      <w:r w:rsidR="0016775B" w:rsidRPr="00CD25E5">
        <w:rPr>
          <w:rFonts w:ascii="Verdana" w:hAnsi="Verdana"/>
          <w:b/>
          <w:bCs/>
          <w:sz w:val="20"/>
          <w:szCs w:val="20"/>
          <w:lang w:val="es-CR"/>
        </w:rPr>
        <w:t>L</w:t>
      </w:r>
      <w:r w:rsidR="00FB25E5" w:rsidRPr="00CD25E5">
        <w:rPr>
          <w:rFonts w:ascii="Verdana" w:hAnsi="Verdana"/>
          <w:b/>
          <w:bCs/>
          <w:sz w:val="20"/>
          <w:szCs w:val="20"/>
          <w:lang w:val="es-CR"/>
        </w:rPr>
        <w:t>a falta de relación entre las nociones de estabilidad laboral y los criterios que condicionan los cargos de provisionalidad</w:t>
      </w:r>
      <w:r w:rsidR="0016775B" w:rsidRPr="00CD25E5">
        <w:rPr>
          <w:rFonts w:ascii="Verdana" w:hAnsi="Verdana"/>
          <w:b/>
          <w:bCs/>
          <w:sz w:val="20"/>
          <w:szCs w:val="20"/>
          <w:lang w:val="es-CR"/>
        </w:rPr>
        <w:t>: el plazo</w:t>
      </w:r>
      <w:r w:rsidR="00945DE8" w:rsidRPr="00CD25E5">
        <w:rPr>
          <w:rFonts w:ascii="Verdana" w:hAnsi="Verdana"/>
          <w:b/>
          <w:bCs/>
          <w:sz w:val="20"/>
          <w:szCs w:val="20"/>
          <w:lang w:val="es-CR"/>
        </w:rPr>
        <w:t>.</w:t>
      </w:r>
    </w:p>
    <w:p w14:paraId="60C00811" w14:textId="77777777" w:rsidR="003C77D5" w:rsidRPr="00CD25E5" w:rsidRDefault="003C77D5" w:rsidP="003C77D5">
      <w:pPr>
        <w:pStyle w:val="Prrafodelista"/>
        <w:autoSpaceDE w:val="0"/>
        <w:autoSpaceDN w:val="0"/>
        <w:adjustRightInd w:val="0"/>
        <w:spacing w:after="0" w:line="240" w:lineRule="auto"/>
        <w:ind w:left="0"/>
        <w:jc w:val="both"/>
        <w:rPr>
          <w:rFonts w:ascii="Verdana" w:hAnsi="Verdana"/>
          <w:sz w:val="20"/>
          <w:szCs w:val="20"/>
          <w:lang w:val="es-CR"/>
        </w:rPr>
      </w:pPr>
    </w:p>
    <w:p w14:paraId="47F8B768" w14:textId="46CA7A3B" w:rsidR="007F5555" w:rsidRPr="00CD25E5" w:rsidRDefault="00BC509A" w:rsidP="00C40754">
      <w:pPr>
        <w:pStyle w:val="Prrafodelista"/>
        <w:numPr>
          <w:ilvl w:val="0"/>
          <w:numId w:val="5"/>
        </w:numPr>
        <w:autoSpaceDE w:val="0"/>
        <w:autoSpaceDN w:val="0"/>
        <w:adjustRightInd w:val="0"/>
        <w:spacing w:after="0" w:line="240" w:lineRule="auto"/>
        <w:ind w:left="0" w:firstLine="0"/>
        <w:jc w:val="both"/>
        <w:rPr>
          <w:rFonts w:ascii="Verdana" w:hAnsi="Verdana"/>
          <w:sz w:val="20"/>
          <w:szCs w:val="20"/>
          <w:lang w:val="es-CR"/>
        </w:rPr>
      </w:pPr>
      <w:r w:rsidRPr="00CD25E5">
        <w:rPr>
          <w:rFonts w:ascii="Verdana" w:hAnsi="Verdana"/>
          <w:sz w:val="20"/>
          <w:szCs w:val="20"/>
          <w:lang w:val="es-CR"/>
        </w:rPr>
        <w:t xml:space="preserve">Como lo señalé al referirme </w:t>
      </w:r>
      <w:r w:rsidR="007F5555" w:rsidRPr="00CD25E5">
        <w:rPr>
          <w:rFonts w:ascii="Verdana" w:hAnsi="Verdana"/>
          <w:sz w:val="20"/>
          <w:szCs w:val="20"/>
          <w:lang w:val="es-CR"/>
        </w:rPr>
        <w:t xml:space="preserve">a la práctica del Tribunal de abordar las alegadas violaciones en un mismo </w:t>
      </w:r>
      <w:r w:rsidR="00324729" w:rsidRPr="00CD25E5">
        <w:rPr>
          <w:rFonts w:ascii="Verdana" w:hAnsi="Verdana"/>
          <w:sz w:val="20"/>
          <w:szCs w:val="20"/>
          <w:lang w:val="es-CR"/>
        </w:rPr>
        <w:t>capítulo</w:t>
      </w:r>
      <w:r w:rsidR="009E7100" w:rsidRPr="00CD25E5">
        <w:rPr>
          <w:rFonts w:ascii="Verdana" w:hAnsi="Verdana"/>
          <w:sz w:val="20"/>
          <w:szCs w:val="20"/>
          <w:lang w:val="es-CR"/>
        </w:rPr>
        <w:t>, desdibujando</w:t>
      </w:r>
      <w:r w:rsidR="007F5555" w:rsidRPr="00CD25E5">
        <w:rPr>
          <w:rFonts w:ascii="Verdana" w:hAnsi="Verdana"/>
          <w:sz w:val="20"/>
          <w:szCs w:val="20"/>
          <w:lang w:val="es-CR"/>
        </w:rPr>
        <w:t xml:space="preserve"> los alcances de cada uno de los derechos convencionales</w:t>
      </w:r>
      <w:r w:rsidR="009E7100" w:rsidRPr="00CD25E5">
        <w:rPr>
          <w:rFonts w:ascii="Verdana" w:hAnsi="Verdana"/>
          <w:sz w:val="20"/>
          <w:szCs w:val="20"/>
          <w:lang w:val="es-CR"/>
        </w:rPr>
        <w:t xml:space="preserve"> y</w:t>
      </w:r>
      <w:r w:rsidR="007F5555" w:rsidRPr="00CD25E5">
        <w:rPr>
          <w:rFonts w:ascii="Verdana" w:hAnsi="Verdana"/>
          <w:sz w:val="20"/>
          <w:szCs w:val="20"/>
          <w:lang w:val="es-CR"/>
        </w:rPr>
        <w:t xml:space="preserve"> </w:t>
      </w:r>
      <w:r w:rsidR="00824744" w:rsidRPr="00CD25E5">
        <w:rPr>
          <w:rFonts w:ascii="Verdana" w:hAnsi="Verdana"/>
          <w:sz w:val="20"/>
          <w:szCs w:val="20"/>
          <w:lang w:val="es-CR"/>
        </w:rPr>
        <w:t>afecta</w:t>
      </w:r>
      <w:r w:rsidR="009E7100" w:rsidRPr="00CD25E5">
        <w:rPr>
          <w:rFonts w:ascii="Verdana" w:hAnsi="Verdana"/>
          <w:sz w:val="20"/>
          <w:szCs w:val="20"/>
          <w:lang w:val="es-CR"/>
        </w:rPr>
        <w:t>ndo</w:t>
      </w:r>
      <w:r w:rsidR="00824744" w:rsidRPr="00CD25E5">
        <w:rPr>
          <w:rFonts w:ascii="Verdana" w:hAnsi="Verdana"/>
          <w:sz w:val="20"/>
          <w:szCs w:val="20"/>
          <w:lang w:val="es-CR"/>
        </w:rPr>
        <w:t xml:space="preserve"> la solidez y rigurosidad de la decisión</w:t>
      </w:r>
      <w:r w:rsidR="009E7100" w:rsidRPr="00CD25E5">
        <w:rPr>
          <w:rFonts w:ascii="Verdana" w:hAnsi="Verdana"/>
          <w:sz w:val="20"/>
          <w:szCs w:val="20"/>
          <w:lang w:val="es-CR"/>
        </w:rPr>
        <w:t xml:space="preserve">, considero que el análisis del derecho a la estabilidad laboral en relación con las garantías judiciales y el derecho de acceso a funciones públicas en condiciones de igualdad realizado en el presente caso, genera confusiones que acaban reduciendo </w:t>
      </w:r>
      <w:r w:rsidR="00634B89" w:rsidRPr="00CD25E5">
        <w:rPr>
          <w:rFonts w:ascii="Verdana" w:hAnsi="Verdana"/>
          <w:sz w:val="20"/>
          <w:szCs w:val="20"/>
          <w:lang w:val="es-CR"/>
        </w:rPr>
        <w:t>su</w:t>
      </w:r>
      <w:r w:rsidR="009E7100" w:rsidRPr="00CD25E5">
        <w:rPr>
          <w:rFonts w:ascii="Verdana" w:hAnsi="Verdana"/>
          <w:sz w:val="20"/>
          <w:szCs w:val="20"/>
          <w:lang w:val="es-CR"/>
        </w:rPr>
        <w:t xml:space="preserve"> ámbito de protección</w:t>
      </w:r>
      <w:r w:rsidR="00634B89" w:rsidRPr="00CD25E5">
        <w:rPr>
          <w:rFonts w:ascii="Verdana" w:hAnsi="Verdana"/>
          <w:sz w:val="20"/>
          <w:szCs w:val="20"/>
          <w:lang w:val="es-CR"/>
        </w:rPr>
        <w:t xml:space="preserve">. </w:t>
      </w:r>
    </w:p>
    <w:p w14:paraId="1EE88F15" w14:textId="77777777" w:rsidR="00AE4212" w:rsidRPr="00CD25E5" w:rsidRDefault="00AE4212" w:rsidP="00C40754">
      <w:pPr>
        <w:pStyle w:val="Prrafodelista"/>
        <w:autoSpaceDE w:val="0"/>
        <w:autoSpaceDN w:val="0"/>
        <w:adjustRightInd w:val="0"/>
        <w:spacing w:after="0" w:line="240" w:lineRule="auto"/>
        <w:ind w:left="0"/>
        <w:jc w:val="both"/>
        <w:rPr>
          <w:rFonts w:ascii="Verdana" w:hAnsi="Verdana"/>
          <w:sz w:val="20"/>
          <w:szCs w:val="20"/>
          <w:lang w:val="es-CR"/>
        </w:rPr>
      </w:pPr>
    </w:p>
    <w:p w14:paraId="1BE57114" w14:textId="72187EF3" w:rsidR="00324729" w:rsidRPr="00CD25E5" w:rsidRDefault="00634B89" w:rsidP="00C40754">
      <w:pPr>
        <w:pStyle w:val="Prrafodelista"/>
        <w:numPr>
          <w:ilvl w:val="0"/>
          <w:numId w:val="5"/>
        </w:numPr>
        <w:autoSpaceDE w:val="0"/>
        <w:autoSpaceDN w:val="0"/>
        <w:adjustRightInd w:val="0"/>
        <w:spacing w:after="0" w:line="240" w:lineRule="auto"/>
        <w:ind w:left="0" w:firstLine="0"/>
        <w:jc w:val="both"/>
        <w:rPr>
          <w:rFonts w:ascii="Verdana" w:hAnsi="Verdana"/>
          <w:sz w:val="20"/>
          <w:szCs w:val="20"/>
          <w:lang w:val="es-CR"/>
        </w:rPr>
      </w:pPr>
      <w:r w:rsidRPr="00CD25E5">
        <w:rPr>
          <w:rFonts w:ascii="Verdana" w:hAnsi="Verdana"/>
          <w:sz w:val="20"/>
          <w:szCs w:val="20"/>
          <w:lang w:val="es-CR"/>
        </w:rPr>
        <w:t>Sostiene la Corte que</w:t>
      </w:r>
      <w:r w:rsidR="00740EA1" w:rsidRPr="00CD25E5">
        <w:rPr>
          <w:rFonts w:ascii="Verdana" w:hAnsi="Verdana"/>
          <w:sz w:val="20"/>
          <w:szCs w:val="20"/>
          <w:lang w:val="es-CR"/>
        </w:rPr>
        <w:t xml:space="preserve"> </w:t>
      </w:r>
      <w:r w:rsidR="00824744" w:rsidRPr="00CD25E5">
        <w:rPr>
          <w:rFonts w:ascii="Verdana" w:hAnsi="Verdana"/>
          <w:sz w:val="20"/>
          <w:szCs w:val="20"/>
          <w:lang w:val="es-CR"/>
        </w:rPr>
        <w:t xml:space="preserve">la determinación de un plazo o condición en el acto de nombramiento de un fiscal </w:t>
      </w:r>
      <w:r w:rsidR="00740EA1" w:rsidRPr="00CD25E5">
        <w:rPr>
          <w:rFonts w:ascii="Verdana" w:hAnsi="Verdana"/>
          <w:sz w:val="20"/>
          <w:szCs w:val="20"/>
          <w:lang w:val="es-CR"/>
        </w:rPr>
        <w:t>provisional</w:t>
      </w:r>
      <w:r w:rsidR="00824744" w:rsidRPr="00CD25E5">
        <w:rPr>
          <w:rFonts w:ascii="Verdana" w:hAnsi="Verdana"/>
          <w:sz w:val="20"/>
          <w:szCs w:val="20"/>
          <w:lang w:val="es-CR"/>
        </w:rPr>
        <w:t>,</w:t>
      </w:r>
      <w:r w:rsidR="00740EA1" w:rsidRPr="00CD25E5">
        <w:rPr>
          <w:rFonts w:ascii="Verdana" w:hAnsi="Verdana"/>
          <w:sz w:val="20"/>
          <w:szCs w:val="20"/>
          <w:lang w:val="es-CR"/>
        </w:rPr>
        <w:t xml:space="preserve"> </w:t>
      </w:r>
      <w:r w:rsidR="00824744" w:rsidRPr="00CD25E5">
        <w:rPr>
          <w:rFonts w:ascii="Verdana" w:hAnsi="Verdana"/>
          <w:sz w:val="20"/>
          <w:szCs w:val="20"/>
          <w:lang w:val="es-CR"/>
        </w:rPr>
        <w:t xml:space="preserve">es un elemento suficiente para garantizar </w:t>
      </w:r>
      <w:r w:rsidRPr="00CD25E5">
        <w:rPr>
          <w:rFonts w:ascii="Verdana" w:hAnsi="Verdana"/>
          <w:sz w:val="20"/>
          <w:szCs w:val="20"/>
          <w:lang w:val="es-CR"/>
        </w:rPr>
        <w:t>su</w:t>
      </w:r>
      <w:r w:rsidR="00824744" w:rsidRPr="00CD25E5">
        <w:rPr>
          <w:rFonts w:ascii="Verdana" w:hAnsi="Verdana"/>
          <w:sz w:val="20"/>
          <w:szCs w:val="20"/>
          <w:lang w:val="es-CR"/>
        </w:rPr>
        <w:t xml:space="preserve"> estabilidad laboral</w:t>
      </w:r>
      <w:r w:rsidR="009E7100" w:rsidRPr="00CD25E5">
        <w:rPr>
          <w:rFonts w:ascii="Verdana" w:hAnsi="Verdana"/>
          <w:sz w:val="20"/>
          <w:szCs w:val="20"/>
          <w:lang w:val="es-CR"/>
        </w:rPr>
        <w:t>,</w:t>
      </w:r>
      <w:r w:rsidR="00824744" w:rsidRPr="00CD25E5">
        <w:rPr>
          <w:rFonts w:ascii="Verdana" w:hAnsi="Verdana"/>
          <w:sz w:val="20"/>
          <w:szCs w:val="20"/>
          <w:lang w:val="es-CR"/>
        </w:rPr>
        <w:t xml:space="preserve"> no solo como un elemento necesario para proteger la </w:t>
      </w:r>
      <w:r w:rsidR="00CD25E5" w:rsidRPr="00CD25E5">
        <w:rPr>
          <w:rFonts w:ascii="Verdana" w:hAnsi="Verdana"/>
          <w:sz w:val="20"/>
          <w:szCs w:val="20"/>
          <w:lang w:val="es-CR"/>
        </w:rPr>
        <w:t>independencia</w:t>
      </w:r>
      <w:r w:rsidR="00824744" w:rsidRPr="00CD25E5">
        <w:rPr>
          <w:rFonts w:ascii="Verdana" w:hAnsi="Verdana"/>
          <w:sz w:val="20"/>
          <w:szCs w:val="20"/>
          <w:lang w:val="es-CR"/>
        </w:rPr>
        <w:t xml:space="preserve"> </w:t>
      </w:r>
      <w:r w:rsidR="009E7100" w:rsidRPr="00CD25E5">
        <w:rPr>
          <w:rFonts w:ascii="Verdana" w:hAnsi="Verdana"/>
          <w:sz w:val="20"/>
          <w:szCs w:val="20"/>
          <w:lang w:val="es-CR"/>
        </w:rPr>
        <w:t xml:space="preserve">de </w:t>
      </w:r>
      <w:r w:rsidR="00824744" w:rsidRPr="00CD25E5">
        <w:rPr>
          <w:rFonts w:ascii="Verdana" w:hAnsi="Verdana"/>
          <w:sz w:val="20"/>
          <w:szCs w:val="20"/>
          <w:lang w:val="es-CR"/>
        </w:rPr>
        <w:t>est</w:t>
      </w:r>
      <w:r w:rsidRPr="00CD25E5">
        <w:rPr>
          <w:rFonts w:ascii="Verdana" w:hAnsi="Verdana"/>
          <w:sz w:val="20"/>
          <w:szCs w:val="20"/>
          <w:lang w:val="es-CR"/>
        </w:rPr>
        <w:t xml:space="preserve">e tipo de </w:t>
      </w:r>
      <w:r w:rsidR="00824744" w:rsidRPr="00CD25E5">
        <w:rPr>
          <w:rFonts w:ascii="Verdana" w:hAnsi="Verdana"/>
          <w:sz w:val="20"/>
          <w:szCs w:val="20"/>
          <w:lang w:val="es-CR"/>
        </w:rPr>
        <w:t>funcionarios, sino</w:t>
      </w:r>
      <w:r w:rsidR="00AE4212" w:rsidRPr="00CD25E5">
        <w:rPr>
          <w:rFonts w:ascii="Verdana" w:hAnsi="Verdana"/>
          <w:sz w:val="20"/>
          <w:szCs w:val="20"/>
          <w:lang w:val="es-CR"/>
        </w:rPr>
        <w:t xml:space="preserve"> también su derecho al trabajo.</w:t>
      </w:r>
    </w:p>
    <w:p w14:paraId="6DCB9D9F" w14:textId="77777777" w:rsidR="00AE4212" w:rsidRPr="00CD25E5" w:rsidRDefault="00AE4212" w:rsidP="00C40754">
      <w:pPr>
        <w:pStyle w:val="Prrafodelista"/>
        <w:spacing w:after="0" w:line="240" w:lineRule="auto"/>
        <w:rPr>
          <w:rFonts w:ascii="Verdana" w:hAnsi="Verdana"/>
          <w:sz w:val="20"/>
          <w:szCs w:val="20"/>
          <w:lang w:val="es-CR"/>
        </w:rPr>
      </w:pPr>
    </w:p>
    <w:p w14:paraId="30E89949" w14:textId="3F204E31" w:rsidR="00634B89" w:rsidRPr="00CD25E5" w:rsidRDefault="00824744" w:rsidP="00C40754">
      <w:pPr>
        <w:pStyle w:val="Prrafodelista"/>
        <w:numPr>
          <w:ilvl w:val="0"/>
          <w:numId w:val="5"/>
        </w:numPr>
        <w:autoSpaceDE w:val="0"/>
        <w:autoSpaceDN w:val="0"/>
        <w:adjustRightInd w:val="0"/>
        <w:spacing w:after="0" w:line="240" w:lineRule="auto"/>
        <w:ind w:left="0" w:firstLine="0"/>
        <w:jc w:val="both"/>
        <w:rPr>
          <w:rFonts w:ascii="Verdana" w:hAnsi="Verdana"/>
          <w:sz w:val="20"/>
          <w:szCs w:val="20"/>
          <w:lang w:val="es-CR"/>
        </w:rPr>
      </w:pPr>
      <w:r w:rsidRPr="00CD25E5">
        <w:rPr>
          <w:rFonts w:ascii="Verdana" w:hAnsi="Verdana"/>
          <w:sz w:val="20"/>
          <w:szCs w:val="20"/>
          <w:lang w:val="es-CR"/>
        </w:rPr>
        <w:t xml:space="preserve">Esta es una postura </w:t>
      </w:r>
      <w:r w:rsidR="00384F9F" w:rsidRPr="00CD25E5">
        <w:rPr>
          <w:rFonts w:ascii="Verdana" w:hAnsi="Verdana"/>
          <w:sz w:val="20"/>
          <w:szCs w:val="20"/>
          <w:lang w:val="es-CR"/>
        </w:rPr>
        <w:t>carente de certeza</w:t>
      </w:r>
      <w:r w:rsidR="00634B89" w:rsidRPr="00CD25E5">
        <w:rPr>
          <w:rFonts w:ascii="Verdana" w:hAnsi="Verdana"/>
          <w:sz w:val="20"/>
          <w:szCs w:val="20"/>
          <w:lang w:val="es-CR"/>
        </w:rPr>
        <w:t>,</w:t>
      </w:r>
      <w:r w:rsidRPr="00CD25E5">
        <w:rPr>
          <w:rFonts w:ascii="Verdana" w:hAnsi="Verdana"/>
          <w:sz w:val="20"/>
          <w:szCs w:val="20"/>
          <w:lang w:val="es-CR"/>
        </w:rPr>
        <w:t xml:space="preserve"> la determinación de un plazo </w:t>
      </w:r>
      <w:r w:rsidR="003969DF" w:rsidRPr="00CD25E5">
        <w:rPr>
          <w:rFonts w:ascii="Verdana" w:hAnsi="Verdana"/>
          <w:sz w:val="20"/>
          <w:szCs w:val="20"/>
          <w:lang w:val="es-CR"/>
        </w:rPr>
        <w:t>en el acto de nombramiento no evita que la permanencia en el cargo dependa de la discrecionalidad del nominador</w:t>
      </w:r>
      <w:r w:rsidR="00634B89" w:rsidRPr="00CD25E5">
        <w:rPr>
          <w:rFonts w:ascii="Verdana" w:hAnsi="Verdana"/>
          <w:sz w:val="20"/>
          <w:szCs w:val="20"/>
          <w:lang w:val="es-CR"/>
        </w:rPr>
        <w:t>. La determinación de un periodo temporal, en la generalidad de los casos de meses</w:t>
      </w:r>
      <w:r w:rsidR="00AE4212" w:rsidRPr="00CD25E5">
        <w:rPr>
          <w:rFonts w:ascii="Verdana" w:hAnsi="Verdana"/>
          <w:sz w:val="20"/>
          <w:szCs w:val="20"/>
          <w:lang w:val="es-CR"/>
        </w:rPr>
        <w:t xml:space="preserve"> (</w:t>
      </w:r>
      <w:r w:rsidR="001B1FDD" w:rsidRPr="00CD25E5">
        <w:rPr>
          <w:rFonts w:ascii="Verdana" w:hAnsi="Verdana"/>
          <w:sz w:val="20"/>
          <w:szCs w:val="20"/>
          <w:lang w:val="es-CR"/>
        </w:rPr>
        <w:t>tres meses, seis o incluso por un</w:t>
      </w:r>
      <w:r w:rsidR="00AE4212" w:rsidRPr="00CD25E5">
        <w:rPr>
          <w:rFonts w:ascii="Verdana" w:hAnsi="Verdana"/>
          <w:sz w:val="20"/>
          <w:szCs w:val="20"/>
          <w:lang w:val="es-CR"/>
        </w:rPr>
        <w:t xml:space="preserve"> año</w:t>
      </w:r>
      <w:r w:rsidR="001B1FDD" w:rsidRPr="00CD25E5">
        <w:rPr>
          <w:rFonts w:ascii="Verdana" w:hAnsi="Verdana"/>
          <w:sz w:val="20"/>
          <w:szCs w:val="20"/>
          <w:lang w:val="es-ES"/>
        </w:rPr>
        <w:t>)</w:t>
      </w:r>
      <w:r w:rsidR="00634B89" w:rsidRPr="00CD25E5">
        <w:rPr>
          <w:rFonts w:ascii="Verdana" w:hAnsi="Verdana"/>
          <w:sz w:val="20"/>
          <w:szCs w:val="20"/>
          <w:lang w:val="es-CR"/>
        </w:rPr>
        <w:t>, sigue dejando en manos de la voluntad de este</w:t>
      </w:r>
      <w:r w:rsidR="00212067" w:rsidRPr="00CD25E5">
        <w:rPr>
          <w:rFonts w:ascii="Verdana" w:hAnsi="Verdana"/>
          <w:sz w:val="20"/>
          <w:szCs w:val="20"/>
          <w:lang w:val="es-CR"/>
        </w:rPr>
        <w:t xml:space="preserve"> nominador</w:t>
      </w:r>
      <w:r w:rsidR="00634B89" w:rsidRPr="00CD25E5">
        <w:rPr>
          <w:rFonts w:ascii="Verdana" w:hAnsi="Verdana"/>
          <w:sz w:val="20"/>
          <w:szCs w:val="20"/>
          <w:lang w:val="es-CR"/>
        </w:rPr>
        <w:t xml:space="preserve"> la renovación o terminación de la relación laboral, sin que de esta manera pueda evitar que el funcionario quede expuesto a presiones externas o pueda verse afectado en su independencia ante la falta de seguridad frente a la renovación del periodo.  </w:t>
      </w:r>
    </w:p>
    <w:p w14:paraId="0E833B6F" w14:textId="77777777" w:rsidR="00AE4212" w:rsidRPr="00CD25E5" w:rsidRDefault="00AE4212" w:rsidP="00C40754">
      <w:pPr>
        <w:pStyle w:val="Prrafodelista"/>
        <w:spacing w:after="0" w:line="240" w:lineRule="auto"/>
        <w:rPr>
          <w:rFonts w:ascii="Verdana" w:hAnsi="Verdana"/>
          <w:sz w:val="20"/>
          <w:szCs w:val="20"/>
          <w:lang w:val="es-CR"/>
        </w:rPr>
      </w:pPr>
    </w:p>
    <w:p w14:paraId="7365F2C4" w14:textId="11328E74" w:rsidR="00824744" w:rsidRPr="00CD25E5" w:rsidRDefault="00634B89" w:rsidP="00C40754">
      <w:pPr>
        <w:pStyle w:val="Prrafodelista"/>
        <w:numPr>
          <w:ilvl w:val="0"/>
          <w:numId w:val="5"/>
        </w:numPr>
        <w:autoSpaceDE w:val="0"/>
        <w:autoSpaceDN w:val="0"/>
        <w:adjustRightInd w:val="0"/>
        <w:spacing w:after="0" w:line="240" w:lineRule="auto"/>
        <w:ind w:left="0" w:firstLine="0"/>
        <w:jc w:val="both"/>
        <w:rPr>
          <w:rFonts w:ascii="Verdana" w:hAnsi="Verdana"/>
          <w:sz w:val="20"/>
          <w:szCs w:val="20"/>
          <w:lang w:val="es-CR"/>
        </w:rPr>
      </w:pPr>
      <w:r w:rsidRPr="00CD25E5">
        <w:rPr>
          <w:rFonts w:ascii="Verdana" w:hAnsi="Verdana"/>
          <w:sz w:val="20"/>
          <w:szCs w:val="20"/>
          <w:lang w:val="es-CR"/>
        </w:rPr>
        <w:t xml:space="preserve">Considero que puede </w:t>
      </w:r>
      <w:r w:rsidR="003969DF" w:rsidRPr="00CD25E5">
        <w:rPr>
          <w:rFonts w:ascii="Verdana" w:hAnsi="Verdana"/>
          <w:sz w:val="20"/>
          <w:szCs w:val="20"/>
          <w:lang w:val="es-CR"/>
        </w:rPr>
        <w:t xml:space="preserve">hablarse verdaderamente de estabilidad en el cargo en el caso de los funcionarios en provisionalidad si su permanencia </w:t>
      </w:r>
      <w:r w:rsidR="00AE4212" w:rsidRPr="00CD25E5">
        <w:rPr>
          <w:rFonts w:ascii="Verdana" w:hAnsi="Verdana"/>
          <w:sz w:val="20"/>
          <w:szCs w:val="20"/>
          <w:lang w:val="es-CR"/>
        </w:rPr>
        <w:t>está</w:t>
      </w:r>
      <w:r w:rsidR="003969DF" w:rsidRPr="00CD25E5">
        <w:rPr>
          <w:rFonts w:ascii="Verdana" w:hAnsi="Verdana"/>
          <w:sz w:val="20"/>
          <w:szCs w:val="20"/>
          <w:lang w:val="es-CR"/>
        </w:rPr>
        <w:t xml:space="preserve"> supeditada exclusivamente a la realización de un concurso o a la comisión de una falta de tipo disciplinario o penal. </w:t>
      </w:r>
      <w:r w:rsidR="00B8231B" w:rsidRPr="00CD25E5">
        <w:rPr>
          <w:rFonts w:ascii="Verdana" w:hAnsi="Verdana"/>
          <w:sz w:val="20"/>
          <w:szCs w:val="20"/>
          <w:lang w:val="es-CR"/>
        </w:rPr>
        <w:t>No</w:t>
      </w:r>
      <w:r w:rsidR="003969DF" w:rsidRPr="00CD25E5">
        <w:rPr>
          <w:rFonts w:ascii="Verdana" w:hAnsi="Verdana"/>
          <w:sz w:val="20"/>
          <w:szCs w:val="20"/>
          <w:lang w:val="es-CR"/>
        </w:rPr>
        <w:t xml:space="preserve"> puede sostenerse que </w:t>
      </w:r>
      <w:r w:rsidR="00B8231B" w:rsidRPr="00CD25E5">
        <w:rPr>
          <w:rFonts w:ascii="Verdana" w:hAnsi="Verdana"/>
          <w:sz w:val="20"/>
          <w:szCs w:val="20"/>
          <w:lang w:val="es-CR"/>
        </w:rPr>
        <w:t xml:space="preserve">con contratos precarios que </w:t>
      </w:r>
      <w:r w:rsidR="003B037F" w:rsidRPr="00CD25E5">
        <w:rPr>
          <w:rFonts w:ascii="Verdana" w:hAnsi="Verdana"/>
          <w:sz w:val="20"/>
          <w:szCs w:val="20"/>
          <w:lang w:val="es-CR"/>
        </w:rPr>
        <w:t>tienen vigencias cortas</w:t>
      </w:r>
      <w:r w:rsidR="00AE4212" w:rsidRPr="00CD25E5">
        <w:rPr>
          <w:rFonts w:ascii="Verdana" w:hAnsi="Verdana"/>
          <w:sz w:val="20"/>
          <w:szCs w:val="20"/>
          <w:lang w:val="es-CR"/>
        </w:rPr>
        <w:t xml:space="preserve"> </w:t>
      </w:r>
      <w:r w:rsidR="003969DF" w:rsidRPr="00CD25E5">
        <w:rPr>
          <w:rFonts w:ascii="Verdana" w:hAnsi="Verdana"/>
          <w:sz w:val="20"/>
          <w:szCs w:val="20"/>
          <w:lang w:val="es-CR"/>
        </w:rPr>
        <w:t xml:space="preserve">se protege la estabilidad laboral como componente del derecho al trabajo, pues la determinación de un plazo </w:t>
      </w:r>
      <w:r w:rsidRPr="00CD25E5">
        <w:rPr>
          <w:rFonts w:ascii="Verdana" w:hAnsi="Verdana"/>
          <w:sz w:val="20"/>
          <w:szCs w:val="20"/>
          <w:lang w:val="es-CR"/>
        </w:rPr>
        <w:t xml:space="preserve">no garantiza la continuidad en el empleo ni evita la discrecionalidad en la decisión de retiro. </w:t>
      </w:r>
    </w:p>
    <w:p w14:paraId="0C42C9B1" w14:textId="2C62208F" w:rsidR="00824744" w:rsidRPr="00CD25E5" w:rsidRDefault="00824744" w:rsidP="00C40754">
      <w:pPr>
        <w:autoSpaceDE w:val="0"/>
        <w:autoSpaceDN w:val="0"/>
        <w:adjustRightInd w:val="0"/>
        <w:spacing w:after="0" w:line="240" w:lineRule="auto"/>
        <w:jc w:val="both"/>
        <w:rPr>
          <w:rFonts w:ascii="Verdana" w:hAnsi="Verdana"/>
          <w:sz w:val="20"/>
          <w:szCs w:val="20"/>
          <w:lang w:val="es-CR"/>
        </w:rPr>
      </w:pPr>
    </w:p>
    <w:p w14:paraId="4B87DB46" w14:textId="66BA8756" w:rsidR="00824744" w:rsidRPr="00CD25E5" w:rsidRDefault="00AE4212" w:rsidP="00C40754">
      <w:pPr>
        <w:pStyle w:val="Prrafodelista"/>
        <w:autoSpaceDE w:val="0"/>
        <w:autoSpaceDN w:val="0"/>
        <w:adjustRightInd w:val="0"/>
        <w:spacing w:after="0" w:line="240" w:lineRule="auto"/>
        <w:ind w:hanging="436"/>
        <w:jc w:val="both"/>
        <w:rPr>
          <w:rFonts w:ascii="Verdana" w:hAnsi="Verdana"/>
          <w:b/>
          <w:bCs/>
          <w:sz w:val="20"/>
          <w:szCs w:val="20"/>
          <w:lang w:val="es-CR"/>
        </w:rPr>
      </w:pPr>
      <w:proofErr w:type="spellStart"/>
      <w:r w:rsidRPr="00CD25E5">
        <w:rPr>
          <w:rFonts w:ascii="Verdana" w:hAnsi="Verdana"/>
          <w:b/>
          <w:bCs/>
          <w:sz w:val="20"/>
          <w:szCs w:val="20"/>
          <w:lang w:val="es-CR"/>
        </w:rPr>
        <w:t>iv</w:t>
      </w:r>
      <w:proofErr w:type="spellEnd"/>
      <w:r w:rsidRPr="00CD25E5">
        <w:rPr>
          <w:rFonts w:ascii="Verdana" w:hAnsi="Verdana"/>
          <w:b/>
          <w:bCs/>
          <w:sz w:val="20"/>
          <w:szCs w:val="20"/>
          <w:lang w:val="es-CR"/>
        </w:rPr>
        <w:t xml:space="preserve">)  </w:t>
      </w:r>
      <w:r w:rsidR="00064BC4" w:rsidRPr="00CD25E5">
        <w:rPr>
          <w:rFonts w:ascii="Verdana" w:hAnsi="Verdana"/>
          <w:b/>
          <w:bCs/>
          <w:sz w:val="20"/>
          <w:szCs w:val="20"/>
          <w:lang w:val="es-CR"/>
        </w:rPr>
        <w:t>El alcance de la noción control de convencionalidad en lo que refiere a la obligación de reformar disposiciones del derecho interno y la noción de recurso judicial efectivo</w:t>
      </w:r>
      <w:r w:rsidR="00945DE8" w:rsidRPr="00CD25E5">
        <w:rPr>
          <w:rFonts w:ascii="Verdana" w:hAnsi="Verdana"/>
          <w:b/>
          <w:bCs/>
          <w:sz w:val="20"/>
          <w:szCs w:val="20"/>
          <w:lang w:val="es-CR"/>
        </w:rPr>
        <w:t>.</w:t>
      </w:r>
      <w:r w:rsidR="00064BC4" w:rsidRPr="00CD25E5">
        <w:rPr>
          <w:rFonts w:ascii="Verdana" w:hAnsi="Verdana"/>
          <w:b/>
          <w:bCs/>
          <w:sz w:val="20"/>
          <w:szCs w:val="20"/>
          <w:lang w:val="es-CR"/>
        </w:rPr>
        <w:t xml:space="preserve"> </w:t>
      </w:r>
    </w:p>
    <w:p w14:paraId="7ED25A47" w14:textId="77777777" w:rsidR="00324729" w:rsidRPr="00CD25E5" w:rsidRDefault="00324729" w:rsidP="00C40754">
      <w:pPr>
        <w:pStyle w:val="Prrafodelista"/>
        <w:autoSpaceDE w:val="0"/>
        <w:autoSpaceDN w:val="0"/>
        <w:adjustRightInd w:val="0"/>
        <w:spacing w:after="0" w:line="240" w:lineRule="auto"/>
        <w:jc w:val="both"/>
        <w:rPr>
          <w:rFonts w:ascii="Verdana" w:hAnsi="Verdana"/>
          <w:b/>
          <w:bCs/>
          <w:sz w:val="20"/>
          <w:szCs w:val="20"/>
          <w:lang w:val="es-CR"/>
        </w:rPr>
      </w:pPr>
    </w:p>
    <w:p w14:paraId="5F44B651" w14:textId="22B89BB6" w:rsidR="00324729" w:rsidRPr="00CD25E5" w:rsidRDefault="00324729" w:rsidP="00C40754">
      <w:pPr>
        <w:pStyle w:val="Prrafodelista"/>
        <w:numPr>
          <w:ilvl w:val="0"/>
          <w:numId w:val="5"/>
        </w:numPr>
        <w:autoSpaceDE w:val="0"/>
        <w:autoSpaceDN w:val="0"/>
        <w:adjustRightInd w:val="0"/>
        <w:spacing w:after="0" w:line="240" w:lineRule="auto"/>
        <w:ind w:left="0" w:firstLine="0"/>
        <w:jc w:val="both"/>
        <w:rPr>
          <w:rFonts w:ascii="Verdana" w:hAnsi="Verdana"/>
          <w:sz w:val="20"/>
          <w:szCs w:val="20"/>
          <w:lang w:val="es-CR"/>
        </w:rPr>
      </w:pPr>
      <w:r w:rsidRPr="00CD25E5">
        <w:rPr>
          <w:rFonts w:ascii="Verdana" w:hAnsi="Verdana"/>
          <w:sz w:val="20"/>
          <w:szCs w:val="20"/>
          <w:lang w:val="es-CR"/>
        </w:rPr>
        <w:t xml:space="preserve">En términos generales podría sostenerse que el control de convencionalidad, como una figura propia del Sistema Interamericano de Derechos Humanos, consiste en i) la obligación de inaplicar normas internas contrarias a la Convención o </w:t>
      </w:r>
      <w:proofErr w:type="spellStart"/>
      <w:r w:rsidRPr="00CD25E5">
        <w:rPr>
          <w:rFonts w:ascii="Verdana" w:hAnsi="Verdana"/>
          <w:sz w:val="20"/>
          <w:szCs w:val="20"/>
          <w:lang w:val="es-CR"/>
        </w:rPr>
        <w:t>ii</w:t>
      </w:r>
      <w:proofErr w:type="spellEnd"/>
      <w:r w:rsidRPr="00CD25E5">
        <w:rPr>
          <w:rFonts w:ascii="Verdana" w:hAnsi="Verdana"/>
          <w:sz w:val="20"/>
          <w:szCs w:val="20"/>
          <w:lang w:val="es-CR"/>
        </w:rPr>
        <w:t xml:space="preserve">) hacer una interpretación conjunta entre la </w:t>
      </w:r>
      <w:r w:rsidR="00AE4212" w:rsidRPr="00CD25E5">
        <w:rPr>
          <w:rFonts w:ascii="Verdana" w:hAnsi="Verdana"/>
          <w:sz w:val="20"/>
          <w:szCs w:val="20"/>
          <w:lang w:val="es-CR"/>
        </w:rPr>
        <w:t>C</w:t>
      </w:r>
      <w:r w:rsidRPr="00CD25E5">
        <w:rPr>
          <w:rFonts w:ascii="Verdana" w:hAnsi="Verdana"/>
          <w:sz w:val="20"/>
          <w:szCs w:val="20"/>
          <w:lang w:val="es-CR"/>
        </w:rPr>
        <w:t>onvención y el orden interno</w:t>
      </w:r>
      <w:r w:rsidR="009E7100" w:rsidRPr="00CD25E5">
        <w:rPr>
          <w:rFonts w:ascii="Verdana" w:hAnsi="Verdana"/>
          <w:sz w:val="20"/>
          <w:szCs w:val="20"/>
          <w:lang w:val="es-CR"/>
        </w:rPr>
        <w:t xml:space="preserve"> para establecer la que sea más favorable a la protección de los derechos humanos de las personas involucradas</w:t>
      </w:r>
      <w:r w:rsidRPr="00CD25E5">
        <w:rPr>
          <w:rFonts w:ascii="Verdana" w:hAnsi="Verdana"/>
          <w:sz w:val="20"/>
          <w:szCs w:val="20"/>
          <w:lang w:val="es-CR"/>
        </w:rPr>
        <w:t xml:space="preserve">. Los elementos de este control son ampliamente desarrollados en la jurisprudencia de la Corte, y se consolidan a partir de su práctica judicial y la de las autoridades nacionales. </w:t>
      </w:r>
    </w:p>
    <w:p w14:paraId="1A953A2B" w14:textId="77777777" w:rsidR="00AE4212" w:rsidRPr="00CD25E5" w:rsidRDefault="00AE4212" w:rsidP="00C40754">
      <w:pPr>
        <w:pStyle w:val="Prrafodelista"/>
        <w:autoSpaceDE w:val="0"/>
        <w:autoSpaceDN w:val="0"/>
        <w:adjustRightInd w:val="0"/>
        <w:spacing w:after="0" w:line="240" w:lineRule="auto"/>
        <w:ind w:left="0"/>
        <w:jc w:val="both"/>
        <w:rPr>
          <w:rFonts w:ascii="Verdana" w:hAnsi="Verdana"/>
          <w:sz w:val="20"/>
          <w:szCs w:val="20"/>
          <w:lang w:val="es-CR"/>
        </w:rPr>
      </w:pPr>
    </w:p>
    <w:p w14:paraId="776C4FE6" w14:textId="20EAD10B" w:rsidR="00324729" w:rsidRPr="00CD25E5" w:rsidRDefault="00324729" w:rsidP="00C40754">
      <w:pPr>
        <w:pStyle w:val="Prrafodelista"/>
        <w:numPr>
          <w:ilvl w:val="0"/>
          <w:numId w:val="5"/>
        </w:numPr>
        <w:autoSpaceDE w:val="0"/>
        <w:autoSpaceDN w:val="0"/>
        <w:adjustRightInd w:val="0"/>
        <w:spacing w:after="0" w:line="240" w:lineRule="auto"/>
        <w:ind w:left="0" w:firstLine="0"/>
        <w:jc w:val="both"/>
        <w:rPr>
          <w:rFonts w:ascii="Verdana" w:hAnsi="Verdana"/>
          <w:sz w:val="20"/>
          <w:szCs w:val="20"/>
          <w:lang w:val="es-CR"/>
        </w:rPr>
      </w:pPr>
      <w:r w:rsidRPr="00CD25E5">
        <w:rPr>
          <w:rFonts w:ascii="Verdana" w:hAnsi="Verdana"/>
          <w:sz w:val="20"/>
          <w:szCs w:val="20"/>
          <w:lang w:val="es-CR"/>
        </w:rPr>
        <w:t xml:space="preserve">En el presente caso el Tribunal analizó el control de convencionalidad en dos vertientes, de una </w:t>
      </w:r>
      <w:r w:rsidR="00985C06" w:rsidRPr="00CD25E5">
        <w:rPr>
          <w:rFonts w:ascii="Verdana" w:hAnsi="Verdana"/>
          <w:sz w:val="20"/>
          <w:szCs w:val="20"/>
          <w:lang w:val="es-CR"/>
        </w:rPr>
        <w:t>parte,</w:t>
      </w:r>
      <w:r w:rsidRPr="00CD25E5">
        <w:rPr>
          <w:rFonts w:ascii="Verdana" w:hAnsi="Verdana"/>
          <w:sz w:val="20"/>
          <w:szCs w:val="20"/>
          <w:lang w:val="es-CR"/>
        </w:rPr>
        <w:t xml:space="preserve"> consideró que existía una falta de adecuación interna en relación con la garantía de inamovilidad de fiscales en Perú, de otra parte, consideró vulnerado el derecho a un recurso judicial efectivo pues las autoridades nacionales no aplicaron el </w:t>
      </w:r>
      <w:r w:rsidR="00AE4212" w:rsidRPr="00CD25E5">
        <w:rPr>
          <w:rFonts w:ascii="Verdana" w:hAnsi="Verdana"/>
          <w:sz w:val="20"/>
          <w:szCs w:val="20"/>
          <w:lang w:val="es-CR"/>
        </w:rPr>
        <w:t>estándar</w:t>
      </w:r>
      <w:r w:rsidRPr="00CD25E5">
        <w:rPr>
          <w:rFonts w:ascii="Verdana" w:hAnsi="Verdana"/>
          <w:sz w:val="20"/>
          <w:szCs w:val="20"/>
          <w:lang w:val="es-CR"/>
        </w:rPr>
        <w:t xml:space="preserve"> interamericano. </w:t>
      </w:r>
    </w:p>
    <w:p w14:paraId="4A18B45E" w14:textId="77777777" w:rsidR="00064BC4" w:rsidRPr="00CD25E5" w:rsidRDefault="00064BC4" w:rsidP="00C40754">
      <w:pPr>
        <w:pStyle w:val="Prrafodelista"/>
        <w:autoSpaceDE w:val="0"/>
        <w:autoSpaceDN w:val="0"/>
        <w:adjustRightInd w:val="0"/>
        <w:spacing w:after="0" w:line="240" w:lineRule="auto"/>
        <w:jc w:val="both"/>
        <w:rPr>
          <w:rFonts w:ascii="Verdana" w:hAnsi="Verdana"/>
          <w:b/>
          <w:bCs/>
          <w:sz w:val="20"/>
          <w:szCs w:val="20"/>
          <w:lang w:val="es-CR"/>
        </w:rPr>
      </w:pPr>
    </w:p>
    <w:p w14:paraId="2C321890" w14:textId="2911C909" w:rsidR="00064BC4" w:rsidRPr="00CD25E5" w:rsidRDefault="00064BC4" w:rsidP="00C40754">
      <w:pPr>
        <w:pStyle w:val="Prrafodelista"/>
        <w:numPr>
          <w:ilvl w:val="1"/>
          <w:numId w:val="3"/>
        </w:numPr>
        <w:autoSpaceDE w:val="0"/>
        <w:autoSpaceDN w:val="0"/>
        <w:adjustRightInd w:val="0"/>
        <w:spacing w:after="0" w:line="240" w:lineRule="auto"/>
        <w:ind w:left="1134"/>
        <w:jc w:val="both"/>
        <w:rPr>
          <w:rFonts w:ascii="Verdana" w:hAnsi="Verdana"/>
          <w:b/>
          <w:bCs/>
          <w:sz w:val="20"/>
          <w:szCs w:val="20"/>
          <w:lang w:val="es-CR"/>
        </w:rPr>
      </w:pPr>
      <w:r w:rsidRPr="00CD25E5">
        <w:rPr>
          <w:rFonts w:ascii="Verdana" w:hAnsi="Verdana"/>
          <w:b/>
          <w:bCs/>
          <w:sz w:val="20"/>
          <w:szCs w:val="20"/>
          <w:lang w:val="es-CR"/>
        </w:rPr>
        <w:t xml:space="preserve">Artículo 2 de la Convención: obligación de reformar disposiciones del derecho interno.  </w:t>
      </w:r>
    </w:p>
    <w:p w14:paraId="2A5A15F1" w14:textId="77777777" w:rsidR="00064BC4" w:rsidRPr="00CD25E5" w:rsidRDefault="00064BC4" w:rsidP="00C40754">
      <w:pPr>
        <w:pStyle w:val="Prrafodelista"/>
        <w:autoSpaceDE w:val="0"/>
        <w:autoSpaceDN w:val="0"/>
        <w:adjustRightInd w:val="0"/>
        <w:spacing w:after="0" w:line="240" w:lineRule="auto"/>
        <w:ind w:left="1440"/>
        <w:jc w:val="both"/>
        <w:rPr>
          <w:rFonts w:ascii="Verdana" w:hAnsi="Verdana"/>
          <w:b/>
          <w:bCs/>
          <w:sz w:val="20"/>
          <w:szCs w:val="20"/>
          <w:lang w:val="es-CR"/>
        </w:rPr>
      </w:pPr>
    </w:p>
    <w:p w14:paraId="35913C1A" w14:textId="6AAEA71E" w:rsidR="00C168CC" w:rsidRPr="00CD25E5" w:rsidRDefault="00324729" w:rsidP="00C40754">
      <w:pPr>
        <w:pStyle w:val="Prrafodelista"/>
        <w:numPr>
          <w:ilvl w:val="0"/>
          <w:numId w:val="5"/>
        </w:numPr>
        <w:autoSpaceDE w:val="0"/>
        <w:autoSpaceDN w:val="0"/>
        <w:adjustRightInd w:val="0"/>
        <w:spacing w:after="0" w:line="240" w:lineRule="auto"/>
        <w:ind w:left="0" w:firstLine="0"/>
        <w:jc w:val="both"/>
        <w:rPr>
          <w:rFonts w:ascii="Verdana" w:hAnsi="Verdana"/>
          <w:sz w:val="20"/>
          <w:szCs w:val="20"/>
          <w:lang w:val="es-CR"/>
        </w:rPr>
      </w:pPr>
      <w:r w:rsidRPr="00CD25E5">
        <w:rPr>
          <w:rFonts w:ascii="Verdana" w:hAnsi="Verdana"/>
          <w:sz w:val="20"/>
          <w:szCs w:val="20"/>
          <w:lang w:val="es-CR"/>
        </w:rPr>
        <w:t>Sea lo primero señalar que</w:t>
      </w:r>
      <w:r w:rsidR="0075259B" w:rsidRPr="00CD25E5">
        <w:rPr>
          <w:rFonts w:ascii="Verdana" w:hAnsi="Verdana"/>
          <w:sz w:val="20"/>
          <w:szCs w:val="20"/>
          <w:lang w:val="es-CR"/>
        </w:rPr>
        <w:t xml:space="preserve"> la Corte consideró que</w:t>
      </w:r>
      <w:r w:rsidR="00C168CC" w:rsidRPr="00CD25E5">
        <w:rPr>
          <w:rFonts w:ascii="Verdana" w:hAnsi="Verdana"/>
          <w:sz w:val="20"/>
          <w:szCs w:val="20"/>
          <w:lang w:val="es-CR"/>
        </w:rPr>
        <w:t xml:space="preserve"> la falta de plazo o condición tanto en el nombramiento como en la destitución del señor Casa Nina, estuvo justificado en normas del orden nacional. Como consecuencia reproch</w:t>
      </w:r>
      <w:r w:rsidR="0075259B" w:rsidRPr="00CD25E5">
        <w:rPr>
          <w:rFonts w:ascii="Verdana" w:hAnsi="Verdana"/>
          <w:sz w:val="20"/>
          <w:szCs w:val="20"/>
          <w:lang w:val="es-CR"/>
        </w:rPr>
        <w:t>ó</w:t>
      </w:r>
      <w:r w:rsidR="00C168CC" w:rsidRPr="00CD25E5">
        <w:rPr>
          <w:rFonts w:ascii="Verdana" w:hAnsi="Verdana"/>
          <w:sz w:val="20"/>
          <w:szCs w:val="20"/>
          <w:lang w:val="es-CR"/>
        </w:rPr>
        <w:t xml:space="preserve"> </w:t>
      </w:r>
      <w:r w:rsidR="0075259B" w:rsidRPr="00CD25E5">
        <w:rPr>
          <w:rFonts w:ascii="Verdana" w:hAnsi="Verdana"/>
          <w:sz w:val="20"/>
          <w:szCs w:val="20"/>
          <w:lang w:val="es-CR"/>
        </w:rPr>
        <w:t xml:space="preserve">no solo la interpretación de las autoridades del orden interno, sino también </w:t>
      </w:r>
      <w:r w:rsidR="00C168CC" w:rsidRPr="00CD25E5">
        <w:rPr>
          <w:rFonts w:ascii="Verdana" w:hAnsi="Verdana"/>
          <w:sz w:val="20"/>
          <w:szCs w:val="20"/>
          <w:lang w:val="es-CR"/>
        </w:rPr>
        <w:t xml:space="preserve">la falta de expedición de normas conducentes </w:t>
      </w:r>
      <w:r w:rsidR="0075259B" w:rsidRPr="00CD25E5">
        <w:rPr>
          <w:rFonts w:ascii="Verdana" w:hAnsi="Verdana"/>
          <w:sz w:val="20"/>
          <w:szCs w:val="20"/>
          <w:lang w:val="es-CR"/>
        </w:rPr>
        <w:t>para</w:t>
      </w:r>
      <w:r w:rsidR="00C168CC" w:rsidRPr="00CD25E5">
        <w:rPr>
          <w:rFonts w:ascii="Verdana" w:hAnsi="Verdana"/>
          <w:sz w:val="20"/>
          <w:szCs w:val="20"/>
          <w:lang w:val="es-CR"/>
        </w:rPr>
        <w:t xml:space="preserve"> la efectiva observancia de tales garantías</w:t>
      </w:r>
      <w:r w:rsidR="0075259B" w:rsidRPr="00CD25E5">
        <w:rPr>
          <w:rFonts w:ascii="Verdana" w:hAnsi="Verdana"/>
          <w:sz w:val="20"/>
          <w:szCs w:val="20"/>
          <w:lang w:val="es-CR"/>
        </w:rPr>
        <w:t>. Finalmente</w:t>
      </w:r>
      <w:r w:rsidR="005A7063" w:rsidRPr="00CD25E5">
        <w:rPr>
          <w:rFonts w:ascii="Verdana" w:hAnsi="Verdana"/>
          <w:sz w:val="20"/>
          <w:szCs w:val="20"/>
          <w:lang w:val="es-CR"/>
        </w:rPr>
        <w:t xml:space="preserve"> orden</w:t>
      </w:r>
      <w:r w:rsidR="0075259B" w:rsidRPr="00CD25E5">
        <w:rPr>
          <w:rFonts w:ascii="Verdana" w:hAnsi="Verdana"/>
          <w:sz w:val="20"/>
          <w:szCs w:val="20"/>
          <w:lang w:val="es-CR"/>
        </w:rPr>
        <w:t>ó</w:t>
      </w:r>
      <w:r w:rsidR="005A7063" w:rsidRPr="00CD25E5">
        <w:rPr>
          <w:rFonts w:ascii="Verdana" w:hAnsi="Verdana"/>
          <w:sz w:val="20"/>
          <w:szCs w:val="20"/>
          <w:lang w:val="es-CR"/>
        </w:rPr>
        <w:t xml:space="preserve"> al Estado hacer las modificaciones normativas </w:t>
      </w:r>
      <w:r w:rsidR="0075259B" w:rsidRPr="00CD25E5">
        <w:rPr>
          <w:rFonts w:ascii="Verdana" w:hAnsi="Verdana"/>
          <w:sz w:val="20"/>
          <w:szCs w:val="20"/>
          <w:lang w:val="es-CR"/>
        </w:rPr>
        <w:t xml:space="preserve">a que hubiera </w:t>
      </w:r>
      <w:r w:rsidR="005A7063" w:rsidRPr="00CD25E5">
        <w:rPr>
          <w:rFonts w:ascii="Verdana" w:hAnsi="Verdana"/>
          <w:sz w:val="20"/>
          <w:szCs w:val="20"/>
          <w:lang w:val="es-CR"/>
        </w:rPr>
        <w:t>lugar</w:t>
      </w:r>
      <w:r w:rsidR="0075259B" w:rsidRPr="00CD25E5">
        <w:rPr>
          <w:rFonts w:ascii="Verdana" w:hAnsi="Verdana"/>
          <w:sz w:val="20"/>
          <w:szCs w:val="20"/>
          <w:lang w:val="es-CR"/>
        </w:rPr>
        <w:t xml:space="preserve"> para adecuar su ordenamiento a los criterios convencionales</w:t>
      </w:r>
      <w:r w:rsidR="00C168CC" w:rsidRPr="00CD25E5">
        <w:rPr>
          <w:rFonts w:ascii="Verdana" w:hAnsi="Verdana"/>
          <w:sz w:val="20"/>
          <w:szCs w:val="20"/>
          <w:lang w:val="es-CR"/>
        </w:rPr>
        <w:t>.</w:t>
      </w:r>
      <w:r w:rsidR="005A7063" w:rsidRPr="00CD25E5">
        <w:rPr>
          <w:rFonts w:ascii="Verdana" w:hAnsi="Verdana"/>
          <w:sz w:val="20"/>
          <w:szCs w:val="20"/>
          <w:lang w:val="es-CR"/>
        </w:rPr>
        <w:t xml:space="preserve"> </w:t>
      </w:r>
      <w:r w:rsidR="00C168CC" w:rsidRPr="00CD25E5">
        <w:rPr>
          <w:rFonts w:ascii="Verdana" w:hAnsi="Verdana"/>
          <w:sz w:val="20"/>
          <w:szCs w:val="20"/>
          <w:lang w:val="es-CR"/>
        </w:rPr>
        <w:t xml:space="preserve"> </w:t>
      </w:r>
      <w:r w:rsidR="005A7063" w:rsidRPr="00CD25E5">
        <w:rPr>
          <w:rFonts w:ascii="Verdana" w:hAnsi="Verdana"/>
          <w:sz w:val="20"/>
          <w:szCs w:val="20"/>
          <w:lang w:val="es-CR"/>
        </w:rPr>
        <w:t>Sin embargo, admit</w:t>
      </w:r>
      <w:r w:rsidR="0075259B" w:rsidRPr="00CD25E5">
        <w:rPr>
          <w:rFonts w:ascii="Verdana" w:hAnsi="Verdana"/>
          <w:sz w:val="20"/>
          <w:szCs w:val="20"/>
          <w:lang w:val="es-CR"/>
        </w:rPr>
        <w:t>ió</w:t>
      </w:r>
      <w:r w:rsidR="005A7063" w:rsidRPr="00CD25E5">
        <w:rPr>
          <w:rFonts w:ascii="Verdana" w:hAnsi="Verdana"/>
          <w:sz w:val="20"/>
          <w:szCs w:val="20"/>
          <w:lang w:val="es-CR"/>
        </w:rPr>
        <w:t xml:space="preserve"> que antes de que dicha medida se </w:t>
      </w:r>
      <w:r w:rsidR="0075259B" w:rsidRPr="00CD25E5">
        <w:rPr>
          <w:rFonts w:ascii="Verdana" w:hAnsi="Verdana"/>
          <w:sz w:val="20"/>
          <w:szCs w:val="20"/>
          <w:lang w:val="es-CR"/>
        </w:rPr>
        <w:t>haga</w:t>
      </w:r>
      <w:r w:rsidR="005A7063" w:rsidRPr="00CD25E5">
        <w:rPr>
          <w:rFonts w:ascii="Verdana" w:hAnsi="Verdana"/>
          <w:sz w:val="20"/>
          <w:szCs w:val="20"/>
          <w:lang w:val="es-CR"/>
        </w:rPr>
        <w:t xml:space="preserve"> efectiva corresponde a todos los funcionarios encargados adelantar un ejercicio interpretativo conforme con las obligaciones del orden internacional. </w:t>
      </w:r>
    </w:p>
    <w:p w14:paraId="494E29E0" w14:textId="77777777" w:rsidR="00AE4212" w:rsidRPr="00CD25E5" w:rsidRDefault="00AE4212" w:rsidP="00C40754">
      <w:pPr>
        <w:pStyle w:val="Prrafodelista"/>
        <w:autoSpaceDE w:val="0"/>
        <w:autoSpaceDN w:val="0"/>
        <w:adjustRightInd w:val="0"/>
        <w:spacing w:after="0" w:line="240" w:lineRule="auto"/>
        <w:ind w:left="0"/>
        <w:jc w:val="both"/>
        <w:rPr>
          <w:rFonts w:ascii="Verdana" w:hAnsi="Verdana"/>
          <w:sz w:val="20"/>
          <w:szCs w:val="20"/>
          <w:lang w:val="es-CR"/>
        </w:rPr>
      </w:pPr>
    </w:p>
    <w:p w14:paraId="63F44F79" w14:textId="07462A5B" w:rsidR="0075259B" w:rsidRPr="00CD25E5" w:rsidRDefault="009E7100" w:rsidP="00C40754">
      <w:pPr>
        <w:pStyle w:val="Prrafodelista"/>
        <w:numPr>
          <w:ilvl w:val="0"/>
          <w:numId w:val="5"/>
        </w:numPr>
        <w:autoSpaceDE w:val="0"/>
        <w:autoSpaceDN w:val="0"/>
        <w:adjustRightInd w:val="0"/>
        <w:spacing w:after="0" w:line="240" w:lineRule="auto"/>
        <w:ind w:left="0" w:firstLine="0"/>
        <w:jc w:val="both"/>
        <w:rPr>
          <w:rFonts w:ascii="Verdana" w:hAnsi="Verdana"/>
          <w:sz w:val="20"/>
          <w:szCs w:val="20"/>
          <w:lang w:val="es-CR"/>
        </w:rPr>
      </w:pPr>
      <w:r w:rsidRPr="00CD25E5">
        <w:rPr>
          <w:rFonts w:ascii="Verdana" w:hAnsi="Verdana"/>
          <w:sz w:val="20"/>
          <w:szCs w:val="20"/>
          <w:lang w:val="es-CR"/>
        </w:rPr>
        <w:t xml:space="preserve">La </w:t>
      </w:r>
      <w:r w:rsidR="004F009B" w:rsidRPr="00CD25E5">
        <w:rPr>
          <w:rFonts w:ascii="Verdana" w:hAnsi="Verdana"/>
          <w:sz w:val="20"/>
          <w:szCs w:val="20"/>
          <w:lang w:val="es-CR"/>
        </w:rPr>
        <w:t>fórmula</w:t>
      </w:r>
      <w:r w:rsidRPr="00CD25E5">
        <w:rPr>
          <w:rFonts w:ascii="Verdana" w:hAnsi="Verdana"/>
          <w:sz w:val="20"/>
          <w:szCs w:val="20"/>
          <w:lang w:val="es-CR"/>
        </w:rPr>
        <w:t xml:space="preserve"> adoptada en la parte resolutiva pone de manifiesto una</w:t>
      </w:r>
      <w:r w:rsidR="007C23F0" w:rsidRPr="00CD25E5">
        <w:rPr>
          <w:rFonts w:ascii="Verdana" w:hAnsi="Verdana"/>
          <w:sz w:val="20"/>
          <w:szCs w:val="20"/>
          <w:lang w:val="es-CR"/>
        </w:rPr>
        <w:t xml:space="preserve"> po</w:t>
      </w:r>
      <w:r w:rsidR="00ED6B11" w:rsidRPr="00CD25E5">
        <w:rPr>
          <w:rFonts w:ascii="Verdana" w:hAnsi="Verdana"/>
          <w:sz w:val="20"/>
          <w:szCs w:val="20"/>
          <w:lang w:val="es-CR"/>
        </w:rPr>
        <w:t>sible</w:t>
      </w:r>
      <w:r w:rsidRPr="00CD25E5">
        <w:rPr>
          <w:rFonts w:ascii="Verdana" w:hAnsi="Verdana"/>
          <w:sz w:val="20"/>
          <w:szCs w:val="20"/>
          <w:lang w:val="es-CR"/>
        </w:rPr>
        <w:t xml:space="preserve"> contradicción, pues</w:t>
      </w:r>
      <w:r w:rsidR="00EB59FA" w:rsidRPr="00CD25E5">
        <w:rPr>
          <w:rFonts w:ascii="Verdana" w:hAnsi="Verdana"/>
          <w:sz w:val="20"/>
          <w:szCs w:val="20"/>
          <w:lang w:val="es-CR"/>
        </w:rPr>
        <w:t xml:space="preserve">, </w:t>
      </w:r>
      <w:r w:rsidRPr="00CD25E5">
        <w:rPr>
          <w:rFonts w:ascii="Verdana" w:hAnsi="Verdana"/>
          <w:sz w:val="20"/>
          <w:szCs w:val="20"/>
          <w:lang w:val="es-CR"/>
        </w:rPr>
        <w:t xml:space="preserve">si </w:t>
      </w:r>
      <w:r w:rsidR="00ED6B11" w:rsidRPr="00CD25E5">
        <w:rPr>
          <w:rFonts w:ascii="Verdana" w:hAnsi="Verdana"/>
          <w:sz w:val="20"/>
          <w:szCs w:val="20"/>
          <w:lang w:val="es-CR"/>
        </w:rPr>
        <w:t>se puede</w:t>
      </w:r>
      <w:r w:rsidRPr="00CD25E5">
        <w:rPr>
          <w:rFonts w:ascii="Verdana" w:hAnsi="Verdana"/>
          <w:sz w:val="20"/>
          <w:szCs w:val="20"/>
          <w:lang w:val="es-CR"/>
        </w:rPr>
        <w:t xml:space="preserve"> hacer una interpretación del ordenamiento </w:t>
      </w:r>
      <w:r w:rsidR="004F009B" w:rsidRPr="00CD25E5">
        <w:rPr>
          <w:rFonts w:ascii="Verdana" w:hAnsi="Verdana"/>
          <w:sz w:val="20"/>
          <w:szCs w:val="20"/>
          <w:lang w:val="es-CR"/>
        </w:rPr>
        <w:t>jurídico</w:t>
      </w:r>
      <w:r w:rsidRPr="00CD25E5">
        <w:rPr>
          <w:rFonts w:ascii="Verdana" w:hAnsi="Verdana"/>
          <w:sz w:val="20"/>
          <w:szCs w:val="20"/>
          <w:lang w:val="es-CR"/>
        </w:rPr>
        <w:t xml:space="preserve"> que sea acorde con la Convención, no es necesario que se haga una modificación expresa</w:t>
      </w:r>
      <w:r w:rsidR="007C2DE0" w:rsidRPr="00CD25E5">
        <w:rPr>
          <w:rFonts w:ascii="Verdana" w:hAnsi="Verdana"/>
          <w:sz w:val="20"/>
          <w:szCs w:val="20"/>
          <w:lang w:val="es-CR"/>
        </w:rPr>
        <w:t xml:space="preserve"> del mismo</w:t>
      </w:r>
      <w:r w:rsidR="004F009B" w:rsidRPr="00CD25E5">
        <w:rPr>
          <w:rFonts w:ascii="Verdana" w:hAnsi="Verdana"/>
          <w:sz w:val="20"/>
          <w:szCs w:val="20"/>
          <w:lang w:val="es-CR"/>
        </w:rPr>
        <w:t xml:space="preserve">. Las decisiones </w:t>
      </w:r>
      <w:r w:rsidRPr="00CD25E5">
        <w:rPr>
          <w:rFonts w:ascii="Verdana" w:hAnsi="Verdana"/>
          <w:sz w:val="20"/>
          <w:szCs w:val="20"/>
          <w:lang w:val="es-CR"/>
        </w:rPr>
        <w:t>que conlleven oblig</w:t>
      </w:r>
      <w:r w:rsidR="004F009B" w:rsidRPr="00CD25E5">
        <w:rPr>
          <w:rFonts w:ascii="Verdana" w:hAnsi="Verdana"/>
          <w:sz w:val="20"/>
          <w:szCs w:val="20"/>
          <w:lang w:val="es-CR"/>
        </w:rPr>
        <w:t xml:space="preserve">aciones estatales de modificar </w:t>
      </w:r>
      <w:r w:rsidRPr="00CD25E5">
        <w:rPr>
          <w:rFonts w:ascii="Verdana" w:hAnsi="Verdana"/>
          <w:sz w:val="20"/>
          <w:szCs w:val="20"/>
          <w:lang w:val="es-CR"/>
        </w:rPr>
        <w:t xml:space="preserve">leyes nacionales deben ser fundadas en una manifiesta e irresoluble contradicción con los derechos humanos previstos en la </w:t>
      </w:r>
      <w:r w:rsidR="004F009B" w:rsidRPr="00CD25E5">
        <w:rPr>
          <w:rFonts w:ascii="Verdana" w:hAnsi="Verdana"/>
          <w:sz w:val="20"/>
          <w:szCs w:val="20"/>
          <w:lang w:val="es-CR"/>
        </w:rPr>
        <w:t>Convención</w:t>
      </w:r>
      <w:r w:rsidRPr="00CD25E5">
        <w:rPr>
          <w:rFonts w:ascii="Verdana" w:hAnsi="Verdana"/>
          <w:sz w:val="20"/>
          <w:szCs w:val="20"/>
          <w:lang w:val="es-CR"/>
        </w:rPr>
        <w:t xml:space="preserve">. En todo caso </w:t>
      </w:r>
      <w:r w:rsidR="00C85CF6" w:rsidRPr="00CD25E5">
        <w:rPr>
          <w:rFonts w:ascii="Verdana" w:hAnsi="Verdana"/>
          <w:sz w:val="20"/>
          <w:szCs w:val="20"/>
          <w:lang w:val="es-CR"/>
        </w:rPr>
        <w:t>entiendo</w:t>
      </w:r>
      <w:r w:rsidRPr="00CD25E5">
        <w:rPr>
          <w:rFonts w:ascii="Verdana" w:hAnsi="Verdana"/>
          <w:sz w:val="20"/>
          <w:szCs w:val="20"/>
          <w:lang w:val="es-CR"/>
        </w:rPr>
        <w:t xml:space="preserve"> que el </w:t>
      </w:r>
      <w:r w:rsidR="004F009B" w:rsidRPr="00CD25E5">
        <w:rPr>
          <w:rFonts w:ascii="Verdana" w:hAnsi="Verdana"/>
          <w:sz w:val="20"/>
          <w:szCs w:val="20"/>
          <w:lang w:val="es-CR"/>
        </w:rPr>
        <w:t>propósito</w:t>
      </w:r>
      <w:r w:rsidRPr="00CD25E5">
        <w:rPr>
          <w:rFonts w:ascii="Verdana" w:hAnsi="Verdana"/>
          <w:sz w:val="20"/>
          <w:szCs w:val="20"/>
          <w:lang w:val="es-CR"/>
        </w:rPr>
        <w:t xml:space="preserve"> de la Corte al pedir </w:t>
      </w:r>
      <w:r w:rsidR="004F009B" w:rsidRPr="00CD25E5">
        <w:rPr>
          <w:rFonts w:ascii="Verdana" w:hAnsi="Verdana"/>
          <w:sz w:val="20"/>
          <w:szCs w:val="20"/>
          <w:lang w:val="es-CR"/>
        </w:rPr>
        <w:t>simultáneamente</w:t>
      </w:r>
      <w:r w:rsidRPr="00CD25E5">
        <w:rPr>
          <w:rFonts w:ascii="Verdana" w:hAnsi="Verdana"/>
          <w:sz w:val="20"/>
          <w:szCs w:val="20"/>
          <w:lang w:val="es-CR"/>
        </w:rPr>
        <w:t xml:space="preserve"> que se haga una interpretación del ordenamiento interno conforme a la Convención</w:t>
      </w:r>
      <w:r w:rsidR="00C85CF6" w:rsidRPr="00CD25E5">
        <w:rPr>
          <w:rFonts w:ascii="Verdana" w:hAnsi="Verdana"/>
          <w:sz w:val="20"/>
          <w:szCs w:val="20"/>
          <w:lang w:val="es-CR"/>
        </w:rPr>
        <w:t xml:space="preserve"> </w:t>
      </w:r>
      <w:r w:rsidRPr="00CD25E5">
        <w:rPr>
          <w:rFonts w:ascii="Verdana" w:hAnsi="Verdana"/>
          <w:sz w:val="20"/>
          <w:szCs w:val="20"/>
          <w:lang w:val="es-CR"/>
        </w:rPr>
        <w:t xml:space="preserve">y su </w:t>
      </w:r>
      <w:r w:rsidR="004F009B" w:rsidRPr="00CD25E5">
        <w:rPr>
          <w:rFonts w:ascii="Verdana" w:hAnsi="Verdana"/>
          <w:sz w:val="20"/>
          <w:szCs w:val="20"/>
          <w:lang w:val="es-CR"/>
        </w:rPr>
        <w:t>jurisprudencia,</w:t>
      </w:r>
      <w:r w:rsidRPr="00CD25E5">
        <w:rPr>
          <w:rFonts w:ascii="Verdana" w:hAnsi="Verdana"/>
          <w:sz w:val="20"/>
          <w:szCs w:val="20"/>
          <w:lang w:val="es-CR"/>
        </w:rPr>
        <w:t xml:space="preserve"> por una parte, y la modificación normativa por la otra, obedece a una </w:t>
      </w:r>
      <w:r w:rsidR="004F009B" w:rsidRPr="00CD25E5">
        <w:rPr>
          <w:rFonts w:ascii="Verdana" w:hAnsi="Verdana"/>
          <w:sz w:val="20"/>
          <w:szCs w:val="20"/>
          <w:lang w:val="es-CR"/>
        </w:rPr>
        <w:t>lógica</w:t>
      </w:r>
      <w:r w:rsidRPr="00CD25E5">
        <w:rPr>
          <w:rFonts w:ascii="Verdana" w:hAnsi="Verdana"/>
          <w:sz w:val="20"/>
          <w:szCs w:val="20"/>
          <w:lang w:val="es-CR"/>
        </w:rPr>
        <w:t xml:space="preserve"> </w:t>
      </w:r>
      <w:r w:rsidR="00331426" w:rsidRPr="00CD25E5">
        <w:rPr>
          <w:rFonts w:ascii="Verdana" w:hAnsi="Verdana"/>
          <w:sz w:val="20"/>
          <w:szCs w:val="20"/>
          <w:lang w:val="es-CR"/>
        </w:rPr>
        <w:t>consecuencial</w:t>
      </w:r>
      <w:r w:rsidRPr="00CD25E5">
        <w:rPr>
          <w:rFonts w:ascii="Verdana" w:hAnsi="Verdana"/>
          <w:sz w:val="20"/>
          <w:szCs w:val="20"/>
          <w:lang w:val="es-CR"/>
        </w:rPr>
        <w:t xml:space="preserve">: Si los operadores </w:t>
      </w:r>
      <w:r w:rsidR="004F009B" w:rsidRPr="00CD25E5">
        <w:rPr>
          <w:rFonts w:ascii="Verdana" w:hAnsi="Verdana"/>
          <w:sz w:val="20"/>
          <w:szCs w:val="20"/>
          <w:lang w:val="es-CR"/>
        </w:rPr>
        <w:t>jurídicos</w:t>
      </w:r>
      <w:r w:rsidRPr="00CD25E5">
        <w:rPr>
          <w:rFonts w:ascii="Verdana" w:hAnsi="Verdana"/>
          <w:sz w:val="20"/>
          <w:szCs w:val="20"/>
          <w:lang w:val="es-CR"/>
        </w:rPr>
        <w:t xml:space="preserve"> nacionales entienden que la </w:t>
      </w:r>
      <w:r w:rsidR="004F009B" w:rsidRPr="00CD25E5">
        <w:rPr>
          <w:rFonts w:ascii="Verdana" w:hAnsi="Verdana"/>
          <w:sz w:val="20"/>
          <w:szCs w:val="20"/>
          <w:lang w:val="es-CR"/>
        </w:rPr>
        <w:t>dicción</w:t>
      </w:r>
      <w:r w:rsidRPr="00CD25E5">
        <w:rPr>
          <w:rFonts w:ascii="Verdana" w:hAnsi="Verdana"/>
          <w:sz w:val="20"/>
          <w:szCs w:val="20"/>
          <w:lang w:val="es-CR"/>
        </w:rPr>
        <w:t xml:space="preserve"> literal de las leyes nacionales </w:t>
      </w:r>
      <w:r w:rsidR="00C85CF6" w:rsidRPr="00CD25E5">
        <w:rPr>
          <w:rFonts w:ascii="Verdana" w:hAnsi="Verdana"/>
          <w:sz w:val="20"/>
          <w:szCs w:val="20"/>
          <w:lang w:val="es-CR"/>
        </w:rPr>
        <w:t>desconoce la C</w:t>
      </w:r>
      <w:r w:rsidRPr="00CD25E5">
        <w:rPr>
          <w:rFonts w:ascii="Verdana" w:hAnsi="Verdana"/>
          <w:sz w:val="20"/>
          <w:szCs w:val="20"/>
          <w:lang w:val="es-CR"/>
        </w:rPr>
        <w:t xml:space="preserve">onvención en los </w:t>
      </w:r>
      <w:r w:rsidR="004F009B" w:rsidRPr="00CD25E5">
        <w:rPr>
          <w:rFonts w:ascii="Verdana" w:hAnsi="Verdana"/>
          <w:sz w:val="20"/>
          <w:szCs w:val="20"/>
          <w:lang w:val="es-CR"/>
        </w:rPr>
        <w:t>términos</w:t>
      </w:r>
      <w:r w:rsidRPr="00CD25E5">
        <w:rPr>
          <w:rFonts w:ascii="Verdana" w:hAnsi="Verdana"/>
          <w:sz w:val="20"/>
          <w:szCs w:val="20"/>
          <w:lang w:val="es-CR"/>
        </w:rPr>
        <w:t xml:space="preserve"> expresados por sentencia de la Corte IDH, se </w:t>
      </w:r>
      <w:r w:rsidR="004F009B" w:rsidRPr="00CD25E5">
        <w:rPr>
          <w:rFonts w:ascii="Verdana" w:hAnsi="Verdana"/>
          <w:sz w:val="20"/>
          <w:szCs w:val="20"/>
          <w:lang w:val="es-CR"/>
        </w:rPr>
        <w:t>debería</w:t>
      </w:r>
      <w:r w:rsidRPr="00CD25E5">
        <w:rPr>
          <w:rFonts w:ascii="Verdana" w:hAnsi="Verdana"/>
          <w:sz w:val="20"/>
          <w:szCs w:val="20"/>
          <w:lang w:val="es-CR"/>
        </w:rPr>
        <w:t xml:space="preserve"> acudir a la </w:t>
      </w:r>
      <w:r w:rsidR="004F009B" w:rsidRPr="00CD25E5">
        <w:rPr>
          <w:rFonts w:ascii="Verdana" w:hAnsi="Verdana"/>
          <w:sz w:val="20"/>
          <w:szCs w:val="20"/>
          <w:lang w:val="es-CR"/>
        </w:rPr>
        <w:t>modificación</w:t>
      </w:r>
      <w:r w:rsidRPr="00CD25E5">
        <w:rPr>
          <w:rFonts w:ascii="Verdana" w:hAnsi="Verdana"/>
          <w:sz w:val="20"/>
          <w:szCs w:val="20"/>
          <w:lang w:val="es-CR"/>
        </w:rPr>
        <w:t xml:space="preserve"> normativa.</w:t>
      </w:r>
    </w:p>
    <w:p w14:paraId="33E62495" w14:textId="77777777" w:rsidR="005233B6" w:rsidRPr="00CD25E5" w:rsidRDefault="005233B6" w:rsidP="005233B6">
      <w:pPr>
        <w:pStyle w:val="Prrafodelista"/>
        <w:rPr>
          <w:rFonts w:ascii="Verdana" w:hAnsi="Verdana"/>
          <w:sz w:val="20"/>
          <w:szCs w:val="20"/>
          <w:lang w:val="es-CR"/>
        </w:rPr>
      </w:pPr>
    </w:p>
    <w:p w14:paraId="2E3680D2" w14:textId="5D840BAF" w:rsidR="009E7100" w:rsidRPr="00CD25E5" w:rsidRDefault="009E7100" w:rsidP="00C40754">
      <w:pPr>
        <w:pStyle w:val="Prrafodelista"/>
        <w:numPr>
          <w:ilvl w:val="0"/>
          <w:numId w:val="5"/>
        </w:numPr>
        <w:autoSpaceDE w:val="0"/>
        <w:autoSpaceDN w:val="0"/>
        <w:adjustRightInd w:val="0"/>
        <w:spacing w:after="0" w:line="240" w:lineRule="auto"/>
        <w:ind w:left="0" w:firstLine="0"/>
        <w:jc w:val="both"/>
        <w:rPr>
          <w:rFonts w:ascii="Verdana" w:hAnsi="Verdana"/>
          <w:sz w:val="20"/>
          <w:szCs w:val="20"/>
          <w:lang w:val="es-CR"/>
        </w:rPr>
      </w:pPr>
      <w:r w:rsidRPr="00CD25E5">
        <w:rPr>
          <w:rFonts w:ascii="Verdana" w:hAnsi="Verdana"/>
          <w:sz w:val="20"/>
          <w:szCs w:val="20"/>
          <w:lang w:val="es-CR"/>
        </w:rPr>
        <w:t>En</w:t>
      </w:r>
      <w:r w:rsidR="00C85CF6" w:rsidRPr="00CD25E5">
        <w:rPr>
          <w:rFonts w:ascii="Verdana" w:hAnsi="Verdana"/>
          <w:sz w:val="20"/>
          <w:szCs w:val="20"/>
          <w:lang w:val="es-CR"/>
        </w:rPr>
        <w:t xml:space="preserve"> definitiva, lo que creo es que</w:t>
      </w:r>
      <w:r w:rsidRPr="00CD25E5">
        <w:rPr>
          <w:rFonts w:ascii="Verdana" w:hAnsi="Verdana"/>
          <w:sz w:val="20"/>
          <w:szCs w:val="20"/>
          <w:lang w:val="es-CR"/>
        </w:rPr>
        <w:t xml:space="preserve"> la Corte debe privilegiar en sus decisiones el ejercicio del control de convencionalidad a través de la interpretación conforme, para evitar que los retrasos propios de los cambios normativos, por lo gener</w:t>
      </w:r>
      <w:r w:rsidR="004F009B" w:rsidRPr="00CD25E5">
        <w:rPr>
          <w:rFonts w:ascii="Verdana" w:hAnsi="Verdana"/>
          <w:sz w:val="20"/>
          <w:szCs w:val="20"/>
          <w:lang w:val="es-CR"/>
        </w:rPr>
        <w:t xml:space="preserve">al trámites de larga duración, </w:t>
      </w:r>
      <w:r w:rsidRPr="00CD25E5">
        <w:rPr>
          <w:rFonts w:ascii="Verdana" w:hAnsi="Verdana"/>
          <w:sz w:val="20"/>
          <w:szCs w:val="20"/>
          <w:lang w:val="es-CR"/>
        </w:rPr>
        <w:t>dificulten la aplicación pronta de las normas convencionales y de los estánd</w:t>
      </w:r>
      <w:r w:rsidR="004F009B" w:rsidRPr="00CD25E5">
        <w:rPr>
          <w:rFonts w:ascii="Verdana" w:hAnsi="Verdana"/>
          <w:sz w:val="20"/>
          <w:szCs w:val="20"/>
          <w:lang w:val="es-CR"/>
        </w:rPr>
        <w:t>ares establecidos por la Corte.</w:t>
      </w:r>
    </w:p>
    <w:p w14:paraId="7101013F" w14:textId="77777777" w:rsidR="004F009B" w:rsidRPr="00CD25E5" w:rsidRDefault="004F009B" w:rsidP="00C40754">
      <w:pPr>
        <w:pStyle w:val="Numberedparagraphs"/>
        <w:numPr>
          <w:ilvl w:val="0"/>
          <w:numId w:val="0"/>
        </w:numPr>
        <w:rPr>
          <w:rFonts w:eastAsia="Times New Roman"/>
          <w:color w:val="auto"/>
          <w:lang w:val="es-CO" w:eastAsia="es-ES"/>
        </w:rPr>
      </w:pPr>
    </w:p>
    <w:p w14:paraId="7C6786D4" w14:textId="77777777" w:rsidR="004F009B" w:rsidRPr="00CD25E5" w:rsidRDefault="004F009B" w:rsidP="00C40754">
      <w:pPr>
        <w:pStyle w:val="Numberedparagraphs"/>
        <w:numPr>
          <w:ilvl w:val="0"/>
          <w:numId w:val="0"/>
        </w:numPr>
        <w:rPr>
          <w:color w:val="auto"/>
          <w:lang w:val="es-CO"/>
        </w:rPr>
      </w:pPr>
    </w:p>
    <w:p w14:paraId="2AAC64C2" w14:textId="77777777" w:rsidR="004F009B" w:rsidRPr="00CD25E5" w:rsidRDefault="004F009B" w:rsidP="00C40754">
      <w:pPr>
        <w:spacing w:after="0" w:line="240" w:lineRule="auto"/>
        <w:ind w:left="3600" w:right="96" w:firstLine="720"/>
        <w:jc w:val="center"/>
        <w:rPr>
          <w:rFonts w:ascii="Verdana" w:eastAsia="Calibri" w:hAnsi="Verdana" w:cs="Times New Roman"/>
          <w:sz w:val="20"/>
          <w:szCs w:val="20"/>
        </w:rPr>
      </w:pPr>
      <w:r w:rsidRPr="00CD25E5">
        <w:rPr>
          <w:rFonts w:ascii="Verdana" w:eastAsia="Calibri" w:hAnsi="Verdana" w:cs="Times New Roman"/>
          <w:sz w:val="20"/>
          <w:szCs w:val="20"/>
        </w:rPr>
        <w:t xml:space="preserve">          Humberto Antonio Sierra Porto</w:t>
      </w:r>
    </w:p>
    <w:p w14:paraId="32A23620" w14:textId="77777777" w:rsidR="004F009B" w:rsidRPr="00CD25E5" w:rsidRDefault="004F009B" w:rsidP="00C40754">
      <w:pPr>
        <w:spacing w:after="0" w:line="240" w:lineRule="auto"/>
        <w:ind w:left="3960" w:right="96" w:firstLine="360"/>
        <w:jc w:val="center"/>
        <w:rPr>
          <w:rFonts w:ascii="Verdana" w:eastAsia="Calibri" w:hAnsi="Verdana" w:cs="Times New Roman"/>
          <w:sz w:val="20"/>
          <w:szCs w:val="20"/>
        </w:rPr>
      </w:pPr>
      <w:r w:rsidRPr="00CD25E5">
        <w:rPr>
          <w:rFonts w:ascii="Verdana" w:eastAsia="Calibri" w:hAnsi="Verdana" w:cs="Times New Roman"/>
          <w:sz w:val="20"/>
          <w:szCs w:val="20"/>
        </w:rPr>
        <w:t xml:space="preserve">         Juez</w:t>
      </w:r>
    </w:p>
    <w:p w14:paraId="23D0299C" w14:textId="77777777" w:rsidR="004F009B" w:rsidRPr="00CD25E5" w:rsidRDefault="004F009B" w:rsidP="00C40754">
      <w:pPr>
        <w:spacing w:after="0" w:line="240" w:lineRule="auto"/>
        <w:rPr>
          <w:rFonts w:ascii="Verdana" w:eastAsia="MS Mincho" w:hAnsi="Verdana" w:cs="Times New Roman"/>
          <w:sz w:val="20"/>
          <w:szCs w:val="20"/>
          <w:lang w:eastAsia="es-ES"/>
        </w:rPr>
      </w:pPr>
    </w:p>
    <w:p w14:paraId="03D8FDA6" w14:textId="77777777" w:rsidR="004F009B" w:rsidRPr="00CD25E5" w:rsidRDefault="004F009B" w:rsidP="00C40754">
      <w:pPr>
        <w:spacing w:after="0" w:line="240" w:lineRule="auto"/>
        <w:rPr>
          <w:rFonts w:ascii="Verdana" w:eastAsia="MS Mincho" w:hAnsi="Verdana" w:cs="Times New Roman"/>
          <w:sz w:val="20"/>
          <w:szCs w:val="20"/>
          <w:lang w:eastAsia="es-ES"/>
        </w:rPr>
      </w:pPr>
    </w:p>
    <w:p w14:paraId="368770B8" w14:textId="77777777" w:rsidR="004F009B" w:rsidRPr="00CD25E5" w:rsidRDefault="004F009B" w:rsidP="00C40754">
      <w:pPr>
        <w:spacing w:after="0" w:line="240" w:lineRule="auto"/>
        <w:rPr>
          <w:rFonts w:ascii="Verdana" w:eastAsia="MS Mincho" w:hAnsi="Verdana" w:cs="Times New Roman"/>
          <w:sz w:val="20"/>
          <w:szCs w:val="20"/>
          <w:lang w:eastAsia="es-ES"/>
        </w:rPr>
      </w:pPr>
      <w:r w:rsidRPr="00CD25E5">
        <w:rPr>
          <w:rFonts w:ascii="Verdana" w:eastAsia="MS Mincho" w:hAnsi="Verdana" w:cs="Times New Roman"/>
          <w:sz w:val="20"/>
          <w:szCs w:val="20"/>
          <w:lang w:eastAsia="es-ES"/>
        </w:rPr>
        <w:t xml:space="preserve">      Pablo Saavedra Alessandri</w:t>
      </w:r>
    </w:p>
    <w:p w14:paraId="04FC0B27" w14:textId="77777777" w:rsidR="004F009B" w:rsidRPr="00C40754" w:rsidRDefault="004F009B" w:rsidP="00C40754">
      <w:pPr>
        <w:spacing w:after="0" w:line="240" w:lineRule="auto"/>
        <w:contextualSpacing/>
        <w:rPr>
          <w:rFonts w:ascii="Verdana" w:hAnsi="Verdana"/>
          <w:sz w:val="20"/>
          <w:szCs w:val="20"/>
        </w:rPr>
      </w:pPr>
      <w:r w:rsidRPr="00CD25E5">
        <w:rPr>
          <w:rFonts w:ascii="Verdana" w:eastAsia="MS Mincho" w:hAnsi="Verdana" w:cs="Times New Roman"/>
          <w:sz w:val="20"/>
          <w:szCs w:val="20"/>
          <w:lang w:eastAsia="es-ES"/>
        </w:rPr>
        <w:tab/>
        <w:t xml:space="preserve">     Secretario</w:t>
      </w:r>
    </w:p>
    <w:p w14:paraId="169BC5D4" w14:textId="77777777" w:rsidR="004F009B" w:rsidRPr="00C40754" w:rsidRDefault="004F009B" w:rsidP="00C40754">
      <w:pPr>
        <w:pStyle w:val="Prrafodelista"/>
        <w:autoSpaceDE w:val="0"/>
        <w:autoSpaceDN w:val="0"/>
        <w:adjustRightInd w:val="0"/>
        <w:spacing w:after="0" w:line="240" w:lineRule="auto"/>
        <w:ind w:left="0"/>
        <w:jc w:val="both"/>
        <w:rPr>
          <w:rFonts w:ascii="Verdana" w:hAnsi="Verdana"/>
          <w:sz w:val="20"/>
          <w:szCs w:val="20"/>
          <w:lang w:val="es-CR"/>
        </w:rPr>
      </w:pPr>
    </w:p>
    <w:p w14:paraId="7B57D899" w14:textId="77777777" w:rsidR="009E7100" w:rsidRPr="00C40754" w:rsidRDefault="009E7100" w:rsidP="00C40754">
      <w:pPr>
        <w:pStyle w:val="Prrafodelista"/>
        <w:autoSpaceDE w:val="0"/>
        <w:autoSpaceDN w:val="0"/>
        <w:adjustRightInd w:val="0"/>
        <w:spacing w:after="0" w:line="240" w:lineRule="auto"/>
        <w:ind w:left="0"/>
        <w:jc w:val="both"/>
        <w:rPr>
          <w:rFonts w:ascii="Verdana" w:hAnsi="Verdana"/>
          <w:sz w:val="20"/>
          <w:szCs w:val="20"/>
          <w:lang w:val="es-CR"/>
        </w:rPr>
      </w:pPr>
    </w:p>
    <w:p w14:paraId="005783EB" w14:textId="3BEAF814" w:rsidR="004A59BD" w:rsidRPr="00C40754" w:rsidRDefault="004A59BD" w:rsidP="00C40754">
      <w:pPr>
        <w:pStyle w:val="Prrafodelista"/>
        <w:autoSpaceDE w:val="0"/>
        <w:autoSpaceDN w:val="0"/>
        <w:adjustRightInd w:val="0"/>
        <w:spacing w:after="0" w:line="240" w:lineRule="auto"/>
        <w:ind w:left="0"/>
        <w:jc w:val="both"/>
        <w:rPr>
          <w:rFonts w:ascii="Verdana" w:hAnsi="Verdana"/>
          <w:sz w:val="20"/>
          <w:szCs w:val="20"/>
          <w:lang w:val="es-GT"/>
        </w:rPr>
      </w:pPr>
    </w:p>
    <w:sectPr w:rsidR="004A59BD" w:rsidRPr="00C4075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A3E62C" w14:textId="77777777" w:rsidR="00025808" w:rsidRDefault="00025808" w:rsidP="005603E8">
      <w:pPr>
        <w:spacing w:after="0" w:line="240" w:lineRule="auto"/>
      </w:pPr>
      <w:r>
        <w:separator/>
      </w:r>
    </w:p>
  </w:endnote>
  <w:endnote w:type="continuationSeparator" w:id="0">
    <w:p w14:paraId="795B0C06" w14:textId="77777777" w:rsidR="00025808" w:rsidRDefault="00025808" w:rsidP="005603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3D5B56" w14:textId="77777777" w:rsidR="00025808" w:rsidRDefault="00025808" w:rsidP="005603E8">
      <w:pPr>
        <w:spacing w:after="0" w:line="240" w:lineRule="auto"/>
      </w:pPr>
      <w:r>
        <w:separator/>
      </w:r>
    </w:p>
  </w:footnote>
  <w:footnote w:type="continuationSeparator" w:id="0">
    <w:p w14:paraId="660B604B" w14:textId="77777777" w:rsidR="00025808" w:rsidRDefault="00025808" w:rsidP="005603E8">
      <w:pPr>
        <w:spacing w:after="0" w:line="240" w:lineRule="auto"/>
      </w:pPr>
      <w:r>
        <w:continuationSeparator/>
      </w:r>
    </w:p>
  </w:footnote>
  <w:footnote w:id="1">
    <w:p w14:paraId="1E63CE23" w14:textId="77777777" w:rsidR="004F009B" w:rsidRPr="00CD25E5" w:rsidRDefault="004F009B" w:rsidP="00C40754">
      <w:pPr>
        <w:pStyle w:val="Textonotapie"/>
        <w:tabs>
          <w:tab w:val="left" w:pos="567"/>
        </w:tabs>
        <w:spacing w:before="120" w:after="120"/>
        <w:jc w:val="both"/>
        <w:rPr>
          <w:rFonts w:ascii="Verdana" w:hAnsi="Verdana"/>
          <w:b/>
          <w:bCs/>
          <w:sz w:val="16"/>
          <w:szCs w:val="16"/>
          <w:shd w:val="clear" w:color="auto" w:fill="FFFFFF"/>
        </w:rPr>
      </w:pPr>
      <w:r w:rsidRPr="00CD25E5">
        <w:rPr>
          <w:rStyle w:val="Refdenotaalpie"/>
          <w:rFonts w:ascii="Verdana" w:hAnsi="Verdana"/>
          <w:sz w:val="16"/>
          <w:szCs w:val="16"/>
        </w:rPr>
        <w:footnoteRef/>
      </w:r>
      <w:r w:rsidRPr="00CD25E5">
        <w:rPr>
          <w:rFonts w:ascii="Verdana" w:hAnsi="Verdana"/>
          <w:sz w:val="16"/>
          <w:szCs w:val="16"/>
        </w:rPr>
        <w:tab/>
      </w:r>
      <w:r w:rsidRPr="00CD25E5">
        <w:rPr>
          <w:rFonts w:ascii="Verdana" w:hAnsi="Verdana"/>
          <w:i/>
          <w:sz w:val="16"/>
          <w:szCs w:val="16"/>
        </w:rPr>
        <w:t>Cfr.</w:t>
      </w:r>
      <w:r w:rsidRPr="00CD25E5">
        <w:rPr>
          <w:rFonts w:ascii="Verdana" w:hAnsi="Verdana"/>
          <w:sz w:val="16"/>
          <w:szCs w:val="16"/>
        </w:rPr>
        <w:t xml:space="preserve"> </w:t>
      </w:r>
      <w:r w:rsidRPr="00CD25E5">
        <w:rPr>
          <w:rStyle w:val="Textoennegrita"/>
          <w:rFonts w:ascii="Verdana" w:hAnsi="Verdana"/>
          <w:b w:val="0"/>
          <w:i/>
          <w:sz w:val="16"/>
          <w:szCs w:val="16"/>
        </w:rPr>
        <w:t>Caso Lagos del Campo Vs. Perú.</w:t>
      </w:r>
      <w:r w:rsidRPr="00CD25E5">
        <w:rPr>
          <w:rStyle w:val="Textoennegrita"/>
          <w:rFonts w:ascii="Verdana" w:hAnsi="Verdana"/>
          <w:i/>
          <w:sz w:val="16"/>
          <w:szCs w:val="16"/>
        </w:rPr>
        <w:t xml:space="preserve"> </w:t>
      </w:r>
      <w:r w:rsidRPr="00CD25E5">
        <w:rPr>
          <w:rFonts w:ascii="Verdana" w:hAnsi="Verdana"/>
          <w:bCs/>
          <w:i/>
          <w:sz w:val="16"/>
          <w:szCs w:val="16"/>
        </w:rPr>
        <w:t xml:space="preserve">Excepciones Preliminares, Fondo, Reparaciones y Costas. </w:t>
      </w:r>
      <w:r w:rsidRPr="00CD25E5">
        <w:rPr>
          <w:rFonts w:ascii="Verdana" w:hAnsi="Verdana"/>
          <w:bCs/>
          <w:sz w:val="16"/>
          <w:szCs w:val="16"/>
        </w:rPr>
        <w:t>Sentencia de 31 de</w:t>
      </w:r>
      <w:r w:rsidRPr="00CD25E5">
        <w:rPr>
          <w:rFonts w:ascii="Verdana" w:hAnsi="Verdana"/>
          <w:bCs/>
          <w:sz w:val="16"/>
          <w:szCs w:val="16"/>
          <w:shd w:val="clear" w:color="auto" w:fill="FFFFFF"/>
        </w:rPr>
        <w:t xml:space="preserve"> </w:t>
      </w:r>
      <w:r w:rsidRPr="00CD25E5">
        <w:rPr>
          <w:rFonts w:ascii="Verdana" w:hAnsi="Verdana"/>
          <w:bCs/>
          <w:sz w:val="16"/>
          <w:szCs w:val="16"/>
        </w:rPr>
        <w:t>agosto de 2017. Serie C No. 340.</w:t>
      </w:r>
      <w:r w:rsidRPr="00CD25E5">
        <w:rPr>
          <w:rFonts w:ascii="Verdana" w:hAnsi="Verdana"/>
          <w:bCs/>
          <w:i/>
          <w:sz w:val="16"/>
          <w:szCs w:val="16"/>
        </w:rPr>
        <w:t xml:space="preserve"> </w:t>
      </w:r>
      <w:r w:rsidRPr="00CD25E5">
        <w:rPr>
          <w:rStyle w:val="Textoennegrita"/>
          <w:rFonts w:ascii="Verdana" w:hAnsi="Verdana"/>
          <w:b w:val="0"/>
          <w:sz w:val="16"/>
          <w:szCs w:val="16"/>
        </w:rPr>
        <w:t>Voto parcialmente disidente del Juez Humberto Antonio Sierra Porto.</w:t>
      </w:r>
      <w:r w:rsidRPr="00CD25E5">
        <w:rPr>
          <w:rStyle w:val="Textoennegrita"/>
          <w:rFonts w:ascii="Verdana" w:hAnsi="Verdana"/>
          <w:b w:val="0"/>
          <w:sz w:val="16"/>
          <w:szCs w:val="16"/>
          <w:shd w:val="clear" w:color="auto" w:fill="FFFFFF"/>
        </w:rPr>
        <w:t xml:space="preserve"> </w:t>
      </w:r>
    </w:p>
  </w:footnote>
  <w:footnote w:id="2">
    <w:p w14:paraId="75E7E961" w14:textId="77777777" w:rsidR="004F009B" w:rsidRPr="00CD25E5" w:rsidRDefault="004F009B" w:rsidP="00C40754">
      <w:pPr>
        <w:pStyle w:val="Textonotapie"/>
        <w:tabs>
          <w:tab w:val="left" w:pos="567"/>
        </w:tabs>
        <w:spacing w:before="120" w:after="120"/>
        <w:jc w:val="both"/>
        <w:rPr>
          <w:rFonts w:ascii="Verdana" w:eastAsia="Calibri" w:hAnsi="Verdana"/>
          <w:b/>
          <w:bCs/>
          <w:sz w:val="16"/>
          <w:szCs w:val="16"/>
          <w:shd w:val="clear" w:color="auto" w:fill="FFFFFF"/>
        </w:rPr>
      </w:pPr>
      <w:r w:rsidRPr="00CD25E5">
        <w:rPr>
          <w:rStyle w:val="Refdenotaalpie"/>
          <w:rFonts w:ascii="Verdana" w:hAnsi="Verdana"/>
          <w:sz w:val="16"/>
          <w:szCs w:val="16"/>
        </w:rPr>
        <w:footnoteRef/>
      </w:r>
      <w:r w:rsidRPr="00CD25E5">
        <w:rPr>
          <w:rFonts w:ascii="Verdana" w:hAnsi="Verdana"/>
          <w:sz w:val="16"/>
          <w:szCs w:val="16"/>
        </w:rPr>
        <w:tab/>
      </w:r>
      <w:r w:rsidRPr="00CD25E5">
        <w:rPr>
          <w:rFonts w:ascii="Verdana" w:hAnsi="Verdana"/>
          <w:i/>
          <w:sz w:val="16"/>
          <w:szCs w:val="16"/>
        </w:rPr>
        <w:t xml:space="preserve">Cfr. </w:t>
      </w:r>
      <w:r w:rsidRPr="00CD25E5">
        <w:rPr>
          <w:rFonts w:ascii="Verdana" w:hAnsi="Verdana"/>
          <w:bCs/>
          <w:i/>
          <w:sz w:val="16"/>
          <w:szCs w:val="16"/>
        </w:rPr>
        <w:t xml:space="preserve">Caso Trabajadores Cesados de Petroperú y otros Vs. Perú. Excepciones Preliminares, Fondo, Reparaciones y Costas. </w:t>
      </w:r>
      <w:r w:rsidRPr="00CD25E5">
        <w:rPr>
          <w:rFonts w:ascii="Verdana" w:hAnsi="Verdana"/>
          <w:bCs/>
          <w:sz w:val="16"/>
          <w:szCs w:val="16"/>
        </w:rPr>
        <w:t>Sentencia de 23 de noviembre de 2017. Serie C No. 344</w:t>
      </w:r>
      <w:r w:rsidRPr="00CD25E5">
        <w:rPr>
          <w:rFonts w:ascii="Verdana" w:hAnsi="Verdana"/>
          <w:bCs/>
          <w:i/>
          <w:sz w:val="16"/>
          <w:szCs w:val="16"/>
        </w:rPr>
        <w:t>.</w:t>
      </w:r>
      <w:r w:rsidRPr="00CD25E5">
        <w:rPr>
          <w:rFonts w:ascii="Verdana" w:hAnsi="Verdana"/>
          <w:bCs/>
          <w:sz w:val="16"/>
          <w:szCs w:val="16"/>
        </w:rPr>
        <w:t xml:space="preserve"> </w:t>
      </w:r>
      <w:r w:rsidRPr="00CD25E5">
        <w:rPr>
          <w:rStyle w:val="Textoennegrita"/>
          <w:rFonts w:ascii="Verdana" w:hAnsi="Verdana"/>
          <w:b w:val="0"/>
          <w:sz w:val="16"/>
          <w:szCs w:val="16"/>
        </w:rPr>
        <w:t>Voto parcialmente disidente del Juez Humberto</w:t>
      </w:r>
      <w:r w:rsidRPr="00CD25E5">
        <w:rPr>
          <w:rStyle w:val="Textoennegrita"/>
          <w:rFonts w:ascii="Verdana" w:hAnsi="Verdana"/>
          <w:b w:val="0"/>
          <w:sz w:val="16"/>
          <w:szCs w:val="16"/>
          <w:shd w:val="clear" w:color="auto" w:fill="FFFFFF"/>
        </w:rPr>
        <w:t xml:space="preserve"> </w:t>
      </w:r>
      <w:r w:rsidRPr="00CD25E5">
        <w:rPr>
          <w:rStyle w:val="Textoennegrita"/>
          <w:rFonts w:ascii="Verdana" w:hAnsi="Verdana"/>
          <w:b w:val="0"/>
          <w:sz w:val="16"/>
          <w:szCs w:val="16"/>
        </w:rPr>
        <w:t>Antonio Sierra Porto.</w:t>
      </w:r>
      <w:r w:rsidRPr="00CD25E5">
        <w:rPr>
          <w:rStyle w:val="Textoennegrita"/>
          <w:rFonts w:ascii="Verdana" w:hAnsi="Verdana"/>
          <w:b w:val="0"/>
          <w:sz w:val="16"/>
          <w:szCs w:val="16"/>
          <w:shd w:val="clear" w:color="auto" w:fill="FFFFFF"/>
        </w:rPr>
        <w:t xml:space="preserve"> </w:t>
      </w:r>
    </w:p>
  </w:footnote>
  <w:footnote w:id="3">
    <w:p w14:paraId="5CF1382E" w14:textId="77777777" w:rsidR="004F009B" w:rsidRPr="00CD25E5" w:rsidRDefault="004F009B" w:rsidP="00C40754">
      <w:pPr>
        <w:pStyle w:val="Textonotapie"/>
        <w:tabs>
          <w:tab w:val="left" w:pos="567"/>
        </w:tabs>
        <w:spacing w:before="120" w:after="120"/>
        <w:jc w:val="both"/>
        <w:rPr>
          <w:rFonts w:ascii="Verdana" w:hAnsi="Verdana"/>
          <w:sz w:val="16"/>
          <w:szCs w:val="16"/>
        </w:rPr>
      </w:pPr>
      <w:r w:rsidRPr="00CD25E5">
        <w:rPr>
          <w:rStyle w:val="Refdenotaalpie"/>
          <w:rFonts w:ascii="Verdana" w:hAnsi="Verdana"/>
          <w:sz w:val="16"/>
          <w:szCs w:val="16"/>
        </w:rPr>
        <w:footnoteRef/>
      </w:r>
      <w:r w:rsidRPr="00CD25E5">
        <w:rPr>
          <w:rFonts w:ascii="Verdana" w:hAnsi="Verdana"/>
          <w:sz w:val="16"/>
          <w:szCs w:val="16"/>
        </w:rPr>
        <w:tab/>
      </w:r>
      <w:r w:rsidRPr="00CD25E5">
        <w:rPr>
          <w:rFonts w:ascii="Verdana" w:hAnsi="Verdana"/>
          <w:i/>
          <w:sz w:val="16"/>
          <w:szCs w:val="16"/>
        </w:rPr>
        <w:t xml:space="preserve">Cfr. </w:t>
      </w:r>
      <w:r w:rsidRPr="00CD25E5">
        <w:rPr>
          <w:rStyle w:val="Textoennegrita"/>
          <w:rFonts w:ascii="Verdana" w:hAnsi="Verdana"/>
          <w:b w:val="0"/>
          <w:i/>
          <w:sz w:val="16"/>
          <w:szCs w:val="16"/>
        </w:rPr>
        <w:t>Caso San Miguel Sosa y otras Vs. Venezuela. Fondo, Reparaciones y Costas.</w:t>
      </w:r>
      <w:r w:rsidRPr="00CD25E5">
        <w:rPr>
          <w:rStyle w:val="Textoennegrita"/>
          <w:rFonts w:ascii="Verdana" w:hAnsi="Verdana"/>
          <w:b w:val="0"/>
          <w:sz w:val="16"/>
          <w:szCs w:val="16"/>
        </w:rPr>
        <w:t xml:space="preserve"> Sentencia de 8 de febrero de</w:t>
      </w:r>
      <w:r w:rsidRPr="00CD25E5">
        <w:rPr>
          <w:rStyle w:val="Textoennegrita"/>
          <w:rFonts w:ascii="Verdana" w:hAnsi="Verdana"/>
          <w:b w:val="0"/>
          <w:sz w:val="16"/>
          <w:szCs w:val="16"/>
          <w:shd w:val="clear" w:color="auto" w:fill="FFFFFF"/>
        </w:rPr>
        <w:t xml:space="preserve"> </w:t>
      </w:r>
      <w:r w:rsidRPr="00CD25E5">
        <w:rPr>
          <w:rStyle w:val="Textoennegrita"/>
          <w:rFonts w:ascii="Verdana" w:hAnsi="Verdana"/>
          <w:b w:val="0"/>
          <w:sz w:val="16"/>
          <w:szCs w:val="16"/>
        </w:rPr>
        <w:t>2018. Serie C No. 348. Voto parcialmente disidente del Juez Humberto Antonio Sierra Porto.</w:t>
      </w:r>
    </w:p>
  </w:footnote>
  <w:footnote w:id="4">
    <w:p w14:paraId="0BA94BAA" w14:textId="77777777" w:rsidR="009C3FB2" w:rsidRPr="00CD25E5" w:rsidRDefault="009C3FB2" w:rsidP="00C40754">
      <w:pPr>
        <w:pStyle w:val="Textonotapie"/>
        <w:tabs>
          <w:tab w:val="left" w:pos="567"/>
        </w:tabs>
        <w:spacing w:before="120" w:after="120"/>
        <w:jc w:val="both"/>
        <w:rPr>
          <w:rFonts w:ascii="Verdana" w:hAnsi="Verdana"/>
          <w:b/>
          <w:sz w:val="16"/>
          <w:szCs w:val="16"/>
        </w:rPr>
      </w:pPr>
      <w:r w:rsidRPr="00CD25E5">
        <w:rPr>
          <w:rStyle w:val="Refdenotaalpie"/>
          <w:rFonts w:ascii="Verdana" w:hAnsi="Verdana"/>
          <w:sz w:val="16"/>
          <w:szCs w:val="16"/>
        </w:rPr>
        <w:footnoteRef/>
      </w:r>
      <w:r w:rsidRPr="00CD25E5">
        <w:rPr>
          <w:rFonts w:ascii="Verdana" w:hAnsi="Verdana"/>
          <w:sz w:val="16"/>
          <w:szCs w:val="16"/>
        </w:rPr>
        <w:t xml:space="preserve"> </w:t>
      </w:r>
      <w:r w:rsidRPr="00CD25E5">
        <w:rPr>
          <w:rFonts w:ascii="Verdana" w:hAnsi="Verdana"/>
          <w:sz w:val="16"/>
          <w:szCs w:val="16"/>
        </w:rPr>
        <w:tab/>
      </w:r>
      <w:r w:rsidRPr="00CD25E5">
        <w:rPr>
          <w:rFonts w:ascii="Verdana" w:hAnsi="Verdana"/>
          <w:i/>
          <w:sz w:val="16"/>
          <w:szCs w:val="16"/>
        </w:rPr>
        <w:t>Cfr.</w:t>
      </w:r>
      <w:r w:rsidRPr="00CD25E5">
        <w:rPr>
          <w:rFonts w:ascii="Verdana" w:hAnsi="Verdana"/>
          <w:sz w:val="16"/>
          <w:szCs w:val="16"/>
        </w:rPr>
        <w:t xml:space="preserve"> </w:t>
      </w:r>
      <w:r w:rsidRPr="00CD25E5">
        <w:rPr>
          <w:rFonts w:ascii="Verdana" w:hAnsi="Verdana"/>
          <w:i/>
          <w:sz w:val="16"/>
          <w:szCs w:val="16"/>
        </w:rPr>
        <w:t xml:space="preserve">Caso </w:t>
      </w:r>
      <w:proofErr w:type="spellStart"/>
      <w:r w:rsidRPr="00CD25E5">
        <w:rPr>
          <w:rFonts w:ascii="Verdana" w:hAnsi="Verdana"/>
          <w:i/>
          <w:sz w:val="16"/>
          <w:szCs w:val="16"/>
        </w:rPr>
        <w:t>Cuscul</w:t>
      </w:r>
      <w:proofErr w:type="spellEnd"/>
      <w:r w:rsidRPr="00CD25E5">
        <w:rPr>
          <w:rFonts w:ascii="Verdana" w:hAnsi="Verdana"/>
          <w:i/>
          <w:sz w:val="16"/>
          <w:szCs w:val="16"/>
        </w:rPr>
        <w:t xml:space="preserve"> Pivaral y otros Vs. Guatemala. Excepción Preliminar, Fondo, Reparaciones y Costas.</w:t>
      </w:r>
      <w:r w:rsidRPr="00CD25E5">
        <w:rPr>
          <w:rFonts w:ascii="Verdana" w:hAnsi="Verdana"/>
          <w:sz w:val="16"/>
          <w:szCs w:val="16"/>
        </w:rPr>
        <w:t xml:space="preserve"> Sentencia de 23 de agosto de 2018. Serie C No. 359. </w:t>
      </w:r>
      <w:r w:rsidRPr="00CD25E5">
        <w:rPr>
          <w:rStyle w:val="Textoennegrita"/>
          <w:rFonts w:ascii="Verdana" w:hAnsi="Verdana"/>
          <w:b w:val="0"/>
          <w:sz w:val="16"/>
          <w:szCs w:val="16"/>
        </w:rPr>
        <w:t>Voto parcialmente disidente del Juez Humberto Antonio Sierra Porto.</w:t>
      </w:r>
    </w:p>
  </w:footnote>
  <w:footnote w:id="5">
    <w:p w14:paraId="2813A481" w14:textId="77777777" w:rsidR="009C3FB2" w:rsidRPr="00CD25E5" w:rsidRDefault="009C3FB2" w:rsidP="00C40754">
      <w:pPr>
        <w:pStyle w:val="Textonotapie"/>
        <w:tabs>
          <w:tab w:val="left" w:pos="567"/>
        </w:tabs>
        <w:spacing w:before="120" w:after="120"/>
        <w:jc w:val="both"/>
        <w:rPr>
          <w:rFonts w:ascii="Verdana" w:hAnsi="Verdana"/>
          <w:b/>
          <w:sz w:val="16"/>
          <w:szCs w:val="16"/>
        </w:rPr>
      </w:pPr>
      <w:r w:rsidRPr="00CD25E5">
        <w:rPr>
          <w:rStyle w:val="Refdenotaalpie"/>
          <w:rFonts w:ascii="Verdana" w:hAnsi="Verdana"/>
          <w:sz w:val="16"/>
          <w:szCs w:val="16"/>
        </w:rPr>
        <w:footnoteRef/>
      </w:r>
      <w:r w:rsidRPr="00CD25E5">
        <w:rPr>
          <w:rFonts w:ascii="Verdana" w:hAnsi="Verdana"/>
          <w:sz w:val="16"/>
          <w:szCs w:val="16"/>
        </w:rPr>
        <w:t xml:space="preserve"> </w:t>
      </w:r>
      <w:r w:rsidRPr="00CD25E5">
        <w:rPr>
          <w:rFonts w:ascii="Verdana" w:hAnsi="Verdana"/>
          <w:sz w:val="16"/>
          <w:szCs w:val="16"/>
        </w:rPr>
        <w:tab/>
      </w:r>
      <w:r w:rsidRPr="00CD25E5">
        <w:rPr>
          <w:rFonts w:ascii="Verdana" w:hAnsi="Verdana"/>
          <w:i/>
          <w:sz w:val="16"/>
          <w:szCs w:val="16"/>
        </w:rPr>
        <w:t>Cfr. Caso Muelle Flores Vs. Perú. Excepciones Preliminares, Fondo, Reparaciones y Costas.</w:t>
      </w:r>
      <w:r w:rsidRPr="00CD25E5">
        <w:rPr>
          <w:rFonts w:ascii="Verdana" w:hAnsi="Verdana"/>
          <w:sz w:val="16"/>
          <w:szCs w:val="16"/>
        </w:rPr>
        <w:t xml:space="preserve"> Sentencia de 6 de marzo de 2019. Serie C No. 375. </w:t>
      </w:r>
      <w:r w:rsidRPr="00CD25E5">
        <w:rPr>
          <w:rStyle w:val="Textoennegrita"/>
          <w:rFonts w:ascii="Verdana" w:hAnsi="Verdana"/>
          <w:b w:val="0"/>
          <w:sz w:val="16"/>
          <w:szCs w:val="16"/>
        </w:rPr>
        <w:t>Voto parcialmente disidente del Juez Humberto Antonio Sierra Porto.</w:t>
      </w:r>
    </w:p>
  </w:footnote>
  <w:footnote w:id="6">
    <w:p w14:paraId="5A41131B" w14:textId="77777777" w:rsidR="009C3FB2" w:rsidRPr="00CD25E5" w:rsidRDefault="009C3FB2" w:rsidP="00C40754">
      <w:pPr>
        <w:pStyle w:val="Textonotapie"/>
        <w:tabs>
          <w:tab w:val="left" w:pos="567"/>
        </w:tabs>
        <w:spacing w:before="120" w:after="120"/>
        <w:jc w:val="both"/>
        <w:rPr>
          <w:rFonts w:ascii="Verdana" w:hAnsi="Verdana"/>
          <w:b/>
          <w:sz w:val="16"/>
          <w:szCs w:val="16"/>
        </w:rPr>
      </w:pPr>
      <w:r w:rsidRPr="00CD25E5">
        <w:rPr>
          <w:rStyle w:val="Refdenotaalpie"/>
          <w:rFonts w:ascii="Verdana" w:hAnsi="Verdana"/>
          <w:sz w:val="16"/>
          <w:szCs w:val="16"/>
        </w:rPr>
        <w:footnoteRef/>
      </w:r>
      <w:r w:rsidRPr="00CD25E5">
        <w:rPr>
          <w:rFonts w:ascii="Verdana" w:hAnsi="Verdana"/>
          <w:sz w:val="16"/>
          <w:szCs w:val="16"/>
        </w:rPr>
        <w:t xml:space="preserve"> </w:t>
      </w:r>
      <w:r w:rsidRPr="00CD25E5">
        <w:rPr>
          <w:rFonts w:ascii="Verdana" w:hAnsi="Verdana"/>
          <w:sz w:val="16"/>
          <w:szCs w:val="16"/>
        </w:rPr>
        <w:tab/>
      </w:r>
      <w:r w:rsidRPr="00CD25E5">
        <w:rPr>
          <w:rFonts w:ascii="Verdana" w:hAnsi="Verdana"/>
          <w:i/>
          <w:sz w:val="16"/>
          <w:szCs w:val="16"/>
        </w:rPr>
        <w:t>Cfr. Caso Asociación Nacional de Cesantes y Jubilados de la Superintendencia Nacional de Administración Tributaria (ANCEJUB-SUNAT) Vs. Perú. Excepciones Preliminares, Fondo, Reparaciones y Costas.</w:t>
      </w:r>
      <w:r w:rsidRPr="00CD25E5">
        <w:rPr>
          <w:rFonts w:ascii="Verdana" w:hAnsi="Verdana"/>
          <w:sz w:val="16"/>
          <w:szCs w:val="16"/>
        </w:rPr>
        <w:t xml:space="preserve"> Sentencia de 21 de noviembre de 2019. Serie C No. 394. </w:t>
      </w:r>
      <w:r w:rsidRPr="00CD25E5">
        <w:rPr>
          <w:rStyle w:val="Textoennegrita"/>
          <w:rFonts w:ascii="Verdana" w:hAnsi="Verdana"/>
          <w:b w:val="0"/>
          <w:sz w:val="16"/>
          <w:szCs w:val="16"/>
        </w:rPr>
        <w:t>Voto parcialmente disidente del Juez Humberto Antonio Sierra Porto.</w:t>
      </w:r>
    </w:p>
  </w:footnote>
  <w:footnote w:id="7">
    <w:p w14:paraId="0D86CC80" w14:textId="77777777" w:rsidR="009C3FB2" w:rsidRPr="00CD25E5" w:rsidRDefault="009C3FB2" w:rsidP="00C40754">
      <w:pPr>
        <w:pStyle w:val="Textonotapie"/>
        <w:tabs>
          <w:tab w:val="left" w:pos="567"/>
        </w:tabs>
        <w:spacing w:before="120" w:after="120"/>
        <w:jc w:val="both"/>
        <w:rPr>
          <w:rFonts w:ascii="Verdana" w:hAnsi="Verdana"/>
          <w:b/>
          <w:sz w:val="16"/>
          <w:szCs w:val="16"/>
        </w:rPr>
      </w:pPr>
      <w:r w:rsidRPr="00CD25E5">
        <w:rPr>
          <w:rStyle w:val="Refdenotaalpie"/>
          <w:rFonts w:ascii="Verdana" w:hAnsi="Verdana"/>
          <w:sz w:val="16"/>
          <w:szCs w:val="16"/>
        </w:rPr>
        <w:footnoteRef/>
      </w:r>
      <w:r w:rsidRPr="00CD25E5">
        <w:rPr>
          <w:rFonts w:ascii="Verdana" w:hAnsi="Verdana"/>
          <w:sz w:val="16"/>
          <w:szCs w:val="16"/>
        </w:rPr>
        <w:t xml:space="preserve"> </w:t>
      </w:r>
      <w:r w:rsidRPr="00CD25E5">
        <w:rPr>
          <w:rFonts w:ascii="Verdana" w:hAnsi="Verdana"/>
          <w:sz w:val="16"/>
          <w:szCs w:val="16"/>
        </w:rPr>
        <w:tab/>
      </w:r>
      <w:r w:rsidRPr="00CD25E5">
        <w:rPr>
          <w:rFonts w:ascii="Verdana" w:hAnsi="Verdana"/>
          <w:i/>
          <w:sz w:val="16"/>
          <w:szCs w:val="16"/>
        </w:rPr>
        <w:t>Cfr. Caso Hernández Vs. Argentina. Excepción Preliminar, Fondo, Reparaciones y Costas.</w:t>
      </w:r>
      <w:r w:rsidRPr="00CD25E5">
        <w:rPr>
          <w:rFonts w:ascii="Verdana" w:hAnsi="Verdana"/>
          <w:sz w:val="16"/>
          <w:szCs w:val="16"/>
        </w:rPr>
        <w:t xml:space="preserve"> Sentencia de 22 de noviembre de 2019. Serie C No. 395. </w:t>
      </w:r>
      <w:r w:rsidRPr="00CD25E5">
        <w:rPr>
          <w:rStyle w:val="Textoennegrita"/>
          <w:rFonts w:ascii="Verdana" w:hAnsi="Verdana"/>
          <w:b w:val="0"/>
          <w:sz w:val="16"/>
          <w:szCs w:val="16"/>
        </w:rPr>
        <w:t>Voto parcialmente disidente del Juez Humberto Antonio Sierra Porto.</w:t>
      </w:r>
    </w:p>
  </w:footnote>
  <w:footnote w:id="8">
    <w:p w14:paraId="0B3354F1" w14:textId="77777777" w:rsidR="009C3FB2" w:rsidRPr="00CD25E5" w:rsidRDefault="009C3FB2" w:rsidP="00C40754">
      <w:pPr>
        <w:pStyle w:val="Textonotapie"/>
        <w:tabs>
          <w:tab w:val="left" w:pos="567"/>
        </w:tabs>
        <w:spacing w:before="120" w:after="120"/>
        <w:jc w:val="both"/>
        <w:rPr>
          <w:rFonts w:ascii="Verdana" w:hAnsi="Verdana"/>
          <w:b/>
          <w:sz w:val="16"/>
          <w:szCs w:val="16"/>
        </w:rPr>
      </w:pPr>
      <w:r w:rsidRPr="00CD25E5">
        <w:rPr>
          <w:rStyle w:val="Refdenotaalpie"/>
          <w:rFonts w:ascii="Verdana" w:hAnsi="Verdana"/>
          <w:sz w:val="16"/>
          <w:szCs w:val="16"/>
        </w:rPr>
        <w:footnoteRef/>
      </w:r>
      <w:r w:rsidRPr="00CD25E5">
        <w:rPr>
          <w:rFonts w:ascii="Verdana" w:hAnsi="Verdana"/>
          <w:sz w:val="16"/>
          <w:szCs w:val="16"/>
        </w:rPr>
        <w:t xml:space="preserve">  </w:t>
      </w:r>
      <w:r w:rsidRPr="00CD25E5">
        <w:rPr>
          <w:rFonts w:ascii="Verdana" w:hAnsi="Verdana"/>
          <w:sz w:val="16"/>
          <w:szCs w:val="16"/>
        </w:rPr>
        <w:tab/>
      </w:r>
      <w:r w:rsidRPr="00CD25E5">
        <w:rPr>
          <w:rFonts w:ascii="Verdana" w:hAnsi="Verdana"/>
          <w:i/>
          <w:sz w:val="16"/>
          <w:szCs w:val="16"/>
        </w:rPr>
        <w:t xml:space="preserve">Cfr. Caso Comunidades Indígenas Miembros de la Asociación </w:t>
      </w:r>
      <w:proofErr w:type="spellStart"/>
      <w:r w:rsidRPr="00CD25E5">
        <w:rPr>
          <w:rFonts w:ascii="Verdana" w:hAnsi="Verdana"/>
          <w:i/>
          <w:sz w:val="16"/>
          <w:szCs w:val="16"/>
        </w:rPr>
        <w:t>Lhaka</w:t>
      </w:r>
      <w:proofErr w:type="spellEnd"/>
      <w:r w:rsidRPr="00CD25E5">
        <w:rPr>
          <w:rFonts w:ascii="Verdana" w:hAnsi="Verdana"/>
          <w:i/>
          <w:sz w:val="16"/>
          <w:szCs w:val="16"/>
        </w:rPr>
        <w:t xml:space="preserve"> </w:t>
      </w:r>
      <w:proofErr w:type="spellStart"/>
      <w:r w:rsidRPr="00CD25E5">
        <w:rPr>
          <w:rFonts w:ascii="Verdana" w:hAnsi="Verdana"/>
          <w:i/>
          <w:sz w:val="16"/>
          <w:szCs w:val="16"/>
        </w:rPr>
        <w:t>Honhat</w:t>
      </w:r>
      <w:proofErr w:type="spellEnd"/>
      <w:r w:rsidRPr="00CD25E5">
        <w:rPr>
          <w:rFonts w:ascii="Verdana" w:hAnsi="Verdana"/>
          <w:i/>
          <w:sz w:val="16"/>
          <w:szCs w:val="16"/>
        </w:rPr>
        <w:t xml:space="preserve"> (Nuestra Tierra) Vs. Argentina. Fondo, Reparaciones y Costas. </w:t>
      </w:r>
      <w:r w:rsidRPr="00CD25E5">
        <w:rPr>
          <w:rFonts w:ascii="Verdana" w:hAnsi="Verdana"/>
          <w:sz w:val="16"/>
          <w:szCs w:val="16"/>
        </w:rPr>
        <w:t xml:space="preserve">Sentencia de 6 de febrero de 2020. Serie C No. 400. </w:t>
      </w:r>
      <w:r w:rsidRPr="00CD25E5">
        <w:rPr>
          <w:rStyle w:val="Textoennegrita"/>
          <w:rFonts w:ascii="Verdana" w:hAnsi="Verdana"/>
          <w:b w:val="0"/>
          <w:sz w:val="16"/>
          <w:szCs w:val="16"/>
        </w:rPr>
        <w:t>Voto parcialmente disidente del Juez Humberto Antonio Sierra Porto.</w:t>
      </w:r>
    </w:p>
  </w:footnote>
  <w:footnote w:id="9">
    <w:p w14:paraId="2AC13845" w14:textId="77777777" w:rsidR="004F009B" w:rsidRPr="00CD25E5" w:rsidRDefault="004F009B" w:rsidP="00C40754">
      <w:pPr>
        <w:pStyle w:val="Textonotapie"/>
        <w:tabs>
          <w:tab w:val="left" w:pos="567"/>
        </w:tabs>
        <w:spacing w:before="120" w:after="120"/>
        <w:jc w:val="both"/>
        <w:rPr>
          <w:rFonts w:ascii="Verdana" w:hAnsi="Verdana"/>
          <w:b/>
          <w:bCs/>
          <w:sz w:val="16"/>
          <w:szCs w:val="16"/>
          <w:shd w:val="clear" w:color="auto" w:fill="FFFFFF"/>
        </w:rPr>
      </w:pPr>
      <w:r w:rsidRPr="00CD25E5">
        <w:rPr>
          <w:rStyle w:val="Refdenotaalpie"/>
          <w:rFonts w:ascii="Verdana" w:hAnsi="Verdana"/>
          <w:sz w:val="16"/>
          <w:szCs w:val="16"/>
        </w:rPr>
        <w:footnoteRef/>
      </w:r>
      <w:r w:rsidRPr="00CD25E5">
        <w:rPr>
          <w:rFonts w:ascii="Verdana" w:hAnsi="Verdana"/>
          <w:sz w:val="16"/>
          <w:szCs w:val="16"/>
        </w:rPr>
        <w:tab/>
      </w:r>
      <w:r w:rsidRPr="00CD25E5">
        <w:rPr>
          <w:rFonts w:ascii="Verdana" w:hAnsi="Verdana"/>
          <w:i/>
          <w:sz w:val="16"/>
          <w:szCs w:val="16"/>
        </w:rPr>
        <w:t xml:space="preserve">Cfr. </w:t>
      </w:r>
      <w:r w:rsidRPr="00CD25E5">
        <w:rPr>
          <w:rStyle w:val="Textoennegrita"/>
          <w:rFonts w:ascii="Verdana" w:hAnsi="Verdana"/>
          <w:b w:val="0"/>
          <w:i/>
          <w:sz w:val="16"/>
          <w:szCs w:val="16"/>
        </w:rPr>
        <w:t xml:space="preserve">Caso Gonzales </w:t>
      </w:r>
      <w:proofErr w:type="spellStart"/>
      <w:r w:rsidRPr="00CD25E5">
        <w:rPr>
          <w:rStyle w:val="Textoennegrita"/>
          <w:rFonts w:ascii="Verdana" w:hAnsi="Verdana"/>
          <w:b w:val="0"/>
          <w:i/>
          <w:sz w:val="16"/>
          <w:szCs w:val="16"/>
        </w:rPr>
        <w:t>Lluy</w:t>
      </w:r>
      <w:proofErr w:type="spellEnd"/>
      <w:r w:rsidRPr="00CD25E5">
        <w:rPr>
          <w:rStyle w:val="Textoennegrita"/>
          <w:rFonts w:ascii="Verdana" w:hAnsi="Verdana"/>
          <w:b w:val="0"/>
          <w:i/>
          <w:sz w:val="16"/>
          <w:szCs w:val="16"/>
        </w:rPr>
        <w:t xml:space="preserve"> y otros Vs. Ecuador.</w:t>
      </w:r>
      <w:r w:rsidRPr="00CD25E5">
        <w:rPr>
          <w:rStyle w:val="Textoennegrita"/>
          <w:rFonts w:ascii="Verdana" w:hAnsi="Verdana"/>
          <w:i/>
          <w:sz w:val="16"/>
          <w:szCs w:val="16"/>
        </w:rPr>
        <w:t xml:space="preserve"> </w:t>
      </w:r>
      <w:r w:rsidRPr="00CD25E5">
        <w:rPr>
          <w:rFonts w:ascii="Verdana" w:hAnsi="Verdana"/>
          <w:bCs/>
          <w:i/>
          <w:sz w:val="16"/>
          <w:szCs w:val="16"/>
        </w:rPr>
        <w:t xml:space="preserve">Excepciones Preliminares, Fondo, Reparaciones y Costas. </w:t>
      </w:r>
      <w:r w:rsidRPr="00CD25E5">
        <w:rPr>
          <w:rFonts w:ascii="Verdana" w:hAnsi="Verdana"/>
          <w:bCs/>
          <w:sz w:val="16"/>
          <w:szCs w:val="16"/>
        </w:rPr>
        <w:t>Sentencia de</w:t>
      </w:r>
      <w:r w:rsidRPr="00CD25E5">
        <w:rPr>
          <w:rFonts w:ascii="Verdana" w:hAnsi="Verdana"/>
          <w:bCs/>
          <w:sz w:val="16"/>
          <w:szCs w:val="16"/>
          <w:shd w:val="clear" w:color="auto" w:fill="FFFFFF"/>
        </w:rPr>
        <w:t xml:space="preserve"> </w:t>
      </w:r>
      <w:r w:rsidRPr="00CD25E5">
        <w:rPr>
          <w:rFonts w:ascii="Verdana" w:hAnsi="Verdana"/>
          <w:bCs/>
          <w:sz w:val="16"/>
          <w:szCs w:val="16"/>
        </w:rPr>
        <w:t>1 de septiembre de 2015. Serie C No. 298.</w:t>
      </w:r>
      <w:r w:rsidRPr="00CD25E5">
        <w:rPr>
          <w:rStyle w:val="Textoennegrita"/>
          <w:rFonts w:ascii="Verdana" w:hAnsi="Verdana"/>
          <w:sz w:val="16"/>
          <w:szCs w:val="16"/>
        </w:rPr>
        <w:t xml:space="preserve"> </w:t>
      </w:r>
      <w:r w:rsidRPr="00CD25E5">
        <w:rPr>
          <w:rStyle w:val="Textoennegrita"/>
          <w:rFonts w:ascii="Verdana" w:hAnsi="Verdana"/>
          <w:b w:val="0"/>
          <w:sz w:val="16"/>
          <w:szCs w:val="16"/>
        </w:rPr>
        <w:t>Voto concurrente del Juez Humberto Antonio Sierra Porto.</w:t>
      </w:r>
      <w:r w:rsidRPr="00CD25E5">
        <w:rPr>
          <w:rStyle w:val="Textoennegrita"/>
          <w:rFonts w:ascii="Verdana" w:hAnsi="Verdana"/>
          <w:b w:val="0"/>
          <w:sz w:val="16"/>
          <w:szCs w:val="16"/>
          <w:shd w:val="clear" w:color="auto" w:fill="FFFFFF"/>
        </w:rPr>
        <w:t xml:space="preserve"> </w:t>
      </w:r>
    </w:p>
  </w:footnote>
  <w:footnote w:id="10">
    <w:p w14:paraId="51986BD5" w14:textId="77777777" w:rsidR="004F009B" w:rsidRPr="00CD25E5" w:rsidRDefault="004F009B" w:rsidP="00C40754">
      <w:pPr>
        <w:tabs>
          <w:tab w:val="left" w:pos="567"/>
        </w:tabs>
        <w:spacing w:before="120" w:after="120" w:line="240" w:lineRule="auto"/>
        <w:jc w:val="both"/>
        <w:rPr>
          <w:rFonts w:ascii="Verdana" w:hAnsi="Verdana"/>
          <w:bCs/>
          <w:sz w:val="16"/>
          <w:szCs w:val="16"/>
          <w:shd w:val="clear" w:color="auto" w:fill="FFFFFF"/>
        </w:rPr>
      </w:pPr>
      <w:r w:rsidRPr="00CD25E5">
        <w:rPr>
          <w:rStyle w:val="Refdenotaalpie"/>
          <w:rFonts w:ascii="Verdana" w:hAnsi="Verdana"/>
          <w:sz w:val="16"/>
          <w:szCs w:val="16"/>
        </w:rPr>
        <w:footnoteRef/>
      </w:r>
      <w:r w:rsidRPr="00CD25E5">
        <w:rPr>
          <w:rFonts w:ascii="Verdana" w:hAnsi="Verdana"/>
          <w:sz w:val="16"/>
          <w:szCs w:val="16"/>
        </w:rPr>
        <w:tab/>
      </w:r>
      <w:r w:rsidRPr="00CD25E5">
        <w:rPr>
          <w:rFonts w:ascii="Verdana" w:hAnsi="Verdana"/>
          <w:i/>
          <w:sz w:val="16"/>
          <w:szCs w:val="16"/>
        </w:rPr>
        <w:t xml:space="preserve">Cfr. </w:t>
      </w:r>
      <w:r w:rsidRPr="00CD25E5">
        <w:rPr>
          <w:rStyle w:val="Textoennegrita"/>
          <w:rFonts w:ascii="Verdana" w:hAnsi="Verdana" w:cs="Verdana"/>
          <w:b w:val="0"/>
          <w:i/>
          <w:sz w:val="16"/>
          <w:szCs w:val="16"/>
        </w:rPr>
        <w:t>Caso Poblete Vilches y otros Vs. Chile. Fondo, Reparaciones y Costas</w:t>
      </w:r>
      <w:r w:rsidRPr="00CD25E5">
        <w:rPr>
          <w:rStyle w:val="Textoennegrita"/>
          <w:rFonts w:ascii="Verdana" w:hAnsi="Verdana" w:cs="Verdana"/>
          <w:b w:val="0"/>
          <w:sz w:val="16"/>
          <w:szCs w:val="16"/>
        </w:rPr>
        <w:t>. Sentencia de 8 de marzo de 2018. Serie C No. 349.</w:t>
      </w:r>
      <w:r w:rsidRPr="00CD25E5">
        <w:rPr>
          <w:rStyle w:val="Textoennegrita"/>
          <w:rFonts w:ascii="Verdana" w:hAnsi="Verdana"/>
          <w:b w:val="0"/>
          <w:sz w:val="16"/>
          <w:szCs w:val="16"/>
        </w:rPr>
        <w:t xml:space="preserve"> Voto Concurrente del Juez Humberto Antonio Sierra Porto.</w:t>
      </w:r>
    </w:p>
  </w:footnote>
  <w:footnote w:id="11">
    <w:p w14:paraId="59B4785D" w14:textId="1B625E65" w:rsidR="005603E8" w:rsidRPr="00CD25E5" w:rsidRDefault="005603E8" w:rsidP="00C40754">
      <w:pPr>
        <w:pStyle w:val="Textonotapie"/>
        <w:tabs>
          <w:tab w:val="left" w:pos="567"/>
        </w:tabs>
        <w:spacing w:before="120" w:after="120"/>
        <w:jc w:val="both"/>
        <w:rPr>
          <w:rFonts w:ascii="Verdana" w:hAnsi="Verdana"/>
          <w:sz w:val="16"/>
          <w:szCs w:val="16"/>
        </w:rPr>
      </w:pPr>
      <w:r w:rsidRPr="00CD25E5">
        <w:rPr>
          <w:rStyle w:val="Refdenotaalpie"/>
          <w:rFonts w:ascii="Verdana" w:hAnsi="Verdana"/>
          <w:sz w:val="16"/>
          <w:szCs w:val="16"/>
        </w:rPr>
        <w:footnoteRef/>
      </w:r>
      <w:r w:rsidRPr="00CD25E5">
        <w:rPr>
          <w:rFonts w:ascii="Verdana" w:hAnsi="Verdana"/>
          <w:sz w:val="16"/>
          <w:szCs w:val="16"/>
        </w:rPr>
        <w:t xml:space="preserve"> </w:t>
      </w:r>
      <w:r w:rsidR="004F009B" w:rsidRPr="00CD25E5">
        <w:rPr>
          <w:rFonts w:ascii="Verdana" w:hAnsi="Verdana"/>
          <w:sz w:val="16"/>
          <w:szCs w:val="16"/>
        </w:rPr>
        <w:tab/>
      </w:r>
      <w:r w:rsidR="004F009B" w:rsidRPr="00CD25E5">
        <w:rPr>
          <w:rFonts w:ascii="Verdana" w:hAnsi="Verdana"/>
          <w:i/>
          <w:sz w:val="16"/>
          <w:szCs w:val="16"/>
        </w:rPr>
        <w:t>Cfr</w:t>
      </w:r>
      <w:r w:rsidR="00CC5F8A" w:rsidRPr="00CD25E5">
        <w:rPr>
          <w:rFonts w:ascii="Verdana" w:hAnsi="Verdana"/>
          <w:i/>
          <w:sz w:val="16"/>
          <w:szCs w:val="16"/>
        </w:rPr>
        <w:t>.</w:t>
      </w:r>
      <w:r w:rsidR="00CC5F8A" w:rsidRPr="00CD25E5">
        <w:rPr>
          <w:rFonts w:ascii="Verdana" w:hAnsi="Verdana"/>
          <w:sz w:val="16"/>
          <w:szCs w:val="16"/>
        </w:rPr>
        <w:t xml:space="preserve"> </w:t>
      </w:r>
      <w:r w:rsidR="00CC5F8A" w:rsidRPr="00CD25E5">
        <w:rPr>
          <w:rFonts w:ascii="Verdana" w:hAnsi="Verdana"/>
          <w:i/>
          <w:sz w:val="16"/>
          <w:szCs w:val="16"/>
        </w:rPr>
        <w:t>Caso Muelle Flores Vs. Perú. Excepciones Preliminares, Fondo, Reparaciones y Costas.</w:t>
      </w:r>
      <w:r w:rsidR="00CC5F8A" w:rsidRPr="00CD25E5">
        <w:rPr>
          <w:rFonts w:ascii="Verdana" w:hAnsi="Verdana"/>
          <w:sz w:val="16"/>
          <w:szCs w:val="16"/>
        </w:rPr>
        <w:t xml:space="preserve"> Sentencia de 6 de marzo de 2019. Serie C No. 375. </w:t>
      </w:r>
      <w:r w:rsidR="004F009B" w:rsidRPr="00CD25E5">
        <w:rPr>
          <w:rStyle w:val="Textoennegrita"/>
          <w:rFonts w:ascii="Verdana" w:hAnsi="Verdana"/>
          <w:b w:val="0"/>
          <w:sz w:val="16"/>
          <w:szCs w:val="16"/>
        </w:rPr>
        <w:t>Voto parcialmente disidente del Jue</w:t>
      </w:r>
      <w:r w:rsidR="00CF01C0" w:rsidRPr="00CD25E5">
        <w:rPr>
          <w:rStyle w:val="Textoennegrita"/>
          <w:rFonts w:ascii="Verdana" w:hAnsi="Verdana"/>
          <w:b w:val="0"/>
          <w:sz w:val="16"/>
          <w:szCs w:val="16"/>
        </w:rPr>
        <w:t>z Humberto Antonio S</w:t>
      </w:r>
      <w:r w:rsidR="00985C06" w:rsidRPr="00CD25E5">
        <w:rPr>
          <w:rStyle w:val="Textoennegrita"/>
          <w:rFonts w:ascii="Verdana" w:hAnsi="Verdana"/>
          <w:b w:val="0"/>
          <w:sz w:val="16"/>
          <w:szCs w:val="16"/>
        </w:rPr>
        <w:t>ierra Porto, pá</w:t>
      </w:r>
      <w:r w:rsidR="00CF01C0" w:rsidRPr="00CD25E5">
        <w:rPr>
          <w:rStyle w:val="Textoennegrita"/>
          <w:rFonts w:ascii="Verdana" w:hAnsi="Verdana"/>
          <w:b w:val="0"/>
          <w:sz w:val="16"/>
          <w:szCs w:val="16"/>
        </w:rPr>
        <w:t>rr. 13.</w:t>
      </w:r>
    </w:p>
  </w:footnote>
  <w:footnote w:id="12">
    <w:p w14:paraId="0181560F" w14:textId="680C9D63" w:rsidR="00CC5F8A" w:rsidRPr="00CD25E5" w:rsidRDefault="00CC5F8A" w:rsidP="00C40754">
      <w:pPr>
        <w:pStyle w:val="Textonotapie"/>
        <w:tabs>
          <w:tab w:val="left" w:pos="567"/>
        </w:tabs>
        <w:spacing w:before="120" w:after="120"/>
        <w:jc w:val="both"/>
        <w:rPr>
          <w:rFonts w:ascii="Verdana" w:hAnsi="Verdana"/>
          <w:sz w:val="16"/>
          <w:szCs w:val="16"/>
        </w:rPr>
      </w:pPr>
      <w:r w:rsidRPr="00CD25E5">
        <w:rPr>
          <w:rStyle w:val="Refdenotaalpie"/>
          <w:rFonts w:ascii="Verdana" w:hAnsi="Verdana"/>
          <w:sz w:val="16"/>
          <w:szCs w:val="16"/>
        </w:rPr>
        <w:footnoteRef/>
      </w:r>
      <w:r w:rsidRPr="00CD25E5">
        <w:rPr>
          <w:rFonts w:ascii="Verdana" w:hAnsi="Verdana"/>
          <w:sz w:val="16"/>
          <w:szCs w:val="16"/>
        </w:rPr>
        <w:t xml:space="preserve"> </w:t>
      </w:r>
      <w:r w:rsidR="00C40754" w:rsidRPr="00CD25E5">
        <w:rPr>
          <w:rFonts w:ascii="Verdana" w:hAnsi="Verdana"/>
          <w:sz w:val="16"/>
          <w:szCs w:val="16"/>
        </w:rPr>
        <w:tab/>
      </w:r>
      <w:r w:rsidR="00985C06" w:rsidRPr="00CD25E5">
        <w:rPr>
          <w:rFonts w:ascii="Verdana" w:hAnsi="Verdana"/>
          <w:i/>
          <w:sz w:val="16"/>
          <w:szCs w:val="16"/>
        </w:rPr>
        <w:t>Cfr.</w:t>
      </w:r>
      <w:r w:rsidR="00016EEC" w:rsidRPr="00CD25E5">
        <w:rPr>
          <w:rFonts w:ascii="Verdana" w:hAnsi="Verdana"/>
          <w:sz w:val="16"/>
          <w:szCs w:val="16"/>
        </w:rPr>
        <w:t xml:space="preserve"> </w:t>
      </w:r>
      <w:r w:rsidR="00016EEC" w:rsidRPr="00CD25E5">
        <w:rPr>
          <w:rFonts w:ascii="Verdana" w:hAnsi="Verdana"/>
          <w:i/>
          <w:sz w:val="16"/>
          <w:szCs w:val="16"/>
        </w:rPr>
        <w:t xml:space="preserve">Caso </w:t>
      </w:r>
      <w:proofErr w:type="spellStart"/>
      <w:r w:rsidR="00016EEC" w:rsidRPr="00CD25E5">
        <w:rPr>
          <w:rFonts w:ascii="Verdana" w:hAnsi="Verdana"/>
          <w:i/>
          <w:sz w:val="16"/>
          <w:szCs w:val="16"/>
        </w:rPr>
        <w:t>Cuscul</w:t>
      </w:r>
      <w:proofErr w:type="spellEnd"/>
      <w:r w:rsidR="00016EEC" w:rsidRPr="00CD25E5">
        <w:rPr>
          <w:rFonts w:ascii="Verdana" w:hAnsi="Verdana"/>
          <w:i/>
          <w:sz w:val="16"/>
          <w:szCs w:val="16"/>
        </w:rPr>
        <w:t xml:space="preserve"> Pivaral y otros Vs. Guatemala. Excepción Preliminar, Fondo, Reparaciones y Costas.</w:t>
      </w:r>
      <w:r w:rsidR="00016EEC" w:rsidRPr="00CD25E5">
        <w:rPr>
          <w:rFonts w:ascii="Verdana" w:hAnsi="Verdana"/>
          <w:sz w:val="16"/>
          <w:szCs w:val="16"/>
        </w:rPr>
        <w:t xml:space="preserve"> Sentencia de 23 de a</w:t>
      </w:r>
      <w:r w:rsidR="00985C06" w:rsidRPr="00CD25E5">
        <w:rPr>
          <w:rFonts w:ascii="Verdana" w:hAnsi="Verdana"/>
          <w:sz w:val="16"/>
          <w:szCs w:val="16"/>
        </w:rPr>
        <w:t xml:space="preserve">gosto de 2018. Serie C No. 359. </w:t>
      </w:r>
      <w:r w:rsidR="00985C06" w:rsidRPr="00CD25E5">
        <w:rPr>
          <w:rStyle w:val="Textoennegrita"/>
          <w:rFonts w:ascii="Verdana" w:hAnsi="Verdana"/>
          <w:b w:val="0"/>
          <w:sz w:val="16"/>
          <w:szCs w:val="16"/>
        </w:rPr>
        <w:t>Voto parcialmente disidente del Juez Humberto Antonio Sierra Porto, párr. 10.</w:t>
      </w:r>
    </w:p>
  </w:footnote>
  <w:footnote w:id="13">
    <w:p w14:paraId="68AA5CEC" w14:textId="3716F785" w:rsidR="00082EE1" w:rsidRPr="00CD25E5" w:rsidRDefault="00082EE1" w:rsidP="00C40754">
      <w:pPr>
        <w:pStyle w:val="Textonotapie"/>
        <w:tabs>
          <w:tab w:val="left" w:pos="567"/>
        </w:tabs>
        <w:spacing w:before="120" w:after="120"/>
        <w:jc w:val="both"/>
        <w:rPr>
          <w:rFonts w:ascii="Verdana" w:hAnsi="Verdana"/>
          <w:sz w:val="16"/>
          <w:szCs w:val="16"/>
        </w:rPr>
      </w:pPr>
      <w:r w:rsidRPr="00CD25E5">
        <w:rPr>
          <w:rStyle w:val="Refdenotaalpie"/>
          <w:rFonts w:ascii="Verdana" w:hAnsi="Verdana"/>
          <w:sz w:val="16"/>
          <w:szCs w:val="16"/>
        </w:rPr>
        <w:footnoteRef/>
      </w:r>
      <w:r w:rsidRPr="00CD25E5">
        <w:rPr>
          <w:rFonts w:ascii="Verdana" w:hAnsi="Verdana"/>
          <w:sz w:val="16"/>
          <w:szCs w:val="16"/>
        </w:rPr>
        <w:t xml:space="preserve"> </w:t>
      </w:r>
      <w:r w:rsidR="00985C06" w:rsidRPr="00CD25E5">
        <w:rPr>
          <w:rFonts w:ascii="Verdana" w:hAnsi="Verdana"/>
          <w:sz w:val="16"/>
          <w:szCs w:val="16"/>
        </w:rPr>
        <w:tab/>
      </w:r>
      <w:r w:rsidR="00985C06" w:rsidRPr="00CD25E5">
        <w:rPr>
          <w:rFonts w:ascii="Verdana" w:hAnsi="Verdana"/>
          <w:i/>
          <w:sz w:val="16"/>
          <w:szCs w:val="16"/>
        </w:rPr>
        <w:t>Cfr</w:t>
      </w:r>
      <w:r w:rsidR="007637F8" w:rsidRPr="00CD25E5">
        <w:rPr>
          <w:rFonts w:ascii="Verdana" w:hAnsi="Verdana"/>
          <w:i/>
          <w:sz w:val="16"/>
          <w:szCs w:val="16"/>
        </w:rPr>
        <w:t>.</w:t>
      </w:r>
      <w:r w:rsidR="007637F8" w:rsidRPr="00CD25E5">
        <w:rPr>
          <w:rFonts w:ascii="Verdana" w:hAnsi="Verdana"/>
          <w:sz w:val="16"/>
          <w:szCs w:val="16"/>
        </w:rPr>
        <w:t xml:space="preserve"> </w:t>
      </w:r>
      <w:r w:rsidR="007637F8" w:rsidRPr="00CD25E5">
        <w:rPr>
          <w:rFonts w:ascii="Verdana" w:hAnsi="Verdana"/>
          <w:i/>
          <w:sz w:val="16"/>
          <w:szCs w:val="16"/>
        </w:rPr>
        <w:t>Caso Poblete Vilches y otros Vs. Chile. Fondo, Reparaciones y Costas.</w:t>
      </w:r>
      <w:r w:rsidR="007637F8" w:rsidRPr="00CD25E5">
        <w:rPr>
          <w:rFonts w:ascii="Verdana" w:hAnsi="Verdana"/>
          <w:sz w:val="16"/>
          <w:szCs w:val="16"/>
        </w:rPr>
        <w:t xml:space="preserve"> Sentencia de 8 de marzo de 2018. Serie C No. 349. </w:t>
      </w:r>
      <w:r w:rsidR="00985C06" w:rsidRPr="00CD25E5">
        <w:rPr>
          <w:rStyle w:val="Textoennegrita"/>
          <w:rFonts w:ascii="Verdana" w:hAnsi="Verdana"/>
          <w:b w:val="0"/>
          <w:sz w:val="16"/>
          <w:szCs w:val="16"/>
        </w:rPr>
        <w:t>Voto concurrente del Juez Humberto Antonio Sierra Porto, párr. 3.</w:t>
      </w:r>
    </w:p>
  </w:footnote>
  <w:footnote w:id="14">
    <w:p w14:paraId="47D130BD" w14:textId="353690B0" w:rsidR="00C228E0" w:rsidRPr="00CD25E5" w:rsidRDefault="00C228E0" w:rsidP="00C40754">
      <w:pPr>
        <w:pStyle w:val="Textonotapie"/>
        <w:tabs>
          <w:tab w:val="left" w:pos="567"/>
        </w:tabs>
        <w:spacing w:before="120" w:after="120"/>
        <w:jc w:val="both"/>
        <w:rPr>
          <w:rFonts w:ascii="Verdana" w:hAnsi="Verdana"/>
          <w:sz w:val="16"/>
          <w:szCs w:val="16"/>
        </w:rPr>
      </w:pPr>
      <w:r w:rsidRPr="00CD25E5">
        <w:rPr>
          <w:rStyle w:val="Refdenotaalpie"/>
          <w:rFonts w:ascii="Verdana" w:hAnsi="Verdana"/>
          <w:sz w:val="16"/>
          <w:szCs w:val="16"/>
        </w:rPr>
        <w:footnoteRef/>
      </w:r>
      <w:r w:rsidRPr="00CD25E5">
        <w:rPr>
          <w:rFonts w:ascii="Verdana" w:hAnsi="Verdana"/>
          <w:sz w:val="16"/>
          <w:szCs w:val="16"/>
        </w:rPr>
        <w:t xml:space="preserve"> </w:t>
      </w:r>
      <w:r w:rsidR="00985C06" w:rsidRPr="00CD25E5">
        <w:rPr>
          <w:rFonts w:ascii="Verdana" w:hAnsi="Verdana"/>
          <w:sz w:val="16"/>
          <w:szCs w:val="16"/>
        </w:rPr>
        <w:tab/>
      </w:r>
      <w:r w:rsidR="00985C06" w:rsidRPr="00CD25E5">
        <w:rPr>
          <w:rFonts w:ascii="Verdana" w:hAnsi="Verdana"/>
          <w:i/>
          <w:sz w:val="16"/>
          <w:szCs w:val="16"/>
        </w:rPr>
        <w:t>Cfr</w:t>
      </w:r>
      <w:r w:rsidR="001627E0" w:rsidRPr="00CD25E5">
        <w:rPr>
          <w:rFonts w:ascii="Verdana" w:hAnsi="Verdana"/>
          <w:i/>
          <w:sz w:val="16"/>
          <w:szCs w:val="16"/>
        </w:rPr>
        <w:t>.</w:t>
      </w:r>
      <w:r w:rsidR="001627E0" w:rsidRPr="00CD25E5">
        <w:rPr>
          <w:rFonts w:ascii="Verdana" w:hAnsi="Verdana"/>
          <w:sz w:val="16"/>
          <w:szCs w:val="16"/>
        </w:rPr>
        <w:t xml:space="preserve"> </w:t>
      </w:r>
      <w:r w:rsidR="001627E0" w:rsidRPr="00CD25E5">
        <w:rPr>
          <w:rFonts w:ascii="Verdana" w:hAnsi="Verdana"/>
          <w:i/>
          <w:sz w:val="16"/>
          <w:szCs w:val="16"/>
        </w:rPr>
        <w:t xml:space="preserve">Caso Trabajadores Cesados de Petroperú y otros Vs. Perú. Excepciones Preliminares, Fondo, Reparaciones y Costas. </w:t>
      </w:r>
      <w:r w:rsidR="001627E0" w:rsidRPr="00CD25E5">
        <w:rPr>
          <w:rFonts w:ascii="Verdana" w:hAnsi="Verdana"/>
          <w:sz w:val="16"/>
          <w:szCs w:val="16"/>
        </w:rPr>
        <w:t xml:space="preserve">Sentencia de 23 de noviembre de 2017. Serie C No. 344. </w:t>
      </w:r>
      <w:r w:rsidR="00985C06" w:rsidRPr="00CD25E5">
        <w:rPr>
          <w:rStyle w:val="Textoennegrita"/>
          <w:rFonts w:ascii="Verdana" w:hAnsi="Verdana"/>
          <w:b w:val="0"/>
          <w:sz w:val="16"/>
          <w:szCs w:val="16"/>
        </w:rPr>
        <w:t>Voto parcialmente disidente del Juez Humberto Antonio Sierra Porto, párr. 23.</w:t>
      </w:r>
    </w:p>
  </w:footnote>
  <w:footnote w:id="15">
    <w:p w14:paraId="47F6BBEF" w14:textId="6E3FB22F" w:rsidR="00985C06" w:rsidRPr="00CD25E5" w:rsidRDefault="00985C06" w:rsidP="00C40754">
      <w:pPr>
        <w:pStyle w:val="Textonotapie"/>
        <w:tabs>
          <w:tab w:val="left" w:pos="567"/>
        </w:tabs>
        <w:spacing w:before="120" w:after="120"/>
        <w:jc w:val="both"/>
        <w:rPr>
          <w:rFonts w:ascii="Verdana" w:hAnsi="Verdana"/>
          <w:sz w:val="16"/>
          <w:szCs w:val="16"/>
          <w:lang w:val="es-ES"/>
        </w:rPr>
      </w:pPr>
      <w:r w:rsidRPr="00CD25E5">
        <w:rPr>
          <w:rStyle w:val="Refdenotaalpie"/>
          <w:rFonts w:ascii="Verdana" w:hAnsi="Verdana"/>
          <w:sz w:val="16"/>
          <w:szCs w:val="16"/>
        </w:rPr>
        <w:footnoteRef/>
      </w:r>
      <w:r w:rsidRPr="00CD25E5">
        <w:rPr>
          <w:rFonts w:ascii="Verdana" w:hAnsi="Verdana"/>
          <w:sz w:val="16"/>
          <w:szCs w:val="16"/>
        </w:rPr>
        <w:t xml:space="preserve"> </w:t>
      </w:r>
      <w:r w:rsidRPr="00CD25E5">
        <w:rPr>
          <w:rFonts w:ascii="Verdana" w:hAnsi="Verdana"/>
          <w:sz w:val="16"/>
          <w:szCs w:val="16"/>
        </w:rPr>
        <w:tab/>
      </w:r>
      <w:r w:rsidRPr="00CD25E5">
        <w:rPr>
          <w:rFonts w:ascii="Verdana" w:hAnsi="Verdana"/>
          <w:i/>
          <w:sz w:val="16"/>
          <w:szCs w:val="16"/>
        </w:rPr>
        <w:t>Cfr. Caso Asociación Nacional de Cesantes y Jubilados de la Superintendencia Nacional de Administración Tributaria (ANCEJUB-SUNAT) Vs. Perú. Excepciones Preliminares, Fondo, Reparaciones y Costas.</w:t>
      </w:r>
      <w:r w:rsidRPr="00CD25E5">
        <w:rPr>
          <w:rFonts w:ascii="Verdana" w:hAnsi="Verdana"/>
          <w:sz w:val="16"/>
          <w:szCs w:val="16"/>
        </w:rPr>
        <w:t xml:space="preserve"> Sentencia de 21 de noviembre de 2019. Serie C No. 394. </w:t>
      </w:r>
      <w:r w:rsidRPr="00CD25E5">
        <w:rPr>
          <w:rStyle w:val="Textoennegrita"/>
          <w:rFonts w:ascii="Verdana" w:hAnsi="Verdana"/>
          <w:b w:val="0"/>
          <w:sz w:val="16"/>
          <w:szCs w:val="16"/>
        </w:rPr>
        <w:t>Voto parcialmente disidente del Juez Humberto Antonio Sierra Porto, párr. 6.</w:t>
      </w:r>
    </w:p>
  </w:footnote>
  <w:footnote w:id="16">
    <w:p w14:paraId="4D910C02" w14:textId="0F51DA47" w:rsidR="00985C06" w:rsidRPr="00CD25E5" w:rsidRDefault="00985C06" w:rsidP="00C40754">
      <w:pPr>
        <w:pStyle w:val="Textonotapie"/>
        <w:tabs>
          <w:tab w:val="left" w:pos="567"/>
        </w:tabs>
        <w:spacing w:before="120" w:after="120"/>
        <w:jc w:val="both"/>
        <w:rPr>
          <w:rFonts w:ascii="Verdana" w:hAnsi="Verdana"/>
          <w:b/>
          <w:sz w:val="16"/>
          <w:szCs w:val="16"/>
        </w:rPr>
      </w:pPr>
      <w:r w:rsidRPr="00CD25E5">
        <w:rPr>
          <w:rStyle w:val="Refdenotaalpie"/>
          <w:rFonts w:ascii="Verdana" w:hAnsi="Verdana"/>
          <w:sz w:val="16"/>
          <w:szCs w:val="16"/>
        </w:rPr>
        <w:footnoteRef/>
      </w:r>
      <w:r w:rsidRPr="00CD25E5">
        <w:rPr>
          <w:rFonts w:ascii="Verdana" w:hAnsi="Verdana"/>
          <w:sz w:val="16"/>
          <w:szCs w:val="16"/>
        </w:rPr>
        <w:t xml:space="preserve"> </w:t>
      </w:r>
      <w:r w:rsidRPr="00CD25E5">
        <w:rPr>
          <w:rFonts w:ascii="Verdana" w:hAnsi="Verdana"/>
          <w:sz w:val="16"/>
          <w:szCs w:val="16"/>
        </w:rPr>
        <w:tab/>
      </w:r>
      <w:r w:rsidRPr="00CD25E5">
        <w:rPr>
          <w:rFonts w:ascii="Verdana" w:hAnsi="Verdana"/>
          <w:i/>
          <w:sz w:val="16"/>
          <w:szCs w:val="16"/>
        </w:rPr>
        <w:t>Cfr. Caso Hernández Vs. Argentina. Excepción Preliminar, Fondo, Reparaciones y Costas.</w:t>
      </w:r>
      <w:r w:rsidRPr="00CD25E5">
        <w:rPr>
          <w:rFonts w:ascii="Verdana" w:hAnsi="Verdana"/>
          <w:sz w:val="16"/>
          <w:szCs w:val="16"/>
        </w:rPr>
        <w:t xml:space="preserve"> Sentencia de 22 de noviembre de 2019. Serie C No. 395. </w:t>
      </w:r>
      <w:r w:rsidRPr="00CD25E5">
        <w:rPr>
          <w:rStyle w:val="Textoennegrita"/>
          <w:rFonts w:ascii="Verdana" w:hAnsi="Verdana"/>
          <w:b w:val="0"/>
          <w:sz w:val="16"/>
          <w:szCs w:val="16"/>
        </w:rPr>
        <w:t>Voto parcialmente disidente del Juez Humberto Antonio Sierra Porto, párr. 17.</w:t>
      </w:r>
    </w:p>
  </w:footnote>
  <w:footnote w:id="17">
    <w:p w14:paraId="1D85AA43" w14:textId="1F3F04E4" w:rsidR="007941C8" w:rsidRPr="00CD25E5" w:rsidRDefault="007941C8" w:rsidP="00C40754">
      <w:pPr>
        <w:pStyle w:val="Textonotapie"/>
        <w:tabs>
          <w:tab w:val="left" w:pos="567"/>
        </w:tabs>
        <w:spacing w:before="120" w:after="120"/>
        <w:jc w:val="both"/>
        <w:rPr>
          <w:rFonts w:ascii="Verdana" w:hAnsi="Verdana"/>
          <w:sz w:val="16"/>
          <w:szCs w:val="16"/>
          <w:lang w:val="es-ES_tradnl"/>
        </w:rPr>
      </w:pPr>
      <w:r w:rsidRPr="00CD25E5">
        <w:rPr>
          <w:rStyle w:val="Refdenotaalpie"/>
          <w:rFonts w:ascii="Verdana" w:hAnsi="Verdana"/>
          <w:sz w:val="16"/>
          <w:szCs w:val="16"/>
        </w:rPr>
        <w:footnoteRef/>
      </w:r>
      <w:r w:rsidRPr="00CD25E5">
        <w:rPr>
          <w:rFonts w:ascii="Verdana" w:hAnsi="Verdana"/>
          <w:sz w:val="16"/>
          <w:szCs w:val="16"/>
        </w:rPr>
        <w:t xml:space="preserve"> </w:t>
      </w:r>
      <w:r w:rsidR="00985C06" w:rsidRPr="00CD25E5">
        <w:rPr>
          <w:rFonts w:ascii="Verdana" w:hAnsi="Verdana"/>
          <w:sz w:val="16"/>
          <w:szCs w:val="16"/>
        </w:rPr>
        <w:tab/>
      </w:r>
      <w:r w:rsidR="00985C06" w:rsidRPr="00CD25E5">
        <w:rPr>
          <w:rFonts w:ascii="Verdana" w:hAnsi="Verdana"/>
          <w:i/>
          <w:sz w:val="16"/>
          <w:szCs w:val="16"/>
        </w:rPr>
        <w:t>Cfr.</w:t>
      </w:r>
      <w:r w:rsidR="001E1D92" w:rsidRPr="00CD25E5">
        <w:rPr>
          <w:rFonts w:ascii="Verdana" w:hAnsi="Verdana"/>
          <w:sz w:val="16"/>
          <w:szCs w:val="16"/>
        </w:rPr>
        <w:t xml:space="preserve"> </w:t>
      </w:r>
      <w:r w:rsidR="001E1D92" w:rsidRPr="00CD25E5">
        <w:rPr>
          <w:rFonts w:ascii="Verdana" w:hAnsi="Verdana"/>
          <w:i/>
          <w:sz w:val="16"/>
          <w:szCs w:val="16"/>
        </w:rPr>
        <w:t xml:space="preserve">Caso López </w:t>
      </w:r>
      <w:proofErr w:type="spellStart"/>
      <w:r w:rsidR="001E1D92" w:rsidRPr="00CD25E5">
        <w:rPr>
          <w:rFonts w:ascii="Verdana" w:hAnsi="Verdana"/>
          <w:i/>
          <w:sz w:val="16"/>
          <w:szCs w:val="16"/>
        </w:rPr>
        <w:t>Lone</w:t>
      </w:r>
      <w:proofErr w:type="spellEnd"/>
      <w:r w:rsidR="001E1D92" w:rsidRPr="00CD25E5">
        <w:rPr>
          <w:rFonts w:ascii="Verdana" w:hAnsi="Verdana"/>
          <w:i/>
          <w:sz w:val="16"/>
          <w:szCs w:val="16"/>
        </w:rPr>
        <w:t xml:space="preserve"> y otros Vs. Honduras. Excepción Preliminar, Fondo, Reparaciones y Costas.</w:t>
      </w:r>
      <w:r w:rsidR="001E1D92" w:rsidRPr="00CD25E5">
        <w:rPr>
          <w:rFonts w:ascii="Verdana" w:hAnsi="Verdana"/>
          <w:sz w:val="16"/>
          <w:szCs w:val="16"/>
        </w:rPr>
        <w:t xml:space="preserve"> Sentencia de 5 de octubre de 2015. Serie C No. 302, y </w:t>
      </w:r>
      <w:r w:rsidR="001E1D92" w:rsidRPr="00CD25E5">
        <w:rPr>
          <w:rFonts w:ascii="Verdana" w:hAnsi="Verdana"/>
          <w:i/>
          <w:sz w:val="16"/>
          <w:szCs w:val="16"/>
        </w:rPr>
        <w:t>Caso Rico Vs. Argentina. Excepción Preliminar y Fondo. Sentencia de 2 de septiembre de 2019.</w:t>
      </w:r>
      <w:r w:rsidR="001E1D92" w:rsidRPr="00CD25E5">
        <w:rPr>
          <w:rFonts w:ascii="Verdana" w:hAnsi="Verdana"/>
          <w:sz w:val="16"/>
          <w:szCs w:val="16"/>
        </w:rPr>
        <w:t xml:space="preserve"> Serie C No. 383. </w:t>
      </w:r>
    </w:p>
  </w:footnote>
  <w:footnote w:id="18">
    <w:p w14:paraId="45315238" w14:textId="637BB6A6" w:rsidR="00F15DBE" w:rsidRPr="00CD25E5" w:rsidRDefault="00F15DBE" w:rsidP="00C40754">
      <w:pPr>
        <w:pStyle w:val="Textonotapie"/>
        <w:tabs>
          <w:tab w:val="left" w:pos="567"/>
        </w:tabs>
        <w:spacing w:before="120" w:after="120"/>
        <w:jc w:val="both"/>
        <w:rPr>
          <w:rFonts w:ascii="Verdana" w:hAnsi="Verdana"/>
          <w:sz w:val="16"/>
          <w:szCs w:val="16"/>
          <w:lang w:val="es-ES_tradnl"/>
        </w:rPr>
      </w:pPr>
      <w:r w:rsidRPr="00CD25E5">
        <w:rPr>
          <w:rStyle w:val="Refdenotaalpie"/>
          <w:rFonts w:ascii="Verdana" w:hAnsi="Verdana"/>
          <w:sz w:val="16"/>
          <w:szCs w:val="16"/>
        </w:rPr>
        <w:footnoteRef/>
      </w:r>
      <w:r w:rsidRPr="00CD25E5">
        <w:rPr>
          <w:rFonts w:ascii="Verdana" w:hAnsi="Verdana"/>
          <w:sz w:val="16"/>
          <w:szCs w:val="16"/>
        </w:rPr>
        <w:t xml:space="preserve"> </w:t>
      </w:r>
      <w:r w:rsidR="00985C06" w:rsidRPr="00CD25E5">
        <w:rPr>
          <w:rFonts w:ascii="Verdana" w:hAnsi="Verdana"/>
          <w:sz w:val="16"/>
          <w:szCs w:val="16"/>
        </w:rPr>
        <w:tab/>
      </w:r>
      <w:r w:rsidR="00985C06" w:rsidRPr="00CD25E5">
        <w:rPr>
          <w:rFonts w:ascii="Verdana" w:hAnsi="Verdana"/>
          <w:i/>
          <w:sz w:val="16"/>
          <w:szCs w:val="16"/>
        </w:rPr>
        <w:t>Cfr</w:t>
      </w:r>
      <w:r w:rsidR="00292B6A" w:rsidRPr="00CD25E5">
        <w:rPr>
          <w:rFonts w:ascii="Verdana" w:hAnsi="Verdana"/>
          <w:i/>
          <w:sz w:val="16"/>
          <w:szCs w:val="16"/>
        </w:rPr>
        <w:t>.</w:t>
      </w:r>
      <w:r w:rsidR="00292B6A" w:rsidRPr="00CD25E5">
        <w:rPr>
          <w:rFonts w:ascii="Verdana" w:hAnsi="Verdana"/>
          <w:sz w:val="16"/>
          <w:szCs w:val="16"/>
        </w:rPr>
        <w:t xml:space="preserve"> </w:t>
      </w:r>
      <w:r w:rsidR="00292B6A" w:rsidRPr="00CD25E5">
        <w:rPr>
          <w:rFonts w:ascii="Verdana" w:hAnsi="Verdana"/>
          <w:i/>
          <w:sz w:val="16"/>
          <w:szCs w:val="16"/>
        </w:rPr>
        <w:t xml:space="preserve">Caso Casa Nina vs. Perú. </w:t>
      </w:r>
      <w:r w:rsidR="00CC3640" w:rsidRPr="00CD25E5">
        <w:rPr>
          <w:rFonts w:ascii="Verdana" w:hAnsi="Verdana"/>
          <w:i/>
          <w:sz w:val="16"/>
          <w:szCs w:val="16"/>
        </w:rPr>
        <w:t xml:space="preserve"> </w:t>
      </w:r>
      <w:r w:rsidR="00292B6A" w:rsidRPr="00CD25E5">
        <w:rPr>
          <w:rFonts w:ascii="Verdana" w:hAnsi="Verdana"/>
          <w:i/>
          <w:sz w:val="16"/>
          <w:szCs w:val="16"/>
        </w:rPr>
        <w:t>Excepción Preliminar, Fondo, Reparaciones y Costas.</w:t>
      </w:r>
      <w:r w:rsidR="00292B6A" w:rsidRPr="00CD25E5">
        <w:rPr>
          <w:rFonts w:ascii="Verdana" w:hAnsi="Verdana"/>
          <w:sz w:val="16"/>
          <w:szCs w:val="16"/>
        </w:rPr>
        <w:t xml:space="preserve"> Sentencia de 24 de noviembre de 2020. Serie C No.</w:t>
      </w:r>
      <w:r w:rsidR="00AE4CDE" w:rsidRPr="00CD25E5">
        <w:rPr>
          <w:rFonts w:ascii="Verdana" w:hAnsi="Verdana"/>
          <w:sz w:val="16"/>
          <w:szCs w:val="16"/>
        </w:rPr>
        <w:t xml:space="preserve"> 41</w:t>
      </w:r>
      <w:r w:rsidR="00AE4212" w:rsidRPr="00CD25E5">
        <w:rPr>
          <w:rFonts w:ascii="Verdana" w:hAnsi="Verdana"/>
          <w:sz w:val="16"/>
          <w:szCs w:val="16"/>
        </w:rPr>
        <w:t>9</w:t>
      </w:r>
      <w:r w:rsidR="00AE4CDE" w:rsidRPr="00CD25E5">
        <w:rPr>
          <w:rFonts w:ascii="Verdana" w:hAnsi="Verdana"/>
          <w:sz w:val="16"/>
          <w:szCs w:val="16"/>
        </w:rPr>
        <w:t>, párr</w:t>
      </w:r>
      <w:r w:rsidR="00CC3640" w:rsidRPr="00CD25E5">
        <w:rPr>
          <w:rFonts w:ascii="Verdana" w:hAnsi="Verdana"/>
          <w:sz w:val="16"/>
          <w:szCs w:val="16"/>
        </w:rPr>
        <w:t>.</w:t>
      </w:r>
      <w:r w:rsidR="002261E4" w:rsidRPr="00CD25E5">
        <w:rPr>
          <w:rFonts w:ascii="Verdana" w:hAnsi="Verdana"/>
          <w:sz w:val="16"/>
          <w:szCs w:val="16"/>
        </w:rPr>
        <w:t xml:space="preserve"> </w:t>
      </w:r>
      <w:r w:rsidR="007941C8" w:rsidRPr="00CD25E5">
        <w:rPr>
          <w:rFonts w:ascii="Verdana" w:hAnsi="Verdana"/>
          <w:sz w:val="16"/>
          <w:szCs w:val="16"/>
        </w:rPr>
        <w:t>8</w:t>
      </w:r>
      <w:r w:rsidR="00AE4212" w:rsidRPr="00CD25E5">
        <w:rPr>
          <w:rFonts w:ascii="Verdana" w:hAnsi="Verdana"/>
          <w:sz w:val="16"/>
          <w:szCs w:val="16"/>
        </w:rPr>
        <w:t>0</w:t>
      </w:r>
      <w:r w:rsidR="007941C8" w:rsidRPr="00CD25E5">
        <w:rPr>
          <w:rFonts w:ascii="Verdana" w:hAnsi="Verdana"/>
          <w:sz w:val="16"/>
          <w:szCs w:val="16"/>
        </w:rPr>
        <w:t xml:space="preserve">. </w:t>
      </w:r>
    </w:p>
  </w:footnote>
  <w:footnote w:id="19">
    <w:p w14:paraId="242B3B08" w14:textId="5C785AFE" w:rsidR="00A64234" w:rsidRPr="00CD25E5" w:rsidRDefault="00A64234" w:rsidP="00C40754">
      <w:pPr>
        <w:pStyle w:val="Textonotapie"/>
        <w:tabs>
          <w:tab w:val="left" w:pos="567"/>
        </w:tabs>
        <w:spacing w:before="120" w:after="120"/>
        <w:jc w:val="both"/>
        <w:rPr>
          <w:rFonts w:ascii="Verdana" w:hAnsi="Verdana"/>
          <w:sz w:val="16"/>
          <w:szCs w:val="16"/>
          <w:lang w:val="es-ES_tradnl"/>
        </w:rPr>
      </w:pPr>
      <w:r w:rsidRPr="00CD25E5">
        <w:rPr>
          <w:rStyle w:val="Refdenotaalpie"/>
          <w:rFonts w:ascii="Verdana" w:hAnsi="Verdana"/>
          <w:sz w:val="16"/>
          <w:szCs w:val="16"/>
        </w:rPr>
        <w:footnoteRef/>
      </w:r>
      <w:r w:rsidRPr="00CD25E5">
        <w:rPr>
          <w:rFonts w:ascii="Verdana" w:hAnsi="Verdana"/>
          <w:sz w:val="16"/>
          <w:szCs w:val="16"/>
        </w:rPr>
        <w:t xml:space="preserve"> </w:t>
      </w:r>
      <w:r w:rsidR="00985C06" w:rsidRPr="00CD25E5">
        <w:rPr>
          <w:rFonts w:ascii="Verdana" w:hAnsi="Verdana"/>
          <w:sz w:val="16"/>
          <w:szCs w:val="16"/>
        </w:rPr>
        <w:tab/>
      </w:r>
      <w:r w:rsidR="00985C06" w:rsidRPr="00CD25E5">
        <w:rPr>
          <w:rFonts w:ascii="Verdana" w:hAnsi="Verdana"/>
          <w:i/>
          <w:sz w:val="16"/>
          <w:szCs w:val="16"/>
        </w:rPr>
        <w:t>Cfr</w:t>
      </w:r>
      <w:r w:rsidRPr="00CD25E5">
        <w:rPr>
          <w:rFonts w:ascii="Verdana" w:hAnsi="Verdana"/>
          <w:i/>
          <w:sz w:val="16"/>
          <w:szCs w:val="16"/>
        </w:rPr>
        <w:t>.</w:t>
      </w:r>
      <w:r w:rsidRPr="00CD25E5">
        <w:rPr>
          <w:rFonts w:ascii="Verdana" w:hAnsi="Verdana"/>
          <w:sz w:val="16"/>
          <w:szCs w:val="16"/>
        </w:rPr>
        <w:t xml:space="preserve"> </w:t>
      </w:r>
      <w:r w:rsidRPr="00CD25E5">
        <w:rPr>
          <w:rFonts w:ascii="Verdana" w:hAnsi="Verdana"/>
          <w:i/>
          <w:sz w:val="16"/>
          <w:szCs w:val="16"/>
        </w:rPr>
        <w:t>Caso López Mendoza Vs. Venezuela. Fondo, Reparaciones y Costas.</w:t>
      </w:r>
      <w:r w:rsidRPr="00CD25E5">
        <w:rPr>
          <w:rFonts w:ascii="Verdana" w:hAnsi="Verdana"/>
          <w:sz w:val="16"/>
          <w:szCs w:val="16"/>
        </w:rPr>
        <w:t xml:space="preserve"> Sentencia de 1 de septiembre de 2011.</w:t>
      </w:r>
      <w:r w:rsidR="00AE4212" w:rsidRPr="00CD25E5">
        <w:rPr>
          <w:rFonts w:ascii="Verdana" w:hAnsi="Verdana"/>
          <w:sz w:val="16"/>
          <w:szCs w:val="16"/>
        </w:rPr>
        <w:t xml:space="preserve"> </w:t>
      </w:r>
      <w:r w:rsidRPr="00CD25E5">
        <w:rPr>
          <w:rFonts w:ascii="Verdana" w:hAnsi="Verdana"/>
          <w:sz w:val="16"/>
          <w:szCs w:val="16"/>
        </w:rPr>
        <w:t>Serie C No. 233, párr. 107.</w:t>
      </w:r>
    </w:p>
  </w:footnote>
  <w:footnote w:id="20">
    <w:p w14:paraId="298462A5" w14:textId="1E0F5DAB" w:rsidR="00A64234" w:rsidRPr="00CD25E5" w:rsidRDefault="00A64234" w:rsidP="00C40754">
      <w:pPr>
        <w:pStyle w:val="Textonotapie"/>
        <w:tabs>
          <w:tab w:val="left" w:pos="567"/>
        </w:tabs>
        <w:spacing w:before="120" w:after="120"/>
        <w:jc w:val="both"/>
        <w:rPr>
          <w:rFonts w:ascii="Verdana" w:hAnsi="Verdana"/>
          <w:sz w:val="16"/>
          <w:szCs w:val="16"/>
          <w:lang w:val="es-ES_tradnl"/>
        </w:rPr>
      </w:pPr>
      <w:r w:rsidRPr="00CD25E5">
        <w:rPr>
          <w:rStyle w:val="Refdenotaalpie"/>
          <w:rFonts w:ascii="Verdana" w:hAnsi="Verdana"/>
          <w:sz w:val="16"/>
          <w:szCs w:val="16"/>
        </w:rPr>
        <w:footnoteRef/>
      </w:r>
      <w:r w:rsidRPr="00CD25E5">
        <w:rPr>
          <w:rFonts w:ascii="Verdana" w:hAnsi="Verdana"/>
          <w:sz w:val="16"/>
          <w:szCs w:val="16"/>
        </w:rPr>
        <w:t xml:space="preserve"> </w:t>
      </w:r>
      <w:r w:rsidR="00985C06" w:rsidRPr="00CD25E5">
        <w:rPr>
          <w:rFonts w:ascii="Verdana" w:hAnsi="Verdana"/>
          <w:sz w:val="16"/>
          <w:szCs w:val="16"/>
        </w:rPr>
        <w:tab/>
      </w:r>
      <w:r w:rsidR="00985C06" w:rsidRPr="00CD25E5">
        <w:rPr>
          <w:rFonts w:ascii="Verdana" w:hAnsi="Verdana"/>
          <w:i/>
          <w:sz w:val="16"/>
          <w:szCs w:val="16"/>
        </w:rPr>
        <w:t>Cfr</w:t>
      </w:r>
      <w:r w:rsidRPr="00CD25E5">
        <w:rPr>
          <w:rFonts w:ascii="Verdana" w:hAnsi="Verdana"/>
          <w:i/>
          <w:sz w:val="16"/>
          <w:szCs w:val="16"/>
        </w:rPr>
        <w:t>.</w:t>
      </w:r>
      <w:r w:rsidRPr="00CD25E5">
        <w:rPr>
          <w:rFonts w:ascii="Verdana" w:hAnsi="Verdana"/>
          <w:sz w:val="16"/>
          <w:szCs w:val="16"/>
        </w:rPr>
        <w:t xml:space="preserve"> </w:t>
      </w:r>
      <w:r w:rsidRPr="00CD25E5">
        <w:rPr>
          <w:rFonts w:ascii="Verdana" w:hAnsi="Verdana"/>
          <w:i/>
          <w:sz w:val="16"/>
          <w:szCs w:val="16"/>
        </w:rPr>
        <w:t>Caso Petro Urrego Vs. Colombia. Excepciones Preliminares, Fondo, Reparaciones y Costas.</w:t>
      </w:r>
      <w:r w:rsidRPr="00CD25E5">
        <w:rPr>
          <w:rFonts w:ascii="Verdana" w:hAnsi="Verdana"/>
          <w:sz w:val="16"/>
          <w:szCs w:val="16"/>
        </w:rPr>
        <w:t xml:space="preserve"> Sentencia de 8 de julio de 2020. Serie C No. 406</w:t>
      </w:r>
      <w:r w:rsidR="00AE4212" w:rsidRPr="00CD25E5">
        <w:rPr>
          <w:rFonts w:ascii="Verdana" w:hAnsi="Verdana"/>
          <w:sz w:val="16"/>
          <w:szCs w:val="16"/>
        </w:rPr>
        <w:t>, párr.</w:t>
      </w:r>
      <w:r w:rsidRPr="00CD25E5">
        <w:rPr>
          <w:rFonts w:ascii="Verdana" w:hAnsi="Verdana"/>
          <w:sz w:val="16"/>
          <w:szCs w:val="16"/>
        </w:rPr>
        <w:t xml:space="preserve"> 96. </w:t>
      </w:r>
    </w:p>
  </w:footnote>
  <w:footnote w:id="21">
    <w:p w14:paraId="5D466C56" w14:textId="4E891BFF" w:rsidR="00AE4212" w:rsidRPr="00CD25E5" w:rsidRDefault="00A64234" w:rsidP="00C40754">
      <w:pPr>
        <w:pStyle w:val="Textonotapie"/>
        <w:tabs>
          <w:tab w:val="left" w:pos="567"/>
        </w:tabs>
        <w:spacing w:before="120" w:after="120"/>
        <w:jc w:val="both"/>
        <w:rPr>
          <w:rFonts w:ascii="Verdana" w:hAnsi="Verdana"/>
          <w:sz w:val="16"/>
          <w:szCs w:val="16"/>
        </w:rPr>
      </w:pPr>
      <w:r w:rsidRPr="00CD25E5">
        <w:rPr>
          <w:rStyle w:val="Refdenotaalpie"/>
          <w:rFonts w:ascii="Verdana" w:hAnsi="Verdana"/>
          <w:sz w:val="16"/>
          <w:szCs w:val="16"/>
        </w:rPr>
        <w:footnoteRef/>
      </w:r>
      <w:r w:rsidR="00AE4212" w:rsidRPr="00CD25E5">
        <w:rPr>
          <w:rFonts w:ascii="Verdana" w:hAnsi="Verdana"/>
          <w:sz w:val="16"/>
          <w:szCs w:val="16"/>
        </w:rPr>
        <w:t xml:space="preserve"> </w:t>
      </w:r>
      <w:r w:rsidR="00985C06" w:rsidRPr="00CD25E5">
        <w:rPr>
          <w:rFonts w:ascii="Verdana" w:hAnsi="Verdana"/>
          <w:sz w:val="16"/>
          <w:szCs w:val="16"/>
        </w:rPr>
        <w:tab/>
      </w:r>
      <w:r w:rsidR="00AE4212" w:rsidRPr="00CD25E5">
        <w:rPr>
          <w:rFonts w:ascii="Verdana" w:hAnsi="Verdana"/>
          <w:sz w:val="16"/>
          <w:szCs w:val="16"/>
        </w:rPr>
        <w:t xml:space="preserve">Artículo 23. </w:t>
      </w:r>
      <w:r w:rsidRPr="00CD25E5">
        <w:rPr>
          <w:rFonts w:ascii="Verdana" w:hAnsi="Verdana"/>
          <w:sz w:val="16"/>
          <w:szCs w:val="16"/>
        </w:rPr>
        <w:t>Derechos Políticos</w:t>
      </w:r>
      <w:r w:rsidR="00AE4212" w:rsidRPr="00CD25E5">
        <w:rPr>
          <w:rFonts w:ascii="Verdana" w:hAnsi="Verdana"/>
          <w:sz w:val="16"/>
          <w:szCs w:val="16"/>
        </w:rPr>
        <w:t>.</w:t>
      </w:r>
      <w:r w:rsidRPr="00CD25E5">
        <w:rPr>
          <w:rFonts w:ascii="Verdana" w:hAnsi="Verdana"/>
          <w:sz w:val="16"/>
          <w:szCs w:val="16"/>
        </w:rPr>
        <w:t xml:space="preserve"> </w:t>
      </w:r>
    </w:p>
    <w:p w14:paraId="56C92B62" w14:textId="39C88942" w:rsidR="00A64234" w:rsidRPr="00CD25E5" w:rsidRDefault="00A64234" w:rsidP="00C40754">
      <w:pPr>
        <w:pStyle w:val="Textonotapie"/>
        <w:tabs>
          <w:tab w:val="left" w:pos="567"/>
        </w:tabs>
        <w:spacing w:before="120" w:after="120"/>
        <w:jc w:val="both"/>
        <w:rPr>
          <w:rFonts w:ascii="Verdana" w:hAnsi="Verdana"/>
          <w:sz w:val="16"/>
          <w:szCs w:val="16"/>
        </w:rPr>
      </w:pPr>
      <w:r w:rsidRPr="00CD25E5">
        <w:rPr>
          <w:rFonts w:ascii="Verdana" w:hAnsi="Verdana"/>
          <w:sz w:val="16"/>
          <w:szCs w:val="16"/>
        </w:rPr>
        <w:t>1. Todos los ciudadanos deben gozar de los siguientes derechos y oportunidades: a) de participar en la dirección de los asuntos públicos, directamente o por medio de representantes libremente elegidos; b) de votar y ser elegidos en elecciones periódicas auténticas, realizadas por sufragio universal e igual y por voto secreto que garantice la libre expresión de l</w:t>
      </w:r>
      <w:r w:rsidR="00AE4212" w:rsidRPr="00CD25E5">
        <w:rPr>
          <w:rFonts w:ascii="Verdana" w:hAnsi="Verdana"/>
          <w:sz w:val="16"/>
          <w:szCs w:val="16"/>
        </w:rPr>
        <w:t xml:space="preserve">a voluntad de los electores, y </w:t>
      </w:r>
      <w:r w:rsidRPr="00CD25E5">
        <w:rPr>
          <w:rFonts w:ascii="Verdana" w:hAnsi="Verdana"/>
          <w:sz w:val="16"/>
          <w:szCs w:val="16"/>
        </w:rPr>
        <w:t>c) de tener acceso, en condiciones generales de igualdad, a las funciones públicas de su país.</w:t>
      </w:r>
    </w:p>
    <w:p w14:paraId="7E922777" w14:textId="77777777" w:rsidR="00A64234" w:rsidRPr="00C40754" w:rsidRDefault="00A64234" w:rsidP="00C40754">
      <w:pPr>
        <w:pStyle w:val="Textonotapie"/>
        <w:spacing w:before="120" w:after="120"/>
        <w:jc w:val="both"/>
        <w:rPr>
          <w:rFonts w:ascii="Verdana" w:hAnsi="Verdana"/>
          <w:sz w:val="16"/>
          <w:szCs w:val="16"/>
        </w:rPr>
      </w:pPr>
      <w:r w:rsidRPr="00CD25E5">
        <w:rPr>
          <w:rFonts w:ascii="Verdana" w:hAnsi="Verdana"/>
          <w:sz w:val="16"/>
          <w:szCs w:val="16"/>
        </w:rPr>
        <w:t>2. La ley puede reglamentar el ejercicio de los derechos y oportunidades a que se refiere el inciso anterior, exclusivamente por razones de edad, nacionalidad, residencia, idioma, instrucción, capacidad civil o mental, o condena, por juez competente, en proceso penal.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4939CC"/>
    <w:multiLevelType w:val="hybridMultilevel"/>
    <w:tmpl w:val="A86A7CBA"/>
    <w:lvl w:ilvl="0" w:tplc="EBFE0A0A">
      <w:start w:val="1"/>
      <w:numFmt w:val="decimal"/>
      <w:lvlText w:val="%1."/>
      <w:lvlJc w:val="left"/>
      <w:pPr>
        <w:ind w:left="720" w:hanging="360"/>
      </w:pPr>
      <w:rPr>
        <w:rFonts w:cstheme="minorBid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2F5E98"/>
    <w:multiLevelType w:val="hybridMultilevel"/>
    <w:tmpl w:val="F8440636"/>
    <w:lvl w:ilvl="0" w:tplc="040A000F">
      <w:start w:val="1"/>
      <w:numFmt w:val="decimal"/>
      <w:lvlText w:val="%1."/>
      <w:lvlJc w:val="left"/>
      <w:pPr>
        <w:ind w:left="2061" w:hanging="360"/>
      </w:pPr>
      <w:rPr>
        <w:rFonts w:cs="Times New Roman"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1C7E524F"/>
    <w:multiLevelType w:val="hybridMultilevel"/>
    <w:tmpl w:val="291201CA"/>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35EC5C34"/>
    <w:multiLevelType w:val="hybridMultilevel"/>
    <w:tmpl w:val="91F87C02"/>
    <w:lvl w:ilvl="0" w:tplc="BBDA3684">
      <w:start w:val="1"/>
      <w:numFmt w:val="decimal"/>
      <w:lvlText w:val="%1."/>
      <w:lvlJc w:val="left"/>
      <w:pPr>
        <w:ind w:left="3479" w:hanging="360"/>
      </w:pPr>
      <w:rPr>
        <w:rFonts w:ascii="Verdana" w:hAnsi="Verdana" w:hint="default"/>
        <w:b w:val="0"/>
        <w:i w:val="0"/>
        <w:color w:val="auto"/>
        <w:sz w:val="20"/>
        <w:szCs w:val="20"/>
      </w:rPr>
    </w:lvl>
    <w:lvl w:ilvl="1" w:tplc="C23AC0AA">
      <w:start w:val="1"/>
      <w:numFmt w:val="lowerLetter"/>
      <w:lvlText w:val="%2)"/>
      <w:lvlJc w:val="left"/>
      <w:pPr>
        <w:ind w:left="1080" w:hanging="360"/>
      </w:pPr>
      <w:rPr>
        <w:rFonts w:hint="default"/>
        <w:i/>
      </w:rPr>
    </w:lvl>
    <w:lvl w:ilvl="2" w:tplc="0409001B" w:tentative="1">
      <w:start w:val="1"/>
      <w:numFmt w:val="lowerRoman"/>
      <w:lvlText w:val="%3."/>
      <w:lvlJc w:val="right"/>
      <w:pPr>
        <w:ind w:left="1800" w:hanging="180"/>
      </w:pPr>
    </w:lvl>
    <w:lvl w:ilvl="3" w:tplc="140A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F9D3000"/>
    <w:multiLevelType w:val="hybridMultilevel"/>
    <w:tmpl w:val="A1BA084C"/>
    <w:lvl w:ilvl="0" w:tplc="2F5E9760">
      <w:start w:val="1"/>
      <w:numFmt w:val="lowerRoman"/>
      <w:lvlText w:val="%1)"/>
      <w:lvlJc w:val="left"/>
      <w:pPr>
        <w:ind w:left="1440" w:hanging="72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5" w15:restartNumberingAfterBreak="0">
    <w:nsid w:val="40122A5B"/>
    <w:multiLevelType w:val="hybridMultilevel"/>
    <w:tmpl w:val="4210EE66"/>
    <w:lvl w:ilvl="0" w:tplc="140A001B">
      <w:start w:val="1"/>
      <w:numFmt w:val="lowerRoman"/>
      <w:lvlText w:val="%1."/>
      <w:lvlJc w:val="right"/>
      <w:pPr>
        <w:ind w:left="720" w:hanging="360"/>
      </w:pPr>
      <w:rPr>
        <w:rFonts w:hint="default"/>
      </w:r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15:restartNumberingAfterBreak="0">
    <w:nsid w:val="6B6E1BC7"/>
    <w:multiLevelType w:val="hybridMultilevel"/>
    <w:tmpl w:val="EE108B76"/>
    <w:lvl w:ilvl="0" w:tplc="95DE0762">
      <w:start w:val="1"/>
      <w:numFmt w:val="decimal"/>
      <w:lvlText w:val="%1."/>
      <w:lvlJc w:val="left"/>
      <w:pPr>
        <w:ind w:left="360" w:hanging="360"/>
      </w:pPr>
      <w:rPr>
        <w:b/>
      </w:rPr>
    </w:lvl>
    <w:lvl w:ilvl="1" w:tplc="0B981A7E">
      <w:start w:val="1"/>
      <w:numFmt w:val="lowerLetter"/>
      <w:lvlText w:val="%2."/>
      <w:lvlJc w:val="left"/>
      <w:pPr>
        <w:ind w:left="786" w:hanging="360"/>
      </w:pPr>
      <w:rPr>
        <w:b/>
      </w:rPr>
    </w:lvl>
    <w:lvl w:ilvl="2" w:tplc="CE44B6D2">
      <w:numFmt w:val="bullet"/>
      <w:lvlText w:val=""/>
      <w:lvlJc w:val="left"/>
      <w:pPr>
        <w:ind w:left="1980" w:hanging="360"/>
      </w:pPr>
      <w:rPr>
        <w:rFonts w:ascii="Wingdings" w:eastAsiaTheme="minorHAnsi" w:hAnsi="Wingdings" w:cstheme="minorHAnsi" w:hint="default"/>
      </w:rPr>
    </w:lvl>
    <w:lvl w:ilvl="3" w:tplc="C564076E">
      <w:numFmt w:val="bullet"/>
      <w:lvlText w:val="-"/>
      <w:lvlJc w:val="left"/>
      <w:pPr>
        <w:ind w:left="2520" w:hanging="360"/>
      </w:pPr>
      <w:rPr>
        <w:rFonts w:ascii="Calibri" w:eastAsiaTheme="minorHAnsi" w:hAnsi="Calibri" w:cs="Calibri" w:hint="default"/>
      </w:r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705A6F5C"/>
    <w:multiLevelType w:val="hybridMultilevel"/>
    <w:tmpl w:val="1012E60E"/>
    <w:lvl w:ilvl="0" w:tplc="6722D962">
      <w:start w:val="1"/>
      <w:numFmt w:val="decimal"/>
      <w:pStyle w:val="Numberedparagraphs"/>
      <w:lvlText w:val="%1."/>
      <w:lvlJc w:val="left"/>
      <w:pPr>
        <w:tabs>
          <w:tab w:val="num" w:pos="720"/>
        </w:tabs>
        <w:ind w:left="0" w:firstLine="0"/>
      </w:pPr>
      <w:rPr>
        <w:rFonts w:ascii="Verdana" w:hAnsi="Verdana" w:hint="default"/>
        <w:b w:val="0"/>
        <w:i w:val="0"/>
        <w:strike w:val="0"/>
        <w:color w:val="auto"/>
        <w:sz w:val="20"/>
        <w:szCs w:val="20"/>
        <w:lang w:val="es-AR"/>
      </w:rPr>
    </w:lvl>
    <w:lvl w:ilvl="1" w:tplc="5C6C0158">
      <w:start w:val="7"/>
      <w:numFmt w:val="decimal"/>
      <w:lvlText w:val="%2."/>
      <w:lvlJc w:val="left"/>
      <w:pPr>
        <w:ind w:left="2160" w:hanging="360"/>
      </w:pPr>
      <w:rPr>
        <w:rFonts w:hint="default"/>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4"/>
  </w:num>
  <w:num w:numId="3">
    <w:abstractNumId w:val="5"/>
  </w:num>
  <w:num w:numId="4">
    <w:abstractNumId w:val="0"/>
  </w:num>
  <w:num w:numId="5">
    <w:abstractNumId w:val="1"/>
  </w:num>
  <w:num w:numId="6">
    <w:abstractNumId w:val="6"/>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5F77"/>
    <w:rsid w:val="000116B4"/>
    <w:rsid w:val="00014653"/>
    <w:rsid w:val="00015C69"/>
    <w:rsid w:val="00016EEC"/>
    <w:rsid w:val="00022924"/>
    <w:rsid w:val="00024F02"/>
    <w:rsid w:val="00025808"/>
    <w:rsid w:val="00052F42"/>
    <w:rsid w:val="00052FD6"/>
    <w:rsid w:val="00057A45"/>
    <w:rsid w:val="00064BC4"/>
    <w:rsid w:val="00064F96"/>
    <w:rsid w:val="00065CEA"/>
    <w:rsid w:val="00070F9E"/>
    <w:rsid w:val="00082EE1"/>
    <w:rsid w:val="00083232"/>
    <w:rsid w:val="00091262"/>
    <w:rsid w:val="00091E4C"/>
    <w:rsid w:val="000A5AFF"/>
    <w:rsid w:val="000B3E08"/>
    <w:rsid w:val="000B7330"/>
    <w:rsid w:val="001250BC"/>
    <w:rsid w:val="0013458D"/>
    <w:rsid w:val="00145F5E"/>
    <w:rsid w:val="00146103"/>
    <w:rsid w:val="00147117"/>
    <w:rsid w:val="001627E0"/>
    <w:rsid w:val="00165EE7"/>
    <w:rsid w:val="0016775B"/>
    <w:rsid w:val="00192600"/>
    <w:rsid w:val="00196219"/>
    <w:rsid w:val="001A0C62"/>
    <w:rsid w:val="001A583C"/>
    <w:rsid w:val="001A7A3D"/>
    <w:rsid w:val="001B1FDD"/>
    <w:rsid w:val="001E0328"/>
    <w:rsid w:val="001E1D92"/>
    <w:rsid w:val="001E6CEB"/>
    <w:rsid w:val="001F73E2"/>
    <w:rsid w:val="00212067"/>
    <w:rsid w:val="00225091"/>
    <w:rsid w:val="002261E4"/>
    <w:rsid w:val="00227735"/>
    <w:rsid w:val="00231FAF"/>
    <w:rsid w:val="002807D2"/>
    <w:rsid w:val="00292B6A"/>
    <w:rsid w:val="002C09F4"/>
    <w:rsid w:val="002C3823"/>
    <w:rsid w:val="002D0F79"/>
    <w:rsid w:val="002D0F81"/>
    <w:rsid w:val="002D634B"/>
    <w:rsid w:val="002F47DC"/>
    <w:rsid w:val="002F48DB"/>
    <w:rsid w:val="00300980"/>
    <w:rsid w:val="00310349"/>
    <w:rsid w:val="00324729"/>
    <w:rsid w:val="00330E47"/>
    <w:rsid w:val="00331426"/>
    <w:rsid w:val="003528C8"/>
    <w:rsid w:val="003650E1"/>
    <w:rsid w:val="003813AF"/>
    <w:rsid w:val="003828A4"/>
    <w:rsid w:val="00384F9F"/>
    <w:rsid w:val="0038727F"/>
    <w:rsid w:val="00395F77"/>
    <w:rsid w:val="003969DF"/>
    <w:rsid w:val="003978EA"/>
    <w:rsid w:val="003B037F"/>
    <w:rsid w:val="003B452B"/>
    <w:rsid w:val="003B72A1"/>
    <w:rsid w:val="003C77D5"/>
    <w:rsid w:val="003D0AF7"/>
    <w:rsid w:val="003D1D6F"/>
    <w:rsid w:val="003D2876"/>
    <w:rsid w:val="003D3D6D"/>
    <w:rsid w:val="003E1602"/>
    <w:rsid w:val="00405A7F"/>
    <w:rsid w:val="00431ADA"/>
    <w:rsid w:val="00437D4D"/>
    <w:rsid w:val="00440960"/>
    <w:rsid w:val="00482CB6"/>
    <w:rsid w:val="004833B0"/>
    <w:rsid w:val="0048443F"/>
    <w:rsid w:val="00491DD7"/>
    <w:rsid w:val="004A2960"/>
    <w:rsid w:val="004A59BD"/>
    <w:rsid w:val="004A6C57"/>
    <w:rsid w:val="004B36F2"/>
    <w:rsid w:val="004D2C28"/>
    <w:rsid w:val="004D47C1"/>
    <w:rsid w:val="004F009B"/>
    <w:rsid w:val="0050154B"/>
    <w:rsid w:val="005053B3"/>
    <w:rsid w:val="00513C77"/>
    <w:rsid w:val="005233B6"/>
    <w:rsid w:val="00532D9D"/>
    <w:rsid w:val="0053471B"/>
    <w:rsid w:val="00534C86"/>
    <w:rsid w:val="00545D3A"/>
    <w:rsid w:val="00553B3A"/>
    <w:rsid w:val="0055713C"/>
    <w:rsid w:val="005603E8"/>
    <w:rsid w:val="0058004C"/>
    <w:rsid w:val="005842D1"/>
    <w:rsid w:val="00596D9A"/>
    <w:rsid w:val="005977C1"/>
    <w:rsid w:val="005A7063"/>
    <w:rsid w:val="005D49F0"/>
    <w:rsid w:val="005E075F"/>
    <w:rsid w:val="005F2D31"/>
    <w:rsid w:val="005F3375"/>
    <w:rsid w:val="005F78DB"/>
    <w:rsid w:val="006255AA"/>
    <w:rsid w:val="00634B89"/>
    <w:rsid w:val="00647542"/>
    <w:rsid w:val="006526D5"/>
    <w:rsid w:val="0065522F"/>
    <w:rsid w:val="00657672"/>
    <w:rsid w:val="006664AB"/>
    <w:rsid w:val="006803BE"/>
    <w:rsid w:val="006837FF"/>
    <w:rsid w:val="00692B99"/>
    <w:rsid w:val="0069376D"/>
    <w:rsid w:val="00697D37"/>
    <w:rsid w:val="006A1E30"/>
    <w:rsid w:val="006B4246"/>
    <w:rsid w:val="006B4E02"/>
    <w:rsid w:val="006D1914"/>
    <w:rsid w:val="006F52D1"/>
    <w:rsid w:val="007173FF"/>
    <w:rsid w:val="007264F8"/>
    <w:rsid w:val="0073376F"/>
    <w:rsid w:val="00740EA1"/>
    <w:rsid w:val="00743180"/>
    <w:rsid w:val="0075259B"/>
    <w:rsid w:val="007637F8"/>
    <w:rsid w:val="00772352"/>
    <w:rsid w:val="00792A4B"/>
    <w:rsid w:val="007941C8"/>
    <w:rsid w:val="00794C74"/>
    <w:rsid w:val="00795A74"/>
    <w:rsid w:val="007C23F0"/>
    <w:rsid w:val="007C2DE0"/>
    <w:rsid w:val="007D080E"/>
    <w:rsid w:val="007D384D"/>
    <w:rsid w:val="007E3747"/>
    <w:rsid w:val="007E4458"/>
    <w:rsid w:val="007E48FC"/>
    <w:rsid w:val="007E4CF6"/>
    <w:rsid w:val="007F3FE1"/>
    <w:rsid w:val="007F4D91"/>
    <w:rsid w:val="007F5555"/>
    <w:rsid w:val="00801DDB"/>
    <w:rsid w:val="00824744"/>
    <w:rsid w:val="008314A1"/>
    <w:rsid w:val="00886457"/>
    <w:rsid w:val="00894B32"/>
    <w:rsid w:val="0089529E"/>
    <w:rsid w:val="008A3DEB"/>
    <w:rsid w:val="008C6E65"/>
    <w:rsid w:val="008C77C6"/>
    <w:rsid w:val="008D1606"/>
    <w:rsid w:val="008E51BE"/>
    <w:rsid w:val="00922B8B"/>
    <w:rsid w:val="00945DE8"/>
    <w:rsid w:val="009748C1"/>
    <w:rsid w:val="009765E4"/>
    <w:rsid w:val="00985C06"/>
    <w:rsid w:val="00992E23"/>
    <w:rsid w:val="009C3FB2"/>
    <w:rsid w:val="009C727A"/>
    <w:rsid w:val="009D5950"/>
    <w:rsid w:val="009E5B4D"/>
    <w:rsid w:val="009E7100"/>
    <w:rsid w:val="009E7A62"/>
    <w:rsid w:val="009F652E"/>
    <w:rsid w:val="00A00A3A"/>
    <w:rsid w:val="00A2050B"/>
    <w:rsid w:val="00A22E34"/>
    <w:rsid w:val="00A26997"/>
    <w:rsid w:val="00A31E8A"/>
    <w:rsid w:val="00A379D5"/>
    <w:rsid w:val="00A64234"/>
    <w:rsid w:val="00A66221"/>
    <w:rsid w:val="00A76CEF"/>
    <w:rsid w:val="00A8347D"/>
    <w:rsid w:val="00A95405"/>
    <w:rsid w:val="00AA7582"/>
    <w:rsid w:val="00AA7A69"/>
    <w:rsid w:val="00AC503C"/>
    <w:rsid w:val="00AD7466"/>
    <w:rsid w:val="00AE4212"/>
    <w:rsid w:val="00AE4CDE"/>
    <w:rsid w:val="00B02ED6"/>
    <w:rsid w:val="00B3239F"/>
    <w:rsid w:val="00B3337D"/>
    <w:rsid w:val="00B55474"/>
    <w:rsid w:val="00B8022A"/>
    <w:rsid w:val="00B8231B"/>
    <w:rsid w:val="00B84944"/>
    <w:rsid w:val="00B86FEE"/>
    <w:rsid w:val="00B939BF"/>
    <w:rsid w:val="00BC4303"/>
    <w:rsid w:val="00BC509A"/>
    <w:rsid w:val="00BD45F8"/>
    <w:rsid w:val="00BD7261"/>
    <w:rsid w:val="00BD7912"/>
    <w:rsid w:val="00BF0267"/>
    <w:rsid w:val="00BF4044"/>
    <w:rsid w:val="00C02A92"/>
    <w:rsid w:val="00C1113D"/>
    <w:rsid w:val="00C168CC"/>
    <w:rsid w:val="00C228E0"/>
    <w:rsid w:val="00C27A7B"/>
    <w:rsid w:val="00C40754"/>
    <w:rsid w:val="00C53DE1"/>
    <w:rsid w:val="00C72237"/>
    <w:rsid w:val="00C85CF6"/>
    <w:rsid w:val="00C85D5F"/>
    <w:rsid w:val="00CA5A67"/>
    <w:rsid w:val="00CC3640"/>
    <w:rsid w:val="00CC5F8A"/>
    <w:rsid w:val="00CD14C1"/>
    <w:rsid w:val="00CD25E5"/>
    <w:rsid w:val="00CD5A0A"/>
    <w:rsid w:val="00CD7EED"/>
    <w:rsid w:val="00CE3FE0"/>
    <w:rsid w:val="00CF01C0"/>
    <w:rsid w:val="00D0323F"/>
    <w:rsid w:val="00D56252"/>
    <w:rsid w:val="00D6186B"/>
    <w:rsid w:val="00D81AB2"/>
    <w:rsid w:val="00D83A32"/>
    <w:rsid w:val="00DA6225"/>
    <w:rsid w:val="00DB4D7A"/>
    <w:rsid w:val="00DE28BB"/>
    <w:rsid w:val="00DE361A"/>
    <w:rsid w:val="00E13929"/>
    <w:rsid w:val="00E24B4D"/>
    <w:rsid w:val="00E30469"/>
    <w:rsid w:val="00E53AAD"/>
    <w:rsid w:val="00E541CE"/>
    <w:rsid w:val="00E67BED"/>
    <w:rsid w:val="00E71B0D"/>
    <w:rsid w:val="00EA0D8C"/>
    <w:rsid w:val="00EA4691"/>
    <w:rsid w:val="00EA63BC"/>
    <w:rsid w:val="00EB4AB3"/>
    <w:rsid w:val="00EB59FA"/>
    <w:rsid w:val="00ED6B11"/>
    <w:rsid w:val="00EE5D69"/>
    <w:rsid w:val="00EF6AAD"/>
    <w:rsid w:val="00F15DBE"/>
    <w:rsid w:val="00F234B4"/>
    <w:rsid w:val="00F3158E"/>
    <w:rsid w:val="00F4731F"/>
    <w:rsid w:val="00F526B8"/>
    <w:rsid w:val="00F6432C"/>
    <w:rsid w:val="00F835C9"/>
    <w:rsid w:val="00F92DA9"/>
    <w:rsid w:val="00F92DBF"/>
    <w:rsid w:val="00F94FEF"/>
    <w:rsid w:val="00FA119C"/>
    <w:rsid w:val="00FA4CB4"/>
    <w:rsid w:val="00FB25E5"/>
    <w:rsid w:val="00FB626C"/>
    <w:rsid w:val="00FB748B"/>
    <w:rsid w:val="00FD0E8D"/>
    <w:rsid w:val="00FE31B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D2AD5"/>
  <w15:chartTrackingRefBased/>
  <w15:docId w15:val="{2E969B77-115E-4AD5-968C-CF17344C6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Colorful List - Accent 11,Lista vistosa - Énfasis 11,Footnote,List Paragraph1,Párrafo de lista1,List Paragraph2,Subtle Emphasis1,Footnote1"/>
    <w:basedOn w:val="Normal"/>
    <w:link w:val="PrrafodelistaCar"/>
    <w:uiPriority w:val="34"/>
    <w:qFormat/>
    <w:rsid w:val="00147117"/>
    <w:pPr>
      <w:ind w:left="720"/>
      <w:contextualSpacing/>
    </w:pPr>
  </w:style>
  <w:style w:type="paragraph" w:styleId="Textodeglobo">
    <w:name w:val="Balloon Text"/>
    <w:basedOn w:val="Normal"/>
    <w:link w:val="TextodegloboCar"/>
    <w:uiPriority w:val="99"/>
    <w:semiHidden/>
    <w:unhideWhenUsed/>
    <w:rsid w:val="00FA4CB4"/>
    <w:pPr>
      <w:spacing w:after="0"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FA4CB4"/>
    <w:rPr>
      <w:rFonts w:ascii="Times New Roman" w:hAnsi="Times New Roman" w:cs="Times New Roman"/>
      <w:sz w:val="18"/>
      <w:szCs w:val="18"/>
    </w:rPr>
  </w:style>
  <w:style w:type="character" w:customStyle="1" w:styleId="PrrafodelistaCar">
    <w:name w:val="Párrafo de lista Car"/>
    <w:aliases w:val="Colorful List - Accent 11 Car,Lista vistosa - Énfasis 11 Car,Footnote Car,List Paragraph1 Car,Párrafo de lista1 Car,List Paragraph2 Car,Subtle Emphasis1 Car,Footnote1 Car"/>
    <w:basedOn w:val="Fuentedeprrafopredeter"/>
    <w:link w:val="Prrafodelista"/>
    <w:uiPriority w:val="34"/>
    <w:locked/>
    <w:rsid w:val="007D384D"/>
  </w:style>
  <w:style w:type="character" w:styleId="Textoennegrita">
    <w:name w:val="Strong"/>
    <w:aliases w:val="Heading 2.1"/>
    <w:basedOn w:val="Fuentedeprrafopredeter"/>
    <w:uiPriority w:val="22"/>
    <w:qFormat/>
    <w:rsid w:val="007D384D"/>
    <w:rPr>
      <w:b/>
      <w:bCs/>
    </w:rPr>
  </w:style>
  <w:style w:type="paragraph" w:styleId="Textonotapie">
    <w:name w:val="footnote text"/>
    <w:aliases w:val="FA Fu,Footnote Text Char Char Char Char Char,Footnote Text Char Char Char Char,Footnote reference,Footnote Text Char Char Char,FA Fu Car,FA Fu Car Car,Footnote Text Cha,FA Fußnotentext,FA Fuﬂnotentext,FA Fu?notentext,Ca,FA Fu?notente,C,ft"/>
    <w:basedOn w:val="Normal"/>
    <w:link w:val="TextonotapieCar"/>
    <w:unhideWhenUsed/>
    <w:qFormat/>
    <w:rsid w:val="005603E8"/>
    <w:pPr>
      <w:spacing w:after="0" w:line="240" w:lineRule="auto"/>
    </w:pPr>
    <w:rPr>
      <w:sz w:val="20"/>
      <w:szCs w:val="20"/>
    </w:rPr>
  </w:style>
  <w:style w:type="character" w:customStyle="1" w:styleId="TextonotapieCar">
    <w:name w:val="Texto nota pie Car"/>
    <w:aliases w:val="FA Fu Car2,Footnote Text Char Char Char Char Char Car1,Footnote Text Char Char Char Char Car1,Footnote reference Car1,Footnote Text Char Char Char Car1,FA Fu Car Car2,FA Fu Car Car Car1,Footnote Text Cha Car1,FA Fußnotentext Car,C Car"/>
    <w:basedOn w:val="Fuentedeprrafopredeter"/>
    <w:link w:val="Textonotapie"/>
    <w:uiPriority w:val="99"/>
    <w:semiHidden/>
    <w:rsid w:val="005603E8"/>
    <w:rPr>
      <w:sz w:val="20"/>
      <w:szCs w:val="20"/>
    </w:rPr>
  </w:style>
  <w:style w:type="character" w:styleId="Refdenotaalpie">
    <w:name w:val="footnote reference"/>
    <w:aliases w:val="Texto de nota al pie,Appel note de bas de page,Footnotes refss,Footnote number,referencia nota al pie,BVI fnr,f,4_G,16 Point,Superscript 6 Point,Footnote Reference Char3,Footnote Reference Char1 Char,Footnote Reference Char Char Char"/>
    <w:basedOn w:val="Fuentedeprrafopredeter"/>
    <w:link w:val="4GChar"/>
    <w:uiPriority w:val="99"/>
    <w:unhideWhenUsed/>
    <w:qFormat/>
    <w:rsid w:val="005603E8"/>
    <w:rPr>
      <w:vertAlign w:val="superscript"/>
    </w:rPr>
  </w:style>
  <w:style w:type="paragraph" w:styleId="Encabezado">
    <w:name w:val="header"/>
    <w:basedOn w:val="Normal"/>
    <w:link w:val="EncabezadoCar"/>
    <w:uiPriority w:val="99"/>
    <w:unhideWhenUsed/>
    <w:rsid w:val="00AA758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A7582"/>
  </w:style>
  <w:style w:type="paragraph" w:styleId="Piedepgina">
    <w:name w:val="footer"/>
    <w:basedOn w:val="Normal"/>
    <w:link w:val="PiedepginaCar"/>
    <w:uiPriority w:val="99"/>
    <w:unhideWhenUsed/>
    <w:rsid w:val="00AA758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A7582"/>
  </w:style>
  <w:style w:type="character" w:styleId="Refdecomentario">
    <w:name w:val="annotation reference"/>
    <w:basedOn w:val="Fuentedeprrafopredeter"/>
    <w:uiPriority w:val="99"/>
    <w:semiHidden/>
    <w:unhideWhenUsed/>
    <w:rsid w:val="00824744"/>
    <w:rPr>
      <w:sz w:val="16"/>
      <w:szCs w:val="16"/>
    </w:rPr>
  </w:style>
  <w:style w:type="paragraph" w:styleId="Textocomentario">
    <w:name w:val="annotation text"/>
    <w:basedOn w:val="Normal"/>
    <w:link w:val="TextocomentarioCar"/>
    <w:uiPriority w:val="99"/>
    <w:semiHidden/>
    <w:unhideWhenUsed/>
    <w:rsid w:val="0082474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24744"/>
    <w:rPr>
      <w:sz w:val="20"/>
      <w:szCs w:val="20"/>
    </w:rPr>
  </w:style>
  <w:style w:type="paragraph" w:styleId="Asuntodelcomentario">
    <w:name w:val="annotation subject"/>
    <w:basedOn w:val="Textocomentario"/>
    <w:next w:val="Textocomentario"/>
    <w:link w:val="AsuntodelcomentarioCar"/>
    <w:uiPriority w:val="99"/>
    <w:semiHidden/>
    <w:unhideWhenUsed/>
    <w:rsid w:val="00824744"/>
    <w:rPr>
      <w:b/>
      <w:bCs/>
    </w:rPr>
  </w:style>
  <w:style w:type="character" w:customStyle="1" w:styleId="AsuntodelcomentarioCar">
    <w:name w:val="Asunto del comentario Car"/>
    <w:basedOn w:val="TextocomentarioCar"/>
    <w:link w:val="Asuntodelcomentario"/>
    <w:uiPriority w:val="99"/>
    <w:semiHidden/>
    <w:rsid w:val="00824744"/>
    <w:rPr>
      <w:b/>
      <w:bCs/>
      <w:sz w:val="20"/>
      <w:szCs w:val="20"/>
    </w:rPr>
  </w:style>
  <w:style w:type="paragraph" w:styleId="Revisin">
    <w:name w:val="Revision"/>
    <w:hidden/>
    <w:uiPriority w:val="99"/>
    <w:semiHidden/>
    <w:rsid w:val="00824744"/>
    <w:pPr>
      <w:spacing w:after="0" w:line="240" w:lineRule="auto"/>
    </w:pPr>
  </w:style>
  <w:style w:type="character" w:styleId="nfasis">
    <w:name w:val="Emphasis"/>
    <w:basedOn w:val="Fuentedeprrafopredeter"/>
    <w:uiPriority w:val="20"/>
    <w:qFormat/>
    <w:rsid w:val="00AE4CDE"/>
    <w:rPr>
      <w:i/>
      <w:iCs/>
    </w:rPr>
  </w:style>
  <w:style w:type="paragraph" w:customStyle="1" w:styleId="Numberedparagraphs">
    <w:name w:val="Numbered paragraphs"/>
    <w:basedOn w:val="Normal"/>
    <w:qFormat/>
    <w:rsid w:val="004F009B"/>
    <w:pPr>
      <w:numPr>
        <w:numId w:val="8"/>
      </w:numPr>
      <w:spacing w:after="0" w:line="240" w:lineRule="auto"/>
      <w:jc w:val="both"/>
    </w:pPr>
    <w:rPr>
      <w:rFonts w:ascii="Verdana" w:eastAsia="MS Mincho" w:hAnsi="Verdana" w:cs="Times New Roman"/>
      <w:color w:val="000000"/>
      <w:sz w:val="20"/>
      <w:szCs w:val="20"/>
      <w:lang w:val="es-ES_tradnl"/>
    </w:rPr>
  </w:style>
  <w:style w:type="character" w:customStyle="1" w:styleId="TextonotapieCar1">
    <w:name w:val="Texto nota pie Car1"/>
    <w:aliases w:val="FA Fu Car1,Footnote Text Char Char Char Char Char Car,Footnote Text Char Char Char Char Car,Footnote reference Car,Footnote Text Char Char Char Car,FA Fu Car Car1,FA Fu Car Car Car,Footnote Text Cha Car,FA Fußnotentext Car1,Ca Car"/>
    <w:basedOn w:val="Fuentedeprrafopredeter"/>
    <w:qFormat/>
    <w:locked/>
    <w:rsid w:val="004F009B"/>
    <w:rPr>
      <w:rFonts w:ascii="Verdana" w:hAnsi="Verdana" w:cs="Verdana"/>
      <w:sz w:val="16"/>
      <w:szCs w:val="16"/>
      <w:lang w:val="es-ES_tradnl"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4F009B"/>
    <w:pPr>
      <w:spacing w:after="0" w:line="240" w:lineRule="auto"/>
      <w:jc w:val="both"/>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444563">
      <w:bodyDiv w:val="1"/>
      <w:marLeft w:val="0"/>
      <w:marRight w:val="0"/>
      <w:marTop w:val="0"/>
      <w:marBottom w:val="0"/>
      <w:divBdr>
        <w:top w:val="none" w:sz="0" w:space="0" w:color="auto"/>
        <w:left w:val="none" w:sz="0" w:space="0" w:color="auto"/>
        <w:bottom w:val="none" w:sz="0" w:space="0" w:color="auto"/>
        <w:right w:val="none" w:sz="0" w:space="0" w:color="auto"/>
      </w:divBdr>
    </w:div>
    <w:div w:id="149247872">
      <w:bodyDiv w:val="1"/>
      <w:marLeft w:val="0"/>
      <w:marRight w:val="0"/>
      <w:marTop w:val="0"/>
      <w:marBottom w:val="0"/>
      <w:divBdr>
        <w:top w:val="none" w:sz="0" w:space="0" w:color="auto"/>
        <w:left w:val="none" w:sz="0" w:space="0" w:color="auto"/>
        <w:bottom w:val="none" w:sz="0" w:space="0" w:color="auto"/>
        <w:right w:val="none" w:sz="0" w:space="0" w:color="auto"/>
      </w:divBdr>
    </w:div>
    <w:div w:id="460536063">
      <w:bodyDiv w:val="1"/>
      <w:marLeft w:val="0"/>
      <w:marRight w:val="0"/>
      <w:marTop w:val="0"/>
      <w:marBottom w:val="0"/>
      <w:divBdr>
        <w:top w:val="none" w:sz="0" w:space="0" w:color="auto"/>
        <w:left w:val="none" w:sz="0" w:space="0" w:color="auto"/>
        <w:bottom w:val="none" w:sz="0" w:space="0" w:color="auto"/>
        <w:right w:val="none" w:sz="0" w:space="0" w:color="auto"/>
      </w:divBdr>
    </w:div>
    <w:div w:id="596016692">
      <w:bodyDiv w:val="1"/>
      <w:marLeft w:val="0"/>
      <w:marRight w:val="0"/>
      <w:marTop w:val="0"/>
      <w:marBottom w:val="0"/>
      <w:divBdr>
        <w:top w:val="none" w:sz="0" w:space="0" w:color="auto"/>
        <w:left w:val="none" w:sz="0" w:space="0" w:color="auto"/>
        <w:bottom w:val="none" w:sz="0" w:space="0" w:color="auto"/>
        <w:right w:val="none" w:sz="0" w:space="0" w:color="auto"/>
      </w:divBdr>
    </w:div>
    <w:div w:id="599333150">
      <w:bodyDiv w:val="1"/>
      <w:marLeft w:val="0"/>
      <w:marRight w:val="0"/>
      <w:marTop w:val="0"/>
      <w:marBottom w:val="0"/>
      <w:divBdr>
        <w:top w:val="none" w:sz="0" w:space="0" w:color="auto"/>
        <w:left w:val="none" w:sz="0" w:space="0" w:color="auto"/>
        <w:bottom w:val="none" w:sz="0" w:space="0" w:color="auto"/>
        <w:right w:val="none" w:sz="0" w:space="0" w:color="auto"/>
      </w:divBdr>
    </w:div>
    <w:div w:id="757409196">
      <w:bodyDiv w:val="1"/>
      <w:marLeft w:val="0"/>
      <w:marRight w:val="0"/>
      <w:marTop w:val="0"/>
      <w:marBottom w:val="0"/>
      <w:divBdr>
        <w:top w:val="none" w:sz="0" w:space="0" w:color="auto"/>
        <w:left w:val="none" w:sz="0" w:space="0" w:color="auto"/>
        <w:bottom w:val="none" w:sz="0" w:space="0" w:color="auto"/>
        <w:right w:val="none" w:sz="0" w:space="0" w:color="auto"/>
      </w:divBdr>
    </w:div>
    <w:div w:id="1427579992">
      <w:bodyDiv w:val="1"/>
      <w:marLeft w:val="0"/>
      <w:marRight w:val="0"/>
      <w:marTop w:val="0"/>
      <w:marBottom w:val="0"/>
      <w:divBdr>
        <w:top w:val="none" w:sz="0" w:space="0" w:color="auto"/>
        <w:left w:val="none" w:sz="0" w:space="0" w:color="auto"/>
        <w:bottom w:val="none" w:sz="0" w:space="0" w:color="auto"/>
        <w:right w:val="none" w:sz="0" w:space="0" w:color="auto"/>
      </w:divBdr>
    </w:div>
    <w:div w:id="1666786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E93D96-AE2E-4BD1-BE92-AAE14D4F8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2495</Words>
  <Characters>13726</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Corte IDH</dc:creator>
  <cp:keywords/>
  <dc:description/>
  <cp:lastModifiedBy>Francella Hernandez</cp:lastModifiedBy>
  <cp:revision>2</cp:revision>
  <dcterms:created xsi:type="dcterms:W3CDTF">2020-12-18T20:49:00Z</dcterms:created>
  <dcterms:modified xsi:type="dcterms:W3CDTF">2020-12-18T20:49:00Z</dcterms:modified>
</cp:coreProperties>
</file>