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3D6" w:rsidRDefault="00041614" w:rsidP="00B8619A">
      <w:pPr>
        <w:spacing w:after="0" w:line="259" w:lineRule="auto"/>
        <w:jc w:val="center"/>
        <w:rPr>
          <w:rFonts w:ascii="Verdana" w:hAnsi="Verdana"/>
          <w:b/>
          <w:sz w:val="20"/>
          <w:szCs w:val="20"/>
          <w:lang w:val="es-ES_tradnl"/>
        </w:rPr>
      </w:pPr>
      <w:r>
        <w:rPr>
          <w:rFonts w:ascii="Verdana" w:hAnsi="Verdana"/>
          <w:b/>
          <w:sz w:val="20"/>
          <w:szCs w:val="20"/>
          <w:lang w:val="es-ES_tradnl"/>
        </w:rPr>
        <w:t xml:space="preserve"> </w:t>
      </w:r>
    </w:p>
    <w:p w:rsidR="002D0262" w:rsidRPr="007718D5" w:rsidRDefault="00B8619A" w:rsidP="007718D5">
      <w:pPr>
        <w:tabs>
          <w:tab w:val="left" w:pos="720"/>
        </w:tabs>
        <w:spacing w:line="240" w:lineRule="auto"/>
        <w:jc w:val="center"/>
        <w:rPr>
          <w:rFonts w:ascii="Verdana" w:hAnsi="Verdana"/>
          <w:b/>
          <w:sz w:val="20"/>
          <w:szCs w:val="20"/>
          <w:lang w:val="es-ES_tradnl"/>
        </w:rPr>
      </w:pPr>
      <w:r w:rsidRPr="007718D5">
        <w:rPr>
          <w:rFonts w:ascii="Verdana" w:hAnsi="Verdana"/>
          <w:b/>
          <w:sz w:val="20"/>
          <w:szCs w:val="20"/>
          <w:lang w:val="es-ES_tradnl"/>
        </w:rPr>
        <w:t>VOTO</w:t>
      </w:r>
      <w:r w:rsidR="006D03D6" w:rsidRPr="007718D5">
        <w:rPr>
          <w:rFonts w:ascii="Verdana" w:hAnsi="Verdana"/>
          <w:b/>
          <w:sz w:val="20"/>
          <w:szCs w:val="20"/>
          <w:lang w:val="es-ES_tradnl"/>
        </w:rPr>
        <w:t xml:space="preserve"> </w:t>
      </w:r>
      <w:r w:rsidRPr="007718D5">
        <w:rPr>
          <w:rFonts w:ascii="Verdana" w:hAnsi="Verdana"/>
          <w:b/>
          <w:sz w:val="20"/>
          <w:szCs w:val="20"/>
          <w:lang w:val="es-ES_tradnl"/>
        </w:rPr>
        <w:t>DISIDENTE DEL JUEZ MANUEL E. VENTURA ROBLES</w:t>
      </w:r>
    </w:p>
    <w:p w:rsidR="006D03D6" w:rsidRPr="00C029A9" w:rsidRDefault="006D03D6" w:rsidP="007718D5">
      <w:pPr>
        <w:tabs>
          <w:tab w:val="left" w:pos="720"/>
        </w:tabs>
        <w:spacing w:line="240" w:lineRule="auto"/>
        <w:jc w:val="center"/>
        <w:rPr>
          <w:rFonts w:ascii="Verdana" w:eastAsia="Calibri" w:hAnsi="Verdana" w:cs="Calibri"/>
          <w:b/>
          <w:spacing w:val="-2"/>
          <w:sz w:val="20"/>
          <w:szCs w:val="20"/>
          <w:lang w:val="es-CR"/>
        </w:rPr>
      </w:pPr>
      <w:r w:rsidRPr="00C029A9">
        <w:rPr>
          <w:rFonts w:ascii="Verdana" w:eastAsia="Calibri" w:hAnsi="Verdana" w:cs="Calibri"/>
          <w:b/>
          <w:spacing w:val="-2"/>
          <w:sz w:val="20"/>
          <w:szCs w:val="20"/>
          <w:lang w:val="es-CR"/>
        </w:rPr>
        <w:t>CASO GRANIER Y OTROS (</w:t>
      </w:r>
      <w:r w:rsidRPr="00C029A9">
        <w:rPr>
          <w:rFonts w:ascii="Verdana" w:eastAsia="Calibri" w:hAnsi="Verdana" w:cs="Calibri"/>
          <w:b/>
          <w:i/>
          <w:spacing w:val="-2"/>
          <w:sz w:val="20"/>
          <w:szCs w:val="20"/>
          <w:lang w:val="es-CR"/>
        </w:rPr>
        <w:t>RADIO CARACAS TELEVISIÓN)</w:t>
      </w:r>
      <w:r w:rsidRPr="00C029A9">
        <w:rPr>
          <w:rFonts w:ascii="Verdana" w:eastAsia="Calibri" w:hAnsi="Verdana" w:cs="Calibri"/>
          <w:b/>
          <w:spacing w:val="-2"/>
          <w:sz w:val="20"/>
          <w:szCs w:val="20"/>
          <w:lang w:val="es-CR"/>
        </w:rPr>
        <w:t xml:space="preserve"> </w:t>
      </w:r>
      <w:r w:rsidRPr="00C029A9">
        <w:rPr>
          <w:rFonts w:ascii="Verdana" w:eastAsia="Calibri" w:hAnsi="Verdana" w:cs="Calibri"/>
          <w:b/>
          <w:i/>
          <w:spacing w:val="-2"/>
          <w:sz w:val="20"/>
          <w:szCs w:val="20"/>
          <w:lang w:val="es-CR"/>
        </w:rPr>
        <w:t>VS</w:t>
      </w:r>
      <w:r w:rsidRPr="00C029A9">
        <w:rPr>
          <w:rFonts w:ascii="Verdana" w:eastAsia="Calibri" w:hAnsi="Verdana" w:cs="Calibri"/>
          <w:b/>
          <w:spacing w:val="-2"/>
          <w:sz w:val="20"/>
          <w:szCs w:val="20"/>
          <w:lang w:val="es-CR"/>
        </w:rPr>
        <w:t>. VENEZUELA</w:t>
      </w:r>
    </w:p>
    <w:p w:rsidR="006D03D6" w:rsidRPr="00C029A9" w:rsidRDefault="006D03D6" w:rsidP="006D03D6">
      <w:pPr>
        <w:tabs>
          <w:tab w:val="left" w:pos="720"/>
        </w:tabs>
        <w:spacing w:line="240" w:lineRule="auto"/>
        <w:jc w:val="center"/>
        <w:rPr>
          <w:rFonts w:ascii="Verdana" w:eastAsia="Calibri" w:hAnsi="Verdana" w:cs="Verdana"/>
          <w:b/>
          <w:bCs/>
          <w:snapToGrid w:val="0"/>
          <w:spacing w:val="-2"/>
          <w:sz w:val="20"/>
          <w:szCs w:val="20"/>
          <w:lang w:val="es-CR" w:eastAsia="es-ES"/>
        </w:rPr>
      </w:pPr>
      <w:r w:rsidRPr="00C029A9">
        <w:rPr>
          <w:rFonts w:ascii="Verdana" w:eastAsia="Calibri" w:hAnsi="Verdana" w:cs="Verdana"/>
          <w:b/>
          <w:bCs/>
          <w:snapToGrid w:val="0"/>
          <w:spacing w:val="-2"/>
          <w:sz w:val="20"/>
          <w:szCs w:val="20"/>
          <w:lang w:val="es-CR" w:eastAsia="es-ES"/>
        </w:rPr>
        <w:t>SENTENCIA DE 22 DE JUNIO DE 2015</w:t>
      </w:r>
    </w:p>
    <w:p w:rsidR="006D03D6" w:rsidRPr="00C029A9" w:rsidRDefault="006D03D6" w:rsidP="006D03D6">
      <w:pPr>
        <w:tabs>
          <w:tab w:val="left" w:pos="720"/>
        </w:tabs>
        <w:spacing w:line="240" w:lineRule="auto"/>
        <w:jc w:val="center"/>
        <w:rPr>
          <w:rFonts w:ascii="Verdana" w:eastAsia="Calibri" w:hAnsi="Verdana" w:cs="Verdana"/>
          <w:b/>
          <w:bCs/>
          <w:caps/>
          <w:snapToGrid w:val="0"/>
          <w:spacing w:val="-2"/>
          <w:sz w:val="20"/>
          <w:szCs w:val="20"/>
          <w:lang w:val="es-CR" w:eastAsia="es-ES"/>
        </w:rPr>
      </w:pPr>
      <w:r w:rsidRPr="00C029A9">
        <w:rPr>
          <w:rFonts w:ascii="Verdana" w:eastAsia="Calibri" w:hAnsi="Verdana" w:cs="Verdana"/>
          <w:b/>
          <w:bCs/>
          <w:i/>
          <w:iCs/>
          <w:snapToGrid w:val="0"/>
          <w:spacing w:val="-2"/>
          <w:sz w:val="20"/>
          <w:szCs w:val="20"/>
          <w:lang w:val="es-CR" w:eastAsia="es-ES"/>
        </w:rPr>
        <w:t>(Excepciones Preliminares, Fondo, Reparaciones y Costas)</w:t>
      </w:r>
    </w:p>
    <w:p w:rsidR="00B8619A" w:rsidRPr="007718D5" w:rsidRDefault="00B8619A" w:rsidP="00B8619A">
      <w:pPr>
        <w:spacing w:after="0" w:line="259" w:lineRule="auto"/>
        <w:jc w:val="center"/>
        <w:rPr>
          <w:rFonts w:ascii="Verdana" w:hAnsi="Verdana"/>
          <w:b/>
          <w:sz w:val="20"/>
          <w:szCs w:val="20"/>
          <w:lang w:val="es-ES_tradnl"/>
        </w:rPr>
      </w:pPr>
    </w:p>
    <w:p w:rsidR="00B8619A" w:rsidRPr="00C029A9" w:rsidRDefault="00B8619A" w:rsidP="00B8619A">
      <w:pPr>
        <w:spacing w:after="0"/>
        <w:jc w:val="center"/>
        <w:rPr>
          <w:rFonts w:ascii="Verdana" w:hAnsi="Verdana"/>
          <w:sz w:val="20"/>
          <w:szCs w:val="20"/>
          <w:lang w:val="es-CR"/>
        </w:rPr>
      </w:pPr>
    </w:p>
    <w:p w:rsidR="009415CC" w:rsidRPr="00C029A9" w:rsidRDefault="009415CC" w:rsidP="00F670BE">
      <w:pPr>
        <w:spacing w:after="0"/>
        <w:jc w:val="both"/>
        <w:rPr>
          <w:rFonts w:ascii="Verdana" w:hAnsi="Verdana"/>
          <w:sz w:val="20"/>
          <w:szCs w:val="20"/>
          <w:lang w:val="es-CR"/>
        </w:rPr>
      </w:pPr>
    </w:p>
    <w:p w:rsidR="009415CC" w:rsidRPr="00C029A9" w:rsidRDefault="009415CC" w:rsidP="0038657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sz w:val="20"/>
          <w:szCs w:val="20"/>
          <w:lang w:val="es-CR"/>
        </w:rPr>
        <w:t xml:space="preserve">He salvado mi voto en los puntos resolutivos </w:t>
      </w:r>
      <w:r w:rsidR="00D011CC" w:rsidRPr="00C029A9">
        <w:rPr>
          <w:rFonts w:ascii="Verdana" w:hAnsi="Verdana"/>
          <w:sz w:val="20"/>
          <w:szCs w:val="20"/>
          <w:lang w:val="es-CR"/>
        </w:rPr>
        <w:t xml:space="preserve">11, 12 y </w:t>
      </w:r>
      <w:r w:rsidRPr="00C029A9">
        <w:rPr>
          <w:rFonts w:ascii="Verdana" w:hAnsi="Verdana"/>
          <w:sz w:val="20"/>
          <w:szCs w:val="20"/>
          <w:lang w:val="es-CR"/>
        </w:rPr>
        <w:t xml:space="preserve">13 de la sentencia en el caso </w:t>
      </w:r>
      <w:proofErr w:type="spellStart"/>
      <w:r w:rsidRPr="00C029A9">
        <w:rPr>
          <w:rFonts w:ascii="Verdana" w:hAnsi="Verdana"/>
          <w:i/>
          <w:sz w:val="20"/>
          <w:szCs w:val="20"/>
          <w:lang w:val="es-CR"/>
        </w:rPr>
        <w:t>Granier</w:t>
      </w:r>
      <w:proofErr w:type="spellEnd"/>
      <w:r w:rsidRPr="00C029A9">
        <w:rPr>
          <w:rFonts w:ascii="Verdana" w:hAnsi="Verdana"/>
          <w:i/>
          <w:sz w:val="20"/>
          <w:szCs w:val="20"/>
          <w:lang w:val="es-CR"/>
        </w:rPr>
        <w:t xml:space="preserve"> y otros (Radio Caracas Televisión)</w:t>
      </w:r>
      <w:r w:rsidRPr="00C029A9">
        <w:rPr>
          <w:rFonts w:ascii="Verdana" w:hAnsi="Verdana"/>
          <w:sz w:val="20"/>
          <w:szCs w:val="20"/>
          <w:lang w:val="es-CR"/>
        </w:rPr>
        <w:t xml:space="preserve"> </w:t>
      </w:r>
      <w:r w:rsidR="00295934" w:rsidRPr="00C029A9">
        <w:rPr>
          <w:rFonts w:ascii="Verdana" w:hAnsi="Verdana"/>
          <w:i/>
          <w:sz w:val="20"/>
          <w:szCs w:val="20"/>
          <w:lang w:val="es-CR"/>
        </w:rPr>
        <w:t>v</w:t>
      </w:r>
      <w:r w:rsidRPr="00C029A9">
        <w:rPr>
          <w:rFonts w:ascii="Verdana" w:hAnsi="Verdana"/>
          <w:i/>
          <w:sz w:val="20"/>
          <w:szCs w:val="20"/>
          <w:lang w:val="es-CR"/>
        </w:rPr>
        <w:t>s. Venezuela</w:t>
      </w:r>
      <w:r w:rsidRPr="00C029A9">
        <w:rPr>
          <w:rFonts w:ascii="Verdana" w:hAnsi="Verdana"/>
          <w:sz w:val="20"/>
          <w:szCs w:val="20"/>
          <w:lang w:val="es-CR"/>
        </w:rPr>
        <w:t>, porque de no hacerlo, en mi opinión, no se repa</w:t>
      </w:r>
      <w:r w:rsidR="00B8619A" w:rsidRPr="00C029A9">
        <w:rPr>
          <w:rFonts w:ascii="Verdana" w:hAnsi="Verdana"/>
          <w:sz w:val="20"/>
          <w:szCs w:val="20"/>
          <w:lang w:val="es-CR"/>
        </w:rPr>
        <w:t>r</w:t>
      </w:r>
      <w:r w:rsidRPr="00C029A9">
        <w:rPr>
          <w:rFonts w:ascii="Verdana" w:hAnsi="Verdana"/>
          <w:sz w:val="20"/>
          <w:szCs w:val="20"/>
          <w:lang w:val="es-CR"/>
        </w:rPr>
        <w:t>aría en la contradicción en que se ha incurrido entre este caso y otros dictados por esta Corte contra el Estado de Venezuela</w:t>
      </w:r>
      <w:r w:rsidR="00295934" w:rsidRPr="00C029A9">
        <w:rPr>
          <w:rFonts w:ascii="Verdana" w:hAnsi="Verdana"/>
          <w:sz w:val="20"/>
          <w:szCs w:val="20"/>
          <w:lang w:val="es-CR"/>
        </w:rPr>
        <w:t>,</w:t>
      </w:r>
      <w:r w:rsidRPr="00C029A9">
        <w:rPr>
          <w:rFonts w:ascii="Verdana" w:hAnsi="Verdana"/>
          <w:sz w:val="20"/>
          <w:szCs w:val="20"/>
          <w:lang w:val="es-CR"/>
        </w:rPr>
        <w:t xml:space="preserve"> en dos </w:t>
      </w:r>
      <w:r w:rsidR="00B8619A" w:rsidRPr="00C029A9">
        <w:rPr>
          <w:rFonts w:ascii="Verdana" w:hAnsi="Verdana"/>
          <w:sz w:val="20"/>
          <w:szCs w:val="20"/>
          <w:lang w:val="es-CR"/>
        </w:rPr>
        <w:t>puntos</w:t>
      </w:r>
      <w:r w:rsidRPr="00C029A9">
        <w:rPr>
          <w:rFonts w:ascii="Verdana" w:hAnsi="Verdana"/>
          <w:sz w:val="20"/>
          <w:szCs w:val="20"/>
          <w:lang w:val="es-CR"/>
        </w:rPr>
        <w:t xml:space="preserve"> medulares como son los referentes a las garantías de independencia e imparcialidad </w:t>
      </w:r>
      <w:r w:rsidR="00076411" w:rsidRPr="00C029A9">
        <w:rPr>
          <w:rFonts w:ascii="Verdana" w:hAnsi="Verdana"/>
          <w:sz w:val="20"/>
          <w:szCs w:val="20"/>
          <w:lang w:val="es-CR"/>
        </w:rPr>
        <w:t xml:space="preserve">judicial </w:t>
      </w:r>
      <w:r w:rsidRPr="00C029A9">
        <w:rPr>
          <w:rFonts w:ascii="Verdana" w:hAnsi="Verdana"/>
          <w:sz w:val="20"/>
          <w:szCs w:val="20"/>
          <w:lang w:val="es-CR"/>
        </w:rPr>
        <w:t>y el derecho de propiedad privada.</w:t>
      </w:r>
    </w:p>
    <w:p w:rsidR="00F670BE" w:rsidRPr="00C029A9" w:rsidRDefault="00F670BE" w:rsidP="00F670BE">
      <w:pPr>
        <w:pStyle w:val="ListParagraph"/>
        <w:spacing w:after="0"/>
        <w:jc w:val="both"/>
        <w:rPr>
          <w:rFonts w:ascii="Verdana" w:hAnsi="Verdana"/>
          <w:sz w:val="20"/>
          <w:szCs w:val="20"/>
          <w:lang w:val="es-CR"/>
        </w:rPr>
      </w:pPr>
    </w:p>
    <w:p w:rsidR="009415CC" w:rsidRPr="00C029A9" w:rsidRDefault="009415CC" w:rsidP="0038657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sz w:val="20"/>
          <w:szCs w:val="20"/>
          <w:lang w:val="es-CR"/>
        </w:rPr>
        <w:t xml:space="preserve">El caso </w:t>
      </w:r>
      <w:proofErr w:type="spellStart"/>
      <w:r w:rsidRPr="00C029A9">
        <w:rPr>
          <w:rFonts w:ascii="Verdana" w:hAnsi="Verdana"/>
          <w:i/>
          <w:sz w:val="20"/>
          <w:szCs w:val="20"/>
          <w:lang w:val="es-CR"/>
        </w:rPr>
        <w:t>Granier</w:t>
      </w:r>
      <w:proofErr w:type="spellEnd"/>
      <w:r w:rsidRPr="00C029A9">
        <w:rPr>
          <w:rFonts w:ascii="Verdana" w:hAnsi="Verdana"/>
          <w:i/>
          <w:sz w:val="20"/>
          <w:szCs w:val="20"/>
          <w:lang w:val="es-CR"/>
        </w:rPr>
        <w:t xml:space="preserve"> y otros</w:t>
      </w:r>
      <w:r w:rsidRPr="00C029A9">
        <w:rPr>
          <w:rFonts w:ascii="Verdana" w:hAnsi="Verdana"/>
          <w:sz w:val="20"/>
          <w:szCs w:val="20"/>
          <w:lang w:val="es-CR"/>
        </w:rPr>
        <w:t xml:space="preserve"> </w:t>
      </w:r>
      <w:r w:rsidRPr="007718D5">
        <w:rPr>
          <w:rFonts w:ascii="Verdana" w:hAnsi="Verdana"/>
          <w:i/>
          <w:sz w:val="20"/>
          <w:szCs w:val="20"/>
          <w:lang w:val="es-CR"/>
        </w:rPr>
        <w:t>contra Venezuela</w:t>
      </w:r>
      <w:r w:rsidRPr="00C029A9">
        <w:rPr>
          <w:rFonts w:ascii="Verdana" w:hAnsi="Verdana"/>
          <w:sz w:val="20"/>
          <w:szCs w:val="20"/>
          <w:lang w:val="es-CR"/>
        </w:rPr>
        <w:t xml:space="preserve"> es, sin duda alguna, la sentencia más importante que ha dictado la Corte Interamericana de Derechos Humanos en materia de liberta</w:t>
      </w:r>
      <w:r w:rsidR="00C345B3" w:rsidRPr="00C029A9">
        <w:rPr>
          <w:rFonts w:ascii="Verdana" w:hAnsi="Verdana"/>
          <w:sz w:val="20"/>
          <w:szCs w:val="20"/>
          <w:lang w:val="es-CR"/>
        </w:rPr>
        <w:t>d</w:t>
      </w:r>
      <w:r w:rsidRPr="00C029A9">
        <w:rPr>
          <w:rFonts w:ascii="Verdana" w:hAnsi="Verdana"/>
          <w:sz w:val="20"/>
          <w:szCs w:val="20"/>
          <w:lang w:val="es-CR"/>
        </w:rPr>
        <w:t xml:space="preserve"> de expresión (artículo </w:t>
      </w:r>
      <w:r w:rsidR="00254DB0" w:rsidRPr="00C029A9">
        <w:rPr>
          <w:rFonts w:ascii="Verdana" w:hAnsi="Verdana"/>
          <w:sz w:val="20"/>
          <w:szCs w:val="20"/>
          <w:lang w:val="es-CR"/>
        </w:rPr>
        <w:t xml:space="preserve">13 de la Convención Americana sobre Derechos Humanos) y las consecuentes reparaciones (artículo 63 </w:t>
      </w:r>
      <w:r w:rsidR="00295934" w:rsidRPr="00C029A9">
        <w:rPr>
          <w:rFonts w:ascii="Verdana" w:hAnsi="Verdana"/>
          <w:sz w:val="20"/>
          <w:szCs w:val="20"/>
          <w:lang w:val="es-CR"/>
        </w:rPr>
        <w:t>de la misma</w:t>
      </w:r>
      <w:r w:rsidR="00254DB0" w:rsidRPr="00C029A9">
        <w:rPr>
          <w:rFonts w:ascii="Verdana" w:hAnsi="Verdana"/>
          <w:sz w:val="20"/>
          <w:szCs w:val="20"/>
          <w:lang w:val="es-CR"/>
        </w:rPr>
        <w:t>). Se palpa, a través de la lectura de toda la sentencia</w:t>
      </w:r>
      <w:r w:rsidR="000E7CEE" w:rsidRPr="00C029A9">
        <w:rPr>
          <w:rFonts w:ascii="Verdana" w:hAnsi="Verdana"/>
          <w:sz w:val="20"/>
          <w:szCs w:val="20"/>
          <w:lang w:val="es-CR"/>
        </w:rPr>
        <w:t>,</w:t>
      </w:r>
      <w:r w:rsidR="00254DB0" w:rsidRPr="00C029A9">
        <w:rPr>
          <w:rFonts w:ascii="Verdana" w:hAnsi="Verdana"/>
          <w:sz w:val="20"/>
          <w:szCs w:val="20"/>
          <w:lang w:val="es-CR"/>
        </w:rPr>
        <w:t xml:space="preserve"> el deseo de la Corte de </w:t>
      </w:r>
      <w:r w:rsidR="00B8619A" w:rsidRPr="00C029A9">
        <w:rPr>
          <w:rFonts w:ascii="Verdana" w:hAnsi="Verdana"/>
          <w:sz w:val="20"/>
          <w:szCs w:val="20"/>
          <w:lang w:val="es-CR"/>
        </w:rPr>
        <w:t>evitar</w:t>
      </w:r>
      <w:r w:rsidR="00254DB0" w:rsidRPr="00C029A9">
        <w:rPr>
          <w:rFonts w:ascii="Verdana" w:hAnsi="Verdana"/>
          <w:sz w:val="20"/>
          <w:szCs w:val="20"/>
          <w:lang w:val="es-CR"/>
        </w:rPr>
        <w:t xml:space="preserve"> más violaciones a la li</w:t>
      </w:r>
      <w:r w:rsidR="00076411" w:rsidRPr="00C029A9">
        <w:rPr>
          <w:rFonts w:ascii="Verdana" w:hAnsi="Verdana"/>
          <w:sz w:val="20"/>
          <w:szCs w:val="20"/>
          <w:lang w:val="es-CR"/>
        </w:rPr>
        <w:t>bertad de expresión en nuestro c</w:t>
      </w:r>
      <w:r w:rsidR="00254DB0" w:rsidRPr="00C029A9">
        <w:rPr>
          <w:rFonts w:ascii="Verdana" w:hAnsi="Verdana"/>
          <w:sz w:val="20"/>
          <w:szCs w:val="20"/>
          <w:lang w:val="es-CR"/>
        </w:rPr>
        <w:t>ontinente</w:t>
      </w:r>
      <w:r w:rsidR="00295934" w:rsidRPr="00C029A9">
        <w:rPr>
          <w:rFonts w:ascii="Verdana" w:hAnsi="Verdana"/>
          <w:sz w:val="20"/>
          <w:szCs w:val="20"/>
          <w:lang w:val="es-CR"/>
        </w:rPr>
        <w:t>,</w:t>
      </w:r>
      <w:r w:rsidR="00254DB0" w:rsidRPr="00C029A9">
        <w:rPr>
          <w:rFonts w:ascii="Verdana" w:hAnsi="Verdana"/>
          <w:sz w:val="20"/>
          <w:szCs w:val="20"/>
          <w:lang w:val="es-CR"/>
        </w:rPr>
        <w:t xml:space="preserve"> de reve</w:t>
      </w:r>
      <w:r w:rsidR="000E7CEE" w:rsidRPr="00C029A9">
        <w:rPr>
          <w:rFonts w:ascii="Verdana" w:hAnsi="Verdana"/>
          <w:sz w:val="20"/>
          <w:szCs w:val="20"/>
          <w:lang w:val="es-CR"/>
        </w:rPr>
        <w:t>r</w:t>
      </w:r>
      <w:r w:rsidR="00254DB0" w:rsidRPr="00C029A9">
        <w:rPr>
          <w:rFonts w:ascii="Verdana" w:hAnsi="Verdana"/>
          <w:sz w:val="20"/>
          <w:szCs w:val="20"/>
          <w:lang w:val="es-CR"/>
        </w:rPr>
        <w:t xml:space="preserve">tir la jurisprudencia del </w:t>
      </w:r>
      <w:r w:rsidR="00295934" w:rsidRPr="00C029A9">
        <w:rPr>
          <w:rFonts w:ascii="Verdana" w:hAnsi="Verdana"/>
          <w:sz w:val="20"/>
          <w:szCs w:val="20"/>
          <w:lang w:val="es-CR"/>
        </w:rPr>
        <w:t>c</w:t>
      </w:r>
      <w:r w:rsidR="00254DB0" w:rsidRPr="00C029A9">
        <w:rPr>
          <w:rFonts w:ascii="Verdana" w:hAnsi="Verdana"/>
          <w:sz w:val="20"/>
          <w:szCs w:val="20"/>
          <w:lang w:val="es-CR"/>
        </w:rPr>
        <w:t xml:space="preserve">aso </w:t>
      </w:r>
      <w:proofErr w:type="spellStart"/>
      <w:r w:rsidR="00254DB0" w:rsidRPr="00C029A9">
        <w:rPr>
          <w:rFonts w:ascii="Verdana" w:hAnsi="Verdana"/>
          <w:i/>
          <w:sz w:val="20"/>
          <w:szCs w:val="20"/>
          <w:lang w:val="es-CR"/>
        </w:rPr>
        <w:t>Mémoli</w:t>
      </w:r>
      <w:proofErr w:type="spellEnd"/>
      <w:r w:rsidR="00254DB0" w:rsidRPr="00C029A9">
        <w:rPr>
          <w:rFonts w:ascii="Verdana" w:hAnsi="Verdana"/>
          <w:i/>
          <w:sz w:val="20"/>
          <w:szCs w:val="20"/>
          <w:lang w:val="es-CR"/>
        </w:rPr>
        <w:t xml:space="preserve"> contra Argentina</w:t>
      </w:r>
      <w:r w:rsidR="00076411" w:rsidRPr="00C029A9">
        <w:rPr>
          <w:rFonts w:ascii="Verdana" w:hAnsi="Verdana"/>
          <w:sz w:val="20"/>
          <w:szCs w:val="20"/>
          <w:lang w:val="es-CR"/>
        </w:rPr>
        <w:t>, y de hacer p</w:t>
      </w:r>
      <w:r w:rsidR="00254DB0" w:rsidRPr="00C029A9">
        <w:rPr>
          <w:rFonts w:ascii="Verdana" w:hAnsi="Verdana"/>
          <w:sz w:val="20"/>
          <w:szCs w:val="20"/>
          <w:lang w:val="es-CR"/>
        </w:rPr>
        <w:t>atente al Estado la gravedad de la violación a través de la reparación que impone, mediante la devolución de los bienes cuestionados.</w:t>
      </w:r>
    </w:p>
    <w:p w:rsidR="00F670BE" w:rsidRPr="00C029A9" w:rsidRDefault="00F670BE" w:rsidP="00F670BE">
      <w:pPr>
        <w:pStyle w:val="ListParagraph"/>
        <w:spacing w:after="0"/>
        <w:jc w:val="both"/>
        <w:rPr>
          <w:rFonts w:ascii="Verdana" w:hAnsi="Verdana"/>
          <w:sz w:val="20"/>
          <w:szCs w:val="20"/>
          <w:lang w:val="es-CR"/>
        </w:rPr>
      </w:pPr>
    </w:p>
    <w:p w:rsidR="00254DB0" w:rsidRPr="00C029A9" w:rsidRDefault="00254DB0" w:rsidP="007718D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sz w:val="20"/>
          <w:szCs w:val="20"/>
          <w:lang w:val="es-CR"/>
        </w:rPr>
        <w:t>Un punto clave para entender la presente sentencia es la falta de independencia e imparcialidad</w:t>
      </w:r>
      <w:r w:rsidR="00F670BE" w:rsidRPr="00C029A9">
        <w:rPr>
          <w:rFonts w:ascii="Verdana" w:hAnsi="Verdana"/>
          <w:sz w:val="20"/>
          <w:szCs w:val="20"/>
          <w:lang w:val="es-CR"/>
        </w:rPr>
        <w:t xml:space="preserve"> del Poder Judicial de Venezuela, reiterada por la Corte </w:t>
      </w:r>
      <w:r w:rsidR="00E157AC" w:rsidRPr="00C029A9">
        <w:rPr>
          <w:rFonts w:ascii="Verdana" w:hAnsi="Verdana"/>
          <w:sz w:val="20"/>
          <w:szCs w:val="20"/>
          <w:lang w:val="es-CR"/>
        </w:rPr>
        <w:t>en las</w:t>
      </w:r>
      <w:r w:rsidR="00F670BE" w:rsidRPr="00C029A9">
        <w:rPr>
          <w:rFonts w:ascii="Verdana" w:hAnsi="Verdana"/>
          <w:sz w:val="20"/>
          <w:szCs w:val="20"/>
          <w:lang w:val="es-CR"/>
        </w:rPr>
        <w:t xml:space="preserve"> sentencias </w:t>
      </w:r>
      <w:r w:rsidR="00E157AC" w:rsidRPr="00C029A9">
        <w:rPr>
          <w:rFonts w:ascii="Verdana" w:hAnsi="Verdana"/>
          <w:sz w:val="20"/>
          <w:szCs w:val="20"/>
          <w:lang w:val="es-CR"/>
        </w:rPr>
        <w:t xml:space="preserve">emitidas en los casos: </w:t>
      </w:r>
      <w:proofErr w:type="spellStart"/>
      <w:r w:rsidR="00E157AC" w:rsidRPr="00C029A9">
        <w:rPr>
          <w:rFonts w:ascii="Verdana" w:hAnsi="Verdana"/>
          <w:i/>
          <w:sz w:val="20"/>
          <w:szCs w:val="20"/>
          <w:lang w:val="es-CR"/>
        </w:rPr>
        <w:t>Apitz</w:t>
      </w:r>
      <w:proofErr w:type="spellEnd"/>
      <w:r w:rsidR="00E157AC" w:rsidRPr="00C029A9">
        <w:rPr>
          <w:rFonts w:ascii="Verdana" w:hAnsi="Verdana"/>
          <w:i/>
          <w:sz w:val="20"/>
          <w:szCs w:val="20"/>
          <w:lang w:val="es-CR"/>
        </w:rPr>
        <w:t xml:space="preserve"> Barbera</w:t>
      </w:r>
      <w:r w:rsidR="00A70FD9" w:rsidRPr="00C029A9">
        <w:rPr>
          <w:rFonts w:ascii="Verdana" w:hAnsi="Verdana"/>
          <w:i/>
          <w:sz w:val="20"/>
          <w:szCs w:val="20"/>
          <w:lang w:val="es-CR"/>
        </w:rPr>
        <w:t xml:space="preserve"> y Otros</w:t>
      </w:r>
      <w:r w:rsidR="00A70FD9" w:rsidRPr="00C029A9">
        <w:rPr>
          <w:rStyle w:val="FootnoteReference"/>
          <w:rFonts w:ascii="Verdana" w:hAnsi="Verdana"/>
          <w:i/>
          <w:sz w:val="20"/>
          <w:szCs w:val="20"/>
          <w:lang w:val="es-CR"/>
        </w:rPr>
        <w:footnoteReference w:id="1"/>
      </w:r>
      <w:r w:rsidR="00B71EB4" w:rsidRPr="00C029A9">
        <w:rPr>
          <w:rFonts w:ascii="Verdana" w:hAnsi="Verdana"/>
          <w:i/>
          <w:sz w:val="20"/>
          <w:szCs w:val="20"/>
          <w:lang w:val="es-CR"/>
        </w:rPr>
        <w:t xml:space="preserve">, </w:t>
      </w:r>
      <w:proofErr w:type="spellStart"/>
      <w:r w:rsidR="00A70FD9" w:rsidRPr="00C029A9">
        <w:rPr>
          <w:rFonts w:ascii="Verdana" w:hAnsi="Verdana"/>
          <w:i/>
          <w:sz w:val="20"/>
          <w:szCs w:val="20"/>
          <w:lang w:val="es-CR"/>
        </w:rPr>
        <w:t>Reverón</w:t>
      </w:r>
      <w:proofErr w:type="spellEnd"/>
      <w:r w:rsidR="00A70FD9" w:rsidRPr="00C029A9">
        <w:rPr>
          <w:rFonts w:ascii="Verdana" w:hAnsi="Verdana"/>
          <w:i/>
          <w:sz w:val="20"/>
          <w:szCs w:val="20"/>
          <w:lang w:val="es-CR"/>
        </w:rPr>
        <w:t xml:space="preserve"> Trujillo</w:t>
      </w:r>
      <w:r w:rsidR="00A70FD9" w:rsidRPr="00C029A9">
        <w:rPr>
          <w:rStyle w:val="FootnoteReference"/>
          <w:rFonts w:ascii="Verdana" w:hAnsi="Verdana"/>
          <w:i/>
          <w:sz w:val="20"/>
          <w:szCs w:val="20"/>
          <w:lang w:val="es-CR"/>
        </w:rPr>
        <w:footnoteReference w:id="2"/>
      </w:r>
      <w:r w:rsidR="00A70FD9" w:rsidRPr="00C029A9">
        <w:rPr>
          <w:rFonts w:ascii="Verdana" w:hAnsi="Verdana"/>
          <w:i/>
          <w:sz w:val="20"/>
          <w:szCs w:val="20"/>
          <w:lang w:val="es-CR"/>
        </w:rPr>
        <w:t xml:space="preserve"> y </w:t>
      </w:r>
      <w:proofErr w:type="spellStart"/>
      <w:r w:rsidR="00B71EB4" w:rsidRPr="00C029A9">
        <w:rPr>
          <w:rFonts w:ascii="Verdana" w:hAnsi="Verdana"/>
          <w:i/>
          <w:sz w:val="20"/>
          <w:szCs w:val="20"/>
          <w:lang w:val="es-CR"/>
        </w:rPr>
        <w:t>Chocrón</w:t>
      </w:r>
      <w:proofErr w:type="spellEnd"/>
      <w:r w:rsidR="00B71EB4" w:rsidRPr="00C029A9">
        <w:rPr>
          <w:rFonts w:ascii="Verdana" w:hAnsi="Verdana"/>
          <w:i/>
          <w:sz w:val="20"/>
          <w:szCs w:val="20"/>
          <w:lang w:val="es-CR"/>
        </w:rPr>
        <w:t xml:space="preserve"> </w:t>
      </w:r>
      <w:proofErr w:type="spellStart"/>
      <w:r w:rsidR="00B71EB4" w:rsidRPr="00C029A9">
        <w:rPr>
          <w:rFonts w:ascii="Verdana" w:hAnsi="Verdana"/>
          <w:i/>
          <w:sz w:val="20"/>
          <w:szCs w:val="20"/>
          <w:lang w:val="es-CR"/>
        </w:rPr>
        <w:t>Chocrón</w:t>
      </w:r>
      <w:proofErr w:type="spellEnd"/>
      <w:r w:rsidR="00F76ADC" w:rsidRPr="00C029A9">
        <w:rPr>
          <w:rStyle w:val="FootnoteReference"/>
          <w:rFonts w:ascii="Verdana" w:hAnsi="Verdana"/>
          <w:i/>
          <w:sz w:val="20"/>
          <w:szCs w:val="20"/>
          <w:lang w:val="es-CR"/>
        </w:rPr>
        <w:footnoteReference w:id="3"/>
      </w:r>
      <w:r w:rsidR="00D011CC" w:rsidRPr="00C029A9">
        <w:rPr>
          <w:rFonts w:ascii="Verdana" w:hAnsi="Verdana"/>
          <w:sz w:val="20"/>
          <w:szCs w:val="20"/>
          <w:lang w:val="es-CR"/>
        </w:rPr>
        <w:t>,</w:t>
      </w:r>
      <w:r w:rsidR="00E157AC" w:rsidRPr="00C029A9">
        <w:rPr>
          <w:rFonts w:ascii="Verdana" w:hAnsi="Verdana"/>
          <w:sz w:val="20"/>
          <w:szCs w:val="20"/>
          <w:lang w:val="es-CR"/>
        </w:rPr>
        <w:t xml:space="preserve"> </w:t>
      </w:r>
      <w:r w:rsidR="00F670BE" w:rsidRPr="00C029A9">
        <w:rPr>
          <w:rFonts w:ascii="Verdana" w:hAnsi="Verdana"/>
          <w:sz w:val="20"/>
          <w:szCs w:val="20"/>
          <w:lang w:val="es-CR"/>
        </w:rPr>
        <w:t>y para comprender la consecuencia de la misma en el presente caso: la violación del derecho de propiedad.</w:t>
      </w:r>
    </w:p>
    <w:p w:rsidR="00F670BE" w:rsidRPr="00C029A9" w:rsidRDefault="00F670BE" w:rsidP="00F670BE">
      <w:pPr>
        <w:spacing w:after="0"/>
        <w:jc w:val="both"/>
        <w:rPr>
          <w:rFonts w:ascii="Verdana" w:hAnsi="Verdana"/>
          <w:sz w:val="20"/>
          <w:szCs w:val="20"/>
          <w:lang w:val="es-CR"/>
        </w:rPr>
      </w:pPr>
    </w:p>
    <w:p w:rsidR="00F670BE" w:rsidRPr="00C029A9" w:rsidRDefault="00F670BE" w:rsidP="007718D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sz w:val="20"/>
          <w:szCs w:val="20"/>
          <w:lang w:val="es-CR"/>
        </w:rPr>
        <w:t xml:space="preserve">Uno de los objetivos principales que tiene la separación de los poderes públicos, es la garantía de la independencia de los jueces, cuyo objetivo radica en evitar que el sistema </w:t>
      </w:r>
      <w:r w:rsidRPr="00C029A9">
        <w:rPr>
          <w:rFonts w:ascii="Verdana" w:hAnsi="Verdana"/>
          <w:sz w:val="20"/>
          <w:szCs w:val="20"/>
          <w:lang w:val="es-CR"/>
        </w:rPr>
        <w:lastRenderedPageBreak/>
        <w:t>judicial y sus integrantes se vean sometidos a re</w:t>
      </w:r>
      <w:bookmarkStart w:id="0" w:name="_GoBack"/>
      <w:bookmarkEnd w:id="0"/>
      <w:r w:rsidRPr="00C029A9">
        <w:rPr>
          <w:rFonts w:ascii="Verdana" w:hAnsi="Verdana"/>
          <w:sz w:val="20"/>
          <w:szCs w:val="20"/>
          <w:lang w:val="es-CR"/>
        </w:rPr>
        <w:t>stricciones indebidas en el ejercicio de su función por parte de órganos ajenos al Poder Judicial o</w:t>
      </w:r>
      <w:r w:rsidR="000E7CEE" w:rsidRPr="00C029A9">
        <w:rPr>
          <w:rFonts w:ascii="Verdana" w:hAnsi="Verdana"/>
          <w:sz w:val="20"/>
          <w:szCs w:val="20"/>
          <w:lang w:val="es-CR"/>
        </w:rPr>
        <w:t>,</w:t>
      </w:r>
      <w:r w:rsidRPr="00C029A9">
        <w:rPr>
          <w:rFonts w:ascii="Verdana" w:hAnsi="Verdana"/>
          <w:sz w:val="20"/>
          <w:szCs w:val="20"/>
          <w:lang w:val="es-CR"/>
        </w:rPr>
        <w:t xml:space="preserve"> incluso</w:t>
      </w:r>
      <w:r w:rsidR="000E7CEE" w:rsidRPr="00C029A9">
        <w:rPr>
          <w:rFonts w:ascii="Verdana" w:hAnsi="Verdana"/>
          <w:sz w:val="20"/>
          <w:szCs w:val="20"/>
          <w:lang w:val="es-CR"/>
        </w:rPr>
        <w:t>,</w:t>
      </w:r>
      <w:r w:rsidRPr="00C029A9">
        <w:rPr>
          <w:rFonts w:ascii="Verdana" w:hAnsi="Verdana"/>
          <w:sz w:val="20"/>
          <w:szCs w:val="20"/>
          <w:lang w:val="es-CR"/>
        </w:rPr>
        <w:t xml:space="preserve"> por parte de aquellos magistrados que ejercen funciones de revisión o apelación</w:t>
      </w:r>
      <w:r w:rsidRPr="007718D5">
        <w:rPr>
          <w:rFonts w:ascii="Verdana" w:hAnsi="Verdana"/>
          <w:sz w:val="20"/>
          <w:szCs w:val="20"/>
          <w:vertAlign w:val="superscript"/>
          <w:lang w:val="es-CR"/>
        </w:rPr>
        <w:footnoteReference w:id="4"/>
      </w:r>
      <w:r w:rsidRPr="00C029A9">
        <w:rPr>
          <w:rFonts w:ascii="Verdana" w:hAnsi="Verdana"/>
          <w:sz w:val="20"/>
          <w:szCs w:val="20"/>
          <w:lang w:val="es-CR"/>
        </w:rPr>
        <w:t>. Además, la garantía de la independencia judicial abarca la garantía contra presiones externas</w:t>
      </w:r>
      <w:bookmarkStart w:id="1" w:name="_Ref318137626"/>
      <w:r w:rsidRPr="007718D5">
        <w:rPr>
          <w:rFonts w:ascii="Verdana" w:hAnsi="Verdana"/>
          <w:sz w:val="20"/>
          <w:szCs w:val="20"/>
          <w:vertAlign w:val="superscript"/>
          <w:lang w:val="es-CR"/>
        </w:rPr>
        <w:footnoteReference w:id="5"/>
      </w:r>
      <w:bookmarkEnd w:id="1"/>
      <w:r w:rsidRPr="00C029A9">
        <w:rPr>
          <w:rFonts w:ascii="Verdana" w:hAnsi="Verdana"/>
          <w:sz w:val="20"/>
          <w:szCs w:val="20"/>
          <w:lang w:val="es-CR"/>
        </w:rPr>
        <w:t>, de tal forma que el Estado debe abstenerse de realizar injerencias indebidas en el Poder Judicial o en sus integrantes</w:t>
      </w:r>
      <w:r w:rsidR="000E7CEE" w:rsidRPr="00C029A9">
        <w:rPr>
          <w:rFonts w:ascii="Verdana" w:hAnsi="Verdana"/>
          <w:sz w:val="20"/>
          <w:szCs w:val="20"/>
          <w:lang w:val="es-CR"/>
        </w:rPr>
        <w:t>;</w:t>
      </w:r>
      <w:r w:rsidRPr="00C029A9">
        <w:rPr>
          <w:rFonts w:ascii="Verdana" w:hAnsi="Verdana"/>
          <w:sz w:val="20"/>
          <w:szCs w:val="20"/>
          <w:lang w:val="es-CR"/>
        </w:rPr>
        <w:t xml:space="preserve"> es decir, con relación a la persona del juez específico, y debe prevenir dichas injerencias e investigar y sancionar a quienes las cometan</w:t>
      </w:r>
      <w:r w:rsidRPr="007718D5">
        <w:rPr>
          <w:rFonts w:ascii="Verdana" w:hAnsi="Verdana"/>
          <w:sz w:val="20"/>
          <w:szCs w:val="20"/>
          <w:vertAlign w:val="superscript"/>
          <w:lang w:val="es-CR"/>
        </w:rPr>
        <w:footnoteReference w:id="6"/>
      </w:r>
      <w:r w:rsidRPr="00C029A9">
        <w:rPr>
          <w:rFonts w:ascii="Verdana" w:hAnsi="Verdana"/>
          <w:sz w:val="20"/>
          <w:szCs w:val="20"/>
          <w:lang w:val="es-CR"/>
        </w:rPr>
        <w:t xml:space="preserve">. </w:t>
      </w:r>
    </w:p>
    <w:p w:rsidR="00F670BE" w:rsidRPr="00C029A9" w:rsidRDefault="00F670BE" w:rsidP="00F670BE">
      <w:pPr>
        <w:pStyle w:val="ListParagraph"/>
        <w:tabs>
          <w:tab w:val="left" w:pos="720"/>
          <w:tab w:val="num" w:pos="1247"/>
        </w:tabs>
        <w:overflowPunct w:val="0"/>
        <w:autoSpaceDE w:val="0"/>
        <w:autoSpaceDN w:val="0"/>
        <w:adjustRightInd w:val="0"/>
        <w:spacing w:after="0" w:line="240" w:lineRule="auto"/>
        <w:ind w:right="44"/>
        <w:jc w:val="both"/>
        <w:textAlignment w:val="baseline"/>
        <w:rPr>
          <w:rFonts w:ascii="Verdana" w:hAnsi="Verdana"/>
          <w:sz w:val="20"/>
          <w:szCs w:val="20"/>
          <w:lang w:val="es-CR" w:eastAsia="es-ES"/>
        </w:rPr>
      </w:pPr>
    </w:p>
    <w:p w:rsidR="00F670BE" w:rsidRPr="00C029A9" w:rsidRDefault="00F670BE" w:rsidP="007718D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cs="Arial"/>
          <w:sz w:val="20"/>
          <w:szCs w:val="20"/>
          <w:lang w:val="es-ES"/>
        </w:rPr>
        <w:t>El derecho a ser juzgado por un juez o tribunal imparcial es una garantía fundamental del debido proceso, debiéndose garantizar que el juez o tribunal en el ejercicio de su función como juzgador cuente con la mayor objetividad para enfrentar el juicio</w:t>
      </w:r>
      <w:r w:rsidRPr="007718D5">
        <w:rPr>
          <w:rStyle w:val="FootnoteReference"/>
          <w:rFonts w:ascii="Verdana" w:hAnsi="Verdana" w:cs="Arial"/>
          <w:sz w:val="20"/>
          <w:szCs w:val="20"/>
          <w:lang w:val="es-ES"/>
        </w:rPr>
        <w:footnoteReference w:id="7"/>
      </w:r>
      <w:r w:rsidRPr="00C029A9">
        <w:rPr>
          <w:rFonts w:ascii="Verdana" w:hAnsi="Verdana" w:cs="Arial"/>
          <w:sz w:val="20"/>
          <w:szCs w:val="20"/>
          <w:lang w:val="es-ES"/>
        </w:rPr>
        <w:t>. La Corte Interamericana ha establecido que la</w:t>
      </w:r>
      <w:r w:rsidR="00295934" w:rsidRPr="00C029A9">
        <w:rPr>
          <w:rFonts w:ascii="Verdana" w:hAnsi="Verdana" w:cs="Arial"/>
          <w:sz w:val="20"/>
          <w:szCs w:val="20"/>
          <w:lang w:val="es-ES"/>
        </w:rPr>
        <w:t xml:space="preserve"> </w:t>
      </w:r>
      <w:r w:rsidRPr="00C029A9">
        <w:rPr>
          <w:rFonts w:ascii="Verdana" w:hAnsi="Verdana" w:cs="Arial"/>
          <w:bCs/>
          <w:iCs/>
          <w:sz w:val="20"/>
          <w:szCs w:val="20"/>
          <w:lang w:val="es-ES"/>
        </w:rPr>
        <w:t>imparcialidad</w:t>
      </w:r>
      <w:r w:rsidR="00295934" w:rsidRPr="00C029A9">
        <w:rPr>
          <w:rFonts w:ascii="Verdana" w:hAnsi="Verdana" w:cs="Arial"/>
          <w:sz w:val="20"/>
          <w:szCs w:val="20"/>
          <w:lang w:val="es-ES"/>
        </w:rPr>
        <w:t xml:space="preserve"> </w:t>
      </w:r>
      <w:r w:rsidRPr="00C029A9">
        <w:rPr>
          <w:rFonts w:ascii="Verdana" w:hAnsi="Verdana" w:cs="Arial"/>
          <w:sz w:val="20"/>
          <w:szCs w:val="20"/>
          <w:lang w:val="es-ES"/>
        </w:rPr>
        <w:t xml:space="preserve">exige que el juez que interviene en una contienda particular se aproxime a los hechos de la causa careciendo, de manera subjetiva, de todo prejuicio y, asimismo, ofreciendo garantías suficientes de índole objetiva que </w:t>
      </w:r>
      <w:r w:rsidRPr="00C029A9">
        <w:rPr>
          <w:rFonts w:ascii="Verdana" w:hAnsi="Verdana"/>
          <w:sz w:val="20"/>
          <w:szCs w:val="20"/>
          <w:lang w:val="es-CR"/>
        </w:rPr>
        <w:t>inspiren la confianza necesaria a las partes en el caso, así como a los ciudadanos en una sociedad democrática</w:t>
      </w:r>
      <w:r w:rsidRPr="007718D5">
        <w:rPr>
          <w:rStyle w:val="FootnoteReference"/>
          <w:rFonts w:ascii="Verdana" w:hAnsi="Verdana"/>
          <w:sz w:val="20"/>
          <w:szCs w:val="20"/>
        </w:rPr>
        <w:footnoteReference w:id="8"/>
      </w:r>
      <w:r w:rsidRPr="00C029A9">
        <w:rPr>
          <w:rFonts w:ascii="Verdana" w:hAnsi="Verdana"/>
          <w:sz w:val="20"/>
          <w:szCs w:val="20"/>
          <w:lang w:val="es-CR"/>
        </w:rPr>
        <w:t>.</w:t>
      </w:r>
      <w:r w:rsidRPr="00C029A9">
        <w:rPr>
          <w:rFonts w:ascii="Verdana" w:hAnsi="Verdana" w:cs="Arial"/>
          <w:sz w:val="20"/>
          <w:szCs w:val="20"/>
          <w:lang w:val="es-ES"/>
        </w:rPr>
        <w:t xml:space="preserve"> La</w:t>
      </w:r>
      <w:r w:rsidR="00295934" w:rsidRPr="00C029A9">
        <w:rPr>
          <w:rFonts w:ascii="Verdana" w:hAnsi="Verdana" w:cs="Arial"/>
          <w:sz w:val="20"/>
          <w:szCs w:val="20"/>
          <w:lang w:val="es-ES"/>
        </w:rPr>
        <w:t xml:space="preserve"> </w:t>
      </w:r>
      <w:r w:rsidRPr="00C029A9">
        <w:rPr>
          <w:rFonts w:ascii="Verdana" w:hAnsi="Verdana" w:cs="Arial"/>
          <w:bCs/>
          <w:iCs/>
          <w:sz w:val="20"/>
          <w:szCs w:val="20"/>
          <w:lang w:val="es-ES"/>
        </w:rPr>
        <w:t>imparcialidad</w:t>
      </w:r>
      <w:r w:rsidR="00C34A26" w:rsidRPr="00C029A9">
        <w:rPr>
          <w:rFonts w:ascii="Verdana" w:hAnsi="Verdana" w:cs="Arial"/>
          <w:bCs/>
          <w:iCs/>
          <w:sz w:val="20"/>
          <w:szCs w:val="20"/>
          <w:lang w:val="es-ES"/>
        </w:rPr>
        <w:t xml:space="preserve"> </w:t>
      </w:r>
      <w:r w:rsidRPr="00C029A9">
        <w:rPr>
          <w:rFonts w:ascii="Verdana" w:hAnsi="Verdana" w:cs="Arial"/>
          <w:sz w:val="20"/>
          <w:szCs w:val="20"/>
          <w:lang w:val="es-ES"/>
        </w:rPr>
        <w:t>del tribunal implica que sus integrantes no tengan un interés directo, una posición tomada, una preferencia por alguna de las partes y que no se encuentren involucrados en la controversia</w:t>
      </w:r>
      <w:r w:rsidRPr="007718D5">
        <w:rPr>
          <w:rStyle w:val="FootnoteReference"/>
          <w:rFonts w:ascii="Verdana" w:hAnsi="Verdana" w:cs="Arial"/>
          <w:sz w:val="20"/>
          <w:szCs w:val="20"/>
          <w:lang w:val="es-ES"/>
        </w:rPr>
        <w:footnoteReference w:id="9"/>
      </w:r>
      <w:r w:rsidRPr="00C029A9">
        <w:rPr>
          <w:rFonts w:ascii="Verdana" w:hAnsi="Verdana" w:cs="Arial"/>
          <w:sz w:val="20"/>
          <w:szCs w:val="20"/>
          <w:lang w:val="es-ES"/>
        </w:rPr>
        <w:t>.</w:t>
      </w:r>
    </w:p>
    <w:p w:rsidR="00F670BE" w:rsidRPr="00C029A9" w:rsidRDefault="00F670BE" w:rsidP="00F670BE">
      <w:pPr>
        <w:tabs>
          <w:tab w:val="left" w:pos="720"/>
        </w:tabs>
        <w:overflowPunct w:val="0"/>
        <w:autoSpaceDE w:val="0"/>
        <w:autoSpaceDN w:val="0"/>
        <w:adjustRightInd w:val="0"/>
        <w:spacing w:after="0" w:line="240" w:lineRule="auto"/>
        <w:ind w:right="44"/>
        <w:jc w:val="both"/>
        <w:textAlignment w:val="baseline"/>
        <w:rPr>
          <w:rFonts w:ascii="Verdana" w:hAnsi="Verdana"/>
          <w:sz w:val="20"/>
          <w:szCs w:val="20"/>
          <w:lang w:val="es-CR"/>
        </w:rPr>
      </w:pPr>
    </w:p>
    <w:p w:rsidR="00F670BE" w:rsidRPr="00C029A9" w:rsidRDefault="00F670BE" w:rsidP="007718D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cs="BookAntiqua"/>
          <w:sz w:val="20"/>
          <w:szCs w:val="20"/>
          <w:lang w:val="es-CR"/>
        </w:rPr>
        <w:t xml:space="preserve">En el caso </w:t>
      </w:r>
      <w:proofErr w:type="spellStart"/>
      <w:r w:rsidRPr="00C029A9">
        <w:rPr>
          <w:rFonts w:ascii="Verdana" w:hAnsi="Verdana" w:cs="BookAntiqua"/>
          <w:i/>
          <w:sz w:val="20"/>
          <w:szCs w:val="20"/>
          <w:lang w:val="es-CR"/>
        </w:rPr>
        <w:t>Granier</w:t>
      </w:r>
      <w:proofErr w:type="spellEnd"/>
      <w:r w:rsidRPr="00C029A9">
        <w:rPr>
          <w:rFonts w:ascii="Verdana" w:hAnsi="Verdana" w:cs="BookAntiqua"/>
          <w:i/>
          <w:sz w:val="20"/>
          <w:szCs w:val="20"/>
          <w:lang w:val="es-CR"/>
        </w:rPr>
        <w:t xml:space="preserve"> y otros vs. Venezuela</w:t>
      </w:r>
      <w:r w:rsidRPr="00C029A9">
        <w:rPr>
          <w:rFonts w:ascii="Verdana" w:hAnsi="Verdana" w:cs="BookAntiqua"/>
          <w:sz w:val="20"/>
          <w:szCs w:val="20"/>
          <w:lang w:val="es-CR"/>
        </w:rPr>
        <w:t xml:space="preserve">, en lo que respecta al argumento </w:t>
      </w:r>
      <w:r w:rsidR="00B8619A" w:rsidRPr="00C029A9">
        <w:rPr>
          <w:rFonts w:ascii="Verdana" w:hAnsi="Verdana" w:cs="BookAntiqua"/>
          <w:sz w:val="20"/>
          <w:szCs w:val="20"/>
          <w:lang w:val="es-CR"/>
        </w:rPr>
        <w:t xml:space="preserve">de los representantes </w:t>
      </w:r>
      <w:r w:rsidRPr="00C029A9">
        <w:rPr>
          <w:rFonts w:ascii="Verdana" w:hAnsi="Verdana" w:cs="BookAntiqua"/>
          <w:sz w:val="20"/>
          <w:szCs w:val="20"/>
          <w:lang w:val="es-CR"/>
        </w:rPr>
        <w:t xml:space="preserve">sobre </w:t>
      </w:r>
      <w:r w:rsidR="0064248C" w:rsidRPr="00C029A9">
        <w:rPr>
          <w:rFonts w:ascii="Verdana" w:hAnsi="Verdana" w:cs="BookAntiqua"/>
          <w:sz w:val="20"/>
          <w:szCs w:val="20"/>
          <w:lang w:val="es-CR"/>
        </w:rPr>
        <w:t xml:space="preserve">la </w:t>
      </w:r>
      <w:r w:rsidRPr="00C029A9">
        <w:rPr>
          <w:rFonts w:ascii="Verdana" w:hAnsi="Verdana" w:cs="BookAntiqua"/>
          <w:sz w:val="20"/>
          <w:szCs w:val="20"/>
          <w:lang w:val="es-CR"/>
        </w:rPr>
        <w:t>“</w:t>
      </w:r>
      <w:r w:rsidRPr="00C029A9">
        <w:rPr>
          <w:rFonts w:ascii="Verdana" w:hAnsi="Verdana"/>
          <w:sz w:val="20"/>
          <w:szCs w:val="20"/>
          <w:lang w:val="es-CR"/>
        </w:rPr>
        <w:t>falta de probidad procesal con la que actuaron las Salas del Tribunal Supremo de Justicia, revelando así una total falta de independencia por parte de ese máximo órgano judicial [así como] una evidente desviación del Poder Público</w:t>
      </w:r>
      <w:r w:rsidRPr="00C029A9">
        <w:rPr>
          <w:rFonts w:ascii="Verdana" w:hAnsi="Verdana" w:cs="BookAntiqua"/>
          <w:sz w:val="20"/>
          <w:szCs w:val="20"/>
          <w:lang w:val="es-CR"/>
        </w:rPr>
        <w:t xml:space="preserve">”, deben destacarse lo siguientes puntos: i) la decisión de incautar los bienes de RCTV fue tomada en el marco de los procesos del amparo constitucional y de la demanda por intereses difusos y colectivos en los que se solicitaron medidas cautelares. En uno de dichos procesos el Tribunal Supremo tomó, de oficio y sin que le hubiera sido requerida, la decisión de asignar el uso de los bienes propiedad de RCTV a </w:t>
      </w:r>
      <w:proofErr w:type="spellStart"/>
      <w:r w:rsidRPr="00C029A9">
        <w:rPr>
          <w:rFonts w:ascii="Verdana" w:hAnsi="Verdana" w:cs="BookAntiqua"/>
          <w:sz w:val="20"/>
          <w:szCs w:val="20"/>
          <w:lang w:val="es-CR"/>
        </w:rPr>
        <w:t>TVes</w:t>
      </w:r>
      <w:proofErr w:type="spellEnd"/>
      <w:r w:rsidRPr="00C029A9">
        <w:rPr>
          <w:rFonts w:ascii="Verdana" w:hAnsi="Verdana" w:cs="BookAntiqua"/>
          <w:sz w:val="20"/>
          <w:szCs w:val="20"/>
          <w:lang w:val="es-CR"/>
        </w:rPr>
        <w:t xml:space="preserve"> para que esta última pudiera transmitir en todo el territorio nacional; ii) para el momento en que se dictó la medida cautelar que otorgaba el uso de los bienes a CONATEL, </w:t>
      </w:r>
      <w:proofErr w:type="spellStart"/>
      <w:r w:rsidRPr="00C029A9">
        <w:rPr>
          <w:rFonts w:ascii="Verdana" w:hAnsi="Verdana" w:cs="BookAntiqua"/>
          <w:sz w:val="20"/>
          <w:szCs w:val="20"/>
          <w:lang w:val="es-CR"/>
        </w:rPr>
        <w:t>TVes</w:t>
      </w:r>
      <w:proofErr w:type="spellEnd"/>
      <w:r w:rsidRPr="00C029A9">
        <w:rPr>
          <w:rFonts w:ascii="Verdana" w:hAnsi="Verdana" w:cs="BookAntiqua"/>
          <w:sz w:val="20"/>
          <w:szCs w:val="20"/>
          <w:lang w:val="es-CR"/>
        </w:rPr>
        <w:t xml:space="preserve"> había sido recientemente creada y no contaba con la infraestructura necesaria para la transmisión a nivel nacional, por lo que el Tribunal Supremo le otorgó de oficio el uso de los bienes propiedad de RCTV; iii) los </w:t>
      </w:r>
      <w:r w:rsidRPr="00C029A9">
        <w:rPr>
          <w:rFonts w:ascii="Verdana" w:hAnsi="Verdana" w:cs="BookAntiqua"/>
          <w:sz w:val="20"/>
          <w:szCs w:val="20"/>
          <w:lang w:val="es-CR"/>
        </w:rPr>
        <w:lastRenderedPageBreak/>
        <w:t xml:space="preserve">representantes de RCTV no tuvieron oportunidad de participar en el proceso de manera directa, ya que </w:t>
      </w:r>
      <w:proofErr w:type="spellStart"/>
      <w:r w:rsidRPr="00C029A9">
        <w:rPr>
          <w:rFonts w:ascii="Verdana" w:hAnsi="Verdana" w:cs="BookAntiqua"/>
          <w:sz w:val="20"/>
          <w:szCs w:val="20"/>
          <w:lang w:val="es-CR"/>
        </w:rPr>
        <w:t>aún</w:t>
      </w:r>
      <w:proofErr w:type="spellEnd"/>
      <w:r w:rsidRPr="00C029A9">
        <w:rPr>
          <w:rFonts w:ascii="Verdana" w:hAnsi="Verdana" w:cs="BookAntiqua"/>
          <w:sz w:val="20"/>
          <w:szCs w:val="20"/>
          <w:lang w:val="es-CR"/>
        </w:rPr>
        <w:t xml:space="preserve"> cuando la medida cautelar resolvería sobre el uso de los bienes propiedad de RCTV, no fueron ni citados a comparecer ni notificados de manera directa, y s</w:t>
      </w:r>
      <w:r w:rsidR="00417BB4" w:rsidRPr="00C029A9">
        <w:rPr>
          <w:rFonts w:ascii="Verdana" w:hAnsi="Verdana" w:cs="BookAntiqua"/>
          <w:sz w:val="20"/>
          <w:szCs w:val="20"/>
          <w:lang w:val="es-CR"/>
        </w:rPr>
        <w:t>o</w:t>
      </w:r>
      <w:r w:rsidRPr="00C029A9">
        <w:rPr>
          <w:rFonts w:ascii="Verdana" w:hAnsi="Verdana" w:cs="BookAntiqua"/>
          <w:sz w:val="20"/>
          <w:szCs w:val="20"/>
          <w:lang w:val="es-CR"/>
        </w:rPr>
        <w:t>lo tenían oportunidad de intervenir en el proceso como coadyuvantes, y iv) después de más de siete años, la medida cautelar continúa vigente permitiendo el uso por parte del Estado de los bienes propiedad de RCTV, sin que el TSJ haya realizado ninguna diligencia para resolver la oposición a esta medida cautelar.</w:t>
      </w:r>
    </w:p>
    <w:p w:rsidR="00B8619A" w:rsidRPr="00C029A9" w:rsidRDefault="00B8619A" w:rsidP="00B8619A">
      <w:pPr>
        <w:pStyle w:val="ListParagraph"/>
        <w:spacing w:after="0"/>
        <w:jc w:val="both"/>
        <w:rPr>
          <w:rFonts w:ascii="Verdana" w:hAnsi="Verdana"/>
          <w:sz w:val="20"/>
          <w:szCs w:val="20"/>
          <w:lang w:val="es-CR"/>
        </w:rPr>
      </w:pPr>
    </w:p>
    <w:p w:rsidR="00B8619A" w:rsidRPr="00C029A9" w:rsidRDefault="00B8619A" w:rsidP="007718D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cs="BookAntiqua"/>
          <w:sz w:val="20"/>
          <w:szCs w:val="20"/>
          <w:lang w:val="es-CR"/>
        </w:rPr>
        <w:t xml:space="preserve">La actuación del </w:t>
      </w:r>
      <w:r w:rsidRPr="00C029A9">
        <w:rPr>
          <w:rFonts w:ascii="Verdana" w:hAnsi="Verdana"/>
          <w:sz w:val="20"/>
          <w:szCs w:val="20"/>
          <w:lang w:val="es-CR"/>
        </w:rPr>
        <w:t xml:space="preserve">Tribunal Supremo de Justicia coadyuvó con las decisiones tomadas por órganos del Poder Ejecutivo respecto a reservarse el uso del espectro asignado inicialmente a RCTV y la creación de un canal de televisión propiedad del Estado, puesto que la medida cautelar innominada fue ordenada por el TSJ con la finalidad de otorgarle al canal estatal recién creado los bienes que necesitaba para operar. </w:t>
      </w:r>
    </w:p>
    <w:p w:rsidR="00B8619A" w:rsidRPr="00C029A9" w:rsidRDefault="00B8619A" w:rsidP="00B8619A">
      <w:pPr>
        <w:tabs>
          <w:tab w:val="left" w:pos="720"/>
        </w:tabs>
        <w:overflowPunct w:val="0"/>
        <w:autoSpaceDE w:val="0"/>
        <w:autoSpaceDN w:val="0"/>
        <w:adjustRightInd w:val="0"/>
        <w:spacing w:after="0" w:line="240" w:lineRule="auto"/>
        <w:ind w:left="720" w:right="44"/>
        <w:jc w:val="both"/>
        <w:textAlignment w:val="baseline"/>
        <w:rPr>
          <w:rFonts w:ascii="Verdana" w:hAnsi="Verdana"/>
          <w:sz w:val="20"/>
          <w:szCs w:val="20"/>
          <w:lang w:val="es-CR"/>
        </w:rPr>
      </w:pPr>
    </w:p>
    <w:p w:rsidR="00B8619A" w:rsidRPr="00C029A9" w:rsidRDefault="00B8619A" w:rsidP="007718D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sz w:val="20"/>
          <w:szCs w:val="20"/>
          <w:lang w:val="es-CR"/>
        </w:rPr>
        <w:t xml:space="preserve">La actuación del Tribunal Supremo contribuyó </w:t>
      </w:r>
      <w:r w:rsidRPr="00C029A9">
        <w:rPr>
          <w:rFonts w:ascii="Verdana" w:hAnsi="Verdana"/>
          <w:sz w:val="20"/>
          <w:szCs w:val="20"/>
          <w:lang w:val="es-PE"/>
        </w:rPr>
        <w:t xml:space="preserve">con la desviación de poder, haciendo uso de una facultad permitida </w:t>
      </w:r>
      <w:r w:rsidRPr="00C029A9">
        <w:rPr>
          <w:rFonts w:ascii="Verdana" w:hAnsi="Verdana"/>
          <w:sz w:val="20"/>
          <w:szCs w:val="20"/>
          <w:lang w:val="es-ES"/>
        </w:rPr>
        <w:t xml:space="preserve">con el objetivo ilegítimo de </w:t>
      </w:r>
      <w:r w:rsidRPr="00C029A9">
        <w:rPr>
          <w:rFonts w:ascii="Verdana" w:hAnsi="Verdana"/>
          <w:sz w:val="20"/>
          <w:szCs w:val="20"/>
          <w:lang w:val="es-CR"/>
        </w:rPr>
        <w:t>cooperar con las decisiones tomadas por órganos del Poder Ejecutivo</w:t>
      </w:r>
      <w:r w:rsidRPr="00C029A9">
        <w:rPr>
          <w:rFonts w:ascii="Verdana" w:hAnsi="Verdana"/>
          <w:sz w:val="20"/>
          <w:szCs w:val="20"/>
          <w:lang w:val="es-ES"/>
        </w:rPr>
        <w:t xml:space="preserve">. </w:t>
      </w:r>
      <w:r w:rsidRPr="00C029A9">
        <w:rPr>
          <w:rFonts w:ascii="Verdana" w:hAnsi="Verdana" w:cs="BookAntiqua"/>
          <w:sz w:val="20"/>
          <w:szCs w:val="20"/>
          <w:lang w:val="es-CR"/>
        </w:rPr>
        <w:t>El Tribunal Supremo de Justicia actuó con falta de independencia al decidir la medida cautelar innominada sobre el uso de los bienes de RCTV</w:t>
      </w:r>
      <w:r w:rsidRPr="00C029A9">
        <w:rPr>
          <w:rFonts w:ascii="Verdana" w:hAnsi="Verdana"/>
          <w:sz w:val="20"/>
          <w:szCs w:val="20"/>
          <w:lang w:val="es-CR"/>
        </w:rPr>
        <w:t>.</w:t>
      </w:r>
    </w:p>
    <w:p w:rsidR="00B8619A" w:rsidRPr="00C029A9" w:rsidRDefault="00B8619A" w:rsidP="00B8619A">
      <w:pPr>
        <w:pStyle w:val="ListParagraph"/>
        <w:rPr>
          <w:rFonts w:ascii="Verdana" w:hAnsi="Verdana"/>
          <w:sz w:val="20"/>
          <w:szCs w:val="20"/>
          <w:lang w:val="es-CR"/>
        </w:rPr>
      </w:pPr>
    </w:p>
    <w:p w:rsidR="00B8619A" w:rsidRPr="00C029A9" w:rsidRDefault="00B8619A" w:rsidP="007718D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cs="Arial"/>
          <w:sz w:val="20"/>
          <w:szCs w:val="20"/>
          <w:lang w:val="es-CR"/>
        </w:rPr>
        <w:t xml:space="preserve">La Sala Constitucional del </w:t>
      </w:r>
      <w:r w:rsidRPr="00C029A9">
        <w:rPr>
          <w:rFonts w:ascii="Verdana" w:hAnsi="Verdana"/>
          <w:sz w:val="20"/>
          <w:szCs w:val="20"/>
          <w:lang w:val="es-CR"/>
        </w:rPr>
        <w:t>Tribunal Supremo de Justicia</w:t>
      </w:r>
      <w:r w:rsidRPr="00C029A9">
        <w:rPr>
          <w:rFonts w:ascii="Verdana" w:hAnsi="Verdana" w:cs="Arial"/>
          <w:sz w:val="20"/>
          <w:szCs w:val="20"/>
          <w:lang w:val="es-CR"/>
        </w:rPr>
        <w:t xml:space="preserve"> determinó asignar el uso de los bienes propiedad de RCTV a </w:t>
      </w:r>
      <w:proofErr w:type="spellStart"/>
      <w:r w:rsidRPr="00C029A9">
        <w:rPr>
          <w:rFonts w:ascii="Verdana" w:hAnsi="Verdana" w:cs="Arial"/>
          <w:sz w:val="20"/>
          <w:szCs w:val="20"/>
          <w:lang w:val="es-CR"/>
        </w:rPr>
        <w:t>TVes</w:t>
      </w:r>
      <w:proofErr w:type="spellEnd"/>
      <w:r w:rsidRPr="00C029A9">
        <w:rPr>
          <w:rFonts w:ascii="Verdana" w:hAnsi="Verdana" w:cs="Arial"/>
          <w:sz w:val="20"/>
          <w:szCs w:val="20"/>
          <w:lang w:val="es-CR"/>
        </w:rPr>
        <w:t xml:space="preserve"> a través del otorgamiento de medidas cautelares en dos procesos</w:t>
      </w:r>
      <w:r w:rsidR="0049428B" w:rsidRPr="00C029A9">
        <w:rPr>
          <w:rFonts w:ascii="Verdana" w:hAnsi="Verdana" w:cs="Arial"/>
          <w:sz w:val="20"/>
          <w:szCs w:val="20"/>
          <w:lang w:val="es-CR"/>
        </w:rPr>
        <w:t>, uno de los cuales</w:t>
      </w:r>
      <w:r w:rsidRPr="00C029A9">
        <w:rPr>
          <w:rFonts w:ascii="Verdana" w:hAnsi="Verdana" w:cs="Arial"/>
          <w:sz w:val="20"/>
          <w:szCs w:val="20"/>
          <w:lang w:val="es-CR"/>
        </w:rPr>
        <w:t xml:space="preserve"> donde se le hacían requerimientos contrarios. En efecto, a pesar de que en </w:t>
      </w:r>
      <w:r w:rsidRPr="00C029A9">
        <w:rPr>
          <w:rFonts w:ascii="Verdana" w:hAnsi="Verdana" w:cs="BookAntiqua"/>
          <w:sz w:val="20"/>
          <w:szCs w:val="20"/>
          <w:lang w:val="es-CR"/>
        </w:rPr>
        <w:t xml:space="preserve">la demanda por intereses difusos y colectivos se solicitaba al Tribunal Supremo permitir a RCTV continuar con sus transmisiones, el TSJ decidió de oficio asignar a </w:t>
      </w:r>
      <w:proofErr w:type="spellStart"/>
      <w:r w:rsidRPr="00C029A9">
        <w:rPr>
          <w:rFonts w:ascii="Verdana" w:hAnsi="Verdana" w:cs="BookAntiqua"/>
          <w:sz w:val="20"/>
          <w:szCs w:val="20"/>
          <w:lang w:val="es-CR"/>
        </w:rPr>
        <w:t>TVes</w:t>
      </w:r>
      <w:proofErr w:type="spellEnd"/>
      <w:r w:rsidRPr="00C029A9">
        <w:rPr>
          <w:rFonts w:ascii="Verdana" w:hAnsi="Verdana" w:cs="BookAntiqua"/>
          <w:sz w:val="20"/>
          <w:szCs w:val="20"/>
          <w:lang w:val="es-CR"/>
        </w:rPr>
        <w:t xml:space="preserve"> el uso de los bienes de RCTV. El TSJ intervino en la decisión de las medidas cautelares con una posición previamente tomada, que era coadyuvar con las decisiones de los órganos del Poder Ejecutivo, protegiendo los intereses de </w:t>
      </w:r>
      <w:proofErr w:type="spellStart"/>
      <w:r w:rsidRPr="00C029A9">
        <w:rPr>
          <w:rFonts w:ascii="Verdana" w:hAnsi="Verdana" w:cs="BookAntiqua"/>
          <w:sz w:val="20"/>
          <w:szCs w:val="20"/>
          <w:lang w:val="es-CR"/>
        </w:rPr>
        <w:t>TVes</w:t>
      </w:r>
      <w:proofErr w:type="spellEnd"/>
      <w:r w:rsidRPr="00C029A9">
        <w:rPr>
          <w:rFonts w:ascii="Verdana" w:hAnsi="Verdana" w:cs="BookAntiqua"/>
          <w:sz w:val="20"/>
          <w:szCs w:val="20"/>
          <w:lang w:val="es-CR"/>
        </w:rPr>
        <w:t xml:space="preserve"> y otorgándole los bienes que requería para comenzar a operar. Lo anterior manifiesta una falta de imparcialidad en la actuación de la Sala Constitucional al resolver la medida cautelar.</w:t>
      </w:r>
      <w:r w:rsidRPr="00C029A9">
        <w:rPr>
          <w:rFonts w:ascii="Verdana" w:hAnsi="Verdana" w:cs="Arial"/>
          <w:sz w:val="20"/>
          <w:szCs w:val="20"/>
          <w:lang w:val="es-CR"/>
        </w:rPr>
        <w:t xml:space="preserve"> </w:t>
      </w:r>
      <w:r w:rsidRPr="00C029A9">
        <w:rPr>
          <w:rFonts w:ascii="Verdana" w:hAnsi="Verdana" w:cs="BookAntiqua"/>
          <w:sz w:val="20"/>
          <w:szCs w:val="20"/>
          <w:lang w:val="es-CR"/>
        </w:rPr>
        <w:t>Por ello, el Tribunal Supremo de Justicia incumplió con la garantía de imparcialidad en la resolución de la decisión sobre el uso de los bienes de RCTV y el Estado violó el derecho de propiedad</w:t>
      </w:r>
      <w:r w:rsidR="00DC4BFD" w:rsidRPr="00C029A9">
        <w:rPr>
          <w:rFonts w:ascii="Verdana" w:hAnsi="Verdana" w:cs="BookAntiqua"/>
          <w:sz w:val="20"/>
          <w:szCs w:val="20"/>
          <w:lang w:val="es-CR"/>
        </w:rPr>
        <w:t xml:space="preserve"> al seguir el Tribunal sin independencia alguna, la línea del </w:t>
      </w:r>
      <w:r w:rsidR="003D59EC" w:rsidRPr="00C029A9">
        <w:rPr>
          <w:rFonts w:ascii="Verdana" w:hAnsi="Verdana" w:cs="BookAntiqua"/>
          <w:sz w:val="20"/>
          <w:szCs w:val="20"/>
          <w:lang w:val="es-CR"/>
        </w:rPr>
        <w:t>P</w:t>
      </w:r>
      <w:r w:rsidR="00DC4BFD" w:rsidRPr="00C029A9">
        <w:rPr>
          <w:rFonts w:ascii="Verdana" w:hAnsi="Verdana" w:cs="BookAntiqua"/>
          <w:sz w:val="20"/>
          <w:szCs w:val="20"/>
          <w:lang w:val="es-CR"/>
        </w:rPr>
        <w:t xml:space="preserve">oder </w:t>
      </w:r>
      <w:r w:rsidR="003D59EC" w:rsidRPr="00C029A9">
        <w:rPr>
          <w:rFonts w:ascii="Verdana" w:hAnsi="Verdana" w:cs="BookAntiqua"/>
          <w:sz w:val="20"/>
          <w:szCs w:val="20"/>
          <w:lang w:val="es-CR"/>
        </w:rPr>
        <w:t>E</w:t>
      </w:r>
      <w:r w:rsidR="00DC4BFD" w:rsidRPr="00C029A9">
        <w:rPr>
          <w:rFonts w:ascii="Verdana" w:hAnsi="Verdana" w:cs="BookAntiqua"/>
          <w:sz w:val="20"/>
          <w:szCs w:val="20"/>
          <w:lang w:val="es-CR"/>
        </w:rPr>
        <w:t>jecutivo, que despojó, arbitrariamente, de sus bienes a RCTV</w:t>
      </w:r>
      <w:r w:rsidRPr="00C029A9">
        <w:rPr>
          <w:rFonts w:ascii="Verdana" w:hAnsi="Verdana"/>
          <w:sz w:val="20"/>
          <w:szCs w:val="20"/>
          <w:lang w:val="es-CR"/>
        </w:rPr>
        <w:t xml:space="preserve">. </w:t>
      </w:r>
    </w:p>
    <w:p w:rsidR="00B8619A" w:rsidRPr="00C029A9" w:rsidRDefault="00B8619A" w:rsidP="00B8619A">
      <w:pPr>
        <w:tabs>
          <w:tab w:val="left" w:pos="720"/>
        </w:tabs>
        <w:overflowPunct w:val="0"/>
        <w:autoSpaceDE w:val="0"/>
        <w:autoSpaceDN w:val="0"/>
        <w:adjustRightInd w:val="0"/>
        <w:spacing w:after="0" w:line="240" w:lineRule="auto"/>
        <w:ind w:left="720" w:right="44"/>
        <w:jc w:val="both"/>
        <w:textAlignment w:val="baseline"/>
        <w:rPr>
          <w:rFonts w:ascii="Verdana" w:hAnsi="Verdana"/>
          <w:sz w:val="20"/>
          <w:szCs w:val="20"/>
          <w:lang w:val="es-CR"/>
        </w:rPr>
      </w:pPr>
    </w:p>
    <w:p w:rsidR="00B8619A" w:rsidRPr="00C029A9" w:rsidRDefault="00B8619A" w:rsidP="007718D5">
      <w:pPr>
        <w:widowControl w:val="0"/>
        <w:numPr>
          <w:ilvl w:val="0"/>
          <w:numId w:val="1"/>
        </w:numPr>
        <w:tabs>
          <w:tab w:val="left" w:pos="567"/>
          <w:tab w:val="num" w:pos="1427"/>
          <w:tab w:val="num" w:pos="12305"/>
        </w:tabs>
        <w:adjustRightInd w:val="0"/>
        <w:spacing w:after="0" w:line="240" w:lineRule="auto"/>
        <w:ind w:left="0" w:firstLine="0"/>
        <w:jc w:val="both"/>
        <w:textAlignment w:val="baseline"/>
        <w:rPr>
          <w:rFonts w:ascii="Verdana" w:hAnsi="Verdana"/>
          <w:sz w:val="20"/>
          <w:szCs w:val="20"/>
          <w:lang w:val="es-CR"/>
        </w:rPr>
      </w:pPr>
      <w:r w:rsidRPr="00C029A9">
        <w:rPr>
          <w:rFonts w:ascii="Verdana" w:hAnsi="Verdana"/>
          <w:sz w:val="20"/>
          <w:szCs w:val="20"/>
          <w:lang w:val="es-CR"/>
        </w:rPr>
        <w:t xml:space="preserve">A manera de conclusión cabe decir que al no declarar la Corte violadas las garantías de independencia e imparcialidad </w:t>
      </w:r>
      <w:r w:rsidR="00076411" w:rsidRPr="00C029A9">
        <w:rPr>
          <w:rFonts w:ascii="Verdana" w:hAnsi="Verdana"/>
          <w:sz w:val="20"/>
          <w:szCs w:val="20"/>
          <w:lang w:val="es-CR"/>
        </w:rPr>
        <w:t xml:space="preserve">judicial </w:t>
      </w:r>
      <w:r w:rsidRPr="00C029A9">
        <w:rPr>
          <w:rFonts w:ascii="Verdana" w:hAnsi="Verdana"/>
          <w:sz w:val="20"/>
          <w:szCs w:val="20"/>
          <w:lang w:val="es-CR"/>
        </w:rPr>
        <w:t>y el derecho de propiedad, se produjo un vacío en el contenido de la sentencia que la hizo perder unidad y armonía.</w:t>
      </w:r>
    </w:p>
    <w:p w:rsidR="00B8619A" w:rsidRPr="00C029A9" w:rsidRDefault="00B8619A" w:rsidP="00B8619A">
      <w:pPr>
        <w:pStyle w:val="ListParagraph"/>
        <w:rPr>
          <w:rFonts w:ascii="Verdana" w:hAnsi="Verdana"/>
          <w:sz w:val="20"/>
          <w:szCs w:val="20"/>
          <w:lang w:val="es-CR"/>
        </w:rPr>
      </w:pPr>
    </w:p>
    <w:p w:rsidR="00B8619A" w:rsidRPr="00C029A9" w:rsidRDefault="00B8619A" w:rsidP="00B8619A">
      <w:pPr>
        <w:pStyle w:val="ListParagraph"/>
        <w:rPr>
          <w:rFonts w:ascii="Verdana" w:hAnsi="Verdana"/>
          <w:sz w:val="20"/>
          <w:szCs w:val="20"/>
          <w:lang w:val="es-CR"/>
        </w:rPr>
      </w:pPr>
    </w:p>
    <w:p w:rsidR="00B8619A" w:rsidRPr="00C029A9" w:rsidRDefault="00B8619A" w:rsidP="00B8619A">
      <w:pPr>
        <w:pStyle w:val="ListParagraph"/>
        <w:rPr>
          <w:rFonts w:ascii="Verdana" w:hAnsi="Verdana"/>
          <w:sz w:val="20"/>
          <w:szCs w:val="20"/>
          <w:lang w:val="es-CR"/>
        </w:rPr>
      </w:pPr>
    </w:p>
    <w:p w:rsidR="00B8619A" w:rsidRPr="00C029A9" w:rsidRDefault="00B8619A" w:rsidP="007718D5">
      <w:pPr>
        <w:spacing w:after="0"/>
        <w:jc w:val="right"/>
        <w:rPr>
          <w:rFonts w:ascii="Verdana" w:hAnsi="Verdana"/>
          <w:sz w:val="20"/>
          <w:szCs w:val="20"/>
          <w:lang w:val="es-CR"/>
        </w:rPr>
      </w:pPr>
      <w:r w:rsidRPr="00C029A9">
        <w:rPr>
          <w:rFonts w:ascii="Verdana" w:hAnsi="Verdana"/>
          <w:sz w:val="20"/>
          <w:szCs w:val="20"/>
          <w:lang w:val="es-CR"/>
        </w:rPr>
        <w:t xml:space="preserve">Manuel E. Ventura </w:t>
      </w:r>
      <w:r w:rsidRPr="00C029A9">
        <w:rPr>
          <w:rFonts w:ascii="Verdana" w:hAnsi="Verdana" w:cs="Calibri"/>
          <w:sz w:val="20"/>
          <w:szCs w:val="20"/>
          <w:lang w:val="es-CR"/>
        </w:rPr>
        <w:t>Robles</w:t>
      </w:r>
    </w:p>
    <w:p w:rsidR="00B8619A" w:rsidRPr="00C029A9" w:rsidRDefault="00B8619A" w:rsidP="007718D5">
      <w:pPr>
        <w:spacing w:after="0"/>
        <w:ind w:left="7080" w:firstLine="708"/>
        <w:jc w:val="center"/>
        <w:rPr>
          <w:rFonts w:ascii="Verdana" w:hAnsi="Verdana"/>
          <w:sz w:val="20"/>
          <w:szCs w:val="20"/>
          <w:lang w:val="es-CR"/>
        </w:rPr>
      </w:pPr>
      <w:r w:rsidRPr="00C029A9">
        <w:rPr>
          <w:rFonts w:ascii="Verdana" w:hAnsi="Verdana"/>
          <w:sz w:val="20"/>
          <w:szCs w:val="20"/>
          <w:lang w:val="es-CR"/>
        </w:rPr>
        <w:t>Juez</w:t>
      </w:r>
    </w:p>
    <w:p w:rsidR="00B8619A" w:rsidRPr="00C029A9" w:rsidRDefault="00B8619A" w:rsidP="00B8619A">
      <w:pPr>
        <w:tabs>
          <w:tab w:val="left" w:pos="720"/>
        </w:tabs>
        <w:overflowPunct w:val="0"/>
        <w:autoSpaceDE w:val="0"/>
        <w:autoSpaceDN w:val="0"/>
        <w:adjustRightInd w:val="0"/>
        <w:spacing w:after="0" w:line="240" w:lineRule="auto"/>
        <w:ind w:right="44"/>
        <w:jc w:val="both"/>
        <w:textAlignment w:val="baseline"/>
        <w:rPr>
          <w:rFonts w:ascii="Verdana" w:hAnsi="Verdana"/>
          <w:sz w:val="20"/>
          <w:szCs w:val="20"/>
          <w:lang w:val="es-CR"/>
        </w:rPr>
      </w:pPr>
    </w:p>
    <w:p w:rsidR="00B8619A" w:rsidRPr="00C029A9" w:rsidRDefault="00B8619A" w:rsidP="00B8619A">
      <w:pPr>
        <w:tabs>
          <w:tab w:val="left" w:pos="720"/>
        </w:tabs>
        <w:overflowPunct w:val="0"/>
        <w:autoSpaceDE w:val="0"/>
        <w:autoSpaceDN w:val="0"/>
        <w:adjustRightInd w:val="0"/>
        <w:spacing w:after="0" w:line="240" w:lineRule="auto"/>
        <w:ind w:left="720" w:right="44"/>
        <w:jc w:val="both"/>
        <w:textAlignment w:val="baseline"/>
        <w:rPr>
          <w:rFonts w:ascii="Verdana" w:hAnsi="Verdana"/>
          <w:sz w:val="20"/>
          <w:szCs w:val="20"/>
          <w:lang w:val="es-CR"/>
        </w:rPr>
      </w:pPr>
    </w:p>
    <w:p w:rsidR="00DC157C" w:rsidRPr="00C029A9" w:rsidRDefault="00DC157C" w:rsidP="00DC157C">
      <w:pPr>
        <w:pStyle w:val="ListParagraph"/>
        <w:ind w:left="0"/>
        <w:rPr>
          <w:rFonts w:ascii="Verdana" w:hAnsi="Verdana" w:cs="Verdana"/>
          <w:sz w:val="20"/>
          <w:szCs w:val="20"/>
          <w:lang w:val="es-MX" w:eastAsia="es-MX"/>
        </w:rPr>
      </w:pPr>
      <w:r w:rsidRPr="00C029A9">
        <w:rPr>
          <w:rFonts w:ascii="Verdana" w:hAnsi="Verdana" w:cs="Verdana"/>
          <w:sz w:val="20"/>
          <w:szCs w:val="20"/>
          <w:lang w:val="es-MX" w:eastAsia="es-MX"/>
        </w:rPr>
        <w:t>Pablo Saavedra Alessandri</w:t>
      </w:r>
    </w:p>
    <w:p w:rsidR="00F670BE" w:rsidRPr="00DC157C" w:rsidRDefault="00DC157C" w:rsidP="00DC157C">
      <w:pPr>
        <w:pStyle w:val="ListParagraph"/>
        <w:ind w:left="0" w:firstLine="720"/>
        <w:rPr>
          <w:rFonts w:ascii="Verdana" w:hAnsi="Verdana"/>
          <w:sz w:val="20"/>
          <w:szCs w:val="20"/>
          <w:lang w:val="es-CR"/>
        </w:rPr>
      </w:pPr>
      <w:r w:rsidRPr="00C029A9">
        <w:rPr>
          <w:rFonts w:ascii="Verdana" w:hAnsi="Verdana" w:cs="Verdana"/>
          <w:sz w:val="20"/>
          <w:szCs w:val="20"/>
          <w:lang w:val="es-MX" w:eastAsia="es-MX"/>
        </w:rPr>
        <w:t>Secretario</w:t>
      </w:r>
    </w:p>
    <w:sectPr w:rsidR="00F670BE" w:rsidRPr="00DC157C" w:rsidSect="00C71B3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BA" w:rsidRDefault="00DF69BA" w:rsidP="00F670BE">
      <w:pPr>
        <w:spacing w:after="0" w:line="240" w:lineRule="auto"/>
      </w:pPr>
      <w:r>
        <w:separator/>
      </w:r>
    </w:p>
  </w:endnote>
  <w:endnote w:type="continuationSeparator" w:id="0">
    <w:p w:rsidR="00DF69BA" w:rsidRDefault="00DF69BA" w:rsidP="00F6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TimesNewRomanPSMT">
    <w:altName w:val="Times New Roman"/>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BA" w:rsidRDefault="00DF69BA" w:rsidP="00F670BE">
      <w:pPr>
        <w:spacing w:after="0" w:line="240" w:lineRule="auto"/>
      </w:pPr>
      <w:r>
        <w:separator/>
      </w:r>
    </w:p>
  </w:footnote>
  <w:footnote w:type="continuationSeparator" w:id="0">
    <w:p w:rsidR="00DF69BA" w:rsidRDefault="00DF69BA" w:rsidP="00F670BE">
      <w:pPr>
        <w:spacing w:after="0" w:line="240" w:lineRule="auto"/>
      </w:pPr>
      <w:r>
        <w:continuationSeparator/>
      </w:r>
    </w:p>
  </w:footnote>
  <w:footnote w:id="1">
    <w:p w:rsidR="00916333" w:rsidRPr="007718D5" w:rsidRDefault="00916333" w:rsidP="007718D5">
      <w:pPr>
        <w:jc w:val="both"/>
        <w:rPr>
          <w:rFonts w:ascii="Verdana" w:hAnsi="Verdana"/>
          <w:color w:val="FF0000"/>
          <w:sz w:val="16"/>
          <w:szCs w:val="16"/>
          <w:lang w:val="es-ES_tradnl"/>
        </w:rPr>
      </w:pPr>
      <w:r w:rsidRPr="007718D5">
        <w:rPr>
          <w:rStyle w:val="FootnoteReference"/>
          <w:rFonts w:ascii="Verdana" w:hAnsi="Verdana"/>
          <w:sz w:val="16"/>
          <w:szCs w:val="16"/>
        </w:rPr>
        <w:footnoteRef/>
      </w:r>
      <w:r w:rsidRPr="007718D5">
        <w:rPr>
          <w:rFonts w:ascii="Verdana" w:hAnsi="Verdana"/>
          <w:sz w:val="16"/>
          <w:szCs w:val="16"/>
          <w:lang w:val="es-CR"/>
        </w:rPr>
        <w:t xml:space="preserve"> </w:t>
      </w:r>
      <w:r w:rsidRPr="007718D5">
        <w:rPr>
          <w:rFonts w:ascii="Verdana" w:hAnsi="Verdana"/>
          <w:sz w:val="16"/>
          <w:szCs w:val="16"/>
          <w:lang w:val="es-ES_tradnl"/>
        </w:rPr>
        <w:tab/>
      </w:r>
      <w:r w:rsidRPr="007718D5">
        <w:rPr>
          <w:rFonts w:ascii="Verdana" w:eastAsia="Times New Roman" w:hAnsi="Verdana" w:cs="Times New Roman"/>
          <w:bCs/>
          <w:i/>
          <w:sz w:val="16"/>
          <w:szCs w:val="16"/>
          <w:shd w:val="clear" w:color="auto" w:fill="FFFFFF"/>
          <w:lang w:val="es-CR"/>
        </w:rPr>
        <w:t xml:space="preserve">Caso </w:t>
      </w:r>
      <w:proofErr w:type="spellStart"/>
      <w:r w:rsidRPr="007718D5">
        <w:rPr>
          <w:rFonts w:ascii="Verdana" w:eastAsia="Times New Roman" w:hAnsi="Verdana" w:cs="Times New Roman"/>
          <w:bCs/>
          <w:i/>
          <w:sz w:val="16"/>
          <w:szCs w:val="16"/>
          <w:shd w:val="clear" w:color="auto" w:fill="FFFFFF"/>
          <w:lang w:val="es-CR"/>
        </w:rPr>
        <w:t>Apitz</w:t>
      </w:r>
      <w:proofErr w:type="spellEnd"/>
      <w:r w:rsidRPr="007718D5">
        <w:rPr>
          <w:rFonts w:ascii="Verdana" w:eastAsia="Times New Roman" w:hAnsi="Verdana" w:cs="Times New Roman"/>
          <w:bCs/>
          <w:i/>
          <w:sz w:val="16"/>
          <w:szCs w:val="16"/>
          <w:shd w:val="clear" w:color="auto" w:fill="FFFFFF"/>
          <w:lang w:val="es-CR"/>
        </w:rPr>
        <w:t xml:space="preserve"> Barbera y otros (“Corte Primera de lo Contencioso Administrativo”) Vs. Venezuela. Excepción Preliminar, Fondo, Reparaciones y Costas</w:t>
      </w:r>
      <w:r w:rsidRPr="007718D5">
        <w:rPr>
          <w:rFonts w:ascii="Verdana" w:eastAsia="Times New Roman" w:hAnsi="Verdana" w:cs="Times New Roman"/>
          <w:bCs/>
          <w:sz w:val="16"/>
          <w:szCs w:val="16"/>
          <w:shd w:val="clear" w:color="auto" w:fill="FFFFFF"/>
          <w:lang w:val="es-CR"/>
        </w:rPr>
        <w:t>. Sentencia de 5 de agosto de 2008. Serie C No. 182</w:t>
      </w:r>
      <w:r w:rsidR="00386575" w:rsidRPr="00C029A9">
        <w:rPr>
          <w:rFonts w:ascii="Verdana" w:eastAsia="Times New Roman" w:hAnsi="Verdana" w:cs="Times New Roman"/>
          <w:bCs/>
          <w:sz w:val="16"/>
          <w:szCs w:val="16"/>
          <w:shd w:val="clear" w:color="auto" w:fill="FFFFFF"/>
          <w:lang w:val="es-CR"/>
        </w:rPr>
        <w:t>, párr. 148</w:t>
      </w:r>
      <w:r w:rsidRPr="007718D5">
        <w:rPr>
          <w:rFonts w:ascii="Verdana" w:eastAsia="Times New Roman" w:hAnsi="Verdana" w:cs="Times New Roman"/>
          <w:bCs/>
          <w:sz w:val="16"/>
          <w:szCs w:val="16"/>
          <w:shd w:val="clear" w:color="auto" w:fill="FFFFFF"/>
          <w:lang w:val="es-CR"/>
        </w:rPr>
        <w:t>. En este caso la Corte declaró que: “</w:t>
      </w:r>
      <w:r w:rsidRPr="007718D5">
        <w:rPr>
          <w:rFonts w:ascii="Verdana" w:hAnsi="Verdana"/>
          <w:sz w:val="16"/>
          <w:szCs w:val="16"/>
          <w:lang w:val="es-CR"/>
        </w:rPr>
        <w:t xml:space="preserve">el Estado violó el derecho de los señores </w:t>
      </w:r>
      <w:proofErr w:type="spellStart"/>
      <w:r w:rsidRPr="007718D5">
        <w:rPr>
          <w:rFonts w:ascii="Verdana" w:hAnsi="Verdana"/>
          <w:sz w:val="16"/>
          <w:szCs w:val="16"/>
          <w:lang w:val="es-CR"/>
        </w:rPr>
        <w:t>Apitz</w:t>
      </w:r>
      <w:proofErr w:type="spellEnd"/>
      <w:r w:rsidRPr="007718D5">
        <w:rPr>
          <w:rFonts w:ascii="Verdana" w:hAnsi="Verdana"/>
          <w:sz w:val="16"/>
          <w:szCs w:val="16"/>
          <w:lang w:val="es-CR"/>
        </w:rPr>
        <w:t xml:space="preserve">, Rocha y </w:t>
      </w:r>
      <w:proofErr w:type="spellStart"/>
      <w:r w:rsidRPr="007718D5">
        <w:rPr>
          <w:rFonts w:ascii="Verdana" w:hAnsi="Verdana"/>
          <w:sz w:val="16"/>
          <w:szCs w:val="16"/>
          <w:lang w:val="es-CR"/>
        </w:rPr>
        <w:t>Ruggeri</w:t>
      </w:r>
      <w:proofErr w:type="spellEnd"/>
      <w:r w:rsidRPr="007718D5">
        <w:rPr>
          <w:rFonts w:ascii="Verdana" w:hAnsi="Verdana"/>
          <w:sz w:val="16"/>
          <w:szCs w:val="16"/>
          <w:lang w:val="es-CR"/>
        </w:rPr>
        <w:t xml:space="preserve"> a ser juzgados por un tribunal con suficientes garantías de independencia”. Ver además párrafos: 109 a 148.</w:t>
      </w:r>
    </w:p>
  </w:footnote>
  <w:footnote w:id="2">
    <w:p w:rsidR="00916333" w:rsidRPr="007718D5" w:rsidRDefault="00916333" w:rsidP="008243BC">
      <w:pPr>
        <w:jc w:val="both"/>
        <w:rPr>
          <w:rFonts w:ascii="Verdana" w:hAnsi="Verdana"/>
          <w:b/>
          <w:color w:val="FF0000"/>
          <w:sz w:val="16"/>
          <w:szCs w:val="16"/>
          <w:lang w:val="es-ES_tradnl"/>
        </w:rPr>
      </w:pPr>
      <w:r w:rsidRPr="007718D5">
        <w:rPr>
          <w:rStyle w:val="FootnoteReference"/>
          <w:rFonts w:ascii="Verdana" w:hAnsi="Verdana"/>
          <w:sz w:val="16"/>
          <w:szCs w:val="16"/>
        </w:rPr>
        <w:footnoteRef/>
      </w:r>
      <w:r w:rsidRPr="007718D5">
        <w:rPr>
          <w:rFonts w:ascii="Verdana" w:hAnsi="Verdana"/>
          <w:sz w:val="16"/>
          <w:szCs w:val="16"/>
          <w:lang w:val="es-CR"/>
        </w:rPr>
        <w:t xml:space="preserve"> </w:t>
      </w:r>
      <w:r w:rsidRPr="007718D5">
        <w:rPr>
          <w:rFonts w:ascii="Verdana" w:hAnsi="Verdana"/>
          <w:sz w:val="16"/>
          <w:szCs w:val="16"/>
          <w:lang w:val="es-ES_tradnl"/>
        </w:rPr>
        <w:tab/>
      </w:r>
      <w:r w:rsidRPr="007718D5">
        <w:rPr>
          <w:rFonts w:ascii="Verdana" w:eastAsia="Times New Roman" w:hAnsi="Verdana" w:cs="Times New Roman"/>
          <w:bCs/>
          <w:i/>
          <w:sz w:val="16"/>
          <w:szCs w:val="16"/>
          <w:shd w:val="clear" w:color="auto" w:fill="FFFFFF"/>
          <w:lang w:val="es-CR"/>
        </w:rPr>
        <w:t xml:space="preserve">Caso </w:t>
      </w:r>
      <w:proofErr w:type="spellStart"/>
      <w:r w:rsidRPr="007718D5">
        <w:rPr>
          <w:rFonts w:ascii="Verdana" w:eastAsia="Times New Roman" w:hAnsi="Verdana" w:cs="Times New Roman"/>
          <w:bCs/>
          <w:i/>
          <w:sz w:val="16"/>
          <w:szCs w:val="16"/>
          <w:shd w:val="clear" w:color="auto" w:fill="FFFFFF"/>
          <w:lang w:val="es-CR"/>
        </w:rPr>
        <w:t>Reverón</w:t>
      </w:r>
      <w:proofErr w:type="spellEnd"/>
      <w:r w:rsidRPr="007718D5">
        <w:rPr>
          <w:rFonts w:ascii="Verdana" w:eastAsia="Times New Roman" w:hAnsi="Verdana" w:cs="Times New Roman"/>
          <w:bCs/>
          <w:i/>
          <w:sz w:val="16"/>
          <w:szCs w:val="16"/>
          <w:shd w:val="clear" w:color="auto" w:fill="FFFFFF"/>
          <w:lang w:val="es-CR"/>
        </w:rPr>
        <w:t xml:space="preserve"> Trujillo Vs. Venezuela. Excepción Preliminar, Fondo, Reparaciones y Costas</w:t>
      </w:r>
      <w:r w:rsidRPr="007718D5">
        <w:rPr>
          <w:rFonts w:ascii="Verdana" w:eastAsia="Times New Roman" w:hAnsi="Verdana" w:cs="Times New Roman"/>
          <w:bCs/>
          <w:sz w:val="16"/>
          <w:szCs w:val="16"/>
          <w:shd w:val="clear" w:color="auto" w:fill="FFFFFF"/>
          <w:lang w:val="es-CR"/>
        </w:rPr>
        <w:t>. Sentencia de 30 de junio de 2009. Serie C No. 197</w:t>
      </w:r>
      <w:r w:rsidR="00817800" w:rsidRPr="00C029A9">
        <w:rPr>
          <w:rFonts w:ascii="Verdana" w:eastAsia="Times New Roman" w:hAnsi="Verdana" w:cs="Times New Roman"/>
          <w:bCs/>
          <w:sz w:val="16"/>
          <w:szCs w:val="16"/>
          <w:shd w:val="clear" w:color="auto" w:fill="FFFFFF"/>
          <w:lang w:val="es-CR"/>
        </w:rPr>
        <w:t>, párr. 127</w:t>
      </w:r>
      <w:r w:rsidRPr="007718D5">
        <w:rPr>
          <w:rFonts w:ascii="Verdana" w:eastAsia="Times New Roman" w:hAnsi="Verdana" w:cs="Times New Roman"/>
          <w:bCs/>
          <w:sz w:val="16"/>
          <w:szCs w:val="16"/>
          <w:shd w:val="clear" w:color="auto" w:fill="FFFFFF"/>
          <w:lang w:val="es-CR"/>
        </w:rPr>
        <w:t>. La Corte señaló que “</w:t>
      </w:r>
      <w:r w:rsidRPr="007718D5">
        <w:rPr>
          <w:rFonts w:ascii="Verdana" w:hAnsi="Verdana"/>
          <w:sz w:val="16"/>
          <w:szCs w:val="16"/>
          <w:lang w:val="es-ES_tradnl"/>
        </w:rPr>
        <w:t xml:space="preserve">algunas de las normas y prácticas asociadas al proceso de reestructuración judicial que se viene implementando en Venezuela, por las consecuencias específicas que tuvo en el caso concreto, provoca </w:t>
      </w:r>
      <w:r w:rsidRPr="007718D5">
        <w:rPr>
          <w:rFonts w:ascii="Verdana" w:hAnsi="Verdana" w:cs="TimesNewRomanPSMT"/>
          <w:sz w:val="16"/>
          <w:szCs w:val="16"/>
          <w:lang w:val="es-CR"/>
        </w:rPr>
        <w:t>una afectación muy alta a la independencia judicial</w:t>
      </w:r>
      <w:r w:rsidR="00836819" w:rsidRPr="00C029A9">
        <w:rPr>
          <w:rFonts w:ascii="Verdana" w:hAnsi="Verdana" w:cs="TimesNewRomanPSMT"/>
          <w:sz w:val="16"/>
          <w:szCs w:val="16"/>
          <w:lang w:val="es-CR"/>
        </w:rPr>
        <w:t>”</w:t>
      </w:r>
      <w:r w:rsidRPr="007718D5">
        <w:rPr>
          <w:rFonts w:ascii="Verdana" w:hAnsi="Verdana" w:cs="TimesNewRomanPSMT"/>
          <w:sz w:val="16"/>
          <w:szCs w:val="16"/>
          <w:lang w:val="es-CR"/>
        </w:rPr>
        <w:t xml:space="preserve">. </w:t>
      </w:r>
      <w:r w:rsidRPr="00C029A9">
        <w:rPr>
          <w:rFonts w:ascii="Verdana" w:hAnsi="Verdana" w:cs="TimesNewRomanPSMT"/>
          <w:sz w:val="16"/>
          <w:szCs w:val="16"/>
          <w:lang w:val="es-CR"/>
        </w:rPr>
        <w:t>Ver además</w:t>
      </w:r>
      <w:r w:rsidR="00712C93" w:rsidRPr="00C029A9">
        <w:rPr>
          <w:rFonts w:ascii="Verdana" w:hAnsi="Verdana" w:cs="TimesNewRomanPSMT"/>
          <w:sz w:val="16"/>
          <w:szCs w:val="16"/>
          <w:lang w:val="es-CR"/>
        </w:rPr>
        <w:t xml:space="preserve"> párrafos: 67 a 70, 77 a 79, 81, 114, 121 y 122.</w:t>
      </w:r>
    </w:p>
  </w:footnote>
  <w:footnote w:id="3">
    <w:p w:rsidR="00916333" w:rsidRPr="007718D5" w:rsidRDefault="00916333" w:rsidP="008243BC">
      <w:pPr>
        <w:jc w:val="both"/>
        <w:rPr>
          <w:rFonts w:ascii="Verdana" w:hAnsi="Verdana"/>
          <w:sz w:val="16"/>
          <w:szCs w:val="16"/>
          <w:lang w:val="es-ES_tradnl"/>
        </w:rPr>
      </w:pPr>
      <w:r w:rsidRPr="007718D5">
        <w:rPr>
          <w:rStyle w:val="FootnoteReference"/>
          <w:rFonts w:ascii="Verdana" w:hAnsi="Verdana"/>
          <w:sz w:val="16"/>
          <w:szCs w:val="16"/>
        </w:rPr>
        <w:footnoteRef/>
      </w:r>
      <w:r w:rsidRPr="007718D5">
        <w:rPr>
          <w:rFonts w:ascii="Verdana" w:hAnsi="Verdana"/>
          <w:sz w:val="16"/>
          <w:szCs w:val="16"/>
          <w:lang w:val="es-CR"/>
        </w:rPr>
        <w:t xml:space="preserve"> </w:t>
      </w:r>
      <w:r w:rsidRPr="007718D5">
        <w:rPr>
          <w:rFonts w:ascii="Verdana" w:hAnsi="Verdana"/>
          <w:sz w:val="16"/>
          <w:szCs w:val="16"/>
          <w:lang w:val="es-CR"/>
        </w:rPr>
        <w:tab/>
      </w:r>
      <w:r w:rsidRPr="007718D5">
        <w:rPr>
          <w:rFonts w:ascii="Verdana" w:eastAsia="Times New Roman" w:hAnsi="Verdana" w:cs="Times New Roman"/>
          <w:bCs/>
          <w:i/>
          <w:sz w:val="16"/>
          <w:szCs w:val="16"/>
          <w:shd w:val="clear" w:color="auto" w:fill="FFFFFF"/>
          <w:lang w:val="es-CR"/>
        </w:rPr>
        <w:t xml:space="preserve">Caso </w:t>
      </w:r>
      <w:proofErr w:type="spellStart"/>
      <w:r w:rsidRPr="007718D5">
        <w:rPr>
          <w:rFonts w:ascii="Verdana" w:eastAsia="Times New Roman" w:hAnsi="Verdana" w:cs="Times New Roman"/>
          <w:bCs/>
          <w:i/>
          <w:sz w:val="16"/>
          <w:szCs w:val="16"/>
          <w:shd w:val="clear" w:color="auto" w:fill="FFFFFF"/>
          <w:lang w:val="es-CR"/>
        </w:rPr>
        <w:t>Chocrón</w:t>
      </w:r>
      <w:proofErr w:type="spellEnd"/>
      <w:r w:rsidRPr="007718D5">
        <w:rPr>
          <w:rFonts w:ascii="Verdana" w:eastAsia="Times New Roman" w:hAnsi="Verdana" w:cs="Times New Roman"/>
          <w:bCs/>
          <w:i/>
          <w:sz w:val="16"/>
          <w:szCs w:val="16"/>
          <w:shd w:val="clear" w:color="auto" w:fill="FFFFFF"/>
          <w:lang w:val="es-CR"/>
        </w:rPr>
        <w:t xml:space="preserve"> </w:t>
      </w:r>
      <w:proofErr w:type="spellStart"/>
      <w:r w:rsidRPr="007718D5">
        <w:rPr>
          <w:rFonts w:ascii="Verdana" w:eastAsia="Times New Roman" w:hAnsi="Verdana" w:cs="Times New Roman"/>
          <w:bCs/>
          <w:i/>
          <w:sz w:val="16"/>
          <w:szCs w:val="16"/>
          <w:shd w:val="clear" w:color="auto" w:fill="FFFFFF"/>
          <w:lang w:val="es-CR"/>
        </w:rPr>
        <w:t>Chocrón</w:t>
      </w:r>
      <w:proofErr w:type="spellEnd"/>
      <w:r w:rsidRPr="007718D5">
        <w:rPr>
          <w:rFonts w:ascii="Verdana" w:eastAsia="Times New Roman" w:hAnsi="Verdana" w:cs="Times New Roman"/>
          <w:bCs/>
          <w:i/>
          <w:sz w:val="16"/>
          <w:szCs w:val="16"/>
          <w:shd w:val="clear" w:color="auto" w:fill="FFFFFF"/>
          <w:lang w:val="es-CR"/>
        </w:rPr>
        <w:t xml:space="preserve"> Vs. Venezuela. Excepción Preliminar, Fondo, Reparaciones y Costas</w:t>
      </w:r>
      <w:r w:rsidRPr="007718D5">
        <w:rPr>
          <w:rFonts w:ascii="Verdana" w:eastAsia="Times New Roman" w:hAnsi="Verdana" w:cs="Times New Roman"/>
          <w:bCs/>
          <w:sz w:val="16"/>
          <w:szCs w:val="16"/>
          <w:shd w:val="clear" w:color="auto" w:fill="FFFFFF"/>
          <w:lang w:val="es-CR"/>
        </w:rPr>
        <w:t>. Sentencia de 1 de julio de 2011. Serie C No. 227</w:t>
      </w:r>
      <w:r w:rsidR="00A16341" w:rsidRPr="00C029A9">
        <w:rPr>
          <w:rFonts w:ascii="Verdana" w:eastAsia="Times New Roman" w:hAnsi="Verdana" w:cs="Times New Roman"/>
          <w:bCs/>
          <w:sz w:val="16"/>
          <w:szCs w:val="16"/>
          <w:shd w:val="clear" w:color="auto" w:fill="FFFFFF"/>
          <w:lang w:val="es-CR"/>
        </w:rPr>
        <w:t>, párr. 142</w:t>
      </w:r>
      <w:r w:rsidRPr="007718D5">
        <w:rPr>
          <w:rFonts w:ascii="Verdana" w:eastAsia="Times New Roman" w:hAnsi="Verdana" w:cs="Times New Roman"/>
          <w:bCs/>
          <w:sz w:val="16"/>
          <w:szCs w:val="16"/>
          <w:shd w:val="clear" w:color="auto" w:fill="FFFFFF"/>
          <w:lang w:val="es-CR"/>
        </w:rPr>
        <w:t>. De acuerdo con la Corte: “</w:t>
      </w:r>
      <w:r w:rsidRPr="007718D5">
        <w:rPr>
          <w:rFonts w:ascii="Verdana" w:hAnsi="Verdana" w:cs="Arial"/>
          <w:sz w:val="16"/>
          <w:szCs w:val="16"/>
          <w:lang w:val="es-CO"/>
        </w:rPr>
        <w:t xml:space="preserve">la inexistencia de normas y prácticas claras sobre la vigencia plena de garantías judiciales en la remoción de jueces provisorios y temporales, </w:t>
      </w:r>
      <w:r w:rsidRPr="007718D5">
        <w:rPr>
          <w:rFonts w:ascii="Verdana" w:hAnsi="Verdana"/>
          <w:sz w:val="16"/>
          <w:szCs w:val="16"/>
          <w:lang w:val="es-CR"/>
        </w:rPr>
        <w:t xml:space="preserve">por sus consecuencias específicas en el caso concreto, </w:t>
      </w:r>
      <w:proofErr w:type="gramStart"/>
      <w:r w:rsidRPr="007718D5">
        <w:rPr>
          <w:rFonts w:ascii="Verdana" w:hAnsi="Verdana"/>
          <w:sz w:val="16"/>
          <w:szCs w:val="16"/>
          <w:lang w:val="es-CR"/>
        </w:rPr>
        <w:t>genera[</w:t>
      </w:r>
      <w:proofErr w:type="gramEnd"/>
      <w:r w:rsidRPr="007718D5">
        <w:rPr>
          <w:rFonts w:ascii="Verdana" w:hAnsi="Verdana"/>
          <w:sz w:val="16"/>
          <w:szCs w:val="16"/>
          <w:lang w:val="es-CR"/>
        </w:rPr>
        <w:t xml:space="preserve">ron] una afectación </w:t>
      </w:r>
      <w:r w:rsidRPr="007718D5">
        <w:rPr>
          <w:rFonts w:ascii="Verdana" w:hAnsi="Verdana"/>
          <w:sz w:val="16"/>
          <w:szCs w:val="16"/>
          <w:lang w:val="es-CO"/>
        </w:rPr>
        <w:t>al deber de adoptar medidas idóneas y efectivas para garantizar la independencia judicial</w:t>
      </w:r>
      <w:r w:rsidR="00836819" w:rsidRPr="00C029A9">
        <w:rPr>
          <w:rFonts w:ascii="Verdana" w:hAnsi="Verdana"/>
          <w:sz w:val="16"/>
          <w:szCs w:val="16"/>
          <w:lang w:val="es-CO"/>
        </w:rPr>
        <w:t>”</w:t>
      </w:r>
      <w:r w:rsidRPr="007718D5">
        <w:rPr>
          <w:rFonts w:ascii="Verdana" w:hAnsi="Verdana"/>
          <w:sz w:val="16"/>
          <w:szCs w:val="16"/>
          <w:lang w:val="es-CO"/>
        </w:rPr>
        <w:t>. Ver además párrafos: 97 a 110.</w:t>
      </w:r>
    </w:p>
  </w:footnote>
  <w:footnote w:id="4">
    <w:p w:rsidR="00AB39AB" w:rsidRPr="00C029A9" w:rsidRDefault="00916333" w:rsidP="00B71EB4">
      <w:pPr>
        <w:pStyle w:val="FootnoteText"/>
        <w:tabs>
          <w:tab w:val="left" w:pos="720"/>
        </w:tabs>
        <w:jc w:val="both"/>
        <w:rPr>
          <w:rFonts w:ascii="Verdana" w:hAnsi="Verdana" w:cs="Arial"/>
          <w:sz w:val="16"/>
          <w:szCs w:val="16"/>
        </w:rPr>
      </w:pPr>
      <w:r w:rsidRPr="007718D5">
        <w:rPr>
          <w:rStyle w:val="FootnoteReference"/>
          <w:rFonts w:ascii="Verdana" w:hAnsi="Verdana"/>
          <w:sz w:val="16"/>
          <w:szCs w:val="16"/>
        </w:rPr>
        <w:footnoteRef/>
      </w:r>
      <w:r w:rsidRPr="007718D5">
        <w:rPr>
          <w:rFonts w:ascii="Verdana" w:hAnsi="Verdana" w:cs="Arial"/>
          <w:sz w:val="16"/>
          <w:szCs w:val="16"/>
        </w:rPr>
        <w:t xml:space="preserve"> </w:t>
      </w:r>
      <w:r w:rsidRPr="007718D5">
        <w:rPr>
          <w:rFonts w:ascii="Verdana" w:hAnsi="Verdana" w:cs="Arial"/>
          <w:sz w:val="16"/>
          <w:szCs w:val="16"/>
        </w:rPr>
        <w:tab/>
      </w:r>
      <w:r w:rsidRPr="007718D5">
        <w:rPr>
          <w:rFonts w:ascii="Verdana" w:hAnsi="Verdana" w:cs="Arial"/>
          <w:i/>
          <w:sz w:val="16"/>
          <w:szCs w:val="16"/>
          <w:lang w:val="es-CL"/>
        </w:rPr>
        <w:t xml:space="preserve">Cfr. </w:t>
      </w:r>
      <w:r w:rsidR="00E2122F" w:rsidRPr="00C029A9">
        <w:rPr>
          <w:rFonts w:ascii="Verdana" w:hAnsi="Verdana" w:cs="Arial"/>
          <w:i/>
          <w:sz w:val="16"/>
          <w:szCs w:val="16"/>
          <w:lang w:val="es-CL"/>
        </w:rPr>
        <w:t xml:space="preserve">Caso </w:t>
      </w:r>
      <w:proofErr w:type="spellStart"/>
      <w:r w:rsidR="00E2122F" w:rsidRPr="00C029A9">
        <w:rPr>
          <w:rFonts w:ascii="Verdana" w:hAnsi="Verdana" w:cs="Arial"/>
          <w:i/>
          <w:sz w:val="16"/>
          <w:szCs w:val="16"/>
          <w:lang w:val="es-CL"/>
        </w:rPr>
        <w:t>Apitz</w:t>
      </w:r>
      <w:proofErr w:type="spellEnd"/>
      <w:r w:rsidR="00E2122F" w:rsidRPr="00C029A9">
        <w:rPr>
          <w:rFonts w:ascii="Verdana" w:hAnsi="Verdana" w:cs="Arial"/>
          <w:i/>
          <w:sz w:val="16"/>
          <w:szCs w:val="16"/>
          <w:lang w:val="es-CL"/>
        </w:rPr>
        <w:t xml:space="preserve"> Barbera y otros (“Corte Primera de lo Contencioso Administrativo”) Vs. Venezuela. Excepción Preliminar, Fondo, Reparaciones y Costas</w:t>
      </w:r>
      <w:r w:rsidR="00E2122F" w:rsidRPr="007718D5">
        <w:rPr>
          <w:rFonts w:ascii="Verdana" w:hAnsi="Verdana" w:cs="Arial"/>
          <w:sz w:val="16"/>
          <w:szCs w:val="16"/>
          <w:lang w:val="es-CL"/>
        </w:rPr>
        <w:t>. Sentencia de 5 de agosto de 2008. Serie C No. 182</w:t>
      </w:r>
      <w:r w:rsidRPr="007718D5">
        <w:rPr>
          <w:rFonts w:ascii="Verdana" w:hAnsi="Verdana" w:cs="Arial"/>
          <w:sz w:val="16"/>
          <w:szCs w:val="16"/>
          <w:lang w:val="es-CL"/>
        </w:rPr>
        <w:t xml:space="preserve">, párr. </w:t>
      </w:r>
      <w:r w:rsidRPr="007718D5">
        <w:rPr>
          <w:rFonts w:ascii="Verdana" w:hAnsi="Verdana" w:cs="Arial"/>
          <w:sz w:val="16"/>
          <w:szCs w:val="16"/>
        </w:rPr>
        <w:t>55</w:t>
      </w:r>
      <w:r w:rsidR="00E2122F" w:rsidRPr="00C029A9">
        <w:rPr>
          <w:rFonts w:ascii="Verdana" w:hAnsi="Verdana" w:cs="Arial"/>
          <w:sz w:val="16"/>
          <w:szCs w:val="16"/>
        </w:rPr>
        <w:t>,</w:t>
      </w:r>
      <w:r w:rsidRPr="007718D5">
        <w:rPr>
          <w:rFonts w:ascii="Verdana" w:hAnsi="Verdana" w:cs="Arial"/>
          <w:sz w:val="16"/>
          <w:szCs w:val="16"/>
        </w:rPr>
        <w:t xml:space="preserve"> y </w:t>
      </w:r>
      <w:r w:rsidR="00E2122F" w:rsidRPr="00C029A9">
        <w:rPr>
          <w:rFonts w:ascii="Verdana" w:hAnsi="Verdana"/>
          <w:i/>
          <w:sz w:val="16"/>
          <w:szCs w:val="16"/>
        </w:rPr>
        <w:t xml:space="preserve">Caso </w:t>
      </w:r>
      <w:proofErr w:type="spellStart"/>
      <w:r w:rsidR="00E2122F" w:rsidRPr="00C029A9">
        <w:rPr>
          <w:rFonts w:ascii="Verdana" w:hAnsi="Verdana"/>
          <w:i/>
          <w:sz w:val="16"/>
          <w:szCs w:val="16"/>
        </w:rPr>
        <w:t>Reverón</w:t>
      </w:r>
      <w:proofErr w:type="spellEnd"/>
      <w:r w:rsidR="00E2122F" w:rsidRPr="00C029A9">
        <w:rPr>
          <w:rFonts w:ascii="Verdana" w:hAnsi="Verdana"/>
          <w:i/>
          <w:sz w:val="16"/>
          <w:szCs w:val="16"/>
        </w:rPr>
        <w:t xml:space="preserve"> Trujillo Vs. Venezuela. Excepción Preliminar, Fondo, Reparaciones y Costas</w:t>
      </w:r>
      <w:r w:rsidR="00E2122F" w:rsidRPr="00C029A9">
        <w:rPr>
          <w:rFonts w:ascii="Verdana" w:hAnsi="Verdana"/>
          <w:sz w:val="16"/>
          <w:szCs w:val="16"/>
        </w:rPr>
        <w:t>. Sentencia de 30 de junio de 2009. Serie C No. 197</w:t>
      </w:r>
      <w:r w:rsidRPr="00C029A9">
        <w:rPr>
          <w:rFonts w:ascii="Verdana" w:hAnsi="Verdana" w:cs="Arial"/>
          <w:sz w:val="16"/>
          <w:szCs w:val="16"/>
        </w:rPr>
        <w:t>, párr. 67.</w:t>
      </w:r>
    </w:p>
  </w:footnote>
  <w:footnote w:id="5">
    <w:p w:rsidR="00AB39AB" w:rsidRPr="00C029A9" w:rsidRDefault="00916333" w:rsidP="00B71EB4">
      <w:pPr>
        <w:pStyle w:val="FootnoteText"/>
        <w:tabs>
          <w:tab w:val="left" w:pos="720"/>
        </w:tabs>
        <w:jc w:val="both"/>
        <w:rPr>
          <w:rFonts w:ascii="Verdana" w:hAnsi="Verdana" w:cs="Arial"/>
          <w:sz w:val="16"/>
          <w:szCs w:val="16"/>
        </w:rPr>
      </w:pPr>
      <w:r w:rsidRPr="00C029A9">
        <w:rPr>
          <w:rStyle w:val="FootnoteReference"/>
          <w:rFonts w:ascii="Verdana" w:hAnsi="Verdana" w:cs="Arial"/>
          <w:sz w:val="16"/>
          <w:szCs w:val="16"/>
        </w:rPr>
        <w:footnoteRef/>
      </w:r>
      <w:r w:rsidRPr="00C029A9">
        <w:rPr>
          <w:rFonts w:ascii="Verdana" w:hAnsi="Verdana" w:cs="Arial"/>
          <w:sz w:val="16"/>
          <w:szCs w:val="16"/>
        </w:rPr>
        <w:t xml:space="preserve"> </w:t>
      </w:r>
      <w:r w:rsidRPr="00C029A9">
        <w:rPr>
          <w:rFonts w:ascii="Verdana" w:hAnsi="Verdana" w:cs="Arial"/>
          <w:sz w:val="16"/>
          <w:szCs w:val="16"/>
        </w:rPr>
        <w:tab/>
      </w:r>
      <w:r w:rsidRPr="00C029A9">
        <w:rPr>
          <w:rFonts w:ascii="Verdana" w:hAnsi="Verdana" w:cs="Arial"/>
          <w:i/>
          <w:sz w:val="16"/>
          <w:szCs w:val="16"/>
          <w:lang w:val="es-CL"/>
        </w:rPr>
        <w:t>Cfr.</w:t>
      </w:r>
      <w:r w:rsidRPr="00C029A9">
        <w:rPr>
          <w:rFonts w:ascii="Verdana" w:hAnsi="Verdana" w:cs="Arial"/>
          <w:i/>
          <w:sz w:val="16"/>
          <w:szCs w:val="16"/>
        </w:rPr>
        <w:t xml:space="preserve"> </w:t>
      </w:r>
      <w:r w:rsidRPr="00C029A9">
        <w:rPr>
          <w:rFonts w:ascii="Verdana" w:hAnsi="Verdana" w:cs="Arial"/>
          <w:i/>
          <w:sz w:val="16"/>
          <w:szCs w:val="16"/>
          <w:lang w:val="es-CL"/>
        </w:rPr>
        <w:t xml:space="preserve">Caso del Tribunal Constitucional Vs. Perú. Fondo, Reparaciones y Costas. </w:t>
      </w:r>
      <w:r w:rsidRPr="00C029A9">
        <w:rPr>
          <w:rFonts w:ascii="Verdana" w:hAnsi="Verdana" w:cs="Arial"/>
          <w:sz w:val="16"/>
          <w:szCs w:val="16"/>
          <w:lang w:val="es-CL"/>
        </w:rPr>
        <w:t xml:space="preserve">Sentencia de 31 de enero de 2001. Serie C No. 71, párr. 75, y </w:t>
      </w:r>
      <w:r w:rsidR="00E2122F" w:rsidRPr="00C029A9">
        <w:rPr>
          <w:rFonts w:ascii="Verdana" w:hAnsi="Verdana"/>
          <w:i/>
          <w:sz w:val="16"/>
          <w:szCs w:val="16"/>
        </w:rPr>
        <w:t xml:space="preserve">Caso </w:t>
      </w:r>
      <w:proofErr w:type="spellStart"/>
      <w:r w:rsidR="00E2122F" w:rsidRPr="00C029A9">
        <w:rPr>
          <w:rFonts w:ascii="Verdana" w:hAnsi="Verdana"/>
          <w:i/>
          <w:sz w:val="16"/>
          <w:szCs w:val="16"/>
        </w:rPr>
        <w:t>Reverón</w:t>
      </w:r>
      <w:proofErr w:type="spellEnd"/>
      <w:r w:rsidR="00E2122F" w:rsidRPr="00C029A9">
        <w:rPr>
          <w:rFonts w:ascii="Verdana" w:hAnsi="Verdana"/>
          <w:i/>
          <w:sz w:val="16"/>
          <w:szCs w:val="16"/>
        </w:rPr>
        <w:t xml:space="preserve"> Trujillo Vs. Venezuela. Excepción Preliminar, Fondo, Reparaciones y Costas</w:t>
      </w:r>
      <w:r w:rsidR="00E2122F" w:rsidRPr="00C029A9">
        <w:rPr>
          <w:rFonts w:ascii="Verdana" w:hAnsi="Verdana"/>
          <w:sz w:val="16"/>
          <w:szCs w:val="16"/>
        </w:rPr>
        <w:t>. Sentencia de 30 de junio de 2009. Serie C No. 197</w:t>
      </w:r>
      <w:r w:rsidRPr="00C029A9">
        <w:rPr>
          <w:rFonts w:ascii="Verdana" w:hAnsi="Verdana" w:cs="Arial"/>
          <w:sz w:val="16"/>
          <w:szCs w:val="16"/>
        </w:rPr>
        <w:t>, párr. 80.</w:t>
      </w:r>
      <w:r w:rsidRPr="00C029A9">
        <w:rPr>
          <w:rFonts w:ascii="Verdana" w:hAnsi="Verdana" w:cs="Arial"/>
          <w:sz w:val="16"/>
          <w:szCs w:val="16"/>
          <w:lang w:val="es-ES"/>
        </w:rPr>
        <w:t xml:space="preserve"> Ver también</w:t>
      </w:r>
      <w:r w:rsidRPr="00C029A9">
        <w:rPr>
          <w:rFonts w:ascii="Verdana" w:hAnsi="Verdana" w:cs="Arial"/>
          <w:i/>
          <w:sz w:val="16"/>
          <w:szCs w:val="16"/>
          <w:lang w:val="es-ES"/>
        </w:rPr>
        <w:t xml:space="preserve"> </w:t>
      </w:r>
      <w:r w:rsidRPr="00C029A9">
        <w:rPr>
          <w:rFonts w:ascii="Verdana" w:hAnsi="Verdana" w:cs="Arial"/>
          <w:sz w:val="16"/>
          <w:szCs w:val="16"/>
          <w:lang w:val="es-ES"/>
        </w:rPr>
        <w:t>T.E.D.H., Caso</w:t>
      </w:r>
      <w:r w:rsidRPr="00C029A9">
        <w:rPr>
          <w:rFonts w:ascii="Verdana" w:hAnsi="Verdana" w:cs="Arial"/>
          <w:i/>
          <w:sz w:val="16"/>
          <w:szCs w:val="16"/>
          <w:lang w:val="es-ES"/>
        </w:rPr>
        <w:t xml:space="preserve"> Campbell y </w:t>
      </w:r>
      <w:proofErr w:type="spellStart"/>
      <w:r w:rsidRPr="00C029A9">
        <w:rPr>
          <w:rFonts w:ascii="Verdana" w:hAnsi="Verdana" w:cs="Arial"/>
          <w:i/>
          <w:sz w:val="16"/>
          <w:szCs w:val="16"/>
          <w:lang w:val="es-ES"/>
        </w:rPr>
        <w:t>Fell</w:t>
      </w:r>
      <w:proofErr w:type="spellEnd"/>
      <w:r w:rsidRPr="00C029A9">
        <w:rPr>
          <w:rFonts w:ascii="Verdana" w:hAnsi="Verdana" w:cs="Arial"/>
          <w:i/>
          <w:sz w:val="16"/>
          <w:szCs w:val="16"/>
          <w:lang w:val="es-ES"/>
        </w:rPr>
        <w:t xml:space="preserve"> Vs. Reino Unido</w:t>
      </w:r>
      <w:r w:rsidRPr="00C029A9">
        <w:rPr>
          <w:rFonts w:ascii="Verdana" w:hAnsi="Verdana" w:cs="Arial"/>
          <w:sz w:val="16"/>
          <w:szCs w:val="16"/>
          <w:lang w:val="es-ES"/>
        </w:rPr>
        <w:t>, (No.</w:t>
      </w:r>
      <w:r w:rsidRPr="00C029A9">
        <w:rPr>
          <w:rFonts w:ascii="Verdana" w:hAnsi="Verdana"/>
          <w:sz w:val="16"/>
          <w:szCs w:val="16"/>
        </w:rPr>
        <w:t xml:space="preserve"> </w:t>
      </w:r>
      <w:r w:rsidRPr="00C029A9">
        <w:rPr>
          <w:rFonts w:ascii="Verdana" w:hAnsi="Verdana" w:cs="Arial"/>
          <w:sz w:val="16"/>
          <w:szCs w:val="16"/>
          <w:lang w:val="es-ES"/>
        </w:rPr>
        <w:t xml:space="preserve">7819/77; 7878/77), Sentencia de 28 de junio de 1984, párr. 78, y </w:t>
      </w:r>
      <w:r w:rsidRPr="00C029A9">
        <w:rPr>
          <w:rFonts w:ascii="Verdana" w:hAnsi="Verdana" w:cs="Arial"/>
          <w:i/>
          <w:sz w:val="16"/>
          <w:szCs w:val="16"/>
          <w:lang w:val="es-ES"/>
        </w:rPr>
        <w:t xml:space="preserve">Caso </w:t>
      </w:r>
      <w:proofErr w:type="spellStart"/>
      <w:r w:rsidRPr="00C029A9">
        <w:rPr>
          <w:rFonts w:ascii="Verdana" w:hAnsi="Verdana" w:cs="Arial"/>
          <w:i/>
          <w:sz w:val="16"/>
          <w:szCs w:val="16"/>
          <w:lang w:val="es-ES"/>
        </w:rPr>
        <w:t>Langborger</w:t>
      </w:r>
      <w:proofErr w:type="spellEnd"/>
      <w:r w:rsidRPr="00C029A9">
        <w:rPr>
          <w:rFonts w:ascii="Verdana" w:hAnsi="Verdana" w:cs="Arial"/>
          <w:sz w:val="16"/>
          <w:szCs w:val="16"/>
          <w:lang w:val="es-ES"/>
        </w:rPr>
        <w:t xml:space="preserve"> </w:t>
      </w:r>
      <w:r w:rsidRPr="00C029A9">
        <w:rPr>
          <w:rFonts w:ascii="Verdana" w:hAnsi="Verdana" w:cs="Arial"/>
          <w:i/>
          <w:sz w:val="16"/>
          <w:szCs w:val="16"/>
          <w:lang w:val="es-ES"/>
        </w:rPr>
        <w:t>Vs. Suecia</w:t>
      </w:r>
      <w:r w:rsidR="003C7B78" w:rsidRPr="00C029A9">
        <w:rPr>
          <w:rFonts w:ascii="Verdana" w:hAnsi="Verdana" w:cs="Arial"/>
          <w:i/>
          <w:sz w:val="16"/>
          <w:szCs w:val="16"/>
          <w:lang w:val="es-ES"/>
        </w:rPr>
        <w:t xml:space="preserve"> </w:t>
      </w:r>
      <w:r w:rsidR="003C7B78" w:rsidRPr="00C029A9">
        <w:rPr>
          <w:rFonts w:ascii="Verdana" w:hAnsi="Verdana" w:cs="Arial"/>
          <w:sz w:val="16"/>
          <w:szCs w:val="16"/>
          <w:lang w:val="es-ES"/>
        </w:rPr>
        <w:t>[Gran Sala]</w:t>
      </w:r>
      <w:r w:rsidRPr="00C029A9">
        <w:rPr>
          <w:rFonts w:ascii="Verdana" w:hAnsi="Verdana" w:cs="Arial"/>
          <w:sz w:val="16"/>
          <w:szCs w:val="16"/>
          <w:lang w:val="es-ES"/>
        </w:rPr>
        <w:t>, (No.</w:t>
      </w:r>
      <w:r w:rsidRPr="00C029A9">
        <w:rPr>
          <w:rFonts w:ascii="Verdana" w:hAnsi="Verdana"/>
          <w:sz w:val="16"/>
          <w:szCs w:val="16"/>
        </w:rPr>
        <w:t xml:space="preserve"> </w:t>
      </w:r>
      <w:r w:rsidRPr="00C029A9">
        <w:rPr>
          <w:rFonts w:ascii="Verdana" w:hAnsi="Verdana" w:cs="Arial"/>
          <w:sz w:val="16"/>
          <w:szCs w:val="16"/>
          <w:lang w:val="es-ES"/>
        </w:rPr>
        <w:t xml:space="preserve">11179/84), Sentencia de 22 de junio de 1989, párr. </w:t>
      </w:r>
      <w:r w:rsidRPr="00C029A9">
        <w:rPr>
          <w:rFonts w:ascii="Verdana" w:hAnsi="Verdana" w:cs="Arial"/>
          <w:sz w:val="16"/>
          <w:szCs w:val="16"/>
        </w:rPr>
        <w:t>32. Ver también</w:t>
      </w:r>
      <w:r w:rsidRPr="00C029A9">
        <w:rPr>
          <w:rFonts w:ascii="Verdana" w:hAnsi="Verdana" w:cs="Arial"/>
          <w:i/>
          <w:sz w:val="16"/>
          <w:szCs w:val="16"/>
        </w:rPr>
        <w:t xml:space="preserve"> </w:t>
      </w:r>
      <w:r w:rsidRPr="00C029A9">
        <w:rPr>
          <w:rFonts w:ascii="Verdana" w:hAnsi="Verdana" w:cs="Arial"/>
          <w:sz w:val="16"/>
          <w:szCs w:val="16"/>
        </w:rPr>
        <w:t>Principios 2, 3 y 4 de los Principios Básicos de las Naciones Unidas relativos a la Independencia de la Judicatura, adoptados por el Séptimo Congreso de las Naciones Unidas sobre Prevención del Delito y Tratamiento del Delincuente, celebrado en Milán del 26 de agosto al 6 de septiembre de 1985, y confirmados por la Asamblea General en sus resoluciones 40/32 de 29 de noviembre de 1985 y 40/146 de 13 de diciembre de 1985.</w:t>
      </w:r>
    </w:p>
  </w:footnote>
  <w:footnote w:id="6">
    <w:p w:rsidR="00AB39AB" w:rsidRPr="00C029A9" w:rsidRDefault="00916333" w:rsidP="00B71EB4">
      <w:pPr>
        <w:pStyle w:val="FootnoteText"/>
        <w:jc w:val="both"/>
        <w:rPr>
          <w:rFonts w:ascii="Verdana" w:hAnsi="Verdana"/>
          <w:sz w:val="16"/>
          <w:szCs w:val="16"/>
        </w:rPr>
      </w:pPr>
      <w:r w:rsidRPr="00C029A9">
        <w:rPr>
          <w:rStyle w:val="FootnoteReference"/>
          <w:rFonts w:ascii="Verdana" w:hAnsi="Verdana"/>
          <w:sz w:val="16"/>
          <w:szCs w:val="16"/>
        </w:rPr>
        <w:footnoteRef/>
      </w:r>
      <w:r w:rsidRPr="00C029A9">
        <w:rPr>
          <w:rFonts w:ascii="Verdana" w:hAnsi="Verdana"/>
          <w:sz w:val="16"/>
          <w:szCs w:val="16"/>
        </w:rPr>
        <w:t xml:space="preserve"> </w:t>
      </w:r>
      <w:r w:rsidRPr="00C029A9">
        <w:rPr>
          <w:rFonts w:ascii="Verdana" w:hAnsi="Verdana"/>
          <w:sz w:val="16"/>
          <w:szCs w:val="16"/>
        </w:rPr>
        <w:tab/>
      </w:r>
      <w:r w:rsidRPr="00C029A9">
        <w:rPr>
          <w:rFonts w:ascii="Verdana" w:hAnsi="Verdana"/>
          <w:i/>
          <w:sz w:val="16"/>
          <w:szCs w:val="16"/>
        </w:rPr>
        <w:t xml:space="preserve">Cfr. </w:t>
      </w:r>
      <w:r w:rsidR="00747A3A" w:rsidRPr="00C029A9">
        <w:rPr>
          <w:rFonts w:ascii="Verdana" w:hAnsi="Verdana"/>
          <w:i/>
          <w:sz w:val="16"/>
          <w:szCs w:val="16"/>
        </w:rPr>
        <w:t xml:space="preserve">Caso </w:t>
      </w:r>
      <w:proofErr w:type="spellStart"/>
      <w:r w:rsidR="00747A3A" w:rsidRPr="00C029A9">
        <w:rPr>
          <w:rFonts w:ascii="Verdana" w:hAnsi="Verdana"/>
          <w:i/>
          <w:sz w:val="16"/>
          <w:szCs w:val="16"/>
        </w:rPr>
        <w:t>Reverón</w:t>
      </w:r>
      <w:proofErr w:type="spellEnd"/>
      <w:r w:rsidR="00747A3A" w:rsidRPr="00C029A9">
        <w:rPr>
          <w:rFonts w:ascii="Verdana" w:hAnsi="Verdana"/>
          <w:i/>
          <w:sz w:val="16"/>
          <w:szCs w:val="16"/>
        </w:rPr>
        <w:t xml:space="preserve"> Trujillo Vs. Venezuela. Excepción Preliminar, Fondo, Reparaciones y Costas</w:t>
      </w:r>
      <w:r w:rsidR="00747A3A" w:rsidRPr="00C029A9">
        <w:rPr>
          <w:rFonts w:ascii="Verdana" w:hAnsi="Verdana"/>
          <w:sz w:val="16"/>
          <w:szCs w:val="16"/>
        </w:rPr>
        <w:t>. Sentencia de 30 de junio de 2009. Serie C No. 197</w:t>
      </w:r>
      <w:r w:rsidRPr="00C029A9">
        <w:rPr>
          <w:rFonts w:ascii="Verdana" w:hAnsi="Verdana"/>
          <w:sz w:val="16"/>
          <w:szCs w:val="16"/>
        </w:rPr>
        <w:t>, párr. 146.</w:t>
      </w:r>
    </w:p>
  </w:footnote>
  <w:footnote w:id="7">
    <w:p w:rsidR="00AB39AB" w:rsidRPr="00C029A9" w:rsidRDefault="00916333" w:rsidP="00B71EB4">
      <w:pPr>
        <w:pStyle w:val="FootnoteText"/>
        <w:jc w:val="both"/>
        <w:rPr>
          <w:rFonts w:ascii="Verdana" w:hAnsi="Verdana"/>
          <w:sz w:val="16"/>
          <w:szCs w:val="16"/>
        </w:rPr>
      </w:pPr>
      <w:r w:rsidRPr="00C029A9">
        <w:rPr>
          <w:rStyle w:val="FootnoteReference"/>
          <w:rFonts w:ascii="Verdana" w:hAnsi="Verdana"/>
          <w:sz w:val="16"/>
          <w:szCs w:val="16"/>
        </w:rPr>
        <w:footnoteRef/>
      </w:r>
      <w:r w:rsidRPr="00C029A9">
        <w:rPr>
          <w:rFonts w:ascii="Verdana" w:hAnsi="Verdana"/>
          <w:sz w:val="16"/>
          <w:szCs w:val="16"/>
        </w:rPr>
        <w:t xml:space="preserve"> </w:t>
      </w:r>
      <w:r w:rsidRPr="00C029A9">
        <w:rPr>
          <w:rFonts w:ascii="Verdana" w:hAnsi="Verdana"/>
          <w:sz w:val="16"/>
          <w:szCs w:val="16"/>
        </w:rPr>
        <w:tab/>
      </w:r>
      <w:r w:rsidRPr="00C029A9">
        <w:rPr>
          <w:rFonts w:ascii="Verdana" w:hAnsi="Verdana" w:cs="Arial"/>
          <w:i/>
          <w:iCs/>
          <w:sz w:val="16"/>
          <w:szCs w:val="16"/>
          <w:lang w:val="es-ES"/>
        </w:rPr>
        <w:t xml:space="preserve">Cfr. </w:t>
      </w:r>
      <w:r w:rsidR="00747A3A" w:rsidRPr="00C029A9">
        <w:rPr>
          <w:rFonts w:ascii="Verdana" w:hAnsi="Verdana" w:cs="Arial"/>
          <w:i/>
          <w:iCs/>
          <w:sz w:val="16"/>
          <w:szCs w:val="16"/>
          <w:lang w:val="es-ES"/>
        </w:rPr>
        <w:t>Caso Herrera Ulloa Vs. Costa Rica. Excepciones Preliminares, Fondo, Reparaciones y Costas</w:t>
      </w:r>
      <w:r w:rsidR="00747A3A" w:rsidRPr="00C029A9">
        <w:rPr>
          <w:rFonts w:ascii="Verdana" w:hAnsi="Verdana" w:cs="Arial"/>
          <w:iCs/>
          <w:sz w:val="16"/>
          <w:szCs w:val="16"/>
          <w:lang w:val="es-ES"/>
        </w:rPr>
        <w:t>. Sentencia de 2 de julio de 2004. Serie C No. 107</w:t>
      </w:r>
      <w:r w:rsidRPr="00C029A9">
        <w:rPr>
          <w:rFonts w:ascii="Verdana" w:hAnsi="Verdana" w:cs="Arial"/>
          <w:sz w:val="16"/>
          <w:szCs w:val="16"/>
          <w:lang w:val="es-ES"/>
        </w:rPr>
        <w:t>, párr. 171</w:t>
      </w:r>
      <w:r w:rsidR="00747A3A" w:rsidRPr="00C029A9">
        <w:rPr>
          <w:rFonts w:ascii="Verdana" w:hAnsi="Verdana" w:cs="Arial"/>
          <w:sz w:val="16"/>
          <w:szCs w:val="16"/>
          <w:lang w:val="es-ES"/>
        </w:rPr>
        <w:t>,</w:t>
      </w:r>
      <w:r w:rsidRPr="00C029A9">
        <w:rPr>
          <w:rFonts w:ascii="Verdana" w:hAnsi="Verdana" w:cs="Arial"/>
          <w:sz w:val="16"/>
          <w:szCs w:val="16"/>
          <w:lang w:val="es-ES"/>
        </w:rPr>
        <w:t xml:space="preserve"> y</w:t>
      </w:r>
      <w:r w:rsidR="00747A3A" w:rsidRPr="00C029A9">
        <w:rPr>
          <w:rFonts w:ascii="Verdana" w:hAnsi="Verdana" w:cs="Arial"/>
          <w:sz w:val="16"/>
          <w:szCs w:val="16"/>
          <w:lang w:val="es-ES"/>
        </w:rPr>
        <w:t xml:space="preserve"> </w:t>
      </w:r>
      <w:r w:rsidR="00747A3A" w:rsidRPr="00C029A9">
        <w:rPr>
          <w:rFonts w:ascii="Verdana" w:hAnsi="Verdana" w:cs="Arial"/>
          <w:i/>
          <w:sz w:val="16"/>
          <w:szCs w:val="16"/>
          <w:lang w:val="es-ES"/>
        </w:rPr>
        <w:t xml:space="preserve">Caso </w:t>
      </w:r>
      <w:proofErr w:type="spellStart"/>
      <w:r w:rsidR="00747A3A" w:rsidRPr="00C029A9">
        <w:rPr>
          <w:rFonts w:ascii="Verdana" w:hAnsi="Verdana" w:cs="Arial"/>
          <w:i/>
          <w:sz w:val="16"/>
          <w:szCs w:val="16"/>
          <w:lang w:val="es-ES"/>
        </w:rPr>
        <w:t>Palamara</w:t>
      </w:r>
      <w:proofErr w:type="spellEnd"/>
      <w:r w:rsidR="00747A3A" w:rsidRPr="00C029A9">
        <w:rPr>
          <w:rFonts w:ascii="Verdana" w:hAnsi="Verdana" w:cs="Arial"/>
          <w:i/>
          <w:sz w:val="16"/>
          <w:szCs w:val="16"/>
          <w:lang w:val="es-ES"/>
        </w:rPr>
        <w:t xml:space="preserve"> Iribarne Vs. Chile. Fondo, Reparaciones y Costas</w:t>
      </w:r>
      <w:r w:rsidR="00747A3A" w:rsidRPr="00C029A9">
        <w:rPr>
          <w:rFonts w:ascii="Verdana" w:hAnsi="Verdana" w:cs="Arial"/>
          <w:sz w:val="16"/>
          <w:szCs w:val="16"/>
          <w:lang w:val="es-ES"/>
        </w:rPr>
        <w:t>. Sentencia de 22 de noviembre de 2005. Serie C No. 135</w:t>
      </w:r>
      <w:r w:rsidRPr="00C029A9">
        <w:rPr>
          <w:rFonts w:ascii="Verdana" w:hAnsi="Verdana" w:cs="Arial"/>
          <w:sz w:val="16"/>
          <w:szCs w:val="16"/>
          <w:lang w:val="es-ES"/>
        </w:rPr>
        <w:t>, párr. 145</w:t>
      </w:r>
      <w:r w:rsidR="00747A3A" w:rsidRPr="00C029A9">
        <w:rPr>
          <w:rFonts w:ascii="Verdana" w:hAnsi="Verdana" w:cs="Arial"/>
          <w:sz w:val="16"/>
          <w:szCs w:val="16"/>
          <w:lang w:val="es-ES"/>
        </w:rPr>
        <w:t>.</w:t>
      </w:r>
    </w:p>
  </w:footnote>
  <w:footnote w:id="8">
    <w:p w:rsidR="00AB39AB" w:rsidRPr="007718D5" w:rsidRDefault="00916333" w:rsidP="00B71EB4">
      <w:pPr>
        <w:pStyle w:val="FootnoteText"/>
        <w:jc w:val="both"/>
        <w:rPr>
          <w:rFonts w:ascii="Verdana" w:hAnsi="Verdana"/>
          <w:sz w:val="16"/>
          <w:szCs w:val="16"/>
          <w:lang w:val="es-AR"/>
        </w:rPr>
      </w:pPr>
      <w:r w:rsidRPr="00C029A9">
        <w:rPr>
          <w:rStyle w:val="FootnoteReference"/>
          <w:rFonts w:ascii="Verdana" w:eastAsia="Calibri" w:hAnsi="Verdana"/>
          <w:sz w:val="16"/>
          <w:szCs w:val="16"/>
        </w:rPr>
        <w:footnoteRef/>
      </w:r>
      <w:r w:rsidRPr="00E2122F">
        <w:rPr>
          <w:rFonts w:ascii="Verdana" w:hAnsi="Verdana"/>
          <w:sz w:val="16"/>
          <w:szCs w:val="16"/>
          <w:lang w:val="es-AR"/>
        </w:rPr>
        <w:t xml:space="preserve"> </w:t>
      </w:r>
      <w:r w:rsidRPr="00E2122F">
        <w:rPr>
          <w:rFonts w:ascii="Verdana" w:hAnsi="Verdana"/>
          <w:sz w:val="16"/>
          <w:szCs w:val="16"/>
          <w:lang w:val="es-AR"/>
        </w:rPr>
        <w:tab/>
      </w:r>
      <w:r w:rsidRPr="00E2122F">
        <w:rPr>
          <w:rFonts w:ascii="Verdana" w:hAnsi="Verdana"/>
          <w:i/>
          <w:sz w:val="16"/>
          <w:szCs w:val="16"/>
          <w:lang w:val="es-AR"/>
        </w:rPr>
        <w:t xml:space="preserve">Cfr. Caso Herrera Ulloa Vs. Costa Rica. </w:t>
      </w:r>
      <w:r w:rsidRPr="007718D5">
        <w:rPr>
          <w:rFonts w:ascii="Verdana" w:hAnsi="Verdana"/>
          <w:i/>
          <w:sz w:val="16"/>
          <w:szCs w:val="16"/>
          <w:lang w:val="es-AR"/>
        </w:rPr>
        <w:t>Excepciones Preliminares, Fondo, Reparaciones y Costas.</w:t>
      </w:r>
      <w:r w:rsidRPr="007718D5">
        <w:rPr>
          <w:rFonts w:ascii="Verdana" w:hAnsi="Verdana"/>
          <w:sz w:val="16"/>
          <w:szCs w:val="16"/>
          <w:lang w:val="es-AR"/>
        </w:rPr>
        <w:t xml:space="preserve"> Sentencia de 2 de julio de 2004. Serie C No. 107, párr. 171</w:t>
      </w:r>
      <w:r w:rsidR="00417BB4" w:rsidRPr="007718D5">
        <w:rPr>
          <w:rFonts w:ascii="Verdana" w:hAnsi="Verdana"/>
          <w:sz w:val="16"/>
          <w:szCs w:val="16"/>
          <w:lang w:val="es-AR"/>
        </w:rPr>
        <w:t xml:space="preserve">; </w:t>
      </w:r>
      <w:r w:rsidR="00417BB4" w:rsidRPr="007718D5">
        <w:rPr>
          <w:rStyle w:val="Strong"/>
          <w:rFonts w:ascii="Verdana" w:hAnsi="Verdana"/>
          <w:b w:val="0"/>
          <w:i/>
          <w:color w:val="000000"/>
          <w:sz w:val="16"/>
          <w:shd w:val="clear" w:color="auto" w:fill="FFFFFF"/>
        </w:rPr>
        <w:t>Caso Barreto Leiva Vs. Venezuela. Fondo, Reparaciones y Costas</w:t>
      </w:r>
      <w:r w:rsidR="00417BB4" w:rsidRPr="007718D5">
        <w:rPr>
          <w:rStyle w:val="Strong"/>
          <w:rFonts w:ascii="Verdana" w:hAnsi="Verdana"/>
          <w:b w:val="0"/>
          <w:color w:val="000000"/>
          <w:sz w:val="16"/>
          <w:shd w:val="clear" w:color="auto" w:fill="FFFFFF"/>
        </w:rPr>
        <w:t>. Sentencia de 17 de noviembre de 2009. Serie C No. 206, párr. 98</w:t>
      </w:r>
      <w:r w:rsidRPr="007718D5">
        <w:rPr>
          <w:rFonts w:ascii="Verdana" w:hAnsi="Verdana"/>
          <w:sz w:val="16"/>
          <w:szCs w:val="16"/>
          <w:lang w:val="es-AR"/>
        </w:rPr>
        <w:t>.</w:t>
      </w:r>
    </w:p>
  </w:footnote>
  <w:footnote w:id="9">
    <w:p w:rsidR="00916333" w:rsidRPr="007718D5" w:rsidRDefault="00916333" w:rsidP="00A70FD9">
      <w:pPr>
        <w:spacing w:line="240" w:lineRule="auto"/>
        <w:jc w:val="both"/>
        <w:rPr>
          <w:rFonts w:ascii="Verdana" w:hAnsi="Verdana" w:cs="Arial"/>
          <w:sz w:val="16"/>
          <w:szCs w:val="16"/>
          <w:lang w:val="es-ES"/>
        </w:rPr>
      </w:pPr>
      <w:r w:rsidRPr="007718D5">
        <w:rPr>
          <w:rStyle w:val="FootnoteReference"/>
          <w:rFonts w:ascii="Verdana" w:hAnsi="Verdana"/>
          <w:sz w:val="16"/>
          <w:szCs w:val="16"/>
        </w:rPr>
        <w:footnoteRef/>
      </w:r>
      <w:r w:rsidRPr="007718D5">
        <w:rPr>
          <w:rFonts w:ascii="Verdana" w:hAnsi="Verdana"/>
          <w:sz w:val="16"/>
          <w:szCs w:val="16"/>
          <w:lang w:val="es-CR"/>
        </w:rPr>
        <w:t xml:space="preserve"> </w:t>
      </w:r>
      <w:r w:rsidRPr="007718D5">
        <w:rPr>
          <w:rFonts w:ascii="Verdana" w:hAnsi="Verdana"/>
          <w:sz w:val="16"/>
          <w:szCs w:val="16"/>
          <w:lang w:val="es-CR"/>
        </w:rPr>
        <w:tab/>
      </w:r>
      <w:r w:rsidRPr="007718D5">
        <w:rPr>
          <w:rFonts w:ascii="Verdana" w:hAnsi="Verdana" w:cs="Arial"/>
          <w:i/>
          <w:iCs/>
          <w:sz w:val="16"/>
          <w:szCs w:val="16"/>
          <w:lang w:val="es-ES"/>
        </w:rPr>
        <w:t>Cfr.</w:t>
      </w:r>
      <w:r w:rsidR="00747A3A" w:rsidRPr="007718D5">
        <w:rPr>
          <w:rFonts w:ascii="Verdana" w:hAnsi="Verdana" w:cs="Arial"/>
          <w:i/>
          <w:sz w:val="16"/>
          <w:szCs w:val="16"/>
          <w:lang w:val="es-ES"/>
        </w:rPr>
        <w:t xml:space="preserve"> Caso </w:t>
      </w:r>
      <w:proofErr w:type="spellStart"/>
      <w:r w:rsidR="00747A3A" w:rsidRPr="007718D5">
        <w:rPr>
          <w:rFonts w:ascii="Verdana" w:hAnsi="Verdana" w:cs="Arial"/>
          <w:i/>
          <w:sz w:val="16"/>
          <w:szCs w:val="16"/>
          <w:lang w:val="es-ES"/>
        </w:rPr>
        <w:t>Palamara</w:t>
      </w:r>
      <w:proofErr w:type="spellEnd"/>
      <w:r w:rsidR="00747A3A" w:rsidRPr="007718D5">
        <w:rPr>
          <w:rFonts w:ascii="Verdana" w:hAnsi="Verdana" w:cs="Arial"/>
          <w:i/>
          <w:sz w:val="16"/>
          <w:szCs w:val="16"/>
          <w:lang w:val="es-ES"/>
        </w:rPr>
        <w:t xml:space="preserve"> Iribarne Vs. Chile. Fondo, Reparaciones y Costas</w:t>
      </w:r>
      <w:r w:rsidR="00747A3A" w:rsidRPr="007718D5">
        <w:rPr>
          <w:rFonts w:ascii="Verdana" w:hAnsi="Verdana" w:cs="Arial"/>
          <w:sz w:val="16"/>
          <w:szCs w:val="16"/>
          <w:lang w:val="es-ES"/>
        </w:rPr>
        <w:t>. Sentencia de</w:t>
      </w:r>
      <w:r w:rsidR="00747A3A" w:rsidRPr="00747A3A">
        <w:rPr>
          <w:rFonts w:ascii="Verdana" w:hAnsi="Verdana" w:cs="Arial"/>
          <w:sz w:val="16"/>
          <w:szCs w:val="16"/>
          <w:lang w:val="es-ES"/>
        </w:rPr>
        <w:t xml:space="preserve"> 22 de noviembre de 2005. Serie C No. 135</w:t>
      </w:r>
      <w:r w:rsidRPr="00E2122F">
        <w:rPr>
          <w:rFonts w:ascii="Verdana" w:hAnsi="Verdana" w:cs="Arial"/>
          <w:sz w:val="16"/>
          <w:szCs w:val="16"/>
          <w:lang w:val="es-ES"/>
        </w:rPr>
        <w:t>, párr. 146</w:t>
      </w:r>
      <w:r w:rsidR="00747A3A">
        <w:rPr>
          <w:rFonts w:ascii="Verdana" w:hAnsi="Verdana" w:cs="Arial"/>
          <w:sz w:val="16"/>
          <w:szCs w:val="16"/>
          <w:lang w:val="es-ES"/>
        </w:rPr>
        <w:t>, y</w:t>
      </w:r>
      <w:r w:rsidR="00747A3A" w:rsidRPr="00E2122F">
        <w:rPr>
          <w:rFonts w:ascii="Verdana" w:hAnsi="Verdana" w:cs="Arial"/>
          <w:sz w:val="16"/>
          <w:szCs w:val="16"/>
          <w:lang w:val="es-ES"/>
        </w:rPr>
        <w:t xml:space="preserve"> </w:t>
      </w:r>
      <w:r w:rsidR="00DF69BA">
        <w:fldChar w:fldCharType="begin"/>
      </w:r>
      <w:r w:rsidR="00DF69BA" w:rsidRPr="00C71B3C">
        <w:rPr>
          <w:lang w:val="es-ES"/>
        </w:rPr>
        <w:instrText xml:space="preserve"> HYPERLINK "http://www.bjdh.org.mx/interamericano/busqueda" </w:instrText>
      </w:r>
      <w:r w:rsidR="00DF69BA">
        <w:fldChar w:fldCharType="separate"/>
      </w:r>
      <w:r w:rsidRPr="00E2122F">
        <w:rPr>
          <w:rFonts w:ascii="Verdana" w:hAnsi="Verdana" w:cs="Arial"/>
          <w:i/>
          <w:sz w:val="16"/>
          <w:szCs w:val="16"/>
          <w:lang w:val="es-ES"/>
        </w:rPr>
        <w:t xml:space="preserve">Caso </w:t>
      </w:r>
      <w:proofErr w:type="spellStart"/>
      <w:r w:rsidRPr="00E2122F">
        <w:rPr>
          <w:rFonts w:ascii="Verdana" w:hAnsi="Verdana" w:cs="Arial"/>
          <w:i/>
          <w:sz w:val="16"/>
          <w:szCs w:val="16"/>
          <w:lang w:val="es-ES"/>
        </w:rPr>
        <w:t>Usón</w:t>
      </w:r>
      <w:proofErr w:type="spellEnd"/>
      <w:r w:rsidRPr="00E2122F">
        <w:rPr>
          <w:rFonts w:ascii="Verdana" w:hAnsi="Verdana" w:cs="Arial"/>
          <w:i/>
          <w:sz w:val="16"/>
          <w:szCs w:val="16"/>
          <w:lang w:val="es-ES"/>
        </w:rPr>
        <w:t xml:space="preserve"> Ramírez Vs. Venezuela. Excepción Preliminar, Fondo, Reparaciones y Costas</w:t>
      </w:r>
      <w:r w:rsidRPr="00E2122F">
        <w:rPr>
          <w:rFonts w:ascii="Verdana" w:hAnsi="Verdana" w:cs="Arial"/>
          <w:sz w:val="16"/>
          <w:szCs w:val="16"/>
          <w:lang w:val="es-ES"/>
        </w:rPr>
        <w:t>. Sentencia de 20 de noviembre de 2009. Serie C No. 207, párr. 117</w:t>
      </w:r>
      <w:r w:rsidR="00DF69BA">
        <w:rPr>
          <w:rFonts w:ascii="Verdana" w:hAnsi="Verdana" w:cs="Arial"/>
          <w:sz w:val="16"/>
          <w:szCs w:val="16"/>
          <w:lang w:val="es-ES"/>
        </w:rPr>
        <w:fldChar w:fldCharType="end"/>
      </w:r>
      <w:r w:rsidR="00747A3A">
        <w:rPr>
          <w:rFonts w:ascii="Verdana" w:hAnsi="Verdana" w:cs="Arial"/>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743733"/>
      <w:docPartObj>
        <w:docPartGallery w:val="Page Numbers (Top of Page)"/>
        <w:docPartUnique/>
      </w:docPartObj>
    </w:sdtPr>
    <w:sdtEndPr>
      <w:rPr>
        <w:noProof/>
      </w:rPr>
    </w:sdtEndPr>
    <w:sdtContent>
      <w:p w:rsidR="00C71B3C" w:rsidRDefault="00C71B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71B3C" w:rsidRDefault="00C71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3668B"/>
    <w:multiLevelType w:val="hybridMultilevel"/>
    <w:tmpl w:val="6A245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E64D32"/>
    <w:multiLevelType w:val="hybridMultilevel"/>
    <w:tmpl w:val="631A40E8"/>
    <w:lvl w:ilvl="0" w:tplc="95A8CBB0">
      <w:start w:val="1"/>
      <w:numFmt w:val="decimal"/>
      <w:lvlText w:val="%1."/>
      <w:lvlJc w:val="left"/>
      <w:pPr>
        <w:tabs>
          <w:tab w:val="num" w:pos="18155"/>
        </w:tabs>
      </w:pPr>
      <w:rPr>
        <w:rFonts w:ascii="Verdana" w:eastAsia="Times New Roman" w:hAnsi="Verdana"/>
        <w:b w:val="0"/>
        <w:bCs w:val="0"/>
        <w:i w:val="0"/>
        <w:iCs w:val="0"/>
        <w:strike w:val="0"/>
        <w:color w:val="auto"/>
        <w:sz w:val="20"/>
        <w:szCs w:val="20"/>
        <w:lang w:val="es-ES"/>
      </w:rPr>
    </w:lvl>
    <w:lvl w:ilvl="1" w:tplc="C7D25ABE">
      <w:start w:val="1"/>
      <w:numFmt w:val="lowerLetter"/>
      <w:lvlText w:val="%2)"/>
      <w:lvlJc w:val="left"/>
      <w:pPr>
        <w:tabs>
          <w:tab w:val="num" w:pos="6930"/>
        </w:tabs>
        <w:ind w:left="6930" w:hanging="360"/>
      </w:pPr>
      <w:rPr>
        <w:rFonts w:hint="default"/>
        <w:b w:val="0"/>
        <w:bCs w:val="0"/>
        <w:i w:val="0"/>
        <w:iCs w:val="0"/>
        <w:sz w:val="20"/>
        <w:szCs w:val="20"/>
      </w:rPr>
    </w:lvl>
    <w:lvl w:ilvl="2" w:tplc="0409001B">
      <w:start w:val="1"/>
      <w:numFmt w:val="lowerRoman"/>
      <w:lvlText w:val="%3."/>
      <w:lvlJc w:val="right"/>
      <w:pPr>
        <w:tabs>
          <w:tab w:val="num" w:pos="7380"/>
        </w:tabs>
        <w:ind w:left="7380" w:hanging="180"/>
      </w:pPr>
      <w:rPr>
        <w:b w:val="0"/>
        <w:strike w:val="0"/>
      </w:rPr>
    </w:lvl>
    <w:lvl w:ilvl="3" w:tplc="140A001B">
      <w:start w:val="1"/>
      <w:numFmt w:val="decimal"/>
      <w:lvlText w:val="%4."/>
      <w:lvlJc w:val="left"/>
      <w:pPr>
        <w:tabs>
          <w:tab w:val="num" w:pos="8730"/>
        </w:tabs>
        <w:ind w:left="8730" w:hanging="360"/>
      </w:pPr>
    </w:lvl>
    <w:lvl w:ilvl="4" w:tplc="04090019">
      <w:start w:val="1"/>
      <w:numFmt w:val="lowerLetter"/>
      <w:pStyle w:val="Heading6"/>
      <w:lvlText w:val="%5."/>
      <w:lvlJc w:val="left"/>
      <w:pPr>
        <w:tabs>
          <w:tab w:val="num" w:pos="9450"/>
        </w:tabs>
        <w:ind w:left="9450" w:hanging="360"/>
      </w:pPr>
    </w:lvl>
    <w:lvl w:ilvl="5" w:tplc="0409001B">
      <w:start w:val="1"/>
      <w:numFmt w:val="lowerRoman"/>
      <w:lvlText w:val="%6."/>
      <w:lvlJc w:val="right"/>
      <w:pPr>
        <w:tabs>
          <w:tab w:val="num" w:pos="10170"/>
        </w:tabs>
        <w:ind w:left="10170" w:hanging="180"/>
      </w:pPr>
    </w:lvl>
    <w:lvl w:ilvl="6" w:tplc="0409000F">
      <w:start w:val="1"/>
      <w:numFmt w:val="decimal"/>
      <w:lvlText w:val="%7."/>
      <w:lvlJc w:val="left"/>
      <w:pPr>
        <w:tabs>
          <w:tab w:val="num" w:pos="10890"/>
        </w:tabs>
        <w:ind w:left="10890" w:hanging="360"/>
      </w:pPr>
    </w:lvl>
    <w:lvl w:ilvl="7" w:tplc="04090019">
      <w:start w:val="1"/>
      <w:numFmt w:val="lowerLetter"/>
      <w:lvlText w:val="%8."/>
      <w:lvlJc w:val="left"/>
      <w:pPr>
        <w:tabs>
          <w:tab w:val="num" w:pos="11610"/>
        </w:tabs>
        <w:ind w:left="11610" w:hanging="360"/>
      </w:pPr>
    </w:lvl>
    <w:lvl w:ilvl="8" w:tplc="0409001B">
      <w:start w:val="1"/>
      <w:numFmt w:val="lowerRoman"/>
      <w:lvlText w:val="%9."/>
      <w:lvlJc w:val="right"/>
      <w:pPr>
        <w:tabs>
          <w:tab w:val="num" w:pos="12330"/>
        </w:tabs>
        <w:ind w:left="123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CC"/>
    <w:rsid w:val="00041614"/>
    <w:rsid w:val="00076411"/>
    <w:rsid w:val="000E7CEE"/>
    <w:rsid w:val="001263AB"/>
    <w:rsid w:val="00141240"/>
    <w:rsid w:val="00197AEC"/>
    <w:rsid w:val="001D0D8D"/>
    <w:rsid w:val="00240130"/>
    <w:rsid w:val="00253356"/>
    <w:rsid w:val="00254DB0"/>
    <w:rsid w:val="00295934"/>
    <w:rsid w:val="002A31DE"/>
    <w:rsid w:val="002D0262"/>
    <w:rsid w:val="00386575"/>
    <w:rsid w:val="003C7B78"/>
    <w:rsid w:val="003D59EC"/>
    <w:rsid w:val="00417BB4"/>
    <w:rsid w:val="0043208C"/>
    <w:rsid w:val="00437F9E"/>
    <w:rsid w:val="0049428B"/>
    <w:rsid w:val="005C23C2"/>
    <w:rsid w:val="0064248C"/>
    <w:rsid w:val="00654F00"/>
    <w:rsid w:val="006A593F"/>
    <w:rsid w:val="006B05F8"/>
    <w:rsid w:val="006D03D6"/>
    <w:rsid w:val="00712C93"/>
    <w:rsid w:val="007348C4"/>
    <w:rsid w:val="00747A3A"/>
    <w:rsid w:val="007718D5"/>
    <w:rsid w:val="00817800"/>
    <w:rsid w:val="008243BC"/>
    <w:rsid w:val="00836819"/>
    <w:rsid w:val="00916333"/>
    <w:rsid w:val="009415CC"/>
    <w:rsid w:val="00A16341"/>
    <w:rsid w:val="00A46026"/>
    <w:rsid w:val="00A46C39"/>
    <w:rsid w:val="00A70FD9"/>
    <w:rsid w:val="00A74F42"/>
    <w:rsid w:val="00A8031D"/>
    <w:rsid w:val="00AB39AB"/>
    <w:rsid w:val="00B71EB4"/>
    <w:rsid w:val="00B84661"/>
    <w:rsid w:val="00B8619A"/>
    <w:rsid w:val="00B87430"/>
    <w:rsid w:val="00B939F2"/>
    <w:rsid w:val="00BA0BB3"/>
    <w:rsid w:val="00C029A9"/>
    <w:rsid w:val="00C345B3"/>
    <w:rsid w:val="00C34A26"/>
    <w:rsid w:val="00C71B3C"/>
    <w:rsid w:val="00C72397"/>
    <w:rsid w:val="00C95218"/>
    <w:rsid w:val="00CB572D"/>
    <w:rsid w:val="00D011CC"/>
    <w:rsid w:val="00D344A1"/>
    <w:rsid w:val="00D5078B"/>
    <w:rsid w:val="00DC157C"/>
    <w:rsid w:val="00DC4BFD"/>
    <w:rsid w:val="00DF69BA"/>
    <w:rsid w:val="00E157AC"/>
    <w:rsid w:val="00E2122F"/>
    <w:rsid w:val="00F670BE"/>
    <w:rsid w:val="00F76ADC"/>
    <w:rsid w:val="00FF0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F670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qFormat/>
    <w:rsid w:val="00F670BE"/>
    <w:pPr>
      <w:keepNext w:val="0"/>
      <w:keepLines w:val="0"/>
      <w:numPr>
        <w:ilvl w:val="4"/>
        <w:numId w:val="2"/>
      </w:numPr>
      <w:spacing w:before="0" w:line="240" w:lineRule="auto"/>
      <w:jc w:val="both"/>
      <w:outlineLvl w:val="5"/>
    </w:pPr>
    <w:rPr>
      <w:rFonts w:ascii="Verdana" w:eastAsia="Times New Roman" w:hAnsi="Verdana" w:cs="Times New Roman"/>
      <w:color w:val="auto"/>
      <w:spacing w:val="-2"/>
      <w:sz w:val="20"/>
      <w:szCs w:val="20"/>
      <w:lang w:val="es-ES_tradnl"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Footnote,Colorful List - Accent 11,List Paragraph1"/>
    <w:basedOn w:val="Normal"/>
    <w:link w:val="ListParagraphChar"/>
    <w:uiPriority w:val="34"/>
    <w:qFormat/>
    <w:rsid w:val="009415CC"/>
    <w:pPr>
      <w:ind w:left="720"/>
      <w:contextualSpacing/>
    </w:pPr>
  </w:style>
  <w:style w:type="character" w:customStyle="1" w:styleId="Heading6Char">
    <w:name w:val="Heading 6 Char"/>
    <w:basedOn w:val="DefaultParagraphFont"/>
    <w:link w:val="Heading6"/>
    <w:uiPriority w:val="9"/>
    <w:rsid w:val="00F670BE"/>
    <w:rPr>
      <w:rFonts w:ascii="Verdana" w:eastAsia="Times New Roman" w:hAnsi="Verdana" w:cs="Times New Roman"/>
      <w:spacing w:val="-2"/>
      <w:sz w:val="20"/>
      <w:szCs w:val="20"/>
      <w:lang w:val="es-ES_tradnl" w:eastAsia="es-CO"/>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unhideWhenUsed/>
    <w:qFormat/>
    <w:rsid w:val="00F670BE"/>
    <w:pPr>
      <w:spacing w:after="0" w:line="240" w:lineRule="auto"/>
    </w:pPr>
    <w:rPr>
      <w:rFonts w:eastAsiaTheme="minorEastAsia"/>
      <w:sz w:val="20"/>
      <w:szCs w:val="20"/>
      <w:lang w:val="es-CO" w:eastAsia="es-CO"/>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F670BE"/>
    <w:rPr>
      <w:rFonts w:eastAsiaTheme="minorEastAsia"/>
      <w:sz w:val="20"/>
      <w:szCs w:val="20"/>
      <w:lang w:val="es-CO" w:eastAsia="es-CO"/>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uiPriority w:val="99"/>
    <w:unhideWhenUsed/>
    <w:qFormat/>
    <w:rsid w:val="00F670BE"/>
    <w:rPr>
      <w:vertAlign w:val="superscript"/>
    </w:rPr>
  </w:style>
  <w:style w:type="character" w:customStyle="1" w:styleId="ListParagraphChar">
    <w:name w:val="List Paragraph Char"/>
    <w:aliases w:val="Párrafo de lista1 Char,Footnote Char,Colorful List - Accent 11 Char,List Paragraph1 Char"/>
    <w:link w:val="ListParagraph"/>
    <w:uiPriority w:val="99"/>
    <w:locked/>
    <w:rsid w:val="00F670BE"/>
  </w:style>
  <w:style w:type="character" w:customStyle="1" w:styleId="Heading5Char">
    <w:name w:val="Heading 5 Char"/>
    <w:basedOn w:val="DefaultParagraphFont"/>
    <w:link w:val="Heading5"/>
    <w:uiPriority w:val="9"/>
    <w:semiHidden/>
    <w:rsid w:val="00F670B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9593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5934"/>
    <w:rPr>
      <w:rFonts w:ascii="Lucida Grande" w:hAnsi="Lucida Grande"/>
      <w:sz w:val="18"/>
      <w:szCs w:val="18"/>
    </w:rPr>
  </w:style>
  <w:style w:type="character" w:styleId="Strong">
    <w:name w:val="Strong"/>
    <w:basedOn w:val="DefaultParagraphFont"/>
    <w:uiPriority w:val="22"/>
    <w:qFormat/>
    <w:rsid w:val="00B71EB4"/>
    <w:rPr>
      <w:b/>
      <w:bCs/>
    </w:rPr>
  </w:style>
  <w:style w:type="paragraph" w:styleId="Header">
    <w:name w:val="header"/>
    <w:basedOn w:val="Normal"/>
    <w:link w:val="HeaderChar"/>
    <w:uiPriority w:val="99"/>
    <w:unhideWhenUsed/>
    <w:rsid w:val="00C71B3C"/>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B3C"/>
  </w:style>
  <w:style w:type="paragraph" w:styleId="Footer">
    <w:name w:val="footer"/>
    <w:basedOn w:val="Normal"/>
    <w:link w:val="FooterChar"/>
    <w:uiPriority w:val="99"/>
    <w:unhideWhenUsed/>
    <w:rsid w:val="00C71B3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B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F670B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qFormat/>
    <w:rsid w:val="00F670BE"/>
    <w:pPr>
      <w:keepNext w:val="0"/>
      <w:keepLines w:val="0"/>
      <w:numPr>
        <w:ilvl w:val="4"/>
        <w:numId w:val="2"/>
      </w:numPr>
      <w:spacing w:before="0" w:line="240" w:lineRule="auto"/>
      <w:jc w:val="both"/>
      <w:outlineLvl w:val="5"/>
    </w:pPr>
    <w:rPr>
      <w:rFonts w:ascii="Verdana" w:eastAsia="Times New Roman" w:hAnsi="Verdana" w:cs="Times New Roman"/>
      <w:color w:val="auto"/>
      <w:spacing w:val="-2"/>
      <w:sz w:val="20"/>
      <w:szCs w:val="20"/>
      <w:lang w:val="es-ES_tradnl"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Footnote,Colorful List - Accent 11,List Paragraph1"/>
    <w:basedOn w:val="Normal"/>
    <w:link w:val="ListParagraphChar"/>
    <w:uiPriority w:val="34"/>
    <w:qFormat/>
    <w:rsid w:val="009415CC"/>
    <w:pPr>
      <w:ind w:left="720"/>
      <w:contextualSpacing/>
    </w:pPr>
  </w:style>
  <w:style w:type="character" w:customStyle="1" w:styleId="Heading6Char">
    <w:name w:val="Heading 6 Char"/>
    <w:basedOn w:val="DefaultParagraphFont"/>
    <w:link w:val="Heading6"/>
    <w:uiPriority w:val="9"/>
    <w:rsid w:val="00F670BE"/>
    <w:rPr>
      <w:rFonts w:ascii="Verdana" w:eastAsia="Times New Roman" w:hAnsi="Verdana" w:cs="Times New Roman"/>
      <w:spacing w:val="-2"/>
      <w:sz w:val="20"/>
      <w:szCs w:val="20"/>
      <w:lang w:val="es-ES_tradnl" w:eastAsia="es-CO"/>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unhideWhenUsed/>
    <w:qFormat/>
    <w:rsid w:val="00F670BE"/>
    <w:pPr>
      <w:spacing w:after="0" w:line="240" w:lineRule="auto"/>
    </w:pPr>
    <w:rPr>
      <w:rFonts w:eastAsiaTheme="minorEastAsia"/>
      <w:sz w:val="20"/>
      <w:szCs w:val="20"/>
      <w:lang w:val="es-CO" w:eastAsia="es-CO"/>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F670BE"/>
    <w:rPr>
      <w:rFonts w:eastAsiaTheme="minorEastAsia"/>
      <w:sz w:val="20"/>
      <w:szCs w:val="20"/>
      <w:lang w:val="es-CO" w:eastAsia="es-CO"/>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basedOn w:val="DefaultParagraphFont"/>
    <w:uiPriority w:val="99"/>
    <w:unhideWhenUsed/>
    <w:qFormat/>
    <w:rsid w:val="00F670BE"/>
    <w:rPr>
      <w:vertAlign w:val="superscript"/>
    </w:rPr>
  </w:style>
  <w:style w:type="character" w:customStyle="1" w:styleId="ListParagraphChar">
    <w:name w:val="List Paragraph Char"/>
    <w:aliases w:val="Párrafo de lista1 Char,Footnote Char,Colorful List - Accent 11 Char,List Paragraph1 Char"/>
    <w:link w:val="ListParagraph"/>
    <w:uiPriority w:val="99"/>
    <w:locked/>
    <w:rsid w:val="00F670BE"/>
  </w:style>
  <w:style w:type="character" w:customStyle="1" w:styleId="Heading5Char">
    <w:name w:val="Heading 5 Char"/>
    <w:basedOn w:val="DefaultParagraphFont"/>
    <w:link w:val="Heading5"/>
    <w:uiPriority w:val="9"/>
    <w:semiHidden/>
    <w:rsid w:val="00F670BE"/>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9593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95934"/>
    <w:rPr>
      <w:rFonts w:ascii="Lucida Grande" w:hAnsi="Lucida Grande"/>
      <w:sz w:val="18"/>
      <w:szCs w:val="18"/>
    </w:rPr>
  </w:style>
  <w:style w:type="character" w:styleId="Strong">
    <w:name w:val="Strong"/>
    <w:basedOn w:val="DefaultParagraphFont"/>
    <w:uiPriority w:val="22"/>
    <w:qFormat/>
    <w:rsid w:val="00B71EB4"/>
    <w:rPr>
      <w:b/>
      <w:bCs/>
    </w:rPr>
  </w:style>
  <w:style w:type="paragraph" w:styleId="Header">
    <w:name w:val="header"/>
    <w:basedOn w:val="Normal"/>
    <w:link w:val="HeaderChar"/>
    <w:uiPriority w:val="99"/>
    <w:unhideWhenUsed/>
    <w:rsid w:val="00C71B3C"/>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B3C"/>
  </w:style>
  <w:style w:type="paragraph" w:styleId="Footer">
    <w:name w:val="footer"/>
    <w:basedOn w:val="Normal"/>
    <w:link w:val="FooterChar"/>
    <w:uiPriority w:val="99"/>
    <w:unhideWhenUsed/>
    <w:rsid w:val="00C71B3C"/>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6163">
      <w:bodyDiv w:val="1"/>
      <w:marLeft w:val="0"/>
      <w:marRight w:val="0"/>
      <w:marTop w:val="0"/>
      <w:marBottom w:val="0"/>
      <w:divBdr>
        <w:top w:val="none" w:sz="0" w:space="0" w:color="auto"/>
        <w:left w:val="none" w:sz="0" w:space="0" w:color="auto"/>
        <w:bottom w:val="none" w:sz="0" w:space="0" w:color="auto"/>
        <w:right w:val="none" w:sz="0" w:space="0" w:color="auto"/>
      </w:divBdr>
    </w:div>
    <w:div w:id="943154898">
      <w:bodyDiv w:val="1"/>
      <w:marLeft w:val="0"/>
      <w:marRight w:val="0"/>
      <w:marTop w:val="0"/>
      <w:marBottom w:val="0"/>
      <w:divBdr>
        <w:top w:val="none" w:sz="0" w:space="0" w:color="auto"/>
        <w:left w:val="none" w:sz="0" w:space="0" w:color="auto"/>
        <w:bottom w:val="none" w:sz="0" w:space="0" w:color="auto"/>
        <w:right w:val="none" w:sz="0" w:space="0" w:color="auto"/>
      </w:divBdr>
    </w:div>
    <w:div w:id="999843809">
      <w:bodyDiv w:val="1"/>
      <w:marLeft w:val="0"/>
      <w:marRight w:val="0"/>
      <w:marTop w:val="0"/>
      <w:marBottom w:val="0"/>
      <w:divBdr>
        <w:top w:val="none" w:sz="0" w:space="0" w:color="auto"/>
        <w:left w:val="none" w:sz="0" w:space="0" w:color="auto"/>
        <w:bottom w:val="none" w:sz="0" w:space="0" w:color="auto"/>
        <w:right w:val="none" w:sz="0" w:space="0" w:color="auto"/>
      </w:divBdr>
    </w:div>
    <w:div w:id="15799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1173</Words>
  <Characters>6151</Characters>
  <Application>Microsoft Office Word</Application>
  <DocSecurity>0</DocSecurity>
  <Lines>104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Jairo Guadamuz</cp:lastModifiedBy>
  <cp:revision>3</cp:revision>
  <cp:lastPrinted>2015-07-29T17:15:00Z</cp:lastPrinted>
  <dcterms:created xsi:type="dcterms:W3CDTF">2015-09-07T16:47:00Z</dcterms:created>
  <dcterms:modified xsi:type="dcterms:W3CDTF">2015-09-07T21:21:00Z</dcterms:modified>
</cp:coreProperties>
</file>