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F16" w:rsidRPr="00BF4481" w:rsidRDefault="008E3F16" w:rsidP="002A1C24">
      <w:pPr>
        <w:tabs>
          <w:tab w:val="left" w:pos="720"/>
        </w:tabs>
        <w:spacing w:line="240" w:lineRule="auto"/>
        <w:jc w:val="center"/>
        <w:rPr>
          <w:rFonts w:ascii="Verdana" w:hAnsi="Verdana"/>
          <w:b/>
          <w:sz w:val="20"/>
          <w:szCs w:val="20"/>
          <w:lang w:val="es-ES"/>
        </w:rPr>
      </w:pPr>
      <w:bookmarkStart w:id="0" w:name="_GoBack"/>
      <w:bookmarkEnd w:id="0"/>
      <w:r w:rsidRPr="00BF4481">
        <w:rPr>
          <w:rFonts w:ascii="Verdana" w:hAnsi="Verdana"/>
          <w:b/>
          <w:sz w:val="20"/>
          <w:szCs w:val="20"/>
          <w:lang w:val="es-ES"/>
        </w:rPr>
        <w:t>VOTO INDIVIDUAL CONCURRENTE DEL JUEZ EDUARDO VIO GROSSI</w:t>
      </w:r>
    </w:p>
    <w:p w:rsidR="00BE0A75" w:rsidRPr="00BF4481" w:rsidRDefault="00BE0A75" w:rsidP="00BE0A75">
      <w:pPr>
        <w:tabs>
          <w:tab w:val="left" w:pos="720"/>
        </w:tabs>
        <w:spacing w:line="240" w:lineRule="auto"/>
        <w:jc w:val="center"/>
        <w:rPr>
          <w:rFonts w:ascii="Verdana" w:hAnsi="Verdana" w:cs="Calibri"/>
          <w:b/>
          <w:spacing w:val="-2"/>
          <w:sz w:val="20"/>
          <w:szCs w:val="20"/>
          <w:lang w:val="es-CR"/>
        </w:rPr>
      </w:pPr>
      <w:r w:rsidRPr="00BF4481">
        <w:rPr>
          <w:rFonts w:ascii="Verdana" w:hAnsi="Verdana" w:cs="Calibri"/>
          <w:b/>
          <w:spacing w:val="-2"/>
          <w:sz w:val="20"/>
          <w:szCs w:val="20"/>
          <w:lang w:val="es-CR"/>
        </w:rPr>
        <w:t>CASO GRANIER Y OTROS (</w:t>
      </w:r>
      <w:r w:rsidRPr="00BF4481">
        <w:rPr>
          <w:rFonts w:ascii="Verdana" w:hAnsi="Verdana" w:cs="Calibri"/>
          <w:b/>
          <w:i/>
          <w:spacing w:val="-2"/>
          <w:sz w:val="20"/>
          <w:szCs w:val="20"/>
          <w:lang w:val="es-CR"/>
        </w:rPr>
        <w:t>RADIO CARACAS TELEVISIÓN)</w:t>
      </w:r>
      <w:r w:rsidRPr="00BF4481">
        <w:rPr>
          <w:rFonts w:ascii="Verdana" w:hAnsi="Verdana" w:cs="Calibri"/>
          <w:b/>
          <w:spacing w:val="-2"/>
          <w:sz w:val="20"/>
          <w:szCs w:val="20"/>
          <w:lang w:val="es-CR"/>
        </w:rPr>
        <w:t xml:space="preserve"> </w:t>
      </w:r>
      <w:r w:rsidRPr="00BF4481">
        <w:rPr>
          <w:rFonts w:ascii="Verdana" w:hAnsi="Verdana" w:cs="Calibri"/>
          <w:b/>
          <w:i/>
          <w:spacing w:val="-2"/>
          <w:sz w:val="20"/>
          <w:szCs w:val="20"/>
          <w:lang w:val="es-CR"/>
        </w:rPr>
        <w:t>VS</w:t>
      </w:r>
      <w:r w:rsidRPr="00BF4481">
        <w:rPr>
          <w:rFonts w:ascii="Verdana" w:hAnsi="Verdana" w:cs="Calibri"/>
          <w:b/>
          <w:spacing w:val="-2"/>
          <w:sz w:val="20"/>
          <w:szCs w:val="20"/>
          <w:lang w:val="es-CR"/>
        </w:rPr>
        <w:t>. VENEZUELA</w:t>
      </w:r>
    </w:p>
    <w:p w:rsidR="00BE0A75" w:rsidRPr="00BF4481" w:rsidRDefault="00BE0A75" w:rsidP="00BE0A75">
      <w:pPr>
        <w:tabs>
          <w:tab w:val="left" w:pos="720"/>
        </w:tabs>
        <w:spacing w:line="240" w:lineRule="auto"/>
        <w:jc w:val="center"/>
        <w:rPr>
          <w:rFonts w:ascii="Verdana" w:hAnsi="Verdana" w:cs="Verdana"/>
          <w:b/>
          <w:bCs/>
          <w:snapToGrid w:val="0"/>
          <w:spacing w:val="-2"/>
          <w:sz w:val="20"/>
          <w:szCs w:val="20"/>
          <w:lang w:val="es-CR" w:eastAsia="es-ES"/>
        </w:rPr>
      </w:pPr>
      <w:r w:rsidRPr="00BF4481">
        <w:rPr>
          <w:rFonts w:ascii="Verdana" w:hAnsi="Verdana" w:cs="Verdana"/>
          <w:b/>
          <w:bCs/>
          <w:snapToGrid w:val="0"/>
          <w:spacing w:val="-2"/>
          <w:sz w:val="20"/>
          <w:szCs w:val="20"/>
          <w:lang w:val="es-CR" w:eastAsia="es-ES"/>
        </w:rPr>
        <w:t>SENTENCIA DE 22 DE JUNIO DE 2015</w:t>
      </w:r>
    </w:p>
    <w:p w:rsidR="00BE0A75" w:rsidRPr="00BF4481" w:rsidRDefault="00BE0A75" w:rsidP="00BE0A75">
      <w:pPr>
        <w:tabs>
          <w:tab w:val="left" w:pos="720"/>
        </w:tabs>
        <w:spacing w:line="240" w:lineRule="auto"/>
        <w:jc w:val="center"/>
        <w:rPr>
          <w:rFonts w:ascii="Verdana" w:hAnsi="Verdana" w:cs="Verdana"/>
          <w:b/>
          <w:bCs/>
          <w:caps/>
          <w:snapToGrid w:val="0"/>
          <w:spacing w:val="-2"/>
          <w:sz w:val="20"/>
          <w:szCs w:val="20"/>
          <w:lang w:val="es-CR" w:eastAsia="es-ES"/>
        </w:rPr>
      </w:pPr>
      <w:r w:rsidRPr="00BF4481">
        <w:rPr>
          <w:rFonts w:ascii="Verdana" w:hAnsi="Verdana" w:cs="Verdana"/>
          <w:b/>
          <w:bCs/>
          <w:i/>
          <w:iCs/>
          <w:snapToGrid w:val="0"/>
          <w:spacing w:val="-2"/>
          <w:sz w:val="20"/>
          <w:szCs w:val="20"/>
          <w:lang w:val="es-CR" w:eastAsia="es-ES"/>
        </w:rPr>
        <w:t>(Excepciones Preliminares, Fondo, Reparaciones y Costas)</w:t>
      </w:r>
    </w:p>
    <w:p w:rsidR="008E3F16" w:rsidRPr="00BF4481" w:rsidRDefault="008E3F16" w:rsidP="001C72CE">
      <w:pPr>
        <w:spacing w:after="0"/>
        <w:jc w:val="both"/>
        <w:rPr>
          <w:rFonts w:ascii="Verdana" w:hAnsi="Verdana"/>
          <w:sz w:val="20"/>
          <w:szCs w:val="20"/>
          <w:lang w:val="es-CR"/>
        </w:rPr>
      </w:pPr>
    </w:p>
    <w:p w:rsidR="00D13CBF" w:rsidRPr="00BF4481" w:rsidRDefault="00D13CBF" w:rsidP="001C72CE">
      <w:pPr>
        <w:spacing w:after="120"/>
        <w:jc w:val="both"/>
        <w:rPr>
          <w:rFonts w:ascii="Verdana" w:hAnsi="Verdana"/>
          <w:b/>
          <w:sz w:val="20"/>
          <w:szCs w:val="20"/>
          <w:lang w:val="es-ES"/>
        </w:rPr>
      </w:pPr>
      <w:r w:rsidRPr="00BF4481">
        <w:rPr>
          <w:rFonts w:ascii="Verdana" w:hAnsi="Verdana"/>
          <w:b/>
          <w:sz w:val="20"/>
          <w:szCs w:val="20"/>
          <w:lang w:val="es-ES"/>
        </w:rPr>
        <w:t>INTRODUCCIÓN.</w:t>
      </w:r>
    </w:p>
    <w:p w:rsidR="008E3F16" w:rsidRPr="00BF4481" w:rsidRDefault="008E3F16" w:rsidP="002A1C24">
      <w:pPr>
        <w:widowControl w:val="0"/>
        <w:tabs>
          <w:tab w:val="left" w:pos="567"/>
        </w:tabs>
        <w:adjustRightInd w:val="0"/>
        <w:spacing w:after="0" w:line="240" w:lineRule="auto"/>
        <w:jc w:val="both"/>
        <w:textAlignment w:val="baseline"/>
        <w:rPr>
          <w:rFonts w:ascii="Verdana" w:hAnsi="Verdana"/>
          <w:sz w:val="20"/>
          <w:szCs w:val="20"/>
          <w:lang w:val="es-ES"/>
        </w:rPr>
      </w:pPr>
      <w:r w:rsidRPr="00BF4481">
        <w:rPr>
          <w:rFonts w:ascii="Verdana" w:hAnsi="Verdana"/>
          <w:sz w:val="20"/>
          <w:szCs w:val="20"/>
          <w:lang w:val="es-ES"/>
        </w:rPr>
        <w:t>Se emite el presente voto concurrente</w:t>
      </w:r>
      <w:r w:rsidRPr="00BF4481">
        <w:rPr>
          <w:rStyle w:val="FootnoteReference"/>
          <w:rFonts w:ascii="Verdana" w:hAnsi="Verdana"/>
          <w:sz w:val="20"/>
          <w:szCs w:val="20"/>
          <w:lang w:val="es-ES"/>
        </w:rPr>
        <w:footnoteReference w:id="1"/>
      </w:r>
      <w:r w:rsidRPr="00BF4481">
        <w:rPr>
          <w:rFonts w:ascii="Verdana" w:hAnsi="Verdana"/>
          <w:sz w:val="20"/>
          <w:szCs w:val="20"/>
          <w:lang w:val="es-ES"/>
        </w:rPr>
        <w:t xml:space="preserve"> respecto de la Sentencia indicada en el título</w:t>
      </w:r>
      <w:r w:rsidRPr="00BF4481">
        <w:rPr>
          <w:rStyle w:val="FootnoteReference"/>
          <w:rFonts w:ascii="Verdana" w:hAnsi="Verdana"/>
          <w:sz w:val="20"/>
          <w:szCs w:val="20"/>
          <w:lang w:val="es-ES"/>
        </w:rPr>
        <w:footnoteReference w:id="2"/>
      </w:r>
      <w:r w:rsidRPr="00BF4481">
        <w:rPr>
          <w:rFonts w:ascii="Verdana" w:hAnsi="Verdana"/>
          <w:sz w:val="20"/>
          <w:szCs w:val="20"/>
          <w:lang w:val="es-ES"/>
        </w:rPr>
        <w:t xml:space="preserve">, a los efectos de resaltar algunos aspectos </w:t>
      </w:r>
      <w:r w:rsidR="00C77A78" w:rsidRPr="00BF4481">
        <w:rPr>
          <w:rFonts w:ascii="Verdana" w:hAnsi="Verdana"/>
          <w:sz w:val="20"/>
          <w:szCs w:val="20"/>
          <w:lang w:val="es-ES"/>
        </w:rPr>
        <w:t xml:space="preserve">de la misma concernientes a </w:t>
      </w:r>
      <w:r w:rsidRPr="00BF4481">
        <w:rPr>
          <w:rFonts w:ascii="Verdana" w:hAnsi="Verdana"/>
          <w:sz w:val="20"/>
          <w:szCs w:val="20"/>
          <w:lang w:val="es-ES"/>
        </w:rPr>
        <w:t>la Carta Democrática Interamericana</w:t>
      </w:r>
      <w:r w:rsidR="00C77A78" w:rsidRPr="00BF4481">
        <w:rPr>
          <w:rFonts w:ascii="Verdana" w:hAnsi="Verdana"/>
          <w:sz w:val="20"/>
          <w:szCs w:val="20"/>
          <w:lang w:val="es-ES"/>
        </w:rPr>
        <w:t xml:space="preserve"> y, en relación a ésta, a la </w:t>
      </w:r>
      <w:r w:rsidR="004A14CE" w:rsidRPr="00BF4481">
        <w:rPr>
          <w:rFonts w:ascii="Verdana" w:hAnsi="Verdana"/>
          <w:sz w:val="20"/>
          <w:szCs w:val="20"/>
          <w:lang w:val="es-ES"/>
        </w:rPr>
        <w:t>independencia judicial y muy especialmente</w:t>
      </w:r>
      <w:r w:rsidR="00C3020C" w:rsidRPr="00BF4481">
        <w:rPr>
          <w:rFonts w:ascii="Verdana" w:hAnsi="Verdana"/>
          <w:sz w:val="20"/>
          <w:szCs w:val="20"/>
          <w:lang w:val="es-ES"/>
        </w:rPr>
        <w:t>,</w:t>
      </w:r>
      <w:r w:rsidR="004A14CE" w:rsidRPr="00BF4481">
        <w:rPr>
          <w:rFonts w:ascii="Verdana" w:hAnsi="Verdana"/>
          <w:sz w:val="20"/>
          <w:szCs w:val="20"/>
          <w:lang w:val="es-ES"/>
        </w:rPr>
        <w:t xml:space="preserve"> a la lib</w:t>
      </w:r>
      <w:r w:rsidR="00C77A78" w:rsidRPr="00BF4481">
        <w:rPr>
          <w:rFonts w:ascii="Verdana" w:hAnsi="Verdana"/>
          <w:sz w:val="20"/>
          <w:szCs w:val="20"/>
          <w:lang w:val="es-ES"/>
        </w:rPr>
        <w:t>ertad de pensamiento y de expresión</w:t>
      </w:r>
      <w:r w:rsidRPr="00BF4481">
        <w:rPr>
          <w:rFonts w:ascii="Verdana" w:hAnsi="Verdana"/>
          <w:sz w:val="20"/>
          <w:szCs w:val="20"/>
          <w:lang w:val="es-ES"/>
        </w:rPr>
        <w:t>.</w:t>
      </w:r>
    </w:p>
    <w:p w:rsidR="000E76D0" w:rsidRPr="00BF4481" w:rsidRDefault="000E76D0" w:rsidP="002A1C24">
      <w:pPr>
        <w:widowControl w:val="0"/>
        <w:tabs>
          <w:tab w:val="left" w:pos="567"/>
        </w:tabs>
        <w:adjustRightInd w:val="0"/>
        <w:spacing w:after="0" w:line="240" w:lineRule="auto"/>
        <w:jc w:val="both"/>
        <w:textAlignment w:val="baseline"/>
        <w:rPr>
          <w:rFonts w:ascii="Verdana" w:hAnsi="Verdana"/>
          <w:sz w:val="20"/>
          <w:szCs w:val="20"/>
          <w:lang w:val="es-ES"/>
        </w:rPr>
      </w:pPr>
    </w:p>
    <w:p w:rsidR="008E3F16" w:rsidRPr="00BF4481" w:rsidRDefault="008E3F16" w:rsidP="001C72CE">
      <w:pPr>
        <w:numPr>
          <w:ilvl w:val="0"/>
          <w:numId w:val="1"/>
        </w:numPr>
        <w:spacing w:after="120"/>
        <w:ind w:left="0"/>
        <w:jc w:val="both"/>
        <w:rPr>
          <w:rFonts w:ascii="Verdana" w:hAnsi="Verdana"/>
          <w:sz w:val="20"/>
          <w:szCs w:val="20"/>
          <w:lang w:val="es-ES"/>
        </w:rPr>
      </w:pPr>
      <w:r w:rsidRPr="00BF4481">
        <w:rPr>
          <w:rFonts w:ascii="Verdana" w:hAnsi="Verdana"/>
          <w:b/>
          <w:sz w:val="20"/>
          <w:szCs w:val="20"/>
          <w:lang w:val="es-ES"/>
        </w:rPr>
        <w:t>LA CARTA DEMOCRÁTICA INTERAMERICANA.</w:t>
      </w:r>
    </w:p>
    <w:p w:rsidR="000E76D0" w:rsidRPr="00BF4481" w:rsidRDefault="00C77A78" w:rsidP="002A1C24">
      <w:pPr>
        <w:widowControl w:val="0"/>
        <w:tabs>
          <w:tab w:val="left" w:pos="567"/>
        </w:tabs>
        <w:adjustRightInd w:val="0"/>
        <w:spacing w:after="0" w:line="240" w:lineRule="auto"/>
        <w:jc w:val="both"/>
        <w:textAlignment w:val="baseline"/>
        <w:rPr>
          <w:rFonts w:ascii="Verdana" w:hAnsi="Verdana"/>
          <w:sz w:val="20"/>
          <w:szCs w:val="20"/>
          <w:lang w:val="es-ES"/>
        </w:rPr>
      </w:pPr>
      <w:r w:rsidRPr="00BF4481">
        <w:rPr>
          <w:rFonts w:ascii="Verdana" w:hAnsi="Verdana"/>
          <w:sz w:val="20"/>
          <w:szCs w:val="20"/>
          <w:lang w:val="es-ES"/>
        </w:rPr>
        <w:t>L</w:t>
      </w:r>
      <w:r w:rsidR="008E3F16" w:rsidRPr="00BF4481">
        <w:rPr>
          <w:rFonts w:ascii="Verdana" w:hAnsi="Verdana"/>
          <w:sz w:val="20"/>
          <w:szCs w:val="20"/>
          <w:lang w:val="es-ES"/>
        </w:rPr>
        <w:t>a alusión que la Sentencia hace a la Carta Democrática Interamericana</w:t>
      </w:r>
      <w:r w:rsidRPr="00BF4481">
        <w:rPr>
          <w:rStyle w:val="FootnoteReference"/>
          <w:rFonts w:ascii="Verdana" w:hAnsi="Verdana"/>
          <w:sz w:val="20"/>
          <w:szCs w:val="20"/>
          <w:lang w:val="es-ES"/>
        </w:rPr>
        <w:footnoteReference w:id="3"/>
      </w:r>
      <w:r w:rsidRPr="00BF4481">
        <w:rPr>
          <w:rFonts w:ascii="Verdana" w:hAnsi="Verdana"/>
          <w:sz w:val="20"/>
          <w:szCs w:val="20"/>
          <w:lang w:val="es-ES"/>
        </w:rPr>
        <w:t xml:space="preserve"> tiene especial si</w:t>
      </w:r>
      <w:r w:rsidR="00C3020C" w:rsidRPr="00BF4481">
        <w:rPr>
          <w:rFonts w:ascii="Verdana" w:hAnsi="Verdana"/>
          <w:sz w:val="20"/>
          <w:szCs w:val="20"/>
          <w:lang w:val="es-ES"/>
        </w:rPr>
        <w:t xml:space="preserve">gnificación </w:t>
      </w:r>
      <w:r w:rsidRPr="00BF4481">
        <w:rPr>
          <w:rFonts w:ascii="Verdana" w:hAnsi="Verdana"/>
          <w:sz w:val="20"/>
          <w:szCs w:val="20"/>
          <w:lang w:val="es-ES"/>
        </w:rPr>
        <w:t xml:space="preserve">dada </w:t>
      </w:r>
      <w:r w:rsidR="008E3F16" w:rsidRPr="00BF4481">
        <w:rPr>
          <w:rFonts w:ascii="Verdana" w:hAnsi="Verdana"/>
          <w:sz w:val="20"/>
          <w:szCs w:val="20"/>
          <w:lang w:val="es-ES"/>
        </w:rPr>
        <w:t xml:space="preserve">en </w:t>
      </w:r>
      <w:r w:rsidRPr="00BF4481">
        <w:rPr>
          <w:rFonts w:ascii="Verdana" w:hAnsi="Verdana"/>
          <w:sz w:val="20"/>
          <w:szCs w:val="20"/>
          <w:lang w:val="es-ES"/>
        </w:rPr>
        <w:t>su naturaleza jurídica</w:t>
      </w:r>
      <w:r w:rsidR="008E3F16" w:rsidRPr="00BF4481">
        <w:rPr>
          <w:rFonts w:ascii="Verdana" w:hAnsi="Verdana"/>
          <w:sz w:val="20"/>
          <w:szCs w:val="20"/>
          <w:lang w:val="es-ES"/>
        </w:rPr>
        <w:t>, la obli</w:t>
      </w:r>
      <w:r w:rsidRPr="00BF4481">
        <w:rPr>
          <w:rFonts w:ascii="Verdana" w:hAnsi="Verdana"/>
          <w:sz w:val="20"/>
          <w:szCs w:val="20"/>
          <w:lang w:val="es-ES"/>
        </w:rPr>
        <w:t xml:space="preserve">gación de que da cuenta y </w:t>
      </w:r>
      <w:r w:rsidR="008E3F16" w:rsidRPr="00BF4481">
        <w:rPr>
          <w:rFonts w:ascii="Verdana" w:hAnsi="Verdana"/>
          <w:sz w:val="20"/>
          <w:szCs w:val="20"/>
          <w:lang w:val="es-ES"/>
        </w:rPr>
        <w:t>el rol que a su respecto le cor</w:t>
      </w:r>
      <w:r w:rsidRPr="00BF4481">
        <w:rPr>
          <w:rFonts w:ascii="Verdana" w:hAnsi="Verdana"/>
          <w:sz w:val="20"/>
          <w:szCs w:val="20"/>
          <w:lang w:val="es-ES"/>
        </w:rPr>
        <w:t>responde a la Corte</w:t>
      </w:r>
      <w:r w:rsidR="008E3F16" w:rsidRPr="00BF4481">
        <w:rPr>
          <w:rFonts w:ascii="Verdana" w:hAnsi="Verdana"/>
          <w:sz w:val="20"/>
          <w:szCs w:val="20"/>
          <w:lang w:val="es-ES"/>
        </w:rPr>
        <w:t>.</w:t>
      </w:r>
    </w:p>
    <w:p w:rsidR="008E3F16" w:rsidRPr="00BF4481" w:rsidRDefault="008E3F16" w:rsidP="002A1C24">
      <w:pPr>
        <w:widowControl w:val="0"/>
        <w:tabs>
          <w:tab w:val="left" w:pos="567"/>
        </w:tabs>
        <w:adjustRightInd w:val="0"/>
        <w:spacing w:after="0" w:line="240" w:lineRule="auto"/>
        <w:jc w:val="both"/>
        <w:textAlignment w:val="baseline"/>
        <w:rPr>
          <w:rFonts w:ascii="Verdana" w:hAnsi="Verdana"/>
          <w:sz w:val="20"/>
          <w:szCs w:val="20"/>
          <w:lang w:val="es-ES"/>
        </w:rPr>
      </w:pPr>
    </w:p>
    <w:p w:rsidR="008E3F16" w:rsidRPr="00BF4481" w:rsidRDefault="008E3F16" w:rsidP="001C72CE">
      <w:pPr>
        <w:numPr>
          <w:ilvl w:val="0"/>
          <w:numId w:val="7"/>
        </w:numPr>
        <w:spacing w:after="120"/>
        <w:ind w:left="0"/>
        <w:jc w:val="both"/>
        <w:rPr>
          <w:rFonts w:ascii="Verdana" w:hAnsi="Verdana"/>
          <w:sz w:val="20"/>
          <w:szCs w:val="20"/>
          <w:lang w:val="es-ES"/>
        </w:rPr>
      </w:pPr>
      <w:r w:rsidRPr="00BF4481">
        <w:rPr>
          <w:rFonts w:ascii="Verdana" w:hAnsi="Verdana"/>
          <w:b/>
          <w:sz w:val="20"/>
          <w:szCs w:val="20"/>
          <w:lang w:val="es-ES"/>
        </w:rPr>
        <w:t>Naturaleza jurídica.</w:t>
      </w:r>
    </w:p>
    <w:p w:rsidR="000E76D0" w:rsidRPr="00BF4481" w:rsidRDefault="00C77A78" w:rsidP="002A1C24">
      <w:pPr>
        <w:widowControl w:val="0"/>
        <w:numPr>
          <w:ilvl w:val="0"/>
          <w:numId w:val="4"/>
        </w:numPr>
        <w:tabs>
          <w:tab w:val="left" w:pos="567"/>
          <w:tab w:val="num" w:pos="1427"/>
          <w:tab w:val="num" w:pos="12305"/>
        </w:tabs>
        <w:adjustRightInd w:val="0"/>
        <w:spacing w:after="0" w:line="240" w:lineRule="auto"/>
        <w:ind w:left="0" w:firstLine="0"/>
        <w:jc w:val="both"/>
        <w:textAlignment w:val="baseline"/>
        <w:rPr>
          <w:rFonts w:ascii="Verdana" w:hAnsi="Verdana"/>
          <w:sz w:val="20"/>
          <w:szCs w:val="20"/>
          <w:lang w:val="es-ES"/>
        </w:rPr>
      </w:pPr>
      <w:r w:rsidRPr="00BF4481">
        <w:rPr>
          <w:rFonts w:ascii="Verdana" w:hAnsi="Verdana"/>
          <w:sz w:val="20"/>
          <w:szCs w:val="20"/>
          <w:lang w:val="es-ES"/>
        </w:rPr>
        <w:t>L</w:t>
      </w:r>
      <w:r w:rsidR="008E3F16" w:rsidRPr="00BF4481">
        <w:rPr>
          <w:rFonts w:ascii="Verdana" w:hAnsi="Verdana"/>
          <w:sz w:val="20"/>
          <w:szCs w:val="20"/>
          <w:lang w:val="es-ES"/>
        </w:rPr>
        <w:t>a Carta Democrática Interamericana</w:t>
      </w:r>
      <w:r w:rsidRPr="00BF4481">
        <w:rPr>
          <w:rFonts w:ascii="Verdana" w:hAnsi="Verdana"/>
          <w:sz w:val="20"/>
          <w:szCs w:val="20"/>
          <w:lang w:val="es-ES"/>
        </w:rPr>
        <w:t xml:space="preserve"> </w:t>
      </w:r>
      <w:r w:rsidR="008E3F16" w:rsidRPr="00BF4481">
        <w:rPr>
          <w:rFonts w:ascii="Verdana" w:hAnsi="Verdana"/>
          <w:sz w:val="20"/>
          <w:szCs w:val="20"/>
          <w:lang w:val="es-ES"/>
        </w:rPr>
        <w:t>es, a la vez, una “resolución de una organización internacional declarativa de derecho”</w:t>
      </w:r>
      <w:r w:rsidR="008E3F16" w:rsidRPr="00BF4481">
        <w:rPr>
          <w:rStyle w:val="FootnoteReference"/>
          <w:rFonts w:ascii="Verdana" w:hAnsi="Verdana"/>
          <w:sz w:val="20"/>
          <w:szCs w:val="20"/>
          <w:lang w:val="es-ES"/>
        </w:rPr>
        <w:footnoteReference w:id="4"/>
      </w:r>
      <w:r w:rsidR="008E3F16" w:rsidRPr="00BF4481">
        <w:rPr>
          <w:rFonts w:ascii="Verdana" w:hAnsi="Verdana"/>
          <w:sz w:val="20"/>
          <w:szCs w:val="20"/>
          <w:lang w:val="es-ES"/>
        </w:rPr>
        <w:t xml:space="preserve"> y una “interpretación auténtica” de los tratados a que se refiere. Lo pri</w:t>
      </w:r>
      <w:r w:rsidR="00C3020C" w:rsidRPr="00BF4481">
        <w:rPr>
          <w:rFonts w:ascii="Verdana" w:hAnsi="Verdana"/>
          <w:sz w:val="20"/>
          <w:szCs w:val="20"/>
          <w:lang w:val="es-ES"/>
        </w:rPr>
        <w:t>mero, dado que es una resolución</w:t>
      </w:r>
      <w:r w:rsidR="008E3F16" w:rsidRPr="00BF4481">
        <w:rPr>
          <w:rFonts w:ascii="Verdana" w:hAnsi="Verdana"/>
          <w:sz w:val="20"/>
          <w:szCs w:val="20"/>
          <w:lang w:val="es-ES"/>
        </w:rPr>
        <w:t xml:space="preserve"> adoptada por la Asamblea General Extraordinaria</w:t>
      </w:r>
      <w:r w:rsidR="008E3F16" w:rsidRPr="00BF4481">
        <w:rPr>
          <w:rStyle w:val="FootnoteReference"/>
          <w:rFonts w:ascii="Verdana" w:hAnsi="Verdana"/>
          <w:sz w:val="20"/>
          <w:szCs w:val="20"/>
          <w:lang w:val="es-ES"/>
        </w:rPr>
        <w:footnoteReference w:id="5"/>
      </w:r>
      <w:r w:rsidR="008E3F16" w:rsidRPr="00BF4481">
        <w:rPr>
          <w:rFonts w:ascii="Verdana" w:hAnsi="Verdana"/>
          <w:sz w:val="20"/>
          <w:szCs w:val="20"/>
          <w:lang w:val="es-ES"/>
        </w:rPr>
        <w:t xml:space="preserve"> de la Organización de Estados Americanos</w:t>
      </w:r>
      <w:r w:rsidR="008E3F16" w:rsidRPr="00BF4481">
        <w:rPr>
          <w:rStyle w:val="FootnoteReference"/>
          <w:rFonts w:ascii="Verdana" w:hAnsi="Verdana"/>
          <w:sz w:val="20"/>
          <w:szCs w:val="20"/>
          <w:lang w:val="es-ES"/>
        </w:rPr>
        <w:footnoteReference w:id="6"/>
      </w:r>
      <w:r w:rsidR="00E3504D" w:rsidRPr="00BF4481">
        <w:rPr>
          <w:rFonts w:ascii="Verdana" w:hAnsi="Verdana"/>
          <w:sz w:val="20"/>
          <w:szCs w:val="20"/>
          <w:lang w:val="es-ES"/>
        </w:rPr>
        <w:t>.</w:t>
      </w:r>
      <w:r w:rsidR="008E3F16" w:rsidRPr="00BF4481">
        <w:rPr>
          <w:rFonts w:ascii="Verdana" w:hAnsi="Verdana"/>
          <w:sz w:val="20"/>
          <w:szCs w:val="20"/>
          <w:lang w:val="es-ES"/>
        </w:rPr>
        <w:t xml:space="preserve"> Lo segundo</w:t>
      </w:r>
      <w:r w:rsidR="00C3020C" w:rsidRPr="00BF4481">
        <w:rPr>
          <w:rFonts w:ascii="Verdana" w:hAnsi="Verdana"/>
          <w:sz w:val="20"/>
          <w:szCs w:val="20"/>
          <w:lang w:val="es-ES"/>
        </w:rPr>
        <w:t>,</w:t>
      </w:r>
      <w:r w:rsidR="008E3F16" w:rsidRPr="00BF4481">
        <w:rPr>
          <w:rFonts w:ascii="Verdana" w:hAnsi="Verdana"/>
          <w:sz w:val="20"/>
          <w:szCs w:val="20"/>
          <w:lang w:val="es-ES"/>
        </w:rPr>
        <w:t xml:space="preserve"> en vista que ella expresa la interpretación que los propios Estados miembros de dicha organización internacional, incluyendo a los Estados parte</w:t>
      </w:r>
      <w:r w:rsidR="00036162" w:rsidRPr="00BF4481">
        <w:rPr>
          <w:rFonts w:ascii="Verdana" w:hAnsi="Verdana"/>
          <w:sz w:val="20"/>
          <w:szCs w:val="20"/>
          <w:lang w:val="es-ES"/>
        </w:rPr>
        <w:t>s de la Convención</w:t>
      </w:r>
      <w:r w:rsidR="00982C5C" w:rsidRPr="00BF4481">
        <w:rPr>
          <w:rFonts w:ascii="Verdana" w:hAnsi="Verdana"/>
          <w:sz w:val="20"/>
          <w:szCs w:val="20"/>
          <w:lang w:val="es-ES"/>
        </w:rPr>
        <w:t xml:space="preserve"> Americana sobre Derechos Humanos</w:t>
      </w:r>
      <w:r w:rsidR="00982C5C" w:rsidRPr="00BF4481">
        <w:rPr>
          <w:rStyle w:val="FootnoteReference"/>
          <w:rFonts w:ascii="Verdana" w:hAnsi="Verdana"/>
          <w:sz w:val="20"/>
          <w:szCs w:val="20"/>
          <w:lang w:val="es-ES"/>
        </w:rPr>
        <w:footnoteReference w:id="7"/>
      </w:r>
      <w:r w:rsidR="00036162" w:rsidRPr="00BF4481">
        <w:rPr>
          <w:rFonts w:ascii="Verdana" w:hAnsi="Verdana"/>
          <w:sz w:val="20"/>
          <w:szCs w:val="20"/>
          <w:lang w:val="es-ES"/>
        </w:rPr>
        <w:t xml:space="preserve">, hacen </w:t>
      </w:r>
      <w:r w:rsidR="008E3F16" w:rsidRPr="00BF4481">
        <w:rPr>
          <w:rFonts w:ascii="Verdana" w:hAnsi="Verdana"/>
          <w:sz w:val="20"/>
          <w:szCs w:val="20"/>
          <w:lang w:val="es-ES"/>
        </w:rPr>
        <w:t>de las normas</w:t>
      </w:r>
      <w:r w:rsidR="00036162" w:rsidRPr="00BF4481">
        <w:rPr>
          <w:rFonts w:ascii="Verdana" w:hAnsi="Verdana"/>
          <w:sz w:val="20"/>
          <w:szCs w:val="20"/>
          <w:lang w:val="es-ES"/>
        </w:rPr>
        <w:t xml:space="preserve"> tanto </w:t>
      </w:r>
      <w:r w:rsidR="008E3F16" w:rsidRPr="00BF4481">
        <w:rPr>
          <w:rFonts w:ascii="Verdana" w:hAnsi="Verdana"/>
          <w:sz w:val="20"/>
          <w:szCs w:val="20"/>
          <w:lang w:val="es-ES"/>
        </w:rPr>
        <w:t>de la Carta</w:t>
      </w:r>
      <w:r w:rsidR="00C3020C" w:rsidRPr="00BF4481">
        <w:rPr>
          <w:rFonts w:ascii="Verdana" w:hAnsi="Verdana"/>
          <w:sz w:val="20"/>
          <w:szCs w:val="20"/>
          <w:lang w:val="es-ES"/>
        </w:rPr>
        <w:t xml:space="preserve"> de aquella</w:t>
      </w:r>
      <w:r w:rsidR="008E3F16" w:rsidRPr="00BF4481">
        <w:rPr>
          <w:rStyle w:val="FootnoteReference"/>
          <w:rFonts w:ascii="Verdana" w:hAnsi="Verdana"/>
          <w:sz w:val="20"/>
          <w:szCs w:val="20"/>
          <w:lang w:val="es-ES"/>
        </w:rPr>
        <w:footnoteReference w:id="8"/>
      </w:r>
      <w:r w:rsidR="008E3F16" w:rsidRPr="00BF4481">
        <w:rPr>
          <w:rFonts w:ascii="Verdana" w:hAnsi="Verdana"/>
          <w:sz w:val="20"/>
          <w:szCs w:val="20"/>
          <w:lang w:val="es-ES"/>
        </w:rPr>
        <w:t xml:space="preserve"> como de ésta</w:t>
      </w:r>
      <w:r w:rsidR="008E3F16" w:rsidRPr="00BF4481">
        <w:rPr>
          <w:rStyle w:val="FootnoteReference"/>
          <w:rFonts w:ascii="Verdana" w:hAnsi="Verdana"/>
          <w:sz w:val="20"/>
          <w:szCs w:val="20"/>
          <w:lang w:val="es-ES"/>
        </w:rPr>
        <w:footnoteReference w:id="9"/>
      </w:r>
      <w:r w:rsidR="008E3F16" w:rsidRPr="00BF4481">
        <w:rPr>
          <w:rFonts w:ascii="Verdana" w:hAnsi="Verdana"/>
          <w:sz w:val="20"/>
          <w:szCs w:val="20"/>
          <w:lang w:val="es-ES"/>
        </w:rPr>
        <w:t xml:space="preserve">, </w:t>
      </w:r>
      <w:r w:rsidRPr="00BF4481">
        <w:rPr>
          <w:rFonts w:ascii="Verdana" w:hAnsi="Verdana"/>
          <w:sz w:val="20"/>
          <w:szCs w:val="20"/>
          <w:lang w:val="es-ES"/>
        </w:rPr>
        <w:t xml:space="preserve">en lo atingente, ambas, </w:t>
      </w:r>
      <w:r w:rsidR="008E3F16" w:rsidRPr="00BF4481">
        <w:rPr>
          <w:rFonts w:ascii="Verdana" w:hAnsi="Verdana"/>
          <w:sz w:val="20"/>
          <w:szCs w:val="20"/>
          <w:lang w:val="es-ES"/>
        </w:rPr>
        <w:t xml:space="preserve">a la democracia. En tal sentido, </w:t>
      </w:r>
      <w:r w:rsidR="008E3F16" w:rsidRPr="00BF4481">
        <w:rPr>
          <w:rFonts w:ascii="Verdana" w:hAnsi="Verdana"/>
          <w:sz w:val="20"/>
          <w:szCs w:val="20"/>
          <w:lang w:val="es-ES"/>
        </w:rPr>
        <w:lastRenderedPageBreak/>
        <w:t>igualmente podría ser catalogada como un acuerdo entre los Estados partes de ambos tratados acerca de la aplicación e interpretación de esos instrumentos</w:t>
      </w:r>
      <w:r w:rsidR="008E3F16" w:rsidRPr="00BF4481">
        <w:rPr>
          <w:rStyle w:val="FootnoteReference"/>
          <w:rFonts w:ascii="Verdana" w:hAnsi="Verdana"/>
          <w:sz w:val="20"/>
          <w:szCs w:val="20"/>
          <w:lang w:val="es-ES"/>
        </w:rPr>
        <w:footnoteReference w:id="10"/>
      </w:r>
      <w:r w:rsidR="00E3504D" w:rsidRPr="00BF4481">
        <w:rPr>
          <w:rFonts w:ascii="Verdana" w:hAnsi="Verdana"/>
          <w:sz w:val="20"/>
          <w:szCs w:val="20"/>
          <w:lang w:val="es-ES"/>
        </w:rPr>
        <w:t>.</w:t>
      </w:r>
    </w:p>
    <w:p w:rsidR="008E3F16" w:rsidRPr="00BF4481" w:rsidRDefault="008E3F16" w:rsidP="002A1C24">
      <w:pPr>
        <w:widowControl w:val="0"/>
        <w:tabs>
          <w:tab w:val="left" w:pos="567"/>
        </w:tabs>
        <w:adjustRightInd w:val="0"/>
        <w:spacing w:after="0" w:line="240" w:lineRule="auto"/>
        <w:jc w:val="both"/>
        <w:textAlignment w:val="baseline"/>
        <w:rPr>
          <w:rFonts w:ascii="Verdana" w:hAnsi="Verdana"/>
          <w:sz w:val="20"/>
          <w:szCs w:val="20"/>
          <w:lang w:val="es-ES"/>
        </w:rPr>
      </w:pPr>
    </w:p>
    <w:p w:rsidR="008E3F16" w:rsidRPr="00BF4481" w:rsidRDefault="008E3F16" w:rsidP="002A1C24">
      <w:pPr>
        <w:widowControl w:val="0"/>
        <w:numPr>
          <w:ilvl w:val="0"/>
          <w:numId w:val="4"/>
        </w:numPr>
        <w:tabs>
          <w:tab w:val="left" w:pos="567"/>
          <w:tab w:val="num" w:pos="1427"/>
          <w:tab w:val="num" w:pos="12305"/>
        </w:tabs>
        <w:adjustRightInd w:val="0"/>
        <w:spacing w:after="0" w:line="240" w:lineRule="auto"/>
        <w:ind w:left="0" w:firstLine="0"/>
        <w:jc w:val="both"/>
        <w:textAlignment w:val="baseline"/>
        <w:rPr>
          <w:rFonts w:ascii="Verdana" w:hAnsi="Verdana"/>
          <w:sz w:val="20"/>
          <w:szCs w:val="20"/>
          <w:lang w:val="es-ES"/>
        </w:rPr>
      </w:pPr>
      <w:r w:rsidRPr="00BF4481">
        <w:rPr>
          <w:rFonts w:ascii="Verdana" w:hAnsi="Verdana"/>
          <w:sz w:val="20"/>
          <w:szCs w:val="20"/>
          <w:lang w:val="es-ES"/>
        </w:rPr>
        <w:t>Por lo mismo, la Carta Democrática</w:t>
      </w:r>
      <w:r w:rsidR="00C73BD3" w:rsidRPr="00BF4481">
        <w:rPr>
          <w:rFonts w:ascii="Verdana" w:hAnsi="Verdana"/>
          <w:sz w:val="20"/>
          <w:szCs w:val="20"/>
          <w:lang w:val="es-ES"/>
        </w:rPr>
        <w:t xml:space="preserve"> Interamericana</w:t>
      </w:r>
      <w:r w:rsidRPr="00BF4481">
        <w:rPr>
          <w:rFonts w:ascii="Verdana" w:hAnsi="Verdana"/>
          <w:sz w:val="20"/>
          <w:szCs w:val="20"/>
          <w:lang w:val="es-ES"/>
        </w:rPr>
        <w:t xml:space="preserve"> se emitió porque se estimó necesaria. </w:t>
      </w:r>
      <w:r w:rsidRPr="00BF4481">
        <w:rPr>
          <w:rFonts w:ascii="Verdana" w:hAnsi="Verdana"/>
          <w:i/>
          <w:sz w:val="20"/>
          <w:szCs w:val="20"/>
          <w:lang w:val="es-ES"/>
        </w:rPr>
        <w:t>A contrario sensu</w:t>
      </w:r>
      <w:r w:rsidRPr="00BF4481">
        <w:rPr>
          <w:rFonts w:ascii="Verdana" w:hAnsi="Verdana"/>
          <w:sz w:val="20"/>
          <w:szCs w:val="20"/>
          <w:lang w:val="es-ES"/>
        </w:rPr>
        <w:t xml:space="preserve">, no se trata de un texto teórico o meramente político, sin finalidad </w:t>
      </w:r>
      <w:r w:rsidR="00C73BD3" w:rsidRPr="00BF4481">
        <w:rPr>
          <w:rFonts w:ascii="Verdana" w:hAnsi="Verdana"/>
          <w:sz w:val="20"/>
          <w:szCs w:val="20"/>
          <w:lang w:val="es-ES"/>
        </w:rPr>
        <w:t xml:space="preserve">jurídica </w:t>
      </w:r>
      <w:r w:rsidRPr="00BF4481">
        <w:rPr>
          <w:rFonts w:ascii="Verdana" w:hAnsi="Verdana"/>
          <w:sz w:val="20"/>
          <w:szCs w:val="20"/>
          <w:lang w:val="es-ES"/>
        </w:rPr>
        <w:t xml:space="preserve">específica, sino que es un instrumento jurídico y más </w:t>
      </w:r>
      <w:r w:rsidR="00C73BD3" w:rsidRPr="00BF4481">
        <w:rPr>
          <w:rFonts w:ascii="Verdana" w:hAnsi="Verdana"/>
          <w:sz w:val="20"/>
          <w:szCs w:val="20"/>
          <w:lang w:val="es-ES"/>
        </w:rPr>
        <w:t xml:space="preserve">específicamente, </w:t>
      </w:r>
      <w:r w:rsidRPr="00BF4481">
        <w:rPr>
          <w:rFonts w:ascii="Verdana" w:hAnsi="Verdana"/>
          <w:sz w:val="20"/>
          <w:szCs w:val="20"/>
          <w:lang w:val="es-ES"/>
        </w:rPr>
        <w:t>es una fuente auxiliar del Derecho Internacional</w:t>
      </w:r>
      <w:r w:rsidR="002C04C2" w:rsidRPr="00BF4481">
        <w:rPr>
          <w:rFonts w:ascii="Verdana" w:hAnsi="Verdana"/>
          <w:sz w:val="20"/>
          <w:szCs w:val="20"/>
          <w:lang w:val="es-ES"/>
        </w:rPr>
        <w:t>, incluso de mayor relevancia que la jurisprudencia de la Corte,</w:t>
      </w:r>
      <w:r w:rsidRPr="00BF4481">
        <w:rPr>
          <w:rFonts w:ascii="Verdana" w:hAnsi="Verdana"/>
          <w:sz w:val="20"/>
          <w:szCs w:val="20"/>
          <w:lang w:val="es-ES"/>
        </w:rPr>
        <w:t xml:space="preserve"> en ta</w:t>
      </w:r>
      <w:r w:rsidR="00EB42C3" w:rsidRPr="00BF4481">
        <w:rPr>
          <w:rFonts w:ascii="Verdana" w:hAnsi="Verdana"/>
          <w:sz w:val="20"/>
          <w:szCs w:val="20"/>
          <w:lang w:val="es-ES"/>
        </w:rPr>
        <w:t>nto determina</w:t>
      </w:r>
      <w:r w:rsidR="002C04C2" w:rsidRPr="00BF4481">
        <w:rPr>
          <w:rFonts w:ascii="Verdana" w:hAnsi="Verdana"/>
          <w:sz w:val="20"/>
          <w:szCs w:val="20"/>
          <w:lang w:val="es-ES"/>
        </w:rPr>
        <w:t>, por parte de los Estados Partes de las mismas,</w:t>
      </w:r>
      <w:r w:rsidR="00EB42C3" w:rsidRPr="00BF4481">
        <w:rPr>
          <w:rFonts w:ascii="Verdana" w:hAnsi="Verdana"/>
          <w:sz w:val="20"/>
          <w:szCs w:val="20"/>
          <w:lang w:val="es-ES"/>
        </w:rPr>
        <w:t xml:space="preserve"> l</w:t>
      </w:r>
      <w:r w:rsidR="002C04C2" w:rsidRPr="00BF4481">
        <w:rPr>
          <w:rFonts w:ascii="Verdana" w:hAnsi="Verdana"/>
          <w:sz w:val="20"/>
          <w:szCs w:val="20"/>
          <w:lang w:val="es-ES"/>
        </w:rPr>
        <w:t xml:space="preserve">as reglas convencionales </w:t>
      </w:r>
      <w:r w:rsidRPr="00BF4481">
        <w:rPr>
          <w:rFonts w:ascii="Verdana" w:hAnsi="Verdana"/>
          <w:sz w:val="20"/>
          <w:szCs w:val="20"/>
          <w:lang w:val="es-ES"/>
        </w:rPr>
        <w:t>en la materia en cuestión</w:t>
      </w:r>
      <w:r w:rsidRPr="00BF4481">
        <w:rPr>
          <w:rStyle w:val="FootnoteReference"/>
          <w:rFonts w:ascii="Verdana" w:hAnsi="Verdana"/>
          <w:sz w:val="20"/>
          <w:szCs w:val="20"/>
          <w:lang w:val="es-ES"/>
        </w:rPr>
        <w:footnoteReference w:id="11"/>
      </w:r>
      <w:r w:rsidRPr="00BF4481">
        <w:rPr>
          <w:rFonts w:ascii="Verdana" w:hAnsi="Verdana"/>
          <w:sz w:val="20"/>
          <w:szCs w:val="20"/>
          <w:lang w:val="es-ES"/>
        </w:rPr>
        <w:t xml:space="preserve">. </w:t>
      </w:r>
      <w:r w:rsidR="00EB42C3" w:rsidRPr="00BF4481">
        <w:rPr>
          <w:rFonts w:ascii="Verdana" w:hAnsi="Verdana"/>
          <w:sz w:val="20"/>
          <w:szCs w:val="20"/>
          <w:lang w:val="es-ES"/>
        </w:rPr>
        <w:t>Sus efectos jurídicos son, por ende, evidentes.</w:t>
      </w:r>
    </w:p>
    <w:p w:rsidR="000E76D0" w:rsidRPr="00BF4481" w:rsidRDefault="000E76D0" w:rsidP="002A1C24">
      <w:pPr>
        <w:widowControl w:val="0"/>
        <w:tabs>
          <w:tab w:val="left" w:pos="567"/>
        </w:tabs>
        <w:adjustRightInd w:val="0"/>
        <w:spacing w:after="0" w:line="240" w:lineRule="auto"/>
        <w:jc w:val="both"/>
        <w:textAlignment w:val="baseline"/>
        <w:rPr>
          <w:rFonts w:ascii="Verdana" w:hAnsi="Verdana"/>
          <w:sz w:val="20"/>
          <w:szCs w:val="20"/>
          <w:lang w:val="es-ES"/>
        </w:rPr>
      </w:pPr>
    </w:p>
    <w:p w:rsidR="008E3F16" w:rsidRPr="00BF4481" w:rsidRDefault="008E3F16" w:rsidP="001C72CE">
      <w:pPr>
        <w:numPr>
          <w:ilvl w:val="0"/>
          <w:numId w:val="7"/>
        </w:numPr>
        <w:spacing w:after="120"/>
        <w:ind w:left="0"/>
        <w:jc w:val="both"/>
        <w:rPr>
          <w:rFonts w:ascii="Verdana" w:hAnsi="Verdana"/>
          <w:b/>
          <w:sz w:val="20"/>
          <w:szCs w:val="20"/>
          <w:lang w:val="es-ES"/>
        </w:rPr>
      </w:pPr>
      <w:r w:rsidRPr="00BF4481">
        <w:rPr>
          <w:rFonts w:ascii="Verdana" w:hAnsi="Verdana"/>
          <w:b/>
          <w:sz w:val="20"/>
          <w:szCs w:val="20"/>
          <w:lang w:val="es-ES"/>
        </w:rPr>
        <w:t>La democracia, obligación jurídica interamericana.</w:t>
      </w:r>
    </w:p>
    <w:p w:rsidR="000E76D0" w:rsidRPr="00BF4481" w:rsidRDefault="00EB42C3" w:rsidP="002A1C24">
      <w:pPr>
        <w:widowControl w:val="0"/>
        <w:numPr>
          <w:ilvl w:val="0"/>
          <w:numId w:val="11"/>
        </w:numPr>
        <w:tabs>
          <w:tab w:val="left" w:pos="567"/>
        </w:tabs>
        <w:adjustRightInd w:val="0"/>
        <w:spacing w:after="0" w:line="240" w:lineRule="auto"/>
        <w:ind w:left="0" w:firstLine="0"/>
        <w:jc w:val="both"/>
        <w:textAlignment w:val="baseline"/>
        <w:rPr>
          <w:rFonts w:ascii="Verdana" w:hAnsi="Verdana"/>
          <w:sz w:val="20"/>
          <w:szCs w:val="20"/>
          <w:lang w:val="es-ES"/>
        </w:rPr>
      </w:pPr>
      <w:r w:rsidRPr="00BF4481">
        <w:rPr>
          <w:rFonts w:ascii="Verdana" w:hAnsi="Verdana"/>
          <w:sz w:val="20"/>
          <w:szCs w:val="20"/>
          <w:lang w:val="es-ES"/>
        </w:rPr>
        <w:t>Y lo anterior en vista de que</w:t>
      </w:r>
      <w:r w:rsidR="00C3020C" w:rsidRPr="00BF4481">
        <w:rPr>
          <w:rFonts w:ascii="Verdana" w:hAnsi="Verdana"/>
          <w:sz w:val="20"/>
          <w:szCs w:val="20"/>
          <w:lang w:val="es-ES"/>
        </w:rPr>
        <w:t xml:space="preserve"> </w:t>
      </w:r>
      <w:r w:rsidR="00294EEF" w:rsidRPr="00BF4481">
        <w:rPr>
          <w:rFonts w:ascii="Verdana" w:hAnsi="Verdana"/>
          <w:sz w:val="20"/>
          <w:szCs w:val="20"/>
          <w:lang w:val="es-ES"/>
        </w:rPr>
        <w:t xml:space="preserve">de manera particular </w:t>
      </w:r>
      <w:r w:rsidR="008E3F16" w:rsidRPr="00BF4481">
        <w:rPr>
          <w:rFonts w:ascii="Verdana" w:hAnsi="Verdana"/>
          <w:sz w:val="20"/>
          <w:szCs w:val="20"/>
          <w:lang w:val="es-ES"/>
        </w:rPr>
        <w:t>deja claramente establecido que el ejercicio efectivo de la democrac</w:t>
      </w:r>
      <w:r w:rsidRPr="00BF4481">
        <w:rPr>
          <w:rFonts w:ascii="Verdana" w:hAnsi="Verdana"/>
          <w:sz w:val="20"/>
          <w:szCs w:val="20"/>
          <w:lang w:val="es-ES"/>
        </w:rPr>
        <w:t xml:space="preserve">ia en los Estados americanos constituye </w:t>
      </w:r>
      <w:r w:rsidR="008E3F16" w:rsidRPr="00BF4481">
        <w:rPr>
          <w:rFonts w:ascii="Verdana" w:hAnsi="Verdana"/>
          <w:sz w:val="20"/>
          <w:szCs w:val="20"/>
          <w:lang w:val="es-ES"/>
        </w:rPr>
        <w:t xml:space="preserve">una obligación jurídica internacional y que, por lo tanto, éstos soberanamente han consentido que dicho ejercicio ha dejado de ser únicamente un asunto de su </w:t>
      </w:r>
      <w:r w:rsidR="008E3F16" w:rsidRPr="00BF4481">
        <w:rPr>
          <w:rFonts w:ascii="Verdana" w:hAnsi="Verdana"/>
          <w:sz w:val="20"/>
          <w:szCs w:val="20"/>
          <w:lang w:val="es-ES"/>
        </w:rPr>
        <w:lastRenderedPageBreak/>
        <w:t>jurisdicción doméstica, interna o exclusiva. Es por tal razón que se puede sostener que la Carta Democrática</w:t>
      </w:r>
      <w:r w:rsidR="00C3020C" w:rsidRPr="00BF4481">
        <w:rPr>
          <w:rFonts w:ascii="Verdana" w:hAnsi="Verdana"/>
          <w:sz w:val="20"/>
          <w:szCs w:val="20"/>
          <w:lang w:val="es-ES"/>
        </w:rPr>
        <w:t xml:space="preserve"> Interamericana</w:t>
      </w:r>
      <w:r w:rsidR="008E3F16" w:rsidRPr="00BF4481">
        <w:rPr>
          <w:rFonts w:ascii="Verdana" w:hAnsi="Verdana"/>
          <w:sz w:val="20"/>
          <w:szCs w:val="20"/>
          <w:lang w:val="es-ES"/>
        </w:rPr>
        <w:t xml:space="preserve"> se adoptó con la finalidad </w:t>
      </w:r>
      <w:r w:rsidR="00D13CBF" w:rsidRPr="00BF4481">
        <w:rPr>
          <w:rFonts w:ascii="Verdana" w:hAnsi="Verdana"/>
          <w:sz w:val="20"/>
          <w:szCs w:val="20"/>
          <w:lang w:val="es-ES"/>
        </w:rPr>
        <w:t>tanto de que se resgu</w:t>
      </w:r>
      <w:r w:rsidR="00C73BD3" w:rsidRPr="00BF4481">
        <w:rPr>
          <w:rFonts w:ascii="Verdana" w:hAnsi="Verdana"/>
          <w:sz w:val="20"/>
          <w:szCs w:val="20"/>
          <w:lang w:val="es-ES"/>
        </w:rPr>
        <w:t>ardara debida y oportunamente la</w:t>
      </w:r>
      <w:r w:rsidR="00D13CBF" w:rsidRPr="00BF4481">
        <w:rPr>
          <w:rFonts w:ascii="Verdana" w:hAnsi="Verdana"/>
          <w:sz w:val="20"/>
          <w:szCs w:val="20"/>
          <w:lang w:val="es-ES"/>
        </w:rPr>
        <w:t xml:space="preserve"> plena vigencia </w:t>
      </w:r>
      <w:r w:rsidR="00C73BD3" w:rsidRPr="00BF4481">
        <w:rPr>
          <w:rFonts w:ascii="Verdana" w:hAnsi="Verdana"/>
          <w:sz w:val="20"/>
          <w:szCs w:val="20"/>
          <w:lang w:val="es-ES"/>
        </w:rPr>
        <w:t xml:space="preserve">de la democracia </w:t>
      </w:r>
      <w:r w:rsidR="00D13CBF" w:rsidRPr="00BF4481">
        <w:rPr>
          <w:rFonts w:ascii="Verdana" w:hAnsi="Verdana"/>
          <w:sz w:val="20"/>
          <w:szCs w:val="20"/>
          <w:lang w:val="es-ES"/>
        </w:rPr>
        <w:t xml:space="preserve">como </w:t>
      </w:r>
      <w:r w:rsidR="008E3F16" w:rsidRPr="00BF4481">
        <w:rPr>
          <w:rFonts w:ascii="Verdana" w:hAnsi="Verdana"/>
          <w:sz w:val="20"/>
          <w:szCs w:val="20"/>
          <w:lang w:val="es-ES"/>
        </w:rPr>
        <w:t>de que, en el even</w:t>
      </w:r>
      <w:r w:rsidR="00C73BD3" w:rsidRPr="00BF4481">
        <w:rPr>
          <w:rFonts w:ascii="Verdana" w:hAnsi="Verdana"/>
          <w:sz w:val="20"/>
          <w:szCs w:val="20"/>
          <w:lang w:val="es-ES"/>
        </w:rPr>
        <w:t xml:space="preserve">to </w:t>
      </w:r>
      <w:r w:rsidR="00240EED" w:rsidRPr="00BF4481">
        <w:rPr>
          <w:rFonts w:ascii="Verdana" w:hAnsi="Verdana"/>
          <w:sz w:val="20"/>
          <w:szCs w:val="20"/>
          <w:lang w:val="es-ES"/>
        </w:rPr>
        <w:t xml:space="preserve">en </w:t>
      </w:r>
      <w:r w:rsidR="00C73BD3" w:rsidRPr="00BF4481">
        <w:rPr>
          <w:rFonts w:ascii="Verdana" w:hAnsi="Verdana"/>
          <w:sz w:val="20"/>
          <w:szCs w:val="20"/>
          <w:lang w:val="es-ES"/>
        </w:rPr>
        <w:t xml:space="preserve">que </w:t>
      </w:r>
      <w:r w:rsidR="008E3F16" w:rsidRPr="00BF4481">
        <w:rPr>
          <w:rFonts w:ascii="Verdana" w:hAnsi="Verdana"/>
          <w:sz w:val="20"/>
          <w:szCs w:val="20"/>
          <w:lang w:val="es-ES"/>
        </w:rPr>
        <w:t xml:space="preserve">en un Estado </w:t>
      </w:r>
      <w:r w:rsidR="00D13CBF" w:rsidRPr="00BF4481">
        <w:rPr>
          <w:rFonts w:ascii="Verdana" w:hAnsi="Verdana"/>
          <w:sz w:val="20"/>
          <w:szCs w:val="20"/>
          <w:lang w:val="es-ES"/>
        </w:rPr>
        <w:t xml:space="preserve">americano se viera </w:t>
      </w:r>
      <w:r w:rsidR="008E3F16" w:rsidRPr="00BF4481">
        <w:rPr>
          <w:rFonts w:ascii="Verdana" w:hAnsi="Verdana"/>
          <w:sz w:val="20"/>
          <w:szCs w:val="20"/>
          <w:lang w:val="es-ES"/>
        </w:rPr>
        <w:t>alterada, ella fuese prontamente restablecida.</w:t>
      </w:r>
    </w:p>
    <w:p w:rsidR="008E3F16" w:rsidRPr="00BF4481" w:rsidRDefault="008E3F16" w:rsidP="002A1C24">
      <w:pPr>
        <w:widowControl w:val="0"/>
        <w:tabs>
          <w:tab w:val="left" w:pos="567"/>
        </w:tabs>
        <w:adjustRightInd w:val="0"/>
        <w:spacing w:after="0" w:line="240" w:lineRule="auto"/>
        <w:jc w:val="both"/>
        <w:textAlignment w:val="baseline"/>
        <w:rPr>
          <w:rFonts w:ascii="Verdana" w:hAnsi="Verdana"/>
          <w:sz w:val="20"/>
          <w:szCs w:val="20"/>
          <w:lang w:val="es-ES"/>
        </w:rPr>
      </w:pPr>
    </w:p>
    <w:p w:rsidR="008E3F16" w:rsidRPr="00BF4481" w:rsidRDefault="008E3F16" w:rsidP="002A1C24">
      <w:pPr>
        <w:widowControl w:val="0"/>
        <w:numPr>
          <w:ilvl w:val="0"/>
          <w:numId w:val="11"/>
        </w:numPr>
        <w:tabs>
          <w:tab w:val="left" w:pos="567"/>
        </w:tabs>
        <w:adjustRightInd w:val="0"/>
        <w:spacing w:after="0" w:line="240" w:lineRule="auto"/>
        <w:ind w:left="0" w:firstLine="0"/>
        <w:jc w:val="both"/>
        <w:textAlignment w:val="baseline"/>
        <w:rPr>
          <w:rFonts w:ascii="Verdana" w:hAnsi="Verdana"/>
          <w:sz w:val="20"/>
          <w:szCs w:val="20"/>
          <w:lang w:val="es-ES"/>
        </w:rPr>
      </w:pPr>
      <w:r w:rsidRPr="00BF4481">
        <w:rPr>
          <w:rFonts w:ascii="Verdana" w:hAnsi="Verdana"/>
          <w:sz w:val="20"/>
          <w:szCs w:val="20"/>
          <w:lang w:val="es-ES"/>
        </w:rPr>
        <w:t xml:space="preserve">Ese </w:t>
      </w:r>
      <w:r w:rsidRPr="00BF4481">
        <w:rPr>
          <w:rFonts w:ascii="Verdana" w:hAnsi="Verdana"/>
          <w:i/>
          <w:sz w:val="20"/>
          <w:szCs w:val="20"/>
          <w:lang w:val="es-ES"/>
        </w:rPr>
        <w:t>efecto útil</w:t>
      </w:r>
      <w:r w:rsidRPr="00BF4481">
        <w:rPr>
          <w:rFonts w:ascii="Verdana" w:hAnsi="Verdana"/>
          <w:sz w:val="20"/>
          <w:szCs w:val="20"/>
          <w:lang w:val="es-ES"/>
        </w:rPr>
        <w:t xml:space="preserve"> de la Carta Democrática</w:t>
      </w:r>
      <w:r w:rsidR="00EB42C3" w:rsidRPr="00BF4481">
        <w:rPr>
          <w:rFonts w:ascii="Verdana" w:hAnsi="Verdana"/>
          <w:sz w:val="20"/>
          <w:szCs w:val="20"/>
          <w:lang w:val="es-ES"/>
        </w:rPr>
        <w:t xml:space="preserve"> Interamericana</w:t>
      </w:r>
      <w:r w:rsidRPr="00BF4481">
        <w:rPr>
          <w:rFonts w:ascii="Verdana" w:hAnsi="Verdana"/>
          <w:sz w:val="20"/>
          <w:szCs w:val="20"/>
          <w:lang w:val="es-ES"/>
        </w:rPr>
        <w:t xml:space="preserve"> y, en especial, de su artículo 21</w:t>
      </w:r>
      <w:r w:rsidRPr="00BF4481">
        <w:rPr>
          <w:rStyle w:val="FootnoteReference"/>
          <w:rFonts w:ascii="Verdana" w:hAnsi="Verdana"/>
          <w:sz w:val="20"/>
          <w:szCs w:val="20"/>
          <w:lang w:val="es-ES"/>
        </w:rPr>
        <w:footnoteReference w:id="12"/>
      </w:r>
      <w:r w:rsidRPr="00BF4481">
        <w:rPr>
          <w:rFonts w:ascii="Verdana" w:hAnsi="Verdana"/>
          <w:sz w:val="20"/>
          <w:szCs w:val="20"/>
          <w:lang w:val="es-ES"/>
        </w:rPr>
        <w:t>, encuentra su fundamento particularmente en lo previsto en el artículo 9, letras d) y f), de la Carta de la OEA</w:t>
      </w:r>
      <w:r w:rsidRPr="00BF4481">
        <w:rPr>
          <w:rStyle w:val="FootnoteReference"/>
          <w:rFonts w:ascii="Verdana" w:hAnsi="Verdana"/>
          <w:sz w:val="20"/>
          <w:szCs w:val="20"/>
          <w:lang w:val="es-ES"/>
        </w:rPr>
        <w:footnoteReference w:id="13"/>
      </w:r>
      <w:r w:rsidRPr="00BF4481">
        <w:rPr>
          <w:rFonts w:ascii="Verdana" w:hAnsi="Verdana"/>
          <w:sz w:val="20"/>
          <w:szCs w:val="20"/>
          <w:lang w:val="es-ES"/>
        </w:rPr>
        <w:t xml:space="preserve">. En otros términos, ella supone que los Estados </w:t>
      </w:r>
      <w:r w:rsidR="00C3020C" w:rsidRPr="00BF4481">
        <w:rPr>
          <w:rFonts w:ascii="Verdana" w:hAnsi="Verdana"/>
          <w:sz w:val="20"/>
          <w:szCs w:val="20"/>
          <w:lang w:val="es-ES"/>
        </w:rPr>
        <w:t>americanos so</w:t>
      </w:r>
      <w:r w:rsidRPr="00BF4481">
        <w:rPr>
          <w:rFonts w:ascii="Verdana" w:hAnsi="Verdana"/>
          <w:sz w:val="20"/>
          <w:szCs w:val="20"/>
          <w:lang w:val="es-ES"/>
        </w:rPr>
        <w:t>n democráticos, en realidad al momento de su adopción efectivamente lo eran, y, por ende, sus normas indican las situaciones en que, de una u otra manera, violan su obligación de efectivamente ejercer la democracia y apuntan a que ésta sea lo más prontamente posible restablecida.</w:t>
      </w:r>
    </w:p>
    <w:p w:rsidR="000E76D0" w:rsidRPr="00BF4481" w:rsidRDefault="000E76D0" w:rsidP="002A1C24">
      <w:pPr>
        <w:widowControl w:val="0"/>
        <w:tabs>
          <w:tab w:val="left" w:pos="567"/>
        </w:tabs>
        <w:adjustRightInd w:val="0"/>
        <w:spacing w:after="0" w:line="240" w:lineRule="auto"/>
        <w:jc w:val="both"/>
        <w:textAlignment w:val="baseline"/>
        <w:rPr>
          <w:rFonts w:ascii="Verdana" w:hAnsi="Verdana"/>
          <w:sz w:val="20"/>
          <w:szCs w:val="20"/>
          <w:lang w:val="es-ES"/>
        </w:rPr>
      </w:pPr>
    </w:p>
    <w:p w:rsidR="008E3F16" w:rsidRPr="00BF4481" w:rsidRDefault="008E3F16" w:rsidP="002A1C24">
      <w:pPr>
        <w:widowControl w:val="0"/>
        <w:numPr>
          <w:ilvl w:val="0"/>
          <w:numId w:val="11"/>
        </w:numPr>
        <w:tabs>
          <w:tab w:val="left" w:pos="567"/>
        </w:tabs>
        <w:adjustRightInd w:val="0"/>
        <w:spacing w:after="0" w:line="240" w:lineRule="auto"/>
        <w:ind w:left="0" w:firstLine="0"/>
        <w:jc w:val="both"/>
        <w:textAlignment w:val="baseline"/>
        <w:rPr>
          <w:rFonts w:ascii="Verdana" w:hAnsi="Verdana"/>
          <w:sz w:val="20"/>
          <w:szCs w:val="20"/>
          <w:lang w:val="es-ES"/>
        </w:rPr>
      </w:pPr>
      <w:r w:rsidRPr="00BF4481">
        <w:rPr>
          <w:rFonts w:ascii="Verdana" w:hAnsi="Verdana"/>
          <w:sz w:val="20"/>
          <w:szCs w:val="20"/>
          <w:lang w:val="es-ES"/>
        </w:rPr>
        <w:t>En síntesis, la Carta Democrática</w:t>
      </w:r>
      <w:r w:rsidR="00C3020C" w:rsidRPr="00BF4481">
        <w:rPr>
          <w:rFonts w:ascii="Verdana" w:hAnsi="Verdana"/>
          <w:sz w:val="20"/>
          <w:szCs w:val="20"/>
          <w:lang w:val="es-ES"/>
        </w:rPr>
        <w:t xml:space="preserve"> Interamericana</w:t>
      </w:r>
      <w:r w:rsidRPr="00BF4481">
        <w:rPr>
          <w:rFonts w:ascii="Verdana" w:hAnsi="Verdana"/>
          <w:sz w:val="20"/>
          <w:szCs w:val="20"/>
          <w:lang w:val="es-ES"/>
        </w:rPr>
        <w:t xml:space="preserve"> fue suscrita para ser aplicada, es decir, para que tenga </w:t>
      </w:r>
      <w:r w:rsidRPr="00BF4481">
        <w:rPr>
          <w:rFonts w:ascii="Verdana" w:hAnsi="Verdana"/>
          <w:i/>
          <w:sz w:val="20"/>
          <w:szCs w:val="20"/>
          <w:lang w:val="es-ES"/>
        </w:rPr>
        <w:t>efecto útil</w:t>
      </w:r>
      <w:r w:rsidRPr="00BF4481">
        <w:rPr>
          <w:rFonts w:ascii="Verdana" w:hAnsi="Verdana"/>
          <w:sz w:val="20"/>
          <w:szCs w:val="20"/>
          <w:lang w:val="es-ES"/>
        </w:rPr>
        <w:t xml:space="preserve"> y para que su valor lo sea para todos los Estados miembros de la OEA y para todos los órganos del Sistema Interamericano, incluyendo</w:t>
      </w:r>
      <w:r w:rsidR="00EB42C3" w:rsidRPr="00BF4481">
        <w:rPr>
          <w:rFonts w:ascii="Verdana" w:hAnsi="Verdana"/>
          <w:sz w:val="20"/>
          <w:szCs w:val="20"/>
          <w:lang w:val="es-ES"/>
        </w:rPr>
        <w:t>, consecuentemente,</w:t>
      </w:r>
      <w:r w:rsidRPr="00BF4481">
        <w:rPr>
          <w:rFonts w:ascii="Verdana" w:hAnsi="Verdana"/>
          <w:sz w:val="20"/>
          <w:szCs w:val="20"/>
          <w:lang w:val="es-ES"/>
        </w:rPr>
        <w:t xml:space="preserve"> a la Corte.</w:t>
      </w:r>
    </w:p>
    <w:p w:rsidR="000E76D0" w:rsidRPr="00BF4481" w:rsidRDefault="000E76D0" w:rsidP="002A1C24">
      <w:pPr>
        <w:widowControl w:val="0"/>
        <w:tabs>
          <w:tab w:val="left" w:pos="567"/>
        </w:tabs>
        <w:adjustRightInd w:val="0"/>
        <w:spacing w:after="0" w:line="240" w:lineRule="auto"/>
        <w:jc w:val="both"/>
        <w:textAlignment w:val="baseline"/>
        <w:rPr>
          <w:rFonts w:ascii="Verdana" w:hAnsi="Verdana"/>
          <w:sz w:val="20"/>
          <w:szCs w:val="20"/>
          <w:lang w:val="es-ES"/>
        </w:rPr>
      </w:pPr>
    </w:p>
    <w:p w:rsidR="000E76D0" w:rsidRPr="00BF4481" w:rsidRDefault="00C3020C" w:rsidP="002A1C24">
      <w:pPr>
        <w:widowControl w:val="0"/>
        <w:numPr>
          <w:ilvl w:val="0"/>
          <w:numId w:val="11"/>
        </w:numPr>
        <w:tabs>
          <w:tab w:val="left" w:pos="567"/>
        </w:tabs>
        <w:adjustRightInd w:val="0"/>
        <w:spacing w:after="0" w:line="240" w:lineRule="auto"/>
        <w:ind w:left="0" w:firstLine="0"/>
        <w:jc w:val="both"/>
        <w:textAlignment w:val="baseline"/>
        <w:rPr>
          <w:rFonts w:ascii="Verdana" w:hAnsi="Verdana"/>
          <w:sz w:val="20"/>
          <w:szCs w:val="20"/>
          <w:lang w:val="es-ES"/>
        </w:rPr>
      </w:pPr>
      <w:r w:rsidRPr="00BF4481">
        <w:rPr>
          <w:rFonts w:ascii="Verdana" w:hAnsi="Verdana"/>
          <w:sz w:val="20"/>
          <w:szCs w:val="20"/>
          <w:lang w:val="es-ES"/>
        </w:rPr>
        <w:t>E</w:t>
      </w:r>
      <w:r w:rsidR="008E3F16" w:rsidRPr="00BF4481">
        <w:rPr>
          <w:rFonts w:ascii="Verdana" w:hAnsi="Verdana"/>
          <w:sz w:val="20"/>
          <w:szCs w:val="20"/>
          <w:lang w:val="es-ES"/>
        </w:rPr>
        <w:t>s en esa perspectiva que debe entenderse la alusión que en la Sentencia se hace al golpe de estado ocurrido en Venezuela</w:t>
      </w:r>
      <w:r w:rsidR="00EB42C3" w:rsidRPr="00BF4481">
        <w:rPr>
          <w:rStyle w:val="FootnoteReference"/>
          <w:rFonts w:ascii="Verdana" w:hAnsi="Verdana"/>
          <w:sz w:val="20"/>
          <w:szCs w:val="20"/>
          <w:lang w:val="es-ES"/>
        </w:rPr>
        <w:footnoteReference w:id="14"/>
      </w:r>
      <w:r w:rsidR="00C73BD3" w:rsidRPr="00BF4481">
        <w:rPr>
          <w:rFonts w:ascii="Verdana" w:hAnsi="Verdana"/>
          <w:sz w:val="20"/>
          <w:szCs w:val="20"/>
          <w:lang w:val="es-ES"/>
        </w:rPr>
        <w:t xml:space="preserve"> y por ello es procedente</w:t>
      </w:r>
      <w:r w:rsidR="008E3F16" w:rsidRPr="00BF4481">
        <w:rPr>
          <w:rFonts w:ascii="Verdana" w:hAnsi="Verdana"/>
          <w:sz w:val="20"/>
          <w:szCs w:val="20"/>
          <w:lang w:val="es-ES"/>
        </w:rPr>
        <w:t>, entonces, reiterar que la restauración del estado de derecho luego de un golpe de estado</w:t>
      </w:r>
      <w:r w:rsidR="00872FDD" w:rsidRPr="00BF4481">
        <w:rPr>
          <w:rStyle w:val="FootnoteReference"/>
          <w:rFonts w:ascii="Verdana" w:hAnsi="Verdana"/>
          <w:sz w:val="20"/>
          <w:szCs w:val="20"/>
          <w:lang w:val="es-ES"/>
        </w:rPr>
        <w:footnoteReference w:id="15"/>
      </w:r>
      <w:r w:rsidR="008E3F16" w:rsidRPr="00BF4481">
        <w:rPr>
          <w:rFonts w:ascii="Verdana" w:hAnsi="Verdana"/>
          <w:sz w:val="20"/>
          <w:szCs w:val="20"/>
          <w:lang w:val="es-ES"/>
        </w:rPr>
        <w:t xml:space="preserve"> no autoriza, bajo ninguna circunstancia o pretexto alguno, a las legítimas autoridades restablecidas en sus cargos</w:t>
      </w:r>
      <w:r w:rsidR="00C73BD3" w:rsidRPr="00BF4481">
        <w:rPr>
          <w:rFonts w:ascii="Verdana" w:hAnsi="Verdana"/>
          <w:sz w:val="20"/>
          <w:szCs w:val="20"/>
          <w:lang w:val="es-ES"/>
        </w:rPr>
        <w:t>,</w:t>
      </w:r>
      <w:r w:rsidR="008E3F16" w:rsidRPr="00BF4481">
        <w:rPr>
          <w:rFonts w:ascii="Verdana" w:hAnsi="Verdana"/>
          <w:sz w:val="20"/>
          <w:szCs w:val="20"/>
          <w:lang w:val="es-ES"/>
        </w:rPr>
        <w:t xml:space="preserve"> a violar los derechos humanos de quienes presumiblemente hubiesen participado en aqu</w:t>
      </w:r>
      <w:r w:rsidR="00C86588" w:rsidRPr="00BF4481">
        <w:rPr>
          <w:rFonts w:ascii="Verdana" w:hAnsi="Verdana"/>
          <w:sz w:val="20"/>
          <w:szCs w:val="20"/>
          <w:lang w:val="es-ES"/>
        </w:rPr>
        <w:t>e</w:t>
      </w:r>
      <w:r w:rsidR="008E3F16" w:rsidRPr="00BF4481">
        <w:rPr>
          <w:rFonts w:ascii="Verdana" w:hAnsi="Verdana"/>
          <w:sz w:val="20"/>
          <w:szCs w:val="20"/>
          <w:lang w:val="es-ES"/>
        </w:rPr>
        <w:t>l ilícito internacional y menos aún, hacerlo años después de acontecido el mismo y sin que se les haya incoado acción judicial alguna por tal motivo</w:t>
      </w:r>
      <w:r w:rsidRPr="00BF4481">
        <w:rPr>
          <w:rFonts w:ascii="Verdana" w:hAnsi="Verdana"/>
          <w:sz w:val="20"/>
          <w:szCs w:val="20"/>
          <w:lang w:val="es-ES"/>
        </w:rPr>
        <w:t>.</w:t>
      </w:r>
    </w:p>
    <w:p w:rsidR="008E3F16" w:rsidRPr="00BF4481" w:rsidRDefault="008E3F16" w:rsidP="002A1C24">
      <w:pPr>
        <w:widowControl w:val="0"/>
        <w:tabs>
          <w:tab w:val="left" w:pos="567"/>
        </w:tabs>
        <w:adjustRightInd w:val="0"/>
        <w:spacing w:after="0" w:line="240" w:lineRule="auto"/>
        <w:jc w:val="both"/>
        <w:textAlignment w:val="baseline"/>
        <w:rPr>
          <w:rFonts w:ascii="Verdana" w:hAnsi="Verdana"/>
          <w:sz w:val="20"/>
          <w:szCs w:val="20"/>
          <w:lang w:val="es-ES"/>
        </w:rPr>
      </w:pPr>
    </w:p>
    <w:p w:rsidR="008E3F16" w:rsidRPr="00BF4481" w:rsidRDefault="008E3F16" w:rsidP="001C72CE">
      <w:pPr>
        <w:numPr>
          <w:ilvl w:val="0"/>
          <w:numId w:val="7"/>
        </w:numPr>
        <w:spacing w:after="120"/>
        <w:ind w:left="0"/>
        <w:jc w:val="both"/>
        <w:rPr>
          <w:rFonts w:ascii="Verdana" w:hAnsi="Verdana"/>
          <w:sz w:val="20"/>
          <w:szCs w:val="20"/>
          <w:lang w:val="es-ES"/>
        </w:rPr>
      </w:pPr>
      <w:r w:rsidRPr="00BF4481">
        <w:rPr>
          <w:rFonts w:ascii="Verdana" w:hAnsi="Verdana"/>
          <w:b/>
          <w:sz w:val="20"/>
          <w:szCs w:val="20"/>
          <w:lang w:val="es-ES"/>
        </w:rPr>
        <w:t>La Corte y la Carta Democrática Interamericana.</w:t>
      </w:r>
    </w:p>
    <w:p w:rsidR="000E76D0" w:rsidRPr="00BF4481" w:rsidRDefault="008E3F16" w:rsidP="002A1C24">
      <w:pPr>
        <w:widowControl w:val="0"/>
        <w:numPr>
          <w:ilvl w:val="0"/>
          <w:numId w:val="12"/>
        </w:numPr>
        <w:tabs>
          <w:tab w:val="left" w:pos="567"/>
        </w:tabs>
        <w:adjustRightInd w:val="0"/>
        <w:spacing w:after="0" w:line="240" w:lineRule="auto"/>
        <w:ind w:left="0" w:firstLine="0"/>
        <w:jc w:val="both"/>
        <w:textAlignment w:val="baseline"/>
        <w:rPr>
          <w:rFonts w:ascii="Verdana" w:hAnsi="Verdana"/>
          <w:sz w:val="20"/>
          <w:szCs w:val="20"/>
          <w:lang w:val="es-ES"/>
        </w:rPr>
      </w:pPr>
      <w:r w:rsidRPr="00BF4481">
        <w:rPr>
          <w:rFonts w:ascii="Verdana" w:hAnsi="Verdana"/>
          <w:sz w:val="20"/>
          <w:szCs w:val="20"/>
          <w:lang w:val="es-ES"/>
        </w:rPr>
        <w:t>En cuanto a la facultad de la Corte para considerar, en los casos que le son sometidos y conoce, la conformidad o disconformidad de la conducta del Estado con la Carta Democrática</w:t>
      </w:r>
      <w:r w:rsidR="00C3020C" w:rsidRPr="00BF4481">
        <w:rPr>
          <w:rFonts w:ascii="Verdana" w:hAnsi="Verdana"/>
          <w:sz w:val="20"/>
          <w:szCs w:val="20"/>
          <w:lang w:val="es-ES"/>
        </w:rPr>
        <w:t xml:space="preserve"> Interamericana</w:t>
      </w:r>
      <w:r w:rsidRPr="00BF4481">
        <w:rPr>
          <w:rFonts w:ascii="Verdana" w:hAnsi="Verdana"/>
          <w:sz w:val="20"/>
          <w:szCs w:val="20"/>
          <w:lang w:val="es-ES"/>
        </w:rPr>
        <w:t>, se debe recordar que esta última contempla, para el caso de violación de la obligación de ejercer la democracia representativa, la participación tanto de los órganos políticos de la OEA como de los órganos previstos en la Convención.</w:t>
      </w:r>
    </w:p>
    <w:p w:rsidR="008E3F16" w:rsidRPr="00BF4481" w:rsidRDefault="008E3F16" w:rsidP="002A1C24">
      <w:pPr>
        <w:widowControl w:val="0"/>
        <w:tabs>
          <w:tab w:val="left" w:pos="567"/>
        </w:tabs>
        <w:adjustRightInd w:val="0"/>
        <w:spacing w:after="0" w:line="240" w:lineRule="auto"/>
        <w:jc w:val="both"/>
        <w:textAlignment w:val="baseline"/>
        <w:rPr>
          <w:rFonts w:ascii="Verdana" w:hAnsi="Verdana"/>
          <w:sz w:val="20"/>
          <w:szCs w:val="20"/>
          <w:lang w:val="es-ES"/>
        </w:rPr>
      </w:pPr>
    </w:p>
    <w:p w:rsidR="008E3F16" w:rsidRPr="00BF4481" w:rsidRDefault="008E3F16" w:rsidP="002A1C24">
      <w:pPr>
        <w:widowControl w:val="0"/>
        <w:numPr>
          <w:ilvl w:val="0"/>
          <w:numId w:val="12"/>
        </w:numPr>
        <w:tabs>
          <w:tab w:val="left" w:pos="567"/>
        </w:tabs>
        <w:adjustRightInd w:val="0"/>
        <w:spacing w:after="0" w:line="240" w:lineRule="auto"/>
        <w:ind w:left="0" w:firstLine="0"/>
        <w:jc w:val="both"/>
        <w:textAlignment w:val="baseline"/>
        <w:rPr>
          <w:rFonts w:ascii="Verdana" w:hAnsi="Verdana"/>
          <w:sz w:val="20"/>
          <w:szCs w:val="20"/>
          <w:lang w:val="es-ES"/>
        </w:rPr>
      </w:pPr>
      <w:r w:rsidRPr="00BF4481">
        <w:rPr>
          <w:rFonts w:ascii="Verdana" w:hAnsi="Verdana"/>
          <w:sz w:val="20"/>
          <w:szCs w:val="20"/>
          <w:lang w:val="es-ES"/>
        </w:rPr>
        <w:t>En lo que respecta a los órganos políticos, ellos pueden adopt</w:t>
      </w:r>
      <w:r w:rsidR="00C73BD3" w:rsidRPr="00BF4481">
        <w:rPr>
          <w:rFonts w:ascii="Verdana" w:hAnsi="Verdana"/>
          <w:sz w:val="20"/>
          <w:szCs w:val="20"/>
          <w:lang w:val="es-ES"/>
        </w:rPr>
        <w:t xml:space="preserve">ar medidas que pueden consistir en </w:t>
      </w:r>
      <w:r w:rsidRPr="00BF4481">
        <w:rPr>
          <w:rFonts w:ascii="Verdana" w:hAnsi="Verdana"/>
          <w:sz w:val="20"/>
          <w:szCs w:val="20"/>
          <w:lang w:val="es-ES"/>
        </w:rPr>
        <w:t xml:space="preserve">otorgar la asistencia solicitada por el propio Estado concernido, </w:t>
      </w:r>
      <w:r w:rsidRPr="00BF4481">
        <w:rPr>
          <w:rFonts w:ascii="Verdana" w:hAnsi="Verdana"/>
          <w:sz w:val="20"/>
          <w:szCs w:val="20"/>
          <w:lang w:val="es-ES"/>
        </w:rPr>
        <w:lastRenderedPageBreak/>
        <w:t>disponer visitas a éste, realizar</w:t>
      </w:r>
      <w:r w:rsidR="00C73BD3" w:rsidRPr="00BF4481">
        <w:rPr>
          <w:rFonts w:ascii="Verdana" w:hAnsi="Verdana"/>
          <w:sz w:val="20"/>
          <w:szCs w:val="20"/>
          <w:lang w:val="es-ES"/>
        </w:rPr>
        <w:t xml:space="preserve"> gestiones diplomáticas o </w:t>
      </w:r>
      <w:r w:rsidRPr="00BF4481">
        <w:rPr>
          <w:rFonts w:ascii="Verdana" w:hAnsi="Verdana"/>
          <w:sz w:val="20"/>
          <w:szCs w:val="20"/>
          <w:lang w:val="es-ES"/>
        </w:rPr>
        <w:t>suspenderlo de su particip</w:t>
      </w:r>
      <w:r w:rsidR="00C73BD3" w:rsidRPr="00BF4481">
        <w:rPr>
          <w:rFonts w:ascii="Verdana" w:hAnsi="Verdana"/>
          <w:sz w:val="20"/>
          <w:szCs w:val="20"/>
          <w:lang w:val="es-ES"/>
        </w:rPr>
        <w:t>ación en la OEA. Esto es, a aquellos</w:t>
      </w:r>
      <w:r w:rsidRPr="00BF4481">
        <w:rPr>
          <w:rFonts w:ascii="Verdana" w:hAnsi="Verdana"/>
          <w:sz w:val="20"/>
          <w:szCs w:val="20"/>
          <w:lang w:val="es-ES"/>
        </w:rPr>
        <w:t xml:space="preserve"> les corresponde adoptar decisiones de orden político en caso de que en un Estado parte de la OEA se vulnere la obligación jurídica interamericana de ejercer efectivamente la democracia.</w:t>
      </w:r>
    </w:p>
    <w:p w:rsidR="000E76D0" w:rsidRPr="00BF4481" w:rsidRDefault="000E76D0" w:rsidP="002A1C24">
      <w:pPr>
        <w:widowControl w:val="0"/>
        <w:tabs>
          <w:tab w:val="left" w:pos="567"/>
        </w:tabs>
        <w:adjustRightInd w:val="0"/>
        <w:spacing w:after="0" w:line="240" w:lineRule="auto"/>
        <w:jc w:val="both"/>
        <w:textAlignment w:val="baseline"/>
        <w:rPr>
          <w:rFonts w:ascii="Verdana" w:hAnsi="Verdana"/>
          <w:sz w:val="20"/>
          <w:szCs w:val="20"/>
          <w:lang w:val="es-ES"/>
        </w:rPr>
      </w:pPr>
    </w:p>
    <w:p w:rsidR="008E3F16" w:rsidRPr="002A1C24" w:rsidRDefault="008E3F16" w:rsidP="002A1C24">
      <w:pPr>
        <w:widowControl w:val="0"/>
        <w:numPr>
          <w:ilvl w:val="0"/>
          <w:numId w:val="12"/>
        </w:numPr>
        <w:tabs>
          <w:tab w:val="left" w:pos="567"/>
        </w:tabs>
        <w:adjustRightInd w:val="0"/>
        <w:spacing w:after="0" w:line="240" w:lineRule="auto"/>
        <w:ind w:left="0" w:firstLine="0"/>
        <w:jc w:val="both"/>
        <w:textAlignment w:val="baseline"/>
        <w:rPr>
          <w:rFonts w:ascii="Verdana" w:hAnsi="Verdana"/>
          <w:sz w:val="20"/>
          <w:szCs w:val="20"/>
          <w:lang w:val="es-ES"/>
        </w:rPr>
      </w:pPr>
      <w:r w:rsidRPr="00BF4481">
        <w:rPr>
          <w:rFonts w:ascii="Verdana" w:hAnsi="Verdana"/>
          <w:sz w:val="20"/>
          <w:szCs w:val="20"/>
          <w:lang w:val="es-ES"/>
        </w:rPr>
        <w:t xml:space="preserve">En lo que atañe a la Convención, </w:t>
      </w:r>
      <w:r w:rsidRPr="002A1C24">
        <w:rPr>
          <w:rFonts w:ascii="Verdana" w:hAnsi="Verdana" w:cs="Tahoma"/>
          <w:sz w:val="20"/>
          <w:szCs w:val="20"/>
        </w:rPr>
        <w:t xml:space="preserve">la Carta Democrática </w:t>
      </w:r>
      <w:r w:rsidR="00C3020C" w:rsidRPr="002A1C24">
        <w:rPr>
          <w:rFonts w:ascii="Verdana" w:hAnsi="Verdana" w:cs="Tahoma"/>
          <w:sz w:val="20"/>
          <w:szCs w:val="20"/>
        </w:rPr>
        <w:t xml:space="preserve">Interamericana </w:t>
      </w:r>
      <w:r w:rsidRPr="002A1C24">
        <w:rPr>
          <w:rFonts w:ascii="Verdana" w:hAnsi="Verdana" w:cs="Tahoma"/>
          <w:sz w:val="20"/>
          <w:szCs w:val="20"/>
        </w:rPr>
        <w:t>contempla en su artículo 8, incluido en su Capítulo denominado “</w:t>
      </w:r>
      <w:r w:rsidRPr="002A1C24">
        <w:rPr>
          <w:rFonts w:ascii="Verdana" w:hAnsi="Verdana" w:cs="Tahoma"/>
          <w:i/>
          <w:sz w:val="20"/>
          <w:szCs w:val="20"/>
        </w:rPr>
        <w:t>la democracia y los derechos humanos</w:t>
      </w:r>
      <w:r w:rsidRPr="002A1C24">
        <w:rPr>
          <w:rFonts w:ascii="Verdana" w:hAnsi="Verdana" w:cs="Tahoma"/>
          <w:sz w:val="20"/>
          <w:szCs w:val="20"/>
        </w:rPr>
        <w:t>”, que “</w:t>
      </w:r>
      <w:r w:rsidR="003237E0" w:rsidRPr="00BF4481">
        <w:rPr>
          <w:rFonts w:ascii="Verdana" w:hAnsi="Verdana" w:cs="Tahoma"/>
          <w:sz w:val="20"/>
          <w:szCs w:val="20"/>
        </w:rPr>
        <w:t>(</w:t>
      </w:r>
      <w:r w:rsidRPr="00BF4481">
        <w:rPr>
          <w:rFonts w:ascii="Verdana" w:eastAsia="Times New Roman" w:hAnsi="Verdana"/>
          <w:i/>
          <w:sz w:val="20"/>
          <w:szCs w:val="20"/>
          <w:lang w:eastAsia="es-CR"/>
        </w:rPr>
        <w:t>c</w:t>
      </w:r>
      <w:proofErr w:type="gramStart"/>
      <w:r w:rsidR="003237E0" w:rsidRPr="00BF4481">
        <w:rPr>
          <w:rFonts w:ascii="Verdana" w:eastAsia="Times New Roman" w:hAnsi="Verdana"/>
          <w:i/>
          <w:sz w:val="20"/>
          <w:szCs w:val="20"/>
          <w:lang w:eastAsia="es-CR"/>
        </w:rPr>
        <w:t>)</w:t>
      </w:r>
      <w:r w:rsidRPr="00BF4481">
        <w:rPr>
          <w:rFonts w:ascii="Verdana" w:eastAsia="Times New Roman" w:hAnsi="Verdana"/>
          <w:i/>
          <w:sz w:val="20"/>
          <w:szCs w:val="20"/>
          <w:lang w:eastAsia="es-CR"/>
        </w:rPr>
        <w:t>ualquier</w:t>
      </w:r>
      <w:proofErr w:type="gramEnd"/>
      <w:r w:rsidRPr="00BF4481">
        <w:rPr>
          <w:rFonts w:ascii="Verdana" w:eastAsia="Times New Roman" w:hAnsi="Verdana"/>
          <w:i/>
          <w:sz w:val="20"/>
          <w:szCs w:val="20"/>
          <w:lang w:eastAsia="es-CR"/>
        </w:rPr>
        <w:t xml:space="preserve"> persona o grupo de personas que consideren que sus derechos humanos han sido violados pueden interponer denuncias o peticiones ante el sistema interamericano de promoción y protección de los derechos humanos conforme a los procedimientos establecidos en el mismo</w:t>
      </w:r>
      <w:r w:rsidRPr="00BF4481">
        <w:rPr>
          <w:rFonts w:ascii="Verdana" w:eastAsia="Times New Roman" w:hAnsi="Verdana"/>
          <w:sz w:val="20"/>
          <w:szCs w:val="20"/>
          <w:lang w:eastAsia="es-CR"/>
        </w:rPr>
        <w:t>”</w:t>
      </w:r>
      <w:r w:rsidR="000E76D0" w:rsidRPr="00BF4481">
        <w:rPr>
          <w:rFonts w:ascii="Verdana" w:eastAsia="Times New Roman" w:hAnsi="Verdana"/>
          <w:i/>
          <w:sz w:val="20"/>
          <w:szCs w:val="20"/>
          <w:lang w:eastAsia="es-CR"/>
        </w:rPr>
        <w:t>.</w:t>
      </w:r>
    </w:p>
    <w:p w:rsidR="000E76D0" w:rsidRPr="00BF4481" w:rsidRDefault="000E76D0" w:rsidP="002A1C24">
      <w:pPr>
        <w:widowControl w:val="0"/>
        <w:tabs>
          <w:tab w:val="left" w:pos="567"/>
        </w:tabs>
        <w:adjustRightInd w:val="0"/>
        <w:spacing w:after="0" w:line="240" w:lineRule="auto"/>
        <w:jc w:val="both"/>
        <w:textAlignment w:val="baseline"/>
        <w:rPr>
          <w:rFonts w:ascii="Verdana" w:hAnsi="Verdana"/>
          <w:sz w:val="20"/>
          <w:szCs w:val="20"/>
          <w:lang w:val="es-ES"/>
        </w:rPr>
      </w:pPr>
    </w:p>
    <w:p w:rsidR="008E3F16" w:rsidRPr="002A1C24" w:rsidRDefault="008E3F16" w:rsidP="002A1C24">
      <w:pPr>
        <w:widowControl w:val="0"/>
        <w:numPr>
          <w:ilvl w:val="0"/>
          <w:numId w:val="12"/>
        </w:numPr>
        <w:tabs>
          <w:tab w:val="left" w:pos="567"/>
        </w:tabs>
        <w:adjustRightInd w:val="0"/>
        <w:spacing w:after="0" w:line="240" w:lineRule="auto"/>
        <w:ind w:left="0" w:firstLine="0"/>
        <w:jc w:val="both"/>
        <w:textAlignment w:val="baseline"/>
        <w:rPr>
          <w:rFonts w:ascii="Verdana" w:hAnsi="Verdana"/>
          <w:sz w:val="20"/>
          <w:szCs w:val="20"/>
          <w:lang w:val="es-ES"/>
        </w:rPr>
      </w:pPr>
      <w:r w:rsidRPr="00BF4481">
        <w:rPr>
          <w:rFonts w:ascii="Verdana" w:eastAsia="Times New Roman" w:hAnsi="Verdana"/>
          <w:sz w:val="20"/>
          <w:szCs w:val="20"/>
          <w:lang w:eastAsia="es-CR"/>
        </w:rPr>
        <w:t>En atención a que dicha disposición es una reiteración de lo contemplado en la Convención</w:t>
      </w:r>
      <w:r w:rsidRPr="00BF4481">
        <w:rPr>
          <w:rStyle w:val="FootnoteReference"/>
          <w:rFonts w:ascii="Verdana" w:eastAsia="Times New Roman" w:hAnsi="Verdana"/>
          <w:sz w:val="20"/>
          <w:szCs w:val="20"/>
          <w:lang w:eastAsia="es-CR"/>
        </w:rPr>
        <w:footnoteReference w:id="16"/>
      </w:r>
      <w:r w:rsidRPr="00BF4481">
        <w:rPr>
          <w:rFonts w:ascii="Verdana" w:eastAsia="Times New Roman" w:hAnsi="Verdana"/>
          <w:sz w:val="20"/>
          <w:szCs w:val="20"/>
          <w:lang w:eastAsia="es-CR"/>
        </w:rPr>
        <w:t>, se puede concluir en que, si se ha incluido en la Carta Democrática</w:t>
      </w:r>
      <w:r w:rsidR="00EB42C3" w:rsidRPr="00BF4481">
        <w:rPr>
          <w:rFonts w:ascii="Verdana" w:eastAsia="Times New Roman" w:hAnsi="Verdana"/>
          <w:sz w:val="20"/>
          <w:szCs w:val="20"/>
          <w:lang w:eastAsia="es-CR"/>
        </w:rPr>
        <w:t xml:space="preserve"> Interamericana</w:t>
      </w:r>
      <w:r w:rsidR="00C73BD3" w:rsidRPr="00BF4481">
        <w:rPr>
          <w:rFonts w:ascii="Verdana" w:eastAsia="Times New Roman" w:hAnsi="Verdana"/>
          <w:sz w:val="20"/>
          <w:szCs w:val="20"/>
          <w:lang w:eastAsia="es-CR"/>
        </w:rPr>
        <w:t>,</w:t>
      </w:r>
      <w:r w:rsidR="00EB42C3" w:rsidRPr="00BF4481">
        <w:rPr>
          <w:rFonts w:ascii="Verdana" w:eastAsia="Times New Roman" w:hAnsi="Verdana"/>
          <w:sz w:val="20"/>
          <w:szCs w:val="20"/>
          <w:lang w:eastAsia="es-CR"/>
        </w:rPr>
        <w:t xml:space="preserve"> es, </w:t>
      </w:r>
      <w:r w:rsidRPr="00BF4481">
        <w:rPr>
          <w:rFonts w:ascii="Verdana" w:eastAsia="Times New Roman" w:hAnsi="Verdana"/>
          <w:sz w:val="20"/>
          <w:szCs w:val="20"/>
          <w:lang w:eastAsia="es-CR"/>
        </w:rPr>
        <w:t>sin duda</w:t>
      </w:r>
      <w:r w:rsidR="00EB42C3" w:rsidRPr="00BF4481">
        <w:rPr>
          <w:rFonts w:ascii="Verdana" w:eastAsia="Times New Roman" w:hAnsi="Verdana"/>
          <w:sz w:val="20"/>
          <w:szCs w:val="20"/>
          <w:lang w:eastAsia="es-CR"/>
        </w:rPr>
        <w:t>,</w:t>
      </w:r>
      <w:r w:rsidRPr="00BF4481">
        <w:rPr>
          <w:rFonts w:ascii="Verdana" w:eastAsia="Times New Roman" w:hAnsi="Verdana"/>
          <w:sz w:val="20"/>
          <w:szCs w:val="20"/>
          <w:lang w:eastAsia="es-CR"/>
        </w:rPr>
        <w:t xml:space="preserve"> para resaltar la circunstancia de que la ausencia, total o parcial, de democracia en un Estado conlleva, </w:t>
      </w:r>
      <w:r w:rsidRPr="00BF4481">
        <w:rPr>
          <w:rFonts w:ascii="Verdana" w:eastAsia="Times New Roman" w:hAnsi="Verdana"/>
          <w:i/>
          <w:sz w:val="20"/>
          <w:szCs w:val="20"/>
          <w:lang w:eastAsia="es-CR"/>
        </w:rPr>
        <w:t>per se</w:t>
      </w:r>
      <w:r w:rsidRPr="00BF4481">
        <w:rPr>
          <w:rFonts w:ascii="Verdana" w:eastAsia="Times New Roman" w:hAnsi="Verdana"/>
          <w:sz w:val="20"/>
          <w:szCs w:val="20"/>
          <w:lang w:eastAsia="es-CR"/>
        </w:rPr>
        <w:t xml:space="preserve">, violaciones a derechos humanos. Ello implica, en consecuencia, que si bien a la Corte no le competería condenar a un Estado parte de la Convención por violar la </w:t>
      </w:r>
      <w:r w:rsidR="00C3020C" w:rsidRPr="00BF4481">
        <w:rPr>
          <w:rFonts w:ascii="Verdana" w:eastAsia="Times New Roman" w:hAnsi="Verdana"/>
          <w:sz w:val="20"/>
          <w:szCs w:val="20"/>
          <w:lang w:eastAsia="es-CR"/>
        </w:rPr>
        <w:t>citada Carta</w:t>
      </w:r>
      <w:r w:rsidRPr="00BF4481">
        <w:rPr>
          <w:rFonts w:ascii="Verdana" w:eastAsia="Times New Roman" w:hAnsi="Verdana"/>
          <w:sz w:val="20"/>
          <w:szCs w:val="20"/>
          <w:lang w:eastAsia="es-CR"/>
        </w:rPr>
        <w:t xml:space="preserve">, al menos debe considerar tal fenómeno en el contexto, no únicamente de los específicos hechos violatorios de los derechos humanos del caso sometido a su conocimiento y resolución, sino también de los términos de la </w:t>
      </w:r>
      <w:r w:rsidR="00C3020C" w:rsidRPr="00BF4481">
        <w:rPr>
          <w:rFonts w:ascii="Verdana" w:eastAsia="Times New Roman" w:hAnsi="Verdana"/>
          <w:sz w:val="20"/>
          <w:szCs w:val="20"/>
          <w:lang w:eastAsia="es-CR"/>
        </w:rPr>
        <w:t>Convención, interpretados por dicha</w:t>
      </w:r>
      <w:r w:rsidRPr="00BF4481">
        <w:rPr>
          <w:rFonts w:ascii="Verdana" w:eastAsia="Times New Roman" w:hAnsi="Verdana"/>
          <w:sz w:val="20"/>
          <w:szCs w:val="20"/>
          <w:lang w:eastAsia="es-CR"/>
        </w:rPr>
        <w:t xml:space="preserve"> Carta</w:t>
      </w:r>
      <w:r w:rsidRPr="00BF4481">
        <w:rPr>
          <w:rStyle w:val="FootnoteReference"/>
          <w:rFonts w:ascii="Verdana" w:eastAsia="Times New Roman" w:hAnsi="Verdana"/>
          <w:sz w:val="20"/>
          <w:szCs w:val="20"/>
          <w:lang w:eastAsia="es-CR"/>
        </w:rPr>
        <w:footnoteReference w:id="17"/>
      </w:r>
      <w:r w:rsidR="00E3504D" w:rsidRPr="00BF4481">
        <w:rPr>
          <w:rFonts w:ascii="Verdana" w:eastAsia="Times New Roman" w:hAnsi="Verdana"/>
          <w:sz w:val="20"/>
          <w:szCs w:val="20"/>
          <w:lang w:eastAsia="es-CR"/>
        </w:rPr>
        <w:t>.</w:t>
      </w:r>
      <w:r w:rsidRPr="00BF4481">
        <w:rPr>
          <w:rFonts w:ascii="Verdana" w:eastAsia="Times New Roman" w:hAnsi="Verdana"/>
          <w:sz w:val="20"/>
          <w:szCs w:val="20"/>
          <w:lang w:eastAsia="es-CR"/>
        </w:rPr>
        <w:t xml:space="preserve"> Si no fuese así, no tendría sentido la inclusió</w:t>
      </w:r>
      <w:r w:rsidR="00EB42C3" w:rsidRPr="00BF4481">
        <w:rPr>
          <w:rFonts w:ascii="Verdana" w:eastAsia="Times New Roman" w:hAnsi="Verdana"/>
          <w:sz w:val="20"/>
          <w:szCs w:val="20"/>
          <w:lang w:eastAsia="es-CR"/>
        </w:rPr>
        <w:t>n de los derechos humanos en esta última</w:t>
      </w:r>
      <w:r w:rsidRPr="00BF4481">
        <w:rPr>
          <w:rFonts w:ascii="Verdana" w:eastAsia="Times New Roman" w:hAnsi="Verdana"/>
          <w:sz w:val="20"/>
          <w:szCs w:val="20"/>
          <w:lang w:eastAsia="es-CR"/>
        </w:rPr>
        <w:t>.</w:t>
      </w:r>
    </w:p>
    <w:p w:rsidR="000E76D0" w:rsidRPr="00BF4481" w:rsidRDefault="000E76D0" w:rsidP="002A1C24">
      <w:pPr>
        <w:widowControl w:val="0"/>
        <w:tabs>
          <w:tab w:val="left" w:pos="567"/>
        </w:tabs>
        <w:adjustRightInd w:val="0"/>
        <w:spacing w:after="0" w:line="240" w:lineRule="auto"/>
        <w:jc w:val="both"/>
        <w:textAlignment w:val="baseline"/>
        <w:rPr>
          <w:rFonts w:ascii="Verdana" w:hAnsi="Verdana"/>
          <w:sz w:val="20"/>
          <w:szCs w:val="20"/>
          <w:lang w:val="es-ES"/>
        </w:rPr>
      </w:pPr>
    </w:p>
    <w:p w:rsidR="008E3F16" w:rsidRPr="002A1C24" w:rsidRDefault="008E3F16" w:rsidP="002A1C24">
      <w:pPr>
        <w:widowControl w:val="0"/>
        <w:numPr>
          <w:ilvl w:val="0"/>
          <w:numId w:val="12"/>
        </w:numPr>
        <w:tabs>
          <w:tab w:val="left" w:pos="567"/>
        </w:tabs>
        <w:adjustRightInd w:val="0"/>
        <w:spacing w:after="0" w:line="240" w:lineRule="auto"/>
        <w:ind w:left="0" w:firstLine="0"/>
        <w:jc w:val="both"/>
        <w:textAlignment w:val="baseline"/>
        <w:rPr>
          <w:rFonts w:ascii="Verdana" w:hAnsi="Verdana"/>
          <w:sz w:val="20"/>
          <w:szCs w:val="20"/>
          <w:lang w:val="es-ES"/>
        </w:rPr>
      </w:pPr>
      <w:r w:rsidRPr="00BF4481">
        <w:rPr>
          <w:rFonts w:ascii="Verdana" w:eastAsia="Times New Roman" w:hAnsi="Verdana"/>
          <w:sz w:val="20"/>
          <w:szCs w:val="20"/>
          <w:lang w:eastAsia="es-CR"/>
        </w:rPr>
        <w:t>Por otra parte, cabe añadir que si bien lo que señale la Corte sobre el particular en un caso contencioso concreto o específico, no es obligatorio o vinculante para los órganos de la OEA, sí puede constituir uno de los elementos a tener presente por éstos, en el marco de la interrelación entre las diferentes instancias y órganos del Sistema Interamericano, en la eventualidad de emitir un pronunciamiento al amparo de lo previsto en la Carta Democrática</w:t>
      </w:r>
      <w:r w:rsidR="00C3020C" w:rsidRPr="00BF4481">
        <w:rPr>
          <w:rFonts w:ascii="Verdana" w:eastAsia="Times New Roman" w:hAnsi="Verdana"/>
          <w:sz w:val="20"/>
          <w:szCs w:val="20"/>
          <w:lang w:eastAsia="es-CR"/>
        </w:rPr>
        <w:t xml:space="preserve"> Interamericana</w:t>
      </w:r>
      <w:r w:rsidRPr="00BF4481">
        <w:rPr>
          <w:rFonts w:ascii="Verdana" w:eastAsia="Times New Roman" w:hAnsi="Verdana"/>
          <w:sz w:val="20"/>
          <w:szCs w:val="20"/>
          <w:lang w:eastAsia="es-CR"/>
        </w:rPr>
        <w:t>. Un pronunciamiento de la Corte en este sentido sería, por ende, una relevante contribución con relación a uno de los principales propósitos de la OEA</w:t>
      </w:r>
      <w:r w:rsidRPr="00BF4481">
        <w:rPr>
          <w:rStyle w:val="FootnoteReference"/>
          <w:rFonts w:ascii="Verdana" w:eastAsia="Times New Roman" w:hAnsi="Verdana"/>
          <w:sz w:val="20"/>
          <w:szCs w:val="20"/>
          <w:lang w:eastAsia="es-CR"/>
        </w:rPr>
        <w:footnoteReference w:id="18"/>
      </w:r>
      <w:r w:rsidRPr="00BF4481">
        <w:rPr>
          <w:rFonts w:ascii="Verdana" w:eastAsia="Times New Roman" w:hAnsi="Verdana"/>
          <w:sz w:val="20"/>
          <w:szCs w:val="20"/>
          <w:lang w:eastAsia="es-CR"/>
        </w:rPr>
        <w:t xml:space="preserve"> y principios de los Estados americanos</w:t>
      </w:r>
      <w:r w:rsidRPr="00BF4481">
        <w:rPr>
          <w:rStyle w:val="FootnoteReference"/>
          <w:rFonts w:ascii="Verdana" w:eastAsia="Times New Roman" w:hAnsi="Verdana"/>
          <w:sz w:val="20"/>
          <w:szCs w:val="20"/>
          <w:lang w:eastAsia="es-CR"/>
        </w:rPr>
        <w:footnoteReference w:id="19"/>
      </w:r>
      <w:r w:rsidRPr="00BF4481">
        <w:rPr>
          <w:rFonts w:ascii="Verdana" w:eastAsia="Times New Roman" w:hAnsi="Verdana"/>
          <w:sz w:val="20"/>
          <w:szCs w:val="20"/>
          <w:lang w:eastAsia="es-CR"/>
        </w:rPr>
        <w:t xml:space="preserve">, máxime cuando en el primer </w:t>
      </w:r>
      <w:r w:rsidR="000D2DB0" w:rsidRPr="00BF4481">
        <w:rPr>
          <w:rFonts w:ascii="Verdana" w:eastAsia="Times New Roman" w:hAnsi="Verdana"/>
          <w:sz w:val="20"/>
          <w:szCs w:val="20"/>
          <w:lang w:eastAsia="es-CR"/>
        </w:rPr>
        <w:t xml:space="preserve">considerando del </w:t>
      </w:r>
      <w:r w:rsidRPr="00BF4481">
        <w:rPr>
          <w:rFonts w:ascii="Verdana" w:eastAsia="Times New Roman" w:hAnsi="Verdana"/>
          <w:sz w:val="20"/>
          <w:szCs w:val="20"/>
          <w:lang w:eastAsia="es-CR"/>
        </w:rPr>
        <w:t xml:space="preserve">preámbulo de la Convención se reafirma el </w:t>
      </w:r>
      <w:r w:rsidRPr="00BF4481">
        <w:rPr>
          <w:rFonts w:ascii="Verdana" w:eastAsia="Times New Roman" w:hAnsi="Verdana"/>
          <w:i/>
          <w:sz w:val="20"/>
          <w:szCs w:val="20"/>
          <w:lang w:eastAsia="es-CR"/>
        </w:rPr>
        <w:t>“</w:t>
      </w:r>
      <w:r w:rsidRPr="00BF4481">
        <w:rPr>
          <w:rFonts w:ascii="Verdana" w:hAnsi="Verdana" w:cs="Tahoma"/>
          <w:i/>
          <w:sz w:val="20"/>
          <w:szCs w:val="20"/>
        </w:rPr>
        <w:t>propósito de consolidar en este Continente, dentro del cuadro de las instituciones democráticas, un régimen de libertad personal y de justicia social, fundado en el respeto de los derechos esenciales del hombre</w:t>
      </w:r>
      <w:r w:rsidR="000E76D0" w:rsidRPr="00BF4481">
        <w:rPr>
          <w:rFonts w:ascii="Verdana" w:hAnsi="Verdana" w:cs="Tahoma"/>
          <w:i/>
          <w:sz w:val="20"/>
          <w:szCs w:val="20"/>
        </w:rPr>
        <w:t>”</w:t>
      </w:r>
      <w:r w:rsidRPr="00BF4481">
        <w:rPr>
          <w:rFonts w:ascii="Verdana" w:hAnsi="Verdana" w:cs="Tahoma"/>
          <w:i/>
          <w:sz w:val="20"/>
          <w:szCs w:val="20"/>
        </w:rPr>
        <w:t>.</w:t>
      </w:r>
    </w:p>
    <w:p w:rsidR="000E76D0" w:rsidRPr="00BF4481" w:rsidRDefault="000E76D0" w:rsidP="002A1C24">
      <w:pPr>
        <w:widowControl w:val="0"/>
        <w:tabs>
          <w:tab w:val="left" w:pos="567"/>
        </w:tabs>
        <w:adjustRightInd w:val="0"/>
        <w:spacing w:after="0" w:line="240" w:lineRule="auto"/>
        <w:jc w:val="both"/>
        <w:textAlignment w:val="baseline"/>
        <w:rPr>
          <w:rFonts w:ascii="Verdana" w:hAnsi="Verdana"/>
          <w:sz w:val="20"/>
          <w:szCs w:val="20"/>
          <w:lang w:val="es-ES"/>
        </w:rPr>
      </w:pPr>
    </w:p>
    <w:p w:rsidR="00F928EE" w:rsidRPr="00BF4481" w:rsidRDefault="00F928EE" w:rsidP="001C72CE">
      <w:pPr>
        <w:numPr>
          <w:ilvl w:val="0"/>
          <w:numId w:val="1"/>
        </w:numPr>
        <w:spacing w:after="120"/>
        <w:ind w:left="0"/>
        <w:jc w:val="both"/>
        <w:rPr>
          <w:rFonts w:ascii="Verdana" w:hAnsi="Verdana"/>
          <w:b/>
          <w:sz w:val="20"/>
          <w:szCs w:val="20"/>
          <w:lang w:val="es-ES"/>
        </w:rPr>
      </w:pPr>
      <w:r w:rsidRPr="00BF4481">
        <w:rPr>
          <w:rFonts w:ascii="Verdana" w:hAnsi="Verdana"/>
          <w:b/>
          <w:sz w:val="20"/>
          <w:szCs w:val="20"/>
        </w:rPr>
        <w:t>INDEPENDENCIA JUDICIAL.</w:t>
      </w:r>
    </w:p>
    <w:p w:rsidR="000E76D0" w:rsidRPr="002A1C24" w:rsidRDefault="00083759" w:rsidP="002A1C24">
      <w:pPr>
        <w:widowControl w:val="0"/>
        <w:numPr>
          <w:ilvl w:val="0"/>
          <w:numId w:val="13"/>
        </w:numPr>
        <w:tabs>
          <w:tab w:val="left" w:pos="567"/>
        </w:tabs>
        <w:adjustRightInd w:val="0"/>
        <w:spacing w:after="0" w:line="240" w:lineRule="auto"/>
        <w:ind w:left="0" w:firstLine="0"/>
        <w:jc w:val="both"/>
        <w:textAlignment w:val="baseline"/>
        <w:rPr>
          <w:rFonts w:ascii="Verdana" w:hAnsi="Verdana"/>
          <w:b/>
          <w:sz w:val="20"/>
          <w:szCs w:val="20"/>
          <w:lang w:val="es-ES"/>
        </w:rPr>
      </w:pPr>
      <w:r w:rsidRPr="00BF4481">
        <w:rPr>
          <w:rFonts w:ascii="Verdana" w:hAnsi="Verdana"/>
          <w:sz w:val="20"/>
          <w:szCs w:val="20"/>
          <w:lang w:val="es-ES"/>
        </w:rPr>
        <w:t xml:space="preserve">Un </w:t>
      </w:r>
      <w:r w:rsidR="00F928EE" w:rsidRPr="00BF4481">
        <w:rPr>
          <w:rFonts w:ascii="Verdana" w:hAnsi="Verdana"/>
          <w:sz w:val="20"/>
          <w:szCs w:val="20"/>
        </w:rPr>
        <w:t>te</w:t>
      </w:r>
      <w:r w:rsidRPr="00BF4481">
        <w:rPr>
          <w:rFonts w:ascii="Verdana" w:hAnsi="Verdana"/>
          <w:sz w:val="20"/>
          <w:szCs w:val="20"/>
        </w:rPr>
        <w:t>ma con gran incidencia en el ejercicio efectivo de la democracia y, por ende, de la libertad de pensamiento y de expresión</w:t>
      </w:r>
      <w:r w:rsidR="00F56761" w:rsidRPr="00BF4481">
        <w:rPr>
          <w:rFonts w:ascii="Verdana" w:hAnsi="Verdana"/>
          <w:sz w:val="20"/>
          <w:szCs w:val="20"/>
        </w:rPr>
        <w:t>,</w:t>
      </w:r>
      <w:r w:rsidRPr="00BF4481">
        <w:rPr>
          <w:rFonts w:ascii="Verdana" w:hAnsi="Verdana"/>
          <w:sz w:val="20"/>
          <w:szCs w:val="20"/>
        </w:rPr>
        <w:t xml:space="preserve"> es el de </w:t>
      </w:r>
      <w:r w:rsidR="00F928EE" w:rsidRPr="00BF4481">
        <w:rPr>
          <w:rFonts w:ascii="Verdana" w:hAnsi="Verdana"/>
          <w:sz w:val="20"/>
          <w:szCs w:val="20"/>
          <w:lang w:val="es-ES"/>
        </w:rPr>
        <w:t xml:space="preserve">la separación de poderes y, más </w:t>
      </w:r>
      <w:r w:rsidR="00F928EE" w:rsidRPr="00BF4481">
        <w:rPr>
          <w:rFonts w:ascii="Verdana" w:hAnsi="Verdana"/>
          <w:sz w:val="20"/>
          <w:szCs w:val="20"/>
          <w:lang w:val="es-ES"/>
        </w:rPr>
        <w:lastRenderedPageBreak/>
        <w:t xml:space="preserve">específicamente, </w:t>
      </w:r>
      <w:r w:rsidR="009753FD" w:rsidRPr="00BF4481">
        <w:rPr>
          <w:rFonts w:ascii="Verdana" w:hAnsi="Verdana"/>
          <w:sz w:val="20"/>
          <w:szCs w:val="20"/>
          <w:lang w:val="es-ES"/>
        </w:rPr>
        <w:t xml:space="preserve">el de </w:t>
      </w:r>
      <w:r w:rsidR="00F928EE" w:rsidRPr="00BF4481">
        <w:rPr>
          <w:rFonts w:ascii="Verdana" w:hAnsi="Verdana"/>
          <w:sz w:val="20"/>
          <w:szCs w:val="20"/>
          <w:lang w:val="es-ES"/>
        </w:rPr>
        <w:t>la independencia del poder judicial</w:t>
      </w:r>
      <w:r w:rsidR="00F928EE" w:rsidRPr="00BF4481">
        <w:rPr>
          <w:rStyle w:val="FootnoteReference"/>
          <w:rFonts w:ascii="Verdana" w:hAnsi="Verdana"/>
          <w:sz w:val="20"/>
          <w:szCs w:val="20"/>
          <w:lang w:val="es-ES"/>
        </w:rPr>
        <w:footnoteReference w:id="20"/>
      </w:r>
      <w:r w:rsidR="00F928EE" w:rsidRPr="00BF4481">
        <w:rPr>
          <w:rFonts w:ascii="Verdana" w:hAnsi="Verdana"/>
          <w:sz w:val="20"/>
          <w:szCs w:val="20"/>
          <w:lang w:val="es-ES"/>
        </w:rPr>
        <w:t>. Téngase presente a este respecto, que el artículo 3 de la Carta Democrática In</w:t>
      </w:r>
      <w:r w:rsidR="00F56761" w:rsidRPr="00BF4481">
        <w:rPr>
          <w:rFonts w:ascii="Verdana" w:hAnsi="Verdana"/>
          <w:sz w:val="20"/>
          <w:szCs w:val="20"/>
          <w:lang w:val="es-ES"/>
        </w:rPr>
        <w:t xml:space="preserve">teramericana contempla, </w:t>
      </w:r>
      <w:r w:rsidR="00F928EE" w:rsidRPr="00BF4481">
        <w:rPr>
          <w:rFonts w:ascii="Verdana" w:hAnsi="Verdana"/>
          <w:sz w:val="20"/>
          <w:szCs w:val="20"/>
          <w:lang w:val="es-ES"/>
        </w:rPr>
        <w:t>como elemento esencial de la democracia representativa, a “</w:t>
      </w:r>
      <w:r w:rsidR="00F928EE" w:rsidRPr="00BF4481">
        <w:rPr>
          <w:rFonts w:ascii="Verdana" w:hAnsi="Verdana"/>
          <w:i/>
          <w:sz w:val="20"/>
          <w:szCs w:val="20"/>
          <w:lang w:val="es-ES"/>
        </w:rPr>
        <w:t>la separación e independencia de los poderes públicos</w:t>
      </w:r>
      <w:r w:rsidR="00F928EE" w:rsidRPr="00BF4481">
        <w:rPr>
          <w:rFonts w:ascii="Verdana" w:hAnsi="Verdana"/>
          <w:sz w:val="20"/>
          <w:szCs w:val="20"/>
          <w:lang w:val="es-ES"/>
        </w:rPr>
        <w:t>”</w:t>
      </w:r>
      <w:r w:rsidR="00F928EE" w:rsidRPr="00BF4481">
        <w:rPr>
          <w:rStyle w:val="FootnoteReference"/>
          <w:rFonts w:ascii="Verdana" w:hAnsi="Verdana"/>
          <w:sz w:val="20"/>
          <w:szCs w:val="20"/>
          <w:lang w:val="es-ES"/>
        </w:rPr>
        <w:footnoteReference w:id="21"/>
      </w:r>
      <w:r w:rsidR="00F928EE" w:rsidRPr="00BF4481">
        <w:rPr>
          <w:rFonts w:ascii="Verdana" w:hAnsi="Verdana"/>
          <w:sz w:val="20"/>
          <w:szCs w:val="20"/>
          <w:lang w:val="es-ES"/>
        </w:rPr>
        <w:t xml:space="preserve">. Ciertamente, tales cualidades deben ser no solo formales, sino reales o efectivas, por lo que, si no lo son, se debe desprender de ello su lógica consecuencia, a saber, que dicha ausencia de separación y/o independencia de los poderes del Estado, hace que </w:t>
      </w:r>
      <w:r w:rsidR="00F56761" w:rsidRPr="00BF4481">
        <w:rPr>
          <w:rFonts w:ascii="Verdana" w:hAnsi="Verdana"/>
          <w:sz w:val="20"/>
          <w:szCs w:val="20"/>
          <w:lang w:val="es-ES"/>
        </w:rPr>
        <w:t xml:space="preserve">el pertinente </w:t>
      </w:r>
      <w:r w:rsidR="00F928EE" w:rsidRPr="00BF4481">
        <w:rPr>
          <w:rFonts w:ascii="Verdana" w:hAnsi="Verdana"/>
          <w:sz w:val="20"/>
          <w:szCs w:val="20"/>
          <w:lang w:val="es-ES"/>
        </w:rPr>
        <w:t>Estado no sea</w:t>
      </w:r>
      <w:r w:rsidR="00F56761" w:rsidRPr="00BF4481">
        <w:rPr>
          <w:rFonts w:ascii="Verdana" w:hAnsi="Verdana"/>
          <w:sz w:val="20"/>
          <w:szCs w:val="20"/>
          <w:lang w:val="es-ES"/>
        </w:rPr>
        <w:t>,</w:t>
      </w:r>
      <w:r w:rsidR="00F928EE" w:rsidRPr="00BF4481">
        <w:rPr>
          <w:rFonts w:ascii="Verdana" w:hAnsi="Verdana"/>
          <w:sz w:val="20"/>
          <w:szCs w:val="20"/>
          <w:lang w:val="es-ES"/>
        </w:rPr>
        <w:t xml:space="preserve"> en rigor, plenamente democrático, esto es, que viola la Carta Democrática</w:t>
      </w:r>
      <w:r w:rsidR="00F56761" w:rsidRPr="00BF4481">
        <w:rPr>
          <w:rFonts w:ascii="Verdana" w:hAnsi="Verdana"/>
          <w:sz w:val="20"/>
          <w:szCs w:val="20"/>
          <w:lang w:val="es-ES"/>
        </w:rPr>
        <w:t xml:space="preserve"> Interamericana</w:t>
      </w:r>
      <w:r w:rsidR="00F928EE" w:rsidRPr="00BF4481">
        <w:rPr>
          <w:rFonts w:ascii="Verdana" w:hAnsi="Verdana"/>
          <w:sz w:val="20"/>
          <w:szCs w:val="20"/>
          <w:lang w:val="es-ES"/>
        </w:rPr>
        <w:t xml:space="preserve"> y los tratados que interpreta.</w:t>
      </w:r>
    </w:p>
    <w:p w:rsidR="00083759" w:rsidRPr="00BF4481" w:rsidRDefault="00083759" w:rsidP="002A1C24">
      <w:pPr>
        <w:widowControl w:val="0"/>
        <w:tabs>
          <w:tab w:val="left" w:pos="567"/>
        </w:tabs>
        <w:adjustRightInd w:val="0"/>
        <w:spacing w:after="0" w:line="240" w:lineRule="auto"/>
        <w:jc w:val="both"/>
        <w:textAlignment w:val="baseline"/>
        <w:rPr>
          <w:rFonts w:ascii="Verdana" w:hAnsi="Verdana"/>
          <w:b/>
          <w:sz w:val="20"/>
          <w:szCs w:val="20"/>
          <w:lang w:val="es-ES"/>
        </w:rPr>
      </w:pPr>
    </w:p>
    <w:p w:rsidR="00083759" w:rsidRPr="002A1C24" w:rsidRDefault="00F928EE" w:rsidP="002A1C24">
      <w:pPr>
        <w:widowControl w:val="0"/>
        <w:numPr>
          <w:ilvl w:val="0"/>
          <w:numId w:val="13"/>
        </w:numPr>
        <w:tabs>
          <w:tab w:val="left" w:pos="567"/>
        </w:tabs>
        <w:adjustRightInd w:val="0"/>
        <w:spacing w:after="0" w:line="240" w:lineRule="auto"/>
        <w:ind w:left="0" w:firstLine="0"/>
        <w:jc w:val="both"/>
        <w:textAlignment w:val="baseline"/>
        <w:rPr>
          <w:rFonts w:ascii="Verdana" w:hAnsi="Verdana"/>
          <w:b/>
          <w:sz w:val="20"/>
          <w:szCs w:val="20"/>
          <w:lang w:val="es-ES"/>
        </w:rPr>
      </w:pPr>
      <w:r w:rsidRPr="00BF4481">
        <w:rPr>
          <w:rFonts w:ascii="Verdana" w:hAnsi="Verdana"/>
          <w:sz w:val="20"/>
          <w:szCs w:val="20"/>
          <w:lang w:val="es-ES"/>
        </w:rPr>
        <w:t xml:space="preserve">En lo que dice relación con la independencia del Poder Judicial en el Estado, hay que recordar que la Corte se refirió a ello recientemente en el caso </w:t>
      </w:r>
      <w:proofErr w:type="spellStart"/>
      <w:r w:rsidRPr="00BF4481">
        <w:rPr>
          <w:rFonts w:ascii="Verdana" w:hAnsi="Verdana"/>
          <w:i/>
          <w:sz w:val="20"/>
          <w:szCs w:val="20"/>
          <w:lang w:val="es-ES"/>
        </w:rPr>
        <w:t>Chocrón</w:t>
      </w:r>
      <w:proofErr w:type="spellEnd"/>
      <w:r w:rsidRPr="00BF4481">
        <w:rPr>
          <w:rFonts w:ascii="Verdana" w:hAnsi="Verdana"/>
          <w:i/>
          <w:sz w:val="20"/>
          <w:szCs w:val="20"/>
          <w:lang w:val="es-ES"/>
        </w:rPr>
        <w:t xml:space="preserve"> </w:t>
      </w:r>
      <w:proofErr w:type="spellStart"/>
      <w:r w:rsidRPr="00BF4481">
        <w:rPr>
          <w:rFonts w:ascii="Verdana" w:hAnsi="Verdana"/>
          <w:i/>
          <w:sz w:val="20"/>
          <w:szCs w:val="20"/>
          <w:lang w:val="es-ES"/>
        </w:rPr>
        <w:t>Chocrón</w:t>
      </w:r>
      <w:proofErr w:type="spellEnd"/>
      <w:r w:rsidRPr="00BF4481">
        <w:rPr>
          <w:rFonts w:ascii="Verdana" w:hAnsi="Verdana"/>
          <w:i/>
          <w:sz w:val="20"/>
          <w:szCs w:val="20"/>
          <w:lang w:val="es-ES"/>
        </w:rPr>
        <w:t xml:space="preserve"> Vs. Venezuela,</w:t>
      </w:r>
      <w:r w:rsidRPr="00BF4481">
        <w:rPr>
          <w:rFonts w:ascii="Verdana" w:hAnsi="Verdana"/>
          <w:sz w:val="20"/>
          <w:szCs w:val="20"/>
          <w:lang w:val="es-ES"/>
        </w:rPr>
        <w:t xml:space="preserve"> </w:t>
      </w:r>
      <w:r w:rsidR="008A56EB" w:rsidRPr="00BF4481">
        <w:rPr>
          <w:rFonts w:ascii="Verdana" w:hAnsi="Verdana"/>
          <w:sz w:val="20"/>
          <w:szCs w:val="20"/>
          <w:lang w:val="es-ES"/>
        </w:rPr>
        <w:t xml:space="preserve">en </w:t>
      </w:r>
      <w:r w:rsidRPr="00BF4481">
        <w:rPr>
          <w:rFonts w:ascii="Verdana" w:hAnsi="Verdana"/>
          <w:sz w:val="20"/>
          <w:szCs w:val="20"/>
          <w:lang w:val="es-ES"/>
        </w:rPr>
        <w:t>el que señaló: “</w:t>
      </w:r>
      <w:r w:rsidRPr="00BF4481">
        <w:rPr>
          <w:rFonts w:ascii="Verdana" w:hAnsi="Verdana"/>
          <w:i/>
          <w:sz w:val="20"/>
          <w:szCs w:val="20"/>
        </w:rPr>
        <w:t xml:space="preserve">en el 2010 el Poder Judicial tenía un porcentaje de jueces provisorios y temporales de aproximadamente el 56%, conforme a lo señalado en el discurso de la Presidenta del TSJ, porcentaje que en la época de los hechos del presente caso alcanzó el 80%. Esto, además de generar obstáculos a la independencia judicial, resulta particularmente relevante por el hecho de que Venezuela no ofrece a dichos jueces la garantía de inamovilidad que exige el principio de independencia judicial. Además, la Corte observa que los jueces provisorios y temporales son nombrados discrecionalmente por el Estado, es decir, sin la utilización de concursos públicos de oposición y muchos de éstos han sido titularizados a través del denominado </w:t>
      </w:r>
      <w:r w:rsidR="008A56EB" w:rsidRPr="00BF4481">
        <w:rPr>
          <w:rFonts w:ascii="Verdana" w:hAnsi="Verdana"/>
          <w:i/>
          <w:sz w:val="20"/>
          <w:szCs w:val="20"/>
        </w:rPr>
        <w:t>‘</w:t>
      </w:r>
      <w:r w:rsidRPr="00BF4481">
        <w:rPr>
          <w:rFonts w:ascii="Verdana" w:hAnsi="Verdana"/>
          <w:i/>
          <w:sz w:val="20"/>
          <w:szCs w:val="20"/>
        </w:rPr>
        <w:t>Programa Especial para la Regularización de la Titularidad</w:t>
      </w:r>
      <w:r w:rsidR="008A56EB" w:rsidRPr="00BF4481">
        <w:rPr>
          <w:rFonts w:ascii="Verdana" w:hAnsi="Verdana"/>
          <w:i/>
          <w:sz w:val="20"/>
          <w:szCs w:val="20"/>
        </w:rPr>
        <w:t>’</w:t>
      </w:r>
      <w:r w:rsidRPr="00BF4481">
        <w:rPr>
          <w:rFonts w:ascii="Verdana" w:hAnsi="Verdana"/>
          <w:i/>
          <w:sz w:val="20"/>
          <w:szCs w:val="20"/>
        </w:rPr>
        <w:t xml:space="preserve"> (PET). Esto quiere decir que las plazas correspondientes han sido provistas sin que las personas que no hagan parte del Poder Judicial hayan tenido oportunidad de competir con los jueces provisorios para acceder a esas plazas. Tal como fue señalado en el caso </w:t>
      </w:r>
      <w:proofErr w:type="spellStart"/>
      <w:r w:rsidRPr="00BF4481">
        <w:rPr>
          <w:rFonts w:ascii="Verdana" w:hAnsi="Verdana"/>
          <w:i/>
          <w:sz w:val="20"/>
          <w:szCs w:val="20"/>
        </w:rPr>
        <w:t>Reverón</w:t>
      </w:r>
      <w:proofErr w:type="spellEnd"/>
      <w:r w:rsidRPr="00BF4481">
        <w:rPr>
          <w:rFonts w:ascii="Verdana" w:hAnsi="Verdana"/>
          <w:i/>
          <w:sz w:val="20"/>
          <w:szCs w:val="20"/>
        </w:rPr>
        <w:t xml:space="preserve"> Trujillo, a pesar de que a través del PET se adelantan evaluaciones de idoneidad, este procedimiento otorga estabilidad laboral a quienes fueron inicialmente nombrados con absoluta discrecionalidad”</w:t>
      </w:r>
      <w:r w:rsidRPr="00BF4481">
        <w:rPr>
          <w:rStyle w:val="FootnoteReference"/>
          <w:rFonts w:ascii="Verdana" w:hAnsi="Verdana"/>
          <w:i/>
          <w:sz w:val="20"/>
          <w:szCs w:val="20"/>
        </w:rPr>
        <w:footnoteReference w:id="22"/>
      </w:r>
      <w:r w:rsidR="000E76D0" w:rsidRPr="00BF4481">
        <w:rPr>
          <w:rFonts w:ascii="Verdana" w:hAnsi="Verdana"/>
          <w:i/>
          <w:sz w:val="20"/>
          <w:szCs w:val="20"/>
        </w:rPr>
        <w:t>.</w:t>
      </w:r>
    </w:p>
    <w:p w:rsidR="000E76D0" w:rsidRPr="00BF4481" w:rsidRDefault="000E76D0" w:rsidP="002A1C24">
      <w:pPr>
        <w:widowControl w:val="0"/>
        <w:tabs>
          <w:tab w:val="left" w:pos="567"/>
        </w:tabs>
        <w:adjustRightInd w:val="0"/>
        <w:spacing w:after="0" w:line="240" w:lineRule="auto"/>
        <w:jc w:val="both"/>
        <w:textAlignment w:val="baseline"/>
        <w:rPr>
          <w:rFonts w:ascii="Verdana" w:hAnsi="Verdana"/>
          <w:b/>
          <w:sz w:val="20"/>
          <w:szCs w:val="20"/>
          <w:lang w:val="es-ES"/>
        </w:rPr>
      </w:pPr>
    </w:p>
    <w:p w:rsidR="00083759" w:rsidRPr="002A1C24" w:rsidRDefault="00F928EE" w:rsidP="002A1C24">
      <w:pPr>
        <w:widowControl w:val="0"/>
        <w:numPr>
          <w:ilvl w:val="0"/>
          <w:numId w:val="13"/>
        </w:numPr>
        <w:tabs>
          <w:tab w:val="left" w:pos="567"/>
        </w:tabs>
        <w:adjustRightInd w:val="0"/>
        <w:spacing w:after="0" w:line="240" w:lineRule="auto"/>
        <w:ind w:left="0" w:firstLine="0"/>
        <w:jc w:val="both"/>
        <w:textAlignment w:val="baseline"/>
        <w:rPr>
          <w:rFonts w:ascii="Verdana" w:hAnsi="Verdana"/>
          <w:b/>
          <w:sz w:val="20"/>
          <w:szCs w:val="20"/>
          <w:lang w:val="es-ES"/>
        </w:rPr>
      </w:pPr>
      <w:r w:rsidRPr="00BF4481">
        <w:rPr>
          <w:rFonts w:ascii="Verdana" w:hAnsi="Verdana"/>
          <w:sz w:val="20"/>
          <w:szCs w:val="20"/>
          <w:lang w:val="es-ES"/>
        </w:rPr>
        <w:t>De modo, pues, que el escaso tiempo transcurrido desde la fecha en que acontecieron los hechos de ese caso y los del presente y, por ende, no habiendo cambiado mayormente el contexto en que ellos se dieron, permiten considerar que la falta de independencia del Poder Judicial en Venezuela entonces constatada, es un hecho público y notorio, lo que, por ende, tal vez debió ser desarrollado en la petición y demás presentaciones de los peticionarios y así, consecuentemente, permitir que la Sentencia también lo hiciese</w:t>
      </w:r>
      <w:r w:rsidRPr="00BF4481">
        <w:rPr>
          <w:rStyle w:val="FootnoteReference"/>
          <w:rFonts w:ascii="Verdana" w:hAnsi="Verdana"/>
          <w:sz w:val="20"/>
          <w:szCs w:val="20"/>
          <w:lang w:val="es-ES"/>
        </w:rPr>
        <w:footnoteReference w:id="23"/>
      </w:r>
      <w:r w:rsidR="000E76D0" w:rsidRPr="00BF4481">
        <w:rPr>
          <w:rFonts w:ascii="Verdana" w:hAnsi="Verdana"/>
          <w:sz w:val="20"/>
          <w:szCs w:val="20"/>
          <w:lang w:val="es-ES"/>
        </w:rPr>
        <w:t>.</w:t>
      </w:r>
    </w:p>
    <w:p w:rsidR="000E76D0" w:rsidRPr="00BF4481" w:rsidRDefault="000E76D0" w:rsidP="002A1C24">
      <w:pPr>
        <w:widowControl w:val="0"/>
        <w:tabs>
          <w:tab w:val="left" w:pos="567"/>
        </w:tabs>
        <w:adjustRightInd w:val="0"/>
        <w:spacing w:after="0" w:line="240" w:lineRule="auto"/>
        <w:jc w:val="both"/>
        <w:textAlignment w:val="baseline"/>
        <w:rPr>
          <w:rFonts w:ascii="Verdana" w:hAnsi="Verdana"/>
          <w:b/>
          <w:sz w:val="20"/>
          <w:szCs w:val="20"/>
          <w:lang w:val="es-ES"/>
        </w:rPr>
      </w:pPr>
    </w:p>
    <w:p w:rsidR="00DB3E04" w:rsidRPr="00BF4481" w:rsidRDefault="008E3F16" w:rsidP="007A028A">
      <w:pPr>
        <w:pStyle w:val="ListParagraph"/>
        <w:numPr>
          <w:ilvl w:val="0"/>
          <w:numId w:val="1"/>
        </w:numPr>
        <w:spacing w:after="120"/>
        <w:ind w:left="0"/>
        <w:jc w:val="both"/>
        <w:rPr>
          <w:rFonts w:ascii="Verdana" w:hAnsi="Verdana"/>
          <w:b/>
          <w:sz w:val="20"/>
          <w:szCs w:val="20"/>
          <w:lang w:val="es-ES"/>
        </w:rPr>
      </w:pPr>
      <w:r w:rsidRPr="00BF4481">
        <w:rPr>
          <w:rFonts w:ascii="Verdana" w:hAnsi="Verdana"/>
          <w:b/>
          <w:sz w:val="20"/>
          <w:szCs w:val="20"/>
          <w:lang w:val="es-ES"/>
        </w:rPr>
        <w:t>LIBERTA</w:t>
      </w:r>
      <w:r w:rsidR="00F928EE" w:rsidRPr="00BF4481">
        <w:rPr>
          <w:rFonts w:ascii="Verdana" w:hAnsi="Verdana"/>
          <w:b/>
          <w:sz w:val="20"/>
          <w:szCs w:val="20"/>
          <w:lang w:val="es-ES"/>
        </w:rPr>
        <w:t>D DE PENSAMIENTO Y DE EXPRESIÓN</w:t>
      </w:r>
      <w:r w:rsidR="007A028A" w:rsidRPr="00BF4481">
        <w:rPr>
          <w:rFonts w:ascii="Verdana" w:hAnsi="Verdana"/>
          <w:b/>
          <w:sz w:val="20"/>
          <w:szCs w:val="20"/>
          <w:lang w:val="es-ES"/>
        </w:rPr>
        <w:t>.</w:t>
      </w:r>
    </w:p>
    <w:p w:rsidR="007A028A" w:rsidRPr="00BF4481" w:rsidRDefault="007A028A" w:rsidP="007A028A">
      <w:pPr>
        <w:pStyle w:val="ListParagraph"/>
        <w:spacing w:after="120"/>
        <w:ind w:left="0"/>
        <w:jc w:val="both"/>
        <w:rPr>
          <w:rFonts w:ascii="Verdana" w:hAnsi="Verdana"/>
          <w:b/>
          <w:sz w:val="20"/>
          <w:szCs w:val="20"/>
          <w:lang w:val="es-ES"/>
        </w:rPr>
      </w:pPr>
    </w:p>
    <w:p w:rsidR="00F928EE" w:rsidRPr="00BF4481" w:rsidRDefault="00DB3E04" w:rsidP="002A1C24">
      <w:pPr>
        <w:widowControl w:val="0"/>
        <w:numPr>
          <w:ilvl w:val="0"/>
          <w:numId w:val="14"/>
        </w:numPr>
        <w:tabs>
          <w:tab w:val="left" w:pos="567"/>
        </w:tabs>
        <w:adjustRightInd w:val="0"/>
        <w:spacing w:after="0" w:line="240" w:lineRule="auto"/>
        <w:ind w:left="0" w:firstLine="0"/>
        <w:jc w:val="both"/>
        <w:textAlignment w:val="baseline"/>
        <w:rPr>
          <w:rFonts w:ascii="Verdana" w:hAnsi="Verdana"/>
          <w:sz w:val="20"/>
          <w:szCs w:val="20"/>
          <w:lang w:val="es-ES"/>
        </w:rPr>
      </w:pPr>
      <w:r w:rsidRPr="00BF4481">
        <w:rPr>
          <w:rFonts w:ascii="Verdana" w:eastAsia="Times New Roman" w:hAnsi="Verdana"/>
          <w:sz w:val="20"/>
          <w:szCs w:val="20"/>
          <w:lang w:val="es-ES" w:eastAsia="es-CR"/>
        </w:rPr>
        <w:t>Ciertamente, l</w:t>
      </w:r>
      <w:r w:rsidR="00F928EE" w:rsidRPr="00BF4481">
        <w:rPr>
          <w:rFonts w:ascii="Verdana" w:hAnsi="Verdana"/>
          <w:sz w:val="20"/>
          <w:szCs w:val="20"/>
          <w:lang w:val="es-ES"/>
        </w:rPr>
        <w:t xml:space="preserve">a </w:t>
      </w:r>
      <w:proofErr w:type="spellStart"/>
      <w:r w:rsidR="00F928EE" w:rsidRPr="00BF4481">
        <w:rPr>
          <w:rFonts w:ascii="Verdana" w:hAnsi="Verdana"/>
          <w:i/>
          <w:sz w:val="20"/>
          <w:szCs w:val="20"/>
          <w:lang w:val="es-ES"/>
        </w:rPr>
        <w:t>litis</w:t>
      </w:r>
      <w:proofErr w:type="spellEnd"/>
      <w:r w:rsidR="00F928EE" w:rsidRPr="00BF4481">
        <w:rPr>
          <w:rFonts w:ascii="Verdana" w:hAnsi="Verdana"/>
          <w:sz w:val="20"/>
          <w:szCs w:val="20"/>
          <w:lang w:val="es-ES"/>
        </w:rPr>
        <w:t xml:space="preserve"> en el caso en comento fue, en lo fundamental, aunque no </w:t>
      </w:r>
      <w:r w:rsidR="00F928EE" w:rsidRPr="00BF4481">
        <w:rPr>
          <w:rFonts w:ascii="Verdana" w:hAnsi="Verdana"/>
          <w:sz w:val="20"/>
          <w:szCs w:val="20"/>
          <w:lang w:val="es-ES"/>
        </w:rPr>
        <w:lastRenderedPageBreak/>
        <w:t>únicamente, acerca de si con la decisión de la República Bolivariana de Venezuela</w:t>
      </w:r>
      <w:r w:rsidR="00F928EE" w:rsidRPr="00BF4481">
        <w:rPr>
          <w:rStyle w:val="FootnoteReference"/>
          <w:rFonts w:ascii="Verdana" w:hAnsi="Verdana"/>
          <w:sz w:val="20"/>
          <w:szCs w:val="20"/>
          <w:lang w:val="es-ES"/>
        </w:rPr>
        <w:footnoteReference w:id="24"/>
      </w:r>
      <w:r w:rsidR="00F928EE" w:rsidRPr="00BF4481">
        <w:rPr>
          <w:rFonts w:ascii="Verdana" w:hAnsi="Verdana"/>
          <w:sz w:val="20"/>
          <w:szCs w:val="20"/>
          <w:lang w:val="es-ES"/>
        </w:rPr>
        <w:t xml:space="preserve"> de no renovar la licencia a Radio Caracas Televisión se vulneró lo prescrito en la Convención en lo atingente a la libertad de pensamiento y de expresión. Más específicamente aún, la controversia en autos giró básicamente en torno a determinar si la no renovación de la citada licencia configuró un medio indirecto para restringir o hacer ilusorio el derecho de expresión de las víctimas del caso</w:t>
      </w:r>
      <w:r w:rsidR="00F928EE" w:rsidRPr="00BF4481">
        <w:rPr>
          <w:rStyle w:val="FootnoteReference"/>
          <w:rFonts w:ascii="Verdana" w:hAnsi="Verdana"/>
          <w:sz w:val="20"/>
          <w:szCs w:val="20"/>
          <w:lang w:val="es-ES"/>
        </w:rPr>
        <w:footnoteReference w:id="25"/>
      </w:r>
      <w:r w:rsidR="000E76D0" w:rsidRPr="00BF4481">
        <w:rPr>
          <w:rFonts w:ascii="Verdana" w:hAnsi="Verdana"/>
          <w:sz w:val="20"/>
          <w:szCs w:val="20"/>
          <w:lang w:val="es-ES"/>
        </w:rPr>
        <w:t>.</w:t>
      </w:r>
    </w:p>
    <w:p w:rsidR="00DB3E04" w:rsidRPr="00BF4481" w:rsidRDefault="00DB3E04" w:rsidP="002A1C24">
      <w:pPr>
        <w:widowControl w:val="0"/>
        <w:tabs>
          <w:tab w:val="left" w:pos="567"/>
        </w:tabs>
        <w:adjustRightInd w:val="0"/>
        <w:spacing w:after="0" w:line="240" w:lineRule="auto"/>
        <w:jc w:val="both"/>
        <w:textAlignment w:val="baseline"/>
        <w:rPr>
          <w:rFonts w:ascii="Verdana" w:hAnsi="Verdana"/>
          <w:sz w:val="20"/>
          <w:szCs w:val="20"/>
          <w:lang w:val="es-ES"/>
        </w:rPr>
      </w:pPr>
    </w:p>
    <w:p w:rsidR="00083759" w:rsidRPr="00BF4481" w:rsidRDefault="00F928EE" w:rsidP="002A1C24">
      <w:pPr>
        <w:widowControl w:val="0"/>
        <w:numPr>
          <w:ilvl w:val="0"/>
          <w:numId w:val="14"/>
        </w:numPr>
        <w:tabs>
          <w:tab w:val="left" w:pos="567"/>
        </w:tabs>
        <w:adjustRightInd w:val="0"/>
        <w:spacing w:after="0" w:line="240" w:lineRule="auto"/>
        <w:ind w:left="0" w:firstLine="0"/>
        <w:jc w:val="both"/>
        <w:textAlignment w:val="baseline"/>
        <w:rPr>
          <w:rFonts w:ascii="Verdana" w:eastAsia="Times New Roman" w:hAnsi="Verdana"/>
          <w:sz w:val="20"/>
          <w:szCs w:val="20"/>
          <w:lang w:val="es-ES" w:eastAsia="es-CR"/>
        </w:rPr>
      </w:pPr>
      <w:r w:rsidRPr="00BF4481">
        <w:rPr>
          <w:rFonts w:ascii="Verdana" w:hAnsi="Verdana"/>
          <w:sz w:val="20"/>
          <w:szCs w:val="20"/>
          <w:lang w:val="es-ES"/>
        </w:rPr>
        <w:t xml:space="preserve">Y es precisamente por versar la controversia sobre la libertad de pensamiento y expresión y considerando lo dispuesto en el artículo </w:t>
      </w:r>
      <w:r w:rsidRPr="00BF4481">
        <w:rPr>
          <w:rFonts w:ascii="Verdana" w:eastAsia="Times New Roman" w:hAnsi="Verdana"/>
          <w:sz w:val="20"/>
          <w:szCs w:val="20"/>
          <w:lang w:val="es-ES" w:eastAsia="es-CR"/>
        </w:rPr>
        <w:t>63.1 de la Convención</w:t>
      </w:r>
      <w:r w:rsidRPr="00BF4481">
        <w:rPr>
          <w:rStyle w:val="FootnoteReference"/>
          <w:rFonts w:ascii="Verdana" w:eastAsia="Times New Roman" w:hAnsi="Verdana"/>
          <w:sz w:val="20"/>
          <w:szCs w:val="20"/>
          <w:lang w:val="es-ES" w:eastAsia="es-CR"/>
        </w:rPr>
        <w:footnoteReference w:id="26"/>
      </w:r>
      <w:r w:rsidRPr="00BF4481">
        <w:rPr>
          <w:rFonts w:ascii="Verdana" w:eastAsia="Times New Roman" w:hAnsi="Verdana"/>
          <w:sz w:val="20"/>
          <w:szCs w:val="20"/>
          <w:lang w:val="es-ES" w:eastAsia="es-CR"/>
        </w:rPr>
        <w:t xml:space="preserve">, </w:t>
      </w:r>
      <w:r w:rsidRPr="00BF4481">
        <w:rPr>
          <w:rFonts w:ascii="Verdana" w:hAnsi="Verdana"/>
          <w:sz w:val="20"/>
          <w:szCs w:val="20"/>
          <w:lang w:val="es-ES"/>
        </w:rPr>
        <w:t>que</w:t>
      </w:r>
      <w:r w:rsidRPr="002A1C24">
        <w:rPr>
          <w:rFonts w:ascii="Verdana" w:eastAsia="Times New Roman" w:hAnsi="Verdana"/>
          <w:sz w:val="20"/>
          <w:szCs w:val="20"/>
          <w:lang w:val="es-ES" w:eastAsia="es-CR"/>
        </w:rPr>
        <w:t>,</w:t>
      </w:r>
      <w:r w:rsidR="00F56761" w:rsidRPr="00BF4481">
        <w:rPr>
          <w:rFonts w:ascii="Verdana" w:eastAsia="Times New Roman" w:hAnsi="Verdana"/>
          <w:sz w:val="20"/>
          <w:szCs w:val="20"/>
          <w:lang w:val="es-ES" w:eastAsia="es-CR"/>
        </w:rPr>
        <w:t xml:space="preserve"> comprobada su</w:t>
      </w:r>
      <w:r w:rsidRPr="00BF4481">
        <w:rPr>
          <w:rFonts w:ascii="Verdana" w:eastAsia="Times New Roman" w:hAnsi="Verdana"/>
          <w:sz w:val="20"/>
          <w:szCs w:val="20"/>
          <w:lang w:val="es-ES" w:eastAsia="es-CR"/>
        </w:rPr>
        <w:t xml:space="preserve"> violación, procedía, para restablecer el goce de tal derecho, que se ordenara la restitución de la situación al estado en que se encontraba antes de dicha violación, vale decir, antes del término de la concesión que detentaba </w:t>
      </w:r>
      <w:r w:rsidR="00330DC8" w:rsidRPr="00BF4481">
        <w:rPr>
          <w:rFonts w:ascii="Verdana" w:eastAsia="Times New Roman" w:hAnsi="Verdana"/>
          <w:sz w:val="20"/>
          <w:szCs w:val="20"/>
          <w:lang w:val="es-ES" w:eastAsia="es-CR"/>
        </w:rPr>
        <w:t>Radio Caracas Televisión</w:t>
      </w:r>
      <w:r w:rsidRPr="00BF4481">
        <w:rPr>
          <w:rFonts w:ascii="Verdana" w:eastAsia="Times New Roman" w:hAnsi="Verdana"/>
          <w:sz w:val="20"/>
          <w:szCs w:val="20"/>
          <w:lang w:val="es-ES" w:eastAsia="es-CR"/>
        </w:rPr>
        <w:t xml:space="preserve">, haciendo así innecesaria </w:t>
      </w:r>
      <w:r w:rsidR="00330DC8" w:rsidRPr="00BF4481">
        <w:rPr>
          <w:rFonts w:ascii="Verdana" w:eastAsia="Times New Roman" w:hAnsi="Verdana"/>
          <w:sz w:val="20"/>
          <w:szCs w:val="20"/>
          <w:lang w:val="es-ES" w:eastAsia="es-CR"/>
        </w:rPr>
        <w:t xml:space="preserve">entrar a determinar la eventual </w:t>
      </w:r>
      <w:r w:rsidRPr="00BF4481">
        <w:rPr>
          <w:rFonts w:ascii="Verdana" w:eastAsia="Times New Roman" w:hAnsi="Verdana"/>
          <w:sz w:val="20"/>
          <w:szCs w:val="20"/>
          <w:lang w:val="es-ES" w:eastAsia="es-CR"/>
        </w:rPr>
        <w:t>violación autónoma del derecho a la propiedad privada alegada en autos</w:t>
      </w:r>
      <w:r w:rsidRPr="00BF4481">
        <w:rPr>
          <w:rStyle w:val="FootnoteReference"/>
          <w:rFonts w:ascii="Verdana" w:eastAsia="Times New Roman" w:hAnsi="Verdana"/>
          <w:sz w:val="20"/>
          <w:szCs w:val="20"/>
          <w:lang w:val="es-ES" w:eastAsia="es-CR"/>
        </w:rPr>
        <w:footnoteReference w:id="27"/>
      </w:r>
      <w:r w:rsidR="000E76D0" w:rsidRPr="00BF4481">
        <w:rPr>
          <w:rFonts w:ascii="Verdana" w:eastAsia="Times New Roman" w:hAnsi="Verdana"/>
          <w:sz w:val="20"/>
          <w:szCs w:val="20"/>
          <w:lang w:val="es-ES" w:eastAsia="es-CR"/>
        </w:rPr>
        <w:t>.</w:t>
      </w:r>
    </w:p>
    <w:p w:rsidR="00DB3E04" w:rsidRPr="00BF4481" w:rsidRDefault="00DB3E04" w:rsidP="002A1C24">
      <w:pPr>
        <w:widowControl w:val="0"/>
        <w:tabs>
          <w:tab w:val="left" w:pos="567"/>
        </w:tabs>
        <w:adjustRightInd w:val="0"/>
        <w:spacing w:after="0" w:line="240" w:lineRule="auto"/>
        <w:jc w:val="both"/>
        <w:textAlignment w:val="baseline"/>
        <w:rPr>
          <w:rFonts w:ascii="Verdana" w:eastAsia="Times New Roman" w:hAnsi="Verdana"/>
          <w:sz w:val="20"/>
          <w:szCs w:val="20"/>
          <w:lang w:val="es-ES" w:eastAsia="es-CR"/>
        </w:rPr>
      </w:pPr>
    </w:p>
    <w:p w:rsidR="00F928EE" w:rsidRPr="00BF4481" w:rsidRDefault="00F928EE" w:rsidP="002A1C24">
      <w:pPr>
        <w:widowControl w:val="0"/>
        <w:numPr>
          <w:ilvl w:val="0"/>
          <w:numId w:val="14"/>
        </w:numPr>
        <w:tabs>
          <w:tab w:val="left" w:pos="567"/>
        </w:tabs>
        <w:adjustRightInd w:val="0"/>
        <w:spacing w:after="0" w:line="240" w:lineRule="auto"/>
        <w:ind w:left="0" w:firstLine="0"/>
        <w:jc w:val="both"/>
        <w:textAlignment w:val="baseline"/>
        <w:rPr>
          <w:rFonts w:ascii="Verdana" w:eastAsia="Times New Roman" w:hAnsi="Verdana"/>
          <w:sz w:val="20"/>
          <w:szCs w:val="20"/>
          <w:lang w:val="es-ES" w:eastAsia="es-CR"/>
        </w:rPr>
      </w:pPr>
      <w:r w:rsidRPr="00BF4481">
        <w:rPr>
          <w:rFonts w:ascii="Verdana" w:hAnsi="Verdana"/>
          <w:sz w:val="20"/>
          <w:szCs w:val="20"/>
          <w:lang w:val="es-ES"/>
        </w:rPr>
        <w:t xml:space="preserve">En segundo término, </w:t>
      </w:r>
      <w:r w:rsidR="000C2768" w:rsidRPr="00BF4481">
        <w:rPr>
          <w:rFonts w:ascii="Verdana" w:hAnsi="Verdana"/>
          <w:sz w:val="20"/>
          <w:szCs w:val="20"/>
          <w:lang w:val="es-ES"/>
        </w:rPr>
        <w:t xml:space="preserve">por tratarse de un asunto relativo a la libertad de pensamiento y de expresión es que se estimó </w:t>
      </w:r>
      <w:r w:rsidRPr="00BF4481">
        <w:rPr>
          <w:rFonts w:ascii="Verdana" w:hAnsi="Verdana"/>
          <w:sz w:val="20"/>
          <w:szCs w:val="20"/>
          <w:lang w:val="es-ES"/>
        </w:rPr>
        <w:t>que</w:t>
      </w:r>
      <w:r w:rsidR="00330DC8" w:rsidRPr="00BF4481">
        <w:rPr>
          <w:rFonts w:ascii="Verdana" w:hAnsi="Verdana"/>
          <w:sz w:val="20"/>
          <w:szCs w:val="20"/>
          <w:lang w:val="es-ES"/>
        </w:rPr>
        <w:t>,</w:t>
      </w:r>
      <w:r w:rsidRPr="00BF4481">
        <w:rPr>
          <w:rFonts w:ascii="Verdana" w:hAnsi="Verdana"/>
          <w:sz w:val="20"/>
          <w:szCs w:val="20"/>
          <w:lang w:val="es-ES"/>
        </w:rPr>
        <w:t xml:space="preserve"> si bien la Convención se refiere únicamente, de conformidad a su artículo 1.2, a derechos de los seres humanos</w:t>
      </w:r>
      <w:r w:rsidRPr="00BF4481">
        <w:rPr>
          <w:rStyle w:val="FootnoteReference"/>
          <w:rFonts w:ascii="Verdana" w:hAnsi="Verdana"/>
          <w:sz w:val="20"/>
          <w:szCs w:val="20"/>
          <w:lang w:val="es-ES"/>
        </w:rPr>
        <w:footnoteReference w:id="28"/>
      </w:r>
      <w:r w:rsidRPr="00BF4481">
        <w:rPr>
          <w:rFonts w:ascii="Verdana" w:hAnsi="Verdana"/>
          <w:sz w:val="20"/>
          <w:szCs w:val="20"/>
          <w:lang w:val="es-ES"/>
        </w:rPr>
        <w:t xml:space="preserve">, es decir, de personas naturales, excluyendo de su ámbito a </w:t>
      </w:r>
      <w:r w:rsidR="000C2768" w:rsidRPr="00BF4481">
        <w:rPr>
          <w:rFonts w:ascii="Verdana" w:hAnsi="Verdana"/>
          <w:sz w:val="20"/>
          <w:szCs w:val="20"/>
          <w:lang w:val="es-ES"/>
        </w:rPr>
        <w:t>las personas jurídicas</w:t>
      </w:r>
      <w:r w:rsidRPr="00BF4481">
        <w:rPr>
          <w:rFonts w:ascii="Verdana" w:hAnsi="Verdana"/>
          <w:sz w:val="20"/>
          <w:szCs w:val="20"/>
          <w:lang w:val="es-ES"/>
        </w:rPr>
        <w:t>, no es menos cierto que, siendo éstas un instrumento para que aquellas puedan alcanzar ciertos objetivos sociales y, por lo tanto, llevar a cabo ciertas actividades con tal fin</w:t>
      </w:r>
      <w:r w:rsidRPr="00BF4481">
        <w:rPr>
          <w:rStyle w:val="FootnoteReference"/>
          <w:rFonts w:ascii="Verdana" w:hAnsi="Verdana"/>
          <w:sz w:val="20"/>
          <w:szCs w:val="20"/>
          <w:lang w:val="es-ES"/>
        </w:rPr>
        <w:footnoteReference w:id="29"/>
      </w:r>
      <w:r w:rsidRPr="00BF4481">
        <w:rPr>
          <w:rFonts w:ascii="Verdana" w:hAnsi="Verdana"/>
          <w:sz w:val="20"/>
          <w:szCs w:val="20"/>
          <w:lang w:val="es-ES"/>
        </w:rPr>
        <w:t xml:space="preserve">, </w:t>
      </w:r>
      <w:r w:rsidR="000C2768" w:rsidRPr="00BF4481">
        <w:rPr>
          <w:rFonts w:ascii="Verdana" w:hAnsi="Verdana"/>
          <w:sz w:val="20"/>
          <w:szCs w:val="20"/>
          <w:lang w:val="es-ES"/>
        </w:rPr>
        <w:t>la existencia de dichas personas mora</w:t>
      </w:r>
      <w:r w:rsidR="00330DC8" w:rsidRPr="00BF4481">
        <w:rPr>
          <w:rFonts w:ascii="Verdana" w:hAnsi="Verdana"/>
          <w:sz w:val="20"/>
          <w:szCs w:val="20"/>
          <w:lang w:val="es-ES"/>
        </w:rPr>
        <w:t>les no pueden</w:t>
      </w:r>
      <w:r w:rsidRPr="00BF4481">
        <w:rPr>
          <w:rFonts w:ascii="Verdana" w:hAnsi="Verdana"/>
          <w:sz w:val="20"/>
          <w:szCs w:val="20"/>
          <w:lang w:val="es-ES"/>
        </w:rPr>
        <w:t xml:space="preserve"> constituir, en la práctica o efectivamente, un resquicio para impedir que las personas naturales que las integren puedan ejercer sus derechos humanos consagrados en la Convención.</w:t>
      </w:r>
    </w:p>
    <w:p w:rsidR="00DB3E04" w:rsidRPr="00BF4481" w:rsidRDefault="00DB3E04" w:rsidP="002A1C24">
      <w:pPr>
        <w:widowControl w:val="0"/>
        <w:tabs>
          <w:tab w:val="left" w:pos="567"/>
        </w:tabs>
        <w:adjustRightInd w:val="0"/>
        <w:spacing w:after="0" w:line="240" w:lineRule="auto"/>
        <w:jc w:val="both"/>
        <w:textAlignment w:val="baseline"/>
        <w:rPr>
          <w:rFonts w:ascii="Verdana" w:eastAsia="Times New Roman" w:hAnsi="Verdana"/>
          <w:sz w:val="20"/>
          <w:szCs w:val="20"/>
          <w:lang w:val="es-ES" w:eastAsia="es-CR"/>
        </w:rPr>
      </w:pPr>
    </w:p>
    <w:p w:rsidR="00F928EE" w:rsidRPr="00BF4481" w:rsidRDefault="00F928EE" w:rsidP="002A1C24">
      <w:pPr>
        <w:widowControl w:val="0"/>
        <w:numPr>
          <w:ilvl w:val="0"/>
          <w:numId w:val="14"/>
        </w:numPr>
        <w:tabs>
          <w:tab w:val="left" w:pos="567"/>
        </w:tabs>
        <w:adjustRightInd w:val="0"/>
        <w:spacing w:after="0" w:line="240" w:lineRule="auto"/>
        <w:ind w:left="0" w:firstLine="0"/>
        <w:jc w:val="both"/>
        <w:textAlignment w:val="baseline"/>
        <w:rPr>
          <w:rFonts w:ascii="Verdana" w:eastAsia="Times New Roman" w:hAnsi="Verdana"/>
          <w:sz w:val="20"/>
          <w:szCs w:val="20"/>
          <w:lang w:val="es-ES" w:eastAsia="es-CR"/>
        </w:rPr>
      </w:pPr>
      <w:r w:rsidRPr="00BF4481">
        <w:rPr>
          <w:rFonts w:ascii="Verdana" w:hAnsi="Verdana"/>
          <w:sz w:val="20"/>
          <w:szCs w:val="20"/>
          <w:lang w:val="es-ES"/>
        </w:rPr>
        <w:t xml:space="preserve">No debe omitirse, a este respecto, que, por lo demás, algunos de los derechos previstos en la Convención implican que su ejercicio pueda llevarse a cabo precisamente a través de personas jurídicas, con o sin fin de lucro, empresas o fundaciones y corporaciones, partidos políticos o sindicatos, etc. Téngase presente al </w:t>
      </w:r>
      <w:r w:rsidR="00330DC8" w:rsidRPr="00BF4481">
        <w:rPr>
          <w:rFonts w:ascii="Verdana" w:hAnsi="Verdana"/>
          <w:sz w:val="20"/>
          <w:szCs w:val="20"/>
          <w:lang w:val="es-ES"/>
        </w:rPr>
        <w:t>efecto, lo prescrito en cuanto al</w:t>
      </w:r>
      <w:r w:rsidRPr="00BF4481">
        <w:rPr>
          <w:rFonts w:ascii="Verdana" w:hAnsi="Verdana"/>
          <w:sz w:val="20"/>
          <w:szCs w:val="20"/>
          <w:lang w:val="es-ES"/>
        </w:rPr>
        <w:t xml:space="preserve"> derecho de reunión</w:t>
      </w:r>
      <w:r w:rsidRPr="00BF4481">
        <w:rPr>
          <w:rStyle w:val="FootnoteReference"/>
          <w:rFonts w:ascii="Verdana" w:hAnsi="Verdana"/>
          <w:sz w:val="20"/>
          <w:szCs w:val="20"/>
          <w:lang w:val="es-ES"/>
        </w:rPr>
        <w:footnoteReference w:id="30"/>
      </w:r>
      <w:r w:rsidR="00330DC8" w:rsidRPr="00BF4481">
        <w:rPr>
          <w:rFonts w:ascii="Verdana" w:hAnsi="Verdana"/>
          <w:sz w:val="20"/>
          <w:szCs w:val="20"/>
          <w:lang w:val="es-ES"/>
        </w:rPr>
        <w:t xml:space="preserve">, a </w:t>
      </w:r>
      <w:r w:rsidRPr="00BF4481">
        <w:rPr>
          <w:rFonts w:ascii="Verdana" w:hAnsi="Verdana"/>
          <w:sz w:val="20"/>
          <w:szCs w:val="20"/>
          <w:lang w:val="es-ES"/>
        </w:rPr>
        <w:t>la libertad de asociación</w:t>
      </w:r>
      <w:r w:rsidRPr="00BF4481">
        <w:rPr>
          <w:rStyle w:val="FootnoteReference"/>
          <w:rFonts w:ascii="Verdana" w:hAnsi="Verdana"/>
          <w:sz w:val="20"/>
          <w:szCs w:val="20"/>
          <w:lang w:val="es-ES"/>
        </w:rPr>
        <w:footnoteReference w:id="31"/>
      </w:r>
      <w:r w:rsidR="00330DC8" w:rsidRPr="00BF4481">
        <w:rPr>
          <w:rFonts w:ascii="Verdana" w:hAnsi="Verdana"/>
          <w:sz w:val="20"/>
          <w:szCs w:val="20"/>
          <w:lang w:val="es-ES"/>
        </w:rPr>
        <w:t xml:space="preserve"> y a </w:t>
      </w:r>
      <w:r w:rsidRPr="00BF4481">
        <w:rPr>
          <w:rFonts w:ascii="Verdana" w:hAnsi="Verdana"/>
          <w:sz w:val="20"/>
          <w:szCs w:val="20"/>
          <w:lang w:val="es-ES"/>
        </w:rPr>
        <w:lastRenderedPageBreak/>
        <w:t>los derechos políticos</w:t>
      </w:r>
      <w:r w:rsidRPr="00BF4481">
        <w:rPr>
          <w:rStyle w:val="FootnoteReference"/>
          <w:rFonts w:ascii="Verdana" w:hAnsi="Verdana"/>
          <w:sz w:val="20"/>
          <w:szCs w:val="20"/>
          <w:lang w:val="es-ES"/>
        </w:rPr>
        <w:footnoteReference w:id="32"/>
      </w:r>
      <w:r w:rsidR="00E3504D" w:rsidRPr="00BF4481">
        <w:rPr>
          <w:rFonts w:ascii="Verdana" w:hAnsi="Verdana"/>
          <w:sz w:val="20"/>
          <w:szCs w:val="20"/>
          <w:lang w:val="es-ES"/>
        </w:rPr>
        <w:t>.</w:t>
      </w:r>
    </w:p>
    <w:p w:rsidR="00DB3E04" w:rsidRPr="00BF4481" w:rsidRDefault="00DB3E04" w:rsidP="002A1C24">
      <w:pPr>
        <w:widowControl w:val="0"/>
        <w:tabs>
          <w:tab w:val="left" w:pos="567"/>
        </w:tabs>
        <w:adjustRightInd w:val="0"/>
        <w:spacing w:after="0" w:line="240" w:lineRule="auto"/>
        <w:jc w:val="both"/>
        <w:textAlignment w:val="baseline"/>
        <w:rPr>
          <w:rFonts w:ascii="Verdana" w:eastAsia="Times New Roman" w:hAnsi="Verdana"/>
          <w:sz w:val="20"/>
          <w:szCs w:val="20"/>
          <w:lang w:val="es-ES" w:eastAsia="es-CR"/>
        </w:rPr>
      </w:pPr>
    </w:p>
    <w:p w:rsidR="00F928EE" w:rsidRPr="00BF4481" w:rsidRDefault="00F928EE" w:rsidP="002A1C24">
      <w:pPr>
        <w:widowControl w:val="0"/>
        <w:numPr>
          <w:ilvl w:val="0"/>
          <w:numId w:val="14"/>
        </w:numPr>
        <w:tabs>
          <w:tab w:val="left" w:pos="567"/>
        </w:tabs>
        <w:adjustRightInd w:val="0"/>
        <w:spacing w:after="0" w:line="240" w:lineRule="auto"/>
        <w:ind w:left="0" w:firstLine="0"/>
        <w:jc w:val="both"/>
        <w:textAlignment w:val="baseline"/>
        <w:rPr>
          <w:rFonts w:ascii="Verdana" w:eastAsia="Times New Roman" w:hAnsi="Verdana"/>
          <w:sz w:val="20"/>
          <w:szCs w:val="20"/>
          <w:lang w:val="es-ES" w:eastAsia="es-CR"/>
        </w:rPr>
      </w:pPr>
      <w:r w:rsidRPr="00BF4481">
        <w:rPr>
          <w:rFonts w:ascii="Verdana" w:hAnsi="Verdana"/>
          <w:sz w:val="20"/>
          <w:szCs w:val="20"/>
          <w:lang w:val="es-ES"/>
        </w:rPr>
        <w:t>En tercer lugar,</w:t>
      </w:r>
      <w:r w:rsidR="000C2768" w:rsidRPr="00BF4481">
        <w:rPr>
          <w:rFonts w:ascii="Verdana" w:hAnsi="Verdana"/>
          <w:sz w:val="20"/>
          <w:szCs w:val="20"/>
          <w:lang w:val="es-ES"/>
        </w:rPr>
        <w:t xml:space="preserve"> es por el mismo motivo que, considerando </w:t>
      </w:r>
      <w:r w:rsidRPr="00BF4481">
        <w:rPr>
          <w:rFonts w:ascii="Verdana" w:hAnsi="Verdana"/>
          <w:sz w:val="20"/>
          <w:szCs w:val="20"/>
          <w:lang w:val="es-ES"/>
        </w:rPr>
        <w:t xml:space="preserve">que el objeto y fin de la Convención es que los Estados respeten los derechos </w:t>
      </w:r>
      <w:r w:rsidRPr="002A1C24">
        <w:rPr>
          <w:rFonts w:ascii="Verdana" w:hAnsi="Verdana" w:cs="Tahoma"/>
          <w:sz w:val="20"/>
          <w:szCs w:val="20"/>
        </w:rPr>
        <w:t>y libertades reconocidos en ella y que garanticen su libre y pleno ejercicio a toda persona que esté sujeta a su jurisdicción, sin discriminación alguna</w:t>
      </w:r>
      <w:r w:rsidRPr="002A1C24">
        <w:rPr>
          <w:rStyle w:val="FootnoteReference"/>
          <w:rFonts w:ascii="Verdana" w:hAnsi="Verdana" w:cs="Tahoma"/>
          <w:sz w:val="20"/>
          <w:szCs w:val="20"/>
        </w:rPr>
        <w:footnoteReference w:id="33"/>
      </w:r>
      <w:r w:rsidRPr="00BF4481">
        <w:rPr>
          <w:rFonts w:ascii="Verdana" w:hAnsi="Verdana" w:cs="Tahoma"/>
          <w:sz w:val="20"/>
          <w:szCs w:val="20"/>
        </w:rPr>
        <w:t xml:space="preserve">, </w:t>
      </w:r>
      <w:r w:rsidR="000C2768" w:rsidRPr="00BF4481">
        <w:rPr>
          <w:rFonts w:ascii="Verdana" w:hAnsi="Verdana" w:cs="Tahoma"/>
          <w:sz w:val="20"/>
          <w:szCs w:val="20"/>
        </w:rPr>
        <w:t xml:space="preserve">en la interpretación y aplicación que se ha dado en este caso se ha tenido debida </w:t>
      </w:r>
      <w:r w:rsidRPr="00BF4481">
        <w:rPr>
          <w:rFonts w:ascii="Verdana" w:hAnsi="Verdana" w:cs="Tahoma"/>
          <w:sz w:val="20"/>
          <w:szCs w:val="20"/>
        </w:rPr>
        <w:t xml:space="preserve">cuenta </w:t>
      </w:r>
      <w:r w:rsidR="009B1CED" w:rsidRPr="00BF4481">
        <w:rPr>
          <w:rFonts w:ascii="Verdana" w:hAnsi="Verdana" w:cs="Tahoma"/>
          <w:sz w:val="20"/>
          <w:szCs w:val="20"/>
        </w:rPr>
        <w:t>d</w:t>
      </w:r>
      <w:r w:rsidRPr="00BF4481">
        <w:rPr>
          <w:rFonts w:ascii="Verdana" w:hAnsi="Verdana" w:cs="Tahoma"/>
          <w:sz w:val="20"/>
          <w:szCs w:val="20"/>
        </w:rPr>
        <w:t xml:space="preserve">el principio </w:t>
      </w:r>
      <w:r w:rsidRPr="00BF4481">
        <w:rPr>
          <w:rFonts w:ascii="Verdana" w:hAnsi="Verdana" w:cs="Tahoma"/>
          <w:i/>
          <w:sz w:val="20"/>
          <w:szCs w:val="20"/>
        </w:rPr>
        <w:t xml:space="preserve">pro </w:t>
      </w:r>
      <w:proofErr w:type="spellStart"/>
      <w:r w:rsidRPr="00BF4481">
        <w:rPr>
          <w:rFonts w:ascii="Verdana" w:hAnsi="Verdana" w:cs="Tahoma"/>
          <w:i/>
          <w:sz w:val="20"/>
          <w:szCs w:val="20"/>
        </w:rPr>
        <w:t>personae</w:t>
      </w:r>
      <w:proofErr w:type="spellEnd"/>
      <w:r w:rsidRPr="00BF4481">
        <w:rPr>
          <w:rFonts w:ascii="Verdana" w:hAnsi="Verdana" w:cs="Tahoma"/>
          <w:i/>
          <w:sz w:val="20"/>
          <w:szCs w:val="20"/>
        </w:rPr>
        <w:t xml:space="preserve"> </w:t>
      </w:r>
      <w:r w:rsidR="000C2768" w:rsidRPr="00BF4481">
        <w:rPr>
          <w:rFonts w:ascii="Verdana" w:hAnsi="Verdana" w:cs="Tahoma"/>
          <w:sz w:val="20"/>
          <w:szCs w:val="20"/>
        </w:rPr>
        <w:t xml:space="preserve">que </w:t>
      </w:r>
      <w:r w:rsidRPr="00BF4481">
        <w:rPr>
          <w:rFonts w:ascii="Verdana" w:hAnsi="Verdana" w:cs="Tahoma"/>
          <w:sz w:val="20"/>
          <w:szCs w:val="20"/>
        </w:rPr>
        <w:t>inspira</w:t>
      </w:r>
      <w:r w:rsidR="000C2768" w:rsidRPr="00BF4481">
        <w:rPr>
          <w:rFonts w:ascii="Verdana" w:hAnsi="Verdana" w:cs="Tahoma"/>
          <w:sz w:val="20"/>
          <w:szCs w:val="20"/>
        </w:rPr>
        <w:t xml:space="preserve"> a la Convención</w:t>
      </w:r>
      <w:r w:rsidRPr="00BF4481">
        <w:rPr>
          <w:rStyle w:val="FootnoteReference"/>
          <w:rFonts w:ascii="Verdana" w:hAnsi="Verdana" w:cs="Tahoma"/>
          <w:i/>
          <w:sz w:val="20"/>
          <w:szCs w:val="20"/>
        </w:rPr>
        <w:footnoteReference w:id="34"/>
      </w:r>
      <w:r w:rsidRPr="00BF4481">
        <w:rPr>
          <w:rFonts w:ascii="Verdana" w:hAnsi="Verdana" w:cs="Tahoma"/>
          <w:sz w:val="20"/>
          <w:szCs w:val="20"/>
        </w:rPr>
        <w:t>, esto es, que no es permitido, por cualquiera que sea la vía o el instrumento que se emplee, “</w:t>
      </w:r>
      <w:r w:rsidRPr="00BF4481">
        <w:rPr>
          <w:rFonts w:ascii="Verdana" w:hAnsi="Verdana" w:cs="Tahoma"/>
          <w:i/>
          <w:sz w:val="20"/>
          <w:szCs w:val="20"/>
        </w:rPr>
        <w:t>suprimir el goce y ejercicio de los derechos y libertades reconocidos en la Convención o limitarlos en mayor medida que la prevista en ella”.</w:t>
      </w:r>
    </w:p>
    <w:p w:rsidR="00DB3E04" w:rsidRPr="00BF4481" w:rsidRDefault="00DB3E04" w:rsidP="002A1C24">
      <w:pPr>
        <w:widowControl w:val="0"/>
        <w:tabs>
          <w:tab w:val="left" w:pos="567"/>
        </w:tabs>
        <w:adjustRightInd w:val="0"/>
        <w:spacing w:after="0" w:line="240" w:lineRule="auto"/>
        <w:jc w:val="both"/>
        <w:textAlignment w:val="baseline"/>
        <w:rPr>
          <w:rFonts w:ascii="Verdana" w:eastAsia="Times New Roman" w:hAnsi="Verdana"/>
          <w:sz w:val="20"/>
          <w:szCs w:val="20"/>
          <w:lang w:val="es-ES" w:eastAsia="es-CR"/>
        </w:rPr>
      </w:pPr>
    </w:p>
    <w:p w:rsidR="005E58F8" w:rsidRPr="00BF4481" w:rsidRDefault="00F928EE" w:rsidP="002A1C24">
      <w:pPr>
        <w:widowControl w:val="0"/>
        <w:numPr>
          <w:ilvl w:val="0"/>
          <w:numId w:val="14"/>
        </w:numPr>
        <w:tabs>
          <w:tab w:val="left" w:pos="567"/>
        </w:tabs>
        <w:adjustRightInd w:val="0"/>
        <w:spacing w:after="0" w:line="240" w:lineRule="auto"/>
        <w:ind w:left="0" w:firstLine="0"/>
        <w:jc w:val="both"/>
        <w:textAlignment w:val="baseline"/>
        <w:rPr>
          <w:rFonts w:ascii="Verdana" w:eastAsia="Times New Roman" w:hAnsi="Verdana"/>
          <w:sz w:val="20"/>
          <w:szCs w:val="20"/>
          <w:lang w:val="es-ES" w:eastAsia="es-CR"/>
        </w:rPr>
      </w:pPr>
      <w:r w:rsidRPr="00BF4481">
        <w:rPr>
          <w:rFonts w:ascii="Verdana" w:hAnsi="Verdana" w:cs="Tahoma"/>
          <w:sz w:val="20"/>
          <w:szCs w:val="20"/>
          <w:lang w:val="es-ES"/>
        </w:rPr>
        <w:t>De manera, entonces, que</w:t>
      </w:r>
      <w:r w:rsidR="00330DC8" w:rsidRPr="00BF4481">
        <w:rPr>
          <w:rFonts w:ascii="Verdana" w:hAnsi="Verdana" w:cs="Tahoma"/>
          <w:sz w:val="20"/>
          <w:szCs w:val="20"/>
          <w:lang w:val="es-ES"/>
        </w:rPr>
        <w:t>,</w:t>
      </w:r>
      <w:r w:rsidRPr="00BF4481">
        <w:rPr>
          <w:rFonts w:ascii="Verdana" w:hAnsi="Verdana" w:cs="Tahoma"/>
          <w:sz w:val="20"/>
          <w:szCs w:val="20"/>
          <w:lang w:val="es-ES"/>
        </w:rPr>
        <w:t xml:space="preserve"> en el caso en comento</w:t>
      </w:r>
      <w:r w:rsidR="00330DC8" w:rsidRPr="00BF4481">
        <w:rPr>
          <w:rFonts w:ascii="Verdana" w:hAnsi="Verdana" w:cs="Tahoma"/>
          <w:sz w:val="20"/>
          <w:szCs w:val="20"/>
          <w:lang w:val="es-ES"/>
        </w:rPr>
        <w:t>,</w:t>
      </w:r>
      <w:r w:rsidRPr="00BF4481">
        <w:rPr>
          <w:rFonts w:ascii="Verdana" w:hAnsi="Verdana" w:cs="Tahoma"/>
          <w:sz w:val="20"/>
          <w:szCs w:val="20"/>
          <w:lang w:val="es-ES"/>
        </w:rPr>
        <w:t xml:space="preserve"> </w:t>
      </w:r>
      <w:r w:rsidR="000C2768" w:rsidRPr="00BF4481">
        <w:rPr>
          <w:rFonts w:ascii="Verdana" w:hAnsi="Verdana" w:cs="Tahoma"/>
          <w:sz w:val="20"/>
          <w:szCs w:val="20"/>
          <w:lang w:val="es-ES"/>
        </w:rPr>
        <w:t xml:space="preserve">la aplicación del </w:t>
      </w:r>
      <w:r w:rsidRPr="00BF4481">
        <w:rPr>
          <w:rFonts w:ascii="Verdana" w:hAnsi="Verdana" w:cs="Tahoma"/>
          <w:sz w:val="20"/>
          <w:szCs w:val="20"/>
          <w:lang w:val="es-ES"/>
        </w:rPr>
        <w:t xml:space="preserve">principio </w:t>
      </w:r>
      <w:r w:rsidRPr="00BF4481">
        <w:rPr>
          <w:rFonts w:ascii="Verdana" w:hAnsi="Verdana" w:cs="Tahoma"/>
          <w:i/>
          <w:sz w:val="20"/>
          <w:szCs w:val="20"/>
          <w:lang w:val="es-ES"/>
        </w:rPr>
        <w:t xml:space="preserve">pro </w:t>
      </w:r>
      <w:proofErr w:type="spellStart"/>
      <w:r w:rsidRPr="00BF4481">
        <w:rPr>
          <w:rFonts w:ascii="Verdana" w:hAnsi="Verdana" w:cs="Tahoma"/>
          <w:i/>
          <w:sz w:val="20"/>
          <w:szCs w:val="20"/>
          <w:lang w:val="es-ES"/>
        </w:rPr>
        <w:t>personae</w:t>
      </w:r>
      <w:proofErr w:type="spellEnd"/>
      <w:r w:rsidRPr="00BF4481">
        <w:rPr>
          <w:rFonts w:ascii="Verdana" w:hAnsi="Verdana" w:cs="Tahoma"/>
          <w:i/>
          <w:sz w:val="20"/>
          <w:szCs w:val="20"/>
          <w:lang w:val="es-ES"/>
        </w:rPr>
        <w:t xml:space="preserve"> </w:t>
      </w:r>
      <w:r w:rsidRPr="00BF4481">
        <w:rPr>
          <w:rFonts w:ascii="Verdana" w:hAnsi="Verdana" w:cs="Tahoma"/>
          <w:sz w:val="20"/>
          <w:szCs w:val="20"/>
          <w:lang w:val="es-ES"/>
        </w:rPr>
        <w:t>en la interpreta</w:t>
      </w:r>
      <w:r w:rsidR="000C2768" w:rsidRPr="00BF4481">
        <w:rPr>
          <w:rFonts w:ascii="Verdana" w:hAnsi="Verdana" w:cs="Tahoma"/>
          <w:sz w:val="20"/>
          <w:szCs w:val="20"/>
          <w:lang w:val="es-ES"/>
        </w:rPr>
        <w:t xml:space="preserve">ción del artículo 13 de la Convención </w:t>
      </w:r>
      <w:r w:rsidRPr="00BF4481">
        <w:rPr>
          <w:rFonts w:ascii="Verdana" w:hAnsi="Verdana" w:cs="Tahoma"/>
          <w:sz w:val="20"/>
          <w:szCs w:val="20"/>
          <w:lang w:val="es-ES"/>
        </w:rPr>
        <w:t>apunta precisamente a evitar que la libe</w:t>
      </w:r>
      <w:r w:rsidR="000C2768" w:rsidRPr="00BF4481">
        <w:rPr>
          <w:rFonts w:ascii="Verdana" w:hAnsi="Verdana" w:cs="Tahoma"/>
          <w:sz w:val="20"/>
          <w:szCs w:val="20"/>
          <w:lang w:val="es-ES"/>
        </w:rPr>
        <w:t xml:space="preserve">rtad de pensamiento y expresión, </w:t>
      </w:r>
      <w:r w:rsidRPr="00BF4481">
        <w:rPr>
          <w:rFonts w:ascii="Verdana" w:hAnsi="Verdana" w:cs="Tahoma"/>
          <w:sz w:val="20"/>
          <w:szCs w:val="20"/>
          <w:lang w:val="es-ES"/>
        </w:rPr>
        <w:t>consagrada en dicha disposición</w:t>
      </w:r>
      <w:r w:rsidR="000C2768" w:rsidRPr="00BF4481">
        <w:rPr>
          <w:rFonts w:ascii="Verdana" w:hAnsi="Verdana" w:cs="Tahoma"/>
          <w:sz w:val="20"/>
          <w:szCs w:val="20"/>
          <w:lang w:val="es-ES"/>
        </w:rPr>
        <w:t>,</w:t>
      </w:r>
      <w:r w:rsidRPr="00BF4481">
        <w:rPr>
          <w:rFonts w:ascii="Verdana" w:hAnsi="Verdana" w:cs="Tahoma"/>
          <w:sz w:val="20"/>
          <w:szCs w:val="20"/>
          <w:lang w:val="es-ES"/>
        </w:rPr>
        <w:t xml:space="preserve"> fuese ilusa u objeto de un resquicio normativo para dejarla sin contenido o </w:t>
      </w:r>
      <w:r w:rsidRPr="00BF4481">
        <w:rPr>
          <w:rFonts w:ascii="Verdana" w:hAnsi="Verdana" w:cs="Tahoma"/>
          <w:i/>
          <w:sz w:val="20"/>
          <w:szCs w:val="20"/>
          <w:lang w:val="es-ES"/>
        </w:rPr>
        <w:t>efecto útil</w:t>
      </w:r>
      <w:r w:rsidRPr="00BF4481">
        <w:rPr>
          <w:rFonts w:ascii="Verdana" w:hAnsi="Verdana" w:cs="Tahoma"/>
          <w:sz w:val="20"/>
          <w:szCs w:val="20"/>
          <w:lang w:val="es-ES"/>
        </w:rPr>
        <w:t>.</w:t>
      </w:r>
    </w:p>
    <w:p w:rsidR="00DB3E04" w:rsidRPr="00BF4481" w:rsidRDefault="00DB3E04" w:rsidP="002A1C24">
      <w:pPr>
        <w:widowControl w:val="0"/>
        <w:tabs>
          <w:tab w:val="left" w:pos="567"/>
        </w:tabs>
        <w:adjustRightInd w:val="0"/>
        <w:spacing w:after="0" w:line="240" w:lineRule="auto"/>
        <w:jc w:val="both"/>
        <w:textAlignment w:val="baseline"/>
        <w:rPr>
          <w:rFonts w:ascii="Verdana" w:eastAsia="Times New Roman" w:hAnsi="Verdana"/>
          <w:sz w:val="20"/>
          <w:szCs w:val="20"/>
          <w:lang w:val="es-ES" w:eastAsia="es-CR"/>
        </w:rPr>
      </w:pPr>
    </w:p>
    <w:p w:rsidR="00683061" w:rsidRPr="00BF4481" w:rsidRDefault="00F56761" w:rsidP="002A1C24">
      <w:pPr>
        <w:widowControl w:val="0"/>
        <w:numPr>
          <w:ilvl w:val="0"/>
          <w:numId w:val="14"/>
        </w:numPr>
        <w:tabs>
          <w:tab w:val="left" w:pos="567"/>
        </w:tabs>
        <w:adjustRightInd w:val="0"/>
        <w:spacing w:after="0" w:line="240" w:lineRule="auto"/>
        <w:ind w:left="0" w:firstLine="0"/>
        <w:jc w:val="both"/>
        <w:textAlignment w:val="baseline"/>
        <w:rPr>
          <w:rFonts w:ascii="Verdana" w:hAnsi="Verdana"/>
          <w:sz w:val="20"/>
          <w:szCs w:val="20"/>
        </w:rPr>
      </w:pPr>
      <w:r w:rsidRPr="00BF4481">
        <w:rPr>
          <w:rFonts w:ascii="Verdana" w:hAnsi="Verdana"/>
          <w:sz w:val="20"/>
          <w:szCs w:val="20"/>
          <w:lang w:val="es-ES"/>
        </w:rPr>
        <w:t>Es</w:t>
      </w:r>
      <w:r w:rsidR="000C2768" w:rsidRPr="00BF4481">
        <w:rPr>
          <w:rFonts w:ascii="Verdana" w:hAnsi="Verdana"/>
          <w:sz w:val="20"/>
          <w:szCs w:val="20"/>
          <w:lang w:val="es-ES"/>
        </w:rPr>
        <w:t>, entonces,</w:t>
      </w:r>
      <w:r w:rsidRPr="00BF4481">
        <w:rPr>
          <w:rFonts w:ascii="Verdana" w:hAnsi="Verdana"/>
          <w:sz w:val="20"/>
          <w:szCs w:val="20"/>
          <w:lang w:val="es-ES"/>
        </w:rPr>
        <w:t xml:space="preserve"> en</w:t>
      </w:r>
      <w:r w:rsidR="008E3F16" w:rsidRPr="00BF4481">
        <w:rPr>
          <w:rFonts w:ascii="Verdana" w:hAnsi="Verdana"/>
          <w:sz w:val="20"/>
          <w:szCs w:val="20"/>
          <w:lang w:val="es-ES"/>
        </w:rPr>
        <w:t xml:space="preserve"> el ma</w:t>
      </w:r>
      <w:r w:rsidRPr="00BF4481">
        <w:rPr>
          <w:rFonts w:ascii="Verdana" w:hAnsi="Verdana"/>
          <w:sz w:val="20"/>
          <w:szCs w:val="20"/>
          <w:lang w:val="es-ES"/>
        </w:rPr>
        <w:t>rco general indicado</w:t>
      </w:r>
      <w:r w:rsidR="001457D5" w:rsidRPr="00BF4481">
        <w:rPr>
          <w:rFonts w:ascii="Verdana" w:hAnsi="Verdana"/>
          <w:sz w:val="20"/>
          <w:szCs w:val="20"/>
          <w:lang w:val="es-ES"/>
        </w:rPr>
        <w:t>,</w:t>
      </w:r>
      <w:r w:rsidRPr="00BF4481">
        <w:rPr>
          <w:rFonts w:ascii="Verdana" w:hAnsi="Verdana"/>
          <w:sz w:val="20"/>
          <w:szCs w:val="20"/>
          <w:lang w:val="es-ES"/>
        </w:rPr>
        <w:t xml:space="preserve"> que </w:t>
      </w:r>
      <w:r w:rsidR="008E3F16" w:rsidRPr="00BF4481">
        <w:rPr>
          <w:rFonts w:ascii="Verdana" w:hAnsi="Verdana"/>
          <w:sz w:val="20"/>
          <w:szCs w:val="20"/>
          <w:lang w:val="es-ES"/>
        </w:rPr>
        <w:t xml:space="preserve">la alusión que </w:t>
      </w:r>
      <w:r w:rsidRPr="00BF4481">
        <w:rPr>
          <w:rFonts w:ascii="Verdana" w:hAnsi="Verdana"/>
          <w:sz w:val="20"/>
          <w:szCs w:val="20"/>
          <w:lang w:val="es-ES"/>
        </w:rPr>
        <w:t xml:space="preserve">la Carta Democrática Interamericana </w:t>
      </w:r>
      <w:r w:rsidR="008E3F16" w:rsidRPr="00BF4481">
        <w:rPr>
          <w:rFonts w:ascii="Verdana" w:hAnsi="Verdana"/>
          <w:sz w:val="20"/>
          <w:szCs w:val="20"/>
          <w:lang w:val="es-ES"/>
        </w:rPr>
        <w:t>hace a la libertad de pensamiento y de expresión</w:t>
      </w:r>
      <w:r w:rsidRPr="00BF4481">
        <w:rPr>
          <w:rFonts w:ascii="Verdana" w:hAnsi="Verdana"/>
          <w:sz w:val="20"/>
          <w:szCs w:val="20"/>
          <w:lang w:val="es-ES"/>
        </w:rPr>
        <w:t xml:space="preserve"> adquiere especial significación</w:t>
      </w:r>
      <w:r w:rsidR="0082698D" w:rsidRPr="00BF4481">
        <w:rPr>
          <w:rStyle w:val="FootnoteReference"/>
          <w:rFonts w:ascii="Verdana" w:hAnsi="Verdana"/>
          <w:sz w:val="20"/>
          <w:szCs w:val="20"/>
          <w:lang w:val="es-ES"/>
        </w:rPr>
        <w:footnoteReference w:id="35"/>
      </w:r>
      <w:r w:rsidR="00E3504D" w:rsidRPr="00BF4481">
        <w:rPr>
          <w:rFonts w:ascii="Verdana" w:hAnsi="Verdana"/>
          <w:sz w:val="20"/>
          <w:szCs w:val="20"/>
          <w:lang w:val="es-ES"/>
        </w:rPr>
        <w:t>.</w:t>
      </w:r>
      <w:r w:rsidR="00D13CBF" w:rsidRPr="00BF4481">
        <w:rPr>
          <w:rFonts w:ascii="Verdana" w:hAnsi="Verdana"/>
          <w:sz w:val="20"/>
          <w:szCs w:val="20"/>
          <w:lang w:val="es-ES"/>
        </w:rPr>
        <w:t xml:space="preserve"> Y es que ésta </w:t>
      </w:r>
      <w:r w:rsidR="008E3F16" w:rsidRPr="00BF4481">
        <w:rPr>
          <w:rFonts w:ascii="Verdana" w:hAnsi="Verdana"/>
          <w:sz w:val="20"/>
          <w:szCs w:val="20"/>
          <w:lang w:val="es-ES"/>
        </w:rPr>
        <w:t>aborda a dicha libertad cuatro veces, dos indirectas y una directa. La primera indirecta se encuentra en su artículo 3, que señala que uno de los elementos esenciales de la democracia es “</w:t>
      </w:r>
      <w:r w:rsidR="008E3F16" w:rsidRPr="00BF4481">
        <w:rPr>
          <w:rFonts w:ascii="Verdana" w:hAnsi="Verdana"/>
          <w:i/>
          <w:sz w:val="20"/>
          <w:szCs w:val="20"/>
          <w:lang w:val="es-ES"/>
        </w:rPr>
        <w:t xml:space="preserve">el respeto </w:t>
      </w:r>
      <w:r w:rsidR="004E6A57" w:rsidRPr="00BF4481">
        <w:rPr>
          <w:rFonts w:ascii="Verdana" w:hAnsi="Verdana"/>
          <w:i/>
          <w:sz w:val="20"/>
          <w:szCs w:val="20"/>
          <w:lang w:val="es-ES"/>
        </w:rPr>
        <w:t xml:space="preserve">a </w:t>
      </w:r>
      <w:r w:rsidR="008E3F16" w:rsidRPr="00BF4481">
        <w:rPr>
          <w:rFonts w:ascii="Verdana" w:hAnsi="Verdana"/>
          <w:i/>
          <w:sz w:val="20"/>
          <w:szCs w:val="20"/>
          <w:lang w:val="es-ES"/>
        </w:rPr>
        <w:t>los derechos humanos y libertades fundamentales</w:t>
      </w:r>
      <w:r w:rsidR="008E3F16" w:rsidRPr="00BF4481">
        <w:rPr>
          <w:rFonts w:ascii="Verdana" w:hAnsi="Verdana"/>
          <w:sz w:val="20"/>
          <w:szCs w:val="20"/>
          <w:lang w:val="es-ES"/>
        </w:rPr>
        <w:t>”</w:t>
      </w:r>
      <w:r w:rsidR="008E3F16" w:rsidRPr="00BF4481">
        <w:rPr>
          <w:rStyle w:val="FootnoteReference"/>
          <w:rFonts w:ascii="Verdana" w:hAnsi="Verdana"/>
          <w:sz w:val="20"/>
          <w:szCs w:val="20"/>
          <w:lang w:val="es-ES"/>
        </w:rPr>
        <w:footnoteReference w:id="36"/>
      </w:r>
      <w:r w:rsidR="008E3F16" w:rsidRPr="00BF4481">
        <w:rPr>
          <w:rFonts w:ascii="Verdana" w:hAnsi="Verdana"/>
          <w:sz w:val="20"/>
          <w:szCs w:val="20"/>
          <w:lang w:val="es-ES"/>
        </w:rPr>
        <w:t>. La segunda se halla en su artículo 7, que dispone que “</w:t>
      </w:r>
      <w:r w:rsidR="004E6A57" w:rsidRPr="00BF4481">
        <w:rPr>
          <w:rFonts w:ascii="Verdana" w:hAnsi="Verdana"/>
          <w:sz w:val="20"/>
          <w:szCs w:val="20"/>
          <w:lang w:val="es-ES"/>
        </w:rPr>
        <w:t>(</w:t>
      </w:r>
      <w:r w:rsidR="008E3F16" w:rsidRPr="00BF4481">
        <w:rPr>
          <w:rFonts w:ascii="Verdana" w:hAnsi="Verdana"/>
          <w:i/>
          <w:sz w:val="20"/>
          <w:szCs w:val="20"/>
          <w:lang w:val="es-ES"/>
        </w:rPr>
        <w:t>l</w:t>
      </w:r>
      <w:proofErr w:type="gramStart"/>
      <w:r w:rsidR="004E6A57" w:rsidRPr="00BF4481">
        <w:rPr>
          <w:rFonts w:ascii="Verdana" w:hAnsi="Verdana"/>
          <w:i/>
          <w:sz w:val="20"/>
          <w:szCs w:val="20"/>
          <w:lang w:val="es-ES"/>
        </w:rPr>
        <w:t>)</w:t>
      </w:r>
      <w:r w:rsidR="008E3F16" w:rsidRPr="00BF4481">
        <w:rPr>
          <w:rFonts w:ascii="Verdana" w:eastAsia="Times New Roman" w:hAnsi="Verdana"/>
          <w:i/>
          <w:sz w:val="20"/>
          <w:szCs w:val="20"/>
          <w:lang w:eastAsia="es-CR"/>
        </w:rPr>
        <w:t>a</w:t>
      </w:r>
      <w:proofErr w:type="gramEnd"/>
      <w:r w:rsidR="008E3F16" w:rsidRPr="00BF4481">
        <w:rPr>
          <w:rFonts w:ascii="Verdana" w:eastAsia="Times New Roman" w:hAnsi="Verdana"/>
          <w:i/>
          <w:sz w:val="20"/>
          <w:szCs w:val="20"/>
          <w:lang w:eastAsia="es-CR"/>
        </w:rPr>
        <w:t xml:space="preserve"> democracia es indispensable para el ejercicio efectivo de las libertades fundamentales y los derechos humanos</w:t>
      </w:r>
      <w:r w:rsidR="008E3F16" w:rsidRPr="00BF4481">
        <w:rPr>
          <w:rFonts w:ascii="Verdana" w:eastAsia="Times New Roman" w:hAnsi="Verdana"/>
          <w:sz w:val="20"/>
          <w:szCs w:val="20"/>
          <w:lang w:eastAsia="es-CR"/>
        </w:rPr>
        <w:t>”</w:t>
      </w:r>
      <w:r w:rsidR="008E3F16" w:rsidRPr="00BF4481">
        <w:rPr>
          <w:rStyle w:val="FootnoteReference"/>
          <w:rFonts w:ascii="Verdana" w:eastAsia="Times New Roman" w:hAnsi="Verdana"/>
          <w:sz w:val="20"/>
          <w:szCs w:val="20"/>
          <w:lang w:eastAsia="es-CR"/>
        </w:rPr>
        <w:footnoteReference w:id="37"/>
      </w:r>
      <w:r w:rsidR="000E76D0" w:rsidRPr="00BF4481">
        <w:rPr>
          <w:rFonts w:ascii="Verdana" w:eastAsia="Times New Roman" w:hAnsi="Verdana"/>
          <w:sz w:val="20"/>
          <w:szCs w:val="20"/>
          <w:lang w:eastAsia="es-CR"/>
        </w:rPr>
        <w:t>.</w:t>
      </w:r>
      <w:r w:rsidR="00683061" w:rsidRPr="00BF4481">
        <w:rPr>
          <w:rFonts w:ascii="Verdana" w:hAnsi="Verdana"/>
          <w:sz w:val="20"/>
          <w:szCs w:val="20"/>
        </w:rPr>
        <w:t xml:space="preserve"> </w:t>
      </w:r>
      <w:r w:rsidR="00683061" w:rsidRPr="00BF4481">
        <w:rPr>
          <w:rFonts w:ascii="Verdana" w:hAnsi="Verdana"/>
          <w:sz w:val="20"/>
          <w:szCs w:val="20"/>
          <w:lang w:val="es-ES"/>
        </w:rPr>
        <w:t xml:space="preserve">Obviamente, dentro del </w:t>
      </w:r>
      <w:r w:rsidR="008E3F16" w:rsidRPr="00BF4481">
        <w:rPr>
          <w:rFonts w:ascii="Verdana" w:hAnsi="Verdana"/>
          <w:sz w:val="20"/>
          <w:szCs w:val="20"/>
          <w:lang w:val="es-ES"/>
        </w:rPr>
        <w:t>concepto</w:t>
      </w:r>
      <w:r w:rsidR="00683061" w:rsidRPr="00BF4481">
        <w:rPr>
          <w:rFonts w:ascii="Verdana" w:hAnsi="Verdana"/>
          <w:sz w:val="20"/>
          <w:szCs w:val="20"/>
          <w:lang w:val="es-ES"/>
        </w:rPr>
        <w:t xml:space="preserve"> de libertades fundamentales</w:t>
      </w:r>
      <w:r w:rsidR="008E3F16" w:rsidRPr="00BF4481">
        <w:rPr>
          <w:rFonts w:ascii="Verdana" w:hAnsi="Verdana"/>
          <w:sz w:val="20"/>
          <w:szCs w:val="20"/>
          <w:lang w:val="es-ES"/>
        </w:rPr>
        <w:t xml:space="preserve"> debe entenderse la libertad de pensamiento y de expresión, consa</w:t>
      </w:r>
      <w:r w:rsidR="00330DC8" w:rsidRPr="00BF4481">
        <w:rPr>
          <w:rFonts w:ascii="Verdana" w:hAnsi="Verdana"/>
          <w:sz w:val="20"/>
          <w:szCs w:val="20"/>
          <w:lang w:val="es-ES"/>
        </w:rPr>
        <w:t xml:space="preserve">grada </w:t>
      </w:r>
      <w:r w:rsidR="008E3F16" w:rsidRPr="00BF4481">
        <w:rPr>
          <w:rFonts w:ascii="Verdana" w:hAnsi="Verdana"/>
          <w:sz w:val="20"/>
          <w:szCs w:val="20"/>
          <w:lang w:val="es-ES"/>
        </w:rPr>
        <w:t>en el artículo 13. 1</w:t>
      </w:r>
      <w:r w:rsidR="001457D5" w:rsidRPr="00BF4481">
        <w:rPr>
          <w:rFonts w:ascii="Verdana" w:hAnsi="Verdana"/>
          <w:sz w:val="20"/>
          <w:szCs w:val="20"/>
          <w:lang w:val="es-ES"/>
        </w:rPr>
        <w:t>.</w:t>
      </w:r>
      <w:r w:rsidR="008E3F16" w:rsidRPr="00BF4481">
        <w:rPr>
          <w:rFonts w:ascii="Verdana" w:hAnsi="Verdana"/>
          <w:sz w:val="20"/>
          <w:szCs w:val="20"/>
          <w:lang w:val="es-ES"/>
        </w:rPr>
        <w:t xml:space="preserve"> y 3. de la Convención y en el artículo IV de </w:t>
      </w:r>
      <w:r w:rsidR="008E3F16" w:rsidRPr="00BF4481">
        <w:rPr>
          <w:rFonts w:ascii="Verdana" w:hAnsi="Verdana"/>
          <w:sz w:val="20"/>
          <w:szCs w:val="20"/>
          <w:lang w:val="es-ES"/>
        </w:rPr>
        <w:lastRenderedPageBreak/>
        <w:t xml:space="preserve">la Declaración Americana de </w:t>
      </w:r>
      <w:r w:rsidR="001457D5" w:rsidRPr="00BF4481">
        <w:rPr>
          <w:rFonts w:ascii="Verdana" w:hAnsi="Verdana"/>
          <w:sz w:val="20"/>
          <w:szCs w:val="20"/>
          <w:lang w:val="es-ES"/>
        </w:rPr>
        <w:t xml:space="preserve">los </w:t>
      </w:r>
      <w:r w:rsidR="008E3F16" w:rsidRPr="00BF4481">
        <w:rPr>
          <w:rFonts w:ascii="Verdana" w:hAnsi="Verdana"/>
          <w:sz w:val="20"/>
          <w:szCs w:val="20"/>
          <w:lang w:val="es-ES"/>
        </w:rPr>
        <w:t>Derechos y Deberes del Hombre</w:t>
      </w:r>
      <w:r w:rsidR="008E3F16" w:rsidRPr="00BF4481">
        <w:rPr>
          <w:rStyle w:val="FootnoteReference"/>
          <w:rFonts w:ascii="Verdana" w:hAnsi="Verdana"/>
          <w:sz w:val="20"/>
          <w:szCs w:val="20"/>
          <w:lang w:val="es-ES"/>
        </w:rPr>
        <w:footnoteReference w:id="38"/>
      </w:r>
      <w:r w:rsidR="000E76D0" w:rsidRPr="00BF4481">
        <w:rPr>
          <w:rFonts w:ascii="Verdana" w:hAnsi="Verdana"/>
          <w:sz w:val="20"/>
          <w:szCs w:val="20"/>
          <w:lang w:val="es-ES"/>
        </w:rPr>
        <w:t>.</w:t>
      </w:r>
    </w:p>
    <w:p w:rsidR="00683061" w:rsidRPr="00BF4481" w:rsidRDefault="00683061" w:rsidP="002A1C24">
      <w:pPr>
        <w:widowControl w:val="0"/>
        <w:tabs>
          <w:tab w:val="left" w:pos="567"/>
        </w:tabs>
        <w:adjustRightInd w:val="0"/>
        <w:spacing w:after="0" w:line="240" w:lineRule="auto"/>
        <w:jc w:val="both"/>
        <w:textAlignment w:val="baseline"/>
        <w:rPr>
          <w:rFonts w:ascii="Verdana" w:hAnsi="Verdana"/>
          <w:sz w:val="20"/>
          <w:szCs w:val="20"/>
          <w:lang w:val="es-ES"/>
        </w:rPr>
      </w:pPr>
    </w:p>
    <w:p w:rsidR="00683061" w:rsidRPr="00BF4481" w:rsidRDefault="008E3F16" w:rsidP="002A1C24">
      <w:pPr>
        <w:widowControl w:val="0"/>
        <w:numPr>
          <w:ilvl w:val="0"/>
          <w:numId w:val="14"/>
        </w:numPr>
        <w:tabs>
          <w:tab w:val="left" w:pos="567"/>
        </w:tabs>
        <w:adjustRightInd w:val="0"/>
        <w:spacing w:after="0" w:line="240" w:lineRule="auto"/>
        <w:ind w:left="0" w:firstLine="0"/>
        <w:jc w:val="both"/>
        <w:textAlignment w:val="baseline"/>
        <w:rPr>
          <w:rFonts w:ascii="Verdana" w:hAnsi="Verdana"/>
          <w:sz w:val="20"/>
          <w:szCs w:val="20"/>
        </w:rPr>
      </w:pPr>
      <w:r w:rsidRPr="00BF4481">
        <w:rPr>
          <w:rFonts w:ascii="Verdana" w:hAnsi="Verdana"/>
          <w:sz w:val="20"/>
          <w:szCs w:val="20"/>
          <w:lang w:val="es-ES"/>
        </w:rPr>
        <w:t>Por su parte, la mencionada referencia directa es el artículo 4 de la Carta Democrática</w:t>
      </w:r>
      <w:r w:rsidR="00D13CBF" w:rsidRPr="00BF4481">
        <w:rPr>
          <w:rFonts w:ascii="Verdana" w:hAnsi="Verdana"/>
          <w:sz w:val="20"/>
          <w:szCs w:val="20"/>
          <w:lang w:val="es-ES"/>
        </w:rPr>
        <w:t xml:space="preserve"> Interamericana</w:t>
      </w:r>
      <w:r w:rsidRPr="00BF4481">
        <w:rPr>
          <w:rFonts w:ascii="Verdana" w:hAnsi="Verdana"/>
          <w:sz w:val="20"/>
          <w:szCs w:val="20"/>
          <w:lang w:val="es-ES"/>
        </w:rPr>
        <w:t>, que indica que uno de los elementos fundamentales de la democracia es “</w:t>
      </w:r>
      <w:r w:rsidRPr="00BF4481">
        <w:rPr>
          <w:rFonts w:ascii="Verdana" w:hAnsi="Verdana"/>
          <w:i/>
          <w:sz w:val="20"/>
          <w:szCs w:val="20"/>
          <w:lang w:val="es-ES"/>
        </w:rPr>
        <w:t>la libertad de expresión y de prensa</w:t>
      </w:r>
      <w:r w:rsidRPr="00BF4481">
        <w:rPr>
          <w:rFonts w:ascii="Verdana" w:hAnsi="Verdana"/>
          <w:sz w:val="20"/>
          <w:szCs w:val="20"/>
          <w:lang w:val="es-ES"/>
        </w:rPr>
        <w:t>”</w:t>
      </w:r>
      <w:r w:rsidRPr="00BF4481">
        <w:rPr>
          <w:rStyle w:val="FootnoteReference"/>
          <w:rFonts w:ascii="Verdana" w:hAnsi="Verdana"/>
          <w:sz w:val="20"/>
          <w:szCs w:val="20"/>
          <w:lang w:val="es-ES"/>
        </w:rPr>
        <w:footnoteReference w:id="39"/>
      </w:r>
      <w:r w:rsidR="000E76D0" w:rsidRPr="00BF4481">
        <w:rPr>
          <w:rFonts w:ascii="Verdana" w:hAnsi="Verdana"/>
          <w:sz w:val="20"/>
          <w:szCs w:val="20"/>
          <w:lang w:val="es-ES"/>
        </w:rPr>
        <w:t>.</w:t>
      </w:r>
    </w:p>
    <w:p w:rsidR="00DB3E04" w:rsidRPr="00BF4481" w:rsidRDefault="00DB3E04" w:rsidP="002A1C24">
      <w:pPr>
        <w:widowControl w:val="0"/>
        <w:tabs>
          <w:tab w:val="left" w:pos="567"/>
        </w:tabs>
        <w:adjustRightInd w:val="0"/>
        <w:spacing w:after="0" w:line="240" w:lineRule="auto"/>
        <w:jc w:val="both"/>
        <w:textAlignment w:val="baseline"/>
        <w:rPr>
          <w:rFonts w:ascii="Verdana" w:hAnsi="Verdana"/>
          <w:sz w:val="20"/>
          <w:szCs w:val="20"/>
        </w:rPr>
      </w:pPr>
    </w:p>
    <w:p w:rsidR="008E3F16" w:rsidRPr="002A1C24" w:rsidRDefault="008E3F16" w:rsidP="002A1C24">
      <w:pPr>
        <w:widowControl w:val="0"/>
        <w:numPr>
          <w:ilvl w:val="0"/>
          <w:numId w:val="14"/>
        </w:numPr>
        <w:tabs>
          <w:tab w:val="left" w:pos="567"/>
        </w:tabs>
        <w:adjustRightInd w:val="0"/>
        <w:spacing w:after="0" w:line="240" w:lineRule="auto"/>
        <w:ind w:left="0" w:firstLine="0"/>
        <w:jc w:val="both"/>
        <w:textAlignment w:val="baseline"/>
        <w:rPr>
          <w:rFonts w:ascii="Verdana" w:hAnsi="Verdana" w:cs="Tahoma"/>
          <w:sz w:val="20"/>
          <w:szCs w:val="20"/>
        </w:rPr>
      </w:pPr>
      <w:r w:rsidRPr="002A1C24">
        <w:rPr>
          <w:rFonts w:ascii="Verdana" w:hAnsi="Verdana" w:cs="Tahoma"/>
          <w:sz w:val="20"/>
          <w:szCs w:val="20"/>
        </w:rPr>
        <w:t xml:space="preserve">Es </w:t>
      </w:r>
      <w:r w:rsidR="00683061" w:rsidRPr="002A1C24">
        <w:rPr>
          <w:rFonts w:ascii="Verdana" w:hAnsi="Verdana" w:cs="Tahoma"/>
          <w:sz w:val="20"/>
          <w:szCs w:val="20"/>
        </w:rPr>
        <w:t xml:space="preserve">por lo anterior </w:t>
      </w:r>
      <w:r w:rsidRPr="002A1C24">
        <w:rPr>
          <w:rFonts w:ascii="Verdana" w:hAnsi="Verdana" w:cs="Tahoma"/>
          <w:sz w:val="20"/>
          <w:szCs w:val="20"/>
        </w:rPr>
        <w:t>que</w:t>
      </w:r>
      <w:r w:rsidR="00683061" w:rsidRPr="002A1C24">
        <w:rPr>
          <w:rFonts w:ascii="Verdana" w:hAnsi="Verdana" w:cs="Tahoma"/>
          <w:sz w:val="20"/>
          <w:szCs w:val="20"/>
        </w:rPr>
        <w:t xml:space="preserve"> </w:t>
      </w:r>
      <w:r w:rsidRPr="002A1C24">
        <w:rPr>
          <w:rFonts w:ascii="Verdana" w:hAnsi="Verdana" w:cs="Tahoma"/>
          <w:sz w:val="20"/>
          <w:szCs w:val="20"/>
        </w:rPr>
        <w:t xml:space="preserve">la Corte ha </w:t>
      </w:r>
      <w:r w:rsidR="00330DC8" w:rsidRPr="002A1C24">
        <w:rPr>
          <w:rFonts w:ascii="Verdana" w:hAnsi="Verdana" w:cs="Tahoma"/>
          <w:sz w:val="20"/>
          <w:szCs w:val="20"/>
        </w:rPr>
        <w:t xml:space="preserve">expresado </w:t>
      </w:r>
      <w:r w:rsidRPr="002A1C24">
        <w:rPr>
          <w:rFonts w:ascii="Verdana" w:hAnsi="Verdana" w:cs="Tahoma"/>
          <w:sz w:val="20"/>
          <w:szCs w:val="20"/>
        </w:rPr>
        <w:t xml:space="preserve">que </w:t>
      </w:r>
      <w:r w:rsidRPr="00BF4481">
        <w:rPr>
          <w:rFonts w:ascii="Verdana" w:hAnsi="Verdana"/>
          <w:i/>
          <w:sz w:val="20"/>
          <w:szCs w:val="20"/>
        </w:rPr>
        <w:t>“(l</w:t>
      </w:r>
      <w:proofErr w:type="gramStart"/>
      <w:r w:rsidRPr="00BF4481">
        <w:rPr>
          <w:rFonts w:ascii="Verdana" w:hAnsi="Verdana"/>
          <w:i/>
          <w:sz w:val="20"/>
          <w:szCs w:val="20"/>
        </w:rPr>
        <w:t>)a</w:t>
      </w:r>
      <w:proofErr w:type="gramEnd"/>
      <w:r w:rsidRPr="00BF4481">
        <w:rPr>
          <w:rFonts w:ascii="Verdana" w:hAnsi="Verdana"/>
          <w:i/>
          <w:sz w:val="20"/>
          <w:szCs w:val="20"/>
        </w:rPr>
        <w:t xml:space="preserve"> libertad de expresión, como piedra angular de una sociedad democrática, es una condición esencial para que ésta esté suficientemente informada</w:t>
      </w:r>
      <w:r w:rsidR="00347ED6" w:rsidRPr="00BF4481">
        <w:rPr>
          <w:rFonts w:ascii="Verdana" w:hAnsi="Verdana"/>
          <w:i/>
          <w:sz w:val="20"/>
          <w:szCs w:val="20"/>
        </w:rPr>
        <w:t>”</w:t>
      </w:r>
      <w:r w:rsidRPr="00BF4481">
        <w:rPr>
          <w:rStyle w:val="FootnoteReference"/>
          <w:rFonts w:ascii="Verdana" w:hAnsi="Verdana"/>
          <w:i/>
          <w:sz w:val="20"/>
          <w:szCs w:val="20"/>
        </w:rPr>
        <w:footnoteReference w:id="40"/>
      </w:r>
      <w:r w:rsidR="00347ED6" w:rsidRPr="00BF4481">
        <w:rPr>
          <w:rFonts w:ascii="Verdana" w:hAnsi="Verdana"/>
          <w:sz w:val="20"/>
          <w:szCs w:val="20"/>
        </w:rPr>
        <w:t>.</w:t>
      </w:r>
      <w:r w:rsidRPr="002A1C24">
        <w:rPr>
          <w:rFonts w:ascii="Verdana" w:hAnsi="Verdana" w:cs="Tahoma"/>
          <w:sz w:val="20"/>
          <w:szCs w:val="20"/>
        </w:rPr>
        <w:t xml:space="preserve"> </w:t>
      </w:r>
      <w:r w:rsidRPr="00BF4481">
        <w:rPr>
          <w:rFonts w:ascii="Verdana" w:eastAsia="Times New Roman" w:hAnsi="Verdana"/>
          <w:sz w:val="20"/>
          <w:szCs w:val="20"/>
          <w:lang w:val="es-ES" w:eastAsia="es-CR"/>
        </w:rPr>
        <w:t xml:space="preserve">Dicha </w:t>
      </w:r>
      <w:r w:rsidR="00347ED6" w:rsidRPr="00BF4481">
        <w:rPr>
          <w:rFonts w:ascii="Verdana" w:eastAsia="Times New Roman" w:hAnsi="Verdana"/>
          <w:sz w:val="20"/>
          <w:szCs w:val="20"/>
          <w:lang w:eastAsia="es-CR"/>
        </w:rPr>
        <w:t>posición</w:t>
      </w:r>
      <w:r w:rsidR="00330DC8" w:rsidRPr="00BF4481">
        <w:rPr>
          <w:rFonts w:ascii="Verdana" w:eastAsia="Times New Roman" w:hAnsi="Verdana"/>
          <w:sz w:val="20"/>
          <w:szCs w:val="20"/>
          <w:lang w:eastAsia="es-CR"/>
        </w:rPr>
        <w:t xml:space="preserve"> fue reiterada </w:t>
      </w:r>
      <w:r w:rsidRPr="00BF4481">
        <w:rPr>
          <w:rFonts w:ascii="Verdana" w:eastAsia="Times New Roman" w:hAnsi="Verdana"/>
          <w:sz w:val="20"/>
          <w:szCs w:val="20"/>
          <w:lang w:eastAsia="es-CR"/>
        </w:rPr>
        <w:t xml:space="preserve">en términos más amplios, cuando afirmó que </w:t>
      </w:r>
      <w:r w:rsidRPr="00BF4481">
        <w:rPr>
          <w:rFonts w:ascii="Verdana" w:hAnsi="Verdana"/>
          <w:i/>
          <w:sz w:val="20"/>
          <w:szCs w:val="20"/>
        </w:rPr>
        <w:t>“(</w:t>
      </w:r>
      <w:r w:rsidRPr="00BF4481">
        <w:rPr>
          <w:rFonts w:ascii="Verdana" w:hAnsi="Verdana"/>
          <w:sz w:val="20"/>
          <w:szCs w:val="20"/>
        </w:rPr>
        <w:t>e</w:t>
      </w:r>
      <w:r w:rsidRPr="00BF4481">
        <w:rPr>
          <w:rFonts w:ascii="Verdana" w:hAnsi="Verdana"/>
          <w:i/>
          <w:sz w:val="20"/>
          <w:szCs w:val="20"/>
        </w:rPr>
        <w:t>)</w:t>
      </w:r>
      <w:proofErr w:type="spellStart"/>
      <w:r w:rsidRPr="00BF4481">
        <w:rPr>
          <w:rFonts w:ascii="Verdana" w:hAnsi="Verdana"/>
          <w:i/>
          <w:sz w:val="20"/>
          <w:szCs w:val="20"/>
        </w:rPr>
        <w:t>xiste</w:t>
      </w:r>
      <w:proofErr w:type="spellEnd"/>
      <w:r w:rsidRPr="00BF4481">
        <w:rPr>
          <w:rFonts w:ascii="Verdana" w:hAnsi="Verdana"/>
          <w:i/>
          <w:sz w:val="20"/>
          <w:szCs w:val="20"/>
        </w:rPr>
        <w:t xml:space="preserve"> entonces una coincidencia en los diferentes sistemas regionales de protección a los derechos humanos y en el universal, en cuanto al papel esencial que juega la libertad de expresión en la consolidación y dinámica de una sociedad democrática</w:t>
      </w:r>
      <w:r w:rsidRPr="00BF4481">
        <w:rPr>
          <w:rFonts w:ascii="Verdana" w:hAnsi="Verdana"/>
          <w:sz w:val="20"/>
          <w:szCs w:val="20"/>
        </w:rPr>
        <w:t>”</w:t>
      </w:r>
      <w:r w:rsidR="00CA2FB2" w:rsidRPr="00BF4481">
        <w:rPr>
          <w:rFonts w:ascii="Verdana" w:hAnsi="Verdana"/>
          <w:sz w:val="20"/>
          <w:szCs w:val="20"/>
        </w:rPr>
        <w:t>;</w:t>
      </w:r>
      <w:r w:rsidRPr="00BF4481">
        <w:rPr>
          <w:rFonts w:ascii="Verdana" w:hAnsi="Verdana"/>
          <w:sz w:val="20"/>
          <w:szCs w:val="20"/>
        </w:rPr>
        <w:t xml:space="preserve"> </w:t>
      </w:r>
      <w:proofErr w:type="spellStart"/>
      <w:r w:rsidR="00CA2FB2" w:rsidRPr="00BF4481">
        <w:rPr>
          <w:rFonts w:ascii="Verdana" w:hAnsi="Verdana"/>
          <w:sz w:val="20"/>
          <w:szCs w:val="20"/>
        </w:rPr>
        <w:t>y</w:t>
      </w:r>
      <w:r w:rsidRPr="00BF4481">
        <w:rPr>
          <w:rFonts w:ascii="Verdana" w:hAnsi="Verdana"/>
          <w:sz w:val="20"/>
          <w:szCs w:val="20"/>
        </w:rPr>
        <w:t>añadió</w:t>
      </w:r>
      <w:proofErr w:type="spellEnd"/>
      <w:r w:rsidRPr="00BF4481">
        <w:rPr>
          <w:rFonts w:ascii="Verdana" w:hAnsi="Verdana"/>
          <w:sz w:val="20"/>
          <w:szCs w:val="20"/>
        </w:rPr>
        <w:t xml:space="preserve"> que “(s)</w:t>
      </w:r>
      <w:r w:rsidRPr="00BF4481">
        <w:rPr>
          <w:rFonts w:ascii="Verdana" w:hAnsi="Verdana"/>
          <w:i/>
          <w:sz w:val="20"/>
          <w:szCs w:val="20"/>
        </w:rPr>
        <w:t>in una efectiva libertad de expresión, materializada en todos sus términos, la democracia se desvanece, el pluralismo y la tolerancia empiezan a quebrantarse, los mecanismos de control y denuncia ciudadana se empiezan a tornar inoperantes y, en definitiva, se empieza a crear el campo fértil para que sistemas autoritarios se arraiguen en la sociedad”</w:t>
      </w:r>
      <w:r w:rsidRPr="00BF4481">
        <w:rPr>
          <w:rStyle w:val="FootnoteReference"/>
          <w:rFonts w:ascii="Verdana" w:hAnsi="Verdana"/>
          <w:i/>
          <w:sz w:val="20"/>
          <w:szCs w:val="20"/>
        </w:rPr>
        <w:footnoteReference w:id="41"/>
      </w:r>
      <w:r w:rsidR="000E76D0" w:rsidRPr="00BF4481">
        <w:rPr>
          <w:rFonts w:ascii="Verdana" w:hAnsi="Verdana"/>
          <w:i/>
          <w:sz w:val="20"/>
          <w:szCs w:val="20"/>
        </w:rPr>
        <w:t>.</w:t>
      </w:r>
    </w:p>
    <w:p w:rsidR="00DB3E04" w:rsidRPr="002A1C24" w:rsidRDefault="00DB3E04" w:rsidP="002A1C24">
      <w:pPr>
        <w:widowControl w:val="0"/>
        <w:tabs>
          <w:tab w:val="left" w:pos="567"/>
        </w:tabs>
        <w:adjustRightInd w:val="0"/>
        <w:spacing w:after="0" w:line="240" w:lineRule="auto"/>
        <w:jc w:val="both"/>
        <w:textAlignment w:val="baseline"/>
        <w:rPr>
          <w:rFonts w:ascii="Verdana" w:hAnsi="Verdana" w:cs="Tahoma"/>
          <w:sz w:val="20"/>
          <w:szCs w:val="20"/>
        </w:rPr>
      </w:pPr>
    </w:p>
    <w:p w:rsidR="00F928EE" w:rsidRPr="00BF4481" w:rsidRDefault="008E3F16" w:rsidP="002A1C24">
      <w:pPr>
        <w:widowControl w:val="0"/>
        <w:numPr>
          <w:ilvl w:val="0"/>
          <w:numId w:val="14"/>
        </w:numPr>
        <w:tabs>
          <w:tab w:val="left" w:pos="567"/>
        </w:tabs>
        <w:adjustRightInd w:val="0"/>
        <w:spacing w:after="0" w:line="240" w:lineRule="auto"/>
        <w:ind w:left="0" w:firstLine="0"/>
        <w:jc w:val="both"/>
        <w:textAlignment w:val="baseline"/>
        <w:rPr>
          <w:rFonts w:ascii="Verdana" w:hAnsi="Verdana"/>
          <w:sz w:val="20"/>
          <w:szCs w:val="20"/>
        </w:rPr>
      </w:pPr>
      <w:r w:rsidRPr="00BF4481">
        <w:rPr>
          <w:rFonts w:ascii="Verdana" w:hAnsi="Verdana"/>
          <w:sz w:val="20"/>
          <w:szCs w:val="20"/>
          <w:lang w:val="es-ES"/>
        </w:rPr>
        <w:t>Las citadas referencias importan, por tanto, que si se viola el derecho a la libertad de expresión y de prensa, consecuentemente también se trasgrede el derecho del correspondiente pueblo a la democracia</w:t>
      </w:r>
      <w:r w:rsidR="00683061" w:rsidRPr="00BF4481">
        <w:rPr>
          <w:rFonts w:ascii="Verdana" w:hAnsi="Verdana"/>
          <w:sz w:val="20"/>
          <w:szCs w:val="20"/>
          <w:lang w:val="es-ES"/>
        </w:rPr>
        <w:t xml:space="preserve">. </w:t>
      </w:r>
      <w:r w:rsidR="00683061" w:rsidRPr="002A1C24">
        <w:rPr>
          <w:rFonts w:ascii="Verdana" w:hAnsi="Verdana" w:cs="Tahoma"/>
          <w:sz w:val="20"/>
          <w:szCs w:val="20"/>
        </w:rPr>
        <w:t>En definitiva, la íntima relación entre derechos humanos y democracia representativa se manifiesta en que el pleno respeto de aquellos conlleva el efectivo ejercicio de ésta y en que este último garantiza que tenga lugar aquél.</w:t>
      </w:r>
    </w:p>
    <w:p w:rsidR="008E3F16" w:rsidRPr="00BF4481" w:rsidRDefault="008E3F16" w:rsidP="001C72CE">
      <w:pPr>
        <w:spacing w:after="120"/>
        <w:jc w:val="both"/>
        <w:rPr>
          <w:rFonts w:ascii="Verdana" w:eastAsia="Times New Roman" w:hAnsi="Verdana"/>
          <w:sz w:val="20"/>
          <w:szCs w:val="20"/>
          <w:lang w:val="es-ES" w:eastAsia="es-CR"/>
        </w:rPr>
      </w:pPr>
    </w:p>
    <w:p w:rsidR="008E3F16" w:rsidRPr="00BF4481" w:rsidRDefault="008E3F16" w:rsidP="001C72CE">
      <w:pPr>
        <w:spacing w:after="0"/>
        <w:jc w:val="right"/>
        <w:rPr>
          <w:rFonts w:ascii="Verdana" w:eastAsia="Times New Roman" w:hAnsi="Verdana"/>
          <w:sz w:val="20"/>
          <w:szCs w:val="20"/>
          <w:lang w:eastAsia="es-CR"/>
        </w:rPr>
      </w:pPr>
      <w:r w:rsidRPr="00BF4481">
        <w:rPr>
          <w:rFonts w:ascii="Verdana" w:eastAsia="Times New Roman" w:hAnsi="Verdana"/>
          <w:sz w:val="20"/>
          <w:szCs w:val="20"/>
          <w:lang w:eastAsia="es-CR"/>
        </w:rPr>
        <w:t>Eduardo Vio Grossi</w:t>
      </w:r>
    </w:p>
    <w:p w:rsidR="008E3F16" w:rsidRPr="00BF4481" w:rsidRDefault="008E3F16" w:rsidP="002A1C24">
      <w:pPr>
        <w:spacing w:after="0"/>
        <w:ind w:left="7080" w:firstLine="708"/>
        <w:jc w:val="center"/>
        <w:rPr>
          <w:rFonts w:ascii="Verdana" w:eastAsia="Times New Roman" w:hAnsi="Verdana"/>
          <w:sz w:val="20"/>
          <w:szCs w:val="20"/>
          <w:lang w:eastAsia="es-CR"/>
        </w:rPr>
      </w:pPr>
      <w:r w:rsidRPr="00BF4481">
        <w:rPr>
          <w:rFonts w:ascii="Verdana" w:eastAsia="Times New Roman" w:hAnsi="Verdana"/>
          <w:sz w:val="20"/>
          <w:szCs w:val="20"/>
          <w:lang w:eastAsia="es-CR"/>
        </w:rPr>
        <w:t>Juez</w:t>
      </w:r>
    </w:p>
    <w:p w:rsidR="00136FBD" w:rsidRPr="00BF4481" w:rsidRDefault="00136FBD" w:rsidP="00136FBD">
      <w:pPr>
        <w:pStyle w:val="ListParagraph"/>
        <w:ind w:left="0"/>
        <w:rPr>
          <w:rFonts w:ascii="Verdana" w:hAnsi="Verdana" w:cs="Verdana"/>
          <w:sz w:val="20"/>
          <w:szCs w:val="20"/>
          <w:lang w:val="es-MX" w:eastAsia="es-MX"/>
        </w:rPr>
      </w:pPr>
    </w:p>
    <w:p w:rsidR="00136FBD" w:rsidRPr="00BF4481" w:rsidRDefault="00136FBD" w:rsidP="00136FBD">
      <w:pPr>
        <w:pStyle w:val="ListParagraph"/>
        <w:ind w:left="0"/>
        <w:rPr>
          <w:rFonts w:ascii="Verdana" w:hAnsi="Verdana" w:cs="Verdana"/>
          <w:sz w:val="20"/>
          <w:szCs w:val="20"/>
          <w:lang w:val="es-MX" w:eastAsia="es-MX"/>
        </w:rPr>
      </w:pPr>
      <w:r w:rsidRPr="00BF4481">
        <w:rPr>
          <w:rFonts w:ascii="Verdana" w:hAnsi="Verdana" w:cs="Verdana"/>
          <w:sz w:val="20"/>
          <w:szCs w:val="20"/>
          <w:lang w:val="es-MX" w:eastAsia="es-MX"/>
        </w:rPr>
        <w:t>Pablo Saavedra Alessandri</w:t>
      </w:r>
    </w:p>
    <w:p w:rsidR="00136FBD" w:rsidRPr="00BF4481" w:rsidRDefault="00136FBD" w:rsidP="00136FBD">
      <w:pPr>
        <w:pStyle w:val="ListParagraph"/>
        <w:ind w:left="0" w:firstLine="720"/>
        <w:rPr>
          <w:rFonts w:ascii="Verdana" w:hAnsi="Verdana" w:cs="Verdana"/>
          <w:sz w:val="20"/>
          <w:szCs w:val="20"/>
          <w:lang w:val="es-MX" w:eastAsia="es-MX"/>
        </w:rPr>
      </w:pPr>
      <w:r w:rsidRPr="00BF4481">
        <w:rPr>
          <w:rFonts w:ascii="Verdana" w:hAnsi="Verdana" w:cs="Verdana"/>
          <w:sz w:val="20"/>
          <w:szCs w:val="20"/>
          <w:lang w:val="es-MX" w:eastAsia="es-MX"/>
        </w:rPr>
        <w:t>Secretario</w:t>
      </w:r>
    </w:p>
    <w:sectPr w:rsidR="00136FBD" w:rsidRPr="00BF4481" w:rsidSect="00142477">
      <w:headerReference w:type="default" r:id="rId9"/>
      <w:footerReference w:type="defaul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21A" w:rsidRDefault="00DC221A" w:rsidP="008E3F16">
      <w:pPr>
        <w:spacing w:after="0" w:line="240" w:lineRule="auto"/>
      </w:pPr>
      <w:r>
        <w:separator/>
      </w:r>
    </w:p>
  </w:endnote>
  <w:endnote w:type="continuationSeparator" w:id="0">
    <w:p w:rsidR="00DC221A" w:rsidRDefault="00DC221A" w:rsidP="008E3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C24" w:rsidRDefault="002A1C24" w:rsidP="00142477">
    <w:pPr>
      <w:pStyle w:val="Footer"/>
    </w:pPr>
  </w:p>
  <w:p w:rsidR="002A1C24" w:rsidRDefault="002A1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21A" w:rsidRDefault="00DC221A" w:rsidP="008E3F16">
      <w:pPr>
        <w:spacing w:after="0" w:line="240" w:lineRule="auto"/>
      </w:pPr>
      <w:r>
        <w:separator/>
      </w:r>
    </w:p>
  </w:footnote>
  <w:footnote w:type="continuationSeparator" w:id="0">
    <w:p w:rsidR="00DC221A" w:rsidRDefault="00DC221A" w:rsidP="008E3F16">
      <w:pPr>
        <w:spacing w:after="0" w:line="240" w:lineRule="auto"/>
      </w:pPr>
      <w:r>
        <w:continuationSeparator/>
      </w:r>
    </w:p>
  </w:footnote>
  <w:footnote w:id="1">
    <w:p w:rsidR="002A1C24" w:rsidRPr="00FB700F" w:rsidRDefault="002A1C24" w:rsidP="0011249B">
      <w:pPr>
        <w:pStyle w:val="NormalWeb"/>
        <w:spacing w:before="0" w:beforeAutospacing="0" w:after="0" w:afterAutospacing="0"/>
        <w:jc w:val="both"/>
        <w:rPr>
          <w:rFonts w:ascii="Verdana" w:hAnsi="Verdana" w:cs="Calibri"/>
          <w:sz w:val="16"/>
          <w:szCs w:val="16"/>
        </w:rPr>
      </w:pPr>
      <w:r w:rsidRPr="00FB700F">
        <w:rPr>
          <w:rStyle w:val="FootnoteReference"/>
          <w:rFonts w:ascii="Verdana" w:hAnsi="Verdana"/>
          <w:sz w:val="16"/>
          <w:szCs w:val="16"/>
        </w:rPr>
        <w:footnoteRef/>
      </w:r>
      <w:r w:rsidRPr="00FB700F">
        <w:rPr>
          <w:rFonts w:ascii="Verdana" w:hAnsi="Verdana"/>
          <w:sz w:val="16"/>
          <w:szCs w:val="16"/>
        </w:rPr>
        <w:t xml:space="preserve"> Art. 66.2 de la Convención Americana sobre Derechos Humanos: “</w:t>
      </w:r>
      <w:r w:rsidRPr="002A1C24">
        <w:rPr>
          <w:rFonts w:ascii="Verdana" w:hAnsi="Verdana" w:cs="Tahoma"/>
          <w:i/>
          <w:sz w:val="16"/>
          <w:szCs w:val="16"/>
        </w:rPr>
        <w:t>Si el fallo no expresare en todo o en parte la opinión unánime de los jueces, cualquiera de éstos tendrá derecho a que se agregue al fallo su opinión disidente o individual</w:t>
      </w:r>
      <w:r w:rsidRPr="002A1C24">
        <w:rPr>
          <w:rFonts w:ascii="Verdana" w:hAnsi="Verdana" w:cs="Tahoma"/>
          <w:sz w:val="16"/>
          <w:szCs w:val="16"/>
        </w:rPr>
        <w:t>”</w:t>
      </w:r>
      <w:r w:rsidRPr="00FB700F">
        <w:rPr>
          <w:rFonts w:ascii="Verdana" w:hAnsi="Verdana" w:cs="Tahoma"/>
          <w:sz w:val="16"/>
          <w:szCs w:val="16"/>
        </w:rPr>
        <w:t>;</w:t>
      </w:r>
      <w:r w:rsidRPr="00FB700F">
        <w:rPr>
          <w:rFonts w:ascii="Verdana" w:hAnsi="Verdana" w:cs="Calibri"/>
          <w:sz w:val="16"/>
          <w:szCs w:val="16"/>
        </w:rPr>
        <w:t xml:space="preserve"> </w:t>
      </w:r>
    </w:p>
    <w:p w:rsidR="002A1C24" w:rsidRPr="00FB700F" w:rsidRDefault="002A1C24" w:rsidP="0011249B">
      <w:pPr>
        <w:pStyle w:val="NormalWeb"/>
        <w:spacing w:before="0" w:beforeAutospacing="0" w:after="0" w:afterAutospacing="0"/>
        <w:jc w:val="both"/>
        <w:rPr>
          <w:rFonts w:ascii="Verdana" w:hAnsi="Verdana" w:cs="Calibri"/>
          <w:i/>
          <w:sz w:val="16"/>
          <w:szCs w:val="16"/>
        </w:rPr>
      </w:pPr>
      <w:r w:rsidRPr="00FB700F">
        <w:rPr>
          <w:rFonts w:ascii="Verdana" w:hAnsi="Verdana" w:cs="Calibri"/>
          <w:sz w:val="16"/>
          <w:szCs w:val="16"/>
        </w:rPr>
        <w:t>Art. 24.3 del Estatuto de la Corte: “</w:t>
      </w:r>
      <w:r w:rsidRPr="00FB700F">
        <w:rPr>
          <w:rFonts w:ascii="Verdana" w:hAnsi="Verdana" w:cs="Calibri"/>
          <w:i/>
          <w:sz w:val="16"/>
          <w:szCs w:val="16"/>
        </w:rPr>
        <w:t>Las decisiones, juicios y opiniones de la Corte se comunicarán en sesiones públicas y se notificarán por escrito a las partes. Además, se publicarán conjuntamente con los votos y opiniones separados de los jueces y con cualesquiera otros datos o antecedentes que la Corte considere conveniente”, y</w:t>
      </w:r>
    </w:p>
    <w:p w:rsidR="002A1C24" w:rsidRPr="00FB700F" w:rsidRDefault="002A1C24" w:rsidP="00C13E53">
      <w:pPr>
        <w:pStyle w:val="FootnoteText"/>
        <w:spacing w:after="120" w:line="240" w:lineRule="auto"/>
        <w:jc w:val="both"/>
        <w:rPr>
          <w:rFonts w:ascii="Verdana" w:hAnsi="Verdana" w:cs="Calibri"/>
          <w:sz w:val="16"/>
          <w:szCs w:val="16"/>
        </w:rPr>
      </w:pPr>
      <w:r w:rsidRPr="00FB700F">
        <w:rPr>
          <w:rFonts w:ascii="Verdana" w:hAnsi="Verdana" w:cs="Calibri"/>
          <w:sz w:val="16"/>
          <w:szCs w:val="16"/>
        </w:rPr>
        <w:t xml:space="preserve">Art. 65.2 del Reglamento de la Corte: </w:t>
      </w:r>
      <w:r w:rsidRPr="00FB700F">
        <w:rPr>
          <w:rFonts w:ascii="Verdana" w:hAnsi="Verdana" w:cs="Calibri"/>
          <w:i/>
          <w:sz w:val="16"/>
          <w:szCs w:val="16"/>
        </w:rPr>
        <w:t xml:space="preserve">“Todo Juez que haya participado en el examen de un caso tiene derecho a unir a la sentencia su voto concurrente o disidente que deberá ser razonado. Estos votos deberán ser </w:t>
      </w:r>
      <w:r w:rsidRPr="00FB700F">
        <w:rPr>
          <w:rFonts w:ascii="Verdana" w:eastAsia="Batang" w:hAnsi="Verdana" w:cs="Calibri"/>
          <w:i/>
          <w:sz w:val="16"/>
          <w:szCs w:val="16"/>
          <w:lang w:val="es-CR" w:eastAsia="es-MX"/>
        </w:rPr>
        <w:t>presentados</w:t>
      </w:r>
      <w:r w:rsidRPr="00FB700F">
        <w:rPr>
          <w:rFonts w:ascii="Verdana" w:hAnsi="Verdana" w:cs="Calibri"/>
          <w:i/>
          <w:sz w:val="16"/>
          <w:szCs w:val="16"/>
        </w:rPr>
        <w:t xml:space="preserve"> dentro del plazo fijado por la Presidencia, de modo que puedan ser conocidos por los Jueces antes de la notificación de la sentencia. Dichos votos sólo podrán referirse a lo tratado en las sentencias”.</w:t>
      </w:r>
    </w:p>
  </w:footnote>
  <w:footnote w:id="2">
    <w:p w:rsidR="002A1C24" w:rsidRPr="00FB700F" w:rsidRDefault="002A1C24" w:rsidP="00E37358">
      <w:pPr>
        <w:pStyle w:val="FootnoteText"/>
        <w:spacing w:after="120" w:line="240" w:lineRule="auto"/>
        <w:jc w:val="both"/>
        <w:rPr>
          <w:rFonts w:ascii="Verdana" w:hAnsi="Verdana"/>
          <w:sz w:val="16"/>
          <w:szCs w:val="16"/>
        </w:rPr>
      </w:pPr>
      <w:r w:rsidRPr="00FB700F">
        <w:rPr>
          <w:rStyle w:val="FootnoteReference"/>
          <w:rFonts w:ascii="Verdana" w:hAnsi="Verdana"/>
          <w:sz w:val="16"/>
          <w:szCs w:val="16"/>
        </w:rPr>
        <w:footnoteRef/>
      </w:r>
      <w:r w:rsidRPr="00FB700F">
        <w:rPr>
          <w:rFonts w:ascii="Verdana" w:hAnsi="Verdana"/>
          <w:sz w:val="16"/>
          <w:szCs w:val="16"/>
        </w:rPr>
        <w:t xml:space="preserve"> En adelante la Sentencia.</w:t>
      </w:r>
    </w:p>
  </w:footnote>
  <w:footnote w:id="3">
    <w:p w:rsidR="002A1C24" w:rsidRPr="00FB700F" w:rsidRDefault="002A1C24" w:rsidP="00E37358">
      <w:pPr>
        <w:pStyle w:val="FootnoteText"/>
        <w:spacing w:after="120" w:line="240" w:lineRule="auto"/>
        <w:rPr>
          <w:rFonts w:ascii="Verdana" w:hAnsi="Verdana"/>
          <w:sz w:val="16"/>
          <w:szCs w:val="16"/>
          <w:lang w:val="es-ES"/>
        </w:rPr>
      </w:pPr>
      <w:r w:rsidRPr="00FB700F">
        <w:rPr>
          <w:rStyle w:val="FootnoteReference"/>
          <w:rFonts w:ascii="Verdana" w:hAnsi="Verdana"/>
          <w:sz w:val="16"/>
          <w:szCs w:val="16"/>
        </w:rPr>
        <w:footnoteRef/>
      </w:r>
      <w:r w:rsidRPr="00FB700F">
        <w:rPr>
          <w:rFonts w:ascii="Verdana" w:hAnsi="Verdana"/>
          <w:sz w:val="16"/>
          <w:szCs w:val="16"/>
        </w:rPr>
        <w:t xml:space="preserve"> </w:t>
      </w:r>
      <w:proofErr w:type="spellStart"/>
      <w:r w:rsidRPr="00FB700F">
        <w:rPr>
          <w:rFonts w:ascii="Verdana" w:hAnsi="Verdana"/>
          <w:sz w:val="16"/>
          <w:szCs w:val="16"/>
        </w:rPr>
        <w:t>Párrs</w:t>
      </w:r>
      <w:proofErr w:type="spellEnd"/>
      <w:r w:rsidRPr="00FB700F">
        <w:rPr>
          <w:rFonts w:ascii="Verdana" w:hAnsi="Verdana"/>
          <w:sz w:val="16"/>
          <w:szCs w:val="16"/>
        </w:rPr>
        <w:t>. 53, 54 y 140 de la Sentencia.</w:t>
      </w:r>
    </w:p>
  </w:footnote>
  <w:footnote w:id="4">
    <w:p w:rsidR="002A1C24" w:rsidRPr="00FB700F" w:rsidRDefault="002A1C24" w:rsidP="00C13E53">
      <w:pPr>
        <w:pStyle w:val="FootnoteText"/>
        <w:spacing w:after="120" w:line="240" w:lineRule="auto"/>
        <w:jc w:val="both"/>
        <w:rPr>
          <w:rFonts w:ascii="Verdana" w:hAnsi="Verdana"/>
          <w:sz w:val="16"/>
          <w:szCs w:val="16"/>
          <w:lang w:val="es-ES"/>
        </w:rPr>
      </w:pPr>
      <w:r w:rsidRPr="00FB700F">
        <w:rPr>
          <w:rStyle w:val="FootnoteReference"/>
          <w:rFonts w:ascii="Verdana" w:hAnsi="Verdana"/>
          <w:sz w:val="16"/>
          <w:szCs w:val="16"/>
        </w:rPr>
        <w:footnoteRef/>
      </w:r>
      <w:r w:rsidRPr="00FB700F">
        <w:rPr>
          <w:rFonts w:ascii="Verdana" w:hAnsi="Verdana"/>
          <w:sz w:val="16"/>
          <w:szCs w:val="16"/>
        </w:rPr>
        <w:t xml:space="preserve"> </w:t>
      </w:r>
      <w:r w:rsidRPr="00FB700F">
        <w:rPr>
          <w:rFonts w:ascii="Verdana" w:hAnsi="Verdana"/>
          <w:sz w:val="16"/>
          <w:szCs w:val="16"/>
          <w:lang w:val="es-ES"/>
        </w:rPr>
        <w:t>Otra clase de resoluciones de organizaciones internacionales comprende  aquellas vinculantes para los Estados miembros de las mismas por así expresamente disponerlo, los pertinentes tratados constitutivos de aquellas. En tal caso, la fuente del derecho son los referidos tratados. Cabe añadir que todas las resoluciones de organizaciones internacionales son obviamente obligatorias para los órganos de las mismas.</w:t>
      </w:r>
    </w:p>
  </w:footnote>
  <w:footnote w:id="5">
    <w:p w:rsidR="002A1C24" w:rsidRPr="00FB700F" w:rsidRDefault="002A1C24" w:rsidP="00446140">
      <w:pPr>
        <w:pStyle w:val="FootnoteText"/>
        <w:spacing w:after="120" w:line="240" w:lineRule="auto"/>
        <w:jc w:val="both"/>
        <w:rPr>
          <w:rFonts w:ascii="Verdana" w:hAnsi="Verdana"/>
          <w:sz w:val="16"/>
          <w:szCs w:val="16"/>
          <w:lang w:val="es-ES"/>
        </w:rPr>
      </w:pPr>
      <w:r w:rsidRPr="00FB700F">
        <w:rPr>
          <w:rStyle w:val="FootnoteReference"/>
          <w:rFonts w:ascii="Verdana" w:hAnsi="Verdana"/>
          <w:sz w:val="16"/>
          <w:szCs w:val="16"/>
        </w:rPr>
        <w:footnoteRef/>
      </w:r>
      <w:r w:rsidRPr="00FB700F">
        <w:rPr>
          <w:rFonts w:ascii="Verdana" w:hAnsi="Verdana"/>
          <w:sz w:val="16"/>
          <w:szCs w:val="16"/>
        </w:rPr>
        <w:t xml:space="preserve"> Vigésimo Octavo Período Extraordinario de Sesiones, </w:t>
      </w:r>
      <w:r w:rsidRPr="00FB700F">
        <w:rPr>
          <w:rFonts w:ascii="Verdana" w:hAnsi="Verdana"/>
          <w:sz w:val="16"/>
          <w:szCs w:val="16"/>
          <w:lang w:val="es-ES"/>
        </w:rPr>
        <w:t>realizado en Lima, Perú, el 11 de septiembre de 2001.</w:t>
      </w:r>
    </w:p>
  </w:footnote>
  <w:footnote w:id="6">
    <w:p w:rsidR="002A1C24" w:rsidRPr="00FB700F" w:rsidRDefault="002A1C24" w:rsidP="00E37358">
      <w:pPr>
        <w:pStyle w:val="FootnoteText"/>
        <w:spacing w:after="120" w:line="240" w:lineRule="auto"/>
        <w:jc w:val="both"/>
        <w:rPr>
          <w:rFonts w:ascii="Verdana" w:hAnsi="Verdana"/>
          <w:sz w:val="16"/>
          <w:szCs w:val="16"/>
          <w:lang w:val="es-ES"/>
        </w:rPr>
      </w:pPr>
      <w:r w:rsidRPr="00FB700F">
        <w:rPr>
          <w:rStyle w:val="FootnoteReference"/>
          <w:rFonts w:ascii="Verdana" w:hAnsi="Verdana"/>
          <w:sz w:val="16"/>
          <w:szCs w:val="16"/>
        </w:rPr>
        <w:footnoteRef/>
      </w:r>
      <w:r w:rsidRPr="00FB700F">
        <w:rPr>
          <w:rFonts w:ascii="Verdana" w:hAnsi="Verdana"/>
          <w:sz w:val="16"/>
          <w:szCs w:val="16"/>
        </w:rPr>
        <w:t xml:space="preserve"> </w:t>
      </w:r>
      <w:r w:rsidRPr="00FB700F">
        <w:rPr>
          <w:rFonts w:ascii="Verdana" w:hAnsi="Verdana"/>
          <w:sz w:val="16"/>
          <w:szCs w:val="16"/>
          <w:lang w:val="es-ES"/>
        </w:rPr>
        <w:t>En adelante OEA.</w:t>
      </w:r>
    </w:p>
  </w:footnote>
  <w:footnote w:id="7">
    <w:p w:rsidR="002A1C24" w:rsidRPr="00FB700F" w:rsidRDefault="002A1C24" w:rsidP="00982C5C">
      <w:pPr>
        <w:pStyle w:val="FootnoteText"/>
        <w:spacing w:after="120" w:line="240" w:lineRule="auto"/>
        <w:rPr>
          <w:rFonts w:ascii="Verdana" w:hAnsi="Verdana"/>
          <w:sz w:val="16"/>
          <w:szCs w:val="16"/>
        </w:rPr>
      </w:pPr>
      <w:r w:rsidRPr="00FB700F">
        <w:rPr>
          <w:rStyle w:val="FootnoteReference"/>
          <w:rFonts w:ascii="Verdana" w:hAnsi="Verdana"/>
          <w:sz w:val="16"/>
          <w:szCs w:val="16"/>
        </w:rPr>
        <w:footnoteRef/>
      </w:r>
      <w:r w:rsidRPr="00FB700F">
        <w:rPr>
          <w:rFonts w:ascii="Verdana" w:hAnsi="Verdana"/>
          <w:sz w:val="16"/>
          <w:szCs w:val="16"/>
        </w:rPr>
        <w:t xml:space="preserve"> En adelante “la Convención”.</w:t>
      </w:r>
    </w:p>
  </w:footnote>
  <w:footnote w:id="8">
    <w:p w:rsidR="002A1C24" w:rsidRPr="002A1C24" w:rsidRDefault="002A1C24" w:rsidP="00E2796C">
      <w:pPr>
        <w:pStyle w:val="NormalWeb"/>
        <w:spacing w:before="0" w:beforeAutospacing="0" w:after="0" w:afterAutospacing="0"/>
        <w:ind w:right="75"/>
        <w:jc w:val="both"/>
        <w:rPr>
          <w:rFonts w:ascii="Verdana" w:hAnsi="Verdana" w:cs="Tahoma"/>
          <w:i/>
          <w:sz w:val="16"/>
          <w:szCs w:val="16"/>
        </w:rPr>
      </w:pPr>
      <w:r w:rsidRPr="00FB700F">
        <w:rPr>
          <w:rStyle w:val="FootnoteReference"/>
          <w:rFonts w:ascii="Verdana" w:hAnsi="Verdana"/>
          <w:sz w:val="16"/>
          <w:szCs w:val="16"/>
        </w:rPr>
        <w:footnoteRef/>
      </w:r>
      <w:r w:rsidRPr="00FB700F">
        <w:rPr>
          <w:rFonts w:ascii="Verdana" w:hAnsi="Verdana"/>
          <w:sz w:val="16"/>
          <w:szCs w:val="16"/>
        </w:rPr>
        <w:t xml:space="preserve"> En adelante la Carta de la OEA. Art. 2.b): “</w:t>
      </w:r>
      <w:r w:rsidRPr="002A1C24">
        <w:rPr>
          <w:rFonts w:ascii="Verdana" w:hAnsi="Verdana" w:cs="Tahoma"/>
          <w:i/>
          <w:sz w:val="16"/>
          <w:szCs w:val="16"/>
        </w:rPr>
        <w:t>La Organización de los Estados Americanos, para realizar los principios en que se funda y cumplir sus obligaciones regionales de acuerdo con la Carta de las Naciones Unidas, establece los siguientes propósitos esenciales: b) Promover y consolidar la democracia representativa dentro del respeto al principio de no intervención</w:t>
      </w:r>
      <w:r w:rsidRPr="00FB700F">
        <w:rPr>
          <w:rFonts w:ascii="Verdana" w:hAnsi="Verdana" w:cs="Tahoma"/>
          <w:sz w:val="16"/>
          <w:szCs w:val="16"/>
        </w:rPr>
        <w:t>”</w:t>
      </w:r>
      <w:r w:rsidRPr="002A1C24">
        <w:rPr>
          <w:rFonts w:ascii="Verdana" w:hAnsi="Verdana" w:cs="Tahoma"/>
          <w:sz w:val="16"/>
          <w:szCs w:val="16"/>
        </w:rPr>
        <w:t>;</w:t>
      </w:r>
    </w:p>
    <w:p w:rsidR="002A1C24" w:rsidRPr="002A1C24" w:rsidRDefault="002A1C24" w:rsidP="00E2796C">
      <w:pPr>
        <w:pStyle w:val="NormalWeb"/>
        <w:spacing w:before="0" w:beforeAutospacing="0" w:after="0" w:afterAutospacing="0"/>
        <w:ind w:right="75"/>
        <w:jc w:val="both"/>
        <w:rPr>
          <w:rFonts w:ascii="Verdana" w:hAnsi="Verdana" w:cs="Tahoma"/>
          <w:sz w:val="16"/>
          <w:szCs w:val="16"/>
        </w:rPr>
      </w:pPr>
      <w:r w:rsidRPr="00FB700F">
        <w:rPr>
          <w:rFonts w:ascii="Verdana" w:hAnsi="Verdana"/>
          <w:sz w:val="16"/>
          <w:szCs w:val="16"/>
        </w:rPr>
        <w:t>Art. 3.d): “</w:t>
      </w:r>
      <w:r w:rsidRPr="002A1C24">
        <w:rPr>
          <w:rFonts w:ascii="Verdana" w:hAnsi="Verdana" w:cs="Tahoma"/>
          <w:i/>
          <w:sz w:val="16"/>
          <w:szCs w:val="16"/>
        </w:rPr>
        <w:t>Los Estados americanos reafirman los siguientes principios:</w:t>
      </w:r>
      <w:r w:rsidRPr="00FB700F">
        <w:rPr>
          <w:rFonts w:ascii="Verdana" w:hAnsi="Verdana" w:cs="Tahoma"/>
          <w:i/>
          <w:sz w:val="16"/>
          <w:szCs w:val="16"/>
        </w:rPr>
        <w:t xml:space="preserve"> d)</w:t>
      </w:r>
      <w:r w:rsidRPr="002A1C24">
        <w:rPr>
          <w:rFonts w:ascii="Verdana" w:hAnsi="Verdana" w:cs="Tahoma"/>
          <w:i/>
          <w:sz w:val="16"/>
          <w:szCs w:val="16"/>
        </w:rPr>
        <w:t xml:space="preserve"> La solidaridad de los Estados americanos y los altos fines que con ella se persiguen, requieren la organización política de los mismos sobre la base del ejercicio efectivo de la democracia representativa”</w:t>
      </w:r>
      <w:r w:rsidRPr="00FB700F">
        <w:rPr>
          <w:rFonts w:ascii="Verdana" w:hAnsi="Verdana" w:cs="Tahoma"/>
          <w:i/>
          <w:sz w:val="16"/>
          <w:szCs w:val="16"/>
        </w:rPr>
        <w:t>,</w:t>
      </w:r>
      <w:r w:rsidRPr="002A1C24">
        <w:rPr>
          <w:rFonts w:ascii="Verdana" w:hAnsi="Verdana" w:cs="Tahoma"/>
          <w:i/>
          <w:sz w:val="16"/>
          <w:szCs w:val="16"/>
        </w:rPr>
        <w:t xml:space="preserve"> y </w:t>
      </w:r>
      <w:r w:rsidRPr="00FB700F">
        <w:rPr>
          <w:rFonts w:ascii="Verdana" w:hAnsi="Verdana" w:cs="Tahoma"/>
          <w:i/>
          <w:sz w:val="16"/>
          <w:szCs w:val="16"/>
        </w:rPr>
        <w:t>l</w:t>
      </w:r>
      <w:r w:rsidRPr="002A1C24">
        <w:rPr>
          <w:rFonts w:ascii="Verdana" w:hAnsi="Verdana" w:cs="Tahoma"/>
          <w:i/>
          <w:sz w:val="16"/>
          <w:szCs w:val="16"/>
        </w:rPr>
        <w:t>) Los Estados americanos proclaman los derechos fundamentales de la persona humana sin hacer distinción de raza, nacionalidad, credo o sexo”</w:t>
      </w:r>
      <w:r w:rsidRPr="002A1C24">
        <w:rPr>
          <w:rFonts w:ascii="Verdana" w:hAnsi="Verdana" w:cs="Tahoma"/>
          <w:sz w:val="16"/>
          <w:szCs w:val="16"/>
        </w:rPr>
        <w:t>; y</w:t>
      </w:r>
    </w:p>
    <w:p w:rsidR="002A1C24" w:rsidRPr="002A1C24" w:rsidRDefault="002A1C24" w:rsidP="00E2796C">
      <w:pPr>
        <w:pStyle w:val="NormalWeb"/>
        <w:spacing w:before="0" w:beforeAutospacing="0" w:after="0" w:afterAutospacing="0"/>
        <w:ind w:right="75"/>
        <w:jc w:val="both"/>
        <w:rPr>
          <w:rFonts w:ascii="Verdana" w:hAnsi="Verdana" w:cs="Tahoma"/>
          <w:i/>
          <w:sz w:val="16"/>
          <w:szCs w:val="16"/>
        </w:rPr>
      </w:pPr>
      <w:r w:rsidRPr="00FB700F">
        <w:rPr>
          <w:rFonts w:ascii="Verdana" w:hAnsi="Verdana"/>
          <w:sz w:val="16"/>
          <w:szCs w:val="16"/>
        </w:rPr>
        <w:t>Art.9:</w:t>
      </w:r>
      <w:r w:rsidRPr="002A1C24">
        <w:rPr>
          <w:rFonts w:ascii="Verdana" w:hAnsi="Verdana" w:cs="Tahoma"/>
          <w:i/>
          <w:sz w:val="16"/>
          <w:szCs w:val="16"/>
        </w:rPr>
        <w:t xml:space="preserve"> “Un miembro de la Organización cuyo gobierno democráticamente constituido sea derrocado por la fuerza podrá ser suspendido del ejercicio del derecho de participación en las sesiones de la Asamblea General, de la Reunión de Consulta, de los Consejos de la Organización y de las Conferencias Especializadas, así como de las comisiones, grupos de trabajo y demás cuerpos que se hayan creado. </w:t>
      </w:r>
    </w:p>
    <w:p w:rsidR="002A1C24" w:rsidRPr="002A1C24" w:rsidRDefault="002A1C24" w:rsidP="00E2796C">
      <w:pPr>
        <w:pStyle w:val="NormalWeb"/>
        <w:spacing w:before="0" w:beforeAutospacing="0" w:after="0" w:afterAutospacing="0"/>
        <w:ind w:right="75"/>
        <w:jc w:val="both"/>
        <w:rPr>
          <w:rFonts w:ascii="Verdana" w:hAnsi="Verdana" w:cs="Tahoma"/>
          <w:i/>
          <w:sz w:val="16"/>
          <w:szCs w:val="16"/>
        </w:rPr>
      </w:pPr>
      <w:r w:rsidRPr="002A1C24">
        <w:rPr>
          <w:rFonts w:ascii="Verdana" w:hAnsi="Verdana" w:cs="Tahoma"/>
          <w:i/>
          <w:sz w:val="16"/>
          <w:szCs w:val="16"/>
        </w:rPr>
        <w:t>a)</w:t>
      </w:r>
      <w:r w:rsidRPr="00FB700F">
        <w:rPr>
          <w:rFonts w:ascii="Verdana" w:hAnsi="Verdana" w:cs="Tahoma"/>
          <w:i/>
          <w:color w:val="000000"/>
          <w:sz w:val="16"/>
          <w:szCs w:val="16"/>
        </w:rPr>
        <w:t>  </w:t>
      </w:r>
      <w:r w:rsidRPr="002A1C24">
        <w:rPr>
          <w:rFonts w:ascii="Verdana" w:hAnsi="Verdana" w:cs="Tahoma"/>
          <w:i/>
          <w:sz w:val="16"/>
          <w:szCs w:val="16"/>
        </w:rPr>
        <w:t xml:space="preserve">La facultad de suspensión solamente será ejercida cuando hayan sido infructuosas las gestiones diplomáticas que la Organización hubiera emprendido con el objeto de propiciar el restablecimiento de la democracia representativa en el Estado miembro afectado. </w:t>
      </w:r>
    </w:p>
    <w:p w:rsidR="002A1C24" w:rsidRPr="002A1C24" w:rsidRDefault="002A1C24" w:rsidP="00E2796C">
      <w:pPr>
        <w:pStyle w:val="NormalWeb"/>
        <w:spacing w:before="0" w:beforeAutospacing="0" w:after="0" w:afterAutospacing="0"/>
        <w:ind w:right="75"/>
        <w:jc w:val="both"/>
        <w:rPr>
          <w:rFonts w:ascii="Verdana" w:hAnsi="Verdana" w:cs="Tahoma"/>
          <w:i/>
          <w:sz w:val="16"/>
          <w:szCs w:val="16"/>
        </w:rPr>
      </w:pPr>
      <w:r w:rsidRPr="002A1C24">
        <w:rPr>
          <w:rFonts w:ascii="Verdana" w:hAnsi="Verdana" w:cs="Tahoma"/>
          <w:i/>
          <w:sz w:val="16"/>
          <w:szCs w:val="16"/>
        </w:rPr>
        <w:t>b)</w:t>
      </w:r>
      <w:r w:rsidRPr="00FB700F">
        <w:rPr>
          <w:rFonts w:ascii="Verdana" w:hAnsi="Verdana" w:cs="Tahoma"/>
          <w:i/>
          <w:color w:val="000000"/>
          <w:sz w:val="16"/>
          <w:szCs w:val="16"/>
        </w:rPr>
        <w:t>  </w:t>
      </w:r>
      <w:r w:rsidRPr="002A1C24">
        <w:rPr>
          <w:rFonts w:ascii="Verdana" w:hAnsi="Verdana" w:cs="Tahoma"/>
          <w:i/>
          <w:sz w:val="16"/>
          <w:szCs w:val="16"/>
        </w:rPr>
        <w:t xml:space="preserve">La decisión sobre la suspensión deberá ser adoptada en un período extraordinario de sesiones de la Asamblea General, por el voto afirmativo de los dos tercios de los Estados miembros. </w:t>
      </w:r>
    </w:p>
    <w:p w:rsidR="002A1C24" w:rsidRPr="002A1C24" w:rsidRDefault="002A1C24" w:rsidP="00E37358">
      <w:pPr>
        <w:pStyle w:val="NormalWeb"/>
        <w:spacing w:before="0" w:beforeAutospacing="0" w:after="0" w:afterAutospacing="0"/>
        <w:ind w:right="75"/>
        <w:jc w:val="both"/>
        <w:rPr>
          <w:rFonts w:ascii="Verdana" w:hAnsi="Verdana" w:cs="Tahoma"/>
          <w:i/>
          <w:sz w:val="16"/>
          <w:szCs w:val="16"/>
        </w:rPr>
      </w:pPr>
      <w:r w:rsidRPr="002A1C24">
        <w:rPr>
          <w:rFonts w:ascii="Verdana" w:hAnsi="Verdana" w:cs="Tahoma"/>
          <w:i/>
          <w:sz w:val="16"/>
          <w:szCs w:val="16"/>
        </w:rPr>
        <w:t>c)</w:t>
      </w:r>
      <w:r w:rsidRPr="00FB700F">
        <w:rPr>
          <w:rFonts w:ascii="Verdana" w:hAnsi="Verdana" w:cs="Tahoma"/>
          <w:i/>
          <w:color w:val="000000"/>
          <w:sz w:val="16"/>
          <w:szCs w:val="16"/>
        </w:rPr>
        <w:t>  </w:t>
      </w:r>
      <w:r w:rsidRPr="002A1C24">
        <w:rPr>
          <w:rFonts w:ascii="Verdana" w:hAnsi="Verdana" w:cs="Tahoma"/>
          <w:i/>
          <w:sz w:val="16"/>
          <w:szCs w:val="16"/>
        </w:rPr>
        <w:t>La suspensión entrará en vigor inmediatamente después de su aprobación por la Asamblea General.</w:t>
      </w:r>
    </w:p>
    <w:p w:rsidR="002A1C24" w:rsidRPr="002A1C24" w:rsidRDefault="002A1C24" w:rsidP="00036162">
      <w:pPr>
        <w:pStyle w:val="NormalWeb"/>
        <w:spacing w:before="0" w:beforeAutospacing="0" w:after="0" w:afterAutospacing="0"/>
        <w:jc w:val="both"/>
        <w:rPr>
          <w:rFonts w:ascii="Verdana" w:hAnsi="Verdana" w:cs="Tahoma"/>
          <w:i/>
          <w:sz w:val="16"/>
          <w:szCs w:val="16"/>
        </w:rPr>
      </w:pPr>
      <w:r w:rsidRPr="002A1C24">
        <w:rPr>
          <w:rFonts w:ascii="Verdana" w:hAnsi="Verdana" w:cs="Tahoma"/>
          <w:i/>
          <w:sz w:val="16"/>
          <w:szCs w:val="16"/>
        </w:rPr>
        <w:t>d)</w:t>
      </w:r>
      <w:r w:rsidRPr="00FB700F">
        <w:rPr>
          <w:rFonts w:ascii="Verdana" w:hAnsi="Verdana" w:cs="Tahoma"/>
          <w:i/>
          <w:color w:val="000000"/>
          <w:sz w:val="16"/>
          <w:szCs w:val="16"/>
        </w:rPr>
        <w:t>  </w:t>
      </w:r>
      <w:r w:rsidRPr="002A1C24">
        <w:rPr>
          <w:rFonts w:ascii="Verdana" w:hAnsi="Verdana" w:cs="Tahoma"/>
          <w:i/>
          <w:sz w:val="16"/>
          <w:szCs w:val="16"/>
        </w:rPr>
        <w:t>La Organización procurará, no obstante la medida de suspensión, emprender nuevas gestiones diplomáticas tendientes a coadyuvar al restablecimiento de la democracia representativa en el Estado miembro afectado.</w:t>
      </w:r>
    </w:p>
    <w:p w:rsidR="002A1C24" w:rsidRPr="002A1C24" w:rsidRDefault="002A1C24" w:rsidP="00036162">
      <w:pPr>
        <w:pStyle w:val="NormalWeb"/>
        <w:spacing w:before="0" w:beforeAutospacing="0" w:after="0" w:afterAutospacing="0"/>
        <w:jc w:val="both"/>
        <w:rPr>
          <w:rFonts w:ascii="Verdana" w:hAnsi="Verdana" w:cs="Tahoma"/>
          <w:i/>
          <w:sz w:val="16"/>
          <w:szCs w:val="16"/>
        </w:rPr>
      </w:pPr>
      <w:r w:rsidRPr="002A1C24">
        <w:rPr>
          <w:rFonts w:ascii="Verdana" w:hAnsi="Verdana" w:cs="Tahoma"/>
          <w:i/>
          <w:sz w:val="16"/>
          <w:szCs w:val="16"/>
        </w:rPr>
        <w:t>e)  El miembro que hubiere sido objeto de suspensión deberá continuar observando el cumplimiento de sus obligaciones con la Organización.</w:t>
      </w:r>
    </w:p>
    <w:p w:rsidR="002A1C24" w:rsidRPr="002A1C24" w:rsidRDefault="002A1C24" w:rsidP="00036162">
      <w:pPr>
        <w:pStyle w:val="NormalWeb"/>
        <w:spacing w:before="0" w:beforeAutospacing="0" w:after="0" w:afterAutospacing="0"/>
        <w:jc w:val="both"/>
        <w:rPr>
          <w:rFonts w:ascii="Verdana" w:hAnsi="Verdana" w:cs="Tahoma"/>
          <w:i/>
          <w:sz w:val="16"/>
          <w:szCs w:val="16"/>
        </w:rPr>
      </w:pPr>
      <w:r w:rsidRPr="002A1C24">
        <w:rPr>
          <w:rFonts w:ascii="Verdana" w:hAnsi="Verdana" w:cs="Tahoma"/>
          <w:i/>
          <w:sz w:val="16"/>
          <w:szCs w:val="16"/>
        </w:rPr>
        <w:t>f)</w:t>
      </w:r>
      <w:r w:rsidRPr="00FB700F">
        <w:rPr>
          <w:rFonts w:ascii="Verdana" w:hAnsi="Verdana" w:cs="Tahoma"/>
          <w:i/>
          <w:color w:val="000000"/>
          <w:sz w:val="16"/>
          <w:szCs w:val="16"/>
        </w:rPr>
        <w:t>  </w:t>
      </w:r>
      <w:r w:rsidRPr="002A1C24">
        <w:rPr>
          <w:rFonts w:ascii="Verdana" w:hAnsi="Verdana" w:cs="Tahoma"/>
          <w:i/>
          <w:sz w:val="16"/>
          <w:szCs w:val="16"/>
        </w:rPr>
        <w:t>La Asamblea General podrá levantar la suspensión por decisión adoptada con la aprobación de dos tercios de los Estados miembros.</w:t>
      </w:r>
    </w:p>
    <w:p w:rsidR="002A1C24" w:rsidRPr="002A1C24" w:rsidRDefault="002A1C24" w:rsidP="00E37358">
      <w:pPr>
        <w:pStyle w:val="NormalWeb"/>
        <w:spacing w:before="0" w:beforeAutospacing="0" w:after="120" w:afterAutospacing="0"/>
        <w:jc w:val="both"/>
        <w:rPr>
          <w:rFonts w:ascii="Verdana" w:hAnsi="Verdana" w:cs="Tahoma"/>
          <w:i/>
          <w:sz w:val="16"/>
          <w:szCs w:val="16"/>
        </w:rPr>
      </w:pPr>
      <w:r w:rsidRPr="002A1C24">
        <w:rPr>
          <w:rFonts w:ascii="Verdana" w:hAnsi="Verdana" w:cs="Tahoma"/>
          <w:i/>
          <w:sz w:val="16"/>
          <w:szCs w:val="16"/>
        </w:rPr>
        <w:t>g)  Las atribuciones a que se refiere este artículo se ejercerán de conformidad con la presente Carta.”</w:t>
      </w:r>
    </w:p>
  </w:footnote>
  <w:footnote w:id="9">
    <w:p w:rsidR="002A1C24" w:rsidRPr="00FB700F" w:rsidRDefault="002A1C24" w:rsidP="00E37358">
      <w:pPr>
        <w:pStyle w:val="NormalWeb"/>
        <w:spacing w:before="0" w:beforeAutospacing="0" w:after="0" w:afterAutospacing="0"/>
        <w:ind w:right="75"/>
        <w:jc w:val="both"/>
        <w:rPr>
          <w:rFonts w:ascii="Verdana" w:hAnsi="Verdana" w:cs="Tahoma"/>
          <w:i/>
          <w:sz w:val="16"/>
          <w:szCs w:val="16"/>
        </w:rPr>
      </w:pPr>
      <w:r w:rsidRPr="00FB700F">
        <w:rPr>
          <w:rStyle w:val="FootnoteReference"/>
          <w:rFonts w:ascii="Verdana" w:hAnsi="Verdana"/>
          <w:sz w:val="16"/>
          <w:szCs w:val="16"/>
        </w:rPr>
        <w:footnoteRef/>
      </w:r>
      <w:r w:rsidRPr="00FB700F">
        <w:rPr>
          <w:rFonts w:ascii="Verdana" w:hAnsi="Verdana"/>
          <w:sz w:val="16"/>
          <w:szCs w:val="16"/>
        </w:rPr>
        <w:t xml:space="preserve"> Considerandos 2 y 4 del Preámbulo de la Convención: “</w:t>
      </w:r>
      <w:r w:rsidRPr="00FB700F">
        <w:rPr>
          <w:rFonts w:ascii="Verdana" w:hAnsi="Verdana" w:cs="Tahoma"/>
          <w:i/>
          <w:sz w:val="16"/>
          <w:szCs w:val="16"/>
        </w:rPr>
        <w:t xml:space="preserve">Reafirmando su propósito de consolidar en este Continente, dentro del cuadro de las instituciones democráticas, un régimen de libertad personal y de justicia social, fundado en el respeto de los derechos esenciales del hombre; </w:t>
      </w:r>
    </w:p>
    <w:p w:rsidR="002A1C24" w:rsidRPr="00FB700F" w:rsidRDefault="002A1C24" w:rsidP="00E37358">
      <w:pPr>
        <w:pStyle w:val="NormalWeb"/>
        <w:spacing w:before="0" w:beforeAutospacing="0" w:after="0" w:afterAutospacing="0"/>
        <w:ind w:right="75"/>
        <w:jc w:val="both"/>
        <w:rPr>
          <w:rFonts w:ascii="Verdana" w:hAnsi="Verdana" w:cs="Tahoma"/>
          <w:sz w:val="16"/>
          <w:szCs w:val="16"/>
        </w:rPr>
      </w:pPr>
      <w:r w:rsidRPr="00FB700F">
        <w:rPr>
          <w:rFonts w:ascii="Verdana" w:hAnsi="Verdana" w:cs="Tahoma"/>
          <w:i/>
          <w:sz w:val="16"/>
          <w:szCs w:val="16"/>
        </w:rPr>
        <w:t>Considerando que estos principios han sido consagrados en la Carta de la Organización de los Estados Americanos, en la Declaración Americana de los Derechos y Deberes del Hombre y en la Declaración Universal de los Derechos Humanos que han sido reafirmados y desarrollados (…)”, y</w:t>
      </w:r>
    </w:p>
    <w:p w:rsidR="002A1C24" w:rsidRPr="002A1C24" w:rsidRDefault="002A1C24" w:rsidP="002A1C24">
      <w:pPr>
        <w:pStyle w:val="NormalWeb"/>
        <w:spacing w:before="0" w:beforeAutospacing="0" w:after="0" w:afterAutospacing="0"/>
        <w:ind w:right="75"/>
        <w:jc w:val="both"/>
        <w:rPr>
          <w:rFonts w:ascii="Verdana" w:hAnsi="Verdana"/>
          <w:i/>
          <w:sz w:val="16"/>
          <w:szCs w:val="16"/>
          <w:lang w:eastAsia="es-CL"/>
        </w:rPr>
      </w:pPr>
      <w:r w:rsidRPr="00FB700F">
        <w:rPr>
          <w:rFonts w:ascii="Verdana" w:hAnsi="Verdana"/>
          <w:sz w:val="16"/>
          <w:szCs w:val="16"/>
        </w:rPr>
        <w:t>Art.29.c): “</w:t>
      </w:r>
      <w:r w:rsidRPr="00FB700F">
        <w:rPr>
          <w:rFonts w:ascii="Verdana" w:hAnsi="Verdana" w:cs="Tahoma"/>
          <w:i/>
          <w:sz w:val="16"/>
          <w:szCs w:val="16"/>
        </w:rPr>
        <w:t>Ninguna disposición de la presente Convención puede ser interpretada en el sentido de: c) excluir otros derechos y garantías que son inherentes al ser humano o que se derivan de la forma democrática representativa de gobierno”.</w:t>
      </w:r>
    </w:p>
  </w:footnote>
  <w:footnote w:id="10">
    <w:p w:rsidR="002A1C24" w:rsidRPr="002A1C24" w:rsidRDefault="002A1C24" w:rsidP="00E37358">
      <w:pPr>
        <w:pStyle w:val="NormalWeb"/>
        <w:spacing w:before="0" w:beforeAutospacing="0" w:after="120" w:afterAutospacing="0"/>
        <w:jc w:val="both"/>
        <w:rPr>
          <w:rFonts w:ascii="Verdana" w:hAnsi="Verdana"/>
          <w:sz w:val="16"/>
          <w:szCs w:val="16"/>
        </w:rPr>
      </w:pPr>
      <w:r w:rsidRPr="00FB700F">
        <w:rPr>
          <w:rStyle w:val="FootnoteReference"/>
          <w:rFonts w:ascii="Verdana" w:hAnsi="Verdana"/>
          <w:sz w:val="16"/>
          <w:szCs w:val="16"/>
        </w:rPr>
        <w:footnoteRef/>
      </w:r>
      <w:r w:rsidRPr="00FB700F">
        <w:rPr>
          <w:rFonts w:ascii="Verdana" w:hAnsi="Verdana"/>
          <w:sz w:val="16"/>
          <w:szCs w:val="16"/>
        </w:rPr>
        <w:t xml:space="preserve"> Art. 31.3.a) de la Convención de Viena sobre el Derecho de los Tratados: “</w:t>
      </w:r>
      <w:r w:rsidRPr="002A1C24">
        <w:rPr>
          <w:rFonts w:ascii="Verdana" w:hAnsi="Verdana"/>
          <w:i/>
          <w:sz w:val="16"/>
          <w:szCs w:val="16"/>
        </w:rPr>
        <w:t>Juntamente con el contexto, habrá de tenerse en cuenta: a) todo acuerdo ulterior entre las partes acerca de la interpretación del tratado o de la aplicación de sus disposiciones</w:t>
      </w:r>
      <w:r w:rsidRPr="002A1C24">
        <w:rPr>
          <w:rFonts w:ascii="Verdana" w:hAnsi="Verdana"/>
          <w:sz w:val="16"/>
          <w:szCs w:val="16"/>
        </w:rPr>
        <w:t>”.</w:t>
      </w:r>
    </w:p>
  </w:footnote>
  <w:footnote w:id="11">
    <w:p w:rsidR="002A1C24" w:rsidRPr="002A1C24" w:rsidRDefault="002A1C24" w:rsidP="0011249B">
      <w:pPr>
        <w:pStyle w:val="NormalWeb"/>
        <w:shd w:val="clear" w:color="auto" w:fill="FFFFFF"/>
        <w:spacing w:before="0" w:beforeAutospacing="0" w:after="120" w:afterAutospacing="0"/>
        <w:jc w:val="both"/>
        <w:rPr>
          <w:rFonts w:ascii="Verdana" w:hAnsi="Verdana" w:cs="Arial"/>
          <w:i/>
          <w:sz w:val="16"/>
          <w:szCs w:val="16"/>
        </w:rPr>
      </w:pPr>
      <w:r w:rsidRPr="00FB700F">
        <w:rPr>
          <w:rStyle w:val="FootnoteReference"/>
          <w:rFonts w:ascii="Verdana" w:hAnsi="Verdana"/>
          <w:sz w:val="16"/>
          <w:szCs w:val="16"/>
        </w:rPr>
        <w:footnoteRef/>
      </w:r>
      <w:r w:rsidRPr="00FB700F">
        <w:rPr>
          <w:rFonts w:ascii="Verdana" w:hAnsi="Verdana"/>
          <w:sz w:val="16"/>
          <w:szCs w:val="16"/>
        </w:rPr>
        <w:t xml:space="preserve"> Art. 38.1.d) del Estatuto de la Corte Internacional de Justicia: </w:t>
      </w:r>
      <w:r w:rsidRPr="00FB700F">
        <w:rPr>
          <w:rFonts w:ascii="Verdana" w:hAnsi="Verdana"/>
          <w:i/>
          <w:sz w:val="16"/>
          <w:szCs w:val="16"/>
        </w:rPr>
        <w:t>“</w:t>
      </w:r>
      <w:r w:rsidRPr="002A1C24">
        <w:rPr>
          <w:rFonts w:ascii="Verdana" w:hAnsi="Verdana" w:cs="Arial"/>
          <w:i/>
          <w:sz w:val="16"/>
          <w:szCs w:val="16"/>
        </w:rPr>
        <w:t>1. La Corte, cuya función es decidir conforme al derecho internacional las controversias que le sean sometidas, deberá aplicar: d</w:t>
      </w:r>
      <w:r w:rsidRPr="00FB700F">
        <w:rPr>
          <w:rFonts w:ascii="Verdana" w:hAnsi="Verdana" w:cs="Arial"/>
          <w:i/>
          <w:sz w:val="16"/>
          <w:szCs w:val="16"/>
        </w:rPr>
        <w:t>)</w:t>
      </w:r>
      <w:r w:rsidRPr="002A1C24">
        <w:rPr>
          <w:rFonts w:ascii="Verdana" w:hAnsi="Verdana" w:cs="Arial"/>
          <w:i/>
          <w:sz w:val="16"/>
          <w:szCs w:val="16"/>
        </w:rPr>
        <w:t xml:space="preserve"> las decisiones judiciales y las doctrinas de los publicistas de mayor competencia de las distintas naciones, como medio auxiliar para la determinación de las reglas de derecho, sin perjuicio de lo dispuesto en el Artículo 59</w:t>
      </w:r>
      <w:r w:rsidRPr="002A1C24">
        <w:rPr>
          <w:rFonts w:ascii="Verdana" w:hAnsi="Verdana" w:cs="Arial"/>
          <w:sz w:val="16"/>
          <w:szCs w:val="16"/>
        </w:rPr>
        <w:t>”</w:t>
      </w:r>
      <w:r w:rsidRPr="00FB700F">
        <w:rPr>
          <w:rFonts w:ascii="Verdana" w:hAnsi="Verdana" w:cs="Arial"/>
          <w:i/>
          <w:sz w:val="16"/>
          <w:szCs w:val="16"/>
        </w:rPr>
        <w:t>.</w:t>
      </w:r>
    </w:p>
  </w:footnote>
  <w:footnote w:id="12">
    <w:p w:rsidR="002A1C24" w:rsidRPr="00FB700F" w:rsidRDefault="002A1C24" w:rsidP="003B0598">
      <w:pPr>
        <w:pStyle w:val="NormalWeb"/>
        <w:spacing w:before="0" w:beforeAutospacing="0" w:after="0" w:afterAutospacing="0"/>
        <w:jc w:val="both"/>
        <w:rPr>
          <w:rFonts w:ascii="Verdana" w:hAnsi="Verdana" w:cs="Tahoma"/>
          <w:i/>
          <w:sz w:val="16"/>
          <w:szCs w:val="16"/>
        </w:rPr>
      </w:pPr>
      <w:r w:rsidRPr="00FB700F">
        <w:rPr>
          <w:rStyle w:val="FootnoteReference"/>
          <w:rFonts w:ascii="Verdana" w:hAnsi="Verdana"/>
          <w:sz w:val="16"/>
          <w:szCs w:val="16"/>
        </w:rPr>
        <w:footnoteRef/>
      </w:r>
      <w:r w:rsidRPr="00FB700F">
        <w:rPr>
          <w:rFonts w:ascii="Verdana" w:hAnsi="Verdana"/>
          <w:sz w:val="16"/>
          <w:szCs w:val="16"/>
        </w:rPr>
        <w:t xml:space="preserve"> </w:t>
      </w:r>
      <w:r w:rsidRPr="00FB700F">
        <w:rPr>
          <w:rFonts w:ascii="Verdana" w:hAnsi="Verdana" w:cs="Tahoma"/>
          <w:i/>
          <w:sz w:val="16"/>
          <w:szCs w:val="16"/>
        </w:rPr>
        <w:t>“Cuando la Asamblea General, convocada a un período extraordinario de sesiones, constate que se ha producido la ruptura del orden democrático en un Estado Miembro y que las gestiones diplomáticas han sido infructuosas, conforme a la Carta de la OEA tomará la decisión de suspender a dicho Estado Miembro del ejercicio de su derecho de participación en la OEA con el voto afirmativo de los dos tercios de los Estados Miembros. La suspensión entrará en vigor de inmediato.</w:t>
      </w:r>
    </w:p>
    <w:p w:rsidR="002A1C24" w:rsidRPr="00FB700F" w:rsidRDefault="002A1C24" w:rsidP="003B0598">
      <w:pPr>
        <w:pStyle w:val="NormalWeb"/>
        <w:spacing w:before="0" w:beforeAutospacing="0" w:after="0" w:afterAutospacing="0"/>
        <w:jc w:val="both"/>
        <w:rPr>
          <w:rFonts w:ascii="Verdana" w:hAnsi="Verdana" w:cs="Tahoma"/>
          <w:i/>
          <w:sz w:val="16"/>
          <w:szCs w:val="16"/>
        </w:rPr>
      </w:pPr>
      <w:r w:rsidRPr="00FB700F">
        <w:rPr>
          <w:rFonts w:ascii="Verdana" w:hAnsi="Verdana" w:cs="Tahoma"/>
          <w:i/>
          <w:sz w:val="16"/>
          <w:szCs w:val="16"/>
        </w:rPr>
        <w:t>El Estado Miembro que hubiera sido objeto de suspensión deberá continuar observando el cumplimiento de sus obligaciones como miembro de la Organización, en particular en materia de derechos humanos.</w:t>
      </w:r>
    </w:p>
    <w:p w:rsidR="002A1C24" w:rsidRPr="00FB700F" w:rsidRDefault="002A1C24" w:rsidP="003B0598">
      <w:pPr>
        <w:pStyle w:val="NormalWeb"/>
        <w:spacing w:before="0" w:beforeAutospacing="0" w:after="0" w:afterAutospacing="0"/>
        <w:jc w:val="both"/>
        <w:rPr>
          <w:rFonts w:ascii="Verdana" w:hAnsi="Verdana" w:cs="Tahoma"/>
          <w:i/>
          <w:sz w:val="16"/>
          <w:szCs w:val="16"/>
        </w:rPr>
      </w:pPr>
      <w:r w:rsidRPr="00FB700F">
        <w:rPr>
          <w:rFonts w:ascii="Verdana" w:hAnsi="Verdana" w:cs="Tahoma"/>
          <w:i/>
          <w:sz w:val="16"/>
          <w:szCs w:val="16"/>
        </w:rPr>
        <w:t>Adoptada la decisión de suspender a un gobierno, la Organización mantendrá sus gestiones diplomáticas para el restablecimiento de la democracia en el Estado Miembro afectado”.</w:t>
      </w:r>
    </w:p>
    <w:p w:rsidR="002A1C24" w:rsidRPr="00FB700F" w:rsidRDefault="002A1C24" w:rsidP="002A1C24">
      <w:pPr>
        <w:pStyle w:val="NormalWeb"/>
        <w:spacing w:before="0" w:beforeAutospacing="0" w:after="0" w:afterAutospacing="0"/>
        <w:jc w:val="both"/>
        <w:rPr>
          <w:rFonts w:ascii="Verdana" w:hAnsi="Verdana"/>
          <w:sz w:val="16"/>
          <w:szCs w:val="16"/>
        </w:rPr>
      </w:pPr>
    </w:p>
  </w:footnote>
  <w:footnote w:id="13">
    <w:p w:rsidR="002A1C24" w:rsidRPr="002A1C24" w:rsidRDefault="002A1C24" w:rsidP="00AD50E8">
      <w:pPr>
        <w:pStyle w:val="NormalWeb"/>
        <w:spacing w:before="0" w:beforeAutospacing="0" w:after="120" w:afterAutospacing="0"/>
        <w:jc w:val="both"/>
        <w:rPr>
          <w:rFonts w:ascii="Verdana" w:hAnsi="Verdana" w:cs="Tahoma"/>
          <w:i/>
          <w:sz w:val="16"/>
          <w:szCs w:val="16"/>
        </w:rPr>
      </w:pPr>
      <w:r w:rsidRPr="00FB700F">
        <w:rPr>
          <w:rStyle w:val="FootnoteReference"/>
          <w:rFonts w:ascii="Verdana" w:hAnsi="Verdana"/>
          <w:i/>
          <w:sz w:val="16"/>
          <w:szCs w:val="16"/>
        </w:rPr>
        <w:footnoteRef/>
      </w:r>
      <w:r w:rsidRPr="00FB700F">
        <w:rPr>
          <w:rFonts w:ascii="Verdana" w:hAnsi="Verdana"/>
          <w:i/>
          <w:sz w:val="16"/>
          <w:szCs w:val="16"/>
        </w:rPr>
        <w:t xml:space="preserve"> </w:t>
      </w:r>
      <w:r w:rsidRPr="00FB700F">
        <w:rPr>
          <w:rFonts w:ascii="Verdana" w:hAnsi="Verdana"/>
          <w:sz w:val="16"/>
          <w:szCs w:val="16"/>
        </w:rPr>
        <w:t>Nota Nº 8</w:t>
      </w:r>
      <w:r w:rsidRPr="00FB700F">
        <w:rPr>
          <w:rFonts w:ascii="Verdana" w:hAnsi="Verdana"/>
          <w:i/>
          <w:sz w:val="16"/>
          <w:szCs w:val="16"/>
        </w:rPr>
        <w:t xml:space="preserve">. </w:t>
      </w:r>
    </w:p>
  </w:footnote>
  <w:footnote w:id="14">
    <w:p w:rsidR="002A1C24" w:rsidRPr="00FB700F" w:rsidRDefault="002A1C24" w:rsidP="00AD50E8">
      <w:pPr>
        <w:pStyle w:val="FootnoteText"/>
        <w:spacing w:after="120" w:line="240" w:lineRule="auto"/>
        <w:rPr>
          <w:rFonts w:ascii="Verdana" w:hAnsi="Verdana"/>
          <w:sz w:val="16"/>
          <w:szCs w:val="16"/>
          <w:lang w:val="es-ES"/>
        </w:rPr>
      </w:pPr>
      <w:r w:rsidRPr="00FB700F">
        <w:rPr>
          <w:rStyle w:val="FootnoteReference"/>
          <w:rFonts w:ascii="Verdana" w:hAnsi="Verdana"/>
          <w:sz w:val="16"/>
          <w:szCs w:val="16"/>
        </w:rPr>
        <w:footnoteRef/>
      </w:r>
      <w:r w:rsidRPr="00FB700F">
        <w:rPr>
          <w:rFonts w:ascii="Verdana" w:hAnsi="Verdana"/>
          <w:sz w:val="16"/>
          <w:szCs w:val="16"/>
        </w:rPr>
        <w:t xml:space="preserve"> </w:t>
      </w:r>
      <w:proofErr w:type="spellStart"/>
      <w:r w:rsidRPr="00FB700F">
        <w:rPr>
          <w:rFonts w:ascii="Verdana" w:hAnsi="Verdana"/>
          <w:sz w:val="16"/>
          <w:szCs w:val="16"/>
        </w:rPr>
        <w:t>Párrs</w:t>
      </w:r>
      <w:proofErr w:type="spellEnd"/>
      <w:r w:rsidRPr="00FB700F">
        <w:rPr>
          <w:rFonts w:ascii="Verdana" w:hAnsi="Verdana"/>
          <w:sz w:val="16"/>
          <w:szCs w:val="16"/>
        </w:rPr>
        <w:t>. 51, 52 y 60 de la Sentencia.</w:t>
      </w:r>
    </w:p>
  </w:footnote>
  <w:footnote w:id="15">
    <w:p w:rsidR="002A1C24" w:rsidRPr="00FB700F" w:rsidRDefault="002A1C24" w:rsidP="00AD50E8">
      <w:pPr>
        <w:pStyle w:val="FootnoteText"/>
        <w:spacing w:after="120"/>
        <w:rPr>
          <w:rFonts w:ascii="Verdana" w:hAnsi="Verdana"/>
          <w:sz w:val="16"/>
          <w:szCs w:val="16"/>
          <w:lang w:val="es-ES"/>
        </w:rPr>
      </w:pPr>
      <w:r w:rsidRPr="00FB700F">
        <w:rPr>
          <w:rStyle w:val="FootnoteReference"/>
          <w:rFonts w:ascii="Verdana" w:hAnsi="Verdana"/>
          <w:sz w:val="16"/>
          <w:szCs w:val="16"/>
        </w:rPr>
        <w:footnoteRef/>
      </w:r>
      <w:r w:rsidRPr="00FB700F">
        <w:rPr>
          <w:rFonts w:ascii="Verdana" w:hAnsi="Verdana"/>
          <w:sz w:val="16"/>
          <w:szCs w:val="16"/>
        </w:rPr>
        <w:t xml:space="preserve"> Párr. 53 de la Sentencia.</w:t>
      </w:r>
    </w:p>
  </w:footnote>
  <w:footnote w:id="16">
    <w:p w:rsidR="002A1C24" w:rsidRPr="002A1C24" w:rsidRDefault="002A1C24" w:rsidP="00AD50E8">
      <w:pPr>
        <w:pStyle w:val="FootnoteText"/>
        <w:spacing w:after="120" w:line="240" w:lineRule="auto"/>
        <w:jc w:val="both"/>
        <w:rPr>
          <w:rFonts w:ascii="Verdana" w:hAnsi="Verdana" w:cs="Tahoma"/>
          <w:sz w:val="16"/>
          <w:szCs w:val="16"/>
        </w:rPr>
      </w:pPr>
      <w:r w:rsidRPr="00FB700F">
        <w:rPr>
          <w:rStyle w:val="FootnoteReference"/>
          <w:rFonts w:ascii="Verdana" w:hAnsi="Verdana"/>
          <w:sz w:val="16"/>
          <w:szCs w:val="16"/>
        </w:rPr>
        <w:footnoteRef/>
      </w:r>
      <w:r w:rsidRPr="00FB700F">
        <w:rPr>
          <w:rFonts w:ascii="Verdana" w:hAnsi="Verdana"/>
          <w:sz w:val="16"/>
          <w:szCs w:val="16"/>
        </w:rPr>
        <w:t xml:space="preserve"> </w:t>
      </w:r>
      <w:r w:rsidRPr="00FB700F">
        <w:rPr>
          <w:rFonts w:ascii="Verdana" w:hAnsi="Verdana"/>
          <w:sz w:val="16"/>
          <w:szCs w:val="16"/>
          <w:lang w:val="es-ES"/>
        </w:rPr>
        <w:t>Art. 44 de la Convención: “</w:t>
      </w:r>
      <w:r w:rsidRPr="002A1C24">
        <w:rPr>
          <w:rFonts w:ascii="Verdana" w:hAnsi="Verdana" w:cs="Tahoma"/>
          <w:i/>
          <w:sz w:val="16"/>
          <w:szCs w:val="16"/>
        </w:rPr>
        <w:t>Cualquier persona o grupo de personas, o entidad no gubernamental legalmente reconocida en uno o más Estados miembros de la Organización, puede presentar a la Comisión peticiones que contengan denuncias o quejas de violación de esta Convención por un Estado parte</w:t>
      </w:r>
      <w:r w:rsidRPr="002A1C24">
        <w:rPr>
          <w:rFonts w:ascii="Verdana" w:hAnsi="Verdana" w:cs="Tahoma"/>
          <w:sz w:val="16"/>
          <w:szCs w:val="16"/>
        </w:rPr>
        <w:t>”</w:t>
      </w:r>
      <w:r w:rsidRPr="00FB700F">
        <w:rPr>
          <w:rFonts w:ascii="Verdana" w:hAnsi="Verdana" w:cs="Tahoma"/>
          <w:sz w:val="16"/>
          <w:szCs w:val="16"/>
        </w:rPr>
        <w:t>.</w:t>
      </w:r>
    </w:p>
  </w:footnote>
  <w:footnote w:id="17">
    <w:p w:rsidR="002A1C24" w:rsidRPr="002A1C24" w:rsidRDefault="002A1C24" w:rsidP="0011249B">
      <w:pPr>
        <w:spacing w:after="120" w:line="240" w:lineRule="auto"/>
        <w:rPr>
          <w:rFonts w:ascii="Verdana" w:eastAsia="Times New Roman" w:hAnsi="Verdana"/>
          <w:sz w:val="16"/>
          <w:szCs w:val="16"/>
          <w:lang w:eastAsia="es-CL"/>
        </w:rPr>
      </w:pPr>
      <w:r w:rsidRPr="00FB700F">
        <w:rPr>
          <w:rStyle w:val="FootnoteReference"/>
          <w:rFonts w:ascii="Verdana" w:hAnsi="Verdana"/>
          <w:sz w:val="16"/>
          <w:szCs w:val="16"/>
        </w:rPr>
        <w:footnoteRef/>
      </w:r>
      <w:r w:rsidRPr="00FB700F">
        <w:rPr>
          <w:rFonts w:ascii="Verdana" w:hAnsi="Verdana"/>
          <w:sz w:val="16"/>
          <w:szCs w:val="16"/>
        </w:rPr>
        <w:t xml:space="preserve"> Nota Nº 10.</w:t>
      </w:r>
    </w:p>
  </w:footnote>
  <w:footnote w:id="18">
    <w:p w:rsidR="002A1C24" w:rsidRPr="002A1C24" w:rsidRDefault="002A1C24" w:rsidP="0011249B">
      <w:pPr>
        <w:pStyle w:val="NormalWeb"/>
        <w:spacing w:before="0" w:beforeAutospacing="0" w:after="120" w:afterAutospacing="0"/>
        <w:jc w:val="both"/>
        <w:rPr>
          <w:rFonts w:ascii="Verdana" w:hAnsi="Verdana" w:cs="Tahoma"/>
          <w:sz w:val="16"/>
          <w:szCs w:val="16"/>
        </w:rPr>
      </w:pPr>
      <w:r w:rsidRPr="00FB700F">
        <w:rPr>
          <w:rStyle w:val="FootnoteReference"/>
          <w:rFonts w:ascii="Verdana" w:hAnsi="Verdana"/>
          <w:sz w:val="16"/>
          <w:szCs w:val="16"/>
        </w:rPr>
        <w:footnoteRef/>
      </w:r>
      <w:r w:rsidRPr="00FB700F">
        <w:rPr>
          <w:rFonts w:ascii="Verdana" w:hAnsi="Verdana"/>
          <w:sz w:val="16"/>
          <w:szCs w:val="16"/>
        </w:rPr>
        <w:t xml:space="preserve"> Artículo 2.b) de la Carta de la OEA: </w:t>
      </w:r>
      <w:r w:rsidRPr="00FB700F">
        <w:rPr>
          <w:rFonts w:ascii="Verdana" w:hAnsi="Verdana"/>
          <w:i/>
          <w:sz w:val="16"/>
          <w:szCs w:val="16"/>
        </w:rPr>
        <w:t>“</w:t>
      </w:r>
      <w:r w:rsidRPr="002A1C24">
        <w:rPr>
          <w:rFonts w:ascii="Verdana" w:hAnsi="Verdana" w:cs="Tahoma"/>
          <w:i/>
          <w:sz w:val="16"/>
          <w:szCs w:val="16"/>
        </w:rPr>
        <w:t>La Organización de los Estados Americanos, para realizar los principios en que se funda y cumplir sus obligaciones regionales de acuerdo con la Carta de las Naciones Unidas, establece los siguientes propósitos esenciales: b) Promover y consolidar la democracia representativa dentro del respeto al principio de no intervención</w:t>
      </w:r>
      <w:r w:rsidRPr="002A1C24">
        <w:rPr>
          <w:rFonts w:ascii="Verdana" w:hAnsi="Verdana" w:cs="Tahoma"/>
          <w:sz w:val="16"/>
          <w:szCs w:val="16"/>
        </w:rPr>
        <w:t>”</w:t>
      </w:r>
      <w:r w:rsidRPr="00FB700F">
        <w:rPr>
          <w:rFonts w:ascii="Verdana" w:hAnsi="Verdana" w:cs="Tahoma"/>
          <w:sz w:val="16"/>
          <w:szCs w:val="16"/>
        </w:rPr>
        <w:t>.</w:t>
      </w:r>
    </w:p>
  </w:footnote>
  <w:footnote w:id="19">
    <w:p w:rsidR="002A1C24" w:rsidRPr="002A1C24" w:rsidRDefault="002A1C24" w:rsidP="0011249B">
      <w:pPr>
        <w:pStyle w:val="NormalWeb"/>
        <w:spacing w:before="0" w:beforeAutospacing="0" w:after="120" w:afterAutospacing="0"/>
        <w:jc w:val="both"/>
        <w:rPr>
          <w:rFonts w:ascii="Verdana" w:hAnsi="Verdana" w:cs="Tahoma"/>
          <w:i/>
          <w:sz w:val="16"/>
          <w:szCs w:val="16"/>
        </w:rPr>
      </w:pPr>
      <w:r w:rsidRPr="00FB700F">
        <w:rPr>
          <w:rStyle w:val="FootnoteReference"/>
          <w:rFonts w:ascii="Verdana" w:hAnsi="Verdana"/>
          <w:sz w:val="16"/>
          <w:szCs w:val="16"/>
        </w:rPr>
        <w:footnoteRef/>
      </w:r>
      <w:r w:rsidRPr="00FB700F">
        <w:rPr>
          <w:rFonts w:ascii="Verdana" w:hAnsi="Verdana"/>
          <w:sz w:val="16"/>
          <w:szCs w:val="16"/>
        </w:rPr>
        <w:t xml:space="preserve"> </w:t>
      </w:r>
      <w:r w:rsidRPr="002A1C24">
        <w:rPr>
          <w:rFonts w:ascii="Verdana" w:hAnsi="Verdana" w:cs="Tahoma"/>
          <w:sz w:val="16"/>
          <w:szCs w:val="16"/>
        </w:rPr>
        <w:t>Artículo 3.d) de la Carta de la OEA</w:t>
      </w:r>
      <w:r w:rsidRPr="002A1C24">
        <w:rPr>
          <w:rFonts w:ascii="Verdana" w:hAnsi="Verdana" w:cs="Tahoma"/>
          <w:i/>
          <w:sz w:val="16"/>
          <w:szCs w:val="16"/>
        </w:rPr>
        <w:t>: “Los Estados americanos reafirman los siguientes principios: d)</w:t>
      </w:r>
      <w:r w:rsidRPr="00FB700F">
        <w:rPr>
          <w:rFonts w:ascii="Verdana" w:hAnsi="Verdana" w:cs="Tahoma"/>
          <w:i/>
          <w:sz w:val="16"/>
          <w:szCs w:val="16"/>
        </w:rPr>
        <w:t xml:space="preserve"> </w:t>
      </w:r>
      <w:r w:rsidRPr="002A1C24">
        <w:rPr>
          <w:rFonts w:ascii="Verdana" w:hAnsi="Verdana" w:cs="Tahoma"/>
          <w:i/>
          <w:sz w:val="16"/>
          <w:szCs w:val="16"/>
        </w:rPr>
        <w:t>La solidaridad de los Estados americanos y los altos fines que con ella se persiguen, requieren la organización política de los mismos sobre la base del ejercicio efectivo de la democracia representativa”</w:t>
      </w:r>
      <w:r w:rsidRPr="00FB700F">
        <w:rPr>
          <w:rFonts w:ascii="Verdana" w:hAnsi="Verdana" w:cs="Tahoma"/>
          <w:i/>
          <w:sz w:val="16"/>
          <w:szCs w:val="16"/>
        </w:rPr>
        <w:t>.</w:t>
      </w:r>
    </w:p>
  </w:footnote>
  <w:footnote w:id="20">
    <w:p w:rsidR="002A1C24" w:rsidRPr="00FB700F" w:rsidRDefault="002A1C24" w:rsidP="0011249B">
      <w:pPr>
        <w:pStyle w:val="FootnoteText"/>
        <w:spacing w:after="120" w:line="240" w:lineRule="auto"/>
        <w:jc w:val="both"/>
        <w:rPr>
          <w:rFonts w:ascii="Verdana" w:hAnsi="Verdana"/>
          <w:sz w:val="16"/>
          <w:szCs w:val="16"/>
          <w:lang w:val="es-ES"/>
        </w:rPr>
      </w:pPr>
      <w:r w:rsidRPr="00FB700F">
        <w:rPr>
          <w:rStyle w:val="FootnoteReference"/>
          <w:rFonts w:ascii="Verdana" w:hAnsi="Verdana"/>
          <w:sz w:val="16"/>
          <w:szCs w:val="16"/>
        </w:rPr>
        <w:footnoteRef/>
      </w:r>
      <w:r w:rsidRPr="00FB700F">
        <w:rPr>
          <w:rFonts w:ascii="Verdana" w:hAnsi="Verdana"/>
          <w:sz w:val="16"/>
          <w:szCs w:val="16"/>
        </w:rPr>
        <w:t xml:space="preserve"> </w:t>
      </w:r>
      <w:r w:rsidRPr="00FB700F">
        <w:rPr>
          <w:rFonts w:ascii="Verdana" w:hAnsi="Verdana"/>
          <w:sz w:val="16"/>
          <w:szCs w:val="16"/>
          <w:lang w:val="es-ES"/>
        </w:rPr>
        <w:t>Sentencia, Capítulo VI “Hechos”, A) “Contexto y antecedentes”, A.1. “Determinación del contexto de los hechos del caso”.</w:t>
      </w:r>
    </w:p>
  </w:footnote>
  <w:footnote w:id="21">
    <w:p w:rsidR="002A1C24" w:rsidRPr="00FB700F" w:rsidRDefault="002A1C24" w:rsidP="0011249B">
      <w:pPr>
        <w:spacing w:after="120" w:line="240" w:lineRule="auto"/>
        <w:jc w:val="both"/>
        <w:rPr>
          <w:rFonts w:ascii="Verdana" w:eastAsia="Times New Roman" w:hAnsi="Verdana"/>
          <w:sz w:val="16"/>
          <w:szCs w:val="16"/>
          <w:lang w:eastAsia="es-CR"/>
        </w:rPr>
      </w:pPr>
      <w:r w:rsidRPr="00FB700F">
        <w:rPr>
          <w:rStyle w:val="FootnoteReference"/>
          <w:rFonts w:ascii="Verdana" w:hAnsi="Verdana"/>
          <w:sz w:val="16"/>
          <w:szCs w:val="16"/>
        </w:rPr>
        <w:footnoteRef/>
      </w:r>
      <w:r w:rsidRPr="00FB700F">
        <w:rPr>
          <w:rFonts w:ascii="Verdana" w:eastAsia="Times New Roman" w:hAnsi="Verdana"/>
          <w:sz w:val="16"/>
          <w:szCs w:val="16"/>
          <w:lang w:eastAsia="es-CR"/>
        </w:rPr>
        <w:t xml:space="preserve"> “</w:t>
      </w:r>
      <w:r w:rsidRPr="00FB700F">
        <w:rPr>
          <w:rFonts w:ascii="Verdana" w:eastAsia="Times New Roman" w:hAnsi="Verdana"/>
          <w:i/>
          <w:sz w:val="16"/>
          <w:szCs w:val="16"/>
          <w:lang w:eastAsia="es-CR"/>
        </w:rPr>
        <w:t>Son elementos esenciales 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independencia de los poderes públicos</w:t>
      </w:r>
      <w:r w:rsidRPr="00FB700F">
        <w:rPr>
          <w:rFonts w:ascii="Verdana" w:eastAsia="Times New Roman" w:hAnsi="Verdana"/>
          <w:sz w:val="16"/>
          <w:szCs w:val="16"/>
          <w:lang w:eastAsia="es-CR"/>
        </w:rPr>
        <w:t>”.</w:t>
      </w:r>
    </w:p>
  </w:footnote>
  <w:footnote w:id="22">
    <w:p w:rsidR="002A1C24" w:rsidRPr="00FB700F" w:rsidRDefault="002A1C24" w:rsidP="00EE129D">
      <w:pPr>
        <w:pStyle w:val="FootnoteText"/>
        <w:spacing w:after="120" w:line="240" w:lineRule="auto"/>
        <w:jc w:val="both"/>
        <w:rPr>
          <w:rFonts w:ascii="Verdana" w:hAnsi="Verdana"/>
          <w:sz w:val="16"/>
          <w:szCs w:val="16"/>
          <w:lang w:val="es-CO"/>
        </w:rPr>
      </w:pPr>
      <w:r w:rsidRPr="00FB700F">
        <w:rPr>
          <w:rStyle w:val="FootnoteReference"/>
          <w:rFonts w:ascii="Verdana" w:hAnsi="Verdana"/>
          <w:sz w:val="16"/>
          <w:szCs w:val="16"/>
        </w:rPr>
        <w:footnoteRef/>
      </w:r>
      <w:r w:rsidRPr="00FB700F">
        <w:rPr>
          <w:rFonts w:ascii="Verdana" w:hAnsi="Verdana"/>
          <w:sz w:val="16"/>
          <w:szCs w:val="16"/>
          <w:lang w:val="es-CO"/>
        </w:rPr>
        <w:t xml:space="preserve"> </w:t>
      </w:r>
      <w:r w:rsidRPr="002A1C24">
        <w:rPr>
          <w:rStyle w:val="Strong"/>
          <w:rFonts w:ascii="Verdana" w:hAnsi="Verdana"/>
          <w:b w:val="0"/>
          <w:i/>
          <w:sz w:val="16"/>
          <w:szCs w:val="16"/>
          <w:shd w:val="clear" w:color="auto" w:fill="FFFFFF"/>
        </w:rPr>
        <w:t xml:space="preserve">Caso </w:t>
      </w:r>
      <w:proofErr w:type="spellStart"/>
      <w:r w:rsidRPr="002A1C24">
        <w:rPr>
          <w:rStyle w:val="Strong"/>
          <w:rFonts w:ascii="Verdana" w:hAnsi="Verdana"/>
          <w:b w:val="0"/>
          <w:i/>
          <w:sz w:val="16"/>
          <w:szCs w:val="16"/>
          <w:shd w:val="clear" w:color="auto" w:fill="FFFFFF"/>
        </w:rPr>
        <w:t>Chocrón</w:t>
      </w:r>
      <w:proofErr w:type="spellEnd"/>
      <w:r w:rsidRPr="002A1C24">
        <w:rPr>
          <w:rStyle w:val="Strong"/>
          <w:rFonts w:ascii="Verdana" w:hAnsi="Verdana"/>
          <w:b w:val="0"/>
          <w:i/>
          <w:sz w:val="16"/>
          <w:szCs w:val="16"/>
          <w:shd w:val="clear" w:color="auto" w:fill="FFFFFF"/>
        </w:rPr>
        <w:t xml:space="preserve"> </w:t>
      </w:r>
      <w:proofErr w:type="spellStart"/>
      <w:r w:rsidRPr="002A1C24">
        <w:rPr>
          <w:rStyle w:val="Strong"/>
          <w:rFonts w:ascii="Verdana" w:hAnsi="Verdana"/>
          <w:b w:val="0"/>
          <w:i/>
          <w:sz w:val="16"/>
          <w:szCs w:val="16"/>
          <w:shd w:val="clear" w:color="auto" w:fill="FFFFFF"/>
        </w:rPr>
        <w:t>Chocrón</w:t>
      </w:r>
      <w:proofErr w:type="spellEnd"/>
      <w:r w:rsidRPr="002A1C24">
        <w:rPr>
          <w:rStyle w:val="Strong"/>
          <w:rFonts w:ascii="Verdana" w:hAnsi="Verdana"/>
          <w:b w:val="0"/>
          <w:i/>
          <w:sz w:val="16"/>
          <w:szCs w:val="16"/>
          <w:shd w:val="clear" w:color="auto" w:fill="FFFFFF"/>
        </w:rPr>
        <w:t xml:space="preserve"> Vs. Venezuela. Excepción Preliminar, Fondo, Reparaciones y Costas</w:t>
      </w:r>
      <w:r w:rsidRPr="00FB700F">
        <w:rPr>
          <w:rStyle w:val="Strong"/>
          <w:rFonts w:ascii="Verdana" w:hAnsi="Verdana"/>
          <w:b w:val="0"/>
          <w:sz w:val="16"/>
          <w:szCs w:val="16"/>
          <w:shd w:val="clear" w:color="auto" w:fill="FFFFFF"/>
        </w:rPr>
        <w:t>. Sentencia de 1 de julio de 2011. Serie C No. 227,</w:t>
      </w:r>
      <w:r w:rsidRPr="00FB700F">
        <w:rPr>
          <w:rFonts w:ascii="Verdana" w:hAnsi="Verdana"/>
          <w:sz w:val="16"/>
          <w:szCs w:val="16"/>
          <w:lang w:val="es-CO"/>
        </w:rPr>
        <w:t xml:space="preserve"> párr. 110.</w:t>
      </w:r>
    </w:p>
  </w:footnote>
  <w:footnote w:id="23">
    <w:p w:rsidR="002A1C24" w:rsidRPr="00FB700F" w:rsidRDefault="002A1C24" w:rsidP="00EE129D">
      <w:pPr>
        <w:pStyle w:val="FootnoteText"/>
        <w:spacing w:after="120"/>
        <w:rPr>
          <w:rFonts w:ascii="Verdana" w:hAnsi="Verdana"/>
          <w:sz w:val="16"/>
          <w:szCs w:val="16"/>
          <w:lang w:val="es-ES"/>
        </w:rPr>
      </w:pPr>
      <w:r w:rsidRPr="00FB700F">
        <w:rPr>
          <w:rStyle w:val="FootnoteReference"/>
          <w:rFonts w:ascii="Verdana" w:hAnsi="Verdana"/>
          <w:sz w:val="16"/>
          <w:szCs w:val="16"/>
        </w:rPr>
        <w:footnoteRef/>
      </w:r>
      <w:r w:rsidRPr="00FB700F">
        <w:rPr>
          <w:rFonts w:ascii="Verdana" w:hAnsi="Verdana"/>
          <w:sz w:val="16"/>
          <w:szCs w:val="16"/>
        </w:rPr>
        <w:t xml:space="preserve"> Párr. 305 de la Sentencia.</w:t>
      </w:r>
    </w:p>
  </w:footnote>
  <w:footnote w:id="24">
    <w:p w:rsidR="002A1C24" w:rsidRPr="00FB700F" w:rsidRDefault="002A1C24" w:rsidP="00EE129D">
      <w:pPr>
        <w:pStyle w:val="FootnoteText"/>
        <w:spacing w:after="120" w:line="240" w:lineRule="auto"/>
        <w:jc w:val="both"/>
        <w:rPr>
          <w:rFonts w:ascii="Verdana" w:hAnsi="Verdana"/>
          <w:sz w:val="16"/>
          <w:szCs w:val="16"/>
          <w:lang w:val="es-ES"/>
        </w:rPr>
      </w:pPr>
      <w:r w:rsidRPr="00FB700F">
        <w:rPr>
          <w:rStyle w:val="FootnoteReference"/>
          <w:rFonts w:ascii="Verdana" w:hAnsi="Verdana"/>
          <w:sz w:val="16"/>
          <w:szCs w:val="16"/>
        </w:rPr>
        <w:footnoteRef/>
      </w:r>
      <w:r w:rsidRPr="00FB700F">
        <w:rPr>
          <w:rFonts w:ascii="Verdana" w:hAnsi="Verdana"/>
          <w:sz w:val="16"/>
          <w:szCs w:val="16"/>
        </w:rPr>
        <w:t xml:space="preserve"> </w:t>
      </w:r>
      <w:r w:rsidRPr="00FB700F">
        <w:rPr>
          <w:rFonts w:ascii="Verdana" w:hAnsi="Verdana"/>
          <w:sz w:val="16"/>
          <w:szCs w:val="16"/>
          <w:lang w:val="es-ES"/>
        </w:rPr>
        <w:t>En adelante el Estado.</w:t>
      </w:r>
    </w:p>
  </w:footnote>
  <w:footnote w:id="25">
    <w:p w:rsidR="002A1C24" w:rsidRPr="002A1C24" w:rsidRDefault="002A1C24" w:rsidP="00F928EE">
      <w:pPr>
        <w:pStyle w:val="NormalWeb"/>
        <w:spacing w:before="0" w:beforeAutospacing="0" w:after="0" w:afterAutospacing="0"/>
        <w:jc w:val="both"/>
        <w:rPr>
          <w:rFonts w:ascii="Verdana" w:hAnsi="Verdana" w:cs="Tahoma"/>
          <w:sz w:val="16"/>
          <w:szCs w:val="16"/>
        </w:rPr>
      </w:pPr>
      <w:r w:rsidRPr="00FB700F">
        <w:rPr>
          <w:rStyle w:val="FootnoteReference"/>
          <w:rFonts w:ascii="Verdana" w:hAnsi="Verdana"/>
          <w:sz w:val="16"/>
          <w:szCs w:val="16"/>
        </w:rPr>
        <w:footnoteRef/>
      </w:r>
      <w:r w:rsidRPr="00FB700F">
        <w:rPr>
          <w:rFonts w:ascii="Verdana" w:hAnsi="Verdana"/>
          <w:sz w:val="16"/>
          <w:szCs w:val="16"/>
        </w:rPr>
        <w:t xml:space="preserve"> Art. 13.3 de la </w:t>
      </w:r>
      <w:proofErr w:type="spellStart"/>
      <w:r w:rsidRPr="00FB700F">
        <w:rPr>
          <w:rFonts w:ascii="Verdana" w:hAnsi="Verdana"/>
          <w:sz w:val="16"/>
          <w:szCs w:val="16"/>
        </w:rPr>
        <w:t>Convención</w:t>
      </w:r>
      <w:r w:rsidRPr="00FB700F">
        <w:rPr>
          <w:rFonts w:ascii="Verdana" w:hAnsi="Verdana"/>
          <w:i/>
          <w:sz w:val="16"/>
          <w:szCs w:val="16"/>
        </w:rPr>
        <w:t>:”</w:t>
      </w:r>
      <w:r w:rsidRPr="002A1C24">
        <w:rPr>
          <w:rFonts w:ascii="Verdana" w:hAnsi="Verdana" w:cs="Tahoma"/>
          <w:i/>
          <w:sz w:val="16"/>
          <w:szCs w:val="16"/>
        </w:rPr>
        <w:t>No</w:t>
      </w:r>
      <w:proofErr w:type="spellEnd"/>
      <w:r w:rsidRPr="002A1C24">
        <w:rPr>
          <w:rFonts w:ascii="Verdana" w:hAnsi="Verdana" w:cs="Tahoma"/>
          <w:i/>
          <w:sz w:val="16"/>
          <w:szCs w:val="16"/>
        </w:rPr>
        <w:t xml:space="preserve">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w:t>
      </w:r>
      <w:r w:rsidRPr="00FB700F">
        <w:rPr>
          <w:rFonts w:ascii="Verdana" w:hAnsi="Verdana" w:cs="Tahoma"/>
          <w:i/>
          <w:sz w:val="16"/>
          <w:szCs w:val="16"/>
        </w:rPr>
        <w:t>.</w:t>
      </w:r>
      <w:r w:rsidRPr="002A1C24">
        <w:rPr>
          <w:rFonts w:ascii="Verdana" w:hAnsi="Verdana" w:cs="Tahoma"/>
          <w:sz w:val="16"/>
          <w:szCs w:val="16"/>
        </w:rPr>
        <w:t xml:space="preserve"> </w:t>
      </w:r>
    </w:p>
    <w:p w:rsidR="002A1C24" w:rsidRPr="00FB700F" w:rsidRDefault="002A1C24" w:rsidP="00EE129D">
      <w:pPr>
        <w:pStyle w:val="NormalWeb"/>
        <w:spacing w:before="0" w:beforeAutospacing="0" w:after="120" w:afterAutospacing="0"/>
        <w:jc w:val="both"/>
        <w:rPr>
          <w:rFonts w:ascii="Verdana" w:hAnsi="Verdana"/>
          <w:sz w:val="16"/>
          <w:szCs w:val="16"/>
        </w:rPr>
      </w:pPr>
      <w:proofErr w:type="spellStart"/>
      <w:r w:rsidRPr="002A1C24">
        <w:rPr>
          <w:rFonts w:ascii="Verdana" w:hAnsi="Verdana" w:cs="Tahoma"/>
          <w:sz w:val="16"/>
          <w:szCs w:val="16"/>
        </w:rPr>
        <w:t>Párrs</w:t>
      </w:r>
      <w:proofErr w:type="spellEnd"/>
      <w:r w:rsidRPr="002A1C24">
        <w:rPr>
          <w:rFonts w:ascii="Verdana" w:hAnsi="Verdana" w:cs="Tahoma"/>
          <w:sz w:val="16"/>
          <w:szCs w:val="16"/>
        </w:rPr>
        <w:t>. 161 a 164 de la Sentencia.</w:t>
      </w:r>
    </w:p>
  </w:footnote>
  <w:footnote w:id="26">
    <w:p w:rsidR="002A1C24" w:rsidRPr="00FB700F" w:rsidRDefault="002A1C24" w:rsidP="00EE129D">
      <w:pPr>
        <w:pStyle w:val="FootnoteText"/>
        <w:spacing w:after="120" w:line="240" w:lineRule="auto"/>
        <w:jc w:val="both"/>
        <w:rPr>
          <w:rFonts w:ascii="Verdana" w:hAnsi="Verdana"/>
          <w:sz w:val="16"/>
          <w:szCs w:val="16"/>
        </w:rPr>
      </w:pPr>
      <w:r w:rsidRPr="00FB700F">
        <w:rPr>
          <w:rStyle w:val="FootnoteReference"/>
          <w:rFonts w:ascii="Verdana" w:hAnsi="Verdana"/>
          <w:sz w:val="16"/>
          <w:szCs w:val="16"/>
        </w:rPr>
        <w:footnoteRef/>
      </w:r>
      <w:r w:rsidRPr="00FB700F">
        <w:rPr>
          <w:rFonts w:ascii="Verdana" w:hAnsi="Verdana"/>
          <w:sz w:val="16"/>
          <w:szCs w:val="16"/>
        </w:rPr>
        <w:t xml:space="preserve"> </w:t>
      </w:r>
      <w:r w:rsidRPr="00FB700F">
        <w:rPr>
          <w:rFonts w:ascii="Verdana" w:hAnsi="Verdana" w:cs="Tahoma"/>
          <w:sz w:val="16"/>
          <w:szCs w:val="16"/>
        </w:rPr>
        <w:t>“</w:t>
      </w:r>
      <w:r w:rsidRPr="00FB700F">
        <w:rPr>
          <w:rFonts w:ascii="Verdana" w:hAnsi="Verdana" w:cs="Tahoma"/>
          <w:i/>
          <w:sz w:val="16"/>
          <w:szCs w:val="16"/>
        </w:rPr>
        <w:t>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27">
    <w:p w:rsidR="002A1C24" w:rsidRPr="00FB700F" w:rsidRDefault="002A1C24" w:rsidP="00EE129D">
      <w:pPr>
        <w:pStyle w:val="FootnoteText"/>
        <w:spacing w:after="120"/>
        <w:rPr>
          <w:rFonts w:ascii="Verdana" w:hAnsi="Verdana"/>
          <w:sz w:val="16"/>
          <w:szCs w:val="16"/>
        </w:rPr>
      </w:pPr>
      <w:r w:rsidRPr="00FB700F">
        <w:rPr>
          <w:rStyle w:val="FootnoteReference"/>
          <w:rFonts w:ascii="Verdana" w:hAnsi="Verdana"/>
          <w:sz w:val="16"/>
          <w:szCs w:val="16"/>
        </w:rPr>
        <w:footnoteRef/>
      </w:r>
      <w:r w:rsidRPr="00FB700F">
        <w:rPr>
          <w:rFonts w:ascii="Verdana" w:hAnsi="Verdana"/>
          <w:sz w:val="16"/>
          <w:szCs w:val="16"/>
        </w:rPr>
        <w:t xml:space="preserve"> </w:t>
      </w:r>
      <w:proofErr w:type="spellStart"/>
      <w:r w:rsidRPr="00FB700F">
        <w:rPr>
          <w:rFonts w:ascii="Verdana" w:hAnsi="Verdana"/>
          <w:sz w:val="16"/>
          <w:szCs w:val="16"/>
        </w:rPr>
        <w:t>Párrs</w:t>
      </w:r>
      <w:proofErr w:type="spellEnd"/>
      <w:r w:rsidRPr="00FB700F">
        <w:rPr>
          <w:rFonts w:ascii="Verdana" w:hAnsi="Verdana"/>
          <w:sz w:val="16"/>
          <w:szCs w:val="16"/>
        </w:rPr>
        <w:t>. 379 a 382 de la Sentencia.</w:t>
      </w:r>
    </w:p>
  </w:footnote>
  <w:footnote w:id="28">
    <w:p w:rsidR="002A1C24" w:rsidRPr="00FB700F" w:rsidRDefault="002A1C24" w:rsidP="00EE129D">
      <w:pPr>
        <w:pStyle w:val="NormalWeb"/>
        <w:spacing w:before="0" w:beforeAutospacing="0" w:after="120" w:afterAutospacing="0"/>
        <w:jc w:val="both"/>
        <w:rPr>
          <w:rFonts w:ascii="Verdana" w:hAnsi="Verdana"/>
          <w:sz w:val="16"/>
          <w:szCs w:val="16"/>
        </w:rPr>
      </w:pPr>
      <w:r w:rsidRPr="00FB700F">
        <w:rPr>
          <w:rStyle w:val="FootnoteReference"/>
          <w:rFonts w:ascii="Verdana" w:hAnsi="Verdana"/>
          <w:sz w:val="16"/>
          <w:szCs w:val="16"/>
        </w:rPr>
        <w:footnoteRef/>
      </w:r>
      <w:r w:rsidRPr="00FB700F">
        <w:rPr>
          <w:rFonts w:ascii="Verdana" w:hAnsi="Verdana"/>
          <w:i/>
          <w:sz w:val="16"/>
          <w:szCs w:val="16"/>
        </w:rPr>
        <w:t xml:space="preserve"> “</w:t>
      </w:r>
      <w:r w:rsidRPr="002A1C24">
        <w:rPr>
          <w:rFonts w:ascii="Verdana" w:hAnsi="Verdana" w:cs="Tahoma"/>
          <w:i/>
          <w:sz w:val="16"/>
          <w:szCs w:val="16"/>
        </w:rPr>
        <w:t>Para los efectos de esta Convención, persona es todo ser humano”</w:t>
      </w:r>
      <w:r w:rsidRPr="00FB700F">
        <w:rPr>
          <w:rFonts w:ascii="Verdana" w:hAnsi="Verdana" w:cs="Tahoma"/>
          <w:i/>
          <w:sz w:val="16"/>
          <w:szCs w:val="16"/>
        </w:rPr>
        <w:t>.</w:t>
      </w:r>
      <w:r w:rsidRPr="002A1C24">
        <w:rPr>
          <w:rFonts w:ascii="Verdana" w:hAnsi="Verdana" w:cs="Tahoma"/>
          <w:i/>
          <w:sz w:val="16"/>
          <w:szCs w:val="16"/>
        </w:rPr>
        <w:t xml:space="preserve"> </w:t>
      </w:r>
    </w:p>
  </w:footnote>
  <w:footnote w:id="29">
    <w:p w:rsidR="002A1C24" w:rsidRPr="00FB700F" w:rsidRDefault="002A1C24" w:rsidP="00EE129D">
      <w:pPr>
        <w:pStyle w:val="FootnoteText"/>
        <w:spacing w:after="120"/>
        <w:rPr>
          <w:rFonts w:ascii="Verdana" w:hAnsi="Verdana"/>
          <w:sz w:val="16"/>
          <w:szCs w:val="16"/>
          <w:lang w:val="es-ES"/>
        </w:rPr>
      </w:pPr>
      <w:r w:rsidRPr="00FB700F">
        <w:rPr>
          <w:rStyle w:val="FootnoteReference"/>
          <w:rFonts w:ascii="Verdana" w:hAnsi="Verdana"/>
          <w:sz w:val="16"/>
          <w:szCs w:val="16"/>
        </w:rPr>
        <w:footnoteRef/>
      </w:r>
      <w:r w:rsidRPr="00FB700F">
        <w:rPr>
          <w:rFonts w:ascii="Verdana" w:hAnsi="Verdana"/>
          <w:sz w:val="16"/>
          <w:szCs w:val="16"/>
        </w:rPr>
        <w:t xml:space="preserve"> </w:t>
      </w:r>
      <w:proofErr w:type="spellStart"/>
      <w:r w:rsidRPr="00FB700F">
        <w:rPr>
          <w:rFonts w:ascii="Verdana" w:hAnsi="Verdana"/>
          <w:sz w:val="16"/>
          <w:szCs w:val="16"/>
          <w:lang w:val="es-ES"/>
        </w:rPr>
        <w:t>Párrs</w:t>
      </w:r>
      <w:proofErr w:type="spellEnd"/>
      <w:r w:rsidRPr="00FB700F">
        <w:rPr>
          <w:rFonts w:ascii="Verdana" w:hAnsi="Verdana"/>
          <w:sz w:val="16"/>
          <w:szCs w:val="16"/>
          <w:lang w:val="es-ES"/>
        </w:rPr>
        <w:t>. 22 y 146 a 152 de la Sentencia.</w:t>
      </w:r>
    </w:p>
  </w:footnote>
  <w:footnote w:id="30">
    <w:p w:rsidR="002A1C24" w:rsidRPr="00FB700F" w:rsidRDefault="002A1C24" w:rsidP="00EE129D">
      <w:pPr>
        <w:pStyle w:val="NormalWeb"/>
        <w:spacing w:before="0" w:beforeAutospacing="0" w:after="120" w:afterAutospacing="0"/>
        <w:jc w:val="both"/>
        <w:rPr>
          <w:rFonts w:ascii="Verdana" w:hAnsi="Verdana"/>
          <w:sz w:val="16"/>
          <w:szCs w:val="16"/>
        </w:rPr>
      </w:pPr>
      <w:r w:rsidRPr="00FB700F">
        <w:rPr>
          <w:rStyle w:val="FootnoteReference"/>
          <w:rFonts w:ascii="Verdana" w:hAnsi="Verdana"/>
          <w:sz w:val="16"/>
          <w:szCs w:val="16"/>
        </w:rPr>
        <w:footnoteRef/>
      </w:r>
      <w:r w:rsidRPr="00FB700F">
        <w:rPr>
          <w:rFonts w:ascii="Verdana" w:hAnsi="Verdana"/>
          <w:sz w:val="16"/>
          <w:szCs w:val="16"/>
        </w:rPr>
        <w:t xml:space="preserve"> </w:t>
      </w:r>
      <w:r w:rsidRPr="00FB700F">
        <w:rPr>
          <w:rFonts w:ascii="Verdana" w:hAnsi="Verdana" w:cs="Tahoma"/>
          <w:sz w:val="16"/>
          <w:szCs w:val="16"/>
        </w:rPr>
        <w:t>Art. 15 de la Convención:</w:t>
      </w:r>
      <w:r w:rsidRPr="002A1C24">
        <w:rPr>
          <w:rFonts w:ascii="Verdana" w:hAnsi="Verdana" w:cs="Tahoma"/>
          <w:sz w:val="16"/>
          <w:szCs w:val="16"/>
        </w:rPr>
        <w:t xml:space="preserve"> “</w:t>
      </w:r>
      <w:r w:rsidRPr="002A1C24">
        <w:rPr>
          <w:rFonts w:ascii="Verdana" w:hAnsi="Verdana" w:cs="Tahoma"/>
          <w:i/>
          <w:sz w:val="16"/>
          <w:szCs w:val="16"/>
        </w:rPr>
        <w:t>Derecho de Reunión. Se reconoce el derecho de reunión pacífica y sin armas.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o libertades de los demás”</w:t>
      </w:r>
      <w:r w:rsidRPr="00FB700F">
        <w:rPr>
          <w:rFonts w:ascii="Verdana" w:hAnsi="Verdana" w:cs="Tahoma"/>
          <w:i/>
          <w:sz w:val="16"/>
          <w:szCs w:val="16"/>
        </w:rPr>
        <w:t>.</w:t>
      </w:r>
      <w:r w:rsidRPr="002A1C24">
        <w:rPr>
          <w:rFonts w:ascii="Verdana" w:hAnsi="Verdana" w:cs="Tahoma"/>
          <w:sz w:val="16"/>
          <w:szCs w:val="16"/>
        </w:rPr>
        <w:t xml:space="preserve"> </w:t>
      </w:r>
    </w:p>
  </w:footnote>
  <w:footnote w:id="31">
    <w:p w:rsidR="002A1C24" w:rsidRPr="00FB700F" w:rsidRDefault="002A1C24" w:rsidP="00EE129D">
      <w:pPr>
        <w:pStyle w:val="NormalWeb"/>
        <w:spacing w:before="0" w:beforeAutospacing="0" w:after="120" w:afterAutospacing="0"/>
        <w:jc w:val="both"/>
        <w:rPr>
          <w:rFonts w:ascii="Verdana" w:hAnsi="Verdana"/>
          <w:sz w:val="16"/>
          <w:szCs w:val="16"/>
        </w:rPr>
      </w:pPr>
      <w:r w:rsidRPr="00FB700F">
        <w:rPr>
          <w:rStyle w:val="FootnoteReference"/>
          <w:rFonts w:ascii="Verdana" w:hAnsi="Verdana"/>
          <w:sz w:val="16"/>
          <w:szCs w:val="16"/>
        </w:rPr>
        <w:footnoteRef/>
      </w:r>
      <w:r w:rsidRPr="00FB700F">
        <w:rPr>
          <w:rFonts w:ascii="Verdana" w:hAnsi="Verdana"/>
          <w:sz w:val="16"/>
          <w:szCs w:val="16"/>
        </w:rPr>
        <w:t xml:space="preserve"> </w:t>
      </w:r>
      <w:r w:rsidRPr="002A1C24">
        <w:rPr>
          <w:rFonts w:ascii="Verdana" w:hAnsi="Verdana" w:cs="Tahoma"/>
          <w:sz w:val="16"/>
          <w:szCs w:val="16"/>
        </w:rPr>
        <w:t>Art. 16.1</w:t>
      </w:r>
      <w:r w:rsidRPr="00FB700F">
        <w:rPr>
          <w:rFonts w:ascii="Verdana" w:hAnsi="Verdana" w:cs="Tahoma"/>
          <w:sz w:val="16"/>
          <w:szCs w:val="16"/>
        </w:rPr>
        <w:t xml:space="preserve"> de la Convención:</w:t>
      </w:r>
      <w:r w:rsidRPr="002A1C24">
        <w:rPr>
          <w:rFonts w:ascii="Verdana" w:hAnsi="Verdana" w:cs="Tahoma"/>
          <w:sz w:val="16"/>
          <w:szCs w:val="16"/>
        </w:rPr>
        <w:t xml:space="preserve"> “</w:t>
      </w:r>
      <w:r w:rsidRPr="002A1C24">
        <w:rPr>
          <w:rFonts w:ascii="Verdana" w:hAnsi="Verdana" w:cs="Tahoma"/>
          <w:i/>
          <w:sz w:val="16"/>
          <w:szCs w:val="16"/>
        </w:rPr>
        <w:t>Libertad de Asociación. Todas las personas tienen derecho a asociarse libremente con fines ideológicos, religiosos, políticos, económicos, laborales, sociales, culturales, deportivos o de cualquiera otra índole</w:t>
      </w:r>
      <w:r w:rsidRPr="002A1C24">
        <w:rPr>
          <w:rFonts w:ascii="Verdana" w:hAnsi="Verdana" w:cs="Tahoma"/>
          <w:sz w:val="16"/>
          <w:szCs w:val="16"/>
        </w:rPr>
        <w:t>”</w:t>
      </w:r>
      <w:r w:rsidRPr="00FB700F">
        <w:rPr>
          <w:rFonts w:ascii="Verdana" w:hAnsi="Verdana" w:cs="Tahoma"/>
          <w:sz w:val="16"/>
          <w:szCs w:val="16"/>
        </w:rPr>
        <w:t>.</w:t>
      </w:r>
      <w:r w:rsidRPr="002A1C24">
        <w:rPr>
          <w:rFonts w:ascii="Verdana" w:hAnsi="Verdana" w:cs="Tahoma"/>
          <w:sz w:val="16"/>
          <w:szCs w:val="16"/>
        </w:rPr>
        <w:t xml:space="preserve"> </w:t>
      </w:r>
    </w:p>
  </w:footnote>
  <w:footnote w:id="32">
    <w:p w:rsidR="002A1C24" w:rsidRPr="00FB700F" w:rsidRDefault="002A1C24" w:rsidP="00EE129D">
      <w:pPr>
        <w:pStyle w:val="NormalWeb"/>
        <w:spacing w:before="0" w:beforeAutospacing="0" w:after="120" w:afterAutospacing="0"/>
        <w:jc w:val="both"/>
        <w:rPr>
          <w:rFonts w:ascii="Verdana" w:hAnsi="Verdana"/>
          <w:i/>
          <w:sz w:val="16"/>
          <w:szCs w:val="16"/>
        </w:rPr>
      </w:pPr>
      <w:r w:rsidRPr="00FB700F">
        <w:rPr>
          <w:rStyle w:val="FootnoteReference"/>
          <w:rFonts w:ascii="Verdana" w:hAnsi="Verdana"/>
          <w:sz w:val="16"/>
          <w:szCs w:val="16"/>
        </w:rPr>
        <w:footnoteRef/>
      </w:r>
      <w:r w:rsidRPr="00FB700F">
        <w:rPr>
          <w:rFonts w:ascii="Verdana" w:hAnsi="Verdana"/>
          <w:sz w:val="16"/>
          <w:szCs w:val="16"/>
        </w:rPr>
        <w:t xml:space="preserve"> </w:t>
      </w:r>
      <w:r w:rsidRPr="002A1C24">
        <w:rPr>
          <w:rFonts w:ascii="Verdana" w:hAnsi="Verdana" w:cs="Tahoma"/>
          <w:sz w:val="16"/>
          <w:szCs w:val="16"/>
        </w:rPr>
        <w:t>Artículo 23.1.a)</w:t>
      </w:r>
      <w:r w:rsidRPr="00FB700F">
        <w:rPr>
          <w:rFonts w:ascii="Verdana" w:hAnsi="Verdana" w:cs="Tahoma"/>
          <w:sz w:val="16"/>
          <w:szCs w:val="16"/>
        </w:rPr>
        <w:t xml:space="preserve"> de la Convención</w:t>
      </w:r>
      <w:r w:rsidRPr="002A1C24">
        <w:rPr>
          <w:rFonts w:ascii="Verdana" w:hAnsi="Verdana" w:cs="Tahoma"/>
          <w:sz w:val="16"/>
          <w:szCs w:val="16"/>
        </w:rPr>
        <w:t>:</w:t>
      </w:r>
      <w:r w:rsidRPr="00FB700F">
        <w:rPr>
          <w:rFonts w:ascii="Verdana" w:hAnsi="Verdana" w:cs="Tahoma"/>
          <w:sz w:val="16"/>
          <w:szCs w:val="16"/>
        </w:rPr>
        <w:t xml:space="preserve"> </w:t>
      </w:r>
      <w:r w:rsidRPr="002A1C24">
        <w:rPr>
          <w:rFonts w:ascii="Verdana" w:hAnsi="Verdana" w:cs="Tahoma"/>
          <w:sz w:val="16"/>
          <w:szCs w:val="16"/>
        </w:rPr>
        <w:t>“</w:t>
      </w:r>
      <w:r w:rsidRPr="002A1C24">
        <w:rPr>
          <w:rFonts w:ascii="Verdana" w:hAnsi="Verdana" w:cs="Tahoma"/>
          <w:i/>
          <w:sz w:val="16"/>
          <w:szCs w:val="16"/>
        </w:rPr>
        <w:t>Derechos Políticos. Todos los ciudadanos deben gozar de los siguientes derechos y oportunidades: de participar en la dirección de los asuntos públicos, directamente o por medio de representantes libremente elegidos”</w:t>
      </w:r>
      <w:r w:rsidRPr="00FB700F">
        <w:rPr>
          <w:rFonts w:ascii="Verdana" w:hAnsi="Verdana" w:cs="Tahoma"/>
          <w:i/>
          <w:sz w:val="16"/>
          <w:szCs w:val="16"/>
        </w:rPr>
        <w:t>.</w:t>
      </w:r>
      <w:r w:rsidRPr="002A1C24">
        <w:rPr>
          <w:rFonts w:ascii="Verdana" w:hAnsi="Verdana" w:cs="Tahoma"/>
          <w:i/>
          <w:sz w:val="16"/>
          <w:szCs w:val="16"/>
        </w:rPr>
        <w:t xml:space="preserve"> </w:t>
      </w:r>
    </w:p>
  </w:footnote>
  <w:footnote w:id="33">
    <w:p w:rsidR="002A1C24" w:rsidRPr="00FB700F" w:rsidRDefault="002A1C24" w:rsidP="00EE129D">
      <w:pPr>
        <w:pStyle w:val="NormalWeb"/>
        <w:spacing w:before="0" w:beforeAutospacing="0" w:after="120" w:afterAutospacing="0"/>
        <w:jc w:val="both"/>
        <w:rPr>
          <w:rFonts w:ascii="Verdana" w:hAnsi="Verdana"/>
          <w:i/>
          <w:sz w:val="16"/>
          <w:szCs w:val="16"/>
        </w:rPr>
      </w:pPr>
      <w:r w:rsidRPr="00FB700F">
        <w:rPr>
          <w:rStyle w:val="FootnoteReference"/>
          <w:rFonts w:ascii="Verdana" w:hAnsi="Verdana"/>
          <w:sz w:val="16"/>
          <w:szCs w:val="16"/>
        </w:rPr>
        <w:footnoteRef/>
      </w:r>
      <w:r w:rsidRPr="00FB700F">
        <w:rPr>
          <w:rFonts w:ascii="Verdana" w:hAnsi="Verdana"/>
          <w:sz w:val="16"/>
          <w:szCs w:val="16"/>
        </w:rPr>
        <w:t xml:space="preserve"> </w:t>
      </w:r>
      <w:r w:rsidRPr="002A1C24">
        <w:rPr>
          <w:rFonts w:ascii="Verdana" w:hAnsi="Verdana" w:cs="Tahoma"/>
          <w:sz w:val="16"/>
          <w:szCs w:val="16"/>
        </w:rPr>
        <w:t>Artículo 1</w:t>
      </w:r>
      <w:r w:rsidRPr="00FB700F">
        <w:rPr>
          <w:rFonts w:ascii="Verdana" w:hAnsi="Verdana" w:cs="Tahoma"/>
          <w:sz w:val="16"/>
          <w:szCs w:val="16"/>
        </w:rPr>
        <w:t>.1 de la Convención</w:t>
      </w:r>
      <w:r w:rsidRPr="002A1C24">
        <w:rPr>
          <w:rFonts w:ascii="Verdana" w:hAnsi="Verdana" w:cs="Tahoma"/>
          <w:sz w:val="16"/>
          <w:szCs w:val="16"/>
        </w:rPr>
        <w:t xml:space="preserve">: </w:t>
      </w:r>
      <w:r w:rsidRPr="002A1C24">
        <w:rPr>
          <w:rFonts w:ascii="Verdana" w:hAnsi="Verdana" w:cs="Tahoma"/>
          <w:i/>
          <w:sz w:val="16"/>
          <w:szCs w:val="16"/>
        </w:rPr>
        <w:t>“Obligación de Respetar los Derechos</w:t>
      </w:r>
      <w:r w:rsidRPr="00FB700F">
        <w:rPr>
          <w:rFonts w:ascii="Verdana" w:hAnsi="Verdana" w:cs="Tahoma"/>
          <w:i/>
          <w:sz w:val="16"/>
          <w:szCs w:val="16"/>
        </w:rPr>
        <w:t>.</w:t>
      </w:r>
      <w:r w:rsidRPr="002A1C24">
        <w:rPr>
          <w:rFonts w:ascii="Verdana" w:hAnsi="Verdana" w:cs="Tahoma"/>
          <w:i/>
          <w:sz w:val="16"/>
          <w:szCs w:val="16"/>
        </w:rPr>
        <w:t xml:space="preserv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r w:rsidRPr="00FB700F">
        <w:rPr>
          <w:rFonts w:ascii="Verdana" w:hAnsi="Verdana" w:cs="Tahoma"/>
          <w:i/>
          <w:sz w:val="16"/>
          <w:szCs w:val="16"/>
        </w:rPr>
        <w:t>.</w:t>
      </w:r>
      <w:r w:rsidRPr="002A1C24">
        <w:rPr>
          <w:rFonts w:ascii="Verdana" w:hAnsi="Verdana" w:cs="Tahoma"/>
          <w:i/>
          <w:sz w:val="16"/>
          <w:szCs w:val="16"/>
        </w:rPr>
        <w:t xml:space="preserve"> </w:t>
      </w:r>
    </w:p>
  </w:footnote>
  <w:footnote w:id="34">
    <w:p w:rsidR="002A1C24" w:rsidRPr="00FB700F" w:rsidRDefault="002A1C24" w:rsidP="002A1C24">
      <w:pPr>
        <w:pStyle w:val="NormalWeb"/>
        <w:spacing w:before="0" w:beforeAutospacing="0" w:after="120" w:afterAutospacing="0"/>
        <w:jc w:val="both"/>
        <w:rPr>
          <w:rFonts w:ascii="Verdana" w:hAnsi="Verdana"/>
          <w:sz w:val="16"/>
          <w:szCs w:val="16"/>
        </w:rPr>
      </w:pPr>
      <w:r w:rsidRPr="00FB700F">
        <w:rPr>
          <w:rStyle w:val="FootnoteReference"/>
          <w:rFonts w:ascii="Verdana" w:hAnsi="Verdana"/>
          <w:i/>
          <w:sz w:val="16"/>
          <w:szCs w:val="16"/>
        </w:rPr>
        <w:footnoteRef/>
      </w:r>
      <w:r w:rsidRPr="00FB700F">
        <w:rPr>
          <w:rFonts w:ascii="Verdana" w:hAnsi="Verdana"/>
          <w:i/>
          <w:sz w:val="16"/>
          <w:szCs w:val="16"/>
        </w:rPr>
        <w:t xml:space="preserve"> </w:t>
      </w:r>
      <w:r w:rsidRPr="002A1C24">
        <w:rPr>
          <w:rFonts w:ascii="Verdana" w:hAnsi="Verdana" w:cs="Tahoma"/>
          <w:sz w:val="16"/>
          <w:szCs w:val="16"/>
        </w:rPr>
        <w:t>Artículo 29</w:t>
      </w:r>
      <w:r w:rsidRPr="00FB700F">
        <w:rPr>
          <w:rFonts w:ascii="Verdana" w:hAnsi="Verdana" w:cs="Tahoma"/>
          <w:sz w:val="16"/>
          <w:szCs w:val="16"/>
        </w:rPr>
        <w:t xml:space="preserve"> de la Convención</w:t>
      </w:r>
      <w:r w:rsidRPr="002A1C24">
        <w:rPr>
          <w:rFonts w:ascii="Verdana" w:hAnsi="Verdana" w:cs="Tahoma"/>
          <w:i/>
          <w:sz w:val="16"/>
          <w:szCs w:val="16"/>
        </w:rPr>
        <w:t xml:space="preserve">: “Normas de Interpretación. Ninguna disposición de la presente Convención puede ser interpretada en el sentido de: a) permitir a alguno de los Estados Partes, grupo o persona, suprimir el goce y ejercicio de los derechos y libertades reconocidos en la Convención o limitarlos en mayor medida que la prevista en ella; b) limitar el goce y ejercicio de cualquier derecho o libertad que pueda estar reconocido de acuerdo con las leyes de cualquiera de los Estados Partes o de acuerdo con otra convención en que sea parte uno de dichos Estados; </w:t>
      </w:r>
      <w:r w:rsidRPr="00FB700F">
        <w:rPr>
          <w:rFonts w:ascii="Verdana" w:hAnsi="Verdana" w:cs="Tahoma"/>
          <w:i/>
          <w:sz w:val="16"/>
          <w:szCs w:val="16"/>
        </w:rPr>
        <w:t>c</w:t>
      </w:r>
      <w:r w:rsidRPr="002A1C24">
        <w:rPr>
          <w:rFonts w:ascii="Verdana" w:hAnsi="Verdana" w:cs="Tahoma"/>
          <w:i/>
          <w:sz w:val="16"/>
          <w:szCs w:val="16"/>
        </w:rPr>
        <w:t>) excluir otros derechos y garantías que son inherentes al ser humano o que se derivan de la forma democrática representativa de gobierno, y d) excluir o limitar el efecto que puedan producir la Declaración Americana de Derechos y Deberes del Hombre y otros actos internacionales de la misma naturaleza</w:t>
      </w:r>
      <w:r w:rsidRPr="002A1C24">
        <w:rPr>
          <w:rFonts w:ascii="Verdana" w:hAnsi="Verdana" w:cs="Tahoma"/>
          <w:sz w:val="16"/>
          <w:szCs w:val="16"/>
        </w:rPr>
        <w:t>”</w:t>
      </w:r>
      <w:r w:rsidRPr="00FB700F">
        <w:rPr>
          <w:rFonts w:ascii="Verdana" w:hAnsi="Verdana" w:cs="Tahoma"/>
          <w:i/>
          <w:sz w:val="16"/>
          <w:szCs w:val="16"/>
        </w:rPr>
        <w:t>.</w:t>
      </w:r>
    </w:p>
  </w:footnote>
  <w:footnote w:id="35">
    <w:p w:rsidR="002A1C24" w:rsidRPr="00FB700F" w:rsidRDefault="002A1C24" w:rsidP="00CA2FB2">
      <w:pPr>
        <w:pStyle w:val="FootnoteText"/>
        <w:spacing w:after="120"/>
        <w:ind w:left="708" w:hanging="708"/>
        <w:rPr>
          <w:rFonts w:ascii="Verdana" w:hAnsi="Verdana"/>
          <w:sz w:val="16"/>
          <w:szCs w:val="16"/>
        </w:rPr>
      </w:pPr>
      <w:r w:rsidRPr="00FB700F">
        <w:rPr>
          <w:rStyle w:val="FootnoteReference"/>
          <w:rFonts w:ascii="Verdana" w:hAnsi="Verdana"/>
          <w:sz w:val="16"/>
          <w:szCs w:val="16"/>
        </w:rPr>
        <w:footnoteRef/>
      </w:r>
      <w:r w:rsidRPr="00FB700F">
        <w:rPr>
          <w:rFonts w:ascii="Verdana" w:hAnsi="Verdana"/>
          <w:sz w:val="16"/>
          <w:szCs w:val="16"/>
        </w:rPr>
        <w:t xml:space="preserve"> Párr. 140 de la Sentencia.</w:t>
      </w:r>
    </w:p>
  </w:footnote>
  <w:footnote w:id="36">
    <w:p w:rsidR="002A1C24" w:rsidRPr="00FB700F" w:rsidRDefault="002A1C24" w:rsidP="00EE129D">
      <w:pPr>
        <w:spacing w:after="120" w:line="240" w:lineRule="auto"/>
        <w:jc w:val="both"/>
        <w:rPr>
          <w:rFonts w:ascii="Verdana" w:eastAsia="Times New Roman" w:hAnsi="Verdana"/>
          <w:sz w:val="16"/>
          <w:szCs w:val="16"/>
          <w:lang w:eastAsia="es-CR"/>
        </w:rPr>
      </w:pPr>
      <w:r w:rsidRPr="00FB700F">
        <w:rPr>
          <w:rStyle w:val="FootnoteReference"/>
          <w:rFonts w:ascii="Verdana" w:hAnsi="Verdana"/>
          <w:sz w:val="16"/>
          <w:szCs w:val="16"/>
        </w:rPr>
        <w:footnoteRef/>
      </w:r>
      <w:r w:rsidRPr="00FB700F">
        <w:rPr>
          <w:rFonts w:ascii="Verdana" w:hAnsi="Verdana"/>
          <w:sz w:val="16"/>
          <w:szCs w:val="16"/>
        </w:rPr>
        <w:t xml:space="preserve"> “</w:t>
      </w:r>
      <w:r w:rsidRPr="00FB700F">
        <w:rPr>
          <w:rFonts w:ascii="Verdana" w:eastAsia="Times New Roman" w:hAnsi="Verdana"/>
          <w:i/>
          <w:sz w:val="16"/>
          <w:szCs w:val="16"/>
          <w:lang w:eastAsia="es-CR"/>
        </w:rPr>
        <w:t>Son elementos esenciales 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independencia de los poderes públicos”.</w:t>
      </w:r>
    </w:p>
  </w:footnote>
  <w:footnote w:id="37">
    <w:p w:rsidR="002A1C24" w:rsidRPr="00FB700F" w:rsidRDefault="002A1C24" w:rsidP="00CD7D13">
      <w:pPr>
        <w:spacing w:after="120" w:line="240" w:lineRule="auto"/>
        <w:jc w:val="both"/>
        <w:rPr>
          <w:rFonts w:ascii="Verdana" w:eastAsia="Times New Roman" w:hAnsi="Verdana"/>
          <w:sz w:val="16"/>
          <w:szCs w:val="16"/>
          <w:lang w:eastAsia="es-CR"/>
        </w:rPr>
      </w:pPr>
      <w:r w:rsidRPr="00FB700F">
        <w:rPr>
          <w:rStyle w:val="FootnoteReference"/>
          <w:rFonts w:ascii="Verdana" w:hAnsi="Verdana"/>
          <w:sz w:val="16"/>
          <w:szCs w:val="16"/>
        </w:rPr>
        <w:footnoteRef/>
      </w:r>
      <w:r w:rsidRPr="00FB700F">
        <w:rPr>
          <w:rFonts w:ascii="Verdana" w:hAnsi="Verdana"/>
          <w:sz w:val="16"/>
          <w:szCs w:val="16"/>
        </w:rPr>
        <w:t xml:space="preserve"> “</w:t>
      </w:r>
      <w:r w:rsidRPr="00FB700F">
        <w:rPr>
          <w:rFonts w:ascii="Verdana" w:eastAsia="Times New Roman" w:hAnsi="Verdana"/>
          <w:i/>
          <w:sz w:val="16"/>
          <w:szCs w:val="16"/>
          <w:lang w:eastAsia="es-CR"/>
        </w:rPr>
        <w:t>La democracia es indispensable para el ejercicio efectivo de las libertades fundamentales y los derechos humanos, en su carácter universal, indivisible e interdependiente, consagrados en las respectivas constituciones de los Estados y en los instrumentos interamericanos e internacionales de derechos humanos</w:t>
      </w:r>
      <w:r w:rsidRPr="00FB700F">
        <w:rPr>
          <w:rFonts w:ascii="Verdana" w:eastAsia="Times New Roman" w:hAnsi="Verdana"/>
          <w:sz w:val="16"/>
          <w:szCs w:val="16"/>
          <w:lang w:eastAsia="es-CR"/>
        </w:rPr>
        <w:t>”.</w:t>
      </w:r>
    </w:p>
  </w:footnote>
  <w:footnote w:id="38">
    <w:p w:rsidR="002A1C24" w:rsidRPr="00FB700F" w:rsidRDefault="002A1C24" w:rsidP="00CD7D13">
      <w:pPr>
        <w:pStyle w:val="FootnoteText"/>
        <w:spacing w:after="120" w:line="240" w:lineRule="auto"/>
        <w:jc w:val="both"/>
        <w:rPr>
          <w:rFonts w:ascii="Verdana" w:hAnsi="Verdana"/>
          <w:sz w:val="16"/>
          <w:szCs w:val="16"/>
          <w:lang w:val="es-ES"/>
        </w:rPr>
      </w:pPr>
      <w:r w:rsidRPr="00FB700F">
        <w:rPr>
          <w:rStyle w:val="FootnoteReference"/>
          <w:rFonts w:ascii="Verdana" w:hAnsi="Verdana"/>
          <w:sz w:val="16"/>
          <w:szCs w:val="16"/>
        </w:rPr>
        <w:footnoteRef/>
      </w:r>
      <w:r w:rsidRPr="00FB700F">
        <w:rPr>
          <w:rFonts w:ascii="Verdana" w:hAnsi="Verdana"/>
          <w:sz w:val="16"/>
          <w:szCs w:val="16"/>
        </w:rPr>
        <w:t xml:space="preserve"> “</w:t>
      </w:r>
      <w:r w:rsidRPr="00FB700F">
        <w:rPr>
          <w:rFonts w:ascii="Verdana" w:hAnsi="Verdana"/>
          <w:i/>
          <w:sz w:val="16"/>
          <w:szCs w:val="16"/>
        </w:rPr>
        <w:t>Toda persona tiene derecho a la libertad de investigación, de opinión y de expresión y difusión del pensamiento por cualquier medio</w:t>
      </w:r>
      <w:r w:rsidRPr="00FB700F">
        <w:rPr>
          <w:rFonts w:ascii="Verdana" w:hAnsi="Verdana"/>
          <w:sz w:val="16"/>
          <w:szCs w:val="16"/>
        </w:rPr>
        <w:t>”.</w:t>
      </w:r>
    </w:p>
  </w:footnote>
  <w:footnote w:id="39">
    <w:p w:rsidR="002A1C24" w:rsidRPr="00FB700F" w:rsidRDefault="002A1C24" w:rsidP="00CD7D13">
      <w:pPr>
        <w:spacing w:after="120" w:line="240" w:lineRule="auto"/>
        <w:jc w:val="both"/>
        <w:rPr>
          <w:rFonts w:ascii="Verdana" w:eastAsia="Times New Roman" w:hAnsi="Verdana"/>
          <w:sz w:val="16"/>
          <w:szCs w:val="16"/>
          <w:lang w:eastAsia="es-CR"/>
        </w:rPr>
      </w:pPr>
      <w:r w:rsidRPr="00FB700F">
        <w:rPr>
          <w:rStyle w:val="FootnoteReference"/>
          <w:rFonts w:ascii="Verdana" w:hAnsi="Verdana"/>
          <w:sz w:val="16"/>
          <w:szCs w:val="16"/>
        </w:rPr>
        <w:footnoteRef/>
      </w:r>
      <w:r w:rsidRPr="00FB700F">
        <w:rPr>
          <w:rFonts w:ascii="Verdana" w:hAnsi="Verdana"/>
          <w:sz w:val="16"/>
          <w:szCs w:val="16"/>
        </w:rPr>
        <w:t xml:space="preserve"> “</w:t>
      </w:r>
      <w:r w:rsidRPr="00FB700F">
        <w:rPr>
          <w:rFonts w:ascii="Verdana" w:eastAsia="Times New Roman" w:hAnsi="Verdana"/>
          <w:i/>
          <w:sz w:val="16"/>
          <w:szCs w:val="16"/>
          <w:lang w:eastAsia="es-CR"/>
        </w:rPr>
        <w:t>Son componentes fundamentales del ejercicio de la democracia la transparencia de las actividades gubernamentales, la probidad, la responsabilidad de los gobiernos en la gestión pública, el respeto por los derechos sociales y la libertad de expresión y de prensa (…)”.</w:t>
      </w:r>
    </w:p>
  </w:footnote>
  <w:footnote w:id="40">
    <w:p w:rsidR="002A1C24" w:rsidRPr="00E3504D" w:rsidRDefault="002A1C24" w:rsidP="00CD7D13">
      <w:pPr>
        <w:spacing w:after="120" w:line="240" w:lineRule="auto"/>
        <w:jc w:val="both"/>
        <w:rPr>
          <w:rFonts w:ascii="Verdana" w:hAnsi="Verdana"/>
          <w:sz w:val="16"/>
          <w:szCs w:val="16"/>
          <w:lang w:val="es-ES"/>
        </w:rPr>
      </w:pPr>
      <w:r w:rsidRPr="00FB700F">
        <w:rPr>
          <w:rStyle w:val="FootnoteReference"/>
          <w:rFonts w:ascii="Verdana" w:hAnsi="Verdana"/>
          <w:sz w:val="16"/>
          <w:szCs w:val="16"/>
        </w:rPr>
        <w:footnoteRef/>
      </w:r>
      <w:r w:rsidRPr="00FB700F">
        <w:rPr>
          <w:rFonts w:ascii="Verdana" w:hAnsi="Verdana"/>
          <w:sz w:val="16"/>
          <w:szCs w:val="16"/>
        </w:rPr>
        <w:t xml:space="preserve"> </w:t>
      </w:r>
      <w:r w:rsidRPr="002A1C24">
        <w:rPr>
          <w:rFonts w:ascii="Verdana" w:hAnsi="Verdana"/>
          <w:i/>
          <w:sz w:val="16"/>
          <w:szCs w:val="16"/>
          <w:lang w:val="es-ES"/>
        </w:rPr>
        <w:t>Caso “La Última Tentación de Cristo</w:t>
      </w:r>
      <w:proofErr w:type="gramStart"/>
      <w:r w:rsidRPr="002A1C24">
        <w:rPr>
          <w:rFonts w:ascii="Verdana" w:hAnsi="Verdana"/>
          <w:i/>
          <w:sz w:val="16"/>
          <w:szCs w:val="16"/>
          <w:lang w:val="es-ES"/>
        </w:rPr>
        <w:t>“ (</w:t>
      </w:r>
      <w:proofErr w:type="gramEnd"/>
      <w:r w:rsidRPr="002A1C24">
        <w:rPr>
          <w:rFonts w:ascii="Verdana" w:hAnsi="Verdana"/>
          <w:i/>
          <w:sz w:val="16"/>
          <w:szCs w:val="16"/>
          <w:lang w:val="es-ES"/>
        </w:rPr>
        <w:t>Olmedo Bustos y otros) Vs. Chile. Fondo, Reparaciones y Costas</w:t>
      </w:r>
      <w:r w:rsidRPr="00FB700F">
        <w:rPr>
          <w:rFonts w:ascii="Verdana" w:hAnsi="Verdana"/>
          <w:sz w:val="16"/>
          <w:szCs w:val="16"/>
          <w:lang w:val="es-ES"/>
        </w:rPr>
        <w:t>. Sentencia de 5 de febrero de 2001. Serie C No. 73, párr.68.</w:t>
      </w:r>
    </w:p>
  </w:footnote>
  <w:footnote w:id="41">
    <w:p w:rsidR="002A1C24" w:rsidRPr="00EF2D2B" w:rsidRDefault="002A1C24" w:rsidP="003B7E57">
      <w:pPr>
        <w:spacing w:after="0" w:line="240" w:lineRule="auto"/>
        <w:jc w:val="both"/>
        <w:rPr>
          <w:rFonts w:ascii="Verdana" w:eastAsia="Times New Roman" w:hAnsi="Verdana"/>
          <w:sz w:val="16"/>
          <w:szCs w:val="16"/>
          <w:lang w:eastAsia="es-CR"/>
        </w:rPr>
      </w:pPr>
      <w:r w:rsidRPr="00E3504D">
        <w:rPr>
          <w:rStyle w:val="FootnoteReference"/>
          <w:rFonts w:ascii="Verdana" w:hAnsi="Verdana"/>
          <w:sz w:val="16"/>
          <w:szCs w:val="16"/>
        </w:rPr>
        <w:footnoteRef/>
      </w:r>
      <w:r w:rsidRPr="00E3504D">
        <w:rPr>
          <w:rFonts w:ascii="Verdana" w:hAnsi="Verdana"/>
          <w:sz w:val="16"/>
          <w:szCs w:val="16"/>
        </w:rPr>
        <w:t xml:space="preserve"> Tal tesis se reiteró en</w:t>
      </w:r>
      <w:r>
        <w:rPr>
          <w:rFonts w:ascii="Verdana" w:hAnsi="Verdana"/>
          <w:sz w:val="16"/>
          <w:szCs w:val="16"/>
        </w:rPr>
        <w:t>:</w:t>
      </w:r>
      <w:r w:rsidRPr="00E3504D">
        <w:rPr>
          <w:rFonts w:ascii="Verdana" w:hAnsi="Verdana"/>
          <w:sz w:val="16"/>
          <w:szCs w:val="16"/>
        </w:rPr>
        <w:t xml:space="preserve"> </w:t>
      </w:r>
      <w:r w:rsidRPr="000D4D0F">
        <w:rPr>
          <w:rFonts w:ascii="Verdana" w:hAnsi="Verdana"/>
          <w:i/>
          <w:sz w:val="16"/>
          <w:szCs w:val="16"/>
        </w:rPr>
        <w:t>Cfr</w:t>
      </w:r>
      <w:r>
        <w:rPr>
          <w:rFonts w:ascii="Verdana" w:hAnsi="Verdana"/>
          <w:sz w:val="16"/>
          <w:szCs w:val="16"/>
        </w:rPr>
        <w:t xml:space="preserve">. </w:t>
      </w:r>
      <w:r w:rsidRPr="00B776B8">
        <w:rPr>
          <w:rFonts w:ascii="Verdana" w:hAnsi="Verdana"/>
          <w:i/>
          <w:sz w:val="16"/>
          <w:szCs w:val="16"/>
        </w:rPr>
        <w:t>La Colegiación Obligatoria de Periodistas (Arts. 13 y 29 Convención Americana sobre Derechos Humanos)</w:t>
      </w:r>
      <w:r w:rsidRPr="00B776B8">
        <w:rPr>
          <w:rFonts w:ascii="Verdana" w:hAnsi="Verdana"/>
          <w:sz w:val="16"/>
          <w:szCs w:val="16"/>
        </w:rPr>
        <w:t xml:space="preserve">. Opinión </w:t>
      </w:r>
      <w:r w:rsidRPr="002A1C24">
        <w:rPr>
          <w:rFonts w:ascii="Verdana" w:hAnsi="Verdana"/>
          <w:sz w:val="16"/>
          <w:szCs w:val="16"/>
        </w:rPr>
        <w:t>Consultiva OC-5/85 del 13 de noviembre de 1985. Serie A No.</w:t>
      </w:r>
      <w:r w:rsidRPr="007A792F">
        <w:rPr>
          <w:rFonts w:ascii="Verdana" w:hAnsi="Verdana"/>
          <w:sz w:val="16"/>
          <w:szCs w:val="16"/>
        </w:rPr>
        <w:t xml:space="preserve">5, párr. 70; </w:t>
      </w:r>
      <w:r w:rsidRPr="002A1C24">
        <w:rPr>
          <w:rFonts w:ascii="Verdana" w:hAnsi="Verdana"/>
          <w:i/>
          <w:sz w:val="16"/>
          <w:szCs w:val="16"/>
        </w:rPr>
        <w:t xml:space="preserve"> Caso Herrera Ulloa Vs. Costa Rica. Excepciones Preliminares, Fondo, Reparaciones y Costas</w:t>
      </w:r>
      <w:r w:rsidRPr="002A1C24">
        <w:rPr>
          <w:rFonts w:ascii="Verdana" w:hAnsi="Verdana"/>
          <w:sz w:val="16"/>
          <w:szCs w:val="16"/>
        </w:rPr>
        <w:t xml:space="preserve">. Sentencia de 2 de julio de 2004. Serie C No. 107, párr.116; </w:t>
      </w:r>
      <w:r w:rsidRPr="007A792F">
        <w:rPr>
          <w:rFonts w:ascii="Verdana" w:hAnsi="Verdana"/>
          <w:i/>
          <w:sz w:val="16"/>
          <w:szCs w:val="16"/>
        </w:rPr>
        <w:t xml:space="preserve">Caso Ricardo </w:t>
      </w:r>
      <w:proofErr w:type="spellStart"/>
      <w:r w:rsidRPr="007A792F">
        <w:rPr>
          <w:rFonts w:ascii="Verdana" w:hAnsi="Verdana"/>
          <w:i/>
          <w:sz w:val="16"/>
          <w:szCs w:val="16"/>
        </w:rPr>
        <w:t>Canese</w:t>
      </w:r>
      <w:proofErr w:type="spellEnd"/>
      <w:r w:rsidRPr="007A792F">
        <w:rPr>
          <w:rFonts w:ascii="Verdana" w:hAnsi="Verdana"/>
          <w:i/>
          <w:sz w:val="16"/>
          <w:szCs w:val="16"/>
        </w:rPr>
        <w:t xml:space="preserve"> V</w:t>
      </w:r>
      <w:r w:rsidRPr="002A1C24">
        <w:rPr>
          <w:rFonts w:ascii="Verdana" w:hAnsi="Verdana"/>
          <w:i/>
          <w:sz w:val="16"/>
          <w:szCs w:val="16"/>
        </w:rPr>
        <w:t>s. Paraguay. Fondo, Reparaciones y Costas</w:t>
      </w:r>
      <w:r w:rsidRPr="002A1C24">
        <w:rPr>
          <w:rFonts w:ascii="Verdana" w:hAnsi="Verdana"/>
          <w:sz w:val="16"/>
          <w:szCs w:val="16"/>
        </w:rPr>
        <w:t>. Sentencia de 31 de agosto de 2004. Serie C No. 111</w:t>
      </w:r>
      <w:r w:rsidRPr="002A1C24">
        <w:rPr>
          <w:rFonts w:ascii="Verdana" w:hAnsi="Verdana"/>
          <w:i/>
          <w:sz w:val="16"/>
          <w:szCs w:val="16"/>
        </w:rPr>
        <w:t>, párr. 86; Caso Ríos y otros Vs. Venezuela. Excepciones Preliminares, Fondo, Reparaciones y Costas</w:t>
      </w:r>
      <w:r w:rsidRPr="002A1C24">
        <w:rPr>
          <w:rFonts w:ascii="Verdana" w:hAnsi="Verdana"/>
          <w:sz w:val="16"/>
          <w:szCs w:val="16"/>
        </w:rPr>
        <w:t>. Sentencia de 28 de enero de 2009. Serie C No. 194, párr. 105;</w:t>
      </w:r>
      <w:r w:rsidRPr="002A1C24">
        <w:rPr>
          <w:rFonts w:ascii="Verdana" w:hAnsi="Verdana"/>
          <w:i/>
          <w:sz w:val="16"/>
          <w:szCs w:val="16"/>
        </w:rPr>
        <w:t xml:space="preserve"> Caso Perozo y otros Vs. Venezuela. Excepciones </w:t>
      </w:r>
      <w:r w:rsidRPr="007A792F">
        <w:rPr>
          <w:rFonts w:ascii="Verdana" w:hAnsi="Verdana"/>
          <w:i/>
          <w:sz w:val="16"/>
          <w:szCs w:val="16"/>
        </w:rPr>
        <w:t>Preliminares, Fondo, Reparaciones y Costas</w:t>
      </w:r>
      <w:r w:rsidRPr="002A1C24">
        <w:rPr>
          <w:rFonts w:ascii="Verdana" w:hAnsi="Verdana"/>
          <w:sz w:val="16"/>
          <w:szCs w:val="16"/>
        </w:rPr>
        <w:t>. Sentencia de 28 de enero de 2009. Serie C No. 195, párr. 116</w:t>
      </w:r>
      <w:proofErr w:type="gramStart"/>
      <w:r w:rsidRPr="002A1C24">
        <w:rPr>
          <w:rFonts w:ascii="Verdana" w:hAnsi="Verdana"/>
          <w:i/>
          <w:sz w:val="16"/>
          <w:szCs w:val="16"/>
        </w:rPr>
        <w:t>,y</w:t>
      </w:r>
      <w:proofErr w:type="gramEnd"/>
      <w:r w:rsidRPr="002A1C24">
        <w:rPr>
          <w:rFonts w:ascii="Verdana" w:hAnsi="Verdana"/>
          <w:i/>
          <w:sz w:val="16"/>
          <w:szCs w:val="16"/>
        </w:rPr>
        <w:t xml:space="preserve">  Caso Vélez Restrepo y familiares Vs. Colombia Sentencia de 3 de septiembre de 2012. Serie C No. 248, párr. 141.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253470"/>
      <w:docPartObj>
        <w:docPartGallery w:val="Page Numbers (Top of Page)"/>
        <w:docPartUnique/>
      </w:docPartObj>
    </w:sdtPr>
    <w:sdtEndPr>
      <w:rPr>
        <w:noProof/>
      </w:rPr>
    </w:sdtEndPr>
    <w:sdtContent>
      <w:p w:rsidR="00142477" w:rsidRDefault="00142477">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rsidR="00142477" w:rsidRDefault="001424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B27"/>
    <w:multiLevelType w:val="hybridMultilevel"/>
    <w:tmpl w:val="4C3E4D10"/>
    <w:lvl w:ilvl="0" w:tplc="B5BA3922">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14D138EF"/>
    <w:multiLevelType w:val="hybridMultilevel"/>
    <w:tmpl w:val="B39873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A0200EE"/>
    <w:multiLevelType w:val="hybridMultilevel"/>
    <w:tmpl w:val="C4A0BDAC"/>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225553D0"/>
    <w:multiLevelType w:val="hybridMultilevel"/>
    <w:tmpl w:val="95B604CE"/>
    <w:lvl w:ilvl="0" w:tplc="CFFA2656">
      <w:start w:val="1"/>
      <w:numFmt w:val="decimal"/>
      <w:lvlText w:val="%1."/>
      <w:lvlJc w:val="left"/>
      <w:pPr>
        <w:ind w:left="1080" w:hanging="360"/>
      </w:pPr>
      <w:rPr>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27E9451E"/>
    <w:multiLevelType w:val="hybridMultilevel"/>
    <w:tmpl w:val="95B604CE"/>
    <w:lvl w:ilvl="0" w:tplc="CFFA2656">
      <w:start w:val="1"/>
      <w:numFmt w:val="decimal"/>
      <w:lvlText w:val="%1."/>
      <w:lvlJc w:val="left"/>
      <w:pPr>
        <w:ind w:left="1080" w:hanging="360"/>
      </w:pPr>
      <w:rPr>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280A31D3"/>
    <w:multiLevelType w:val="hybridMultilevel"/>
    <w:tmpl w:val="39EEAA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38C231CD"/>
    <w:multiLevelType w:val="hybridMultilevel"/>
    <w:tmpl w:val="C06ED8D0"/>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3F612AC5"/>
    <w:multiLevelType w:val="hybridMultilevel"/>
    <w:tmpl w:val="5E1A776E"/>
    <w:lvl w:ilvl="0" w:tplc="3198211E">
      <w:start w:val="1"/>
      <w:numFmt w:val="upp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2805A03"/>
    <w:multiLevelType w:val="hybridMultilevel"/>
    <w:tmpl w:val="B9F475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445B0C6B"/>
    <w:multiLevelType w:val="hybridMultilevel"/>
    <w:tmpl w:val="4AF06CE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1C96559"/>
    <w:multiLevelType w:val="hybridMultilevel"/>
    <w:tmpl w:val="B2260D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7BE5BF4"/>
    <w:multiLevelType w:val="hybridMultilevel"/>
    <w:tmpl w:val="C06ED8D0"/>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nsid w:val="59AC635C"/>
    <w:multiLevelType w:val="hybridMultilevel"/>
    <w:tmpl w:val="13B694F0"/>
    <w:lvl w:ilvl="0" w:tplc="4404BE70">
      <w:start w:val="1"/>
      <w:numFmt w:val="decimal"/>
      <w:lvlText w:val="%1."/>
      <w:lvlJc w:val="left"/>
      <w:pPr>
        <w:ind w:left="1080" w:hanging="360"/>
      </w:pPr>
      <w:rPr>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5EC6194E"/>
    <w:multiLevelType w:val="hybridMultilevel"/>
    <w:tmpl w:val="C06ED8D0"/>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nsid w:val="66D96036"/>
    <w:multiLevelType w:val="hybridMultilevel"/>
    <w:tmpl w:val="A296CE30"/>
    <w:lvl w:ilvl="0" w:tplc="99D64E00">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E5C52ED"/>
    <w:multiLevelType w:val="hybridMultilevel"/>
    <w:tmpl w:val="C06ED8D0"/>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7"/>
  </w:num>
  <w:num w:numId="2">
    <w:abstractNumId w:val="12"/>
  </w:num>
  <w:num w:numId="3">
    <w:abstractNumId w:val="2"/>
  </w:num>
  <w:num w:numId="4">
    <w:abstractNumId w:val="11"/>
  </w:num>
  <w:num w:numId="5">
    <w:abstractNumId w:val="14"/>
  </w:num>
  <w:num w:numId="6">
    <w:abstractNumId w:val="10"/>
  </w:num>
  <w:num w:numId="7">
    <w:abstractNumId w:val="0"/>
  </w:num>
  <w:num w:numId="8">
    <w:abstractNumId w:val="1"/>
  </w:num>
  <w:num w:numId="9">
    <w:abstractNumId w:val="9"/>
  </w:num>
  <w:num w:numId="10">
    <w:abstractNumId w:val="6"/>
  </w:num>
  <w:num w:numId="11">
    <w:abstractNumId w:val="15"/>
  </w:num>
  <w:num w:numId="12">
    <w:abstractNumId w:val="13"/>
  </w:num>
  <w:num w:numId="13">
    <w:abstractNumId w:val="3"/>
  </w:num>
  <w:num w:numId="14">
    <w:abstractNumId w:val="4"/>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16"/>
    <w:rsid w:val="00036162"/>
    <w:rsid w:val="000521B2"/>
    <w:rsid w:val="00083759"/>
    <w:rsid w:val="000A658A"/>
    <w:rsid w:val="000C2768"/>
    <w:rsid w:val="000D2DB0"/>
    <w:rsid w:val="000D4D0F"/>
    <w:rsid w:val="000E76D0"/>
    <w:rsid w:val="00102C29"/>
    <w:rsid w:val="0011249B"/>
    <w:rsid w:val="00136FBD"/>
    <w:rsid w:val="00142477"/>
    <w:rsid w:val="001457D5"/>
    <w:rsid w:val="00174ED9"/>
    <w:rsid w:val="001C72CE"/>
    <w:rsid w:val="00227B45"/>
    <w:rsid w:val="00231BB1"/>
    <w:rsid w:val="00240EED"/>
    <w:rsid w:val="00294EEF"/>
    <w:rsid w:val="002970EA"/>
    <w:rsid w:val="002A1C24"/>
    <w:rsid w:val="002C04C2"/>
    <w:rsid w:val="002D45D9"/>
    <w:rsid w:val="002E0EB2"/>
    <w:rsid w:val="003036D6"/>
    <w:rsid w:val="0030592A"/>
    <w:rsid w:val="003237E0"/>
    <w:rsid w:val="00330DC8"/>
    <w:rsid w:val="00347ED6"/>
    <w:rsid w:val="003762AD"/>
    <w:rsid w:val="00376B87"/>
    <w:rsid w:val="0039301D"/>
    <w:rsid w:val="003B0598"/>
    <w:rsid w:val="003B7E57"/>
    <w:rsid w:val="003C122F"/>
    <w:rsid w:val="00420F96"/>
    <w:rsid w:val="00427076"/>
    <w:rsid w:val="00446140"/>
    <w:rsid w:val="0045583C"/>
    <w:rsid w:val="004655F8"/>
    <w:rsid w:val="004809F6"/>
    <w:rsid w:val="004A14CE"/>
    <w:rsid w:val="004B661B"/>
    <w:rsid w:val="004E0B3C"/>
    <w:rsid w:val="004E6A57"/>
    <w:rsid w:val="0056555F"/>
    <w:rsid w:val="00576D95"/>
    <w:rsid w:val="005A2517"/>
    <w:rsid w:val="005D6697"/>
    <w:rsid w:val="005E58F8"/>
    <w:rsid w:val="00614278"/>
    <w:rsid w:val="00625BC3"/>
    <w:rsid w:val="006278EE"/>
    <w:rsid w:val="006317EE"/>
    <w:rsid w:val="00637B27"/>
    <w:rsid w:val="00683061"/>
    <w:rsid w:val="006B7398"/>
    <w:rsid w:val="006D5895"/>
    <w:rsid w:val="006E31B5"/>
    <w:rsid w:val="006E3A41"/>
    <w:rsid w:val="007127F4"/>
    <w:rsid w:val="00717DEA"/>
    <w:rsid w:val="00727B60"/>
    <w:rsid w:val="007A0159"/>
    <w:rsid w:val="007A028A"/>
    <w:rsid w:val="007A792F"/>
    <w:rsid w:val="00810C4C"/>
    <w:rsid w:val="0082063B"/>
    <w:rsid w:val="0082698D"/>
    <w:rsid w:val="00865B4E"/>
    <w:rsid w:val="00872FDD"/>
    <w:rsid w:val="008903CD"/>
    <w:rsid w:val="008A56EB"/>
    <w:rsid w:val="008E3F16"/>
    <w:rsid w:val="008F7F5A"/>
    <w:rsid w:val="00903145"/>
    <w:rsid w:val="00922D64"/>
    <w:rsid w:val="009247FB"/>
    <w:rsid w:val="00935D2F"/>
    <w:rsid w:val="00967B6D"/>
    <w:rsid w:val="009753FD"/>
    <w:rsid w:val="00982C5C"/>
    <w:rsid w:val="009B1CED"/>
    <w:rsid w:val="009B295A"/>
    <w:rsid w:val="009D651A"/>
    <w:rsid w:val="009D7F95"/>
    <w:rsid w:val="00A11BB9"/>
    <w:rsid w:val="00A140C3"/>
    <w:rsid w:val="00A304CE"/>
    <w:rsid w:val="00AC30F4"/>
    <w:rsid w:val="00AD50E8"/>
    <w:rsid w:val="00B1019B"/>
    <w:rsid w:val="00B43709"/>
    <w:rsid w:val="00B634DE"/>
    <w:rsid w:val="00B776B8"/>
    <w:rsid w:val="00BE0A75"/>
    <w:rsid w:val="00BF4481"/>
    <w:rsid w:val="00C13E53"/>
    <w:rsid w:val="00C3020C"/>
    <w:rsid w:val="00C40113"/>
    <w:rsid w:val="00C63CDB"/>
    <w:rsid w:val="00C73BD3"/>
    <w:rsid w:val="00C77A78"/>
    <w:rsid w:val="00C86588"/>
    <w:rsid w:val="00C929CC"/>
    <w:rsid w:val="00CA2FB2"/>
    <w:rsid w:val="00CA5D26"/>
    <w:rsid w:val="00CD7D13"/>
    <w:rsid w:val="00D13CBF"/>
    <w:rsid w:val="00D30C62"/>
    <w:rsid w:val="00D53101"/>
    <w:rsid w:val="00D913D9"/>
    <w:rsid w:val="00D9735E"/>
    <w:rsid w:val="00DB3E04"/>
    <w:rsid w:val="00DC221A"/>
    <w:rsid w:val="00DC3876"/>
    <w:rsid w:val="00DE54F5"/>
    <w:rsid w:val="00E0701B"/>
    <w:rsid w:val="00E2796C"/>
    <w:rsid w:val="00E3504D"/>
    <w:rsid w:val="00E37358"/>
    <w:rsid w:val="00E54EDB"/>
    <w:rsid w:val="00E6589E"/>
    <w:rsid w:val="00E84D33"/>
    <w:rsid w:val="00EB42C3"/>
    <w:rsid w:val="00EB7A37"/>
    <w:rsid w:val="00EE129D"/>
    <w:rsid w:val="00EF2D2B"/>
    <w:rsid w:val="00F0093C"/>
    <w:rsid w:val="00F02078"/>
    <w:rsid w:val="00F07465"/>
    <w:rsid w:val="00F16E78"/>
    <w:rsid w:val="00F32165"/>
    <w:rsid w:val="00F56761"/>
    <w:rsid w:val="00F619DF"/>
    <w:rsid w:val="00F637D8"/>
    <w:rsid w:val="00F81AE8"/>
    <w:rsid w:val="00F928EE"/>
    <w:rsid w:val="00FB700F"/>
    <w:rsid w:val="00FD782B"/>
    <w:rsid w:val="00FF6E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F16"/>
    <w:rPr>
      <w:rFonts w:ascii="Calibri" w:eastAsia="Calibri" w:hAnsi="Calibri" w:cs="Times New Roman"/>
    </w:rPr>
  </w:style>
  <w:style w:type="paragraph" w:styleId="Heading1">
    <w:name w:val="heading 1"/>
    <w:basedOn w:val="Normal"/>
    <w:link w:val="Heading1Char"/>
    <w:uiPriority w:val="9"/>
    <w:qFormat/>
    <w:rsid w:val="00CA5D26"/>
    <w:pPr>
      <w:spacing w:before="100" w:beforeAutospacing="1" w:after="100" w:afterAutospacing="1" w:line="240" w:lineRule="auto"/>
      <w:outlineLvl w:val="0"/>
    </w:pPr>
    <w:rPr>
      <w:rFonts w:ascii="Times New Roman" w:eastAsia="Times New Roman" w:hAnsi="Times New Roman"/>
      <w:b/>
      <w:bCs/>
      <w:kern w:val="36"/>
      <w:sz w:val="48"/>
      <w:szCs w:val="48"/>
      <w:lang w:eastAsia="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A Fu?notente,Ca"/>
    <w:basedOn w:val="Normal"/>
    <w:link w:val="FootnoteTextChar"/>
    <w:unhideWhenUsed/>
    <w:rsid w:val="008E3F16"/>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8E3F16"/>
    <w:rPr>
      <w:rFonts w:ascii="Calibri" w:eastAsia="Calibri" w:hAnsi="Calibri" w:cs="Times New Roman"/>
      <w:sz w:val="20"/>
      <w:szCs w:val="20"/>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basedOn w:val="DefaultParagraphFont"/>
    <w:unhideWhenUsed/>
    <w:rsid w:val="008E3F16"/>
    <w:rPr>
      <w:vertAlign w:val="superscript"/>
    </w:rPr>
  </w:style>
  <w:style w:type="paragraph" w:styleId="Footer">
    <w:name w:val="footer"/>
    <w:basedOn w:val="Normal"/>
    <w:link w:val="FooterChar"/>
    <w:uiPriority w:val="99"/>
    <w:unhideWhenUsed/>
    <w:rsid w:val="008E3F16"/>
    <w:pPr>
      <w:tabs>
        <w:tab w:val="center" w:pos="4419"/>
        <w:tab w:val="right" w:pos="8838"/>
      </w:tabs>
    </w:pPr>
  </w:style>
  <w:style w:type="character" w:customStyle="1" w:styleId="FooterChar">
    <w:name w:val="Footer Char"/>
    <w:basedOn w:val="DefaultParagraphFont"/>
    <w:link w:val="Footer"/>
    <w:uiPriority w:val="99"/>
    <w:rsid w:val="008E3F16"/>
    <w:rPr>
      <w:rFonts w:ascii="Calibri" w:eastAsia="Calibri" w:hAnsi="Calibri" w:cs="Times New Roman"/>
    </w:rPr>
  </w:style>
  <w:style w:type="paragraph" w:styleId="NormalWeb">
    <w:name w:val="Normal (Web)"/>
    <w:basedOn w:val="Normal"/>
    <w:uiPriority w:val="99"/>
    <w:rsid w:val="008E3F16"/>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Strong">
    <w:name w:val="Strong"/>
    <w:basedOn w:val="DefaultParagraphFont"/>
    <w:uiPriority w:val="22"/>
    <w:qFormat/>
    <w:rsid w:val="008E3F16"/>
    <w:rPr>
      <w:b/>
      <w:bCs/>
    </w:rPr>
  </w:style>
  <w:style w:type="paragraph" w:styleId="Header">
    <w:name w:val="header"/>
    <w:basedOn w:val="Normal"/>
    <w:link w:val="HeaderChar"/>
    <w:uiPriority w:val="99"/>
    <w:unhideWhenUsed/>
    <w:rsid w:val="00C77A78"/>
    <w:pPr>
      <w:tabs>
        <w:tab w:val="center" w:pos="4419"/>
        <w:tab w:val="right" w:pos="8838"/>
      </w:tabs>
      <w:spacing w:after="0" w:line="240" w:lineRule="auto"/>
    </w:pPr>
  </w:style>
  <w:style w:type="character" w:customStyle="1" w:styleId="HeaderChar">
    <w:name w:val="Header Char"/>
    <w:basedOn w:val="DefaultParagraphFont"/>
    <w:link w:val="Header"/>
    <w:uiPriority w:val="99"/>
    <w:rsid w:val="00C77A78"/>
    <w:rPr>
      <w:rFonts w:ascii="Calibri" w:eastAsia="Calibri" w:hAnsi="Calibri" w:cs="Times New Roman"/>
    </w:rPr>
  </w:style>
  <w:style w:type="paragraph" w:styleId="ListParagraph">
    <w:name w:val="List Paragraph"/>
    <w:basedOn w:val="Normal"/>
    <w:uiPriority w:val="34"/>
    <w:qFormat/>
    <w:rsid w:val="00576D95"/>
    <w:pPr>
      <w:ind w:left="720"/>
      <w:contextualSpacing/>
    </w:pPr>
  </w:style>
  <w:style w:type="character" w:customStyle="1" w:styleId="Heading1Char">
    <w:name w:val="Heading 1 Char"/>
    <w:basedOn w:val="DefaultParagraphFont"/>
    <w:link w:val="Heading1"/>
    <w:uiPriority w:val="9"/>
    <w:rsid w:val="00CA5D26"/>
    <w:rPr>
      <w:rFonts w:ascii="Times New Roman" w:eastAsia="Times New Roman" w:hAnsi="Times New Roman" w:cs="Times New Roman"/>
      <w:b/>
      <w:bCs/>
      <w:kern w:val="36"/>
      <w:sz w:val="48"/>
      <w:szCs w:val="48"/>
      <w:lang w:eastAsia="es-CL"/>
    </w:rPr>
  </w:style>
  <w:style w:type="paragraph" w:styleId="BalloonText">
    <w:name w:val="Balloon Text"/>
    <w:basedOn w:val="Normal"/>
    <w:link w:val="BalloonTextChar"/>
    <w:uiPriority w:val="99"/>
    <w:semiHidden/>
    <w:unhideWhenUsed/>
    <w:rsid w:val="00637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B27"/>
    <w:rPr>
      <w:rFonts w:ascii="Tahoma" w:eastAsia="Calibri" w:hAnsi="Tahoma" w:cs="Tahoma"/>
      <w:sz w:val="16"/>
      <w:szCs w:val="16"/>
    </w:rPr>
  </w:style>
  <w:style w:type="character" w:styleId="CommentReference">
    <w:name w:val="annotation reference"/>
    <w:basedOn w:val="DefaultParagraphFont"/>
    <w:uiPriority w:val="99"/>
    <w:semiHidden/>
    <w:unhideWhenUsed/>
    <w:rsid w:val="00427076"/>
    <w:rPr>
      <w:sz w:val="16"/>
      <w:szCs w:val="16"/>
    </w:rPr>
  </w:style>
  <w:style w:type="paragraph" w:styleId="CommentText">
    <w:name w:val="annotation text"/>
    <w:basedOn w:val="Normal"/>
    <w:link w:val="CommentTextChar"/>
    <w:uiPriority w:val="99"/>
    <w:semiHidden/>
    <w:unhideWhenUsed/>
    <w:rsid w:val="00427076"/>
    <w:pPr>
      <w:spacing w:line="240" w:lineRule="auto"/>
    </w:pPr>
    <w:rPr>
      <w:sz w:val="20"/>
      <w:szCs w:val="20"/>
    </w:rPr>
  </w:style>
  <w:style w:type="character" w:customStyle="1" w:styleId="CommentTextChar">
    <w:name w:val="Comment Text Char"/>
    <w:basedOn w:val="DefaultParagraphFont"/>
    <w:link w:val="CommentText"/>
    <w:uiPriority w:val="99"/>
    <w:semiHidden/>
    <w:rsid w:val="0042707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27076"/>
    <w:rPr>
      <w:b/>
      <w:bCs/>
    </w:rPr>
  </w:style>
  <w:style w:type="character" w:customStyle="1" w:styleId="CommentSubjectChar">
    <w:name w:val="Comment Subject Char"/>
    <w:basedOn w:val="CommentTextChar"/>
    <w:link w:val="CommentSubject"/>
    <w:uiPriority w:val="99"/>
    <w:semiHidden/>
    <w:rsid w:val="00427076"/>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F16"/>
    <w:rPr>
      <w:rFonts w:ascii="Calibri" w:eastAsia="Calibri" w:hAnsi="Calibri" w:cs="Times New Roman"/>
    </w:rPr>
  </w:style>
  <w:style w:type="paragraph" w:styleId="Heading1">
    <w:name w:val="heading 1"/>
    <w:basedOn w:val="Normal"/>
    <w:link w:val="Heading1Char"/>
    <w:uiPriority w:val="9"/>
    <w:qFormat/>
    <w:rsid w:val="00CA5D26"/>
    <w:pPr>
      <w:spacing w:before="100" w:beforeAutospacing="1" w:after="100" w:afterAutospacing="1" w:line="240" w:lineRule="auto"/>
      <w:outlineLvl w:val="0"/>
    </w:pPr>
    <w:rPr>
      <w:rFonts w:ascii="Times New Roman" w:eastAsia="Times New Roman" w:hAnsi="Times New Roman"/>
      <w:b/>
      <w:bCs/>
      <w:kern w:val="36"/>
      <w:sz w:val="48"/>
      <w:szCs w:val="48"/>
      <w:lang w:eastAsia="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A Fu?notente,Ca"/>
    <w:basedOn w:val="Normal"/>
    <w:link w:val="FootnoteTextChar"/>
    <w:unhideWhenUsed/>
    <w:rsid w:val="008E3F16"/>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8E3F16"/>
    <w:rPr>
      <w:rFonts w:ascii="Calibri" w:eastAsia="Calibri" w:hAnsi="Calibri" w:cs="Times New Roman"/>
      <w:sz w:val="20"/>
      <w:szCs w:val="20"/>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basedOn w:val="DefaultParagraphFont"/>
    <w:unhideWhenUsed/>
    <w:rsid w:val="008E3F16"/>
    <w:rPr>
      <w:vertAlign w:val="superscript"/>
    </w:rPr>
  </w:style>
  <w:style w:type="paragraph" w:styleId="Footer">
    <w:name w:val="footer"/>
    <w:basedOn w:val="Normal"/>
    <w:link w:val="FooterChar"/>
    <w:uiPriority w:val="99"/>
    <w:unhideWhenUsed/>
    <w:rsid w:val="008E3F16"/>
    <w:pPr>
      <w:tabs>
        <w:tab w:val="center" w:pos="4419"/>
        <w:tab w:val="right" w:pos="8838"/>
      </w:tabs>
    </w:pPr>
  </w:style>
  <w:style w:type="character" w:customStyle="1" w:styleId="FooterChar">
    <w:name w:val="Footer Char"/>
    <w:basedOn w:val="DefaultParagraphFont"/>
    <w:link w:val="Footer"/>
    <w:uiPriority w:val="99"/>
    <w:rsid w:val="008E3F16"/>
    <w:rPr>
      <w:rFonts w:ascii="Calibri" w:eastAsia="Calibri" w:hAnsi="Calibri" w:cs="Times New Roman"/>
    </w:rPr>
  </w:style>
  <w:style w:type="paragraph" w:styleId="NormalWeb">
    <w:name w:val="Normal (Web)"/>
    <w:basedOn w:val="Normal"/>
    <w:uiPriority w:val="99"/>
    <w:rsid w:val="008E3F16"/>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Strong">
    <w:name w:val="Strong"/>
    <w:basedOn w:val="DefaultParagraphFont"/>
    <w:uiPriority w:val="22"/>
    <w:qFormat/>
    <w:rsid w:val="008E3F16"/>
    <w:rPr>
      <w:b/>
      <w:bCs/>
    </w:rPr>
  </w:style>
  <w:style w:type="paragraph" w:styleId="Header">
    <w:name w:val="header"/>
    <w:basedOn w:val="Normal"/>
    <w:link w:val="HeaderChar"/>
    <w:uiPriority w:val="99"/>
    <w:unhideWhenUsed/>
    <w:rsid w:val="00C77A78"/>
    <w:pPr>
      <w:tabs>
        <w:tab w:val="center" w:pos="4419"/>
        <w:tab w:val="right" w:pos="8838"/>
      </w:tabs>
      <w:spacing w:after="0" w:line="240" w:lineRule="auto"/>
    </w:pPr>
  </w:style>
  <w:style w:type="character" w:customStyle="1" w:styleId="HeaderChar">
    <w:name w:val="Header Char"/>
    <w:basedOn w:val="DefaultParagraphFont"/>
    <w:link w:val="Header"/>
    <w:uiPriority w:val="99"/>
    <w:rsid w:val="00C77A78"/>
    <w:rPr>
      <w:rFonts w:ascii="Calibri" w:eastAsia="Calibri" w:hAnsi="Calibri" w:cs="Times New Roman"/>
    </w:rPr>
  </w:style>
  <w:style w:type="paragraph" w:styleId="ListParagraph">
    <w:name w:val="List Paragraph"/>
    <w:basedOn w:val="Normal"/>
    <w:uiPriority w:val="34"/>
    <w:qFormat/>
    <w:rsid w:val="00576D95"/>
    <w:pPr>
      <w:ind w:left="720"/>
      <w:contextualSpacing/>
    </w:pPr>
  </w:style>
  <w:style w:type="character" w:customStyle="1" w:styleId="Heading1Char">
    <w:name w:val="Heading 1 Char"/>
    <w:basedOn w:val="DefaultParagraphFont"/>
    <w:link w:val="Heading1"/>
    <w:uiPriority w:val="9"/>
    <w:rsid w:val="00CA5D26"/>
    <w:rPr>
      <w:rFonts w:ascii="Times New Roman" w:eastAsia="Times New Roman" w:hAnsi="Times New Roman" w:cs="Times New Roman"/>
      <w:b/>
      <w:bCs/>
      <w:kern w:val="36"/>
      <w:sz w:val="48"/>
      <w:szCs w:val="48"/>
      <w:lang w:eastAsia="es-CL"/>
    </w:rPr>
  </w:style>
  <w:style w:type="paragraph" w:styleId="BalloonText">
    <w:name w:val="Balloon Text"/>
    <w:basedOn w:val="Normal"/>
    <w:link w:val="BalloonTextChar"/>
    <w:uiPriority w:val="99"/>
    <w:semiHidden/>
    <w:unhideWhenUsed/>
    <w:rsid w:val="00637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B27"/>
    <w:rPr>
      <w:rFonts w:ascii="Tahoma" w:eastAsia="Calibri" w:hAnsi="Tahoma" w:cs="Tahoma"/>
      <w:sz w:val="16"/>
      <w:szCs w:val="16"/>
    </w:rPr>
  </w:style>
  <w:style w:type="character" w:styleId="CommentReference">
    <w:name w:val="annotation reference"/>
    <w:basedOn w:val="DefaultParagraphFont"/>
    <w:uiPriority w:val="99"/>
    <w:semiHidden/>
    <w:unhideWhenUsed/>
    <w:rsid w:val="00427076"/>
    <w:rPr>
      <w:sz w:val="16"/>
      <w:szCs w:val="16"/>
    </w:rPr>
  </w:style>
  <w:style w:type="paragraph" w:styleId="CommentText">
    <w:name w:val="annotation text"/>
    <w:basedOn w:val="Normal"/>
    <w:link w:val="CommentTextChar"/>
    <w:uiPriority w:val="99"/>
    <w:semiHidden/>
    <w:unhideWhenUsed/>
    <w:rsid w:val="00427076"/>
    <w:pPr>
      <w:spacing w:line="240" w:lineRule="auto"/>
    </w:pPr>
    <w:rPr>
      <w:sz w:val="20"/>
      <w:szCs w:val="20"/>
    </w:rPr>
  </w:style>
  <w:style w:type="character" w:customStyle="1" w:styleId="CommentTextChar">
    <w:name w:val="Comment Text Char"/>
    <w:basedOn w:val="DefaultParagraphFont"/>
    <w:link w:val="CommentText"/>
    <w:uiPriority w:val="99"/>
    <w:semiHidden/>
    <w:rsid w:val="0042707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27076"/>
    <w:rPr>
      <w:b/>
      <w:bCs/>
    </w:rPr>
  </w:style>
  <w:style w:type="character" w:customStyle="1" w:styleId="CommentSubjectChar">
    <w:name w:val="Comment Subject Char"/>
    <w:basedOn w:val="CommentTextChar"/>
    <w:link w:val="CommentSubject"/>
    <w:uiPriority w:val="99"/>
    <w:semiHidden/>
    <w:rsid w:val="0042707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2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D305E-9BD5-4363-A5FE-C98477AC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2593</Words>
  <Characters>13590</Characters>
  <Application>Microsoft Office Word</Application>
  <DocSecurity>0</DocSecurity>
  <Lines>230</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Jairo Guadamuz</cp:lastModifiedBy>
  <cp:revision>3</cp:revision>
  <cp:lastPrinted>2015-07-28T17:25:00Z</cp:lastPrinted>
  <dcterms:created xsi:type="dcterms:W3CDTF">2015-09-07T16:42:00Z</dcterms:created>
  <dcterms:modified xsi:type="dcterms:W3CDTF">2015-09-07T21:22:00Z</dcterms:modified>
</cp:coreProperties>
</file>