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48" w:rsidRDefault="00C74848" w:rsidP="00F4471C">
      <w:pPr>
        <w:spacing w:after="0"/>
        <w:jc w:val="center"/>
        <w:rPr>
          <w:rFonts w:ascii="Verdana" w:hAnsi="Verdana" w:cs="Calibri"/>
          <w:b/>
          <w:sz w:val="20"/>
          <w:szCs w:val="20"/>
        </w:rPr>
      </w:pPr>
      <w:bookmarkStart w:id="0" w:name="_Toc326752434"/>
      <w:bookmarkStart w:id="1" w:name="_GoBack"/>
      <w:bookmarkEnd w:id="1"/>
    </w:p>
    <w:p w:rsidR="00C74848" w:rsidRDefault="00C74848" w:rsidP="00F4471C">
      <w:pPr>
        <w:spacing w:after="0"/>
        <w:jc w:val="center"/>
        <w:rPr>
          <w:rFonts w:ascii="Verdana" w:hAnsi="Verdana" w:cs="Calibri"/>
          <w:b/>
          <w:sz w:val="20"/>
          <w:szCs w:val="20"/>
        </w:rPr>
      </w:pPr>
    </w:p>
    <w:p w:rsidR="00C74848" w:rsidRDefault="00C74848" w:rsidP="00F4471C">
      <w:pPr>
        <w:spacing w:after="0"/>
        <w:jc w:val="center"/>
        <w:rPr>
          <w:rFonts w:ascii="Verdana" w:hAnsi="Verdana" w:cs="Calibri"/>
          <w:b/>
          <w:sz w:val="20"/>
          <w:szCs w:val="20"/>
        </w:rPr>
      </w:pPr>
    </w:p>
    <w:p w:rsidR="00C74848" w:rsidRDefault="00C74848" w:rsidP="00F4471C">
      <w:pPr>
        <w:spacing w:after="0"/>
        <w:jc w:val="center"/>
        <w:rPr>
          <w:rFonts w:ascii="Verdana" w:hAnsi="Verdana" w:cs="Calibri"/>
          <w:b/>
          <w:sz w:val="20"/>
          <w:szCs w:val="20"/>
        </w:rPr>
      </w:pPr>
    </w:p>
    <w:p w:rsidR="00C74848" w:rsidRDefault="00C74848" w:rsidP="00F4471C">
      <w:pPr>
        <w:spacing w:after="0"/>
        <w:jc w:val="center"/>
        <w:rPr>
          <w:rFonts w:ascii="Verdana" w:hAnsi="Verdana" w:cs="Calibri"/>
          <w:b/>
          <w:sz w:val="20"/>
          <w:szCs w:val="20"/>
        </w:rPr>
      </w:pPr>
    </w:p>
    <w:p w:rsidR="005B2171" w:rsidRPr="00C54BB0" w:rsidRDefault="005B2171" w:rsidP="00F4471C">
      <w:pPr>
        <w:spacing w:after="0"/>
        <w:jc w:val="center"/>
        <w:rPr>
          <w:rFonts w:ascii="Verdana" w:hAnsi="Verdana" w:cs="Calibri"/>
          <w:b/>
          <w:sz w:val="20"/>
          <w:szCs w:val="20"/>
        </w:rPr>
      </w:pPr>
      <w:r w:rsidRPr="00C54BB0">
        <w:rPr>
          <w:rFonts w:ascii="Verdana" w:hAnsi="Verdana" w:cs="Calibri"/>
          <w:b/>
          <w:sz w:val="20"/>
          <w:szCs w:val="20"/>
        </w:rPr>
        <w:t>V</w:t>
      </w:r>
      <w:bookmarkStart w:id="2" w:name="_Toc301370523"/>
      <w:r w:rsidRPr="00C54BB0">
        <w:rPr>
          <w:rFonts w:ascii="Verdana" w:hAnsi="Verdana" w:cs="Calibri"/>
          <w:b/>
          <w:sz w:val="20"/>
          <w:szCs w:val="20"/>
        </w:rPr>
        <w:t>OTO INDIVIDUAL DISIDENTE DEL JUEZ EDUARDO VIO GROSSI</w:t>
      </w:r>
    </w:p>
    <w:p w:rsidR="005B2171" w:rsidRPr="00F1365E" w:rsidRDefault="005B2171" w:rsidP="00F4471C">
      <w:pPr>
        <w:spacing w:after="0"/>
        <w:jc w:val="center"/>
        <w:rPr>
          <w:rFonts w:ascii="Verdana" w:hAnsi="Verdana" w:cs="Calibri"/>
          <w:b/>
          <w:snapToGrid w:val="0"/>
          <w:sz w:val="20"/>
          <w:szCs w:val="20"/>
          <w:lang w:val="pt-BR"/>
        </w:rPr>
      </w:pPr>
      <w:r w:rsidRPr="00F1365E">
        <w:rPr>
          <w:rFonts w:ascii="Verdana" w:hAnsi="Verdana" w:cs="Calibri"/>
          <w:b/>
          <w:snapToGrid w:val="0"/>
          <w:sz w:val="20"/>
          <w:szCs w:val="20"/>
          <w:lang w:val="pt-BR"/>
        </w:rPr>
        <w:t>CORTE INTERAMERICANA DE DERECHOS HUMANOS</w:t>
      </w:r>
    </w:p>
    <w:p w:rsidR="005B2171" w:rsidRPr="00F1365E" w:rsidRDefault="005B2171" w:rsidP="00F4471C">
      <w:pPr>
        <w:spacing w:after="0"/>
        <w:jc w:val="center"/>
        <w:rPr>
          <w:rFonts w:ascii="Verdana" w:hAnsi="Verdana" w:cs="Calibri"/>
          <w:b/>
          <w:snapToGrid w:val="0"/>
          <w:sz w:val="20"/>
          <w:szCs w:val="20"/>
          <w:lang w:val="pt-BR"/>
        </w:rPr>
      </w:pPr>
      <w:r w:rsidRPr="00F1365E">
        <w:rPr>
          <w:rFonts w:ascii="Verdana" w:hAnsi="Verdana" w:cs="Calibri"/>
          <w:b/>
          <w:snapToGrid w:val="0"/>
          <w:sz w:val="20"/>
          <w:szCs w:val="20"/>
          <w:lang w:val="pt-BR"/>
        </w:rPr>
        <w:t xml:space="preserve">CASO WONG HO WING </w:t>
      </w:r>
      <w:r w:rsidRPr="00F1365E">
        <w:rPr>
          <w:rFonts w:ascii="Verdana" w:hAnsi="Verdana" w:cs="Calibri"/>
          <w:b/>
          <w:i/>
          <w:snapToGrid w:val="0"/>
          <w:sz w:val="20"/>
          <w:szCs w:val="20"/>
          <w:lang w:val="pt-BR"/>
        </w:rPr>
        <w:t>V</w:t>
      </w:r>
      <w:r w:rsidR="004F4448" w:rsidRPr="00F1365E">
        <w:rPr>
          <w:rFonts w:ascii="Verdana" w:hAnsi="Verdana" w:cs="Calibri"/>
          <w:b/>
          <w:i/>
          <w:snapToGrid w:val="0"/>
          <w:sz w:val="20"/>
          <w:szCs w:val="20"/>
          <w:lang w:val="pt-BR"/>
        </w:rPr>
        <w:t>S.</w:t>
      </w:r>
      <w:r w:rsidRPr="00F1365E">
        <w:rPr>
          <w:rFonts w:ascii="Verdana" w:hAnsi="Verdana" w:cs="Calibri"/>
          <w:b/>
          <w:i/>
          <w:snapToGrid w:val="0"/>
          <w:sz w:val="20"/>
          <w:szCs w:val="20"/>
          <w:lang w:val="pt-BR"/>
        </w:rPr>
        <w:t xml:space="preserve"> </w:t>
      </w:r>
      <w:r w:rsidRPr="00F1365E">
        <w:rPr>
          <w:rFonts w:ascii="Verdana" w:hAnsi="Verdana" w:cs="Calibri"/>
          <w:b/>
          <w:snapToGrid w:val="0"/>
          <w:sz w:val="20"/>
          <w:szCs w:val="20"/>
          <w:lang w:val="pt-BR"/>
        </w:rPr>
        <w:t>PERÚ</w:t>
      </w:r>
    </w:p>
    <w:p w:rsidR="005B2171" w:rsidRPr="00F1365E" w:rsidRDefault="005B2171" w:rsidP="00F4471C">
      <w:pPr>
        <w:spacing w:after="0"/>
        <w:jc w:val="center"/>
        <w:rPr>
          <w:rFonts w:ascii="Verdana" w:hAnsi="Verdana" w:cs="Calibri"/>
          <w:b/>
          <w:snapToGrid w:val="0"/>
          <w:sz w:val="20"/>
          <w:szCs w:val="20"/>
        </w:rPr>
      </w:pPr>
      <w:r w:rsidRPr="00F1365E">
        <w:rPr>
          <w:rFonts w:ascii="Verdana" w:hAnsi="Verdana" w:cs="Calibri"/>
          <w:b/>
          <w:snapToGrid w:val="0"/>
          <w:sz w:val="20"/>
          <w:szCs w:val="20"/>
        </w:rPr>
        <w:t xml:space="preserve">SENTENCIA DE </w:t>
      </w:r>
      <w:r w:rsidR="002A3944" w:rsidRPr="00F1365E">
        <w:rPr>
          <w:rFonts w:ascii="Verdana" w:hAnsi="Verdana" w:cs="Calibri"/>
          <w:b/>
          <w:snapToGrid w:val="0"/>
          <w:sz w:val="20"/>
          <w:szCs w:val="20"/>
        </w:rPr>
        <w:t xml:space="preserve">30 </w:t>
      </w:r>
      <w:r w:rsidRPr="00F1365E">
        <w:rPr>
          <w:rFonts w:ascii="Verdana" w:hAnsi="Verdana" w:cs="Calibri"/>
          <w:b/>
          <w:snapToGrid w:val="0"/>
          <w:sz w:val="20"/>
          <w:szCs w:val="20"/>
        </w:rPr>
        <w:t>DE</w:t>
      </w:r>
      <w:r w:rsidR="002A3944" w:rsidRPr="00F1365E">
        <w:rPr>
          <w:rFonts w:ascii="Verdana" w:hAnsi="Verdana" w:cs="Calibri"/>
          <w:b/>
          <w:snapToGrid w:val="0"/>
          <w:sz w:val="20"/>
          <w:szCs w:val="20"/>
        </w:rPr>
        <w:t xml:space="preserve"> </w:t>
      </w:r>
      <w:r w:rsidRPr="00F1365E">
        <w:rPr>
          <w:rFonts w:ascii="Verdana" w:hAnsi="Verdana" w:cs="Calibri"/>
          <w:b/>
          <w:snapToGrid w:val="0"/>
          <w:sz w:val="20"/>
          <w:szCs w:val="20"/>
        </w:rPr>
        <w:t xml:space="preserve">JUNIO </w:t>
      </w:r>
      <w:r w:rsidR="002A3944" w:rsidRPr="00F1365E">
        <w:rPr>
          <w:rFonts w:ascii="Verdana" w:hAnsi="Verdana" w:cs="Calibri"/>
          <w:b/>
          <w:snapToGrid w:val="0"/>
          <w:sz w:val="20"/>
          <w:szCs w:val="20"/>
        </w:rPr>
        <w:t xml:space="preserve">DE </w:t>
      </w:r>
      <w:r w:rsidRPr="00F1365E">
        <w:rPr>
          <w:rFonts w:ascii="Verdana" w:hAnsi="Verdana" w:cs="Calibri"/>
          <w:b/>
          <w:snapToGrid w:val="0"/>
          <w:sz w:val="20"/>
          <w:szCs w:val="20"/>
        </w:rPr>
        <w:t>2015</w:t>
      </w:r>
    </w:p>
    <w:p w:rsidR="005B2171" w:rsidRPr="00F1365E" w:rsidRDefault="005B2171" w:rsidP="00F4471C">
      <w:pPr>
        <w:spacing w:after="0"/>
        <w:jc w:val="center"/>
        <w:rPr>
          <w:rFonts w:ascii="Verdana" w:hAnsi="Verdana" w:cs="Calibri"/>
          <w:b/>
          <w:caps/>
          <w:snapToGrid w:val="0"/>
          <w:sz w:val="20"/>
          <w:szCs w:val="20"/>
        </w:rPr>
      </w:pPr>
      <w:r w:rsidRPr="00F1365E">
        <w:rPr>
          <w:rFonts w:ascii="Verdana" w:hAnsi="Verdana" w:cs="Calibri"/>
          <w:b/>
          <w:snapToGrid w:val="0"/>
          <w:sz w:val="20"/>
          <w:szCs w:val="20"/>
        </w:rPr>
        <w:t>(Excepci</w:t>
      </w:r>
      <w:r w:rsidR="004F4448" w:rsidRPr="00F1365E">
        <w:rPr>
          <w:rFonts w:ascii="Verdana" w:hAnsi="Verdana" w:cs="Calibri"/>
          <w:b/>
          <w:snapToGrid w:val="0"/>
          <w:sz w:val="20"/>
          <w:szCs w:val="20"/>
        </w:rPr>
        <w:t>ón</w:t>
      </w:r>
      <w:r w:rsidRPr="00F1365E">
        <w:rPr>
          <w:rFonts w:ascii="Verdana" w:hAnsi="Verdana" w:cs="Calibri"/>
          <w:b/>
          <w:snapToGrid w:val="0"/>
          <w:sz w:val="20"/>
          <w:szCs w:val="20"/>
        </w:rPr>
        <w:t xml:space="preserve"> Prelimina</w:t>
      </w:r>
      <w:r w:rsidR="005C0EFB" w:rsidRPr="00F1365E">
        <w:rPr>
          <w:rFonts w:ascii="Verdana" w:hAnsi="Verdana" w:cs="Calibri"/>
          <w:b/>
          <w:snapToGrid w:val="0"/>
          <w:sz w:val="20"/>
          <w:szCs w:val="20"/>
        </w:rPr>
        <w:t>r</w:t>
      </w:r>
      <w:r w:rsidRPr="00F1365E">
        <w:rPr>
          <w:rFonts w:ascii="Verdana" w:hAnsi="Verdana" w:cs="Calibri"/>
          <w:b/>
          <w:snapToGrid w:val="0"/>
          <w:sz w:val="20"/>
          <w:szCs w:val="20"/>
        </w:rPr>
        <w:t>, Fondo, Reparaciones y Costas</w:t>
      </w:r>
      <w:r w:rsidRPr="00F1365E">
        <w:rPr>
          <w:rFonts w:ascii="Verdana" w:hAnsi="Verdana" w:cs="Calibri"/>
          <w:b/>
          <w:caps/>
          <w:snapToGrid w:val="0"/>
          <w:sz w:val="20"/>
          <w:szCs w:val="20"/>
        </w:rPr>
        <w:t>)</w:t>
      </w:r>
    </w:p>
    <w:bookmarkEnd w:id="0"/>
    <w:bookmarkEnd w:id="2"/>
    <w:p w:rsidR="00E04ABD" w:rsidRPr="00F1365E" w:rsidRDefault="00E04ABD" w:rsidP="00F4471C">
      <w:pPr>
        <w:spacing w:after="0"/>
        <w:jc w:val="both"/>
        <w:rPr>
          <w:rFonts w:ascii="Verdana" w:hAnsi="Verdana" w:cs="Calibri"/>
          <w:sz w:val="20"/>
          <w:szCs w:val="20"/>
          <w:lang w:val="es-CR"/>
        </w:rPr>
      </w:pPr>
    </w:p>
    <w:p w:rsidR="00AD04B0" w:rsidRDefault="005B2171" w:rsidP="00F4471C">
      <w:pPr>
        <w:spacing w:after="0"/>
        <w:jc w:val="both"/>
        <w:rPr>
          <w:rFonts w:ascii="Verdana" w:hAnsi="Verdana" w:cs="Calibri"/>
          <w:b/>
          <w:sz w:val="20"/>
          <w:szCs w:val="20"/>
          <w:lang w:val="es-CR"/>
        </w:rPr>
      </w:pPr>
      <w:r w:rsidRPr="00C54BB0">
        <w:rPr>
          <w:rFonts w:ascii="Verdana" w:hAnsi="Verdana" w:cs="Calibri"/>
          <w:b/>
          <w:sz w:val="20"/>
          <w:szCs w:val="20"/>
          <w:lang w:val="es-CR"/>
        </w:rPr>
        <w:t>INTRODUCCIÓN.</w:t>
      </w:r>
    </w:p>
    <w:p w:rsidR="00F4471C" w:rsidRDefault="00F4471C" w:rsidP="00F4471C">
      <w:pPr>
        <w:spacing w:after="0"/>
        <w:jc w:val="both"/>
        <w:rPr>
          <w:rFonts w:ascii="Verdana" w:hAnsi="Verdana" w:cs="Calibri"/>
          <w:sz w:val="20"/>
          <w:szCs w:val="20"/>
          <w:lang w:val="es-CR"/>
        </w:rPr>
      </w:pPr>
    </w:p>
    <w:p w:rsidR="005B2171" w:rsidRPr="00F1365E" w:rsidRDefault="005B2171" w:rsidP="00F4471C">
      <w:pPr>
        <w:spacing w:after="0"/>
        <w:jc w:val="both"/>
        <w:rPr>
          <w:rFonts w:ascii="Verdana" w:hAnsi="Verdana" w:cs="Calibri"/>
          <w:sz w:val="20"/>
          <w:szCs w:val="20"/>
          <w:lang w:val="es-CR"/>
        </w:rPr>
      </w:pPr>
      <w:r w:rsidRPr="00C54BB0">
        <w:rPr>
          <w:rFonts w:ascii="Verdana" w:hAnsi="Verdana" w:cs="Calibri"/>
          <w:sz w:val="20"/>
          <w:szCs w:val="20"/>
          <w:lang w:val="es-CR"/>
        </w:rPr>
        <w:t>Se emite el presente voto individual disidente</w:t>
      </w:r>
      <w:r w:rsidRPr="00C54BB0">
        <w:rPr>
          <w:rStyle w:val="FootnoteReference"/>
          <w:rFonts w:cs="Calibri"/>
          <w:szCs w:val="20"/>
          <w:lang w:val="es-CR"/>
        </w:rPr>
        <w:footnoteReference w:id="1"/>
      </w:r>
      <w:r w:rsidRPr="00C54BB0">
        <w:rPr>
          <w:rFonts w:ascii="Verdana" w:hAnsi="Verdana" w:cs="Calibri"/>
          <w:sz w:val="20"/>
          <w:szCs w:val="20"/>
          <w:lang w:val="es-CR"/>
        </w:rPr>
        <w:t xml:space="preserve"> de la Sentencia indicada en el título</w:t>
      </w:r>
      <w:r w:rsidRPr="00C54BB0">
        <w:rPr>
          <w:rStyle w:val="FootnoteReference"/>
          <w:rFonts w:cs="Calibri"/>
          <w:szCs w:val="20"/>
          <w:lang w:val="es-CR"/>
        </w:rPr>
        <w:footnoteReference w:id="2"/>
      </w:r>
      <w:r w:rsidRPr="00C54BB0">
        <w:rPr>
          <w:rFonts w:ascii="Verdana" w:hAnsi="Verdana" w:cs="Calibri"/>
          <w:sz w:val="20"/>
          <w:szCs w:val="20"/>
          <w:lang w:val="es-CR"/>
        </w:rPr>
        <w:t>, en razón de que ésta desestimó la excepción preliminar relativa al incumplimiento de la regla del previo agotamiento de los recursos internos interpuesta por la República del Perú</w:t>
      </w:r>
      <w:r w:rsidRPr="00C54BB0">
        <w:rPr>
          <w:rStyle w:val="FootnoteReference"/>
          <w:rFonts w:cs="Calibri"/>
          <w:szCs w:val="20"/>
          <w:lang w:val="es-CR"/>
        </w:rPr>
        <w:footnoteReference w:id="3"/>
      </w:r>
      <w:r w:rsidRPr="00C54BB0">
        <w:rPr>
          <w:rFonts w:ascii="Verdana" w:hAnsi="Verdana" w:cs="Calibri"/>
          <w:sz w:val="20"/>
          <w:szCs w:val="20"/>
          <w:lang w:val="es-CR"/>
        </w:rPr>
        <w:t>. Los fundamentos de esta disidencia dicen relación con la oportunidad en que debe cumplirse dicha regla. Mientras la Sentencia es del parecer que ello debe acontecer, a más tardar, al instante en que la Comisión Interamericana de Derechos Humanos</w:t>
      </w:r>
      <w:r w:rsidRPr="00C54BB0">
        <w:rPr>
          <w:rStyle w:val="FootnoteReference"/>
          <w:rFonts w:cs="Calibri"/>
          <w:szCs w:val="20"/>
          <w:lang w:val="es-CR"/>
        </w:rPr>
        <w:footnoteReference w:id="4"/>
      </w:r>
      <w:r w:rsidRPr="00C54BB0">
        <w:rPr>
          <w:rFonts w:ascii="Verdana" w:hAnsi="Verdana" w:cs="Calibri"/>
          <w:sz w:val="20"/>
          <w:szCs w:val="20"/>
          <w:lang w:val="es-CR"/>
        </w:rPr>
        <w:t xml:space="preserve"> se pronuncia sobre la </w:t>
      </w:r>
      <w:r w:rsidRPr="00F1365E">
        <w:rPr>
          <w:rFonts w:ascii="Verdana" w:hAnsi="Verdana" w:cs="Calibri"/>
          <w:sz w:val="20"/>
          <w:szCs w:val="20"/>
          <w:lang w:val="es-CR"/>
        </w:rPr>
        <w:t>admisibilidad de la petición o comunicación</w:t>
      </w:r>
      <w:r w:rsidRPr="00F1365E">
        <w:rPr>
          <w:rStyle w:val="FootnoteReference"/>
          <w:rFonts w:cs="Calibri"/>
          <w:szCs w:val="20"/>
          <w:lang w:val="es-CR"/>
        </w:rPr>
        <w:footnoteReference w:id="5"/>
      </w:r>
      <w:r w:rsidRPr="00F1365E">
        <w:rPr>
          <w:rFonts w:ascii="Verdana" w:hAnsi="Verdana" w:cs="Calibri"/>
          <w:sz w:val="20"/>
          <w:szCs w:val="20"/>
          <w:lang w:val="es-CR"/>
        </w:rPr>
        <w:t xml:space="preserve"> que ha dado origen al caso correspondiente</w:t>
      </w:r>
      <w:r w:rsidRPr="00F1365E">
        <w:rPr>
          <w:rStyle w:val="FootnoteReference"/>
          <w:rFonts w:cs="Calibri"/>
          <w:szCs w:val="20"/>
          <w:lang w:val="es-CR"/>
        </w:rPr>
        <w:footnoteReference w:id="6"/>
      </w:r>
      <w:r w:rsidRPr="00F1365E">
        <w:rPr>
          <w:rFonts w:ascii="Verdana" w:hAnsi="Verdana" w:cs="Calibri"/>
          <w:sz w:val="20"/>
          <w:szCs w:val="20"/>
          <w:lang w:val="es-CR"/>
        </w:rPr>
        <w:t>, en el presente documento se sostiene, en cambio, que dicha regla debe estar cumplida al momento de presentarse aquella, lo que debe ser verificado por la Comisión tanto cuando ello acontezca como al momento de pronunciarse sobre su admisibilidad. En otras palabras, mientras la Sentencia estima que el cumplimiento de la mencionada regla es un requisito para la admisibilidad de la petición, en este voto se considera que lo es para su presentación y, consecuentemente, para que se le pueda proceder a aquella.</w:t>
      </w:r>
    </w:p>
    <w:p w:rsidR="00F4471C" w:rsidRPr="00F1365E" w:rsidRDefault="00F4471C" w:rsidP="00F4471C">
      <w:pPr>
        <w:spacing w:after="0"/>
        <w:jc w:val="both"/>
        <w:rPr>
          <w:rFonts w:ascii="Verdana" w:hAnsi="Verdana" w:cs="Calibri"/>
          <w:b/>
          <w:sz w:val="20"/>
          <w:szCs w:val="20"/>
          <w:lang w:val="es-CR"/>
        </w:rPr>
      </w:pPr>
    </w:p>
    <w:p w:rsidR="00E50A09" w:rsidRPr="00F1365E" w:rsidRDefault="00282759" w:rsidP="00F4471C">
      <w:pPr>
        <w:spacing w:after="0"/>
        <w:jc w:val="both"/>
        <w:rPr>
          <w:rFonts w:ascii="Verdana" w:hAnsi="Verdana" w:cs="Calibri"/>
          <w:sz w:val="20"/>
          <w:szCs w:val="20"/>
        </w:rPr>
      </w:pPr>
      <w:r w:rsidRPr="00F1365E">
        <w:rPr>
          <w:rFonts w:ascii="Verdana" w:hAnsi="Verdana" w:cs="Calibri"/>
          <w:sz w:val="20"/>
          <w:szCs w:val="20"/>
        </w:rPr>
        <w:t>Habida cuenta</w:t>
      </w:r>
      <w:r w:rsidR="00910305" w:rsidRPr="00F1365E">
        <w:rPr>
          <w:rFonts w:ascii="Verdana" w:hAnsi="Verdana" w:cs="Calibri"/>
          <w:sz w:val="20"/>
          <w:szCs w:val="20"/>
        </w:rPr>
        <w:t xml:space="preserve"> </w:t>
      </w:r>
      <w:r w:rsidR="00F90978" w:rsidRPr="00F1365E">
        <w:rPr>
          <w:rFonts w:ascii="Verdana" w:hAnsi="Verdana" w:cs="Calibri"/>
          <w:sz w:val="20"/>
          <w:szCs w:val="20"/>
        </w:rPr>
        <w:t>de</w:t>
      </w:r>
      <w:r w:rsidRPr="00F1365E">
        <w:rPr>
          <w:rFonts w:ascii="Verdana" w:hAnsi="Verdana" w:cs="Calibri"/>
          <w:sz w:val="20"/>
          <w:szCs w:val="20"/>
        </w:rPr>
        <w:t xml:space="preserve"> lo dispuesto </w:t>
      </w:r>
      <w:r w:rsidR="001C4EF3">
        <w:rPr>
          <w:rFonts w:ascii="Verdana" w:hAnsi="Verdana" w:cs="Calibri"/>
          <w:sz w:val="20"/>
          <w:szCs w:val="20"/>
        </w:rPr>
        <w:t>en el artículo 65</w:t>
      </w:r>
      <w:r w:rsidR="00201070" w:rsidRPr="00F1365E">
        <w:rPr>
          <w:rFonts w:ascii="Verdana" w:hAnsi="Verdana" w:cs="Calibri"/>
          <w:sz w:val="20"/>
          <w:szCs w:val="20"/>
        </w:rPr>
        <w:t>.</w:t>
      </w:r>
      <w:r w:rsidR="001C4EF3">
        <w:rPr>
          <w:rFonts w:ascii="Verdana" w:hAnsi="Verdana" w:cs="Calibri"/>
          <w:sz w:val="20"/>
          <w:szCs w:val="20"/>
        </w:rPr>
        <w:t>2</w:t>
      </w:r>
      <w:r w:rsidR="00201070" w:rsidRPr="00F1365E">
        <w:rPr>
          <w:rFonts w:ascii="Verdana" w:hAnsi="Verdana" w:cs="Calibri"/>
          <w:sz w:val="20"/>
          <w:szCs w:val="20"/>
        </w:rPr>
        <w:t xml:space="preserve"> del Reglamento de </w:t>
      </w:r>
      <w:r w:rsidR="002A3944" w:rsidRPr="00F1365E">
        <w:rPr>
          <w:rFonts w:ascii="Verdana" w:hAnsi="Verdana" w:cs="Calibri"/>
          <w:sz w:val="20"/>
          <w:szCs w:val="20"/>
        </w:rPr>
        <w:t xml:space="preserve">la Corte, </w:t>
      </w:r>
      <w:r w:rsidRPr="00F1365E">
        <w:rPr>
          <w:rFonts w:ascii="Verdana" w:hAnsi="Verdana" w:cs="Calibri"/>
          <w:sz w:val="20"/>
          <w:szCs w:val="20"/>
        </w:rPr>
        <w:t xml:space="preserve">en </w:t>
      </w:r>
      <w:r w:rsidR="002A3944" w:rsidRPr="00F1365E">
        <w:rPr>
          <w:rFonts w:ascii="Verdana" w:hAnsi="Verdana" w:cs="Calibri"/>
          <w:sz w:val="20"/>
          <w:szCs w:val="20"/>
        </w:rPr>
        <w:t xml:space="preserve">el presente voto </w:t>
      </w:r>
      <w:r w:rsidR="007D772C" w:rsidRPr="00F1365E">
        <w:rPr>
          <w:rFonts w:ascii="Verdana" w:hAnsi="Verdana" w:cs="Calibri"/>
          <w:sz w:val="20"/>
          <w:szCs w:val="20"/>
        </w:rPr>
        <w:t xml:space="preserve">se </w:t>
      </w:r>
      <w:r w:rsidRPr="00F1365E">
        <w:rPr>
          <w:rFonts w:ascii="Verdana" w:hAnsi="Verdana" w:cs="Calibri"/>
          <w:sz w:val="20"/>
          <w:szCs w:val="20"/>
        </w:rPr>
        <w:t xml:space="preserve">da cuenta </w:t>
      </w:r>
      <w:r w:rsidR="002A3944" w:rsidRPr="00F1365E">
        <w:rPr>
          <w:rFonts w:ascii="Verdana" w:hAnsi="Verdana" w:cs="Calibri"/>
          <w:sz w:val="20"/>
          <w:szCs w:val="20"/>
        </w:rPr>
        <w:t>única y</w:t>
      </w:r>
      <w:r w:rsidRPr="00F1365E">
        <w:rPr>
          <w:rFonts w:ascii="Verdana" w:hAnsi="Verdana" w:cs="Calibri"/>
          <w:sz w:val="20"/>
          <w:szCs w:val="20"/>
        </w:rPr>
        <w:t xml:space="preserve"> exclusivamente de las razones por las que el suscrito considera que en la Sentencia se debía acoger la excepción preliminar sobre la falta del previo agotamiento de los recursos internos formulada por el Estado y, por ende, </w:t>
      </w:r>
      <w:r w:rsidR="00101CAE" w:rsidRPr="00F1365E">
        <w:rPr>
          <w:rFonts w:ascii="Verdana" w:hAnsi="Verdana" w:cs="Calibri"/>
          <w:sz w:val="20"/>
          <w:szCs w:val="20"/>
        </w:rPr>
        <w:t xml:space="preserve">que </w:t>
      </w:r>
      <w:r w:rsidRPr="00F1365E">
        <w:rPr>
          <w:rFonts w:ascii="Verdana" w:hAnsi="Verdana" w:cs="Calibri"/>
          <w:sz w:val="20"/>
          <w:szCs w:val="20"/>
        </w:rPr>
        <w:t xml:space="preserve">debía abstenerse de pronunciarse sobre el fondo de la causa. </w:t>
      </w:r>
      <w:r w:rsidR="00101CAE" w:rsidRPr="00F1365E">
        <w:rPr>
          <w:rFonts w:ascii="Verdana" w:hAnsi="Verdana" w:cs="Calibri"/>
          <w:sz w:val="20"/>
          <w:szCs w:val="20"/>
        </w:rPr>
        <w:t>Por tanto, el presente voto se limita al punto decisorio sobre el particular</w:t>
      </w:r>
      <w:r w:rsidRPr="00F1365E">
        <w:rPr>
          <w:rFonts w:ascii="Verdana" w:hAnsi="Verdana" w:cs="Calibri"/>
          <w:sz w:val="20"/>
          <w:szCs w:val="20"/>
        </w:rPr>
        <w:t xml:space="preserve"> a</w:t>
      </w:r>
      <w:r w:rsidR="00101CAE" w:rsidRPr="00F1365E">
        <w:rPr>
          <w:rFonts w:ascii="Verdana" w:hAnsi="Verdana" w:cs="Calibri"/>
          <w:sz w:val="20"/>
          <w:szCs w:val="20"/>
        </w:rPr>
        <w:t>probado</w:t>
      </w:r>
      <w:r w:rsidRPr="00F1365E">
        <w:rPr>
          <w:rFonts w:ascii="Verdana" w:hAnsi="Verdana" w:cs="Calibri"/>
          <w:sz w:val="20"/>
          <w:szCs w:val="20"/>
        </w:rPr>
        <w:t xml:space="preserve"> en la Sentencia</w:t>
      </w:r>
      <w:r w:rsidR="00101CAE" w:rsidRPr="00F1365E">
        <w:rPr>
          <w:rFonts w:ascii="Verdana" w:hAnsi="Verdana" w:cs="Calibri"/>
          <w:sz w:val="20"/>
          <w:szCs w:val="20"/>
        </w:rPr>
        <w:t>.</w:t>
      </w:r>
      <w:r w:rsidRPr="00F1365E">
        <w:rPr>
          <w:rFonts w:ascii="Verdana" w:hAnsi="Verdana" w:cs="Calibri"/>
          <w:sz w:val="20"/>
          <w:szCs w:val="20"/>
        </w:rPr>
        <w:t xml:space="preserve"> </w:t>
      </w:r>
    </w:p>
    <w:p w:rsidR="00E04EB1" w:rsidRPr="00F1365E" w:rsidRDefault="00E50A09" w:rsidP="00F4471C">
      <w:pPr>
        <w:spacing w:after="0"/>
        <w:jc w:val="both"/>
        <w:rPr>
          <w:rFonts w:ascii="Verdana" w:hAnsi="Verdana" w:cs="Calibri"/>
          <w:sz w:val="20"/>
          <w:szCs w:val="20"/>
          <w:lang w:val="es-CR"/>
        </w:rPr>
      </w:pPr>
      <w:r w:rsidRPr="00F1365E">
        <w:rPr>
          <w:rFonts w:ascii="Verdana" w:hAnsi="Verdana" w:cs="Calibri"/>
          <w:sz w:val="20"/>
          <w:szCs w:val="20"/>
        </w:rPr>
        <w:t>Sin perjuicio de lo anterior, se deja constancia que el suscrito, tal como</w:t>
      </w:r>
      <w:r w:rsidR="005B2171" w:rsidRPr="00F1365E">
        <w:rPr>
          <w:rFonts w:ascii="Verdana" w:hAnsi="Verdana" w:cs="Calibri"/>
          <w:sz w:val="20"/>
          <w:szCs w:val="20"/>
        </w:rPr>
        <w:t xml:space="preserve"> lo hizo en otros casos</w:t>
      </w:r>
      <w:r w:rsidR="00F90978" w:rsidRPr="00F1365E">
        <w:rPr>
          <w:rStyle w:val="FootnoteReference"/>
          <w:rFonts w:cs="Calibri"/>
          <w:szCs w:val="20"/>
          <w:lang w:val="es-CR"/>
        </w:rPr>
        <w:footnoteReference w:id="7"/>
      </w:r>
      <w:r w:rsidR="008F08B7" w:rsidRPr="00F1365E">
        <w:rPr>
          <w:rFonts w:ascii="Verdana" w:hAnsi="Verdana" w:cs="Calibri"/>
          <w:sz w:val="20"/>
          <w:szCs w:val="20"/>
        </w:rPr>
        <w:t xml:space="preserve">, </w:t>
      </w:r>
      <w:r w:rsidR="005B2171" w:rsidRPr="00F1365E">
        <w:rPr>
          <w:rFonts w:ascii="Verdana" w:hAnsi="Verdana" w:cs="Calibri"/>
          <w:sz w:val="20"/>
          <w:szCs w:val="20"/>
        </w:rPr>
        <w:t xml:space="preserve">ha </w:t>
      </w:r>
      <w:r w:rsidR="00201070" w:rsidRPr="00F1365E">
        <w:rPr>
          <w:rFonts w:ascii="Verdana" w:hAnsi="Verdana" w:cs="Calibri"/>
          <w:sz w:val="20"/>
          <w:szCs w:val="20"/>
        </w:rPr>
        <w:t xml:space="preserve">participado </w:t>
      </w:r>
      <w:r w:rsidR="002A3944" w:rsidRPr="00F1365E">
        <w:rPr>
          <w:rFonts w:ascii="Verdana" w:hAnsi="Verdana" w:cs="Calibri"/>
          <w:sz w:val="20"/>
          <w:szCs w:val="20"/>
        </w:rPr>
        <w:t>tanto en el debate como</w:t>
      </w:r>
      <w:r w:rsidR="00201070" w:rsidRPr="00F1365E">
        <w:rPr>
          <w:rFonts w:ascii="Verdana" w:hAnsi="Verdana" w:cs="Calibri"/>
          <w:sz w:val="20"/>
          <w:szCs w:val="20"/>
        </w:rPr>
        <w:t xml:space="preserve"> en la votación </w:t>
      </w:r>
      <w:r w:rsidR="00BF4DDB" w:rsidRPr="00F1365E">
        <w:rPr>
          <w:rFonts w:ascii="Verdana" w:hAnsi="Verdana" w:cs="Calibri"/>
          <w:sz w:val="20"/>
          <w:szCs w:val="20"/>
        </w:rPr>
        <w:t xml:space="preserve">habidos en la Corte respecto </w:t>
      </w:r>
      <w:r w:rsidR="00201070" w:rsidRPr="00F1365E">
        <w:rPr>
          <w:rFonts w:ascii="Verdana" w:hAnsi="Verdana" w:cs="Calibri"/>
          <w:sz w:val="20"/>
          <w:szCs w:val="20"/>
        </w:rPr>
        <w:t xml:space="preserve">de cada uno de los </w:t>
      </w:r>
      <w:r w:rsidR="005B2171" w:rsidRPr="00F1365E">
        <w:rPr>
          <w:rFonts w:ascii="Verdana" w:hAnsi="Verdana" w:cs="Calibri"/>
          <w:sz w:val="20"/>
          <w:szCs w:val="20"/>
        </w:rPr>
        <w:t>puntos declarativos y resolutivos de la Sentencia</w:t>
      </w:r>
      <w:r w:rsidR="00101CAE" w:rsidRPr="00F1365E">
        <w:rPr>
          <w:rFonts w:ascii="Verdana" w:hAnsi="Verdana" w:cs="Calibri"/>
          <w:sz w:val="20"/>
          <w:szCs w:val="20"/>
        </w:rPr>
        <w:t xml:space="preserve"> </w:t>
      </w:r>
      <w:r w:rsidRPr="00F1365E">
        <w:rPr>
          <w:rFonts w:ascii="Verdana" w:hAnsi="Verdana" w:cs="Calibri"/>
          <w:sz w:val="20"/>
          <w:szCs w:val="20"/>
          <w:lang w:val="es-CR"/>
        </w:rPr>
        <w:t>y l</w:t>
      </w:r>
      <w:r w:rsidR="00BF4DDB" w:rsidRPr="00F1365E">
        <w:rPr>
          <w:rFonts w:ascii="Verdana" w:hAnsi="Verdana" w:cs="Calibri"/>
          <w:sz w:val="20"/>
          <w:szCs w:val="20"/>
          <w:lang w:val="es-CR"/>
        </w:rPr>
        <w:t xml:space="preserve">o ha hecho sin emitir, empero, </w:t>
      </w:r>
      <w:r w:rsidRPr="00F1365E">
        <w:rPr>
          <w:rFonts w:ascii="Verdana" w:hAnsi="Verdana" w:cs="Calibri"/>
          <w:sz w:val="20"/>
          <w:szCs w:val="20"/>
          <w:lang w:val="es-CR"/>
        </w:rPr>
        <w:t>voto razonado</w:t>
      </w:r>
      <w:r w:rsidR="00BF4DDB" w:rsidRPr="00F1365E">
        <w:rPr>
          <w:rFonts w:ascii="Verdana" w:hAnsi="Verdana" w:cs="Calibri"/>
          <w:sz w:val="20"/>
          <w:szCs w:val="20"/>
          <w:lang w:val="es-CR"/>
        </w:rPr>
        <w:t xml:space="preserve"> en relación a los mismos.</w:t>
      </w:r>
    </w:p>
    <w:p w:rsidR="00F4471C" w:rsidRPr="00F1365E" w:rsidRDefault="00F4471C" w:rsidP="00F4471C">
      <w:pPr>
        <w:spacing w:after="0"/>
        <w:jc w:val="both"/>
        <w:rPr>
          <w:rFonts w:ascii="Verdana" w:hAnsi="Verdana" w:cs="Calibri"/>
          <w:sz w:val="20"/>
          <w:szCs w:val="20"/>
          <w:lang w:val="es-CR"/>
        </w:rPr>
      </w:pPr>
    </w:p>
    <w:p w:rsidR="00282759" w:rsidRPr="00F1365E" w:rsidRDefault="00E04EB1" w:rsidP="00F4471C">
      <w:pPr>
        <w:spacing w:after="0"/>
        <w:jc w:val="both"/>
        <w:rPr>
          <w:rFonts w:ascii="Verdana" w:hAnsi="Verdana" w:cs="Calibri"/>
          <w:sz w:val="20"/>
          <w:szCs w:val="20"/>
          <w:lang w:val="es-CR"/>
        </w:rPr>
      </w:pPr>
      <w:r w:rsidRPr="00F1365E">
        <w:rPr>
          <w:rFonts w:ascii="Verdana" w:hAnsi="Verdana" w:cs="Calibri"/>
          <w:sz w:val="20"/>
          <w:szCs w:val="20"/>
          <w:lang w:val="es-CR"/>
        </w:rPr>
        <w:t xml:space="preserve">En </w:t>
      </w:r>
      <w:r w:rsidR="002A3944" w:rsidRPr="00F1365E">
        <w:rPr>
          <w:rFonts w:ascii="Verdana" w:hAnsi="Verdana" w:cs="Calibri"/>
          <w:sz w:val="20"/>
          <w:szCs w:val="20"/>
          <w:lang w:val="es-CR"/>
        </w:rPr>
        <w:t>consecuencia</w:t>
      </w:r>
      <w:r w:rsidR="00F90978" w:rsidRPr="00F1365E">
        <w:rPr>
          <w:rFonts w:ascii="Verdana" w:hAnsi="Verdana" w:cs="Calibri"/>
          <w:sz w:val="20"/>
          <w:szCs w:val="20"/>
          <w:lang w:val="es-CR"/>
        </w:rPr>
        <w:t>,</w:t>
      </w:r>
      <w:r w:rsidR="00EA7363" w:rsidRPr="00F1365E">
        <w:rPr>
          <w:rFonts w:ascii="Verdana" w:hAnsi="Verdana" w:cs="Calibri"/>
          <w:sz w:val="20"/>
          <w:szCs w:val="20"/>
          <w:lang w:val="es-CR"/>
        </w:rPr>
        <w:t xml:space="preserve"> y en mérito de lo dispuesto en</w:t>
      </w:r>
      <w:r w:rsidR="00F240B5" w:rsidRPr="00F1365E">
        <w:rPr>
          <w:rFonts w:ascii="Verdana" w:hAnsi="Verdana" w:cs="Calibri"/>
          <w:sz w:val="20"/>
          <w:szCs w:val="20"/>
          <w:lang w:val="es-CR"/>
        </w:rPr>
        <w:t xml:space="preserve"> </w:t>
      </w:r>
      <w:r w:rsidR="001C4EF3">
        <w:rPr>
          <w:rFonts w:ascii="Verdana" w:hAnsi="Verdana" w:cs="Calibri"/>
          <w:sz w:val="20"/>
          <w:szCs w:val="20"/>
          <w:lang w:val="es-CR"/>
        </w:rPr>
        <w:t>el artículo 65.2</w:t>
      </w:r>
      <w:r w:rsidR="000B6AAF" w:rsidRPr="00F1365E">
        <w:rPr>
          <w:rFonts w:ascii="Verdana" w:hAnsi="Verdana" w:cs="Calibri"/>
          <w:sz w:val="20"/>
          <w:szCs w:val="20"/>
          <w:lang w:val="es-CR"/>
        </w:rPr>
        <w:t xml:space="preserve"> del Reglamento</w:t>
      </w:r>
      <w:r w:rsidR="00EA7363" w:rsidRPr="00F1365E">
        <w:rPr>
          <w:rFonts w:ascii="Verdana" w:hAnsi="Verdana" w:cs="Calibri"/>
          <w:sz w:val="20"/>
          <w:szCs w:val="20"/>
          <w:lang w:val="es-CR"/>
        </w:rPr>
        <w:t xml:space="preserve"> en orden a que </w:t>
      </w:r>
      <w:r w:rsidR="00F240B5" w:rsidRPr="00F1365E">
        <w:rPr>
          <w:rFonts w:ascii="Verdana" w:hAnsi="Verdana" w:cs="Calibri"/>
          <w:sz w:val="20"/>
          <w:szCs w:val="20"/>
          <w:lang w:val="es-CR"/>
        </w:rPr>
        <w:t>si se emite voto concurrente o d</w:t>
      </w:r>
      <w:r w:rsidR="00EA7363" w:rsidRPr="00F1365E">
        <w:rPr>
          <w:rFonts w:ascii="Verdana" w:hAnsi="Verdana" w:cs="Calibri"/>
          <w:sz w:val="20"/>
          <w:szCs w:val="20"/>
          <w:lang w:val="es-CR"/>
        </w:rPr>
        <w:t>isidente, el mismo debe ser</w:t>
      </w:r>
      <w:r w:rsidR="000B6AAF" w:rsidRPr="00F1365E">
        <w:rPr>
          <w:rFonts w:ascii="Verdana" w:hAnsi="Verdana" w:cs="Calibri"/>
          <w:sz w:val="20"/>
          <w:szCs w:val="20"/>
          <w:lang w:val="es-CR"/>
        </w:rPr>
        <w:t xml:space="preserve"> razonado, </w:t>
      </w:r>
      <w:r w:rsidR="00F240B5" w:rsidRPr="00F1365E">
        <w:rPr>
          <w:rFonts w:ascii="Verdana" w:hAnsi="Verdana" w:cs="Calibri"/>
          <w:sz w:val="20"/>
          <w:szCs w:val="20"/>
          <w:lang w:val="es-CR"/>
        </w:rPr>
        <w:t>en el evento</w:t>
      </w:r>
      <w:r w:rsidR="00C450E0" w:rsidRPr="00F1365E">
        <w:rPr>
          <w:rFonts w:ascii="Verdana" w:hAnsi="Verdana" w:cs="Calibri"/>
          <w:sz w:val="20"/>
          <w:szCs w:val="20"/>
          <w:lang w:val="es-CR"/>
        </w:rPr>
        <w:t>, en cambio,</w:t>
      </w:r>
      <w:r w:rsidR="00F240B5" w:rsidRPr="00F1365E">
        <w:rPr>
          <w:rFonts w:ascii="Verdana" w:hAnsi="Verdana" w:cs="Calibri"/>
          <w:sz w:val="20"/>
          <w:szCs w:val="20"/>
          <w:lang w:val="es-CR"/>
        </w:rPr>
        <w:t xml:space="preserve"> de que no se emita voto individual, no existe la obligación de </w:t>
      </w:r>
      <w:r w:rsidR="000B6AAF" w:rsidRPr="00F1365E">
        <w:rPr>
          <w:rFonts w:ascii="Verdana" w:hAnsi="Verdana" w:cs="Calibri"/>
          <w:sz w:val="20"/>
          <w:szCs w:val="20"/>
          <w:lang w:val="es-CR"/>
        </w:rPr>
        <w:t>dar a conocer las razones por las que se vota en uno u otro sentido</w:t>
      </w:r>
      <w:r w:rsidR="00F240B5" w:rsidRPr="00F1365E">
        <w:rPr>
          <w:rFonts w:ascii="Verdana" w:hAnsi="Verdana" w:cs="Calibri"/>
          <w:sz w:val="20"/>
          <w:szCs w:val="20"/>
          <w:lang w:val="es-CR"/>
        </w:rPr>
        <w:t xml:space="preserve">. </w:t>
      </w:r>
      <w:r w:rsidR="000B6AAF" w:rsidRPr="00F1365E">
        <w:rPr>
          <w:rFonts w:ascii="Verdana" w:hAnsi="Verdana" w:cs="Calibri"/>
          <w:sz w:val="20"/>
          <w:szCs w:val="20"/>
          <w:lang w:val="es-CR"/>
        </w:rPr>
        <w:t xml:space="preserve">En atención, pues, </w:t>
      </w:r>
      <w:r w:rsidR="00EA7363" w:rsidRPr="00F1365E">
        <w:rPr>
          <w:rFonts w:ascii="Verdana" w:hAnsi="Verdana" w:cs="Calibri"/>
          <w:sz w:val="20"/>
          <w:szCs w:val="20"/>
          <w:lang w:val="es-CR"/>
        </w:rPr>
        <w:t xml:space="preserve">a </w:t>
      </w:r>
      <w:r w:rsidR="000B6AAF" w:rsidRPr="00F1365E">
        <w:rPr>
          <w:rFonts w:ascii="Verdana" w:hAnsi="Verdana" w:cs="Calibri"/>
          <w:sz w:val="20"/>
          <w:szCs w:val="20"/>
          <w:lang w:val="es-CR"/>
        </w:rPr>
        <w:t xml:space="preserve">que el presente voto dice relación única y exclusivamente con </w:t>
      </w:r>
      <w:r w:rsidR="00101CAE" w:rsidRPr="00F1365E">
        <w:rPr>
          <w:rFonts w:ascii="Verdana" w:hAnsi="Verdana" w:cs="Calibri"/>
          <w:sz w:val="20"/>
          <w:szCs w:val="20"/>
          <w:lang w:val="es-CR"/>
        </w:rPr>
        <w:t>el punto decisorio</w:t>
      </w:r>
      <w:r w:rsidR="00282759" w:rsidRPr="00F1365E">
        <w:rPr>
          <w:rFonts w:ascii="Verdana" w:hAnsi="Verdana" w:cs="Calibri"/>
          <w:sz w:val="20"/>
          <w:szCs w:val="20"/>
          <w:lang w:val="es-CR"/>
        </w:rPr>
        <w:t xml:space="preserve"> adoptad</w:t>
      </w:r>
      <w:r w:rsidR="00101CAE" w:rsidRPr="00F1365E">
        <w:rPr>
          <w:rFonts w:ascii="Verdana" w:hAnsi="Verdana" w:cs="Calibri"/>
          <w:sz w:val="20"/>
          <w:szCs w:val="20"/>
          <w:lang w:val="es-CR"/>
        </w:rPr>
        <w:t>o</w:t>
      </w:r>
      <w:r w:rsidR="00282759" w:rsidRPr="00F1365E">
        <w:rPr>
          <w:rFonts w:ascii="Verdana" w:hAnsi="Verdana" w:cs="Calibri"/>
          <w:sz w:val="20"/>
          <w:szCs w:val="20"/>
          <w:lang w:val="es-CR"/>
        </w:rPr>
        <w:t xml:space="preserve"> </w:t>
      </w:r>
      <w:r w:rsidR="00101CAE" w:rsidRPr="00F1365E">
        <w:rPr>
          <w:rFonts w:ascii="Verdana" w:hAnsi="Verdana" w:cs="Calibri"/>
          <w:sz w:val="20"/>
          <w:szCs w:val="20"/>
          <w:lang w:val="es-CR"/>
        </w:rPr>
        <w:t xml:space="preserve">en la Sentencia </w:t>
      </w:r>
      <w:r w:rsidR="00282759" w:rsidRPr="00F1365E">
        <w:rPr>
          <w:rFonts w:ascii="Verdana" w:hAnsi="Verdana" w:cs="Calibri"/>
          <w:sz w:val="20"/>
          <w:szCs w:val="20"/>
          <w:lang w:val="es-CR"/>
        </w:rPr>
        <w:t>en cuanto a la</w:t>
      </w:r>
      <w:r w:rsidR="000B6AAF" w:rsidRPr="00F1365E">
        <w:rPr>
          <w:rFonts w:ascii="Verdana" w:hAnsi="Verdana" w:cs="Calibri"/>
          <w:sz w:val="20"/>
          <w:szCs w:val="20"/>
          <w:lang w:val="es-CR"/>
        </w:rPr>
        <w:t xml:space="preserve"> mencionada excepción p</w:t>
      </w:r>
      <w:r w:rsidR="00C450E0" w:rsidRPr="00F1365E">
        <w:rPr>
          <w:rFonts w:ascii="Verdana" w:hAnsi="Verdana" w:cs="Calibri"/>
          <w:sz w:val="20"/>
          <w:szCs w:val="20"/>
          <w:lang w:val="es-CR"/>
        </w:rPr>
        <w:t>reliminar, el suscrito no está</w:t>
      </w:r>
      <w:r w:rsidR="000B6AAF" w:rsidRPr="00F1365E">
        <w:rPr>
          <w:rFonts w:ascii="Verdana" w:hAnsi="Verdana" w:cs="Calibri"/>
          <w:sz w:val="20"/>
          <w:szCs w:val="20"/>
          <w:lang w:val="es-CR"/>
        </w:rPr>
        <w:t xml:space="preserve"> obligado a dar a con</w:t>
      </w:r>
      <w:r w:rsidR="00282759" w:rsidRPr="00F1365E">
        <w:rPr>
          <w:rFonts w:ascii="Verdana" w:hAnsi="Verdana" w:cs="Calibri"/>
          <w:sz w:val="20"/>
          <w:szCs w:val="20"/>
          <w:lang w:val="es-CR"/>
        </w:rPr>
        <w:t>o</w:t>
      </w:r>
      <w:r w:rsidR="000B6AAF" w:rsidRPr="00F1365E">
        <w:rPr>
          <w:rFonts w:ascii="Verdana" w:hAnsi="Verdana" w:cs="Calibri"/>
          <w:sz w:val="20"/>
          <w:szCs w:val="20"/>
          <w:lang w:val="es-CR"/>
        </w:rPr>
        <w:t xml:space="preserve">cer las razones por las que </w:t>
      </w:r>
      <w:r w:rsidR="00EA7363" w:rsidRPr="00F1365E">
        <w:rPr>
          <w:rFonts w:ascii="Verdana" w:hAnsi="Verdana" w:cs="Calibri"/>
          <w:sz w:val="20"/>
          <w:szCs w:val="20"/>
          <w:lang w:val="es-CR"/>
        </w:rPr>
        <w:t xml:space="preserve">votó negativamente respecto </w:t>
      </w:r>
      <w:r w:rsidR="00C450E0" w:rsidRPr="00F1365E">
        <w:rPr>
          <w:rFonts w:ascii="Verdana" w:hAnsi="Verdana" w:cs="Calibri"/>
          <w:sz w:val="20"/>
          <w:szCs w:val="20"/>
          <w:lang w:val="es-CR"/>
        </w:rPr>
        <w:t>l</w:t>
      </w:r>
      <w:r w:rsidR="000B6AAF" w:rsidRPr="00F1365E">
        <w:rPr>
          <w:rFonts w:ascii="Verdana" w:hAnsi="Verdana" w:cs="Calibri"/>
          <w:sz w:val="20"/>
          <w:szCs w:val="20"/>
          <w:lang w:val="es-CR"/>
        </w:rPr>
        <w:t xml:space="preserve">os </w:t>
      </w:r>
      <w:r w:rsidR="00977DEF" w:rsidRPr="00F1365E">
        <w:rPr>
          <w:rFonts w:ascii="Verdana" w:hAnsi="Verdana" w:cs="Calibri"/>
          <w:sz w:val="20"/>
          <w:szCs w:val="20"/>
          <w:lang w:val="es-CR"/>
        </w:rPr>
        <w:t xml:space="preserve">demás </w:t>
      </w:r>
      <w:r w:rsidR="000B6AAF" w:rsidRPr="00F1365E">
        <w:rPr>
          <w:rFonts w:ascii="Verdana" w:hAnsi="Verdana" w:cs="Calibri"/>
          <w:sz w:val="20"/>
          <w:szCs w:val="20"/>
          <w:lang w:val="es-CR"/>
        </w:rPr>
        <w:t>puntos</w:t>
      </w:r>
      <w:r w:rsidR="00282759" w:rsidRPr="00F1365E">
        <w:rPr>
          <w:rFonts w:ascii="Verdana" w:hAnsi="Verdana" w:cs="Calibri"/>
          <w:sz w:val="20"/>
          <w:szCs w:val="20"/>
          <w:lang w:val="es-CR"/>
        </w:rPr>
        <w:t xml:space="preserve"> de la </w:t>
      </w:r>
      <w:r w:rsidR="00101CAE" w:rsidRPr="00F1365E">
        <w:rPr>
          <w:rFonts w:ascii="Verdana" w:hAnsi="Verdana" w:cs="Calibri"/>
          <w:sz w:val="20"/>
          <w:szCs w:val="20"/>
          <w:lang w:val="es-CR"/>
        </w:rPr>
        <w:t>misma</w:t>
      </w:r>
      <w:r w:rsidR="00977DEF" w:rsidRPr="00F1365E">
        <w:rPr>
          <w:rFonts w:ascii="Verdana" w:hAnsi="Verdana" w:cs="Calibri"/>
          <w:sz w:val="20"/>
          <w:szCs w:val="20"/>
          <w:lang w:val="es-CR"/>
        </w:rPr>
        <w:t>, es decir, los declarativos y los resolutivos</w:t>
      </w:r>
      <w:r w:rsidR="00282759" w:rsidRPr="00F1365E">
        <w:rPr>
          <w:rFonts w:ascii="Verdana" w:hAnsi="Verdana" w:cs="Calibri"/>
          <w:sz w:val="20"/>
          <w:szCs w:val="20"/>
          <w:lang w:val="es-CR"/>
        </w:rPr>
        <w:t>.</w:t>
      </w:r>
      <w:r w:rsidR="000B6AAF" w:rsidRPr="00F1365E">
        <w:rPr>
          <w:rFonts w:ascii="Verdana" w:hAnsi="Verdana" w:cs="Calibri"/>
          <w:sz w:val="20"/>
          <w:szCs w:val="20"/>
          <w:lang w:val="es-CR"/>
        </w:rPr>
        <w:t xml:space="preserve"> </w:t>
      </w:r>
    </w:p>
    <w:p w:rsidR="00F4471C" w:rsidRPr="00F1365E" w:rsidRDefault="00F4471C" w:rsidP="00F4471C">
      <w:pPr>
        <w:spacing w:after="0"/>
        <w:jc w:val="both"/>
        <w:rPr>
          <w:rFonts w:ascii="Verdana" w:hAnsi="Verdana" w:cs="Calibri"/>
          <w:sz w:val="20"/>
          <w:szCs w:val="20"/>
          <w:lang w:val="es-CR"/>
        </w:rPr>
      </w:pPr>
    </w:p>
    <w:p w:rsidR="005B2171" w:rsidRPr="00F1365E" w:rsidRDefault="00101CAE" w:rsidP="00F4471C">
      <w:pPr>
        <w:spacing w:after="0"/>
        <w:jc w:val="both"/>
        <w:rPr>
          <w:rFonts w:ascii="Verdana" w:hAnsi="Verdana" w:cs="Calibri"/>
          <w:sz w:val="20"/>
          <w:szCs w:val="20"/>
          <w:lang w:val="es-CR"/>
        </w:rPr>
      </w:pPr>
      <w:r w:rsidRPr="00F1365E">
        <w:rPr>
          <w:rFonts w:ascii="Verdana" w:hAnsi="Verdana" w:cs="Calibri"/>
          <w:sz w:val="20"/>
          <w:szCs w:val="20"/>
          <w:lang w:val="es-CR"/>
        </w:rPr>
        <w:t xml:space="preserve">Al proceder como lo ha hecho, el infrascrito ha obrado de conformidad con </w:t>
      </w:r>
      <w:r w:rsidR="00977DEF" w:rsidRPr="00F1365E">
        <w:rPr>
          <w:rFonts w:ascii="Verdana" w:hAnsi="Verdana" w:cs="Calibri"/>
          <w:sz w:val="20"/>
          <w:szCs w:val="20"/>
          <w:lang w:val="es-CR"/>
        </w:rPr>
        <w:t>los</w:t>
      </w:r>
      <w:r w:rsidRPr="00F1365E">
        <w:rPr>
          <w:rFonts w:ascii="Verdana" w:hAnsi="Verdana" w:cs="Calibri"/>
          <w:sz w:val="20"/>
          <w:szCs w:val="20"/>
          <w:lang w:val="es-CR"/>
        </w:rPr>
        <w:t xml:space="preserve"> principio</w:t>
      </w:r>
      <w:r w:rsidR="00977DEF" w:rsidRPr="00F1365E">
        <w:rPr>
          <w:rFonts w:ascii="Verdana" w:hAnsi="Verdana" w:cs="Calibri"/>
          <w:sz w:val="20"/>
          <w:szCs w:val="20"/>
          <w:lang w:val="es-CR"/>
        </w:rPr>
        <w:t>s</w:t>
      </w:r>
      <w:r w:rsidRPr="00F1365E">
        <w:rPr>
          <w:rFonts w:ascii="Verdana" w:hAnsi="Verdana" w:cs="Calibri"/>
          <w:sz w:val="20"/>
          <w:szCs w:val="20"/>
          <w:lang w:val="es-CR"/>
        </w:rPr>
        <w:t xml:space="preserve"> de libertad</w:t>
      </w:r>
      <w:r w:rsidR="00977DEF" w:rsidRPr="00F1365E">
        <w:rPr>
          <w:rFonts w:ascii="Verdana" w:hAnsi="Verdana" w:cs="Calibri"/>
          <w:sz w:val="20"/>
          <w:szCs w:val="20"/>
          <w:lang w:val="es-CR"/>
        </w:rPr>
        <w:t xml:space="preserve"> y de independencia</w:t>
      </w:r>
      <w:r w:rsidRPr="00F1365E">
        <w:rPr>
          <w:rFonts w:ascii="Verdana" w:hAnsi="Verdana" w:cs="Calibri"/>
          <w:sz w:val="20"/>
          <w:szCs w:val="20"/>
          <w:lang w:val="es-CR"/>
        </w:rPr>
        <w:t xml:space="preserve"> que debe</w:t>
      </w:r>
      <w:r w:rsidR="00977DEF" w:rsidRPr="00F1365E">
        <w:rPr>
          <w:rFonts w:ascii="Verdana" w:hAnsi="Verdana" w:cs="Calibri"/>
          <w:sz w:val="20"/>
          <w:szCs w:val="20"/>
          <w:lang w:val="es-CR"/>
        </w:rPr>
        <w:t>n</w:t>
      </w:r>
      <w:r w:rsidRPr="00F1365E">
        <w:rPr>
          <w:rFonts w:ascii="Verdana" w:hAnsi="Verdana" w:cs="Calibri"/>
          <w:sz w:val="20"/>
          <w:szCs w:val="20"/>
          <w:lang w:val="es-CR"/>
        </w:rPr>
        <w:t xml:space="preserve"> imperar en el actuar de</w:t>
      </w:r>
      <w:r w:rsidR="00977DEF" w:rsidRPr="00F1365E">
        <w:rPr>
          <w:rFonts w:ascii="Verdana" w:hAnsi="Verdana" w:cs="Calibri"/>
          <w:sz w:val="20"/>
          <w:szCs w:val="20"/>
          <w:lang w:val="es-CR"/>
        </w:rPr>
        <w:t xml:space="preserve"> </w:t>
      </w:r>
      <w:r w:rsidRPr="00F1365E">
        <w:rPr>
          <w:rFonts w:ascii="Verdana" w:hAnsi="Verdana" w:cs="Calibri"/>
          <w:sz w:val="20"/>
          <w:szCs w:val="20"/>
          <w:lang w:val="es-CR"/>
        </w:rPr>
        <w:t>un juez</w:t>
      </w:r>
      <w:r w:rsidR="00977DEF" w:rsidRPr="00F1365E">
        <w:rPr>
          <w:rFonts w:ascii="Verdana" w:hAnsi="Verdana" w:cs="Calibri"/>
          <w:sz w:val="20"/>
          <w:szCs w:val="20"/>
          <w:lang w:val="es-CR"/>
        </w:rPr>
        <w:t>, garantizados por la Convención, el Estatuto de la Corte y el Reglament</w:t>
      </w:r>
      <w:r w:rsidR="00B331CE" w:rsidRPr="00F1365E">
        <w:rPr>
          <w:rFonts w:ascii="Verdana" w:hAnsi="Verdana" w:cs="Calibri"/>
          <w:sz w:val="20"/>
          <w:szCs w:val="20"/>
          <w:lang w:val="es-CR"/>
        </w:rPr>
        <w:t xml:space="preserve">o de la misma, </w:t>
      </w:r>
      <w:r w:rsidR="00BB7DF8" w:rsidRPr="00F1365E">
        <w:rPr>
          <w:rFonts w:ascii="Verdana" w:hAnsi="Verdana" w:cs="Calibri"/>
          <w:sz w:val="20"/>
          <w:szCs w:val="20"/>
          <w:lang w:val="es-CR"/>
        </w:rPr>
        <w:t>al no imponerle re</w:t>
      </w:r>
      <w:r w:rsidR="00F90978" w:rsidRPr="00F1365E">
        <w:rPr>
          <w:rFonts w:ascii="Verdana" w:hAnsi="Verdana" w:cs="Calibri"/>
          <w:sz w:val="20"/>
          <w:szCs w:val="20"/>
          <w:lang w:val="es-CR"/>
        </w:rPr>
        <w:t>stricción alguna en cuanto a la</w:t>
      </w:r>
      <w:r w:rsidR="00BB7DF8" w:rsidRPr="00F1365E">
        <w:rPr>
          <w:rFonts w:ascii="Verdana" w:hAnsi="Verdana" w:cs="Calibri"/>
          <w:sz w:val="20"/>
          <w:szCs w:val="20"/>
          <w:lang w:val="es-CR"/>
        </w:rPr>
        <w:t xml:space="preserve"> razón que estime procedente para votar en conciencia</w:t>
      </w:r>
      <w:r w:rsidR="00B331CE" w:rsidRPr="00F1365E">
        <w:rPr>
          <w:rFonts w:ascii="Verdana" w:hAnsi="Verdana" w:cs="Calibri"/>
          <w:sz w:val="20"/>
          <w:szCs w:val="20"/>
          <w:lang w:val="es-CR"/>
        </w:rPr>
        <w:t>, ni menos aún, al no prohibirle explicitar, si así lo desea, el espíritu que lo anima a proceder como al respecto</w:t>
      </w:r>
      <w:r w:rsidR="00C450E0" w:rsidRPr="00F1365E">
        <w:rPr>
          <w:rFonts w:ascii="Verdana" w:hAnsi="Verdana" w:cs="Calibri"/>
          <w:sz w:val="20"/>
          <w:szCs w:val="20"/>
          <w:lang w:val="es-CR"/>
        </w:rPr>
        <w:t xml:space="preserve"> lo hace</w:t>
      </w:r>
      <w:r w:rsidR="00977DEF" w:rsidRPr="00F1365E">
        <w:rPr>
          <w:rFonts w:ascii="Verdana" w:hAnsi="Verdana" w:cs="Calibri"/>
          <w:sz w:val="20"/>
          <w:szCs w:val="20"/>
          <w:lang w:val="es-CR"/>
        </w:rPr>
        <w:t>.</w:t>
      </w:r>
      <w:r w:rsidR="001A7C5B" w:rsidRPr="00F1365E">
        <w:rPr>
          <w:rFonts w:ascii="Verdana" w:hAnsi="Verdana" w:cs="Calibri"/>
          <w:sz w:val="20"/>
          <w:szCs w:val="20"/>
          <w:lang w:val="es-CR"/>
        </w:rPr>
        <w:t xml:space="preserve"> </w:t>
      </w:r>
    </w:p>
    <w:p w:rsidR="00F4471C" w:rsidRPr="00F1365E" w:rsidRDefault="00F4471C" w:rsidP="00F4471C">
      <w:pPr>
        <w:spacing w:after="0"/>
        <w:jc w:val="both"/>
        <w:rPr>
          <w:rFonts w:ascii="Verdana" w:hAnsi="Verdana" w:cs="Calibri"/>
          <w:sz w:val="20"/>
          <w:szCs w:val="20"/>
          <w:lang w:val="es-CR"/>
        </w:rPr>
      </w:pPr>
    </w:p>
    <w:p w:rsidR="003E10DA" w:rsidRPr="00F1365E" w:rsidRDefault="003E10DA" w:rsidP="00F4471C">
      <w:pPr>
        <w:spacing w:after="0"/>
        <w:jc w:val="both"/>
        <w:rPr>
          <w:rFonts w:ascii="Verdana" w:hAnsi="Verdana" w:cs="Calibri"/>
          <w:sz w:val="20"/>
          <w:szCs w:val="20"/>
          <w:lang w:val="es-CR"/>
        </w:rPr>
      </w:pPr>
      <w:r w:rsidRPr="00C54BB0">
        <w:rPr>
          <w:rFonts w:ascii="Verdana" w:hAnsi="Verdana" w:cs="Calibri"/>
          <w:sz w:val="20"/>
          <w:szCs w:val="20"/>
          <w:lang w:val="es-CR"/>
        </w:rPr>
        <w:t xml:space="preserve">Por otra parte, cabe </w:t>
      </w:r>
      <w:r w:rsidRPr="00F1365E">
        <w:rPr>
          <w:rFonts w:ascii="Verdana" w:hAnsi="Verdana" w:cs="Calibri"/>
          <w:sz w:val="20"/>
          <w:szCs w:val="20"/>
          <w:lang w:val="es-CR"/>
        </w:rPr>
        <w:t>tener presente qu</w:t>
      </w:r>
      <w:r w:rsidR="00073CA6" w:rsidRPr="00F1365E">
        <w:rPr>
          <w:rFonts w:ascii="Verdana" w:hAnsi="Verdana" w:cs="Calibri"/>
          <w:sz w:val="20"/>
          <w:szCs w:val="20"/>
          <w:lang w:val="es-CR"/>
        </w:rPr>
        <w:t xml:space="preserve">e </w:t>
      </w:r>
      <w:r w:rsidRPr="00F1365E">
        <w:rPr>
          <w:rFonts w:ascii="Verdana" w:hAnsi="Verdana" w:cs="Calibri"/>
          <w:sz w:val="20"/>
          <w:szCs w:val="20"/>
          <w:lang w:val="es-CR"/>
        </w:rPr>
        <w:t>este vot</w:t>
      </w:r>
      <w:r w:rsidR="00073CA6" w:rsidRPr="00F1365E">
        <w:rPr>
          <w:rFonts w:ascii="Verdana" w:hAnsi="Verdana" w:cs="Calibri"/>
          <w:sz w:val="20"/>
          <w:szCs w:val="20"/>
          <w:lang w:val="es-CR"/>
        </w:rPr>
        <w:t>o es consonante</w:t>
      </w:r>
      <w:r w:rsidR="00F90978" w:rsidRPr="00F1365E">
        <w:rPr>
          <w:rFonts w:ascii="Verdana" w:hAnsi="Verdana" w:cs="Calibri"/>
          <w:sz w:val="20"/>
          <w:szCs w:val="20"/>
          <w:lang w:val="es-CR"/>
        </w:rPr>
        <w:t>,</w:t>
      </w:r>
      <w:r w:rsidR="00073CA6" w:rsidRPr="00F1365E">
        <w:rPr>
          <w:rFonts w:ascii="Verdana" w:hAnsi="Verdana" w:cs="Calibri"/>
          <w:sz w:val="20"/>
          <w:szCs w:val="20"/>
          <w:lang w:val="es-CR"/>
        </w:rPr>
        <w:t xml:space="preserve"> importa asimismo una discrepancia con relación al proceder</w:t>
      </w:r>
      <w:r w:rsidRPr="00F1365E">
        <w:rPr>
          <w:rFonts w:ascii="Verdana" w:hAnsi="Verdana" w:cs="Calibri"/>
          <w:sz w:val="20"/>
          <w:szCs w:val="20"/>
          <w:lang w:val="es-CR"/>
        </w:rPr>
        <w:t xml:space="preserve"> en la Sentencia en cuan</w:t>
      </w:r>
      <w:r w:rsidR="00073CA6" w:rsidRPr="00F1365E">
        <w:rPr>
          <w:rFonts w:ascii="Verdana" w:hAnsi="Verdana" w:cs="Calibri"/>
          <w:sz w:val="20"/>
          <w:szCs w:val="20"/>
          <w:lang w:val="es-CR"/>
        </w:rPr>
        <w:t>to a haber resuelto, simultáneamente, la excepción</w:t>
      </w:r>
      <w:r w:rsidRPr="00F1365E">
        <w:rPr>
          <w:rFonts w:ascii="Verdana" w:hAnsi="Verdana" w:cs="Calibri"/>
          <w:sz w:val="20"/>
          <w:szCs w:val="20"/>
          <w:lang w:val="es-CR"/>
        </w:rPr>
        <w:t xml:space="preserve"> pr</w:t>
      </w:r>
      <w:r w:rsidR="00073CA6" w:rsidRPr="00F1365E">
        <w:rPr>
          <w:rFonts w:ascii="Verdana" w:hAnsi="Verdana" w:cs="Calibri"/>
          <w:sz w:val="20"/>
          <w:szCs w:val="20"/>
          <w:lang w:val="es-CR"/>
        </w:rPr>
        <w:t>eliminar</w:t>
      </w:r>
      <w:r w:rsidRPr="00F1365E">
        <w:rPr>
          <w:rFonts w:ascii="Verdana" w:hAnsi="Verdana" w:cs="Calibri"/>
          <w:sz w:val="20"/>
          <w:szCs w:val="20"/>
          <w:lang w:val="es-CR"/>
        </w:rPr>
        <w:t xml:space="preserve"> y el fondo del asunto, sin antes </w:t>
      </w:r>
      <w:r w:rsidR="00073CA6" w:rsidRPr="00F1365E">
        <w:rPr>
          <w:rFonts w:ascii="Verdana" w:hAnsi="Verdana" w:cs="Calibri"/>
          <w:sz w:val="20"/>
          <w:szCs w:val="20"/>
          <w:lang w:val="es-CR"/>
        </w:rPr>
        <w:t>haber formalmente decidido si aquella tenía</w:t>
      </w:r>
      <w:r w:rsidRPr="00F1365E">
        <w:rPr>
          <w:rFonts w:ascii="Verdana" w:hAnsi="Verdana" w:cs="Calibri"/>
          <w:sz w:val="20"/>
          <w:szCs w:val="20"/>
          <w:lang w:val="es-CR"/>
        </w:rPr>
        <w:t xml:space="preserve"> relación con este último y en el evento de que </w:t>
      </w:r>
      <w:r w:rsidR="00073CA6" w:rsidRPr="00F1365E">
        <w:rPr>
          <w:rFonts w:ascii="Verdana" w:hAnsi="Verdana" w:cs="Calibri"/>
          <w:sz w:val="20"/>
          <w:szCs w:val="20"/>
          <w:lang w:val="es-CR"/>
        </w:rPr>
        <w:t xml:space="preserve">hubiese estimado que existía </w:t>
      </w:r>
      <w:r w:rsidRPr="00F1365E">
        <w:rPr>
          <w:rFonts w:ascii="Verdana" w:hAnsi="Verdana" w:cs="Calibri"/>
          <w:sz w:val="20"/>
          <w:szCs w:val="20"/>
          <w:lang w:val="es-CR"/>
        </w:rPr>
        <w:t>tal vinculación, resolver abordar ambos asuntos</w:t>
      </w:r>
      <w:r w:rsidR="00EA2BAB" w:rsidRPr="00F1365E">
        <w:rPr>
          <w:rFonts w:ascii="Verdana" w:hAnsi="Verdana" w:cs="Calibri"/>
          <w:sz w:val="20"/>
          <w:szCs w:val="20"/>
          <w:lang w:val="es-CR"/>
        </w:rPr>
        <w:t xml:space="preserve"> en forma conjunta</w:t>
      </w:r>
      <w:r w:rsidR="00073CA6" w:rsidRPr="00F1365E">
        <w:rPr>
          <w:rFonts w:ascii="Verdana" w:hAnsi="Verdana" w:cs="Calibri"/>
          <w:sz w:val="20"/>
          <w:szCs w:val="20"/>
          <w:lang w:val="es-CR"/>
        </w:rPr>
        <w:t>. E</w:t>
      </w:r>
      <w:r w:rsidRPr="00F1365E">
        <w:rPr>
          <w:rFonts w:ascii="Verdana" w:hAnsi="Verdana" w:cs="Calibri"/>
          <w:sz w:val="20"/>
          <w:szCs w:val="20"/>
          <w:lang w:val="es-CR"/>
        </w:rPr>
        <w:t>l presente documento se sustenta</w:t>
      </w:r>
      <w:r w:rsidR="00073CA6" w:rsidRPr="00F1365E">
        <w:rPr>
          <w:rFonts w:ascii="Verdana" w:hAnsi="Verdana" w:cs="Calibri"/>
          <w:sz w:val="20"/>
          <w:szCs w:val="20"/>
          <w:lang w:val="es-CR"/>
        </w:rPr>
        <w:t xml:space="preserve">, en cambio, </w:t>
      </w:r>
      <w:r w:rsidRPr="00F1365E">
        <w:rPr>
          <w:rFonts w:ascii="Verdana" w:hAnsi="Verdana" w:cs="Calibri"/>
          <w:sz w:val="20"/>
          <w:szCs w:val="20"/>
          <w:lang w:val="es-CR"/>
        </w:rPr>
        <w:t>en que la excepción preliminar planteada por el Estado en lo que respecta al incumplimiento de la regla del previo agotamiento de los recursos internos, no dice relación con el fondo de la causa y, por ende, e</w:t>
      </w:r>
      <w:r w:rsidR="00EA2BAB" w:rsidRPr="00F1365E">
        <w:rPr>
          <w:rFonts w:ascii="Verdana" w:hAnsi="Verdana" w:cs="Calibri"/>
          <w:sz w:val="20"/>
          <w:szCs w:val="20"/>
          <w:lang w:val="es-CR"/>
        </w:rPr>
        <w:t>ra</w:t>
      </w:r>
      <w:r w:rsidRPr="00F1365E">
        <w:rPr>
          <w:rFonts w:ascii="Verdana" w:hAnsi="Verdana" w:cs="Calibri"/>
          <w:sz w:val="20"/>
          <w:szCs w:val="20"/>
          <w:lang w:val="es-CR"/>
        </w:rPr>
        <w:t xml:space="preserve"> esencialmente preliminar, que merec</w:t>
      </w:r>
      <w:r w:rsidR="00BB7DF8" w:rsidRPr="00F1365E">
        <w:rPr>
          <w:rFonts w:ascii="Verdana" w:hAnsi="Verdana" w:cs="Calibri"/>
          <w:sz w:val="20"/>
          <w:szCs w:val="20"/>
          <w:lang w:val="es-CR"/>
        </w:rPr>
        <w:t>ía, por e</w:t>
      </w:r>
      <w:r w:rsidR="00910305" w:rsidRPr="00F1365E">
        <w:rPr>
          <w:rFonts w:ascii="Verdana" w:hAnsi="Verdana" w:cs="Calibri"/>
          <w:sz w:val="20"/>
          <w:szCs w:val="20"/>
          <w:lang w:val="es-CR"/>
        </w:rPr>
        <w:t>nde</w:t>
      </w:r>
      <w:r w:rsidR="00BB7DF8" w:rsidRPr="00F1365E">
        <w:rPr>
          <w:rFonts w:ascii="Verdana" w:hAnsi="Verdana" w:cs="Calibri"/>
          <w:sz w:val="20"/>
          <w:szCs w:val="20"/>
          <w:lang w:val="es-CR"/>
        </w:rPr>
        <w:t>, ser resuelta</w:t>
      </w:r>
      <w:r w:rsidR="00073CA6" w:rsidRPr="00F1365E">
        <w:rPr>
          <w:rFonts w:ascii="Verdana" w:hAnsi="Verdana" w:cs="Calibri"/>
          <w:sz w:val="20"/>
          <w:szCs w:val="20"/>
          <w:lang w:val="es-CR"/>
        </w:rPr>
        <w:t xml:space="preserve"> en forma previa </w:t>
      </w:r>
      <w:r w:rsidR="004F4640" w:rsidRPr="00F1365E">
        <w:rPr>
          <w:rFonts w:ascii="Verdana" w:hAnsi="Verdana" w:cs="Calibri"/>
          <w:sz w:val="20"/>
          <w:szCs w:val="20"/>
          <w:lang w:val="es-CR"/>
        </w:rPr>
        <w:t xml:space="preserve">y separada del </w:t>
      </w:r>
      <w:r w:rsidR="00BB7DF8" w:rsidRPr="00F1365E">
        <w:rPr>
          <w:rFonts w:ascii="Verdana" w:hAnsi="Verdana" w:cs="Calibri"/>
          <w:sz w:val="20"/>
          <w:szCs w:val="20"/>
          <w:lang w:val="es-CR"/>
        </w:rPr>
        <w:t xml:space="preserve">mismo, de modo que </w:t>
      </w:r>
      <w:r w:rsidR="0004090F" w:rsidRPr="00F1365E">
        <w:rPr>
          <w:rFonts w:ascii="Verdana" w:hAnsi="Verdana" w:cs="Calibri"/>
          <w:sz w:val="20"/>
          <w:szCs w:val="20"/>
          <w:lang w:val="es-CR"/>
        </w:rPr>
        <w:t>no pudiese estimar que</w:t>
      </w:r>
      <w:r w:rsidR="004F4640" w:rsidRPr="00F1365E">
        <w:rPr>
          <w:rFonts w:ascii="Verdana" w:hAnsi="Verdana" w:cs="Calibri"/>
          <w:sz w:val="20"/>
          <w:szCs w:val="20"/>
          <w:lang w:val="es-CR"/>
        </w:rPr>
        <w:t xml:space="preserve"> la resolución de aquella podría</w:t>
      </w:r>
      <w:r w:rsidR="0004090F" w:rsidRPr="00F1365E">
        <w:rPr>
          <w:rFonts w:ascii="Verdana" w:hAnsi="Verdana" w:cs="Calibri"/>
          <w:sz w:val="20"/>
          <w:szCs w:val="20"/>
          <w:lang w:val="es-CR"/>
        </w:rPr>
        <w:t xml:space="preserve"> </w:t>
      </w:r>
      <w:r w:rsidR="004F4640" w:rsidRPr="00F1365E">
        <w:rPr>
          <w:rFonts w:ascii="Verdana" w:hAnsi="Verdana" w:cs="Calibri"/>
          <w:sz w:val="20"/>
          <w:szCs w:val="20"/>
          <w:lang w:val="es-CR"/>
        </w:rPr>
        <w:t>estar influenciada</w:t>
      </w:r>
      <w:r w:rsidR="0004090F" w:rsidRPr="00F1365E">
        <w:rPr>
          <w:rFonts w:ascii="Verdana" w:hAnsi="Verdana" w:cs="Calibri"/>
          <w:sz w:val="20"/>
          <w:szCs w:val="20"/>
          <w:lang w:val="es-CR"/>
        </w:rPr>
        <w:t>, aunque</w:t>
      </w:r>
      <w:r w:rsidR="00BB7DF8" w:rsidRPr="00F1365E">
        <w:rPr>
          <w:rFonts w:ascii="Verdana" w:hAnsi="Verdana" w:cs="Calibri"/>
          <w:sz w:val="20"/>
          <w:szCs w:val="20"/>
          <w:lang w:val="es-CR"/>
        </w:rPr>
        <w:t xml:space="preserve"> indirecta</w:t>
      </w:r>
      <w:r w:rsidR="004F4640" w:rsidRPr="00F1365E">
        <w:rPr>
          <w:rFonts w:ascii="Verdana" w:hAnsi="Verdana" w:cs="Calibri"/>
          <w:sz w:val="20"/>
          <w:szCs w:val="20"/>
          <w:lang w:val="es-CR"/>
        </w:rPr>
        <w:t>mente</w:t>
      </w:r>
      <w:r w:rsidR="00BB7DF8" w:rsidRPr="00F1365E">
        <w:rPr>
          <w:rFonts w:ascii="Verdana" w:hAnsi="Verdana" w:cs="Calibri"/>
          <w:sz w:val="20"/>
          <w:szCs w:val="20"/>
          <w:lang w:val="es-CR"/>
        </w:rPr>
        <w:t xml:space="preserve">, </w:t>
      </w:r>
      <w:r w:rsidR="004F4640" w:rsidRPr="00F1365E">
        <w:rPr>
          <w:rFonts w:ascii="Verdana" w:hAnsi="Verdana" w:cs="Calibri"/>
          <w:sz w:val="20"/>
          <w:szCs w:val="20"/>
          <w:lang w:val="es-CR"/>
        </w:rPr>
        <w:t>por este último</w:t>
      </w:r>
      <w:r w:rsidR="00EA2BAB" w:rsidRPr="00F1365E">
        <w:rPr>
          <w:rFonts w:ascii="Verdana" w:hAnsi="Verdana" w:cs="Calibri"/>
          <w:sz w:val="20"/>
          <w:szCs w:val="20"/>
          <w:lang w:val="es-CR"/>
        </w:rPr>
        <w:t>.</w:t>
      </w:r>
    </w:p>
    <w:p w:rsidR="00F4471C" w:rsidRPr="00F1365E" w:rsidRDefault="00F4471C" w:rsidP="00F4471C">
      <w:pPr>
        <w:spacing w:after="0"/>
        <w:jc w:val="both"/>
        <w:rPr>
          <w:rFonts w:ascii="Verdana" w:hAnsi="Verdana" w:cs="Calibri"/>
          <w:sz w:val="20"/>
          <w:szCs w:val="20"/>
          <w:lang w:val="es-CR"/>
        </w:rPr>
      </w:pPr>
    </w:p>
    <w:p w:rsidR="005B2171" w:rsidRPr="00F1365E" w:rsidRDefault="005B2171" w:rsidP="00F4471C">
      <w:pPr>
        <w:spacing w:after="0"/>
        <w:jc w:val="both"/>
        <w:rPr>
          <w:rFonts w:ascii="Verdana" w:hAnsi="Verdana" w:cs="Calibri"/>
          <w:sz w:val="20"/>
          <w:szCs w:val="20"/>
          <w:lang w:val="es-CR"/>
        </w:rPr>
      </w:pPr>
      <w:r w:rsidRPr="00F1365E">
        <w:rPr>
          <w:rFonts w:ascii="Verdana" w:hAnsi="Verdana" w:cs="Calibri"/>
          <w:sz w:val="20"/>
          <w:szCs w:val="20"/>
          <w:lang w:val="es-CR"/>
        </w:rPr>
        <w:lastRenderedPageBreak/>
        <w:t>Las razones por las que no se coincide con lo resuelto en autos en lo concerniente a la interposición, por parte del Estado, de la excepción por el no agotamiento previo de los recursos internos, se explican seguidamente en lo que atañe a la norma convencional aplicable, a los hechos del caso relativos a la citada regla y, finalmente, a la Sentencia en lo que se refiere a dicha excepción.</w:t>
      </w:r>
    </w:p>
    <w:p w:rsidR="00F4471C" w:rsidRPr="00F1365E" w:rsidRDefault="00F4471C" w:rsidP="00F4471C">
      <w:pPr>
        <w:spacing w:after="0"/>
        <w:jc w:val="both"/>
        <w:rPr>
          <w:rFonts w:ascii="Verdana" w:hAnsi="Verdana" w:cs="Calibri"/>
          <w:sz w:val="20"/>
          <w:szCs w:val="20"/>
          <w:lang w:val="es-CR"/>
        </w:rPr>
      </w:pPr>
    </w:p>
    <w:p w:rsidR="005B2171" w:rsidRPr="00C54BB0" w:rsidRDefault="005B2171" w:rsidP="00F4471C">
      <w:pPr>
        <w:numPr>
          <w:ilvl w:val="0"/>
          <w:numId w:val="2"/>
        </w:numPr>
        <w:spacing w:after="0"/>
        <w:ind w:left="0" w:firstLine="0"/>
        <w:jc w:val="both"/>
        <w:rPr>
          <w:rFonts w:ascii="Verdana" w:hAnsi="Verdana" w:cs="Calibri"/>
          <w:b/>
          <w:sz w:val="20"/>
          <w:szCs w:val="20"/>
          <w:lang w:val="es-CR"/>
        </w:rPr>
      </w:pPr>
      <w:r w:rsidRPr="00C54BB0">
        <w:rPr>
          <w:rFonts w:ascii="Verdana" w:hAnsi="Verdana" w:cs="Calibri"/>
          <w:b/>
          <w:sz w:val="20"/>
          <w:szCs w:val="20"/>
          <w:lang w:val="es-CR"/>
        </w:rPr>
        <w:t>NORMA CONVENCIONAL CONCERNIENTE A LA REGLA DEL PREVIO AGOTAMIENTO DE LOS RECURSOS INTERNOS.</w:t>
      </w:r>
    </w:p>
    <w:p w:rsidR="00F4471C" w:rsidRDefault="00F4471C" w:rsidP="00F4471C">
      <w:pPr>
        <w:spacing w:after="0"/>
        <w:jc w:val="both"/>
        <w:rPr>
          <w:rFonts w:ascii="Verdana" w:hAnsi="Verdana" w:cs="Calibri"/>
          <w:sz w:val="20"/>
          <w:szCs w:val="20"/>
          <w:lang w:val="es-CR"/>
        </w:rPr>
      </w:pPr>
    </w:p>
    <w:p w:rsidR="005B2171" w:rsidRDefault="005B2171" w:rsidP="00F4471C">
      <w:pPr>
        <w:spacing w:after="0"/>
        <w:jc w:val="both"/>
        <w:rPr>
          <w:rFonts w:ascii="Verdana" w:hAnsi="Verdana" w:cs="Calibri"/>
          <w:sz w:val="20"/>
          <w:szCs w:val="20"/>
          <w:lang w:val="es-CR"/>
        </w:rPr>
      </w:pPr>
      <w:r w:rsidRPr="00C54BB0">
        <w:rPr>
          <w:rFonts w:ascii="Verdana" w:hAnsi="Verdana" w:cs="Calibri"/>
          <w:sz w:val="20"/>
          <w:szCs w:val="20"/>
          <w:lang w:val="es-CR"/>
        </w:rPr>
        <w:t xml:space="preserve">En esta primera parte del presente escrito, se reiterarán y complementarán algunas  observaciones generales </w:t>
      </w:r>
      <w:r w:rsidR="00783CC7">
        <w:rPr>
          <w:rFonts w:ascii="Verdana" w:hAnsi="Verdana" w:cs="Calibri"/>
          <w:sz w:val="20"/>
          <w:szCs w:val="20"/>
          <w:lang w:val="es-CR"/>
        </w:rPr>
        <w:t>antes realizadas</w:t>
      </w:r>
      <w:r w:rsidR="00783CC7">
        <w:rPr>
          <w:rStyle w:val="FootnoteReference"/>
          <w:rFonts w:cs="Calibri"/>
          <w:szCs w:val="20"/>
          <w:lang w:val="es-CR"/>
        </w:rPr>
        <w:footnoteReference w:id="8"/>
      </w:r>
      <w:r w:rsidR="00783CC7">
        <w:rPr>
          <w:rFonts w:ascii="Verdana" w:hAnsi="Verdana" w:cs="Calibri"/>
          <w:sz w:val="20"/>
          <w:szCs w:val="20"/>
          <w:lang w:val="es-CR"/>
        </w:rPr>
        <w:t xml:space="preserve"> sobre</w:t>
      </w:r>
      <w:r w:rsidRPr="00C54BB0">
        <w:rPr>
          <w:rFonts w:ascii="Verdana" w:hAnsi="Verdana" w:cs="Calibri"/>
          <w:sz w:val="20"/>
          <w:szCs w:val="20"/>
          <w:lang w:val="es-CR"/>
        </w:rPr>
        <w:t xml:space="preserve"> la regla en comento</w:t>
      </w:r>
      <w:r w:rsidR="00783CC7">
        <w:rPr>
          <w:rFonts w:cs="Calibri"/>
          <w:szCs w:val="20"/>
          <w:lang w:val="es-CR"/>
        </w:rPr>
        <w:t xml:space="preserve"> </w:t>
      </w:r>
      <w:r w:rsidR="00783CC7">
        <w:rPr>
          <w:rFonts w:ascii="Verdana" w:hAnsi="Verdana" w:cs="Calibri"/>
          <w:sz w:val="20"/>
          <w:szCs w:val="20"/>
          <w:lang w:val="es-CR"/>
        </w:rPr>
        <w:t>y e</w:t>
      </w:r>
      <w:r w:rsidRPr="00C54BB0">
        <w:rPr>
          <w:rFonts w:ascii="Verdana" w:hAnsi="Verdana" w:cs="Calibri"/>
          <w:sz w:val="20"/>
          <w:szCs w:val="20"/>
          <w:lang w:val="es-CR"/>
        </w:rPr>
        <w:t>l procedimiento que se debe seguir al respecto, esto es, en cuanto a la petición, su estudio y trámite inicial por parte de la Comisión, la respuesta del Estado a ella, su admisibilidad y el pronunciamiento que le corresponde a la Corte</w:t>
      </w:r>
      <w:r w:rsidR="00E42312">
        <w:rPr>
          <w:rFonts w:ascii="Verdana" w:hAnsi="Verdana" w:cs="Calibri"/>
          <w:sz w:val="20"/>
          <w:szCs w:val="20"/>
          <w:lang w:val="es-CR"/>
        </w:rPr>
        <w:t>, para concluir con las consecuencias</w:t>
      </w:r>
      <w:r w:rsidR="00756A32">
        <w:rPr>
          <w:rFonts w:ascii="Verdana" w:hAnsi="Verdana" w:cs="Calibri"/>
          <w:sz w:val="20"/>
          <w:szCs w:val="20"/>
          <w:lang w:val="es-CR"/>
        </w:rPr>
        <w:t xml:space="preserve"> que se deriva</w:t>
      </w:r>
      <w:r w:rsidR="00AD04B0">
        <w:rPr>
          <w:rFonts w:ascii="Verdana" w:hAnsi="Verdana" w:cs="Calibri"/>
          <w:sz w:val="20"/>
          <w:szCs w:val="20"/>
          <w:lang w:val="es-CR"/>
        </w:rPr>
        <w:t>rían</w:t>
      </w:r>
      <w:r w:rsidR="00756A32">
        <w:rPr>
          <w:rFonts w:ascii="Verdana" w:hAnsi="Verdana" w:cs="Calibri"/>
          <w:sz w:val="20"/>
          <w:szCs w:val="20"/>
          <w:lang w:val="es-CR"/>
        </w:rPr>
        <w:t xml:space="preserve"> de </w:t>
      </w:r>
      <w:r w:rsidR="00AD04B0">
        <w:rPr>
          <w:rFonts w:ascii="Verdana" w:hAnsi="Verdana" w:cs="Calibri"/>
          <w:sz w:val="20"/>
          <w:szCs w:val="20"/>
          <w:lang w:val="es-CR"/>
        </w:rPr>
        <w:t>considerar a la regla del previo agotamiento de los recursos internos como requisito de la admisibilidad y no de la petición</w:t>
      </w:r>
      <w:r w:rsidRPr="00C54BB0">
        <w:rPr>
          <w:rFonts w:ascii="Verdana" w:hAnsi="Verdana" w:cs="Calibri"/>
          <w:sz w:val="20"/>
          <w:szCs w:val="20"/>
          <w:lang w:val="es-CR"/>
        </w:rPr>
        <w:t>.</w:t>
      </w:r>
    </w:p>
    <w:p w:rsidR="00F4471C" w:rsidRPr="00C54BB0" w:rsidRDefault="00F4471C" w:rsidP="00F4471C">
      <w:pPr>
        <w:spacing w:after="0"/>
        <w:jc w:val="both"/>
        <w:rPr>
          <w:rFonts w:ascii="Verdana" w:hAnsi="Verdana" w:cs="Calibri"/>
          <w:sz w:val="20"/>
          <w:szCs w:val="20"/>
          <w:lang w:val="es-CR"/>
        </w:rPr>
      </w:pPr>
    </w:p>
    <w:p w:rsidR="005B2171" w:rsidRPr="00C54BB0" w:rsidRDefault="005B2171" w:rsidP="00F4471C">
      <w:pPr>
        <w:numPr>
          <w:ilvl w:val="0"/>
          <w:numId w:val="1"/>
        </w:numPr>
        <w:spacing w:after="0"/>
        <w:ind w:left="567" w:hanging="283"/>
        <w:jc w:val="both"/>
        <w:rPr>
          <w:rFonts w:ascii="Verdana" w:hAnsi="Verdana" w:cs="Calibri"/>
          <w:b/>
          <w:sz w:val="20"/>
          <w:szCs w:val="20"/>
          <w:lang w:val="es-CR"/>
        </w:rPr>
      </w:pPr>
      <w:r w:rsidRPr="00C54BB0">
        <w:rPr>
          <w:rFonts w:ascii="Verdana" w:hAnsi="Verdana" w:cs="Calibri"/>
          <w:b/>
          <w:sz w:val="20"/>
          <w:szCs w:val="20"/>
        </w:rPr>
        <w:t>Observaciones generales.</w:t>
      </w:r>
    </w:p>
    <w:p w:rsidR="00F4471C" w:rsidRDefault="00F4471C" w:rsidP="00F4471C">
      <w:pPr>
        <w:pStyle w:val="NormalWeb"/>
        <w:spacing w:before="0" w:beforeAutospacing="0" w:after="0" w:afterAutospacing="0" w:line="276" w:lineRule="auto"/>
        <w:jc w:val="both"/>
        <w:rPr>
          <w:rFonts w:ascii="Verdana" w:hAnsi="Verdana" w:cs="Calibri"/>
          <w:sz w:val="20"/>
          <w:szCs w:val="20"/>
        </w:rPr>
      </w:pPr>
    </w:p>
    <w:p w:rsidR="005B2171" w:rsidRDefault="005B2171" w:rsidP="00F4471C">
      <w:pPr>
        <w:pStyle w:val="NormalWeb"/>
        <w:spacing w:before="0" w:beforeAutospacing="0" w:after="0" w:afterAutospacing="0" w:line="276" w:lineRule="auto"/>
        <w:jc w:val="both"/>
        <w:rPr>
          <w:rFonts w:ascii="Verdana" w:hAnsi="Verdana" w:cs="Calibri"/>
          <w:sz w:val="20"/>
          <w:szCs w:val="20"/>
        </w:rPr>
      </w:pPr>
      <w:r w:rsidRPr="00C54BB0">
        <w:rPr>
          <w:rFonts w:ascii="Verdana" w:hAnsi="Verdana" w:cs="Calibri"/>
          <w:sz w:val="20"/>
          <w:szCs w:val="20"/>
        </w:rPr>
        <w:t xml:space="preserve">El artículo 46 de la Convención consagra la regla del previo agotamiento de los recursos internos al disponer que: </w:t>
      </w:r>
    </w:p>
    <w:p w:rsidR="00F4471C" w:rsidRPr="00C54BB0" w:rsidRDefault="00F4471C" w:rsidP="00F4471C">
      <w:pPr>
        <w:pStyle w:val="NormalWeb"/>
        <w:spacing w:before="0" w:beforeAutospacing="0" w:after="0" w:afterAutospacing="0" w:line="276" w:lineRule="auto"/>
        <w:jc w:val="both"/>
        <w:rPr>
          <w:rFonts w:ascii="Verdana" w:hAnsi="Verdana" w:cs="Calibri"/>
          <w:sz w:val="20"/>
          <w:szCs w:val="20"/>
        </w:rPr>
      </w:pPr>
    </w:p>
    <w:p w:rsidR="00910305" w:rsidRPr="00F27EC1" w:rsidRDefault="005B2171" w:rsidP="002D07A8">
      <w:pPr>
        <w:pStyle w:val="NormalWeb"/>
        <w:spacing w:before="0" w:beforeAutospacing="0" w:after="0" w:afterAutospacing="0" w:line="276" w:lineRule="auto"/>
        <w:ind w:left="567"/>
        <w:jc w:val="both"/>
        <w:rPr>
          <w:rFonts w:ascii="Verdana" w:hAnsi="Verdana" w:cs="Calibri"/>
          <w:i/>
          <w:sz w:val="20"/>
          <w:szCs w:val="20"/>
        </w:rPr>
      </w:pPr>
      <w:r w:rsidRPr="00F27EC1">
        <w:rPr>
          <w:rFonts w:ascii="Verdana" w:hAnsi="Verdana" w:cs="Calibri"/>
          <w:i/>
          <w:sz w:val="20"/>
          <w:szCs w:val="20"/>
        </w:rPr>
        <w:t xml:space="preserve">“1. Para que una petición o comunicación presentada conforme a los artículos 44 </w:t>
      </w:r>
      <w:proofErr w:type="spellStart"/>
      <w:r w:rsidRPr="00F27EC1">
        <w:rPr>
          <w:rFonts w:ascii="Verdana" w:hAnsi="Verdana" w:cs="Calibri"/>
          <w:i/>
          <w:sz w:val="20"/>
          <w:szCs w:val="20"/>
        </w:rPr>
        <w:t>ó</w:t>
      </w:r>
      <w:proofErr w:type="spellEnd"/>
      <w:r w:rsidRPr="00F27EC1">
        <w:rPr>
          <w:rFonts w:ascii="Verdana" w:hAnsi="Verdana" w:cs="Calibri"/>
          <w:i/>
          <w:sz w:val="20"/>
          <w:szCs w:val="20"/>
        </w:rPr>
        <w:t xml:space="preserve"> 45 sea admitida por la Comisión, se requerirá:</w:t>
      </w:r>
    </w:p>
    <w:p w:rsidR="00910305" w:rsidRPr="00F27EC1" w:rsidRDefault="00910305" w:rsidP="002D07A8">
      <w:pPr>
        <w:pStyle w:val="NormalWeb"/>
        <w:spacing w:before="0" w:beforeAutospacing="0" w:after="0" w:afterAutospacing="0" w:line="276" w:lineRule="auto"/>
        <w:ind w:left="567"/>
        <w:jc w:val="both"/>
        <w:rPr>
          <w:rFonts w:ascii="Verdana" w:hAnsi="Verdana" w:cs="Calibri"/>
          <w:i/>
          <w:sz w:val="20"/>
          <w:szCs w:val="20"/>
        </w:rPr>
      </w:pPr>
    </w:p>
    <w:p w:rsidR="005B2171" w:rsidRPr="00F27EC1" w:rsidRDefault="005B2171" w:rsidP="002D07A8">
      <w:pPr>
        <w:pStyle w:val="NormalWeb"/>
        <w:spacing w:before="0" w:beforeAutospacing="0" w:after="0" w:afterAutospacing="0" w:line="276" w:lineRule="auto"/>
        <w:ind w:left="567"/>
        <w:rPr>
          <w:rFonts w:ascii="Verdana" w:hAnsi="Verdana" w:cs="Calibri"/>
          <w:i/>
          <w:sz w:val="20"/>
          <w:szCs w:val="20"/>
        </w:rPr>
      </w:pPr>
      <w:r w:rsidRPr="00F27EC1">
        <w:rPr>
          <w:rFonts w:ascii="Verdana" w:hAnsi="Verdana" w:cs="Calibri"/>
          <w:i/>
          <w:sz w:val="20"/>
          <w:szCs w:val="20"/>
        </w:rPr>
        <w:t>a) que se hayan interpuesto y agotado los recursos de juris</w:t>
      </w:r>
      <w:r w:rsidR="009954B8" w:rsidRPr="00F27EC1">
        <w:rPr>
          <w:rFonts w:ascii="Verdana" w:hAnsi="Verdana" w:cs="Calibri"/>
          <w:i/>
          <w:sz w:val="20"/>
          <w:szCs w:val="20"/>
        </w:rPr>
        <w:t xml:space="preserve">dicción interna, </w:t>
      </w:r>
      <w:r w:rsidRPr="00F27EC1">
        <w:rPr>
          <w:rFonts w:ascii="Verdana" w:hAnsi="Verdana" w:cs="Calibri"/>
          <w:i/>
          <w:sz w:val="20"/>
          <w:szCs w:val="20"/>
        </w:rPr>
        <w:t>conforme a los principios del Derecho Internacional generalmente reconocidos;</w:t>
      </w:r>
    </w:p>
    <w:p w:rsidR="00910305" w:rsidRPr="00F27EC1" w:rsidRDefault="00910305" w:rsidP="002D07A8">
      <w:pPr>
        <w:pStyle w:val="NormalWeb"/>
        <w:spacing w:before="0" w:beforeAutospacing="0" w:after="0" w:afterAutospacing="0" w:line="276" w:lineRule="auto"/>
        <w:ind w:left="567"/>
        <w:rPr>
          <w:rFonts w:ascii="Verdana" w:hAnsi="Verdana" w:cs="Calibri"/>
          <w:i/>
          <w:sz w:val="20"/>
          <w:szCs w:val="20"/>
        </w:rPr>
      </w:pPr>
    </w:p>
    <w:p w:rsidR="005B2171" w:rsidRPr="00F27EC1" w:rsidRDefault="005B2171" w:rsidP="002D07A8">
      <w:pPr>
        <w:pStyle w:val="NormalWeb"/>
        <w:spacing w:before="0" w:beforeAutospacing="0" w:after="0" w:afterAutospacing="0" w:line="276" w:lineRule="auto"/>
        <w:ind w:left="567"/>
        <w:jc w:val="both"/>
        <w:rPr>
          <w:rFonts w:ascii="Verdana" w:hAnsi="Verdana" w:cs="Calibri"/>
          <w:i/>
          <w:sz w:val="20"/>
          <w:szCs w:val="20"/>
        </w:rPr>
      </w:pPr>
      <w:r w:rsidRPr="00F27EC1">
        <w:rPr>
          <w:rFonts w:ascii="Verdana" w:hAnsi="Verdana" w:cs="Calibri"/>
          <w:i/>
          <w:sz w:val="20"/>
          <w:szCs w:val="20"/>
        </w:rPr>
        <w:t>b) que sea presentada dentro del plazo de seis meses, a partir de la fecha en que el presunto lesionado en sus derechos haya sido notificado de la decisión definitiva;</w:t>
      </w:r>
    </w:p>
    <w:p w:rsidR="00910305" w:rsidRPr="00F27EC1" w:rsidRDefault="00910305" w:rsidP="002D07A8">
      <w:pPr>
        <w:pStyle w:val="NormalWeb"/>
        <w:spacing w:before="0" w:beforeAutospacing="0" w:after="0" w:afterAutospacing="0" w:line="276" w:lineRule="auto"/>
        <w:ind w:left="567"/>
        <w:jc w:val="both"/>
        <w:rPr>
          <w:rFonts w:ascii="Verdana" w:hAnsi="Verdana" w:cs="Calibri"/>
          <w:i/>
          <w:sz w:val="20"/>
          <w:szCs w:val="20"/>
        </w:rPr>
      </w:pPr>
    </w:p>
    <w:p w:rsidR="005B2171" w:rsidRPr="00F27EC1" w:rsidRDefault="005B2171" w:rsidP="002D07A8">
      <w:pPr>
        <w:pStyle w:val="NormalWeb"/>
        <w:spacing w:before="0" w:beforeAutospacing="0" w:after="0" w:afterAutospacing="0" w:line="276" w:lineRule="auto"/>
        <w:ind w:left="567"/>
        <w:jc w:val="both"/>
        <w:rPr>
          <w:rFonts w:ascii="Verdana" w:hAnsi="Verdana" w:cs="Calibri"/>
          <w:i/>
          <w:sz w:val="20"/>
          <w:szCs w:val="20"/>
        </w:rPr>
      </w:pPr>
      <w:r w:rsidRPr="00F27EC1">
        <w:rPr>
          <w:rFonts w:ascii="Verdana" w:hAnsi="Verdana" w:cs="Calibri"/>
          <w:i/>
          <w:sz w:val="20"/>
          <w:szCs w:val="20"/>
        </w:rPr>
        <w:t xml:space="preserve">c) que la materia de la petición o comunicación no esté pendiente de otro procedimiento de arreglo internacional, y </w:t>
      </w:r>
    </w:p>
    <w:p w:rsidR="00910305" w:rsidRPr="00F27EC1" w:rsidRDefault="00910305" w:rsidP="002D07A8">
      <w:pPr>
        <w:pStyle w:val="NormalWeb"/>
        <w:spacing w:before="0" w:beforeAutospacing="0" w:after="0" w:afterAutospacing="0" w:line="276" w:lineRule="auto"/>
        <w:ind w:left="567"/>
        <w:jc w:val="both"/>
        <w:rPr>
          <w:rFonts w:ascii="Verdana" w:hAnsi="Verdana" w:cs="Calibri"/>
          <w:i/>
          <w:sz w:val="20"/>
          <w:szCs w:val="20"/>
        </w:rPr>
      </w:pPr>
    </w:p>
    <w:p w:rsidR="005B2171" w:rsidRPr="00F27EC1" w:rsidRDefault="005B2171" w:rsidP="002D07A8">
      <w:pPr>
        <w:pStyle w:val="NormalWeb"/>
        <w:spacing w:before="0" w:beforeAutospacing="0" w:after="0" w:afterAutospacing="0" w:line="276" w:lineRule="auto"/>
        <w:ind w:left="567"/>
        <w:jc w:val="both"/>
        <w:rPr>
          <w:rFonts w:ascii="Verdana" w:hAnsi="Verdana" w:cs="Calibri"/>
          <w:i/>
          <w:sz w:val="20"/>
          <w:szCs w:val="20"/>
        </w:rPr>
      </w:pPr>
      <w:r w:rsidRPr="00F27EC1">
        <w:rPr>
          <w:rFonts w:ascii="Verdana" w:hAnsi="Verdana" w:cs="Calibri"/>
          <w:i/>
          <w:sz w:val="20"/>
          <w:szCs w:val="20"/>
        </w:rPr>
        <w:t>d) que en el caso del artículo 44 la petición contenga el nombre, la nacionalidad, la profesión, el domicilio y la firma de la persona o personas o del representante legal de la entidad que somete la petición.</w:t>
      </w:r>
    </w:p>
    <w:p w:rsidR="00910305" w:rsidRPr="00F27EC1" w:rsidRDefault="00910305" w:rsidP="002D07A8">
      <w:pPr>
        <w:pStyle w:val="NormalWeb"/>
        <w:spacing w:before="0" w:beforeAutospacing="0" w:after="0" w:afterAutospacing="0" w:line="276" w:lineRule="auto"/>
        <w:ind w:left="567"/>
        <w:jc w:val="both"/>
        <w:rPr>
          <w:rFonts w:ascii="Verdana" w:hAnsi="Verdana" w:cs="Calibri"/>
          <w:i/>
          <w:sz w:val="20"/>
          <w:szCs w:val="20"/>
        </w:rPr>
      </w:pPr>
    </w:p>
    <w:p w:rsidR="005B2171" w:rsidRPr="00F27EC1" w:rsidRDefault="005B2171" w:rsidP="002D07A8">
      <w:pPr>
        <w:pStyle w:val="NormalWeb"/>
        <w:spacing w:before="0" w:beforeAutospacing="0" w:after="0" w:afterAutospacing="0" w:line="276" w:lineRule="auto"/>
        <w:ind w:left="567"/>
        <w:jc w:val="both"/>
        <w:rPr>
          <w:rFonts w:ascii="Verdana" w:hAnsi="Verdana" w:cs="Calibri"/>
          <w:i/>
          <w:sz w:val="20"/>
          <w:szCs w:val="20"/>
        </w:rPr>
      </w:pPr>
      <w:r w:rsidRPr="00F27EC1">
        <w:rPr>
          <w:rFonts w:ascii="Verdana" w:hAnsi="Verdana" w:cs="Calibri"/>
          <w:i/>
          <w:sz w:val="20"/>
          <w:szCs w:val="20"/>
        </w:rPr>
        <w:t xml:space="preserve">2. Las disposiciones de los incisos 1.a) y 1.b) del presente artículo no se aplicarán cuando: </w:t>
      </w:r>
    </w:p>
    <w:p w:rsidR="00910305" w:rsidRPr="00F27EC1" w:rsidRDefault="00910305" w:rsidP="002D07A8">
      <w:pPr>
        <w:pStyle w:val="NormalWeb"/>
        <w:spacing w:before="0" w:beforeAutospacing="0" w:after="0" w:afterAutospacing="0" w:line="276" w:lineRule="auto"/>
        <w:ind w:left="567"/>
        <w:jc w:val="both"/>
        <w:rPr>
          <w:rFonts w:ascii="Verdana" w:hAnsi="Verdana" w:cs="Calibri"/>
          <w:i/>
          <w:sz w:val="20"/>
          <w:szCs w:val="20"/>
        </w:rPr>
      </w:pPr>
    </w:p>
    <w:p w:rsidR="005B2171" w:rsidRPr="00F27EC1" w:rsidRDefault="005B2171" w:rsidP="002D07A8">
      <w:pPr>
        <w:pStyle w:val="NormalWeb"/>
        <w:spacing w:before="0" w:beforeAutospacing="0" w:after="0" w:afterAutospacing="0" w:line="276" w:lineRule="auto"/>
        <w:ind w:left="567"/>
        <w:jc w:val="both"/>
        <w:rPr>
          <w:rFonts w:ascii="Verdana" w:hAnsi="Verdana" w:cs="Calibri"/>
          <w:i/>
          <w:sz w:val="20"/>
          <w:szCs w:val="20"/>
        </w:rPr>
      </w:pPr>
      <w:r w:rsidRPr="00F27EC1">
        <w:rPr>
          <w:rFonts w:ascii="Verdana" w:hAnsi="Verdana" w:cs="Calibri"/>
          <w:i/>
          <w:sz w:val="20"/>
          <w:szCs w:val="20"/>
        </w:rPr>
        <w:lastRenderedPageBreak/>
        <w:t xml:space="preserve">a) no exista en la legislación interna del Estado de que se trata el debido proceso legal para la protección del derecho o derechos que se alega han sido violados; </w:t>
      </w:r>
    </w:p>
    <w:p w:rsidR="00910305" w:rsidRPr="00F27EC1" w:rsidRDefault="00910305" w:rsidP="002D07A8">
      <w:pPr>
        <w:pStyle w:val="NormalWeb"/>
        <w:spacing w:before="0" w:beforeAutospacing="0" w:after="0" w:afterAutospacing="0" w:line="276" w:lineRule="auto"/>
        <w:ind w:left="567"/>
        <w:jc w:val="both"/>
        <w:rPr>
          <w:rFonts w:ascii="Verdana" w:hAnsi="Verdana" w:cs="Calibri"/>
          <w:i/>
          <w:sz w:val="20"/>
          <w:szCs w:val="20"/>
        </w:rPr>
      </w:pPr>
    </w:p>
    <w:p w:rsidR="005B2171" w:rsidRPr="00F27EC1" w:rsidRDefault="005B2171" w:rsidP="002D07A8">
      <w:pPr>
        <w:pStyle w:val="NormalWeb"/>
        <w:spacing w:before="0" w:beforeAutospacing="0" w:after="0" w:afterAutospacing="0" w:line="276" w:lineRule="auto"/>
        <w:ind w:left="567"/>
        <w:jc w:val="both"/>
        <w:rPr>
          <w:rFonts w:ascii="Verdana" w:hAnsi="Verdana" w:cs="Calibri"/>
          <w:i/>
          <w:sz w:val="20"/>
          <w:szCs w:val="20"/>
        </w:rPr>
      </w:pPr>
      <w:r w:rsidRPr="00F27EC1">
        <w:rPr>
          <w:rFonts w:ascii="Verdana" w:hAnsi="Verdana" w:cs="Calibri"/>
          <w:i/>
          <w:sz w:val="20"/>
          <w:szCs w:val="20"/>
        </w:rPr>
        <w:t>b) no se haya permitido al presunto lesionado en sus derechos el acceso a los recursos de la jurisdicción interna, o haya sido impedido de agotarlos, y</w:t>
      </w:r>
    </w:p>
    <w:p w:rsidR="00910305" w:rsidRPr="00F27EC1" w:rsidRDefault="00910305" w:rsidP="002D07A8">
      <w:pPr>
        <w:pStyle w:val="NormalWeb"/>
        <w:spacing w:before="0" w:beforeAutospacing="0" w:after="0" w:afterAutospacing="0" w:line="276" w:lineRule="auto"/>
        <w:ind w:left="567"/>
        <w:jc w:val="both"/>
        <w:rPr>
          <w:rFonts w:ascii="Verdana" w:hAnsi="Verdana" w:cs="Calibri"/>
          <w:i/>
          <w:sz w:val="20"/>
          <w:szCs w:val="20"/>
        </w:rPr>
      </w:pPr>
    </w:p>
    <w:p w:rsidR="005B2171" w:rsidRPr="00F27EC1" w:rsidRDefault="005B2171" w:rsidP="002D07A8">
      <w:pPr>
        <w:pStyle w:val="NormalWeb"/>
        <w:spacing w:before="0" w:beforeAutospacing="0" w:after="0" w:afterAutospacing="0" w:line="276" w:lineRule="auto"/>
        <w:ind w:left="567"/>
        <w:jc w:val="both"/>
        <w:rPr>
          <w:rFonts w:ascii="Verdana" w:hAnsi="Verdana" w:cs="Calibri"/>
          <w:i/>
          <w:sz w:val="20"/>
          <w:szCs w:val="20"/>
        </w:rPr>
      </w:pPr>
      <w:r w:rsidRPr="00F27EC1">
        <w:rPr>
          <w:rFonts w:ascii="Verdana" w:hAnsi="Verdana" w:cs="Calibri"/>
          <w:i/>
          <w:sz w:val="20"/>
          <w:szCs w:val="20"/>
        </w:rPr>
        <w:t xml:space="preserve">c) </w:t>
      </w:r>
      <w:proofErr w:type="gramStart"/>
      <w:r w:rsidRPr="00F27EC1">
        <w:rPr>
          <w:rFonts w:ascii="Verdana" w:hAnsi="Verdana" w:cs="Calibri"/>
          <w:i/>
          <w:sz w:val="20"/>
          <w:szCs w:val="20"/>
        </w:rPr>
        <w:t>haya</w:t>
      </w:r>
      <w:proofErr w:type="gramEnd"/>
      <w:r w:rsidRPr="00F27EC1">
        <w:rPr>
          <w:rFonts w:ascii="Verdana" w:hAnsi="Verdana" w:cs="Calibri"/>
          <w:i/>
          <w:sz w:val="20"/>
          <w:szCs w:val="20"/>
        </w:rPr>
        <w:t xml:space="preserve"> retardo injustificado en la decisión sobre los mencionados recursos</w:t>
      </w:r>
      <w:r w:rsidR="00910305" w:rsidRPr="00F27EC1">
        <w:rPr>
          <w:rFonts w:ascii="Verdana" w:hAnsi="Verdana" w:cs="Calibri"/>
          <w:i/>
          <w:sz w:val="20"/>
          <w:szCs w:val="20"/>
        </w:rPr>
        <w:t>”</w:t>
      </w:r>
      <w:r w:rsidRPr="00F27EC1">
        <w:rPr>
          <w:rFonts w:ascii="Verdana" w:hAnsi="Verdana" w:cs="Calibri"/>
          <w:i/>
          <w:sz w:val="20"/>
          <w:szCs w:val="20"/>
        </w:rPr>
        <w:t>.</w:t>
      </w:r>
    </w:p>
    <w:p w:rsidR="00BD619C" w:rsidRPr="00F27EC1" w:rsidRDefault="00BD619C" w:rsidP="00F4471C">
      <w:pPr>
        <w:pStyle w:val="NormalWeb"/>
        <w:spacing w:before="0" w:beforeAutospacing="0" w:after="0" w:afterAutospacing="0" w:line="276" w:lineRule="auto"/>
        <w:jc w:val="both"/>
        <w:rPr>
          <w:rFonts w:ascii="Verdana" w:hAnsi="Verdana" w:cs="Calibri"/>
          <w:sz w:val="20"/>
          <w:szCs w:val="20"/>
        </w:rPr>
      </w:pPr>
    </w:p>
    <w:p w:rsidR="00C31A04" w:rsidRPr="00F27EC1" w:rsidRDefault="005B2171" w:rsidP="00F4471C">
      <w:pPr>
        <w:pStyle w:val="NormalWeb"/>
        <w:spacing w:before="0" w:beforeAutospacing="0" w:after="0" w:afterAutospacing="0" w:line="276" w:lineRule="auto"/>
        <w:jc w:val="both"/>
        <w:rPr>
          <w:rFonts w:ascii="Verdana" w:hAnsi="Verdana" w:cs="Calibri"/>
          <w:sz w:val="20"/>
          <w:szCs w:val="20"/>
        </w:rPr>
      </w:pPr>
      <w:r w:rsidRPr="00F27EC1">
        <w:rPr>
          <w:rFonts w:ascii="Verdana" w:hAnsi="Verdana" w:cs="Calibri"/>
          <w:sz w:val="20"/>
          <w:szCs w:val="20"/>
        </w:rPr>
        <w:t xml:space="preserve">Como observación preliminar, procede llamar la atención respecto de que esta norma es </w:t>
      </w:r>
      <w:r w:rsidRPr="00CA5AE0">
        <w:rPr>
          <w:rFonts w:ascii="Verdana" w:hAnsi="Verdana" w:cs="Calibri"/>
          <w:i/>
          <w:sz w:val="20"/>
          <w:szCs w:val="20"/>
          <w:shd w:val="clear" w:color="auto" w:fill="FFFFFF"/>
        </w:rPr>
        <w:t xml:space="preserve">sui </w:t>
      </w:r>
      <w:r w:rsidRPr="00CA5AE0">
        <w:rPr>
          <w:rFonts w:ascii="Verdana" w:hAnsi="Verdana" w:cs="Calibri"/>
          <w:bCs/>
          <w:i/>
          <w:iCs/>
          <w:sz w:val="20"/>
          <w:szCs w:val="20"/>
          <w:shd w:val="clear" w:color="auto" w:fill="FFFFFF"/>
        </w:rPr>
        <w:t>generis</w:t>
      </w:r>
      <w:r w:rsidRPr="00F27EC1">
        <w:rPr>
          <w:rFonts w:ascii="Verdana" w:hAnsi="Verdana" w:cs="Calibri"/>
          <w:i/>
          <w:sz w:val="20"/>
          <w:szCs w:val="20"/>
        </w:rPr>
        <w:t xml:space="preserve">, </w:t>
      </w:r>
      <w:r w:rsidRPr="00F27EC1">
        <w:rPr>
          <w:rFonts w:ascii="Verdana" w:hAnsi="Verdana" w:cs="Calibri"/>
          <w:sz w:val="20"/>
          <w:szCs w:val="20"/>
        </w:rPr>
        <w:t>propia o exclusiva de la Convención. Efectivamente, ella no figura, por ejemplo, en los mismos términos en el Convenio para la Protección de los Derechos Humanos y de las Libertades Fundamentales o Convenio Europeo de Derechos Humanos</w:t>
      </w:r>
      <w:r w:rsidRPr="00F27EC1">
        <w:rPr>
          <w:rStyle w:val="FootnoteReference"/>
          <w:rFonts w:cs="Calibri"/>
          <w:szCs w:val="20"/>
        </w:rPr>
        <w:footnoteReference w:id="9"/>
      </w:r>
      <w:r w:rsidRPr="00F27EC1">
        <w:rPr>
          <w:rFonts w:ascii="Verdana" w:hAnsi="Verdana" w:cs="Calibri"/>
          <w:sz w:val="20"/>
          <w:szCs w:val="20"/>
        </w:rPr>
        <w:t>, cuyo artículo 35 aborda el requisito del previo agotamiento de los recursos internos en forma más general y, además, no contempla las taxativas excepciones previstas en el artículo 46.2 de la Convención</w:t>
      </w:r>
      <w:r w:rsidRPr="00F27EC1">
        <w:rPr>
          <w:rStyle w:val="FootnoteReference"/>
          <w:rFonts w:cs="Calibri"/>
          <w:szCs w:val="20"/>
        </w:rPr>
        <w:footnoteReference w:id="10"/>
      </w:r>
      <w:r w:rsidRPr="00F27EC1">
        <w:rPr>
          <w:rFonts w:ascii="Verdana" w:hAnsi="Verdana" w:cs="Calibri"/>
          <w:sz w:val="20"/>
          <w:szCs w:val="20"/>
        </w:rPr>
        <w:t>.</w:t>
      </w:r>
    </w:p>
    <w:p w:rsidR="00BD619C" w:rsidRPr="00F27EC1" w:rsidRDefault="00BD619C" w:rsidP="00F4471C">
      <w:pPr>
        <w:pStyle w:val="NormalWeb"/>
        <w:spacing w:before="0" w:beforeAutospacing="0" w:after="0" w:afterAutospacing="0" w:line="276" w:lineRule="auto"/>
        <w:jc w:val="both"/>
        <w:rPr>
          <w:rFonts w:ascii="Verdana" w:hAnsi="Verdana" w:cs="Calibri"/>
          <w:sz w:val="20"/>
          <w:szCs w:val="20"/>
        </w:rPr>
      </w:pPr>
    </w:p>
    <w:p w:rsidR="005B2171" w:rsidRPr="00211B47" w:rsidRDefault="005B2171" w:rsidP="00F4471C">
      <w:pPr>
        <w:pStyle w:val="NormalWeb"/>
        <w:spacing w:before="0" w:beforeAutospacing="0" w:after="0" w:afterAutospacing="0" w:line="276" w:lineRule="auto"/>
        <w:jc w:val="both"/>
        <w:rPr>
          <w:rFonts w:ascii="Verdana" w:hAnsi="Verdana" w:cs="Calibri"/>
          <w:color w:val="FF0000"/>
          <w:sz w:val="20"/>
          <w:szCs w:val="20"/>
        </w:rPr>
      </w:pPr>
      <w:r w:rsidRPr="00F27EC1">
        <w:rPr>
          <w:rFonts w:ascii="Verdana" w:hAnsi="Verdana" w:cs="Calibri"/>
          <w:sz w:val="20"/>
          <w:szCs w:val="20"/>
        </w:rPr>
        <w:t xml:space="preserve">Por otra parte, procede igualmente recalcar que el citado requisito está previsto en el mencionado Convenio para ser cumplido antes </w:t>
      </w:r>
      <w:r w:rsidRPr="00C54BB0">
        <w:rPr>
          <w:rFonts w:ascii="Verdana" w:hAnsi="Verdana" w:cs="Calibri"/>
          <w:sz w:val="20"/>
          <w:szCs w:val="20"/>
        </w:rPr>
        <w:t xml:space="preserve">de accionar ante el Tribunal Europeo de Derechos Humanos, es decir, un ente judicial, mientras que en el caso de la Convención está concebido para serlo antes de presentar la petición ante la Comisión, vale decir, una entidad no judicial. Y ello es relevante en la medida en que esta última </w:t>
      </w:r>
      <w:r w:rsidRPr="00C54BB0">
        <w:rPr>
          <w:rFonts w:ascii="Verdana" w:hAnsi="Verdana" w:cs="Calibri"/>
          <w:i/>
          <w:sz w:val="20"/>
          <w:szCs w:val="20"/>
        </w:rPr>
        <w:t>“tiene la función principal de promover la observancia y la defensa de los derechos humanos”</w:t>
      </w:r>
      <w:r w:rsidRPr="00910305">
        <w:rPr>
          <w:rStyle w:val="FootnoteReference"/>
          <w:rFonts w:cs="Calibri"/>
          <w:szCs w:val="20"/>
        </w:rPr>
        <w:footnoteReference w:id="11"/>
      </w:r>
      <w:r w:rsidRPr="00C54BB0">
        <w:rPr>
          <w:rFonts w:ascii="Verdana" w:hAnsi="Verdana" w:cs="Calibri"/>
          <w:i/>
          <w:sz w:val="20"/>
          <w:szCs w:val="20"/>
        </w:rPr>
        <w:t xml:space="preserve"> </w:t>
      </w:r>
      <w:r w:rsidRPr="00C54BB0">
        <w:rPr>
          <w:rStyle w:val="apple-converted-space"/>
          <w:rFonts w:ascii="Verdana" w:hAnsi="Verdana" w:cs="Calibri"/>
          <w:sz w:val="20"/>
          <w:szCs w:val="20"/>
        </w:rPr>
        <w:t>y, en ejercicio de esa función,</w:t>
      </w:r>
      <w:r w:rsidRPr="00C54BB0">
        <w:rPr>
          <w:rStyle w:val="Heading1Char"/>
          <w:rFonts w:ascii="Verdana" w:hAnsi="Verdana" w:cs="Calibri"/>
          <w:b w:val="0"/>
          <w:sz w:val="20"/>
          <w:szCs w:val="20"/>
        </w:rPr>
        <w:t xml:space="preserve"> </w:t>
      </w:r>
      <w:r w:rsidRPr="00C54BB0">
        <w:rPr>
          <w:rStyle w:val="apple-converted-space"/>
          <w:rFonts w:ascii="Verdana" w:hAnsi="Verdana" w:cs="Calibri"/>
          <w:i/>
          <w:sz w:val="20"/>
          <w:szCs w:val="20"/>
        </w:rPr>
        <w:t>“</w:t>
      </w:r>
      <w:r w:rsidRPr="00C54BB0">
        <w:rPr>
          <w:rFonts w:ascii="Verdana" w:hAnsi="Verdana" w:cs="Calibri"/>
          <w:i/>
          <w:sz w:val="20"/>
          <w:szCs w:val="20"/>
        </w:rPr>
        <w:t>actuar respecto de las peticiones y otras comunicaciones en ejercicio de su autoridad de conformidad con lo dispuesto en los artículos 44 al 51 de esta Convención</w:t>
      </w:r>
      <w:r w:rsidRPr="00C54BB0">
        <w:rPr>
          <w:rFonts w:ascii="Verdana" w:hAnsi="Verdana" w:cs="Calibri"/>
          <w:sz w:val="20"/>
          <w:szCs w:val="20"/>
        </w:rPr>
        <w:t>”</w:t>
      </w:r>
      <w:r w:rsidRPr="00910305">
        <w:rPr>
          <w:rStyle w:val="FootnoteReference"/>
          <w:rFonts w:cs="Calibri"/>
          <w:szCs w:val="20"/>
        </w:rPr>
        <w:footnoteReference w:id="12"/>
      </w:r>
      <w:r w:rsidRPr="00910305">
        <w:rPr>
          <w:rFonts w:ascii="Verdana" w:hAnsi="Verdana" w:cs="Calibri"/>
          <w:sz w:val="20"/>
          <w:szCs w:val="20"/>
        </w:rPr>
        <w:t>,</w:t>
      </w:r>
      <w:r w:rsidRPr="00C54BB0">
        <w:rPr>
          <w:rFonts w:ascii="Verdana" w:hAnsi="Verdana" w:cs="Calibri"/>
          <w:sz w:val="20"/>
          <w:szCs w:val="20"/>
        </w:rPr>
        <w:t xml:space="preserve"> incluyendo la presentación del respectivo caso ante la </w:t>
      </w:r>
      <w:r w:rsidRPr="00843577">
        <w:rPr>
          <w:rFonts w:ascii="Verdana" w:hAnsi="Verdana" w:cs="Calibri"/>
          <w:sz w:val="20"/>
          <w:szCs w:val="20"/>
        </w:rPr>
        <w:t>Corte</w:t>
      </w:r>
      <w:r w:rsidRPr="00843577">
        <w:rPr>
          <w:rStyle w:val="FootnoteReference"/>
          <w:rFonts w:cs="Calibri"/>
          <w:szCs w:val="20"/>
        </w:rPr>
        <w:footnoteReference w:id="13"/>
      </w:r>
      <w:r w:rsidR="00211B47" w:rsidRPr="00843577">
        <w:rPr>
          <w:rFonts w:ascii="Verdana" w:hAnsi="Verdana" w:cs="Calibri"/>
          <w:sz w:val="20"/>
          <w:szCs w:val="20"/>
        </w:rPr>
        <w:t>.</w:t>
      </w:r>
    </w:p>
    <w:p w:rsidR="00BD619C" w:rsidRDefault="00BD619C" w:rsidP="00F4471C">
      <w:pPr>
        <w:pStyle w:val="NormalWeb"/>
        <w:spacing w:before="0" w:beforeAutospacing="0" w:after="0" w:afterAutospacing="0" w:line="276" w:lineRule="auto"/>
        <w:jc w:val="both"/>
        <w:rPr>
          <w:rFonts w:ascii="Verdana" w:hAnsi="Verdana" w:cs="Calibri"/>
          <w:sz w:val="20"/>
          <w:szCs w:val="20"/>
        </w:rPr>
      </w:pPr>
    </w:p>
    <w:p w:rsidR="005B2171" w:rsidRPr="00C54BB0" w:rsidRDefault="005B2171" w:rsidP="00F4471C">
      <w:pPr>
        <w:pStyle w:val="NormalWeb"/>
        <w:spacing w:before="0" w:beforeAutospacing="0" w:after="0" w:afterAutospacing="0" w:line="276" w:lineRule="auto"/>
        <w:jc w:val="both"/>
        <w:rPr>
          <w:rFonts w:ascii="Verdana" w:hAnsi="Verdana" w:cs="Calibri"/>
          <w:sz w:val="20"/>
          <w:szCs w:val="20"/>
        </w:rPr>
      </w:pPr>
      <w:r w:rsidRPr="00C54BB0">
        <w:rPr>
          <w:rFonts w:ascii="Verdana" w:hAnsi="Verdana" w:cs="Calibri"/>
          <w:sz w:val="20"/>
          <w:szCs w:val="20"/>
        </w:rPr>
        <w:lastRenderedPageBreak/>
        <w:t>Es decir, la Comisión debe promover y defender los derechos humanos, pudiendo llegar a constituirse ante la Corte en parte acusadora y en esa medida no comparte necesariamente la calidad de imparcialidad que debe caracterizar a una instancia judicial. De allí, pues, que lo previsto en el artículo 46.1.a) de la Convención está  también concebido como un límite a la actuación del señalado ente no judicial y que puede llegar a ser parte en el consecuente litigio que el mismo origine. Esto es, lo que se pretende con dicha norma es evitar que la Comisión actúe antes de que se haya dado debido y oportuno cumplimiento al requisito o regla que establece, esto es, que proceda no obstante que no se hayan agotado previamente los recursos internos.</w:t>
      </w:r>
    </w:p>
    <w:p w:rsidR="00BD619C" w:rsidRDefault="00BD619C" w:rsidP="00F4471C">
      <w:pPr>
        <w:spacing w:after="0"/>
        <w:jc w:val="both"/>
        <w:rPr>
          <w:rFonts w:ascii="Verdana" w:hAnsi="Verdana" w:cs="Calibri"/>
          <w:sz w:val="20"/>
          <w:szCs w:val="20"/>
        </w:rPr>
      </w:pPr>
    </w:p>
    <w:p w:rsidR="005B2171" w:rsidRPr="00DF1C08" w:rsidRDefault="005B2171" w:rsidP="00F4471C">
      <w:pPr>
        <w:spacing w:after="0"/>
        <w:jc w:val="both"/>
        <w:rPr>
          <w:rFonts w:ascii="Verdana" w:hAnsi="Verdana" w:cs="Calibri"/>
          <w:sz w:val="20"/>
          <w:szCs w:val="20"/>
        </w:rPr>
      </w:pPr>
      <w:r w:rsidRPr="00C54BB0">
        <w:rPr>
          <w:rFonts w:ascii="Verdana" w:hAnsi="Verdana" w:cs="Calibri"/>
          <w:sz w:val="20"/>
          <w:szCs w:val="20"/>
        </w:rPr>
        <w:t xml:space="preserve">Y es en el mismo espíritu que el citado artículo 46.2 de la Convención prevé en forma taxativa los casos en que no se aplica la regla del previo agotamiento de los recursos internos, es decir, las excepciones a la misma, a saber, la inexistencia del debido proceso legal para hacer valer los recursos internos, la imposibilidad de ejercerlos y el retardo en resolverlos. La referida norma no contempla, pues, otras excepciones que </w:t>
      </w:r>
      <w:r w:rsidRPr="00DF1C08">
        <w:rPr>
          <w:rFonts w:ascii="Verdana" w:hAnsi="Verdana" w:cs="Calibri"/>
          <w:sz w:val="20"/>
          <w:szCs w:val="20"/>
        </w:rPr>
        <w:t xml:space="preserve">las señaladas, por lo que no es procedente invocar o aún acoger una excepción no prevista en el mencionado artículo, pues si así lo fuese, ello podría conducir a despojar a la regla general prevista en el artículo 46.1.a) de la Convención de todo sentido o </w:t>
      </w:r>
      <w:r w:rsidRPr="00DF1C08">
        <w:rPr>
          <w:rFonts w:ascii="Verdana" w:hAnsi="Verdana" w:cs="Calibri"/>
          <w:i/>
          <w:sz w:val="20"/>
          <w:szCs w:val="20"/>
        </w:rPr>
        <w:t>efecto útil</w:t>
      </w:r>
      <w:r w:rsidRPr="00DF1C08">
        <w:rPr>
          <w:rFonts w:ascii="Verdana" w:hAnsi="Verdana" w:cs="Calibri"/>
          <w:sz w:val="20"/>
          <w:szCs w:val="20"/>
        </w:rPr>
        <w:t xml:space="preserve"> y más aún, dejaría su aplicación a la discreción y tal vez a la arbitrariedad de la Comisión.</w:t>
      </w:r>
    </w:p>
    <w:p w:rsidR="00BD619C" w:rsidRPr="00DF1C08" w:rsidRDefault="00BD619C" w:rsidP="00F4471C">
      <w:pPr>
        <w:pStyle w:val="NormalWeb"/>
        <w:spacing w:before="0" w:beforeAutospacing="0" w:after="0" w:afterAutospacing="0" w:line="276" w:lineRule="auto"/>
        <w:jc w:val="both"/>
        <w:rPr>
          <w:rFonts w:ascii="Verdana" w:hAnsi="Verdana" w:cs="Calibri"/>
          <w:sz w:val="20"/>
          <w:szCs w:val="20"/>
        </w:rPr>
      </w:pPr>
    </w:p>
    <w:p w:rsidR="00D215EE" w:rsidRPr="00DF1C08" w:rsidRDefault="005B2171" w:rsidP="00F4471C">
      <w:pPr>
        <w:pStyle w:val="NormalWeb"/>
        <w:spacing w:before="0" w:beforeAutospacing="0" w:after="0" w:afterAutospacing="0" w:line="276" w:lineRule="auto"/>
        <w:jc w:val="both"/>
        <w:rPr>
          <w:rFonts w:ascii="Verdana" w:hAnsi="Verdana" w:cs="Calibri"/>
          <w:sz w:val="20"/>
          <w:szCs w:val="20"/>
        </w:rPr>
      </w:pPr>
      <w:r w:rsidRPr="00DF1C08">
        <w:rPr>
          <w:rFonts w:ascii="Verdana" w:hAnsi="Verdana" w:cs="Calibri"/>
          <w:sz w:val="20"/>
          <w:szCs w:val="20"/>
        </w:rPr>
        <w:t xml:space="preserve">Ahora bien, como segundo comentario general, </w:t>
      </w:r>
      <w:r w:rsidR="002036CA" w:rsidRPr="00DF1C08">
        <w:rPr>
          <w:rFonts w:ascii="Verdana" w:hAnsi="Verdana" w:cs="Calibri"/>
          <w:sz w:val="20"/>
          <w:szCs w:val="20"/>
        </w:rPr>
        <w:t>cabe llamar la atención sobre</w:t>
      </w:r>
      <w:r w:rsidR="00D215EE" w:rsidRPr="00DF1C08">
        <w:rPr>
          <w:rFonts w:ascii="Verdana" w:hAnsi="Verdana" w:cs="Calibri"/>
          <w:sz w:val="20"/>
          <w:szCs w:val="20"/>
        </w:rPr>
        <w:t xml:space="preserve"> la referencia que el artículo 46.1.a) de la Convención hace a la circunstancia de “</w:t>
      </w:r>
      <w:r w:rsidR="00D215EE" w:rsidRPr="00DF1C08">
        <w:rPr>
          <w:rFonts w:ascii="Verdana" w:hAnsi="Verdana" w:cs="Calibri"/>
          <w:i/>
          <w:sz w:val="20"/>
          <w:szCs w:val="20"/>
        </w:rPr>
        <w:t xml:space="preserve">que se hayan interpuesto y agotado los recursos de jurisdicción interna, conforme a los principios del Derecho Internacional generalmente reconocidos”. </w:t>
      </w:r>
      <w:r w:rsidR="00D215EE" w:rsidRPr="00DF1C08">
        <w:rPr>
          <w:rFonts w:ascii="Verdana" w:hAnsi="Verdana" w:cs="Calibri"/>
          <w:sz w:val="20"/>
          <w:szCs w:val="20"/>
        </w:rPr>
        <w:t>La alusión a éstos implica que ellos no son los previstos seguidamente en el numeral 2 de la misma disposición, porque si así fuese, no hubiere aquella sido necesaria. Ella se formula, entonces, para recordar que la regla del previo agotamiento de los recursos internos, por una parte, está establecida por principios del Derecho Internacional, aún con anterioridad o con prescindencia de lo que disponga un tratado, en este caso la Convención</w:t>
      </w:r>
      <w:r w:rsidR="00211B47" w:rsidRPr="00DF1C08">
        <w:rPr>
          <w:rFonts w:ascii="Verdana" w:hAnsi="Verdana" w:cs="Calibri"/>
          <w:sz w:val="20"/>
          <w:szCs w:val="20"/>
        </w:rPr>
        <w:t>,</w:t>
      </w:r>
      <w:r w:rsidR="00D215EE" w:rsidRPr="00DF1C08">
        <w:rPr>
          <w:rFonts w:ascii="Verdana" w:hAnsi="Verdana" w:cs="Calibri"/>
          <w:sz w:val="20"/>
          <w:szCs w:val="20"/>
        </w:rPr>
        <w:t xml:space="preserve"> y</w:t>
      </w:r>
      <w:r w:rsidR="003600E9" w:rsidRPr="00DF1C08">
        <w:rPr>
          <w:rFonts w:ascii="Verdana" w:hAnsi="Verdana" w:cs="Calibri"/>
          <w:sz w:val="20"/>
          <w:szCs w:val="20"/>
        </w:rPr>
        <w:t xml:space="preserve"> por la otra parte, que dichos principios implican otras reglas, como podría ser, por ejemplo</w:t>
      </w:r>
      <w:r w:rsidR="007C2FEE" w:rsidRPr="00DF1C08">
        <w:rPr>
          <w:rFonts w:ascii="Verdana" w:hAnsi="Verdana" w:cs="Calibri"/>
          <w:sz w:val="20"/>
          <w:szCs w:val="20"/>
        </w:rPr>
        <w:t>,</w:t>
      </w:r>
      <w:r w:rsidR="003600E9" w:rsidRPr="00DF1C08">
        <w:rPr>
          <w:rFonts w:ascii="Verdana" w:hAnsi="Verdana" w:cs="Calibri"/>
          <w:sz w:val="20"/>
          <w:szCs w:val="20"/>
        </w:rPr>
        <w:t xml:space="preserve"> la que indica que toda excepción interpuesta que diga relación con el fondo de la causa de que se trate no es, en rigor, preliminar y debe resolverse junto a este último.</w:t>
      </w:r>
    </w:p>
    <w:p w:rsidR="00BD619C" w:rsidRPr="00DF1C08" w:rsidRDefault="00BD619C" w:rsidP="00F4471C">
      <w:pPr>
        <w:pStyle w:val="PrrafodeSentencia"/>
        <w:spacing w:after="0"/>
      </w:pPr>
    </w:p>
    <w:p w:rsidR="005B2171" w:rsidRPr="00DF1C08" w:rsidRDefault="003600E9" w:rsidP="00F4471C">
      <w:pPr>
        <w:pStyle w:val="PrrafodeSentencia"/>
        <w:spacing w:after="0"/>
        <w:rPr>
          <w:rFonts w:cs="Verdana"/>
          <w:i/>
        </w:rPr>
      </w:pPr>
      <w:r w:rsidRPr="00DF1C08">
        <w:t xml:space="preserve">Como tercera observación, </w:t>
      </w:r>
      <w:r w:rsidR="005B2171" w:rsidRPr="00DF1C08">
        <w:t xml:space="preserve">se debe llamar la atención acerca de que en la Sentencia se señala, con relación a la disposición recién transcrita, que </w:t>
      </w:r>
      <w:r w:rsidR="005B2171" w:rsidRPr="00DF1C08">
        <w:rPr>
          <w:i/>
        </w:rPr>
        <w:t>“</w:t>
      </w:r>
      <w:r w:rsidR="00211B47" w:rsidRPr="00DF1C08">
        <w:rPr>
          <w:i/>
        </w:rPr>
        <w:t>[</w:t>
      </w:r>
      <w:r w:rsidR="00A96A41" w:rsidRPr="00DF1C08">
        <w:rPr>
          <w:i/>
        </w:rPr>
        <w:t>l</w:t>
      </w:r>
      <w:r w:rsidR="00211B47" w:rsidRPr="00DF1C08">
        <w:rPr>
          <w:i/>
        </w:rPr>
        <w:t>]</w:t>
      </w:r>
      <w:r w:rsidR="00A96A41" w:rsidRPr="00DF1C08">
        <w:rPr>
          <w:i/>
        </w:rPr>
        <w:t>a Corte recuerda que la regla del previo agotamiento de los recursos internos está concebida en interés del Estado, pues busca dispensarlo de responder ante un órgano internacional por actos que se le imputen, antes de haber tenido la ocasión de remediarlos con sus propios medios</w:t>
      </w:r>
      <w:r w:rsidR="005B2171" w:rsidRPr="00DF1C08">
        <w:rPr>
          <w:i/>
          <w:iCs/>
          <w:lang w:val="es-CO"/>
        </w:rPr>
        <w:t>”</w:t>
      </w:r>
      <w:r w:rsidR="00211B47" w:rsidRPr="00DF1C08">
        <w:rPr>
          <w:rStyle w:val="FootnoteReference"/>
          <w:i/>
          <w:iCs/>
          <w:lang w:val="es-CO"/>
        </w:rPr>
        <w:t xml:space="preserve"> </w:t>
      </w:r>
      <w:r w:rsidR="00211B47" w:rsidRPr="00DF1C08">
        <w:rPr>
          <w:rStyle w:val="FootnoteReference"/>
          <w:iCs/>
          <w:lang w:val="es-CO"/>
        </w:rPr>
        <w:footnoteReference w:id="14"/>
      </w:r>
      <w:r w:rsidR="00C31A04" w:rsidRPr="00DF1C08">
        <w:rPr>
          <w:iCs/>
          <w:lang w:val="es-CO"/>
        </w:rPr>
        <w:t>.</w:t>
      </w:r>
    </w:p>
    <w:p w:rsidR="00BD619C" w:rsidRPr="00DF1C08" w:rsidRDefault="00BD619C" w:rsidP="00F4471C">
      <w:pPr>
        <w:spacing w:after="0"/>
        <w:jc w:val="both"/>
        <w:rPr>
          <w:rFonts w:ascii="Verdana" w:hAnsi="Verdana" w:cs="Calibri"/>
          <w:sz w:val="20"/>
          <w:szCs w:val="20"/>
        </w:rPr>
      </w:pPr>
    </w:p>
    <w:p w:rsidR="0071207F" w:rsidRPr="00C54BB0" w:rsidRDefault="007B37F8" w:rsidP="00F4471C">
      <w:pPr>
        <w:spacing w:after="0"/>
        <w:jc w:val="both"/>
        <w:rPr>
          <w:rFonts w:ascii="Verdana" w:hAnsi="Verdana" w:cs="Calibri"/>
          <w:sz w:val="20"/>
          <w:szCs w:val="20"/>
        </w:rPr>
      </w:pPr>
      <w:r w:rsidRPr="00C54BB0">
        <w:rPr>
          <w:rFonts w:ascii="Verdana" w:hAnsi="Verdana" w:cs="Calibri"/>
          <w:sz w:val="20"/>
          <w:szCs w:val="20"/>
        </w:rPr>
        <w:t xml:space="preserve">De lo transcrito parecería colegirse que la Corte seguiría la tesis según la cual </w:t>
      </w:r>
      <w:r w:rsidR="002036CA" w:rsidRPr="00C54BB0">
        <w:rPr>
          <w:rFonts w:ascii="Verdana" w:hAnsi="Verdana" w:cs="Calibri"/>
          <w:sz w:val="20"/>
          <w:szCs w:val="20"/>
        </w:rPr>
        <w:t>la citada reg</w:t>
      </w:r>
      <w:r w:rsidR="00461551" w:rsidRPr="00C54BB0">
        <w:rPr>
          <w:rFonts w:ascii="Verdana" w:hAnsi="Verdana" w:cs="Calibri"/>
          <w:sz w:val="20"/>
          <w:szCs w:val="20"/>
        </w:rPr>
        <w:t>la</w:t>
      </w:r>
      <w:r w:rsidR="002036CA" w:rsidRPr="00C54BB0">
        <w:rPr>
          <w:rFonts w:ascii="Verdana" w:hAnsi="Verdana" w:cs="Calibri"/>
          <w:sz w:val="20"/>
          <w:szCs w:val="20"/>
        </w:rPr>
        <w:t xml:space="preserve">, </w:t>
      </w:r>
      <w:r w:rsidR="00AE7F7E">
        <w:rPr>
          <w:rFonts w:ascii="Verdana" w:hAnsi="Verdana" w:cs="Calibri"/>
          <w:sz w:val="20"/>
          <w:szCs w:val="20"/>
        </w:rPr>
        <w:t xml:space="preserve">por estar </w:t>
      </w:r>
      <w:r w:rsidR="002036CA" w:rsidRPr="00C54BB0">
        <w:rPr>
          <w:rFonts w:ascii="Verdana" w:hAnsi="Verdana" w:cs="Calibri"/>
          <w:sz w:val="20"/>
          <w:szCs w:val="20"/>
        </w:rPr>
        <w:t>concebida en beneficio del Estado</w:t>
      </w:r>
      <w:r w:rsidR="00AE7F7E">
        <w:rPr>
          <w:rFonts w:ascii="Verdana" w:hAnsi="Verdana" w:cs="Calibri"/>
          <w:sz w:val="20"/>
          <w:szCs w:val="20"/>
        </w:rPr>
        <w:t xml:space="preserve">, sin consideración a la actitud del peticionario, significaría </w:t>
      </w:r>
      <w:r w:rsidR="002036CA" w:rsidRPr="00C54BB0">
        <w:rPr>
          <w:rFonts w:ascii="Verdana" w:hAnsi="Verdana" w:cs="Calibri"/>
          <w:sz w:val="20"/>
          <w:szCs w:val="20"/>
        </w:rPr>
        <w:t>que l</w:t>
      </w:r>
      <w:r w:rsidRPr="00C54BB0">
        <w:rPr>
          <w:rFonts w:ascii="Verdana" w:hAnsi="Verdana" w:cs="Calibri"/>
          <w:sz w:val="20"/>
          <w:szCs w:val="20"/>
        </w:rPr>
        <w:t>a responsabilidad internacional del Estado por la violación de una obligación es</w:t>
      </w:r>
      <w:r w:rsidR="00111861" w:rsidRPr="00C54BB0">
        <w:rPr>
          <w:rFonts w:ascii="Verdana" w:hAnsi="Verdana" w:cs="Calibri"/>
          <w:sz w:val="20"/>
          <w:szCs w:val="20"/>
        </w:rPr>
        <w:t xml:space="preserve">tablecida por la Convención estaría comprometida desde el </w:t>
      </w:r>
      <w:r w:rsidR="00111861" w:rsidRPr="00C54BB0">
        <w:rPr>
          <w:rFonts w:ascii="Verdana" w:hAnsi="Verdana" w:cs="Calibri"/>
          <w:sz w:val="20"/>
          <w:szCs w:val="20"/>
        </w:rPr>
        <w:lastRenderedPageBreak/>
        <w:t xml:space="preserve">momento en que uno de sus órganos incurrió en un acto ilícito internacional </w:t>
      </w:r>
      <w:r w:rsidR="00AE7F7E">
        <w:rPr>
          <w:rFonts w:ascii="Verdana" w:hAnsi="Verdana" w:cs="Calibri"/>
          <w:sz w:val="20"/>
          <w:szCs w:val="20"/>
        </w:rPr>
        <w:t xml:space="preserve">aunque no haya </w:t>
      </w:r>
      <w:r w:rsidRPr="00C54BB0">
        <w:rPr>
          <w:rFonts w:ascii="Verdana" w:hAnsi="Verdana" w:cs="Calibri"/>
          <w:sz w:val="20"/>
          <w:szCs w:val="20"/>
        </w:rPr>
        <w:t>tenido la opor</w:t>
      </w:r>
      <w:r w:rsidR="00111861" w:rsidRPr="00C54BB0">
        <w:rPr>
          <w:rFonts w:ascii="Verdana" w:hAnsi="Verdana" w:cs="Calibri"/>
          <w:sz w:val="20"/>
          <w:szCs w:val="20"/>
        </w:rPr>
        <w:t xml:space="preserve">tunidad de reparar dicho </w:t>
      </w:r>
      <w:r w:rsidR="00A96A41" w:rsidRPr="00403829">
        <w:rPr>
          <w:rFonts w:ascii="Verdana" w:hAnsi="Verdana" w:cs="Calibri"/>
          <w:sz w:val="20"/>
          <w:szCs w:val="20"/>
        </w:rPr>
        <w:t>acto ilícito internacional</w:t>
      </w:r>
      <w:r w:rsidRPr="00C54BB0">
        <w:rPr>
          <w:rFonts w:ascii="Verdana" w:hAnsi="Verdana" w:cs="Calibri"/>
          <w:sz w:val="20"/>
          <w:szCs w:val="20"/>
        </w:rPr>
        <w:t xml:space="preserve">. </w:t>
      </w:r>
    </w:p>
    <w:p w:rsidR="00BD619C" w:rsidRDefault="00BD619C" w:rsidP="00F4471C">
      <w:pPr>
        <w:spacing w:after="0"/>
        <w:jc w:val="both"/>
        <w:rPr>
          <w:rFonts w:ascii="Verdana" w:hAnsi="Verdana" w:cs="Calibri"/>
          <w:sz w:val="20"/>
          <w:szCs w:val="20"/>
          <w:lang w:val="es-ES_tradnl"/>
        </w:rPr>
      </w:pPr>
    </w:p>
    <w:p w:rsidR="005B2171" w:rsidRDefault="00A45BB5" w:rsidP="00F4471C">
      <w:pPr>
        <w:spacing w:after="0"/>
        <w:jc w:val="both"/>
        <w:rPr>
          <w:rFonts w:ascii="Verdana" w:hAnsi="Verdana" w:cs="Calibri"/>
          <w:sz w:val="20"/>
          <w:szCs w:val="20"/>
        </w:rPr>
      </w:pPr>
      <w:r w:rsidRPr="00C54BB0">
        <w:rPr>
          <w:rFonts w:ascii="Verdana" w:hAnsi="Verdana" w:cs="Calibri"/>
          <w:sz w:val="20"/>
          <w:szCs w:val="20"/>
          <w:lang w:val="es-ES_tradnl"/>
        </w:rPr>
        <w:t xml:space="preserve">Ahora bien </w:t>
      </w:r>
      <w:r w:rsidR="000B6B44">
        <w:rPr>
          <w:rFonts w:ascii="Verdana" w:hAnsi="Verdana" w:cs="Calibri"/>
          <w:sz w:val="20"/>
          <w:szCs w:val="20"/>
          <w:lang w:val="es-ES_tradnl"/>
        </w:rPr>
        <w:t xml:space="preserve">que se siga esa </w:t>
      </w:r>
      <w:r w:rsidR="002036CA" w:rsidRPr="00C54BB0">
        <w:rPr>
          <w:rFonts w:ascii="Verdana" w:hAnsi="Verdana" w:cs="Calibri"/>
          <w:sz w:val="20"/>
          <w:szCs w:val="20"/>
          <w:lang w:val="es-ES_tradnl"/>
        </w:rPr>
        <w:t xml:space="preserve">u otra tesis, lo cierto es que, en la práctica, </w:t>
      </w:r>
      <w:r w:rsidR="007B37F8" w:rsidRPr="00C54BB0">
        <w:rPr>
          <w:rFonts w:ascii="Verdana" w:hAnsi="Verdana" w:cs="Calibri"/>
          <w:sz w:val="20"/>
          <w:szCs w:val="20"/>
        </w:rPr>
        <w:t>la</w:t>
      </w:r>
      <w:r w:rsidR="005B2171" w:rsidRPr="00C54BB0">
        <w:rPr>
          <w:rFonts w:ascii="Verdana" w:hAnsi="Verdana" w:cs="Calibri"/>
          <w:sz w:val="20"/>
          <w:szCs w:val="20"/>
        </w:rPr>
        <w:t xml:space="preserve"> aludida regla pretende</w:t>
      </w:r>
      <w:r w:rsidR="002036CA" w:rsidRPr="00C54BB0">
        <w:rPr>
          <w:rFonts w:ascii="Verdana" w:hAnsi="Verdana" w:cs="Calibri"/>
          <w:sz w:val="20"/>
          <w:szCs w:val="20"/>
        </w:rPr>
        <w:t>, en definitiva</w:t>
      </w:r>
      <w:r w:rsidR="005B2171" w:rsidRPr="00C54BB0">
        <w:rPr>
          <w:rFonts w:ascii="Verdana" w:hAnsi="Verdana" w:cs="Calibri"/>
          <w:sz w:val="20"/>
          <w:szCs w:val="20"/>
        </w:rPr>
        <w:t>, que se le proporcione al Esta</w:t>
      </w:r>
      <w:r w:rsidR="002036CA" w:rsidRPr="00C54BB0">
        <w:rPr>
          <w:rFonts w:ascii="Verdana" w:hAnsi="Verdana" w:cs="Calibri"/>
          <w:sz w:val="20"/>
          <w:szCs w:val="20"/>
        </w:rPr>
        <w:t>do la posibilidad de disponer</w:t>
      </w:r>
      <w:r w:rsidR="005B2171" w:rsidRPr="00C54BB0">
        <w:rPr>
          <w:rFonts w:ascii="Verdana" w:hAnsi="Verdana" w:cs="Calibri"/>
          <w:sz w:val="20"/>
          <w:szCs w:val="20"/>
        </w:rPr>
        <w:t xml:space="preserve"> cuanto antes la efectiva vigencia y respeto de los derechos humanos violados, que es el objeto y fin de la Convención</w:t>
      </w:r>
      <w:r w:rsidR="005B2171" w:rsidRPr="00C54BB0">
        <w:rPr>
          <w:rStyle w:val="FootnoteReference"/>
          <w:rFonts w:cs="Calibri"/>
          <w:szCs w:val="20"/>
        </w:rPr>
        <w:footnoteReference w:id="15"/>
      </w:r>
      <w:r w:rsidR="005B2171" w:rsidRPr="00C54BB0">
        <w:rPr>
          <w:rFonts w:ascii="Verdana" w:hAnsi="Verdana" w:cs="Calibri"/>
          <w:sz w:val="20"/>
          <w:szCs w:val="20"/>
        </w:rPr>
        <w:t xml:space="preserve"> y, por ende, lo que en definitiva interesa que ocurra lo más pronto posible, haciendo innecesaria la intervención de la jurisdicción interamericana</w:t>
      </w:r>
      <w:r w:rsidR="00211B47" w:rsidRPr="00C54BB0">
        <w:rPr>
          <w:rStyle w:val="FootnoteReference"/>
          <w:rFonts w:cs="Calibri"/>
          <w:szCs w:val="20"/>
        </w:rPr>
        <w:footnoteReference w:id="16"/>
      </w:r>
      <w:r w:rsidR="00C31A04">
        <w:rPr>
          <w:rFonts w:ascii="Verdana" w:hAnsi="Verdana" w:cs="Calibri"/>
          <w:sz w:val="20"/>
          <w:szCs w:val="20"/>
        </w:rPr>
        <w:t>.</w:t>
      </w:r>
      <w:r w:rsidR="005B2171" w:rsidRPr="00C54BB0">
        <w:rPr>
          <w:rFonts w:ascii="Verdana" w:hAnsi="Verdana" w:cs="Calibri"/>
          <w:sz w:val="20"/>
          <w:szCs w:val="20"/>
        </w:rPr>
        <w:t xml:space="preserve"> </w:t>
      </w:r>
    </w:p>
    <w:p w:rsidR="00BD619C" w:rsidRPr="00DF1C08" w:rsidRDefault="00BD619C" w:rsidP="00F4471C">
      <w:pPr>
        <w:spacing w:after="0"/>
        <w:jc w:val="both"/>
        <w:rPr>
          <w:rFonts w:ascii="Verdana" w:hAnsi="Verdana"/>
          <w:i/>
          <w:sz w:val="20"/>
          <w:szCs w:val="20"/>
          <w:lang w:val="es-ES_tradnl"/>
        </w:rPr>
      </w:pPr>
    </w:p>
    <w:p w:rsidR="005B2171" w:rsidRPr="00DF1C08" w:rsidRDefault="005B2171" w:rsidP="00F4471C">
      <w:pPr>
        <w:spacing w:after="0"/>
        <w:jc w:val="both"/>
        <w:rPr>
          <w:rFonts w:ascii="Verdana" w:hAnsi="Verdana" w:cs="Calibri"/>
          <w:sz w:val="20"/>
          <w:szCs w:val="20"/>
        </w:rPr>
      </w:pPr>
      <w:r w:rsidRPr="00DF1C08">
        <w:rPr>
          <w:rFonts w:ascii="Verdana" w:hAnsi="Verdana" w:cs="Calibri"/>
          <w:sz w:val="20"/>
          <w:szCs w:val="20"/>
        </w:rPr>
        <w:t xml:space="preserve">Esto es, ella importa que, en aquellas situaciones en que </w:t>
      </w:r>
      <w:r w:rsidR="00A45BB5" w:rsidRPr="00DF1C08">
        <w:rPr>
          <w:rFonts w:ascii="Verdana" w:hAnsi="Verdana" w:cs="Calibri"/>
          <w:sz w:val="20"/>
          <w:szCs w:val="20"/>
        </w:rPr>
        <w:t xml:space="preserve">ya se ha alegado en el respectivo ámbito de la jurisdicción interna que </w:t>
      </w:r>
      <w:r w:rsidRPr="00DF1C08">
        <w:rPr>
          <w:rFonts w:ascii="Verdana" w:hAnsi="Verdana" w:cs="Calibri"/>
          <w:sz w:val="20"/>
          <w:szCs w:val="20"/>
        </w:rPr>
        <w:t xml:space="preserve">el Estado no ha cumplido con los compromisos que contrajo en cuanto a respetar y garantizar el libre y pleno ejercicio de los derechos humanos, es posible reclamar la intervención de la instancia jurisdiccional internacional </w:t>
      </w:r>
      <w:r w:rsidR="00EC1622" w:rsidRPr="00DF1C08">
        <w:rPr>
          <w:rFonts w:ascii="Verdana" w:hAnsi="Verdana" w:cs="Calibri"/>
          <w:sz w:val="20"/>
          <w:szCs w:val="20"/>
        </w:rPr>
        <w:t xml:space="preserve">y no antes, </w:t>
      </w:r>
      <w:r w:rsidRPr="00DF1C08">
        <w:rPr>
          <w:rFonts w:ascii="Verdana" w:hAnsi="Verdana" w:cs="Calibri"/>
          <w:sz w:val="20"/>
          <w:szCs w:val="20"/>
        </w:rPr>
        <w:t>para que, si procede, le ordene cumplir con las obligaciones internacionales que ha violado, dé garantía de que no volverá a violarlas y repare todas las consecuencias de tales violaciones</w:t>
      </w:r>
      <w:r w:rsidR="00211B47" w:rsidRPr="00DF1C08">
        <w:rPr>
          <w:rStyle w:val="FootnoteReference"/>
          <w:rFonts w:cs="Calibri"/>
          <w:szCs w:val="20"/>
        </w:rPr>
        <w:footnoteReference w:id="17"/>
      </w:r>
      <w:r w:rsidR="00207B1D" w:rsidRPr="00DF1C08">
        <w:rPr>
          <w:rFonts w:ascii="Verdana" w:hAnsi="Verdana" w:cs="Calibri"/>
          <w:sz w:val="20"/>
          <w:szCs w:val="20"/>
        </w:rPr>
        <w:t>.</w:t>
      </w:r>
      <w:r w:rsidRPr="00DF1C08">
        <w:rPr>
          <w:rFonts w:ascii="Verdana" w:hAnsi="Verdana" w:cs="Calibri"/>
          <w:sz w:val="20"/>
          <w:szCs w:val="20"/>
        </w:rPr>
        <w:t xml:space="preserve"> </w:t>
      </w:r>
    </w:p>
    <w:p w:rsidR="00BD619C" w:rsidRPr="00DF1C08" w:rsidRDefault="00BD619C" w:rsidP="00F4471C">
      <w:pPr>
        <w:spacing w:after="0"/>
        <w:jc w:val="both"/>
        <w:rPr>
          <w:rFonts w:ascii="Verdana" w:hAnsi="Verdana" w:cs="Calibri"/>
          <w:sz w:val="20"/>
          <w:szCs w:val="20"/>
        </w:rPr>
      </w:pPr>
    </w:p>
    <w:p w:rsidR="005B2171" w:rsidRPr="00DF1C08" w:rsidRDefault="007B37F8" w:rsidP="00F4471C">
      <w:pPr>
        <w:spacing w:after="0"/>
        <w:jc w:val="both"/>
        <w:rPr>
          <w:rFonts w:ascii="Verdana" w:hAnsi="Verdana" w:cs="Calibri"/>
          <w:sz w:val="20"/>
          <w:szCs w:val="20"/>
        </w:rPr>
      </w:pPr>
      <w:r w:rsidRPr="00DF1C08">
        <w:rPr>
          <w:rFonts w:ascii="Verdana" w:hAnsi="Verdana" w:cs="Calibri"/>
          <w:sz w:val="20"/>
          <w:szCs w:val="20"/>
        </w:rPr>
        <w:t>La señalada regla sería</w:t>
      </w:r>
      <w:r w:rsidR="00A45BB5" w:rsidRPr="00DF1C08">
        <w:rPr>
          <w:rFonts w:ascii="Verdana" w:hAnsi="Verdana" w:cs="Calibri"/>
          <w:sz w:val="20"/>
          <w:szCs w:val="20"/>
        </w:rPr>
        <w:t>,</w:t>
      </w:r>
      <w:r w:rsidR="005B2171" w:rsidRPr="00DF1C08">
        <w:rPr>
          <w:rFonts w:ascii="Verdana" w:hAnsi="Verdana" w:cs="Calibri"/>
          <w:sz w:val="20"/>
          <w:szCs w:val="20"/>
        </w:rPr>
        <w:t xml:space="preserve"> asimismo, por lo tanto, un mecanismo para incentivar al Estado para que cumpla sus obligaciones en materia de derechos humanos sin esperar que el sistema interamericano le ordene, luego de un proceso, lo mismo. Su </w:t>
      </w:r>
      <w:r w:rsidR="005B2171" w:rsidRPr="00DF1C08">
        <w:rPr>
          <w:rFonts w:ascii="Verdana" w:hAnsi="Verdana" w:cs="Calibri"/>
          <w:i/>
          <w:sz w:val="20"/>
          <w:szCs w:val="20"/>
        </w:rPr>
        <w:t>efecto útil</w:t>
      </w:r>
      <w:r w:rsidR="005B2171" w:rsidRPr="00DF1C08">
        <w:rPr>
          <w:rFonts w:ascii="Verdana" w:hAnsi="Verdana" w:cs="Calibri"/>
          <w:sz w:val="20"/>
          <w:szCs w:val="20"/>
        </w:rPr>
        <w:t xml:space="preserve"> es, entonces, que el Estado restablezca lo antes posible el respeto de los derechos humanos y, por tal motivo, se podría sostener que dicha regla está establecida también</w:t>
      </w:r>
      <w:r w:rsidR="000B6B44" w:rsidRPr="00DF1C08">
        <w:rPr>
          <w:rFonts w:ascii="Verdana" w:hAnsi="Verdana" w:cs="Calibri"/>
          <w:sz w:val="20"/>
          <w:szCs w:val="20"/>
        </w:rPr>
        <w:t xml:space="preserve"> y principalmente</w:t>
      </w:r>
      <w:r w:rsidR="005B2171" w:rsidRPr="00DF1C08">
        <w:rPr>
          <w:rFonts w:ascii="Verdana" w:hAnsi="Verdana" w:cs="Calibri"/>
          <w:sz w:val="20"/>
          <w:szCs w:val="20"/>
        </w:rPr>
        <w:t xml:space="preserve"> en beneficio de la víctima de la violación de derechos humanos</w:t>
      </w:r>
      <w:r w:rsidR="001D3B84" w:rsidRPr="00DF1C08">
        <w:rPr>
          <w:rStyle w:val="FootnoteReference"/>
          <w:rFonts w:cs="Calibri"/>
          <w:szCs w:val="20"/>
        </w:rPr>
        <w:footnoteReference w:id="18"/>
      </w:r>
      <w:r w:rsidR="00207B1D" w:rsidRPr="00DF1C08">
        <w:rPr>
          <w:rFonts w:ascii="Verdana" w:hAnsi="Verdana" w:cs="Calibri"/>
          <w:sz w:val="20"/>
          <w:szCs w:val="20"/>
        </w:rPr>
        <w:t>.</w:t>
      </w:r>
    </w:p>
    <w:p w:rsidR="00BD619C" w:rsidRDefault="00BD619C" w:rsidP="00F4471C">
      <w:pPr>
        <w:spacing w:after="0"/>
        <w:jc w:val="both"/>
        <w:rPr>
          <w:rFonts w:ascii="Verdana" w:hAnsi="Verdana" w:cs="Calibri"/>
          <w:sz w:val="20"/>
          <w:szCs w:val="20"/>
        </w:rPr>
      </w:pPr>
    </w:p>
    <w:p w:rsidR="005B2171" w:rsidRPr="00DF1C08" w:rsidRDefault="005B2171" w:rsidP="00F4471C">
      <w:pPr>
        <w:spacing w:after="0"/>
        <w:jc w:val="both"/>
        <w:rPr>
          <w:rFonts w:ascii="Verdana" w:hAnsi="Verdana" w:cs="Calibri"/>
          <w:sz w:val="20"/>
          <w:szCs w:val="20"/>
        </w:rPr>
      </w:pPr>
      <w:r w:rsidRPr="00DF1C08">
        <w:rPr>
          <w:rFonts w:ascii="Verdana" w:hAnsi="Verdana" w:cs="Calibri"/>
          <w:sz w:val="20"/>
          <w:szCs w:val="20"/>
        </w:rPr>
        <w:t>De lo expu</w:t>
      </w:r>
      <w:r w:rsidR="00A45BB5" w:rsidRPr="00DF1C08">
        <w:rPr>
          <w:rFonts w:ascii="Verdana" w:hAnsi="Verdana" w:cs="Calibri"/>
          <w:sz w:val="20"/>
          <w:szCs w:val="20"/>
        </w:rPr>
        <w:t>esto se puede concluir, por lo tanto</w:t>
      </w:r>
      <w:r w:rsidRPr="00DF1C08">
        <w:rPr>
          <w:rFonts w:ascii="Verdana" w:hAnsi="Verdana" w:cs="Calibri"/>
          <w:sz w:val="20"/>
          <w:szCs w:val="20"/>
        </w:rPr>
        <w:t xml:space="preserve">, que la citada regla ha sido prevista en la Convención como pieza esencial de todo el </w:t>
      </w:r>
      <w:r w:rsidR="001D3B84" w:rsidRPr="00DF1C08">
        <w:rPr>
          <w:rFonts w:ascii="Verdana" w:hAnsi="Verdana" w:cs="Calibri"/>
          <w:sz w:val="20"/>
          <w:szCs w:val="20"/>
        </w:rPr>
        <w:t>sistema i</w:t>
      </w:r>
      <w:r w:rsidRPr="00DF1C08">
        <w:rPr>
          <w:rFonts w:ascii="Verdana" w:hAnsi="Verdana" w:cs="Calibri"/>
          <w:sz w:val="20"/>
          <w:szCs w:val="20"/>
        </w:rPr>
        <w:t xml:space="preserve">nteramericano de </w:t>
      </w:r>
      <w:r w:rsidR="001D3B84" w:rsidRPr="00DF1C08">
        <w:rPr>
          <w:rFonts w:ascii="Verdana" w:hAnsi="Verdana" w:cs="Calibri"/>
          <w:sz w:val="20"/>
          <w:szCs w:val="20"/>
        </w:rPr>
        <w:t>p</w:t>
      </w:r>
      <w:r w:rsidRPr="00DF1C08">
        <w:rPr>
          <w:rFonts w:ascii="Verdana" w:hAnsi="Verdana" w:cs="Calibri"/>
          <w:sz w:val="20"/>
          <w:szCs w:val="20"/>
        </w:rPr>
        <w:t xml:space="preserve">romoción y </w:t>
      </w:r>
      <w:r w:rsidR="001D3B84" w:rsidRPr="00DF1C08">
        <w:rPr>
          <w:rFonts w:ascii="Verdana" w:hAnsi="Verdana" w:cs="Calibri"/>
          <w:sz w:val="20"/>
          <w:szCs w:val="20"/>
        </w:rPr>
        <w:t>p</w:t>
      </w:r>
      <w:r w:rsidRPr="00DF1C08">
        <w:rPr>
          <w:rFonts w:ascii="Verdana" w:hAnsi="Verdana" w:cs="Calibri"/>
          <w:sz w:val="20"/>
          <w:szCs w:val="20"/>
        </w:rPr>
        <w:t xml:space="preserve">rotección de los </w:t>
      </w:r>
      <w:r w:rsidR="001D3B84" w:rsidRPr="00DF1C08">
        <w:rPr>
          <w:rFonts w:ascii="Verdana" w:hAnsi="Verdana" w:cs="Calibri"/>
          <w:sz w:val="20"/>
          <w:szCs w:val="20"/>
        </w:rPr>
        <w:t>d</w:t>
      </w:r>
      <w:r w:rsidRPr="00DF1C08">
        <w:rPr>
          <w:rFonts w:ascii="Verdana" w:hAnsi="Verdana" w:cs="Calibri"/>
          <w:sz w:val="20"/>
          <w:szCs w:val="20"/>
        </w:rPr>
        <w:t xml:space="preserve">erechos </w:t>
      </w:r>
      <w:r w:rsidR="001D3B84" w:rsidRPr="00DF1C08">
        <w:rPr>
          <w:rFonts w:ascii="Verdana" w:hAnsi="Verdana" w:cs="Calibri"/>
          <w:sz w:val="20"/>
          <w:szCs w:val="20"/>
        </w:rPr>
        <w:t>h</w:t>
      </w:r>
      <w:r w:rsidRPr="00DF1C08">
        <w:rPr>
          <w:rFonts w:ascii="Verdana" w:hAnsi="Verdana" w:cs="Calibri"/>
          <w:sz w:val="20"/>
          <w:szCs w:val="20"/>
        </w:rPr>
        <w:t>umanos, al dar debida cuenta de que, como lo indica en el segundo párrafo del Preámbulo de aquella, la “</w:t>
      </w:r>
      <w:r w:rsidRPr="00DF1C08">
        <w:rPr>
          <w:rFonts w:ascii="Verdana" w:hAnsi="Verdana" w:cs="Calibri"/>
          <w:i/>
          <w:sz w:val="20"/>
          <w:szCs w:val="20"/>
        </w:rPr>
        <w:t xml:space="preserve">protección internacional </w:t>
      </w:r>
      <w:r w:rsidR="001D3B84" w:rsidRPr="00DF1C08">
        <w:rPr>
          <w:rFonts w:ascii="Verdana" w:hAnsi="Verdana" w:cs="Calibri"/>
          <w:i/>
          <w:sz w:val="20"/>
          <w:szCs w:val="20"/>
        </w:rPr>
        <w:t>[</w:t>
      </w:r>
      <w:r w:rsidRPr="00DF1C08">
        <w:rPr>
          <w:rFonts w:ascii="Verdana" w:hAnsi="Verdana" w:cs="Calibri"/>
          <w:i/>
          <w:sz w:val="20"/>
          <w:szCs w:val="20"/>
        </w:rPr>
        <w:t>es</w:t>
      </w:r>
      <w:r w:rsidR="001D3B84" w:rsidRPr="00DF1C08">
        <w:rPr>
          <w:rFonts w:ascii="Verdana" w:hAnsi="Verdana" w:cs="Calibri"/>
          <w:i/>
          <w:sz w:val="20"/>
          <w:szCs w:val="20"/>
        </w:rPr>
        <w:t>]</w:t>
      </w:r>
      <w:r w:rsidRPr="00DF1C08">
        <w:rPr>
          <w:rFonts w:ascii="Verdana" w:hAnsi="Verdana" w:cs="Calibri"/>
          <w:i/>
          <w:sz w:val="20"/>
          <w:szCs w:val="20"/>
        </w:rPr>
        <w:t xml:space="preserve"> de </w:t>
      </w:r>
      <w:r w:rsidRPr="00DF1C08">
        <w:rPr>
          <w:rFonts w:ascii="Verdana" w:hAnsi="Verdana" w:cs="Calibri"/>
          <w:i/>
          <w:sz w:val="20"/>
          <w:szCs w:val="20"/>
        </w:rPr>
        <w:lastRenderedPageBreak/>
        <w:t>naturaleza convencional coadyuvante o complementaria de la que ofrece el derecho interno de los Estados americanos”</w:t>
      </w:r>
      <w:r w:rsidRPr="00DF1C08">
        <w:rPr>
          <w:rStyle w:val="FootnoteReference"/>
          <w:rFonts w:cs="Calibri"/>
          <w:i/>
          <w:szCs w:val="20"/>
        </w:rPr>
        <w:footnoteReference w:id="19"/>
      </w:r>
      <w:r w:rsidR="001D3B84" w:rsidRPr="00DF1C08">
        <w:rPr>
          <w:rFonts w:ascii="Verdana" w:hAnsi="Verdana" w:cs="Calibri"/>
          <w:i/>
          <w:sz w:val="20"/>
          <w:szCs w:val="20"/>
        </w:rPr>
        <w:t>.</w:t>
      </w:r>
      <w:r w:rsidRPr="00DF1C08">
        <w:rPr>
          <w:rFonts w:ascii="Verdana" w:hAnsi="Verdana" w:cs="Calibri"/>
          <w:sz w:val="20"/>
          <w:szCs w:val="20"/>
        </w:rPr>
        <w:t xml:space="preserve"> </w:t>
      </w:r>
    </w:p>
    <w:p w:rsidR="00BD619C" w:rsidRPr="00DF1C08" w:rsidRDefault="00BD619C" w:rsidP="00F4471C">
      <w:pPr>
        <w:spacing w:after="0"/>
        <w:jc w:val="both"/>
        <w:rPr>
          <w:rFonts w:ascii="Verdana" w:hAnsi="Verdana" w:cs="Calibri"/>
          <w:sz w:val="20"/>
          <w:szCs w:val="20"/>
        </w:rPr>
      </w:pPr>
    </w:p>
    <w:p w:rsidR="005B2171" w:rsidRPr="00DF1C08" w:rsidRDefault="005B2171" w:rsidP="00F4471C">
      <w:pPr>
        <w:spacing w:after="0"/>
        <w:jc w:val="both"/>
        <w:rPr>
          <w:rFonts w:ascii="Verdana" w:hAnsi="Verdana" w:cs="Calibri"/>
          <w:sz w:val="20"/>
          <w:szCs w:val="20"/>
        </w:rPr>
      </w:pPr>
      <w:r w:rsidRPr="00DF1C08">
        <w:rPr>
          <w:rFonts w:ascii="Verdana" w:hAnsi="Verdana" w:cs="Calibri"/>
          <w:sz w:val="20"/>
          <w:szCs w:val="20"/>
        </w:rPr>
        <w:t xml:space="preserve">Y ello tiene que ver con la estructura jurídica internacional, que aún se sustenta, en lo fundamental, en el principio de la soberanía, el que, en el caso del </w:t>
      </w:r>
      <w:r w:rsidR="001D3B84" w:rsidRPr="00DF1C08">
        <w:rPr>
          <w:rFonts w:ascii="Verdana" w:hAnsi="Verdana" w:cs="Calibri"/>
          <w:sz w:val="20"/>
          <w:szCs w:val="20"/>
        </w:rPr>
        <w:t>s</w:t>
      </w:r>
      <w:r w:rsidRPr="00DF1C08">
        <w:rPr>
          <w:rFonts w:ascii="Verdana" w:hAnsi="Verdana" w:cs="Calibri"/>
          <w:sz w:val="20"/>
          <w:szCs w:val="20"/>
        </w:rPr>
        <w:t xml:space="preserve">istema </w:t>
      </w:r>
      <w:r w:rsidR="001D3B84" w:rsidRPr="00DF1C08">
        <w:rPr>
          <w:rFonts w:ascii="Verdana" w:hAnsi="Verdana" w:cs="Calibri"/>
          <w:sz w:val="20"/>
          <w:szCs w:val="20"/>
        </w:rPr>
        <w:t>i</w:t>
      </w:r>
      <w:r w:rsidRPr="00DF1C08">
        <w:rPr>
          <w:rFonts w:ascii="Verdana" w:hAnsi="Verdana" w:cs="Calibri"/>
          <w:sz w:val="20"/>
          <w:szCs w:val="20"/>
        </w:rPr>
        <w:t>nteramericano, se encuentra consagrado en los artículos 1.1</w:t>
      </w:r>
      <w:r w:rsidRPr="00DF1C08">
        <w:rPr>
          <w:rStyle w:val="FootnoteReference"/>
          <w:rFonts w:cs="Calibri"/>
          <w:szCs w:val="20"/>
        </w:rPr>
        <w:footnoteReference w:id="20"/>
      </w:r>
      <w:r w:rsidRPr="00DF1C08">
        <w:rPr>
          <w:rFonts w:ascii="Verdana" w:hAnsi="Verdana" w:cs="Calibri"/>
          <w:sz w:val="20"/>
          <w:szCs w:val="20"/>
        </w:rPr>
        <w:t xml:space="preserve"> y 3.b)</w:t>
      </w:r>
      <w:r w:rsidRPr="00DF1C08">
        <w:rPr>
          <w:rStyle w:val="FootnoteReference"/>
          <w:rFonts w:cs="Calibri"/>
          <w:szCs w:val="20"/>
        </w:rPr>
        <w:footnoteReference w:id="21"/>
      </w:r>
      <w:r w:rsidRPr="00DF1C08">
        <w:rPr>
          <w:rFonts w:ascii="Verdana" w:hAnsi="Verdana" w:cs="Calibri"/>
          <w:sz w:val="20"/>
          <w:szCs w:val="20"/>
        </w:rPr>
        <w:t xml:space="preserve"> de la Carta de la Organización de los Estados Americanos. Por ende y conforme al principio de derecho público de que solo se puede hacer lo que la norma expresamente autorice, las disposiciones convencionales que contemplen restricciones a la soberanía estatal deben ser interpretadas y aplicadas teniendo en cuenta dicha realidad. </w:t>
      </w:r>
    </w:p>
    <w:p w:rsidR="00355CD9" w:rsidRPr="00DF1C08" w:rsidRDefault="00355CD9" w:rsidP="00F4471C">
      <w:pPr>
        <w:spacing w:after="0"/>
        <w:jc w:val="both"/>
        <w:rPr>
          <w:rFonts w:ascii="Verdana" w:hAnsi="Verdana" w:cs="Calibri"/>
          <w:sz w:val="20"/>
          <w:szCs w:val="20"/>
        </w:rPr>
      </w:pPr>
    </w:p>
    <w:p w:rsidR="005B2171" w:rsidRPr="00DF1C08" w:rsidRDefault="005B2171" w:rsidP="00F4471C">
      <w:pPr>
        <w:spacing w:after="0"/>
        <w:jc w:val="both"/>
        <w:rPr>
          <w:rFonts w:ascii="Verdana" w:hAnsi="Verdana" w:cs="Calibri"/>
          <w:sz w:val="20"/>
          <w:szCs w:val="20"/>
        </w:rPr>
      </w:pPr>
      <w:r w:rsidRPr="00DF1C08">
        <w:rPr>
          <w:rFonts w:ascii="Verdana" w:hAnsi="Verdana" w:cs="Calibri"/>
          <w:sz w:val="20"/>
          <w:szCs w:val="20"/>
        </w:rPr>
        <w:t xml:space="preserve">En tal sentido, la regla del previo agotamiento de los recursos internos es igualmente expresión de la vigencia de la soberanía del Estado y de la necesidad de darle a éste la oportunidad preferente de operar en lo atingente a las presuntas violaciones de los derechos humanos. Y ello adquiere mayor relevancia en la época actual, en que todos los Estados </w:t>
      </w:r>
      <w:r w:rsidR="002D1531" w:rsidRPr="00DF1C08">
        <w:rPr>
          <w:rFonts w:ascii="Verdana" w:hAnsi="Verdana" w:cs="Calibri"/>
          <w:sz w:val="20"/>
          <w:szCs w:val="20"/>
        </w:rPr>
        <w:t>P</w:t>
      </w:r>
      <w:r w:rsidRPr="00DF1C08">
        <w:rPr>
          <w:rFonts w:ascii="Verdana" w:hAnsi="Verdana" w:cs="Calibri"/>
          <w:sz w:val="20"/>
          <w:szCs w:val="20"/>
        </w:rPr>
        <w:t>artes de la Convención se rigen por el régimen de Estado Democrático de Derecho, es decir, adhieren a la democracia</w:t>
      </w:r>
      <w:r w:rsidRPr="00DF1C08">
        <w:rPr>
          <w:rStyle w:val="FootnoteReference"/>
          <w:rFonts w:cs="Calibri"/>
          <w:szCs w:val="20"/>
        </w:rPr>
        <w:footnoteReference w:id="22"/>
      </w:r>
      <w:r w:rsidR="002D1531" w:rsidRPr="00DF1C08">
        <w:rPr>
          <w:rFonts w:ascii="Verdana" w:hAnsi="Verdana" w:cs="Calibri"/>
          <w:sz w:val="20"/>
          <w:szCs w:val="20"/>
        </w:rPr>
        <w:t>.</w:t>
      </w:r>
      <w:r w:rsidRPr="00DF1C08">
        <w:rPr>
          <w:rFonts w:ascii="Verdana" w:hAnsi="Verdana" w:cs="Calibri"/>
          <w:sz w:val="20"/>
          <w:szCs w:val="20"/>
        </w:rPr>
        <w:t xml:space="preserve"> </w:t>
      </w:r>
    </w:p>
    <w:p w:rsidR="00355CD9" w:rsidRPr="00DF1C08" w:rsidRDefault="00355CD9" w:rsidP="00F4471C">
      <w:pPr>
        <w:spacing w:after="0"/>
        <w:jc w:val="both"/>
        <w:rPr>
          <w:rFonts w:ascii="Verdana" w:hAnsi="Verdana" w:cs="Calibri"/>
          <w:sz w:val="20"/>
          <w:szCs w:val="20"/>
        </w:rPr>
      </w:pPr>
    </w:p>
    <w:p w:rsidR="005B2171" w:rsidRPr="00DF1C08" w:rsidRDefault="005B2171" w:rsidP="00F4471C">
      <w:pPr>
        <w:spacing w:after="0"/>
        <w:jc w:val="both"/>
        <w:rPr>
          <w:rFonts w:ascii="Verdana" w:hAnsi="Verdana" w:cs="Calibri"/>
          <w:sz w:val="20"/>
          <w:szCs w:val="20"/>
        </w:rPr>
      </w:pPr>
      <w:r w:rsidRPr="00DF1C08">
        <w:rPr>
          <w:rFonts w:ascii="Verdana" w:hAnsi="Verdana" w:cs="Calibri"/>
          <w:sz w:val="20"/>
          <w:szCs w:val="20"/>
        </w:rPr>
        <w:t>De lo afirmado se deduce desde ya, en consecuencia, que el cumplimiento del requisito previsto en el antes transcrito artículo 46.1.a) de la Convención debe tener lugar antes de que se eleve la petición ante la Comisión.</w:t>
      </w:r>
    </w:p>
    <w:p w:rsidR="00355CD9" w:rsidRPr="00DF1C08" w:rsidRDefault="00355CD9" w:rsidP="00F4471C">
      <w:pPr>
        <w:spacing w:after="0"/>
        <w:jc w:val="both"/>
        <w:rPr>
          <w:rFonts w:ascii="Verdana" w:hAnsi="Verdana" w:cs="Calibri"/>
          <w:sz w:val="20"/>
          <w:szCs w:val="20"/>
        </w:rPr>
      </w:pPr>
    </w:p>
    <w:p w:rsidR="005B2171" w:rsidRPr="00DF1C08" w:rsidRDefault="005B2171" w:rsidP="00355CD9">
      <w:pPr>
        <w:numPr>
          <w:ilvl w:val="0"/>
          <w:numId w:val="1"/>
        </w:numPr>
        <w:spacing w:after="0"/>
        <w:ind w:left="567" w:hanging="283"/>
        <w:jc w:val="both"/>
        <w:rPr>
          <w:rFonts w:ascii="Verdana" w:hAnsi="Verdana" w:cs="Calibri"/>
          <w:b/>
          <w:sz w:val="20"/>
          <w:szCs w:val="20"/>
        </w:rPr>
      </w:pPr>
      <w:r w:rsidRPr="00DF1C08">
        <w:rPr>
          <w:rFonts w:ascii="Verdana" w:hAnsi="Verdana" w:cs="Calibri"/>
          <w:b/>
          <w:sz w:val="20"/>
          <w:szCs w:val="20"/>
        </w:rPr>
        <w:t>La petición.</w:t>
      </w:r>
    </w:p>
    <w:p w:rsidR="00355CD9" w:rsidRPr="00DF1C08" w:rsidRDefault="00355CD9" w:rsidP="00F4471C">
      <w:pPr>
        <w:spacing w:after="0"/>
        <w:jc w:val="both"/>
        <w:rPr>
          <w:rFonts w:ascii="Verdana" w:eastAsia="Batang" w:hAnsi="Verdana" w:cs="Calibri"/>
          <w:sz w:val="20"/>
          <w:szCs w:val="20"/>
        </w:rPr>
      </w:pPr>
    </w:p>
    <w:p w:rsidR="005B2171" w:rsidRPr="00DF1C08" w:rsidRDefault="005B2171" w:rsidP="00F4471C">
      <w:pPr>
        <w:spacing w:after="0"/>
        <w:jc w:val="both"/>
        <w:rPr>
          <w:rFonts w:ascii="Verdana" w:eastAsia="Batang" w:hAnsi="Verdana" w:cs="Calibri"/>
          <w:sz w:val="20"/>
          <w:szCs w:val="20"/>
        </w:rPr>
      </w:pPr>
      <w:r w:rsidRPr="00DF1C08">
        <w:rPr>
          <w:rFonts w:ascii="Verdana" w:eastAsia="Batang" w:hAnsi="Verdana" w:cs="Calibri"/>
          <w:sz w:val="20"/>
          <w:szCs w:val="20"/>
        </w:rPr>
        <w:t>La primera observación que se debe hacer respecto de la petición por la que da comienzo al procedimiento ante la Comisión y que puede concluir en la Corte, es que</w:t>
      </w:r>
      <w:r w:rsidRPr="00DF1C08">
        <w:rPr>
          <w:rFonts w:ascii="Verdana" w:hAnsi="Verdana" w:cs="Calibri"/>
          <w:sz w:val="20"/>
          <w:szCs w:val="20"/>
        </w:rPr>
        <w:t xml:space="preserve"> el </w:t>
      </w:r>
      <w:r w:rsidRPr="00DF1C08">
        <w:rPr>
          <w:rFonts w:ascii="Verdana" w:hAnsi="Verdana" w:cs="Calibri"/>
          <w:sz w:val="20"/>
          <w:szCs w:val="20"/>
        </w:rPr>
        <w:lastRenderedPageBreak/>
        <w:t>cumplimiento de la regla del previo agotamiento de los recur</w:t>
      </w:r>
      <w:r w:rsidR="00A45BB5" w:rsidRPr="00DF1C08">
        <w:rPr>
          <w:rFonts w:ascii="Verdana" w:hAnsi="Verdana" w:cs="Calibri"/>
          <w:sz w:val="20"/>
          <w:szCs w:val="20"/>
        </w:rPr>
        <w:t xml:space="preserve">sos internos constituye </w:t>
      </w:r>
      <w:r w:rsidRPr="00DF1C08">
        <w:rPr>
          <w:rFonts w:ascii="Verdana" w:hAnsi="Verdana" w:cs="Calibri"/>
          <w:sz w:val="20"/>
          <w:szCs w:val="20"/>
        </w:rPr>
        <w:t xml:space="preserve">fundamentalmente una obligación de la </w:t>
      </w:r>
      <w:r w:rsidR="006E7BFD" w:rsidRPr="00DF1C08">
        <w:rPr>
          <w:rFonts w:ascii="Verdana" w:hAnsi="Verdana" w:cs="Calibri"/>
          <w:sz w:val="20"/>
          <w:szCs w:val="20"/>
        </w:rPr>
        <w:t>presunta</w:t>
      </w:r>
      <w:r w:rsidR="002D1531" w:rsidRPr="00DF1C08">
        <w:rPr>
          <w:rFonts w:ascii="Verdana" w:hAnsi="Verdana" w:cs="Calibri"/>
          <w:sz w:val="20"/>
          <w:szCs w:val="20"/>
        </w:rPr>
        <w:t xml:space="preserve"> </w:t>
      </w:r>
      <w:r w:rsidRPr="00DF1C08">
        <w:rPr>
          <w:rFonts w:ascii="Verdana" w:hAnsi="Verdana" w:cs="Calibri"/>
          <w:sz w:val="20"/>
          <w:szCs w:val="20"/>
        </w:rPr>
        <w:t>víctima o del peticionario. Es ella o él quién debe cumplir con el requisito del previo agotamiento de los recursos internos, esto es, para que pueda alegar tal infracción ante la instancia jurisdiccional interamericana</w:t>
      </w:r>
      <w:r w:rsidRPr="00DF1C08">
        <w:rPr>
          <w:rStyle w:val="FootnoteReference"/>
          <w:rFonts w:cs="Calibri"/>
          <w:szCs w:val="20"/>
        </w:rPr>
        <w:footnoteReference w:id="23"/>
      </w:r>
      <w:r w:rsidRPr="00DF1C08">
        <w:rPr>
          <w:rFonts w:ascii="Verdana" w:hAnsi="Verdana" w:cs="Calibri"/>
          <w:sz w:val="20"/>
          <w:szCs w:val="20"/>
        </w:rPr>
        <w:t xml:space="preserve">, debe hacerlo previamente ante las instancias jurisdiccionales nacionales correspondientes Ciertamente, que de no procederse así, impediría que se alcance oportuna o prontamente el antes señalado </w:t>
      </w:r>
      <w:r w:rsidRPr="00DF1C08">
        <w:rPr>
          <w:rFonts w:ascii="Verdana" w:hAnsi="Verdana" w:cs="Calibri"/>
          <w:i/>
          <w:sz w:val="20"/>
          <w:szCs w:val="20"/>
        </w:rPr>
        <w:t>efecto útil</w:t>
      </w:r>
      <w:r w:rsidRPr="00DF1C08">
        <w:rPr>
          <w:rFonts w:ascii="Verdana" w:hAnsi="Verdana" w:cs="Calibri"/>
          <w:sz w:val="20"/>
          <w:szCs w:val="20"/>
        </w:rPr>
        <w:t>.</w:t>
      </w:r>
      <w:r w:rsidR="003511A1" w:rsidRPr="00DF1C08">
        <w:rPr>
          <w:rFonts w:ascii="Verdana" w:hAnsi="Verdana" w:cs="Calibri"/>
          <w:sz w:val="20"/>
          <w:szCs w:val="20"/>
        </w:rPr>
        <w:t xml:space="preserve"> En esto sentido, la citada regla es, más que un beneficio del Estado, un requisito u obligación que debe cumplir la presunta víctima o el peticionario.</w:t>
      </w:r>
    </w:p>
    <w:p w:rsidR="00355CD9" w:rsidRPr="00DF1C08" w:rsidRDefault="00355CD9" w:rsidP="00F4471C">
      <w:pPr>
        <w:spacing w:after="0"/>
        <w:jc w:val="both"/>
        <w:rPr>
          <w:rFonts w:ascii="Verdana" w:eastAsia="Batang" w:hAnsi="Verdana" w:cs="Calibri"/>
          <w:sz w:val="20"/>
          <w:szCs w:val="20"/>
        </w:rPr>
      </w:pPr>
    </w:p>
    <w:p w:rsidR="005B2171" w:rsidRPr="00DF1C08" w:rsidRDefault="005B2171" w:rsidP="00F4471C">
      <w:pPr>
        <w:spacing w:after="0"/>
        <w:jc w:val="both"/>
        <w:rPr>
          <w:rFonts w:ascii="Verdana" w:hAnsi="Verdana" w:cs="Calibri"/>
          <w:sz w:val="20"/>
          <w:szCs w:val="20"/>
        </w:rPr>
      </w:pPr>
      <w:r w:rsidRPr="00DF1C08">
        <w:rPr>
          <w:rFonts w:ascii="Verdana" w:eastAsia="Batang" w:hAnsi="Verdana" w:cs="Calibri"/>
          <w:sz w:val="20"/>
          <w:szCs w:val="20"/>
        </w:rPr>
        <w:t>Es por ta</w:t>
      </w:r>
      <w:r w:rsidR="008128FE">
        <w:rPr>
          <w:rFonts w:ascii="Verdana" w:eastAsia="Batang" w:hAnsi="Verdana" w:cs="Calibri"/>
          <w:sz w:val="20"/>
          <w:szCs w:val="20"/>
        </w:rPr>
        <w:t xml:space="preserve">l motivo que en el artículo </w:t>
      </w:r>
      <w:r w:rsidR="008128FE" w:rsidRPr="00F1510C">
        <w:rPr>
          <w:rFonts w:ascii="Verdana" w:eastAsia="Batang" w:hAnsi="Verdana" w:cs="Calibri"/>
          <w:sz w:val="20"/>
          <w:szCs w:val="20"/>
        </w:rPr>
        <w:t xml:space="preserve">28.h del Reglamento de la Comisión </w:t>
      </w:r>
      <w:r w:rsidRPr="00F1510C">
        <w:rPr>
          <w:rFonts w:ascii="Verdana" w:eastAsia="Batang" w:hAnsi="Verdana" w:cs="Calibri"/>
          <w:sz w:val="20"/>
          <w:szCs w:val="20"/>
        </w:rPr>
        <w:t>vigente</w:t>
      </w:r>
      <w:r w:rsidR="008128FE" w:rsidRPr="00F1510C">
        <w:rPr>
          <w:rFonts w:ascii="Verdana" w:eastAsia="Batang" w:hAnsi="Verdana" w:cs="Calibri"/>
          <w:sz w:val="20"/>
          <w:szCs w:val="20"/>
        </w:rPr>
        <w:t xml:space="preserve"> </w:t>
      </w:r>
      <w:r w:rsidR="002D1531" w:rsidRPr="00F1510C">
        <w:rPr>
          <w:rFonts w:ascii="Verdana" w:eastAsia="Batang" w:hAnsi="Verdana" w:cs="Calibri"/>
          <w:sz w:val="20"/>
          <w:szCs w:val="20"/>
        </w:rPr>
        <w:t>al</w:t>
      </w:r>
      <w:r w:rsidRPr="00F1510C">
        <w:rPr>
          <w:rFonts w:ascii="Verdana" w:eastAsia="Batang" w:hAnsi="Verdana" w:cs="Calibri"/>
          <w:sz w:val="20"/>
          <w:szCs w:val="20"/>
        </w:rPr>
        <w:t xml:space="preserve"> momento en que se presentó la petición</w:t>
      </w:r>
      <w:r w:rsidRPr="00F1510C">
        <w:rPr>
          <w:rStyle w:val="FootnoteReference"/>
          <w:rFonts w:eastAsia="Batang" w:cs="Calibri"/>
          <w:szCs w:val="20"/>
        </w:rPr>
        <w:footnoteReference w:id="24"/>
      </w:r>
      <w:r w:rsidR="002C78D3">
        <w:rPr>
          <w:rFonts w:ascii="Verdana" w:eastAsia="Batang" w:hAnsi="Verdana" w:cs="Calibri"/>
          <w:sz w:val="20"/>
          <w:szCs w:val="20"/>
        </w:rPr>
        <w:t xml:space="preserve"> </w:t>
      </w:r>
      <w:r w:rsidR="002C78D3" w:rsidRPr="00B90472">
        <w:rPr>
          <w:rFonts w:ascii="Verdana" w:eastAsia="Batang" w:hAnsi="Verdana" w:cs="Calibri"/>
          <w:sz w:val="20"/>
          <w:szCs w:val="20"/>
        </w:rPr>
        <w:t>(en adelante “el Reglamento de la Comisión”)</w:t>
      </w:r>
      <w:r w:rsidRPr="00B90472">
        <w:rPr>
          <w:rFonts w:ascii="Verdana" w:eastAsia="Batang" w:hAnsi="Verdana" w:cs="Calibri"/>
          <w:sz w:val="20"/>
          <w:szCs w:val="20"/>
        </w:rPr>
        <w:t xml:space="preserve">, </w:t>
      </w:r>
      <w:r w:rsidRPr="00DF1C08">
        <w:rPr>
          <w:rFonts w:ascii="Verdana" w:eastAsia="Batang" w:hAnsi="Verdana" w:cs="Calibri"/>
          <w:sz w:val="20"/>
          <w:szCs w:val="20"/>
        </w:rPr>
        <w:t xml:space="preserve">dispone que la petición debe contener la información sobre </w:t>
      </w:r>
      <w:r w:rsidRPr="00DF1C08">
        <w:rPr>
          <w:rFonts w:ascii="Verdana" w:hAnsi="Verdana" w:cs="Calibri"/>
          <w:sz w:val="20"/>
          <w:szCs w:val="20"/>
        </w:rPr>
        <w:t>“</w:t>
      </w:r>
      <w:r w:rsidR="002D1531" w:rsidRPr="00DF1C08">
        <w:rPr>
          <w:rFonts w:ascii="Verdana" w:hAnsi="Verdana" w:cs="Calibri"/>
          <w:i/>
          <w:sz w:val="20"/>
          <w:szCs w:val="20"/>
        </w:rPr>
        <w:t>[l]</w:t>
      </w:r>
      <w:r w:rsidRPr="00DF1C08">
        <w:rPr>
          <w:rFonts w:ascii="Verdana" w:hAnsi="Verdana" w:cs="Calibri"/>
          <w:i/>
          <w:sz w:val="20"/>
          <w:szCs w:val="20"/>
        </w:rPr>
        <w:t>as gestiones emprendidas para agotar los recursos de la jurisdicción interna o la imposibilidad de hacerlo</w:t>
      </w:r>
      <w:r w:rsidRPr="00DF1C08">
        <w:rPr>
          <w:rFonts w:ascii="Verdana" w:hAnsi="Verdana" w:cs="Calibri"/>
          <w:sz w:val="20"/>
          <w:szCs w:val="20"/>
        </w:rPr>
        <w:t>”. Cabe señalar que, al hacer alusión al mencionado Reglamento, se está llamando la atención acerca de cómo la propia Comisión, al haber aprobado dicho instrumento jurídico, ha interpretado lo previsto en la Convención y, particularmente en lo que aquí interesa, en el artículo 46.1.a) de la misma.</w:t>
      </w:r>
    </w:p>
    <w:p w:rsidR="00355CD9" w:rsidRPr="00DF1C08" w:rsidRDefault="00355CD9" w:rsidP="00F4471C">
      <w:pPr>
        <w:spacing w:after="0"/>
        <w:jc w:val="both"/>
        <w:rPr>
          <w:rFonts w:ascii="Verdana" w:hAnsi="Verdana" w:cs="Calibri"/>
          <w:sz w:val="20"/>
          <w:szCs w:val="20"/>
        </w:rPr>
      </w:pPr>
    </w:p>
    <w:p w:rsidR="005B2171" w:rsidRPr="00DF1C08" w:rsidRDefault="005B2171" w:rsidP="00F4471C">
      <w:pPr>
        <w:spacing w:after="0"/>
        <w:jc w:val="both"/>
        <w:rPr>
          <w:rFonts w:ascii="Verdana" w:hAnsi="Verdana" w:cs="Calibri"/>
          <w:sz w:val="20"/>
          <w:szCs w:val="20"/>
        </w:rPr>
      </w:pPr>
      <w:r w:rsidRPr="00DF1C08">
        <w:rPr>
          <w:rFonts w:ascii="Verdana" w:hAnsi="Verdana" w:cs="Calibri"/>
          <w:sz w:val="20"/>
          <w:szCs w:val="20"/>
        </w:rPr>
        <w:t xml:space="preserve">Obviamente, es por la misma razón que el artículo 31.3 Reglamento de la Comisión se refiere a la situación en que </w:t>
      </w:r>
      <w:r w:rsidRPr="00DF1C08">
        <w:rPr>
          <w:rFonts w:ascii="Verdana" w:hAnsi="Verdana" w:cs="Calibri"/>
          <w:i/>
          <w:sz w:val="20"/>
          <w:szCs w:val="20"/>
        </w:rPr>
        <w:t>“el peticionario alegue la imposibilidad de comprobar el cumplimiento del requisito señalado”</w:t>
      </w:r>
      <w:r w:rsidRPr="00DF1C08">
        <w:rPr>
          <w:rFonts w:ascii="Verdana" w:hAnsi="Verdana" w:cs="Calibri"/>
          <w:sz w:val="20"/>
          <w:szCs w:val="20"/>
        </w:rPr>
        <w:t>. Es decir, lo que se está indicando con esa disposición es que las taxativas excepciones a la regla del previo agotamiento de los recursos internos están establecidas en favor de la</w:t>
      </w:r>
      <w:r w:rsidR="002D1531" w:rsidRPr="00DF1C08">
        <w:rPr>
          <w:rFonts w:ascii="Verdana" w:hAnsi="Verdana" w:cs="Calibri"/>
          <w:sz w:val="20"/>
          <w:szCs w:val="20"/>
        </w:rPr>
        <w:t xml:space="preserve"> </w:t>
      </w:r>
      <w:r w:rsidR="006E7BFD" w:rsidRPr="00DF1C08">
        <w:rPr>
          <w:rFonts w:ascii="Verdana" w:hAnsi="Verdana" w:cs="Calibri"/>
          <w:sz w:val="20"/>
          <w:szCs w:val="20"/>
        </w:rPr>
        <w:t>presunta</w:t>
      </w:r>
      <w:r w:rsidRPr="00DF1C08">
        <w:rPr>
          <w:rFonts w:ascii="Verdana" w:hAnsi="Verdana" w:cs="Calibri"/>
          <w:sz w:val="20"/>
          <w:szCs w:val="20"/>
        </w:rPr>
        <w:t xml:space="preserve"> víctima o del peticionario. Es, por ende, ella o él quién puede alegar o hacer valer algunas de las excepciones a la citada regla, nadie más, tampoco la Comisión y evidentemente, por lo tanto, eso solo lo puede hacer cuando se formula la petición. </w:t>
      </w:r>
    </w:p>
    <w:p w:rsidR="00355CD9" w:rsidRPr="00DF1C08" w:rsidRDefault="00355CD9" w:rsidP="00F4471C">
      <w:pPr>
        <w:pStyle w:val="NormalWeb"/>
        <w:spacing w:before="0" w:beforeAutospacing="0" w:after="0" w:afterAutospacing="0" w:line="276" w:lineRule="auto"/>
        <w:jc w:val="both"/>
        <w:rPr>
          <w:rFonts w:ascii="Verdana" w:eastAsia="Batang" w:hAnsi="Verdana" w:cs="Calibri"/>
          <w:sz w:val="20"/>
          <w:szCs w:val="20"/>
        </w:rPr>
      </w:pPr>
    </w:p>
    <w:p w:rsidR="005B2171" w:rsidRPr="00DF1C08" w:rsidRDefault="005B2171" w:rsidP="00F4471C">
      <w:pPr>
        <w:pStyle w:val="NormalWeb"/>
        <w:spacing w:before="0" w:beforeAutospacing="0" w:after="0" w:afterAutospacing="0" w:line="276" w:lineRule="auto"/>
        <w:jc w:val="both"/>
        <w:rPr>
          <w:rFonts w:ascii="Verdana" w:hAnsi="Verdana" w:cs="Calibri"/>
          <w:sz w:val="20"/>
          <w:szCs w:val="20"/>
        </w:rPr>
      </w:pPr>
      <w:r w:rsidRPr="00DF1C08">
        <w:rPr>
          <w:rFonts w:ascii="Verdana" w:eastAsia="Batang" w:hAnsi="Verdana" w:cs="Calibri"/>
          <w:sz w:val="20"/>
          <w:szCs w:val="20"/>
        </w:rPr>
        <w:t xml:space="preserve">La segunda observación concerniente a la petición dice relación con la circunstancia de que el </w:t>
      </w:r>
      <w:r w:rsidRPr="00DF1C08">
        <w:rPr>
          <w:rFonts w:ascii="Verdana" w:eastAsia="Batang" w:hAnsi="Verdana" w:cs="Calibri"/>
          <w:sz w:val="20"/>
          <w:szCs w:val="20"/>
          <w:lang w:val="es-ES_tradnl"/>
        </w:rPr>
        <w:t>aludido artículo 46.1 de la Convención se refiere a ella en tanto</w:t>
      </w:r>
      <w:r w:rsidRPr="00DF1C08">
        <w:rPr>
          <w:rFonts w:ascii="Verdana" w:hAnsi="Verdana" w:cs="Calibri"/>
          <w:i/>
          <w:sz w:val="20"/>
          <w:szCs w:val="20"/>
        </w:rPr>
        <w:t xml:space="preserve"> “presentada”</w:t>
      </w:r>
      <w:r w:rsidRPr="00DF1C08">
        <w:rPr>
          <w:rFonts w:ascii="Verdana" w:hAnsi="Verdana" w:cs="Calibri"/>
          <w:sz w:val="20"/>
          <w:szCs w:val="20"/>
        </w:rPr>
        <w:t>, lo que implica, por cierto, que debe ser considerada tal cual fue elevada, y que, si en esa condición cumple con los requisitos que indica dicha disposición, debe ser “</w:t>
      </w:r>
      <w:r w:rsidRPr="00DF1C08">
        <w:rPr>
          <w:rFonts w:ascii="Verdana" w:hAnsi="Verdana" w:cs="Calibri"/>
          <w:i/>
          <w:sz w:val="20"/>
          <w:szCs w:val="20"/>
        </w:rPr>
        <w:t>admitida</w:t>
      </w:r>
      <w:r w:rsidRPr="00DF1C08">
        <w:rPr>
          <w:rFonts w:ascii="Verdana" w:hAnsi="Verdana" w:cs="Calibri"/>
          <w:sz w:val="20"/>
          <w:szCs w:val="20"/>
        </w:rPr>
        <w:t xml:space="preserve">”. Es, por ende, en ese momento, el de su presentación, en el que debe haberse cumplido el requisito concerniente al previo agotamiento de los recursos internos previsto en el </w:t>
      </w:r>
      <w:r w:rsidRPr="00DF1C08">
        <w:rPr>
          <w:rFonts w:ascii="Verdana" w:hAnsi="Verdana" w:cs="Calibri"/>
          <w:sz w:val="20"/>
          <w:szCs w:val="20"/>
        </w:rPr>
        <w:lastRenderedPageBreak/>
        <w:t>artículo 46.1.a) de la Convención y solo si eso acontece, la petición</w:t>
      </w:r>
      <w:r w:rsidR="00461551" w:rsidRPr="00DF1C08">
        <w:rPr>
          <w:rFonts w:ascii="Verdana" w:hAnsi="Verdana" w:cs="Calibri"/>
          <w:sz w:val="20"/>
          <w:szCs w:val="20"/>
        </w:rPr>
        <w:t xml:space="preserve"> “</w:t>
      </w:r>
      <w:r w:rsidR="00461551" w:rsidRPr="00DF1C08">
        <w:rPr>
          <w:rFonts w:ascii="Verdana" w:hAnsi="Verdana" w:cs="Calibri"/>
          <w:i/>
          <w:sz w:val="20"/>
          <w:szCs w:val="20"/>
        </w:rPr>
        <w:t>presentada</w:t>
      </w:r>
      <w:r w:rsidR="00461551" w:rsidRPr="00DF1C08">
        <w:rPr>
          <w:rFonts w:ascii="Verdana" w:hAnsi="Verdana" w:cs="Calibri"/>
          <w:sz w:val="20"/>
          <w:szCs w:val="20"/>
        </w:rPr>
        <w:t>”</w:t>
      </w:r>
      <w:r w:rsidRPr="00DF1C08">
        <w:rPr>
          <w:rFonts w:ascii="Verdana" w:hAnsi="Verdana" w:cs="Calibri"/>
          <w:sz w:val="20"/>
          <w:szCs w:val="20"/>
        </w:rPr>
        <w:t xml:space="preserve"> puede ser “</w:t>
      </w:r>
      <w:r w:rsidRPr="00DF1C08">
        <w:rPr>
          <w:rFonts w:ascii="Verdana" w:hAnsi="Verdana" w:cs="Calibri"/>
          <w:i/>
          <w:sz w:val="20"/>
          <w:szCs w:val="20"/>
        </w:rPr>
        <w:t>admitida</w:t>
      </w:r>
      <w:r w:rsidRPr="00DF1C08">
        <w:rPr>
          <w:rFonts w:ascii="Verdana" w:hAnsi="Verdana" w:cs="Calibri"/>
          <w:sz w:val="20"/>
          <w:szCs w:val="20"/>
        </w:rPr>
        <w:t>” por la Comisión.</w:t>
      </w:r>
    </w:p>
    <w:p w:rsidR="00355CD9" w:rsidRPr="00DF1C08" w:rsidRDefault="00355CD9" w:rsidP="00F4471C">
      <w:pPr>
        <w:pStyle w:val="NormalWeb"/>
        <w:spacing w:before="0" w:beforeAutospacing="0" w:after="0" w:afterAutospacing="0" w:line="276" w:lineRule="auto"/>
        <w:jc w:val="both"/>
        <w:rPr>
          <w:rFonts w:ascii="Verdana" w:hAnsi="Verdana" w:cs="Calibri"/>
          <w:sz w:val="20"/>
          <w:szCs w:val="20"/>
        </w:rPr>
      </w:pPr>
    </w:p>
    <w:p w:rsidR="005B2171" w:rsidRPr="00DF1C08" w:rsidRDefault="005B2171" w:rsidP="00F4471C">
      <w:pPr>
        <w:pStyle w:val="NormalWeb"/>
        <w:spacing w:before="0" w:beforeAutospacing="0" w:after="0" w:afterAutospacing="0" w:line="276" w:lineRule="auto"/>
        <w:jc w:val="both"/>
        <w:rPr>
          <w:rFonts w:ascii="Verdana" w:hAnsi="Verdana" w:cs="Calibri"/>
          <w:sz w:val="20"/>
          <w:szCs w:val="20"/>
        </w:rPr>
      </w:pPr>
      <w:r w:rsidRPr="00DF1C08">
        <w:rPr>
          <w:rFonts w:ascii="Verdana" w:hAnsi="Verdana" w:cs="Calibri"/>
          <w:sz w:val="20"/>
          <w:szCs w:val="20"/>
        </w:rPr>
        <w:t xml:space="preserve">Igualmente, lo estipulado en el artículo 46.1.b) del texto convencional se fundamenta en el mismo predicamento en tanto dispone que, para que la petición pueda ser admitida, debe haber sido </w:t>
      </w:r>
      <w:r w:rsidRPr="00DF1C08">
        <w:rPr>
          <w:rFonts w:ascii="Verdana" w:hAnsi="Verdana" w:cs="Calibri"/>
          <w:i/>
          <w:sz w:val="20"/>
          <w:szCs w:val="20"/>
        </w:rPr>
        <w:t>“presentada dentro del plazo de seis meses, a partir de la fecha en que el presunto lesionado en sus derechos haya sido notificado de la decisión definitiva”</w:t>
      </w:r>
      <w:r w:rsidRPr="00DF1C08">
        <w:rPr>
          <w:rFonts w:ascii="Verdana" w:hAnsi="Verdana" w:cs="Calibri"/>
          <w:sz w:val="20"/>
          <w:szCs w:val="20"/>
        </w:rPr>
        <w:t>, la que, sin duda, se entiende que debe ser la recaída en el último recurso interpuesto, sin que hayan otros susceptibles de ser accionados. Es decir, el plazo indicado para presentar la solicitud se cuenta desde el momento de la notificación de la resolución definitiva de las autoridades o los tribunales nacionales sobre los recursos que se hayan interpuestos ante ellos y que son, por ende, los que pueden haber generado la responsabilidad internacional del Estado, lo que obviamente implica que, al momento de ser aquella “</w:t>
      </w:r>
      <w:r w:rsidRPr="00DF1C08">
        <w:rPr>
          <w:rFonts w:ascii="Verdana" w:hAnsi="Verdana" w:cs="Calibri"/>
          <w:i/>
          <w:sz w:val="20"/>
          <w:szCs w:val="20"/>
        </w:rPr>
        <w:t>presentada</w:t>
      </w:r>
      <w:r w:rsidRPr="00DF1C08">
        <w:rPr>
          <w:rFonts w:ascii="Verdana" w:hAnsi="Verdana" w:cs="Calibri"/>
          <w:sz w:val="20"/>
          <w:szCs w:val="20"/>
        </w:rPr>
        <w:t xml:space="preserve">”, éstos deben haber estado agotados. </w:t>
      </w:r>
    </w:p>
    <w:p w:rsidR="00355CD9" w:rsidRPr="00DF1C08" w:rsidRDefault="00355CD9" w:rsidP="00F4471C">
      <w:pPr>
        <w:spacing w:after="0"/>
        <w:jc w:val="both"/>
        <w:rPr>
          <w:rFonts w:ascii="Verdana" w:hAnsi="Verdana" w:cs="Calibri"/>
          <w:sz w:val="20"/>
          <w:szCs w:val="20"/>
          <w:shd w:val="clear" w:color="auto" w:fill="FFFFFF"/>
        </w:rPr>
      </w:pPr>
    </w:p>
    <w:p w:rsidR="005B2171" w:rsidRPr="00DF1C08" w:rsidRDefault="005B2171" w:rsidP="00F4471C">
      <w:pPr>
        <w:spacing w:after="0"/>
        <w:jc w:val="both"/>
        <w:rPr>
          <w:rFonts w:ascii="Verdana" w:hAnsi="Verdana" w:cs="Calibri"/>
          <w:i/>
          <w:sz w:val="20"/>
          <w:szCs w:val="20"/>
        </w:rPr>
      </w:pPr>
      <w:r w:rsidRPr="00DF1C08">
        <w:rPr>
          <w:rFonts w:ascii="Verdana" w:hAnsi="Verdana" w:cs="Calibri"/>
          <w:sz w:val="20"/>
          <w:szCs w:val="20"/>
          <w:shd w:val="clear" w:color="auto" w:fill="FFFFFF"/>
        </w:rPr>
        <w:t xml:space="preserve">Por su parte, el artículo 26.1 del Reglamento de la Comisión dispone que se da trámite inicial a las peticiones </w:t>
      </w:r>
      <w:r w:rsidRPr="00DF1C08">
        <w:rPr>
          <w:rFonts w:ascii="Verdana" w:hAnsi="Verdana" w:cs="Calibri"/>
          <w:sz w:val="20"/>
          <w:szCs w:val="20"/>
        </w:rPr>
        <w:t>“</w:t>
      </w:r>
      <w:r w:rsidRPr="00DF1C08">
        <w:rPr>
          <w:rFonts w:ascii="Verdana" w:hAnsi="Verdana" w:cs="Calibri"/>
          <w:i/>
          <w:sz w:val="20"/>
          <w:szCs w:val="20"/>
        </w:rPr>
        <w:t xml:space="preserve">que llenen todos los </w:t>
      </w:r>
      <w:r w:rsidRPr="00B90472">
        <w:rPr>
          <w:rFonts w:ascii="Verdana" w:hAnsi="Verdana" w:cs="Calibri"/>
          <w:i/>
          <w:sz w:val="20"/>
          <w:szCs w:val="20"/>
        </w:rPr>
        <w:t>requisitos establecidos</w:t>
      </w:r>
      <w:r w:rsidRPr="00B90472">
        <w:rPr>
          <w:rFonts w:ascii="Verdana" w:hAnsi="Verdana" w:cs="Calibri"/>
          <w:sz w:val="20"/>
          <w:szCs w:val="20"/>
        </w:rPr>
        <w:t xml:space="preserve">”, las que deben indicar, conforme lo prevé el ya mencionado artículo </w:t>
      </w:r>
      <w:r w:rsidR="00B90472" w:rsidRPr="00B90472">
        <w:rPr>
          <w:rFonts w:ascii="Verdana" w:hAnsi="Verdana" w:cs="Calibri"/>
          <w:sz w:val="20"/>
          <w:szCs w:val="20"/>
        </w:rPr>
        <w:t>28.h</w:t>
      </w:r>
      <w:r w:rsidRPr="00B90472">
        <w:rPr>
          <w:rFonts w:ascii="Verdana" w:hAnsi="Verdana" w:cs="Calibri"/>
          <w:sz w:val="20"/>
          <w:szCs w:val="20"/>
        </w:rPr>
        <w:t xml:space="preserve">, las </w:t>
      </w:r>
      <w:r w:rsidRPr="00B90472">
        <w:rPr>
          <w:rFonts w:ascii="Verdana" w:hAnsi="Verdana" w:cs="Calibri"/>
          <w:i/>
          <w:sz w:val="20"/>
          <w:szCs w:val="20"/>
        </w:rPr>
        <w:t>“</w:t>
      </w:r>
      <w:r w:rsidRPr="00B90472">
        <w:rPr>
          <w:rFonts w:ascii="Verdana" w:hAnsi="Verdana" w:cs="Calibri"/>
          <w:i/>
          <w:sz w:val="20"/>
          <w:szCs w:val="20"/>
          <w:shd w:val="clear" w:color="auto" w:fill="FFFFFF"/>
        </w:rPr>
        <w:t>gestiones emprendidas para agotar los recursos de la jurisdicción interna o la imposibilidad de hacerlo”</w:t>
      </w:r>
      <w:r w:rsidRPr="00B90472">
        <w:rPr>
          <w:rFonts w:ascii="Verdana" w:hAnsi="Verdana" w:cs="Calibri"/>
          <w:sz w:val="20"/>
          <w:szCs w:val="20"/>
          <w:shd w:val="clear" w:color="auto" w:fill="FFFFFF"/>
        </w:rPr>
        <w:t xml:space="preserve"> y si no reúnen tales requisitos, “</w:t>
      </w:r>
      <w:r w:rsidRPr="00B90472">
        <w:rPr>
          <w:rFonts w:ascii="Verdana" w:hAnsi="Verdana" w:cs="Calibri"/>
          <w:i/>
          <w:sz w:val="20"/>
          <w:szCs w:val="20"/>
        </w:rPr>
        <w:t>la Comisión</w:t>
      </w:r>
      <w:r w:rsidR="006C290C" w:rsidRPr="006C290C">
        <w:rPr>
          <w:rFonts w:ascii="Verdana" w:hAnsi="Verdana" w:cs="Calibri"/>
          <w:sz w:val="20"/>
          <w:szCs w:val="20"/>
        </w:rPr>
        <w:t>[</w:t>
      </w:r>
      <w:r w:rsidRPr="00B90472">
        <w:rPr>
          <w:rFonts w:ascii="Verdana" w:hAnsi="Verdana" w:cs="Calibri"/>
          <w:sz w:val="20"/>
          <w:szCs w:val="20"/>
        </w:rPr>
        <w:t>, de acuerdo a lo contempl</w:t>
      </w:r>
      <w:r w:rsidR="00EF458C" w:rsidRPr="00B90472">
        <w:rPr>
          <w:rFonts w:ascii="Verdana" w:hAnsi="Verdana" w:cs="Calibri"/>
          <w:sz w:val="20"/>
          <w:szCs w:val="20"/>
        </w:rPr>
        <w:t>ado en los artículos 26.2 y 29.</w:t>
      </w:r>
      <w:r w:rsidR="00F62A90" w:rsidRPr="00B90472">
        <w:rPr>
          <w:rFonts w:ascii="Verdana" w:hAnsi="Verdana" w:cs="Calibri"/>
          <w:sz w:val="20"/>
          <w:szCs w:val="20"/>
        </w:rPr>
        <w:t>1.</w:t>
      </w:r>
      <w:r w:rsidR="00EF458C" w:rsidRPr="00B90472">
        <w:rPr>
          <w:rFonts w:ascii="Verdana" w:hAnsi="Verdana" w:cs="Calibri"/>
          <w:sz w:val="20"/>
          <w:szCs w:val="20"/>
        </w:rPr>
        <w:t>b</w:t>
      </w:r>
      <w:r w:rsidRPr="00B90472">
        <w:rPr>
          <w:rFonts w:ascii="Verdana" w:hAnsi="Verdana" w:cs="Calibri"/>
          <w:sz w:val="20"/>
          <w:szCs w:val="20"/>
        </w:rPr>
        <w:t xml:space="preserve"> del referido Reglamento,</w:t>
      </w:r>
      <w:r w:rsidR="006C290C">
        <w:rPr>
          <w:rFonts w:ascii="Verdana" w:hAnsi="Verdana" w:cs="Calibri"/>
          <w:sz w:val="20"/>
          <w:szCs w:val="20"/>
        </w:rPr>
        <w:t>]</w:t>
      </w:r>
      <w:r w:rsidRPr="00B90472">
        <w:rPr>
          <w:rFonts w:ascii="Verdana" w:hAnsi="Verdana" w:cs="Calibri"/>
          <w:i/>
          <w:sz w:val="20"/>
          <w:szCs w:val="20"/>
        </w:rPr>
        <w:t xml:space="preserve"> podrá solicitar al peticionario o a su representante </w:t>
      </w:r>
      <w:r w:rsidRPr="00DF1C08">
        <w:rPr>
          <w:rFonts w:ascii="Verdana" w:hAnsi="Verdana" w:cs="Calibri"/>
          <w:i/>
          <w:sz w:val="20"/>
          <w:szCs w:val="20"/>
        </w:rPr>
        <w:t>que los complete</w:t>
      </w:r>
      <w:r w:rsidRPr="00DF1C08">
        <w:rPr>
          <w:rFonts w:ascii="Verdana" w:hAnsi="Verdana" w:cs="Calibri"/>
          <w:sz w:val="20"/>
          <w:szCs w:val="20"/>
        </w:rPr>
        <w:t xml:space="preserve">”, debiendo considerar, según el también ya citado artículo 46.1.b de la Convención, únicamente las peticiones </w:t>
      </w:r>
      <w:r w:rsidR="002D1531" w:rsidRPr="00DF1C08">
        <w:rPr>
          <w:rFonts w:ascii="Verdana" w:hAnsi="Verdana" w:cs="Calibri"/>
          <w:i/>
          <w:sz w:val="20"/>
          <w:szCs w:val="20"/>
        </w:rPr>
        <w:t>“presentada[</w:t>
      </w:r>
      <w:r w:rsidRPr="00DF1C08">
        <w:rPr>
          <w:rFonts w:ascii="Verdana" w:hAnsi="Verdana" w:cs="Calibri"/>
          <w:i/>
          <w:sz w:val="20"/>
          <w:szCs w:val="20"/>
        </w:rPr>
        <w:t>s</w:t>
      </w:r>
      <w:r w:rsidR="002D1531" w:rsidRPr="00DF1C08">
        <w:rPr>
          <w:rFonts w:ascii="Verdana" w:hAnsi="Verdana" w:cs="Calibri"/>
          <w:i/>
          <w:sz w:val="20"/>
          <w:szCs w:val="20"/>
        </w:rPr>
        <w:t>]</w:t>
      </w:r>
      <w:r w:rsidRPr="00DF1C08">
        <w:rPr>
          <w:rFonts w:ascii="Verdana" w:hAnsi="Verdana" w:cs="Calibri"/>
          <w:i/>
          <w:sz w:val="20"/>
          <w:szCs w:val="20"/>
        </w:rPr>
        <w:t xml:space="preserve"> dentro de</w:t>
      </w:r>
      <w:r w:rsidR="002D1531" w:rsidRPr="00DF1C08">
        <w:rPr>
          <w:rFonts w:ascii="Verdana" w:hAnsi="Verdana" w:cs="Calibri"/>
          <w:i/>
          <w:sz w:val="20"/>
          <w:szCs w:val="20"/>
        </w:rPr>
        <w:t>l</w:t>
      </w:r>
      <w:r w:rsidRPr="00DF1C08">
        <w:rPr>
          <w:rFonts w:ascii="Verdana" w:hAnsi="Verdana" w:cs="Calibri"/>
          <w:i/>
          <w:sz w:val="20"/>
          <w:szCs w:val="20"/>
        </w:rPr>
        <w:t xml:space="preserve"> plazo de seis meses”</w:t>
      </w:r>
      <w:r w:rsidRPr="00DF1C08">
        <w:rPr>
          <w:rFonts w:ascii="Verdana" w:hAnsi="Verdana" w:cs="Calibri"/>
          <w:sz w:val="20"/>
          <w:szCs w:val="20"/>
        </w:rPr>
        <w:t>, contado éste desde la notificación de la resolución que agota los recursos internos.</w:t>
      </w:r>
    </w:p>
    <w:p w:rsidR="00355CD9" w:rsidRPr="00DF1C08" w:rsidRDefault="00355CD9" w:rsidP="00F4471C">
      <w:pPr>
        <w:spacing w:after="0"/>
        <w:jc w:val="both"/>
        <w:rPr>
          <w:rFonts w:ascii="Verdana" w:hAnsi="Verdana" w:cs="Calibri"/>
          <w:sz w:val="20"/>
          <w:szCs w:val="20"/>
        </w:rPr>
      </w:pPr>
    </w:p>
    <w:p w:rsidR="005B2171" w:rsidRPr="00DF1C08" w:rsidRDefault="005B2171" w:rsidP="00F4471C">
      <w:pPr>
        <w:spacing w:after="0"/>
        <w:jc w:val="both"/>
        <w:rPr>
          <w:rFonts w:ascii="Verdana" w:hAnsi="Verdana" w:cs="Calibri"/>
          <w:sz w:val="20"/>
          <w:szCs w:val="20"/>
        </w:rPr>
      </w:pPr>
      <w:r w:rsidRPr="00DF1C08">
        <w:rPr>
          <w:rFonts w:ascii="Verdana" w:hAnsi="Verdana" w:cs="Calibri"/>
          <w:sz w:val="20"/>
          <w:szCs w:val="20"/>
        </w:rPr>
        <w:t>De todo lo indicado se infiere, entonces, que el cumplimiento de la referida regla del previo agotamiento de los recursos internos constituye, en definitiva, un requisito que debe cumplir la petición para que pueda ser “</w:t>
      </w:r>
      <w:r w:rsidRPr="00DF1C08">
        <w:rPr>
          <w:rFonts w:ascii="Verdana" w:hAnsi="Verdana" w:cs="Calibri"/>
          <w:i/>
          <w:sz w:val="20"/>
          <w:szCs w:val="20"/>
        </w:rPr>
        <w:t>presentada</w:t>
      </w:r>
      <w:r w:rsidRPr="00DF1C08">
        <w:rPr>
          <w:rFonts w:ascii="Verdana" w:hAnsi="Verdana" w:cs="Calibri"/>
          <w:sz w:val="20"/>
          <w:szCs w:val="20"/>
        </w:rPr>
        <w:t xml:space="preserve">”. </w:t>
      </w:r>
    </w:p>
    <w:p w:rsidR="00355CD9" w:rsidRPr="00DF1C08" w:rsidRDefault="00355CD9" w:rsidP="00F4471C">
      <w:pPr>
        <w:spacing w:after="0"/>
        <w:jc w:val="both"/>
        <w:rPr>
          <w:rFonts w:ascii="Verdana" w:hAnsi="Verdana" w:cs="Calibri"/>
          <w:sz w:val="20"/>
          <w:szCs w:val="20"/>
        </w:rPr>
      </w:pPr>
    </w:p>
    <w:p w:rsidR="005B2171" w:rsidRPr="00DF1C08" w:rsidRDefault="005B2171" w:rsidP="00355CD9">
      <w:pPr>
        <w:numPr>
          <w:ilvl w:val="0"/>
          <w:numId w:val="1"/>
        </w:numPr>
        <w:spacing w:after="0"/>
        <w:ind w:left="567" w:hanging="283"/>
        <w:jc w:val="both"/>
        <w:rPr>
          <w:rFonts w:ascii="Verdana" w:hAnsi="Verdana" w:cs="Calibri"/>
          <w:sz w:val="20"/>
          <w:szCs w:val="20"/>
        </w:rPr>
      </w:pPr>
      <w:r w:rsidRPr="00DF1C08">
        <w:rPr>
          <w:rFonts w:ascii="Verdana" w:hAnsi="Verdana" w:cs="Calibri"/>
          <w:b/>
          <w:sz w:val="20"/>
          <w:szCs w:val="20"/>
        </w:rPr>
        <w:t>Estudio y trámite inicial por parte de la Comisión.</w:t>
      </w:r>
    </w:p>
    <w:p w:rsidR="00355CD9" w:rsidRPr="00DF1C08" w:rsidRDefault="00355CD9" w:rsidP="00355CD9">
      <w:pPr>
        <w:spacing w:after="0"/>
        <w:ind w:left="567"/>
        <w:jc w:val="both"/>
        <w:rPr>
          <w:rFonts w:ascii="Verdana" w:hAnsi="Verdana" w:cs="Calibri"/>
          <w:sz w:val="20"/>
          <w:szCs w:val="20"/>
        </w:rPr>
      </w:pPr>
    </w:p>
    <w:p w:rsidR="005B2171" w:rsidRPr="00DF1C08" w:rsidRDefault="005B2171" w:rsidP="00F4471C">
      <w:pPr>
        <w:autoSpaceDE w:val="0"/>
        <w:autoSpaceDN w:val="0"/>
        <w:adjustRightInd w:val="0"/>
        <w:spacing w:after="0"/>
        <w:jc w:val="both"/>
        <w:rPr>
          <w:rFonts w:ascii="Verdana" w:hAnsi="Verdana" w:cs="Calibri"/>
          <w:i/>
          <w:sz w:val="20"/>
          <w:szCs w:val="20"/>
        </w:rPr>
      </w:pPr>
      <w:r w:rsidRPr="00DF1C08">
        <w:rPr>
          <w:rFonts w:ascii="Verdana" w:hAnsi="Verdana" w:cs="Calibri"/>
          <w:sz w:val="20"/>
          <w:szCs w:val="20"/>
        </w:rPr>
        <w:t>Ahora bien, además de ser en beneficio tanto del Estado como de la</w:t>
      </w:r>
      <w:r w:rsidR="002D1531" w:rsidRPr="00DF1C08">
        <w:rPr>
          <w:rFonts w:ascii="Verdana" w:hAnsi="Verdana" w:cs="Calibri"/>
          <w:sz w:val="20"/>
          <w:szCs w:val="20"/>
        </w:rPr>
        <w:t xml:space="preserve"> </w:t>
      </w:r>
      <w:r w:rsidR="001C1E53" w:rsidRPr="00DF1C08">
        <w:rPr>
          <w:rFonts w:ascii="Verdana" w:hAnsi="Verdana" w:cs="Calibri"/>
          <w:sz w:val="20"/>
          <w:szCs w:val="20"/>
        </w:rPr>
        <w:t>presunta</w:t>
      </w:r>
      <w:r w:rsidRPr="00DF1C08">
        <w:rPr>
          <w:rFonts w:ascii="Verdana" w:hAnsi="Verdana" w:cs="Calibri"/>
          <w:sz w:val="20"/>
          <w:szCs w:val="20"/>
        </w:rPr>
        <w:t xml:space="preserve"> víctima o del peticionario y una obligación para ésta o éste, la regla del previo agotamiento de los recursos conlleva incluso una obligación p</w:t>
      </w:r>
      <w:r w:rsidR="001C1E53" w:rsidRPr="00DF1C08">
        <w:rPr>
          <w:rFonts w:ascii="Verdana" w:hAnsi="Verdana" w:cs="Calibri"/>
          <w:sz w:val="20"/>
          <w:szCs w:val="20"/>
        </w:rPr>
        <w:t>ara la Comisión. Efectivamente,</w:t>
      </w:r>
      <w:r w:rsidRPr="00DF1C08">
        <w:rPr>
          <w:rFonts w:ascii="Verdana" w:hAnsi="Verdana" w:cs="Calibri"/>
          <w:sz w:val="20"/>
          <w:szCs w:val="20"/>
        </w:rPr>
        <w:t xml:space="preserve"> según lo dispone el artículo</w:t>
      </w:r>
      <w:r w:rsidRPr="00DF1C08">
        <w:rPr>
          <w:rFonts w:ascii="Verdana" w:hAnsi="Verdana" w:cs="Calibri"/>
          <w:i/>
          <w:sz w:val="20"/>
          <w:szCs w:val="20"/>
        </w:rPr>
        <w:t xml:space="preserve"> </w:t>
      </w:r>
      <w:r w:rsidRPr="00DF1C08">
        <w:rPr>
          <w:rFonts w:ascii="Verdana" w:hAnsi="Verdana" w:cs="Calibri"/>
          <w:sz w:val="20"/>
          <w:szCs w:val="20"/>
        </w:rPr>
        <w:t>26.1 del Reglamento de la Comisión, “</w:t>
      </w:r>
      <w:r w:rsidR="002D1531" w:rsidRPr="00DF1C08">
        <w:rPr>
          <w:rFonts w:ascii="Verdana" w:hAnsi="Verdana" w:cs="Calibri"/>
          <w:i/>
          <w:sz w:val="20"/>
          <w:szCs w:val="20"/>
        </w:rPr>
        <w:t>[</w:t>
      </w:r>
      <w:r w:rsidRPr="00DF1C08">
        <w:rPr>
          <w:rFonts w:ascii="Verdana" w:hAnsi="Verdana" w:cs="Calibri"/>
          <w:i/>
          <w:sz w:val="20"/>
          <w:szCs w:val="20"/>
        </w:rPr>
        <w:t>l</w:t>
      </w:r>
      <w:r w:rsidR="002D1531" w:rsidRPr="00DF1C08">
        <w:rPr>
          <w:rFonts w:ascii="Verdana" w:hAnsi="Verdana" w:cs="Calibri"/>
          <w:i/>
          <w:sz w:val="20"/>
          <w:szCs w:val="20"/>
        </w:rPr>
        <w:t>]</w:t>
      </w:r>
      <w:r w:rsidRPr="00DF1C08">
        <w:rPr>
          <w:rFonts w:ascii="Verdana" w:hAnsi="Verdana" w:cs="Calibri"/>
          <w:i/>
          <w:sz w:val="20"/>
          <w:szCs w:val="20"/>
        </w:rPr>
        <w:t xml:space="preserve">a Secretaría Ejecutiva de la Comisión tendrá la responsabilidad del estudio y tramitación inicial de las peticiones presentadas a la Comisión que llenen todos los requisitos establecidos en el Estatuto y en el </w:t>
      </w:r>
      <w:r w:rsidRPr="00B90472">
        <w:rPr>
          <w:rFonts w:ascii="Verdana" w:hAnsi="Verdana" w:cs="Calibri"/>
          <w:i/>
          <w:sz w:val="20"/>
          <w:szCs w:val="20"/>
        </w:rPr>
        <w:t>artícu</w:t>
      </w:r>
      <w:r w:rsidR="002D1531" w:rsidRPr="00B90472">
        <w:rPr>
          <w:rFonts w:ascii="Verdana" w:hAnsi="Verdana" w:cs="Calibri"/>
          <w:i/>
          <w:sz w:val="20"/>
          <w:szCs w:val="20"/>
        </w:rPr>
        <w:t>lo 28 del presente Reglamento”.</w:t>
      </w:r>
      <w:r w:rsidRPr="00B90472">
        <w:rPr>
          <w:rFonts w:ascii="Verdana" w:hAnsi="Verdana" w:cs="Calibri"/>
          <w:i/>
          <w:sz w:val="20"/>
          <w:szCs w:val="20"/>
        </w:rPr>
        <w:t xml:space="preserve"> </w:t>
      </w:r>
      <w:r w:rsidRPr="00B90472">
        <w:rPr>
          <w:rFonts w:ascii="Verdana" w:hAnsi="Verdana" w:cs="Calibri"/>
          <w:bCs/>
          <w:sz w:val="20"/>
          <w:szCs w:val="20"/>
        </w:rPr>
        <w:t>Por su parte y tal como ya se indicó, los artículos</w:t>
      </w:r>
      <w:r w:rsidRPr="00B90472">
        <w:rPr>
          <w:rFonts w:ascii="Verdana" w:hAnsi="Verdana" w:cs="Calibri"/>
          <w:sz w:val="20"/>
          <w:szCs w:val="20"/>
        </w:rPr>
        <w:t xml:space="preserve"> 26.2 y </w:t>
      </w:r>
      <w:r w:rsidR="00B90472" w:rsidRPr="00B90472">
        <w:rPr>
          <w:rFonts w:ascii="Verdana" w:hAnsi="Verdana" w:cs="Calibri"/>
          <w:sz w:val="20"/>
          <w:szCs w:val="20"/>
        </w:rPr>
        <w:t>29.1.b</w:t>
      </w:r>
      <w:r w:rsidR="00A90025" w:rsidRPr="00B90472">
        <w:rPr>
          <w:rFonts w:ascii="Verdana" w:hAnsi="Verdana" w:cs="Calibri"/>
          <w:sz w:val="20"/>
          <w:szCs w:val="20"/>
        </w:rPr>
        <w:t xml:space="preserve"> </w:t>
      </w:r>
      <w:r w:rsidRPr="00B90472">
        <w:rPr>
          <w:rFonts w:ascii="Verdana" w:hAnsi="Verdana" w:cs="Calibri"/>
          <w:sz w:val="20"/>
          <w:szCs w:val="20"/>
        </w:rPr>
        <w:t xml:space="preserve">del mismo </w:t>
      </w:r>
      <w:r w:rsidRPr="00DF1C08">
        <w:rPr>
          <w:rFonts w:ascii="Verdana" w:hAnsi="Verdana" w:cs="Calibri"/>
          <w:sz w:val="20"/>
          <w:szCs w:val="20"/>
        </w:rPr>
        <w:t xml:space="preserve">texto añaden que </w:t>
      </w:r>
      <w:r w:rsidR="002D1531" w:rsidRPr="00DF1C08">
        <w:rPr>
          <w:rFonts w:ascii="Verdana" w:hAnsi="Verdana" w:cs="Calibri"/>
          <w:i/>
          <w:sz w:val="20"/>
          <w:szCs w:val="20"/>
        </w:rPr>
        <w:t>“[</w:t>
      </w:r>
      <w:r w:rsidRPr="00DF1C08">
        <w:rPr>
          <w:rFonts w:ascii="Verdana" w:hAnsi="Verdana" w:cs="Calibri"/>
          <w:i/>
          <w:sz w:val="20"/>
          <w:szCs w:val="20"/>
        </w:rPr>
        <w:t>s</w:t>
      </w:r>
      <w:r w:rsidR="002D1531" w:rsidRPr="00DF1C08">
        <w:rPr>
          <w:rFonts w:ascii="Verdana" w:hAnsi="Verdana" w:cs="Calibri"/>
          <w:i/>
          <w:sz w:val="20"/>
          <w:szCs w:val="20"/>
        </w:rPr>
        <w:t>]</w:t>
      </w:r>
      <w:r w:rsidRPr="00DF1C08">
        <w:rPr>
          <w:rFonts w:ascii="Verdana" w:hAnsi="Verdana" w:cs="Calibri"/>
          <w:i/>
          <w:sz w:val="20"/>
          <w:szCs w:val="20"/>
        </w:rPr>
        <w:t>i una petición no reúne los requisitos exigidos en el presente Reglamento, la Secretaría</w:t>
      </w:r>
      <w:r w:rsidRPr="00DF1C08">
        <w:rPr>
          <w:rFonts w:ascii="Verdana" w:hAnsi="Verdana" w:cs="Calibri"/>
          <w:bCs/>
          <w:i/>
          <w:sz w:val="20"/>
          <w:szCs w:val="20"/>
        </w:rPr>
        <w:t xml:space="preserve"> </w:t>
      </w:r>
      <w:r w:rsidRPr="00DF1C08">
        <w:rPr>
          <w:rFonts w:ascii="Verdana" w:hAnsi="Verdana" w:cs="Calibri"/>
          <w:i/>
          <w:sz w:val="20"/>
          <w:szCs w:val="20"/>
        </w:rPr>
        <w:t xml:space="preserve">Ejecutiva podrá solicitar al peticionario o a su representante que los </w:t>
      </w:r>
      <w:r w:rsidR="002D1531" w:rsidRPr="00DF1C08">
        <w:rPr>
          <w:rFonts w:ascii="Verdana" w:hAnsi="Verdana" w:cs="Calibri"/>
          <w:i/>
          <w:sz w:val="20"/>
          <w:szCs w:val="20"/>
        </w:rPr>
        <w:t>complete</w:t>
      </w:r>
      <w:r w:rsidRPr="00DF1C08">
        <w:rPr>
          <w:rFonts w:ascii="Verdana" w:hAnsi="Verdana" w:cs="Calibri"/>
          <w:i/>
          <w:sz w:val="20"/>
          <w:szCs w:val="20"/>
        </w:rPr>
        <w:t>”</w:t>
      </w:r>
      <w:r w:rsidR="002D1531" w:rsidRPr="00DF1C08">
        <w:rPr>
          <w:rFonts w:ascii="Verdana" w:hAnsi="Verdana" w:cs="Calibri"/>
          <w:i/>
          <w:sz w:val="20"/>
          <w:szCs w:val="20"/>
        </w:rPr>
        <w:t>.</w:t>
      </w:r>
    </w:p>
    <w:p w:rsidR="00355CD9" w:rsidRPr="00DF1C08" w:rsidRDefault="00355CD9" w:rsidP="00F4471C">
      <w:pPr>
        <w:autoSpaceDE w:val="0"/>
        <w:autoSpaceDN w:val="0"/>
        <w:adjustRightInd w:val="0"/>
        <w:spacing w:after="0"/>
        <w:jc w:val="both"/>
        <w:rPr>
          <w:rFonts w:ascii="Verdana" w:hAnsi="Verdana" w:cs="Calibri"/>
          <w:sz w:val="20"/>
          <w:szCs w:val="20"/>
        </w:rPr>
      </w:pPr>
    </w:p>
    <w:p w:rsidR="005B2171" w:rsidRPr="00DF1C08" w:rsidRDefault="005B2171" w:rsidP="00F4471C">
      <w:pPr>
        <w:autoSpaceDE w:val="0"/>
        <w:autoSpaceDN w:val="0"/>
        <w:adjustRightInd w:val="0"/>
        <w:spacing w:after="0"/>
        <w:jc w:val="both"/>
        <w:rPr>
          <w:rFonts w:ascii="Verdana" w:hAnsi="Verdana" w:cs="Calibri"/>
          <w:b/>
          <w:bCs/>
          <w:sz w:val="20"/>
          <w:szCs w:val="20"/>
        </w:rPr>
      </w:pPr>
      <w:r w:rsidRPr="00DF1C08">
        <w:rPr>
          <w:rFonts w:ascii="Verdana" w:hAnsi="Verdana" w:cs="Calibri"/>
          <w:sz w:val="20"/>
          <w:szCs w:val="20"/>
        </w:rPr>
        <w:t>A su vez</w:t>
      </w:r>
      <w:r w:rsidRPr="00DF1C08">
        <w:rPr>
          <w:rFonts w:ascii="Verdana" w:hAnsi="Verdana" w:cs="Calibri"/>
          <w:i/>
          <w:sz w:val="20"/>
          <w:szCs w:val="20"/>
        </w:rPr>
        <w:t xml:space="preserve">, </w:t>
      </w:r>
      <w:r w:rsidRPr="00DF1C08">
        <w:rPr>
          <w:rFonts w:ascii="Verdana" w:hAnsi="Verdana" w:cs="Calibri"/>
          <w:sz w:val="20"/>
          <w:szCs w:val="20"/>
        </w:rPr>
        <w:t xml:space="preserve">el artículo 29.1 del mencionado </w:t>
      </w:r>
      <w:r w:rsidRPr="00B90472">
        <w:rPr>
          <w:rFonts w:ascii="Verdana" w:hAnsi="Verdana" w:cs="Calibri"/>
          <w:sz w:val="20"/>
          <w:szCs w:val="20"/>
        </w:rPr>
        <w:t>Reglamento establece que “</w:t>
      </w:r>
      <w:r w:rsidR="002D1531" w:rsidRPr="00B90472">
        <w:rPr>
          <w:rFonts w:ascii="Verdana" w:hAnsi="Verdana" w:cs="Calibri"/>
          <w:i/>
          <w:sz w:val="20"/>
          <w:szCs w:val="20"/>
        </w:rPr>
        <w:t xml:space="preserve">[l]a </w:t>
      </w:r>
      <w:r w:rsidRPr="00B90472">
        <w:rPr>
          <w:rFonts w:ascii="Verdana" w:hAnsi="Verdana" w:cs="Calibri"/>
          <w:i/>
          <w:sz w:val="20"/>
          <w:szCs w:val="20"/>
        </w:rPr>
        <w:t>Comisión</w:t>
      </w:r>
      <w:r w:rsidR="006D732E" w:rsidRPr="00B90472">
        <w:rPr>
          <w:rFonts w:ascii="Verdana" w:hAnsi="Verdana" w:cs="Calibri"/>
          <w:sz w:val="20"/>
          <w:szCs w:val="20"/>
        </w:rPr>
        <w:t xml:space="preserve">, </w:t>
      </w:r>
      <w:r w:rsidRPr="00B90472">
        <w:rPr>
          <w:rFonts w:ascii="Verdana" w:hAnsi="Verdana" w:cs="Calibri"/>
          <w:i/>
          <w:sz w:val="20"/>
          <w:szCs w:val="20"/>
        </w:rPr>
        <w:t xml:space="preserve">actuando inicialmente por intermedio de su Secretaría Ejecutiva, recibirá y procesará en su tramitación inicial las peticiones que le sean presentadas” </w:t>
      </w:r>
      <w:r w:rsidRPr="00B90472">
        <w:rPr>
          <w:rFonts w:ascii="Verdana" w:hAnsi="Verdana" w:cs="Calibri"/>
          <w:sz w:val="20"/>
          <w:szCs w:val="20"/>
        </w:rPr>
        <w:t>y añade que</w:t>
      </w:r>
      <w:r w:rsidR="00E52772" w:rsidRPr="00B90472">
        <w:rPr>
          <w:rFonts w:ascii="Verdana" w:hAnsi="Verdana" w:cs="Calibri"/>
          <w:i/>
          <w:sz w:val="20"/>
          <w:szCs w:val="20"/>
        </w:rPr>
        <w:t xml:space="preserve"> </w:t>
      </w:r>
      <w:r w:rsidR="006D732E" w:rsidRPr="00B90472">
        <w:rPr>
          <w:rFonts w:ascii="Verdana" w:hAnsi="Verdana" w:cs="Calibri"/>
          <w:sz w:val="20"/>
          <w:szCs w:val="20"/>
        </w:rPr>
        <w:t xml:space="preserve">cada petición </w:t>
      </w:r>
      <w:r w:rsidR="006D732E" w:rsidRPr="00B90472">
        <w:rPr>
          <w:rFonts w:ascii="Verdana" w:hAnsi="Verdana" w:cs="Calibri"/>
          <w:sz w:val="20"/>
          <w:szCs w:val="20"/>
        </w:rPr>
        <w:lastRenderedPageBreak/>
        <w:t>se registrará y</w:t>
      </w:r>
      <w:r w:rsidRPr="00B90472">
        <w:rPr>
          <w:rFonts w:ascii="Verdana" w:hAnsi="Verdana" w:cs="Calibri"/>
          <w:sz w:val="20"/>
          <w:szCs w:val="20"/>
        </w:rPr>
        <w:t xml:space="preserve"> se </w:t>
      </w:r>
      <w:r w:rsidR="006D732E" w:rsidRPr="00B90472">
        <w:rPr>
          <w:rFonts w:ascii="Verdana" w:hAnsi="Verdana" w:cs="Calibri"/>
          <w:i/>
          <w:sz w:val="20"/>
          <w:szCs w:val="20"/>
        </w:rPr>
        <w:t>“</w:t>
      </w:r>
      <w:r w:rsidRPr="00B90472">
        <w:rPr>
          <w:rFonts w:ascii="Verdana" w:hAnsi="Verdana" w:cs="Calibri"/>
          <w:i/>
          <w:sz w:val="20"/>
          <w:szCs w:val="20"/>
        </w:rPr>
        <w:t>hará constar en ella la fecha de recepción y se acusará recibo al peticionario</w:t>
      </w:r>
      <w:r w:rsidRPr="00B90472">
        <w:rPr>
          <w:rFonts w:ascii="Verdana" w:hAnsi="Verdana" w:cs="Calibri"/>
          <w:sz w:val="20"/>
          <w:szCs w:val="20"/>
        </w:rPr>
        <w:t xml:space="preserve">”. Y finalmente, según el artículo 30.1 del </w:t>
      </w:r>
      <w:r w:rsidRPr="00DF1C08">
        <w:rPr>
          <w:rFonts w:ascii="Verdana" w:hAnsi="Verdana" w:cs="Calibri"/>
          <w:sz w:val="20"/>
          <w:szCs w:val="20"/>
        </w:rPr>
        <w:t>referido instrumento</w:t>
      </w:r>
      <w:r w:rsidR="007A254E">
        <w:rPr>
          <w:rFonts w:ascii="Verdana" w:hAnsi="Verdana" w:cs="Calibri"/>
          <w:sz w:val="20"/>
          <w:szCs w:val="20"/>
        </w:rPr>
        <w:t xml:space="preserve"> </w:t>
      </w:r>
      <w:r w:rsidRPr="00DF1C08">
        <w:rPr>
          <w:rFonts w:ascii="Verdana" w:hAnsi="Verdana" w:cs="Calibri"/>
          <w:i/>
          <w:sz w:val="20"/>
          <w:szCs w:val="20"/>
        </w:rPr>
        <w:t>“</w:t>
      </w:r>
      <w:r w:rsidR="002D1531" w:rsidRPr="00DF1C08">
        <w:rPr>
          <w:rFonts w:ascii="Verdana" w:hAnsi="Verdana" w:cs="Calibri"/>
          <w:i/>
          <w:sz w:val="20"/>
          <w:szCs w:val="20"/>
        </w:rPr>
        <w:t>[l]a</w:t>
      </w:r>
      <w:r w:rsidRPr="00DF1C08">
        <w:rPr>
          <w:rFonts w:ascii="Verdana" w:hAnsi="Verdana" w:cs="Calibri"/>
          <w:i/>
          <w:sz w:val="20"/>
          <w:szCs w:val="20"/>
        </w:rPr>
        <w:t xml:space="preserve"> Comisión, a través de su Secretaría Ejecutiva, dará trámite a las peticiones que</w:t>
      </w:r>
      <w:r w:rsidRPr="00DF1C08">
        <w:rPr>
          <w:rFonts w:ascii="Verdana" w:hAnsi="Verdana" w:cs="Calibri"/>
          <w:bCs/>
          <w:i/>
          <w:sz w:val="20"/>
          <w:szCs w:val="20"/>
        </w:rPr>
        <w:t xml:space="preserve"> </w:t>
      </w:r>
      <w:r w:rsidRPr="00DF1C08">
        <w:rPr>
          <w:rFonts w:ascii="Verdana" w:hAnsi="Verdana" w:cs="Calibri"/>
          <w:i/>
          <w:sz w:val="20"/>
          <w:szCs w:val="20"/>
        </w:rPr>
        <w:t>reúnan los requisitos previstos en el artículo 28 del presente Reglamento”.</w:t>
      </w:r>
      <w:r w:rsidRPr="00DF1C08">
        <w:rPr>
          <w:rFonts w:ascii="Verdana" w:hAnsi="Verdana" w:cs="Calibri"/>
          <w:b/>
          <w:bCs/>
          <w:sz w:val="20"/>
          <w:szCs w:val="20"/>
        </w:rPr>
        <w:t xml:space="preserve"> </w:t>
      </w:r>
    </w:p>
    <w:p w:rsidR="00355CD9" w:rsidRPr="00DF1C08" w:rsidRDefault="00355CD9" w:rsidP="00F4471C">
      <w:pPr>
        <w:autoSpaceDE w:val="0"/>
        <w:autoSpaceDN w:val="0"/>
        <w:adjustRightInd w:val="0"/>
        <w:spacing w:after="0"/>
        <w:jc w:val="both"/>
        <w:rPr>
          <w:rFonts w:ascii="Verdana" w:hAnsi="Verdana" w:cs="Calibri"/>
          <w:bCs/>
          <w:sz w:val="20"/>
          <w:szCs w:val="20"/>
        </w:rPr>
      </w:pPr>
    </w:p>
    <w:p w:rsidR="005B2171" w:rsidRPr="00DF1C08" w:rsidRDefault="005B2171" w:rsidP="00F4471C">
      <w:pPr>
        <w:autoSpaceDE w:val="0"/>
        <w:autoSpaceDN w:val="0"/>
        <w:adjustRightInd w:val="0"/>
        <w:spacing w:after="0"/>
        <w:jc w:val="both"/>
        <w:rPr>
          <w:rFonts w:ascii="Verdana" w:hAnsi="Verdana" w:cs="Calibri"/>
          <w:bCs/>
          <w:sz w:val="20"/>
          <w:szCs w:val="20"/>
        </w:rPr>
      </w:pPr>
      <w:r w:rsidRPr="00DF1C08">
        <w:rPr>
          <w:rFonts w:ascii="Verdana" w:hAnsi="Verdana" w:cs="Calibri"/>
          <w:bCs/>
          <w:sz w:val="20"/>
          <w:szCs w:val="20"/>
        </w:rPr>
        <w:t>En otras palabras, las gestiones de la Secretaría Ejecutiva de la Comisión, actuando, a nombre de ésta, no se limitan, en consecuencia y en lo relativo a la petición “</w:t>
      </w:r>
      <w:r w:rsidRPr="00DF1C08">
        <w:rPr>
          <w:rFonts w:ascii="Verdana" w:hAnsi="Verdana" w:cs="Calibri"/>
          <w:bCs/>
          <w:i/>
          <w:sz w:val="20"/>
          <w:szCs w:val="20"/>
        </w:rPr>
        <w:t>presentada</w:t>
      </w:r>
      <w:r w:rsidRPr="00DF1C08">
        <w:rPr>
          <w:rFonts w:ascii="Verdana" w:hAnsi="Verdana" w:cs="Calibri"/>
          <w:bCs/>
          <w:sz w:val="20"/>
          <w:szCs w:val="20"/>
        </w:rPr>
        <w:t>”, solo a comprobar</w:t>
      </w:r>
      <w:r w:rsidRPr="00DF1C08">
        <w:rPr>
          <w:rFonts w:ascii="Verdana" w:hAnsi="Verdana"/>
          <w:sz w:val="20"/>
          <w:szCs w:val="20"/>
        </w:rPr>
        <w:t xml:space="preserve"> si formalmente ésta incluye o no la información requerida sino que debe efectuar el “</w:t>
      </w:r>
      <w:r w:rsidRPr="00DF1C08">
        <w:rPr>
          <w:rFonts w:ascii="Verdana" w:hAnsi="Verdana"/>
          <w:i/>
          <w:sz w:val="20"/>
          <w:szCs w:val="20"/>
        </w:rPr>
        <w:t xml:space="preserve">estudio </w:t>
      </w:r>
      <w:r w:rsidRPr="00DF1C08">
        <w:rPr>
          <w:rFonts w:ascii="Verdana" w:hAnsi="Verdana"/>
          <w:sz w:val="20"/>
          <w:szCs w:val="20"/>
        </w:rPr>
        <w:t xml:space="preserve">y </w:t>
      </w:r>
      <w:r w:rsidRPr="00DF1C08">
        <w:rPr>
          <w:rFonts w:ascii="Verdana" w:hAnsi="Verdana"/>
          <w:i/>
          <w:sz w:val="20"/>
          <w:szCs w:val="20"/>
        </w:rPr>
        <w:t>tramitación inicial</w:t>
      </w:r>
      <w:r w:rsidRPr="00DF1C08">
        <w:rPr>
          <w:rFonts w:ascii="Verdana" w:hAnsi="Verdana"/>
          <w:sz w:val="20"/>
          <w:szCs w:val="20"/>
        </w:rPr>
        <w:t>” de la misma siempre y cuando “</w:t>
      </w:r>
      <w:r w:rsidRPr="00DF1C08">
        <w:rPr>
          <w:rFonts w:ascii="Verdana" w:hAnsi="Verdana"/>
          <w:i/>
          <w:sz w:val="20"/>
          <w:szCs w:val="20"/>
        </w:rPr>
        <w:t>llene todos los requisitos establecidos</w:t>
      </w:r>
      <w:r w:rsidRPr="00DF1C08">
        <w:rPr>
          <w:rFonts w:ascii="Verdana" w:hAnsi="Verdana"/>
          <w:sz w:val="20"/>
          <w:szCs w:val="20"/>
        </w:rPr>
        <w:t>”, incluyendo, por cierto, el primero de ellos, a saber, “</w:t>
      </w:r>
      <w:r w:rsidRPr="00DF1C08">
        <w:rPr>
          <w:rFonts w:ascii="Verdana" w:hAnsi="Verdana" w:cs="Calibri"/>
          <w:i/>
          <w:sz w:val="20"/>
          <w:szCs w:val="20"/>
        </w:rPr>
        <w:t>que se hayan interpuesto y agotado los recursos de jurisdicción interna, conforme a los principios del Derecho Interna</w:t>
      </w:r>
      <w:r w:rsidR="002D1531" w:rsidRPr="00DF1C08">
        <w:rPr>
          <w:rFonts w:ascii="Verdana" w:hAnsi="Verdana" w:cs="Calibri"/>
          <w:i/>
          <w:sz w:val="20"/>
          <w:szCs w:val="20"/>
        </w:rPr>
        <w:t>cional generalmente reconocidos”.</w:t>
      </w:r>
      <w:r w:rsidRPr="00DF1C08">
        <w:rPr>
          <w:rFonts w:ascii="Verdana" w:hAnsi="Verdana" w:cs="Calibri"/>
          <w:i/>
          <w:sz w:val="20"/>
          <w:szCs w:val="20"/>
        </w:rPr>
        <w:t xml:space="preserve"> </w:t>
      </w:r>
      <w:r w:rsidRPr="00DF1C08">
        <w:rPr>
          <w:rFonts w:ascii="Verdana" w:hAnsi="Verdana" w:cs="Calibri"/>
          <w:sz w:val="20"/>
          <w:szCs w:val="20"/>
        </w:rPr>
        <w:t xml:space="preserve">En tal sentido, la Comisión, actuando a través de su Secretaría Ejecutiva, </w:t>
      </w:r>
      <w:r w:rsidRPr="00DF1C08">
        <w:rPr>
          <w:rFonts w:ascii="Verdana" w:hAnsi="Verdana" w:cs="Calibri"/>
          <w:bCs/>
          <w:sz w:val="20"/>
          <w:szCs w:val="20"/>
        </w:rPr>
        <w:t>debe realizar un primer control de convencionalidad de la petición, contrastándola con lo dispuesto por la Convención respecto de los requisitos que debe cumplir para ser “</w:t>
      </w:r>
      <w:r w:rsidRPr="00DF1C08">
        <w:rPr>
          <w:rFonts w:ascii="Verdana" w:hAnsi="Verdana" w:cs="Calibri"/>
          <w:bCs/>
          <w:i/>
          <w:sz w:val="20"/>
          <w:szCs w:val="20"/>
        </w:rPr>
        <w:t>presentada</w:t>
      </w:r>
      <w:r w:rsidRPr="00DF1C08">
        <w:rPr>
          <w:rFonts w:ascii="Verdana" w:hAnsi="Verdana" w:cs="Calibri"/>
          <w:bCs/>
          <w:sz w:val="20"/>
          <w:szCs w:val="20"/>
        </w:rPr>
        <w:t>”.</w:t>
      </w:r>
    </w:p>
    <w:p w:rsidR="00355CD9" w:rsidRPr="00DF1C08" w:rsidRDefault="00355CD9" w:rsidP="00F4471C">
      <w:pPr>
        <w:spacing w:after="0"/>
        <w:jc w:val="both"/>
        <w:rPr>
          <w:rFonts w:ascii="Verdana" w:hAnsi="Verdana" w:cs="Calibri"/>
          <w:sz w:val="20"/>
          <w:szCs w:val="20"/>
        </w:rPr>
      </w:pPr>
    </w:p>
    <w:p w:rsidR="005B2171" w:rsidRPr="00DF1C08" w:rsidRDefault="005B2171" w:rsidP="00F4471C">
      <w:pPr>
        <w:spacing w:after="0"/>
        <w:jc w:val="both"/>
        <w:rPr>
          <w:rFonts w:ascii="Verdana" w:hAnsi="Verdana" w:cs="Calibri"/>
          <w:sz w:val="20"/>
          <w:szCs w:val="20"/>
        </w:rPr>
      </w:pPr>
      <w:r w:rsidRPr="00DF1C08">
        <w:rPr>
          <w:rFonts w:ascii="Verdana" w:hAnsi="Verdana" w:cs="Calibri"/>
          <w:sz w:val="20"/>
          <w:szCs w:val="20"/>
        </w:rPr>
        <w:t xml:space="preserve">De todo lo anterior, </w:t>
      </w:r>
      <w:r w:rsidRPr="00DF1C08">
        <w:rPr>
          <w:rFonts w:ascii="Verdana" w:hAnsi="Verdana" w:cs="Calibri"/>
          <w:sz w:val="20"/>
          <w:szCs w:val="20"/>
          <w:shd w:val="clear" w:color="auto" w:fill="FFFFFF"/>
        </w:rPr>
        <w:t>razonablemente se colige que los recursos internos deben haberse agotado antes de la presentación de la petición ante la Comisión, pues de otra manera no se entendería la lógica y necesidad del “</w:t>
      </w:r>
      <w:r w:rsidRPr="00DF1C08">
        <w:rPr>
          <w:rFonts w:ascii="Verdana" w:hAnsi="Verdana" w:cs="Calibri"/>
          <w:i/>
          <w:sz w:val="20"/>
          <w:szCs w:val="20"/>
          <w:shd w:val="clear" w:color="auto" w:fill="FFFFFF"/>
        </w:rPr>
        <w:t>estudio y tramitación inicial</w:t>
      </w:r>
      <w:r w:rsidRPr="00DF1C08">
        <w:rPr>
          <w:rFonts w:ascii="Verdana" w:hAnsi="Verdana" w:cs="Calibri"/>
          <w:sz w:val="20"/>
          <w:szCs w:val="20"/>
          <w:shd w:val="clear" w:color="auto" w:fill="FFFFFF"/>
        </w:rPr>
        <w:t xml:space="preserve">” de aquella por parte de la Secretaría Ejecutiva de ésta </w:t>
      </w:r>
      <w:r w:rsidRPr="00DF1C08">
        <w:rPr>
          <w:rFonts w:ascii="Verdana" w:hAnsi="Verdana" w:cs="Calibri"/>
          <w:sz w:val="20"/>
          <w:szCs w:val="20"/>
        </w:rPr>
        <w:t>ni tampoco</w:t>
      </w:r>
      <w:r w:rsidRPr="00DF1C08">
        <w:rPr>
          <w:rFonts w:ascii="Verdana" w:hAnsi="Verdana" w:cs="Calibri"/>
          <w:sz w:val="20"/>
          <w:szCs w:val="20"/>
          <w:shd w:val="clear" w:color="auto" w:fill="FFFFFF"/>
        </w:rPr>
        <w:t xml:space="preserve"> la razón por la que se le puede requerir al peticionario que la complete o que señale en ella las gestiones emprendidas para agotar los recursos internos, además de que no tendría sentido el plazo fijado para presentarla.</w:t>
      </w:r>
    </w:p>
    <w:p w:rsidR="00355CD9" w:rsidRPr="00DF1C08" w:rsidRDefault="00355CD9" w:rsidP="00F4471C">
      <w:pPr>
        <w:autoSpaceDE w:val="0"/>
        <w:autoSpaceDN w:val="0"/>
        <w:adjustRightInd w:val="0"/>
        <w:spacing w:after="0"/>
        <w:jc w:val="both"/>
        <w:rPr>
          <w:rFonts w:ascii="Verdana" w:hAnsi="Verdana" w:cs="Calibri"/>
          <w:sz w:val="20"/>
          <w:szCs w:val="20"/>
        </w:rPr>
      </w:pPr>
    </w:p>
    <w:p w:rsidR="005B2171" w:rsidRPr="00DF1C08" w:rsidRDefault="005B2171" w:rsidP="00F4471C">
      <w:pPr>
        <w:autoSpaceDE w:val="0"/>
        <w:autoSpaceDN w:val="0"/>
        <w:adjustRightInd w:val="0"/>
        <w:spacing w:after="0"/>
        <w:jc w:val="both"/>
        <w:rPr>
          <w:rFonts w:ascii="Verdana" w:hAnsi="Verdana" w:cs="Calibri"/>
          <w:sz w:val="20"/>
          <w:szCs w:val="20"/>
          <w:lang w:val="es-CO"/>
        </w:rPr>
      </w:pPr>
      <w:r w:rsidRPr="00DF1C08">
        <w:rPr>
          <w:rFonts w:ascii="Verdana" w:hAnsi="Verdana" w:cs="Calibri"/>
          <w:sz w:val="20"/>
          <w:szCs w:val="20"/>
        </w:rPr>
        <w:t xml:space="preserve">Por último, teniendo presente que la función de la Comisión consiste en estudiar, requerir que se complete y tramitar la petición, se debe concluir que todo ello debe hacerlo conforme a los términos </w:t>
      </w:r>
      <w:r w:rsidR="001C1E53" w:rsidRPr="00DF1C08">
        <w:rPr>
          <w:rFonts w:ascii="Verdana" w:hAnsi="Verdana" w:cs="Calibri"/>
          <w:sz w:val="20"/>
          <w:szCs w:val="20"/>
        </w:rPr>
        <w:t>en</w:t>
      </w:r>
      <w:r w:rsidR="002D1531" w:rsidRPr="00DF1C08">
        <w:rPr>
          <w:rFonts w:ascii="Verdana" w:hAnsi="Verdana" w:cs="Calibri"/>
          <w:sz w:val="20"/>
          <w:szCs w:val="20"/>
        </w:rPr>
        <w:t xml:space="preserve"> </w:t>
      </w:r>
      <w:r w:rsidRPr="00DF1C08">
        <w:rPr>
          <w:rFonts w:ascii="Verdana" w:hAnsi="Verdana" w:cs="Calibri"/>
          <w:sz w:val="20"/>
          <w:szCs w:val="20"/>
        </w:rPr>
        <w:t>que esta última ha sido “</w:t>
      </w:r>
      <w:r w:rsidRPr="00DF1C08">
        <w:rPr>
          <w:rFonts w:ascii="Verdana" w:hAnsi="Verdana" w:cs="Calibri"/>
          <w:i/>
          <w:sz w:val="20"/>
          <w:szCs w:val="20"/>
        </w:rPr>
        <w:t>presentada</w:t>
      </w:r>
      <w:r w:rsidRPr="00DF1C08">
        <w:rPr>
          <w:rFonts w:ascii="Verdana" w:hAnsi="Verdana" w:cs="Calibri"/>
          <w:sz w:val="20"/>
          <w:szCs w:val="20"/>
        </w:rPr>
        <w:t xml:space="preserve">”. En ese orden de ideas se puede sostener que, así </w:t>
      </w:r>
      <w:r w:rsidRPr="00DF1C08">
        <w:rPr>
          <w:rFonts w:ascii="Verdana" w:hAnsi="Verdana" w:cs="Calibri"/>
          <w:i/>
          <w:sz w:val="20"/>
          <w:szCs w:val="20"/>
        </w:rPr>
        <w:t>como</w:t>
      </w:r>
      <w:r w:rsidRPr="00DF1C08">
        <w:rPr>
          <w:rFonts w:ascii="Verdana" w:hAnsi="Verdana" w:cs="Calibri"/>
          <w:i/>
          <w:sz w:val="20"/>
          <w:szCs w:val="20"/>
          <w:lang w:val="es-CO"/>
        </w:rPr>
        <w:t xml:space="preserve"> “no es tarea de la Corte, ni de la Comisión, identificar ex </w:t>
      </w:r>
      <w:proofErr w:type="spellStart"/>
      <w:r w:rsidRPr="00DF1C08">
        <w:rPr>
          <w:rFonts w:ascii="Verdana" w:hAnsi="Verdana" w:cs="Calibri"/>
          <w:i/>
          <w:sz w:val="20"/>
          <w:szCs w:val="20"/>
          <w:lang w:val="es-CO"/>
        </w:rPr>
        <w:t>officio</w:t>
      </w:r>
      <w:proofErr w:type="spellEnd"/>
      <w:r w:rsidRPr="00DF1C08">
        <w:rPr>
          <w:rFonts w:ascii="Verdana" w:hAnsi="Verdana" w:cs="Calibri"/>
          <w:i/>
          <w:sz w:val="20"/>
          <w:szCs w:val="20"/>
          <w:lang w:val="es-CO"/>
        </w:rPr>
        <w:t xml:space="preserve"> cuáles son los recursos internos pendientes de agotamiento, de modo tal que no compete a los órganos internacionales subsanar la falta de precisión de los alegatos del Estado”</w:t>
      </w:r>
      <w:r w:rsidRPr="00DF1C08">
        <w:rPr>
          <w:rStyle w:val="FootnoteReference"/>
          <w:rFonts w:cs="Calibri"/>
          <w:i/>
          <w:szCs w:val="20"/>
          <w:lang w:val="es-CO"/>
        </w:rPr>
        <w:footnoteReference w:id="25"/>
      </w:r>
      <w:r w:rsidRPr="00DF1C08">
        <w:rPr>
          <w:rFonts w:ascii="Verdana" w:hAnsi="Verdana" w:cs="Calibri"/>
          <w:sz w:val="20"/>
          <w:szCs w:val="20"/>
          <w:lang w:val="es-CO"/>
        </w:rPr>
        <w:t>, tampoco le corresponde subsanar la petición ni darle un alcance más allá de lo que en ella se expresa y requiere. La Comisión debe atenerse, pues, a lo que se le solicita.</w:t>
      </w:r>
    </w:p>
    <w:p w:rsidR="00355CD9" w:rsidRPr="00DF1C08" w:rsidRDefault="00355CD9" w:rsidP="00F4471C">
      <w:pPr>
        <w:pStyle w:val="NormalWeb"/>
        <w:spacing w:before="0" w:beforeAutospacing="0" w:after="0" w:afterAutospacing="0" w:line="276" w:lineRule="auto"/>
        <w:jc w:val="both"/>
        <w:rPr>
          <w:rFonts w:ascii="Verdana" w:hAnsi="Verdana" w:cs="Calibri"/>
          <w:sz w:val="20"/>
          <w:szCs w:val="20"/>
          <w:lang w:val="es-CO"/>
        </w:rPr>
      </w:pPr>
    </w:p>
    <w:p w:rsidR="005B2171" w:rsidRPr="00DF1C08" w:rsidRDefault="005B2171" w:rsidP="00F4471C">
      <w:pPr>
        <w:pStyle w:val="NormalWeb"/>
        <w:spacing w:before="0" w:beforeAutospacing="0" w:after="0" w:afterAutospacing="0" w:line="276" w:lineRule="auto"/>
        <w:jc w:val="both"/>
        <w:rPr>
          <w:rFonts w:ascii="Verdana" w:hAnsi="Verdana" w:cs="Calibri"/>
          <w:sz w:val="20"/>
          <w:szCs w:val="20"/>
          <w:shd w:val="clear" w:color="auto" w:fill="FFFFFF"/>
        </w:rPr>
      </w:pPr>
      <w:r w:rsidRPr="00DF1C08">
        <w:rPr>
          <w:rFonts w:ascii="Verdana" w:hAnsi="Verdana" w:cs="Calibri"/>
          <w:sz w:val="20"/>
          <w:szCs w:val="20"/>
          <w:lang w:val="es-CO"/>
        </w:rPr>
        <w:t xml:space="preserve">Abona la tesis que se sostiene </w:t>
      </w:r>
      <w:r w:rsidRPr="00DF1C08">
        <w:rPr>
          <w:rFonts w:ascii="Verdana" w:hAnsi="Verdana" w:cs="Calibri"/>
          <w:sz w:val="20"/>
          <w:szCs w:val="20"/>
          <w:shd w:val="clear" w:color="auto" w:fill="FFFFFF"/>
        </w:rPr>
        <w:t>lo establecido con relación a la situación en que no es necesario o es imposible agotar tales recursos previamente a ello. Al respecto, el artículo 32.2 del Reglamento de la Comisión señala que “</w:t>
      </w:r>
      <w:r w:rsidR="00A25431" w:rsidRPr="00DF1C08">
        <w:rPr>
          <w:rFonts w:ascii="Verdana" w:hAnsi="Verdana" w:cs="Calibri"/>
          <w:i/>
          <w:sz w:val="20"/>
          <w:szCs w:val="20"/>
          <w:shd w:val="clear" w:color="auto" w:fill="FFFFFF"/>
        </w:rPr>
        <w:t>[</w:t>
      </w:r>
      <w:r w:rsidRPr="00DF1C08">
        <w:rPr>
          <w:rFonts w:ascii="Verdana" w:hAnsi="Verdana" w:cs="Calibri"/>
          <w:i/>
          <w:sz w:val="20"/>
          <w:szCs w:val="20"/>
          <w:shd w:val="clear" w:color="auto" w:fill="FFFFFF"/>
        </w:rPr>
        <w:t>e</w:t>
      </w:r>
      <w:r w:rsidR="00A25431" w:rsidRPr="00DF1C08">
        <w:rPr>
          <w:rFonts w:ascii="Verdana" w:hAnsi="Verdana" w:cs="Calibri"/>
          <w:i/>
          <w:sz w:val="20"/>
          <w:szCs w:val="20"/>
          <w:shd w:val="clear" w:color="auto" w:fill="FFFFFF"/>
        </w:rPr>
        <w:t>]</w:t>
      </w:r>
      <w:r w:rsidRPr="00DF1C08">
        <w:rPr>
          <w:rFonts w:ascii="Verdana" w:hAnsi="Verdana" w:cs="Calibri"/>
          <w:i/>
          <w:sz w:val="20"/>
          <w:szCs w:val="20"/>
        </w:rPr>
        <w:t xml:space="preserve">n los casos en los cuales resulten aplicables las excepciones al requisito del previo agotamiento de los recursos internos, la petición deberá presentarse dentro de un plazo razonable, a criterio de la Comisión. A tal efecto, la Comisión considerará la fecha en que haya ocurrido la presunta violación de los derechos y las circunstancias de cada caso”. </w:t>
      </w:r>
      <w:r w:rsidRPr="00DF1C08">
        <w:rPr>
          <w:rFonts w:ascii="Verdana" w:hAnsi="Verdana" w:cs="Calibri"/>
          <w:sz w:val="20"/>
          <w:szCs w:val="20"/>
        </w:rPr>
        <w:t xml:space="preserve">Es decir, en dicha alternativa, también la Comisión debe considerar el momento en que tuvo lugar la </w:t>
      </w:r>
      <w:r w:rsidRPr="00DF1C08">
        <w:rPr>
          <w:rFonts w:ascii="Verdana" w:hAnsi="Verdana" w:cs="Calibri"/>
          <w:sz w:val="20"/>
          <w:szCs w:val="20"/>
        </w:rPr>
        <w:lastRenderedPageBreak/>
        <w:t xml:space="preserve">violación que se alegue, lo que obviamente debe acontecer antes de la presentación de la petición. </w:t>
      </w:r>
    </w:p>
    <w:p w:rsidR="00355CD9" w:rsidRPr="00DF1C08" w:rsidRDefault="00355CD9" w:rsidP="00F4471C">
      <w:pPr>
        <w:autoSpaceDE w:val="0"/>
        <w:autoSpaceDN w:val="0"/>
        <w:adjustRightInd w:val="0"/>
        <w:spacing w:after="0"/>
        <w:jc w:val="both"/>
        <w:rPr>
          <w:rFonts w:ascii="Verdana" w:hAnsi="Verdana" w:cs="Calibri"/>
          <w:sz w:val="20"/>
          <w:szCs w:val="20"/>
          <w:lang w:val="es-CO"/>
        </w:rPr>
      </w:pPr>
    </w:p>
    <w:p w:rsidR="005B2171" w:rsidRPr="00DF1C08" w:rsidRDefault="005B2171" w:rsidP="00F4471C">
      <w:pPr>
        <w:autoSpaceDE w:val="0"/>
        <w:autoSpaceDN w:val="0"/>
        <w:adjustRightInd w:val="0"/>
        <w:spacing w:after="0"/>
        <w:jc w:val="both"/>
        <w:rPr>
          <w:rFonts w:ascii="Verdana" w:hAnsi="Verdana" w:cs="Calibri"/>
          <w:sz w:val="20"/>
          <w:szCs w:val="20"/>
          <w:lang w:val="es-CO"/>
        </w:rPr>
      </w:pPr>
      <w:r w:rsidRPr="00DF1C08">
        <w:rPr>
          <w:rFonts w:ascii="Verdana" w:hAnsi="Verdana" w:cs="Calibri"/>
          <w:sz w:val="20"/>
          <w:szCs w:val="20"/>
          <w:lang w:val="es-CO"/>
        </w:rPr>
        <w:t>En suma, por ende, también la función de la Comisión frente a la presentación de la petición confirma que el requisito del previo agotamiento de los recursos internos debe cumplirse antes de dicho acto.</w:t>
      </w:r>
    </w:p>
    <w:p w:rsidR="00355CD9" w:rsidRPr="00DF1C08" w:rsidRDefault="00355CD9" w:rsidP="00F4471C">
      <w:pPr>
        <w:autoSpaceDE w:val="0"/>
        <w:autoSpaceDN w:val="0"/>
        <w:adjustRightInd w:val="0"/>
        <w:spacing w:after="0"/>
        <w:jc w:val="both"/>
        <w:rPr>
          <w:rFonts w:ascii="Verdana" w:hAnsi="Verdana" w:cs="Calibri"/>
          <w:i/>
          <w:sz w:val="20"/>
          <w:szCs w:val="20"/>
        </w:rPr>
      </w:pPr>
    </w:p>
    <w:p w:rsidR="005B2171" w:rsidRDefault="005B2171" w:rsidP="00355CD9">
      <w:pPr>
        <w:numPr>
          <w:ilvl w:val="0"/>
          <w:numId w:val="1"/>
        </w:numPr>
        <w:spacing w:after="0"/>
        <w:ind w:left="567" w:hanging="283"/>
        <w:jc w:val="both"/>
        <w:rPr>
          <w:rFonts w:ascii="Verdana" w:hAnsi="Verdana" w:cs="Calibri"/>
          <w:b/>
          <w:sz w:val="20"/>
          <w:szCs w:val="20"/>
        </w:rPr>
      </w:pPr>
      <w:r w:rsidRPr="00C54BB0">
        <w:rPr>
          <w:rFonts w:ascii="Verdana" w:hAnsi="Verdana" w:cs="Calibri"/>
          <w:b/>
          <w:sz w:val="20"/>
          <w:szCs w:val="20"/>
        </w:rPr>
        <w:t>Respuesta</w:t>
      </w:r>
      <w:r w:rsidR="00DA6010">
        <w:rPr>
          <w:rFonts w:ascii="Verdana" w:hAnsi="Verdana" w:cs="Calibri"/>
          <w:b/>
          <w:sz w:val="20"/>
          <w:szCs w:val="20"/>
        </w:rPr>
        <w:t xml:space="preserve"> u observaciones</w:t>
      </w:r>
      <w:r w:rsidRPr="00C54BB0">
        <w:rPr>
          <w:rFonts w:ascii="Verdana" w:hAnsi="Verdana" w:cs="Calibri"/>
          <w:b/>
          <w:sz w:val="20"/>
          <w:szCs w:val="20"/>
        </w:rPr>
        <w:t xml:space="preserve"> del Estado.</w:t>
      </w:r>
    </w:p>
    <w:p w:rsidR="00355CD9" w:rsidRPr="00C54BB0" w:rsidRDefault="00355CD9" w:rsidP="00355CD9">
      <w:pPr>
        <w:spacing w:after="0"/>
        <w:ind w:left="567"/>
        <w:jc w:val="both"/>
        <w:rPr>
          <w:rFonts w:ascii="Verdana" w:hAnsi="Verdana" w:cs="Calibri"/>
          <w:b/>
          <w:sz w:val="20"/>
          <w:szCs w:val="20"/>
        </w:rPr>
      </w:pPr>
    </w:p>
    <w:p w:rsidR="005B2171" w:rsidRPr="00DF1C08" w:rsidRDefault="005B2171" w:rsidP="00F4471C">
      <w:pPr>
        <w:spacing w:after="0"/>
        <w:jc w:val="both"/>
        <w:rPr>
          <w:rFonts w:ascii="Verdana" w:hAnsi="Verdana" w:cs="Calibri"/>
          <w:sz w:val="20"/>
          <w:szCs w:val="20"/>
        </w:rPr>
      </w:pPr>
      <w:r w:rsidRPr="00DF1C08">
        <w:rPr>
          <w:rFonts w:ascii="Verdana" w:hAnsi="Verdana" w:cs="Calibri"/>
          <w:bCs/>
          <w:sz w:val="20"/>
          <w:szCs w:val="20"/>
        </w:rPr>
        <w:t>El artículo 30.</w:t>
      </w:r>
      <w:r w:rsidR="0076137C">
        <w:rPr>
          <w:rFonts w:ascii="Verdana" w:hAnsi="Verdana" w:cs="Calibri"/>
          <w:bCs/>
          <w:sz w:val="20"/>
          <w:szCs w:val="20"/>
        </w:rPr>
        <w:t xml:space="preserve">1 y </w:t>
      </w:r>
      <w:r w:rsidRPr="00DF1C08">
        <w:rPr>
          <w:rFonts w:ascii="Verdana" w:hAnsi="Verdana" w:cs="Calibri"/>
          <w:bCs/>
          <w:sz w:val="20"/>
          <w:szCs w:val="20"/>
        </w:rPr>
        <w:t xml:space="preserve">2 del Reglamento de la Comisión indica que </w:t>
      </w:r>
      <w:r w:rsidR="00A25431" w:rsidRPr="00DF1C08">
        <w:rPr>
          <w:rFonts w:ascii="Verdana" w:hAnsi="Verdana" w:cs="Calibri"/>
          <w:bCs/>
          <w:i/>
          <w:sz w:val="20"/>
          <w:szCs w:val="20"/>
        </w:rPr>
        <w:t>“[</w:t>
      </w:r>
      <w:r w:rsidRPr="00DF1C08">
        <w:rPr>
          <w:rFonts w:ascii="Verdana" w:hAnsi="Verdana" w:cs="Calibri"/>
          <w:bCs/>
          <w:i/>
          <w:sz w:val="20"/>
          <w:szCs w:val="20"/>
        </w:rPr>
        <w:t>l</w:t>
      </w:r>
      <w:r w:rsidR="00A25431" w:rsidRPr="00DF1C08">
        <w:rPr>
          <w:rFonts w:ascii="Verdana" w:hAnsi="Verdana" w:cs="Calibri"/>
          <w:bCs/>
          <w:i/>
          <w:sz w:val="20"/>
          <w:szCs w:val="20"/>
        </w:rPr>
        <w:t>]</w:t>
      </w:r>
      <w:r w:rsidRPr="00DF1C08">
        <w:rPr>
          <w:rFonts w:ascii="Verdana" w:hAnsi="Verdana" w:cs="Calibri"/>
          <w:i/>
          <w:sz w:val="20"/>
          <w:szCs w:val="20"/>
        </w:rPr>
        <w:t xml:space="preserve">a Comisión, a través de su Secretaría Ejecutiva, </w:t>
      </w:r>
      <w:r w:rsidR="00A25431" w:rsidRPr="00DF1C08">
        <w:rPr>
          <w:rFonts w:ascii="Verdana" w:hAnsi="Verdana" w:cs="Calibri"/>
          <w:i/>
          <w:sz w:val="20"/>
          <w:szCs w:val="20"/>
        </w:rPr>
        <w:t>[</w:t>
      </w:r>
      <w:r w:rsidRPr="00DF1C08">
        <w:rPr>
          <w:rFonts w:ascii="Verdana" w:hAnsi="Verdana" w:cs="Calibri"/>
          <w:i/>
          <w:sz w:val="20"/>
          <w:szCs w:val="20"/>
        </w:rPr>
        <w:t>…</w:t>
      </w:r>
      <w:r w:rsidR="00A25431" w:rsidRPr="00DF1C08">
        <w:rPr>
          <w:rFonts w:ascii="Verdana" w:hAnsi="Verdana" w:cs="Calibri"/>
          <w:i/>
          <w:sz w:val="20"/>
          <w:szCs w:val="20"/>
        </w:rPr>
        <w:t>]</w:t>
      </w:r>
      <w:r w:rsidRPr="00DF1C08">
        <w:rPr>
          <w:rFonts w:ascii="Verdana" w:hAnsi="Verdana" w:cs="Calibri"/>
          <w:i/>
          <w:sz w:val="20"/>
          <w:szCs w:val="20"/>
        </w:rPr>
        <w:t xml:space="preserve"> transmitirá las partes pertinentes de la petición al Estado en cuestión</w:t>
      </w:r>
      <w:r w:rsidR="00A25431" w:rsidRPr="00DF1C08">
        <w:rPr>
          <w:rFonts w:ascii="Verdana" w:hAnsi="Verdana" w:cs="Calibri"/>
          <w:i/>
          <w:sz w:val="20"/>
          <w:szCs w:val="20"/>
        </w:rPr>
        <w:t>”</w:t>
      </w:r>
      <w:r w:rsidRPr="00DF1C08">
        <w:rPr>
          <w:rFonts w:ascii="Verdana" w:hAnsi="Verdana" w:cs="Calibri"/>
          <w:i/>
          <w:sz w:val="20"/>
          <w:szCs w:val="20"/>
        </w:rPr>
        <w:t>.</w:t>
      </w:r>
    </w:p>
    <w:p w:rsidR="00355CD9" w:rsidRPr="00DF1C08" w:rsidRDefault="00355CD9" w:rsidP="00F4471C">
      <w:pPr>
        <w:pStyle w:val="NormalWeb"/>
        <w:spacing w:before="0" w:beforeAutospacing="0" w:after="0" w:afterAutospacing="0" w:line="276" w:lineRule="auto"/>
        <w:jc w:val="both"/>
        <w:rPr>
          <w:rFonts w:ascii="Verdana" w:hAnsi="Verdana" w:cs="Calibri"/>
          <w:sz w:val="20"/>
          <w:szCs w:val="20"/>
        </w:rPr>
      </w:pPr>
    </w:p>
    <w:p w:rsidR="005B2171" w:rsidRPr="00DF1C08" w:rsidRDefault="005B2171" w:rsidP="00F4471C">
      <w:pPr>
        <w:pStyle w:val="NormalWeb"/>
        <w:spacing w:before="0" w:beforeAutospacing="0" w:after="0" w:afterAutospacing="0" w:line="276" w:lineRule="auto"/>
        <w:jc w:val="both"/>
        <w:rPr>
          <w:rFonts w:ascii="Verdana" w:hAnsi="Verdana" w:cs="Calibri"/>
          <w:sz w:val="20"/>
          <w:szCs w:val="20"/>
        </w:rPr>
      </w:pPr>
      <w:r w:rsidRPr="00DF1C08">
        <w:rPr>
          <w:rFonts w:ascii="Verdana" w:hAnsi="Verdana" w:cs="Calibri"/>
          <w:sz w:val="20"/>
          <w:szCs w:val="20"/>
        </w:rPr>
        <w:t>Ciertamente, en lo que se transmite al Estado debe incluirse, conforme a</w:t>
      </w:r>
      <w:r w:rsidR="005150C5">
        <w:rPr>
          <w:rFonts w:ascii="Verdana" w:hAnsi="Verdana" w:cs="Calibri"/>
          <w:sz w:val="20"/>
          <w:szCs w:val="20"/>
        </w:rPr>
        <w:t xml:space="preserve"> lo señalado en el </w:t>
      </w:r>
      <w:r w:rsidR="005150C5" w:rsidRPr="00001ED6">
        <w:rPr>
          <w:rFonts w:ascii="Verdana" w:hAnsi="Verdana" w:cs="Calibri"/>
          <w:sz w:val="20"/>
          <w:szCs w:val="20"/>
        </w:rPr>
        <w:t>artículo 28.h</w:t>
      </w:r>
      <w:r w:rsidRPr="00001ED6">
        <w:rPr>
          <w:rFonts w:ascii="Verdana" w:hAnsi="Verdana" w:cs="Calibri"/>
          <w:sz w:val="20"/>
          <w:szCs w:val="20"/>
        </w:rPr>
        <w:t xml:space="preserve"> del señalado Reglamento, la</w:t>
      </w:r>
      <w:r w:rsidRPr="00001ED6">
        <w:rPr>
          <w:rFonts w:ascii="Verdana" w:hAnsi="Verdana" w:cs="Calibri"/>
          <w:i/>
          <w:sz w:val="20"/>
          <w:szCs w:val="20"/>
        </w:rPr>
        <w:t xml:space="preserve"> </w:t>
      </w:r>
      <w:r w:rsidRPr="00001ED6">
        <w:rPr>
          <w:rFonts w:ascii="Verdana" w:hAnsi="Verdana" w:cs="Calibri"/>
          <w:sz w:val="20"/>
          <w:szCs w:val="20"/>
        </w:rPr>
        <w:t xml:space="preserve">información sobre </w:t>
      </w:r>
      <w:r w:rsidR="00A25431" w:rsidRPr="00001ED6">
        <w:rPr>
          <w:rFonts w:ascii="Verdana" w:hAnsi="Verdana" w:cs="Calibri"/>
          <w:i/>
          <w:sz w:val="20"/>
          <w:szCs w:val="20"/>
        </w:rPr>
        <w:t>“[</w:t>
      </w:r>
      <w:r w:rsidRPr="00001ED6">
        <w:rPr>
          <w:rFonts w:ascii="Verdana" w:hAnsi="Verdana" w:cs="Calibri"/>
          <w:i/>
          <w:sz w:val="20"/>
          <w:szCs w:val="20"/>
        </w:rPr>
        <w:t>l</w:t>
      </w:r>
      <w:r w:rsidR="00A25431" w:rsidRPr="00001ED6">
        <w:rPr>
          <w:rFonts w:ascii="Verdana" w:hAnsi="Verdana" w:cs="Calibri"/>
          <w:i/>
          <w:sz w:val="20"/>
          <w:szCs w:val="20"/>
        </w:rPr>
        <w:t>]</w:t>
      </w:r>
      <w:r w:rsidRPr="00001ED6">
        <w:rPr>
          <w:rFonts w:ascii="Verdana" w:hAnsi="Verdana" w:cs="Calibri"/>
          <w:i/>
          <w:sz w:val="20"/>
          <w:szCs w:val="20"/>
          <w:shd w:val="clear" w:color="auto" w:fill="FFFFFF"/>
        </w:rPr>
        <w:t xml:space="preserve">as gestiones emprendidas para agotar los recursos </w:t>
      </w:r>
      <w:r w:rsidRPr="00DF1C08">
        <w:rPr>
          <w:rFonts w:ascii="Verdana" w:hAnsi="Verdana" w:cs="Calibri"/>
          <w:i/>
          <w:sz w:val="20"/>
          <w:szCs w:val="20"/>
          <w:shd w:val="clear" w:color="auto" w:fill="FFFFFF"/>
        </w:rPr>
        <w:t xml:space="preserve">de la jurisdicción interna o la imposibilidad de hacerlo conforme al artículo 31 del presente Reglamento”. </w:t>
      </w:r>
      <w:r w:rsidRPr="00DF1C08">
        <w:rPr>
          <w:rFonts w:ascii="Verdana" w:hAnsi="Verdana" w:cs="Calibri"/>
          <w:spacing w:val="-3"/>
          <w:sz w:val="20"/>
          <w:szCs w:val="20"/>
        </w:rPr>
        <w:t>Y el mismo artículo 30.3  antes citado, agrega que “</w:t>
      </w:r>
      <w:r w:rsidR="00A25431" w:rsidRPr="00DF1C08">
        <w:rPr>
          <w:rFonts w:ascii="Verdana" w:hAnsi="Verdana" w:cs="Calibri"/>
          <w:i/>
          <w:sz w:val="20"/>
          <w:szCs w:val="20"/>
        </w:rPr>
        <w:t>[</w:t>
      </w:r>
      <w:r w:rsidRPr="00DF1C08">
        <w:rPr>
          <w:rFonts w:ascii="Verdana" w:hAnsi="Verdana" w:cs="Calibri"/>
          <w:i/>
          <w:sz w:val="20"/>
          <w:szCs w:val="20"/>
        </w:rPr>
        <w:t>e</w:t>
      </w:r>
      <w:r w:rsidR="00A25431" w:rsidRPr="00DF1C08">
        <w:rPr>
          <w:rFonts w:ascii="Verdana" w:hAnsi="Verdana" w:cs="Calibri"/>
          <w:i/>
          <w:sz w:val="20"/>
          <w:szCs w:val="20"/>
        </w:rPr>
        <w:t>]</w:t>
      </w:r>
      <w:r w:rsidRPr="00DF1C08">
        <w:rPr>
          <w:rFonts w:ascii="Verdana" w:hAnsi="Verdana" w:cs="Calibri"/>
          <w:i/>
          <w:sz w:val="20"/>
          <w:szCs w:val="20"/>
        </w:rPr>
        <w:t xml:space="preserve">l Estado presentará su respuesta dentro del plazo de </w:t>
      </w:r>
      <w:r w:rsidR="00E52772" w:rsidRPr="00B90472">
        <w:rPr>
          <w:rFonts w:ascii="Verdana" w:hAnsi="Verdana" w:cs="Calibri"/>
          <w:i/>
          <w:sz w:val="20"/>
          <w:szCs w:val="20"/>
        </w:rPr>
        <w:t>do</w:t>
      </w:r>
      <w:r w:rsidRPr="00B90472">
        <w:rPr>
          <w:rFonts w:ascii="Verdana" w:hAnsi="Verdana" w:cs="Calibri"/>
          <w:i/>
          <w:sz w:val="20"/>
          <w:szCs w:val="20"/>
        </w:rPr>
        <w:t xml:space="preserve">s </w:t>
      </w:r>
      <w:r w:rsidRPr="00DF1C08">
        <w:rPr>
          <w:rFonts w:ascii="Verdana" w:hAnsi="Verdana" w:cs="Calibri"/>
          <w:i/>
          <w:sz w:val="20"/>
          <w:szCs w:val="20"/>
        </w:rPr>
        <w:t>meses contados desde la fecha de transmisión”</w:t>
      </w:r>
      <w:r w:rsidRPr="00DF1C08">
        <w:rPr>
          <w:rFonts w:ascii="Verdana" w:hAnsi="Verdana" w:cs="Calibri"/>
          <w:sz w:val="20"/>
          <w:szCs w:val="20"/>
        </w:rPr>
        <w:t xml:space="preserve">, respuesta que, por cierto, debe contener, si se </w:t>
      </w:r>
      <w:r w:rsidRPr="00F62A90">
        <w:rPr>
          <w:rFonts w:ascii="Verdana" w:hAnsi="Verdana" w:cs="Calibri"/>
          <w:sz w:val="20"/>
          <w:szCs w:val="20"/>
        </w:rPr>
        <w:t xml:space="preserve">quiere interponer, la excepción preliminar por </w:t>
      </w:r>
      <w:r w:rsidRPr="00DF1C08">
        <w:rPr>
          <w:rFonts w:ascii="Verdana" w:hAnsi="Verdana" w:cs="Calibri"/>
          <w:sz w:val="20"/>
          <w:szCs w:val="20"/>
        </w:rPr>
        <w:t>el no agotamiento previo de los recursos internos</w:t>
      </w:r>
      <w:r w:rsidR="00965C7E" w:rsidRPr="00DF1C08">
        <w:rPr>
          <w:rFonts w:ascii="Verdana" w:hAnsi="Verdana" w:cs="Calibri"/>
          <w:sz w:val="20"/>
          <w:szCs w:val="20"/>
        </w:rPr>
        <w:t xml:space="preserve"> por parte de la pres</w:t>
      </w:r>
      <w:r w:rsidR="00A25431" w:rsidRPr="00DF1C08">
        <w:rPr>
          <w:rFonts w:ascii="Verdana" w:hAnsi="Verdana" w:cs="Calibri"/>
          <w:sz w:val="20"/>
          <w:szCs w:val="20"/>
        </w:rPr>
        <w:t>u</w:t>
      </w:r>
      <w:r w:rsidR="00965C7E" w:rsidRPr="00DF1C08">
        <w:rPr>
          <w:rFonts w:ascii="Verdana" w:hAnsi="Verdana" w:cs="Calibri"/>
          <w:sz w:val="20"/>
          <w:szCs w:val="20"/>
        </w:rPr>
        <w:t>nta víctima o del peticionario</w:t>
      </w:r>
      <w:r w:rsidRPr="00DF1C08">
        <w:rPr>
          <w:rFonts w:ascii="Verdana" w:hAnsi="Verdana" w:cs="Calibri"/>
          <w:sz w:val="20"/>
          <w:szCs w:val="20"/>
        </w:rPr>
        <w:t>.</w:t>
      </w:r>
    </w:p>
    <w:p w:rsidR="00355CD9" w:rsidRPr="00DF1C08" w:rsidRDefault="00355CD9" w:rsidP="00F4471C">
      <w:pPr>
        <w:pStyle w:val="ListParagraph1"/>
        <w:spacing w:after="0"/>
        <w:ind w:left="0"/>
        <w:jc w:val="both"/>
        <w:rPr>
          <w:rFonts w:ascii="Verdana" w:hAnsi="Verdana" w:cs="Calibri"/>
          <w:sz w:val="20"/>
          <w:szCs w:val="20"/>
          <w:lang w:val="es-CL"/>
        </w:rPr>
      </w:pPr>
    </w:p>
    <w:p w:rsidR="005B2171" w:rsidRPr="00DF1C08" w:rsidRDefault="005B2171" w:rsidP="00F4471C">
      <w:pPr>
        <w:pStyle w:val="ListParagraph1"/>
        <w:spacing w:after="0"/>
        <w:ind w:left="0"/>
        <w:jc w:val="both"/>
        <w:rPr>
          <w:rFonts w:ascii="Verdana" w:hAnsi="Verdana" w:cs="Calibri"/>
          <w:sz w:val="20"/>
          <w:szCs w:val="20"/>
          <w:lang w:val="es-CL"/>
        </w:rPr>
      </w:pPr>
      <w:r w:rsidRPr="00DF1C08">
        <w:rPr>
          <w:rFonts w:ascii="Verdana" w:hAnsi="Verdana" w:cs="Calibri"/>
          <w:sz w:val="20"/>
          <w:szCs w:val="20"/>
          <w:lang w:val="es-CL"/>
        </w:rPr>
        <w:t xml:space="preserve">Por lo demás, es por la misma razón que el artículo 31.3 del Reglamento de la Comisión estipula que </w:t>
      </w:r>
      <w:r w:rsidR="00A25431" w:rsidRPr="00DF1C08">
        <w:rPr>
          <w:rFonts w:ascii="Verdana" w:hAnsi="Verdana" w:cs="Calibri"/>
          <w:i/>
          <w:sz w:val="20"/>
          <w:szCs w:val="20"/>
          <w:lang w:val="es-CL"/>
        </w:rPr>
        <w:t>“[</w:t>
      </w:r>
      <w:r w:rsidRPr="00DF1C08">
        <w:rPr>
          <w:rFonts w:ascii="Verdana" w:hAnsi="Verdana" w:cs="Calibri"/>
          <w:i/>
          <w:sz w:val="20"/>
          <w:szCs w:val="20"/>
          <w:lang w:val="es-CL"/>
        </w:rPr>
        <w:t>c</w:t>
      </w:r>
      <w:r w:rsidR="00A25431" w:rsidRPr="00DF1C08">
        <w:rPr>
          <w:rFonts w:ascii="Verdana" w:hAnsi="Verdana" w:cs="Calibri"/>
          <w:i/>
          <w:sz w:val="20"/>
          <w:szCs w:val="20"/>
          <w:lang w:val="es-CL"/>
        </w:rPr>
        <w:t>]</w:t>
      </w:r>
      <w:proofErr w:type="spellStart"/>
      <w:r w:rsidRPr="00DF1C08">
        <w:rPr>
          <w:rFonts w:ascii="Verdana" w:hAnsi="Verdana" w:cs="Calibri"/>
          <w:i/>
          <w:sz w:val="20"/>
          <w:szCs w:val="20"/>
          <w:lang w:val="es-CL"/>
        </w:rPr>
        <w:t>uando</w:t>
      </w:r>
      <w:proofErr w:type="spellEnd"/>
      <w:r w:rsidRPr="00DF1C08">
        <w:rPr>
          <w:rFonts w:ascii="Verdana" w:hAnsi="Verdana" w:cs="Calibri"/>
          <w:i/>
          <w:sz w:val="20"/>
          <w:szCs w:val="20"/>
          <w:lang w:val="es-CL"/>
        </w:rPr>
        <w:t xml:space="preserve"> el peticionario alegue la imposibilidad de comprobar el cumplimiento del requisito señalado en este artículo, corresponderá al Estado en cuestión demostrar que los recursos internos no han sido agotados, a menos que ello se deduzca claramente del expediente</w:t>
      </w:r>
      <w:r w:rsidRPr="00DF1C08">
        <w:rPr>
          <w:rFonts w:ascii="Verdana" w:hAnsi="Verdana" w:cs="Calibri"/>
          <w:sz w:val="20"/>
          <w:szCs w:val="20"/>
          <w:lang w:val="es-CL"/>
        </w:rPr>
        <w:t>”</w:t>
      </w:r>
      <w:r w:rsidR="00A25431" w:rsidRPr="00DF1C08">
        <w:rPr>
          <w:rFonts w:ascii="Verdana" w:hAnsi="Verdana" w:cs="Calibri"/>
          <w:sz w:val="20"/>
          <w:szCs w:val="20"/>
          <w:lang w:val="es-CL"/>
        </w:rPr>
        <w:t>.</w:t>
      </w:r>
      <w:r w:rsidRPr="00DF1C08">
        <w:rPr>
          <w:rFonts w:ascii="Verdana" w:hAnsi="Verdana" w:cs="Calibri"/>
          <w:sz w:val="20"/>
          <w:szCs w:val="20"/>
          <w:lang w:val="es-CO"/>
        </w:rPr>
        <w:t xml:space="preserve"> </w:t>
      </w:r>
    </w:p>
    <w:p w:rsidR="00355CD9" w:rsidRPr="00DF1C08" w:rsidRDefault="00355CD9" w:rsidP="00F4471C">
      <w:pPr>
        <w:spacing w:after="0"/>
        <w:jc w:val="both"/>
        <w:rPr>
          <w:rFonts w:ascii="Verdana" w:hAnsi="Verdana" w:cs="Calibri"/>
          <w:sz w:val="20"/>
          <w:szCs w:val="20"/>
          <w:lang w:val="es-CO"/>
        </w:rPr>
      </w:pPr>
    </w:p>
    <w:p w:rsidR="005B2171" w:rsidRPr="00DF1C08" w:rsidRDefault="005B2171" w:rsidP="00F4471C">
      <w:pPr>
        <w:spacing w:after="0"/>
        <w:jc w:val="both"/>
        <w:rPr>
          <w:rFonts w:ascii="Verdana" w:hAnsi="Verdana" w:cs="Calibri"/>
          <w:sz w:val="20"/>
          <w:szCs w:val="20"/>
          <w:lang w:val="es-CO"/>
        </w:rPr>
      </w:pPr>
      <w:r w:rsidRPr="00DF1C08">
        <w:rPr>
          <w:rFonts w:ascii="Verdana" w:hAnsi="Verdana" w:cs="Calibri"/>
          <w:sz w:val="20"/>
          <w:szCs w:val="20"/>
          <w:lang w:val="es-CO"/>
        </w:rPr>
        <w:t xml:space="preserve">En otras palabras, en el evento de que el peticionario alegue, en su petición, estar impedido de acreditar que ha agotado previamente los recursos internos, el Estado puede objetar tal alegación, eventualidad en que debe demostrar que aquellos no se han agotado y siempre y cuando ello no se desprenda nítidamente del expediente. </w:t>
      </w:r>
      <w:r w:rsidRPr="00DF1C08">
        <w:rPr>
          <w:rFonts w:ascii="Verdana" w:hAnsi="Verdana" w:cs="Calibri"/>
          <w:sz w:val="20"/>
          <w:szCs w:val="20"/>
        </w:rPr>
        <w:t>Es en relación con esa eventualidad que debe entender lo señalado por la</w:t>
      </w:r>
      <w:r w:rsidRPr="00DF1C08">
        <w:rPr>
          <w:rFonts w:ascii="Verdana" w:hAnsi="Verdana" w:cs="Calibri"/>
          <w:sz w:val="20"/>
          <w:szCs w:val="20"/>
          <w:lang w:val="es-CR" w:eastAsia="es-MX"/>
        </w:rPr>
        <w:t xml:space="preserve"> Corte en orden a que </w:t>
      </w:r>
      <w:r w:rsidRPr="00DF1C08">
        <w:rPr>
          <w:rFonts w:ascii="Verdana" w:hAnsi="Verdana" w:cs="Calibri"/>
          <w:i/>
          <w:sz w:val="20"/>
          <w:szCs w:val="20"/>
        </w:rPr>
        <w:t>“</w:t>
      </w:r>
      <w:r w:rsidR="00A25431" w:rsidRPr="00DF1C08">
        <w:rPr>
          <w:rFonts w:ascii="Verdana" w:hAnsi="Verdana"/>
          <w:i/>
          <w:sz w:val="20"/>
          <w:szCs w:val="20"/>
          <w:lang w:val="es-CO"/>
        </w:rPr>
        <w:t>[</w:t>
      </w:r>
      <w:r w:rsidRPr="00DF1C08">
        <w:rPr>
          <w:rFonts w:ascii="Verdana" w:hAnsi="Verdana"/>
          <w:i/>
          <w:sz w:val="20"/>
          <w:szCs w:val="20"/>
          <w:lang w:val="es-CO"/>
        </w:rPr>
        <w:t>a</w:t>
      </w:r>
      <w:r w:rsidR="00A25431" w:rsidRPr="00DF1C08">
        <w:rPr>
          <w:rFonts w:ascii="Verdana" w:hAnsi="Verdana"/>
          <w:i/>
          <w:sz w:val="20"/>
          <w:szCs w:val="20"/>
          <w:lang w:val="es-CO"/>
        </w:rPr>
        <w:t>]</w:t>
      </w:r>
      <w:r w:rsidRPr="00DF1C08">
        <w:rPr>
          <w:rFonts w:ascii="Verdana" w:hAnsi="Verdana"/>
          <w:i/>
          <w:sz w:val="20"/>
          <w:szCs w:val="20"/>
          <w:lang w:val="es-CO"/>
        </w:rPr>
        <w:t xml:space="preserve">l alegar la falta de agotamiento de los recursos internos </w:t>
      </w:r>
      <w:r w:rsidRPr="00DF1C08">
        <w:rPr>
          <w:rFonts w:ascii="Verdana" w:hAnsi="Verdana" w:cs="Arial"/>
          <w:i/>
          <w:sz w:val="20"/>
          <w:szCs w:val="20"/>
          <w:lang w:val="es-CO"/>
        </w:rPr>
        <w:t xml:space="preserve">corresponde al Estado </w:t>
      </w:r>
      <w:r w:rsidRPr="00DF1C08">
        <w:rPr>
          <w:rFonts w:ascii="Verdana" w:hAnsi="Verdana"/>
          <w:i/>
          <w:sz w:val="20"/>
          <w:szCs w:val="20"/>
        </w:rPr>
        <w:t>especificar los recursos internos que aún no se han agotado, y demostrar que estos recursos se encontraban disponibles y eran adecuados, idóneos y efectivos</w:t>
      </w:r>
      <w:r w:rsidRPr="00DF1C08">
        <w:rPr>
          <w:rFonts w:ascii="Verdana" w:hAnsi="Verdana" w:cs="Calibri"/>
          <w:i/>
          <w:sz w:val="20"/>
          <w:szCs w:val="20"/>
        </w:rPr>
        <w:t>”</w:t>
      </w:r>
      <w:r w:rsidRPr="00DF1C08">
        <w:rPr>
          <w:rStyle w:val="FootnoteReference"/>
          <w:rFonts w:cs="Calibri"/>
          <w:i/>
          <w:szCs w:val="20"/>
          <w:lang w:val="es-CO"/>
        </w:rPr>
        <w:footnoteReference w:id="26"/>
      </w:r>
      <w:r w:rsidR="00A25431" w:rsidRPr="00DF1C08">
        <w:rPr>
          <w:rFonts w:ascii="Verdana" w:hAnsi="Verdana" w:cs="Calibri"/>
          <w:i/>
          <w:sz w:val="20"/>
          <w:szCs w:val="20"/>
        </w:rPr>
        <w:t>.</w:t>
      </w:r>
      <w:r w:rsidRPr="00DF1C08">
        <w:rPr>
          <w:rFonts w:ascii="Verdana" w:hAnsi="Verdana" w:cs="Calibri"/>
          <w:sz w:val="20"/>
          <w:szCs w:val="20"/>
        </w:rPr>
        <w:t xml:space="preserve"> </w:t>
      </w:r>
    </w:p>
    <w:p w:rsidR="00355CD9" w:rsidRPr="00DF1C08" w:rsidRDefault="00355CD9" w:rsidP="00F4471C">
      <w:pPr>
        <w:spacing w:after="0"/>
        <w:jc w:val="both"/>
        <w:rPr>
          <w:rFonts w:ascii="Verdana" w:hAnsi="Verdana" w:cs="Calibri"/>
          <w:sz w:val="20"/>
          <w:szCs w:val="20"/>
          <w:lang w:val="es-CO"/>
        </w:rPr>
      </w:pPr>
    </w:p>
    <w:p w:rsidR="005B2171" w:rsidRPr="00DF1C08" w:rsidRDefault="005B2171" w:rsidP="00F4471C">
      <w:pPr>
        <w:spacing w:after="0"/>
        <w:jc w:val="both"/>
        <w:rPr>
          <w:rFonts w:ascii="Verdana" w:hAnsi="Verdana" w:cs="Calibri"/>
          <w:sz w:val="20"/>
          <w:szCs w:val="20"/>
          <w:lang w:val="es-CO"/>
        </w:rPr>
      </w:pPr>
      <w:r w:rsidRPr="00DF1C08">
        <w:rPr>
          <w:rFonts w:ascii="Verdana" w:hAnsi="Verdana" w:cs="Calibri"/>
          <w:sz w:val="20"/>
          <w:szCs w:val="20"/>
          <w:lang w:val="es-CO"/>
        </w:rPr>
        <w:t>Pero, cabe hacer presente que lógicamente también en el evento, no expresamente considerado en el Reglamento de la Comisión, de que el peticionario indique, en su petición, que ha agotado previamente los recursos internos, es decir, que ha dado cumplimiento a lo ordenado en el artículo 46.1.a) de la Convención, el Estado puede interponer la excepción u objeción de que ello no ha acontecido.</w:t>
      </w:r>
    </w:p>
    <w:p w:rsidR="00355CD9" w:rsidRPr="00DF1C08" w:rsidRDefault="00355CD9" w:rsidP="00F4471C">
      <w:pPr>
        <w:spacing w:after="0"/>
        <w:jc w:val="both"/>
        <w:rPr>
          <w:rFonts w:ascii="Verdana" w:hAnsi="Verdana" w:cs="Calibri"/>
          <w:sz w:val="20"/>
          <w:szCs w:val="20"/>
          <w:lang w:val="es-CO"/>
        </w:rPr>
      </w:pPr>
    </w:p>
    <w:p w:rsidR="005B2171" w:rsidRPr="00DF1C08" w:rsidRDefault="005B2171" w:rsidP="00F4471C">
      <w:pPr>
        <w:spacing w:after="0"/>
        <w:jc w:val="both"/>
        <w:rPr>
          <w:rFonts w:ascii="Verdana" w:hAnsi="Verdana" w:cs="Calibri"/>
          <w:sz w:val="20"/>
          <w:szCs w:val="20"/>
          <w:lang w:val="es-CO"/>
        </w:rPr>
      </w:pPr>
      <w:r w:rsidRPr="00DF1C08">
        <w:rPr>
          <w:rFonts w:ascii="Verdana" w:hAnsi="Verdana" w:cs="Calibri"/>
          <w:sz w:val="20"/>
          <w:szCs w:val="20"/>
          <w:lang w:val="es-CO"/>
        </w:rPr>
        <w:lastRenderedPageBreak/>
        <w:t>Así, entonces, resulta evidente que el cumplimiento de la regla del previo agotamiento de los recursos internos o la imposibilidad de cumplirlo, debe señalarse en la petición, puesto que de otra manera, el Estado no podría dar</w:t>
      </w:r>
      <w:r w:rsidR="003511A1" w:rsidRPr="00DF1C08">
        <w:rPr>
          <w:rFonts w:ascii="Verdana" w:hAnsi="Verdana" w:cs="Calibri"/>
          <w:sz w:val="20"/>
          <w:szCs w:val="20"/>
          <w:lang w:val="es-CO"/>
        </w:rPr>
        <w:t xml:space="preserve"> respuesta sobre el particular. Dicho de otra manera, únicamente si en la petición se indica que se ha dado cu</w:t>
      </w:r>
      <w:r w:rsidR="007C2FEE" w:rsidRPr="00DF1C08">
        <w:rPr>
          <w:rFonts w:ascii="Verdana" w:hAnsi="Verdana" w:cs="Calibri"/>
          <w:sz w:val="20"/>
          <w:szCs w:val="20"/>
          <w:lang w:val="es-CO"/>
        </w:rPr>
        <w:t>mplimiento a la regla en comento</w:t>
      </w:r>
      <w:r w:rsidR="003511A1" w:rsidRPr="00DF1C08">
        <w:rPr>
          <w:rFonts w:ascii="Verdana" w:hAnsi="Verdana" w:cs="Calibri"/>
          <w:sz w:val="20"/>
          <w:szCs w:val="20"/>
          <w:lang w:val="es-CO"/>
        </w:rPr>
        <w:t xml:space="preserve"> o que es imposibl</w:t>
      </w:r>
      <w:r w:rsidR="007C2FEE" w:rsidRPr="00DF1C08">
        <w:rPr>
          <w:rFonts w:ascii="Verdana" w:hAnsi="Verdana" w:cs="Calibri"/>
          <w:sz w:val="20"/>
          <w:szCs w:val="20"/>
          <w:lang w:val="es-CO"/>
        </w:rPr>
        <w:t xml:space="preserve">e hacerlo, </w:t>
      </w:r>
      <w:r w:rsidR="003511A1" w:rsidRPr="00DF1C08">
        <w:rPr>
          <w:rFonts w:ascii="Verdana" w:hAnsi="Verdana" w:cs="Calibri"/>
          <w:sz w:val="20"/>
          <w:szCs w:val="20"/>
          <w:lang w:val="es-CO"/>
        </w:rPr>
        <w:t>el Estado</w:t>
      </w:r>
      <w:r w:rsidR="00BF78DE" w:rsidRPr="00DF1C08">
        <w:rPr>
          <w:rFonts w:ascii="Verdana" w:hAnsi="Verdana" w:cs="Calibri"/>
          <w:sz w:val="20"/>
          <w:szCs w:val="20"/>
          <w:lang w:val="es-CO"/>
        </w:rPr>
        <w:t xml:space="preserve"> </w:t>
      </w:r>
      <w:r w:rsidR="007C2FEE" w:rsidRPr="00DF1C08">
        <w:rPr>
          <w:rFonts w:ascii="Verdana" w:hAnsi="Verdana" w:cs="Calibri"/>
          <w:sz w:val="20"/>
          <w:szCs w:val="20"/>
          <w:lang w:val="es-CO"/>
        </w:rPr>
        <w:t xml:space="preserve">puede </w:t>
      </w:r>
      <w:r w:rsidRPr="00DF1C08">
        <w:rPr>
          <w:rFonts w:ascii="Verdana" w:hAnsi="Verdana" w:cs="Calibri"/>
          <w:sz w:val="20"/>
          <w:szCs w:val="20"/>
          <w:lang w:val="es-CO"/>
        </w:rPr>
        <w:t xml:space="preserve"> </w:t>
      </w:r>
      <w:r w:rsidR="00BF78DE" w:rsidRPr="00DF1C08">
        <w:rPr>
          <w:rFonts w:ascii="Verdana" w:hAnsi="Verdana"/>
          <w:sz w:val="20"/>
          <w:szCs w:val="20"/>
          <w:lang w:val="es-CO"/>
        </w:rPr>
        <w:t xml:space="preserve">alegar su incumplimiento y </w:t>
      </w:r>
      <w:r w:rsidR="007C2FEE" w:rsidRPr="00DF1C08">
        <w:rPr>
          <w:rFonts w:ascii="Verdana" w:hAnsi="Verdana"/>
          <w:sz w:val="20"/>
          <w:szCs w:val="20"/>
          <w:lang w:val="es-CO"/>
        </w:rPr>
        <w:t xml:space="preserve">en tal eventualidad debe </w:t>
      </w:r>
      <w:r w:rsidR="00BF78DE" w:rsidRPr="00DF1C08">
        <w:rPr>
          <w:rFonts w:ascii="Verdana" w:hAnsi="Verdana"/>
          <w:sz w:val="20"/>
          <w:szCs w:val="20"/>
          <w:lang w:val="es-CO"/>
        </w:rPr>
        <w:t>demostrar la</w:t>
      </w:r>
      <w:r w:rsidR="00355CD9" w:rsidRPr="00DF1C08">
        <w:rPr>
          <w:rFonts w:ascii="Verdana" w:hAnsi="Verdana"/>
          <w:sz w:val="20"/>
          <w:szCs w:val="20"/>
          <w:lang w:val="es-CO"/>
        </w:rPr>
        <w:t xml:space="preserve"> disponibilidad, adecuación, id</w:t>
      </w:r>
      <w:r w:rsidR="00BF78DE" w:rsidRPr="00DF1C08">
        <w:rPr>
          <w:rFonts w:ascii="Verdana" w:hAnsi="Verdana"/>
          <w:sz w:val="20"/>
          <w:szCs w:val="20"/>
          <w:lang w:val="es-CO"/>
        </w:rPr>
        <w:t>oneidad y efectividad de los recursos internos no agotado</w:t>
      </w:r>
      <w:r w:rsidR="007C2FEE" w:rsidRPr="00DF1C08">
        <w:rPr>
          <w:rFonts w:ascii="Verdana" w:hAnsi="Verdana"/>
          <w:sz w:val="20"/>
          <w:szCs w:val="20"/>
          <w:lang w:val="es-CO"/>
        </w:rPr>
        <w:t>s</w:t>
      </w:r>
      <w:r w:rsidR="00BF78DE" w:rsidRPr="00DF1C08">
        <w:rPr>
          <w:rFonts w:ascii="Verdana" w:hAnsi="Verdana"/>
          <w:sz w:val="20"/>
          <w:szCs w:val="20"/>
          <w:lang w:val="es-CO"/>
        </w:rPr>
        <w:t xml:space="preserve">, todo </w:t>
      </w:r>
      <w:r w:rsidR="00EB56FA" w:rsidRPr="00DF1C08">
        <w:rPr>
          <w:rFonts w:ascii="Verdana" w:hAnsi="Verdana"/>
          <w:sz w:val="20"/>
          <w:szCs w:val="20"/>
          <w:lang w:val="es-CO"/>
        </w:rPr>
        <w:t xml:space="preserve">o </w:t>
      </w:r>
      <w:r w:rsidR="00BF78DE" w:rsidRPr="00DF1C08">
        <w:rPr>
          <w:rFonts w:ascii="Verdana" w:hAnsi="Verdana"/>
          <w:sz w:val="20"/>
          <w:szCs w:val="20"/>
          <w:lang w:val="es-CO"/>
        </w:rPr>
        <w:t xml:space="preserve">cual </w:t>
      </w:r>
      <w:r w:rsidRPr="00DF1C08">
        <w:rPr>
          <w:rFonts w:ascii="Verdana" w:hAnsi="Verdana" w:cs="Calibri"/>
          <w:sz w:val="20"/>
          <w:szCs w:val="20"/>
          <w:lang w:val="es-CO"/>
        </w:rPr>
        <w:t>demuestra, una vez más, que tal requisito debe haberse cumplido previamente, es decir, antes de formular la petición cuyas partes pertinentes se transmiten al Estado precisamente para que les dé respuesta.</w:t>
      </w:r>
    </w:p>
    <w:p w:rsidR="00355CD9" w:rsidRPr="00DF1C08" w:rsidRDefault="00355CD9" w:rsidP="00F4471C">
      <w:pPr>
        <w:spacing w:after="0"/>
        <w:jc w:val="both"/>
        <w:rPr>
          <w:rFonts w:ascii="Verdana" w:hAnsi="Verdana" w:cs="Calibri"/>
          <w:sz w:val="20"/>
          <w:szCs w:val="20"/>
          <w:lang w:val="es-ES_tradnl"/>
        </w:rPr>
      </w:pPr>
    </w:p>
    <w:p w:rsidR="005B2171" w:rsidRDefault="005B2171" w:rsidP="00F4471C">
      <w:pPr>
        <w:spacing w:after="0"/>
        <w:jc w:val="both"/>
        <w:rPr>
          <w:rFonts w:ascii="Verdana" w:hAnsi="Verdana" w:cs="Calibri"/>
          <w:sz w:val="20"/>
          <w:szCs w:val="20"/>
        </w:rPr>
      </w:pPr>
      <w:r w:rsidRPr="007E26A9">
        <w:rPr>
          <w:rFonts w:ascii="Verdana" w:hAnsi="Verdana" w:cs="Calibri"/>
          <w:sz w:val="20"/>
          <w:szCs w:val="20"/>
          <w:lang w:val="es-ES_tradnl"/>
        </w:rPr>
        <w:t xml:space="preserve">A su vez, lo prescrito </w:t>
      </w:r>
      <w:r w:rsidRPr="007E26A9">
        <w:rPr>
          <w:rFonts w:ascii="Verdana" w:hAnsi="Verdana" w:cs="Calibri"/>
          <w:sz w:val="20"/>
          <w:szCs w:val="20"/>
        </w:rPr>
        <w:t xml:space="preserve">artículo 30.5 y 6 del Reglamento de la Comisión apunta en la misma dirección. Efectivamente, dicha disposición establece que </w:t>
      </w:r>
      <w:r w:rsidR="00A25431" w:rsidRPr="007E26A9">
        <w:rPr>
          <w:rFonts w:ascii="Verdana" w:hAnsi="Verdana" w:cs="Calibri"/>
          <w:i/>
          <w:sz w:val="20"/>
          <w:szCs w:val="20"/>
        </w:rPr>
        <w:t>“[</w:t>
      </w:r>
      <w:r w:rsidRPr="007E26A9">
        <w:rPr>
          <w:rFonts w:ascii="Verdana" w:hAnsi="Verdana" w:cs="Calibri"/>
          <w:i/>
          <w:sz w:val="20"/>
          <w:szCs w:val="20"/>
        </w:rPr>
        <w:t>a</w:t>
      </w:r>
      <w:r w:rsidR="00A25431" w:rsidRPr="007E26A9">
        <w:rPr>
          <w:rFonts w:ascii="Verdana" w:hAnsi="Verdana" w:cs="Calibri"/>
          <w:i/>
          <w:sz w:val="20"/>
          <w:szCs w:val="20"/>
        </w:rPr>
        <w:t>]</w:t>
      </w:r>
      <w:proofErr w:type="spellStart"/>
      <w:r w:rsidRPr="007E26A9">
        <w:rPr>
          <w:rFonts w:ascii="Verdana" w:hAnsi="Verdana" w:cs="Calibri"/>
          <w:i/>
          <w:sz w:val="20"/>
          <w:szCs w:val="20"/>
        </w:rPr>
        <w:t>ntes</w:t>
      </w:r>
      <w:proofErr w:type="spellEnd"/>
      <w:r w:rsidRPr="007E26A9">
        <w:rPr>
          <w:rFonts w:ascii="Verdana" w:hAnsi="Verdana" w:cs="Calibri"/>
          <w:i/>
          <w:sz w:val="20"/>
          <w:szCs w:val="20"/>
        </w:rPr>
        <w:t xml:space="preserve"> de pronunciarse sobre la admisibilidad de la petición, la Comisión podrá invitar a las partes a presentar observaciones adicionales, ya sea por escrito o en una audiencia, conforme a lo establecido en el Capítulo VI del </w:t>
      </w:r>
      <w:r w:rsidR="00A25431" w:rsidRPr="007E26A9">
        <w:rPr>
          <w:rFonts w:ascii="Verdana" w:hAnsi="Verdana" w:cs="Calibri"/>
          <w:i/>
          <w:sz w:val="20"/>
          <w:szCs w:val="20"/>
        </w:rPr>
        <w:t>[…]</w:t>
      </w:r>
      <w:r w:rsidR="008300AD" w:rsidRPr="007E26A9">
        <w:rPr>
          <w:rFonts w:ascii="Verdana" w:hAnsi="Verdana" w:cs="Calibri"/>
          <w:i/>
          <w:sz w:val="20"/>
          <w:szCs w:val="20"/>
        </w:rPr>
        <w:t xml:space="preserve"> </w:t>
      </w:r>
      <w:r w:rsidRPr="007E26A9">
        <w:rPr>
          <w:rFonts w:ascii="Verdana" w:hAnsi="Verdana" w:cs="Calibri"/>
          <w:i/>
          <w:sz w:val="20"/>
          <w:szCs w:val="20"/>
        </w:rPr>
        <w:t>Reglamento”</w:t>
      </w:r>
      <w:r w:rsidRPr="007E26A9">
        <w:rPr>
          <w:rFonts w:ascii="Verdana" w:hAnsi="Verdana" w:cs="Calibri"/>
          <w:sz w:val="20"/>
          <w:szCs w:val="20"/>
        </w:rPr>
        <w:t xml:space="preserve">, con lo que no deja margen de duda en cuanto a que las referidas </w:t>
      </w:r>
      <w:r w:rsidR="00EB56FA" w:rsidRPr="007E26A9">
        <w:rPr>
          <w:rFonts w:ascii="Verdana" w:hAnsi="Verdana" w:cs="Calibri"/>
          <w:sz w:val="20"/>
          <w:szCs w:val="20"/>
        </w:rPr>
        <w:t>“</w:t>
      </w:r>
      <w:r w:rsidRPr="007E26A9">
        <w:rPr>
          <w:rFonts w:ascii="Verdana" w:hAnsi="Verdana" w:cs="Calibri"/>
          <w:i/>
          <w:sz w:val="20"/>
          <w:szCs w:val="20"/>
        </w:rPr>
        <w:t>observaciones adicionales</w:t>
      </w:r>
      <w:r w:rsidR="00EB56FA" w:rsidRPr="007E26A9">
        <w:rPr>
          <w:rFonts w:ascii="Verdana" w:hAnsi="Verdana" w:cs="Calibri"/>
          <w:sz w:val="20"/>
          <w:szCs w:val="20"/>
        </w:rPr>
        <w:t>”</w:t>
      </w:r>
      <w:r w:rsidRPr="007E26A9">
        <w:rPr>
          <w:rFonts w:ascii="Verdana" w:hAnsi="Verdana" w:cs="Calibri"/>
          <w:sz w:val="20"/>
          <w:szCs w:val="20"/>
        </w:rPr>
        <w:t xml:space="preserve"> deben decir relación con la petición tal como fue “</w:t>
      </w:r>
      <w:r w:rsidRPr="007E26A9">
        <w:rPr>
          <w:rFonts w:ascii="Verdana" w:hAnsi="Verdana" w:cs="Calibri"/>
          <w:i/>
          <w:sz w:val="20"/>
          <w:szCs w:val="20"/>
        </w:rPr>
        <w:t>presentada</w:t>
      </w:r>
      <w:r w:rsidRPr="007E26A9">
        <w:rPr>
          <w:rFonts w:ascii="Verdana" w:hAnsi="Verdana" w:cs="Calibri"/>
          <w:sz w:val="20"/>
          <w:szCs w:val="20"/>
        </w:rPr>
        <w:t>” y no constituir una nueva o modificarla, salvo, como es lógico, si ello implica su retiro.</w:t>
      </w:r>
      <w:r w:rsidR="00C2191C">
        <w:rPr>
          <w:rFonts w:ascii="Verdana" w:hAnsi="Verdana" w:cs="Calibri"/>
          <w:sz w:val="20"/>
          <w:szCs w:val="20"/>
        </w:rPr>
        <w:t xml:space="preserve"> </w:t>
      </w:r>
    </w:p>
    <w:p w:rsidR="003F5DFE" w:rsidRPr="00DF1C08" w:rsidRDefault="003F5DFE" w:rsidP="00F4471C">
      <w:pPr>
        <w:spacing w:after="0"/>
        <w:jc w:val="both"/>
        <w:rPr>
          <w:rFonts w:ascii="Verdana" w:hAnsi="Verdana" w:cs="Calibri"/>
          <w:sz w:val="20"/>
          <w:szCs w:val="20"/>
        </w:rPr>
      </w:pPr>
    </w:p>
    <w:p w:rsidR="005B2171" w:rsidRPr="00DF1C08" w:rsidRDefault="005B2171" w:rsidP="00F4471C">
      <w:pPr>
        <w:spacing w:after="0"/>
        <w:jc w:val="both"/>
        <w:rPr>
          <w:rFonts w:ascii="Verdana" w:hAnsi="Verdana" w:cs="Calibri"/>
          <w:i/>
          <w:sz w:val="20"/>
          <w:szCs w:val="20"/>
        </w:rPr>
      </w:pPr>
      <w:r w:rsidRPr="00DF1C08">
        <w:rPr>
          <w:rFonts w:ascii="Verdana" w:hAnsi="Verdana" w:cs="Calibri"/>
          <w:sz w:val="20"/>
          <w:szCs w:val="20"/>
        </w:rPr>
        <w:t>Es indiscutible, en consecuencia, que la citada respuesta estatal lógica y necesariamente lo debe ser respecto de la petición “</w:t>
      </w:r>
      <w:r w:rsidRPr="00DF1C08">
        <w:rPr>
          <w:rFonts w:ascii="Verdana" w:hAnsi="Verdana" w:cs="Calibri"/>
          <w:i/>
          <w:sz w:val="20"/>
          <w:szCs w:val="20"/>
        </w:rPr>
        <w:t>presentada”</w:t>
      </w:r>
      <w:r w:rsidRPr="00DF1C08">
        <w:rPr>
          <w:rFonts w:ascii="Verdana" w:hAnsi="Verdana" w:cs="Calibri"/>
          <w:sz w:val="20"/>
          <w:szCs w:val="20"/>
        </w:rPr>
        <w:t xml:space="preserve"> ante la Comisión y que es en ese instante y no después</w:t>
      </w:r>
      <w:r w:rsidRPr="00DF1C08">
        <w:rPr>
          <w:rFonts w:ascii="Verdana" w:hAnsi="Verdana" w:cs="Calibri"/>
          <w:strike/>
          <w:sz w:val="20"/>
          <w:szCs w:val="20"/>
        </w:rPr>
        <w:t>,</w:t>
      </w:r>
      <w:r w:rsidR="00A25431" w:rsidRPr="00DF1C08">
        <w:rPr>
          <w:rFonts w:ascii="Verdana" w:hAnsi="Verdana" w:cs="Calibri"/>
          <w:sz w:val="20"/>
          <w:szCs w:val="20"/>
        </w:rPr>
        <w:t xml:space="preserve"> </w:t>
      </w:r>
      <w:r w:rsidRPr="00DF1C08">
        <w:rPr>
          <w:rFonts w:ascii="Verdana" w:hAnsi="Verdana" w:cs="Calibri"/>
          <w:sz w:val="20"/>
          <w:szCs w:val="20"/>
        </w:rPr>
        <w:t xml:space="preserve">cuando se traba la </w:t>
      </w:r>
      <w:proofErr w:type="spellStart"/>
      <w:r w:rsidRPr="00DF1C08">
        <w:rPr>
          <w:rFonts w:ascii="Verdana" w:hAnsi="Verdana" w:cs="Calibri"/>
          <w:i/>
          <w:sz w:val="20"/>
          <w:szCs w:val="20"/>
        </w:rPr>
        <w:t>litis</w:t>
      </w:r>
      <w:proofErr w:type="spellEnd"/>
      <w:r w:rsidRPr="00DF1C08">
        <w:rPr>
          <w:rFonts w:ascii="Verdana" w:hAnsi="Verdana" w:cs="Calibri"/>
          <w:sz w:val="20"/>
          <w:szCs w:val="20"/>
        </w:rPr>
        <w:t xml:space="preserve"> </w:t>
      </w:r>
      <w:r w:rsidR="00EB56FA" w:rsidRPr="00DF1C08">
        <w:rPr>
          <w:rFonts w:ascii="Verdana" w:hAnsi="Verdana" w:cs="Calibri"/>
          <w:sz w:val="20"/>
          <w:szCs w:val="20"/>
        </w:rPr>
        <w:t xml:space="preserve">o el contradictorio </w:t>
      </w:r>
      <w:r w:rsidRPr="00DF1C08">
        <w:rPr>
          <w:rFonts w:ascii="Verdana" w:hAnsi="Verdana" w:cs="Calibri"/>
          <w:sz w:val="20"/>
          <w:szCs w:val="20"/>
        </w:rPr>
        <w:t xml:space="preserve">en lo atingente al agotamiento de los recursos internos. </w:t>
      </w:r>
    </w:p>
    <w:p w:rsidR="003F5DFE" w:rsidRPr="00DF1C08" w:rsidRDefault="003F5DFE" w:rsidP="00F4471C">
      <w:pPr>
        <w:spacing w:after="0"/>
        <w:jc w:val="both"/>
        <w:rPr>
          <w:rFonts w:ascii="Verdana" w:hAnsi="Verdana" w:cs="Calibri"/>
          <w:sz w:val="20"/>
          <w:szCs w:val="20"/>
        </w:rPr>
      </w:pPr>
    </w:p>
    <w:p w:rsidR="005B2171" w:rsidRPr="00DF1C08" w:rsidRDefault="005B2171" w:rsidP="00F4471C">
      <w:pPr>
        <w:spacing w:after="0"/>
        <w:jc w:val="both"/>
        <w:rPr>
          <w:rFonts w:ascii="Verdana" w:hAnsi="Verdana" w:cs="Calibri"/>
          <w:sz w:val="20"/>
          <w:szCs w:val="20"/>
        </w:rPr>
      </w:pPr>
      <w:r w:rsidRPr="00DF1C08">
        <w:rPr>
          <w:rFonts w:ascii="Verdana" w:hAnsi="Verdana" w:cs="Calibri"/>
          <w:sz w:val="20"/>
          <w:szCs w:val="20"/>
        </w:rPr>
        <w:t xml:space="preserve">Y, por lo mismo, es a ese momento en que los recursos internos deben haberse agotado o bien haberse indicado la imposibilidad de que lo sean. </w:t>
      </w:r>
      <w:r w:rsidRPr="00DF1C08">
        <w:rPr>
          <w:rFonts w:ascii="Verdana" w:hAnsi="Verdana" w:cs="Calibri"/>
          <w:sz w:val="20"/>
          <w:szCs w:val="20"/>
          <w:lang w:val="es-ES"/>
        </w:rPr>
        <w:t>Sostener que esos recursos podrían agotarse después de “</w:t>
      </w:r>
      <w:r w:rsidRPr="00DF1C08">
        <w:rPr>
          <w:rFonts w:ascii="Verdana" w:hAnsi="Verdana" w:cs="Calibri"/>
          <w:i/>
          <w:sz w:val="20"/>
          <w:szCs w:val="20"/>
          <w:lang w:val="es-ES"/>
        </w:rPr>
        <w:t>presentada</w:t>
      </w:r>
      <w:r w:rsidRPr="00DF1C08">
        <w:rPr>
          <w:rFonts w:ascii="Verdana" w:hAnsi="Verdana" w:cs="Calibri"/>
          <w:sz w:val="20"/>
          <w:szCs w:val="20"/>
          <w:lang w:val="es-ES"/>
        </w:rPr>
        <w:t>” la petición y, consecuentemente, de su notificación al Estado, afectaría el indispensable equilibrio procesal y dejaría a aquél en la indefensión, ya que no podría interponer en tiempo y forma la pertinente excepción preliminar.</w:t>
      </w:r>
    </w:p>
    <w:p w:rsidR="003F5DFE" w:rsidRPr="00DF1C08" w:rsidRDefault="003F5DFE" w:rsidP="00F4471C">
      <w:pPr>
        <w:pStyle w:val="ListParagraph1"/>
        <w:spacing w:after="0"/>
        <w:ind w:left="0"/>
        <w:jc w:val="both"/>
        <w:rPr>
          <w:rFonts w:ascii="Verdana" w:hAnsi="Verdana" w:cs="Calibri"/>
          <w:sz w:val="20"/>
          <w:szCs w:val="20"/>
          <w:lang w:val="es-CL"/>
        </w:rPr>
      </w:pPr>
    </w:p>
    <w:p w:rsidR="005B2171" w:rsidRPr="00DF1C08" w:rsidRDefault="005B2171" w:rsidP="00F4471C">
      <w:pPr>
        <w:pStyle w:val="ListParagraph1"/>
        <w:spacing w:after="0"/>
        <w:ind w:left="0"/>
        <w:jc w:val="both"/>
        <w:rPr>
          <w:rFonts w:ascii="Verdana" w:hAnsi="Verdana" w:cs="Calibri"/>
          <w:i/>
          <w:sz w:val="20"/>
          <w:szCs w:val="20"/>
          <w:lang w:val="es-CL"/>
        </w:rPr>
      </w:pPr>
      <w:r w:rsidRPr="00DF1C08">
        <w:rPr>
          <w:rFonts w:ascii="Verdana" w:hAnsi="Verdana" w:cs="Calibri"/>
          <w:sz w:val="20"/>
          <w:szCs w:val="20"/>
          <w:lang w:val="es-CL"/>
        </w:rPr>
        <w:t xml:space="preserve">Es en ese marco que debe entenderse lo </w:t>
      </w:r>
      <w:r w:rsidRPr="00DF1C08">
        <w:rPr>
          <w:rFonts w:ascii="Verdana" w:hAnsi="Verdana" w:cs="Calibri"/>
          <w:i/>
          <w:sz w:val="20"/>
          <w:szCs w:val="20"/>
          <w:lang w:val="es-CL"/>
        </w:rPr>
        <w:t xml:space="preserve">“sostenido de manera consistente </w:t>
      </w:r>
      <w:r w:rsidR="00A25431" w:rsidRPr="00DF1C08">
        <w:rPr>
          <w:rFonts w:ascii="Verdana" w:hAnsi="Verdana" w:cs="Calibri"/>
          <w:i/>
          <w:sz w:val="20"/>
          <w:szCs w:val="20"/>
          <w:lang w:val="es-CL"/>
        </w:rPr>
        <w:t>[</w:t>
      </w:r>
      <w:r w:rsidR="00661AF9" w:rsidRPr="00DF1C08">
        <w:rPr>
          <w:rFonts w:ascii="Verdana" w:hAnsi="Verdana" w:cs="Calibri"/>
          <w:i/>
          <w:sz w:val="20"/>
          <w:szCs w:val="20"/>
          <w:lang w:val="es-CL"/>
        </w:rPr>
        <w:t xml:space="preserve">por la Corte </w:t>
      </w:r>
      <w:r w:rsidR="00A25431" w:rsidRPr="00DF1C08">
        <w:rPr>
          <w:rFonts w:ascii="Verdana" w:hAnsi="Verdana" w:cs="Calibri"/>
          <w:i/>
          <w:sz w:val="20"/>
          <w:szCs w:val="20"/>
          <w:lang w:val="es-CL"/>
        </w:rPr>
        <w:t>en orden a]</w:t>
      </w:r>
      <w:r w:rsidRPr="00DF1C08">
        <w:rPr>
          <w:rFonts w:ascii="Verdana" w:hAnsi="Verdana" w:cs="Calibri"/>
          <w:i/>
          <w:sz w:val="20"/>
          <w:szCs w:val="20"/>
          <w:lang w:val="es-CL"/>
        </w:rPr>
        <w:t xml:space="preserve"> que una objeción al ejercicio de la jurisdicción de la Corte basada en la supuesta falta de agotamiento de los recursos internos debe ser presentada en el momento procesal oportuno</w:t>
      </w:r>
      <w:r w:rsidRPr="00DF1C08">
        <w:rPr>
          <w:rFonts w:ascii="Verdana" w:hAnsi="Verdana" w:cs="Calibri"/>
          <w:sz w:val="20"/>
          <w:szCs w:val="20"/>
          <w:lang w:val="es-CL"/>
        </w:rPr>
        <w:t xml:space="preserve">, </w:t>
      </w:r>
      <w:r w:rsidRPr="00DF1C08">
        <w:rPr>
          <w:rFonts w:ascii="Verdana" w:hAnsi="Verdana" w:cs="Calibri"/>
          <w:i/>
          <w:sz w:val="20"/>
          <w:szCs w:val="20"/>
          <w:lang w:val="es-CL"/>
        </w:rPr>
        <w:t>esto es, durante la admisibilidad del procedimiento ante la Comisión</w:t>
      </w:r>
      <w:r w:rsidR="00A25431" w:rsidRPr="00DF1C08">
        <w:rPr>
          <w:rFonts w:ascii="Verdana" w:hAnsi="Verdana" w:cs="Calibri"/>
          <w:i/>
          <w:sz w:val="20"/>
          <w:szCs w:val="20"/>
          <w:lang w:val="es-CL"/>
        </w:rPr>
        <w:t>”</w:t>
      </w:r>
      <w:r w:rsidRPr="00DF1C08">
        <w:rPr>
          <w:rStyle w:val="FootnoteReference"/>
          <w:rFonts w:cs="Calibri"/>
          <w:szCs w:val="20"/>
          <w:lang w:val="es-CL"/>
        </w:rPr>
        <w:footnoteReference w:id="27"/>
      </w:r>
      <w:r w:rsidR="00A25431" w:rsidRPr="00DF1C08">
        <w:rPr>
          <w:rFonts w:ascii="Verdana" w:hAnsi="Verdana" w:cs="Calibri"/>
          <w:i/>
          <w:sz w:val="20"/>
          <w:szCs w:val="20"/>
          <w:lang w:val="es-CL"/>
        </w:rPr>
        <w:t>.</w:t>
      </w:r>
    </w:p>
    <w:p w:rsidR="003F5DFE" w:rsidRPr="00DF1C08" w:rsidRDefault="003F5DFE" w:rsidP="00F4471C">
      <w:pPr>
        <w:pStyle w:val="ListParagraph1"/>
        <w:spacing w:after="0"/>
        <w:ind w:left="0"/>
        <w:jc w:val="both"/>
        <w:rPr>
          <w:rFonts w:ascii="Verdana" w:hAnsi="Verdana" w:cs="Calibri"/>
          <w:sz w:val="20"/>
          <w:szCs w:val="20"/>
          <w:lang w:val="es-CL" w:eastAsia="es-MX"/>
        </w:rPr>
      </w:pPr>
    </w:p>
    <w:p w:rsidR="005B2171" w:rsidRPr="00DF1C08" w:rsidRDefault="005B2171" w:rsidP="003F5DFE">
      <w:pPr>
        <w:pStyle w:val="ListParagraph1"/>
        <w:numPr>
          <w:ilvl w:val="0"/>
          <w:numId w:val="1"/>
        </w:numPr>
        <w:spacing w:after="0"/>
        <w:ind w:left="567" w:hanging="283"/>
        <w:jc w:val="both"/>
        <w:rPr>
          <w:rFonts w:ascii="Verdana" w:hAnsi="Verdana" w:cs="Calibri"/>
          <w:b/>
          <w:sz w:val="20"/>
          <w:szCs w:val="20"/>
          <w:lang w:val="es-CR"/>
        </w:rPr>
      </w:pPr>
      <w:r w:rsidRPr="00DF1C08">
        <w:rPr>
          <w:rFonts w:ascii="Verdana" w:hAnsi="Verdana" w:cs="Calibri"/>
          <w:b/>
          <w:sz w:val="20"/>
          <w:szCs w:val="20"/>
          <w:lang w:val="es-CR"/>
        </w:rPr>
        <w:t>Admisibilidad de la petición.</w:t>
      </w:r>
    </w:p>
    <w:p w:rsidR="003F5DFE" w:rsidRPr="00DF1C08" w:rsidRDefault="003F5DFE" w:rsidP="00F4471C">
      <w:pPr>
        <w:spacing w:after="0"/>
        <w:jc w:val="both"/>
        <w:rPr>
          <w:rFonts w:ascii="Verdana" w:hAnsi="Verdana" w:cs="Calibri"/>
          <w:sz w:val="20"/>
          <w:szCs w:val="20"/>
        </w:rPr>
      </w:pPr>
    </w:p>
    <w:p w:rsidR="005B2171" w:rsidRPr="00DF1C08" w:rsidRDefault="005B2171" w:rsidP="00F4471C">
      <w:pPr>
        <w:spacing w:after="0"/>
        <w:jc w:val="both"/>
        <w:rPr>
          <w:rFonts w:ascii="Verdana" w:hAnsi="Verdana" w:cs="Calibri"/>
          <w:sz w:val="20"/>
          <w:szCs w:val="20"/>
        </w:rPr>
      </w:pPr>
      <w:r w:rsidRPr="00DF1C08">
        <w:rPr>
          <w:rFonts w:ascii="Verdana" w:hAnsi="Verdana" w:cs="Calibri"/>
          <w:sz w:val="20"/>
          <w:szCs w:val="20"/>
        </w:rPr>
        <w:t xml:space="preserve">Lo indicado precedentemente resulta igualmente evidente al tenor de lo dispuesto por el artículo 31.1 del mismo Reglamento que </w:t>
      </w:r>
      <w:r w:rsidRPr="00DF1C08">
        <w:rPr>
          <w:rFonts w:ascii="Verdana" w:hAnsi="Verdana" w:cs="Calibri"/>
          <w:bCs/>
          <w:sz w:val="20"/>
          <w:szCs w:val="20"/>
        </w:rPr>
        <w:t>prescribe que “</w:t>
      </w:r>
      <w:r w:rsidR="00A25431" w:rsidRPr="00DF1C08">
        <w:rPr>
          <w:rFonts w:ascii="Verdana" w:hAnsi="Verdana" w:cs="Calibri"/>
          <w:bCs/>
          <w:i/>
          <w:sz w:val="20"/>
          <w:szCs w:val="20"/>
        </w:rPr>
        <w:t>[</w:t>
      </w:r>
      <w:r w:rsidRPr="00DF1C08">
        <w:rPr>
          <w:rFonts w:ascii="Verdana" w:hAnsi="Verdana" w:cs="Calibri"/>
          <w:bCs/>
          <w:i/>
          <w:sz w:val="20"/>
          <w:szCs w:val="20"/>
        </w:rPr>
        <w:t>c</w:t>
      </w:r>
      <w:r w:rsidR="00A25431" w:rsidRPr="00DF1C08">
        <w:rPr>
          <w:rFonts w:ascii="Verdana" w:hAnsi="Verdana" w:cs="Calibri"/>
          <w:bCs/>
          <w:i/>
          <w:sz w:val="20"/>
          <w:szCs w:val="20"/>
        </w:rPr>
        <w:t>]</w:t>
      </w:r>
      <w:proofErr w:type="spellStart"/>
      <w:r w:rsidRPr="00DF1C08">
        <w:rPr>
          <w:rFonts w:ascii="Verdana" w:hAnsi="Verdana" w:cs="Calibri"/>
          <w:i/>
          <w:sz w:val="20"/>
          <w:szCs w:val="20"/>
        </w:rPr>
        <w:t>on</w:t>
      </w:r>
      <w:proofErr w:type="spellEnd"/>
      <w:r w:rsidRPr="00DF1C08">
        <w:rPr>
          <w:rFonts w:ascii="Verdana" w:hAnsi="Verdana" w:cs="Calibri"/>
          <w:i/>
          <w:sz w:val="20"/>
          <w:szCs w:val="20"/>
        </w:rPr>
        <w:t xml:space="preserve"> el fin de decidir sobre la admisibilidad del asunto la Comisión verificará si se han interpuesto y agotado los </w:t>
      </w:r>
      <w:r w:rsidRPr="00DF1C08">
        <w:rPr>
          <w:rFonts w:ascii="Verdana" w:hAnsi="Verdana" w:cs="Calibri"/>
          <w:i/>
          <w:sz w:val="20"/>
          <w:szCs w:val="20"/>
        </w:rPr>
        <w:lastRenderedPageBreak/>
        <w:t>recursos de la jurisdicción interna, conforme a los principios del derecho internacional generalmente reconocidos”.</w:t>
      </w:r>
      <w:r w:rsidRPr="00DF1C08">
        <w:rPr>
          <w:rFonts w:ascii="Verdana" w:hAnsi="Verdana" w:cs="Calibri"/>
          <w:sz w:val="20"/>
          <w:szCs w:val="20"/>
        </w:rPr>
        <w:t xml:space="preserve"> </w:t>
      </w:r>
    </w:p>
    <w:p w:rsidR="003F5DFE" w:rsidRPr="00DF1C08" w:rsidRDefault="003F5DFE" w:rsidP="00F4471C">
      <w:pPr>
        <w:spacing w:after="0"/>
        <w:jc w:val="both"/>
        <w:rPr>
          <w:rFonts w:ascii="Verdana" w:hAnsi="Verdana" w:cs="Calibri"/>
          <w:sz w:val="20"/>
          <w:szCs w:val="20"/>
        </w:rPr>
      </w:pPr>
    </w:p>
    <w:p w:rsidR="003F5DFE" w:rsidRPr="00DF1C08" w:rsidRDefault="005B2171" w:rsidP="00F4471C">
      <w:pPr>
        <w:pStyle w:val="NormalWeb"/>
        <w:spacing w:before="0" w:beforeAutospacing="0" w:after="0" w:afterAutospacing="0" w:line="276" w:lineRule="auto"/>
        <w:jc w:val="both"/>
        <w:rPr>
          <w:rFonts w:ascii="Verdana" w:hAnsi="Verdana" w:cs="Calibri"/>
          <w:sz w:val="20"/>
          <w:szCs w:val="20"/>
        </w:rPr>
      </w:pPr>
      <w:r w:rsidRPr="00DF1C08">
        <w:rPr>
          <w:rFonts w:ascii="Verdana" w:hAnsi="Verdana" w:cs="Calibri"/>
          <w:sz w:val="20"/>
          <w:szCs w:val="20"/>
        </w:rPr>
        <w:t>Esta norma exige que la Comisión “</w:t>
      </w:r>
      <w:r w:rsidRPr="00DF1C08">
        <w:rPr>
          <w:rFonts w:ascii="Verdana" w:hAnsi="Verdana" w:cs="Calibri"/>
          <w:i/>
          <w:sz w:val="20"/>
          <w:szCs w:val="20"/>
        </w:rPr>
        <w:t>verifique</w:t>
      </w:r>
      <w:r w:rsidRPr="00DF1C08">
        <w:rPr>
          <w:rFonts w:ascii="Verdana" w:hAnsi="Verdana" w:cs="Calibri"/>
          <w:sz w:val="20"/>
          <w:szCs w:val="20"/>
        </w:rPr>
        <w:t>”, esto es, compruebe</w:t>
      </w:r>
      <w:r w:rsidRPr="00DF1C08">
        <w:rPr>
          <w:rStyle w:val="FootnoteReference"/>
          <w:rFonts w:cs="Calibri"/>
          <w:szCs w:val="20"/>
        </w:rPr>
        <w:footnoteReference w:id="28"/>
      </w:r>
      <w:r w:rsidRPr="00DF1C08">
        <w:rPr>
          <w:rFonts w:ascii="Verdana" w:hAnsi="Verdana" w:cs="Calibri"/>
          <w:sz w:val="20"/>
          <w:szCs w:val="20"/>
        </w:rPr>
        <w:t>, la interposición y agotamiento de los recursos internos, con el objeto de “</w:t>
      </w:r>
      <w:r w:rsidRPr="00DF1C08">
        <w:rPr>
          <w:rFonts w:ascii="Verdana" w:hAnsi="Verdana" w:cs="Calibri"/>
          <w:i/>
          <w:sz w:val="20"/>
          <w:szCs w:val="20"/>
        </w:rPr>
        <w:t>decidir</w:t>
      </w:r>
      <w:r w:rsidRPr="00DF1C08">
        <w:rPr>
          <w:rFonts w:ascii="Verdana" w:hAnsi="Verdana" w:cs="Calibri"/>
          <w:sz w:val="20"/>
          <w:szCs w:val="20"/>
        </w:rPr>
        <w:t xml:space="preserve">” sobra la admisibilidad. No dispone, en cambio, que éstos se deban haber agotado para poder adoptar la decisión sobre la admisibilidad. Y ello es lógico, puesto que tal decisión puede ser la de no admitir la petición en razón de no haberse agotado tales recursos. Esto quiere decir que, para poder adoptar una decisión sobre la admisibilidad de la petición, la Comisión debe verificar si se ha dado cumplimiento a la regla del previo agotamiento de los recursos internos y en el evento de que ésta no se haya cumplido, la resolución correspondiente será la de declarar la inadmisibilidad de la petición. El requisito necesario para que la Comisión se pueda pronunciar acerca de la admisibilidad de la petición es, pues, la verificación que debe hacer en cuanto al cumplimiento por parte de ésta de la regla del agotamiento previo de los recursos internos y no que ella efectivamente se haya cumplido. </w:t>
      </w:r>
    </w:p>
    <w:p w:rsidR="003F5DFE" w:rsidRPr="00DF1C08" w:rsidRDefault="003F5DFE" w:rsidP="00F4471C">
      <w:pPr>
        <w:pStyle w:val="NormalWeb"/>
        <w:spacing w:before="0" w:beforeAutospacing="0" w:after="0" w:afterAutospacing="0" w:line="276" w:lineRule="auto"/>
        <w:jc w:val="both"/>
        <w:rPr>
          <w:rFonts w:ascii="Verdana" w:hAnsi="Verdana" w:cs="Calibri"/>
          <w:sz w:val="20"/>
          <w:szCs w:val="20"/>
        </w:rPr>
      </w:pPr>
    </w:p>
    <w:p w:rsidR="005B2171" w:rsidRPr="00DF1C08" w:rsidRDefault="005B2171" w:rsidP="00F4471C">
      <w:pPr>
        <w:pStyle w:val="NormalWeb"/>
        <w:spacing w:before="0" w:beforeAutospacing="0" w:after="0" w:afterAutospacing="0" w:line="276" w:lineRule="auto"/>
        <w:jc w:val="both"/>
        <w:rPr>
          <w:rFonts w:ascii="Verdana" w:hAnsi="Verdana" w:cs="Calibri"/>
          <w:sz w:val="20"/>
          <w:szCs w:val="20"/>
        </w:rPr>
      </w:pPr>
      <w:r w:rsidRPr="00DF1C08">
        <w:rPr>
          <w:rFonts w:ascii="Verdana" w:hAnsi="Verdana" w:cs="Calibri"/>
          <w:sz w:val="20"/>
          <w:szCs w:val="20"/>
        </w:rPr>
        <w:t>Por otra parte, procede indicar que si bien resulta</w:t>
      </w:r>
      <w:r w:rsidRPr="00DF1C08">
        <w:rPr>
          <w:rFonts w:ascii="Verdana" w:hAnsi="Verdana" w:cs="Calibri"/>
          <w:sz w:val="20"/>
          <w:szCs w:val="20"/>
          <w:lang w:val="es-ES"/>
        </w:rPr>
        <w:t xml:space="preserve"> lógico que la excepción preliminar del no agotamiento previo de los recursos internos deba presentarse durante el procedimiento de admisibilidad de la petición, que cubre desde el momento en que se recibe la petición y se le da trámite por parte de la Comisión, a través de su Secretaría Ejecutiva, hasta el momento en que aquella se pronuncia sobre su admisibilidad, ello no implica, empero, que deba ser en este último momento, es decir, al término del indicado procedimiento, en el que se deba haber cumplido dicho requisito. Solo significa que en ese instante debe pronunciarse o más bien “</w:t>
      </w:r>
      <w:r w:rsidRPr="00DF1C08">
        <w:rPr>
          <w:rFonts w:ascii="Verdana" w:hAnsi="Verdana" w:cs="Calibri"/>
          <w:i/>
          <w:sz w:val="20"/>
          <w:szCs w:val="20"/>
          <w:lang w:val="es-ES"/>
        </w:rPr>
        <w:t>verificar</w:t>
      </w:r>
      <w:r w:rsidRPr="00DF1C08">
        <w:rPr>
          <w:rFonts w:ascii="Verdana" w:hAnsi="Verdana" w:cs="Calibri"/>
          <w:sz w:val="20"/>
          <w:szCs w:val="20"/>
          <w:lang w:val="es-ES"/>
        </w:rPr>
        <w:t>”</w:t>
      </w:r>
      <w:r w:rsidRPr="00DF1C08">
        <w:rPr>
          <w:rStyle w:val="FootnoteReference"/>
          <w:rFonts w:cs="Calibri"/>
          <w:szCs w:val="20"/>
          <w:lang w:val="es-ES"/>
        </w:rPr>
        <w:footnoteReference w:id="29"/>
      </w:r>
      <w:r w:rsidRPr="00DF1C08">
        <w:rPr>
          <w:rFonts w:ascii="Verdana" w:hAnsi="Verdana" w:cs="Calibri"/>
          <w:sz w:val="20"/>
          <w:szCs w:val="20"/>
          <w:lang w:val="es-ES"/>
        </w:rPr>
        <w:t xml:space="preserve"> acerca de si, al momento de presentarse la petición, se cumplió o no con el mismo.</w:t>
      </w:r>
    </w:p>
    <w:p w:rsidR="003F5DFE" w:rsidRPr="00DF1C08" w:rsidRDefault="003F5DFE" w:rsidP="00F4471C">
      <w:pPr>
        <w:pStyle w:val="NormalWeb"/>
        <w:spacing w:before="0" w:beforeAutospacing="0" w:after="0" w:afterAutospacing="0" w:line="276" w:lineRule="auto"/>
        <w:jc w:val="both"/>
        <w:rPr>
          <w:rFonts w:ascii="Verdana" w:hAnsi="Verdana" w:cs="Calibri"/>
          <w:sz w:val="20"/>
          <w:szCs w:val="20"/>
          <w:lang w:val="es-ES"/>
        </w:rPr>
      </w:pPr>
    </w:p>
    <w:p w:rsidR="005B2171" w:rsidRPr="00DF1C08" w:rsidRDefault="005B2171" w:rsidP="00F4471C">
      <w:pPr>
        <w:pStyle w:val="NormalWeb"/>
        <w:spacing w:before="0" w:beforeAutospacing="0" w:after="0" w:afterAutospacing="0" w:line="276" w:lineRule="auto"/>
        <w:jc w:val="both"/>
        <w:rPr>
          <w:rFonts w:ascii="Verdana" w:hAnsi="Verdana" w:cs="Calibri"/>
          <w:sz w:val="20"/>
          <w:szCs w:val="20"/>
          <w:lang w:val="es-ES"/>
        </w:rPr>
      </w:pPr>
      <w:r w:rsidRPr="00DF1C08">
        <w:rPr>
          <w:rFonts w:ascii="Verdana" w:hAnsi="Verdana" w:cs="Calibri"/>
          <w:sz w:val="20"/>
          <w:szCs w:val="20"/>
          <w:lang w:val="es-ES"/>
        </w:rPr>
        <w:t xml:space="preserve">Ello resulta evidente si se considera que </w:t>
      </w:r>
      <w:r w:rsidR="00061D96">
        <w:rPr>
          <w:rFonts w:ascii="Verdana" w:hAnsi="Verdana" w:cs="Calibri"/>
          <w:sz w:val="20"/>
          <w:szCs w:val="20"/>
        </w:rPr>
        <w:t xml:space="preserve">el </w:t>
      </w:r>
      <w:r w:rsidR="00061D96" w:rsidRPr="0051076C">
        <w:rPr>
          <w:rFonts w:ascii="Verdana" w:hAnsi="Verdana" w:cs="Calibri"/>
          <w:sz w:val="20"/>
          <w:szCs w:val="20"/>
        </w:rPr>
        <w:t>artículo 37.1</w:t>
      </w:r>
      <w:r w:rsidRPr="0051076C">
        <w:rPr>
          <w:rFonts w:ascii="Verdana" w:hAnsi="Verdana" w:cs="Calibri"/>
          <w:sz w:val="20"/>
          <w:szCs w:val="20"/>
        </w:rPr>
        <w:t xml:space="preserve"> del Reglamento </w:t>
      </w:r>
      <w:r w:rsidRPr="00DF1C08">
        <w:rPr>
          <w:rFonts w:ascii="Verdana" w:hAnsi="Verdana" w:cs="Calibri"/>
          <w:sz w:val="20"/>
          <w:szCs w:val="20"/>
        </w:rPr>
        <w:t xml:space="preserve">de la Comisión establece que </w:t>
      </w:r>
      <w:r w:rsidR="002E1920" w:rsidRPr="00DF1C08">
        <w:rPr>
          <w:rFonts w:ascii="Verdana" w:hAnsi="Verdana" w:cs="Calibri"/>
          <w:i/>
          <w:sz w:val="20"/>
          <w:szCs w:val="20"/>
        </w:rPr>
        <w:t>“[</w:t>
      </w:r>
      <w:r w:rsidRPr="00DF1C08">
        <w:rPr>
          <w:rFonts w:ascii="Verdana" w:hAnsi="Verdana" w:cs="Calibri"/>
          <w:i/>
          <w:sz w:val="20"/>
          <w:szCs w:val="20"/>
        </w:rPr>
        <w:t>u</w:t>
      </w:r>
      <w:r w:rsidR="002E1920" w:rsidRPr="00DF1C08">
        <w:rPr>
          <w:rFonts w:ascii="Verdana" w:hAnsi="Verdana" w:cs="Calibri"/>
          <w:i/>
          <w:sz w:val="20"/>
          <w:szCs w:val="20"/>
        </w:rPr>
        <w:t>]</w:t>
      </w:r>
      <w:r w:rsidRPr="00DF1C08">
        <w:rPr>
          <w:rFonts w:ascii="Verdana" w:hAnsi="Verdana" w:cs="Calibri"/>
          <w:i/>
          <w:sz w:val="20"/>
          <w:szCs w:val="20"/>
        </w:rPr>
        <w:t>na vez consideradas las posiciones de las partes, la Comisión se pronunciará sobre la admisibilidad del asunto</w:t>
      </w:r>
      <w:r w:rsidRPr="00DF1C08">
        <w:rPr>
          <w:rFonts w:ascii="Verdana" w:hAnsi="Verdana" w:cs="Calibri"/>
          <w:sz w:val="20"/>
          <w:szCs w:val="20"/>
        </w:rPr>
        <w:t xml:space="preserve">”. </w:t>
      </w:r>
    </w:p>
    <w:p w:rsidR="003F5DFE" w:rsidRPr="00DF1C08" w:rsidRDefault="003F5DFE" w:rsidP="00F4471C">
      <w:pPr>
        <w:pStyle w:val="NormalWeb"/>
        <w:spacing w:before="0" w:beforeAutospacing="0" w:after="0" w:afterAutospacing="0" w:line="276" w:lineRule="auto"/>
        <w:jc w:val="both"/>
        <w:rPr>
          <w:rFonts w:ascii="Verdana" w:hAnsi="Verdana" w:cs="Calibri"/>
          <w:sz w:val="20"/>
          <w:szCs w:val="20"/>
        </w:rPr>
      </w:pPr>
    </w:p>
    <w:p w:rsidR="005B2171" w:rsidRPr="00DF1C08" w:rsidRDefault="005B2171" w:rsidP="00F4471C">
      <w:pPr>
        <w:pStyle w:val="NormalWeb"/>
        <w:spacing w:before="0" w:beforeAutospacing="0" w:after="0" w:afterAutospacing="0" w:line="276" w:lineRule="auto"/>
        <w:jc w:val="both"/>
        <w:rPr>
          <w:rFonts w:ascii="Verdana" w:hAnsi="Verdana" w:cs="Calibri"/>
          <w:b/>
          <w:sz w:val="20"/>
          <w:szCs w:val="20"/>
        </w:rPr>
      </w:pPr>
      <w:r w:rsidRPr="00DF1C08">
        <w:rPr>
          <w:rFonts w:ascii="Verdana" w:hAnsi="Verdana" w:cs="Calibri"/>
          <w:sz w:val="20"/>
          <w:szCs w:val="20"/>
        </w:rPr>
        <w:t>Es</w:t>
      </w:r>
      <w:r w:rsidRPr="00DF1C08">
        <w:rPr>
          <w:rFonts w:ascii="Verdana" w:hAnsi="Verdana" w:cs="Calibri"/>
          <w:sz w:val="20"/>
          <w:szCs w:val="20"/>
          <w:lang w:val="es-CR"/>
        </w:rPr>
        <w:t xml:space="preserve">, pues, </w:t>
      </w:r>
      <w:r w:rsidRPr="00DF1C08">
        <w:rPr>
          <w:rFonts w:ascii="Verdana" w:hAnsi="Verdana" w:cs="Calibri"/>
          <w:sz w:val="20"/>
          <w:szCs w:val="20"/>
        </w:rPr>
        <w:t>a todas luces indiscutible que el momento en que la Comisión se pronuncia sobre la admisibilidad de la petición es diferente al de la presentación o complementación de esta última. Ello queda en evidencia cuando se tiene presente que el propio Reglamento de la Comisión contempla una “</w:t>
      </w:r>
      <w:r w:rsidRPr="00DF1C08">
        <w:rPr>
          <w:rFonts w:ascii="Verdana" w:hAnsi="Verdana" w:cs="Calibri"/>
          <w:i/>
          <w:sz w:val="20"/>
          <w:szCs w:val="20"/>
        </w:rPr>
        <w:t>tramitación inicial”</w:t>
      </w:r>
      <w:r w:rsidRPr="00DF1C08">
        <w:rPr>
          <w:rStyle w:val="FootnoteReference"/>
          <w:rFonts w:cs="Calibri"/>
          <w:szCs w:val="20"/>
        </w:rPr>
        <w:footnoteReference w:id="30"/>
      </w:r>
      <w:r w:rsidRPr="00DF1C08">
        <w:rPr>
          <w:rFonts w:ascii="Verdana" w:hAnsi="Verdana" w:cs="Calibri"/>
          <w:i/>
          <w:sz w:val="20"/>
          <w:szCs w:val="20"/>
        </w:rPr>
        <w:t xml:space="preserve"> </w:t>
      </w:r>
      <w:r w:rsidRPr="00DF1C08">
        <w:rPr>
          <w:rFonts w:ascii="Verdana" w:hAnsi="Verdana" w:cs="Calibri"/>
          <w:sz w:val="20"/>
          <w:szCs w:val="20"/>
        </w:rPr>
        <w:t>de la petición, que ésta se “</w:t>
      </w:r>
      <w:r w:rsidRPr="00DF1C08">
        <w:rPr>
          <w:rFonts w:ascii="Verdana" w:hAnsi="Verdana" w:cs="Calibri"/>
          <w:i/>
          <w:sz w:val="20"/>
          <w:szCs w:val="20"/>
        </w:rPr>
        <w:t>registra</w:t>
      </w:r>
      <w:r w:rsidRPr="00DF1C08">
        <w:rPr>
          <w:rFonts w:ascii="Verdana" w:hAnsi="Verdana" w:cs="Calibri"/>
          <w:sz w:val="20"/>
          <w:szCs w:val="20"/>
        </w:rPr>
        <w:t>”</w:t>
      </w:r>
      <w:r w:rsidRPr="00DF1C08">
        <w:rPr>
          <w:rStyle w:val="FootnoteReference"/>
          <w:rFonts w:cs="Calibri"/>
          <w:szCs w:val="20"/>
        </w:rPr>
        <w:footnoteReference w:id="31"/>
      </w:r>
      <w:r w:rsidRPr="00DF1C08">
        <w:rPr>
          <w:rFonts w:ascii="Verdana" w:hAnsi="Verdana" w:cs="Calibri"/>
          <w:sz w:val="20"/>
          <w:szCs w:val="20"/>
        </w:rPr>
        <w:t xml:space="preserve"> y que sus “</w:t>
      </w:r>
      <w:r w:rsidRPr="00DF1C08">
        <w:rPr>
          <w:rFonts w:ascii="Verdana" w:hAnsi="Verdana" w:cs="Calibri"/>
          <w:i/>
          <w:sz w:val="20"/>
          <w:szCs w:val="20"/>
        </w:rPr>
        <w:t>partes pertinentes</w:t>
      </w:r>
      <w:r w:rsidRPr="00DF1C08">
        <w:rPr>
          <w:rFonts w:ascii="Verdana" w:hAnsi="Verdana" w:cs="Calibri"/>
          <w:sz w:val="20"/>
          <w:szCs w:val="20"/>
        </w:rPr>
        <w:t>”</w:t>
      </w:r>
      <w:r w:rsidRPr="00DF1C08">
        <w:rPr>
          <w:rStyle w:val="FootnoteReference"/>
          <w:rFonts w:cs="Calibri"/>
          <w:szCs w:val="20"/>
        </w:rPr>
        <w:footnoteReference w:id="32"/>
      </w:r>
      <w:r w:rsidRPr="00DF1C08">
        <w:rPr>
          <w:rFonts w:ascii="Verdana" w:hAnsi="Verdana" w:cs="Calibri"/>
          <w:sz w:val="20"/>
          <w:szCs w:val="20"/>
        </w:rPr>
        <w:t xml:space="preserve"> se</w:t>
      </w:r>
      <w:r w:rsidRPr="00DF1C08">
        <w:rPr>
          <w:rFonts w:ascii="Verdana" w:hAnsi="Verdana" w:cs="Calibri"/>
          <w:b/>
          <w:sz w:val="20"/>
          <w:szCs w:val="20"/>
        </w:rPr>
        <w:t xml:space="preserve"> </w:t>
      </w:r>
      <w:r w:rsidRPr="00DF1C08">
        <w:rPr>
          <w:rFonts w:ascii="Verdana" w:hAnsi="Verdana" w:cs="Calibri"/>
          <w:sz w:val="20"/>
          <w:szCs w:val="20"/>
        </w:rPr>
        <w:t>transmiten al Estado y únicamente luego de las observaciones de éste, la Comisión se aboca a determinar su admisibilidad, para lo que “v</w:t>
      </w:r>
      <w:r w:rsidRPr="00DF1C08">
        <w:rPr>
          <w:rFonts w:ascii="Verdana" w:hAnsi="Verdana" w:cs="Calibri"/>
          <w:i/>
          <w:sz w:val="20"/>
          <w:szCs w:val="20"/>
        </w:rPr>
        <w:t>erifica</w:t>
      </w:r>
      <w:r w:rsidRPr="00DF1C08">
        <w:rPr>
          <w:rFonts w:ascii="Verdana" w:hAnsi="Verdana" w:cs="Calibri"/>
          <w:sz w:val="20"/>
          <w:szCs w:val="20"/>
        </w:rPr>
        <w:t>”</w:t>
      </w:r>
      <w:r w:rsidRPr="00DF1C08">
        <w:rPr>
          <w:rStyle w:val="FootnoteReference"/>
          <w:rFonts w:cs="Calibri"/>
          <w:szCs w:val="20"/>
        </w:rPr>
        <w:footnoteReference w:id="33"/>
      </w:r>
      <w:r w:rsidRPr="00DF1C08">
        <w:rPr>
          <w:rFonts w:ascii="Verdana" w:hAnsi="Verdana" w:cs="Calibri"/>
          <w:sz w:val="20"/>
          <w:szCs w:val="20"/>
        </w:rPr>
        <w:t xml:space="preserve">, es decir, comprueba, que se han cumplido los </w:t>
      </w:r>
      <w:r w:rsidRPr="00DF1C08">
        <w:rPr>
          <w:rFonts w:ascii="Verdana" w:hAnsi="Verdana" w:cs="Calibri"/>
          <w:sz w:val="20"/>
          <w:szCs w:val="20"/>
        </w:rPr>
        <w:lastRenderedPageBreak/>
        <w:t>correspondientes requisitos, entre ellos el pertinente al previo agotamiento de los recursos internos</w:t>
      </w:r>
      <w:r w:rsidR="004B11E9" w:rsidRPr="00DF1C08">
        <w:rPr>
          <w:rFonts w:ascii="Verdana" w:hAnsi="Verdana" w:cs="Calibri"/>
          <w:sz w:val="20"/>
          <w:szCs w:val="20"/>
        </w:rPr>
        <w:t xml:space="preserve"> y consecuentemente,</w:t>
      </w:r>
      <w:r w:rsidR="007C2FEE" w:rsidRPr="00DF1C08">
        <w:rPr>
          <w:rFonts w:ascii="Verdana" w:hAnsi="Verdana" w:cs="Calibri"/>
          <w:sz w:val="20"/>
          <w:szCs w:val="20"/>
        </w:rPr>
        <w:t xml:space="preserve"> “</w:t>
      </w:r>
      <w:r w:rsidR="007C2FEE" w:rsidRPr="00DF1C08">
        <w:rPr>
          <w:rFonts w:ascii="Verdana" w:hAnsi="Verdana" w:cs="Calibri"/>
          <w:i/>
          <w:sz w:val="20"/>
          <w:szCs w:val="20"/>
        </w:rPr>
        <w:t>se pronuncia</w:t>
      </w:r>
      <w:r w:rsidR="007C2FEE" w:rsidRPr="00DF1C08">
        <w:rPr>
          <w:rFonts w:ascii="Verdana" w:hAnsi="Verdana" w:cs="Calibri"/>
          <w:sz w:val="20"/>
          <w:szCs w:val="20"/>
        </w:rPr>
        <w:t>” sobre la admisibilidad o inadmisibilidad</w:t>
      </w:r>
      <w:r w:rsidRPr="00DF1C08">
        <w:rPr>
          <w:rFonts w:ascii="Verdana" w:hAnsi="Verdana" w:cs="Calibri"/>
          <w:sz w:val="20"/>
          <w:szCs w:val="20"/>
        </w:rPr>
        <w:t xml:space="preserve">. </w:t>
      </w:r>
    </w:p>
    <w:p w:rsidR="003F5DFE" w:rsidRPr="00DF1C08" w:rsidRDefault="003F5DFE" w:rsidP="00F4471C">
      <w:pPr>
        <w:pStyle w:val="NormalWeb"/>
        <w:spacing w:before="0" w:beforeAutospacing="0" w:after="0" w:afterAutospacing="0" w:line="276" w:lineRule="auto"/>
        <w:jc w:val="both"/>
        <w:rPr>
          <w:rFonts w:ascii="Verdana" w:hAnsi="Verdana" w:cs="Calibri"/>
          <w:sz w:val="20"/>
          <w:szCs w:val="20"/>
        </w:rPr>
      </w:pPr>
    </w:p>
    <w:p w:rsidR="005B2171" w:rsidRPr="00DF1C08" w:rsidRDefault="005B2171" w:rsidP="00F4471C">
      <w:pPr>
        <w:pStyle w:val="NormalWeb"/>
        <w:spacing w:before="0" w:beforeAutospacing="0" w:after="0" w:afterAutospacing="0" w:line="276" w:lineRule="auto"/>
        <w:jc w:val="both"/>
        <w:rPr>
          <w:rFonts w:ascii="Verdana" w:hAnsi="Verdana" w:cs="Calibri"/>
          <w:sz w:val="20"/>
          <w:szCs w:val="20"/>
        </w:rPr>
      </w:pPr>
      <w:r w:rsidRPr="00DF1C08">
        <w:rPr>
          <w:rFonts w:ascii="Verdana" w:hAnsi="Verdana" w:cs="Calibri"/>
          <w:sz w:val="20"/>
          <w:szCs w:val="20"/>
        </w:rPr>
        <w:t xml:space="preserve">En síntesis, el Reglamento </w:t>
      </w:r>
      <w:r w:rsidR="00806AD2">
        <w:rPr>
          <w:rFonts w:ascii="Verdana" w:hAnsi="Verdana" w:cs="Calibri"/>
          <w:sz w:val="20"/>
          <w:szCs w:val="20"/>
        </w:rPr>
        <w:t>de la Comisión</w:t>
      </w:r>
      <w:r w:rsidR="006272B6" w:rsidRPr="006272B6">
        <w:rPr>
          <w:rFonts w:ascii="Verdana" w:hAnsi="Verdana" w:cs="Calibri"/>
          <w:color w:val="FF0000"/>
          <w:sz w:val="20"/>
          <w:szCs w:val="20"/>
        </w:rPr>
        <w:t xml:space="preserve"> </w:t>
      </w:r>
      <w:r w:rsidRPr="00DF1C08">
        <w:rPr>
          <w:rFonts w:ascii="Verdana" w:hAnsi="Verdana" w:cs="Calibri"/>
          <w:sz w:val="20"/>
          <w:szCs w:val="20"/>
        </w:rPr>
        <w:t>no dispon</w:t>
      </w:r>
      <w:r w:rsidR="00441F3D">
        <w:rPr>
          <w:rFonts w:ascii="Verdana" w:hAnsi="Verdana" w:cs="Calibri"/>
          <w:sz w:val="20"/>
          <w:szCs w:val="20"/>
        </w:rPr>
        <w:t>e</w:t>
      </w:r>
      <w:r w:rsidRPr="00DF1C08">
        <w:rPr>
          <w:rFonts w:ascii="Verdana" w:hAnsi="Verdana" w:cs="Calibri"/>
          <w:sz w:val="20"/>
          <w:szCs w:val="20"/>
        </w:rPr>
        <w:t xml:space="preserve"> que es en el momento en que ésta se pronuncia sobre la admisibilidad de la petición en que deben haberse agotado los recursos internos, sino que, por el contrario, señala que es en ese instante que aquella “</w:t>
      </w:r>
      <w:r w:rsidRPr="00DF1C08">
        <w:rPr>
          <w:rFonts w:ascii="Verdana" w:hAnsi="Verdana" w:cs="Calibri"/>
          <w:i/>
          <w:sz w:val="20"/>
          <w:szCs w:val="20"/>
        </w:rPr>
        <w:t>verifica</w:t>
      </w:r>
      <w:r w:rsidRPr="00DF1C08">
        <w:rPr>
          <w:rFonts w:ascii="Verdana" w:hAnsi="Verdana" w:cs="Calibri"/>
          <w:sz w:val="20"/>
          <w:szCs w:val="20"/>
        </w:rPr>
        <w:t>” si ellos fueron o no oportunamente interpuestos y agotados o que no era menester que ello ocurriera</w:t>
      </w:r>
      <w:r w:rsidR="007C2FEE" w:rsidRPr="00DF1C08">
        <w:rPr>
          <w:rFonts w:ascii="Verdana" w:hAnsi="Verdana" w:cs="Calibri"/>
          <w:sz w:val="20"/>
          <w:szCs w:val="20"/>
        </w:rPr>
        <w:t xml:space="preserve"> y en base a ello “</w:t>
      </w:r>
      <w:r w:rsidR="007C2FEE" w:rsidRPr="00DF1C08">
        <w:rPr>
          <w:rFonts w:ascii="Verdana" w:hAnsi="Verdana" w:cs="Calibri"/>
          <w:i/>
          <w:sz w:val="20"/>
          <w:szCs w:val="20"/>
        </w:rPr>
        <w:t>se pronuncia</w:t>
      </w:r>
      <w:r w:rsidR="007C2FEE" w:rsidRPr="00DF1C08">
        <w:rPr>
          <w:rFonts w:ascii="Verdana" w:hAnsi="Verdana" w:cs="Calibri"/>
          <w:sz w:val="20"/>
          <w:szCs w:val="20"/>
        </w:rPr>
        <w:t>”</w:t>
      </w:r>
      <w:r w:rsidRPr="00DF1C08">
        <w:rPr>
          <w:rFonts w:ascii="Verdana" w:hAnsi="Verdana" w:cs="Calibri"/>
          <w:sz w:val="20"/>
          <w:szCs w:val="20"/>
        </w:rPr>
        <w:t>, es decir, realiza un segundo control de convencionalidad de la petición, confrontándola con lo dispuesto en la Convención en lo atinente a los requisitos que debe haber cumplido y, por tal motivo, puede que sea “</w:t>
      </w:r>
      <w:r w:rsidRPr="00DF1C08">
        <w:rPr>
          <w:rFonts w:ascii="Verdana" w:hAnsi="Verdana" w:cs="Calibri"/>
          <w:i/>
          <w:sz w:val="20"/>
          <w:szCs w:val="20"/>
        </w:rPr>
        <w:t>admitida</w:t>
      </w:r>
      <w:r w:rsidRPr="00DF1C08">
        <w:rPr>
          <w:rFonts w:ascii="Verdana" w:hAnsi="Verdana" w:cs="Calibri"/>
          <w:sz w:val="20"/>
          <w:szCs w:val="20"/>
        </w:rPr>
        <w:t xml:space="preserve">” o bien, desestimada. </w:t>
      </w:r>
    </w:p>
    <w:p w:rsidR="003F5DFE" w:rsidRPr="00DF1C08" w:rsidRDefault="003F5DFE" w:rsidP="00F4471C">
      <w:pPr>
        <w:pStyle w:val="NormalWeb"/>
        <w:spacing w:before="0" w:beforeAutospacing="0" w:after="0" w:afterAutospacing="0" w:line="276" w:lineRule="auto"/>
        <w:jc w:val="both"/>
        <w:rPr>
          <w:rFonts w:ascii="Verdana" w:hAnsi="Verdana" w:cs="Calibri"/>
          <w:sz w:val="20"/>
          <w:szCs w:val="20"/>
        </w:rPr>
      </w:pPr>
    </w:p>
    <w:p w:rsidR="005B2171" w:rsidRPr="00DF1C08" w:rsidRDefault="005B2171" w:rsidP="003F5DFE">
      <w:pPr>
        <w:numPr>
          <w:ilvl w:val="0"/>
          <w:numId w:val="1"/>
        </w:numPr>
        <w:spacing w:after="0"/>
        <w:ind w:left="567" w:hanging="283"/>
        <w:jc w:val="both"/>
        <w:rPr>
          <w:rFonts w:ascii="Verdana" w:hAnsi="Verdana" w:cs="Calibri"/>
          <w:b/>
          <w:sz w:val="20"/>
          <w:szCs w:val="20"/>
        </w:rPr>
      </w:pPr>
      <w:r w:rsidRPr="00DF1C08">
        <w:rPr>
          <w:rFonts w:ascii="Verdana" w:hAnsi="Verdana" w:cs="Calibri"/>
          <w:b/>
          <w:sz w:val="20"/>
          <w:szCs w:val="20"/>
        </w:rPr>
        <w:t>Pronunciamiento de la Corte.</w:t>
      </w:r>
    </w:p>
    <w:p w:rsidR="003F5DFE" w:rsidRPr="00DF1C08" w:rsidRDefault="003F5DFE" w:rsidP="00F4471C">
      <w:pPr>
        <w:spacing w:after="0"/>
        <w:jc w:val="both"/>
        <w:rPr>
          <w:rFonts w:ascii="Verdana" w:hAnsi="Verdana" w:cs="Calibri"/>
          <w:sz w:val="20"/>
          <w:szCs w:val="20"/>
        </w:rPr>
      </w:pPr>
    </w:p>
    <w:p w:rsidR="005B2171" w:rsidRPr="00DF1C08" w:rsidRDefault="005B2171" w:rsidP="00F4471C">
      <w:pPr>
        <w:spacing w:after="0"/>
        <w:jc w:val="both"/>
        <w:rPr>
          <w:rFonts w:ascii="Verdana" w:hAnsi="Verdana" w:cs="Calibri"/>
          <w:sz w:val="20"/>
          <w:szCs w:val="20"/>
        </w:rPr>
      </w:pPr>
      <w:r w:rsidRPr="00DF1C08">
        <w:rPr>
          <w:rFonts w:ascii="Verdana" w:hAnsi="Verdana" w:cs="Calibri"/>
          <w:sz w:val="20"/>
          <w:szCs w:val="20"/>
        </w:rPr>
        <w:t xml:space="preserve">Finalmente, sobre la función de la Corte respecto del cumplimiento de los requisitos que debe cumplir la petición, es preciso recordar que, de acuerdo a lo ordenado en el artículo 61.2 de la Convención, </w:t>
      </w:r>
      <w:r w:rsidR="002E1920" w:rsidRPr="00DF1C08">
        <w:rPr>
          <w:rFonts w:ascii="Verdana" w:hAnsi="Verdana" w:cs="Calibri"/>
          <w:i/>
          <w:sz w:val="20"/>
          <w:szCs w:val="20"/>
        </w:rPr>
        <w:t>“[</w:t>
      </w:r>
      <w:r w:rsidRPr="00DF1C08">
        <w:rPr>
          <w:rFonts w:ascii="Verdana" w:hAnsi="Verdana" w:cs="Calibri"/>
          <w:i/>
          <w:sz w:val="20"/>
          <w:szCs w:val="20"/>
        </w:rPr>
        <w:t>p</w:t>
      </w:r>
      <w:r w:rsidR="002E1920" w:rsidRPr="00DF1C08">
        <w:rPr>
          <w:rFonts w:ascii="Verdana" w:hAnsi="Verdana" w:cs="Calibri"/>
          <w:i/>
          <w:sz w:val="20"/>
          <w:szCs w:val="20"/>
        </w:rPr>
        <w:t>]</w:t>
      </w:r>
      <w:r w:rsidRPr="00DF1C08">
        <w:rPr>
          <w:rFonts w:ascii="Verdana" w:hAnsi="Verdana" w:cs="Calibri"/>
          <w:i/>
          <w:sz w:val="20"/>
          <w:szCs w:val="20"/>
        </w:rPr>
        <w:t>ara que la Corte pueda conocer de cualquier caso, es necesario que sean agotados los procedimientos previstos en los artículos 48 a 50</w:t>
      </w:r>
      <w:r w:rsidRPr="00DF1C08">
        <w:rPr>
          <w:rFonts w:ascii="Verdana" w:hAnsi="Verdana" w:cs="Calibri"/>
          <w:sz w:val="20"/>
          <w:szCs w:val="20"/>
        </w:rPr>
        <w:t>”</w:t>
      </w:r>
      <w:r w:rsidRPr="00DF1C08">
        <w:rPr>
          <w:rFonts w:ascii="Verdana" w:hAnsi="Verdana" w:cs="Calibri"/>
          <w:i/>
          <w:sz w:val="20"/>
          <w:szCs w:val="20"/>
        </w:rPr>
        <w:t>.</w:t>
      </w:r>
    </w:p>
    <w:p w:rsidR="003F5DFE" w:rsidRPr="00DF1C08" w:rsidRDefault="003F5DFE" w:rsidP="00F4471C">
      <w:pPr>
        <w:spacing w:after="0"/>
        <w:jc w:val="both"/>
        <w:rPr>
          <w:rFonts w:ascii="Verdana" w:hAnsi="Verdana" w:cs="Calibri"/>
          <w:sz w:val="20"/>
          <w:szCs w:val="20"/>
        </w:rPr>
      </w:pPr>
    </w:p>
    <w:p w:rsidR="005B2171" w:rsidRPr="00C54BB0" w:rsidRDefault="005B2171" w:rsidP="00F4471C">
      <w:pPr>
        <w:spacing w:after="0"/>
        <w:jc w:val="both"/>
        <w:rPr>
          <w:rFonts w:ascii="Verdana" w:hAnsi="Verdana" w:cs="Calibri"/>
          <w:i/>
          <w:sz w:val="20"/>
          <w:szCs w:val="20"/>
          <w:lang w:val="es-ES_tradnl"/>
        </w:rPr>
      </w:pPr>
      <w:r w:rsidRPr="00C54BB0">
        <w:rPr>
          <w:rFonts w:ascii="Verdana" w:hAnsi="Verdana" w:cs="Calibri"/>
          <w:sz w:val="20"/>
          <w:szCs w:val="20"/>
        </w:rPr>
        <w:t xml:space="preserve">De manera, entonces, que compete </w:t>
      </w:r>
      <w:r w:rsidRPr="00DF1C08">
        <w:rPr>
          <w:rFonts w:ascii="Verdana" w:hAnsi="Verdana" w:cs="Calibri"/>
          <w:sz w:val="20"/>
          <w:szCs w:val="20"/>
        </w:rPr>
        <w:t xml:space="preserve">a la Corte verificar el debido cumplimiento ante la Comisión del requisito del previo agotamiento de los recursos internos. Como </w:t>
      </w:r>
      <w:r w:rsidR="00D91F73" w:rsidRPr="00DF1C08">
        <w:rPr>
          <w:rFonts w:ascii="Verdana" w:hAnsi="Verdana" w:cs="Calibri"/>
          <w:sz w:val="20"/>
          <w:szCs w:val="20"/>
        </w:rPr>
        <w:t>ha afirmado la Corte</w:t>
      </w:r>
      <w:r w:rsidRPr="00DF1C08">
        <w:rPr>
          <w:rFonts w:ascii="Verdana" w:hAnsi="Verdana" w:cs="Calibri"/>
          <w:sz w:val="20"/>
          <w:szCs w:val="20"/>
        </w:rPr>
        <w:t>, “</w:t>
      </w:r>
      <w:r w:rsidRPr="00DF1C08">
        <w:rPr>
          <w:rFonts w:ascii="Verdana" w:hAnsi="Verdana" w:cs="Calibri"/>
          <w:i/>
          <w:sz w:val="20"/>
          <w:szCs w:val="20"/>
        </w:rPr>
        <w:t>en asuntos que estén bajo su conocimiento, la Corte tiene la atribución de efectuar un control de legalidad de las actuaciones de la Comisión”</w:t>
      </w:r>
      <w:r w:rsidRPr="00DF1C08">
        <w:rPr>
          <w:rStyle w:val="FootnoteReference"/>
          <w:rFonts w:cs="Calibri"/>
          <w:i/>
          <w:szCs w:val="20"/>
        </w:rPr>
        <w:footnoteReference w:id="34"/>
      </w:r>
      <w:r w:rsidRPr="00DF1C08">
        <w:rPr>
          <w:rFonts w:ascii="Verdana" w:hAnsi="Verdana" w:cs="Calibri"/>
          <w:sz w:val="20"/>
          <w:szCs w:val="20"/>
          <w:lang w:val="es-ES_tradnl"/>
        </w:rPr>
        <w:t xml:space="preserve"> o que “</w:t>
      </w:r>
      <w:r w:rsidRPr="00DF1C08">
        <w:rPr>
          <w:rFonts w:ascii="Verdana" w:hAnsi="Verdana" w:cs="Calibri"/>
          <w:i/>
          <w:sz w:val="20"/>
          <w:szCs w:val="20"/>
          <w:lang w:val="es-ES_tradnl"/>
        </w:rPr>
        <w:t>tiene la facultad de revisar si se han cumplido, por parte de la Comisión, las disposiciones convencionales, estatutarias y reglamentarias”</w:t>
      </w:r>
      <w:r w:rsidRPr="00DF1C08">
        <w:rPr>
          <w:rStyle w:val="FootnoteReference"/>
          <w:rFonts w:cs="Calibri"/>
          <w:i/>
          <w:szCs w:val="20"/>
          <w:lang w:val="es-ES_tradnl"/>
        </w:rPr>
        <w:footnoteReference w:id="35"/>
      </w:r>
      <w:r w:rsidR="002E1920" w:rsidRPr="00DF1C08">
        <w:rPr>
          <w:rFonts w:ascii="Verdana" w:hAnsi="Verdana" w:cs="Calibri"/>
          <w:i/>
          <w:sz w:val="20"/>
          <w:szCs w:val="20"/>
          <w:lang w:val="es-ES_tradnl"/>
        </w:rPr>
        <w:t>.</w:t>
      </w:r>
    </w:p>
    <w:p w:rsidR="003F5DFE" w:rsidRDefault="003F5DFE" w:rsidP="00F4471C">
      <w:pPr>
        <w:spacing w:after="0"/>
        <w:jc w:val="both"/>
        <w:rPr>
          <w:rFonts w:ascii="Verdana" w:hAnsi="Verdana" w:cs="Calibri"/>
          <w:sz w:val="20"/>
          <w:szCs w:val="20"/>
          <w:lang w:val="es-ES_tradnl"/>
        </w:rPr>
      </w:pPr>
    </w:p>
    <w:p w:rsidR="005B2171" w:rsidRDefault="005B2171" w:rsidP="00F4471C">
      <w:pPr>
        <w:spacing w:after="0"/>
        <w:jc w:val="both"/>
        <w:rPr>
          <w:rFonts w:ascii="Verdana" w:hAnsi="Verdana" w:cs="Calibri"/>
          <w:sz w:val="20"/>
          <w:szCs w:val="20"/>
          <w:lang w:val="es-ES_tradnl"/>
        </w:rPr>
      </w:pPr>
      <w:r w:rsidRPr="00C54BB0">
        <w:rPr>
          <w:rFonts w:ascii="Verdana" w:hAnsi="Verdana" w:cs="Calibri"/>
          <w:sz w:val="20"/>
          <w:szCs w:val="20"/>
          <w:lang w:val="es-ES_tradnl"/>
        </w:rPr>
        <w:t>Y no podría ser de otra manera, dado que si no fuese así, se le reconocería a la Comisión la más amplia facultad para decidir, de manera exclusiva y excluyente, sobre la admisión o rechazo de una petición, lo que, evidentemente, implicaría que esa potestad sería discrecional y aún podría ser arbitraria, restándole, además, competencia a la Corte puesto que, en tal hipótesis, no le quedaría más alternativa que ser solo una instancia de confirmación o constatación, ni siquiera de ratificación, de lo actuado por aquella, lo que, sin duda alguna, no se compadece con la letra y el espíritu de los dispuesto en el transcrito artículo 61.2 de la Convención.</w:t>
      </w:r>
    </w:p>
    <w:p w:rsidR="003F5DFE" w:rsidRDefault="003F5DFE" w:rsidP="00F4471C">
      <w:pPr>
        <w:spacing w:after="0"/>
        <w:jc w:val="both"/>
        <w:rPr>
          <w:rFonts w:ascii="Verdana" w:hAnsi="Verdana" w:cs="Calibri"/>
          <w:sz w:val="20"/>
          <w:szCs w:val="20"/>
          <w:lang w:val="es-ES_tradnl"/>
        </w:rPr>
      </w:pPr>
    </w:p>
    <w:p w:rsidR="007D3C31" w:rsidRPr="007D3C31" w:rsidRDefault="007D3C31" w:rsidP="003F5DFE">
      <w:pPr>
        <w:pStyle w:val="NormalWeb"/>
        <w:numPr>
          <w:ilvl w:val="0"/>
          <w:numId w:val="1"/>
        </w:numPr>
        <w:spacing w:before="0" w:beforeAutospacing="0" w:after="0" w:afterAutospacing="0" w:line="276" w:lineRule="auto"/>
        <w:ind w:left="567" w:hanging="283"/>
        <w:jc w:val="both"/>
        <w:rPr>
          <w:rFonts w:ascii="Verdana" w:hAnsi="Verdana" w:cs="Calibri"/>
          <w:b/>
          <w:sz w:val="20"/>
          <w:szCs w:val="20"/>
        </w:rPr>
      </w:pPr>
      <w:r>
        <w:rPr>
          <w:rFonts w:ascii="Verdana" w:hAnsi="Verdana" w:cs="Calibri"/>
          <w:b/>
          <w:sz w:val="20"/>
          <w:szCs w:val="20"/>
        </w:rPr>
        <w:t>Consecuencias de considerar a la r</w:t>
      </w:r>
      <w:r w:rsidRPr="007D3C31">
        <w:rPr>
          <w:rFonts w:ascii="Verdana" w:hAnsi="Verdana" w:cs="Calibri"/>
          <w:b/>
          <w:sz w:val="20"/>
          <w:szCs w:val="20"/>
        </w:rPr>
        <w:t>egla del previo agotamiento de los recursos internos como requisito de la admisibilidad</w:t>
      </w:r>
      <w:r w:rsidR="00E9722B">
        <w:rPr>
          <w:rFonts w:ascii="Verdana" w:hAnsi="Verdana" w:cs="Calibri"/>
          <w:b/>
          <w:sz w:val="20"/>
          <w:szCs w:val="20"/>
        </w:rPr>
        <w:t xml:space="preserve"> de la petición y no de ésta.</w:t>
      </w:r>
    </w:p>
    <w:p w:rsidR="003F5DFE" w:rsidRDefault="003F5DFE" w:rsidP="00F4471C">
      <w:pPr>
        <w:pStyle w:val="NormalWeb"/>
        <w:spacing w:before="0" w:beforeAutospacing="0" w:after="0" w:afterAutospacing="0" w:line="276" w:lineRule="auto"/>
        <w:jc w:val="both"/>
        <w:rPr>
          <w:rFonts w:ascii="Verdana" w:hAnsi="Verdana" w:cs="Calibri"/>
          <w:sz w:val="20"/>
          <w:szCs w:val="20"/>
        </w:rPr>
      </w:pPr>
    </w:p>
    <w:p w:rsidR="007D3C31" w:rsidRPr="00C54BB0" w:rsidRDefault="007D3C31" w:rsidP="00F4471C">
      <w:pPr>
        <w:pStyle w:val="NormalWeb"/>
        <w:spacing w:before="0" w:beforeAutospacing="0" w:after="0" w:afterAutospacing="0" w:line="276" w:lineRule="auto"/>
        <w:jc w:val="both"/>
        <w:rPr>
          <w:rFonts w:ascii="Verdana" w:hAnsi="Verdana" w:cs="Calibri"/>
          <w:sz w:val="20"/>
          <w:szCs w:val="20"/>
        </w:rPr>
      </w:pPr>
      <w:r w:rsidRPr="00C54BB0">
        <w:rPr>
          <w:rFonts w:ascii="Verdana" w:hAnsi="Verdana" w:cs="Calibri"/>
          <w:sz w:val="20"/>
          <w:szCs w:val="20"/>
        </w:rPr>
        <w:lastRenderedPageBreak/>
        <w:t>En abono a lo sostenido precedentemente, procede reiterar que si no fuese obligatorio  haber agotado los recursos internos antes de formular la petición, se permitiría que, al menos durante un tiempo, vale decir, entre el momento en que se eleva la petición y</w:t>
      </w:r>
      <w:r>
        <w:rPr>
          <w:rFonts w:ascii="Verdana" w:hAnsi="Verdana" w:cs="Calibri"/>
          <w:sz w:val="20"/>
          <w:szCs w:val="20"/>
        </w:rPr>
        <w:t xml:space="preserve"> en el que</w:t>
      </w:r>
      <w:r w:rsidRPr="00C54BB0">
        <w:rPr>
          <w:rFonts w:ascii="Verdana" w:hAnsi="Verdana" w:cs="Calibri"/>
          <w:sz w:val="20"/>
          <w:szCs w:val="20"/>
        </w:rPr>
        <w:t xml:space="preserve"> se adopta la resolución sobre su admisibilidad, que en muchas situaciones podría estimarse que resulta extremadamente extenso, un mismo caso fuese tratado en forma simultánea por la jurisdicción interna y la jurisdicción internacional, lo que evidentemente dejaría sin sentido alguno lo indicado en el citado segundo párrafo del Preámbulo y aún a la regla del previo agotamiento de los recursos internos en su conjunto. Vale decir, la jurisdicción interamericana no sería, en tal eventualidad, coadyuvante o complementaria de la nacional, sino más bien la sustituiría o, al menos, podría ser empleada como un elemento de presión a su respecto, lo que, sin duda, no es lo buscado por la Convención.</w:t>
      </w:r>
    </w:p>
    <w:p w:rsidR="003F5DFE" w:rsidRDefault="003F5DFE" w:rsidP="00F4471C">
      <w:pPr>
        <w:pStyle w:val="NormalWeb"/>
        <w:spacing w:before="0" w:beforeAutospacing="0" w:after="0" w:afterAutospacing="0" w:line="276" w:lineRule="auto"/>
        <w:jc w:val="both"/>
        <w:rPr>
          <w:rFonts w:ascii="Verdana" w:hAnsi="Verdana" w:cs="Calibri"/>
          <w:sz w:val="20"/>
          <w:szCs w:val="20"/>
        </w:rPr>
      </w:pPr>
    </w:p>
    <w:p w:rsidR="007D3C31" w:rsidRDefault="007D3C31" w:rsidP="00F4471C">
      <w:pPr>
        <w:pStyle w:val="NormalWeb"/>
        <w:spacing w:before="0" w:beforeAutospacing="0" w:after="0" w:afterAutospacing="0" w:line="276" w:lineRule="auto"/>
        <w:jc w:val="both"/>
        <w:rPr>
          <w:rFonts w:ascii="Verdana" w:hAnsi="Verdana" w:cs="Calibri"/>
          <w:sz w:val="20"/>
          <w:szCs w:val="20"/>
        </w:rPr>
      </w:pPr>
      <w:r w:rsidRPr="00C54BB0">
        <w:rPr>
          <w:rFonts w:ascii="Verdana" w:hAnsi="Verdana" w:cs="Calibri"/>
          <w:sz w:val="20"/>
          <w:szCs w:val="20"/>
        </w:rPr>
        <w:t xml:space="preserve">Además, en esa hipótesis, ello podría constituir un incentivo, que podría ser considerado perverso, a que se eleven presentaciones ante la Comisión </w:t>
      </w:r>
      <w:r w:rsidR="004935F9" w:rsidRPr="00C54BB0">
        <w:rPr>
          <w:rFonts w:ascii="Verdana" w:hAnsi="Verdana" w:cs="Calibri"/>
          <w:sz w:val="20"/>
          <w:szCs w:val="20"/>
        </w:rPr>
        <w:t>aun</w:t>
      </w:r>
      <w:r w:rsidRPr="00C54BB0">
        <w:rPr>
          <w:rFonts w:ascii="Verdana" w:hAnsi="Verdana" w:cs="Calibri"/>
          <w:sz w:val="20"/>
          <w:szCs w:val="20"/>
        </w:rPr>
        <w:t xml:space="preserve"> cuando no se haya cumplido con el referido requisito, con la esperanza de que se pueda cumplir con él en forma previa al pronunciamiento de dicha instancia respecto de su admisibilidad, lo que, por cierto, tampoco pudo haber sido previsto ni perseguido por la Convención. </w:t>
      </w:r>
    </w:p>
    <w:p w:rsidR="003F5DFE" w:rsidRPr="00C54BB0" w:rsidRDefault="003F5DFE" w:rsidP="00F4471C">
      <w:pPr>
        <w:pStyle w:val="NormalWeb"/>
        <w:spacing w:before="0" w:beforeAutospacing="0" w:after="0" w:afterAutospacing="0" w:line="276" w:lineRule="auto"/>
        <w:jc w:val="both"/>
        <w:rPr>
          <w:rFonts w:ascii="Verdana" w:hAnsi="Verdana" w:cs="Calibri"/>
          <w:sz w:val="20"/>
          <w:szCs w:val="20"/>
        </w:rPr>
      </w:pPr>
    </w:p>
    <w:p w:rsidR="007D3C31" w:rsidRPr="00C54BB0" w:rsidRDefault="007D3C31" w:rsidP="00F4471C">
      <w:pPr>
        <w:pStyle w:val="NormalWeb"/>
        <w:spacing w:before="0" w:beforeAutospacing="0" w:after="0" w:afterAutospacing="0" w:line="276" w:lineRule="auto"/>
        <w:jc w:val="both"/>
        <w:rPr>
          <w:rFonts w:ascii="Verdana" w:hAnsi="Verdana" w:cs="Calibri"/>
          <w:sz w:val="20"/>
          <w:szCs w:val="20"/>
        </w:rPr>
      </w:pPr>
      <w:r w:rsidRPr="00C54BB0">
        <w:rPr>
          <w:rFonts w:ascii="Verdana" w:hAnsi="Verdana" w:cs="Calibri"/>
          <w:sz w:val="20"/>
          <w:szCs w:val="20"/>
        </w:rPr>
        <w:t>Por otra parte, cabe interrogarse si tendría sentido el “</w:t>
      </w:r>
      <w:r w:rsidRPr="00C54BB0">
        <w:rPr>
          <w:rFonts w:ascii="Verdana" w:hAnsi="Verdana" w:cs="Calibri"/>
          <w:i/>
          <w:sz w:val="20"/>
          <w:szCs w:val="20"/>
        </w:rPr>
        <w:t>estudio y tramitación inicial</w:t>
      </w:r>
      <w:r w:rsidRPr="00C54BB0">
        <w:rPr>
          <w:rFonts w:ascii="Verdana" w:hAnsi="Verdana" w:cs="Calibri"/>
          <w:sz w:val="20"/>
          <w:szCs w:val="20"/>
        </w:rPr>
        <w:t xml:space="preserve">” de la petición si no fuese necesario, para presentarla, que se hayan agotado previamente los recursos internos. Efectivamente, si tal requisito fuese exigible solo al momento de decidir sobre la admisibilidad de la petición, procedería preguntarse qué sentido tendría estudiar inicialmente esta última. Y aún más, cuál sería el motivo y el efecto práctico por el que la Convención distingue entre el momento de la presentación de la petición y el de su admisibilidad. Del mismo modo, si se considerara que el referido requisito o regla debe estar cumplido al momento en que se adopta la decisión sobre la admisibilidad de la petición y no al instante en que ésta se presenta, es lógico interrogarse qué sentido tendría la petición misma. </w:t>
      </w:r>
    </w:p>
    <w:p w:rsidR="003F5DFE" w:rsidRDefault="003F5DFE" w:rsidP="00F4471C">
      <w:pPr>
        <w:spacing w:after="0"/>
        <w:jc w:val="both"/>
        <w:rPr>
          <w:rFonts w:ascii="Verdana" w:hAnsi="Verdana" w:cs="Calibri"/>
          <w:sz w:val="20"/>
          <w:szCs w:val="20"/>
        </w:rPr>
      </w:pPr>
    </w:p>
    <w:p w:rsidR="007D3C31" w:rsidRPr="005D645E" w:rsidRDefault="007D3C31" w:rsidP="00F4471C">
      <w:pPr>
        <w:spacing w:after="0"/>
        <w:jc w:val="both"/>
        <w:rPr>
          <w:rFonts w:ascii="Verdana" w:hAnsi="Verdana" w:cs="Calibri"/>
          <w:sz w:val="20"/>
          <w:szCs w:val="20"/>
        </w:rPr>
      </w:pPr>
      <w:r w:rsidRPr="005D645E">
        <w:rPr>
          <w:rFonts w:ascii="Verdana" w:hAnsi="Verdana" w:cs="Calibri"/>
          <w:sz w:val="20"/>
          <w:szCs w:val="20"/>
        </w:rPr>
        <w:t xml:space="preserve">También es del caso advertir que de no seguirse el criterio de que </w:t>
      </w:r>
      <w:r w:rsidR="006553F1" w:rsidRPr="005D645E">
        <w:rPr>
          <w:rFonts w:ascii="Verdana" w:hAnsi="Verdana" w:cs="Calibri"/>
          <w:sz w:val="20"/>
          <w:szCs w:val="20"/>
        </w:rPr>
        <w:t>la</w:t>
      </w:r>
      <w:r w:rsidRPr="005D645E">
        <w:rPr>
          <w:rFonts w:ascii="Verdana" w:hAnsi="Verdana" w:cs="Calibri"/>
          <w:sz w:val="20"/>
          <w:szCs w:val="20"/>
        </w:rPr>
        <w:t xml:space="preserve"> </w:t>
      </w:r>
      <w:r w:rsidR="002872EF" w:rsidRPr="005D645E">
        <w:rPr>
          <w:rFonts w:ascii="Verdana" w:hAnsi="Verdana" w:cs="Calibri"/>
          <w:sz w:val="20"/>
          <w:szCs w:val="20"/>
        </w:rPr>
        <w:t xml:space="preserve">aludida modalidad debe tener lugar </w:t>
      </w:r>
      <w:r w:rsidRPr="005D645E">
        <w:rPr>
          <w:rFonts w:ascii="Verdana" w:hAnsi="Verdana" w:cs="Calibri"/>
          <w:sz w:val="20"/>
          <w:szCs w:val="20"/>
        </w:rPr>
        <w:t>al momento de la presentación o complemento de la petición y que, en cambio, de adopt</w:t>
      </w:r>
      <w:r w:rsidR="002872EF" w:rsidRPr="005D645E">
        <w:rPr>
          <w:rFonts w:ascii="Verdana" w:hAnsi="Verdana" w:cs="Calibri"/>
          <w:sz w:val="20"/>
          <w:szCs w:val="20"/>
        </w:rPr>
        <w:t>arse la tesis que aquella está determinada</w:t>
      </w:r>
      <w:r w:rsidRPr="005D645E">
        <w:rPr>
          <w:rFonts w:ascii="Verdana" w:hAnsi="Verdana" w:cs="Calibri"/>
          <w:sz w:val="20"/>
          <w:szCs w:val="20"/>
        </w:rPr>
        <w:t xml:space="preserve"> por el momento en que la Comisión se pronuncia sobre la admisibilidad de </w:t>
      </w:r>
      <w:r w:rsidR="002872EF" w:rsidRPr="005D645E">
        <w:rPr>
          <w:rFonts w:ascii="Verdana" w:hAnsi="Verdana" w:cs="Calibri"/>
          <w:sz w:val="20"/>
          <w:szCs w:val="20"/>
        </w:rPr>
        <w:t>esta última</w:t>
      </w:r>
      <w:r w:rsidRPr="005D645E">
        <w:rPr>
          <w:rFonts w:ascii="Verdana" w:hAnsi="Verdana" w:cs="Calibri"/>
          <w:sz w:val="20"/>
          <w:szCs w:val="20"/>
        </w:rPr>
        <w:t>, se generarían situaciones de abierta injusticia o arbitra</w:t>
      </w:r>
      <w:r w:rsidR="002872EF" w:rsidRPr="005D645E">
        <w:rPr>
          <w:rFonts w:ascii="Verdana" w:hAnsi="Verdana" w:cs="Calibri"/>
          <w:sz w:val="20"/>
          <w:szCs w:val="20"/>
        </w:rPr>
        <w:t xml:space="preserve">riedad en la medida en que la ocurrencia </w:t>
      </w:r>
      <w:r w:rsidR="005D645E" w:rsidRPr="005D645E">
        <w:rPr>
          <w:rFonts w:ascii="Verdana" w:hAnsi="Verdana" w:cs="Calibri"/>
          <w:sz w:val="20"/>
          <w:szCs w:val="20"/>
        </w:rPr>
        <w:t xml:space="preserve">de </w:t>
      </w:r>
      <w:r w:rsidR="002872EF" w:rsidRPr="005D645E">
        <w:rPr>
          <w:rFonts w:ascii="Verdana" w:hAnsi="Verdana" w:cs="Calibri"/>
          <w:sz w:val="20"/>
          <w:szCs w:val="20"/>
        </w:rPr>
        <w:t xml:space="preserve">tal modalidad </w:t>
      </w:r>
      <w:r w:rsidRPr="005D645E">
        <w:rPr>
          <w:rFonts w:ascii="Verdana" w:hAnsi="Verdana" w:cs="Calibri"/>
          <w:sz w:val="20"/>
          <w:szCs w:val="20"/>
        </w:rPr>
        <w:t>en definitiva dependería, no de la víctima o del peticionario, sino de la decisión de la Comisión de resolver sobre la admisibilidad o inadm</w:t>
      </w:r>
      <w:r w:rsidR="002872EF" w:rsidRPr="005D645E">
        <w:rPr>
          <w:rFonts w:ascii="Verdana" w:hAnsi="Verdana" w:cs="Calibri"/>
          <w:sz w:val="20"/>
          <w:szCs w:val="20"/>
        </w:rPr>
        <w:t>isibilidad de la petición, lo</w:t>
      </w:r>
      <w:r w:rsidRPr="005D645E">
        <w:rPr>
          <w:rFonts w:ascii="Verdana" w:hAnsi="Verdana" w:cs="Calibri"/>
          <w:sz w:val="20"/>
          <w:szCs w:val="20"/>
        </w:rPr>
        <w:t xml:space="preserve"> que, entonces y ciertamente, no sería </w:t>
      </w:r>
      <w:r w:rsidR="00943460" w:rsidRPr="005D645E">
        <w:rPr>
          <w:rFonts w:ascii="Verdana" w:hAnsi="Verdana" w:cs="Calibri"/>
          <w:sz w:val="20"/>
          <w:szCs w:val="20"/>
        </w:rPr>
        <w:t>un requisito i</w:t>
      </w:r>
      <w:r w:rsidR="002872EF" w:rsidRPr="005D645E">
        <w:rPr>
          <w:rFonts w:ascii="Verdana" w:hAnsi="Verdana" w:cs="Calibri"/>
          <w:sz w:val="20"/>
          <w:szCs w:val="20"/>
        </w:rPr>
        <w:t xml:space="preserve">gual </w:t>
      </w:r>
      <w:r w:rsidR="00943460" w:rsidRPr="005D645E">
        <w:rPr>
          <w:rFonts w:ascii="Verdana" w:hAnsi="Verdana" w:cs="Calibri"/>
          <w:sz w:val="20"/>
          <w:szCs w:val="20"/>
        </w:rPr>
        <w:t xml:space="preserve">para todos los casos y </w:t>
      </w:r>
      <w:r w:rsidRPr="005D645E">
        <w:rPr>
          <w:rFonts w:ascii="Verdana" w:hAnsi="Verdana" w:cs="Calibri"/>
          <w:sz w:val="20"/>
          <w:szCs w:val="20"/>
        </w:rPr>
        <w:t xml:space="preserve">conocido con la anterioridad debida. </w:t>
      </w:r>
    </w:p>
    <w:p w:rsidR="003F5DFE" w:rsidRPr="00E9722B" w:rsidRDefault="003F5DFE" w:rsidP="00F4471C">
      <w:pPr>
        <w:spacing w:after="0"/>
        <w:jc w:val="both"/>
        <w:rPr>
          <w:rFonts w:ascii="Verdana" w:hAnsi="Verdana" w:cs="Calibri"/>
          <w:sz w:val="20"/>
          <w:szCs w:val="20"/>
        </w:rPr>
      </w:pPr>
    </w:p>
    <w:p w:rsidR="005B2171" w:rsidRPr="00C54BB0" w:rsidRDefault="005B2171" w:rsidP="00F4471C">
      <w:pPr>
        <w:numPr>
          <w:ilvl w:val="0"/>
          <w:numId w:val="2"/>
        </w:numPr>
        <w:spacing w:after="0"/>
        <w:ind w:left="0" w:firstLine="0"/>
        <w:jc w:val="both"/>
        <w:rPr>
          <w:rFonts w:ascii="Verdana" w:hAnsi="Verdana" w:cs="Calibri"/>
          <w:b/>
          <w:sz w:val="20"/>
          <w:szCs w:val="20"/>
        </w:rPr>
      </w:pPr>
      <w:r w:rsidRPr="00C54BB0">
        <w:rPr>
          <w:rFonts w:ascii="Verdana" w:hAnsi="Verdana" w:cs="Calibri"/>
          <w:b/>
          <w:sz w:val="20"/>
          <w:szCs w:val="20"/>
        </w:rPr>
        <w:t>LOS HECHOS CONCERNIENTES A LA EXCEPCIÓN DE NO AGOTAMIENTO PREVIO DE LOS RECURSOS INTERNOS.</w:t>
      </w:r>
    </w:p>
    <w:p w:rsidR="003F5DFE" w:rsidRDefault="003F5DFE" w:rsidP="00F4471C">
      <w:pPr>
        <w:spacing w:after="0"/>
        <w:jc w:val="both"/>
        <w:rPr>
          <w:rFonts w:ascii="Verdana" w:hAnsi="Verdana" w:cs="Calibri"/>
          <w:sz w:val="20"/>
          <w:szCs w:val="20"/>
        </w:rPr>
      </w:pPr>
    </w:p>
    <w:p w:rsidR="005B2171" w:rsidRDefault="005B2171" w:rsidP="00F4471C">
      <w:pPr>
        <w:spacing w:after="0"/>
        <w:jc w:val="both"/>
        <w:rPr>
          <w:rFonts w:ascii="Verdana" w:hAnsi="Verdana" w:cs="Calibri"/>
          <w:sz w:val="20"/>
          <w:szCs w:val="20"/>
        </w:rPr>
      </w:pPr>
      <w:r w:rsidRPr="00C54BB0">
        <w:rPr>
          <w:rFonts w:ascii="Verdana" w:hAnsi="Verdana" w:cs="Calibri"/>
          <w:sz w:val="20"/>
          <w:szCs w:val="20"/>
        </w:rPr>
        <w:t>Habida cuenta la normativa que se ha hecho mención, se puede señalar que los hechos relevantes relativos a la excepción por incumplimiento de la regla del previo agotamiento de los recursos internos son los que siguen.</w:t>
      </w:r>
    </w:p>
    <w:p w:rsidR="003F5DFE" w:rsidRPr="00C54BB0" w:rsidRDefault="003F5DFE" w:rsidP="00F4471C">
      <w:pPr>
        <w:spacing w:after="0"/>
        <w:jc w:val="both"/>
        <w:rPr>
          <w:rFonts w:ascii="Verdana" w:hAnsi="Verdana" w:cs="Calibri"/>
          <w:sz w:val="20"/>
          <w:szCs w:val="20"/>
        </w:rPr>
      </w:pPr>
    </w:p>
    <w:p w:rsidR="005B2171" w:rsidRDefault="005B2171" w:rsidP="003F5DFE">
      <w:pPr>
        <w:numPr>
          <w:ilvl w:val="0"/>
          <w:numId w:val="3"/>
        </w:numPr>
        <w:spacing w:after="0"/>
        <w:ind w:left="567" w:hanging="283"/>
        <w:jc w:val="both"/>
        <w:rPr>
          <w:rFonts w:ascii="Verdana" w:hAnsi="Verdana" w:cs="Calibri"/>
          <w:sz w:val="20"/>
          <w:szCs w:val="20"/>
        </w:rPr>
      </w:pPr>
      <w:r w:rsidRPr="00C54BB0">
        <w:rPr>
          <w:rFonts w:ascii="Verdana" w:hAnsi="Verdana" w:cs="Calibri"/>
          <w:b/>
          <w:sz w:val="20"/>
          <w:szCs w:val="20"/>
        </w:rPr>
        <w:t>Los expuestos en la petición.</w:t>
      </w:r>
      <w:r w:rsidRPr="00C54BB0">
        <w:rPr>
          <w:rFonts w:ascii="Verdana" w:hAnsi="Verdana" w:cs="Calibri"/>
          <w:sz w:val="20"/>
          <w:szCs w:val="20"/>
        </w:rPr>
        <w:t xml:space="preserve"> </w:t>
      </w:r>
    </w:p>
    <w:p w:rsidR="003F5DFE" w:rsidRPr="00C54BB0" w:rsidRDefault="003F5DFE" w:rsidP="003F5DFE">
      <w:pPr>
        <w:spacing w:after="0"/>
        <w:ind w:left="567"/>
        <w:jc w:val="both"/>
        <w:rPr>
          <w:rFonts w:ascii="Verdana" w:hAnsi="Verdana" w:cs="Calibri"/>
          <w:sz w:val="20"/>
          <w:szCs w:val="20"/>
        </w:rPr>
      </w:pPr>
    </w:p>
    <w:p w:rsidR="007F3A9D" w:rsidRPr="00DF1C08" w:rsidRDefault="00FA3C0F" w:rsidP="00F4471C">
      <w:pPr>
        <w:spacing w:after="0"/>
        <w:jc w:val="both"/>
        <w:rPr>
          <w:rFonts w:ascii="Verdana" w:hAnsi="Verdana" w:cs="Calibri"/>
          <w:i/>
          <w:sz w:val="20"/>
          <w:szCs w:val="20"/>
        </w:rPr>
      </w:pPr>
      <w:r w:rsidRPr="00DF1C08">
        <w:rPr>
          <w:rFonts w:ascii="Verdana" w:hAnsi="Verdana" w:cs="Calibri"/>
          <w:sz w:val="20"/>
          <w:szCs w:val="20"/>
        </w:rPr>
        <w:t xml:space="preserve">En su petición del </w:t>
      </w:r>
      <w:r w:rsidR="009A16D0" w:rsidRPr="00DF1C08">
        <w:rPr>
          <w:rFonts w:ascii="Verdana" w:hAnsi="Verdana" w:cs="Calibri"/>
          <w:sz w:val="20"/>
          <w:szCs w:val="20"/>
        </w:rPr>
        <w:t xml:space="preserve">27 </w:t>
      </w:r>
      <w:r w:rsidRPr="00DF1C08">
        <w:rPr>
          <w:rFonts w:ascii="Verdana" w:hAnsi="Verdana" w:cs="Calibri"/>
          <w:sz w:val="20"/>
          <w:szCs w:val="20"/>
        </w:rPr>
        <w:t xml:space="preserve">de </w:t>
      </w:r>
      <w:r w:rsidR="009A16D0" w:rsidRPr="00DF1C08">
        <w:rPr>
          <w:rFonts w:ascii="Verdana" w:hAnsi="Verdana" w:cs="Calibri"/>
          <w:sz w:val="20"/>
          <w:szCs w:val="20"/>
        </w:rPr>
        <w:t xml:space="preserve">marzo </w:t>
      </w:r>
      <w:r w:rsidRPr="00DF1C08">
        <w:rPr>
          <w:rFonts w:ascii="Verdana" w:hAnsi="Verdana" w:cs="Calibri"/>
          <w:sz w:val="20"/>
          <w:szCs w:val="20"/>
        </w:rPr>
        <w:t>de 2009, se señaló que</w:t>
      </w:r>
      <w:r w:rsidR="009A16D0" w:rsidRPr="00DF1C08">
        <w:rPr>
          <w:rFonts w:ascii="Verdana" w:hAnsi="Verdana" w:cs="Calibri"/>
          <w:sz w:val="20"/>
          <w:szCs w:val="20"/>
        </w:rPr>
        <w:t xml:space="preserve"> </w:t>
      </w:r>
      <w:r w:rsidR="007F3A9D" w:rsidRPr="00DF1C08">
        <w:rPr>
          <w:rFonts w:ascii="Verdana" w:hAnsi="Verdana" w:cs="Calibri"/>
          <w:sz w:val="20"/>
          <w:szCs w:val="20"/>
        </w:rPr>
        <w:t>“</w:t>
      </w:r>
      <w:r w:rsidR="00612130" w:rsidRPr="00DF1C08">
        <w:rPr>
          <w:rFonts w:ascii="Verdana" w:hAnsi="Verdana" w:cs="Calibri"/>
          <w:i/>
          <w:sz w:val="20"/>
          <w:szCs w:val="20"/>
        </w:rPr>
        <w:t>[</w:t>
      </w:r>
      <w:r w:rsidRPr="00DF1C08">
        <w:rPr>
          <w:rFonts w:ascii="Verdana" w:hAnsi="Verdana" w:cs="Calibri"/>
          <w:sz w:val="20"/>
          <w:szCs w:val="20"/>
        </w:rPr>
        <w:t>e</w:t>
      </w:r>
      <w:r w:rsidR="00612130" w:rsidRPr="00DF1C08">
        <w:rPr>
          <w:rFonts w:ascii="Verdana" w:hAnsi="Verdana" w:cs="Calibri"/>
          <w:i/>
          <w:sz w:val="20"/>
          <w:szCs w:val="20"/>
        </w:rPr>
        <w:t>]</w:t>
      </w:r>
      <w:r w:rsidR="007F3A9D" w:rsidRPr="00DF1C08">
        <w:rPr>
          <w:rFonts w:ascii="Verdana" w:hAnsi="Verdana" w:cs="Calibri"/>
          <w:i/>
          <w:sz w:val="20"/>
          <w:szCs w:val="20"/>
        </w:rPr>
        <w:t xml:space="preserve">n el presente caso, el recurrente </w:t>
      </w:r>
      <w:proofErr w:type="gramStart"/>
      <w:r w:rsidR="007F3A9D" w:rsidRPr="00DF1C08">
        <w:rPr>
          <w:rFonts w:ascii="Verdana" w:hAnsi="Verdana" w:cs="Calibri"/>
          <w:i/>
          <w:sz w:val="20"/>
          <w:szCs w:val="20"/>
        </w:rPr>
        <w:t>ha</w:t>
      </w:r>
      <w:r w:rsidR="00612130" w:rsidRPr="00DF1C08">
        <w:rPr>
          <w:rFonts w:ascii="Verdana" w:hAnsi="Verdana" w:cs="Calibri"/>
          <w:i/>
          <w:sz w:val="20"/>
          <w:szCs w:val="20"/>
        </w:rPr>
        <w:t>[</w:t>
      </w:r>
      <w:proofErr w:type="spellStart"/>
      <w:proofErr w:type="gramEnd"/>
      <w:r w:rsidR="00612130" w:rsidRPr="00DF1C08">
        <w:rPr>
          <w:rFonts w:ascii="Verdana" w:hAnsi="Verdana" w:cs="Calibri"/>
          <w:i/>
          <w:sz w:val="20"/>
          <w:szCs w:val="20"/>
        </w:rPr>
        <w:t>bía</w:t>
      </w:r>
      <w:proofErr w:type="spellEnd"/>
      <w:r w:rsidR="00612130" w:rsidRPr="00DF1C08">
        <w:rPr>
          <w:rFonts w:ascii="Verdana" w:hAnsi="Verdana" w:cs="Calibri"/>
          <w:i/>
          <w:sz w:val="20"/>
          <w:szCs w:val="20"/>
        </w:rPr>
        <w:t>]</w:t>
      </w:r>
      <w:r w:rsidR="007F3A9D" w:rsidRPr="00DF1C08">
        <w:rPr>
          <w:rFonts w:ascii="Verdana" w:hAnsi="Verdana" w:cs="Calibri"/>
          <w:i/>
          <w:sz w:val="20"/>
          <w:szCs w:val="20"/>
        </w:rPr>
        <w:t xml:space="preserve"> agotado debidamente los recursos ordinarios de la jurisdicción interna, en razón a </w:t>
      </w:r>
      <w:r w:rsidR="00DA6010" w:rsidRPr="00DF1C08">
        <w:rPr>
          <w:rFonts w:ascii="Verdana" w:hAnsi="Verdana" w:cs="Calibri"/>
          <w:i/>
          <w:sz w:val="20"/>
          <w:szCs w:val="20"/>
        </w:rPr>
        <w:t xml:space="preserve">que conforme a lo establecido </w:t>
      </w:r>
      <w:r w:rsidR="007F3A9D" w:rsidRPr="00DF1C08">
        <w:rPr>
          <w:rFonts w:ascii="Verdana" w:hAnsi="Verdana" w:cs="Calibri"/>
          <w:i/>
          <w:sz w:val="20"/>
          <w:szCs w:val="20"/>
        </w:rPr>
        <w:t>en el inciso tercero y cuarto del artículo 5</w:t>
      </w:r>
      <w:r w:rsidR="007D2289" w:rsidRPr="00DF1C08">
        <w:rPr>
          <w:rFonts w:ascii="Verdana" w:hAnsi="Verdana" w:cs="Calibri"/>
          <w:i/>
          <w:sz w:val="20"/>
          <w:szCs w:val="20"/>
        </w:rPr>
        <w:t>2</w:t>
      </w:r>
      <w:r w:rsidR="007F3A9D" w:rsidRPr="00DF1C08">
        <w:rPr>
          <w:rFonts w:ascii="Verdana" w:hAnsi="Verdana" w:cs="Calibri"/>
          <w:i/>
          <w:sz w:val="20"/>
          <w:szCs w:val="20"/>
        </w:rPr>
        <w:t>1 del Código Procesal Penal, en el trámite de extradición hay una sola instancia que resuelve una solicitud de esta naturaleza</w:t>
      </w:r>
      <w:r w:rsidR="007D2289" w:rsidRPr="00DF1C08">
        <w:rPr>
          <w:rFonts w:ascii="Verdana" w:hAnsi="Verdana" w:cs="Calibri"/>
          <w:i/>
          <w:sz w:val="20"/>
          <w:szCs w:val="20"/>
        </w:rPr>
        <w:t>[.]</w:t>
      </w:r>
      <w:r w:rsidR="007F3A9D" w:rsidRPr="00DF1C08">
        <w:rPr>
          <w:rFonts w:ascii="Verdana" w:hAnsi="Verdana" w:cs="Calibri"/>
          <w:i/>
          <w:sz w:val="20"/>
          <w:szCs w:val="20"/>
        </w:rPr>
        <w:t xml:space="preserve"> En otras palabras, con la ejecutoria emitida por la Segunda Sala Penal Transitoria de la Corte Suprema de Justicia que declaró procedente la solicitud de extradición se puso término al proces</w:t>
      </w:r>
      <w:r w:rsidR="007D2289" w:rsidRPr="00DF1C08">
        <w:rPr>
          <w:rFonts w:ascii="Verdana" w:hAnsi="Verdana" w:cs="Calibri"/>
          <w:i/>
          <w:sz w:val="20"/>
          <w:szCs w:val="20"/>
        </w:rPr>
        <w:t>o jurisdiccional de extradición</w:t>
      </w:r>
      <w:r w:rsidR="007F3A9D" w:rsidRPr="00DF1C08">
        <w:rPr>
          <w:rFonts w:ascii="Verdana" w:hAnsi="Verdana" w:cs="Calibri"/>
          <w:i/>
          <w:sz w:val="20"/>
          <w:szCs w:val="20"/>
        </w:rPr>
        <w:t>”</w:t>
      </w:r>
      <w:r w:rsidR="007D2289" w:rsidRPr="00DF1C08">
        <w:rPr>
          <w:rFonts w:ascii="Verdana" w:hAnsi="Verdana" w:cs="Calibri"/>
          <w:i/>
          <w:sz w:val="20"/>
          <w:szCs w:val="20"/>
        </w:rPr>
        <w:t>.</w:t>
      </w:r>
    </w:p>
    <w:p w:rsidR="004935F9" w:rsidRPr="00C54BB0" w:rsidRDefault="004935F9" w:rsidP="00F4471C">
      <w:pPr>
        <w:spacing w:after="0"/>
        <w:jc w:val="both"/>
        <w:rPr>
          <w:rFonts w:ascii="Verdana" w:hAnsi="Verdana" w:cs="Calibri"/>
          <w:i/>
          <w:sz w:val="20"/>
          <w:szCs w:val="20"/>
        </w:rPr>
      </w:pPr>
    </w:p>
    <w:p w:rsidR="00FA3C0F" w:rsidRPr="00DF1C08" w:rsidRDefault="00FA3C0F" w:rsidP="00F4471C">
      <w:pPr>
        <w:spacing w:after="0"/>
        <w:jc w:val="both"/>
        <w:rPr>
          <w:rFonts w:ascii="Verdana" w:hAnsi="Verdana" w:cs="Calibri"/>
          <w:sz w:val="20"/>
          <w:szCs w:val="20"/>
        </w:rPr>
      </w:pPr>
      <w:r w:rsidRPr="00DF1C08">
        <w:rPr>
          <w:rFonts w:ascii="Verdana" w:hAnsi="Verdana" w:cs="Calibri"/>
          <w:sz w:val="20"/>
          <w:szCs w:val="20"/>
        </w:rPr>
        <w:t>Como puede desprenderse de lo transcrito, el solicitante expresamente indic</w:t>
      </w:r>
      <w:r w:rsidR="007D2289" w:rsidRPr="00DF1C08">
        <w:rPr>
          <w:rFonts w:ascii="Verdana" w:hAnsi="Verdana" w:cs="Calibri"/>
          <w:sz w:val="20"/>
          <w:szCs w:val="20"/>
        </w:rPr>
        <w:t>ó</w:t>
      </w:r>
      <w:r w:rsidRPr="00DF1C08">
        <w:rPr>
          <w:rFonts w:ascii="Verdana" w:hAnsi="Verdana" w:cs="Calibri"/>
          <w:sz w:val="20"/>
          <w:szCs w:val="20"/>
        </w:rPr>
        <w:t xml:space="preserve"> que ha</w:t>
      </w:r>
      <w:r w:rsidR="007D2289" w:rsidRPr="00DF1C08">
        <w:rPr>
          <w:rFonts w:ascii="Verdana" w:hAnsi="Verdana" w:cs="Calibri"/>
          <w:sz w:val="20"/>
          <w:szCs w:val="20"/>
        </w:rPr>
        <w:t>bía</w:t>
      </w:r>
      <w:r w:rsidRPr="00DF1C08">
        <w:rPr>
          <w:rFonts w:ascii="Verdana" w:hAnsi="Verdana" w:cs="Calibri"/>
          <w:sz w:val="20"/>
          <w:szCs w:val="20"/>
        </w:rPr>
        <w:t xml:space="preserve"> agotado, en forma previa a</w:t>
      </w:r>
      <w:r w:rsidR="007D2289" w:rsidRPr="00DF1C08">
        <w:rPr>
          <w:rFonts w:ascii="Verdana" w:hAnsi="Verdana" w:cs="Calibri"/>
          <w:sz w:val="20"/>
          <w:szCs w:val="20"/>
        </w:rPr>
        <w:t xml:space="preserve"> </w:t>
      </w:r>
      <w:r w:rsidRPr="00DF1C08">
        <w:rPr>
          <w:rFonts w:ascii="Verdana" w:hAnsi="Verdana" w:cs="Calibri"/>
          <w:sz w:val="20"/>
          <w:szCs w:val="20"/>
        </w:rPr>
        <w:t>l</w:t>
      </w:r>
      <w:r w:rsidR="007D2289" w:rsidRPr="00DF1C08">
        <w:rPr>
          <w:rFonts w:ascii="Verdana" w:hAnsi="Verdana" w:cs="Calibri"/>
          <w:sz w:val="20"/>
          <w:szCs w:val="20"/>
        </w:rPr>
        <w:t>a</w:t>
      </w:r>
      <w:r w:rsidRPr="00DF1C08">
        <w:rPr>
          <w:rFonts w:ascii="Verdana" w:hAnsi="Verdana" w:cs="Calibri"/>
          <w:sz w:val="20"/>
          <w:szCs w:val="20"/>
        </w:rPr>
        <w:t xml:space="preserve"> petición, los recursos de jurisdicción interna, sin hacer alusión alguna a alguno de los casos, previstos en el artículo 46.2 de la Convención, en los que se permite no aplicar lo ordenado en el artículo 46.1.a) de la misma, es decir, en los que no es menester, para presentar una petición ante la Comisión, que se hayan agotado previamente los recursos internos.  </w:t>
      </w:r>
    </w:p>
    <w:p w:rsidR="003F5DFE" w:rsidRPr="00DF1C08" w:rsidRDefault="003F5DFE" w:rsidP="00F4471C">
      <w:pPr>
        <w:spacing w:after="0"/>
        <w:jc w:val="both"/>
        <w:rPr>
          <w:rFonts w:ascii="Verdana" w:hAnsi="Verdana" w:cs="Calibri"/>
          <w:sz w:val="20"/>
          <w:szCs w:val="20"/>
        </w:rPr>
      </w:pPr>
    </w:p>
    <w:p w:rsidR="005B2171" w:rsidRPr="00C54BB0" w:rsidRDefault="005B2171" w:rsidP="003F5DFE">
      <w:pPr>
        <w:numPr>
          <w:ilvl w:val="0"/>
          <w:numId w:val="3"/>
        </w:numPr>
        <w:spacing w:after="0"/>
        <w:ind w:left="567" w:hanging="283"/>
        <w:jc w:val="both"/>
        <w:rPr>
          <w:rFonts w:ascii="Verdana" w:hAnsi="Verdana" w:cs="Calibri"/>
          <w:b/>
          <w:sz w:val="20"/>
          <w:szCs w:val="20"/>
        </w:rPr>
      </w:pPr>
      <w:r w:rsidRPr="00C54BB0">
        <w:rPr>
          <w:rFonts w:ascii="Verdana" w:hAnsi="Verdana" w:cs="Calibri"/>
          <w:b/>
          <w:sz w:val="20"/>
          <w:szCs w:val="20"/>
        </w:rPr>
        <w:t>Los contenidos en la</w:t>
      </w:r>
      <w:r w:rsidR="00DA6010">
        <w:rPr>
          <w:rFonts w:ascii="Verdana" w:hAnsi="Verdana" w:cs="Calibri"/>
          <w:b/>
          <w:sz w:val="20"/>
          <w:szCs w:val="20"/>
        </w:rPr>
        <w:t xml:space="preserve"> respuesta u </w:t>
      </w:r>
      <w:r w:rsidRPr="00C54BB0">
        <w:rPr>
          <w:rFonts w:ascii="Verdana" w:hAnsi="Verdana" w:cs="Calibri"/>
          <w:b/>
          <w:sz w:val="20"/>
          <w:szCs w:val="20"/>
        </w:rPr>
        <w:t>observaciones del Estado.</w:t>
      </w:r>
    </w:p>
    <w:p w:rsidR="003F5DFE" w:rsidRDefault="003F5DFE" w:rsidP="00F4471C">
      <w:pPr>
        <w:spacing w:after="0"/>
        <w:jc w:val="both"/>
        <w:rPr>
          <w:rFonts w:ascii="Verdana" w:hAnsi="Verdana" w:cs="Calibri"/>
          <w:sz w:val="20"/>
          <w:szCs w:val="20"/>
        </w:rPr>
      </w:pPr>
    </w:p>
    <w:p w:rsidR="00D51209" w:rsidRPr="00DF1C08" w:rsidRDefault="00A34742" w:rsidP="00F4471C">
      <w:pPr>
        <w:spacing w:after="0"/>
        <w:jc w:val="both"/>
        <w:rPr>
          <w:rFonts w:ascii="Verdana" w:hAnsi="Verdana" w:cs="Calibri"/>
          <w:sz w:val="20"/>
          <w:szCs w:val="20"/>
        </w:rPr>
      </w:pPr>
      <w:r w:rsidRPr="00DF1C08">
        <w:rPr>
          <w:rFonts w:ascii="Verdana" w:hAnsi="Verdana" w:cs="Calibri"/>
          <w:sz w:val="20"/>
          <w:szCs w:val="20"/>
        </w:rPr>
        <w:t xml:space="preserve">A su vez, en las </w:t>
      </w:r>
      <w:r w:rsidR="004935F9" w:rsidRPr="00DF1C08">
        <w:rPr>
          <w:rFonts w:ascii="Verdana" w:hAnsi="Verdana" w:cs="Calibri"/>
          <w:sz w:val="20"/>
          <w:szCs w:val="20"/>
        </w:rPr>
        <w:t>o</w:t>
      </w:r>
      <w:r w:rsidRPr="00DF1C08">
        <w:rPr>
          <w:rFonts w:ascii="Verdana" w:hAnsi="Verdana" w:cs="Calibri"/>
          <w:sz w:val="20"/>
          <w:szCs w:val="20"/>
        </w:rPr>
        <w:t xml:space="preserve">bservaciones presentadas, con fecha 29 de </w:t>
      </w:r>
      <w:r w:rsidR="009A16D0" w:rsidRPr="00DF1C08">
        <w:rPr>
          <w:rFonts w:ascii="Verdana" w:hAnsi="Verdana" w:cs="Calibri"/>
          <w:sz w:val="20"/>
          <w:szCs w:val="20"/>
        </w:rPr>
        <w:t xml:space="preserve">abril </w:t>
      </w:r>
      <w:r w:rsidRPr="00DF1C08">
        <w:rPr>
          <w:rFonts w:ascii="Verdana" w:hAnsi="Verdana" w:cs="Calibri"/>
          <w:sz w:val="20"/>
          <w:szCs w:val="20"/>
        </w:rPr>
        <w:t xml:space="preserve">de </w:t>
      </w:r>
      <w:r w:rsidR="009A16D0" w:rsidRPr="00DF1C08">
        <w:rPr>
          <w:rFonts w:ascii="Verdana" w:hAnsi="Verdana" w:cs="Calibri"/>
          <w:sz w:val="20"/>
          <w:szCs w:val="20"/>
        </w:rPr>
        <w:t>2009</w:t>
      </w:r>
      <w:r w:rsidR="00DA6010" w:rsidRPr="00DF1C08">
        <w:rPr>
          <w:rFonts w:ascii="Verdana" w:hAnsi="Verdana" w:cs="Calibri"/>
          <w:sz w:val="20"/>
          <w:szCs w:val="20"/>
        </w:rPr>
        <w:t>, por el E</w:t>
      </w:r>
      <w:r w:rsidRPr="00DF1C08">
        <w:rPr>
          <w:rFonts w:ascii="Verdana" w:hAnsi="Verdana" w:cs="Calibri"/>
          <w:sz w:val="20"/>
          <w:szCs w:val="20"/>
        </w:rPr>
        <w:t>stado a la referida petición, se indic</w:t>
      </w:r>
      <w:r w:rsidR="007D2289" w:rsidRPr="00DF1C08">
        <w:rPr>
          <w:rFonts w:ascii="Verdana" w:hAnsi="Verdana" w:cs="Calibri"/>
          <w:sz w:val="20"/>
          <w:szCs w:val="20"/>
        </w:rPr>
        <w:t>ó</w:t>
      </w:r>
      <w:r w:rsidRPr="00DF1C08">
        <w:rPr>
          <w:rFonts w:ascii="Verdana" w:hAnsi="Verdana" w:cs="Calibri"/>
          <w:sz w:val="20"/>
          <w:szCs w:val="20"/>
        </w:rPr>
        <w:t xml:space="preserve"> que </w:t>
      </w:r>
      <w:r w:rsidR="007D2289" w:rsidRPr="00DF1C08">
        <w:rPr>
          <w:rFonts w:ascii="Verdana" w:hAnsi="Verdana" w:cs="Calibri"/>
          <w:i/>
          <w:sz w:val="20"/>
          <w:szCs w:val="20"/>
        </w:rPr>
        <w:t>“[</w:t>
      </w:r>
      <w:r w:rsidRPr="00DF1C08">
        <w:rPr>
          <w:rFonts w:ascii="Verdana" w:hAnsi="Verdana" w:cs="Calibri"/>
          <w:i/>
          <w:sz w:val="20"/>
          <w:szCs w:val="20"/>
        </w:rPr>
        <w:t>e</w:t>
      </w:r>
      <w:r w:rsidR="007D2289" w:rsidRPr="00DF1C08">
        <w:rPr>
          <w:rFonts w:ascii="Verdana" w:hAnsi="Verdana" w:cs="Calibri"/>
          <w:i/>
          <w:sz w:val="20"/>
          <w:szCs w:val="20"/>
        </w:rPr>
        <w:t>]</w:t>
      </w:r>
      <w:r w:rsidR="00BD7B0F" w:rsidRPr="00DF1C08">
        <w:rPr>
          <w:rFonts w:ascii="Verdana" w:hAnsi="Verdana" w:cs="Calibri"/>
          <w:i/>
          <w:sz w:val="20"/>
          <w:szCs w:val="20"/>
        </w:rPr>
        <w:t xml:space="preserve">l señor Wong Ho </w:t>
      </w:r>
      <w:proofErr w:type="spellStart"/>
      <w:r w:rsidR="00BD7B0F" w:rsidRPr="00DF1C08">
        <w:rPr>
          <w:rFonts w:ascii="Verdana" w:hAnsi="Verdana" w:cs="Calibri"/>
          <w:i/>
          <w:sz w:val="20"/>
          <w:szCs w:val="20"/>
        </w:rPr>
        <w:t>Wing</w:t>
      </w:r>
      <w:proofErr w:type="spellEnd"/>
      <w:r w:rsidR="00BD7B0F" w:rsidRPr="00DF1C08">
        <w:rPr>
          <w:rFonts w:ascii="Verdana" w:hAnsi="Verdana" w:cs="Calibri"/>
          <w:i/>
          <w:sz w:val="20"/>
          <w:szCs w:val="20"/>
        </w:rPr>
        <w:t xml:space="preserve"> no ha</w:t>
      </w:r>
      <w:r w:rsidR="007D2289" w:rsidRPr="00DF1C08">
        <w:rPr>
          <w:rFonts w:ascii="Verdana" w:hAnsi="Verdana" w:cs="Calibri"/>
          <w:i/>
          <w:sz w:val="20"/>
          <w:szCs w:val="20"/>
        </w:rPr>
        <w:t>[</w:t>
      </w:r>
      <w:proofErr w:type="spellStart"/>
      <w:r w:rsidR="007D2289" w:rsidRPr="00DF1C08">
        <w:rPr>
          <w:rFonts w:ascii="Verdana" w:hAnsi="Verdana" w:cs="Calibri"/>
          <w:i/>
          <w:sz w:val="20"/>
          <w:szCs w:val="20"/>
        </w:rPr>
        <w:t>bía</w:t>
      </w:r>
      <w:proofErr w:type="spellEnd"/>
      <w:r w:rsidR="007D2289" w:rsidRPr="00DF1C08">
        <w:rPr>
          <w:rFonts w:ascii="Verdana" w:hAnsi="Verdana" w:cs="Calibri"/>
          <w:i/>
          <w:sz w:val="20"/>
          <w:szCs w:val="20"/>
        </w:rPr>
        <w:t>]</w:t>
      </w:r>
      <w:r w:rsidR="00BD7B0F" w:rsidRPr="00DF1C08">
        <w:rPr>
          <w:rFonts w:ascii="Verdana" w:hAnsi="Verdana" w:cs="Calibri"/>
          <w:i/>
          <w:sz w:val="20"/>
          <w:szCs w:val="20"/>
        </w:rPr>
        <w:t xml:space="preserve"> cumplido con agotar los recursos de la jurisdicción interna, por lo que esta parte </w:t>
      </w:r>
      <w:proofErr w:type="spellStart"/>
      <w:r w:rsidR="00BD7B0F" w:rsidRPr="00DF1C08">
        <w:rPr>
          <w:rFonts w:ascii="Verdana" w:hAnsi="Verdana" w:cs="Calibri"/>
          <w:i/>
          <w:sz w:val="20"/>
          <w:szCs w:val="20"/>
        </w:rPr>
        <w:t>solicit</w:t>
      </w:r>
      <w:proofErr w:type="spellEnd"/>
      <w:r w:rsidR="007D2289" w:rsidRPr="00DF1C08">
        <w:rPr>
          <w:rFonts w:ascii="Verdana" w:hAnsi="Verdana" w:cs="Calibri"/>
          <w:i/>
          <w:sz w:val="20"/>
          <w:szCs w:val="20"/>
        </w:rPr>
        <w:t>[</w:t>
      </w:r>
      <w:proofErr w:type="spellStart"/>
      <w:r w:rsidR="007D2289" w:rsidRPr="00DF1C08">
        <w:rPr>
          <w:rFonts w:ascii="Verdana" w:hAnsi="Verdana" w:cs="Calibri"/>
          <w:i/>
          <w:sz w:val="20"/>
          <w:szCs w:val="20"/>
        </w:rPr>
        <w:t>ó</w:t>
      </w:r>
      <w:proofErr w:type="spellEnd"/>
      <w:r w:rsidR="007D2289" w:rsidRPr="00DF1C08">
        <w:rPr>
          <w:rFonts w:ascii="Verdana" w:hAnsi="Verdana" w:cs="Calibri"/>
          <w:i/>
          <w:sz w:val="20"/>
          <w:szCs w:val="20"/>
        </w:rPr>
        <w:t>]</w:t>
      </w:r>
      <w:r w:rsidR="00BD7B0F" w:rsidRPr="00DF1C08">
        <w:rPr>
          <w:rFonts w:ascii="Verdana" w:hAnsi="Verdana" w:cs="Calibri"/>
          <w:i/>
          <w:sz w:val="20"/>
          <w:szCs w:val="20"/>
        </w:rPr>
        <w:t xml:space="preserve"> a la Comisión Int</w:t>
      </w:r>
      <w:r w:rsidR="007D2289" w:rsidRPr="00DF1C08">
        <w:rPr>
          <w:rFonts w:ascii="Verdana" w:hAnsi="Verdana" w:cs="Calibri"/>
          <w:i/>
          <w:sz w:val="20"/>
          <w:szCs w:val="20"/>
        </w:rPr>
        <w:t xml:space="preserve">eramericana que </w:t>
      </w:r>
      <w:proofErr w:type="spellStart"/>
      <w:r w:rsidR="007D2289" w:rsidRPr="00DF1C08">
        <w:rPr>
          <w:rFonts w:ascii="Verdana" w:hAnsi="Verdana" w:cs="Calibri"/>
          <w:i/>
          <w:sz w:val="20"/>
          <w:szCs w:val="20"/>
        </w:rPr>
        <w:t>declar</w:t>
      </w:r>
      <w:proofErr w:type="spellEnd"/>
      <w:r w:rsidR="007D2289" w:rsidRPr="00DF1C08">
        <w:rPr>
          <w:rFonts w:ascii="Verdana" w:hAnsi="Verdana" w:cs="Calibri"/>
          <w:i/>
          <w:sz w:val="20"/>
          <w:szCs w:val="20"/>
        </w:rPr>
        <w:t>[ara]</w:t>
      </w:r>
      <w:r w:rsidR="00BD7B0F" w:rsidRPr="00DF1C08">
        <w:rPr>
          <w:rFonts w:ascii="Verdana" w:hAnsi="Verdana" w:cs="Calibri"/>
          <w:i/>
          <w:sz w:val="20"/>
          <w:szCs w:val="20"/>
        </w:rPr>
        <w:t xml:space="preserve"> la inadmisibilidad de la presente petición, de acuerdo al artículo 46º de la Convención Americana </w:t>
      </w:r>
      <w:r w:rsidR="007D2289" w:rsidRPr="00DF1C08">
        <w:rPr>
          <w:rFonts w:ascii="Verdana" w:hAnsi="Verdana" w:cs="Calibri"/>
          <w:i/>
          <w:sz w:val="20"/>
          <w:szCs w:val="20"/>
        </w:rPr>
        <w:t>de</w:t>
      </w:r>
      <w:r w:rsidR="00BD7B0F" w:rsidRPr="00DF1C08">
        <w:rPr>
          <w:rFonts w:ascii="Verdana" w:hAnsi="Verdana" w:cs="Calibri"/>
          <w:i/>
          <w:sz w:val="20"/>
          <w:szCs w:val="20"/>
        </w:rPr>
        <w:t xml:space="preserve"> Derechos Humanos, toda vez que el 56º Juzgado Penal de Lima resolvió declarar fundada en parte la acción de Hábeas Corpus y nula la Resolución expedida por la Segunda Sala Penal Transitoria de la Corte Suprema de Justicia de la República de fecha 20 de enero de 2009, debiendo dicha instancia judicial emitir nueva resolución</w:t>
      </w:r>
      <w:r w:rsidRPr="00DF1C08">
        <w:rPr>
          <w:rFonts w:ascii="Verdana" w:hAnsi="Verdana" w:cs="Calibri"/>
          <w:i/>
          <w:sz w:val="20"/>
          <w:szCs w:val="20"/>
        </w:rPr>
        <w:t xml:space="preserve">” </w:t>
      </w:r>
      <w:r w:rsidRPr="00DF1C08">
        <w:rPr>
          <w:rFonts w:ascii="Verdana" w:hAnsi="Verdana" w:cs="Calibri"/>
          <w:sz w:val="20"/>
          <w:szCs w:val="20"/>
        </w:rPr>
        <w:t>y que</w:t>
      </w:r>
      <w:r w:rsidR="007D2289" w:rsidRPr="00DF1C08">
        <w:rPr>
          <w:rFonts w:ascii="Verdana" w:hAnsi="Verdana" w:cs="Calibri"/>
          <w:i/>
          <w:sz w:val="20"/>
          <w:szCs w:val="20"/>
        </w:rPr>
        <w:t xml:space="preserve"> “[</w:t>
      </w:r>
      <w:r w:rsidRPr="00DF1C08">
        <w:rPr>
          <w:rFonts w:ascii="Verdana" w:hAnsi="Verdana" w:cs="Calibri"/>
          <w:i/>
          <w:sz w:val="20"/>
          <w:szCs w:val="20"/>
        </w:rPr>
        <w:t>d</w:t>
      </w:r>
      <w:r w:rsidR="007D2289" w:rsidRPr="00DF1C08">
        <w:rPr>
          <w:rFonts w:ascii="Verdana" w:hAnsi="Verdana" w:cs="Calibri"/>
          <w:i/>
          <w:sz w:val="20"/>
          <w:szCs w:val="20"/>
        </w:rPr>
        <w:t>]</w:t>
      </w:r>
      <w:r w:rsidR="00BD7B0F" w:rsidRPr="00DF1C08">
        <w:rPr>
          <w:rFonts w:ascii="Verdana" w:hAnsi="Verdana" w:cs="Calibri"/>
          <w:i/>
          <w:sz w:val="20"/>
          <w:szCs w:val="20"/>
        </w:rPr>
        <w:t>icho proceso de Hábeas Corpus se encuentra aún en trámite</w:t>
      </w:r>
      <w:r w:rsidRPr="00DF1C08">
        <w:rPr>
          <w:rFonts w:ascii="Verdana" w:hAnsi="Verdana" w:cs="Calibri"/>
          <w:i/>
          <w:sz w:val="20"/>
          <w:szCs w:val="20"/>
        </w:rPr>
        <w:t>”</w:t>
      </w:r>
      <w:r w:rsidR="00BD7B0F" w:rsidRPr="00DF1C08">
        <w:rPr>
          <w:rFonts w:ascii="Verdana" w:hAnsi="Verdana" w:cs="Calibri"/>
          <w:i/>
          <w:sz w:val="20"/>
          <w:szCs w:val="20"/>
        </w:rPr>
        <w:t>.</w:t>
      </w:r>
      <w:r w:rsidRPr="00DF1C08">
        <w:rPr>
          <w:rFonts w:ascii="Verdana" w:hAnsi="Verdana" w:cs="Calibri"/>
          <w:sz w:val="20"/>
          <w:szCs w:val="20"/>
        </w:rPr>
        <w:t xml:space="preserve"> </w:t>
      </w:r>
    </w:p>
    <w:p w:rsidR="003F5DFE" w:rsidRPr="00DF1C08" w:rsidRDefault="003F5DFE" w:rsidP="00F4471C">
      <w:pPr>
        <w:spacing w:after="0"/>
        <w:jc w:val="both"/>
        <w:rPr>
          <w:rFonts w:ascii="Verdana" w:hAnsi="Verdana" w:cs="Calibri"/>
          <w:sz w:val="20"/>
          <w:szCs w:val="20"/>
        </w:rPr>
      </w:pPr>
    </w:p>
    <w:p w:rsidR="00D51209" w:rsidRPr="00DF1C08" w:rsidRDefault="00A34742" w:rsidP="00F4471C">
      <w:pPr>
        <w:spacing w:after="0"/>
        <w:jc w:val="both"/>
        <w:rPr>
          <w:rFonts w:ascii="Verdana" w:hAnsi="Verdana" w:cs="Calibri"/>
          <w:i/>
          <w:sz w:val="20"/>
          <w:szCs w:val="20"/>
        </w:rPr>
      </w:pPr>
      <w:r w:rsidRPr="00DF1C08">
        <w:rPr>
          <w:rFonts w:ascii="Verdana" w:hAnsi="Verdana" w:cs="Calibri"/>
          <w:sz w:val="20"/>
          <w:szCs w:val="20"/>
        </w:rPr>
        <w:t>Agrega</w:t>
      </w:r>
      <w:r w:rsidR="007D2289" w:rsidRPr="00DF1C08">
        <w:rPr>
          <w:rFonts w:ascii="Verdana" w:hAnsi="Verdana" w:cs="Calibri"/>
          <w:sz w:val="20"/>
          <w:szCs w:val="20"/>
        </w:rPr>
        <w:t xml:space="preserve"> la antes señalada nota que “</w:t>
      </w:r>
      <w:r w:rsidR="007D2289" w:rsidRPr="00DF1C08">
        <w:rPr>
          <w:rFonts w:ascii="Verdana" w:hAnsi="Verdana" w:cs="Calibri"/>
          <w:i/>
          <w:sz w:val="20"/>
          <w:szCs w:val="20"/>
        </w:rPr>
        <w:t>[a]</w:t>
      </w:r>
      <w:proofErr w:type="spellStart"/>
      <w:r w:rsidR="007D2289" w:rsidRPr="00DF1C08">
        <w:rPr>
          <w:rFonts w:ascii="Verdana" w:hAnsi="Verdana" w:cs="Calibri"/>
          <w:i/>
          <w:sz w:val="20"/>
          <w:szCs w:val="20"/>
        </w:rPr>
        <w:t>simismo</w:t>
      </w:r>
      <w:proofErr w:type="spellEnd"/>
      <w:r w:rsidR="00BD7B0F" w:rsidRPr="00DF1C08">
        <w:rPr>
          <w:rFonts w:ascii="Verdana" w:hAnsi="Verdana" w:cs="Calibri"/>
          <w:i/>
          <w:sz w:val="20"/>
          <w:szCs w:val="20"/>
        </w:rPr>
        <w:t>, el proce</w:t>
      </w:r>
      <w:r w:rsidR="007D2289" w:rsidRPr="00DF1C08">
        <w:rPr>
          <w:rFonts w:ascii="Verdana" w:hAnsi="Verdana" w:cs="Calibri"/>
          <w:i/>
          <w:sz w:val="20"/>
          <w:szCs w:val="20"/>
        </w:rPr>
        <w:t>dimiento</w:t>
      </w:r>
      <w:r w:rsidR="00BD7B0F" w:rsidRPr="00DF1C08">
        <w:rPr>
          <w:rFonts w:ascii="Verdana" w:hAnsi="Verdana" w:cs="Calibri"/>
          <w:i/>
          <w:sz w:val="20"/>
          <w:szCs w:val="20"/>
        </w:rPr>
        <w:t xml:space="preserve"> de extradición del señor Wong Ho </w:t>
      </w:r>
      <w:proofErr w:type="spellStart"/>
      <w:r w:rsidR="00BD7B0F" w:rsidRPr="00DF1C08">
        <w:rPr>
          <w:rFonts w:ascii="Verdana" w:hAnsi="Verdana" w:cs="Calibri"/>
          <w:i/>
          <w:sz w:val="20"/>
          <w:szCs w:val="20"/>
        </w:rPr>
        <w:t>Wing</w:t>
      </w:r>
      <w:proofErr w:type="spellEnd"/>
      <w:r w:rsidR="00BD7B0F" w:rsidRPr="00DF1C08">
        <w:rPr>
          <w:rFonts w:ascii="Verdana" w:hAnsi="Verdana" w:cs="Calibri"/>
          <w:i/>
          <w:sz w:val="20"/>
          <w:szCs w:val="20"/>
        </w:rPr>
        <w:t xml:space="preserve"> no ha concluido ya que conforme al artículo 515º del Nuevo Código Procesal Penal, es el Gobierno peruano quién decide en última instancia la extradición mediante Resolución Suprema expedida con acuerdo del Consejo de Ministros, previo informe de la Comisión Oficial de Extradici</w:t>
      </w:r>
      <w:r w:rsidR="00D51209" w:rsidRPr="00DF1C08">
        <w:rPr>
          <w:rFonts w:ascii="Verdana" w:hAnsi="Verdana" w:cs="Calibri"/>
          <w:i/>
          <w:sz w:val="20"/>
          <w:szCs w:val="20"/>
        </w:rPr>
        <w:t>ones y Traslados de Condenados”.</w:t>
      </w:r>
    </w:p>
    <w:p w:rsidR="00F4471C" w:rsidRPr="00DF1C08" w:rsidRDefault="00F4471C" w:rsidP="00F4471C">
      <w:pPr>
        <w:spacing w:after="0"/>
        <w:jc w:val="both"/>
        <w:rPr>
          <w:rFonts w:ascii="Verdana" w:hAnsi="Verdana" w:cs="Calibri"/>
          <w:i/>
          <w:sz w:val="20"/>
          <w:szCs w:val="20"/>
        </w:rPr>
      </w:pPr>
    </w:p>
    <w:p w:rsidR="00BD7B0F" w:rsidRPr="00DF1C08" w:rsidRDefault="00D51209" w:rsidP="00F4471C">
      <w:pPr>
        <w:spacing w:after="0"/>
        <w:jc w:val="both"/>
        <w:rPr>
          <w:rFonts w:ascii="Verdana" w:hAnsi="Verdana" w:cs="Calibri"/>
          <w:i/>
          <w:sz w:val="20"/>
          <w:szCs w:val="20"/>
        </w:rPr>
      </w:pPr>
      <w:r w:rsidRPr="00DF1C08">
        <w:rPr>
          <w:rFonts w:ascii="Verdana" w:hAnsi="Verdana" w:cs="Calibri"/>
          <w:sz w:val="20"/>
          <w:szCs w:val="20"/>
        </w:rPr>
        <w:t>Y finaliza dicho documento, en lo que se refiere a esta materia, indicando que</w:t>
      </w:r>
      <w:r w:rsidR="007D2289" w:rsidRPr="00DF1C08">
        <w:rPr>
          <w:rFonts w:ascii="Verdana" w:hAnsi="Verdana" w:cs="Calibri"/>
          <w:i/>
          <w:sz w:val="20"/>
          <w:szCs w:val="20"/>
        </w:rPr>
        <w:t xml:space="preserve"> “[</w:t>
      </w:r>
      <w:r w:rsidRPr="00DF1C08">
        <w:rPr>
          <w:rFonts w:ascii="Verdana" w:hAnsi="Verdana" w:cs="Calibri"/>
          <w:i/>
          <w:sz w:val="20"/>
          <w:szCs w:val="20"/>
        </w:rPr>
        <w:t>m</w:t>
      </w:r>
      <w:r w:rsidR="007D2289" w:rsidRPr="00DF1C08">
        <w:rPr>
          <w:rFonts w:ascii="Verdana" w:hAnsi="Verdana" w:cs="Calibri"/>
          <w:i/>
          <w:sz w:val="20"/>
          <w:szCs w:val="20"/>
        </w:rPr>
        <w:t>]</w:t>
      </w:r>
      <w:proofErr w:type="spellStart"/>
      <w:r w:rsidR="00BD7B0F" w:rsidRPr="00DF1C08">
        <w:rPr>
          <w:rFonts w:ascii="Verdana" w:hAnsi="Verdana" w:cs="Calibri"/>
          <w:i/>
          <w:sz w:val="20"/>
          <w:szCs w:val="20"/>
        </w:rPr>
        <w:t>ediante</w:t>
      </w:r>
      <w:proofErr w:type="spellEnd"/>
      <w:r w:rsidR="00BD7B0F" w:rsidRPr="00DF1C08">
        <w:rPr>
          <w:rFonts w:ascii="Verdana" w:hAnsi="Verdana" w:cs="Calibri"/>
          <w:i/>
          <w:sz w:val="20"/>
          <w:szCs w:val="20"/>
        </w:rPr>
        <w:t xml:space="preserve"> resolución de fecha 12 de </w:t>
      </w:r>
      <w:r w:rsidR="007D2289" w:rsidRPr="00DF1C08">
        <w:rPr>
          <w:rFonts w:ascii="Verdana" w:hAnsi="Verdana" w:cs="Calibri"/>
          <w:i/>
          <w:sz w:val="20"/>
          <w:szCs w:val="20"/>
        </w:rPr>
        <w:t>[</w:t>
      </w:r>
      <w:r w:rsidR="00BD7B0F" w:rsidRPr="00DF1C08">
        <w:rPr>
          <w:rFonts w:ascii="Verdana" w:hAnsi="Verdana" w:cs="Calibri"/>
          <w:i/>
          <w:sz w:val="20"/>
          <w:szCs w:val="20"/>
        </w:rPr>
        <w:t>f</w:t>
      </w:r>
      <w:r w:rsidR="007D2289" w:rsidRPr="00DF1C08">
        <w:rPr>
          <w:rFonts w:ascii="Verdana" w:hAnsi="Verdana" w:cs="Calibri"/>
          <w:i/>
          <w:sz w:val="20"/>
          <w:szCs w:val="20"/>
        </w:rPr>
        <w:t>]</w:t>
      </w:r>
      <w:proofErr w:type="spellStart"/>
      <w:r w:rsidR="00BD7B0F" w:rsidRPr="00DF1C08">
        <w:rPr>
          <w:rFonts w:ascii="Verdana" w:hAnsi="Verdana" w:cs="Calibri"/>
          <w:i/>
          <w:sz w:val="20"/>
          <w:szCs w:val="20"/>
        </w:rPr>
        <w:t>eb</w:t>
      </w:r>
      <w:r w:rsidR="00A735F9" w:rsidRPr="00DF1C08">
        <w:rPr>
          <w:rFonts w:ascii="Verdana" w:hAnsi="Verdana" w:cs="Calibri"/>
          <w:i/>
          <w:sz w:val="20"/>
          <w:szCs w:val="20"/>
        </w:rPr>
        <w:t>r</w:t>
      </w:r>
      <w:r w:rsidR="00BD7B0F" w:rsidRPr="00DF1C08">
        <w:rPr>
          <w:rFonts w:ascii="Verdana" w:hAnsi="Verdana" w:cs="Calibri"/>
          <w:i/>
          <w:sz w:val="20"/>
          <w:szCs w:val="20"/>
        </w:rPr>
        <w:t>ero</w:t>
      </w:r>
      <w:proofErr w:type="spellEnd"/>
      <w:r w:rsidR="00BD7B0F" w:rsidRPr="00DF1C08">
        <w:rPr>
          <w:rFonts w:ascii="Verdana" w:hAnsi="Verdana" w:cs="Calibri"/>
          <w:i/>
          <w:sz w:val="20"/>
          <w:szCs w:val="20"/>
        </w:rPr>
        <w:t xml:space="preserve"> de 200</w:t>
      </w:r>
      <w:r w:rsidR="00F55E41">
        <w:rPr>
          <w:rFonts w:ascii="Verdana" w:hAnsi="Verdana" w:cs="Calibri"/>
          <w:i/>
          <w:sz w:val="20"/>
          <w:szCs w:val="20"/>
        </w:rPr>
        <w:t>9</w:t>
      </w:r>
      <w:r w:rsidR="00BD7B0F" w:rsidRPr="00DF1C08">
        <w:rPr>
          <w:rFonts w:ascii="Verdana" w:hAnsi="Verdana" w:cs="Calibri"/>
          <w:i/>
          <w:sz w:val="20"/>
          <w:szCs w:val="20"/>
        </w:rPr>
        <w:t xml:space="preserve">, el 56º Juzgado Penal de Lima dispuso la suspensión temporal del proceso de extradición del ciudadano chino Wong Ho </w:t>
      </w:r>
      <w:proofErr w:type="spellStart"/>
      <w:r w:rsidR="00BD7B0F" w:rsidRPr="00DF1C08">
        <w:rPr>
          <w:rFonts w:ascii="Verdana" w:hAnsi="Verdana" w:cs="Calibri"/>
          <w:i/>
          <w:sz w:val="20"/>
          <w:szCs w:val="20"/>
        </w:rPr>
        <w:t>Wing</w:t>
      </w:r>
      <w:proofErr w:type="spellEnd"/>
      <w:r w:rsidR="00BD7B0F" w:rsidRPr="00DF1C08">
        <w:rPr>
          <w:rFonts w:ascii="Verdana" w:hAnsi="Verdana" w:cs="Calibri"/>
          <w:i/>
          <w:sz w:val="20"/>
          <w:szCs w:val="20"/>
        </w:rPr>
        <w:t xml:space="preserve"> hasta la culminación del proceso de Hábeas Corpus”</w:t>
      </w:r>
      <w:r w:rsidR="000A4F0F" w:rsidRPr="00DF1C08">
        <w:rPr>
          <w:rStyle w:val="FootnoteReference"/>
          <w:rFonts w:cs="Calibri"/>
          <w:szCs w:val="20"/>
        </w:rPr>
        <w:footnoteReference w:id="36"/>
      </w:r>
      <w:r w:rsidR="007D2289" w:rsidRPr="00DF1C08">
        <w:rPr>
          <w:rFonts w:ascii="Verdana" w:hAnsi="Verdana" w:cs="Calibri"/>
          <w:i/>
          <w:sz w:val="20"/>
          <w:szCs w:val="20"/>
        </w:rPr>
        <w:t>.</w:t>
      </w:r>
    </w:p>
    <w:p w:rsidR="003F5DFE" w:rsidRDefault="003F5DFE" w:rsidP="00F4471C">
      <w:pPr>
        <w:spacing w:after="0"/>
        <w:jc w:val="both"/>
        <w:rPr>
          <w:rFonts w:ascii="Verdana" w:hAnsi="Verdana" w:cs="Calibri"/>
          <w:sz w:val="20"/>
          <w:szCs w:val="20"/>
        </w:rPr>
      </w:pPr>
    </w:p>
    <w:p w:rsidR="00D51209" w:rsidRDefault="00D51209" w:rsidP="00F4471C">
      <w:pPr>
        <w:spacing w:after="0"/>
        <w:jc w:val="both"/>
        <w:rPr>
          <w:rFonts w:ascii="Verdana" w:hAnsi="Verdana" w:cs="Calibri"/>
          <w:sz w:val="20"/>
          <w:szCs w:val="20"/>
        </w:rPr>
      </w:pPr>
      <w:r w:rsidRPr="00C54BB0">
        <w:rPr>
          <w:rFonts w:ascii="Verdana" w:hAnsi="Verdana" w:cs="Calibri"/>
          <w:sz w:val="20"/>
          <w:szCs w:val="20"/>
        </w:rPr>
        <w:lastRenderedPageBreak/>
        <w:t>Tres son, entonces, las razones invocadas por el Estado para sustentar su posición en cuanto a la inadmisibilidad de la petición, a saber, la tramitación aún no concluida al momento de esta última, de un Hábeas Corpus interpu</w:t>
      </w:r>
      <w:r w:rsidR="007D2289">
        <w:rPr>
          <w:rFonts w:ascii="Verdana" w:hAnsi="Verdana" w:cs="Calibri"/>
          <w:sz w:val="20"/>
          <w:szCs w:val="20"/>
        </w:rPr>
        <w:t>esto por el propio peticionario</w:t>
      </w:r>
      <w:r w:rsidR="007D2289" w:rsidRPr="00F92045">
        <w:rPr>
          <w:rFonts w:ascii="Verdana" w:hAnsi="Verdana" w:cs="Calibri"/>
          <w:sz w:val="20"/>
          <w:szCs w:val="20"/>
        </w:rPr>
        <w:t>;</w:t>
      </w:r>
      <w:r w:rsidRPr="00C54BB0">
        <w:rPr>
          <w:rFonts w:ascii="Verdana" w:hAnsi="Verdana" w:cs="Calibri"/>
          <w:sz w:val="20"/>
          <w:szCs w:val="20"/>
        </w:rPr>
        <w:t xml:space="preserve"> la tramitación, también en esa época, del proceso de extradición y, por último, la suspensión de éste por resolución judicial.</w:t>
      </w:r>
    </w:p>
    <w:p w:rsidR="00F4471C" w:rsidRPr="00C54BB0" w:rsidRDefault="00F4471C" w:rsidP="00F4471C">
      <w:pPr>
        <w:spacing w:after="0"/>
        <w:jc w:val="both"/>
        <w:rPr>
          <w:rFonts w:ascii="Verdana" w:hAnsi="Verdana" w:cs="Calibri"/>
          <w:i/>
          <w:sz w:val="20"/>
          <w:szCs w:val="20"/>
        </w:rPr>
      </w:pPr>
    </w:p>
    <w:p w:rsidR="00D51209" w:rsidRPr="00C54BB0" w:rsidRDefault="005B2171" w:rsidP="003F5DFE">
      <w:pPr>
        <w:numPr>
          <w:ilvl w:val="0"/>
          <w:numId w:val="3"/>
        </w:numPr>
        <w:spacing w:after="0"/>
        <w:ind w:left="567" w:hanging="283"/>
        <w:jc w:val="both"/>
        <w:rPr>
          <w:rFonts w:ascii="Verdana" w:hAnsi="Verdana" w:cs="Calibri"/>
          <w:b/>
          <w:sz w:val="20"/>
          <w:szCs w:val="20"/>
        </w:rPr>
      </w:pPr>
      <w:r w:rsidRPr="00C54BB0">
        <w:rPr>
          <w:rFonts w:ascii="Verdana" w:hAnsi="Verdana" w:cs="Calibri"/>
          <w:b/>
          <w:sz w:val="20"/>
          <w:szCs w:val="20"/>
        </w:rPr>
        <w:t>Los referentes al Informe de Admisibilidad.</w:t>
      </w:r>
    </w:p>
    <w:p w:rsidR="00F4471C" w:rsidRDefault="00F4471C" w:rsidP="00F4471C">
      <w:pPr>
        <w:spacing w:after="0"/>
        <w:jc w:val="both"/>
        <w:rPr>
          <w:rFonts w:ascii="Verdana" w:hAnsi="Verdana" w:cs="Calibri"/>
          <w:sz w:val="20"/>
          <w:szCs w:val="20"/>
        </w:rPr>
      </w:pPr>
    </w:p>
    <w:p w:rsidR="009A16D0" w:rsidRPr="00DF1C08" w:rsidRDefault="00563CB3" w:rsidP="00F4471C">
      <w:pPr>
        <w:spacing w:after="0"/>
        <w:jc w:val="both"/>
        <w:rPr>
          <w:rFonts w:ascii="Verdana" w:hAnsi="Verdana" w:cs="Calibri"/>
          <w:b/>
          <w:i/>
          <w:sz w:val="20"/>
          <w:szCs w:val="20"/>
        </w:rPr>
      </w:pPr>
      <w:r w:rsidRPr="00DF1C08">
        <w:rPr>
          <w:rFonts w:ascii="Verdana" w:hAnsi="Verdana" w:cs="Calibri"/>
          <w:sz w:val="20"/>
          <w:szCs w:val="20"/>
        </w:rPr>
        <w:t>En el</w:t>
      </w:r>
      <w:r w:rsidR="00D51209" w:rsidRPr="00DF1C08">
        <w:rPr>
          <w:rFonts w:ascii="Verdana" w:hAnsi="Verdana" w:cs="Calibri"/>
          <w:sz w:val="20"/>
          <w:szCs w:val="20"/>
        </w:rPr>
        <w:t xml:space="preserve"> </w:t>
      </w:r>
      <w:r w:rsidRPr="00DF1C08">
        <w:rPr>
          <w:rFonts w:ascii="Verdana" w:hAnsi="Verdana" w:cs="Calibri"/>
          <w:sz w:val="20"/>
          <w:szCs w:val="20"/>
        </w:rPr>
        <w:t xml:space="preserve">Informe de Admisibilidad del </w:t>
      </w:r>
      <w:r w:rsidR="009A16D0" w:rsidRPr="00DF1C08">
        <w:rPr>
          <w:rFonts w:ascii="Verdana" w:hAnsi="Verdana" w:cs="Calibri"/>
          <w:sz w:val="20"/>
          <w:szCs w:val="20"/>
        </w:rPr>
        <w:t xml:space="preserve">1 </w:t>
      </w:r>
      <w:r w:rsidRPr="00DF1C08">
        <w:rPr>
          <w:rFonts w:ascii="Verdana" w:hAnsi="Verdana" w:cs="Calibri"/>
          <w:sz w:val="20"/>
          <w:szCs w:val="20"/>
        </w:rPr>
        <w:t xml:space="preserve">de </w:t>
      </w:r>
      <w:r w:rsidR="009A16D0" w:rsidRPr="00DF1C08">
        <w:rPr>
          <w:rFonts w:ascii="Verdana" w:hAnsi="Verdana" w:cs="Calibri"/>
          <w:sz w:val="20"/>
          <w:szCs w:val="20"/>
        </w:rPr>
        <w:t>noviembre</w:t>
      </w:r>
      <w:r w:rsidRPr="00DF1C08">
        <w:rPr>
          <w:rFonts w:ascii="Verdana" w:hAnsi="Verdana" w:cs="Calibri"/>
          <w:sz w:val="20"/>
          <w:szCs w:val="20"/>
        </w:rPr>
        <w:t xml:space="preserve"> de</w:t>
      </w:r>
      <w:r w:rsidR="009A16D0" w:rsidRPr="00DF1C08">
        <w:rPr>
          <w:rFonts w:ascii="Verdana" w:hAnsi="Verdana" w:cs="Calibri"/>
          <w:sz w:val="20"/>
          <w:szCs w:val="20"/>
        </w:rPr>
        <w:t xml:space="preserve"> 2010</w:t>
      </w:r>
      <w:r w:rsidRPr="00DF1C08">
        <w:rPr>
          <w:rFonts w:ascii="Verdana" w:hAnsi="Verdana" w:cs="Calibri"/>
          <w:sz w:val="20"/>
          <w:szCs w:val="20"/>
        </w:rPr>
        <w:t>, se señala que</w:t>
      </w:r>
      <w:r w:rsidR="009A16D0" w:rsidRPr="00DF1C08">
        <w:rPr>
          <w:rFonts w:ascii="Verdana" w:hAnsi="Verdana" w:cs="Calibri"/>
          <w:sz w:val="20"/>
          <w:szCs w:val="20"/>
        </w:rPr>
        <w:t xml:space="preserve"> “</w:t>
      </w:r>
      <w:r w:rsidR="009A16D0" w:rsidRPr="00DF1C08">
        <w:rPr>
          <w:rFonts w:ascii="Verdana" w:hAnsi="Verdana"/>
          <w:i/>
          <w:spacing w:val="-4"/>
          <w:sz w:val="20"/>
          <w:szCs w:val="20"/>
          <w:lang w:val="es-ES"/>
        </w:rPr>
        <w:t>la presunta víctima planteó el incumplimiento de los requisitos legales y constitucionales para la admisión de la solicitud de extradición, en primer lugar, a lo largo del procedimiento consultivo decidido en última instancia por la Suprema Corte de Justicia el 27 de enero de 2010</w:t>
      </w:r>
      <w:r w:rsidR="00B30A47" w:rsidRPr="00DF1C08">
        <w:rPr>
          <w:rFonts w:ascii="Verdana" w:hAnsi="Verdana"/>
          <w:i/>
          <w:spacing w:val="-4"/>
          <w:sz w:val="20"/>
          <w:szCs w:val="20"/>
          <w:lang w:val="es-ES"/>
        </w:rPr>
        <w:t>”; “[</w:t>
      </w:r>
      <w:r w:rsidRPr="00DF1C08">
        <w:rPr>
          <w:rFonts w:ascii="Verdana" w:hAnsi="Verdana"/>
          <w:i/>
          <w:spacing w:val="-4"/>
          <w:sz w:val="20"/>
          <w:szCs w:val="20"/>
          <w:lang w:val="es-ES"/>
        </w:rPr>
        <w:t>e</w:t>
      </w:r>
      <w:r w:rsidR="00B30A47" w:rsidRPr="00DF1C08">
        <w:rPr>
          <w:rFonts w:ascii="Verdana" w:hAnsi="Verdana"/>
          <w:i/>
          <w:spacing w:val="-4"/>
          <w:sz w:val="20"/>
          <w:szCs w:val="20"/>
          <w:lang w:val="es-ES"/>
        </w:rPr>
        <w:t>]</w:t>
      </w:r>
      <w:r w:rsidRPr="00DF1C08">
        <w:rPr>
          <w:rFonts w:ascii="Verdana" w:hAnsi="Verdana"/>
          <w:i/>
          <w:spacing w:val="-4"/>
          <w:sz w:val="20"/>
          <w:szCs w:val="20"/>
          <w:lang w:val="es-ES"/>
        </w:rPr>
        <w:t xml:space="preserve">)n </w:t>
      </w:r>
      <w:r w:rsidR="009A16D0" w:rsidRPr="00DF1C08">
        <w:rPr>
          <w:rFonts w:ascii="Verdana" w:hAnsi="Verdana"/>
          <w:i/>
          <w:spacing w:val="-4"/>
          <w:sz w:val="20"/>
          <w:szCs w:val="20"/>
          <w:lang w:val="es-ES"/>
        </w:rPr>
        <w:t>segundo lugar, presentó dos acciones de h</w:t>
      </w:r>
      <w:r w:rsidR="00B30A47" w:rsidRPr="00DF1C08">
        <w:rPr>
          <w:rFonts w:ascii="Verdana" w:hAnsi="Verdana"/>
          <w:i/>
          <w:spacing w:val="-4"/>
          <w:sz w:val="20"/>
          <w:szCs w:val="20"/>
          <w:lang w:val="es-ES"/>
        </w:rPr>
        <w:t>[</w:t>
      </w:r>
      <w:r w:rsidR="009A16D0" w:rsidRPr="00DF1C08">
        <w:rPr>
          <w:rFonts w:ascii="Verdana" w:hAnsi="Verdana"/>
          <w:i/>
          <w:spacing w:val="-4"/>
          <w:sz w:val="20"/>
          <w:szCs w:val="20"/>
          <w:lang w:val="es-ES"/>
        </w:rPr>
        <w:t>á</w:t>
      </w:r>
      <w:r w:rsidR="00B30A47" w:rsidRPr="00DF1C08">
        <w:rPr>
          <w:rFonts w:ascii="Verdana" w:hAnsi="Verdana"/>
          <w:i/>
          <w:spacing w:val="-4"/>
          <w:sz w:val="20"/>
          <w:szCs w:val="20"/>
          <w:lang w:val="es-ES"/>
        </w:rPr>
        <w:t>]</w:t>
      </w:r>
      <w:proofErr w:type="spellStart"/>
      <w:r w:rsidR="009A16D0" w:rsidRPr="00DF1C08">
        <w:rPr>
          <w:rFonts w:ascii="Verdana" w:hAnsi="Verdana"/>
          <w:i/>
          <w:spacing w:val="-4"/>
          <w:sz w:val="20"/>
          <w:szCs w:val="20"/>
          <w:lang w:val="es-ES"/>
        </w:rPr>
        <w:t>beas</w:t>
      </w:r>
      <w:proofErr w:type="spellEnd"/>
      <w:r w:rsidR="009A16D0" w:rsidRPr="00DF1C08">
        <w:rPr>
          <w:rFonts w:ascii="Verdana" w:hAnsi="Verdana"/>
          <w:i/>
          <w:spacing w:val="-4"/>
          <w:sz w:val="20"/>
          <w:szCs w:val="20"/>
          <w:lang w:val="es-ES"/>
        </w:rPr>
        <w:t xml:space="preserve"> corpus contra los integrantes de la Segunda Sala Penal Transitoria y de la Sala Penal Permanente de la aludida Corte Suprema, en las cuales señaló presuntos vicios en el procedimiento consultivo y una supuesta evaluación inadecuada de las garantías del Gobierno de la República Popular China sobre no aplicación de la pena de muerte</w:t>
      </w:r>
      <w:r w:rsidRPr="00DF1C08">
        <w:rPr>
          <w:rFonts w:ascii="Verdana" w:hAnsi="Verdana"/>
          <w:i/>
          <w:spacing w:val="-4"/>
          <w:sz w:val="20"/>
          <w:szCs w:val="20"/>
          <w:lang w:val="es-ES"/>
        </w:rPr>
        <w:t xml:space="preserve">”, </w:t>
      </w:r>
      <w:r w:rsidRPr="00DF1C08">
        <w:rPr>
          <w:rFonts w:ascii="Verdana" w:hAnsi="Verdana"/>
          <w:spacing w:val="-4"/>
          <w:sz w:val="20"/>
          <w:szCs w:val="20"/>
          <w:lang w:val="es-ES"/>
        </w:rPr>
        <w:t>añadiendo que</w:t>
      </w:r>
      <w:r w:rsidR="00DA6010" w:rsidRPr="00DF1C08">
        <w:rPr>
          <w:rFonts w:ascii="Verdana" w:hAnsi="Verdana"/>
          <w:spacing w:val="-4"/>
          <w:sz w:val="20"/>
          <w:szCs w:val="20"/>
          <w:lang w:val="es-ES"/>
        </w:rPr>
        <w:t xml:space="preserve"> </w:t>
      </w:r>
      <w:r w:rsidR="00DA6010" w:rsidRPr="00DF1C08">
        <w:rPr>
          <w:rFonts w:ascii="Verdana" w:hAnsi="Verdana"/>
          <w:i/>
          <w:spacing w:val="-4"/>
          <w:sz w:val="20"/>
          <w:szCs w:val="20"/>
          <w:lang w:val="es-ES"/>
        </w:rPr>
        <w:t>”</w:t>
      </w:r>
      <w:r w:rsidR="00B30A47" w:rsidRPr="00DF1C08">
        <w:rPr>
          <w:rFonts w:ascii="Verdana" w:hAnsi="Verdana"/>
          <w:i/>
          <w:spacing w:val="-4"/>
          <w:sz w:val="20"/>
          <w:szCs w:val="20"/>
          <w:lang w:val="es-ES"/>
        </w:rPr>
        <w:t>[</w:t>
      </w:r>
      <w:r w:rsidRPr="00DF1C08">
        <w:rPr>
          <w:rFonts w:ascii="Verdana" w:hAnsi="Verdana"/>
          <w:i/>
          <w:spacing w:val="-4"/>
          <w:sz w:val="20"/>
          <w:szCs w:val="20"/>
          <w:lang w:val="es-ES"/>
        </w:rPr>
        <w:t>a</w:t>
      </w:r>
      <w:r w:rsidR="00B30A47" w:rsidRPr="00DF1C08">
        <w:rPr>
          <w:rFonts w:ascii="Verdana" w:hAnsi="Verdana"/>
          <w:i/>
          <w:spacing w:val="-4"/>
          <w:sz w:val="20"/>
          <w:szCs w:val="20"/>
          <w:lang w:val="es-ES"/>
        </w:rPr>
        <w:t>]</w:t>
      </w:r>
      <w:proofErr w:type="spellStart"/>
      <w:r w:rsidR="009A16D0" w:rsidRPr="00DF1C08">
        <w:rPr>
          <w:rFonts w:ascii="Verdana" w:hAnsi="Verdana"/>
          <w:i/>
          <w:spacing w:val="-4"/>
          <w:sz w:val="20"/>
          <w:szCs w:val="20"/>
          <w:lang w:val="es-ES"/>
        </w:rPr>
        <w:t>simismo</w:t>
      </w:r>
      <w:proofErr w:type="spellEnd"/>
      <w:r w:rsidR="009A16D0" w:rsidRPr="00DF1C08">
        <w:rPr>
          <w:rFonts w:ascii="Verdana" w:hAnsi="Verdana"/>
          <w:i/>
          <w:spacing w:val="-4"/>
          <w:sz w:val="20"/>
          <w:szCs w:val="20"/>
          <w:lang w:val="es-ES"/>
        </w:rPr>
        <w:t>, la presunta víctima presentó una acción de h</w:t>
      </w:r>
      <w:r w:rsidR="00B30A47" w:rsidRPr="00DF1C08">
        <w:rPr>
          <w:rFonts w:ascii="Verdana" w:hAnsi="Verdana"/>
          <w:i/>
          <w:spacing w:val="-4"/>
          <w:sz w:val="20"/>
          <w:szCs w:val="20"/>
          <w:lang w:val="es-ES"/>
        </w:rPr>
        <w:t>[</w:t>
      </w:r>
      <w:r w:rsidR="009A16D0" w:rsidRPr="00DF1C08">
        <w:rPr>
          <w:rFonts w:ascii="Verdana" w:hAnsi="Verdana"/>
          <w:i/>
          <w:spacing w:val="-4"/>
          <w:sz w:val="20"/>
          <w:szCs w:val="20"/>
          <w:lang w:val="es-ES"/>
        </w:rPr>
        <w:t>á</w:t>
      </w:r>
      <w:r w:rsidR="00B30A47" w:rsidRPr="00DF1C08">
        <w:rPr>
          <w:rFonts w:ascii="Verdana" w:hAnsi="Verdana"/>
          <w:i/>
          <w:spacing w:val="-4"/>
          <w:sz w:val="20"/>
          <w:szCs w:val="20"/>
          <w:lang w:val="es-ES"/>
        </w:rPr>
        <w:t>]</w:t>
      </w:r>
      <w:proofErr w:type="spellStart"/>
      <w:r w:rsidR="009A16D0" w:rsidRPr="00DF1C08">
        <w:rPr>
          <w:rFonts w:ascii="Verdana" w:hAnsi="Verdana"/>
          <w:i/>
          <w:spacing w:val="-4"/>
          <w:sz w:val="20"/>
          <w:szCs w:val="20"/>
          <w:lang w:val="es-ES"/>
        </w:rPr>
        <w:t>beas</w:t>
      </w:r>
      <w:proofErr w:type="spellEnd"/>
      <w:r w:rsidR="009A16D0" w:rsidRPr="00DF1C08">
        <w:rPr>
          <w:rFonts w:ascii="Verdana" w:hAnsi="Verdana"/>
          <w:i/>
          <w:spacing w:val="-4"/>
          <w:sz w:val="20"/>
          <w:szCs w:val="20"/>
          <w:lang w:val="es-ES"/>
        </w:rPr>
        <w:t xml:space="preserve"> corpus de carácter preventivo contra el Presidente Constitucional de la República y el Consejo de Ministros, la cual se </w:t>
      </w:r>
      <w:proofErr w:type="spellStart"/>
      <w:r w:rsidR="009A16D0" w:rsidRPr="00DF1C08">
        <w:rPr>
          <w:rFonts w:ascii="Verdana" w:hAnsi="Verdana"/>
          <w:i/>
          <w:spacing w:val="-4"/>
          <w:sz w:val="20"/>
          <w:szCs w:val="20"/>
          <w:lang w:val="es-ES"/>
        </w:rPr>
        <w:t>enc</w:t>
      </w:r>
      <w:proofErr w:type="spellEnd"/>
      <w:r w:rsidR="00B30A47" w:rsidRPr="00DF1C08">
        <w:rPr>
          <w:rFonts w:ascii="Verdana" w:hAnsi="Verdana"/>
          <w:i/>
          <w:spacing w:val="-4"/>
          <w:sz w:val="20"/>
          <w:szCs w:val="20"/>
          <w:lang w:val="es-ES"/>
        </w:rPr>
        <w:t>[</w:t>
      </w:r>
      <w:proofErr w:type="spellStart"/>
      <w:r w:rsidR="00B30A47" w:rsidRPr="00DF1C08">
        <w:rPr>
          <w:rFonts w:ascii="Verdana" w:hAnsi="Verdana"/>
          <w:i/>
          <w:spacing w:val="-4"/>
          <w:sz w:val="20"/>
          <w:szCs w:val="20"/>
          <w:lang w:val="es-ES"/>
        </w:rPr>
        <w:t>ontraba</w:t>
      </w:r>
      <w:proofErr w:type="spellEnd"/>
      <w:r w:rsidR="00B30A47" w:rsidRPr="00DF1C08">
        <w:rPr>
          <w:rFonts w:ascii="Verdana" w:hAnsi="Verdana"/>
          <w:i/>
          <w:spacing w:val="-4"/>
          <w:sz w:val="20"/>
          <w:szCs w:val="20"/>
          <w:lang w:val="es-ES"/>
        </w:rPr>
        <w:t>]</w:t>
      </w:r>
      <w:r w:rsidR="009A16D0" w:rsidRPr="00DF1C08">
        <w:rPr>
          <w:rFonts w:ascii="Verdana" w:hAnsi="Verdana"/>
          <w:i/>
          <w:spacing w:val="-4"/>
          <w:sz w:val="20"/>
          <w:szCs w:val="20"/>
          <w:lang w:val="es-ES"/>
        </w:rPr>
        <w:t xml:space="preserve"> pendiente de una decisión final del Tribunal Constitucional sobre agravio constitucional desde el 14 de julio de 2010</w:t>
      </w:r>
      <w:r w:rsidRPr="00DF1C08">
        <w:rPr>
          <w:rFonts w:ascii="Verdana" w:hAnsi="Verdana"/>
          <w:i/>
          <w:spacing w:val="-4"/>
          <w:sz w:val="20"/>
          <w:szCs w:val="20"/>
          <w:lang w:val="es-ES"/>
        </w:rPr>
        <w:t>”</w:t>
      </w:r>
      <w:r w:rsidR="009A16D0" w:rsidRPr="00DF1C08">
        <w:rPr>
          <w:rFonts w:ascii="Verdana" w:hAnsi="Verdana"/>
          <w:i/>
          <w:spacing w:val="-4"/>
          <w:sz w:val="20"/>
          <w:szCs w:val="20"/>
          <w:lang w:val="es-ES"/>
        </w:rPr>
        <w:t>.</w:t>
      </w:r>
    </w:p>
    <w:p w:rsidR="00F4471C" w:rsidRPr="00DF1C08" w:rsidRDefault="00F4471C" w:rsidP="00F4471C">
      <w:pPr>
        <w:tabs>
          <w:tab w:val="left" w:pos="993"/>
        </w:tabs>
        <w:spacing w:after="0"/>
        <w:jc w:val="both"/>
        <w:rPr>
          <w:rFonts w:ascii="Verdana" w:hAnsi="Verdana"/>
          <w:spacing w:val="-4"/>
          <w:sz w:val="20"/>
          <w:szCs w:val="20"/>
        </w:rPr>
      </w:pPr>
    </w:p>
    <w:p w:rsidR="00CD1647" w:rsidRPr="00DF1C08" w:rsidRDefault="00563CB3" w:rsidP="00F4471C">
      <w:pPr>
        <w:tabs>
          <w:tab w:val="left" w:pos="993"/>
        </w:tabs>
        <w:spacing w:after="0"/>
        <w:jc w:val="both"/>
        <w:rPr>
          <w:rFonts w:ascii="Verdana" w:hAnsi="Verdana"/>
          <w:i/>
          <w:spacing w:val="-4"/>
          <w:sz w:val="20"/>
          <w:szCs w:val="20"/>
        </w:rPr>
      </w:pPr>
      <w:r w:rsidRPr="00DF1C08">
        <w:rPr>
          <w:rFonts w:ascii="Verdana" w:hAnsi="Verdana"/>
          <w:spacing w:val="-4"/>
          <w:sz w:val="20"/>
          <w:szCs w:val="20"/>
        </w:rPr>
        <w:t>T</w:t>
      </w:r>
      <w:r w:rsidR="004935F9" w:rsidRPr="00DF1C08">
        <w:rPr>
          <w:rFonts w:ascii="Verdana" w:hAnsi="Verdana"/>
          <w:spacing w:val="-4"/>
          <w:sz w:val="20"/>
          <w:szCs w:val="20"/>
        </w:rPr>
        <w:t>ambién en</w:t>
      </w:r>
      <w:r w:rsidRPr="00DF1C08">
        <w:rPr>
          <w:rFonts w:ascii="Verdana" w:hAnsi="Verdana"/>
          <w:spacing w:val="-4"/>
          <w:sz w:val="20"/>
          <w:szCs w:val="20"/>
        </w:rPr>
        <w:t xml:space="preserve"> dicho Informe de Admisibilidad se agrega que </w:t>
      </w:r>
      <w:r w:rsidRPr="00DF1C08">
        <w:rPr>
          <w:rFonts w:ascii="Verdana" w:hAnsi="Verdana"/>
          <w:i/>
          <w:spacing w:val="-4"/>
          <w:sz w:val="20"/>
          <w:szCs w:val="20"/>
        </w:rPr>
        <w:t>“</w:t>
      </w:r>
      <w:r w:rsidR="00B30A47" w:rsidRPr="00DF1C08">
        <w:rPr>
          <w:rFonts w:ascii="Verdana" w:hAnsi="Verdana"/>
          <w:i/>
          <w:spacing w:val="-4"/>
          <w:sz w:val="20"/>
          <w:szCs w:val="20"/>
        </w:rPr>
        <w:t>[</w:t>
      </w:r>
      <w:r w:rsidR="002D722B" w:rsidRPr="00DF1C08">
        <w:rPr>
          <w:rFonts w:ascii="Verdana" w:hAnsi="Verdana"/>
          <w:i/>
          <w:spacing w:val="-4"/>
          <w:sz w:val="20"/>
          <w:szCs w:val="20"/>
        </w:rPr>
        <w:t>c</w:t>
      </w:r>
      <w:r w:rsidR="00B30A47" w:rsidRPr="00DF1C08">
        <w:rPr>
          <w:rFonts w:ascii="Verdana" w:hAnsi="Verdana"/>
          <w:i/>
          <w:spacing w:val="-4"/>
          <w:sz w:val="20"/>
          <w:szCs w:val="20"/>
        </w:rPr>
        <w:t>]</w:t>
      </w:r>
      <w:proofErr w:type="spellStart"/>
      <w:r w:rsidR="009A16D0" w:rsidRPr="00DF1C08">
        <w:rPr>
          <w:rFonts w:ascii="Verdana" w:hAnsi="Verdana"/>
          <w:i/>
          <w:spacing w:val="-4"/>
          <w:sz w:val="20"/>
          <w:szCs w:val="20"/>
          <w:lang w:val="es-ES"/>
        </w:rPr>
        <w:t>on</w:t>
      </w:r>
      <w:proofErr w:type="spellEnd"/>
      <w:r w:rsidR="009A16D0" w:rsidRPr="00DF1C08">
        <w:rPr>
          <w:rFonts w:ascii="Verdana" w:hAnsi="Verdana"/>
          <w:i/>
          <w:spacing w:val="-4"/>
          <w:sz w:val="20"/>
          <w:szCs w:val="20"/>
          <w:lang w:val="es-ES"/>
        </w:rPr>
        <w:t xml:space="preserve"> fundamento en las consideraciones anteriores, la C[omisión] </w:t>
      </w:r>
      <w:proofErr w:type="spellStart"/>
      <w:r w:rsidR="009A16D0" w:rsidRPr="00DF1C08">
        <w:rPr>
          <w:rFonts w:ascii="Verdana" w:hAnsi="Verdana"/>
          <w:i/>
          <w:spacing w:val="-4"/>
          <w:sz w:val="20"/>
          <w:szCs w:val="20"/>
          <w:lang w:val="es-ES"/>
        </w:rPr>
        <w:t>consider</w:t>
      </w:r>
      <w:proofErr w:type="spellEnd"/>
      <w:r w:rsidR="009A16D0" w:rsidRPr="00DF1C08">
        <w:rPr>
          <w:rFonts w:ascii="Verdana" w:hAnsi="Verdana"/>
          <w:i/>
          <w:spacing w:val="-4"/>
          <w:sz w:val="20"/>
          <w:szCs w:val="20"/>
          <w:lang w:val="es-ES"/>
        </w:rPr>
        <w:t>[</w:t>
      </w:r>
      <w:proofErr w:type="spellStart"/>
      <w:r w:rsidR="009A16D0" w:rsidRPr="00DF1C08">
        <w:rPr>
          <w:rFonts w:ascii="Verdana" w:hAnsi="Verdana"/>
          <w:i/>
          <w:spacing w:val="-4"/>
          <w:sz w:val="20"/>
          <w:szCs w:val="20"/>
          <w:lang w:val="es-ES"/>
        </w:rPr>
        <w:t>ó</w:t>
      </w:r>
      <w:proofErr w:type="spellEnd"/>
      <w:r w:rsidR="009A16D0" w:rsidRPr="00DF1C08">
        <w:rPr>
          <w:rFonts w:ascii="Verdana" w:hAnsi="Verdana"/>
          <w:i/>
          <w:spacing w:val="-4"/>
          <w:sz w:val="20"/>
          <w:szCs w:val="20"/>
          <w:lang w:val="es-ES"/>
        </w:rPr>
        <w:t>] que la presunta víctima agotó los recursos disponibles, según la legislación interna, con miras a subsanar las presuntas irregularidades en el procedimiento consultivo decidido en última instancia por la Sala Penal Permanente de la Corte Suprema de Justicia el 27 de enero de 2010</w:t>
      </w:r>
      <w:r w:rsidR="001A4A3C" w:rsidRPr="00DF1C08">
        <w:rPr>
          <w:rFonts w:ascii="Verdana" w:hAnsi="Verdana"/>
          <w:i/>
          <w:spacing w:val="-4"/>
          <w:sz w:val="20"/>
          <w:szCs w:val="20"/>
          <w:lang w:val="es-ES"/>
        </w:rPr>
        <w:t>”</w:t>
      </w:r>
      <w:r w:rsidR="009A16D0" w:rsidRPr="00DF1C08">
        <w:rPr>
          <w:rFonts w:ascii="Verdana" w:hAnsi="Verdana"/>
          <w:i/>
          <w:spacing w:val="-4"/>
          <w:sz w:val="20"/>
          <w:szCs w:val="20"/>
          <w:lang w:val="es-ES"/>
        </w:rPr>
        <w:t xml:space="preserve">. </w:t>
      </w:r>
      <w:r w:rsidR="001A4A3C" w:rsidRPr="00DF1C08">
        <w:rPr>
          <w:rFonts w:ascii="Verdana" w:hAnsi="Verdana"/>
          <w:i/>
          <w:spacing w:val="-4"/>
          <w:sz w:val="20"/>
          <w:szCs w:val="20"/>
          <w:lang w:val="es-ES"/>
        </w:rPr>
        <w:t>Por l</w:t>
      </w:r>
      <w:r w:rsidR="00B30A47" w:rsidRPr="00DF1C08">
        <w:rPr>
          <w:rFonts w:ascii="Verdana" w:hAnsi="Verdana"/>
          <w:i/>
          <w:spacing w:val="-4"/>
          <w:sz w:val="20"/>
          <w:szCs w:val="20"/>
          <w:lang w:val="es-ES"/>
        </w:rPr>
        <w:t>o anterior, la Comisión concluyó que “[</w:t>
      </w:r>
      <w:r w:rsidR="001A4A3C" w:rsidRPr="00DF1C08">
        <w:rPr>
          <w:rFonts w:ascii="Verdana" w:hAnsi="Verdana"/>
          <w:i/>
          <w:spacing w:val="-4"/>
          <w:sz w:val="20"/>
          <w:szCs w:val="20"/>
          <w:lang w:val="es-ES"/>
        </w:rPr>
        <w:t>e</w:t>
      </w:r>
      <w:r w:rsidR="00B30A47" w:rsidRPr="00DF1C08">
        <w:rPr>
          <w:rFonts w:ascii="Verdana" w:hAnsi="Verdana"/>
          <w:i/>
          <w:spacing w:val="-4"/>
          <w:sz w:val="20"/>
          <w:szCs w:val="20"/>
          <w:lang w:val="es-ES"/>
        </w:rPr>
        <w:t>]</w:t>
      </w:r>
      <w:r w:rsidR="009A16D0" w:rsidRPr="00DF1C08">
        <w:rPr>
          <w:rFonts w:ascii="Verdana" w:hAnsi="Verdana"/>
          <w:i/>
          <w:spacing w:val="-4"/>
          <w:sz w:val="20"/>
          <w:szCs w:val="20"/>
          <w:lang w:val="es-ES"/>
        </w:rPr>
        <w:t>n este sentido, se encuentra satisfecho el requisito previsto en el artículo 46.1.a) de la Convención America</w:t>
      </w:r>
      <w:r w:rsidR="002D722B" w:rsidRPr="00DF1C08">
        <w:rPr>
          <w:rFonts w:ascii="Verdana" w:hAnsi="Verdana"/>
          <w:i/>
          <w:spacing w:val="-4"/>
          <w:sz w:val="20"/>
          <w:szCs w:val="20"/>
          <w:lang w:val="es-ES"/>
        </w:rPr>
        <w:t>na”.</w:t>
      </w:r>
    </w:p>
    <w:p w:rsidR="00F4471C" w:rsidRPr="00DF1C08" w:rsidRDefault="00F4471C" w:rsidP="00F4471C">
      <w:pPr>
        <w:tabs>
          <w:tab w:val="left" w:pos="993"/>
        </w:tabs>
        <w:spacing w:after="0"/>
        <w:jc w:val="both"/>
        <w:rPr>
          <w:rFonts w:ascii="Verdana" w:hAnsi="Verdana"/>
          <w:sz w:val="20"/>
          <w:szCs w:val="20"/>
        </w:rPr>
      </w:pPr>
    </w:p>
    <w:p w:rsidR="001A4A3C" w:rsidRPr="00DF1C08" w:rsidRDefault="001A4A3C" w:rsidP="00F4471C">
      <w:pPr>
        <w:tabs>
          <w:tab w:val="left" w:pos="993"/>
        </w:tabs>
        <w:spacing w:after="0"/>
        <w:jc w:val="both"/>
        <w:rPr>
          <w:rFonts w:ascii="Verdana" w:hAnsi="Verdana"/>
          <w:sz w:val="20"/>
          <w:szCs w:val="20"/>
        </w:rPr>
      </w:pPr>
      <w:r w:rsidRPr="00DF1C08">
        <w:rPr>
          <w:rFonts w:ascii="Verdana" w:hAnsi="Verdana"/>
          <w:sz w:val="20"/>
          <w:szCs w:val="20"/>
        </w:rPr>
        <w:t>Procede llamar la atención primeramente, que el Informe de Admisibilidad alude, como fundamento de la decisión de admitir a la petición, a hechos y/o actuaciones judiciales que tuvieron lugar con posterioridad a esta última y a las correspondientes observaciones del Estado, vale decir, sigue así su constante práctica de determinar si los recursos internos se han agotado previamente al referido Informe y no si lo han hecho en forma previa a la petición</w:t>
      </w:r>
      <w:r w:rsidR="000A4F0F" w:rsidRPr="00DF1C08">
        <w:rPr>
          <w:rStyle w:val="FootnoteReference"/>
          <w:szCs w:val="20"/>
        </w:rPr>
        <w:footnoteReference w:id="37"/>
      </w:r>
      <w:r w:rsidR="00B30A47" w:rsidRPr="00DF1C08">
        <w:rPr>
          <w:rFonts w:ascii="Verdana" w:hAnsi="Verdana"/>
          <w:sz w:val="20"/>
          <w:szCs w:val="20"/>
        </w:rPr>
        <w:t>.</w:t>
      </w:r>
    </w:p>
    <w:p w:rsidR="00F4471C" w:rsidRPr="00DF1C08" w:rsidRDefault="00F4471C" w:rsidP="00F4471C">
      <w:pPr>
        <w:tabs>
          <w:tab w:val="left" w:pos="993"/>
        </w:tabs>
        <w:spacing w:after="0"/>
        <w:jc w:val="both"/>
        <w:rPr>
          <w:rFonts w:ascii="Verdana" w:hAnsi="Verdana"/>
          <w:sz w:val="20"/>
          <w:szCs w:val="20"/>
        </w:rPr>
      </w:pPr>
    </w:p>
    <w:p w:rsidR="00CD1647" w:rsidRPr="00DF1C08" w:rsidRDefault="001A4A3C" w:rsidP="00F4471C">
      <w:pPr>
        <w:tabs>
          <w:tab w:val="left" w:pos="993"/>
        </w:tabs>
        <w:spacing w:after="0"/>
        <w:jc w:val="both"/>
        <w:rPr>
          <w:rFonts w:ascii="Verdana" w:hAnsi="Verdana"/>
          <w:sz w:val="20"/>
          <w:szCs w:val="20"/>
        </w:rPr>
      </w:pPr>
      <w:r w:rsidRPr="00DF1C08">
        <w:rPr>
          <w:rFonts w:ascii="Verdana" w:hAnsi="Verdana"/>
          <w:sz w:val="20"/>
          <w:szCs w:val="20"/>
        </w:rPr>
        <w:t>Asimismo, es del caso señalar que</w:t>
      </w:r>
      <w:r w:rsidR="00CF7447" w:rsidRPr="00DF1C08">
        <w:rPr>
          <w:rFonts w:ascii="Verdana" w:hAnsi="Verdana"/>
          <w:sz w:val="20"/>
          <w:szCs w:val="20"/>
        </w:rPr>
        <w:t xml:space="preserve">, a los efectos de fundamentar la resolución de que da cuenta dicho Informe, no se alude a las medidas provisionales que, el 28 de mayo de 2010, habían </w:t>
      </w:r>
      <w:r w:rsidR="00CC6AD1" w:rsidRPr="00DF1C08">
        <w:rPr>
          <w:rFonts w:ascii="Verdana" w:hAnsi="Verdana"/>
          <w:sz w:val="20"/>
          <w:szCs w:val="20"/>
        </w:rPr>
        <w:t xml:space="preserve">dispuesto </w:t>
      </w:r>
      <w:r w:rsidR="00CF7447" w:rsidRPr="00DF1C08">
        <w:rPr>
          <w:rFonts w:ascii="Verdana" w:hAnsi="Verdana"/>
          <w:sz w:val="20"/>
          <w:szCs w:val="20"/>
        </w:rPr>
        <w:t>que el Estado se abstuviera</w:t>
      </w:r>
      <w:r w:rsidR="00CC6AD1" w:rsidRPr="00DF1C08">
        <w:rPr>
          <w:rFonts w:ascii="Verdana" w:hAnsi="Verdana"/>
          <w:sz w:val="20"/>
          <w:szCs w:val="20"/>
        </w:rPr>
        <w:t xml:space="preserve"> de extraditar al señor Wong Ho </w:t>
      </w:r>
      <w:proofErr w:type="spellStart"/>
      <w:r w:rsidR="00CC6AD1" w:rsidRPr="00DF1C08">
        <w:rPr>
          <w:rFonts w:ascii="Verdana" w:hAnsi="Verdana"/>
          <w:sz w:val="20"/>
          <w:szCs w:val="20"/>
        </w:rPr>
        <w:t>Wing</w:t>
      </w:r>
      <w:proofErr w:type="spellEnd"/>
      <w:r w:rsidR="00CC6AD1" w:rsidRPr="00DF1C08">
        <w:rPr>
          <w:rFonts w:ascii="Verdana" w:hAnsi="Verdana"/>
          <w:sz w:val="20"/>
          <w:szCs w:val="20"/>
        </w:rPr>
        <w:t xml:space="preserve"> hasta el 17 de diciembre de 2010, de manera de permitir a la Comisión Interamericana de Derechos Humanos que examin</w:t>
      </w:r>
      <w:r w:rsidR="00B30A47" w:rsidRPr="00DF1C08">
        <w:rPr>
          <w:rFonts w:ascii="Verdana" w:hAnsi="Verdana"/>
          <w:sz w:val="20"/>
          <w:szCs w:val="20"/>
        </w:rPr>
        <w:t>ara</w:t>
      </w:r>
      <w:r w:rsidR="00CC6AD1" w:rsidRPr="00DF1C08">
        <w:rPr>
          <w:rFonts w:ascii="Verdana" w:hAnsi="Verdana"/>
          <w:sz w:val="20"/>
          <w:szCs w:val="20"/>
        </w:rPr>
        <w:t xml:space="preserve"> y se pronunci</w:t>
      </w:r>
      <w:r w:rsidR="00B30A47" w:rsidRPr="00DF1C08">
        <w:rPr>
          <w:rFonts w:ascii="Verdana" w:hAnsi="Verdana"/>
          <w:sz w:val="20"/>
          <w:szCs w:val="20"/>
        </w:rPr>
        <w:t>ara</w:t>
      </w:r>
      <w:r w:rsidR="00CC6AD1" w:rsidRPr="00DF1C08">
        <w:rPr>
          <w:rFonts w:ascii="Verdana" w:hAnsi="Verdana"/>
          <w:sz w:val="20"/>
          <w:szCs w:val="20"/>
        </w:rPr>
        <w:t xml:space="preserve"> sobre la petición P-366-09 interpuesta ante dicho órgano el 27 de marzo de 2009.</w:t>
      </w:r>
      <w:r w:rsidR="00CF7447" w:rsidRPr="00DF1C08">
        <w:rPr>
          <w:rFonts w:ascii="Verdana" w:hAnsi="Verdana"/>
          <w:sz w:val="20"/>
          <w:szCs w:val="20"/>
        </w:rPr>
        <w:t xml:space="preserve"> Es decir,</w:t>
      </w:r>
      <w:r w:rsidR="00170E6F" w:rsidRPr="00DF1C08">
        <w:rPr>
          <w:rFonts w:ascii="Verdana" w:hAnsi="Verdana"/>
          <w:sz w:val="20"/>
          <w:szCs w:val="20"/>
        </w:rPr>
        <w:t xml:space="preserve"> en el Informe no se considera que la eventual extradición del </w:t>
      </w:r>
      <w:r w:rsidR="00B30A47" w:rsidRPr="00DF1C08">
        <w:rPr>
          <w:rFonts w:ascii="Verdana" w:hAnsi="Verdana"/>
          <w:sz w:val="20"/>
          <w:szCs w:val="20"/>
        </w:rPr>
        <w:t>señor</w:t>
      </w:r>
      <w:r w:rsidR="00170E6F" w:rsidRPr="00DF1C08">
        <w:rPr>
          <w:rFonts w:ascii="Verdana" w:hAnsi="Verdana"/>
          <w:sz w:val="20"/>
          <w:szCs w:val="20"/>
        </w:rPr>
        <w:t xml:space="preserve"> Wong Ho </w:t>
      </w:r>
      <w:proofErr w:type="spellStart"/>
      <w:r w:rsidR="00170E6F" w:rsidRPr="00DF1C08">
        <w:rPr>
          <w:rFonts w:ascii="Verdana" w:hAnsi="Verdana"/>
          <w:sz w:val="20"/>
          <w:szCs w:val="20"/>
        </w:rPr>
        <w:t>Wing</w:t>
      </w:r>
      <w:proofErr w:type="spellEnd"/>
      <w:r w:rsidR="00CF7447" w:rsidRPr="00DF1C08">
        <w:rPr>
          <w:rFonts w:ascii="Verdana" w:hAnsi="Verdana"/>
          <w:sz w:val="20"/>
          <w:szCs w:val="20"/>
        </w:rPr>
        <w:t xml:space="preserve"> </w:t>
      </w:r>
      <w:r w:rsidR="00170E6F" w:rsidRPr="00DF1C08">
        <w:rPr>
          <w:rFonts w:ascii="Verdana" w:hAnsi="Verdana"/>
          <w:sz w:val="20"/>
          <w:szCs w:val="20"/>
        </w:rPr>
        <w:t xml:space="preserve">se encontraba </w:t>
      </w:r>
      <w:r w:rsidR="00170E6F" w:rsidRPr="00DF1C08">
        <w:rPr>
          <w:rFonts w:ascii="Verdana" w:hAnsi="Verdana"/>
          <w:sz w:val="20"/>
          <w:szCs w:val="20"/>
        </w:rPr>
        <w:lastRenderedPageBreak/>
        <w:t>suspendida y, por tanto, el proceso correspondiente, por así ordenarlo la Corte a solicitud, por lo demás, de la propia Comisión.</w:t>
      </w:r>
    </w:p>
    <w:p w:rsidR="00CC6AD1" w:rsidRPr="00DF1C08" w:rsidRDefault="00CC6AD1" w:rsidP="00F4471C">
      <w:pPr>
        <w:spacing w:after="0"/>
        <w:jc w:val="both"/>
        <w:rPr>
          <w:rFonts w:ascii="Verdana" w:hAnsi="Verdana"/>
          <w:sz w:val="20"/>
          <w:szCs w:val="20"/>
        </w:rPr>
      </w:pPr>
    </w:p>
    <w:p w:rsidR="005B2171" w:rsidRPr="00DF1C08" w:rsidRDefault="005B2171" w:rsidP="00F4471C">
      <w:pPr>
        <w:numPr>
          <w:ilvl w:val="0"/>
          <w:numId w:val="2"/>
        </w:numPr>
        <w:spacing w:after="0"/>
        <w:ind w:left="0" w:firstLine="0"/>
        <w:jc w:val="both"/>
        <w:rPr>
          <w:rFonts w:ascii="Verdana" w:hAnsi="Verdana" w:cs="Calibri"/>
          <w:b/>
          <w:sz w:val="20"/>
          <w:szCs w:val="20"/>
        </w:rPr>
      </w:pPr>
      <w:r w:rsidRPr="00DF1C08">
        <w:rPr>
          <w:rFonts w:ascii="Verdana" w:hAnsi="Verdana" w:cs="Calibri"/>
          <w:b/>
          <w:sz w:val="20"/>
          <w:szCs w:val="20"/>
        </w:rPr>
        <w:t>CONSIDERACIONES SOBRE LA SENTENCIA.</w:t>
      </w:r>
    </w:p>
    <w:p w:rsidR="00F4471C" w:rsidRPr="00DF1C08" w:rsidRDefault="00F4471C" w:rsidP="00F4471C">
      <w:pPr>
        <w:pStyle w:val="PrrafodeSentencia"/>
        <w:spacing w:after="0"/>
      </w:pPr>
    </w:p>
    <w:p w:rsidR="00013E55" w:rsidRPr="00DF1C08" w:rsidRDefault="00013E55" w:rsidP="00F4471C">
      <w:pPr>
        <w:pStyle w:val="PrrafodeSentencia"/>
        <w:spacing w:after="0"/>
      </w:pPr>
      <w:r w:rsidRPr="00DF1C08">
        <w:t>La Sentencia</w:t>
      </w:r>
      <w:r w:rsidR="00F62F6D" w:rsidRPr="00DF1C08">
        <w:t xml:space="preserve"> se refiere a los dos alegatos del Estado formulados a propósito de la excepción preliminar que plantea. Uno consistente en que al momento en que se presentó la petición inicial no se habían a</w:t>
      </w:r>
      <w:r w:rsidR="004935F9" w:rsidRPr="00DF1C08">
        <w:t>gotado los recursos internos, y</w:t>
      </w:r>
      <w:r w:rsidR="00F62F6D" w:rsidRPr="00DF1C08">
        <w:t xml:space="preserve"> el otro referido a que, al decidir la admisibilidad la Comisión no tomó en cuenta que se encontraba en trámite otras demandas de</w:t>
      </w:r>
      <w:r w:rsidR="00F62F6D" w:rsidRPr="00DF1C08">
        <w:rPr>
          <w:i/>
        </w:rPr>
        <w:t xml:space="preserve"> </w:t>
      </w:r>
      <w:r w:rsidR="00F62F6D" w:rsidRPr="00DF1C08">
        <w:t>hábeas corpus interpuestos por el representante</w:t>
      </w:r>
      <w:r w:rsidR="000A4F0F" w:rsidRPr="00DF1C08">
        <w:rPr>
          <w:rStyle w:val="FootnoteReference"/>
        </w:rPr>
        <w:footnoteReference w:id="38"/>
      </w:r>
      <w:r w:rsidR="002C6615" w:rsidRPr="00DF1C08">
        <w:t>.</w:t>
      </w:r>
      <w:r w:rsidR="00F62F6D" w:rsidRPr="00DF1C08">
        <w:t xml:space="preserve"> En el presente escrito interesa tan solo el p</w:t>
      </w:r>
      <w:r w:rsidR="002C6615" w:rsidRPr="00DF1C08">
        <w:t xml:space="preserve">rimer alegato, respecto al que </w:t>
      </w:r>
      <w:r w:rsidR="00F62F6D" w:rsidRPr="00DF1C08">
        <w:t xml:space="preserve">la Sentencia </w:t>
      </w:r>
      <w:r w:rsidRPr="00DF1C08">
        <w:t xml:space="preserve">proporciona cuatro razones para desestimar la excepción preliminar interpuesta por el Estado por incumplimiento de la obligación, por parte del peticionario, de agotar </w:t>
      </w:r>
      <w:r w:rsidR="00132B0E" w:rsidRPr="00DF1C08">
        <w:t xml:space="preserve">en forma previa a la petición, </w:t>
      </w:r>
      <w:r w:rsidRPr="00DF1C08">
        <w:t>pr</w:t>
      </w:r>
      <w:r w:rsidR="00132B0E" w:rsidRPr="00DF1C08">
        <w:t>eviamente los recursos internos.</w:t>
      </w:r>
    </w:p>
    <w:p w:rsidR="00F4471C" w:rsidRDefault="00F4471C" w:rsidP="00F4471C">
      <w:pPr>
        <w:pStyle w:val="PrrafodeSentencia"/>
        <w:spacing w:after="0"/>
      </w:pPr>
    </w:p>
    <w:p w:rsidR="00B90D1D" w:rsidRPr="00DF1C08" w:rsidRDefault="00013E55" w:rsidP="00F4471C">
      <w:pPr>
        <w:pStyle w:val="PrrafodeSentencia"/>
        <w:spacing w:after="0"/>
      </w:pPr>
      <w:r w:rsidRPr="00DF1C08">
        <w:t>La primera de esas razones está formulada como sigue: “</w:t>
      </w:r>
      <w:r w:rsidR="002C6615" w:rsidRPr="00DF1C08">
        <w:rPr>
          <w:i/>
        </w:rPr>
        <w:t>[t]</w:t>
      </w:r>
      <w:r w:rsidR="00B90D1D" w:rsidRPr="00DF1C08">
        <w:rPr>
          <w:i/>
        </w:rPr>
        <w:t xml:space="preserve">al como lo mencionó el Estado, las decisiones que agotaron los recursos internos según la Comisión fueron adoptadas después de la presentación de la petición inicial. </w:t>
      </w:r>
      <w:r w:rsidR="008843C0" w:rsidRPr="00DF1C08">
        <w:rPr>
          <w:i/>
          <w:lang w:val="es-ES_tradnl"/>
        </w:rPr>
        <w:t xml:space="preserve">Sin embargo, la Corte advierte que el artículo 46 de la Convención Americana, al exigir que dicho agotamiento se produzca “[p]ara que una petición o comunicación […] sea </w:t>
      </w:r>
      <w:r w:rsidR="008843C0" w:rsidRPr="00DF1C08">
        <w:rPr>
          <w:i/>
          <w:u w:val="single"/>
          <w:lang w:val="es-ES_tradnl"/>
        </w:rPr>
        <w:t>admitida</w:t>
      </w:r>
      <w:r w:rsidR="008843C0" w:rsidRPr="00DF1C08">
        <w:rPr>
          <w:i/>
          <w:lang w:val="es-ES_tradnl"/>
        </w:rPr>
        <w:t xml:space="preserve"> por la Comisión” (subrayado añadido), debe ser interpretado en el sentido que exige el agotamiento de los recursos para el momento en que se decida sobre la admisibilidad de la petición y no para el momento de la presentación de la misma”</w:t>
      </w:r>
      <w:r w:rsidR="000A4F0F" w:rsidRPr="00DF1C08">
        <w:rPr>
          <w:rStyle w:val="FootnoteReference"/>
        </w:rPr>
        <w:footnoteReference w:id="39"/>
      </w:r>
      <w:r w:rsidR="002C6615" w:rsidRPr="00DF1C08">
        <w:t>.</w:t>
      </w:r>
      <w:r w:rsidR="00B90D1D" w:rsidRPr="00DF1C08">
        <w:t xml:space="preserve"> </w:t>
      </w:r>
    </w:p>
    <w:p w:rsidR="00F4471C" w:rsidRPr="00DF1C08" w:rsidRDefault="00F4471C" w:rsidP="00F4471C">
      <w:pPr>
        <w:pStyle w:val="PrrafodeSentencia"/>
        <w:spacing w:after="0"/>
      </w:pPr>
    </w:p>
    <w:p w:rsidR="00B201CB" w:rsidRPr="00DF1C08" w:rsidRDefault="00013E55" w:rsidP="00F4471C">
      <w:pPr>
        <w:pStyle w:val="PrrafodeSentencia"/>
        <w:spacing w:after="0"/>
      </w:pPr>
      <w:r w:rsidRPr="00DF1C08">
        <w:t>De esa forma, la Sentencia sigue su invariable postura de que el requisito del previo agotamiento de los recursos internos debe estar cumplido al momento en la Comisión decide sobre la admisibilidad de la petición y no cuando ésta es presentada, posición que, como se ha indicado en la Parte I de este escrito y especialmente en sus acápites B, C y D</w:t>
      </w:r>
      <w:r w:rsidR="002D15DC" w:rsidRPr="00DF1C08">
        <w:t xml:space="preserve">, no se comparte en este voto, puesto </w:t>
      </w:r>
      <w:r w:rsidRPr="00DF1C08">
        <w:t>que</w:t>
      </w:r>
      <w:r w:rsidR="002D15DC" w:rsidRPr="00DF1C08">
        <w:t>, en especial,</w:t>
      </w:r>
      <w:r w:rsidRPr="00DF1C08">
        <w:t xml:space="preserve"> contradice lo dispuesto </w:t>
      </w:r>
      <w:r w:rsidR="002D15DC" w:rsidRPr="00DF1C08">
        <w:t xml:space="preserve">expresamente </w:t>
      </w:r>
      <w:r w:rsidRPr="00DF1C08">
        <w:t>en el propio artículo 46.1.a), al olvidar el calificativo de “</w:t>
      </w:r>
      <w:r w:rsidRPr="00DF1C08">
        <w:rPr>
          <w:i/>
        </w:rPr>
        <w:t>presentada</w:t>
      </w:r>
      <w:r w:rsidRPr="00DF1C08">
        <w:t>” que le atribuye a la petición para señalar que es respecto de ella que procede declararla admisible o inadmisible</w:t>
      </w:r>
      <w:r w:rsidR="002D15DC" w:rsidRPr="00DF1C08">
        <w:t>,</w:t>
      </w:r>
      <w:r w:rsidR="00B35B78" w:rsidRPr="00DF1C08">
        <w:t xml:space="preserve"> no pondera las observaciones del Estado y el hecho de que ellas solo pueden referirse a esa petición y que </w:t>
      </w:r>
      <w:r w:rsidR="00D54E69" w:rsidRPr="00DF1C08">
        <w:t xml:space="preserve">de </w:t>
      </w:r>
      <w:r w:rsidR="00B35B78" w:rsidRPr="00DF1C08">
        <w:t>esa forma se establece el contradictorio en la materia</w:t>
      </w:r>
      <w:r w:rsidR="002D15DC" w:rsidRPr="00DF1C08">
        <w:t xml:space="preserve"> y</w:t>
      </w:r>
      <w:r w:rsidR="00B35B78" w:rsidRPr="00DF1C08">
        <w:t xml:space="preserve"> sobre la cual debe pronunciarse</w:t>
      </w:r>
      <w:r w:rsidR="002D15DC" w:rsidRPr="00DF1C08">
        <w:t xml:space="preserve">, </w:t>
      </w:r>
      <w:r w:rsidR="00DA6010" w:rsidRPr="00DF1C08">
        <w:t xml:space="preserve">y, </w:t>
      </w:r>
      <w:r w:rsidR="002D15DC" w:rsidRPr="00DF1C08">
        <w:t>por último,</w:t>
      </w:r>
      <w:r w:rsidR="00B35B78" w:rsidRPr="00DF1C08">
        <w:t xml:space="preserve"> </w:t>
      </w:r>
      <w:r w:rsidR="002D15DC" w:rsidRPr="00DF1C08">
        <w:t>no considera que, para pronunciarse sobre la admisibilidad, la Comisión debe “</w:t>
      </w:r>
      <w:r w:rsidR="002D15DC" w:rsidRPr="00DF1C08">
        <w:rPr>
          <w:i/>
        </w:rPr>
        <w:t>verificar</w:t>
      </w:r>
      <w:r w:rsidR="002D15DC" w:rsidRPr="00DF1C08">
        <w:t>”, esto es, comprobar que se ha cumplido el requisito del previo agotamiento de los recursos interno, lo que indudable y consecuentemente debe haber acontecido antes de ese instante.</w:t>
      </w:r>
      <w:r w:rsidR="00B201CB" w:rsidRPr="00DF1C08">
        <w:t xml:space="preserve"> </w:t>
      </w:r>
    </w:p>
    <w:p w:rsidR="003F5DFE" w:rsidRPr="00DF1C08" w:rsidRDefault="003F5DFE" w:rsidP="00F4471C">
      <w:pPr>
        <w:pStyle w:val="PrrafodeSentencia"/>
        <w:spacing w:after="0"/>
      </w:pPr>
    </w:p>
    <w:p w:rsidR="009954B8" w:rsidRPr="00DF1C08" w:rsidRDefault="00B35B78" w:rsidP="00F4471C">
      <w:pPr>
        <w:pStyle w:val="PrrafodeSentencia"/>
        <w:spacing w:after="0"/>
        <w:rPr>
          <w:i/>
        </w:rPr>
      </w:pPr>
      <w:r w:rsidRPr="00DF1C08">
        <w:t>Es de advertir también que la Sentencia parece incurrir en una contradicción, puesto que, en el marco de la exposición de su segunda</w:t>
      </w:r>
      <w:r w:rsidR="00DA6010" w:rsidRPr="00DF1C08">
        <w:t xml:space="preserve"> razón</w:t>
      </w:r>
      <w:r w:rsidRPr="00DF1C08">
        <w:t xml:space="preserve"> para desestimar la excepción preliminar en cuestión, afirma que </w:t>
      </w:r>
      <w:r w:rsidR="000845D0" w:rsidRPr="00DF1C08">
        <w:t>“</w:t>
      </w:r>
      <w:r w:rsidR="00D54E69" w:rsidRPr="00DF1C08">
        <w:rPr>
          <w:i/>
        </w:rPr>
        <w:t>[</w:t>
      </w:r>
      <w:r w:rsidRPr="00DF1C08">
        <w:rPr>
          <w:i/>
        </w:rPr>
        <w:t>u</w:t>
      </w:r>
      <w:r w:rsidR="00D54E69" w:rsidRPr="00DF1C08">
        <w:rPr>
          <w:i/>
        </w:rPr>
        <w:t>]</w:t>
      </w:r>
      <w:r w:rsidRPr="00DF1C08">
        <w:rPr>
          <w:i/>
        </w:rPr>
        <w:t xml:space="preserve">na vez transmitida la petición al Estado se inicia la etapa de admisibilidad y por ende el contradictorio sobre si se cumplen con los requisitos de admisibilidad de la petición, entre ellos, el requisito de agotamiento de los recursos </w:t>
      </w:r>
      <w:r w:rsidRPr="00DF1C08">
        <w:rPr>
          <w:i/>
        </w:rPr>
        <w:lastRenderedPageBreak/>
        <w:t xml:space="preserve">internos” </w:t>
      </w:r>
      <w:r w:rsidRPr="00DF1C08">
        <w:t>y que</w:t>
      </w:r>
      <w:r w:rsidRPr="00DF1C08">
        <w:rPr>
          <w:i/>
        </w:rPr>
        <w:t xml:space="preserve"> “es al momento de analizar la admisibilidad donde la Comisión decide si la petición cumplió o no con dicho requisito, o si resulta aplicable alguna de las excepciones previstas en la Convención</w:t>
      </w:r>
      <w:r w:rsidR="009954B8" w:rsidRPr="00DF1C08">
        <w:rPr>
          <w:i/>
        </w:rPr>
        <w:t>”</w:t>
      </w:r>
      <w:r w:rsidR="000A4F0F" w:rsidRPr="00DF1C08">
        <w:rPr>
          <w:rStyle w:val="FootnoteReference"/>
        </w:rPr>
        <w:footnoteReference w:id="40"/>
      </w:r>
      <w:r w:rsidR="0016570F" w:rsidRPr="00DF1C08">
        <w:rPr>
          <w:i/>
        </w:rPr>
        <w:t>.</w:t>
      </w:r>
      <w:r w:rsidR="009954B8" w:rsidRPr="00DF1C08">
        <w:t xml:space="preserve"> De esas palabras se podría colegir que la Sentencia sigue la tesis expuesta en este voto, vale decir, que es sobre el contradictorio establecido o conformado por la petición y las correspondientes observaciones del Estado, que debe recaer el pronunciamiento de la Comisión sobre la admisibilidad o inadmisibilidad de la petición “</w:t>
      </w:r>
      <w:r w:rsidR="009954B8" w:rsidRPr="00DF1C08">
        <w:rPr>
          <w:i/>
        </w:rPr>
        <w:t>presentada”.</w:t>
      </w:r>
    </w:p>
    <w:p w:rsidR="00F4471C" w:rsidRPr="00DF1C08" w:rsidRDefault="00F4471C" w:rsidP="00F4471C">
      <w:pPr>
        <w:pStyle w:val="PrrafodeSentencia"/>
        <w:spacing w:after="0"/>
      </w:pPr>
    </w:p>
    <w:p w:rsidR="001E3262" w:rsidRPr="00DF1C08" w:rsidRDefault="009954B8" w:rsidP="00F4471C">
      <w:pPr>
        <w:autoSpaceDE w:val="0"/>
        <w:autoSpaceDN w:val="0"/>
        <w:adjustRightInd w:val="0"/>
        <w:spacing w:after="0"/>
        <w:jc w:val="both"/>
        <w:rPr>
          <w:rFonts w:ascii="Verdana" w:hAnsi="Verdana"/>
          <w:sz w:val="20"/>
          <w:szCs w:val="20"/>
        </w:rPr>
      </w:pPr>
      <w:r w:rsidRPr="00DF1C08">
        <w:rPr>
          <w:rFonts w:ascii="Verdana" w:hAnsi="Verdana"/>
          <w:sz w:val="20"/>
          <w:szCs w:val="20"/>
        </w:rPr>
        <w:t>Empero, ello no es así. La segunda razón esbozada por la Sentencia para desestimar la aludida excepción preliminar es que</w:t>
      </w:r>
      <w:r w:rsidRPr="00DF1C08">
        <w:rPr>
          <w:rFonts w:ascii="Verdana" w:hAnsi="Verdana"/>
          <w:i/>
          <w:sz w:val="20"/>
          <w:szCs w:val="20"/>
        </w:rPr>
        <w:t xml:space="preserve"> </w:t>
      </w:r>
      <w:r w:rsidRPr="00DF1C08">
        <w:rPr>
          <w:rFonts w:ascii="Verdana" w:hAnsi="Verdana"/>
          <w:sz w:val="20"/>
          <w:szCs w:val="20"/>
        </w:rPr>
        <w:t>“</w:t>
      </w:r>
      <w:r w:rsidR="00B90D1D" w:rsidRPr="00DF1C08">
        <w:rPr>
          <w:rFonts w:ascii="Verdana" w:hAnsi="Verdana"/>
          <w:i/>
          <w:sz w:val="20"/>
          <w:szCs w:val="20"/>
        </w:rPr>
        <w:t>el Reglamento de la Comisión hace una distinción entre el momento en que se realiza la revisión inicial, cuando se examina solamente si la peti</w:t>
      </w:r>
      <w:r w:rsidR="0016570F" w:rsidRPr="00DF1C08">
        <w:rPr>
          <w:rFonts w:ascii="Verdana" w:hAnsi="Verdana"/>
          <w:i/>
          <w:sz w:val="20"/>
          <w:szCs w:val="20"/>
        </w:rPr>
        <w:t>ción incluyó información sobre ‘</w:t>
      </w:r>
      <w:r w:rsidR="00B90D1D" w:rsidRPr="00DF1C08">
        <w:rPr>
          <w:rFonts w:ascii="Verdana" w:hAnsi="Verdana"/>
          <w:i/>
          <w:sz w:val="20"/>
          <w:szCs w:val="20"/>
        </w:rPr>
        <w:t>las gestiones emprendidas para agotar los recursos […]</w:t>
      </w:r>
      <w:r w:rsidR="0016570F" w:rsidRPr="00DF1C08">
        <w:rPr>
          <w:rFonts w:ascii="Verdana" w:hAnsi="Verdana"/>
          <w:i/>
          <w:sz w:val="20"/>
          <w:szCs w:val="20"/>
        </w:rPr>
        <w:t xml:space="preserve"> </w:t>
      </w:r>
      <w:r w:rsidR="00B90D1D" w:rsidRPr="00DF1C08">
        <w:rPr>
          <w:rFonts w:ascii="Verdana" w:hAnsi="Verdana"/>
          <w:i/>
          <w:sz w:val="20"/>
          <w:szCs w:val="20"/>
        </w:rPr>
        <w:t>o la imposibilidad de h</w:t>
      </w:r>
      <w:r w:rsidR="0016570F" w:rsidRPr="00DF1C08">
        <w:rPr>
          <w:rFonts w:ascii="Verdana" w:hAnsi="Verdana"/>
          <w:i/>
          <w:sz w:val="20"/>
          <w:szCs w:val="20"/>
        </w:rPr>
        <w:t>acerlo’</w:t>
      </w:r>
      <w:r w:rsidR="00B90D1D" w:rsidRPr="00DF1C08">
        <w:rPr>
          <w:rFonts w:ascii="Verdana" w:hAnsi="Verdana"/>
          <w:i/>
          <w:sz w:val="20"/>
          <w:szCs w:val="20"/>
        </w:rPr>
        <w:t xml:space="preserve">, y el momento de decidir la admisibilidad, cuando se determina </w:t>
      </w:r>
      <w:r w:rsidR="00B90D1D" w:rsidRPr="00362842">
        <w:rPr>
          <w:rFonts w:ascii="Verdana" w:hAnsi="Verdana"/>
          <w:i/>
          <w:sz w:val="20"/>
          <w:szCs w:val="20"/>
        </w:rPr>
        <w:t>si ya se agotaron los mismos o aplica alguna excepción a este requisito</w:t>
      </w:r>
      <w:r w:rsidRPr="00362842">
        <w:rPr>
          <w:rFonts w:ascii="Verdana" w:hAnsi="Verdana"/>
          <w:sz w:val="20"/>
          <w:szCs w:val="20"/>
        </w:rPr>
        <w:t>”</w:t>
      </w:r>
      <w:r w:rsidR="00F2610D" w:rsidRPr="00362842">
        <w:rPr>
          <w:rStyle w:val="FootnoteReference"/>
          <w:szCs w:val="20"/>
        </w:rPr>
        <w:footnoteReference w:id="41"/>
      </w:r>
      <w:r w:rsidR="0016570F" w:rsidRPr="00362842">
        <w:rPr>
          <w:rFonts w:ascii="Verdana" w:hAnsi="Verdana"/>
          <w:sz w:val="20"/>
          <w:szCs w:val="20"/>
        </w:rPr>
        <w:t>.</w:t>
      </w:r>
      <w:r w:rsidR="00B90D1D" w:rsidRPr="00362842">
        <w:rPr>
          <w:rFonts w:ascii="Verdana" w:hAnsi="Verdana"/>
          <w:sz w:val="20"/>
          <w:szCs w:val="20"/>
        </w:rPr>
        <w:t xml:space="preserve"> </w:t>
      </w:r>
      <w:r w:rsidRPr="00362842">
        <w:rPr>
          <w:rFonts w:ascii="Verdana" w:hAnsi="Verdana"/>
          <w:sz w:val="20"/>
          <w:szCs w:val="20"/>
        </w:rPr>
        <w:t>De esa manera, la Sente</w:t>
      </w:r>
      <w:r w:rsidR="004B3E23" w:rsidRPr="00362842">
        <w:rPr>
          <w:rFonts w:ascii="Verdana" w:hAnsi="Verdana"/>
          <w:sz w:val="20"/>
          <w:szCs w:val="20"/>
        </w:rPr>
        <w:t>ncia parece reducir o poner el acento en que la obligación</w:t>
      </w:r>
      <w:r w:rsidR="002F64D7" w:rsidRPr="00362842">
        <w:rPr>
          <w:rFonts w:ascii="Verdana" w:hAnsi="Verdana"/>
          <w:sz w:val="20"/>
          <w:szCs w:val="20"/>
        </w:rPr>
        <w:t xml:space="preserve"> </w:t>
      </w:r>
      <w:r w:rsidR="004B3E23" w:rsidRPr="00362842">
        <w:rPr>
          <w:rFonts w:ascii="Verdana" w:hAnsi="Verdana"/>
          <w:sz w:val="20"/>
          <w:szCs w:val="20"/>
        </w:rPr>
        <w:t>conten</w:t>
      </w:r>
      <w:r w:rsidRPr="00362842">
        <w:rPr>
          <w:rFonts w:ascii="Verdana" w:hAnsi="Verdana"/>
          <w:sz w:val="20"/>
          <w:szCs w:val="20"/>
        </w:rPr>
        <w:t>ida</w:t>
      </w:r>
      <w:r w:rsidR="004B3E23" w:rsidRPr="00362842">
        <w:rPr>
          <w:rFonts w:ascii="Verdana" w:hAnsi="Verdana"/>
          <w:sz w:val="20"/>
          <w:szCs w:val="20"/>
        </w:rPr>
        <w:t xml:space="preserve"> el artículo </w:t>
      </w:r>
      <w:r w:rsidR="00362842" w:rsidRPr="00362842">
        <w:rPr>
          <w:rFonts w:ascii="Verdana" w:hAnsi="Verdana"/>
          <w:sz w:val="20"/>
          <w:szCs w:val="20"/>
        </w:rPr>
        <w:t>28.h</w:t>
      </w:r>
      <w:r w:rsidR="009144F5" w:rsidRPr="00362842">
        <w:rPr>
          <w:rFonts w:ascii="Verdana" w:hAnsi="Verdana"/>
          <w:color w:val="FF0000"/>
          <w:sz w:val="20"/>
          <w:szCs w:val="20"/>
        </w:rPr>
        <w:t xml:space="preserve"> </w:t>
      </w:r>
      <w:r w:rsidR="004B3E23" w:rsidRPr="00362842">
        <w:rPr>
          <w:rFonts w:ascii="Verdana" w:hAnsi="Verdana"/>
          <w:sz w:val="20"/>
          <w:szCs w:val="20"/>
        </w:rPr>
        <w:t xml:space="preserve">del Reglamento de la Comisión </w:t>
      </w:r>
      <w:r w:rsidR="00132B0E" w:rsidRPr="00362842">
        <w:rPr>
          <w:rFonts w:ascii="Verdana" w:hAnsi="Verdana"/>
          <w:sz w:val="20"/>
          <w:szCs w:val="20"/>
        </w:rPr>
        <w:t xml:space="preserve">consiste en </w:t>
      </w:r>
      <w:r w:rsidR="004B3E23" w:rsidRPr="00362842">
        <w:rPr>
          <w:rFonts w:ascii="Verdana" w:hAnsi="Verdana"/>
          <w:sz w:val="20"/>
          <w:szCs w:val="20"/>
        </w:rPr>
        <w:t xml:space="preserve">que en la petición se suministre </w:t>
      </w:r>
      <w:r w:rsidR="002F64D7" w:rsidRPr="00362842">
        <w:rPr>
          <w:rFonts w:ascii="Verdana" w:hAnsi="Verdana"/>
          <w:sz w:val="20"/>
          <w:szCs w:val="20"/>
        </w:rPr>
        <w:t>“</w:t>
      </w:r>
      <w:r w:rsidR="004B3E23" w:rsidRPr="00362842">
        <w:rPr>
          <w:rFonts w:ascii="Verdana" w:hAnsi="Verdana"/>
          <w:i/>
          <w:sz w:val="20"/>
          <w:szCs w:val="20"/>
        </w:rPr>
        <w:t>información</w:t>
      </w:r>
      <w:r w:rsidR="002F64D7" w:rsidRPr="00362842">
        <w:rPr>
          <w:rFonts w:ascii="Verdana" w:hAnsi="Verdana"/>
          <w:sz w:val="20"/>
          <w:szCs w:val="20"/>
        </w:rPr>
        <w:t>” y no sobre que ésta específicamente debe ser sobre “</w:t>
      </w:r>
      <w:r w:rsidR="002F64D7" w:rsidRPr="00362842">
        <w:rPr>
          <w:rFonts w:ascii="Verdana" w:hAnsi="Verdana"/>
          <w:i/>
          <w:sz w:val="20"/>
          <w:szCs w:val="20"/>
        </w:rPr>
        <w:t>l</w:t>
      </w:r>
      <w:r w:rsidR="002F64D7" w:rsidRPr="00362842">
        <w:rPr>
          <w:rFonts w:ascii="Verdana" w:hAnsi="Verdana" w:cs="Calibri"/>
          <w:i/>
          <w:sz w:val="20"/>
          <w:szCs w:val="20"/>
        </w:rPr>
        <w:t>as gestiones emprendidas para agotar los recursos de la jurisdicción interna o la imposibilidad de hacerlo</w:t>
      </w:r>
      <w:r w:rsidR="002F64D7" w:rsidRPr="00362842">
        <w:rPr>
          <w:rFonts w:ascii="Verdana" w:hAnsi="Verdana" w:cs="Calibri"/>
          <w:sz w:val="20"/>
          <w:szCs w:val="20"/>
        </w:rPr>
        <w:t>”. Dicho de otro modo, pareciera</w:t>
      </w:r>
      <w:r w:rsidR="002F64D7" w:rsidRPr="00DF1C08">
        <w:rPr>
          <w:rFonts w:ascii="Verdana" w:hAnsi="Verdana" w:cs="Calibri"/>
          <w:sz w:val="20"/>
          <w:szCs w:val="20"/>
        </w:rPr>
        <w:t xml:space="preserve"> que para la Sentencia basta con que se indique en general algún tipo de información sobre tales gestiones para que se cumpla el requisito necesario para considerar la petición y no que se indique clara y específicamente cuales son las gestiones, que hasta ese momento, esto es, el de la presentación de la petición, se han emprendido</w:t>
      </w:r>
      <w:r w:rsidR="004B3E23" w:rsidRPr="00DF1C08">
        <w:rPr>
          <w:rFonts w:ascii="Verdana" w:hAnsi="Verdana"/>
          <w:sz w:val="20"/>
          <w:szCs w:val="20"/>
        </w:rPr>
        <w:t xml:space="preserve"> </w:t>
      </w:r>
      <w:r w:rsidR="002F64D7" w:rsidRPr="00DF1C08">
        <w:rPr>
          <w:rFonts w:ascii="Verdana" w:hAnsi="Verdana"/>
          <w:sz w:val="20"/>
          <w:szCs w:val="20"/>
        </w:rPr>
        <w:t xml:space="preserve">para agotar dichos recursos. </w:t>
      </w:r>
    </w:p>
    <w:p w:rsidR="00F4471C" w:rsidRPr="00DF1C08" w:rsidRDefault="00F4471C" w:rsidP="00F4471C">
      <w:pPr>
        <w:autoSpaceDE w:val="0"/>
        <w:autoSpaceDN w:val="0"/>
        <w:adjustRightInd w:val="0"/>
        <w:spacing w:after="0"/>
        <w:jc w:val="both"/>
        <w:rPr>
          <w:rFonts w:ascii="Verdana" w:hAnsi="Verdana"/>
          <w:sz w:val="20"/>
          <w:szCs w:val="20"/>
        </w:rPr>
      </w:pPr>
    </w:p>
    <w:p w:rsidR="00B201CB" w:rsidRPr="00DF1C08" w:rsidRDefault="001E3262" w:rsidP="00F4471C">
      <w:pPr>
        <w:autoSpaceDE w:val="0"/>
        <w:autoSpaceDN w:val="0"/>
        <w:adjustRightInd w:val="0"/>
        <w:spacing w:after="0"/>
        <w:jc w:val="both"/>
        <w:rPr>
          <w:rFonts w:ascii="Verdana" w:hAnsi="Verdana"/>
          <w:sz w:val="20"/>
          <w:szCs w:val="20"/>
        </w:rPr>
      </w:pPr>
      <w:r w:rsidRPr="00DF1C08">
        <w:rPr>
          <w:rFonts w:ascii="Verdana" w:hAnsi="Verdana"/>
          <w:sz w:val="20"/>
          <w:szCs w:val="20"/>
        </w:rPr>
        <w:t>Por el contrario, en este voto se sostiene que l</w:t>
      </w:r>
      <w:r w:rsidR="00B201CB" w:rsidRPr="00DF1C08">
        <w:rPr>
          <w:rFonts w:ascii="Verdana" w:hAnsi="Verdana"/>
          <w:sz w:val="20"/>
          <w:szCs w:val="20"/>
        </w:rPr>
        <w:t>a obligación prevista en el artículo 28.</w:t>
      </w:r>
      <w:r w:rsidR="00844CE1">
        <w:rPr>
          <w:rFonts w:ascii="Verdana" w:hAnsi="Verdana"/>
          <w:sz w:val="20"/>
          <w:szCs w:val="20"/>
        </w:rPr>
        <w:t>h</w:t>
      </w:r>
      <w:r w:rsidR="00B201CB" w:rsidRPr="00DF1C08">
        <w:rPr>
          <w:rFonts w:ascii="Verdana" w:hAnsi="Verdana"/>
          <w:sz w:val="20"/>
          <w:szCs w:val="20"/>
        </w:rPr>
        <w:t xml:space="preserve"> no es</w:t>
      </w:r>
      <w:r w:rsidRPr="00DF1C08">
        <w:rPr>
          <w:rFonts w:ascii="Verdana" w:hAnsi="Verdana"/>
          <w:sz w:val="20"/>
          <w:szCs w:val="20"/>
        </w:rPr>
        <w:t>, pues,</w:t>
      </w:r>
      <w:r w:rsidR="00B201CB" w:rsidRPr="00DF1C08">
        <w:rPr>
          <w:rFonts w:ascii="Verdana" w:hAnsi="Verdana"/>
          <w:sz w:val="20"/>
          <w:szCs w:val="20"/>
        </w:rPr>
        <w:t xml:space="preserve"> únicamente la de “</w:t>
      </w:r>
      <w:r w:rsidR="00B201CB" w:rsidRPr="00DF1C08">
        <w:rPr>
          <w:rFonts w:ascii="Verdana" w:hAnsi="Verdana"/>
          <w:i/>
          <w:sz w:val="20"/>
          <w:szCs w:val="20"/>
        </w:rPr>
        <w:t>informar</w:t>
      </w:r>
      <w:r w:rsidR="00B201CB" w:rsidRPr="00DF1C08">
        <w:rPr>
          <w:rFonts w:ascii="Verdana" w:hAnsi="Verdana"/>
          <w:sz w:val="20"/>
          <w:szCs w:val="20"/>
        </w:rPr>
        <w:t xml:space="preserve">” </w:t>
      </w:r>
      <w:r w:rsidR="00F2610D" w:rsidRPr="00DF1C08">
        <w:rPr>
          <w:rFonts w:ascii="Verdana" w:hAnsi="Verdana"/>
          <w:sz w:val="20"/>
          <w:szCs w:val="20"/>
        </w:rPr>
        <w:t xml:space="preserve">que se realizaron gestiones </w:t>
      </w:r>
      <w:r w:rsidR="00B201CB" w:rsidRPr="00DF1C08">
        <w:rPr>
          <w:rFonts w:ascii="Verdana" w:hAnsi="Verdana"/>
          <w:sz w:val="20"/>
          <w:szCs w:val="20"/>
        </w:rPr>
        <w:t xml:space="preserve">sino </w:t>
      </w:r>
      <w:r w:rsidR="00F2610D" w:rsidRPr="00DF1C08">
        <w:rPr>
          <w:rFonts w:ascii="Verdana" w:hAnsi="Verdana"/>
          <w:sz w:val="20"/>
          <w:szCs w:val="20"/>
        </w:rPr>
        <w:t xml:space="preserve">la </w:t>
      </w:r>
      <w:r w:rsidR="00B201CB" w:rsidRPr="00DF1C08">
        <w:rPr>
          <w:rFonts w:ascii="Verdana" w:hAnsi="Verdana"/>
          <w:sz w:val="20"/>
          <w:szCs w:val="20"/>
        </w:rPr>
        <w:t>de “</w:t>
      </w:r>
      <w:r w:rsidR="00B201CB" w:rsidRPr="00DF1C08">
        <w:rPr>
          <w:rFonts w:ascii="Verdana" w:hAnsi="Verdana"/>
          <w:i/>
          <w:sz w:val="20"/>
          <w:szCs w:val="20"/>
        </w:rPr>
        <w:t>informar</w:t>
      </w:r>
      <w:r w:rsidR="00F2610D" w:rsidRPr="00DF1C08">
        <w:rPr>
          <w:rFonts w:ascii="Verdana" w:hAnsi="Verdana"/>
          <w:i/>
          <w:sz w:val="20"/>
          <w:szCs w:val="20"/>
        </w:rPr>
        <w:t>”</w:t>
      </w:r>
      <w:r w:rsidR="00F2610D" w:rsidRPr="00DF1C08">
        <w:rPr>
          <w:rFonts w:ascii="Verdana" w:hAnsi="Verdana"/>
          <w:sz w:val="20"/>
          <w:szCs w:val="20"/>
        </w:rPr>
        <w:t xml:space="preserve"> específicamente</w:t>
      </w:r>
      <w:r w:rsidR="00F2610D" w:rsidRPr="00DF1C08">
        <w:rPr>
          <w:rFonts w:ascii="Verdana" w:hAnsi="Verdana"/>
          <w:i/>
          <w:sz w:val="20"/>
          <w:szCs w:val="20"/>
        </w:rPr>
        <w:t xml:space="preserve"> “sobre </w:t>
      </w:r>
      <w:r w:rsidR="00B201CB" w:rsidRPr="00DF1C08">
        <w:rPr>
          <w:rFonts w:ascii="Verdana" w:hAnsi="Verdana"/>
          <w:i/>
          <w:sz w:val="20"/>
          <w:szCs w:val="20"/>
        </w:rPr>
        <w:t>las gestiones emprendidas</w:t>
      </w:r>
      <w:r w:rsidR="00B201CB" w:rsidRPr="00DF1C08">
        <w:rPr>
          <w:rFonts w:ascii="Verdana" w:hAnsi="Verdana"/>
          <w:sz w:val="20"/>
          <w:szCs w:val="20"/>
        </w:rPr>
        <w:t>” hasta ese momento, “</w:t>
      </w:r>
      <w:r w:rsidR="00B201CB" w:rsidRPr="00DF1C08">
        <w:rPr>
          <w:rFonts w:ascii="Verdana" w:hAnsi="Verdana"/>
          <w:i/>
          <w:sz w:val="20"/>
          <w:szCs w:val="20"/>
        </w:rPr>
        <w:t>para agotar los recursos de la jurisdicción interna o la imposibilidad de hacerlo</w:t>
      </w:r>
      <w:r w:rsidRPr="00DF1C08">
        <w:rPr>
          <w:rFonts w:ascii="Verdana" w:hAnsi="Verdana"/>
          <w:sz w:val="20"/>
          <w:szCs w:val="20"/>
        </w:rPr>
        <w:t>”. La obligación consiste</w:t>
      </w:r>
      <w:r w:rsidR="00B201CB" w:rsidRPr="00DF1C08">
        <w:rPr>
          <w:rFonts w:ascii="Verdana" w:hAnsi="Verdana"/>
          <w:sz w:val="20"/>
          <w:szCs w:val="20"/>
        </w:rPr>
        <w:t xml:space="preserve">, entonces, </w:t>
      </w:r>
      <w:r w:rsidRPr="00DF1C08">
        <w:rPr>
          <w:rFonts w:ascii="Verdana" w:hAnsi="Verdana"/>
          <w:sz w:val="20"/>
          <w:szCs w:val="20"/>
        </w:rPr>
        <w:t xml:space="preserve">en </w:t>
      </w:r>
      <w:r w:rsidR="00B201CB" w:rsidRPr="00DF1C08">
        <w:rPr>
          <w:rFonts w:ascii="Verdana" w:hAnsi="Verdana"/>
          <w:sz w:val="20"/>
          <w:szCs w:val="20"/>
        </w:rPr>
        <w:t>que se den a conocer las gestiones</w:t>
      </w:r>
      <w:r w:rsidR="00F2610D" w:rsidRPr="00DF1C08">
        <w:rPr>
          <w:rFonts w:ascii="Verdana" w:hAnsi="Verdana"/>
          <w:sz w:val="20"/>
          <w:szCs w:val="20"/>
        </w:rPr>
        <w:t xml:space="preserve"> específicamente</w:t>
      </w:r>
      <w:r w:rsidR="00B201CB" w:rsidRPr="00DF1C08">
        <w:rPr>
          <w:rFonts w:ascii="Verdana" w:hAnsi="Verdana"/>
          <w:sz w:val="20"/>
          <w:szCs w:val="20"/>
        </w:rPr>
        <w:t xml:space="preserve"> realizadas y que implicaron que los señalados recursos </w:t>
      </w:r>
      <w:r w:rsidRPr="00DF1C08">
        <w:rPr>
          <w:rFonts w:ascii="Verdana" w:hAnsi="Verdana"/>
          <w:sz w:val="20"/>
          <w:szCs w:val="20"/>
        </w:rPr>
        <w:t>ya se encuentran agotados</w:t>
      </w:r>
      <w:r w:rsidR="00B201CB" w:rsidRPr="00DF1C08">
        <w:rPr>
          <w:rFonts w:ascii="Verdana" w:hAnsi="Verdana"/>
          <w:sz w:val="20"/>
          <w:szCs w:val="20"/>
        </w:rPr>
        <w:t xml:space="preserve"> o que se indique la imposibilidad de agotarlos</w:t>
      </w:r>
      <w:r w:rsidR="003D441E">
        <w:rPr>
          <w:rFonts w:ascii="Verdana" w:hAnsi="Verdana"/>
          <w:sz w:val="20"/>
          <w:szCs w:val="20"/>
        </w:rPr>
        <w:t xml:space="preserve">. </w:t>
      </w:r>
      <w:r w:rsidR="00F2610D" w:rsidRPr="00DF1C08">
        <w:rPr>
          <w:rFonts w:ascii="Verdana" w:hAnsi="Verdana"/>
          <w:sz w:val="20"/>
          <w:szCs w:val="20"/>
        </w:rPr>
        <w:t>Dicha obligación no consiste, consecuentemente, en informar genéricamente que se llev</w:t>
      </w:r>
      <w:r w:rsidR="000845D0" w:rsidRPr="00DF1C08">
        <w:rPr>
          <w:rFonts w:ascii="Verdana" w:hAnsi="Verdana"/>
          <w:sz w:val="20"/>
          <w:szCs w:val="20"/>
        </w:rPr>
        <w:t>aron a cabo gestiones, sino que</w:t>
      </w:r>
      <w:r w:rsidR="00F2610D" w:rsidRPr="00DF1C08">
        <w:rPr>
          <w:rFonts w:ascii="Verdana" w:hAnsi="Verdana"/>
          <w:sz w:val="20"/>
          <w:szCs w:val="20"/>
        </w:rPr>
        <w:t xml:space="preserve"> en informar específicamente cuales son las llevadas a cabo y que dan cuenta sea que se agotaron los recursos internos, sea que es imposible hacerlo.</w:t>
      </w:r>
    </w:p>
    <w:p w:rsidR="00F4471C" w:rsidRPr="00DF1C08" w:rsidRDefault="00F4471C" w:rsidP="00F4471C">
      <w:pPr>
        <w:pStyle w:val="PrrafodeSentencia"/>
        <w:spacing w:after="0"/>
      </w:pPr>
    </w:p>
    <w:p w:rsidR="00721BD8" w:rsidRPr="00DF1C08" w:rsidRDefault="001E3262" w:rsidP="00F4471C">
      <w:pPr>
        <w:pStyle w:val="PrrafodeSentencia"/>
        <w:spacing w:after="0"/>
      </w:pPr>
      <w:r w:rsidRPr="00DF1C08">
        <w:t>La tercera razón invocada por la Sentencia para desechar la excepción en comento está planteada en los siguientes términos: “</w:t>
      </w:r>
      <w:r w:rsidR="0016570F" w:rsidRPr="00DF1C08">
        <w:rPr>
          <w:i/>
        </w:rPr>
        <w:t>[l]</w:t>
      </w:r>
      <w:r w:rsidRPr="00DF1C08">
        <w:rPr>
          <w:i/>
        </w:rPr>
        <w:t>a Corte recuerda que la regla del previo agotamiento de los recursos internos está concebida en interés del Estado, pues busca dispensarlo de responder ante un órgano internacional por actos que se le imputen, antes de haber tenido la ocasión de remediarlos con sus propios medios</w:t>
      </w:r>
      <w:r w:rsidR="00807D16">
        <w:rPr>
          <w:i/>
        </w:rPr>
        <w:t>.</w:t>
      </w:r>
      <w:r w:rsidRPr="00DF1C08">
        <w:rPr>
          <w:i/>
        </w:rPr>
        <w:t xml:space="preserve"> No obstante, no afecta el carácter subsidiario del sistema interamericano el hecho</w:t>
      </w:r>
      <w:r w:rsidR="002D146E" w:rsidRPr="00DF1C08">
        <w:rPr>
          <w:i/>
        </w:rPr>
        <w:t xml:space="preserve"> </w:t>
      </w:r>
      <w:r w:rsidRPr="00DF1C08">
        <w:rPr>
          <w:i/>
        </w:rPr>
        <w:t xml:space="preserve">que el análisis del cumplimiento del requisito de agotamiento de recursos internos se realice de acuerdo </w:t>
      </w:r>
      <w:r w:rsidR="00807D16">
        <w:rPr>
          <w:i/>
        </w:rPr>
        <w:t>con</w:t>
      </w:r>
      <w:r w:rsidRPr="00DF1C08">
        <w:rPr>
          <w:i/>
        </w:rPr>
        <w:t xml:space="preserve"> la situación al momento de decidir sobre la admisibilidad de la petición. Por el contrario, de estar </w:t>
      </w:r>
      <w:r w:rsidRPr="00DF1C08">
        <w:rPr>
          <w:i/>
        </w:rPr>
        <w:lastRenderedPageBreak/>
        <w:t>pendiente algún recurso interno, el Estado tiene la oportunidad de solucionar la situación alegada durante la etapa de admisibilidad</w:t>
      </w:r>
      <w:r w:rsidRPr="00DF1C08">
        <w:t>”</w:t>
      </w:r>
      <w:r w:rsidR="00F2610D" w:rsidRPr="00DF1C08">
        <w:rPr>
          <w:rStyle w:val="FootnoteReference"/>
        </w:rPr>
        <w:footnoteReference w:id="42"/>
      </w:r>
      <w:r w:rsidR="0016570F" w:rsidRPr="00DF1C08">
        <w:t>.</w:t>
      </w:r>
      <w:r w:rsidRPr="00DF1C08">
        <w:t xml:space="preserve"> </w:t>
      </w:r>
    </w:p>
    <w:p w:rsidR="00F4471C" w:rsidRPr="00DF1C08" w:rsidRDefault="00F4471C" w:rsidP="00F4471C">
      <w:pPr>
        <w:pStyle w:val="PrrafodeSentencia"/>
        <w:spacing w:after="0"/>
      </w:pPr>
    </w:p>
    <w:p w:rsidR="003458F9" w:rsidRPr="00DF1C08" w:rsidRDefault="00721BD8" w:rsidP="00F4471C">
      <w:pPr>
        <w:pStyle w:val="PrrafodeSentencia"/>
        <w:spacing w:after="0"/>
      </w:pPr>
      <w:r w:rsidRPr="00DF1C08">
        <w:t>Con es</w:t>
      </w:r>
      <w:r w:rsidR="002D146E" w:rsidRPr="00DF1C08">
        <w:t>a afirmación, la Sentencia olvida que el cumplimiento de la regla del previo agotamiento de los recursos internos es básicamente una obligación que, si bien puede beneficiar al Estado o ser de su interés,</w:t>
      </w:r>
      <w:r w:rsidR="007D40AC" w:rsidRPr="00DF1C08">
        <w:t xml:space="preserve"> es</w:t>
      </w:r>
      <w:r w:rsidRPr="00DF1C08">
        <w:t xml:space="preserve"> esencialmente</w:t>
      </w:r>
      <w:r w:rsidR="007D40AC" w:rsidRPr="00DF1C08">
        <w:t xml:space="preserve"> del peticionario, esto es, es él el que la debe cumplir</w:t>
      </w:r>
      <w:r w:rsidR="000845D0" w:rsidRPr="00DF1C08">
        <w:t>. La S</w:t>
      </w:r>
      <w:r w:rsidR="002D146E" w:rsidRPr="00DF1C08">
        <w:t xml:space="preserve">entencia, en cambio, parece comprender que dicha regla es una obligación del Estado, pues indica, que si </w:t>
      </w:r>
      <w:r w:rsidR="006B7FF9" w:rsidRPr="00DF1C08">
        <w:t>está pendiente algún recurso, él puede solucionar o remediar tal situación.</w:t>
      </w:r>
      <w:r w:rsidRPr="00DF1C08">
        <w:t xml:space="preserve"> Pero, además, con dicha frase la Corte está incentivando a que se presenten peticiones ante la Comisión  aún sin haberse agotado los recursos internos, pues ello podría hacerse después, posibilitando así la coexistencia de la jurisdicción nacional con la instancia interamericana</w:t>
      </w:r>
      <w:r w:rsidR="006B7FF9" w:rsidRPr="00DF1C08">
        <w:t xml:space="preserve"> </w:t>
      </w:r>
      <w:r w:rsidRPr="00DF1C08">
        <w:t>en un mismo caso.</w:t>
      </w:r>
    </w:p>
    <w:p w:rsidR="00F4471C" w:rsidRPr="00DF1C08" w:rsidRDefault="00F4471C" w:rsidP="00F4471C">
      <w:pPr>
        <w:pStyle w:val="PrrafodeSentencia"/>
        <w:spacing w:after="0"/>
      </w:pPr>
    </w:p>
    <w:p w:rsidR="002D146E" w:rsidRPr="00DF1C08" w:rsidRDefault="00721BD8" w:rsidP="00F4471C">
      <w:pPr>
        <w:pStyle w:val="PrrafodeSentencia"/>
        <w:spacing w:after="0"/>
      </w:pPr>
      <w:r w:rsidRPr="00DF1C08">
        <w:t xml:space="preserve">Por otra parte, la Sentencia parece no tener en cuenta </w:t>
      </w:r>
      <w:r w:rsidR="00C217D3" w:rsidRPr="00DF1C08">
        <w:t>que</w:t>
      </w:r>
      <w:r w:rsidR="0016570F" w:rsidRPr="00DF1C08">
        <w:t xml:space="preserve"> </w:t>
      </w:r>
      <w:r w:rsidR="006B7FF9" w:rsidRPr="00DF1C08">
        <w:t>no le corresponde</w:t>
      </w:r>
      <w:r w:rsidRPr="00DF1C08">
        <w:t xml:space="preserve"> al Estado agotar los recursos sino que a</w:t>
      </w:r>
      <w:r w:rsidR="006B7FF9" w:rsidRPr="00DF1C08">
        <w:t xml:space="preserve"> él le compete, si procede, solucionar la situación alegada en los recursos que el peticionario haya presentado</w:t>
      </w:r>
      <w:r w:rsidRPr="00DF1C08">
        <w:t xml:space="preserve"> en su jurisdicción</w:t>
      </w:r>
      <w:r w:rsidR="006B7FF9" w:rsidRPr="00DF1C08">
        <w:t xml:space="preserve"> y si no ha presentado ninguno o aún ellos están pendientes, no le corresponde proporcionar solución alguna, puesto que</w:t>
      </w:r>
      <w:r w:rsidR="002B24B3" w:rsidRPr="00DF1C08">
        <w:t xml:space="preserve"> aún</w:t>
      </w:r>
      <w:r w:rsidR="006B7FF9" w:rsidRPr="00DF1C08">
        <w:t xml:space="preserve"> su responsabilidad internacional no está comprometida. </w:t>
      </w:r>
    </w:p>
    <w:p w:rsidR="00F4471C" w:rsidRPr="00DF1C08" w:rsidRDefault="00F4471C" w:rsidP="00F4471C">
      <w:pPr>
        <w:pStyle w:val="PrrafodeSentencia"/>
        <w:spacing w:after="0"/>
      </w:pPr>
    </w:p>
    <w:p w:rsidR="00B90D1D" w:rsidRPr="00DF1C08" w:rsidRDefault="00B52ABE" w:rsidP="00F4471C">
      <w:pPr>
        <w:pStyle w:val="PrrafodeSentencia"/>
        <w:spacing w:after="0"/>
      </w:pPr>
      <w:r w:rsidRPr="00DF1C08">
        <w:rPr>
          <w:rFonts w:eastAsia="Calibri" w:cs="Times New Roman"/>
          <w:spacing w:val="0"/>
          <w:lang w:eastAsia="en-US"/>
        </w:rPr>
        <w:t>La cuarta razón invocada por la Sentencia para no admitir la excepción en cuestión es la siguiente</w:t>
      </w:r>
      <w:r w:rsidR="00C71FD2" w:rsidRPr="00DF1C08">
        <w:rPr>
          <w:rFonts w:eastAsia="Calibri" w:cs="Times New Roman"/>
          <w:spacing w:val="0"/>
          <w:lang w:eastAsia="en-US"/>
        </w:rPr>
        <w:t>:</w:t>
      </w:r>
      <w:r w:rsidRPr="00DF1C08">
        <w:rPr>
          <w:rFonts w:eastAsia="Calibri" w:cs="Times New Roman"/>
          <w:spacing w:val="0"/>
          <w:lang w:eastAsia="en-US"/>
        </w:rPr>
        <w:t xml:space="preserve"> “</w:t>
      </w:r>
      <w:r w:rsidR="000617A0" w:rsidRPr="00DF1C08">
        <w:rPr>
          <w:i/>
        </w:rPr>
        <w:t>[a]</w:t>
      </w:r>
      <w:proofErr w:type="spellStart"/>
      <w:r w:rsidR="00B90D1D" w:rsidRPr="00DF1C08">
        <w:rPr>
          <w:i/>
        </w:rPr>
        <w:t>dicionalmente</w:t>
      </w:r>
      <w:proofErr w:type="spellEnd"/>
      <w:r w:rsidR="00B90D1D" w:rsidRPr="00DF1C08">
        <w:rPr>
          <w:i/>
        </w:rPr>
        <w:t>, la Corte considera que sería contrario al principio de economía procesal que se inadmitieran peticiones con base en que al momento de la presentación inicial no se habían agotado recursos internos, si al momento que se analiza la admisibilidad esos recursos ya fueron agotados. En sentido similar, se han pronunciado el Tribunal Europeo</w:t>
      </w:r>
      <w:r w:rsidR="00FC0437" w:rsidRPr="00FC0437">
        <w:rPr>
          <w:spacing w:val="-2"/>
        </w:rPr>
        <w:t xml:space="preserve"> </w:t>
      </w:r>
      <w:r w:rsidR="00FC0437" w:rsidRPr="00FC0437">
        <w:rPr>
          <w:i/>
          <w:spacing w:val="-2"/>
        </w:rPr>
        <w:t>de Derechos Humanos</w:t>
      </w:r>
      <w:r w:rsidR="00B90D1D" w:rsidRPr="00DF1C08">
        <w:rPr>
          <w:i/>
        </w:rPr>
        <w:t xml:space="preserve"> </w:t>
      </w:r>
      <w:r w:rsidR="00FC0437">
        <w:rPr>
          <w:i/>
        </w:rPr>
        <w:t xml:space="preserve">[…] </w:t>
      </w:r>
      <w:r w:rsidR="00B90D1D" w:rsidRPr="00DF1C08">
        <w:rPr>
          <w:i/>
        </w:rPr>
        <w:t>en algunos casos, así como la Corte Internacional de Justicia respecto del acceso a su jurisdicción</w:t>
      </w:r>
      <w:r w:rsidRPr="00DF1C08">
        <w:t>”</w:t>
      </w:r>
      <w:r w:rsidR="00721BD8" w:rsidRPr="00DF1C08">
        <w:rPr>
          <w:rStyle w:val="FootnoteReference"/>
        </w:rPr>
        <w:footnoteReference w:id="43"/>
      </w:r>
      <w:r w:rsidR="000617A0" w:rsidRPr="00DF1C08">
        <w:t>.</w:t>
      </w:r>
    </w:p>
    <w:p w:rsidR="00F4471C" w:rsidRPr="00DF1C08" w:rsidRDefault="00F4471C" w:rsidP="00F4471C">
      <w:pPr>
        <w:pStyle w:val="NormalWeb"/>
        <w:spacing w:before="0" w:beforeAutospacing="0" w:after="0" w:afterAutospacing="0" w:line="276" w:lineRule="auto"/>
        <w:jc w:val="both"/>
        <w:rPr>
          <w:rFonts w:ascii="Verdana" w:hAnsi="Verdana"/>
          <w:sz w:val="20"/>
          <w:szCs w:val="20"/>
        </w:rPr>
      </w:pPr>
    </w:p>
    <w:p w:rsidR="00C71FD2" w:rsidRPr="00DF1C08" w:rsidRDefault="00C71FD2" w:rsidP="00F4471C">
      <w:pPr>
        <w:pStyle w:val="NormalWeb"/>
        <w:spacing w:before="0" w:beforeAutospacing="0" w:after="0" w:afterAutospacing="0" w:line="276" w:lineRule="auto"/>
        <w:jc w:val="both"/>
        <w:rPr>
          <w:rFonts w:ascii="Verdana" w:hAnsi="Verdana" w:cs="Calibri"/>
          <w:sz w:val="20"/>
          <w:szCs w:val="20"/>
        </w:rPr>
      </w:pPr>
      <w:r w:rsidRPr="00DF1C08">
        <w:rPr>
          <w:rFonts w:ascii="Verdana" w:hAnsi="Verdana"/>
          <w:sz w:val="20"/>
          <w:szCs w:val="20"/>
        </w:rPr>
        <w:t>Con la referencia a la economía procesal, la Sentencia provoca</w:t>
      </w:r>
      <w:r w:rsidR="00C217D3" w:rsidRPr="00DF1C08">
        <w:rPr>
          <w:rFonts w:ascii="Verdana" w:hAnsi="Verdana"/>
          <w:sz w:val="20"/>
          <w:szCs w:val="20"/>
        </w:rPr>
        <w:t xml:space="preserve"> de manera más directa aun</w:t>
      </w:r>
      <w:r w:rsidRPr="00DF1C08">
        <w:rPr>
          <w:rFonts w:ascii="Verdana" w:hAnsi="Verdana"/>
          <w:sz w:val="20"/>
          <w:szCs w:val="20"/>
        </w:rPr>
        <w:t>que se</w:t>
      </w:r>
      <w:r w:rsidR="00721BD8" w:rsidRPr="00DF1C08">
        <w:rPr>
          <w:rFonts w:ascii="Verdana" w:hAnsi="Verdana"/>
          <w:sz w:val="20"/>
          <w:szCs w:val="20"/>
        </w:rPr>
        <w:t xml:space="preserve"> tenga necesariamente que reiterar</w:t>
      </w:r>
      <w:r w:rsidRPr="00DF1C08">
        <w:rPr>
          <w:rFonts w:ascii="Verdana" w:hAnsi="Verdana"/>
          <w:sz w:val="20"/>
          <w:szCs w:val="20"/>
        </w:rPr>
        <w:t xml:space="preserve"> la afirmación que en este escrito se ha hecho antes, en cuanto a </w:t>
      </w:r>
      <w:r w:rsidRPr="00DF1C08">
        <w:rPr>
          <w:rFonts w:ascii="Verdana" w:hAnsi="Verdana" w:cs="Calibri"/>
          <w:sz w:val="20"/>
          <w:szCs w:val="20"/>
        </w:rPr>
        <w:t>que si no fuese obligatorio haber agotado los recursos internos antes de formular la petición, se permitiría que, al menos durante un tiem</w:t>
      </w:r>
      <w:r w:rsidR="00197FDC" w:rsidRPr="00DF1C08">
        <w:rPr>
          <w:rFonts w:ascii="Verdana" w:hAnsi="Verdana" w:cs="Calibri"/>
          <w:sz w:val="20"/>
          <w:szCs w:val="20"/>
        </w:rPr>
        <w:t xml:space="preserve">po, </w:t>
      </w:r>
      <w:r w:rsidRPr="00DF1C08">
        <w:rPr>
          <w:rFonts w:ascii="Verdana" w:hAnsi="Verdana" w:cs="Calibri"/>
          <w:sz w:val="20"/>
          <w:szCs w:val="20"/>
        </w:rPr>
        <w:t xml:space="preserve">un mismo caso fuese tratado en forma simultánea por la jurisdicción interna y la jurisdicción internacional, y que ello podría </w:t>
      </w:r>
      <w:r w:rsidR="00197FDC" w:rsidRPr="00DF1C08">
        <w:rPr>
          <w:rFonts w:ascii="Verdana" w:hAnsi="Verdana" w:cs="Calibri"/>
          <w:sz w:val="20"/>
          <w:szCs w:val="20"/>
        </w:rPr>
        <w:t>constituir un incentivo</w:t>
      </w:r>
      <w:r w:rsidR="00721BD8" w:rsidRPr="00DF1C08">
        <w:rPr>
          <w:rFonts w:ascii="Verdana" w:hAnsi="Verdana" w:cs="Calibri"/>
          <w:sz w:val="20"/>
          <w:szCs w:val="20"/>
        </w:rPr>
        <w:t xml:space="preserve"> perverso</w:t>
      </w:r>
      <w:r w:rsidR="00197FDC" w:rsidRPr="00DF1C08">
        <w:rPr>
          <w:rFonts w:ascii="Verdana" w:hAnsi="Verdana" w:cs="Calibri"/>
          <w:sz w:val="20"/>
          <w:szCs w:val="20"/>
        </w:rPr>
        <w:t xml:space="preserve"> </w:t>
      </w:r>
      <w:r w:rsidRPr="00DF1C08">
        <w:rPr>
          <w:rFonts w:ascii="Verdana" w:hAnsi="Verdana" w:cs="Calibri"/>
          <w:sz w:val="20"/>
          <w:szCs w:val="20"/>
        </w:rPr>
        <w:t xml:space="preserve">a que se eleven presentaciones ante la Comisión </w:t>
      </w:r>
      <w:r w:rsidR="00C217D3" w:rsidRPr="00DF1C08">
        <w:rPr>
          <w:rFonts w:ascii="Verdana" w:hAnsi="Verdana" w:cs="Calibri"/>
          <w:sz w:val="20"/>
          <w:szCs w:val="20"/>
        </w:rPr>
        <w:t>aun</w:t>
      </w:r>
      <w:r w:rsidRPr="00DF1C08">
        <w:rPr>
          <w:rFonts w:ascii="Verdana" w:hAnsi="Verdana" w:cs="Calibri"/>
          <w:sz w:val="20"/>
          <w:szCs w:val="20"/>
        </w:rPr>
        <w:t xml:space="preserve"> cuando no se haya cumplido con el referido requisito, con la esperanza de que se pueda cumplir con él en forma previa al pronunciamiento de dicha instanc</w:t>
      </w:r>
      <w:r w:rsidR="00197FDC" w:rsidRPr="00DF1C08">
        <w:rPr>
          <w:rFonts w:ascii="Verdana" w:hAnsi="Verdana" w:cs="Calibri"/>
          <w:sz w:val="20"/>
          <w:szCs w:val="20"/>
        </w:rPr>
        <w:t>ia respecto de su admisibilidad</w:t>
      </w:r>
      <w:r w:rsidRPr="00DF1C08">
        <w:rPr>
          <w:rFonts w:ascii="Verdana" w:hAnsi="Verdana" w:cs="Calibri"/>
          <w:sz w:val="20"/>
          <w:szCs w:val="20"/>
        </w:rPr>
        <w:t xml:space="preserve">. </w:t>
      </w:r>
      <w:r w:rsidR="00197FDC" w:rsidRPr="00DF1C08">
        <w:rPr>
          <w:rFonts w:ascii="Verdana" w:hAnsi="Verdana" w:cs="Calibri"/>
          <w:sz w:val="20"/>
          <w:szCs w:val="20"/>
        </w:rPr>
        <w:t>Evidentemente, tal posibilidad no fue imaginada ni querida por la Convención.</w:t>
      </w:r>
    </w:p>
    <w:p w:rsidR="003F5DFE" w:rsidRPr="00DF1C08" w:rsidRDefault="003F5DFE" w:rsidP="00F4471C">
      <w:pPr>
        <w:pStyle w:val="NormalWeb"/>
        <w:spacing w:before="0" w:beforeAutospacing="0" w:after="0" w:afterAutospacing="0" w:line="276" w:lineRule="auto"/>
        <w:jc w:val="both"/>
        <w:rPr>
          <w:rFonts w:ascii="Verdana" w:hAnsi="Verdana" w:cs="Calibri"/>
          <w:sz w:val="20"/>
          <w:szCs w:val="20"/>
        </w:rPr>
      </w:pPr>
    </w:p>
    <w:p w:rsidR="00197FDC" w:rsidRPr="00DF1C08" w:rsidRDefault="00197FDC" w:rsidP="00F4471C">
      <w:pPr>
        <w:pStyle w:val="NormalWeb"/>
        <w:spacing w:before="0" w:beforeAutospacing="0" w:after="0" w:afterAutospacing="0" w:line="276" w:lineRule="auto"/>
        <w:jc w:val="both"/>
        <w:rPr>
          <w:rFonts w:ascii="Verdana" w:hAnsi="Verdana" w:cs="Calibri"/>
          <w:sz w:val="20"/>
          <w:szCs w:val="20"/>
        </w:rPr>
      </w:pPr>
      <w:r w:rsidRPr="00DF1C08">
        <w:rPr>
          <w:rFonts w:ascii="Verdana" w:hAnsi="Verdana" w:cs="Calibri"/>
          <w:sz w:val="20"/>
          <w:szCs w:val="20"/>
        </w:rPr>
        <w:t>A modo de acotación adicional, habría que señalar que las referencias a precedentes en el caso del Tribunal Europeo de Derechos Humanos y en el de la Corte Internacional de Justicia que hace la Sentencia en apoyo a lo que ha resuelto</w:t>
      </w:r>
      <w:r w:rsidR="009D118E" w:rsidRPr="00DF1C08">
        <w:rPr>
          <w:rStyle w:val="FootnoteReference"/>
          <w:rFonts w:cs="Calibri"/>
          <w:szCs w:val="20"/>
        </w:rPr>
        <w:footnoteReference w:id="44"/>
      </w:r>
      <w:r w:rsidRPr="00DF1C08">
        <w:rPr>
          <w:rFonts w:ascii="Verdana" w:hAnsi="Verdana" w:cs="Calibri"/>
          <w:sz w:val="20"/>
          <w:szCs w:val="20"/>
        </w:rPr>
        <w:t xml:space="preserve">, baste con señalar que ni el Convenio Europeo de Derechos Humanos ni el Reglamento de esta última se </w:t>
      </w:r>
      <w:r w:rsidRPr="00DF1C08">
        <w:rPr>
          <w:rFonts w:ascii="Verdana" w:hAnsi="Verdana" w:cs="Calibri"/>
          <w:sz w:val="20"/>
          <w:szCs w:val="20"/>
        </w:rPr>
        <w:lastRenderedPageBreak/>
        <w:t>contempla una norma como la del artículo 46.1.a) de la Convención. Además, en ambos casos, se trata de tribunales y no de una instancia no judicial, como es la Comisión, ante la que debe acreditarse el cumplimiento del requisito en cuestión. Ello quiere decir, que en el caso europeo, lo que se dispone es que, antes de recurrir al Tribunal Europeo de Derechos Humanos</w:t>
      </w:r>
      <w:r w:rsidR="00630F4C" w:rsidRPr="00DF1C08">
        <w:rPr>
          <w:rFonts w:ascii="Verdana" w:hAnsi="Verdana" w:cs="Calibri"/>
          <w:sz w:val="20"/>
          <w:szCs w:val="20"/>
        </w:rPr>
        <w:t>,</w:t>
      </w:r>
      <w:r w:rsidRPr="00DF1C08">
        <w:rPr>
          <w:rFonts w:ascii="Verdana" w:hAnsi="Verdana" w:cs="Calibri"/>
          <w:sz w:val="20"/>
          <w:szCs w:val="20"/>
        </w:rPr>
        <w:t xml:space="preserve"> deben agotarse los recursos de jurisdicción interna</w:t>
      </w:r>
      <w:r w:rsidR="00630F4C" w:rsidRPr="00DF1C08">
        <w:rPr>
          <w:rFonts w:ascii="Verdana" w:hAnsi="Verdana" w:cs="Calibri"/>
          <w:sz w:val="20"/>
          <w:szCs w:val="20"/>
        </w:rPr>
        <w:t>. Esa es la norma general, admitiéndose la excepción solo si se alcanza dicho agotamiento en breve tiempo después de la presentación. Y en el caso de la Corte Internacional de Justicia, se trata de casos relativos a reconocimiento de competencia de la misma y no</w:t>
      </w:r>
      <w:r w:rsidRPr="00DF1C08">
        <w:rPr>
          <w:rFonts w:ascii="Verdana" w:hAnsi="Verdana" w:cs="Calibri"/>
          <w:sz w:val="20"/>
          <w:szCs w:val="20"/>
        </w:rPr>
        <w:t xml:space="preserve"> </w:t>
      </w:r>
      <w:r w:rsidR="00630F4C" w:rsidRPr="00DF1C08">
        <w:rPr>
          <w:rFonts w:ascii="Verdana" w:hAnsi="Verdana" w:cs="Calibri"/>
          <w:sz w:val="20"/>
          <w:szCs w:val="20"/>
        </w:rPr>
        <w:t>de la interposición de una excepción preliminar concerniente al agotamiento previo de los recursos internos. Por ende, la referencia a tales presuntos precedente</w:t>
      </w:r>
      <w:r w:rsidR="00C217D3" w:rsidRPr="00DF1C08">
        <w:rPr>
          <w:rFonts w:ascii="Verdana" w:hAnsi="Verdana" w:cs="Calibri"/>
          <w:sz w:val="20"/>
          <w:szCs w:val="20"/>
        </w:rPr>
        <w:t>s</w:t>
      </w:r>
      <w:r w:rsidR="00630F4C" w:rsidRPr="00DF1C08">
        <w:rPr>
          <w:rFonts w:ascii="Verdana" w:hAnsi="Verdana" w:cs="Calibri"/>
          <w:sz w:val="20"/>
          <w:szCs w:val="20"/>
        </w:rPr>
        <w:t xml:space="preserve"> no son tales.</w:t>
      </w:r>
    </w:p>
    <w:p w:rsidR="003F5DFE" w:rsidRPr="00DF1C08" w:rsidRDefault="003F5DFE" w:rsidP="00F4471C">
      <w:pPr>
        <w:pStyle w:val="NormalWeb"/>
        <w:spacing w:before="0" w:beforeAutospacing="0" w:after="0" w:afterAutospacing="0" w:line="276" w:lineRule="auto"/>
        <w:jc w:val="both"/>
        <w:rPr>
          <w:rFonts w:ascii="Verdana" w:hAnsi="Verdana" w:cs="Calibri"/>
          <w:sz w:val="20"/>
          <w:szCs w:val="20"/>
        </w:rPr>
      </w:pPr>
    </w:p>
    <w:p w:rsidR="005B2171" w:rsidRPr="00DF1C08" w:rsidRDefault="005B2171" w:rsidP="00F4471C">
      <w:pPr>
        <w:spacing w:after="0"/>
        <w:jc w:val="both"/>
        <w:rPr>
          <w:rFonts w:ascii="Verdana" w:hAnsi="Verdana" w:cs="Calibri"/>
          <w:b/>
          <w:sz w:val="20"/>
          <w:szCs w:val="20"/>
          <w:lang w:val="es-ES"/>
        </w:rPr>
      </w:pPr>
      <w:r w:rsidRPr="00DF1C08">
        <w:rPr>
          <w:rFonts w:ascii="Verdana" w:hAnsi="Verdana" w:cs="Calibri"/>
          <w:b/>
          <w:sz w:val="20"/>
          <w:szCs w:val="20"/>
          <w:lang w:val="es-ES"/>
        </w:rPr>
        <w:t>CONCLUSIÓN.</w:t>
      </w:r>
    </w:p>
    <w:p w:rsidR="00C217D3" w:rsidRPr="00DF1C08" w:rsidRDefault="00C217D3" w:rsidP="00F4471C">
      <w:pPr>
        <w:spacing w:after="0"/>
        <w:jc w:val="both"/>
        <w:rPr>
          <w:rFonts w:ascii="Verdana" w:hAnsi="Verdana" w:cs="Calibri"/>
          <w:b/>
          <w:sz w:val="20"/>
          <w:szCs w:val="20"/>
        </w:rPr>
      </w:pPr>
    </w:p>
    <w:p w:rsidR="005B2171" w:rsidRPr="00DF1C08" w:rsidRDefault="005B2171" w:rsidP="00F4471C">
      <w:pPr>
        <w:spacing w:after="0"/>
        <w:jc w:val="both"/>
        <w:rPr>
          <w:rFonts w:ascii="Verdana" w:hAnsi="Verdana" w:cs="Calibri"/>
          <w:sz w:val="20"/>
          <w:szCs w:val="20"/>
          <w:lang w:val="es-ES"/>
        </w:rPr>
      </w:pPr>
      <w:r w:rsidRPr="00DF1C08">
        <w:rPr>
          <w:rFonts w:ascii="Verdana" w:hAnsi="Verdana" w:cs="Calibri"/>
          <w:sz w:val="20"/>
          <w:szCs w:val="20"/>
          <w:lang w:val="es-ES"/>
        </w:rPr>
        <w:t>En suma y tal como se ha expuesto precedentemente, de los claros términos del artículo 46.1.a) de la Convención y de la armoniosa co</w:t>
      </w:r>
      <w:r w:rsidR="000617A0" w:rsidRPr="00DF1C08">
        <w:rPr>
          <w:rFonts w:ascii="Verdana" w:hAnsi="Verdana" w:cs="Calibri"/>
          <w:sz w:val="20"/>
          <w:szCs w:val="20"/>
          <w:lang w:val="es-ES"/>
        </w:rPr>
        <w:t>mprensión</w:t>
      </w:r>
      <w:r w:rsidR="00F93984">
        <w:rPr>
          <w:rFonts w:ascii="Verdana" w:hAnsi="Verdana" w:cs="Calibri"/>
          <w:sz w:val="20"/>
          <w:szCs w:val="20"/>
          <w:lang w:val="es-ES"/>
        </w:rPr>
        <w:t xml:space="preserve"> de los artículos 26.1 y 2, </w:t>
      </w:r>
      <w:r w:rsidR="00F93984" w:rsidRPr="00E04ABD">
        <w:rPr>
          <w:rFonts w:ascii="Verdana" w:hAnsi="Verdana" w:cs="Calibri"/>
          <w:sz w:val="20"/>
          <w:szCs w:val="20"/>
          <w:lang w:val="es-ES"/>
        </w:rPr>
        <w:t>28.h</w:t>
      </w:r>
      <w:r w:rsidR="000617A0" w:rsidRPr="00E04ABD">
        <w:rPr>
          <w:rFonts w:ascii="Verdana" w:hAnsi="Verdana" w:cs="Calibri"/>
          <w:sz w:val="20"/>
          <w:szCs w:val="20"/>
          <w:lang w:val="es-ES"/>
        </w:rPr>
        <w:t xml:space="preserve">, </w:t>
      </w:r>
      <w:r w:rsidR="000617A0" w:rsidRPr="00DF1C08">
        <w:rPr>
          <w:rFonts w:ascii="Verdana" w:hAnsi="Verdana" w:cs="Calibri"/>
          <w:sz w:val="20"/>
          <w:szCs w:val="20"/>
          <w:lang w:val="es-ES"/>
        </w:rPr>
        <w:t>30.1, 2 y 3</w:t>
      </w:r>
      <w:r w:rsidRPr="00DF1C08">
        <w:rPr>
          <w:rFonts w:ascii="Verdana" w:hAnsi="Verdana" w:cs="Calibri"/>
          <w:sz w:val="20"/>
          <w:szCs w:val="20"/>
          <w:lang w:val="es-ES"/>
        </w:rPr>
        <w:t xml:space="preserve">, 31 y 32 del Reglamento de la Comisión, que interpretan a aquél, se concluye de manera inequívoca que el cumplimiento de la regla del previo agotamiento de los recursos internos debe tener lugar al momento en que se presenta la petición ante la Comisión, considerando, también, las observaciones que el Estado formule al dar respuesta al traslado que se le haya hecho de ella. </w:t>
      </w:r>
    </w:p>
    <w:p w:rsidR="003F5DFE" w:rsidRPr="00DF1C08" w:rsidRDefault="003F5DFE" w:rsidP="00F4471C">
      <w:pPr>
        <w:spacing w:after="0"/>
        <w:jc w:val="both"/>
        <w:rPr>
          <w:rFonts w:ascii="Verdana" w:hAnsi="Verdana" w:cs="Calibri"/>
          <w:sz w:val="20"/>
          <w:szCs w:val="20"/>
          <w:lang w:val="es-ES"/>
        </w:rPr>
      </w:pPr>
    </w:p>
    <w:p w:rsidR="005B2171" w:rsidRPr="00DF1C08" w:rsidRDefault="005B2171" w:rsidP="00F4471C">
      <w:pPr>
        <w:spacing w:after="0"/>
        <w:jc w:val="both"/>
        <w:rPr>
          <w:rFonts w:ascii="Verdana" w:hAnsi="Verdana" w:cs="Calibri"/>
          <w:sz w:val="20"/>
          <w:szCs w:val="20"/>
          <w:lang w:val="es-ES"/>
        </w:rPr>
      </w:pPr>
      <w:r w:rsidRPr="00DF1C08">
        <w:rPr>
          <w:rFonts w:ascii="Verdana" w:hAnsi="Verdana" w:cs="Calibri"/>
          <w:sz w:val="20"/>
          <w:szCs w:val="20"/>
          <w:lang w:val="es-ES"/>
        </w:rPr>
        <w:t>Empero, ello no fue así considerado en la Sentencia, la que, por el contrario, da cuenta que se resolvió la excepción presentada por el Estado por el incumplimiento de la misma por parte del peticionario, sobre la base de comprobar si se había cumplido dicho requisito al momento en que se pronunció sobre la admisibilidad de la petición. De esa forma, el fallo trasgrede lo dispuesto en la señalada norma convencional y las aludidas disposiciones reglamentarias.</w:t>
      </w:r>
    </w:p>
    <w:p w:rsidR="003F5DFE" w:rsidRPr="00DF1C08" w:rsidRDefault="003F5DFE" w:rsidP="00F4471C">
      <w:pPr>
        <w:spacing w:after="0"/>
        <w:jc w:val="both"/>
        <w:rPr>
          <w:rFonts w:ascii="Verdana" w:hAnsi="Verdana" w:cs="Calibri"/>
          <w:sz w:val="20"/>
          <w:szCs w:val="20"/>
          <w:lang w:val="es-ES"/>
        </w:rPr>
      </w:pPr>
    </w:p>
    <w:p w:rsidR="005B2171" w:rsidRPr="00DF1C08" w:rsidRDefault="005B2171" w:rsidP="00F4471C">
      <w:pPr>
        <w:spacing w:after="0"/>
        <w:jc w:val="both"/>
        <w:rPr>
          <w:rFonts w:ascii="Verdana" w:hAnsi="Verdana" w:cs="Calibri"/>
          <w:sz w:val="20"/>
          <w:szCs w:val="20"/>
        </w:rPr>
      </w:pPr>
      <w:r w:rsidRPr="00DF1C08">
        <w:rPr>
          <w:rFonts w:ascii="Verdana" w:hAnsi="Verdana" w:cs="Calibri"/>
          <w:sz w:val="20"/>
          <w:szCs w:val="20"/>
          <w:lang w:val="es-ES"/>
        </w:rPr>
        <w:t>Se disiente, además, de la Sentencia dado que, de acuerdo con el criterio seguido en ella, se deja sin efecto la “</w:t>
      </w:r>
      <w:r w:rsidRPr="00DF1C08">
        <w:rPr>
          <w:rFonts w:ascii="Verdana" w:hAnsi="Verdana" w:cs="Calibri"/>
          <w:i/>
          <w:sz w:val="20"/>
          <w:szCs w:val="20"/>
        </w:rPr>
        <w:t>naturaleza convencional coadyuvante o complementaria</w:t>
      </w:r>
      <w:r w:rsidRPr="00DF1C08">
        <w:rPr>
          <w:rFonts w:ascii="Verdana" w:hAnsi="Verdana" w:cs="Calibri"/>
          <w:sz w:val="20"/>
          <w:szCs w:val="20"/>
        </w:rPr>
        <w:t xml:space="preserve">” </w:t>
      </w:r>
      <w:r w:rsidRPr="00DF1C08">
        <w:rPr>
          <w:rFonts w:ascii="Verdana" w:hAnsi="Verdana" w:cs="Calibri"/>
          <w:sz w:val="20"/>
          <w:szCs w:val="20"/>
          <w:lang w:val="es-ES"/>
        </w:rPr>
        <w:t>que inspira al sistema interamericano de derechos humanos en su conjunto</w:t>
      </w:r>
      <w:r w:rsidRPr="00DF1C08">
        <w:rPr>
          <w:rFonts w:ascii="Verdana" w:hAnsi="Verdana" w:cs="Calibri"/>
          <w:sz w:val="20"/>
          <w:szCs w:val="20"/>
        </w:rPr>
        <w:t>, incentivándose que se eleve un caso para conocimiento simultáneo por parte de la jurisdicción interna y de la jurisdicción interamericana, sin que se hayan agotado previamente los recursos ante aquella.</w:t>
      </w:r>
    </w:p>
    <w:p w:rsidR="003F5DFE" w:rsidRDefault="003F5DFE" w:rsidP="00F4471C">
      <w:pPr>
        <w:spacing w:after="0"/>
        <w:jc w:val="both"/>
        <w:rPr>
          <w:rFonts w:ascii="Verdana" w:hAnsi="Verdana" w:cs="Calibri"/>
          <w:sz w:val="20"/>
          <w:szCs w:val="20"/>
          <w:lang w:val="es-ES"/>
        </w:rPr>
      </w:pPr>
    </w:p>
    <w:p w:rsidR="005B2171" w:rsidRPr="00DF1C08" w:rsidRDefault="005B2171" w:rsidP="00F4471C">
      <w:pPr>
        <w:spacing w:after="0"/>
        <w:jc w:val="both"/>
        <w:rPr>
          <w:rFonts w:ascii="Verdana" w:hAnsi="Verdana" w:cs="Calibri"/>
          <w:sz w:val="20"/>
          <w:szCs w:val="20"/>
        </w:rPr>
      </w:pPr>
      <w:r w:rsidRPr="00C54BB0">
        <w:rPr>
          <w:rFonts w:ascii="Verdana" w:hAnsi="Verdana" w:cs="Calibri"/>
          <w:sz w:val="20"/>
          <w:szCs w:val="20"/>
          <w:lang w:val="es-ES"/>
        </w:rPr>
        <w:t xml:space="preserve">Proceder en la forma aludida, no solo vacía de contenido y hace inaplicable la regla del previo agotamiento de los recursos internos, sino que, además, no se condice con </w:t>
      </w:r>
      <w:r w:rsidR="00C217D3" w:rsidRPr="00DF1C08">
        <w:rPr>
          <w:rFonts w:ascii="Verdana" w:hAnsi="Verdana" w:cs="Calibri"/>
          <w:sz w:val="20"/>
          <w:szCs w:val="20"/>
          <w:lang w:val="es-ES"/>
        </w:rPr>
        <w:t>lo indicado por esta Corte</w:t>
      </w:r>
      <w:r w:rsidR="000617A0" w:rsidRPr="00DF1C08">
        <w:rPr>
          <w:rFonts w:ascii="Verdana" w:hAnsi="Verdana" w:cs="Calibri"/>
          <w:sz w:val="20"/>
          <w:szCs w:val="20"/>
          <w:lang w:val="es-CR"/>
        </w:rPr>
        <w:t>,</w:t>
      </w:r>
      <w:r w:rsidRPr="00DF1C08">
        <w:rPr>
          <w:rFonts w:ascii="Verdana" w:hAnsi="Verdana" w:cs="Calibri"/>
          <w:sz w:val="20"/>
          <w:szCs w:val="20"/>
          <w:lang w:val="es-CR"/>
        </w:rPr>
        <w:t xml:space="preserve"> en cuanto</w:t>
      </w:r>
      <w:r w:rsidRPr="00DF1C08">
        <w:rPr>
          <w:rFonts w:ascii="Verdana" w:hAnsi="Verdana" w:cs="Calibri"/>
          <w:sz w:val="20"/>
          <w:szCs w:val="20"/>
        </w:rPr>
        <w:t xml:space="preserve"> a que </w:t>
      </w:r>
      <w:r w:rsidRPr="00DF1C08">
        <w:rPr>
          <w:rFonts w:ascii="Verdana" w:hAnsi="Verdana" w:cs="Calibri"/>
          <w:i/>
          <w:sz w:val="20"/>
          <w:szCs w:val="20"/>
        </w:rPr>
        <w:t>“la Corte debe guardar un justo equilibrio entre la protección de los derechos humanos, fin último del Sistema, y la seguridad jurídica y equidad procesal que aseguran la estabilidad y confiabilidad de la tutela internacional”</w:t>
      </w:r>
      <w:r w:rsidRPr="00DF1C08">
        <w:rPr>
          <w:rStyle w:val="FootnoteReference"/>
          <w:rFonts w:cs="Calibri"/>
          <w:szCs w:val="20"/>
        </w:rPr>
        <w:footnoteReference w:id="45"/>
      </w:r>
      <w:r w:rsidR="000617A0" w:rsidRPr="00DF1C08">
        <w:rPr>
          <w:rFonts w:ascii="Verdana" w:hAnsi="Verdana" w:cs="Calibri"/>
          <w:i/>
          <w:sz w:val="20"/>
          <w:szCs w:val="20"/>
        </w:rPr>
        <w:t>.</w:t>
      </w:r>
    </w:p>
    <w:p w:rsidR="003F5DFE" w:rsidRDefault="003F5DFE" w:rsidP="00F4471C">
      <w:pPr>
        <w:spacing w:after="0"/>
        <w:jc w:val="both"/>
        <w:rPr>
          <w:rFonts w:ascii="Verdana" w:hAnsi="Verdana" w:cs="Calibri"/>
          <w:sz w:val="20"/>
          <w:szCs w:val="20"/>
          <w:lang w:val="es-CR"/>
        </w:rPr>
      </w:pPr>
    </w:p>
    <w:p w:rsidR="005B2171" w:rsidRPr="00DF1C08" w:rsidRDefault="005B2171" w:rsidP="00F4471C">
      <w:pPr>
        <w:spacing w:after="0"/>
        <w:jc w:val="both"/>
        <w:rPr>
          <w:rFonts w:ascii="Verdana" w:hAnsi="Verdana" w:cs="Calibri"/>
          <w:sz w:val="20"/>
          <w:szCs w:val="20"/>
        </w:rPr>
      </w:pPr>
      <w:r w:rsidRPr="00C54BB0">
        <w:rPr>
          <w:rFonts w:ascii="Verdana" w:hAnsi="Verdana" w:cs="Calibri"/>
          <w:sz w:val="20"/>
          <w:szCs w:val="20"/>
          <w:lang w:val="es-CR"/>
        </w:rPr>
        <w:lastRenderedPageBreak/>
        <w:t xml:space="preserve">Es, en consecuencia, en </w:t>
      </w:r>
      <w:r w:rsidRPr="00DF1C08">
        <w:rPr>
          <w:rFonts w:ascii="Verdana" w:hAnsi="Verdana" w:cs="Calibri"/>
          <w:sz w:val="20"/>
          <w:szCs w:val="20"/>
          <w:lang w:val="es-CR"/>
        </w:rPr>
        <w:t xml:space="preserve">tal sentido que se comparte lo </w:t>
      </w:r>
      <w:r w:rsidRPr="00DF1C08">
        <w:rPr>
          <w:rFonts w:ascii="Verdana" w:hAnsi="Verdana" w:cs="Calibri"/>
          <w:sz w:val="20"/>
          <w:szCs w:val="20"/>
          <w:lang w:val="es-ES"/>
        </w:rPr>
        <w:t>que la propia Corte ha expresado, en cuanto a que “</w:t>
      </w:r>
      <w:r w:rsidRPr="00DF1C08">
        <w:rPr>
          <w:rFonts w:ascii="Verdana" w:hAnsi="Verdana" w:cs="Calibri"/>
          <w:i/>
          <w:sz w:val="20"/>
          <w:szCs w:val="20"/>
          <w:lang w:val="es-ES"/>
        </w:rPr>
        <w:t>la tolerancia de</w:t>
      </w:r>
      <w:r w:rsidRPr="00DF1C08">
        <w:rPr>
          <w:rFonts w:ascii="Verdana" w:hAnsi="Verdana" w:cs="Calibri"/>
          <w:sz w:val="20"/>
          <w:szCs w:val="20"/>
          <w:lang w:val="es-ES"/>
        </w:rPr>
        <w:t xml:space="preserve"> ‘</w:t>
      </w:r>
      <w:r w:rsidRPr="00DF1C08">
        <w:rPr>
          <w:rFonts w:ascii="Verdana" w:hAnsi="Verdana" w:cs="Calibri"/>
          <w:i/>
          <w:sz w:val="20"/>
          <w:szCs w:val="20"/>
          <w:lang w:val="es-ES"/>
        </w:rPr>
        <w:t xml:space="preserve">infracciones manifiestas a las reglas  procedimentales establecidas en la propia Convención </w:t>
      </w:r>
      <w:r w:rsidR="000617A0" w:rsidRPr="00DF1C08">
        <w:rPr>
          <w:rFonts w:ascii="Verdana" w:hAnsi="Verdana" w:cs="Calibri"/>
          <w:i/>
          <w:sz w:val="20"/>
          <w:szCs w:val="20"/>
          <w:lang w:val="es-ES"/>
        </w:rPr>
        <w:t>[</w:t>
      </w:r>
      <w:r w:rsidRPr="00DF1C08">
        <w:rPr>
          <w:rFonts w:ascii="Verdana" w:hAnsi="Verdana" w:cs="Calibri"/>
          <w:i/>
          <w:sz w:val="20"/>
          <w:szCs w:val="20"/>
          <w:lang w:val="es-ES"/>
        </w:rPr>
        <w:t>y se debe agregar, en los Reglamentos de la Corte y de la Comisión</w:t>
      </w:r>
      <w:r w:rsidR="000617A0" w:rsidRPr="00DF1C08">
        <w:rPr>
          <w:rFonts w:ascii="Verdana" w:hAnsi="Verdana" w:cs="Calibri"/>
          <w:i/>
          <w:sz w:val="20"/>
          <w:szCs w:val="20"/>
          <w:lang w:val="es-ES"/>
        </w:rPr>
        <w:t>]</w:t>
      </w:r>
      <w:r w:rsidRPr="00DF1C08">
        <w:rPr>
          <w:rFonts w:ascii="Verdana" w:hAnsi="Verdana" w:cs="Calibri"/>
          <w:i/>
          <w:sz w:val="20"/>
          <w:szCs w:val="20"/>
          <w:lang w:val="es-ES"/>
        </w:rPr>
        <w:t>, acarrearía la pérdida de la autoridad y credibilidad indispensables en los órganos encargados de administrar el sistema de protección de derechos humanos</w:t>
      </w:r>
      <w:r w:rsidRPr="00DF1C08">
        <w:rPr>
          <w:rFonts w:ascii="Verdana" w:hAnsi="Verdana" w:cs="Calibri"/>
          <w:sz w:val="20"/>
          <w:szCs w:val="20"/>
          <w:lang w:val="es-ES"/>
        </w:rPr>
        <w:t>”</w:t>
      </w:r>
      <w:r w:rsidRPr="00DF1C08">
        <w:rPr>
          <w:rStyle w:val="FootnoteReference"/>
          <w:rFonts w:cs="Calibri"/>
          <w:szCs w:val="20"/>
          <w:lang w:val="es-ES"/>
        </w:rPr>
        <w:footnoteReference w:id="46"/>
      </w:r>
      <w:r w:rsidRPr="00DF1C08">
        <w:rPr>
          <w:rFonts w:ascii="Verdana" w:hAnsi="Verdana" w:cs="Calibri"/>
          <w:sz w:val="20"/>
          <w:szCs w:val="20"/>
          <w:lang w:val="es-ES"/>
        </w:rPr>
        <w:t>. Y eso en mérito de que son precisamente esas reglas las que garantizan la imparcialidad y la independencia de la Corte al impartir Justicia en materia de derechos humanos.</w:t>
      </w:r>
    </w:p>
    <w:p w:rsidR="003F5DFE" w:rsidRPr="00DF1C08" w:rsidRDefault="003F5DFE" w:rsidP="00F4471C">
      <w:pPr>
        <w:pStyle w:val="NormalWeb"/>
        <w:spacing w:before="0" w:beforeAutospacing="0" w:after="0" w:afterAutospacing="0" w:line="276" w:lineRule="auto"/>
        <w:jc w:val="both"/>
        <w:rPr>
          <w:rFonts w:ascii="Verdana" w:hAnsi="Verdana" w:cs="Calibri"/>
          <w:sz w:val="20"/>
          <w:szCs w:val="20"/>
          <w:lang w:val="es-ES"/>
        </w:rPr>
      </w:pPr>
    </w:p>
    <w:p w:rsidR="005B2171" w:rsidRPr="00DF1C08" w:rsidRDefault="005B2171" w:rsidP="00F4471C">
      <w:pPr>
        <w:pStyle w:val="NormalWeb"/>
        <w:spacing w:before="0" w:beforeAutospacing="0" w:after="0" w:afterAutospacing="0" w:line="276" w:lineRule="auto"/>
        <w:jc w:val="both"/>
        <w:rPr>
          <w:rFonts w:ascii="Verdana" w:hAnsi="Verdana" w:cs="Calibri"/>
          <w:sz w:val="20"/>
          <w:szCs w:val="20"/>
        </w:rPr>
      </w:pPr>
      <w:r w:rsidRPr="00DF1C08">
        <w:rPr>
          <w:rFonts w:ascii="Verdana" w:hAnsi="Verdana" w:cs="Calibri"/>
          <w:sz w:val="20"/>
          <w:szCs w:val="20"/>
          <w:lang w:val="es-ES"/>
        </w:rPr>
        <w:t xml:space="preserve">El estricto apego a la regla del previo agotamiento </w:t>
      </w:r>
      <w:r w:rsidRPr="00C54BB0">
        <w:rPr>
          <w:rFonts w:ascii="Verdana" w:hAnsi="Verdana" w:cs="Calibri"/>
          <w:sz w:val="20"/>
          <w:szCs w:val="20"/>
          <w:lang w:val="es-ES"/>
        </w:rPr>
        <w:t xml:space="preserve">de los recursos internos no es, por lo tanto, un mero formalismo o tecnicismo jurídico, sino que su respeto consolida y fortalece el sistema interamericano de derechos humanos, puesto que de esa forma se garantizan los principios de seguridad jurídica, de equilibrio procesal y de complementariedad que lo sustentan, no dejando margen alguno o, en todo caso, el menor posible, para que, más allá de la explicables discrepancias que los fallos de la Corte pueden provocar, particularmente por parte de quienes los estiman adversos, se </w:t>
      </w:r>
      <w:r w:rsidRPr="00DF1C08">
        <w:rPr>
          <w:rFonts w:ascii="Verdana" w:hAnsi="Verdana" w:cs="Calibri"/>
          <w:sz w:val="20"/>
          <w:szCs w:val="20"/>
          <w:lang w:val="es-ES"/>
        </w:rPr>
        <w:t>puedan percibir que ellos no responden estricta y exclusivamente a consideraciones de Justicia.</w:t>
      </w:r>
    </w:p>
    <w:p w:rsidR="003F5DFE" w:rsidRPr="00DF1C08" w:rsidRDefault="003F5DFE" w:rsidP="00F4471C">
      <w:pPr>
        <w:spacing w:after="0"/>
        <w:jc w:val="both"/>
        <w:rPr>
          <w:rFonts w:ascii="Verdana" w:hAnsi="Verdana" w:cs="Calibri"/>
          <w:sz w:val="20"/>
          <w:szCs w:val="20"/>
          <w:lang w:val="es-ES"/>
        </w:rPr>
      </w:pPr>
    </w:p>
    <w:p w:rsidR="005B2171" w:rsidRPr="00DF1C08" w:rsidRDefault="005B2171" w:rsidP="00F4471C">
      <w:pPr>
        <w:spacing w:after="0"/>
        <w:jc w:val="both"/>
        <w:rPr>
          <w:rFonts w:ascii="Verdana" w:hAnsi="Verdana" w:cs="Calibri"/>
          <w:sz w:val="20"/>
          <w:szCs w:val="20"/>
          <w:lang w:val="es-ES"/>
        </w:rPr>
      </w:pPr>
      <w:r w:rsidRPr="00DF1C08">
        <w:rPr>
          <w:rFonts w:ascii="Verdana" w:hAnsi="Verdana" w:cs="Calibri"/>
          <w:sz w:val="20"/>
          <w:szCs w:val="20"/>
          <w:lang w:val="es-ES"/>
        </w:rPr>
        <w:t>Obviamente, considerando que la jurisprudencia es vinculante solo para el Estado que se haya comprometido a cumplir la “</w:t>
      </w:r>
      <w:r w:rsidRPr="00DF1C08">
        <w:rPr>
          <w:rFonts w:ascii="Verdana" w:hAnsi="Verdana" w:cs="Calibri"/>
          <w:i/>
          <w:sz w:val="20"/>
          <w:szCs w:val="20"/>
          <w:lang w:val="es-ES"/>
        </w:rPr>
        <w:t>decisión de la Corte</w:t>
      </w:r>
      <w:r w:rsidRPr="00DF1C08">
        <w:rPr>
          <w:rFonts w:ascii="Verdana" w:hAnsi="Verdana" w:cs="Calibri"/>
          <w:sz w:val="20"/>
          <w:szCs w:val="20"/>
          <w:lang w:val="es-ES"/>
        </w:rPr>
        <w:t>” en el caso en que sea parte</w:t>
      </w:r>
      <w:r w:rsidRPr="00DF1C08">
        <w:rPr>
          <w:rStyle w:val="FootnoteReference"/>
          <w:rFonts w:cs="Calibri"/>
          <w:szCs w:val="20"/>
          <w:lang w:val="es-ES"/>
        </w:rPr>
        <w:footnoteReference w:id="47"/>
      </w:r>
      <w:r w:rsidR="00025B62" w:rsidRPr="00DF1C08">
        <w:rPr>
          <w:rFonts w:ascii="Verdana" w:hAnsi="Verdana" w:cs="Calibri"/>
          <w:sz w:val="20"/>
          <w:szCs w:val="20"/>
          <w:lang w:val="es-ES"/>
        </w:rPr>
        <w:t xml:space="preserve"> y que para los demás Estados P</w:t>
      </w:r>
      <w:r w:rsidRPr="00DF1C08">
        <w:rPr>
          <w:rFonts w:ascii="Verdana" w:hAnsi="Verdana" w:cs="Calibri"/>
          <w:sz w:val="20"/>
          <w:szCs w:val="20"/>
          <w:lang w:val="es-ES"/>
        </w:rPr>
        <w:t>artes de la Convención es únicamente fuente auxiliar del derecho internacional público, es decir, un “</w:t>
      </w:r>
      <w:r w:rsidRPr="00DF1C08">
        <w:rPr>
          <w:rFonts w:ascii="Verdana" w:hAnsi="Verdana" w:cs="Calibri"/>
          <w:i/>
          <w:sz w:val="20"/>
          <w:szCs w:val="20"/>
          <w:lang w:val="es-ES"/>
        </w:rPr>
        <w:t>medio auxiliar para la determinación de las reglas de derecho</w:t>
      </w:r>
      <w:r w:rsidRPr="00DF1C08">
        <w:rPr>
          <w:rFonts w:ascii="Verdana" w:hAnsi="Verdana" w:cs="Calibri"/>
          <w:sz w:val="20"/>
          <w:szCs w:val="20"/>
          <w:lang w:val="es-ES"/>
        </w:rPr>
        <w:t>”</w:t>
      </w:r>
      <w:r w:rsidRPr="00DF1C08">
        <w:rPr>
          <w:rStyle w:val="FootnoteReference"/>
          <w:rFonts w:cs="Calibri"/>
          <w:szCs w:val="20"/>
          <w:lang w:val="es-ES"/>
        </w:rPr>
        <w:footnoteReference w:id="48"/>
      </w:r>
      <w:r w:rsidRPr="00DF1C08">
        <w:rPr>
          <w:rFonts w:ascii="Verdana" w:hAnsi="Verdana" w:cs="Calibri"/>
          <w:sz w:val="20"/>
          <w:szCs w:val="20"/>
          <w:lang w:val="es-ES"/>
        </w:rPr>
        <w:t xml:space="preserve">, se emite el presente voto disidente con la esperanza de que contribuya a la reflexión sobre la regla del previo agotamiento de los recursos internos y se logre así que, en el futuro cercano, la jurisprudencia de la Corte sobre la misma adopte los criterios anteriormente expuestos. </w:t>
      </w:r>
    </w:p>
    <w:p w:rsidR="003F5DFE" w:rsidRPr="00DF1C08" w:rsidRDefault="003F5DFE" w:rsidP="00F4471C">
      <w:pPr>
        <w:spacing w:after="0"/>
        <w:jc w:val="both"/>
        <w:rPr>
          <w:rFonts w:ascii="Verdana" w:hAnsi="Verdana" w:cs="Calibri"/>
          <w:sz w:val="20"/>
          <w:szCs w:val="20"/>
          <w:lang w:val="es-ES"/>
        </w:rPr>
      </w:pPr>
    </w:p>
    <w:p w:rsidR="005B2171" w:rsidRPr="00DF1C08" w:rsidRDefault="005B2171" w:rsidP="00F4471C">
      <w:pPr>
        <w:spacing w:after="0"/>
        <w:jc w:val="both"/>
        <w:rPr>
          <w:rFonts w:ascii="Verdana" w:hAnsi="Verdana" w:cs="Calibri"/>
          <w:sz w:val="20"/>
          <w:szCs w:val="20"/>
          <w:lang w:val="es-CR"/>
        </w:rPr>
      </w:pPr>
      <w:r w:rsidRPr="00DF1C08">
        <w:rPr>
          <w:rFonts w:ascii="Verdana" w:hAnsi="Verdana" w:cs="Calibri"/>
          <w:sz w:val="20"/>
          <w:szCs w:val="20"/>
          <w:lang w:val="es-ES"/>
        </w:rPr>
        <w:lastRenderedPageBreak/>
        <w:t>También, ciertamente, e</w:t>
      </w:r>
      <w:r w:rsidRPr="00DF1C08">
        <w:rPr>
          <w:rFonts w:ascii="Verdana" w:hAnsi="Verdana" w:cs="Calibri"/>
          <w:sz w:val="20"/>
          <w:szCs w:val="20"/>
          <w:lang w:val="es-CR"/>
        </w:rPr>
        <w:t>l presente voto tiene en cuenta, como aconteció igualmente en otro</w:t>
      </w:r>
      <w:r w:rsidRPr="00DF1C08">
        <w:rPr>
          <w:rStyle w:val="FootnoteReference"/>
          <w:rFonts w:cs="Calibri"/>
          <w:szCs w:val="20"/>
          <w:lang w:val="es-CR"/>
        </w:rPr>
        <w:footnoteReference w:id="49"/>
      </w:r>
      <w:r w:rsidRPr="00DF1C08">
        <w:rPr>
          <w:rFonts w:ascii="Verdana" w:hAnsi="Verdana" w:cs="Calibri"/>
          <w:sz w:val="20"/>
          <w:szCs w:val="20"/>
          <w:lang w:val="es-CR"/>
        </w:rPr>
        <w:t xml:space="preserve">, que uno de los peculiares imperativos que enfrenta un tribunal como la Corte es el de proceder con plena conciencia de que, en tanto entidad autónoma e independiente, no tiene autoridad superior que la controle, lo que supone que, haciendo honor a la alta función que se le ha asignado, respete estrictamente los límites de esta última y permanezca y se desarrolle en el ámbito propio de una entidad jurisdiccional. </w:t>
      </w:r>
    </w:p>
    <w:p w:rsidR="003F5DFE" w:rsidRPr="00DF1C08" w:rsidRDefault="003F5DFE" w:rsidP="00F4471C">
      <w:pPr>
        <w:spacing w:after="0"/>
        <w:jc w:val="both"/>
        <w:rPr>
          <w:rFonts w:ascii="Verdana" w:hAnsi="Verdana" w:cs="Calibri"/>
          <w:sz w:val="20"/>
          <w:szCs w:val="20"/>
          <w:lang w:val="es-CR"/>
        </w:rPr>
      </w:pPr>
    </w:p>
    <w:p w:rsidR="005B2171" w:rsidRPr="00DF1C08" w:rsidRDefault="005B2171" w:rsidP="00F4471C">
      <w:pPr>
        <w:spacing w:after="0"/>
        <w:jc w:val="both"/>
        <w:rPr>
          <w:rFonts w:ascii="Verdana" w:hAnsi="Verdana" w:cs="Calibri"/>
          <w:sz w:val="20"/>
          <w:szCs w:val="20"/>
        </w:rPr>
      </w:pPr>
      <w:r w:rsidRPr="00DF1C08">
        <w:rPr>
          <w:rFonts w:ascii="Verdana" w:hAnsi="Verdana" w:cs="Calibri"/>
          <w:sz w:val="20"/>
          <w:szCs w:val="20"/>
          <w:lang w:val="es-CR"/>
        </w:rPr>
        <w:t xml:space="preserve">A no dudarlo, el actuar en la señalada forma es el mejor aporte que la Corte puede hacer a la consolidación y desarrollo del sistema interamericano de los derechos humanos, requisito </w:t>
      </w:r>
      <w:r w:rsidRPr="00DF1C08">
        <w:rPr>
          <w:rFonts w:ascii="Verdana" w:hAnsi="Verdana" w:cs="Calibri"/>
          <w:i/>
          <w:sz w:val="20"/>
          <w:szCs w:val="20"/>
          <w:lang w:val="es-CR"/>
        </w:rPr>
        <w:t xml:space="preserve">sine qua non </w:t>
      </w:r>
      <w:r w:rsidRPr="00DF1C08">
        <w:rPr>
          <w:rFonts w:ascii="Verdana" w:hAnsi="Verdana" w:cs="Calibri"/>
          <w:sz w:val="20"/>
          <w:szCs w:val="20"/>
          <w:lang w:val="es-CR"/>
        </w:rPr>
        <w:t>para el debido resguardo de éstos, institucionalidad en la que a la Comisión le corresponde la promoción y defensa de los mismos</w:t>
      </w:r>
      <w:r w:rsidRPr="00DF1C08">
        <w:rPr>
          <w:rStyle w:val="FootnoteReference"/>
          <w:rFonts w:cs="Calibri"/>
          <w:szCs w:val="20"/>
          <w:lang w:val="es-CR"/>
        </w:rPr>
        <w:footnoteReference w:id="50"/>
      </w:r>
      <w:r w:rsidRPr="00DF1C08">
        <w:rPr>
          <w:rFonts w:ascii="Verdana" w:hAnsi="Verdana" w:cs="Calibri"/>
          <w:sz w:val="20"/>
          <w:szCs w:val="20"/>
          <w:lang w:val="es-CR"/>
        </w:rPr>
        <w:t>, a la Corte le compete aplicar e interpretar la Convención en los casos que le son sometidos</w:t>
      </w:r>
      <w:r w:rsidRPr="00DF1C08">
        <w:rPr>
          <w:rStyle w:val="FootnoteReference"/>
          <w:rFonts w:cs="Calibri"/>
          <w:szCs w:val="20"/>
          <w:lang w:val="es-CR"/>
        </w:rPr>
        <w:footnoteReference w:id="51"/>
      </w:r>
      <w:r w:rsidRPr="00DF1C08">
        <w:rPr>
          <w:rFonts w:ascii="Verdana" w:hAnsi="Verdana" w:cs="Calibri"/>
          <w:sz w:val="20"/>
          <w:szCs w:val="20"/>
          <w:lang w:val="es-CR"/>
        </w:rPr>
        <w:t>, y a los Estados modificar aquella si así lo estiman necesario</w:t>
      </w:r>
      <w:r w:rsidRPr="00DF1C08">
        <w:rPr>
          <w:rStyle w:val="FootnoteReference"/>
          <w:rFonts w:cs="Calibri"/>
          <w:szCs w:val="20"/>
          <w:lang w:val="es-CR"/>
        </w:rPr>
        <w:footnoteReference w:id="52"/>
      </w:r>
      <w:r w:rsidRPr="00DF1C08">
        <w:rPr>
          <w:rFonts w:ascii="Verdana" w:hAnsi="Verdana" w:cs="Calibri"/>
          <w:sz w:val="20"/>
          <w:szCs w:val="20"/>
          <w:lang w:val="es-CR"/>
        </w:rPr>
        <w:t>. En el cumplimiento de cada cual de sus específicas funciones radica, por ende, la fortaleza y desarrollo del mencionado sistema.</w:t>
      </w:r>
    </w:p>
    <w:p w:rsidR="005B2171" w:rsidRPr="00DF1C08" w:rsidRDefault="005B2171" w:rsidP="00F4471C">
      <w:pPr>
        <w:spacing w:after="0"/>
        <w:jc w:val="both"/>
        <w:rPr>
          <w:rFonts w:ascii="Verdana" w:hAnsi="Verdana" w:cs="Calibri"/>
          <w:sz w:val="20"/>
          <w:szCs w:val="20"/>
        </w:rPr>
      </w:pPr>
    </w:p>
    <w:p w:rsidR="004C20FF" w:rsidRPr="00DF1C08" w:rsidRDefault="004C20FF" w:rsidP="004C20FF">
      <w:pPr>
        <w:jc w:val="both"/>
        <w:rPr>
          <w:rFonts w:ascii="Verdana" w:hAnsi="Verdana" w:cs="Calibri"/>
          <w:sz w:val="20"/>
          <w:szCs w:val="20"/>
        </w:rPr>
      </w:pPr>
    </w:p>
    <w:p w:rsidR="004C20FF" w:rsidRPr="00DF1C08" w:rsidRDefault="004C20FF" w:rsidP="004C20FF">
      <w:pPr>
        <w:jc w:val="both"/>
        <w:rPr>
          <w:rFonts w:ascii="Verdana" w:hAnsi="Verdana" w:cs="Calibri"/>
          <w:sz w:val="20"/>
          <w:szCs w:val="20"/>
        </w:rPr>
      </w:pPr>
    </w:p>
    <w:p w:rsidR="004C20FF" w:rsidRPr="00DF1C08" w:rsidRDefault="004C20FF" w:rsidP="004C20FF">
      <w:pPr>
        <w:spacing w:after="0"/>
        <w:ind w:left="5103"/>
        <w:jc w:val="center"/>
        <w:rPr>
          <w:rFonts w:ascii="Verdana" w:hAnsi="Verdana" w:cs="Calibri"/>
          <w:sz w:val="20"/>
          <w:szCs w:val="20"/>
        </w:rPr>
      </w:pPr>
      <w:r w:rsidRPr="00DF1C08">
        <w:rPr>
          <w:rFonts w:ascii="Verdana" w:hAnsi="Verdana" w:cs="Calibri"/>
          <w:sz w:val="20"/>
          <w:szCs w:val="20"/>
        </w:rPr>
        <w:t>Eduardo Vio Grossi</w:t>
      </w:r>
    </w:p>
    <w:p w:rsidR="004C20FF" w:rsidRPr="00DF1C08" w:rsidRDefault="004C20FF" w:rsidP="004C20FF">
      <w:pPr>
        <w:spacing w:after="0"/>
        <w:ind w:left="5103"/>
        <w:jc w:val="center"/>
        <w:rPr>
          <w:rFonts w:ascii="Verdana" w:hAnsi="Verdana" w:cs="Calibri"/>
          <w:sz w:val="20"/>
          <w:szCs w:val="20"/>
        </w:rPr>
      </w:pPr>
      <w:r w:rsidRPr="00DF1C08">
        <w:rPr>
          <w:rFonts w:ascii="Verdana" w:hAnsi="Verdana" w:cs="Calibri"/>
          <w:sz w:val="20"/>
          <w:szCs w:val="20"/>
        </w:rPr>
        <w:t>Juez</w:t>
      </w:r>
    </w:p>
    <w:p w:rsidR="004C20FF" w:rsidRPr="00DF1C08" w:rsidRDefault="004C20FF" w:rsidP="004C20FF">
      <w:pPr>
        <w:rPr>
          <w:rFonts w:ascii="Verdana" w:hAnsi="Verdana"/>
          <w:sz w:val="20"/>
          <w:szCs w:val="20"/>
        </w:rPr>
      </w:pPr>
    </w:p>
    <w:p w:rsidR="004C20FF" w:rsidRPr="00DF1C08" w:rsidRDefault="004C20FF" w:rsidP="004C20FF">
      <w:pPr>
        <w:pStyle w:val="ListParagraph"/>
        <w:ind w:left="0"/>
        <w:rPr>
          <w:rFonts w:ascii="Verdana" w:hAnsi="Verdana" w:cs="Verdana"/>
          <w:sz w:val="20"/>
          <w:szCs w:val="20"/>
          <w:lang w:val="es-MX" w:eastAsia="es-MX"/>
        </w:rPr>
      </w:pPr>
    </w:p>
    <w:p w:rsidR="004C20FF" w:rsidRPr="00DF1C08" w:rsidRDefault="004C20FF" w:rsidP="00E04ABD">
      <w:pPr>
        <w:pStyle w:val="ListParagraph"/>
        <w:ind w:left="0" w:right="4585"/>
        <w:rPr>
          <w:rFonts w:ascii="Verdana" w:hAnsi="Verdana" w:cs="Verdana"/>
          <w:sz w:val="20"/>
          <w:szCs w:val="20"/>
          <w:lang w:val="es-MX" w:eastAsia="es-MX"/>
        </w:rPr>
      </w:pPr>
      <w:r w:rsidRPr="00DF1C08">
        <w:rPr>
          <w:rFonts w:ascii="Verdana" w:hAnsi="Verdana" w:cs="Verdana"/>
          <w:sz w:val="20"/>
          <w:szCs w:val="20"/>
          <w:lang w:val="es-MX" w:eastAsia="es-MX"/>
        </w:rPr>
        <w:t>Pablo Saavedra Alessandri</w:t>
      </w:r>
    </w:p>
    <w:p w:rsidR="005B2171" w:rsidRPr="006D7767" w:rsidRDefault="004C20FF" w:rsidP="006D7767">
      <w:pPr>
        <w:pStyle w:val="ListParagraph"/>
        <w:ind w:left="0" w:right="4585" w:firstLine="720"/>
        <w:rPr>
          <w:rFonts w:ascii="Verdana" w:hAnsi="Verdana" w:cs="Verdana"/>
          <w:sz w:val="20"/>
          <w:szCs w:val="20"/>
          <w:lang w:val="es-MX" w:eastAsia="es-MX"/>
        </w:rPr>
      </w:pPr>
      <w:r w:rsidRPr="00DF1C08">
        <w:rPr>
          <w:rFonts w:ascii="Verdana" w:hAnsi="Verdana" w:cs="Verdana"/>
          <w:sz w:val="20"/>
          <w:szCs w:val="20"/>
          <w:lang w:val="es-MX" w:eastAsia="es-MX"/>
        </w:rPr>
        <w:t>Secretario</w:t>
      </w:r>
    </w:p>
    <w:sectPr w:rsidR="005B2171" w:rsidRPr="006D7767" w:rsidSect="002C4581">
      <w:headerReference w:type="default" r:id="rId9"/>
      <w:footerReference w:type="default" r:id="rId10"/>
      <w:pgSz w:w="12240" w:h="15840"/>
      <w:pgMar w:top="1418" w:right="158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59" w:rsidRDefault="00947B59" w:rsidP="005B2171">
      <w:pPr>
        <w:spacing w:after="0" w:line="240" w:lineRule="auto"/>
      </w:pPr>
      <w:r>
        <w:separator/>
      </w:r>
    </w:p>
  </w:endnote>
  <w:endnote w:type="continuationSeparator" w:id="0">
    <w:p w:rsidR="00947B59" w:rsidRDefault="00947B59" w:rsidP="005B2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A0" w:rsidRPr="00560847" w:rsidRDefault="000617A0">
    <w:pPr>
      <w:pStyle w:val="Footer"/>
      <w:jc w:val="right"/>
      <w:rPr>
        <w:rFonts w:ascii="Verdana" w:hAnsi="Verdana"/>
        <w:sz w:val="20"/>
        <w:szCs w:val="20"/>
      </w:rPr>
    </w:pPr>
  </w:p>
  <w:p w:rsidR="000617A0" w:rsidRDefault="00061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59" w:rsidRDefault="00947B59" w:rsidP="005B2171">
      <w:pPr>
        <w:spacing w:after="0" w:line="240" w:lineRule="auto"/>
      </w:pPr>
      <w:r>
        <w:separator/>
      </w:r>
    </w:p>
  </w:footnote>
  <w:footnote w:type="continuationSeparator" w:id="0">
    <w:p w:rsidR="00947B59" w:rsidRDefault="00947B59" w:rsidP="005B2171">
      <w:pPr>
        <w:spacing w:after="0" w:line="240" w:lineRule="auto"/>
      </w:pPr>
      <w:r>
        <w:continuationSeparator/>
      </w:r>
    </w:p>
  </w:footnote>
  <w:footnote w:id="1">
    <w:p w:rsidR="000617A0" w:rsidRPr="00A729A0" w:rsidRDefault="000617A0" w:rsidP="00F4471C">
      <w:pPr>
        <w:pStyle w:val="NormalWeb"/>
        <w:tabs>
          <w:tab w:val="left" w:pos="426"/>
        </w:tabs>
        <w:spacing w:before="120" w:beforeAutospacing="0" w:after="120" w:afterAutospacing="0"/>
        <w:jc w:val="both"/>
        <w:rPr>
          <w:rFonts w:ascii="Verdana" w:hAnsi="Verdana" w:cs="Calibri"/>
          <w:i/>
          <w:sz w:val="18"/>
          <w:szCs w:val="18"/>
        </w:rPr>
      </w:pPr>
      <w:r w:rsidRPr="00A729A0">
        <w:rPr>
          <w:rStyle w:val="FootnoteReference"/>
          <w:rFonts w:cs="Calibri"/>
          <w:sz w:val="18"/>
          <w:szCs w:val="18"/>
        </w:rPr>
        <w:footnoteRef/>
      </w:r>
      <w:r w:rsidRPr="00A729A0">
        <w:rPr>
          <w:rFonts w:ascii="Verdana" w:hAnsi="Verdana" w:cs="Calibri"/>
          <w:sz w:val="18"/>
          <w:szCs w:val="18"/>
        </w:rPr>
        <w:t xml:space="preserve"> </w:t>
      </w:r>
      <w:r w:rsidR="009B7933" w:rsidRPr="00A729A0">
        <w:rPr>
          <w:rFonts w:ascii="Verdana" w:hAnsi="Verdana" w:cs="Calibri"/>
          <w:sz w:val="18"/>
          <w:szCs w:val="18"/>
        </w:rPr>
        <w:tab/>
      </w:r>
      <w:r w:rsidRPr="00A729A0">
        <w:rPr>
          <w:rFonts w:ascii="Verdana" w:hAnsi="Verdana" w:cs="Calibri"/>
          <w:sz w:val="18"/>
          <w:szCs w:val="18"/>
        </w:rPr>
        <w:t xml:space="preserve">Artículo </w:t>
      </w:r>
      <w:r w:rsidRPr="00A729A0">
        <w:rPr>
          <w:rFonts w:ascii="Verdana" w:hAnsi="Verdana" w:cs="Calibri"/>
          <w:bCs/>
          <w:sz w:val="18"/>
          <w:szCs w:val="18"/>
        </w:rPr>
        <w:t xml:space="preserve">66.2 de la Convención Americana sobre Derechos Humanos (en adelante “la Convención”): </w:t>
      </w:r>
      <w:r w:rsidRPr="00A729A0">
        <w:rPr>
          <w:rFonts w:ascii="Verdana" w:hAnsi="Verdana" w:cs="Calibri"/>
          <w:i/>
          <w:sz w:val="18"/>
          <w:szCs w:val="18"/>
        </w:rPr>
        <w:t>“</w:t>
      </w:r>
      <w:r w:rsidR="00403829" w:rsidRPr="00A729A0">
        <w:rPr>
          <w:rFonts w:ascii="Verdana" w:hAnsi="Verdana" w:cs="Calibri"/>
          <w:i/>
          <w:sz w:val="18"/>
          <w:szCs w:val="18"/>
        </w:rPr>
        <w:t>[s]</w:t>
      </w:r>
      <w:r w:rsidRPr="00A729A0">
        <w:rPr>
          <w:rFonts w:ascii="Verdana" w:hAnsi="Verdana" w:cs="Calibri"/>
          <w:i/>
          <w:sz w:val="18"/>
          <w:szCs w:val="18"/>
        </w:rPr>
        <w:t xml:space="preserve">i el fallo no expresare en todo o en parte la opinión unánime de los jueces, cualquiera de éstos tendrá derecho a que se agregue al fallo su opinión disidente o individual”. </w:t>
      </w:r>
    </w:p>
    <w:p w:rsidR="000617A0" w:rsidRPr="00A729A0" w:rsidRDefault="000617A0" w:rsidP="00F4471C">
      <w:pPr>
        <w:pStyle w:val="NormalWeb"/>
        <w:tabs>
          <w:tab w:val="left" w:pos="426"/>
        </w:tabs>
        <w:spacing w:before="120" w:beforeAutospacing="0" w:after="120" w:afterAutospacing="0"/>
        <w:ind w:firstLine="426"/>
        <w:jc w:val="both"/>
        <w:rPr>
          <w:rFonts w:ascii="Verdana" w:hAnsi="Verdana" w:cs="Calibri"/>
          <w:i/>
          <w:strike/>
          <w:sz w:val="18"/>
          <w:szCs w:val="18"/>
        </w:rPr>
      </w:pPr>
      <w:r w:rsidRPr="00A729A0">
        <w:rPr>
          <w:rFonts w:ascii="Verdana" w:hAnsi="Verdana" w:cs="Calibri"/>
          <w:sz w:val="18"/>
          <w:szCs w:val="18"/>
        </w:rPr>
        <w:t>Artículo 24.3 del Estatuto de la Corte Interamericana de Derechos Humanos (en adelante “la Corte”): “</w:t>
      </w:r>
      <w:r w:rsidR="00403829" w:rsidRPr="00A729A0">
        <w:rPr>
          <w:rFonts w:ascii="Verdana" w:hAnsi="Verdana" w:cs="Calibri"/>
          <w:i/>
          <w:sz w:val="18"/>
          <w:szCs w:val="18"/>
        </w:rPr>
        <w:t>[l]</w:t>
      </w:r>
      <w:r w:rsidRPr="00A729A0">
        <w:rPr>
          <w:rFonts w:ascii="Verdana" w:hAnsi="Verdana" w:cs="Calibri"/>
          <w:i/>
          <w:sz w:val="18"/>
          <w:szCs w:val="18"/>
        </w:rPr>
        <w:t>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p>
    <w:p w:rsidR="000617A0" w:rsidRPr="00A729A0" w:rsidRDefault="000617A0" w:rsidP="00F4471C">
      <w:pPr>
        <w:pStyle w:val="NormalWeb"/>
        <w:tabs>
          <w:tab w:val="left" w:pos="426"/>
        </w:tabs>
        <w:spacing w:before="120" w:beforeAutospacing="0" w:after="120" w:afterAutospacing="0"/>
        <w:ind w:firstLine="426"/>
        <w:jc w:val="both"/>
        <w:rPr>
          <w:rFonts w:ascii="Verdana" w:hAnsi="Verdana" w:cs="Calibri"/>
          <w:i/>
          <w:strike/>
          <w:sz w:val="18"/>
          <w:szCs w:val="18"/>
        </w:rPr>
      </w:pPr>
      <w:r w:rsidRPr="00A729A0">
        <w:rPr>
          <w:rFonts w:ascii="Verdana" w:hAnsi="Verdana" w:cs="Calibri"/>
          <w:sz w:val="18"/>
          <w:szCs w:val="18"/>
        </w:rPr>
        <w:t>Artículo 65.2 del Reglamento de la Corte:</w:t>
      </w:r>
      <w:r w:rsidRPr="00A729A0">
        <w:rPr>
          <w:rFonts w:ascii="Verdana" w:eastAsia="Calibri" w:hAnsi="Verdana" w:cs="Calibri"/>
          <w:sz w:val="18"/>
          <w:szCs w:val="18"/>
        </w:rPr>
        <w:t xml:space="preserve"> </w:t>
      </w:r>
      <w:r w:rsidRPr="00A729A0">
        <w:rPr>
          <w:rFonts w:ascii="Verdana" w:eastAsia="Calibri" w:hAnsi="Verdana" w:cs="Calibri"/>
          <w:i/>
          <w:sz w:val="18"/>
          <w:szCs w:val="18"/>
        </w:rPr>
        <w:t>“</w:t>
      </w:r>
      <w:r w:rsidR="00403829" w:rsidRPr="00A729A0">
        <w:rPr>
          <w:rFonts w:ascii="Verdana" w:eastAsia="Calibri" w:hAnsi="Verdana" w:cs="Calibri"/>
          <w:i/>
          <w:sz w:val="18"/>
          <w:szCs w:val="18"/>
        </w:rPr>
        <w:t>[t]</w:t>
      </w:r>
      <w:proofErr w:type="spellStart"/>
      <w:r w:rsidRPr="00A729A0">
        <w:rPr>
          <w:rFonts w:ascii="Verdana" w:eastAsia="Calibri" w:hAnsi="Verdana" w:cs="Calibri"/>
          <w:i/>
          <w:sz w:val="18"/>
          <w:szCs w:val="18"/>
        </w:rPr>
        <w:t>odo</w:t>
      </w:r>
      <w:proofErr w:type="spellEnd"/>
      <w:r w:rsidRPr="00A729A0">
        <w:rPr>
          <w:rFonts w:ascii="Verdana" w:eastAsia="Calibri" w:hAnsi="Verdana" w:cs="Calibri"/>
          <w:i/>
          <w:sz w:val="18"/>
          <w:szCs w:val="18"/>
        </w:rPr>
        <w:t xml:space="preserve"> Juez que haya participado en el examen de un caso tiene derecho a unir a la sentencia su voto concurrente o disidente que deberá ser razonado. Estos votos deberán ser </w:t>
      </w:r>
      <w:r w:rsidRPr="00A729A0">
        <w:rPr>
          <w:rFonts w:ascii="Verdana" w:eastAsia="Batang" w:hAnsi="Verdana" w:cs="Calibri"/>
          <w:i/>
          <w:sz w:val="18"/>
          <w:szCs w:val="18"/>
          <w:lang w:val="es-CR" w:eastAsia="es-MX"/>
        </w:rPr>
        <w:t>presentados</w:t>
      </w:r>
      <w:r w:rsidRPr="00A729A0">
        <w:rPr>
          <w:rFonts w:ascii="Verdana" w:eastAsia="Calibri" w:hAnsi="Verdana" w:cs="Calibri"/>
          <w:i/>
          <w:sz w:val="18"/>
          <w:szCs w:val="18"/>
        </w:rPr>
        <w:t xml:space="preserve"> dentro del plazo fijado por la Presidencia, de modo que puedan ser conocidos por los Jueces antes de la notificación de la sentencia. Dichos votos sólo podrán referirse a lo tratado en las sentencias</w:t>
      </w:r>
      <w:r w:rsidRPr="00A729A0">
        <w:rPr>
          <w:rFonts w:ascii="Verdana" w:hAnsi="Verdana" w:cs="Calibri"/>
          <w:i/>
          <w:sz w:val="18"/>
          <w:szCs w:val="18"/>
        </w:rPr>
        <w:t>”.</w:t>
      </w:r>
    </w:p>
  </w:footnote>
  <w:footnote w:id="2">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En adelante “la Sentencia”.</w:t>
      </w:r>
    </w:p>
  </w:footnote>
  <w:footnote w:id="3">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En adelante “el Estado”.</w:t>
      </w:r>
    </w:p>
  </w:footnote>
  <w:footnote w:id="4">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En adelante “la Comisión”.</w:t>
      </w:r>
    </w:p>
  </w:footnote>
  <w:footnote w:id="5">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En adelante “la petición”.</w:t>
      </w:r>
    </w:p>
  </w:footnote>
  <w:footnote w:id="6">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i/>
          <w:sz w:val="18"/>
          <w:szCs w:val="18"/>
        </w:rPr>
        <w:t xml:space="preserve">Cfr. </w:t>
      </w:r>
      <w:r w:rsidRPr="00A729A0">
        <w:rPr>
          <w:rFonts w:ascii="Verdana" w:hAnsi="Verdana"/>
          <w:sz w:val="18"/>
          <w:szCs w:val="18"/>
        </w:rPr>
        <w:t>párr. 26 de la Sentencia.</w:t>
      </w:r>
    </w:p>
  </w:footnote>
  <w:footnote w:id="7">
    <w:p w:rsidR="000617A0" w:rsidRPr="00A729A0" w:rsidRDefault="000617A0" w:rsidP="00F4471C">
      <w:pPr>
        <w:tabs>
          <w:tab w:val="left" w:pos="426"/>
        </w:tabs>
        <w:spacing w:before="120" w:after="120"/>
        <w:jc w:val="both"/>
        <w:rPr>
          <w:rFonts w:ascii="Verdana" w:hAnsi="Verdana" w:cs="Calibri"/>
          <w:b/>
          <w:sz w:val="18"/>
          <w:szCs w:val="18"/>
        </w:rPr>
      </w:pPr>
      <w:r w:rsidRPr="00A729A0">
        <w:rPr>
          <w:rStyle w:val="FootnoteReference"/>
          <w:rFonts w:cs="Calibri"/>
          <w:sz w:val="18"/>
          <w:szCs w:val="18"/>
        </w:rPr>
        <w:footnoteRef/>
      </w:r>
      <w:r w:rsidRPr="00A729A0">
        <w:rPr>
          <w:rFonts w:ascii="Verdana" w:hAnsi="Verdana" w:cs="Calibri"/>
          <w:sz w:val="18"/>
          <w:szCs w:val="18"/>
        </w:rPr>
        <w:t xml:space="preserve"> </w:t>
      </w:r>
      <w:r w:rsidR="009B7933" w:rsidRPr="00A729A0">
        <w:rPr>
          <w:rFonts w:ascii="Verdana" w:hAnsi="Verdana" w:cs="Calibri"/>
          <w:sz w:val="18"/>
          <w:szCs w:val="18"/>
        </w:rPr>
        <w:tab/>
      </w:r>
      <w:r w:rsidRPr="00A729A0">
        <w:rPr>
          <w:rFonts w:ascii="Verdana" w:hAnsi="Verdana" w:cs="Calibri"/>
          <w:sz w:val="18"/>
          <w:szCs w:val="18"/>
        </w:rPr>
        <w:t xml:space="preserve">Voto Individual Disidente del Juez Eduardo Vio Grossi, </w:t>
      </w:r>
      <w:r w:rsidRPr="00A729A0">
        <w:rPr>
          <w:rFonts w:ascii="Verdana" w:hAnsi="Verdana" w:cs="Calibri"/>
          <w:i/>
          <w:sz w:val="18"/>
          <w:szCs w:val="18"/>
        </w:rPr>
        <w:t>Caso Cruz Sánchez y Otros Vs. Perú. Excepciones Preliminares, Fondo, Reparaciones y Costas.</w:t>
      </w:r>
      <w:r w:rsidRPr="00A729A0">
        <w:rPr>
          <w:rFonts w:ascii="Verdana" w:hAnsi="Verdana" w:cs="Calibri"/>
          <w:sz w:val="18"/>
          <w:szCs w:val="18"/>
        </w:rPr>
        <w:t xml:space="preserve"> Sentencia de 17 de abril de 2015. Serie C No. 292, y</w:t>
      </w:r>
      <w:r w:rsidRPr="00A729A0">
        <w:rPr>
          <w:rFonts w:ascii="Verdana" w:hAnsi="Verdana" w:cs="Calibri"/>
          <w:caps/>
          <w:snapToGrid w:val="0"/>
          <w:sz w:val="18"/>
          <w:szCs w:val="18"/>
        </w:rPr>
        <w:t xml:space="preserve"> </w:t>
      </w:r>
      <w:r w:rsidRPr="00A729A0">
        <w:rPr>
          <w:rFonts w:ascii="Verdana" w:hAnsi="Verdana" w:cs="Calibri"/>
          <w:sz w:val="18"/>
          <w:szCs w:val="18"/>
        </w:rPr>
        <w:t xml:space="preserve">Voto Individual Disidente del Juez Eduardo Vio Grossi, </w:t>
      </w:r>
      <w:r w:rsidRPr="00A729A0">
        <w:rPr>
          <w:rFonts w:ascii="Verdana" w:hAnsi="Verdana" w:cs="Calibri"/>
          <w:i/>
          <w:sz w:val="18"/>
          <w:szCs w:val="18"/>
        </w:rPr>
        <w:t>Caso Díaz Peña Vs. Venezuela. Excepción Preliminar, Fondo, Reparaciones y Costas.</w:t>
      </w:r>
      <w:r w:rsidRPr="00A729A0">
        <w:rPr>
          <w:rFonts w:ascii="Verdana" w:hAnsi="Verdana" w:cs="Calibri"/>
          <w:sz w:val="18"/>
          <w:szCs w:val="18"/>
        </w:rPr>
        <w:t xml:space="preserve"> Sentencia de 26 de junio de 2012. Serie C No. 244. </w:t>
      </w:r>
    </w:p>
  </w:footnote>
  <w:footnote w:id="8">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 xml:space="preserve">Voto Individual Disidente del Juez Eduardo Vio Grossi, </w:t>
      </w:r>
      <w:r w:rsidRPr="00A729A0">
        <w:rPr>
          <w:rFonts w:ascii="Verdana" w:hAnsi="Verdana"/>
          <w:i/>
          <w:sz w:val="18"/>
          <w:szCs w:val="18"/>
        </w:rPr>
        <w:t>Caso Cruz Sánchez y Otros Vs. Perú. Excepciones Preliminares, Fondo, Reparaciones y Costas.</w:t>
      </w:r>
      <w:r w:rsidRPr="00A729A0">
        <w:rPr>
          <w:rFonts w:ascii="Verdana" w:hAnsi="Verdana"/>
          <w:sz w:val="18"/>
          <w:szCs w:val="18"/>
        </w:rPr>
        <w:t xml:space="preserve"> Sentencia de 17 de abril de 2015. </w:t>
      </w:r>
      <w:r w:rsidR="009B7933" w:rsidRPr="00A729A0">
        <w:rPr>
          <w:rFonts w:ascii="Verdana" w:hAnsi="Verdana"/>
          <w:sz w:val="18"/>
          <w:szCs w:val="18"/>
        </w:rPr>
        <w:t>Serie C No. 292.</w:t>
      </w:r>
    </w:p>
  </w:footnote>
  <w:footnote w:id="9">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Tampoco está contemplado en el Estatuto ni en el Reglamento de la Corte Internacional de Justicia. En tal ámbito, sería, por ende, únicamente de carácter jurisprudencial.</w:t>
      </w:r>
    </w:p>
  </w:footnote>
  <w:footnote w:id="10">
    <w:p w:rsidR="000617A0" w:rsidRPr="00A729A0" w:rsidRDefault="000617A0" w:rsidP="008128FE">
      <w:pPr>
        <w:pStyle w:val="FootnoteText"/>
        <w:rPr>
          <w:rFonts w:ascii="Verdana" w:hAnsi="Verdana"/>
          <w:strike/>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D371C9">
        <w:rPr>
          <w:rFonts w:ascii="Verdana" w:hAnsi="Verdana"/>
          <w:i/>
          <w:sz w:val="18"/>
          <w:szCs w:val="18"/>
        </w:rPr>
        <w:t>“Condiciones de admisibilidad 1. Al Tribunal no podrá recurrirse sino después de agotar las vías de recursos internas, tal como se entiende según los principios de derecho internacional generalmente reconocidos y en el plazo de seis meses a partir de la fecha de la decisión interna definitiva. 2. El Tribunal no admitirá ninguna demanda individual entablada en aplicación del artículo 34 cuando: a) sea anónima; o b) sea esencialmente la misma que una demanda examinada anteriormente por el Tribunal o ya sometida a otra instancia internacional de investigación o de acuerdo, y no contenga hechos nuevos. 3. El Tribunal declarará inadmisible cualquier demanda individual presentada en virtud del artículo 34 si considera que: a) la demanda es incompatible con las disposiciones del Convenio o de sus Protocolos, manifiestamente mal fundada o abusiva; o b) el demandante no ha sufrido un perjuicio importante, a menos que el respeto de los derechos humanos garantizados por el Convenio y por sus Protocolos exija un examen del fondo de la demanda, y con la condición de que no podrá rechazarse por este motivo ningún asunto que no haya sido debidamente examinado por un Tribunal nacional. 4. El Tribunal rechazará cualquier demanda que considere inadmisible en aplicación del presente artículo. Podrá decidirlo así en cualquier fase del procedimiento”.</w:t>
      </w:r>
    </w:p>
  </w:footnote>
  <w:footnote w:id="11">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Artículo 41, primera frase, de la Convención.</w:t>
      </w:r>
    </w:p>
  </w:footnote>
  <w:footnote w:id="12">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Artículo 41.f) de la Convención.</w:t>
      </w:r>
    </w:p>
  </w:footnote>
  <w:footnote w:id="13">
    <w:p w:rsidR="000617A0" w:rsidRPr="00A729A0" w:rsidRDefault="000617A0" w:rsidP="008128FE">
      <w:pPr>
        <w:pStyle w:val="FootnoteText"/>
        <w:rPr>
          <w:rFonts w:ascii="Verdana" w:hAnsi="Verdana"/>
          <w:sz w:val="18"/>
          <w:szCs w:val="18"/>
          <w:lang w:val="es-MX"/>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Artículos 51 y 61.1 de la Convención.</w:t>
      </w:r>
    </w:p>
  </w:footnote>
  <w:footnote w:id="14">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Párr. 27 de la Sentencia.</w:t>
      </w:r>
    </w:p>
  </w:footnote>
  <w:footnote w:id="15">
    <w:p w:rsidR="000617A0" w:rsidRPr="00A729A0" w:rsidRDefault="000617A0" w:rsidP="008128FE">
      <w:pPr>
        <w:pStyle w:val="FootnoteText"/>
        <w:rPr>
          <w:rFonts w:ascii="Verdana" w:hAnsi="Verdana"/>
          <w:strike/>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lang w:val="es-ES"/>
        </w:rPr>
        <w:t xml:space="preserve">Art. 1.1 de la Convención: </w:t>
      </w:r>
      <w:r w:rsidR="00403829" w:rsidRPr="00A729A0">
        <w:rPr>
          <w:rFonts w:ascii="Verdana" w:hAnsi="Verdana"/>
          <w:i/>
          <w:sz w:val="18"/>
          <w:szCs w:val="18"/>
        </w:rPr>
        <w:t>“[l]</w:t>
      </w:r>
      <w:r w:rsidRPr="00A729A0">
        <w:rPr>
          <w:rFonts w:ascii="Verdana" w:hAnsi="Verdana"/>
          <w:i/>
          <w:sz w:val="18"/>
          <w:szCs w:val="18"/>
        </w:rPr>
        <w:t>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Pr="00A729A0">
        <w:rPr>
          <w:rFonts w:ascii="Verdana" w:hAnsi="Verdana"/>
          <w:sz w:val="18"/>
          <w:szCs w:val="18"/>
        </w:rPr>
        <w:t>”.</w:t>
      </w:r>
    </w:p>
  </w:footnote>
  <w:footnote w:id="16">
    <w:p w:rsidR="000617A0" w:rsidRPr="00A729A0" w:rsidRDefault="000617A0" w:rsidP="00F4471C">
      <w:pPr>
        <w:pStyle w:val="NormalWeb"/>
        <w:tabs>
          <w:tab w:val="left" w:pos="426"/>
        </w:tabs>
        <w:spacing w:before="120" w:beforeAutospacing="0" w:after="120" w:afterAutospacing="0"/>
        <w:jc w:val="both"/>
        <w:rPr>
          <w:rFonts w:ascii="Verdana" w:hAnsi="Verdana" w:cs="Calibri"/>
          <w:i/>
          <w:strike/>
          <w:sz w:val="18"/>
          <w:szCs w:val="18"/>
        </w:rPr>
      </w:pPr>
      <w:r w:rsidRPr="00A729A0">
        <w:rPr>
          <w:rStyle w:val="FootnoteReference"/>
          <w:rFonts w:cs="Calibri"/>
          <w:sz w:val="18"/>
          <w:szCs w:val="18"/>
        </w:rPr>
        <w:footnoteRef/>
      </w:r>
      <w:r w:rsidRPr="00A729A0">
        <w:rPr>
          <w:rFonts w:ascii="Verdana" w:hAnsi="Verdana" w:cs="Calibri"/>
          <w:sz w:val="18"/>
          <w:szCs w:val="18"/>
        </w:rPr>
        <w:t xml:space="preserve"> </w:t>
      </w:r>
      <w:r w:rsidR="009B7933" w:rsidRPr="00A729A0">
        <w:rPr>
          <w:rFonts w:ascii="Verdana" w:hAnsi="Verdana" w:cs="Calibri"/>
          <w:sz w:val="18"/>
          <w:szCs w:val="18"/>
        </w:rPr>
        <w:tab/>
      </w:r>
      <w:r w:rsidRPr="00A729A0">
        <w:rPr>
          <w:rFonts w:ascii="Verdana" w:hAnsi="Verdana" w:cs="Calibri"/>
          <w:sz w:val="18"/>
          <w:szCs w:val="18"/>
        </w:rPr>
        <w:t>Art. 33 de la Convención: “</w:t>
      </w:r>
      <w:r w:rsidR="00403829" w:rsidRPr="00A729A0">
        <w:rPr>
          <w:rFonts w:ascii="Verdana" w:hAnsi="Verdana" w:cs="Calibri"/>
          <w:i/>
          <w:sz w:val="18"/>
          <w:szCs w:val="18"/>
        </w:rPr>
        <w:t>[s]</w:t>
      </w:r>
      <w:proofErr w:type="spellStart"/>
      <w:r w:rsidRPr="00A729A0">
        <w:rPr>
          <w:rFonts w:ascii="Verdana" w:hAnsi="Verdana" w:cs="Calibri"/>
          <w:i/>
          <w:sz w:val="18"/>
          <w:szCs w:val="18"/>
        </w:rPr>
        <w:t>on</w:t>
      </w:r>
      <w:proofErr w:type="spellEnd"/>
      <w:r w:rsidRPr="00A729A0">
        <w:rPr>
          <w:rFonts w:ascii="Verdana" w:hAnsi="Verdana" w:cs="Calibri"/>
          <w:i/>
          <w:sz w:val="18"/>
          <w:szCs w:val="18"/>
        </w:rPr>
        <w:t xml:space="preserve"> competentes para conocer de los asuntos relacionados con el cumplimiento de los compromisos contraídos por los Estados Partes en esta Convención: a) la Comisión Interamericana de Derechos Humanos, llamada en adelante la Comisión, y b) la Corte Interamericana de Derechos Humanos, llamada en adelante la Corte”.</w:t>
      </w:r>
    </w:p>
  </w:footnote>
  <w:footnote w:id="17">
    <w:p w:rsidR="000617A0" w:rsidRPr="00A729A0" w:rsidRDefault="000617A0" w:rsidP="00F4471C">
      <w:pPr>
        <w:tabs>
          <w:tab w:val="left" w:pos="426"/>
        </w:tabs>
        <w:spacing w:before="120" w:after="120" w:line="240" w:lineRule="auto"/>
        <w:jc w:val="both"/>
        <w:rPr>
          <w:rFonts w:ascii="Verdana" w:hAnsi="Verdana" w:cs="Calibri"/>
          <w:i/>
          <w:sz w:val="18"/>
          <w:szCs w:val="18"/>
        </w:rPr>
      </w:pPr>
      <w:r w:rsidRPr="00A729A0">
        <w:rPr>
          <w:rStyle w:val="FootnoteReference"/>
          <w:rFonts w:cs="Calibri"/>
          <w:sz w:val="18"/>
          <w:szCs w:val="18"/>
        </w:rPr>
        <w:footnoteRef/>
      </w:r>
      <w:r w:rsidRPr="00A729A0">
        <w:rPr>
          <w:rFonts w:ascii="Verdana" w:hAnsi="Verdana" w:cs="Calibri"/>
          <w:sz w:val="18"/>
          <w:szCs w:val="18"/>
        </w:rPr>
        <w:t xml:space="preserve"> </w:t>
      </w:r>
      <w:r w:rsidR="009B7933" w:rsidRPr="00A729A0">
        <w:rPr>
          <w:rFonts w:ascii="Verdana" w:hAnsi="Verdana" w:cs="Calibri"/>
          <w:sz w:val="18"/>
          <w:szCs w:val="18"/>
        </w:rPr>
        <w:tab/>
      </w:r>
      <w:r w:rsidRPr="00A729A0">
        <w:rPr>
          <w:rFonts w:ascii="Verdana" w:hAnsi="Verdana" w:cs="Calibri"/>
          <w:sz w:val="18"/>
          <w:szCs w:val="18"/>
        </w:rPr>
        <w:t>Art. 63.1 de la Convención:</w:t>
      </w:r>
      <w:r w:rsidR="009B7933" w:rsidRPr="00A729A0">
        <w:rPr>
          <w:rFonts w:ascii="Verdana" w:hAnsi="Verdana" w:cs="Calibri"/>
          <w:sz w:val="18"/>
          <w:szCs w:val="18"/>
        </w:rPr>
        <w:t xml:space="preserve"> “</w:t>
      </w:r>
      <w:r w:rsidR="00B67D1C" w:rsidRPr="00A729A0">
        <w:rPr>
          <w:rFonts w:ascii="Verdana" w:hAnsi="Verdana" w:cs="Calibri"/>
          <w:i/>
          <w:sz w:val="18"/>
          <w:szCs w:val="18"/>
        </w:rPr>
        <w:t>[c]</w:t>
      </w:r>
      <w:proofErr w:type="spellStart"/>
      <w:r w:rsidRPr="00A729A0">
        <w:rPr>
          <w:rFonts w:ascii="Verdana" w:hAnsi="Verdana" w:cs="Calibri"/>
          <w:i/>
          <w:sz w:val="18"/>
          <w:szCs w:val="18"/>
        </w:rPr>
        <w:t>uando</w:t>
      </w:r>
      <w:proofErr w:type="spellEnd"/>
      <w:r w:rsidRPr="00A729A0">
        <w:rPr>
          <w:rFonts w:ascii="Verdana" w:hAnsi="Verdana" w:cs="Calibri"/>
          <w:i/>
          <w:sz w:val="18"/>
          <w:szCs w:val="18"/>
        </w:rPr>
        <w:t xml:space="preserve">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18">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En adelante “la víctima”.</w:t>
      </w:r>
    </w:p>
  </w:footnote>
  <w:footnote w:id="19">
    <w:p w:rsidR="000617A0" w:rsidRPr="00A729A0" w:rsidRDefault="000617A0" w:rsidP="00F4471C">
      <w:pPr>
        <w:tabs>
          <w:tab w:val="left" w:pos="426"/>
        </w:tabs>
        <w:spacing w:before="120" w:after="120" w:line="240" w:lineRule="auto"/>
        <w:jc w:val="both"/>
        <w:rPr>
          <w:rFonts w:ascii="Verdana" w:hAnsi="Verdana" w:cs="Calibri"/>
          <w:strike/>
          <w:sz w:val="18"/>
          <w:szCs w:val="18"/>
        </w:rPr>
      </w:pPr>
      <w:r w:rsidRPr="00A729A0">
        <w:rPr>
          <w:rStyle w:val="FootnoteReference"/>
          <w:rFonts w:cs="Calibri"/>
          <w:sz w:val="18"/>
          <w:szCs w:val="18"/>
        </w:rPr>
        <w:footnoteRef/>
      </w:r>
      <w:r w:rsidRPr="00A729A0">
        <w:rPr>
          <w:rFonts w:ascii="Verdana" w:hAnsi="Verdana" w:cs="Calibri"/>
          <w:sz w:val="18"/>
          <w:szCs w:val="18"/>
        </w:rPr>
        <w:t xml:space="preserve"> </w:t>
      </w:r>
      <w:r w:rsidR="009B7933" w:rsidRPr="00A729A0">
        <w:rPr>
          <w:rFonts w:ascii="Verdana" w:hAnsi="Verdana" w:cs="Calibri"/>
          <w:sz w:val="18"/>
          <w:szCs w:val="18"/>
        </w:rPr>
        <w:tab/>
      </w:r>
      <w:r w:rsidRPr="00A729A0">
        <w:rPr>
          <w:rFonts w:ascii="Verdana" w:hAnsi="Verdana" w:cs="Calibri"/>
          <w:sz w:val="18"/>
          <w:szCs w:val="18"/>
        </w:rPr>
        <w:t xml:space="preserve">Segundo párrafo del Preámbulo de la Convención: </w:t>
      </w:r>
      <w:r w:rsidRPr="00A729A0">
        <w:rPr>
          <w:rFonts w:ascii="Verdana" w:hAnsi="Verdana" w:cs="Calibri"/>
          <w:i/>
          <w:sz w:val="18"/>
          <w:szCs w:val="18"/>
        </w:rPr>
        <w:t>“</w:t>
      </w:r>
      <w:r w:rsidR="00B67D1C" w:rsidRPr="00A729A0">
        <w:rPr>
          <w:rFonts w:ascii="Verdana" w:hAnsi="Verdana" w:cs="Calibri"/>
          <w:i/>
          <w:sz w:val="18"/>
          <w:szCs w:val="18"/>
        </w:rPr>
        <w:t>[r]</w:t>
      </w:r>
      <w:proofErr w:type="spellStart"/>
      <w:r w:rsidRPr="00A729A0">
        <w:rPr>
          <w:rFonts w:ascii="Verdana" w:hAnsi="Verdana" w:cs="Calibri"/>
          <w:i/>
          <w:sz w:val="18"/>
          <w:szCs w:val="18"/>
        </w:rPr>
        <w:t>econociendo</w:t>
      </w:r>
      <w:proofErr w:type="spellEnd"/>
      <w:r w:rsidRPr="00A729A0">
        <w:rPr>
          <w:rFonts w:ascii="Verdana" w:hAnsi="Verdana" w:cs="Calibri"/>
          <w:i/>
          <w:sz w:val="18"/>
          <w:szCs w:val="18"/>
        </w:rPr>
        <w:t xml:space="preserve">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r w:rsidRPr="00A729A0">
        <w:rPr>
          <w:rFonts w:ascii="Verdana" w:hAnsi="Verdana" w:cs="Calibri"/>
          <w:sz w:val="18"/>
          <w:szCs w:val="18"/>
        </w:rPr>
        <w:t>.</w:t>
      </w:r>
    </w:p>
    <w:p w:rsidR="000617A0" w:rsidRPr="00A729A0" w:rsidRDefault="000617A0" w:rsidP="00F4471C">
      <w:pPr>
        <w:tabs>
          <w:tab w:val="left" w:pos="426"/>
        </w:tabs>
        <w:spacing w:before="120" w:after="120" w:line="240" w:lineRule="auto"/>
        <w:jc w:val="both"/>
        <w:rPr>
          <w:rFonts w:ascii="Verdana" w:hAnsi="Verdana" w:cs="Calibri"/>
          <w:sz w:val="18"/>
          <w:szCs w:val="18"/>
        </w:rPr>
      </w:pPr>
      <w:r w:rsidRPr="00A729A0">
        <w:rPr>
          <w:rFonts w:ascii="Verdana" w:hAnsi="Verdana" w:cs="Calibri"/>
          <w:sz w:val="18"/>
          <w:szCs w:val="18"/>
        </w:rPr>
        <w:t xml:space="preserve">Tal vez el artículo </w:t>
      </w:r>
      <w:r w:rsidR="001C4EF3">
        <w:rPr>
          <w:rFonts w:ascii="Verdana" w:hAnsi="Verdana" w:cs="Calibri"/>
          <w:sz w:val="18"/>
          <w:szCs w:val="18"/>
        </w:rPr>
        <w:t>25</w:t>
      </w:r>
      <w:r w:rsidRPr="00A729A0">
        <w:rPr>
          <w:rFonts w:ascii="Verdana" w:hAnsi="Verdana" w:cs="Calibri"/>
          <w:sz w:val="18"/>
          <w:szCs w:val="18"/>
        </w:rPr>
        <w:t>.1 de la Convención es el que mejor expresa el carácter subsidiario del Sistema Interamericano de Derechos Humanos, al señalar que:</w:t>
      </w:r>
      <w:r w:rsidR="009B7933" w:rsidRPr="00A729A0">
        <w:rPr>
          <w:rFonts w:ascii="Verdana" w:hAnsi="Verdana" w:cs="Calibri"/>
          <w:sz w:val="18"/>
          <w:szCs w:val="18"/>
        </w:rPr>
        <w:t xml:space="preserve"> </w:t>
      </w:r>
      <w:r w:rsidR="009B7933" w:rsidRPr="00A729A0">
        <w:rPr>
          <w:rFonts w:ascii="Verdana" w:hAnsi="Verdana" w:cs="Calibri"/>
          <w:i/>
          <w:sz w:val="18"/>
          <w:szCs w:val="18"/>
        </w:rPr>
        <w:t>“</w:t>
      </w:r>
      <w:r w:rsidR="00B67D1C" w:rsidRPr="00A729A0">
        <w:rPr>
          <w:rFonts w:ascii="Verdana" w:hAnsi="Verdana" w:cs="Calibri"/>
          <w:i/>
          <w:sz w:val="18"/>
          <w:szCs w:val="18"/>
        </w:rPr>
        <w:t>[t]</w:t>
      </w:r>
      <w:r w:rsidRPr="00A729A0">
        <w:rPr>
          <w:rFonts w:ascii="Verdana" w:hAnsi="Verdana" w:cs="Calibri"/>
          <w:i/>
          <w:sz w:val="18"/>
          <w:szCs w:val="18"/>
        </w:rPr>
        <w: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r w:rsidRPr="00A729A0">
        <w:rPr>
          <w:rFonts w:ascii="Verdana" w:hAnsi="Verdana" w:cs="Calibri"/>
          <w:sz w:val="18"/>
          <w:szCs w:val="18"/>
        </w:rPr>
        <w:t xml:space="preserve"> </w:t>
      </w:r>
    </w:p>
  </w:footnote>
  <w:footnote w:id="20">
    <w:p w:rsidR="000617A0" w:rsidRPr="00A729A0" w:rsidRDefault="000617A0" w:rsidP="00F4471C">
      <w:pPr>
        <w:pStyle w:val="NormalWeb"/>
        <w:tabs>
          <w:tab w:val="left" w:pos="426"/>
        </w:tabs>
        <w:spacing w:before="120" w:beforeAutospacing="0" w:after="120" w:afterAutospacing="0"/>
        <w:jc w:val="both"/>
        <w:rPr>
          <w:rFonts w:ascii="Verdana" w:hAnsi="Verdana" w:cs="Calibri"/>
          <w:sz w:val="18"/>
          <w:szCs w:val="18"/>
        </w:rPr>
      </w:pPr>
      <w:r w:rsidRPr="00A729A0">
        <w:rPr>
          <w:rStyle w:val="FootnoteReference"/>
          <w:rFonts w:cs="Calibri"/>
          <w:sz w:val="18"/>
          <w:szCs w:val="18"/>
        </w:rPr>
        <w:footnoteRef/>
      </w:r>
      <w:r w:rsidRPr="00A729A0">
        <w:rPr>
          <w:rFonts w:ascii="Verdana" w:hAnsi="Verdana" w:cs="Calibri"/>
          <w:sz w:val="18"/>
          <w:szCs w:val="18"/>
        </w:rPr>
        <w:t xml:space="preserve"> </w:t>
      </w:r>
      <w:r w:rsidR="009B7933" w:rsidRPr="00A729A0">
        <w:rPr>
          <w:rFonts w:ascii="Verdana" w:hAnsi="Verdana" w:cs="Calibri"/>
          <w:sz w:val="18"/>
          <w:szCs w:val="18"/>
        </w:rPr>
        <w:tab/>
      </w:r>
      <w:r w:rsidRPr="00A729A0">
        <w:rPr>
          <w:rFonts w:ascii="Verdana" w:hAnsi="Verdana" w:cs="Calibri"/>
          <w:i/>
          <w:sz w:val="18"/>
          <w:szCs w:val="18"/>
        </w:rPr>
        <w:t>“Los Estados americanos consagran en esta Carta la organización internacional que han desarrollado para lograr un orden de paz y de justicia, fomentar su solidaridad, robustecer su colaboración y defender su soberanía, su integridad territorial y su independencia. Dentro de las Naciones Unidas, la Organización de los Estados Americanos constituye un organismo regional</w:t>
      </w:r>
      <w:r w:rsidRPr="00A729A0">
        <w:rPr>
          <w:rFonts w:ascii="Verdana" w:hAnsi="Verdana" w:cs="Calibri"/>
          <w:sz w:val="18"/>
          <w:szCs w:val="18"/>
        </w:rPr>
        <w:t>”.</w:t>
      </w:r>
    </w:p>
  </w:footnote>
  <w:footnote w:id="21">
    <w:p w:rsidR="000617A0" w:rsidRPr="00A729A0" w:rsidRDefault="000617A0" w:rsidP="00F4471C">
      <w:pPr>
        <w:pStyle w:val="NormalWeb"/>
        <w:tabs>
          <w:tab w:val="left" w:pos="426"/>
        </w:tabs>
        <w:spacing w:before="120" w:beforeAutospacing="0" w:after="120" w:afterAutospacing="0"/>
        <w:jc w:val="both"/>
        <w:rPr>
          <w:rFonts w:ascii="Verdana" w:hAnsi="Verdana" w:cs="Calibri"/>
          <w:i/>
          <w:sz w:val="18"/>
          <w:szCs w:val="18"/>
        </w:rPr>
      </w:pPr>
      <w:r w:rsidRPr="00A729A0">
        <w:rPr>
          <w:rStyle w:val="FootnoteReference"/>
          <w:rFonts w:cs="Calibri"/>
          <w:sz w:val="18"/>
          <w:szCs w:val="18"/>
        </w:rPr>
        <w:footnoteRef/>
      </w:r>
      <w:r w:rsidRPr="00A729A0">
        <w:rPr>
          <w:rFonts w:ascii="Verdana" w:hAnsi="Verdana" w:cs="Calibri"/>
          <w:sz w:val="18"/>
          <w:szCs w:val="18"/>
        </w:rPr>
        <w:t xml:space="preserve"> </w:t>
      </w:r>
      <w:r w:rsidR="009B7933" w:rsidRPr="00A729A0">
        <w:rPr>
          <w:rFonts w:ascii="Verdana" w:hAnsi="Verdana" w:cs="Calibri"/>
          <w:sz w:val="18"/>
          <w:szCs w:val="18"/>
        </w:rPr>
        <w:tab/>
      </w:r>
      <w:r w:rsidRPr="00A729A0">
        <w:rPr>
          <w:rFonts w:ascii="Verdana" w:hAnsi="Verdana" w:cs="Calibri"/>
          <w:i/>
          <w:sz w:val="18"/>
          <w:szCs w:val="18"/>
        </w:rPr>
        <w:t>“Los Estados americanos reafirman los siguientes principios: […] b) El orden internacional está esencialmente constituido por el respeto a la personalidad, soberanía e independencia de los Estados y por el fiel cumplimiento de las obligaciones emanadas de los tratados y de otras fuentes del derecho internacional”.</w:t>
      </w:r>
    </w:p>
  </w:footnote>
  <w:footnote w:id="22">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Carta Democrática Interamericana adoptada en el Vigésimo Octavo Período Extraordinario de Sesiones de la Asamblea General de la Organización de  los Estados America</w:t>
      </w:r>
      <w:r w:rsidR="006E7BFD" w:rsidRPr="00A729A0">
        <w:rPr>
          <w:rFonts w:ascii="Verdana" w:hAnsi="Verdana"/>
          <w:sz w:val="18"/>
          <w:szCs w:val="18"/>
        </w:rPr>
        <w:t xml:space="preserve">nos, por Resolución de fecha 11 </w:t>
      </w:r>
      <w:r w:rsidRPr="00A729A0">
        <w:rPr>
          <w:rFonts w:ascii="Verdana" w:hAnsi="Verdana"/>
          <w:sz w:val="18"/>
          <w:szCs w:val="18"/>
        </w:rPr>
        <w:t>de septiembre de 2001.</w:t>
      </w:r>
    </w:p>
  </w:footnote>
  <w:footnote w:id="23">
    <w:p w:rsidR="000617A0" w:rsidRPr="00A729A0" w:rsidRDefault="000617A0" w:rsidP="00F4471C">
      <w:pPr>
        <w:pStyle w:val="NormalWeb"/>
        <w:tabs>
          <w:tab w:val="left" w:pos="426"/>
        </w:tabs>
        <w:spacing w:before="120" w:beforeAutospacing="0" w:after="120" w:afterAutospacing="0"/>
        <w:jc w:val="both"/>
        <w:rPr>
          <w:rFonts w:ascii="Verdana" w:hAnsi="Verdana" w:cs="Calibri"/>
          <w:sz w:val="18"/>
          <w:szCs w:val="18"/>
        </w:rPr>
      </w:pPr>
      <w:r w:rsidRPr="00A729A0">
        <w:rPr>
          <w:rStyle w:val="FootnoteReference"/>
          <w:rFonts w:cs="Calibri"/>
          <w:sz w:val="18"/>
          <w:szCs w:val="18"/>
        </w:rPr>
        <w:footnoteRef/>
      </w:r>
      <w:r w:rsidRPr="00A729A0">
        <w:rPr>
          <w:rFonts w:ascii="Verdana" w:hAnsi="Verdana" w:cs="Calibri"/>
          <w:sz w:val="18"/>
          <w:szCs w:val="18"/>
        </w:rPr>
        <w:t xml:space="preserve"> </w:t>
      </w:r>
      <w:r w:rsidR="009B7933" w:rsidRPr="00A729A0">
        <w:rPr>
          <w:rFonts w:ascii="Verdana" w:hAnsi="Verdana" w:cs="Calibri"/>
          <w:sz w:val="18"/>
          <w:szCs w:val="18"/>
        </w:rPr>
        <w:tab/>
      </w:r>
      <w:r w:rsidRPr="00A729A0">
        <w:rPr>
          <w:rFonts w:ascii="Verdana" w:hAnsi="Verdana" w:cs="Calibri"/>
          <w:bCs/>
          <w:sz w:val="18"/>
          <w:szCs w:val="18"/>
        </w:rPr>
        <w:t>Artículo 44</w:t>
      </w:r>
      <w:r w:rsidRPr="00A729A0">
        <w:rPr>
          <w:rFonts w:ascii="Verdana" w:hAnsi="Verdana" w:cs="Calibri"/>
          <w:sz w:val="18"/>
          <w:szCs w:val="18"/>
        </w:rPr>
        <w:t xml:space="preserve"> de la Convención: </w:t>
      </w:r>
      <w:r w:rsidRPr="00A729A0">
        <w:rPr>
          <w:rFonts w:ascii="Verdana" w:hAnsi="Verdana" w:cs="Calibri"/>
          <w:i/>
          <w:sz w:val="18"/>
          <w:szCs w:val="18"/>
        </w:rPr>
        <w:t>“</w:t>
      </w:r>
      <w:r w:rsidR="006E7BFD" w:rsidRPr="00A729A0">
        <w:rPr>
          <w:rFonts w:ascii="Verdana" w:hAnsi="Verdana" w:cs="Calibri"/>
          <w:i/>
          <w:sz w:val="18"/>
          <w:szCs w:val="18"/>
        </w:rPr>
        <w:t>[c]</w:t>
      </w:r>
      <w:proofErr w:type="spellStart"/>
      <w:r w:rsidRPr="00A729A0">
        <w:rPr>
          <w:rFonts w:ascii="Verdana" w:hAnsi="Verdana" w:cs="Calibri"/>
          <w:i/>
          <w:sz w:val="18"/>
          <w:szCs w:val="18"/>
        </w:rPr>
        <w:t>ualquier</w:t>
      </w:r>
      <w:proofErr w:type="spellEnd"/>
      <w:r w:rsidRPr="00A729A0">
        <w:rPr>
          <w:rFonts w:ascii="Verdana" w:hAnsi="Verdana" w:cs="Calibri"/>
          <w:i/>
          <w:sz w:val="18"/>
          <w:szCs w:val="18"/>
        </w:rPr>
        <w:t xml:space="preserve"> persona o grupo de personas, o entidad no gubernamental legalmente reconocida en uno o más Estados miembros de la Organización, puede presentar a la Comisión peticiones que contengan denuncias o quejas de violación de esta Convención por un Estado parte”.</w:t>
      </w:r>
    </w:p>
    <w:p w:rsidR="000617A0" w:rsidRPr="00A729A0" w:rsidRDefault="009B7933" w:rsidP="00F4471C">
      <w:pPr>
        <w:pStyle w:val="NormalWeb"/>
        <w:tabs>
          <w:tab w:val="left" w:pos="426"/>
        </w:tabs>
        <w:spacing w:before="120" w:beforeAutospacing="0" w:after="120" w:afterAutospacing="0"/>
        <w:jc w:val="both"/>
        <w:rPr>
          <w:rFonts w:ascii="Verdana" w:hAnsi="Verdana" w:cs="Calibri"/>
          <w:i/>
          <w:sz w:val="18"/>
          <w:szCs w:val="18"/>
        </w:rPr>
      </w:pPr>
      <w:r w:rsidRPr="00A729A0">
        <w:rPr>
          <w:rFonts w:ascii="Verdana" w:hAnsi="Verdana" w:cs="Calibri"/>
          <w:sz w:val="18"/>
          <w:szCs w:val="18"/>
        </w:rPr>
        <w:tab/>
      </w:r>
      <w:r w:rsidR="000617A0" w:rsidRPr="00A729A0">
        <w:rPr>
          <w:rFonts w:ascii="Verdana" w:hAnsi="Verdana" w:cs="Calibri"/>
          <w:sz w:val="18"/>
          <w:szCs w:val="18"/>
        </w:rPr>
        <w:t>Artículo 61.1 de la Convención: “</w:t>
      </w:r>
      <w:r w:rsidR="006E7BFD" w:rsidRPr="00A729A0">
        <w:rPr>
          <w:rFonts w:ascii="Verdana" w:hAnsi="Verdana" w:cs="Calibri"/>
          <w:i/>
          <w:sz w:val="18"/>
          <w:szCs w:val="18"/>
        </w:rPr>
        <w:t>[s]</w:t>
      </w:r>
      <w:proofErr w:type="spellStart"/>
      <w:r w:rsidR="000617A0" w:rsidRPr="00A729A0">
        <w:rPr>
          <w:rFonts w:ascii="Verdana" w:hAnsi="Verdana" w:cs="Calibri"/>
          <w:i/>
          <w:sz w:val="18"/>
          <w:szCs w:val="18"/>
        </w:rPr>
        <w:t>ólo</w:t>
      </w:r>
      <w:proofErr w:type="spellEnd"/>
      <w:r w:rsidR="000617A0" w:rsidRPr="00A729A0">
        <w:rPr>
          <w:rFonts w:ascii="Verdana" w:hAnsi="Verdana" w:cs="Calibri"/>
          <w:i/>
          <w:sz w:val="18"/>
          <w:szCs w:val="18"/>
        </w:rPr>
        <w:t xml:space="preserve"> los Estados Partes y la Comisión tienen derecho a someter un caso a la decisión de la Corte”. </w:t>
      </w:r>
    </w:p>
  </w:footnote>
  <w:footnote w:id="24">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F27EC1">
        <w:rPr>
          <w:rFonts w:ascii="Verdana" w:hAnsi="Verdana"/>
          <w:sz w:val="18"/>
          <w:szCs w:val="18"/>
        </w:rPr>
        <w:tab/>
      </w:r>
      <w:r w:rsidR="008128FE" w:rsidRPr="00F62A90">
        <w:rPr>
          <w:rFonts w:ascii="Verdana" w:hAnsi="Verdana"/>
          <w:sz w:val="18"/>
          <w:szCs w:val="18"/>
        </w:rPr>
        <w:t>Aprobado por la Comisión en su 109º período extraordinario de sesiones, celebrado del 4 al 8 de diciembre de 2000, y modificado en su 116º período ordinario de sesiones, celebrado del 7 al 25 de octubre de 2002, en su 118° período ordinario de sesiones, celebrado del 6 al 24 de octubre de 2003, en su 126º período ordinario de sesiones, celebrado del 16 al 27 de octubre de 2006 y en su en su 132º período ordinario de sesiones, celebrado del 17 al 25 de julio de 2008.</w:t>
      </w:r>
    </w:p>
  </w:footnote>
  <w:footnote w:id="25">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color w:val="FF0000"/>
          <w:sz w:val="18"/>
          <w:szCs w:val="18"/>
        </w:rPr>
        <w:tab/>
      </w:r>
      <w:r w:rsidRPr="00F27EC1">
        <w:rPr>
          <w:rFonts w:ascii="Verdana" w:hAnsi="Verdana"/>
          <w:i/>
          <w:sz w:val="18"/>
          <w:szCs w:val="18"/>
        </w:rPr>
        <w:t>Caso Cruz Sánchez y Otros Vs. Perú. Excepciones Preliminares, Fondo, Reparaciones y Costas.</w:t>
      </w:r>
      <w:r w:rsidRPr="00A729A0">
        <w:rPr>
          <w:rFonts w:ascii="Verdana" w:hAnsi="Verdana"/>
          <w:sz w:val="18"/>
          <w:szCs w:val="18"/>
        </w:rPr>
        <w:t xml:space="preserve"> Sentencia de 17 de abril de 2015. Serie C No. 292, párr. 49. </w:t>
      </w:r>
    </w:p>
  </w:footnote>
  <w:footnote w:id="26">
    <w:p w:rsidR="000617A0" w:rsidRPr="00A729A0" w:rsidRDefault="000617A0" w:rsidP="008128FE">
      <w:pPr>
        <w:pStyle w:val="FootnoteText"/>
        <w:rPr>
          <w:rFonts w:ascii="Verdana" w:hAnsi="Verdana"/>
          <w:i/>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009B7933" w:rsidRPr="00A729A0">
        <w:rPr>
          <w:rFonts w:ascii="Verdana" w:hAnsi="Verdana"/>
          <w:i/>
          <w:sz w:val="18"/>
          <w:szCs w:val="18"/>
        </w:rPr>
        <w:t>Ídem</w:t>
      </w:r>
      <w:r w:rsidRPr="00A729A0">
        <w:rPr>
          <w:rFonts w:ascii="Verdana" w:hAnsi="Verdana"/>
          <w:i/>
          <w:sz w:val="18"/>
          <w:szCs w:val="18"/>
        </w:rPr>
        <w:t>.</w:t>
      </w:r>
    </w:p>
  </w:footnote>
  <w:footnote w:id="27">
    <w:p w:rsidR="000617A0" w:rsidRPr="00A729A0" w:rsidRDefault="000617A0" w:rsidP="00F4471C">
      <w:pPr>
        <w:tabs>
          <w:tab w:val="left" w:pos="426"/>
        </w:tabs>
        <w:spacing w:before="120" w:after="120"/>
        <w:jc w:val="both"/>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009B7933" w:rsidRPr="00A729A0">
        <w:rPr>
          <w:rFonts w:ascii="Verdana" w:hAnsi="Verdana"/>
          <w:i/>
          <w:sz w:val="18"/>
          <w:szCs w:val="18"/>
        </w:rPr>
        <w:t>Ídem</w:t>
      </w:r>
      <w:r w:rsidRPr="00A729A0">
        <w:rPr>
          <w:rFonts w:ascii="Verdana" w:hAnsi="Verdana"/>
          <w:i/>
          <w:sz w:val="18"/>
          <w:szCs w:val="18"/>
        </w:rPr>
        <w:t>.</w:t>
      </w:r>
      <w:r w:rsidRPr="00A729A0">
        <w:rPr>
          <w:rFonts w:ascii="Verdana" w:hAnsi="Verdana"/>
          <w:sz w:val="18"/>
          <w:szCs w:val="18"/>
        </w:rPr>
        <w:t xml:space="preserve"> </w:t>
      </w:r>
    </w:p>
  </w:footnote>
  <w:footnote w:id="28">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Diccionario de la Lengua Española, Real Academia Española, 23° edición, octubre 2014.</w:t>
      </w:r>
    </w:p>
  </w:footnote>
  <w:footnote w:id="29">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Artículo 31.1 del Reglamento de la Comisión.</w:t>
      </w:r>
    </w:p>
  </w:footnote>
  <w:footnote w:id="30">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Artículo 29 del Reglamento de la Comisión.</w:t>
      </w:r>
    </w:p>
  </w:footnote>
  <w:footnote w:id="31">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009B7933" w:rsidRPr="00A729A0">
        <w:rPr>
          <w:rFonts w:ascii="Verdana" w:hAnsi="Verdana"/>
          <w:i/>
          <w:sz w:val="18"/>
          <w:szCs w:val="18"/>
        </w:rPr>
        <w:t>Ídem</w:t>
      </w:r>
      <w:r w:rsidRPr="00A729A0">
        <w:rPr>
          <w:rFonts w:ascii="Verdana" w:hAnsi="Verdana"/>
          <w:sz w:val="18"/>
          <w:szCs w:val="18"/>
        </w:rPr>
        <w:t>.</w:t>
      </w:r>
    </w:p>
  </w:footnote>
  <w:footnote w:id="32">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Artículo 30.2 del Reglamento de la Comisión.</w:t>
      </w:r>
    </w:p>
  </w:footnote>
  <w:footnote w:id="33">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Artículo 31.1 del Reglamento de la Comisión.</w:t>
      </w:r>
    </w:p>
  </w:footnote>
  <w:footnote w:id="34">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1819AD">
        <w:rPr>
          <w:rFonts w:ascii="Verdana" w:hAnsi="Verdana"/>
          <w:i/>
          <w:snapToGrid w:val="0"/>
          <w:sz w:val="18"/>
          <w:szCs w:val="18"/>
        </w:rPr>
        <w:t>Caso Cruz Sánchez y Otros Vs. Perú</w:t>
      </w:r>
      <w:r w:rsidR="009B7933" w:rsidRPr="001819AD">
        <w:rPr>
          <w:rFonts w:ascii="Verdana" w:hAnsi="Verdana"/>
          <w:i/>
          <w:snapToGrid w:val="0"/>
          <w:sz w:val="18"/>
          <w:szCs w:val="18"/>
        </w:rPr>
        <w:t>. Excepciones, Fondo, Reparaciones y Costas</w:t>
      </w:r>
      <w:r w:rsidR="001819AD">
        <w:rPr>
          <w:rFonts w:ascii="Verdana" w:hAnsi="Verdana"/>
          <w:i/>
          <w:snapToGrid w:val="0"/>
          <w:sz w:val="18"/>
          <w:szCs w:val="18"/>
        </w:rPr>
        <w:t>.</w:t>
      </w:r>
      <w:r w:rsidRPr="001819AD">
        <w:rPr>
          <w:rFonts w:ascii="Verdana" w:hAnsi="Verdana"/>
          <w:i/>
          <w:snapToGrid w:val="0"/>
          <w:sz w:val="18"/>
          <w:szCs w:val="18"/>
        </w:rPr>
        <w:t xml:space="preserve"> </w:t>
      </w:r>
      <w:r w:rsidRPr="00A729A0">
        <w:rPr>
          <w:rFonts w:ascii="Verdana" w:hAnsi="Verdana"/>
          <w:snapToGrid w:val="0"/>
          <w:sz w:val="18"/>
          <w:szCs w:val="18"/>
        </w:rPr>
        <w:t>Sentencia de 17 de abril de 2015</w:t>
      </w:r>
      <w:r w:rsidR="009B7933" w:rsidRPr="00A729A0">
        <w:rPr>
          <w:rFonts w:ascii="Verdana" w:hAnsi="Verdana"/>
          <w:snapToGrid w:val="0"/>
          <w:sz w:val="18"/>
          <w:szCs w:val="18"/>
        </w:rPr>
        <w:t>, párr. 37.</w:t>
      </w:r>
    </w:p>
  </w:footnote>
  <w:footnote w:id="35">
    <w:p w:rsidR="000617A0" w:rsidRPr="00A729A0" w:rsidRDefault="000617A0" w:rsidP="00F4471C">
      <w:pPr>
        <w:tabs>
          <w:tab w:val="left" w:pos="426"/>
        </w:tabs>
        <w:spacing w:before="120" w:after="120"/>
        <w:jc w:val="both"/>
        <w:rPr>
          <w:rFonts w:ascii="Verdana" w:hAnsi="Verdana" w:cs="Calibri"/>
          <w:snapToGrid w:val="0"/>
          <w:sz w:val="18"/>
          <w:szCs w:val="18"/>
          <w:lang w:val="pt-BR"/>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cs="Calibri"/>
          <w:i/>
          <w:snapToGrid w:val="0"/>
          <w:sz w:val="18"/>
          <w:szCs w:val="18"/>
          <w:lang w:val="pt-BR"/>
        </w:rPr>
        <w:t>Caso Cruz Sánchez y Otros Vs. Perú</w:t>
      </w:r>
      <w:r w:rsidR="009B7933" w:rsidRPr="00A729A0">
        <w:rPr>
          <w:rFonts w:ascii="Verdana" w:hAnsi="Verdana" w:cs="Calibri"/>
          <w:i/>
          <w:snapToGrid w:val="0"/>
          <w:sz w:val="18"/>
          <w:szCs w:val="18"/>
          <w:lang w:val="pt-BR"/>
        </w:rPr>
        <w:t>.</w:t>
      </w:r>
      <w:r w:rsidR="009B7933" w:rsidRPr="00A729A0">
        <w:rPr>
          <w:rFonts w:ascii="Verdana" w:hAnsi="Verdana" w:cs="Calibri"/>
          <w:snapToGrid w:val="0"/>
          <w:sz w:val="18"/>
          <w:szCs w:val="18"/>
        </w:rPr>
        <w:t xml:space="preserve"> </w:t>
      </w:r>
      <w:r w:rsidR="009B7933" w:rsidRPr="00A729A0">
        <w:rPr>
          <w:rFonts w:ascii="Verdana" w:hAnsi="Verdana" w:cs="Calibri"/>
          <w:i/>
          <w:snapToGrid w:val="0"/>
          <w:sz w:val="18"/>
          <w:szCs w:val="18"/>
        </w:rPr>
        <w:t>Excepciones, Fondo, Reparaciones y Costas</w:t>
      </w:r>
      <w:r w:rsidR="009B7933" w:rsidRPr="00A729A0">
        <w:rPr>
          <w:rFonts w:ascii="Verdana" w:hAnsi="Verdana" w:cs="Calibri"/>
          <w:i/>
          <w:snapToGrid w:val="0"/>
          <w:sz w:val="18"/>
          <w:szCs w:val="18"/>
          <w:lang w:val="pt-BR"/>
        </w:rPr>
        <w:t>.</w:t>
      </w:r>
      <w:r w:rsidRPr="00A729A0">
        <w:rPr>
          <w:rFonts w:ascii="Verdana" w:hAnsi="Verdana" w:cs="Calibri"/>
          <w:snapToGrid w:val="0"/>
          <w:sz w:val="18"/>
          <w:szCs w:val="18"/>
          <w:lang w:val="pt-BR"/>
        </w:rPr>
        <w:t xml:space="preserve"> S</w:t>
      </w:r>
      <w:r w:rsidR="009B7933" w:rsidRPr="00A729A0">
        <w:rPr>
          <w:rFonts w:ascii="Verdana" w:hAnsi="Verdana" w:cs="Calibri"/>
          <w:snapToGrid w:val="0"/>
          <w:sz w:val="18"/>
          <w:szCs w:val="18"/>
          <w:lang w:val="pt-BR"/>
        </w:rPr>
        <w:t>entencia de 17 de abril de 2015, párr. 75</w:t>
      </w:r>
      <w:r w:rsidRPr="00A729A0">
        <w:rPr>
          <w:rFonts w:ascii="Verdana" w:hAnsi="Verdana" w:cs="Calibri"/>
          <w:caps/>
          <w:snapToGrid w:val="0"/>
          <w:sz w:val="18"/>
          <w:szCs w:val="18"/>
        </w:rPr>
        <w:t>.</w:t>
      </w:r>
    </w:p>
  </w:footnote>
  <w:footnote w:id="36">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 xml:space="preserve">Ver también </w:t>
      </w:r>
      <w:proofErr w:type="spellStart"/>
      <w:r w:rsidRPr="00A729A0">
        <w:rPr>
          <w:rFonts w:ascii="Verdana" w:hAnsi="Verdana"/>
          <w:sz w:val="18"/>
          <w:szCs w:val="18"/>
        </w:rPr>
        <w:t>párrs</w:t>
      </w:r>
      <w:proofErr w:type="spellEnd"/>
      <w:r w:rsidRPr="00A729A0">
        <w:rPr>
          <w:rFonts w:ascii="Verdana" w:hAnsi="Verdana"/>
          <w:sz w:val="18"/>
          <w:szCs w:val="18"/>
        </w:rPr>
        <w:t>.</w:t>
      </w:r>
      <w:r w:rsidR="004935F9" w:rsidRPr="00A729A0">
        <w:rPr>
          <w:rFonts w:ascii="Verdana" w:hAnsi="Verdana"/>
          <w:sz w:val="18"/>
          <w:szCs w:val="18"/>
        </w:rPr>
        <w:t xml:space="preserve"> </w:t>
      </w:r>
      <w:r w:rsidRPr="00A729A0">
        <w:rPr>
          <w:rFonts w:ascii="Verdana" w:hAnsi="Verdana"/>
          <w:sz w:val="18"/>
          <w:szCs w:val="18"/>
        </w:rPr>
        <w:t>18 y 22 de la Sentencia.</w:t>
      </w:r>
    </w:p>
  </w:footnote>
  <w:footnote w:id="37">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i/>
          <w:sz w:val="18"/>
          <w:szCs w:val="18"/>
        </w:rPr>
        <w:t xml:space="preserve">Cfr. </w:t>
      </w:r>
      <w:r w:rsidRPr="00A729A0">
        <w:rPr>
          <w:rFonts w:ascii="Verdana" w:hAnsi="Verdana"/>
          <w:sz w:val="18"/>
          <w:szCs w:val="18"/>
        </w:rPr>
        <w:t xml:space="preserve">párr. </w:t>
      </w:r>
      <w:r w:rsidR="004935F9" w:rsidRPr="00A729A0">
        <w:rPr>
          <w:rFonts w:ascii="Verdana" w:hAnsi="Verdana"/>
          <w:sz w:val="18"/>
          <w:szCs w:val="18"/>
        </w:rPr>
        <w:t>19</w:t>
      </w:r>
      <w:r w:rsidRPr="00A729A0">
        <w:rPr>
          <w:rFonts w:ascii="Verdana" w:hAnsi="Verdana"/>
          <w:sz w:val="18"/>
          <w:szCs w:val="18"/>
        </w:rPr>
        <w:t xml:space="preserve"> de la Sentencia.</w:t>
      </w:r>
    </w:p>
  </w:footnote>
  <w:footnote w:id="38">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i/>
          <w:sz w:val="18"/>
          <w:szCs w:val="18"/>
        </w:rPr>
        <w:t xml:space="preserve">Cfr. </w:t>
      </w:r>
      <w:r w:rsidRPr="00A729A0">
        <w:rPr>
          <w:rFonts w:ascii="Verdana" w:hAnsi="Verdana"/>
          <w:sz w:val="18"/>
          <w:szCs w:val="18"/>
        </w:rPr>
        <w:t>párr.</w:t>
      </w:r>
      <w:r w:rsidR="004935F9" w:rsidRPr="00A729A0">
        <w:rPr>
          <w:rFonts w:ascii="Verdana" w:hAnsi="Verdana"/>
          <w:sz w:val="18"/>
          <w:szCs w:val="18"/>
        </w:rPr>
        <w:t xml:space="preserve"> </w:t>
      </w:r>
      <w:r w:rsidRPr="00A729A0">
        <w:rPr>
          <w:rFonts w:ascii="Verdana" w:hAnsi="Verdana"/>
          <w:sz w:val="18"/>
          <w:szCs w:val="18"/>
        </w:rPr>
        <w:t>23 de la Sentencia.</w:t>
      </w:r>
    </w:p>
  </w:footnote>
  <w:footnote w:id="39">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Párr. 25 de la Sentencia.</w:t>
      </w:r>
    </w:p>
  </w:footnote>
  <w:footnote w:id="40">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Párr. 26 de la Sentencia.</w:t>
      </w:r>
    </w:p>
  </w:footnote>
  <w:footnote w:id="41">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009B7933" w:rsidRPr="005544BD">
        <w:rPr>
          <w:rFonts w:ascii="Verdana" w:hAnsi="Verdana"/>
          <w:i/>
          <w:sz w:val="18"/>
          <w:szCs w:val="18"/>
        </w:rPr>
        <w:t>Ídem</w:t>
      </w:r>
      <w:r w:rsidRPr="00A729A0">
        <w:rPr>
          <w:rFonts w:ascii="Verdana" w:hAnsi="Verdana"/>
          <w:sz w:val="18"/>
          <w:szCs w:val="18"/>
        </w:rPr>
        <w:t>.</w:t>
      </w:r>
    </w:p>
  </w:footnote>
  <w:footnote w:id="42">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A729A0">
        <w:rPr>
          <w:rFonts w:ascii="Verdana" w:hAnsi="Verdana"/>
          <w:sz w:val="18"/>
          <w:szCs w:val="18"/>
        </w:rPr>
        <w:t>Párr. 27 de la Sentencia.</w:t>
      </w:r>
    </w:p>
  </w:footnote>
  <w:footnote w:id="43">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00180B46">
        <w:rPr>
          <w:rFonts w:ascii="Verdana" w:hAnsi="Verdana"/>
          <w:sz w:val="18"/>
          <w:szCs w:val="18"/>
        </w:rPr>
        <w:t>Párr. 28</w:t>
      </w:r>
      <w:r w:rsidRPr="00A729A0">
        <w:rPr>
          <w:rFonts w:ascii="Verdana" w:hAnsi="Verdana"/>
          <w:sz w:val="18"/>
          <w:szCs w:val="18"/>
        </w:rPr>
        <w:t xml:space="preserve"> de la Sentencia.</w:t>
      </w:r>
    </w:p>
  </w:footnote>
  <w:footnote w:id="44">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009B7933" w:rsidRPr="00F93984">
        <w:rPr>
          <w:rFonts w:ascii="Verdana" w:hAnsi="Verdana"/>
          <w:i/>
          <w:sz w:val="18"/>
          <w:szCs w:val="18"/>
        </w:rPr>
        <w:t>Ídem</w:t>
      </w:r>
      <w:r w:rsidRPr="00A729A0">
        <w:rPr>
          <w:rFonts w:ascii="Verdana" w:hAnsi="Verdana"/>
          <w:sz w:val="18"/>
          <w:szCs w:val="18"/>
        </w:rPr>
        <w:t>.</w:t>
      </w:r>
    </w:p>
  </w:footnote>
  <w:footnote w:id="45">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9B7933" w:rsidRPr="00A729A0">
        <w:rPr>
          <w:rFonts w:ascii="Verdana" w:hAnsi="Verdana"/>
          <w:sz w:val="18"/>
          <w:szCs w:val="18"/>
        </w:rPr>
        <w:tab/>
      </w:r>
      <w:r w:rsidRPr="00F27EC1">
        <w:rPr>
          <w:rFonts w:ascii="Verdana" w:hAnsi="Verdana"/>
          <w:i/>
          <w:sz w:val="18"/>
          <w:szCs w:val="18"/>
        </w:rPr>
        <w:t xml:space="preserve">Caso Cruz Sánchez y Otros Vs. Perú. Excepciones Preliminares, Fondo, Reparaciones y Costas. </w:t>
      </w:r>
      <w:r w:rsidRPr="00A729A0">
        <w:rPr>
          <w:rFonts w:ascii="Verdana" w:hAnsi="Verdana"/>
          <w:sz w:val="18"/>
          <w:szCs w:val="18"/>
        </w:rPr>
        <w:t xml:space="preserve">Sentencia de 17 de abril de 2015. Serie C No. 292, párr. 37. </w:t>
      </w:r>
    </w:p>
  </w:footnote>
  <w:footnote w:id="46">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F4471C" w:rsidRPr="00A729A0">
        <w:rPr>
          <w:rFonts w:ascii="Verdana" w:hAnsi="Verdana"/>
          <w:sz w:val="18"/>
          <w:szCs w:val="18"/>
        </w:rPr>
        <w:tab/>
      </w:r>
      <w:r w:rsidRPr="00F27EC1">
        <w:rPr>
          <w:rFonts w:ascii="Verdana" w:hAnsi="Verdana"/>
          <w:i/>
          <w:sz w:val="18"/>
          <w:szCs w:val="18"/>
        </w:rPr>
        <w:t>Caso Díaz Peña Vs. Venezuela</w:t>
      </w:r>
      <w:r w:rsidR="00025B62" w:rsidRPr="00F27EC1">
        <w:rPr>
          <w:rFonts w:ascii="Verdana" w:hAnsi="Verdana"/>
          <w:i/>
          <w:sz w:val="18"/>
          <w:szCs w:val="18"/>
        </w:rPr>
        <w:t>. Excepción Preliminar, Fondo, Reparaciones y Costas.</w:t>
      </w:r>
      <w:r w:rsidRPr="00A729A0">
        <w:rPr>
          <w:rFonts w:ascii="Verdana" w:hAnsi="Verdana"/>
          <w:sz w:val="18"/>
          <w:szCs w:val="18"/>
        </w:rPr>
        <w:t xml:space="preserve"> Sentencia de 26 de junio de 2012</w:t>
      </w:r>
      <w:r w:rsidR="00025B62" w:rsidRPr="00A729A0">
        <w:rPr>
          <w:rFonts w:ascii="Verdana" w:hAnsi="Verdana"/>
          <w:sz w:val="18"/>
          <w:szCs w:val="18"/>
        </w:rPr>
        <w:t>. Serie C 244,</w:t>
      </w:r>
      <w:r w:rsidRPr="00A729A0">
        <w:rPr>
          <w:rFonts w:ascii="Verdana" w:hAnsi="Verdana"/>
          <w:sz w:val="18"/>
          <w:szCs w:val="18"/>
        </w:rPr>
        <w:t xml:space="preserve"> párr. 43.</w:t>
      </w:r>
    </w:p>
  </w:footnote>
  <w:footnote w:id="47">
    <w:p w:rsidR="000617A0" w:rsidRPr="00A729A0" w:rsidRDefault="000617A0" w:rsidP="00F4471C">
      <w:pPr>
        <w:pStyle w:val="NormalWeb"/>
        <w:tabs>
          <w:tab w:val="left" w:pos="426"/>
        </w:tabs>
        <w:spacing w:before="120" w:beforeAutospacing="0" w:after="120" w:afterAutospacing="0"/>
        <w:jc w:val="both"/>
        <w:rPr>
          <w:rFonts w:ascii="Verdana" w:hAnsi="Verdana" w:cs="Calibri"/>
          <w:sz w:val="18"/>
          <w:szCs w:val="18"/>
        </w:rPr>
      </w:pPr>
      <w:r w:rsidRPr="00A729A0">
        <w:rPr>
          <w:rStyle w:val="FootnoteReference"/>
          <w:rFonts w:cs="Calibri"/>
          <w:sz w:val="18"/>
          <w:szCs w:val="18"/>
        </w:rPr>
        <w:footnoteRef/>
      </w:r>
      <w:r w:rsidRPr="00A729A0">
        <w:rPr>
          <w:rFonts w:ascii="Verdana" w:hAnsi="Verdana" w:cs="Calibri"/>
          <w:sz w:val="18"/>
          <w:szCs w:val="18"/>
        </w:rPr>
        <w:t xml:space="preserve"> </w:t>
      </w:r>
      <w:r w:rsidR="00F4471C" w:rsidRPr="00A729A0">
        <w:rPr>
          <w:rFonts w:ascii="Verdana" w:hAnsi="Verdana" w:cs="Calibri"/>
          <w:sz w:val="18"/>
          <w:szCs w:val="18"/>
        </w:rPr>
        <w:tab/>
      </w:r>
      <w:r w:rsidRPr="00A729A0">
        <w:rPr>
          <w:rFonts w:ascii="Verdana" w:hAnsi="Verdana" w:cs="Calibri"/>
          <w:sz w:val="18"/>
          <w:szCs w:val="18"/>
        </w:rPr>
        <w:t>Art</w:t>
      </w:r>
      <w:r w:rsidR="00025B62" w:rsidRPr="00A729A0">
        <w:rPr>
          <w:rFonts w:ascii="Verdana" w:hAnsi="Verdana" w:cs="Calibri"/>
          <w:sz w:val="18"/>
          <w:szCs w:val="18"/>
        </w:rPr>
        <w:t>ículo</w:t>
      </w:r>
      <w:r w:rsidRPr="00A729A0">
        <w:rPr>
          <w:rFonts w:ascii="Verdana" w:hAnsi="Verdana" w:cs="Calibri"/>
          <w:sz w:val="18"/>
          <w:szCs w:val="18"/>
        </w:rPr>
        <w:t xml:space="preserve"> 68 de la Convención: </w:t>
      </w:r>
      <w:r w:rsidRPr="00A729A0">
        <w:rPr>
          <w:rFonts w:ascii="Verdana" w:hAnsi="Verdana" w:cs="Calibri"/>
          <w:i/>
          <w:sz w:val="18"/>
          <w:szCs w:val="18"/>
        </w:rPr>
        <w:t>“1.</w:t>
      </w:r>
      <w:r w:rsidR="00025B62" w:rsidRPr="00A729A0">
        <w:rPr>
          <w:rFonts w:ascii="Verdana" w:hAnsi="Verdana" w:cs="Calibri"/>
          <w:i/>
          <w:sz w:val="18"/>
          <w:szCs w:val="18"/>
        </w:rPr>
        <w:t xml:space="preserve"> </w:t>
      </w:r>
      <w:r w:rsidRPr="00A729A0">
        <w:rPr>
          <w:rFonts w:ascii="Verdana" w:hAnsi="Verdana" w:cs="Calibri"/>
          <w:i/>
          <w:sz w:val="18"/>
          <w:szCs w:val="18"/>
        </w:rPr>
        <w:t>Los Estados Partes en la Convención se comprometen a cumplir la decisión de la Corte en todo caso en que sean partes. 2. La parte del fallo que disponga indemnización compensatoria se podrá ejecutar en el respectivo país por el procedimiento interno vigente para la ejecución</w:t>
      </w:r>
      <w:r w:rsidR="00025B62" w:rsidRPr="00A729A0">
        <w:rPr>
          <w:rFonts w:ascii="Verdana" w:hAnsi="Verdana" w:cs="Calibri"/>
          <w:i/>
          <w:sz w:val="18"/>
          <w:szCs w:val="18"/>
        </w:rPr>
        <w:t xml:space="preserve"> de sentencias contra el Estado</w:t>
      </w:r>
      <w:r w:rsidRPr="00A729A0">
        <w:rPr>
          <w:rFonts w:ascii="Verdana" w:hAnsi="Verdana" w:cs="Calibri"/>
          <w:i/>
          <w:sz w:val="18"/>
          <w:szCs w:val="18"/>
        </w:rPr>
        <w:t>”</w:t>
      </w:r>
      <w:r w:rsidR="00025B62" w:rsidRPr="00A729A0">
        <w:rPr>
          <w:rFonts w:ascii="Verdana" w:hAnsi="Verdana" w:cs="Calibri"/>
          <w:i/>
          <w:sz w:val="18"/>
          <w:szCs w:val="18"/>
        </w:rPr>
        <w:t>.</w:t>
      </w:r>
      <w:r w:rsidRPr="00A729A0">
        <w:rPr>
          <w:rFonts w:ascii="Verdana" w:hAnsi="Verdana" w:cs="Calibri"/>
          <w:i/>
          <w:sz w:val="18"/>
          <w:szCs w:val="18"/>
        </w:rPr>
        <w:t xml:space="preserve"> </w:t>
      </w:r>
    </w:p>
  </w:footnote>
  <w:footnote w:id="48">
    <w:p w:rsidR="000617A0" w:rsidRPr="00A729A0" w:rsidRDefault="000617A0" w:rsidP="00F4471C">
      <w:pPr>
        <w:tabs>
          <w:tab w:val="left" w:pos="426"/>
        </w:tabs>
        <w:spacing w:before="120" w:after="120" w:line="240" w:lineRule="auto"/>
        <w:jc w:val="both"/>
        <w:rPr>
          <w:rFonts w:ascii="Verdana" w:hAnsi="Verdana" w:cs="Calibri"/>
          <w:i/>
          <w:sz w:val="18"/>
          <w:szCs w:val="18"/>
          <w:lang w:eastAsia="es-CL"/>
        </w:rPr>
      </w:pPr>
      <w:r w:rsidRPr="00A729A0">
        <w:rPr>
          <w:rStyle w:val="FootnoteReference"/>
          <w:rFonts w:cs="Calibri"/>
          <w:sz w:val="18"/>
          <w:szCs w:val="18"/>
        </w:rPr>
        <w:footnoteRef/>
      </w:r>
      <w:r w:rsidRPr="00A729A0">
        <w:rPr>
          <w:rFonts w:ascii="Verdana" w:hAnsi="Verdana" w:cs="Calibri"/>
          <w:sz w:val="18"/>
          <w:szCs w:val="18"/>
        </w:rPr>
        <w:t xml:space="preserve"> </w:t>
      </w:r>
      <w:r w:rsidR="00F4471C" w:rsidRPr="00A729A0">
        <w:rPr>
          <w:rFonts w:ascii="Verdana" w:hAnsi="Verdana" w:cs="Calibri"/>
          <w:sz w:val="18"/>
          <w:szCs w:val="18"/>
        </w:rPr>
        <w:tab/>
      </w:r>
      <w:r w:rsidR="00025B62" w:rsidRPr="00A729A0">
        <w:rPr>
          <w:rFonts w:ascii="Verdana" w:hAnsi="Verdana" w:cs="Calibri"/>
          <w:bCs/>
          <w:iCs/>
          <w:sz w:val="18"/>
          <w:szCs w:val="18"/>
          <w:lang w:eastAsia="es-CL"/>
        </w:rPr>
        <w:t>Artículo</w:t>
      </w:r>
      <w:r w:rsidRPr="00A729A0">
        <w:rPr>
          <w:rFonts w:ascii="Verdana" w:hAnsi="Verdana" w:cs="Calibri"/>
          <w:bCs/>
          <w:iCs/>
          <w:sz w:val="18"/>
          <w:szCs w:val="18"/>
          <w:lang w:eastAsia="es-CL"/>
        </w:rPr>
        <w:t xml:space="preserve"> 38 del Estatuto de la Corte Internacional de Justicia: </w:t>
      </w:r>
      <w:r w:rsidRPr="00A729A0">
        <w:rPr>
          <w:rFonts w:ascii="Verdana" w:hAnsi="Verdana" w:cs="Calibri"/>
          <w:bCs/>
          <w:i/>
          <w:iCs/>
          <w:sz w:val="18"/>
          <w:szCs w:val="18"/>
          <w:lang w:eastAsia="es-CL"/>
        </w:rPr>
        <w:t>“</w:t>
      </w:r>
      <w:r w:rsidRPr="00A729A0">
        <w:rPr>
          <w:rFonts w:ascii="Verdana" w:hAnsi="Verdana" w:cs="Calibri"/>
          <w:i/>
          <w:sz w:val="18"/>
          <w:szCs w:val="18"/>
          <w:lang w:eastAsia="es-CL"/>
        </w:rPr>
        <w:t>1.</w:t>
      </w:r>
      <w:r w:rsidR="00025B62" w:rsidRPr="00A729A0">
        <w:rPr>
          <w:rFonts w:ascii="Verdana" w:hAnsi="Verdana" w:cs="Calibri"/>
          <w:i/>
          <w:sz w:val="18"/>
          <w:szCs w:val="18"/>
          <w:lang w:eastAsia="es-CL"/>
        </w:rPr>
        <w:t xml:space="preserve"> </w:t>
      </w:r>
      <w:r w:rsidRPr="00A729A0">
        <w:rPr>
          <w:rFonts w:ascii="Verdana" w:hAnsi="Verdana" w:cs="Calibri"/>
          <w:i/>
          <w:sz w:val="18"/>
          <w:szCs w:val="18"/>
          <w:lang w:eastAsia="es-CL"/>
        </w:rPr>
        <w:t>La Corte, cuya función es decidir conforme al derecho internacional las controversias que le sean sometidas, deberá aplicar: a. las convenciones internacionales, sean generales o particulares, que establecen reglas expresamente reconocidas por los Estados litigantes; b. la costumbre internacional como prueba de una práctica generalmente aceptada como derecho; c. los principios generales de derecho reconocidos por las naciones civilizadas; d. las decisiones judiciales y las doctrinas de los publicistas de mayor competencia de las distintas naciones, como medio auxiliar para la determinación de las reglas de derecho, sin perjuicio de lo dispuesto en el Artículo 59. 2. La presente disposición no restringe la facultad de la Corte para decidir un litigio </w:t>
      </w:r>
      <w:r w:rsidRPr="00A729A0">
        <w:rPr>
          <w:rFonts w:ascii="Verdana" w:hAnsi="Verdana" w:cs="Calibri"/>
          <w:i/>
          <w:iCs/>
          <w:sz w:val="18"/>
          <w:szCs w:val="18"/>
          <w:lang w:eastAsia="es-CL"/>
        </w:rPr>
        <w:t>ex aequo et bono</w:t>
      </w:r>
      <w:r w:rsidRPr="00A729A0">
        <w:rPr>
          <w:rFonts w:ascii="Verdana" w:hAnsi="Verdana" w:cs="Calibri"/>
          <w:i/>
          <w:sz w:val="18"/>
          <w:szCs w:val="18"/>
          <w:lang w:eastAsia="es-CL"/>
        </w:rPr>
        <w:t xml:space="preserve">, </w:t>
      </w:r>
      <w:r w:rsidR="00025B62" w:rsidRPr="00A729A0">
        <w:rPr>
          <w:rFonts w:ascii="Verdana" w:hAnsi="Verdana" w:cs="Calibri"/>
          <w:i/>
          <w:sz w:val="18"/>
          <w:szCs w:val="18"/>
          <w:lang w:eastAsia="es-CL"/>
        </w:rPr>
        <w:t>si las partes así lo conviniere</w:t>
      </w:r>
      <w:r w:rsidRPr="00A729A0">
        <w:rPr>
          <w:rFonts w:ascii="Verdana" w:hAnsi="Verdana" w:cs="Calibri"/>
          <w:i/>
          <w:sz w:val="18"/>
          <w:szCs w:val="18"/>
          <w:lang w:eastAsia="es-CL"/>
        </w:rPr>
        <w:t>”</w:t>
      </w:r>
      <w:r w:rsidR="00025B62" w:rsidRPr="00A729A0">
        <w:rPr>
          <w:rFonts w:ascii="Verdana" w:hAnsi="Verdana" w:cs="Calibri"/>
          <w:i/>
          <w:sz w:val="18"/>
          <w:szCs w:val="18"/>
          <w:lang w:eastAsia="es-CL"/>
        </w:rPr>
        <w:t>.</w:t>
      </w:r>
    </w:p>
    <w:p w:rsidR="000617A0" w:rsidRPr="00A729A0" w:rsidRDefault="00F4471C" w:rsidP="00F4471C">
      <w:pPr>
        <w:tabs>
          <w:tab w:val="left" w:pos="426"/>
        </w:tabs>
        <w:spacing w:before="120" w:after="120" w:line="240" w:lineRule="auto"/>
        <w:jc w:val="both"/>
        <w:rPr>
          <w:rFonts w:ascii="Verdana" w:hAnsi="Verdana" w:cs="Calibri"/>
          <w:i/>
          <w:sz w:val="18"/>
          <w:szCs w:val="18"/>
          <w:lang w:eastAsia="es-CL"/>
        </w:rPr>
      </w:pPr>
      <w:r w:rsidRPr="00A729A0">
        <w:rPr>
          <w:rFonts w:ascii="Verdana" w:hAnsi="Verdana" w:cs="Calibri"/>
          <w:bCs/>
          <w:iCs/>
          <w:sz w:val="18"/>
          <w:szCs w:val="18"/>
          <w:lang w:eastAsia="es-CL"/>
        </w:rPr>
        <w:tab/>
      </w:r>
      <w:r w:rsidR="00025B62" w:rsidRPr="00A729A0">
        <w:rPr>
          <w:rFonts w:ascii="Verdana" w:hAnsi="Verdana" w:cs="Calibri"/>
          <w:bCs/>
          <w:iCs/>
          <w:sz w:val="18"/>
          <w:szCs w:val="18"/>
          <w:lang w:eastAsia="es-CL"/>
        </w:rPr>
        <w:t>Artículo</w:t>
      </w:r>
      <w:r w:rsidR="000617A0" w:rsidRPr="00A729A0">
        <w:rPr>
          <w:rFonts w:ascii="Verdana" w:hAnsi="Verdana" w:cs="Calibri"/>
          <w:bCs/>
          <w:iCs/>
          <w:sz w:val="18"/>
          <w:szCs w:val="18"/>
          <w:lang w:eastAsia="es-CL"/>
        </w:rPr>
        <w:t xml:space="preserve"> 59 del mismo Estatuto: </w:t>
      </w:r>
      <w:r w:rsidR="000617A0" w:rsidRPr="00A729A0">
        <w:rPr>
          <w:rFonts w:ascii="Verdana" w:hAnsi="Verdana" w:cs="Calibri"/>
          <w:sz w:val="18"/>
          <w:szCs w:val="18"/>
          <w:lang w:eastAsia="es-CL"/>
        </w:rPr>
        <w:t>“</w:t>
      </w:r>
      <w:r w:rsidR="00C217D3" w:rsidRPr="00A729A0">
        <w:rPr>
          <w:rFonts w:ascii="Verdana" w:hAnsi="Verdana" w:cs="Calibri"/>
          <w:i/>
          <w:sz w:val="18"/>
          <w:szCs w:val="18"/>
          <w:lang w:eastAsia="es-CL"/>
        </w:rPr>
        <w:t>[l]</w:t>
      </w:r>
      <w:r w:rsidR="000617A0" w:rsidRPr="00A729A0">
        <w:rPr>
          <w:rFonts w:ascii="Verdana" w:hAnsi="Verdana" w:cs="Calibri"/>
          <w:i/>
          <w:sz w:val="18"/>
          <w:szCs w:val="18"/>
          <w:lang w:eastAsia="es-CL"/>
        </w:rPr>
        <w:t>a decisión de la Corte no es obligatoria sino para las partes en litigio y respecto</w:t>
      </w:r>
      <w:r w:rsidR="00025B62" w:rsidRPr="00A729A0">
        <w:rPr>
          <w:rFonts w:ascii="Verdana" w:hAnsi="Verdana" w:cs="Calibri"/>
          <w:i/>
          <w:sz w:val="18"/>
          <w:szCs w:val="18"/>
          <w:lang w:eastAsia="es-CL"/>
        </w:rPr>
        <w:t xml:space="preserve"> del caso que ha sido decidido”.</w:t>
      </w:r>
      <w:r w:rsidR="000617A0" w:rsidRPr="00A729A0">
        <w:rPr>
          <w:rFonts w:ascii="Verdana" w:hAnsi="Verdana" w:cs="Calibri"/>
          <w:i/>
          <w:strike/>
          <w:sz w:val="18"/>
          <w:szCs w:val="18"/>
        </w:rPr>
        <w:t xml:space="preserve"> </w:t>
      </w:r>
    </w:p>
  </w:footnote>
  <w:footnote w:id="49">
    <w:p w:rsidR="000617A0" w:rsidRPr="00A729A0" w:rsidRDefault="000617A0" w:rsidP="008128FE">
      <w:pPr>
        <w:pStyle w:val="FootnoteText"/>
        <w:rPr>
          <w:rFonts w:ascii="Verdana" w:hAnsi="Verdana"/>
          <w:sz w:val="18"/>
          <w:szCs w:val="18"/>
        </w:rPr>
      </w:pPr>
      <w:r w:rsidRPr="00A729A0">
        <w:rPr>
          <w:rStyle w:val="FootnoteReference"/>
          <w:sz w:val="18"/>
          <w:szCs w:val="18"/>
        </w:rPr>
        <w:footnoteRef/>
      </w:r>
      <w:r w:rsidRPr="00A729A0">
        <w:rPr>
          <w:rFonts w:ascii="Verdana" w:hAnsi="Verdana"/>
          <w:sz w:val="18"/>
          <w:szCs w:val="18"/>
        </w:rPr>
        <w:t xml:space="preserve"> </w:t>
      </w:r>
      <w:r w:rsidR="00F4471C" w:rsidRPr="00A729A0">
        <w:rPr>
          <w:rFonts w:ascii="Verdana" w:hAnsi="Verdana"/>
          <w:sz w:val="18"/>
          <w:szCs w:val="18"/>
        </w:rPr>
        <w:tab/>
      </w:r>
      <w:r w:rsidRPr="00A729A0">
        <w:rPr>
          <w:rFonts w:ascii="Verdana" w:hAnsi="Verdana"/>
          <w:sz w:val="18"/>
          <w:szCs w:val="18"/>
        </w:rPr>
        <w:t>Constancia de Queja presentada a la Corte el 17 de agosto de 2011 por el juez Eduardo Vio Grossi y Voto Disidente del mismo juez,</w:t>
      </w:r>
      <w:r w:rsidR="00025B62" w:rsidRPr="00A729A0">
        <w:rPr>
          <w:rFonts w:ascii="Verdana" w:hAnsi="Verdana"/>
          <w:sz w:val="18"/>
          <w:szCs w:val="18"/>
        </w:rPr>
        <w:t xml:space="preserve"> </w:t>
      </w:r>
      <w:r w:rsidR="00025B62" w:rsidRPr="00A729A0">
        <w:rPr>
          <w:rFonts w:ascii="Verdana" w:hAnsi="Verdana"/>
          <w:i/>
          <w:sz w:val="18"/>
          <w:szCs w:val="18"/>
        </w:rPr>
        <w:t xml:space="preserve">Caso </w:t>
      </w:r>
      <w:proofErr w:type="spellStart"/>
      <w:r w:rsidR="00025B62" w:rsidRPr="00A729A0">
        <w:rPr>
          <w:rFonts w:ascii="Verdana" w:hAnsi="Verdana"/>
          <w:i/>
          <w:sz w:val="18"/>
          <w:szCs w:val="18"/>
        </w:rPr>
        <w:t>Barbani</w:t>
      </w:r>
      <w:proofErr w:type="spellEnd"/>
      <w:r w:rsidR="00025B62" w:rsidRPr="00A729A0">
        <w:rPr>
          <w:rFonts w:ascii="Verdana" w:hAnsi="Verdana"/>
          <w:i/>
          <w:sz w:val="18"/>
          <w:szCs w:val="18"/>
        </w:rPr>
        <w:t xml:space="preserve"> Duarte y Otros Vs. Uruguay. Fondo, Reparaciones y Costas. </w:t>
      </w:r>
      <w:r w:rsidR="00025B62" w:rsidRPr="00A729A0">
        <w:rPr>
          <w:rFonts w:ascii="Verdana" w:hAnsi="Verdana"/>
          <w:sz w:val="18"/>
          <w:szCs w:val="18"/>
        </w:rPr>
        <w:t>Sentencia de 13 de octubre de 2011. Serie C No. 234.</w:t>
      </w:r>
      <w:r w:rsidRPr="00A729A0">
        <w:rPr>
          <w:rFonts w:ascii="Verdana" w:hAnsi="Verdana"/>
          <w:sz w:val="18"/>
          <w:szCs w:val="18"/>
        </w:rPr>
        <w:t xml:space="preserve"> </w:t>
      </w:r>
    </w:p>
  </w:footnote>
  <w:footnote w:id="50">
    <w:p w:rsidR="000617A0" w:rsidRPr="00A729A0" w:rsidRDefault="000617A0" w:rsidP="00F4471C">
      <w:pPr>
        <w:pStyle w:val="NormalWeb"/>
        <w:tabs>
          <w:tab w:val="left" w:pos="426"/>
        </w:tabs>
        <w:spacing w:before="120" w:beforeAutospacing="0" w:after="120" w:afterAutospacing="0"/>
        <w:jc w:val="both"/>
        <w:rPr>
          <w:rFonts w:ascii="Verdana" w:hAnsi="Verdana" w:cs="Calibri"/>
          <w:sz w:val="18"/>
          <w:szCs w:val="18"/>
        </w:rPr>
      </w:pPr>
      <w:r w:rsidRPr="00A729A0">
        <w:rPr>
          <w:rStyle w:val="FootnoteReference"/>
          <w:rFonts w:cs="Calibri"/>
          <w:sz w:val="18"/>
          <w:szCs w:val="18"/>
        </w:rPr>
        <w:footnoteRef/>
      </w:r>
      <w:r w:rsidRPr="00A729A0">
        <w:rPr>
          <w:rFonts w:ascii="Verdana" w:hAnsi="Verdana" w:cs="Calibri"/>
          <w:sz w:val="18"/>
          <w:szCs w:val="18"/>
        </w:rPr>
        <w:t xml:space="preserve"> </w:t>
      </w:r>
      <w:r w:rsidR="00F4471C" w:rsidRPr="00A729A0">
        <w:rPr>
          <w:rFonts w:ascii="Verdana" w:hAnsi="Verdana" w:cs="Calibri"/>
          <w:sz w:val="18"/>
          <w:szCs w:val="18"/>
        </w:rPr>
        <w:tab/>
      </w:r>
      <w:r w:rsidRPr="00A729A0">
        <w:rPr>
          <w:rFonts w:ascii="Verdana" w:hAnsi="Verdana" w:cs="Calibri"/>
          <w:sz w:val="18"/>
          <w:szCs w:val="18"/>
        </w:rPr>
        <w:t xml:space="preserve">Primera frase de </w:t>
      </w:r>
      <w:r w:rsidR="00025B62" w:rsidRPr="00A729A0">
        <w:rPr>
          <w:rFonts w:ascii="Verdana" w:hAnsi="Verdana" w:cs="Calibri"/>
          <w:sz w:val="18"/>
          <w:szCs w:val="18"/>
          <w:lang w:val="es-ES"/>
        </w:rPr>
        <w:t>Artículo</w:t>
      </w:r>
      <w:r w:rsidRPr="00A729A0">
        <w:rPr>
          <w:rFonts w:ascii="Verdana" w:hAnsi="Verdana" w:cs="Calibri"/>
          <w:sz w:val="18"/>
          <w:szCs w:val="18"/>
          <w:lang w:val="es-ES"/>
        </w:rPr>
        <w:t xml:space="preserve"> 41 de la Convención: </w:t>
      </w:r>
      <w:r w:rsidRPr="00A729A0">
        <w:rPr>
          <w:rFonts w:ascii="Verdana" w:hAnsi="Verdana" w:cs="Calibri"/>
          <w:i/>
          <w:sz w:val="18"/>
          <w:szCs w:val="18"/>
          <w:lang w:val="es-ES"/>
        </w:rPr>
        <w:t>“</w:t>
      </w:r>
      <w:r w:rsidR="004C20FF" w:rsidRPr="00A729A0">
        <w:rPr>
          <w:rFonts w:ascii="Verdana" w:hAnsi="Verdana" w:cs="Calibri"/>
          <w:i/>
          <w:sz w:val="18"/>
          <w:szCs w:val="18"/>
          <w:lang w:val="es-ES"/>
        </w:rPr>
        <w:t>[l]</w:t>
      </w:r>
      <w:r w:rsidRPr="00A729A0">
        <w:rPr>
          <w:rFonts w:ascii="Verdana" w:hAnsi="Verdana" w:cs="Calibri"/>
          <w:i/>
          <w:sz w:val="18"/>
          <w:szCs w:val="18"/>
        </w:rPr>
        <w:t>a Comisión tiene la función principal de promover la observancia y la d</w:t>
      </w:r>
      <w:r w:rsidR="00025B62" w:rsidRPr="00A729A0">
        <w:rPr>
          <w:rFonts w:ascii="Verdana" w:hAnsi="Verdana" w:cs="Calibri"/>
          <w:i/>
          <w:sz w:val="18"/>
          <w:szCs w:val="18"/>
        </w:rPr>
        <w:t>efensa de los derechos humanos</w:t>
      </w:r>
      <w:r w:rsidRPr="00A729A0">
        <w:rPr>
          <w:rFonts w:ascii="Verdana" w:hAnsi="Verdana" w:cs="Calibri"/>
          <w:i/>
          <w:sz w:val="18"/>
          <w:szCs w:val="18"/>
        </w:rPr>
        <w:t>”.</w:t>
      </w:r>
      <w:r w:rsidRPr="00A729A0">
        <w:rPr>
          <w:rFonts w:ascii="Verdana" w:hAnsi="Verdana" w:cs="Calibri"/>
          <w:sz w:val="18"/>
          <w:szCs w:val="18"/>
          <w:lang w:val="es-ES"/>
        </w:rPr>
        <w:t xml:space="preserve"> </w:t>
      </w:r>
    </w:p>
  </w:footnote>
  <w:footnote w:id="51">
    <w:p w:rsidR="000617A0" w:rsidRPr="00A729A0" w:rsidRDefault="000617A0" w:rsidP="00F4471C">
      <w:pPr>
        <w:pStyle w:val="NormalWeb"/>
        <w:tabs>
          <w:tab w:val="left" w:pos="426"/>
        </w:tabs>
        <w:spacing w:before="120" w:beforeAutospacing="0" w:after="120" w:afterAutospacing="0"/>
        <w:jc w:val="both"/>
        <w:rPr>
          <w:rFonts w:ascii="Verdana" w:hAnsi="Verdana" w:cs="Calibri"/>
          <w:sz w:val="18"/>
          <w:szCs w:val="18"/>
        </w:rPr>
      </w:pPr>
      <w:r w:rsidRPr="00A729A0">
        <w:rPr>
          <w:rStyle w:val="FootnoteReference"/>
          <w:rFonts w:cs="Calibri"/>
          <w:sz w:val="18"/>
          <w:szCs w:val="18"/>
        </w:rPr>
        <w:footnoteRef/>
      </w:r>
      <w:r w:rsidRPr="00A729A0">
        <w:rPr>
          <w:rFonts w:ascii="Verdana" w:hAnsi="Verdana" w:cs="Calibri"/>
          <w:sz w:val="18"/>
          <w:szCs w:val="18"/>
        </w:rPr>
        <w:t xml:space="preserve"> </w:t>
      </w:r>
      <w:r w:rsidR="00F4471C" w:rsidRPr="00A729A0">
        <w:rPr>
          <w:rFonts w:ascii="Verdana" w:hAnsi="Verdana" w:cs="Calibri"/>
          <w:sz w:val="18"/>
          <w:szCs w:val="18"/>
        </w:rPr>
        <w:tab/>
      </w:r>
      <w:r w:rsidR="00025B62" w:rsidRPr="00A729A0">
        <w:rPr>
          <w:rFonts w:ascii="Verdana" w:hAnsi="Verdana" w:cs="Calibri"/>
          <w:sz w:val="18"/>
          <w:szCs w:val="18"/>
          <w:lang w:val="es-ES"/>
        </w:rPr>
        <w:t>Artículo</w:t>
      </w:r>
      <w:r w:rsidRPr="00A729A0">
        <w:rPr>
          <w:rFonts w:ascii="Verdana" w:hAnsi="Verdana" w:cs="Calibri"/>
          <w:sz w:val="18"/>
          <w:szCs w:val="18"/>
          <w:lang w:val="es-ES"/>
        </w:rPr>
        <w:t xml:space="preserve"> 62.3 de la Convención</w:t>
      </w:r>
      <w:r w:rsidRPr="00A729A0">
        <w:rPr>
          <w:rFonts w:ascii="Verdana" w:hAnsi="Verdana" w:cs="Calibri"/>
          <w:sz w:val="18"/>
          <w:szCs w:val="18"/>
        </w:rPr>
        <w:t>: “</w:t>
      </w:r>
      <w:r w:rsidR="00C7127C" w:rsidRPr="00A729A0">
        <w:rPr>
          <w:rFonts w:ascii="Verdana" w:hAnsi="Verdana" w:cs="Calibri"/>
          <w:i/>
          <w:sz w:val="18"/>
          <w:szCs w:val="18"/>
        </w:rPr>
        <w:t>[l]</w:t>
      </w:r>
      <w:r w:rsidRPr="00A729A0">
        <w:rPr>
          <w:rFonts w:ascii="Verdana" w:hAnsi="Verdana" w:cs="Calibri"/>
          <w:i/>
          <w:sz w:val="18"/>
          <w:szCs w:val="18"/>
        </w:rPr>
        <w:t>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w:t>
      </w:r>
      <w:r w:rsidR="00025B62" w:rsidRPr="00A729A0">
        <w:rPr>
          <w:rFonts w:ascii="Verdana" w:hAnsi="Verdana" w:cs="Calibri"/>
          <w:i/>
          <w:sz w:val="18"/>
          <w:szCs w:val="18"/>
        </w:rPr>
        <w:t>es, ora por convención especial</w:t>
      </w:r>
      <w:r w:rsidRPr="00A729A0">
        <w:rPr>
          <w:rFonts w:ascii="Verdana" w:hAnsi="Verdana" w:cs="Calibri"/>
          <w:i/>
          <w:sz w:val="18"/>
          <w:szCs w:val="18"/>
        </w:rPr>
        <w:t>”</w:t>
      </w:r>
      <w:r w:rsidR="00025B62" w:rsidRPr="00A729A0">
        <w:rPr>
          <w:rFonts w:ascii="Verdana" w:hAnsi="Verdana" w:cs="Calibri"/>
          <w:i/>
          <w:sz w:val="18"/>
          <w:szCs w:val="18"/>
        </w:rPr>
        <w:t>.</w:t>
      </w:r>
      <w:r w:rsidRPr="00A729A0">
        <w:rPr>
          <w:rFonts w:ascii="Verdana" w:hAnsi="Verdana" w:cs="Calibri"/>
          <w:sz w:val="18"/>
          <w:szCs w:val="18"/>
        </w:rPr>
        <w:t xml:space="preserve"> </w:t>
      </w:r>
    </w:p>
  </w:footnote>
  <w:footnote w:id="52">
    <w:p w:rsidR="000617A0" w:rsidRPr="00A729A0" w:rsidRDefault="000617A0" w:rsidP="00F4471C">
      <w:pPr>
        <w:pStyle w:val="NormalWeb"/>
        <w:tabs>
          <w:tab w:val="left" w:pos="426"/>
        </w:tabs>
        <w:spacing w:before="120" w:beforeAutospacing="0" w:after="120" w:afterAutospacing="0"/>
        <w:jc w:val="both"/>
        <w:rPr>
          <w:rFonts w:ascii="Verdana" w:hAnsi="Verdana" w:cs="Calibri"/>
          <w:i/>
          <w:sz w:val="18"/>
          <w:szCs w:val="18"/>
        </w:rPr>
      </w:pPr>
      <w:r w:rsidRPr="00A729A0">
        <w:rPr>
          <w:rStyle w:val="FootnoteReference"/>
          <w:rFonts w:cs="Calibri"/>
          <w:sz w:val="18"/>
          <w:szCs w:val="18"/>
        </w:rPr>
        <w:footnoteRef/>
      </w:r>
      <w:r w:rsidRPr="00A729A0">
        <w:rPr>
          <w:rFonts w:ascii="Verdana" w:hAnsi="Verdana" w:cs="Calibri"/>
          <w:sz w:val="18"/>
          <w:szCs w:val="18"/>
        </w:rPr>
        <w:t xml:space="preserve"> </w:t>
      </w:r>
      <w:r w:rsidR="00F4471C" w:rsidRPr="00A729A0">
        <w:rPr>
          <w:rFonts w:ascii="Verdana" w:hAnsi="Verdana" w:cs="Calibri"/>
          <w:sz w:val="18"/>
          <w:szCs w:val="18"/>
        </w:rPr>
        <w:tab/>
      </w:r>
      <w:r w:rsidR="00025B62" w:rsidRPr="00A729A0">
        <w:rPr>
          <w:rFonts w:ascii="Verdana" w:hAnsi="Verdana" w:cs="Calibri"/>
          <w:sz w:val="18"/>
          <w:szCs w:val="18"/>
          <w:lang w:val="es-ES"/>
        </w:rPr>
        <w:t>Artículo</w:t>
      </w:r>
      <w:r w:rsidRPr="00A729A0">
        <w:rPr>
          <w:rFonts w:ascii="Verdana" w:hAnsi="Verdana" w:cs="Calibri"/>
          <w:sz w:val="18"/>
          <w:szCs w:val="18"/>
          <w:lang w:val="es-ES"/>
        </w:rPr>
        <w:t xml:space="preserve"> </w:t>
      </w:r>
      <w:r w:rsidRPr="00A729A0">
        <w:rPr>
          <w:rFonts w:ascii="Verdana" w:hAnsi="Verdana" w:cs="Calibri"/>
          <w:bCs/>
          <w:sz w:val="18"/>
          <w:szCs w:val="18"/>
        </w:rPr>
        <w:t xml:space="preserve">76 de la Convención: </w:t>
      </w:r>
      <w:r w:rsidRPr="00A729A0">
        <w:rPr>
          <w:rFonts w:ascii="Verdana" w:hAnsi="Verdana" w:cs="Calibri"/>
          <w:bCs/>
          <w:i/>
          <w:sz w:val="18"/>
          <w:szCs w:val="18"/>
        </w:rPr>
        <w:t>“</w:t>
      </w:r>
      <w:r w:rsidRPr="00A729A0">
        <w:rPr>
          <w:rFonts w:ascii="Verdana" w:hAnsi="Verdana" w:cs="Calibri"/>
          <w:i/>
          <w:sz w:val="18"/>
          <w:szCs w:val="18"/>
        </w:rPr>
        <w:t xml:space="preserve">1. Cualquier Estado parte directamente y la Comisión o la Corte por conducto del Secretario General, pueden someter a la Asamblea General, para lo que estime conveniente, una propuesta de enmienda a esta Convención.  2. Las enmiendas entrarán en vigor para los Estados </w:t>
      </w:r>
      <w:proofErr w:type="spellStart"/>
      <w:r w:rsidRPr="00A729A0">
        <w:rPr>
          <w:rFonts w:ascii="Verdana" w:hAnsi="Verdana" w:cs="Calibri"/>
          <w:i/>
          <w:sz w:val="18"/>
          <w:szCs w:val="18"/>
        </w:rPr>
        <w:t>ratificantes</w:t>
      </w:r>
      <w:proofErr w:type="spellEnd"/>
      <w:r w:rsidRPr="00A729A0">
        <w:rPr>
          <w:rFonts w:ascii="Verdana" w:hAnsi="Verdana" w:cs="Calibri"/>
          <w:i/>
          <w:sz w:val="18"/>
          <w:szCs w:val="18"/>
        </w:rPr>
        <w:t xml:space="preserve">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w:t>
      </w:r>
      <w:r w:rsidR="00025B62" w:rsidRPr="00A729A0">
        <w:rPr>
          <w:rFonts w:ascii="Verdana" w:hAnsi="Verdana" w:cs="Calibri"/>
          <w:i/>
          <w:sz w:val="18"/>
          <w:szCs w:val="18"/>
        </w:rPr>
        <w:t>os instrumentos de ratificación</w:t>
      </w:r>
      <w:r w:rsidRPr="00A729A0">
        <w:rPr>
          <w:rFonts w:ascii="Verdana" w:hAnsi="Verdana" w:cs="Calibri"/>
          <w:i/>
          <w:sz w:val="18"/>
          <w:szCs w:val="18"/>
        </w:rPr>
        <w:t>”</w:t>
      </w:r>
      <w:r w:rsidR="00025B62" w:rsidRPr="00A729A0">
        <w:rPr>
          <w:rFonts w:ascii="Verdana" w:hAnsi="Verdana" w:cs="Calibri"/>
          <w:i/>
          <w:sz w:val="18"/>
          <w:szCs w:val="18"/>
        </w:rPr>
        <w:t>.</w:t>
      </w:r>
    </w:p>
    <w:p w:rsidR="000617A0" w:rsidRPr="00A729A0" w:rsidRDefault="00F4471C" w:rsidP="00F4471C">
      <w:pPr>
        <w:pStyle w:val="NormalWeb"/>
        <w:tabs>
          <w:tab w:val="left" w:pos="426"/>
        </w:tabs>
        <w:spacing w:before="120" w:beforeAutospacing="0" w:after="120" w:afterAutospacing="0"/>
        <w:jc w:val="both"/>
        <w:rPr>
          <w:rFonts w:ascii="Verdana" w:hAnsi="Verdana" w:cs="Calibri"/>
          <w:i/>
          <w:sz w:val="18"/>
          <w:szCs w:val="18"/>
        </w:rPr>
      </w:pPr>
      <w:r w:rsidRPr="00A729A0">
        <w:rPr>
          <w:rFonts w:ascii="Verdana" w:hAnsi="Verdana" w:cs="Calibri"/>
          <w:bCs/>
          <w:sz w:val="18"/>
          <w:szCs w:val="18"/>
        </w:rPr>
        <w:tab/>
      </w:r>
      <w:r w:rsidR="00025B62" w:rsidRPr="00A729A0">
        <w:rPr>
          <w:rFonts w:ascii="Verdana" w:hAnsi="Verdana" w:cs="Calibri"/>
          <w:bCs/>
          <w:sz w:val="18"/>
          <w:szCs w:val="18"/>
        </w:rPr>
        <w:t>Artículo</w:t>
      </w:r>
      <w:r w:rsidR="000617A0" w:rsidRPr="00A729A0">
        <w:rPr>
          <w:rFonts w:ascii="Verdana" w:hAnsi="Verdana" w:cs="Calibri"/>
          <w:bCs/>
          <w:sz w:val="18"/>
          <w:szCs w:val="18"/>
        </w:rPr>
        <w:t xml:space="preserve"> 39 de la Convención de Viena sobre el Derecho de los Tratados</w:t>
      </w:r>
      <w:r w:rsidR="000617A0" w:rsidRPr="00A729A0">
        <w:rPr>
          <w:rFonts w:ascii="Verdana" w:hAnsi="Verdana" w:cs="Calibri"/>
          <w:bCs/>
          <w:i/>
          <w:sz w:val="18"/>
          <w:szCs w:val="18"/>
        </w:rPr>
        <w:t>: “</w:t>
      </w:r>
      <w:r w:rsidR="00C7127C" w:rsidRPr="00A729A0">
        <w:rPr>
          <w:rFonts w:ascii="Verdana" w:hAnsi="Verdana" w:cs="Calibri"/>
          <w:bCs/>
          <w:i/>
          <w:sz w:val="18"/>
          <w:szCs w:val="18"/>
        </w:rPr>
        <w:t>[n]</w:t>
      </w:r>
      <w:proofErr w:type="spellStart"/>
      <w:r w:rsidR="000617A0" w:rsidRPr="00A729A0">
        <w:rPr>
          <w:rFonts w:ascii="Verdana" w:hAnsi="Verdana" w:cs="Calibri"/>
          <w:bCs/>
          <w:i/>
          <w:sz w:val="18"/>
          <w:szCs w:val="18"/>
        </w:rPr>
        <w:t>orma</w:t>
      </w:r>
      <w:proofErr w:type="spellEnd"/>
      <w:r w:rsidR="000617A0" w:rsidRPr="00A729A0">
        <w:rPr>
          <w:rFonts w:ascii="Verdana" w:hAnsi="Verdana" w:cs="Calibri"/>
          <w:bCs/>
          <w:i/>
          <w:sz w:val="18"/>
          <w:szCs w:val="18"/>
        </w:rPr>
        <w:t xml:space="preserve"> general concerniente a la enmienda de los tratados.</w:t>
      </w:r>
      <w:r w:rsidR="000617A0" w:rsidRPr="00A729A0">
        <w:rPr>
          <w:rFonts w:ascii="Verdana" w:hAnsi="Verdana" w:cs="Calibri"/>
          <w:i/>
          <w:sz w:val="18"/>
          <w:szCs w:val="18"/>
        </w:rPr>
        <w:t xml:space="preserve"> Un tratado podrá ser enmendado por acuerdo entre las partes. Se aplicarán a tal acuerdo las normas enunciadas en la Parte II, salvo en la medida en qu</w:t>
      </w:r>
      <w:r w:rsidR="00025B62" w:rsidRPr="00A729A0">
        <w:rPr>
          <w:rFonts w:ascii="Verdana" w:hAnsi="Verdana" w:cs="Calibri"/>
          <w:i/>
          <w:sz w:val="18"/>
          <w:szCs w:val="18"/>
        </w:rPr>
        <w:t>e el tratado disponga otra cosa</w:t>
      </w:r>
      <w:r w:rsidR="000617A0" w:rsidRPr="00A729A0">
        <w:rPr>
          <w:rFonts w:ascii="Verdana" w:hAnsi="Verdana" w:cs="Calibri"/>
          <w:i/>
          <w:sz w:val="18"/>
          <w:szCs w:val="18"/>
        </w:rPr>
        <w:t>”</w:t>
      </w:r>
      <w:r w:rsidR="00025B62" w:rsidRPr="00A729A0">
        <w:rPr>
          <w:rFonts w:ascii="Verdana" w:hAnsi="Verdana" w:cs="Calibri"/>
          <w:i/>
          <w:sz w:val="18"/>
          <w:szCs w:val="18"/>
        </w:rPr>
        <w:t>.</w:t>
      </w:r>
      <w:r w:rsidR="000617A0" w:rsidRPr="00A729A0">
        <w:rPr>
          <w:rFonts w:ascii="Verdana" w:hAnsi="Verdana" w:cs="Calibr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113781"/>
      <w:docPartObj>
        <w:docPartGallery w:val="Page Numbers (Top of Page)"/>
        <w:docPartUnique/>
      </w:docPartObj>
    </w:sdtPr>
    <w:sdtEndPr>
      <w:rPr>
        <w:noProof/>
      </w:rPr>
    </w:sdtEndPr>
    <w:sdtContent>
      <w:p w:rsidR="002C4581" w:rsidRDefault="002C4581">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2C4581" w:rsidRDefault="002C4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6D19"/>
    <w:multiLevelType w:val="hybridMultilevel"/>
    <w:tmpl w:val="7194C4CE"/>
    <w:lvl w:ilvl="0" w:tplc="35B239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2A92258"/>
    <w:multiLevelType w:val="hybridMultilevel"/>
    <w:tmpl w:val="9188B208"/>
    <w:lvl w:ilvl="0" w:tplc="619639AE">
      <w:start w:val="1"/>
      <w:numFmt w:val="decimal"/>
      <w:lvlText w:val="%1."/>
      <w:lvlJc w:val="left"/>
      <w:pPr>
        <w:ind w:left="900" w:hanging="540"/>
      </w:pPr>
      <w:rPr>
        <w:rFonts w:ascii="Verdana" w:eastAsia="MS Mincho" w:hAnsi="Verdana" w:cs="Times New Roman"/>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D817BBB"/>
    <w:multiLevelType w:val="hybridMultilevel"/>
    <w:tmpl w:val="9D16FDE8"/>
    <w:lvl w:ilvl="0" w:tplc="33DC0784">
      <w:start w:val="1"/>
      <w:numFmt w:val="decimal"/>
      <w:lvlText w:val="%1."/>
      <w:lvlJc w:val="left"/>
      <w:pPr>
        <w:tabs>
          <w:tab w:val="num" w:pos="567"/>
        </w:tabs>
        <w:ind w:left="0" w:firstLine="0"/>
      </w:pPr>
      <w:rPr>
        <w:rFonts w:ascii="Verdana" w:eastAsia="Times New Roman" w:hAnsi="Verdana" w:hint="default"/>
        <w:b w:val="0"/>
        <w:bCs w:val="0"/>
        <w:i w:val="0"/>
        <w:iCs w:val="0"/>
        <w:strike w:val="0"/>
        <w:color w:val="auto"/>
        <w:sz w:val="20"/>
        <w:szCs w:val="20"/>
        <w:lang w:val="es-MX"/>
      </w:rPr>
    </w:lvl>
    <w:lvl w:ilvl="1" w:tplc="7C2C13CE">
      <w:start w:val="1"/>
      <w:numFmt w:val="lowerLetter"/>
      <w:lvlText w:val="%2."/>
      <w:lvlJc w:val="left"/>
      <w:pPr>
        <w:ind w:left="1440" w:hanging="360"/>
      </w:pPr>
    </w:lvl>
    <w:lvl w:ilvl="2" w:tplc="841219D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453AB"/>
    <w:multiLevelType w:val="hybridMultilevel"/>
    <w:tmpl w:val="CA9C6112"/>
    <w:lvl w:ilvl="0" w:tplc="653C165C">
      <w:start w:val="1"/>
      <w:numFmt w:val="upperLetter"/>
      <w:lvlText w:val="%1."/>
      <w:lvlJc w:val="left"/>
      <w:pPr>
        <w:ind w:left="420" w:hanging="360"/>
      </w:pPr>
      <w:rPr>
        <w:rFonts w:hint="default"/>
        <w:b/>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4">
    <w:nsid w:val="58FC7B1E"/>
    <w:multiLevelType w:val="hybridMultilevel"/>
    <w:tmpl w:val="C9E6F5FE"/>
    <w:lvl w:ilvl="0" w:tplc="BDF61C2C">
      <w:start w:val="3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6CCB7C3B"/>
    <w:multiLevelType w:val="hybridMultilevel"/>
    <w:tmpl w:val="21DC72DC"/>
    <w:lvl w:ilvl="0" w:tplc="C75CD262">
      <w:start w:val="1"/>
      <w:numFmt w:val="upperLetter"/>
      <w:lvlText w:val="%1."/>
      <w:lvlJc w:val="left"/>
      <w:pPr>
        <w:ind w:left="163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44010E1"/>
    <w:multiLevelType w:val="hybridMultilevel"/>
    <w:tmpl w:val="4F0AC5F6"/>
    <w:lvl w:ilvl="0" w:tplc="ED0459E8">
      <w:start w:val="2"/>
      <w:numFmt w:val="decimal"/>
      <w:lvlText w:val="%1."/>
      <w:lvlJc w:val="left"/>
      <w:pPr>
        <w:tabs>
          <w:tab w:val="num" w:pos="360"/>
        </w:tabs>
        <w:ind w:left="360" w:hanging="360"/>
      </w:pPr>
      <w:rPr>
        <w:rFonts w:cs="Times New Roman" w:hint="default"/>
        <w:b w:val="0"/>
        <w:color w:val="auto"/>
        <w:sz w:val="20"/>
        <w:szCs w:val="20"/>
      </w:rPr>
    </w:lvl>
    <w:lvl w:ilvl="1" w:tplc="323EEAAC">
      <w:start w:val="1"/>
      <w:numFmt w:val="decimal"/>
      <w:lvlText w:val="%2."/>
      <w:lvlJc w:val="left"/>
      <w:pPr>
        <w:tabs>
          <w:tab w:val="num" w:pos="1440"/>
        </w:tabs>
        <w:ind w:left="1440" w:hanging="360"/>
      </w:pPr>
      <w:rPr>
        <w:rFonts w:cs="Times New Roman" w:hint="default"/>
        <w:b w:val="0"/>
      </w:rPr>
    </w:lvl>
    <w:lvl w:ilvl="2" w:tplc="B96C1A40">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D9"/>
    <w:rsid w:val="00001ED6"/>
    <w:rsid w:val="00005DB0"/>
    <w:rsid w:val="00013E55"/>
    <w:rsid w:val="000168E6"/>
    <w:rsid w:val="00025B62"/>
    <w:rsid w:val="000340D5"/>
    <w:rsid w:val="0004090F"/>
    <w:rsid w:val="00052DE6"/>
    <w:rsid w:val="000617A0"/>
    <w:rsid w:val="00061D96"/>
    <w:rsid w:val="000661FC"/>
    <w:rsid w:val="000664A1"/>
    <w:rsid w:val="00071FC0"/>
    <w:rsid w:val="00073CA6"/>
    <w:rsid w:val="00083C7D"/>
    <w:rsid w:val="000845D0"/>
    <w:rsid w:val="000A013B"/>
    <w:rsid w:val="000A4F0F"/>
    <w:rsid w:val="000B6AAF"/>
    <w:rsid w:val="000B6B44"/>
    <w:rsid w:val="000E1610"/>
    <w:rsid w:val="000E46CC"/>
    <w:rsid w:val="000F077F"/>
    <w:rsid w:val="000F08A6"/>
    <w:rsid w:val="00101CAE"/>
    <w:rsid w:val="00111861"/>
    <w:rsid w:val="001143B4"/>
    <w:rsid w:val="00132B0E"/>
    <w:rsid w:val="00156432"/>
    <w:rsid w:val="0016570F"/>
    <w:rsid w:val="00170E6F"/>
    <w:rsid w:val="00180B46"/>
    <w:rsid w:val="001819AD"/>
    <w:rsid w:val="00184423"/>
    <w:rsid w:val="00186836"/>
    <w:rsid w:val="00197FDC"/>
    <w:rsid w:val="001A248A"/>
    <w:rsid w:val="001A4A3C"/>
    <w:rsid w:val="001A7AFE"/>
    <w:rsid w:val="001A7C5B"/>
    <w:rsid w:val="001C1E53"/>
    <w:rsid w:val="001C467F"/>
    <w:rsid w:val="001C4EF3"/>
    <w:rsid w:val="001C6C7A"/>
    <w:rsid w:val="001D3B84"/>
    <w:rsid w:val="001D64E5"/>
    <w:rsid w:val="001E3262"/>
    <w:rsid w:val="001E4735"/>
    <w:rsid w:val="001F0B68"/>
    <w:rsid w:val="001F329C"/>
    <w:rsid w:val="00201070"/>
    <w:rsid w:val="002036CA"/>
    <w:rsid w:val="00207B1D"/>
    <w:rsid w:val="00211B47"/>
    <w:rsid w:val="00254733"/>
    <w:rsid w:val="002641F7"/>
    <w:rsid w:val="00282759"/>
    <w:rsid w:val="002872EF"/>
    <w:rsid w:val="002A3944"/>
    <w:rsid w:val="002B24B3"/>
    <w:rsid w:val="002C4581"/>
    <w:rsid w:val="002C6615"/>
    <w:rsid w:val="002C78D3"/>
    <w:rsid w:val="002C795D"/>
    <w:rsid w:val="002D07A8"/>
    <w:rsid w:val="002D146E"/>
    <w:rsid w:val="002D1531"/>
    <w:rsid w:val="002D15DC"/>
    <w:rsid w:val="002D722B"/>
    <w:rsid w:val="002E1920"/>
    <w:rsid w:val="002F64D7"/>
    <w:rsid w:val="00315537"/>
    <w:rsid w:val="00334B30"/>
    <w:rsid w:val="003458F9"/>
    <w:rsid w:val="00345ABA"/>
    <w:rsid w:val="003511A1"/>
    <w:rsid w:val="00355CD9"/>
    <w:rsid w:val="003600E9"/>
    <w:rsid w:val="00362842"/>
    <w:rsid w:val="00380A08"/>
    <w:rsid w:val="003823B4"/>
    <w:rsid w:val="003D441E"/>
    <w:rsid w:val="003E0C88"/>
    <w:rsid w:val="003E10DA"/>
    <w:rsid w:val="003E42E8"/>
    <w:rsid w:val="003F48D6"/>
    <w:rsid w:val="003F5DFE"/>
    <w:rsid w:val="004033D9"/>
    <w:rsid w:val="00403829"/>
    <w:rsid w:val="004050E7"/>
    <w:rsid w:val="0043304B"/>
    <w:rsid w:val="00441E40"/>
    <w:rsid w:val="00441F3D"/>
    <w:rsid w:val="00461551"/>
    <w:rsid w:val="00474BB0"/>
    <w:rsid w:val="004935F9"/>
    <w:rsid w:val="004B11E9"/>
    <w:rsid w:val="004B3E23"/>
    <w:rsid w:val="004C20FF"/>
    <w:rsid w:val="004D4F4C"/>
    <w:rsid w:val="004E3D8F"/>
    <w:rsid w:val="004F4448"/>
    <w:rsid w:val="004F4640"/>
    <w:rsid w:val="0051076C"/>
    <w:rsid w:val="005150C5"/>
    <w:rsid w:val="00525113"/>
    <w:rsid w:val="00541836"/>
    <w:rsid w:val="005544BD"/>
    <w:rsid w:val="00560847"/>
    <w:rsid w:val="00563CB3"/>
    <w:rsid w:val="00563FAB"/>
    <w:rsid w:val="005744A1"/>
    <w:rsid w:val="00593E94"/>
    <w:rsid w:val="005B2171"/>
    <w:rsid w:val="005B54A7"/>
    <w:rsid w:val="005C0EFB"/>
    <w:rsid w:val="005D11F8"/>
    <w:rsid w:val="005D645E"/>
    <w:rsid w:val="005E1204"/>
    <w:rsid w:val="005F18F6"/>
    <w:rsid w:val="00605A04"/>
    <w:rsid w:val="00612130"/>
    <w:rsid w:val="00627245"/>
    <w:rsid w:val="006272B6"/>
    <w:rsid w:val="00630F4C"/>
    <w:rsid w:val="00633146"/>
    <w:rsid w:val="0064425D"/>
    <w:rsid w:val="006553F1"/>
    <w:rsid w:val="00661AF9"/>
    <w:rsid w:val="006A0A85"/>
    <w:rsid w:val="006A7ED4"/>
    <w:rsid w:val="006B7FF9"/>
    <w:rsid w:val="006C290C"/>
    <w:rsid w:val="006D732E"/>
    <w:rsid w:val="006D7767"/>
    <w:rsid w:val="006E6BF2"/>
    <w:rsid w:val="006E7BFD"/>
    <w:rsid w:val="006F4D4C"/>
    <w:rsid w:val="0071207F"/>
    <w:rsid w:val="00721BD8"/>
    <w:rsid w:val="00756A32"/>
    <w:rsid w:val="0076137C"/>
    <w:rsid w:val="007664D5"/>
    <w:rsid w:val="00783CC7"/>
    <w:rsid w:val="00783FF4"/>
    <w:rsid w:val="00791BDD"/>
    <w:rsid w:val="007A254E"/>
    <w:rsid w:val="007B37F8"/>
    <w:rsid w:val="007C1863"/>
    <w:rsid w:val="007C2FEE"/>
    <w:rsid w:val="007C4F06"/>
    <w:rsid w:val="007C5501"/>
    <w:rsid w:val="007D2289"/>
    <w:rsid w:val="007D3C31"/>
    <w:rsid w:val="007D40AC"/>
    <w:rsid w:val="007D772C"/>
    <w:rsid w:val="007E12AF"/>
    <w:rsid w:val="007E26A9"/>
    <w:rsid w:val="007F3A9D"/>
    <w:rsid w:val="007F4037"/>
    <w:rsid w:val="007F66D9"/>
    <w:rsid w:val="00806AD2"/>
    <w:rsid w:val="00807D16"/>
    <w:rsid w:val="008128FE"/>
    <w:rsid w:val="008300AD"/>
    <w:rsid w:val="00843577"/>
    <w:rsid w:val="008442A3"/>
    <w:rsid w:val="00844CE1"/>
    <w:rsid w:val="008543C3"/>
    <w:rsid w:val="00861069"/>
    <w:rsid w:val="00862C4F"/>
    <w:rsid w:val="00876895"/>
    <w:rsid w:val="008843C0"/>
    <w:rsid w:val="00884A68"/>
    <w:rsid w:val="008A5C3C"/>
    <w:rsid w:val="008A775E"/>
    <w:rsid w:val="008B4504"/>
    <w:rsid w:val="008C3195"/>
    <w:rsid w:val="008F08B7"/>
    <w:rsid w:val="00900896"/>
    <w:rsid w:val="00907E01"/>
    <w:rsid w:val="00910305"/>
    <w:rsid w:val="009144F5"/>
    <w:rsid w:val="00916A2E"/>
    <w:rsid w:val="00917E68"/>
    <w:rsid w:val="00921A22"/>
    <w:rsid w:val="00943460"/>
    <w:rsid w:val="00947B59"/>
    <w:rsid w:val="00965C7E"/>
    <w:rsid w:val="00974AEE"/>
    <w:rsid w:val="00977DEF"/>
    <w:rsid w:val="009954B8"/>
    <w:rsid w:val="009A0B12"/>
    <w:rsid w:val="009A16D0"/>
    <w:rsid w:val="009B7933"/>
    <w:rsid w:val="009D118E"/>
    <w:rsid w:val="009F23A5"/>
    <w:rsid w:val="009F24CF"/>
    <w:rsid w:val="009F3BA5"/>
    <w:rsid w:val="00A1384F"/>
    <w:rsid w:val="00A25431"/>
    <w:rsid w:val="00A315B9"/>
    <w:rsid w:val="00A34742"/>
    <w:rsid w:val="00A37C39"/>
    <w:rsid w:val="00A417C9"/>
    <w:rsid w:val="00A45BB5"/>
    <w:rsid w:val="00A57401"/>
    <w:rsid w:val="00A729A0"/>
    <w:rsid w:val="00A735F9"/>
    <w:rsid w:val="00A8518E"/>
    <w:rsid w:val="00A90025"/>
    <w:rsid w:val="00A9221A"/>
    <w:rsid w:val="00A96A41"/>
    <w:rsid w:val="00AB2355"/>
    <w:rsid w:val="00AD04B0"/>
    <w:rsid w:val="00AE7F7E"/>
    <w:rsid w:val="00B0380A"/>
    <w:rsid w:val="00B201CB"/>
    <w:rsid w:val="00B207BA"/>
    <w:rsid w:val="00B30A47"/>
    <w:rsid w:val="00B331CE"/>
    <w:rsid w:val="00B35B78"/>
    <w:rsid w:val="00B51767"/>
    <w:rsid w:val="00B52ABE"/>
    <w:rsid w:val="00B624CC"/>
    <w:rsid w:val="00B67D1C"/>
    <w:rsid w:val="00B71F26"/>
    <w:rsid w:val="00B90472"/>
    <w:rsid w:val="00B90D1D"/>
    <w:rsid w:val="00B92861"/>
    <w:rsid w:val="00BB3A47"/>
    <w:rsid w:val="00BB63D6"/>
    <w:rsid w:val="00BB7DF8"/>
    <w:rsid w:val="00BC3450"/>
    <w:rsid w:val="00BD619C"/>
    <w:rsid w:val="00BD7B0F"/>
    <w:rsid w:val="00BF4DDB"/>
    <w:rsid w:val="00BF78DE"/>
    <w:rsid w:val="00C078E7"/>
    <w:rsid w:val="00C217D3"/>
    <w:rsid w:val="00C2191C"/>
    <w:rsid w:val="00C31A04"/>
    <w:rsid w:val="00C450E0"/>
    <w:rsid w:val="00C54BB0"/>
    <w:rsid w:val="00C675CF"/>
    <w:rsid w:val="00C7127C"/>
    <w:rsid w:val="00C71FD2"/>
    <w:rsid w:val="00C74848"/>
    <w:rsid w:val="00C962A6"/>
    <w:rsid w:val="00CA5AE0"/>
    <w:rsid w:val="00CB1B01"/>
    <w:rsid w:val="00CB1DA2"/>
    <w:rsid w:val="00CC55D3"/>
    <w:rsid w:val="00CC6AD1"/>
    <w:rsid w:val="00CD1647"/>
    <w:rsid w:val="00CF7447"/>
    <w:rsid w:val="00D02AE8"/>
    <w:rsid w:val="00D215EE"/>
    <w:rsid w:val="00D2798D"/>
    <w:rsid w:val="00D371C9"/>
    <w:rsid w:val="00D46596"/>
    <w:rsid w:val="00D51209"/>
    <w:rsid w:val="00D52B82"/>
    <w:rsid w:val="00D54E69"/>
    <w:rsid w:val="00D66991"/>
    <w:rsid w:val="00D67E66"/>
    <w:rsid w:val="00D7430D"/>
    <w:rsid w:val="00D91F73"/>
    <w:rsid w:val="00DA6010"/>
    <w:rsid w:val="00DE32FE"/>
    <w:rsid w:val="00DE6708"/>
    <w:rsid w:val="00DF1C08"/>
    <w:rsid w:val="00E04ABD"/>
    <w:rsid w:val="00E04EB1"/>
    <w:rsid w:val="00E1178C"/>
    <w:rsid w:val="00E12AF3"/>
    <w:rsid w:val="00E42312"/>
    <w:rsid w:val="00E50A09"/>
    <w:rsid w:val="00E52772"/>
    <w:rsid w:val="00E55395"/>
    <w:rsid w:val="00E63E77"/>
    <w:rsid w:val="00E93259"/>
    <w:rsid w:val="00E9722B"/>
    <w:rsid w:val="00E97CD0"/>
    <w:rsid w:val="00EA2BAB"/>
    <w:rsid w:val="00EA7363"/>
    <w:rsid w:val="00EB56FA"/>
    <w:rsid w:val="00EC1622"/>
    <w:rsid w:val="00EF458C"/>
    <w:rsid w:val="00F13299"/>
    <w:rsid w:val="00F1365E"/>
    <w:rsid w:val="00F1510C"/>
    <w:rsid w:val="00F22A43"/>
    <w:rsid w:val="00F240B5"/>
    <w:rsid w:val="00F2610D"/>
    <w:rsid w:val="00F27EC1"/>
    <w:rsid w:val="00F3396E"/>
    <w:rsid w:val="00F4471C"/>
    <w:rsid w:val="00F47A71"/>
    <w:rsid w:val="00F55E41"/>
    <w:rsid w:val="00F5627A"/>
    <w:rsid w:val="00F62A90"/>
    <w:rsid w:val="00F62F6D"/>
    <w:rsid w:val="00F90978"/>
    <w:rsid w:val="00F92045"/>
    <w:rsid w:val="00F931A5"/>
    <w:rsid w:val="00F93984"/>
    <w:rsid w:val="00FA3C0F"/>
    <w:rsid w:val="00FB0CC5"/>
    <w:rsid w:val="00FB769E"/>
    <w:rsid w:val="00FC0437"/>
    <w:rsid w:val="00FD3DA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E6"/>
    <w:pPr>
      <w:spacing w:after="200" w:line="276" w:lineRule="auto"/>
    </w:pPr>
    <w:rPr>
      <w:sz w:val="22"/>
      <w:szCs w:val="22"/>
      <w:lang w:val="es-CL" w:eastAsia="en-US"/>
    </w:rPr>
  </w:style>
  <w:style w:type="paragraph" w:styleId="Heading1">
    <w:name w:val="heading 1"/>
    <w:aliases w:val="Título Verdana"/>
    <w:basedOn w:val="Normal"/>
    <w:next w:val="Normal"/>
    <w:link w:val="Heading1Char"/>
    <w:uiPriority w:val="9"/>
    <w:qFormat/>
    <w:rsid w:val="005B2171"/>
    <w:pPr>
      <w:keepNext/>
      <w:spacing w:before="240" w:after="60" w:line="240" w:lineRule="auto"/>
      <w:jc w:val="both"/>
      <w:outlineLvl w:val="0"/>
    </w:pPr>
    <w:rPr>
      <w:rFonts w:ascii="Cambria" w:eastAsia="Times New Roman" w:hAnsi="Cambria"/>
      <w:b/>
      <w:bCs/>
      <w:kern w:val="32"/>
      <w:sz w:val="32"/>
      <w:szCs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5B2171"/>
    <w:rPr>
      <w:rFonts w:ascii="Cambria" w:eastAsia="Times New Roman" w:hAnsi="Cambria" w:cs="Times New Roman"/>
      <w:b/>
      <w:bCs/>
      <w:kern w:val="32"/>
      <w:sz w:val="32"/>
      <w:szCs w:val="32"/>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5B2171"/>
    <w:rPr>
      <w:rFonts w:ascii="Verdana" w:hAnsi="Verdana"/>
      <w:sz w:val="20"/>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Ca,FA Fu?notentext,FA Fu?notente,C,ft"/>
    <w:basedOn w:val="Normal"/>
    <w:link w:val="FootnoteTextChar"/>
    <w:autoRedefine/>
    <w:uiPriority w:val="99"/>
    <w:qFormat/>
    <w:rsid w:val="008128FE"/>
    <w:pPr>
      <w:tabs>
        <w:tab w:val="left" w:pos="426"/>
      </w:tabs>
      <w:spacing w:before="120" w:after="120" w:line="240" w:lineRule="auto"/>
      <w:jc w:val="both"/>
    </w:pPr>
    <w:rPr>
      <w:rFonts w:eastAsia="Batang" w:cs="Calibri"/>
      <w:sz w:val="16"/>
      <w:szCs w:val="16"/>
      <w:lang w:val="es-CR" w:eastAsia="es-MX"/>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8128FE"/>
    <w:rPr>
      <w:rFonts w:eastAsia="Batang" w:cs="Calibri"/>
      <w:sz w:val="16"/>
      <w:szCs w:val="16"/>
      <w:lang w:val="es-CR" w:eastAsia="es-MX"/>
    </w:rPr>
  </w:style>
  <w:style w:type="paragraph" w:styleId="NormalWeb">
    <w:name w:val="Normal (Web)"/>
    <w:basedOn w:val="Normal"/>
    <w:uiPriority w:val="99"/>
    <w:unhideWhenUsed/>
    <w:rsid w:val="005B2171"/>
    <w:pP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ListParagraph1">
    <w:name w:val="List Paragraph1"/>
    <w:basedOn w:val="Normal"/>
    <w:uiPriority w:val="99"/>
    <w:qFormat/>
    <w:rsid w:val="005B2171"/>
    <w:pPr>
      <w:ind w:left="720"/>
    </w:pPr>
    <w:rPr>
      <w:rFonts w:ascii="Times New Roman" w:eastAsia="Times New Roman" w:hAnsi="Times New Roman"/>
      <w:sz w:val="24"/>
      <w:lang w:val="en-US"/>
    </w:rPr>
  </w:style>
  <w:style w:type="character" w:customStyle="1" w:styleId="apple-converted-space">
    <w:name w:val="apple-converted-space"/>
    <w:basedOn w:val="DefaultParagraphFont"/>
    <w:rsid w:val="005B2171"/>
  </w:style>
  <w:style w:type="character" w:styleId="Hyperlink">
    <w:name w:val="Hyperlink"/>
    <w:basedOn w:val="DefaultParagraphFont"/>
    <w:uiPriority w:val="99"/>
    <w:unhideWhenUsed/>
    <w:rsid w:val="005B2171"/>
    <w:rPr>
      <w:color w:val="0000FF"/>
      <w:u w:val="single"/>
    </w:rPr>
  </w:style>
  <w:style w:type="paragraph" w:styleId="ListParagraph">
    <w:name w:val="List Paragraph"/>
    <w:aliases w:val="Footnote,Colorful List - Accent 11,Párrafo de lista1"/>
    <w:basedOn w:val="Normal"/>
    <w:link w:val="ListParagraphChar"/>
    <w:uiPriority w:val="34"/>
    <w:qFormat/>
    <w:rsid w:val="005B2171"/>
    <w:pPr>
      <w:spacing w:after="160" w:line="259" w:lineRule="auto"/>
      <w:ind w:left="720"/>
      <w:contextualSpacing/>
    </w:pPr>
    <w:rPr>
      <w:lang w:val="es-UY"/>
    </w:rPr>
  </w:style>
  <w:style w:type="paragraph" w:styleId="Header">
    <w:name w:val="header"/>
    <w:basedOn w:val="Normal"/>
    <w:link w:val="HeaderChar"/>
    <w:uiPriority w:val="99"/>
    <w:unhideWhenUsed/>
    <w:rsid w:val="005B21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5B2171"/>
  </w:style>
  <w:style w:type="paragraph" w:styleId="Footer">
    <w:name w:val="footer"/>
    <w:basedOn w:val="Normal"/>
    <w:link w:val="FooterChar"/>
    <w:uiPriority w:val="99"/>
    <w:unhideWhenUsed/>
    <w:rsid w:val="005B2171"/>
    <w:pPr>
      <w:tabs>
        <w:tab w:val="center" w:pos="4419"/>
        <w:tab w:val="right" w:pos="8838"/>
      </w:tabs>
      <w:spacing w:after="0" w:line="240" w:lineRule="auto"/>
    </w:pPr>
  </w:style>
  <w:style w:type="character" w:customStyle="1" w:styleId="FooterChar">
    <w:name w:val="Footer Char"/>
    <w:basedOn w:val="DefaultParagraphFont"/>
    <w:link w:val="Footer"/>
    <w:uiPriority w:val="99"/>
    <w:rsid w:val="005B2171"/>
  </w:style>
  <w:style w:type="character" w:customStyle="1" w:styleId="ListParagraphChar">
    <w:name w:val="List Paragraph Char"/>
    <w:aliases w:val="Footnote Char,Colorful List - Accent 11 Char,Párrafo de lista1 Char"/>
    <w:basedOn w:val="DefaultParagraphFont"/>
    <w:link w:val="ListParagraph"/>
    <w:uiPriority w:val="34"/>
    <w:locked/>
    <w:rsid w:val="009A16D0"/>
    <w:rPr>
      <w:rFonts w:ascii="Calibri" w:eastAsia="Calibri" w:hAnsi="Calibri" w:cs="Times New Roman"/>
      <w:lang w:val="es-UY"/>
    </w:rPr>
  </w:style>
  <w:style w:type="paragraph" w:customStyle="1" w:styleId="PrrafodeSentencia">
    <w:name w:val="*. Párrafo de Sentencia"/>
    <w:basedOn w:val="ListParagraph"/>
    <w:link w:val="PrrafodeSentenciaChar"/>
    <w:autoRedefine/>
    <w:qFormat/>
    <w:rsid w:val="00A96A41"/>
    <w:pPr>
      <w:spacing w:after="120" w:line="276" w:lineRule="auto"/>
      <w:ind w:left="0"/>
      <w:contextualSpacing w:val="0"/>
      <w:jc w:val="both"/>
    </w:pPr>
    <w:rPr>
      <w:rFonts w:ascii="Verdana" w:eastAsia="Batang" w:hAnsi="Verdana" w:cs="Calibri"/>
      <w:spacing w:val="-4"/>
      <w:sz w:val="20"/>
      <w:szCs w:val="20"/>
      <w:lang w:val="es-MX" w:eastAsia="es-MX"/>
    </w:rPr>
  </w:style>
  <w:style w:type="character" w:customStyle="1" w:styleId="PrrafodeSentenciaChar">
    <w:name w:val="*. Párrafo de Sentencia Char"/>
    <w:basedOn w:val="DefaultParagraphFont"/>
    <w:link w:val="PrrafodeSentencia"/>
    <w:rsid w:val="00A96A41"/>
    <w:rPr>
      <w:rFonts w:ascii="Verdana" w:eastAsia="Batang" w:hAnsi="Verdana" w:cs="Calibri"/>
      <w:spacing w:val="-4"/>
      <w:sz w:val="20"/>
      <w:szCs w:val="20"/>
      <w:lang w:val="es-MX" w:eastAsia="es-MX"/>
    </w:rPr>
  </w:style>
  <w:style w:type="character" w:customStyle="1" w:styleId="sb8d990e2">
    <w:name w:val="sb8d990e2"/>
    <w:basedOn w:val="DefaultParagraphFont"/>
    <w:rsid w:val="00B90D1D"/>
  </w:style>
  <w:style w:type="character" w:customStyle="1" w:styleId="s6b621b36">
    <w:name w:val="s6b621b36"/>
    <w:basedOn w:val="DefaultParagraphFont"/>
    <w:rsid w:val="00B90D1D"/>
  </w:style>
  <w:style w:type="character" w:customStyle="1" w:styleId="sea881cdf">
    <w:name w:val="sea881cdf"/>
    <w:basedOn w:val="DefaultParagraphFont"/>
    <w:rsid w:val="00B90D1D"/>
  </w:style>
  <w:style w:type="paragraph" w:styleId="BalloonText">
    <w:name w:val="Balloon Text"/>
    <w:basedOn w:val="Normal"/>
    <w:link w:val="BalloonTextChar"/>
    <w:uiPriority w:val="99"/>
    <w:semiHidden/>
    <w:unhideWhenUsed/>
    <w:rsid w:val="004F444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4448"/>
    <w:rPr>
      <w:rFonts w:ascii="Lucida Grande" w:hAnsi="Lucida Grande"/>
      <w:sz w:val="18"/>
      <w:szCs w:val="18"/>
    </w:rPr>
  </w:style>
  <w:style w:type="character" w:styleId="CommentReference">
    <w:name w:val="annotation reference"/>
    <w:basedOn w:val="DefaultParagraphFont"/>
    <w:uiPriority w:val="99"/>
    <w:semiHidden/>
    <w:unhideWhenUsed/>
    <w:rsid w:val="00E52772"/>
    <w:rPr>
      <w:sz w:val="16"/>
      <w:szCs w:val="16"/>
    </w:rPr>
  </w:style>
  <w:style w:type="paragraph" w:styleId="CommentText">
    <w:name w:val="annotation text"/>
    <w:basedOn w:val="Normal"/>
    <w:link w:val="CommentTextChar"/>
    <w:uiPriority w:val="99"/>
    <w:semiHidden/>
    <w:unhideWhenUsed/>
    <w:rsid w:val="00E52772"/>
    <w:pPr>
      <w:spacing w:line="240" w:lineRule="auto"/>
    </w:pPr>
    <w:rPr>
      <w:sz w:val="20"/>
      <w:szCs w:val="20"/>
    </w:rPr>
  </w:style>
  <w:style w:type="character" w:customStyle="1" w:styleId="CommentTextChar">
    <w:name w:val="Comment Text Char"/>
    <w:basedOn w:val="DefaultParagraphFont"/>
    <w:link w:val="CommentText"/>
    <w:uiPriority w:val="99"/>
    <w:semiHidden/>
    <w:rsid w:val="00E52772"/>
    <w:rPr>
      <w:lang w:val="es-CL" w:eastAsia="en-US"/>
    </w:rPr>
  </w:style>
  <w:style w:type="paragraph" w:styleId="CommentSubject">
    <w:name w:val="annotation subject"/>
    <w:basedOn w:val="CommentText"/>
    <w:next w:val="CommentText"/>
    <w:link w:val="CommentSubjectChar"/>
    <w:uiPriority w:val="99"/>
    <w:semiHidden/>
    <w:unhideWhenUsed/>
    <w:rsid w:val="00E52772"/>
    <w:rPr>
      <w:b/>
      <w:bCs/>
    </w:rPr>
  </w:style>
  <w:style w:type="character" w:customStyle="1" w:styleId="CommentSubjectChar">
    <w:name w:val="Comment Subject Char"/>
    <w:basedOn w:val="CommentTextChar"/>
    <w:link w:val="CommentSubject"/>
    <w:uiPriority w:val="99"/>
    <w:semiHidden/>
    <w:rsid w:val="00E52772"/>
    <w:rPr>
      <w:b/>
      <w:bCs/>
      <w:lang w:val="es-C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E6"/>
    <w:pPr>
      <w:spacing w:after="200" w:line="276" w:lineRule="auto"/>
    </w:pPr>
    <w:rPr>
      <w:sz w:val="22"/>
      <w:szCs w:val="22"/>
      <w:lang w:val="es-CL" w:eastAsia="en-US"/>
    </w:rPr>
  </w:style>
  <w:style w:type="paragraph" w:styleId="Heading1">
    <w:name w:val="heading 1"/>
    <w:aliases w:val="Título Verdana"/>
    <w:basedOn w:val="Normal"/>
    <w:next w:val="Normal"/>
    <w:link w:val="Heading1Char"/>
    <w:uiPriority w:val="9"/>
    <w:qFormat/>
    <w:rsid w:val="005B2171"/>
    <w:pPr>
      <w:keepNext/>
      <w:spacing w:before="240" w:after="60" w:line="240" w:lineRule="auto"/>
      <w:jc w:val="both"/>
      <w:outlineLvl w:val="0"/>
    </w:pPr>
    <w:rPr>
      <w:rFonts w:ascii="Cambria" w:eastAsia="Times New Roman" w:hAnsi="Cambria"/>
      <w:b/>
      <w:bCs/>
      <w:kern w:val="32"/>
      <w:sz w:val="32"/>
      <w:szCs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5B2171"/>
    <w:rPr>
      <w:rFonts w:ascii="Cambria" w:eastAsia="Times New Roman" w:hAnsi="Cambria" w:cs="Times New Roman"/>
      <w:b/>
      <w:bCs/>
      <w:kern w:val="32"/>
      <w:sz w:val="32"/>
      <w:szCs w:val="32"/>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5B2171"/>
    <w:rPr>
      <w:rFonts w:ascii="Verdana" w:hAnsi="Verdana"/>
      <w:sz w:val="20"/>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Ca,FA Fu?notentext,FA Fu?notente,C,ft"/>
    <w:basedOn w:val="Normal"/>
    <w:link w:val="FootnoteTextChar"/>
    <w:autoRedefine/>
    <w:uiPriority w:val="99"/>
    <w:qFormat/>
    <w:rsid w:val="008128FE"/>
    <w:pPr>
      <w:tabs>
        <w:tab w:val="left" w:pos="426"/>
      </w:tabs>
      <w:spacing w:before="120" w:after="120" w:line="240" w:lineRule="auto"/>
      <w:jc w:val="both"/>
    </w:pPr>
    <w:rPr>
      <w:rFonts w:eastAsia="Batang" w:cs="Calibri"/>
      <w:sz w:val="16"/>
      <w:szCs w:val="16"/>
      <w:lang w:val="es-CR" w:eastAsia="es-MX"/>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8128FE"/>
    <w:rPr>
      <w:rFonts w:eastAsia="Batang" w:cs="Calibri"/>
      <w:sz w:val="16"/>
      <w:szCs w:val="16"/>
      <w:lang w:val="es-CR" w:eastAsia="es-MX"/>
    </w:rPr>
  </w:style>
  <w:style w:type="paragraph" w:styleId="NormalWeb">
    <w:name w:val="Normal (Web)"/>
    <w:basedOn w:val="Normal"/>
    <w:uiPriority w:val="99"/>
    <w:unhideWhenUsed/>
    <w:rsid w:val="005B2171"/>
    <w:pPr>
      <w:spacing w:before="100" w:beforeAutospacing="1" w:after="100" w:afterAutospacing="1" w:line="240" w:lineRule="auto"/>
    </w:pPr>
    <w:rPr>
      <w:rFonts w:ascii="Times New Roman" w:eastAsia="Times New Roman" w:hAnsi="Times New Roman"/>
      <w:sz w:val="24"/>
      <w:szCs w:val="24"/>
      <w:lang w:eastAsia="es-CL"/>
    </w:rPr>
  </w:style>
  <w:style w:type="paragraph" w:customStyle="1" w:styleId="ListParagraph1">
    <w:name w:val="List Paragraph1"/>
    <w:basedOn w:val="Normal"/>
    <w:uiPriority w:val="99"/>
    <w:qFormat/>
    <w:rsid w:val="005B2171"/>
    <w:pPr>
      <w:ind w:left="720"/>
    </w:pPr>
    <w:rPr>
      <w:rFonts w:ascii="Times New Roman" w:eastAsia="Times New Roman" w:hAnsi="Times New Roman"/>
      <w:sz w:val="24"/>
      <w:lang w:val="en-US"/>
    </w:rPr>
  </w:style>
  <w:style w:type="character" w:customStyle="1" w:styleId="apple-converted-space">
    <w:name w:val="apple-converted-space"/>
    <w:basedOn w:val="DefaultParagraphFont"/>
    <w:rsid w:val="005B2171"/>
  </w:style>
  <w:style w:type="character" w:styleId="Hyperlink">
    <w:name w:val="Hyperlink"/>
    <w:basedOn w:val="DefaultParagraphFont"/>
    <w:uiPriority w:val="99"/>
    <w:unhideWhenUsed/>
    <w:rsid w:val="005B2171"/>
    <w:rPr>
      <w:color w:val="0000FF"/>
      <w:u w:val="single"/>
    </w:rPr>
  </w:style>
  <w:style w:type="paragraph" w:styleId="ListParagraph">
    <w:name w:val="List Paragraph"/>
    <w:aliases w:val="Footnote,Colorful List - Accent 11,Párrafo de lista1"/>
    <w:basedOn w:val="Normal"/>
    <w:link w:val="ListParagraphChar"/>
    <w:uiPriority w:val="34"/>
    <w:qFormat/>
    <w:rsid w:val="005B2171"/>
    <w:pPr>
      <w:spacing w:after="160" w:line="259" w:lineRule="auto"/>
      <w:ind w:left="720"/>
      <w:contextualSpacing/>
    </w:pPr>
    <w:rPr>
      <w:lang w:val="es-UY"/>
    </w:rPr>
  </w:style>
  <w:style w:type="paragraph" w:styleId="Header">
    <w:name w:val="header"/>
    <w:basedOn w:val="Normal"/>
    <w:link w:val="HeaderChar"/>
    <w:uiPriority w:val="99"/>
    <w:unhideWhenUsed/>
    <w:rsid w:val="005B21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5B2171"/>
  </w:style>
  <w:style w:type="paragraph" w:styleId="Footer">
    <w:name w:val="footer"/>
    <w:basedOn w:val="Normal"/>
    <w:link w:val="FooterChar"/>
    <w:uiPriority w:val="99"/>
    <w:unhideWhenUsed/>
    <w:rsid w:val="005B2171"/>
    <w:pPr>
      <w:tabs>
        <w:tab w:val="center" w:pos="4419"/>
        <w:tab w:val="right" w:pos="8838"/>
      </w:tabs>
      <w:spacing w:after="0" w:line="240" w:lineRule="auto"/>
    </w:pPr>
  </w:style>
  <w:style w:type="character" w:customStyle="1" w:styleId="FooterChar">
    <w:name w:val="Footer Char"/>
    <w:basedOn w:val="DefaultParagraphFont"/>
    <w:link w:val="Footer"/>
    <w:uiPriority w:val="99"/>
    <w:rsid w:val="005B2171"/>
  </w:style>
  <w:style w:type="character" w:customStyle="1" w:styleId="ListParagraphChar">
    <w:name w:val="List Paragraph Char"/>
    <w:aliases w:val="Footnote Char,Colorful List - Accent 11 Char,Párrafo de lista1 Char"/>
    <w:basedOn w:val="DefaultParagraphFont"/>
    <w:link w:val="ListParagraph"/>
    <w:uiPriority w:val="34"/>
    <w:locked/>
    <w:rsid w:val="009A16D0"/>
    <w:rPr>
      <w:rFonts w:ascii="Calibri" w:eastAsia="Calibri" w:hAnsi="Calibri" w:cs="Times New Roman"/>
      <w:lang w:val="es-UY"/>
    </w:rPr>
  </w:style>
  <w:style w:type="paragraph" w:customStyle="1" w:styleId="PrrafodeSentencia">
    <w:name w:val="*. Párrafo de Sentencia"/>
    <w:basedOn w:val="ListParagraph"/>
    <w:link w:val="PrrafodeSentenciaChar"/>
    <w:autoRedefine/>
    <w:qFormat/>
    <w:rsid w:val="00A96A41"/>
    <w:pPr>
      <w:spacing w:after="120" w:line="276" w:lineRule="auto"/>
      <w:ind w:left="0"/>
      <w:contextualSpacing w:val="0"/>
      <w:jc w:val="both"/>
    </w:pPr>
    <w:rPr>
      <w:rFonts w:ascii="Verdana" w:eastAsia="Batang" w:hAnsi="Verdana" w:cs="Calibri"/>
      <w:spacing w:val="-4"/>
      <w:sz w:val="20"/>
      <w:szCs w:val="20"/>
      <w:lang w:val="es-MX" w:eastAsia="es-MX"/>
    </w:rPr>
  </w:style>
  <w:style w:type="character" w:customStyle="1" w:styleId="PrrafodeSentenciaChar">
    <w:name w:val="*. Párrafo de Sentencia Char"/>
    <w:basedOn w:val="DefaultParagraphFont"/>
    <w:link w:val="PrrafodeSentencia"/>
    <w:rsid w:val="00A96A41"/>
    <w:rPr>
      <w:rFonts w:ascii="Verdana" w:eastAsia="Batang" w:hAnsi="Verdana" w:cs="Calibri"/>
      <w:spacing w:val="-4"/>
      <w:sz w:val="20"/>
      <w:szCs w:val="20"/>
      <w:lang w:val="es-MX" w:eastAsia="es-MX"/>
    </w:rPr>
  </w:style>
  <w:style w:type="character" w:customStyle="1" w:styleId="sb8d990e2">
    <w:name w:val="sb8d990e2"/>
    <w:basedOn w:val="DefaultParagraphFont"/>
    <w:rsid w:val="00B90D1D"/>
  </w:style>
  <w:style w:type="character" w:customStyle="1" w:styleId="s6b621b36">
    <w:name w:val="s6b621b36"/>
    <w:basedOn w:val="DefaultParagraphFont"/>
    <w:rsid w:val="00B90D1D"/>
  </w:style>
  <w:style w:type="character" w:customStyle="1" w:styleId="sea881cdf">
    <w:name w:val="sea881cdf"/>
    <w:basedOn w:val="DefaultParagraphFont"/>
    <w:rsid w:val="00B90D1D"/>
  </w:style>
  <w:style w:type="paragraph" w:styleId="BalloonText">
    <w:name w:val="Balloon Text"/>
    <w:basedOn w:val="Normal"/>
    <w:link w:val="BalloonTextChar"/>
    <w:uiPriority w:val="99"/>
    <w:semiHidden/>
    <w:unhideWhenUsed/>
    <w:rsid w:val="004F444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4448"/>
    <w:rPr>
      <w:rFonts w:ascii="Lucida Grande" w:hAnsi="Lucida Grande"/>
      <w:sz w:val="18"/>
      <w:szCs w:val="18"/>
    </w:rPr>
  </w:style>
  <w:style w:type="character" w:styleId="CommentReference">
    <w:name w:val="annotation reference"/>
    <w:basedOn w:val="DefaultParagraphFont"/>
    <w:uiPriority w:val="99"/>
    <w:semiHidden/>
    <w:unhideWhenUsed/>
    <w:rsid w:val="00E52772"/>
    <w:rPr>
      <w:sz w:val="16"/>
      <w:szCs w:val="16"/>
    </w:rPr>
  </w:style>
  <w:style w:type="paragraph" w:styleId="CommentText">
    <w:name w:val="annotation text"/>
    <w:basedOn w:val="Normal"/>
    <w:link w:val="CommentTextChar"/>
    <w:uiPriority w:val="99"/>
    <w:semiHidden/>
    <w:unhideWhenUsed/>
    <w:rsid w:val="00E52772"/>
    <w:pPr>
      <w:spacing w:line="240" w:lineRule="auto"/>
    </w:pPr>
    <w:rPr>
      <w:sz w:val="20"/>
      <w:szCs w:val="20"/>
    </w:rPr>
  </w:style>
  <w:style w:type="character" w:customStyle="1" w:styleId="CommentTextChar">
    <w:name w:val="Comment Text Char"/>
    <w:basedOn w:val="DefaultParagraphFont"/>
    <w:link w:val="CommentText"/>
    <w:uiPriority w:val="99"/>
    <w:semiHidden/>
    <w:rsid w:val="00E52772"/>
    <w:rPr>
      <w:lang w:val="es-CL" w:eastAsia="en-US"/>
    </w:rPr>
  </w:style>
  <w:style w:type="paragraph" w:styleId="CommentSubject">
    <w:name w:val="annotation subject"/>
    <w:basedOn w:val="CommentText"/>
    <w:next w:val="CommentText"/>
    <w:link w:val="CommentSubjectChar"/>
    <w:uiPriority w:val="99"/>
    <w:semiHidden/>
    <w:unhideWhenUsed/>
    <w:rsid w:val="00E52772"/>
    <w:rPr>
      <w:b/>
      <w:bCs/>
    </w:rPr>
  </w:style>
  <w:style w:type="character" w:customStyle="1" w:styleId="CommentSubjectChar">
    <w:name w:val="Comment Subject Char"/>
    <w:basedOn w:val="CommentTextChar"/>
    <w:link w:val="CommentSubject"/>
    <w:uiPriority w:val="99"/>
    <w:semiHidden/>
    <w:rsid w:val="00E52772"/>
    <w:rPr>
      <w:b/>
      <w:bCs/>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40632-9D2A-4C95-9939-D9CDD537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9096</Words>
  <Characters>50029</Characters>
  <Application>Microsoft Office Word</Application>
  <DocSecurity>0</DocSecurity>
  <Lines>416</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59007</CharactersWithSpaces>
  <SharedDoc>false</SharedDoc>
  <HLinks>
    <vt:vector size="6" baseType="variant">
      <vt:variant>
        <vt:i4>4784174</vt:i4>
      </vt:variant>
      <vt:variant>
        <vt:i4>0</vt:i4>
      </vt:variant>
      <vt:variant>
        <vt:i4>0</vt:i4>
      </vt:variant>
      <vt:variant>
        <vt:i4>5</vt:i4>
      </vt:variant>
      <vt:variant>
        <vt:lpwstr>https://www.google.cl/search?rlz=1C1GGGE_esCL519CL536&amp;espv=2&amp;biw=1034&amp;bih=595&amp;q=ius+generis&amp;spell=1&amp;sa=X&amp;ei=4j1bVY6ONsidgwTxp4GgAw&amp;ved=0CBgQBSgA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Jairo Guadamuz</cp:lastModifiedBy>
  <cp:revision>4</cp:revision>
  <cp:lastPrinted>2015-09-16T17:04:00Z</cp:lastPrinted>
  <dcterms:created xsi:type="dcterms:W3CDTF">2015-09-16T18:13:00Z</dcterms:created>
  <dcterms:modified xsi:type="dcterms:W3CDTF">2015-09-16T19:48:00Z</dcterms:modified>
</cp:coreProperties>
</file>