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C87547" w:rsidRPr="00C87547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  <w:r w:rsidRPr="00C87547">
        <w:rPr>
          <w:b/>
          <w:sz w:val="24"/>
          <w:szCs w:val="24"/>
          <w:lang w:val="es-ES"/>
        </w:rPr>
        <w:t>VOTO INDIVIDUAL CONCURREN</w:t>
      </w:r>
      <w:r>
        <w:rPr>
          <w:b/>
          <w:sz w:val="24"/>
          <w:szCs w:val="24"/>
          <w:lang w:val="es-ES"/>
        </w:rPr>
        <w:t>TE DEL JUEZ EDUARDO VIO GROSSI,</w:t>
      </w:r>
    </w:p>
    <w:p w:rsidR="00C87547" w:rsidRPr="00C87547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  <w:r w:rsidRPr="00C87547">
        <w:rPr>
          <w:b/>
          <w:sz w:val="24"/>
          <w:szCs w:val="24"/>
          <w:lang w:val="es-ES"/>
        </w:rPr>
        <w:t>CORTE INTERAMERICANA DE DERECHOS HUMANOS,</w:t>
      </w:r>
    </w:p>
    <w:p w:rsidR="00C87547" w:rsidRPr="00C87547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CASO YARCE Y OTRAS </w:t>
      </w:r>
      <w:r w:rsidRPr="00C87547">
        <w:rPr>
          <w:b/>
          <w:i/>
          <w:sz w:val="24"/>
          <w:szCs w:val="24"/>
          <w:lang w:val="es-ES"/>
        </w:rPr>
        <w:t>Vs</w:t>
      </w:r>
      <w:r w:rsidRPr="00C87547">
        <w:rPr>
          <w:b/>
          <w:sz w:val="24"/>
          <w:szCs w:val="24"/>
          <w:lang w:val="es-ES"/>
        </w:rPr>
        <w:t>. COLOMBIA,</w:t>
      </w:r>
    </w:p>
    <w:p w:rsidR="00C87547" w:rsidRPr="00C87547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  <w:r w:rsidRPr="00C87547">
        <w:rPr>
          <w:b/>
          <w:sz w:val="24"/>
          <w:szCs w:val="24"/>
          <w:lang w:val="es-ES"/>
        </w:rPr>
        <w:t>SENTENCIA DE 22 DE NOVIEMBRE DE 2016,</w:t>
      </w:r>
    </w:p>
    <w:p w:rsidR="00433A01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  <w:r w:rsidRPr="00C87547">
        <w:rPr>
          <w:b/>
          <w:sz w:val="24"/>
          <w:szCs w:val="24"/>
          <w:lang w:val="es-ES"/>
        </w:rPr>
        <w:t>(Excepción Preliminar, Fondo, Reparaciones y Costas).</w:t>
      </w:r>
    </w:p>
    <w:p w:rsidR="00C87547" w:rsidRDefault="00C87547" w:rsidP="00C87547">
      <w:pPr>
        <w:spacing w:after="0"/>
        <w:jc w:val="center"/>
        <w:rPr>
          <w:b/>
          <w:sz w:val="24"/>
          <w:szCs w:val="24"/>
          <w:lang w:val="es-ES"/>
        </w:rPr>
      </w:pPr>
    </w:p>
    <w:p w:rsidR="00C87547" w:rsidRDefault="00C87547" w:rsidP="00C87547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emite el presente voto individual concurrente a la Sentencia del epígrafe a los efectos de dejar constancia de que se ha concurrido a votar favorablemente la</w:t>
      </w:r>
      <w:r w:rsidR="00B06304">
        <w:rPr>
          <w:sz w:val="24"/>
          <w:szCs w:val="24"/>
          <w:lang w:val="es-ES"/>
        </w:rPr>
        <w:t xml:space="preserve"> d</w:t>
      </w:r>
      <w:r>
        <w:rPr>
          <w:sz w:val="24"/>
          <w:szCs w:val="24"/>
          <w:lang w:val="es-ES"/>
        </w:rPr>
        <w:t>ecisió</w:t>
      </w:r>
      <w:r w:rsidR="00B06304">
        <w:rPr>
          <w:sz w:val="24"/>
          <w:szCs w:val="24"/>
          <w:lang w:val="es-ES"/>
        </w:rPr>
        <w:t xml:space="preserve">n contenida en </w:t>
      </w:r>
      <w:r>
        <w:rPr>
          <w:sz w:val="24"/>
          <w:szCs w:val="24"/>
          <w:lang w:val="es-ES"/>
        </w:rPr>
        <w:t>la misma, en orden a “(d)</w:t>
      </w:r>
      <w:r w:rsidRPr="00C87547">
        <w:rPr>
          <w:sz w:val="24"/>
          <w:szCs w:val="24"/>
          <w:lang w:val="es-ES"/>
        </w:rPr>
        <w:t>esestimar la excepción prel</w:t>
      </w:r>
      <w:r>
        <w:rPr>
          <w:sz w:val="24"/>
          <w:szCs w:val="24"/>
          <w:lang w:val="es-ES"/>
        </w:rPr>
        <w:t>iminar interpuesta por el Estado”</w:t>
      </w:r>
      <w:r w:rsidR="00B06304">
        <w:rPr>
          <w:rStyle w:val="FootnoteReference"/>
          <w:sz w:val="24"/>
          <w:szCs w:val="24"/>
          <w:lang w:val="es-ES"/>
        </w:rPr>
        <w:footnoteReference w:id="1"/>
      </w:r>
      <w:r>
        <w:rPr>
          <w:sz w:val="24"/>
          <w:szCs w:val="24"/>
          <w:lang w:val="es-ES"/>
        </w:rPr>
        <w:t>, en atención a que</w:t>
      </w:r>
      <w:r w:rsidR="007015A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tanto en las petici</w:t>
      </w:r>
      <w:r w:rsidR="007015A5">
        <w:rPr>
          <w:sz w:val="24"/>
          <w:szCs w:val="24"/>
          <w:lang w:val="es-ES"/>
        </w:rPr>
        <w:t xml:space="preserve">ones como en las respuestas a </w:t>
      </w:r>
      <w:r>
        <w:rPr>
          <w:sz w:val="24"/>
          <w:szCs w:val="24"/>
          <w:lang w:val="es-ES"/>
        </w:rPr>
        <w:t>las mismas se alegaron</w:t>
      </w:r>
      <w:r w:rsidR="00AD254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el previo agotamiento de los recursos internos y la falta de ello</w:t>
      </w:r>
      <w:r w:rsidR="00AD2543">
        <w:rPr>
          <w:sz w:val="24"/>
          <w:szCs w:val="24"/>
          <w:lang w:val="es-ES"/>
        </w:rPr>
        <w:t>, respectivamente</w:t>
      </w:r>
      <w:r>
        <w:rPr>
          <w:sz w:val="24"/>
          <w:szCs w:val="24"/>
          <w:lang w:val="es-ES"/>
        </w:rPr>
        <w:t>.</w:t>
      </w:r>
    </w:p>
    <w:p w:rsidR="00C87547" w:rsidRDefault="00C87547" w:rsidP="00C87547">
      <w:pPr>
        <w:spacing w:after="0"/>
        <w:jc w:val="both"/>
        <w:rPr>
          <w:sz w:val="24"/>
          <w:szCs w:val="24"/>
          <w:lang w:val="es-ES"/>
        </w:rPr>
      </w:pPr>
    </w:p>
    <w:p w:rsidR="00C87547" w:rsidRDefault="00AD2543" w:rsidP="00C87547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Efectivamente, como consta</w:t>
      </w:r>
      <w:r w:rsidR="00C87547">
        <w:rPr>
          <w:sz w:val="24"/>
          <w:szCs w:val="24"/>
          <w:lang w:val="es-ES"/>
        </w:rPr>
        <w:t xml:space="preserve"> en las </w:t>
      </w:r>
      <w:r>
        <w:rPr>
          <w:sz w:val="24"/>
          <w:szCs w:val="24"/>
          <w:lang w:val="es-ES"/>
        </w:rPr>
        <w:t xml:space="preserve">dos </w:t>
      </w:r>
      <w:r w:rsidR="00C87547">
        <w:rPr>
          <w:sz w:val="24"/>
          <w:szCs w:val="24"/>
          <w:lang w:val="es-ES"/>
        </w:rPr>
        <w:t>peticio</w:t>
      </w:r>
      <w:r>
        <w:rPr>
          <w:sz w:val="24"/>
          <w:szCs w:val="24"/>
          <w:lang w:val="es-ES"/>
        </w:rPr>
        <w:t>nes de fechas 25 de octubre de 2004 y en la de 4 de marzo de 2005, expresamente se invoca el cumplimiento del requisito del previo agotamiento de los recursos internos</w:t>
      </w:r>
      <w:r w:rsidR="007015A5">
        <w:rPr>
          <w:sz w:val="24"/>
          <w:szCs w:val="24"/>
          <w:lang w:val="es-ES"/>
        </w:rPr>
        <w:t xml:space="preserve"> previsto en </w:t>
      </w:r>
      <w:r>
        <w:rPr>
          <w:sz w:val="24"/>
          <w:szCs w:val="24"/>
          <w:lang w:val="es-ES"/>
        </w:rPr>
        <w:t>el artículo 46.</w:t>
      </w:r>
      <w:r w:rsidR="00C94CB2">
        <w:rPr>
          <w:sz w:val="24"/>
          <w:szCs w:val="24"/>
          <w:lang w:val="es-ES"/>
        </w:rPr>
        <w:t>1.</w:t>
      </w:r>
      <w:r>
        <w:rPr>
          <w:sz w:val="24"/>
          <w:szCs w:val="24"/>
          <w:lang w:val="es-ES"/>
        </w:rPr>
        <w:t>a) de la Convención Americana sobre Derechos Humanos para la presentación de las mismas</w:t>
      </w:r>
      <w:r>
        <w:rPr>
          <w:rStyle w:val="FootnoteReference"/>
          <w:sz w:val="24"/>
          <w:szCs w:val="24"/>
          <w:lang w:val="es-ES"/>
        </w:rPr>
        <w:footnoteReference w:id="2"/>
      </w:r>
      <w:r>
        <w:rPr>
          <w:sz w:val="24"/>
          <w:szCs w:val="24"/>
          <w:lang w:val="es-ES"/>
        </w:rPr>
        <w:t>. Por su parte,  en las observaciones formuladas a aquellas por el Estado, de fechas 14 de marzo, 14 de junio y 13 de octubre de 2006, igualmente expresamente se hace presente, por el contrario, que, en los casos a que aquellas se refieren, no se ha dado cumplimiento al mencionado requisito, por lo que las mismas deben ser declaradas inadmisibles.</w:t>
      </w:r>
    </w:p>
    <w:p w:rsidR="00AD2543" w:rsidRDefault="00AD2543" w:rsidP="00C87547">
      <w:pPr>
        <w:spacing w:after="0"/>
        <w:jc w:val="both"/>
        <w:rPr>
          <w:sz w:val="24"/>
          <w:szCs w:val="24"/>
          <w:lang w:val="es-ES"/>
        </w:rPr>
      </w:pPr>
    </w:p>
    <w:p w:rsidR="00AD2543" w:rsidRDefault="007015A5" w:rsidP="00C87547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AD2543">
        <w:rPr>
          <w:sz w:val="24"/>
          <w:szCs w:val="24"/>
          <w:lang w:val="es-ES"/>
        </w:rPr>
        <w:t xml:space="preserve">n consecuencia, </w:t>
      </w:r>
      <w:r w:rsidR="0074432D">
        <w:rPr>
          <w:sz w:val="24"/>
          <w:szCs w:val="24"/>
          <w:lang w:val="es-ES"/>
        </w:rPr>
        <w:t xml:space="preserve">el cumplimiento del </w:t>
      </w:r>
      <w:r>
        <w:rPr>
          <w:sz w:val="24"/>
          <w:szCs w:val="24"/>
          <w:lang w:val="es-ES"/>
        </w:rPr>
        <w:t xml:space="preserve">requisito del </w:t>
      </w:r>
      <w:r w:rsidR="0074432D">
        <w:rPr>
          <w:sz w:val="24"/>
          <w:szCs w:val="24"/>
          <w:lang w:val="es-ES"/>
        </w:rPr>
        <w:t xml:space="preserve">previo agotamiento de los recursos internos se hizo valer al momento de elevarse las correspondientes peticiones y los alegatos de que ello no había acontecido se esgrimieron en las observaciones estatales respecto de las mismas. De esa forma, </w:t>
      </w:r>
      <w:r w:rsidR="00AD2543">
        <w:rPr>
          <w:sz w:val="24"/>
          <w:szCs w:val="24"/>
          <w:lang w:val="es-ES"/>
        </w:rPr>
        <w:t xml:space="preserve">la </w:t>
      </w:r>
      <w:r w:rsidR="00B06304">
        <w:rPr>
          <w:i/>
          <w:sz w:val="24"/>
          <w:szCs w:val="24"/>
          <w:lang w:val="es-ES"/>
        </w:rPr>
        <w:t>l</w:t>
      </w:r>
      <w:r w:rsidR="00AD2543">
        <w:rPr>
          <w:i/>
          <w:sz w:val="24"/>
          <w:szCs w:val="24"/>
          <w:lang w:val="es-ES"/>
        </w:rPr>
        <w:t>itis</w:t>
      </w:r>
      <w:r w:rsidR="00B06304">
        <w:rPr>
          <w:sz w:val="24"/>
          <w:szCs w:val="24"/>
          <w:lang w:val="es-ES"/>
        </w:rPr>
        <w:t xml:space="preserve"> </w:t>
      </w:r>
      <w:r w:rsidR="00AD2543">
        <w:rPr>
          <w:sz w:val="24"/>
          <w:szCs w:val="24"/>
          <w:lang w:val="es-ES"/>
        </w:rPr>
        <w:t xml:space="preserve">sobre </w:t>
      </w:r>
      <w:r w:rsidR="00B06304">
        <w:rPr>
          <w:sz w:val="24"/>
          <w:szCs w:val="24"/>
          <w:lang w:val="es-ES"/>
        </w:rPr>
        <w:t>la referida excepción quedó debidamente trabada, desarrollándose posteriormente, en el trámite de admisión ante la Comisión Interamericana de Derechos Humanos, las argumentaciones y pruebas correspondientes, concluyéndose en la resolución adoptada por esta última.</w:t>
      </w:r>
    </w:p>
    <w:p w:rsidR="00B06304" w:rsidRDefault="00B06304" w:rsidP="00C87547">
      <w:pPr>
        <w:spacing w:after="0"/>
        <w:jc w:val="both"/>
        <w:rPr>
          <w:sz w:val="24"/>
          <w:szCs w:val="24"/>
          <w:lang w:val="es-ES"/>
        </w:rPr>
      </w:pPr>
    </w:p>
    <w:p w:rsidR="00B06304" w:rsidRDefault="0074432D" w:rsidP="00C87547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consecuencia y </w:t>
      </w:r>
      <w:r w:rsidR="00B06304">
        <w:rPr>
          <w:sz w:val="24"/>
          <w:szCs w:val="24"/>
          <w:lang w:val="es-ES"/>
        </w:rPr>
        <w:t xml:space="preserve">acorde a lo preceptuado en la normativa correspondiente, </w:t>
      </w:r>
      <w:r>
        <w:rPr>
          <w:sz w:val="24"/>
          <w:szCs w:val="24"/>
          <w:lang w:val="es-ES"/>
        </w:rPr>
        <w:t>de ello se desprende que las partes entendieron que los recursos internos deb</w:t>
      </w:r>
      <w:r w:rsidR="007015A5">
        <w:rPr>
          <w:sz w:val="24"/>
          <w:szCs w:val="24"/>
          <w:lang w:val="es-ES"/>
        </w:rPr>
        <w:t>ían agotarse</w:t>
      </w:r>
      <w:r>
        <w:rPr>
          <w:sz w:val="24"/>
          <w:szCs w:val="24"/>
          <w:lang w:val="es-ES"/>
        </w:rPr>
        <w:t xml:space="preserve"> antes de la presentación de las citadas peticiones</w:t>
      </w:r>
      <w:r w:rsidR="007015A5">
        <w:rPr>
          <w:sz w:val="24"/>
          <w:szCs w:val="24"/>
          <w:lang w:val="es-ES"/>
        </w:rPr>
        <w:t xml:space="preserve">, aunque, como es lógico, </w:t>
      </w:r>
      <w:r>
        <w:rPr>
          <w:sz w:val="24"/>
          <w:szCs w:val="24"/>
          <w:lang w:val="es-ES"/>
        </w:rPr>
        <w:t xml:space="preserve">la resolución sobre la </w:t>
      </w:r>
      <w:r>
        <w:rPr>
          <w:i/>
          <w:sz w:val="24"/>
          <w:szCs w:val="24"/>
          <w:lang w:val="es-ES"/>
        </w:rPr>
        <w:t xml:space="preserve">litis </w:t>
      </w:r>
      <w:r>
        <w:rPr>
          <w:sz w:val="24"/>
          <w:szCs w:val="24"/>
          <w:lang w:val="es-ES"/>
        </w:rPr>
        <w:t>trabada sobre el particular debía resolverse en el pertinente trám</w:t>
      </w:r>
      <w:r w:rsidR="007015A5">
        <w:rPr>
          <w:sz w:val="24"/>
          <w:szCs w:val="24"/>
          <w:lang w:val="es-ES"/>
        </w:rPr>
        <w:t>ite de admisibilidad. Este entendimiento coincide, pues, con lo expuesto por el suscrito en los</w:t>
      </w:r>
      <w:r w:rsidR="00B06304">
        <w:rPr>
          <w:sz w:val="24"/>
          <w:szCs w:val="24"/>
          <w:lang w:val="es-ES"/>
        </w:rPr>
        <w:t xml:space="preserve"> votos razonados que ha expedido sobre el particular</w:t>
      </w:r>
      <w:r w:rsidR="00B06304">
        <w:rPr>
          <w:rStyle w:val="FootnoteReference"/>
          <w:sz w:val="24"/>
          <w:szCs w:val="24"/>
          <w:lang w:val="es-ES"/>
        </w:rPr>
        <w:footnoteReference w:id="3"/>
      </w:r>
      <w:r w:rsidR="00B06304">
        <w:rPr>
          <w:sz w:val="24"/>
          <w:szCs w:val="24"/>
          <w:lang w:val="es-ES"/>
        </w:rPr>
        <w:t xml:space="preserve">, lo </w:t>
      </w:r>
      <w:r w:rsidR="007015A5">
        <w:rPr>
          <w:sz w:val="24"/>
          <w:szCs w:val="24"/>
          <w:lang w:val="es-ES"/>
        </w:rPr>
        <w:t>que explica, consecuentemente, el presente</w:t>
      </w:r>
      <w:r w:rsidR="00B06304">
        <w:rPr>
          <w:sz w:val="24"/>
          <w:szCs w:val="24"/>
          <w:lang w:val="es-ES"/>
        </w:rPr>
        <w:t xml:space="preserve"> voto</w:t>
      </w:r>
      <w:r w:rsidR="007015A5">
        <w:rPr>
          <w:sz w:val="24"/>
          <w:szCs w:val="24"/>
          <w:lang w:val="es-ES"/>
        </w:rPr>
        <w:t xml:space="preserve"> concurrente</w:t>
      </w:r>
      <w:r w:rsidR="00B06304">
        <w:rPr>
          <w:sz w:val="24"/>
          <w:szCs w:val="24"/>
          <w:lang w:val="es-ES"/>
        </w:rPr>
        <w:t>.</w:t>
      </w:r>
    </w:p>
    <w:p w:rsidR="007015A5" w:rsidRDefault="007015A5" w:rsidP="00C87547">
      <w:pPr>
        <w:spacing w:after="0"/>
        <w:jc w:val="both"/>
        <w:rPr>
          <w:sz w:val="24"/>
          <w:szCs w:val="24"/>
          <w:lang w:val="es-ES"/>
        </w:rPr>
      </w:pPr>
    </w:p>
    <w:p w:rsidR="007015A5" w:rsidRDefault="007015A5" w:rsidP="00C87547">
      <w:pPr>
        <w:spacing w:after="0"/>
        <w:jc w:val="both"/>
        <w:rPr>
          <w:sz w:val="24"/>
          <w:szCs w:val="24"/>
          <w:lang w:val="es-ES"/>
        </w:rPr>
      </w:pPr>
    </w:p>
    <w:p w:rsidR="007015A5" w:rsidRDefault="007015A5" w:rsidP="00C87547">
      <w:pPr>
        <w:spacing w:after="0"/>
        <w:jc w:val="both"/>
        <w:rPr>
          <w:sz w:val="24"/>
          <w:szCs w:val="24"/>
          <w:lang w:val="es-ES"/>
        </w:rPr>
      </w:pPr>
    </w:p>
    <w:p w:rsidR="007015A5" w:rsidRDefault="007015A5" w:rsidP="007015A5">
      <w:pPr>
        <w:spacing w:after="0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Eduardo Vio Grossi.</w:t>
      </w:r>
    </w:p>
    <w:p w:rsidR="007015A5" w:rsidRPr="00AD2543" w:rsidRDefault="007015A5" w:rsidP="007015A5">
      <w:pPr>
        <w:spacing w:after="0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Juez</w:t>
      </w:r>
    </w:p>
    <w:p w:rsidR="00C87547" w:rsidRDefault="00C87547" w:rsidP="00C87547">
      <w:pPr>
        <w:spacing w:after="0"/>
        <w:jc w:val="center"/>
        <w:rPr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sz w:val="24"/>
          <w:szCs w:val="24"/>
          <w:lang w:val="es-ES"/>
        </w:rPr>
      </w:pPr>
    </w:p>
    <w:p w:rsidR="001A2D23" w:rsidRDefault="001A2D23" w:rsidP="00C87547">
      <w:pPr>
        <w:spacing w:after="0"/>
        <w:jc w:val="center"/>
        <w:rPr>
          <w:sz w:val="24"/>
          <w:szCs w:val="24"/>
          <w:lang w:val="es-ES"/>
        </w:rPr>
      </w:pPr>
    </w:p>
    <w:p w:rsidR="001A2D23" w:rsidRPr="00361343" w:rsidRDefault="001A2D23" w:rsidP="00C87547">
      <w:pPr>
        <w:spacing w:after="0"/>
        <w:jc w:val="center"/>
        <w:rPr>
          <w:sz w:val="24"/>
          <w:szCs w:val="24"/>
          <w:lang w:val="es-ES"/>
        </w:rPr>
      </w:pPr>
    </w:p>
    <w:p w:rsidR="00C87547" w:rsidRPr="00361343" w:rsidRDefault="00361343" w:rsidP="00C87547">
      <w:pPr>
        <w:spacing w:after="0"/>
        <w:jc w:val="both"/>
        <w:rPr>
          <w:sz w:val="24"/>
          <w:szCs w:val="24"/>
          <w:lang w:val="es-ES"/>
        </w:rPr>
      </w:pPr>
      <w:r w:rsidRPr="00361343">
        <w:rPr>
          <w:sz w:val="24"/>
          <w:szCs w:val="24"/>
          <w:lang w:val="es-ES"/>
        </w:rPr>
        <w:t>Pablo Saavedra Alessandri</w:t>
      </w:r>
    </w:p>
    <w:p w:rsidR="00361343" w:rsidRPr="00361343" w:rsidRDefault="00361343" w:rsidP="00C87547">
      <w:pPr>
        <w:spacing w:after="0"/>
        <w:jc w:val="both"/>
        <w:rPr>
          <w:sz w:val="24"/>
          <w:szCs w:val="24"/>
          <w:lang w:val="es-ES"/>
        </w:rPr>
      </w:pPr>
      <w:r w:rsidRPr="00361343">
        <w:rPr>
          <w:sz w:val="24"/>
          <w:szCs w:val="24"/>
          <w:lang w:val="es-ES"/>
        </w:rPr>
        <w:tab/>
        <w:t>Secretario</w:t>
      </w:r>
    </w:p>
    <w:sectPr w:rsidR="00361343" w:rsidRPr="00361343" w:rsidSect="00D151B6">
      <w:head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6C" w:rsidRDefault="008F096C" w:rsidP="00C87547">
      <w:pPr>
        <w:spacing w:after="0" w:line="240" w:lineRule="auto"/>
      </w:pPr>
      <w:r>
        <w:separator/>
      </w:r>
    </w:p>
  </w:endnote>
  <w:endnote w:type="continuationSeparator" w:id="0">
    <w:p w:rsidR="008F096C" w:rsidRDefault="008F096C" w:rsidP="00C8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6C" w:rsidRDefault="008F096C" w:rsidP="00C87547">
      <w:pPr>
        <w:spacing w:after="0" w:line="240" w:lineRule="auto"/>
      </w:pPr>
      <w:r>
        <w:separator/>
      </w:r>
    </w:p>
  </w:footnote>
  <w:footnote w:type="continuationSeparator" w:id="0">
    <w:p w:rsidR="008F096C" w:rsidRDefault="008F096C" w:rsidP="00C87547">
      <w:pPr>
        <w:spacing w:after="0" w:line="240" w:lineRule="auto"/>
      </w:pPr>
      <w:r>
        <w:continuationSeparator/>
      </w:r>
    </w:p>
  </w:footnote>
  <w:footnote w:id="1">
    <w:p w:rsidR="00B06304" w:rsidRPr="00B06304" w:rsidRDefault="00B06304" w:rsidP="00813255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B06304">
        <w:rPr>
          <w:lang w:val="es-ES"/>
        </w:rPr>
        <w:t xml:space="preserve"> </w:t>
      </w:r>
      <w:r>
        <w:rPr>
          <w:lang w:val="es-ES"/>
        </w:rPr>
        <w:t>Decisión Nº 1</w:t>
      </w:r>
      <w:r w:rsidR="00C94CB2">
        <w:rPr>
          <w:lang w:val="es-ES"/>
        </w:rPr>
        <w:t xml:space="preserve"> de la Sentencia</w:t>
      </w:r>
      <w:r>
        <w:rPr>
          <w:lang w:val="es-ES"/>
        </w:rPr>
        <w:t>.</w:t>
      </w:r>
    </w:p>
  </w:footnote>
  <w:footnote w:id="2">
    <w:p w:rsidR="00AD2543" w:rsidRPr="00AD2543" w:rsidRDefault="00AD2543" w:rsidP="00813255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AD2543">
        <w:rPr>
          <w:lang w:val="es-ES"/>
        </w:rPr>
        <w:t xml:space="preserve"> </w:t>
      </w:r>
      <w:r>
        <w:rPr>
          <w:lang w:val="es-ES"/>
        </w:rPr>
        <w:t>“</w:t>
      </w:r>
      <w:r w:rsidRPr="00AD2543">
        <w:rPr>
          <w:lang w:val="es-ES"/>
        </w:rPr>
        <w:t xml:space="preserve">Para que una petición o comunicación presentada conforme a los artículos 44 </w:t>
      </w:r>
      <w:r w:rsidR="00FA1CDE">
        <w:rPr>
          <w:lang w:val="es-ES"/>
        </w:rPr>
        <w:t>o</w:t>
      </w:r>
      <w:r w:rsidRPr="00AD2543">
        <w:rPr>
          <w:lang w:val="es-ES"/>
        </w:rPr>
        <w:t xml:space="preserve"> 45 sea admitida </w:t>
      </w:r>
      <w:r>
        <w:rPr>
          <w:lang w:val="es-ES"/>
        </w:rPr>
        <w:t xml:space="preserve">por la Comisión, se requerirá:  </w:t>
      </w:r>
      <w:r w:rsidRPr="00AD2543">
        <w:rPr>
          <w:lang w:val="es-ES"/>
        </w:rPr>
        <w:t>a) que se hayan interpuesto y agotado los recursos de jurisdicción interna, conforme a los principios del Derecho Internacional generalmente reconocidos;</w:t>
      </w:r>
      <w:r>
        <w:rPr>
          <w:lang w:val="es-ES"/>
        </w:rPr>
        <w:t>…”</w:t>
      </w:r>
    </w:p>
  </w:footnote>
  <w:footnote w:id="3">
    <w:p w:rsidR="00B06304" w:rsidRPr="00813255" w:rsidRDefault="00B06304" w:rsidP="00813255">
      <w:pPr>
        <w:pStyle w:val="FootnoteText"/>
        <w:jc w:val="both"/>
        <w:rPr>
          <w:lang w:val="es-ES"/>
        </w:rPr>
      </w:pPr>
      <w:r>
        <w:rPr>
          <w:rStyle w:val="FootnoteReference"/>
        </w:rPr>
        <w:footnoteRef/>
      </w:r>
      <w:r w:rsidRPr="00813255">
        <w:rPr>
          <w:lang w:val="es-ES"/>
        </w:rPr>
        <w:t xml:space="preserve"> </w:t>
      </w:r>
      <w:r w:rsidR="00813255" w:rsidRPr="00813255">
        <w:rPr>
          <w:lang w:val="es-ES"/>
        </w:rPr>
        <w:t>V</w:t>
      </w:r>
      <w:r w:rsidR="00813255">
        <w:rPr>
          <w:lang w:val="es-ES"/>
        </w:rPr>
        <w:t xml:space="preserve">oto Concurrente del Juez Eduardo Vio Grossi, Corte Interamericana de Derechos Humanos, Caso Herrera Espinoza y Otros </w:t>
      </w:r>
      <w:r w:rsidR="00813255">
        <w:rPr>
          <w:i/>
          <w:lang w:val="es-ES"/>
        </w:rPr>
        <w:t>Vs.</w:t>
      </w:r>
      <w:r w:rsidR="00813255">
        <w:rPr>
          <w:lang w:val="es-ES"/>
        </w:rPr>
        <w:t xml:space="preserve"> Ecuador, Sentencia de 1 de septiembre de 2016, </w:t>
      </w:r>
      <w:r w:rsidR="00813255" w:rsidRPr="00813255">
        <w:rPr>
          <w:lang w:val="es-ES"/>
        </w:rPr>
        <w:t>(Excepciones Preliminares, Fondo, Reparaciones y Costas)</w:t>
      </w:r>
      <w:r w:rsidR="00813255">
        <w:rPr>
          <w:lang w:val="es-ES"/>
        </w:rPr>
        <w:t xml:space="preserve">; </w:t>
      </w:r>
      <w:r w:rsidR="00813255" w:rsidRPr="00813255">
        <w:rPr>
          <w:lang w:val="es-ES"/>
        </w:rPr>
        <w:t>Voto Concurrente del Juez Eduardo Vio Grossi, Caso Velásquez Paiz y Otros Vs Guatemala, Sentencia del 19 de noviembre de 2015 (Excepciones Preliminares, Fondo, Reparaciones y Costas); Voto Disidente del Juez Eduardo Vio Grossi, Caso Comunidad Campesina Santa Bárbara Vs. Perú, Sentencia de 1 de Septiembre de 2015 (Excepciones Preliminares, Fondo, Reparaciones y Costas); Voto Individual Disidente del Juez Eduardo Vio Grossi, Caso Wong Ho Wing Vs. Perú, Sentencia de 30 de junio de 2015 (Excepción Preliminar, Fondo, Reparaciones y Costas); Voto Individual Disidente del Juez Eduardo Vio Grossi, Caso Cruz Sánchez y otros Vs. Perú, Sentencia de 17 de abril de 2015 (Excepciones Preliminares, Fondo, Reparaciones y Costas); Voto Individual Disidente del Juez Eduardo Vio Grossi, Caso Liakat Ali Alibux Vs. Suriname, Sentencia de 30 de enero de 2014 (Excepciones Preliminares, Fondo, Reparaciones y Costas), y Voto Individual Disidente del Juez Eduardo Vio Grossi, Caso Díaz Peña Vs. Venezuela, Sentencia de 26 de junio de 2012 (Excepción Preliminar, Fondo, Reparaciones y Costas).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6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51B6" w:rsidRDefault="00D151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B6" w:rsidRDefault="00D15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B6" w:rsidRDefault="00D151B6">
    <w:pPr>
      <w:pStyle w:val="Header"/>
      <w:jc w:val="center"/>
    </w:pPr>
  </w:p>
  <w:p w:rsidR="00D151B6" w:rsidRDefault="00D15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47"/>
    <w:rsid w:val="001A2D23"/>
    <w:rsid w:val="00361343"/>
    <w:rsid w:val="003B3C49"/>
    <w:rsid w:val="00433A01"/>
    <w:rsid w:val="00546D66"/>
    <w:rsid w:val="007015A5"/>
    <w:rsid w:val="0074432D"/>
    <w:rsid w:val="00813255"/>
    <w:rsid w:val="008F096C"/>
    <w:rsid w:val="00973551"/>
    <w:rsid w:val="00A64DB3"/>
    <w:rsid w:val="00A973C4"/>
    <w:rsid w:val="00AD2543"/>
    <w:rsid w:val="00B06304"/>
    <w:rsid w:val="00C87547"/>
    <w:rsid w:val="00C94CB2"/>
    <w:rsid w:val="00D151B6"/>
    <w:rsid w:val="00FA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7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5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B6"/>
  </w:style>
  <w:style w:type="paragraph" w:styleId="Footer">
    <w:name w:val="footer"/>
    <w:basedOn w:val="Normal"/>
    <w:link w:val="FooterChar"/>
    <w:uiPriority w:val="99"/>
    <w:unhideWhenUsed/>
    <w:rsid w:val="00D1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7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5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B6"/>
  </w:style>
  <w:style w:type="paragraph" w:styleId="Footer">
    <w:name w:val="footer"/>
    <w:basedOn w:val="Normal"/>
    <w:link w:val="FooterChar"/>
    <w:uiPriority w:val="99"/>
    <w:unhideWhenUsed/>
    <w:rsid w:val="00D1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08AB-401E-4BBD-89CA-51861403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2143</Characters>
  <Application>Microsoft Office Word</Application>
  <DocSecurity>4</DocSecurity>
  <Lines>36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Corteidh</dc:creator>
  <cp:lastModifiedBy>Julliana Saborio</cp:lastModifiedBy>
  <cp:revision>2</cp:revision>
  <dcterms:created xsi:type="dcterms:W3CDTF">2017-01-10T19:25:00Z</dcterms:created>
  <dcterms:modified xsi:type="dcterms:W3CDTF">2017-01-10T19:25:00Z</dcterms:modified>
</cp:coreProperties>
</file>