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B2287" w14:textId="77777777" w:rsidR="00B1294C" w:rsidRDefault="00B1294C" w:rsidP="00EB7CE1">
      <w:pPr>
        <w:spacing w:after="0" w:line="240" w:lineRule="auto"/>
        <w:jc w:val="center"/>
        <w:rPr>
          <w:rFonts w:ascii="Verdana" w:hAnsi="Verdana"/>
          <w:b/>
          <w:sz w:val="20"/>
          <w:szCs w:val="20"/>
          <w:lang w:val="es-ES"/>
        </w:rPr>
      </w:pPr>
    </w:p>
    <w:p w14:paraId="4E7856E8" w14:textId="77777777" w:rsidR="00B1294C" w:rsidRDefault="00B1294C" w:rsidP="00EB7CE1">
      <w:pPr>
        <w:spacing w:after="0" w:line="240" w:lineRule="auto"/>
        <w:jc w:val="center"/>
        <w:rPr>
          <w:rFonts w:ascii="Verdana" w:hAnsi="Verdana"/>
          <w:b/>
          <w:sz w:val="20"/>
          <w:szCs w:val="20"/>
          <w:lang w:val="es-ES"/>
        </w:rPr>
      </w:pPr>
    </w:p>
    <w:p w14:paraId="79AACF28" w14:textId="77777777" w:rsidR="00B1294C" w:rsidRDefault="00B1294C" w:rsidP="00EB7CE1">
      <w:pPr>
        <w:spacing w:after="0" w:line="240" w:lineRule="auto"/>
        <w:jc w:val="center"/>
        <w:rPr>
          <w:rFonts w:ascii="Verdana" w:hAnsi="Verdana"/>
          <w:b/>
          <w:sz w:val="20"/>
          <w:szCs w:val="20"/>
          <w:lang w:val="es-ES"/>
        </w:rPr>
      </w:pPr>
    </w:p>
    <w:p w14:paraId="197E638C" w14:textId="77777777" w:rsidR="00D11EA9" w:rsidRPr="00CF7FE6" w:rsidRDefault="003C4700" w:rsidP="00EB7CE1">
      <w:pPr>
        <w:spacing w:after="0" w:line="240" w:lineRule="auto"/>
        <w:jc w:val="center"/>
        <w:rPr>
          <w:rFonts w:ascii="Verdana" w:hAnsi="Verdana"/>
          <w:b/>
          <w:sz w:val="20"/>
          <w:szCs w:val="20"/>
          <w:lang w:val="es-ES"/>
        </w:rPr>
      </w:pPr>
      <w:r w:rsidRPr="00CF7FE6">
        <w:rPr>
          <w:rFonts w:ascii="Verdana" w:hAnsi="Verdana"/>
          <w:b/>
          <w:sz w:val="20"/>
          <w:szCs w:val="20"/>
          <w:lang w:val="es-ES"/>
        </w:rPr>
        <w:t xml:space="preserve">VOTO PARCIALMENTE DISIDENTE DEL JUEZ </w:t>
      </w:r>
    </w:p>
    <w:p w14:paraId="20BDB6CC" w14:textId="77777777" w:rsidR="003C4700" w:rsidRPr="00CF7FE6" w:rsidRDefault="003C4700" w:rsidP="00EB7CE1">
      <w:pPr>
        <w:spacing w:after="0" w:line="240" w:lineRule="auto"/>
        <w:jc w:val="center"/>
        <w:rPr>
          <w:rFonts w:ascii="Verdana" w:hAnsi="Verdana"/>
          <w:b/>
          <w:sz w:val="20"/>
          <w:szCs w:val="20"/>
          <w:lang w:val="es-ES"/>
        </w:rPr>
      </w:pPr>
      <w:r w:rsidRPr="00CF7FE6">
        <w:rPr>
          <w:rFonts w:ascii="Verdana" w:hAnsi="Verdana"/>
          <w:b/>
          <w:sz w:val="20"/>
          <w:szCs w:val="20"/>
          <w:lang w:val="es-ES"/>
        </w:rPr>
        <w:t>EDUARDO VIO GROSSI,</w:t>
      </w:r>
    </w:p>
    <w:p w14:paraId="291A67C8" w14:textId="77777777" w:rsidR="003C4700" w:rsidRPr="00CF7FE6" w:rsidRDefault="003C4700" w:rsidP="00EB7CE1">
      <w:pPr>
        <w:spacing w:after="0" w:line="240" w:lineRule="auto"/>
        <w:jc w:val="center"/>
        <w:rPr>
          <w:rFonts w:ascii="Verdana" w:hAnsi="Verdana"/>
          <w:b/>
          <w:sz w:val="20"/>
          <w:szCs w:val="20"/>
          <w:lang w:val="es-ES"/>
        </w:rPr>
      </w:pPr>
      <w:r w:rsidRPr="00CF7FE6">
        <w:rPr>
          <w:rFonts w:ascii="Verdana" w:hAnsi="Verdana"/>
          <w:b/>
          <w:sz w:val="20"/>
          <w:szCs w:val="20"/>
          <w:lang w:val="es-ES"/>
        </w:rPr>
        <w:t>CORTE INTERAMERICANA DE DERECHOS HUMANOS,</w:t>
      </w:r>
    </w:p>
    <w:p w14:paraId="750C3BEB" w14:textId="77777777" w:rsidR="003C4700" w:rsidRPr="00CF7FE6" w:rsidRDefault="003C4700" w:rsidP="00EB7CE1">
      <w:pPr>
        <w:spacing w:after="0" w:line="240" w:lineRule="auto"/>
        <w:jc w:val="center"/>
        <w:rPr>
          <w:rFonts w:ascii="Verdana" w:hAnsi="Verdana"/>
          <w:b/>
          <w:sz w:val="20"/>
          <w:szCs w:val="20"/>
          <w:lang w:val="es-ES"/>
        </w:rPr>
      </w:pPr>
      <w:r w:rsidRPr="00CF7FE6">
        <w:rPr>
          <w:rFonts w:ascii="Verdana" w:hAnsi="Verdana"/>
          <w:b/>
          <w:sz w:val="20"/>
          <w:szCs w:val="20"/>
          <w:lang w:val="es-ES"/>
        </w:rPr>
        <w:t>CASO LAGOS DEL CAMPO VS. PERÚ,</w:t>
      </w:r>
    </w:p>
    <w:p w14:paraId="7163A586" w14:textId="77777777" w:rsidR="003C4700" w:rsidRPr="00CF7FE6" w:rsidRDefault="003C4700" w:rsidP="00EB7CE1">
      <w:pPr>
        <w:spacing w:after="0" w:line="240" w:lineRule="auto"/>
        <w:jc w:val="center"/>
        <w:rPr>
          <w:rFonts w:ascii="Verdana" w:hAnsi="Verdana"/>
          <w:b/>
          <w:sz w:val="20"/>
          <w:szCs w:val="20"/>
          <w:lang w:val="es-ES"/>
        </w:rPr>
      </w:pPr>
      <w:r w:rsidRPr="00CF7FE6">
        <w:rPr>
          <w:rFonts w:ascii="Verdana" w:hAnsi="Verdana"/>
          <w:b/>
          <w:sz w:val="20"/>
          <w:szCs w:val="20"/>
          <w:lang w:val="es-ES"/>
        </w:rPr>
        <w:t>SENTENCIA DE 31 DE AGOSTO DE 2017,</w:t>
      </w:r>
    </w:p>
    <w:p w14:paraId="16D1E8F6" w14:textId="77777777" w:rsidR="003C4700" w:rsidRPr="00CF7FE6" w:rsidRDefault="003C4700" w:rsidP="00EB7CE1">
      <w:pPr>
        <w:spacing w:after="0" w:line="240" w:lineRule="auto"/>
        <w:jc w:val="center"/>
        <w:rPr>
          <w:rFonts w:ascii="Verdana" w:hAnsi="Verdana"/>
          <w:b/>
          <w:sz w:val="20"/>
          <w:szCs w:val="20"/>
          <w:lang w:val="es-ES"/>
        </w:rPr>
      </w:pPr>
      <w:r w:rsidRPr="00CF7FE6">
        <w:rPr>
          <w:rFonts w:ascii="Verdana" w:hAnsi="Verdana"/>
          <w:b/>
          <w:sz w:val="20"/>
          <w:szCs w:val="20"/>
          <w:lang w:val="es-ES"/>
        </w:rPr>
        <w:t>(Excepciones Preliminares, Fondo, Reparaciones y Costas)</w:t>
      </w:r>
    </w:p>
    <w:p w14:paraId="0DE2F2C6" w14:textId="77777777" w:rsidR="004D00FC" w:rsidRDefault="004D00FC" w:rsidP="00EB7CE1">
      <w:pPr>
        <w:spacing w:after="0" w:line="240" w:lineRule="auto"/>
        <w:jc w:val="both"/>
        <w:rPr>
          <w:rFonts w:ascii="Verdana" w:hAnsi="Verdana"/>
          <w:b/>
          <w:sz w:val="20"/>
          <w:szCs w:val="20"/>
          <w:lang w:val="es-ES"/>
        </w:rPr>
      </w:pPr>
    </w:p>
    <w:p w14:paraId="079C9D3B" w14:textId="77777777" w:rsidR="00EB7CE1" w:rsidRPr="00CF7FE6" w:rsidRDefault="00EB7CE1" w:rsidP="00EB7CE1">
      <w:pPr>
        <w:spacing w:after="0" w:line="240" w:lineRule="auto"/>
        <w:jc w:val="both"/>
        <w:rPr>
          <w:rFonts w:ascii="Verdana" w:hAnsi="Verdana"/>
          <w:b/>
          <w:sz w:val="20"/>
          <w:szCs w:val="20"/>
          <w:lang w:val="es-ES"/>
        </w:rPr>
      </w:pPr>
    </w:p>
    <w:p w14:paraId="56883B65" w14:textId="77777777" w:rsidR="00FB723E" w:rsidRPr="00CF7FE6" w:rsidRDefault="00AC65DA" w:rsidP="00EB7CE1">
      <w:pPr>
        <w:spacing w:after="0" w:line="240" w:lineRule="auto"/>
        <w:jc w:val="both"/>
        <w:rPr>
          <w:rFonts w:ascii="Verdana" w:hAnsi="Verdana"/>
          <w:b/>
          <w:sz w:val="20"/>
          <w:szCs w:val="20"/>
          <w:lang w:val="es-ES"/>
        </w:rPr>
      </w:pPr>
      <w:r w:rsidRPr="00CF7FE6">
        <w:rPr>
          <w:rFonts w:ascii="Verdana" w:hAnsi="Verdana"/>
          <w:b/>
          <w:sz w:val="20"/>
          <w:szCs w:val="20"/>
          <w:lang w:val="es-ES"/>
        </w:rPr>
        <w:t>INTRODUCCIÓN</w:t>
      </w:r>
      <w:r w:rsidR="00FB723E" w:rsidRPr="00CF7FE6">
        <w:rPr>
          <w:rFonts w:ascii="Verdana" w:hAnsi="Verdana"/>
          <w:b/>
          <w:sz w:val="20"/>
          <w:szCs w:val="20"/>
          <w:lang w:val="es-ES"/>
        </w:rPr>
        <w:t>.</w:t>
      </w:r>
    </w:p>
    <w:p w14:paraId="435B64A3" w14:textId="77777777" w:rsidR="00273011" w:rsidRDefault="00273011" w:rsidP="00EB7CE1">
      <w:pPr>
        <w:spacing w:after="0" w:line="240" w:lineRule="auto"/>
        <w:jc w:val="both"/>
        <w:rPr>
          <w:rFonts w:ascii="Verdana" w:hAnsi="Verdana"/>
          <w:sz w:val="20"/>
          <w:szCs w:val="20"/>
          <w:lang w:val="es-ES"/>
        </w:rPr>
      </w:pPr>
    </w:p>
    <w:p w14:paraId="24309DFA" w14:textId="71521B2C" w:rsidR="00D11EA9" w:rsidRPr="00CF7FE6" w:rsidRDefault="00287F1B" w:rsidP="00EB7CE1">
      <w:pPr>
        <w:spacing w:after="0" w:line="240" w:lineRule="auto"/>
        <w:jc w:val="both"/>
        <w:rPr>
          <w:rFonts w:ascii="Verdana" w:hAnsi="Verdana"/>
          <w:sz w:val="20"/>
          <w:szCs w:val="20"/>
          <w:lang w:val="es-ES"/>
        </w:rPr>
      </w:pPr>
      <w:r w:rsidRPr="00CF7FE6">
        <w:rPr>
          <w:rFonts w:ascii="Verdana" w:hAnsi="Verdana"/>
          <w:sz w:val="20"/>
          <w:szCs w:val="20"/>
          <w:lang w:val="es-ES"/>
        </w:rPr>
        <w:t xml:space="preserve">Se emite el presente voto </w:t>
      </w:r>
      <w:r w:rsidR="00142B8C" w:rsidRPr="00CF7FE6">
        <w:rPr>
          <w:rFonts w:ascii="Verdana" w:hAnsi="Verdana"/>
          <w:sz w:val="20"/>
          <w:szCs w:val="20"/>
          <w:lang w:val="es-ES"/>
        </w:rPr>
        <w:t xml:space="preserve">parcialmente </w:t>
      </w:r>
      <w:r w:rsidRPr="00CF7FE6">
        <w:rPr>
          <w:rFonts w:ascii="Verdana" w:hAnsi="Verdana"/>
          <w:sz w:val="20"/>
          <w:szCs w:val="20"/>
          <w:lang w:val="es-ES"/>
        </w:rPr>
        <w:t>disidente</w:t>
      </w:r>
      <w:r w:rsidR="00C82E24" w:rsidRPr="00CF7FE6">
        <w:rPr>
          <w:rStyle w:val="FootnoteReference"/>
          <w:rFonts w:ascii="Verdana" w:hAnsi="Verdana"/>
          <w:sz w:val="20"/>
          <w:szCs w:val="20"/>
          <w:lang w:val="es-ES"/>
        </w:rPr>
        <w:footnoteReference w:id="1"/>
      </w:r>
      <w:r w:rsidRPr="00CF7FE6">
        <w:rPr>
          <w:rFonts w:ascii="Verdana" w:hAnsi="Verdana"/>
          <w:sz w:val="20"/>
          <w:szCs w:val="20"/>
          <w:lang w:val="es-ES"/>
        </w:rPr>
        <w:t xml:space="preserve"> respecto de la Sentencia del epígrafe</w:t>
      </w:r>
      <w:r w:rsidR="00FB723E" w:rsidRPr="00CF7FE6">
        <w:rPr>
          <w:rStyle w:val="FootnoteReference"/>
          <w:rFonts w:ascii="Verdana" w:hAnsi="Verdana"/>
          <w:sz w:val="20"/>
          <w:szCs w:val="20"/>
          <w:lang w:val="es-ES"/>
        </w:rPr>
        <w:footnoteReference w:id="2"/>
      </w:r>
      <w:r w:rsidRPr="00CF7FE6">
        <w:rPr>
          <w:rFonts w:ascii="Verdana" w:hAnsi="Verdana"/>
          <w:sz w:val="20"/>
          <w:szCs w:val="20"/>
          <w:lang w:val="es-ES"/>
        </w:rPr>
        <w:t>, por discrepar</w:t>
      </w:r>
      <w:r w:rsidR="00962D48">
        <w:rPr>
          <w:rFonts w:ascii="Verdana" w:hAnsi="Verdana"/>
          <w:sz w:val="20"/>
          <w:szCs w:val="20"/>
          <w:lang w:val="es-ES"/>
        </w:rPr>
        <w:t xml:space="preserve"> respecto de la </w:t>
      </w:r>
      <w:r w:rsidR="006569A1">
        <w:rPr>
          <w:rFonts w:ascii="Verdana" w:hAnsi="Verdana"/>
          <w:sz w:val="20"/>
          <w:szCs w:val="20"/>
          <w:lang w:val="es-ES"/>
        </w:rPr>
        <w:t>referencia</w:t>
      </w:r>
      <w:r w:rsidR="00AA438E" w:rsidRPr="00CF7FE6">
        <w:rPr>
          <w:rFonts w:ascii="Verdana" w:hAnsi="Verdana"/>
          <w:sz w:val="20"/>
          <w:szCs w:val="20"/>
          <w:lang w:val="es-ES"/>
        </w:rPr>
        <w:t xml:space="preserve"> </w:t>
      </w:r>
      <w:r w:rsidR="00EA3D5C" w:rsidRPr="00CF7FE6">
        <w:rPr>
          <w:rFonts w:ascii="Verdana" w:hAnsi="Verdana"/>
          <w:sz w:val="20"/>
          <w:szCs w:val="20"/>
          <w:lang w:val="es-ES"/>
        </w:rPr>
        <w:t xml:space="preserve">que hace </w:t>
      </w:r>
      <w:r w:rsidR="00AA438E" w:rsidRPr="00CF7FE6">
        <w:rPr>
          <w:rFonts w:ascii="Verdana" w:hAnsi="Verdana"/>
          <w:sz w:val="20"/>
          <w:szCs w:val="20"/>
          <w:lang w:val="es-ES"/>
        </w:rPr>
        <w:t xml:space="preserve">al artículo </w:t>
      </w:r>
      <w:r w:rsidRPr="00CF7FE6">
        <w:rPr>
          <w:rFonts w:ascii="Verdana" w:hAnsi="Verdana"/>
          <w:sz w:val="20"/>
          <w:szCs w:val="20"/>
          <w:lang w:val="es-ES"/>
        </w:rPr>
        <w:t>26</w:t>
      </w:r>
      <w:r w:rsidR="00F80D26" w:rsidRPr="00CF7FE6">
        <w:rPr>
          <w:rStyle w:val="FootnoteReference"/>
          <w:rFonts w:ascii="Verdana" w:hAnsi="Verdana"/>
          <w:sz w:val="20"/>
          <w:szCs w:val="20"/>
          <w:lang w:val="es-ES"/>
        </w:rPr>
        <w:footnoteReference w:id="3"/>
      </w:r>
      <w:r w:rsidRPr="00CF7FE6">
        <w:rPr>
          <w:rFonts w:ascii="Verdana" w:hAnsi="Verdana"/>
          <w:sz w:val="20"/>
          <w:szCs w:val="20"/>
          <w:lang w:val="es-ES"/>
        </w:rPr>
        <w:t xml:space="preserve"> de la Convención Americana sobre Derechos Humanos</w:t>
      </w:r>
      <w:r w:rsidR="00EA3D5C" w:rsidRPr="00CF7FE6">
        <w:rPr>
          <w:rStyle w:val="FootnoteReference"/>
          <w:rFonts w:ascii="Verdana" w:hAnsi="Verdana"/>
          <w:sz w:val="20"/>
          <w:szCs w:val="20"/>
          <w:lang w:val="es-ES"/>
        </w:rPr>
        <w:footnoteReference w:id="4"/>
      </w:r>
      <w:r w:rsidRPr="00CF7FE6">
        <w:rPr>
          <w:rFonts w:ascii="Verdana" w:hAnsi="Verdana"/>
          <w:sz w:val="20"/>
          <w:szCs w:val="20"/>
          <w:lang w:val="es-ES"/>
        </w:rPr>
        <w:t xml:space="preserve"> como fundamento de</w:t>
      </w:r>
      <w:r w:rsidR="00EA3D5C" w:rsidRPr="00CF7FE6">
        <w:rPr>
          <w:rFonts w:ascii="Verdana" w:hAnsi="Verdana"/>
          <w:sz w:val="20"/>
          <w:szCs w:val="20"/>
          <w:lang w:val="es-ES"/>
        </w:rPr>
        <w:t xml:space="preserve"> su</w:t>
      </w:r>
      <w:r w:rsidR="00142B8C" w:rsidRPr="00CF7FE6">
        <w:rPr>
          <w:rFonts w:ascii="Verdana" w:hAnsi="Verdana"/>
          <w:sz w:val="20"/>
          <w:szCs w:val="20"/>
          <w:lang w:val="es-ES"/>
        </w:rPr>
        <w:t>s</w:t>
      </w:r>
      <w:r w:rsidR="00AA438E" w:rsidRPr="00CF7FE6">
        <w:rPr>
          <w:rFonts w:ascii="Verdana" w:hAnsi="Verdana"/>
          <w:sz w:val="20"/>
          <w:szCs w:val="20"/>
          <w:lang w:val="es-ES"/>
        </w:rPr>
        <w:t xml:space="preserve"> Resolutivo</w:t>
      </w:r>
      <w:r w:rsidR="00142B8C" w:rsidRPr="00CF7FE6">
        <w:rPr>
          <w:rFonts w:ascii="Verdana" w:hAnsi="Verdana"/>
          <w:sz w:val="20"/>
          <w:szCs w:val="20"/>
          <w:lang w:val="es-ES"/>
        </w:rPr>
        <w:t>s</w:t>
      </w:r>
      <w:r w:rsidR="00EB7CE1">
        <w:rPr>
          <w:rFonts w:ascii="Verdana" w:hAnsi="Verdana"/>
          <w:sz w:val="20"/>
          <w:szCs w:val="20"/>
          <w:lang w:val="es-ES"/>
        </w:rPr>
        <w:t xml:space="preserve"> N°</w:t>
      </w:r>
      <w:r w:rsidR="00142B8C" w:rsidRPr="00CF7FE6">
        <w:rPr>
          <w:rFonts w:ascii="Verdana" w:hAnsi="Verdana"/>
          <w:sz w:val="20"/>
          <w:szCs w:val="20"/>
          <w:lang w:val="es-ES"/>
        </w:rPr>
        <w:t xml:space="preserve"> 5</w:t>
      </w:r>
      <w:r w:rsidR="00142B8C" w:rsidRPr="00CF7FE6">
        <w:rPr>
          <w:rStyle w:val="FootnoteReference"/>
          <w:rFonts w:ascii="Verdana" w:hAnsi="Verdana"/>
          <w:sz w:val="20"/>
          <w:szCs w:val="20"/>
          <w:lang w:val="es-ES"/>
        </w:rPr>
        <w:footnoteReference w:id="5"/>
      </w:r>
      <w:r w:rsidR="00142B8C" w:rsidRPr="00CF7FE6">
        <w:rPr>
          <w:rFonts w:ascii="Verdana" w:hAnsi="Verdana"/>
          <w:sz w:val="20"/>
          <w:szCs w:val="20"/>
          <w:lang w:val="es-ES"/>
        </w:rPr>
        <w:t xml:space="preserve"> y 6</w:t>
      </w:r>
      <w:r w:rsidR="00142B8C" w:rsidRPr="00CF7FE6">
        <w:rPr>
          <w:rStyle w:val="FootnoteReference"/>
          <w:rFonts w:ascii="Verdana" w:hAnsi="Verdana"/>
          <w:sz w:val="20"/>
          <w:szCs w:val="20"/>
          <w:lang w:val="es-ES"/>
        </w:rPr>
        <w:footnoteReference w:id="6"/>
      </w:r>
      <w:r w:rsidR="00EA3D5C" w:rsidRPr="00CF7FE6">
        <w:rPr>
          <w:rFonts w:ascii="Verdana" w:hAnsi="Verdana"/>
          <w:sz w:val="20"/>
          <w:szCs w:val="20"/>
          <w:lang w:val="es-ES"/>
        </w:rPr>
        <w:t xml:space="preserve">, </w:t>
      </w:r>
      <w:r w:rsidR="00F230E0" w:rsidRPr="00CF7FE6">
        <w:rPr>
          <w:rFonts w:ascii="Verdana" w:hAnsi="Verdana"/>
          <w:sz w:val="20"/>
          <w:szCs w:val="20"/>
          <w:lang w:val="es-ES"/>
        </w:rPr>
        <w:t>por los</w:t>
      </w:r>
      <w:r w:rsidR="00AA438E" w:rsidRPr="00CF7FE6">
        <w:rPr>
          <w:rFonts w:ascii="Verdana" w:hAnsi="Verdana"/>
          <w:sz w:val="20"/>
          <w:szCs w:val="20"/>
          <w:lang w:val="es-ES"/>
        </w:rPr>
        <w:t xml:space="preserve"> que se</w:t>
      </w:r>
      <w:r w:rsidR="00D11EA9" w:rsidRPr="00CF7FE6">
        <w:rPr>
          <w:rFonts w:ascii="Verdana" w:hAnsi="Verdana"/>
          <w:sz w:val="20"/>
          <w:szCs w:val="20"/>
          <w:lang w:val="es-ES"/>
        </w:rPr>
        <w:t xml:space="preserve"> declara que </w:t>
      </w:r>
      <w:r w:rsidR="00161813" w:rsidRPr="00161813">
        <w:rPr>
          <w:rFonts w:ascii="Verdana" w:hAnsi="Verdana"/>
          <w:i/>
          <w:sz w:val="20"/>
          <w:szCs w:val="20"/>
          <w:lang w:val="es-ES"/>
        </w:rPr>
        <w:t>“[</w:t>
      </w:r>
      <w:r w:rsidR="00AA438E" w:rsidRPr="00161813">
        <w:rPr>
          <w:rFonts w:ascii="Verdana" w:hAnsi="Verdana"/>
          <w:i/>
          <w:sz w:val="20"/>
          <w:szCs w:val="20"/>
          <w:lang w:val="es-ES"/>
        </w:rPr>
        <w:t>e</w:t>
      </w:r>
      <w:r w:rsidR="00161813" w:rsidRPr="00161813">
        <w:rPr>
          <w:rFonts w:ascii="Verdana" w:hAnsi="Verdana"/>
          <w:i/>
          <w:sz w:val="20"/>
          <w:szCs w:val="20"/>
          <w:lang w:val="es-ES"/>
        </w:rPr>
        <w:t>]</w:t>
      </w:r>
      <w:r w:rsidR="00AA438E" w:rsidRPr="00161813">
        <w:rPr>
          <w:rFonts w:ascii="Verdana" w:hAnsi="Verdana"/>
          <w:i/>
          <w:sz w:val="20"/>
          <w:szCs w:val="20"/>
          <w:lang w:val="es-ES"/>
        </w:rPr>
        <w:t>l</w:t>
      </w:r>
      <w:r w:rsidR="00AA438E" w:rsidRPr="00CF7FE6">
        <w:rPr>
          <w:rFonts w:ascii="Verdana" w:hAnsi="Verdana"/>
          <w:i/>
          <w:sz w:val="20"/>
          <w:szCs w:val="20"/>
          <w:lang w:val="es-ES"/>
        </w:rPr>
        <w:t xml:space="preserve"> Estado es responsable por la violación </w:t>
      </w:r>
      <w:r w:rsidR="00142B8C" w:rsidRPr="00CF7FE6">
        <w:rPr>
          <w:rFonts w:ascii="Verdana" w:hAnsi="Verdana"/>
          <w:i/>
          <w:sz w:val="20"/>
          <w:szCs w:val="20"/>
          <w:lang w:val="es-ES"/>
        </w:rPr>
        <w:t xml:space="preserve">al </w:t>
      </w:r>
      <w:r w:rsidR="00AA438E" w:rsidRPr="00CF7FE6">
        <w:rPr>
          <w:rFonts w:ascii="Verdana" w:hAnsi="Verdana"/>
          <w:i/>
          <w:sz w:val="20"/>
          <w:szCs w:val="20"/>
          <w:lang w:val="es-ES"/>
        </w:rPr>
        <w:t>derecho a la estabilidad en el empleo</w:t>
      </w:r>
      <w:r w:rsidR="004D63F5" w:rsidRPr="00CF7FE6">
        <w:rPr>
          <w:rFonts w:ascii="Verdana" w:hAnsi="Verdana"/>
          <w:sz w:val="20"/>
          <w:szCs w:val="20"/>
          <w:lang w:val="es-ES"/>
        </w:rPr>
        <w:t>”</w:t>
      </w:r>
      <w:r w:rsidR="00142B8C" w:rsidRPr="00CF7FE6">
        <w:rPr>
          <w:rFonts w:ascii="Verdana" w:hAnsi="Verdana"/>
          <w:sz w:val="20"/>
          <w:szCs w:val="20"/>
          <w:lang w:val="es-ES"/>
        </w:rPr>
        <w:t xml:space="preserve"> y “</w:t>
      </w:r>
      <w:r w:rsidR="00142B8C" w:rsidRPr="00CF7FE6">
        <w:rPr>
          <w:rFonts w:ascii="Verdana" w:hAnsi="Verdana"/>
          <w:i/>
          <w:sz w:val="20"/>
          <w:szCs w:val="20"/>
          <w:lang w:val="es-ES"/>
        </w:rPr>
        <w:t>al derecho a la libertad de asociación”.</w:t>
      </w:r>
      <w:r w:rsidR="00AA438E" w:rsidRPr="00CF7FE6">
        <w:rPr>
          <w:rFonts w:ascii="Verdana" w:hAnsi="Verdana"/>
          <w:sz w:val="20"/>
          <w:szCs w:val="20"/>
          <w:lang w:val="es-ES"/>
        </w:rPr>
        <w:t xml:space="preserve"> </w:t>
      </w:r>
    </w:p>
    <w:p w14:paraId="782954B6" w14:textId="77777777" w:rsidR="00D11EA9" w:rsidRDefault="00D11EA9" w:rsidP="00EB7CE1">
      <w:pPr>
        <w:spacing w:after="0" w:line="240" w:lineRule="auto"/>
        <w:jc w:val="both"/>
        <w:rPr>
          <w:rFonts w:ascii="Verdana" w:hAnsi="Verdana"/>
          <w:sz w:val="20"/>
          <w:szCs w:val="20"/>
          <w:lang w:val="es-ES"/>
        </w:rPr>
      </w:pPr>
    </w:p>
    <w:p w14:paraId="2806C3F8" w14:textId="77777777" w:rsidR="00B1294C" w:rsidRDefault="00B1294C" w:rsidP="00EB7CE1">
      <w:pPr>
        <w:spacing w:after="0" w:line="240" w:lineRule="auto"/>
        <w:jc w:val="both"/>
        <w:rPr>
          <w:rFonts w:ascii="Verdana" w:hAnsi="Verdana"/>
          <w:sz w:val="20"/>
          <w:szCs w:val="20"/>
          <w:lang w:val="es-ES"/>
        </w:rPr>
      </w:pPr>
    </w:p>
    <w:p w14:paraId="2698CFD8" w14:textId="77777777" w:rsidR="00B1294C" w:rsidRDefault="00B1294C" w:rsidP="00EB7CE1">
      <w:pPr>
        <w:spacing w:after="0" w:line="240" w:lineRule="auto"/>
        <w:jc w:val="both"/>
        <w:rPr>
          <w:rFonts w:ascii="Verdana" w:hAnsi="Verdana"/>
          <w:sz w:val="20"/>
          <w:szCs w:val="20"/>
          <w:lang w:val="es-ES"/>
        </w:rPr>
      </w:pPr>
    </w:p>
    <w:p w14:paraId="4F6A67A3" w14:textId="77777777" w:rsidR="00B1294C" w:rsidRDefault="00B1294C" w:rsidP="00EB7CE1">
      <w:pPr>
        <w:spacing w:after="0" w:line="240" w:lineRule="auto"/>
        <w:jc w:val="both"/>
        <w:rPr>
          <w:rFonts w:ascii="Verdana" w:hAnsi="Verdana"/>
          <w:sz w:val="20"/>
          <w:szCs w:val="20"/>
          <w:lang w:val="es-ES"/>
        </w:rPr>
      </w:pPr>
    </w:p>
    <w:p w14:paraId="4016ADB5" w14:textId="77777777" w:rsidR="00B1294C" w:rsidRDefault="00B1294C" w:rsidP="00EB7CE1">
      <w:pPr>
        <w:spacing w:after="0" w:line="240" w:lineRule="auto"/>
        <w:jc w:val="both"/>
        <w:rPr>
          <w:rFonts w:ascii="Verdana" w:hAnsi="Verdana"/>
          <w:sz w:val="20"/>
          <w:szCs w:val="20"/>
          <w:lang w:val="es-ES"/>
        </w:rPr>
      </w:pPr>
    </w:p>
    <w:p w14:paraId="4112DC42" w14:textId="77777777" w:rsidR="00B1294C" w:rsidRDefault="00B1294C" w:rsidP="00EB7CE1">
      <w:pPr>
        <w:spacing w:after="0" w:line="240" w:lineRule="auto"/>
        <w:jc w:val="both"/>
        <w:rPr>
          <w:rFonts w:ascii="Verdana" w:hAnsi="Verdana"/>
          <w:sz w:val="20"/>
          <w:szCs w:val="20"/>
          <w:lang w:val="es-ES"/>
        </w:rPr>
      </w:pPr>
    </w:p>
    <w:p w14:paraId="0B98B236" w14:textId="77777777" w:rsidR="00B1294C" w:rsidRDefault="00B1294C" w:rsidP="00EB7CE1">
      <w:pPr>
        <w:spacing w:after="0" w:line="240" w:lineRule="auto"/>
        <w:jc w:val="both"/>
        <w:rPr>
          <w:rFonts w:ascii="Verdana" w:hAnsi="Verdana"/>
          <w:sz w:val="20"/>
          <w:szCs w:val="20"/>
          <w:lang w:val="es-ES"/>
        </w:rPr>
      </w:pPr>
    </w:p>
    <w:p w14:paraId="64A3C29A" w14:textId="77777777" w:rsidR="00FB723E" w:rsidRPr="00273011" w:rsidRDefault="00FB723E" w:rsidP="00EB7CE1">
      <w:pPr>
        <w:pStyle w:val="ListParagraph"/>
        <w:numPr>
          <w:ilvl w:val="0"/>
          <w:numId w:val="11"/>
        </w:numPr>
        <w:spacing w:after="0" w:line="240" w:lineRule="auto"/>
        <w:jc w:val="both"/>
        <w:rPr>
          <w:rFonts w:ascii="Verdana" w:hAnsi="Verdana"/>
          <w:b/>
          <w:sz w:val="20"/>
          <w:szCs w:val="20"/>
          <w:lang w:val="es-ES"/>
        </w:rPr>
      </w:pPr>
      <w:r w:rsidRPr="00273011">
        <w:rPr>
          <w:rFonts w:ascii="Verdana" w:hAnsi="Verdana"/>
          <w:b/>
          <w:sz w:val="20"/>
          <w:szCs w:val="20"/>
          <w:lang w:val="es-ES"/>
        </w:rPr>
        <w:lastRenderedPageBreak/>
        <w:t>Observaciones preliminares.</w:t>
      </w:r>
    </w:p>
    <w:p w14:paraId="796D6AC7" w14:textId="77777777" w:rsidR="000A2590" w:rsidRPr="00CF7FE6" w:rsidRDefault="000A2590" w:rsidP="00EB7CE1">
      <w:pPr>
        <w:spacing w:after="0" w:line="240" w:lineRule="auto"/>
        <w:jc w:val="both"/>
        <w:rPr>
          <w:rFonts w:ascii="Verdana" w:hAnsi="Verdana"/>
          <w:b/>
          <w:sz w:val="20"/>
          <w:szCs w:val="20"/>
          <w:lang w:val="es-ES"/>
        </w:rPr>
      </w:pPr>
    </w:p>
    <w:p w14:paraId="75A65684" w14:textId="77777777" w:rsidR="0072562F" w:rsidRDefault="00287F1B" w:rsidP="00EB7CE1">
      <w:pPr>
        <w:spacing w:after="0" w:line="240" w:lineRule="auto"/>
        <w:jc w:val="both"/>
        <w:rPr>
          <w:rFonts w:ascii="Verdana" w:hAnsi="Verdana"/>
          <w:sz w:val="20"/>
          <w:szCs w:val="20"/>
          <w:lang w:val="es-ES"/>
        </w:rPr>
      </w:pPr>
      <w:r w:rsidRPr="00CF7FE6">
        <w:rPr>
          <w:rFonts w:ascii="Verdana" w:hAnsi="Verdana"/>
          <w:sz w:val="20"/>
          <w:szCs w:val="20"/>
          <w:lang w:val="es-ES"/>
        </w:rPr>
        <w:t>Ciertamente, este parecer se formula con pleno y absoluto respeto d</w:t>
      </w:r>
      <w:r w:rsidR="0011348A" w:rsidRPr="00CF7FE6">
        <w:rPr>
          <w:rFonts w:ascii="Verdana" w:hAnsi="Verdana"/>
          <w:sz w:val="20"/>
          <w:szCs w:val="20"/>
          <w:lang w:val="es-ES"/>
        </w:rPr>
        <w:t xml:space="preserve">e lo resuelto </w:t>
      </w:r>
      <w:r w:rsidR="00142B8C" w:rsidRPr="00CF7FE6">
        <w:rPr>
          <w:rFonts w:ascii="Verdana" w:hAnsi="Verdana"/>
          <w:sz w:val="20"/>
          <w:szCs w:val="20"/>
          <w:lang w:val="es-ES"/>
        </w:rPr>
        <w:t xml:space="preserve">en autos </w:t>
      </w:r>
      <w:r w:rsidR="0011348A" w:rsidRPr="00CF7FE6">
        <w:rPr>
          <w:rFonts w:ascii="Verdana" w:hAnsi="Verdana"/>
          <w:sz w:val="20"/>
          <w:szCs w:val="20"/>
          <w:lang w:val="es-ES"/>
        </w:rPr>
        <w:t xml:space="preserve">por </w:t>
      </w:r>
      <w:r w:rsidRPr="00CF7FE6">
        <w:rPr>
          <w:rFonts w:ascii="Verdana" w:hAnsi="Verdana"/>
          <w:sz w:val="20"/>
          <w:szCs w:val="20"/>
          <w:lang w:val="es-ES"/>
        </w:rPr>
        <w:t>la Corte Interamericana de Derechos Humanos</w:t>
      </w:r>
      <w:r w:rsidR="00EA3D5C" w:rsidRPr="00CF7FE6">
        <w:rPr>
          <w:rStyle w:val="FootnoteReference"/>
          <w:rFonts w:ascii="Verdana" w:hAnsi="Verdana"/>
          <w:sz w:val="20"/>
          <w:szCs w:val="20"/>
          <w:lang w:val="es-ES"/>
        </w:rPr>
        <w:footnoteReference w:id="7"/>
      </w:r>
      <w:r w:rsidRPr="00CF7FE6">
        <w:rPr>
          <w:rFonts w:ascii="Verdana" w:hAnsi="Verdana"/>
          <w:sz w:val="20"/>
          <w:szCs w:val="20"/>
          <w:lang w:val="es-ES"/>
        </w:rPr>
        <w:t xml:space="preserve"> y que, por ende, debe ser</w:t>
      </w:r>
      <w:r w:rsidR="000158F2" w:rsidRPr="00CF7FE6">
        <w:rPr>
          <w:rFonts w:ascii="Verdana" w:hAnsi="Verdana"/>
          <w:sz w:val="20"/>
          <w:szCs w:val="20"/>
          <w:lang w:val="es-ES"/>
        </w:rPr>
        <w:t xml:space="preserve"> acatado</w:t>
      </w:r>
      <w:r w:rsidRPr="00CF7FE6">
        <w:rPr>
          <w:rFonts w:ascii="Verdana" w:hAnsi="Verdana"/>
          <w:sz w:val="20"/>
          <w:szCs w:val="20"/>
          <w:lang w:val="es-ES"/>
        </w:rPr>
        <w:t>. El presente escrito no puede, por tanto, ser interpretado</w:t>
      </w:r>
      <w:r w:rsidR="00EA3D5C" w:rsidRPr="00CF7FE6">
        <w:rPr>
          <w:rFonts w:ascii="Verdana" w:hAnsi="Verdana"/>
          <w:sz w:val="20"/>
          <w:szCs w:val="20"/>
          <w:lang w:val="es-ES"/>
        </w:rPr>
        <w:t>,</w:t>
      </w:r>
      <w:r w:rsidRPr="00CF7FE6">
        <w:rPr>
          <w:rFonts w:ascii="Verdana" w:hAnsi="Verdana"/>
          <w:sz w:val="20"/>
          <w:szCs w:val="20"/>
          <w:lang w:val="es-ES"/>
        </w:rPr>
        <w:t xml:space="preserve"> en modo alguno</w:t>
      </w:r>
      <w:r w:rsidR="00EA3D5C" w:rsidRPr="00CF7FE6">
        <w:rPr>
          <w:rFonts w:ascii="Verdana" w:hAnsi="Verdana"/>
          <w:sz w:val="20"/>
          <w:szCs w:val="20"/>
          <w:lang w:val="es-ES"/>
        </w:rPr>
        <w:t>,</w:t>
      </w:r>
      <w:r w:rsidR="007D1A04">
        <w:rPr>
          <w:rFonts w:ascii="Verdana" w:hAnsi="Verdana"/>
          <w:sz w:val="20"/>
          <w:szCs w:val="20"/>
          <w:lang w:val="es-ES"/>
        </w:rPr>
        <w:t xml:space="preserve"> como restando</w:t>
      </w:r>
      <w:r w:rsidRPr="00CF7FE6">
        <w:rPr>
          <w:rFonts w:ascii="Verdana" w:hAnsi="Verdana"/>
          <w:sz w:val="20"/>
          <w:szCs w:val="20"/>
          <w:lang w:val="es-ES"/>
        </w:rPr>
        <w:t xml:space="preserve"> legitimidad a la </w:t>
      </w:r>
      <w:r w:rsidR="00142B8C" w:rsidRPr="00CF7FE6">
        <w:rPr>
          <w:rFonts w:ascii="Verdana" w:hAnsi="Verdana"/>
          <w:sz w:val="20"/>
          <w:szCs w:val="20"/>
          <w:lang w:val="es-ES"/>
        </w:rPr>
        <w:t>decisión adoptada en la presente causa</w:t>
      </w:r>
      <w:r w:rsidR="0072562F" w:rsidRPr="00CF7FE6">
        <w:rPr>
          <w:rFonts w:ascii="Verdana" w:hAnsi="Verdana"/>
          <w:sz w:val="20"/>
          <w:szCs w:val="20"/>
          <w:lang w:val="es-ES"/>
        </w:rPr>
        <w:t>.</w:t>
      </w:r>
      <w:r w:rsidR="00C1532A">
        <w:rPr>
          <w:rFonts w:ascii="Verdana" w:hAnsi="Verdana"/>
          <w:sz w:val="20"/>
          <w:szCs w:val="20"/>
          <w:lang w:val="es-ES"/>
        </w:rPr>
        <w:t xml:space="preserve"> Y es que </w:t>
      </w:r>
      <w:r w:rsidR="008E2954">
        <w:rPr>
          <w:rFonts w:ascii="Verdana" w:hAnsi="Verdana"/>
          <w:sz w:val="20"/>
          <w:szCs w:val="20"/>
          <w:lang w:val="es-ES"/>
        </w:rPr>
        <w:t xml:space="preserve">aquél </w:t>
      </w:r>
      <w:r w:rsidR="00C1532A">
        <w:rPr>
          <w:rFonts w:ascii="Verdana" w:hAnsi="Verdana"/>
          <w:sz w:val="20"/>
          <w:szCs w:val="20"/>
          <w:lang w:val="es-ES"/>
        </w:rPr>
        <w:t xml:space="preserve">no solo constituye el ejercicio de un derecho, </w:t>
      </w:r>
      <w:r w:rsidR="00962D48">
        <w:rPr>
          <w:rFonts w:ascii="Verdana" w:hAnsi="Verdana"/>
          <w:sz w:val="20"/>
          <w:szCs w:val="20"/>
          <w:lang w:val="es-ES"/>
        </w:rPr>
        <w:t xml:space="preserve">sino </w:t>
      </w:r>
      <w:r w:rsidR="00C1532A">
        <w:rPr>
          <w:rFonts w:ascii="Verdana" w:hAnsi="Verdana"/>
          <w:sz w:val="20"/>
          <w:szCs w:val="20"/>
          <w:lang w:val="es-ES"/>
        </w:rPr>
        <w:t xml:space="preserve">también el </w:t>
      </w:r>
      <w:r w:rsidR="008E2954">
        <w:rPr>
          <w:rFonts w:ascii="Verdana" w:hAnsi="Verdana"/>
          <w:sz w:val="20"/>
          <w:szCs w:val="20"/>
          <w:lang w:val="es-ES"/>
        </w:rPr>
        <w:t xml:space="preserve">cumplimiento </w:t>
      </w:r>
      <w:r w:rsidR="00C1532A">
        <w:rPr>
          <w:rFonts w:ascii="Verdana" w:hAnsi="Verdana"/>
          <w:sz w:val="20"/>
          <w:szCs w:val="20"/>
          <w:lang w:val="es-ES"/>
        </w:rPr>
        <w:t xml:space="preserve">de un deber, cual es, contribuir a la mejor comprensión </w:t>
      </w:r>
      <w:r w:rsidR="004641DD">
        <w:rPr>
          <w:rFonts w:ascii="Verdana" w:hAnsi="Verdana"/>
          <w:sz w:val="20"/>
          <w:szCs w:val="20"/>
          <w:lang w:val="es-ES"/>
        </w:rPr>
        <w:t>de la función asignada a la Corte</w:t>
      </w:r>
      <w:r w:rsidR="00C1532A">
        <w:rPr>
          <w:rFonts w:ascii="Verdana" w:hAnsi="Verdana"/>
          <w:sz w:val="20"/>
          <w:szCs w:val="20"/>
          <w:lang w:val="es-ES"/>
        </w:rPr>
        <w:t xml:space="preserve">. </w:t>
      </w:r>
    </w:p>
    <w:p w14:paraId="0951FA52" w14:textId="77777777" w:rsidR="007D1A04" w:rsidRDefault="007D1A04" w:rsidP="00EB7CE1">
      <w:pPr>
        <w:spacing w:after="0" w:line="240" w:lineRule="auto"/>
        <w:jc w:val="both"/>
        <w:rPr>
          <w:rFonts w:ascii="Verdana" w:hAnsi="Verdana"/>
          <w:sz w:val="20"/>
          <w:szCs w:val="20"/>
          <w:lang w:val="es-ES"/>
        </w:rPr>
      </w:pPr>
    </w:p>
    <w:p w14:paraId="28FCD2B7" w14:textId="77777777" w:rsidR="007D1A04" w:rsidRPr="00CF7FE6" w:rsidRDefault="00C1532A" w:rsidP="00EB7CE1">
      <w:pPr>
        <w:spacing w:after="0" w:line="240" w:lineRule="auto"/>
        <w:jc w:val="both"/>
        <w:rPr>
          <w:rFonts w:ascii="Verdana" w:hAnsi="Verdana"/>
          <w:sz w:val="20"/>
          <w:szCs w:val="20"/>
          <w:lang w:val="es-ES"/>
        </w:rPr>
      </w:pPr>
      <w:r>
        <w:rPr>
          <w:rFonts w:ascii="Verdana" w:hAnsi="Verdana"/>
          <w:sz w:val="20"/>
          <w:szCs w:val="20"/>
          <w:lang w:val="es-ES"/>
        </w:rPr>
        <w:t>En tal perspectiva</w:t>
      </w:r>
      <w:r w:rsidR="007D1A04">
        <w:rPr>
          <w:rFonts w:ascii="Verdana" w:hAnsi="Verdana"/>
          <w:sz w:val="20"/>
          <w:szCs w:val="20"/>
          <w:lang w:val="es-ES"/>
        </w:rPr>
        <w:t xml:space="preserve">, se debe </w:t>
      </w:r>
      <w:r w:rsidR="007D1A04" w:rsidRPr="007D1A04">
        <w:rPr>
          <w:rFonts w:ascii="Verdana" w:hAnsi="Verdana"/>
          <w:sz w:val="20"/>
          <w:szCs w:val="20"/>
          <w:lang w:val="es-ES"/>
        </w:rPr>
        <w:t>resaltar que el presente voto, como los demás emitidos por los jueces en éste y otros procesos, son demo</w:t>
      </w:r>
      <w:r w:rsidR="007D1A04">
        <w:rPr>
          <w:rFonts w:ascii="Verdana" w:hAnsi="Verdana"/>
          <w:sz w:val="20"/>
          <w:szCs w:val="20"/>
          <w:lang w:val="es-ES"/>
        </w:rPr>
        <w:t xml:space="preserve">stración evidente del diálogo y </w:t>
      </w:r>
      <w:r w:rsidR="007D1A04" w:rsidRPr="007D1A04">
        <w:rPr>
          <w:rFonts w:ascii="Verdana" w:hAnsi="Verdana"/>
          <w:sz w:val="20"/>
          <w:szCs w:val="20"/>
          <w:lang w:val="es-ES"/>
        </w:rPr>
        <w:t>de la diversidad de par</w:t>
      </w:r>
      <w:r w:rsidR="007D1A04">
        <w:rPr>
          <w:rFonts w:ascii="Verdana" w:hAnsi="Verdana"/>
          <w:sz w:val="20"/>
          <w:szCs w:val="20"/>
          <w:lang w:val="es-ES"/>
        </w:rPr>
        <w:t xml:space="preserve">eceres que existe en la Corte, así como </w:t>
      </w:r>
      <w:r w:rsidR="005D5A7D">
        <w:rPr>
          <w:rFonts w:ascii="Verdana" w:hAnsi="Verdana"/>
          <w:sz w:val="20"/>
          <w:szCs w:val="20"/>
          <w:lang w:val="es-ES"/>
        </w:rPr>
        <w:t xml:space="preserve">de la deferente consideración </w:t>
      </w:r>
      <w:r w:rsidR="007D1A04" w:rsidRPr="007D1A04">
        <w:rPr>
          <w:rFonts w:ascii="Verdana" w:hAnsi="Verdana"/>
          <w:sz w:val="20"/>
          <w:szCs w:val="20"/>
          <w:lang w:val="es-ES"/>
        </w:rPr>
        <w:t>que se brindan sus integrantes, todo lo cua</w:t>
      </w:r>
      <w:r w:rsidR="007D1A04">
        <w:rPr>
          <w:rFonts w:ascii="Verdana" w:hAnsi="Verdana"/>
          <w:sz w:val="20"/>
          <w:szCs w:val="20"/>
          <w:lang w:val="es-ES"/>
        </w:rPr>
        <w:t>l, sin duda, enriquece</w:t>
      </w:r>
      <w:r w:rsidR="007D1A04" w:rsidRPr="007D1A04">
        <w:rPr>
          <w:rFonts w:ascii="Verdana" w:hAnsi="Verdana"/>
          <w:sz w:val="20"/>
          <w:szCs w:val="20"/>
          <w:lang w:val="es-ES"/>
        </w:rPr>
        <w:t xml:space="preserve"> la delicada y trascendental labor que les ha sido encomendada a aquella.</w:t>
      </w:r>
    </w:p>
    <w:p w14:paraId="062C6F6E" w14:textId="77777777" w:rsidR="00D11EA9" w:rsidRPr="00CF7FE6" w:rsidRDefault="00D11EA9" w:rsidP="00EB7CE1">
      <w:pPr>
        <w:spacing w:after="0" w:line="240" w:lineRule="auto"/>
        <w:jc w:val="both"/>
        <w:rPr>
          <w:rFonts w:ascii="Verdana" w:hAnsi="Verdana"/>
          <w:sz w:val="20"/>
          <w:szCs w:val="20"/>
          <w:lang w:val="es-ES"/>
        </w:rPr>
      </w:pPr>
    </w:p>
    <w:p w14:paraId="71BB843B" w14:textId="77777777" w:rsidR="00D11EA9" w:rsidRPr="00CF7FE6" w:rsidRDefault="0072562F" w:rsidP="00EB7CE1">
      <w:pPr>
        <w:spacing w:after="0" w:line="240" w:lineRule="auto"/>
        <w:jc w:val="both"/>
        <w:rPr>
          <w:rFonts w:ascii="Verdana" w:hAnsi="Verdana"/>
          <w:sz w:val="20"/>
          <w:szCs w:val="20"/>
          <w:lang w:val="es-ES"/>
        </w:rPr>
      </w:pPr>
      <w:r w:rsidRPr="00CF7FE6">
        <w:rPr>
          <w:rFonts w:ascii="Verdana" w:hAnsi="Verdana"/>
          <w:sz w:val="20"/>
          <w:szCs w:val="20"/>
          <w:lang w:val="es-ES"/>
        </w:rPr>
        <w:t xml:space="preserve">Por otra parte, es de advertir que </w:t>
      </w:r>
      <w:r w:rsidR="006569A1">
        <w:rPr>
          <w:rFonts w:ascii="Verdana" w:hAnsi="Verdana"/>
          <w:sz w:val="20"/>
          <w:szCs w:val="20"/>
          <w:lang w:val="es-ES"/>
        </w:rPr>
        <w:t>este escrito</w:t>
      </w:r>
      <w:r w:rsidR="00574FC2" w:rsidRPr="00CF7FE6">
        <w:rPr>
          <w:rFonts w:ascii="Verdana" w:hAnsi="Verdana"/>
          <w:sz w:val="20"/>
          <w:szCs w:val="20"/>
          <w:lang w:val="es-ES"/>
        </w:rPr>
        <w:t xml:space="preserve"> se sustenta en la convicción de que lo que le corresponde a la Corte</w:t>
      </w:r>
      <w:r w:rsidR="00EA3D5C" w:rsidRPr="00CF7FE6">
        <w:rPr>
          <w:rFonts w:ascii="Verdana" w:hAnsi="Verdana"/>
          <w:sz w:val="20"/>
          <w:szCs w:val="20"/>
          <w:lang w:val="es-ES"/>
        </w:rPr>
        <w:t xml:space="preserve"> </w:t>
      </w:r>
      <w:r w:rsidR="00574FC2" w:rsidRPr="00CF7FE6">
        <w:rPr>
          <w:rFonts w:ascii="Verdana" w:hAnsi="Verdana"/>
          <w:sz w:val="20"/>
          <w:szCs w:val="20"/>
          <w:lang w:val="es-ES"/>
        </w:rPr>
        <w:t>es apli</w:t>
      </w:r>
      <w:r w:rsidR="00EA3D5C" w:rsidRPr="00CF7FE6">
        <w:rPr>
          <w:rFonts w:ascii="Verdana" w:hAnsi="Verdana"/>
          <w:sz w:val="20"/>
          <w:szCs w:val="20"/>
          <w:lang w:val="es-ES"/>
        </w:rPr>
        <w:t>car e interpretar la Convención</w:t>
      </w:r>
      <w:r w:rsidR="00EA3D5C" w:rsidRPr="00CF7FE6">
        <w:rPr>
          <w:rStyle w:val="FootnoteReference"/>
          <w:rFonts w:ascii="Verdana" w:hAnsi="Verdana"/>
          <w:sz w:val="20"/>
          <w:szCs w:val="20"/>
          <w:lang w:val="es-ES"/>
        </w:rPr>
        <w:footnoteReference w:id="8"/>
      </w:r>
      <w:r w:rsidR="008E2954">
        <w:rPr>
          <w:rFonts w:ascii="Verdana" w:hAnsi="Verdana"/>
          <w:sz w:val="20"/>
          <w:szCs w:val="20"/>
          <w:lang w:val="es-ES"/>
        </w:rPr>
        <w:t xml:space="preserve">, vale decir, señalar el sentido y alcance de sus disposiciones que, por ser en alguna medida </w:t>
      </w:r>
      <w:proofErr w:type="gramStart"/>
      <w:r w:rsidR="008E2954">
        <w:rPr>
          <w:rFonts w:ascii="Verdana" w:hAnsi="Verdana"/>
          <w:sz w:val="20"/>
          <w:szCs w:val="20"/>
          <w:lang w:val="es-ES"/>
        </w:rPr>
        <w:t>percibidas como oscuras o dudosas</w:t>
      </w:r>
      <w:proofErr w:type="gramEnd"/>
      <w:r w:rsidR="008E2954">
        <w:rPr>
          <w:rFonts w:ascii="Verdana" w:hAnsi="Verdana"/>
          <w:sz w:val="20"/>
          <w:szCs w:val="20"/>
          <w:lang w:val="es-ES"/>
        </w:rPr>
        <w:t xml:space="preserve">, presenten varias posibilidades de aplicación. En este orden de ideas, no le compete a la Corte </w:t>
      </w:r>
      <w:r w:rsidR="0011348A" w:rsidRPr="00CF7FE6">
        <w:rPr>
          <w:rFonts w:ascii="Verdana" w:hAnsi="Verdana"/>
          <w:sz w:val="20"/>
          <w:szCs w:val="20"/>
          <w:lang w:val="es-ES"/>
        </w:rPr>
        <w:t>modificar</w:t>
      </w:r>
      <w:r w:rsidR="008E2954">
        <w:rPr>
          <w:rFonts w:ascii="Verdana" w:hAnsi="Verdana"/>
          <w:sz w:val="20"/>
          <w:szCs w:val="20"/>
          <w:lang w:val="es-ES"/>
        </w:rPr>
        <w:t xml:space="preserve"> </w:t>
      </w:r>
      <w:r w:rsidR="0011348A" w:rsidRPr="00CF7FE6">
        <w:rPr>
          <w:rFonts w:ascii="Verdana" w:hAnsi="Verdana"/>
          <w:sz w:val="20"/>
          <w:szCs w:val="20"/>
          <w:lang w:val="es-ES"/>
        </w:rPr>
        <w:t>la</w:t>
      </w:r>
      <w:r w:rsidR="008E2954">
        <w:rPr>
          <w:rFonts w:ascii="Verdana" w:hAnsi="Verdana"/>
          <w:sz w:val="20"/>
          <w:szCs w:val="20"/>
          <w:lang w:val="es-ES"/>
        </w:rPr>
        <w:t xml:space="preserve"> Convención sino únicamente </w:t>
      </w:r>
      <w:r w:rsidR="00574FC2" w:rsidRPr="00CF7FE6">
        <w:rPr>
          <w:rFonts w:ascii="Verdana" w:hAnsi="Verdana"/>
          <w:sz w:val="20"/>
          <w:szCs w:val="20"/>
          <w:lang w:val="es-ES"/>
        </w:rPr>
        <w:t>señalar lo que ella efectivamente di</w:t>
      </w:r>
      <w:r w:rsidR="008E2954">
        <w:rPr>
          <w:rFonts w:ascii="Verdana" w:hAnsi="Verdana"/>
          <w:sz w:val="20"/>
          <w:szCs w:val="20"/>
          <w:lang w:val="es-ES"/>
        </w:rPr>
        <w:t xml:space="preserve">spone y no lo que </w:t>
      </w:r>
      <w:r w:rsidR="00574FC2" w:rsidRPr="00CF7FE6">
        <w:rPr>
          <w:rFonts w:ascii="Verdana" w:hAnsi="Verdana"/>
          <w:sz w:val="20"/>
          <w:szCs w:val="20"/>
          <w:lang w:val="es-ES"/>
        </w:rPr>
        <w:t>desea</w:t>
      </w:r>
      <w:r w:rsidR="008E2954">
        <w:rPr>
          <w:rFonts w:ascii="Verdana" w:hAnsi="Verdana"/>
          <w:sz w:val="20"/>
          <w:szCs w:val="20"/>
          <w:lang w:val="es-ES"/>
        </w:rPr>
        <w:t>ría</w:t>
      </w:r>
      <w:r w:rsidR="00574FC2" w:rsidRPr="00CF7FE6">
        <w:rPr>
          <w:rFonts w:ascii="Verdana" w:hAnsi="Verdana"/>
          <w:sz w:val="20"/>
          <w:szCs w:val="20"/>
          <w:lang w:val="es-ES"/>
        </w:rPr>
        <w:t xml:space="preserve"> que e</w:t>
      </w:r>
      <w:r w:rsidR="008E2954">
        <w:rPr>
          <w:rFonts w:ascii="Verdana" w:hAnsi="Verdana"/>
          <w:sz w:val="20"/>
          <w:szCs w:val="20"/>
          <w:lang w:val="es-ES"/>
        </w:rPr>
        <w:t xml:space="preserve">stablezca. Su </w:t>
      </w:r>
      <w:r w:rsidR="0023249E" w:rsidRPr="00CF7FE6">
        <w:rPr>
          <w:rFonts w:ascii="Verdana" w:hAnsi="Verdana"/>
          <w:sz w:val="20"/>
          <w:szCs w:val="20"/>
          <w:lang w:val="es-ES"/>
        </w:rPr>
        <w:t xml:space="preserve">función </w:t>
      </w:r>
      <w:r w:rsidR="008E2954">
        <w:rPr>
          <w:rFonts w:ascii="Verdana" w:hAnsi="Verdana"/>
          <w:sz w:val="20"/>
          <w:szCs w:val="20"/>
          <w:lang w:val="es-ES"/>
        </w:rPr>
        <w:t xml:space="preserve">es, por lo tanto, </w:t>
      </w:r>
      <w:r w:rsidR="007D1A04">
        <w:rPr>
          <w:rFonts w:ascii="Verdana" w:hAnsi="Verdana"/>
          <w:sz w:val="20"/>
          <w:szCs w:val="20"/>
          <w:lang w:val="es-ES"/>
        </w:rPr>
        <w:t xml:space="preserve">desentrañar la voluntad </w:t>
      </w:r>
      <w:r w:rsidR="0023249E" w:rsidRPr="00CF7FE6">
        <w:rPr>
          <w:rFonts w:ascii="Verdana" w:hAnsi="Verdana"/>
          <w:sz w:val="20"/>
          <w:szCs w:val="20"/>
          <w:lang w:val="es-ES"/>
        </w:rPr>
        <w:t>que los</w:t>
      </w:r>
      <w:r w:rsidR="002A687F">
        <w:rPr>
          <w:rFonts w:ascii="Verdana" w:hAnsi="Verdana"/>
          <w:sz w:val="20"/>
          <w:szCs w:val="20"/>
          <w:lang w:val="es-ES"/>
        </w:rPr>
        <w:t xml:space="preserve"> </w:t>
      </w:r>
      <w:r w:rsidR="00EA3D5C" w:rsidRPr="00CF7FE6">
        <w:rPr>
          <w:rFonts w:ascii="Verdana" w:hAnsi="Verdana"/>
          <w:sz w:val="20"/>
          <w:szCs w:val="20"/>
          <w:lang w:val="es-ES"/>
        </w:rPr>
        <w:t xml:space="preserve">Estados Partes </w:t>
      </w:r>
      <w:r w:rsidR="0023249E" w:rsidRPr="00CF7FE6">
        <w:rPr>
          <w:rFonts w:ascii="Verdana" w:hAnsi="Verdana"/>
          <w:sz w:val="20"/>
          <w:szCs w:val="20"/>
          <w:lang w:val="es-ES"/>
        </w:rPr>
        <w:t xml:space="preserve">de la Convención </w:t>
      </w:r>
      <w:r w:rsidR="00EA3D5C" w:rsidRPr="00CF7FE6">
        <w:rPr>
          <w:rFonts w:ascii="Verdana" w:hAnsi="Verdana"/>
          <w:sz w:val="20"/>
          <w:szCs w:val="20"/>
          <w:lang w:val="es-ES"/>
        </w:rPr>
        <w:t xml:space="preserve">estamparon en ella </w:t>
      </w:r>
      <w:r w:rsidR="00574FC2" w:rsidRPr="00CF7FE6">
        <w:rPr>
          <w:rFonts w:ascii="Verdana" w:hAnsi="Verdana"/>
          <w:sz w:val="20"/>
          <w:szCs w:val="20"/>
          <w:lang w:val="es-ES"/>
        </w:rPr>
        <w:t>al momento de suscribir</w:t>
      </w:r>
      <w:r w:rsidR="00EA3D5C" w:rsidRPr="00CF7FE6">
        <w:rPr>
          <w:rFonts w:ascii="Verdana" w:hAnsi="Verdana"/>
          <w:sz w:val="20"/>
          <w:szCs w:val="20"/>
          <w:lang w:val="es-ES"/>
        </w:rPr>
        <w:t>la</w:t>
      </w:r>
      <w:r w:rsidR="000158F2" w:rsidRPr="00CF7FE6">
        <w:rPr>
          <w:rFonts w:ascii="Verdana" w:hAnsi="Verdana"/>
          <w:sz w:val="20"/>
          <w:szCs w:val="20"/>
          <w:lang w:val="es-ES"/>
        </w:rPr>
        <w:t xml:space="preserve"> y, </w:t>
      </w:r>
      <w:r w:rsidR="00574FC2" w:rsidRPr="00CF7FE6">
        <w:rPr>
          <w:rFonts w:ascii="Verdana" w:hAnsi="Verdana"/>
          <w:sz w:val="20"/>
          <w:szCs w:val="20"/>
          <w:lang w:val="es-ES"/>
        </w:rPr>
        <w:t>eventualmente</w:t>
      </w:r>
      <w:r w:rsidR="000158F2" w:rsidRPr="00CF7FE6">
        <w:rPr>
          <w:rFonts w:ascii="Verdana" w:hAnsi="Verdana"/>
          <w:sz w:val="20"/>
          <w:szCs w:val="20"/>
          <w:lang w:val="es-ES"/>
        </w:rPr>
        <w:t>,</w:t>
      </w:r>
      <w:r w:rsidR="00325608" w:rsidRPr="00CF7FE6">
        <w:rPr>
          <w:rFonts w:ascii="Verdana" w:hAnsi="Verdana"/>
          <w:sz w:val="20"/>
          <w:szCs w:val="20"/>
          <w:lang w:val="es-ES"/>
        </w:rPr>
        <w:t xml:space="preserve"> </w:t>
      </w:r>
      <w:r w:rsidR="0023249E" w:rsidRPr="00CF7FE6">
        <w:rPr>
          <w:rFonts w:ascii="Verdana" w:hAnsi="Verdana"/>
          <w:sz w:val="20"/>
          <w:szCs w:val="20"/>
          <w:lang w:val="es-ES"/>
        </w:rPr>
        <w:t>cómo debería ser entendida frente a nuevas situaciones</w:t>
      </w:r>
      <w:r w:rsidR="00325608" w:rsidRPr="00CF7FE6">
        <w:rPr>
          <w:rFonts w:ascii="Verdana" w:hAnsi="Verdana"/>
          <w:sz w:val="20"/>
          <w:szCs w:val="20"/>
          <w:lang w:val="es-ES"/>
        </w:rPr>
        <w:t xml:space="preserve">. </w:t>
      </w:r>
      <w:r w:rsidR="00EA3D5C" w:rsidRPr="00CF7FE6">
        <w:rPr>
          <w:rFonts w:ascii="Verdana" w:hAnsi="Verdana"/>
          <w:sz w:val="20"/>
          <w:szCs w:val="20"/>
          <w:lang w:val="es-ES"/>
        </w:rPr>
        <w:t>Y es en vista de determinar ese consentimiento que</w:t>
      </w:r>
      <w:r w:rsidR="00DB225B" w:rsidRPr="00CF7FE6">
        <w:rPr>
          <w:rFonts w:ascii="Verdana" w:hAnsi="Verdana"/>
          <w:sz w:val="20"/>
          <w:szCs w:val="20"/>
          <w:lang w:val="es-ES"/>
        </w:rPr>
        <w:t xml:space="preserve"> </w:t>
      </w:r>
      <w:r w:rsidR="008E2954">
        <w:rPr>
          <w:rFonts w:ascii="Verdana" w:hAnsi="Verdana"/>
          <w:sz w:val="20"/>
          <w:szCs w:val="20"/>
          <w:lang w:val="es-ES"/>
        </w:rPr>
        <w:t xml:space="preserve">debe valerse de </w:t>
      </w:r>
      <w:r w:rsidR="00DB225B" w:rsidRPr="00CF7FE6">
        <w:rPr>
          <w:rFonts w:ascii="Verdana" w:hAnsi="Verdana"/>
          <w:sz w:val="20"/>
          <w:szCs w:val="20"/>
          <w:lang w:val="es-ES"/>
        </w:rPr>
        <w:t xml:space="preserve">las </w:t>
      </w:r>
      <w:r w:rsidR="00325608" w:rsidRPr="00CF7FE6">
        <w:rPr>
          <w:rFonts w:ascii="Verdana" w:hAnsi="Verdana"/>
          <w:sz w:val="20"/>
          <w:szCs w:val="20"/>
          <w:lang w:val="es-ES"/>
        </w:rPr>
        <w:t xml:space="preserve">reglas de interpretación de los tratados contenidas en la Convención </w:t>
      </w:r>
      <w:r w:rsidR="0014760F" w:rsidRPr="00CF7FE6">
        <w:rPr>
          <w:rFonts w:ascii="Verdana" w:hAnsi="Verdana"/>
          <w:sz w:val="20"/>
          <w:szCs w:val="20"/>
          <w:lang w:val="es-ES"/>
        </w:rPr>
        <w:t>de Viena sobre el Derecho de los</w:t>
      </w:r>
      <w:r w:rsidR="00325608" w:rsidRPr="00CF7FE6">
        <w:rPr>
          <w:rFonts w:ascii="Verdana" w:hAnsi="Verdana"/>
          <w:sz w:val="20"/>
          <w:szCs w:val="20"/>
          <w:lang w:val="es-ES"/>
        </w:rPr>
        <w:t xml:space="preserve"> Tratados</w:t>
      </w:r>
      <w:r w:rsidR="0014760F" w:rsidRPr="00CF7FE6">
        <w:rPr>
          <w:rFonts w:ascii="Verdana" w:hAnsi="Verdana"/>
          <w:sz w:val="20"/>
          <w:szCs w:val="20"/>
          <w:lang w:val="es-ES"/>
        </w:rPr>
        <w:t xml:space="preserve"> y, </w:t>
      </w:r>
      <w:r w:rsidR="00A2480B" w:rsidRPr="00CF7FE6">
        <w:rPr>
          <w:rFonts w:ascii="Verdana" w:hAnsi="Verdana"/>
          <w:sz w:val="20"/>
          <w:szCs w:val="20"/>
          <w:lang w:val="es-ES"/>
        </w:rPr>
        <w:t xml:space="preserve">en particular, </w:t>
      </w:r>
      <w:r w:rsidR="008E2954">
        <w:rPr>
          <w:rFonts w:ascii="Verdana" w:hAnsi="Verdana"/>
          <w:sz w:val="20"/>
          <w:szCs w:val="20"/>
          <w:lang w:val="es-ES"/>
        </w:rPr>
        <w:t xml:space="preserve">de la prevista </w:t>
      </w:r>
      <w:r w:rsidR="005725BC" w:rsidRPr="00CF7FE6">
        <w:rPr>
          <w:rFonts w:ascii="Verdana" w:hAnsi="Verdana"/>
          <w:sz w:val="20"/>
          <w:szCs w:val="20"/>
          <w:lang w:val="es-ES"/>
        </w:rPr>
        <w:t xml:space="preserve">en </w:t>
      </w:r>
      <w:r w:rsidR="0014760F" w:rsidRPr="00CF7FE6">
        <w:rPr>
          <w:rFonts w:ascii="Verdana" w:hAnsi="Verdana"/>
          <w:sz w:val="20"/>
          <w:szCs w:val="20"/>
          <w:lang w:val="es-ES"/>
        </w:rPr>
        <w:t>su</w:t>
      </w:r>
      <w:r w:rsidR="00C1532A">
        <w:rPr>
          <w:rFonts w:ascii="Verdana" w:hAnsi="Verdana"/>
          <w:sz w:val="20"/>
          <w:szCs w:val="20"/>
          <w:lang w:val="es-ES"/>
        </w:rPr>
        <w:t xml:space="preserve"> artículo </w:t>
      </w:r>
      <w:r w:rsidR="00325608" w:rsidRPr="00CF7FE6">
        <w:rPr>
          <w:rFonts w:ascii="Verdana" w:hAnsi="Verdana"/>
          <w:sz w:val="20"/>
          <w:szCs w:val="20"/>
          <w:lang w:val="es-ES"/>
        </w:rPr>
        <w:t>31</w:t>
      </w:r>
      <w:r w:rsidR="0014760F" w:rsidRPr="00CF7FE6">
        <w:rPr>
          <w:rStyle w:val="FootnoteReference"/>
          <w:rFonts w:ascii="Verdana" w:hAnsi="Verdana"/>
          <w:sz w:val="20"/>
          <w:szCs w:val="20"/>
          <w:lang w:val="es-ES"/>
        </w:rPr>
        <w:footnoteReference w:id="9"/>
      </w:r>
      <w:r w:rsidR="002A687F">
        <w:rPr>
          <w:rFonts w:ascii="Verdana" w:hAnsi="Verdana"/>
          <w:sz w:val="20"/>
          <w:szCs w:val="20"/>
          <w:lang w:val="es-ES"/>
        </w:rPr>
        <w:t>, entendiendo que los cuatro elementos enunciados en él, deben aplicarse simultánea y armoniosamente</w:t>
      </w:r>
      <w:r w:rsidR="009377B9" w:rsidRPr="00CF7FE6">
        <w:rPr>
          <w:rFonts w:ascii="Verdana" w:hAnsi="Verdana"/>
          <w:sz w:val="20"/>
          <w:szCs w:val="20"/>
          <w:lang w:val="es-ES"/>
        </w:rPr>
        <w:t>.</w:t>
      </w:r>
      <w:r w:rsidR="0014760F" w:rsidRPr="00CF7FE6">
        <w:rPr>
          <w:rFonts w:ascii="Verdana" w:hAnsi="Verdana"/>
          <w:sz w:val="20"/>
          <w:szCs w:val="20"/>
          <w:lang w:val="es-ES"/>
        </w:rPr>
        <w:t xml:space="preserve"> </w:t>
      </w:r>
    </w:p>
    <w:p w14:paraId="41CCD141" w14:textId="77777777" w:rsidR="00A2480B" w:rsidRPr="00CF7FE6" w:rsidRDefault="00A2480B" w:rsidP="00EB7CE1">
      <w:pPr>
        <w:spacing w:after="0" w:line="240" w:lineRule="auto"/>
        <w:jc w:val="both"/>
        <w:rPr>
          <w:rFonts w:ascii="Verdana" w:hAnsi="Verdana"/>
          <w:sz w:val="20"/>
          <w:szCs w:val="20"/>
          <w:lang w:val="es-ES"/>
        </w:rPr>
      </w:pPr>
    </w:p>
    <w:p w14:paraId="6984942F" w14:textId="77777777" w:rsidR="00246223" w:rsidRPr="00CF7FE6" w:rsidRDefault="00A2480B" w:rsidP="00EB7CE1">
      <w:pPr>
        <w:spacing w:after="0" w:line="240" w:lineRule="auto"/>
        <w:jc w:val="both"/>
        <w:rPr>
          <w:rFonts w:ascii="Verdana" w:hAnsi="Verdana"/>
          <w:sz w:val="20"/>
          <w:szCs w:val="20"/>
          <w:lang w:val="es-ES"/>
        </w:rPr>
      </w:pPr>
      <w:r w:rsidRPr="00CF7FE6">
        <w:rPr>
          <w:rFonts w:ascii="Verdana" w:hAnsi="Verdana"/>
          <w:sz w:val="20"/>
          <w:szCs w:val="20"/>
          <w:lang w:val="es-ES"/>
        </w:rPr>
        <w:t>C</w:t>
      </w:r>
      <w:r w:rsidR="00BB20AD" w:rsidRPr="00CF7FE6">
        <w:rPr>
          <w:rFonts w:ascii="Verdana" w:hAnsi="Verdana"/>
          <w:sz w:val="20"/>
          <w:szCs w:val="20"/>
          <w:lang w:val="es-ES"/>
        </w:rPr>
        <w:t>abe agregar</w:t>
      </w:r>
      <w:r w:rsidRPr="00CF7FE6">
        <w:rPr>
          <w:rFonts w:ascii="Verdana" w:hAnsi="Verdana"/>
          <w:sz w:val="20"/>
          <w:szCs w:val="20"/>
          <w:lang w:val="es-ES"/>
        </w:rPr>
        <w:t xml:space="preserve">, en este mismo </w:t>
      </w:r>
      <w:r w:rsidR="00246223" w:rsidRPr="00CF7FE6">
        <w:rPr>
          <w:rFonts w:ascii="Verdana" w:hAnsi="Verdana"/>
          <w:sz w:val="20"/>
          <w:szCs w:val="20"/>
          <w:lang w:val="es-ES"/>
        </w:rPr>
        <w:t>sentido</w:t>
      </w:r>
      <w:r w:rsidRPr="00CF7FE6">
        <w:rPr>
          <w:rFonts w:ascii="Verdana" w:hAnsi="Verdana"/>
          <w:sz w:val="20"/>
          <w:szCs w:val="20"/>
          <w:lang w:val="es-ES"/>
        </w:rPr>
        <w:t xml:space="preserve">, </w:t>
      </w:r>
      <w:r w:rsidR="00BB20AD" w:rsidRPr="00CF7FE6">
        <w:rPr>
          <w:rFonts w:ascii="Verdana" w:hAnsi="Verdana"/>
          <w:sz w:val="20"/>
          <w:szCs w:val="20"/>
          <w:lang w:val="es-ES"/>
        </w:rPr>
        <w:t>que</w:t>
      </w:r>
      <w:r w:rsidR="008A0B43" w:rsidRPr="00CF7FE6">
        <w:rPr>
          <w:rFonts w:ascii="Verdana" w:hAnsi="Verdana"/>
          <w:sz w:val="20"/>
          <w:szCs w:val="20"/>
          <w:lang w:val="es-ES"/>
        </w:rPr>
        <w:t xml:space="preserve"> la misión de la Corte es</w:t>
      </w:r>
      <w:r w:rsidR="006569A1">
        <w:rPr>
          <w:rFonts w:ascii="Verdana" w:hAnsi="Verdana"/>
          <w:sz w:val="20"/>
          <w:szCs w:val="20"/>
          <w:lang w:val="es-ES"/>
        </w:rPr>
        <w:t xml:space="preserve"> </w:t>
      </w:r>
      <w:r w:rsidRPr="00CF7FE6">
        <w:rPr>
          <w:rFonts w:ascii="Verdana" w:hAnsi="Verdana"/>
          <w:sz w:val="20"/>
          <w:szCs w:val="20"/>
          <w:lang w:val="es-ES"/>
        </w:rPr>
        <w:t xml:space="preserve">impartir </w:t>
      </w:r>
      <w:r w:rsidR="00BB20AD" w:rsidRPr="00CF7FE6">
        <w:rPr>
          <w:rFonts w:ascii="Verdana" w:hAnsi="Verdana"/>
          <w:sz w:val="20"/>
          <w:szCs w:val="20"/>
          <w:lang w:val="es-ES"/>
        </w:rPr>
        <w:t>Justicia a través o por medio del Derec</w:t>
      </w:r>
      <w:r w:rsidR="00CB419F" w:rsidRPr="00CF7FE6">
        <w:rPr>
          <w:rFonts w:ascii="Verdana" w:hAnsi="Verdana"/>
          <w:sz w:val="20"/>
          <w:szCs w:val="20"/>
          <w:lang w:val="es-ES"/>
        </w:rPr>
        <w:t>ho</w:t>
      </w:r>
      <w:r w:rsidR="006569A1">
        <w:rPr>
          <w:rStyle w:val="FootnoteReference"/>
          <w:rFonts w:ascii="Verdana" w:hAnsi="Verdana"/>
          <w:sz w:val="20"/>
          <w:szCs w:val="20"/>
          <w:lang w:val="es-ES"/>
        </w:rPr>
        <w:footnoteReference w:id="10"/>
      </w:r>
      <w:r w:rsidR="00D11EA9" w:rsidRPr="00CF7FE6">
        <w:rPr>
          <w:rFonts w:ascii="Verdana" w:hAnsi="Verdana"/>
          <w:sz w:val="20"/>
          <w:szCs w:val="20"/>
          <w:lang w:val="es-ES"/>
        </w:rPr>
        <w:t>. A e</w:t>
      </w:r>
      <w:r w:rsidR="00EF7757" w:rsidRPr="00CF7FE6">
        <w:rPr>
          <w:rFonts w:ascii="Verdana" w:hAnsi="Verdana"/>
          <w:sz w:val="20"/>
          <w:szCs w:val="20"/>
          <w:lang w:val="es-ES"/>
        </w:rPr>
        <w:t xml:space="preserve">lla no </w:t>
      </w:r>
      <w:r w:rsidR="00D11EA9" w:rsidRPr="00CF7FE6">
        <w:rPr>
          <w:rFonts w:ascii="Verdana" w:hAnsi="Verdana"/>
          <w:sz w:val="20"/>
          <w:szCs w:val="20"/>
          <w:lang w:val="es-ES"/>
        </w:rPr>
        <w:t>le corresponde promover</w:t>
      </w:r>
      <w:r w:rsidR="00EF7757" w:rsidRPr="00CF7FE6">
        <w:rPr>
          <w:rFonts w:ascii="Verdana" w:hAnsi="Verdana"/>
          <w:sz w:val="20"/>
          <w:szCs w:val="20"/>
          <w:lang w:val="es-ES"/>
        </w:rPr>
        <w:t xml:space="preserve"> los derechos humanos</w:t>
      </w:r>
      <w:r w:rsidRPr="00CF7FE6">
        <w:rPr>
          <w:rFonts w:ascii="Verdana" w:hAnsi="Verdana"/>
          <w:sz w:val="20"/>
          <w:szCs w:val="20"/>
          <w:lang w:val="es-ES"/>
        </w:rPr>
        <w:t>, función</w:t>
      </w:r>
      <w:r w:rsidR="0023249E" w:rsidRPr="00CF7FE6">
        <w:rPr>
          <w:rFonts w:ascii="Verdana" w:hAnsi="Verdana"/>
          <w:sz w:val="20"/>
          <w:szCs w:val="20"/>
          <w:lang w:val="es-ES"/>
        </w:rPr>
        <w:t>, por lo demás,</w:t>
      </w:r>
      <w:r w:rsidRPr="00CF7FE6">
        <w:rPr>
          <w:rFonts w:ascii="Verdana" w:hAnsi="Verdana"/>
          <w:sz w:val="20"/>
          <w:szCs w:val="20"/>
          <w:lang w:val="es-ES"/>
        </w:rPr>
        <w:t xml:space="preserve"> asignada </w:t>
      </w:r>
      <w:r w:rsidR="00246223" w:rsidRPr="00CF7FE6">
        <w:rPr>
          <w:rFonts w:ascii="Verdana" w:hAnsi="Verdana"/>
          <w:sz w:val="20"/>
          <w:szCs w:val="20"/>
          <w:lang w:val="es-ES"/>
        </w:rPr>
        <w:t xml:space="preserve">por la Convención </w:t>
      </w:r>
      <w:r w:rsidRPr="00CF7FE6">
        <w:rPr>
          <w:rFonts w:ascii="Verdana" w:hAnsi="Verdana"/>
          <w:sz w:val="20"/>
          <w:szCs w:val="20"/>
          <w:lang w:val="es-ES"/>
        </w:rPr>
        <w:t>a la Comisión Interamericana de Derechos Humanos</w:t>
      </w:r>
      <w:r w:rsidR="00EF7757" w:rsidRPr="00CF7FE6">
        <w:rPr>
          <w:rStyle w:val="FootnoteReference"/>
          <w:rFonts w:ascii="Verdana" w:hAnsi="Verdana"/>
          <w:sz w:val="20"/>
          <w:szCs w:val="20"/>
          <w:lang w:val="es-ES"/>
        </w:rPr>
        <w:footnoteReference w:id="11"/>
      </w:r>
      <w:r w:rsidR="00246223" w:rsidRPr="00CF7FE6">
        <w:rPr>
          <w:rFonts w:ascii="Verdana" w:hAnsi="Verdana"/>
          <w:sz w:val="20"/>
          <w:szCs w:val="20"/>
          <w:lang w:val="es-ES"/>
        </w:rPr>
        <w:t>. C</w:t>
      </w:r>
      <w:r w:rsidR="007142E3" w:rsidRPr="00CF7FE6">
        <w:rPr>
          <w:rFonts w:ascii="Verdana" w:hAnsi="Verdana"/>
          <w:sz w:val="20"/>
          <w:szCs w:val="20"/>
          <w:lang w:val="es-ES"/>
        </w:rPr>
        <w:t>onsecuentemente, como órgano judicial</w:t>
      </w:r>
      <w:r w:rsidRPr="00CF7FE6">
        <w:rPr>
          <w:rFonts w:ascii="Verdana" w:hAnsi="Verdana"/>
          <w:sz w:val="20"/>
          <w:szCs w:val="20"/>
          <w:lang w:val="es-ES"/>
        </w:rPr>
        <w:t>,</w:t>
      </w:r>
      <w:r w:rsidR="007142E3" w:rsidRPr="00CF7FE6">
        <w:rPr>
          <w:rFonts w:ascii="Verdana" w:hAnsi="Verdana"/>
          <w:sz w:val="20"/>
          <w:szCs w:val="20"/>
          <w:lang w:val="es-ES"/>
        </w:rPr>
        <w:t xml:space="preserve"> </w:t>
      </w:r>
      <w:r w:rsidR="00246223" w:rsidRPr="00CF7FE6">
        <w:rPr>
          <w:rFonts w:ascii="Verdana" w:hAnsi="Verdana"/>
          <w:sz w:val="20"/>
          <w:szCs w:val="20"/>
          <w:lang w:val="es-ES"/>
        </w:rPr>
        <w:t xml:space="preserve">la </w:t>
      </w:r>
      <w:r w:rsidR="00246223" w:rsidRPr="00CF7FE6">
        <w:rPr>
          <w:rFonts w:ascii="Verdana" w:hAnsi="Verdana"/>
          <w:sz w:val="20"/>
          <w:szCs w:val="20"/>
          <w:lang w:val="es-ES"/>
        </w:rPr>
        <w:lastRenderedPageBreak/>
        <w:t xml:space="preserve">Corte </w:t>
      </w:r>
      <w:r w:rsidR="00CB419F" w:rsidRPr="00CF7FE6">
        <w:rPr>
          <w:rFonts w:ascii="Verdana" w:hAnsi="Verdana"/>
          <w:sz w:val="20"/>
          <w:szCs w:val="20"/>
          <w:lang w:val="es-ES"/>
        </w:rPr>
        <w:t xml:space="preserve">no cuenta con la facultad de juzgar al margen o con prescindencia de lo disponga el Derecho, expresado, a su respecto, en la Convención. </w:t>
      </w:r>
    </w:p>
    <w:p w14:paraId="1E35CCA8" w14:textId="77777777" w:rsidR="00246223" w:rsidRPr="00CF7FE6" w:rsidRDefault="00246223" w:rsidP="00EB7CE1">
      <w:pPr>
        <w:spacing w:after="0" w:line="240" w:lineRule="auto"/>
        <w:jc w:val="both"/>
        <w:rPr>
          <w:rFonts w:ascii="Verdana" w:hAnsi="Verdana"/>
          <w:sz w:val="20"/>
          <w:szCs w:val="20"/>
          <w:lang w:val="es-ES"/>
        </w:rPr>
      </w:pPr>
    </w:p>
    <w:p w14:paraId="10F90CFF" w14:textId="77777777" w:rsidR="00246223" w:rsidRPr="00CF7FE6" w:rsidRDefault="006569A1" w:rsidP="00EB7CE1">
      <w:pPr>
        <w:spacing w:after="0" w:line="240" w:lineRule="auto"/>
        <w:jc w:val="both"/>
        <w:rPr>
          <w:rFonts w:ascii="Verdana" w:hAnsi="Verdana"/>
          <w:sz w:val="20"/>
          <w:szCs w:val="20"/>
          <w:lang w:val="es-ES"/>
        </w:rPr>
      </w:pPr>
      <w:r>
        <w:rPr>
          <w:rFonts w:ascii="Verdana" w:hAnsi="Verdana"/>
          <w:sz w:val="20"/>
          <w:szCs w:val="20"/>
          <w:lang w:val="es-ES"/>
        </w:rPr>
        <w:t>Esta divergencia</w:t>
      </w:r>
      <w:r w:rsidR="00D11EA9" w:rsidRPr="00CF7FE6">
        <w:rPr>
          <w:rFonts w:ascii="Verdana" w:hAnsi="Verdana"/>
          <w:sz w:val="20"/>
          <w:szCs w:val="20"/>
          <w:lang w:val="es-ES"/>
        </w:rPr>
        <w:t xml:space="preserve"> se formula, entonces, </w:t>
      </w:r>
      <w:r w:rsidR="003871E0" w:rsidRPr="00CF7FE6">
        <w:rPr>
          <w:rFonts w:ascii="Verdana" w:hAnsi="Verdana"/>
          <w:sz w:val="20"/>
          <w:szCs w:val="20"/>
          <w:lang w:val="es-ES"/>
        </w:rPr>
        <w:t>abrigando la ilusión</w:t>
      </w:r>
      <w:r w:rsidR="007D1A04">
        <w:rPr>
          <w:rFonts w:ascii="Verdana" w:hAnsi="Verdana"/>
          <w:sz w:val="20"/>
          <w:szCs w:val="20"/>
          <w:lang w:val="es-ES"/>
        </w:rPr>
        <w:t xml:space="preserve"> de que en el futuro se acoja, </w:t>
      </w:r>
      <w:r w:rsidR="00246223" w:rsidRPr="00CF7FE6">
        <w:rPr>
          <w:rFonts w:ascii="Verdana" w:hAnsi="Verdana"/>
          <w:sz w:val="20"/>
          <w:szCs w:val="20"/>
          <w:lang w:val="es-ES"/>
        </w:rPr>
        <w:t>sea por la propia jurisprudencia sea por una nueva norma de Derecho Internacional. En cuanto a la primera, dado que</w:t>
      </w:r>
      <w:r w:rsidR="000A2590">
        <w:rPr>
          <w:rFonts w:ascii="Verdana" w:hAnsi="Verdana"/>
          <w:sz w:val="20"/>
          <w:szCs w:val="20"/>
          <w:lang w:val="es-ES"/>
        </w:rPr>
        <w:t>,</w:t>
      </w:r>
      <w:r w:rsidR="00246223" w:rsidRPr="00CF7FE6">
        <w:rPr>
          <w:rFonts w:ascii="Verdana" w:hAnsi="Verdana"/>
          <w:sz w:val="20"/>
          <w:szCs w:val="20"/>
          <w:lang w:val="es-ES"/>
        </w:rPr>
        <w:t xml:space="preserve"> siendo </w:t>
      </w:r>
      <w:r w:rsidR="005725BC" w:rsidRPr="00CF7FE6">
        <w:rPr>
          <w:rFonts w:ascii="Verdana" w:hAnsi="Verdana"/>
          <w:sz w:val="20"/>
          <w:szCs w:val="20"/>
          <w:lang w:val="es-ES"/>
        </w:rPr>
        <w:t>el fallo de la Corte obligatorio únicamente para el Estado Parte del caso en el que se pronuncia</w:t>
      </w:r>
      <w:r w:rsidR="005725BC" w:rsidRPr="00CF7FE6">
        <w:rPr>
          <w:rStyle w:val="FootnoteReference"/>
          <w:rFonts w:ascii="Verdana" w:hAnsi="Verdana"/>
          <w:sz w:val="20"/>
          <w:szCs w:val="20"/>
          <w:lang w:val="es-ES"/>
        </w:rPr>
        <w:footnoteReference w:id="12"/>
      </w:r>
      <w:r w:rsidR="00246223" w:rsidRPr="00CF7FE6">
        <w:rPr>
          <w:rFonts w:ascii="Verdana" w:hAnsi="Verdana"/>
          <w:sz w:val="20"/>
          <w:szCs w:val="20"/>
          <w:lang w:val="es-ES"/>
        </w:rPr>
        <w:t>, ella</w:t>
      </w:r>
      <w:r w:rsidR="005B4B64" w:rsidRPr="00CF7FE6">
        <w:rPr>
          <w:rFonts w:ascii="Verdana" w:hAnsi="Verdana"/>
          <w:sz w:val="20"/>
          <w:szCs w:val="20"/>
          <w:lang w:val="es-ES"/>
        </w:rPr>
        <w:t>, en tanto fuente auxiliar del Derecho Internacional y que, por ende, le corresponde “</w:t>
      </w:r>
      <w:r w:rsidR="005B4B64" w:rsidRPr="00CF7FE6">
        <w:rPr>
          <w:rFonts w:ascii="Verdana" w:hAnsi="Verdana"/>
          <w:i/>
          <w:sz w:val="20"/>
          <w:szCs w:val="20"/>
          <w:lang w:val="es-ES"/>
        </w:rPr>
        <w:t>la determinación de las reglas de derecho</w:t>
      </w:r>
      <w:r w:rsidR="005B4B64" w:rsidRPr="00CF7FE6">
        <w:rPr>
          <w:rFonts w:ascii="Verdana" w:hAnsi="Verdana"/>
          <w:sz w:val="20"/>
          <w:szCs w:val="20"/>
          <w:lang w:val="es-ES"/>
        </w:rPr>
        <w:t>” establecidas por una fuente autónoma del Derecho Internacional, es decir, tratado, costumbre, principio general de derecho o acto jurídico unilateral,</w:t>
      </w:r>
      <w:r w:rsidR="005B4B64" w:rsidRPr="00CF7FE6">
        <w:rPr>
          <w:rStyle w:val="FootnoteReference"/>
          <w:rFonts w:ascii="Verdana" w:hAnsi="Verdana"/>
          <w:sz w:val="20"/>
          <w:szCs w:val="20"/>
          <w:lang w:val="es-ES"/>
        </w:rPr>
        <w:footnoteReference w:id="13"/>
      </w:r>
      <w:r w:rsidR="0023249E" w:rsidRPr="00CF7FE6">
        <w:rPr>
          <w:rFonts w:ascii="Verdana" w:hAnsi="Verdana"/>
          <w:sz w:val="20"/>
          <w:szCs w:val="20"/>
          <w:lang w:val="es-ES"/>
        </w:rPr>
        <w:t xml:space="preserve"> </w:t>
      </w:r>
      <w:r w:rsidR="000158F2" w:rsidRPr="00CF7FE6">
        <w:rPr>
          <w:rFonts w:ascii="Verdana" w:hAnsi="Verdana"/>
          <w:sz w:val="20"/>
          <w:szCs w:val="20"/>
          <w:lang w:val="es-ES"/>
        </w:rPr>
        <w:t>puede</w:t>
      </w:r>
      <w:r w:rsidR="005725BC" w:rsidRPr="00CF7FE6">
        <w:rPr>
          <w:rFonts w:ascii="Verdana" w:hAnsi="Verdana"/>
          <w:sz w:val="20"/>
          <w:szCs w:val="20"/>
          <w:lang w:val="es-ES"/>
        </w:rPr>
        <w:t xml:space="preserve"> </w:t>
      </w:r>
      <w:r w:rsidR="009377B9" w:rsidRPr="00CF7FE6">
        <w:rPr>
          <w:rFonts w:ascii="Verdana" w:hAnsi="Verdana"/>
          <w:sz w:val="20"/>
          <w:szCs w:val="20"/>
          <w:lang w:val="es-ES"/>
        </w:rPr>
        <w:t xml:space="preserve">en el futuro </w:t>
      </w:r>
      <w:r w:rsidR="003871E0" w:rsidRPr="00CF7FE6">
        <w:rPr>
          <w:rFonts w:ascii="Verdana" w:hAnsi="Verdana"/>
          <w:sz w:val="20"/>
          <w:szCs w:val="20"/>
          <w:lang w:val="es-ES"/>
        </w:rPr>
        <w:t>variar</w:t>
      </w:r>
      <w:r w:rsidR="009377B9" w:rsidRPr="00CF7FE6">
        <w:rPr>
          <w:rFonts w:ascii="Verdana" w:hAnsi="Verdana"/>
          <w:sz w:val="20"/>
          <w:szCs w:val="20"/>
          <w:lang w:val="es-ES"/>
        </w:rPr>
        <w:t xml:space="preserve"> al sentenciarse otro caso</w:t>
      </w:r>
      <w:r w:rsidR="005725BC" w:rsidRPr="00CF7FE6">
        <w:rPr>
          <w:rFonts w:ascii="Verdana" w:hAnsi="Verdana"/>
          <w:sz w:val="20"/>
          <w:szCs w:val="20"/>
          <w:lang w:val="es-ES"/>
        </w:rPr>
        <w:t>.</w:t>
      </w:r>
      <w:r w:rsidR="00246223" w:rsidRPr="00CF7FE6">
        <w:rPr>
          <w:rFonts w:ascii="Verdana" w:hAnsi="Verdana"/>
          <w:sz w:val="20"/>
          <w:szCs w:val="20"/>
          <w:lang w:val="es-ES"/>
        </w:rPr>
        <w:t xml:space="preserve"> Y respecto a la segunda, en razón de que a quienes les compete la función normativa </w:t>
      </w:r>
      <w:r w:rsidR="004F67EB" w:rsidRPr="00CF7FE6">
        <w:rPr>
          <w:rFonts w:ascii="Verdana" w:hAnsi="Verdana"/>
          <w:sz w:val="20"/>
          <w:szCs w:val="20"/>
          <w:lang w:val="es-ES"/>
        </w:rPr>
        <w:t xml:space="preserve">internacional </w:t>
      </w:r>
      <w:r w:rsidR="00246223" w:rsidRPr="00CF7FE6">
        <w:rPr>
          <w:rFonts w:ascii="Verdana" w:hAnsi="Verdana"/>
          <w:sz w:val="20"/>
          <w:szCs w:val="20"/>
          <w:lang w:val="es-ES"/>
        </w:rPr>
        <w:t>es a los Estados</w:t>
      </w:r>
      <w:r w:rsidR="007D1A04">
        <w:rPr>
          <w:rFonts w:ascii="Verdana" w:hAnsi="Verdana"/>
          <w:sz w:val="20"/>
          <w:szCs w:val="20"/>
          <w:lang w:val="es-ES"/>
        </w:rPr>
        <w:t xml:space="preserve"> y </w:t>
      </w:r>
      <w:r w:rsidR="004F67EB" w:rsidRPr="00CF7FE6">
        <w:rPr>
          <w:rFonts w:ascii="Verdana" w:hAnsi="Verdana"/>
          <w:sz w:val="20"/>
          <w:szCs w:val="20"/>
          <w:lang w:val="es-ES"/>
        </w:rPr>
        <w:t>en el caso de la Convención</w:t>
      </w:r>
      <w:r w:rsidR="007D1A04">
        <w:rPr>
          <w:rFonts w:ascii="Verdana" w:hAnsi="Verdana"/>
          <w:sz w:val="20"/>
          <w:szCs w:val="20"/>
          <w:lang w:val="es-ES"/>
        </w:rPr>
        <w:t>,</w:t>
      </w:r>
      <w:r w:rsidR="004F67EB" w:rsidRPr="00CF7FE6">
        <w:rPr>
          <w:rFonts w:ascii="Verdana" w:hAnsi="Verdana"/>
          <w:sz w:val="20"/>
          <w:szCs w:val="20"/>
          <w:lang w:val="es-ES"/>
        </w:rPr>
        <w:t xml:space="preserve"> a sus Estados Partes a través de enmiendas a esta última</w:t>
      </w:r>
      <w:r w:rsidR="004F67EB" w:rsidRPr="00CF7FE6">
        <w:rPr>
          <w:rStyle w:val="FootnoteReference"/>
          <w:rFonts w:ascii="Verdana" w:hAnsi="Verdana"/>
          <w:sz w:val="20"/>
          <w:szCs w:val="20"/>
          <w:lang w:val="es-ES"/>
        </w:rPr>
        <w:footnoteReference w:id="14"/>
      </w:r>
      <w:r w:rsidR="004F67EB" w:rsidRPr="00CF7FE6">
        <w:rPr>
          <w:rFonts w:ascii="Verdana" w:hAnsi="Verdana"/>
          <w:sz w:val="20"/>
          <w:szCs w:val="20"/>
          <w:lang w:val="es-ES"/>
        </w:rPr>
        <w:t>.</w:t>
      </w:r>
    </w:p>
    <w:p w14:paraId="3D743C72" w14:textId="77777777" w:rsidR="00D11EA9" w:rsidRPr="00CF7FE6" w:rsidRDefault="00D11EA9" w:rsidP="00EB7CE1">
      <w:pPr>
        <w:spacing w:after="0" w:line="240" w:lineRule="auto"/>
        <w:jc w:val="both"/>
        <w:rPr>
          <w:rFonts w:ascii="Verdana" w:hAnsi="Verdana"/>
          <w:sz w:val="20"/>
          <w:szCs w:val="20"/>
          <w:lang w:val="es-ES"/>
        </w:rPr>
      </w:pPr>
    </w:p>
    <w:p w14:paraId="2F3FC8E4" w14:textId="77777777" w:rsidR="009377B9" w:rsidRPr="00CF7FE6" w:rsidRDefault="002751A8" w:rsidP="00EB7CE1">
      <w:pPr>
        <w:spacing w:after="0" w:line="240" w:lineRule="auto"/>
        <w:jc w:val="both"/>
        <w:rPr>
          <w:rFonts w:ascii="Verdana" w:hAnsi="Verdana"/>
          <w:sz w:val="20"/>
          <w:szCs w:val="20"/>
          <w:lang w:val="es-ES"/>
        </w:rPr>
      </w:pPr>
      <w:r w:rsidRPr="00CF7FE6">
        <w:rPr>
          <w:rFonts w:ascii="Verdana" w:hAnsi="Verdana"/>
          <w:sz w:val="20"/>
          <w:szCs w:val="20"/>
          <w:lang w:val="es-ES"/>
        </w:rPr>
        <w:t>Procede</w:t>
      </w:r>
      <w:r w:rsidR="008A0B43" w:rsidRPr="00CF7FE6">
        <w:rPr>
          <w:rFonts w:ascii="Verdana" w:hAnsi="Verdana"/>
          <w:sz w:val="20"/>
          <w:szCs w:val="20"/>
          <w:lang w:val="es-ES"/>
        </w:rPr>
        <w:t>, asimismo</w:t>
      </w:r>
      <w:r w:rsidR="00DB225B" w:rsidRPr="00CF7FE6">
        <w:rPr>
          <w:rFonts w:ascii="Verdana" w:hAnsi="Verdana"/>
          <w:sz w:val="20"/>
          <w:szCs w:val="20"/>
          <w:lang w:val="es-ES"/>
        </w:rPr>
        <w:t xml:space="preserve">, </w:t>
      </w:r>
      <w:r w:rsidR="003A433E" w:rsidRPr="00CF7FE6">
        <w:rPr>
          <w:rFonts w:ascii="Verdana" w:hAnsi="Verdana"/>
          <w:sz w:val="20"/>
          <w:szCs w:val="20"/>
          <w:lang w:val="es-ES"/>
        </w:rPr>
        <w:t xml:space="preserve">dejar expresa constancia </w:t>
      </w:r>
      <w:r w:rsidR="002A687F">
        <w:rPr>
          <w:rFonts w:ascii="Verdana" w:hAnsi="Verdana"/>
          <w:sz w:val="20"/>
          <w:szCs w:val="20"/>
          <w:lang w:val="es-ES"/>
        </w:rPr>
        <w:t xml:space="preserve">de </w:t>
      </w:r>
      <w:r w:rsidR="003A433E" w:rsidRPr="00CF7FE6">
        <w:rPr>
          <w:rFonts w:ascii="Verdana" w:hAnsi="Verdana"/>
          <w:sz w:val="20"/>
          <w:szCs w:val="20"/>
          <w:lang w:val="es-ES"/>
        </w:rPr>
        <w:t>qu</w:t>
      </w:r>
      <w:r w:rsidR="005D2DB8" w:rsidRPr="00CF7FE6">
        <w:rPr>
          <w:rFonts w:ascii="Verdana" w:hAnsi="Verdana"/>
          <w:sz w:val="20"/>
          <w:szCs w:val="20"/>
          <w:lang w:val="es-ES"/>
        </w:rPr>
        <w:t xml:space="preserve">e, </w:t>
      </w:r>
      <w:r w:rsidR="0023249E" w:rsidRPr="00CF7FE6">
        <w:rPr>
          <w:rFonts w:ascii="Verdana" w:hAnsi="Verdana"/>
          <w:sz w:val="20"/>
          <w:szCs w:val="20"/>
          <w:lang w:val="es-ES"/>
        </w:rPr>
        <w:t>con lo que se sustenta en la</w:t>
      </w:r>
      <w:r w:rsidR="000158F2" w:rsidRPr="00CF7FE6">
        <w:rPr>
          <w:rFonts w:ascii="Verdana" w:hAnsi="Verdana"/>
          <w:sz w:val="20"/>
          <w:szCs w:val="20"/>
          <w:lang w:val="es-ES"/>
        </w:rPr>
        <w:t xml:space="preserve"> presente</w:t>
      </w:r>
      <w:r w:rsidR="0023249E" w:rsidRPr="00CF7FE6">
        <w:rPr>
          <w:rFonts w:ascii="Verdana" w:hAnsi="Verdana"/>
          <w:sz w:val="20"/>
          <w:szCs w:val="20"/>
          <w:lang w:val="es-ES"/>
        </w:rPr>
        <w:t xml:space="preserve"> opinión</w:t>
      </w:r>
      <w:r w:rsidR="005D2DB8" w:rsidRPr="00CF7FE6">
        <w:rPr>
          <w:rFonts w:ascii="Verdana" w:hAnsi="Verdana"/>
          <w:sz w:val="20"/>
          <w:szCs w:val="20"/>
          <w:lang w:val="es-ES"/>
        </w:rPr>
        <w:t>,</w:t>
      </w:r>
      <w:r w:rsidR="003A433E" w:rsidRPr="00CF7FE6">
        <w:rPr>
          <w:rFonts w:ascii="Verdana" w:hAnsi="Verdana"/>
          <w:sz w:val="20"/>
          <w:szCs w:val="20"/>
          <w:lang w:val="es-ES"/>
        </w:rPr>
        <w:t xml:space="preserve"> no se persigue, bajo </w:t>
      </w:r>
      <w:r w:rsidR="0023249E" w:rsidRPr="00CF7FE6">
        <w:rPr>
          <w:rFonts w:ascii="Verdana" w:hAnsi="Verdana"/>
          <w:sz w:val="20"/>
          <w:szCs w:val="20"/>
          <w:lang w:val="es-ES"/>
        </w:rPr>
        <w:t>ninguna circunstancia</w:t>
      </w:r>
      <w:r w:rsidR="003A433E" w:rsidRPr="00CF7FE6">
        <w:rPr>
          <w:rFonts w:ascii="Verdana" w:hAnsi="Verdana"/>
          <w:sz w:val="20"/>
          <w:szCs w:val="20"/>
          <w:lang w:val="es-ES"/>
        </w:rPr>
        <w:t xml:space="preserve">, un debilitamiento o restricción de la vigencia de los derechos humanos, sino, precisamente, todo lo contrario. Efectivamente, lo que </w:t>
      </w:r>
      <w:r w:rsidR="002A687F">
        <w:rPr>
          <w:rFonts w:ascii="Verdana" w:hAnsi="Verdana"/>
          <w:sz w:val="20"/>
          <w:szCs w:val="20"/>
          <w:lang w:val="es-ES"/>
        </w:rPr>
        <w:t xml:space="preserve">aquí </w:t>
      </w:r>
      <w:r w:rsidR="003A433E" w:rsidRPr="00CF7FE6">
        <w:rPr>
          <w:rFonts w:ascii="Verdana" w:hAnsi="Verdana"/>
          <w:sz w:val="20"/>
          <w:szCs w:val="20"/>
          <w:lang w:val="es-ES"/>
        </w:rPr>
        <w:t>se se</w:t>
      </w:r>
      <w:r w:rsidR="002A687F">
        <w:rPr>
          <w:rFonts w:ascii="Verdana" w:hAnsi="Verdana"/>
          <w:sz w:val="20"/>
          <w:szCs w:val="20"/>
          <w:lang w:val="es-ES"/>
        </w:rPr>
        <w:t xml:space="preserve">ñala responde a </w:t>
      </w:r>
      <w:r w:rsidR="006569A1">
        <w:rPr>
          <w:rFonts w:ascii="Verdana" w:hAnsi="Verdana"/>
          <w:sz w:val="20"/>
          <w:szCs w:val="20"/>
          <w:lang w:val="es-ES"/>
        </w:rPr>
        <w:t>la íntima certeza</w:t>
      </w:r>
      <w:r w:rsidR="003A433E" w:rsidRPr="00CF7FE6">
        <w:rPr>
          <w:rFonts w:ascii="Verdana" w:hAnsi="Verdana"/>
          <w:sz w:val="20"/>
          <w:szCs w:val="20"/>
          <w:lang w:val="es-ES"/>
        </w:rPr>
        <w:t xml:space="preserve"> de que se logra el efectivo respeto de los derechos humanos si lo que se les exige a los Estados </w:t>
      </w:r>
      <w:r w:rsidR="003A433E" w:rsidRPr="00CF7FE6">
        <w:rPr>
          <w:rFonts w:ascii="Verdana" w:hAnsi="Verdana"/>
          <w:sz w:val="20"/>
          <w:szCs w:val="20"/>
          <w:lang w:val="es-ES"/>
        </w:rPr>
        <w:lastRenderedPageBreak/>
        <w:t>Partes de la Convención es lo que realmente ellos libre y soberanamente se comprometieron a cumplir. La seguridad jurídica tiene, a es</w:t>
      </w:r>
      <w:r w:rsidR="00EF74BF" w:rsidRPr="00CF7FE6">
        <w:rPr>
          <w:rFonts w:ascii="Verdana" w:hAnsi="Verdana"/>
          <w:sz w:val="20"/>
          <w:szCs w:val="20"/>
          <w:lang w:val="es-ES"/>
        </w:rPr>
        <w:t>te respecto, un rol fundamental y, por ende, no puede ser entendida como una limitación o restricción al desarrollo de los derechos humanos, sino que</w:t>
      </w:r>
      <w:r w:rsidR="00D15234">
        <w:rPr>
          <w:rFonts w:ascii="Verdana" w:hAnsi="Verdana"/>
          <w:sz w:val="20"/>
          <w:szCs w:val="20"/>
          <w:lang w:val="es-ES"/>
        </w:rPr>
        <w:t xml:space="preserve"> más bien </w:t>
      </w:r>
      <w:r w:rsidR="00EF74BF" w:rsidRPr="00CF7FE6">
        <w:rPr>
          <w:rFonts w:ascii="Verdana" w:hAnsi="Verdana"/>
          <w:sz w:val="20"/>
          <w:szCs w:val="20"/>
          <w:lang w:val="es-ES"/>
        </w:rPr>
        <w:t>como el instrumento que mejor</w:t>
      </w:r>
      <w:r w:rsidR="00B55BB3" w:rsidRPr="00CF7FE6">
        <w:rPr>
          <w:rFonts w:ascii="Verdana" w:hAnsi="Verdana"/>
          <w:sz w:val="20"/>
          <w:szCs w:val="20"/>
          <w:lang w:val="es-ES"/>
        </w:rPr>
        <w:t xml:space="preserve"> puede </w:t>
      </w:r>
      <w:r w:rsidR="00EF74BF" w:rsidRPr="00CF7FE6">
        <w:rPr>
          <w:rFonts w:ascii="Verdana" w:hAnsi="Verdana"/>
          <w:sz w:val="20"/>
          <w:szCs w:val="20"/>
          <w:lang w:val="es-ES"/>
        </w:rPr>
        <w:t xml:space="preserve"> garantiza</w:t>
      </w:r>
      <w:r w:rsidR="00B55BB3" w:rsidRPr="00CF7FE6">
        <w:rPr>
          <w:rFonts w:ascii="Verdana" w:hAnsi="Verdana"/>
          <w:sz w:val="20"/>
          <w:szCs w:val="20"/>
          <w:lang w:val="es-ES"/>
        </w:rPr>
        <w:t>r</w:t>
      </w:r>
      <w:r w:rsidR="00EF74BF" w:rsidRPr="00CF7FE6">
        <w:rPr>
          <w:rFonts w:ascii="Verdana" w:hAnsi="Verdana"/>
          <w:sz w:val="20"/>
          <w:szCs w:val="20"/>
          <w:lang w:val="es-ES"/>
        </w:rPr>
        <w:t xml:space="preserve"> su </w:t>
      </w:r>
      <w:r w:rsidR="00B55BB3" w:rsidRPr="00CF7FE6">
        <w:rPr>
          <w:rFonts w:ascii="Verdana" w:hAnsi="Verdana"/>
          <w:sz w:val="20"/>
          <w:szCs w:val="20"/>
          <w:lang w:val="es-ES"/>
        </w:rPr>
        <w:t xml:space="preserve">efectivo </w:t>
      </w:r>
      <w:r w:rsidR="0014760F" w:rsidRPr="00CF7FE6">
        <w:rPr>
          <w:rFonts w:ascii="Verdana" w:hAnsi="Verdana"/>
          <w:sz w:val="20"/>
          <w:szCs w:val="20"/>
          <w:lang w:val="es-ES"/>
        </w:rPr>
        <w:t>respeto o su pronto restablecimiento</w:t>
      </w:r>
      <w:r w:rsidR="005D2DB8" w:rsidRPr="00CF7FE6">
        <w:rPr>
          <w:rFonts w:ascii="Verdana" w:hAnsi="Verdana"/>
          <w:sz w:val="20"/>
          <w:szCs w:val="20"/>
          <w:lang w:val="es-ES"/>
        </w:rPr>
        <w:t>,</w:t>
      </w:r>
      <w:r w:rsidR="0014760F" w:rsidRPr="00CF7FE6">
        <w:rPr>
          <w:rFonts w:ascii="Verdana" w:hAnsi="Verdana"/>
          <w:sz w:val="20"/>
          <w:szCs w:val="20"/>
          <w:lang w:val="es-ES"/>
        </w:rPr>
        <w:t xml:space="preserve"> si han sido trasgredidos.</w:t>
      </w:r>
    </w:p>
    <w:p w14:paraId="3D0AA6C0" w14:textId="77777777" w:rsidR="003871E0" w:rsidRPr="00CF7FE6" w:rsidRDefault="000158F2" w:rsidP="00EB7CE1">
      <w:pPr>
        <w:spacing w:after="0" w:line="240" w:lineRule="auto"/>
        <w:jc w:val="both"/>
        <w:rPr>
          <w:rFonts w:ascii="Verdana" w:hAnsi="Verdana"/>
          <w:sz w:val="20"/>
          <w:szCs w:val="20"/>
          <w:lang w:val="es-ES"/>
        </w:rPr>
      </w:pPr>
      <w:r w:rsidRPr="00CF7FE6">
        <w:rPr>
          <w:rFonts w:ascii="Verdana" w:hAnsi="Verdana"/>
          <w:sz w:val="20"/>
          <w:szCs w:val="20"/>
          <w:lang w:val="es-ES"/>
        </w:rPr>
        <w:t xml:space="preserve"> </w:t>
      </w:r>
    </w:p>
    <w:p w14:paraId="5CABD802" w14:textId="77777777" w:rsidR="00D5318C" w:rsidRPr="00CF7FE6" w:rsidRDefault="00167E7D" w:rsidP="00EB7CE1">
      <w:pPr>
        <w:spacing w:after="0" w:line="240" w:lineRule="auto"/>
        <w:jc w:val="both"/>
        <w:rPr>
          <w:rFonts w:ascii="Verdana" w:hAnsi="Verdana"/>
          <w:sz w:val="20"/>
          <w:szCs w:val="20"/>
          <w:lang w:val="es-ES"/>
        </w:rPr>
      </w:pPr>
      <w:r>
        <w:rPr>
          <w:rFonts w:ascii="Verdana" w:hAnsi="Verdana"/>
          <w:sz w:val="20"/>
          <w:szCs w:val="20"/>
          <w:lang w:val="es-ES"/>
        </w:rPr>
        <w:t>L</w:t>
      </w:r>
      <w:r w:rsidR="000158F2" w:rsidRPr="00CF7FE6">
        <w:rPr>
          <w:rFonts w:ascii="Verdana" w:hAnsi="Verdana"/>
          <w:sz w:val="20"/>
          <w:szCs w:val="20"/>
          <w:lang w:val="es-ES"/>
        </w:rPr>
        <w:t>o que está subyacente a lo que se expone</w:t>
      </w:r>
      <w:r>
        <w:rPr>
          <w:rFonts w:ascii="Verdana" w:hAnsi="Verdana"/>
          <w:sz w:val="20"/>
          <w:szCs w:val="20"/>
          <w:lang w:val="es-ES"/>
        </w:rPr>
        <w:t xml:space="preserve"> en estas líneas</w:t>
      </w:r>
      <w:r w:rsidR="000158F2" w:rsidRPr="00CF7FE6">
        <w:rPr>
          <w:rFonts w:ascii="Verdana" w:hAnsi="Verdana"/>
          <w:sz w:val="20"/>
          <w:szCs w:val="20"/>
          <w:lang w:val="es-ES"/>
        </w:rPr>
        <w:t xml:space="preserve"> es</w:t>
      </w:r>
      <w:r>
        <w:rPr>
          <w:rFonts w:ascii="Verdana" w:hAnsi="Verdana"/>
          <w:sz w:val="20"/>
          <w:szCs w:val="20"/>
          <w:lang w:val="es-ES"/>
        </w:rPr>
        <w:t>, pues,</w:t>
      </w:r>
      <w:r w:rsidR="000158F2" w:rsidRPr="00CF7FE6">
        <w:rPr>
          <w:rFonts w:ascii="Verdana" w:hAnsi="Verdana"/>
          <w:sz w:val="20"/>
          <w:szCs w:val="20"/>
          <w:lang w:val="es-ES"/>
        </w:rPr>
        <w:t xml:space="preserve"> </w:t>
      </w:r>
      <w:r w:rsidR="002751A8" w:rsidRPr="00CF7FE6">
        <w:rPr>
          <w:rFonts w:ascii="Verdana" w:hAnsi="Verdana"/>
          <w:sz w:val="20"/>
          <w:szCs w:val="20"/>
          <w:lang w:val="es-ES"/>
        </w:rPr>
        <w:t xml:space="preserve">que </w:t>
      </w:r>
      <w:r w:rsidR="00D5318C" w:rsidRPr="00CF7FE6">
        <w:rPr>
          <w:rFonts w:ascii="Verdana" w:hAnsi="Verdana"/>
          <w:sz w:val="20"/>
          <w:szCs w:val="20"/>
          <w:lang w:val="es-ES"/>
        </w:rPr>
        <w:t xml:space="preserve">el Derecho es el medio para alcanzar la Justicia y ésta la paz y, por ende, dado </w:t>
      </w:r>
      <w:r w:rsidR="000158F2" w:rsidRPr="00CF7FE6">
        <w:rPr>
          <w:rFonts w:ascii="Verdana" w:hAnsi="Verdana"/>
          <w:sz w:val="20"/>
          <w:szCs w:val="20"/>
          <w:lang w:val="es-ES"/>
        </w:rPr>
        <w:t>que el Derecho Internacional de los Derechos Humanos forma parte d</w:t>
      </w:r>
      <w:r w:rsidR="00D5318C" w:rsidRPr="00CF7FE6">
        <w:rPr>
          <w:rFonts w:ascii="Verdana" w:hAnsi="Verdana"/>
          <w:sz w:val="20"/>
          <w:szCs w:val="20"/>
          <w:lang w:val="es-ES"/>
        </w:rPr>
        <w:t>el Derecho Internacional</w:t>
      </w:r>
      <w:r w:rsidR="002751A8" w:rsidRPr="00CF7FE6">
        <w:rPr>
          <w:rFonts w:ascii="Verdana" w:hAnsi="Verdana"/>
          <w:sz w:val="20"/>
          <w:szCs w:val="20"/>
          <w:lang w:val="es-ES"/>
        </w:rPr>
        <w:t xml:space="preserve"> General, la interpretación y aplicación de aquél deben ser realiza</w:t>
      </w:r>
      <w:r>
        <w:rPr>
          <w:rFonts w:ascii="Verdana" w:hAnsi="Verdana"/>
          <w:sz w:val="20"/>
          <w:szCs w:val="20"/>
          <w:lang w:val="es-ES"/>
        </w:rPr>
        <w:t xml:space="preserve">das en armonía con lo prescrito en </w:t>
      </w:r>
      <w:r w:rsidR="007D1A04">
        <w:rPr>
          <w:rFonts w:ascii="Verdana" w:hAnsi="Verdana"/>
          <w:sz w:val="20"/>
          <w:szCs w:val="20"/>
          <w:lang w:val="es-ES"/>
        </w:rPr>
        <w:t>éste</w:t>
      </w:r>
      <w:r w:rsidR="00475410" w:rsidRPr="00CF7FE6">
        <w:rPr>
          <w:rStyle w:val="FootnoteReference"/>
          <w:rFonts w:ascii="Verdana" w:hAnsi="Verdana"/>
          <w:sz w:val="20"/>
          <w:szCs w:val="20"/>
          <w:lang w:val="es-ES"/>
        </w:rPr>
        <w:footnoteReference w:id="15"/>
      </w:r>
      <w:r w:rsidR="009377B9" w:rsidRPr="00CF7FE6">
        <w:rPr>
          <w:rFonts w:ascii="Verdana" w:hAnsi="Verdana"/>
          <w:sz w:val="20"/>
          <w:szCs w:val="20"/>
          <w:lang w:val="es-ES"/>
        </w:rPr>
        <w:t>.</w:t>
      </w:r>
      <w:r w:rsidR="00D5318C" w:rsidRPr="00CF7FE6">
        <w:rPr>
          <w:rFonts w:ascii="Verdana" w:hAnsi="Verdana"/>
          <w:sz w:val="20"/>
          <w:szCs w:val="20"/>
          <w:lang w:val="es-ES"/>
        </w:rPr>
        <w:t xml:space="preserve"> </w:t>
      </w:r>
    </w:p>
    <w:p w14:paraId="478AB0C6" w14:textId="77777777" w:rsidR="00D11EA9" w:rsidRPr="00CF7FE6" w:rsidRDefault="00D11EA9" w:rsidP="00EB7CE1">
      <w:pPr>
        <w:spacing w:after="0" w:line="240" w:lineRule="auto"/>
        <w:jc w:val="both"/>
        <w:rPr>
          <w:rFonts w:ascii="Verdana" w:hAnsi="Verdana"/>
          <w:sz w:val="20"/>
          <w:szCs w:val="20"/>
          <w:lang w:val="es-ES"/>
        </w:rPr>
      </w:pPr>
    </w:p>
    <w:p w14:paraId="2EAC72EC" w14:textId="77777777" w:rsidR="00D11EA9" w:rsidRPr="00CF7FE6" w:rsidRDefault="00934A96" w:rsidP="00EB7CE1">
      <w:pPr>
        <w:spacing w:after="0" w:line="240" w:lineRule="auto"/>
        <w:jc w:val="both"/>
        <w:rPr>
          <w:rFonts w:ascii="Verdana" w:hAnsi="Verdana"/>
          <w:sz w:val="20"/>
          <w:szCs w:val="20"/>
          <w:lang w:val="es-ES"/>
        </w:rPr>
      </w:pPr>
      <w:r w:rsidRPr="00CF7FE6">
        <w:rPr>
          <w:rFonts w:ascii="Verdana" w:hAnsi="Verdana"/>
          <w:sz w:val="20"/>
          <w:szCs w:val="20"/>
          <w:lang w:val="es-ES"/>
        </w:rPr>
        <w:t>Por otra parte</w:t>
      </w:r>
      <w:r w:rsidR="005F33D0" w:rsidRPr="00CF7FE6">
        <w:rPr>
          <w:rFonts w:ascii="Verdana" w:hAnsi="Verdana"/>
          <w:sz w:val="20"/>
          <w:szCs w:val="20"/>
          <w:lang w:val="es-ES"/>
        </w:rPr>
        <w:t xml:space="preserve">, es procedente </w:t>
      </w:r>
      <w:r w:rsidRPr="00CF7FE6">
        <w:rPr>
          <w:rFonts w:ascii="Verdana" w:hAnsi="Verdana"/>
          <w:sz w:val="20"/>
          <w:szCs w:val="20"/>
          <w:lang w:val="es-ES"/>
        </w:rPr>
        <w:t xml:space="preserve">indicar </w:t>
      </w:r>
      <w:r w:rsidR="00D15234">
        <w:rPr>
          <w:rFonts w:ascii="Verdana" w:hAnsi="Verdana"/>
          <w:sz w:val="20"/>
          <w:szCs w:val="20"/>
          <w:lang w:val="es-ES"/>
        </w:rPr>
        <w:t>que este texto</w:t>
      </w:r>
      <w:r w:rsidR="00DF4DA6" w:rsidRPr="00CF7FE6">
        <w:rPr>
          <w:rFonts w:ascii="Verdana" w:hAnsi="Verdana"/>
          <w:sz w:val="20"/>
          <w:szCs w:val="20"/>
          <w:lang w:val="es-ES"/>
        </w:rPr>
        <w:t xml:space="preserve"> </w:t>
      </w:r>
      <w:r w:rsidR="005F33D0" w:rsidRPr="00CF7FE6">
        <w:rPr>
          <w:rFonts w:ascii="Verdana" w:hAnsi="Verdana"/>
          <w:sz w:val="20"/>
          <w:szCs w:val="20"/>
          <w:lang w:val="es-ES"/>
        </w:rPr>
        <w:t>responde igualmente a la circunstancia de que la Corte, en tanto órgano judicial, goza de la más amplia autonomía</w:t>
      </w:r>
      <w:r w:rsidR="000A2590">
        <w:rPr>
          <w:rFonts w:ascii="Verdana" w:hAnsi="Verdana"/>
          <w:sz w:val="20"/>
          <w:szCs w:val="20"/>
          <w:lang w:val="es-ES"/>
        </w:rPr>
        <w:t xml:space="preserve"> en su quehacer</w:t>
      </w:r>
      <w:r w:rsidR="005F33D0" w:rsidRPr="00CF7FE6">
        <w:rPr>
          <w:rFonts w:ascii="Verdana" w:hAnsi="Verdana"/>
          <w:sz w:val="20"/>
          <w:szCs w:val="20"/>
          <w:lang w:val="es-ES"/>
        </w:rPr>
        <w:t>, no existie</w:t>
      </w:r>
      <w:r w:rsidR="006C2095" w:rsidRPr="00CF7FE6">
        <w:rPr>
          <w:rFonts w:ascii="Verdana" w:hAnsi="Verdana"/>
          <w:sz w:val="20"/>
          <w:szCs w:val="20"/>
          <w:lang w:val="es-ES"/>
        </w:rPr>
        <w:t>ndo entidad superior que pueda</w:t>
      </w:r>
      <w:r w:rsidR="005F33D0" w:rsidRPr="00CF7FE6">
        <w:rPr>
          <w:rFonts w:ascii="Verdana" w:hAnsi="Verdana"/>
          <w:sz w:val="20"/>
          <w:szCs w:val="20"/>
          <w:lang w:val="es-ES"/>
        </w:rPr>
        <w:t xml:space="preserve"> control</w:t>
      </w:r>
      <w:r w:rsidR="001269C1" w:rsidRPr="00CF7FE6">
        <w:rPr>
          <w:rFonts w:ascii="Verdana" w:hAnsi="Verdana"/>
          <w:sz w:val="20"/>
          <w:szCs w:val="20"/>
          <w:lang w:val="es-ES"/>
        </w:rPr>
        <w:t xml:space="preserve">ar su proceder, característica </w:t>
      </w:r>
      <w:r w:rsidR="005F33D0" w:rsidRPr="00CF7FE6">
        <w:rPr>
          <w:rFonts w:ascii="Verdana" w:hAnsi="Verdana"/>
          <w:sz w:val="20"/>
          <w:szCs w:val="20"/>
          <w:lang w:val="es-ES"/>
        </w:rPr>
        <w:t>que le impone el imperativo de ser ella misma muy rigurosa en el ejercicio de su competencia, a los efectos de no desnaturalizarla y, consecuentemente, debilitar el sistema de protección interamericano de dere</w:t>
      </w:r>
      <w:r w:rsidR="003871E0" w:rsidRPr="00CF7FE6">
        <w:rPr>
          <w:rFonts w:ascii="Verdana" w:hAnsi="Verdana"/>
          <w:sz w:val="20"/>
          <w:szCs w:val="20"/>
          <w:lang w:val="es-ES"/>
        </w:rPr>
        <w:t>chos humanos. En tal orden de ideas</w:t>
      </w:r>
      <w:r w:rsidR="00DF4DA6" w:rsidRPr="00CF7FE6">
        <w:rPr>
          <w:rFonts w:ascii="Verdana" w:hAnsi="Verdana"/>
          <w:sz w:val="20"/>
          <w:szCs w:val="20"/>
          <w:lang w:val="es-ES"/>
        </w:rPr>
        <w:t>, lo que se argumenta</w:t>
      </w:r>
      <w:r w:rsidR="005F33D0" w:rsidRPr="00CF7FE6">
        <w:rPr>
          <w:rFonts w:ascii="Verdana" w:hAnsi="Verdana"/>
          <w:sz w:val="20"/>
          <w:szCs w:val="20"/>
          <w:lang w:val="es-ES"/>
        </w:rPr>
        <w:t xml:space="preserve"> seguidamente persigue el más amplio reconocimiento de la Corte por parte de todos los que comparecen ante ella y así fortalecer</w:t>
      </w:r>
      <w:r w:rsidR="00C2084E" w:rsidRPr="00CF7FE6">
        <w:rPr>
          <w:rFonts w:ascii="Verdana" w:hAnsi="Verdana"/>
          <w:sz w:val="20"/>
          <w:szCs w:val="20"/>
          <w:lang w:val="es-ES"/>
        </w:rPr>
        <w:t>la en su condición de órgano judicial y, consecuentemente, como la entidad de alcance continental más acabada que se ha logrado en resg</w:t>
      </w:r>
      <w:r w:rsidR="006C2095" w:rsidRPr="00CF7FE6">
        <w:rPr>
          <w:rFonts w:ascii="Verdana" w:hAnsi="Verdana"/>
          <w:sz w:val="20"/>
          <w:szCs w:val="20"/>
          <w:lang w:val="es-ES"/>
        </w:rPr>
        <w:t xml:space="preserve">uardo de los derechos humanos, por lo </w:t>
      </w:r>
      <w:r w:rsidR="00BC0318" w:rsidRPr="00CF7FE6">
        <w:rPr>
          <w:rFonts w:ascii="Verdana" w:hAnsi="Verdana"/>
          <w:sz w:val="20"/>
          <w:szCs w:val="20"/>
          <w:lang w:val="es-ES"/>
        </w:rPr>
        <w:t xml:space="preserve">que, por tanto, </w:t>
      </w:r>
      <w:r w:rsidR="00354894">
        <w:rPr>
          <w:rFonts w:ascii="Verdana" w:hAnsi="Verdana"/>
          <w:sz w:val="20"/>
          <w:szCs w:val="20"/>
          <w:lang w:val="es-ES"/>
        </w:rPr>
        <w:t xml:space="preserve">es menester persistir en su consolidación y perfeccionamiento, sin someterla </w:t>
      </w:r>
      <w:r w:rsidR="003871E0" w:rsidRPr="00CF7FE6">
        <w:rPr>
          <w:rFonts w:ascii="Verdana" w:hAnsi="Verdana"/>
          <w:sz w:val="20"/>
          <w:szCs w:val="20"/>
          <w:lang w:val="es-ES"/>
        </w:rPr>
        <w:t>a riesgos</w:t>
      </w:r>
      <w:r w:rsidR="00167E7D">
        <w:rPr>
          <w:rFonts w:ascii="Verdana" w:hAnsi="Verdana"/>
          <w:sz w:val="20"/>
          <w:szCs w:val="20"/>
          <w:lang w:val="es-ES"/>
        </w:rPr>
        <w:t xml:space="preserve"> que puedan afectar</w:t>
      </w:r>
      <w:r w:rsidR="00354894">
        <w:rPr>
          <w:rFonts w:ascii="Verdana" w:hAnsi="Verdana"/>
          <w:sz w:val="20"/>
          <w:szCs w:val="20"/>
          <w:lang w:val="es-ES"/>
        </w:rPr>
        <w:t xml:space="preserve"> negativamente dicho esfuerzo</w:t>
      </w:r>
      <w:r w:rsidR="00C2084E" w:rsidRPr="00CF7FE6">
        <w:rPr>
          <w:rFonts w:ascii="Verdana" w:hAnsi="Verdana"/>
          <w:sz w:val="20"/>
          <w:szCs w:val="20"/>
          <w:lang w:val="es-ES"/>
        </w:rPr>
        <w:t xml:space="preserve">. </w:t>
      </w:r>
    </w:p>
    <w:p w14:paraId="28C19D28" w14:textId="77777777" w:rsidR="009377B9" w:rsidRPr="00CF7FE6" w:rsidRDefault="009377B9" w:rsidP="00EB7CE1">
      <w:pPr>
        <w:spacing w:after="0" w:line="240" w:lineRule="auto"/>
        <w:jc w:val="both"/>
        <w:rPr>
          <w:rFonts w:ascii="Verdana" w:hAnsi="Verdana"/>
          <w:sz w:val="20"/>
          <w:szCs w:val="20"/>
          <w:lang w:val="es-ES"/>
        </w:rPr>
      </w:pPr>
    </w:p>
    <w:p w14:paraId="26B6BDB5" w14:textId="77777777" w:rsidR="00DB225B" w:rsidRPr="00273011" w:rsidRDefault="00DB225B" w:rsidP="00EB7CE1">
      <w:pPr>
        <w:pStyle w:val="ListParagraph"/>
        <w:numPr>
          <w:ilvl w:val="0"/>
          <w:numId w:val="11"/>
        </w:numPr>
        <w:spacing w:after="0" w:line="240" w:lineRule="auto"/>
        <w:jc w:val="both"/>
        <w:rPr>
          <w:rFonts w:ascii="Verdana" w:hAnsi="Verdana"/>
          <w:b/>
          <w:sz w:val="20"/>
          <w:szCs w:val="20"/>
          <w:lang w:val="es-ES"/>
        </w:rPr>
      </w:pPr>
      <w:r w:rsidRPr="00273011">
        <w:rPr>
          <w:rFonts w:ascii="Verdana" w:hAnsi="Verdana"/>
          <w:b/>
          <w:sz w:val="20"/>
          <w:szCs w:val="20"/>
          <w:lang w:val="es-ES"/>
        </w:rPr>
        <w:t>La disidencia.</w:t>
      </w:r>
    </w:p>
    <w:p w14:paraId="4B9888BE" w14:textId="77777777" w:rsidR="00D11EA9" w:rsidRPr="00CF7FE6" w:rsidRDefault="00D11EA9" w:rsidP="00EB7CE1">
      <w:pPr>
        <w:spacing w:after="0" w:line="240" w:lineRule="auto"/>
        <w:jc w:val="both"/>
        <w:rPr>
          <w:rFonts w:ascii="Verdana" w:hAnsi="Verdana"/>
          <w:b/>
          <w:sz w:val="20"/>
          <w:szCs w:val="20"/>
          <w:lang w:val="es-ES"/>
        </w:rPr>
      </w:pPr>
    </w:p>
    <w:p w14:paraId="35C2BF82" w14:textId="77777777" w:rsidR="007A0D2D" w:rsidRPr="00CF7FE6" w:rsidRDefault="007D3D1C" w:rsidP="00EB7CE1">
      <w:pPr>
        <w:spacing w:after="0" w:line="240" w:lineRule="auto"/>
        <w:jc w:val="both"/>
        <w:rPr>
          <w:rFonts w:ascii="Verdana" w:hAnsi="Verdana"/>
          <w:sz w:val="20"/>
          <w:szCs w:val="20"/>
          <w:lang w:val="es-ES"/>
        </w:rPr>
      </w:pPr>
      <w:r>
        <w:rPr>
          <w:rFonts w:ascii="Verdana" w:hAnsi="Verdana"/>
          <w:sz w:val="20"/>
          <w:szCs w:val="20"/>
          <w:lang w:val="es-ES"/>
        </w:rPr>
        <w:t>La desavenencia</w:t>
      </w:r>
      <w:r w:rsidR="007A0D2D" w:rsidRPr="00CF7FE6">
        <w:rPr>
          <w:rFonts w:ascii="Verdana" w:hAnsi="Verdana"/>
          <w:sz w:val="20"/>
          <w:szCs w:val="20"/>
          <w:lang w:val="es-ES"/>
        </w:rPr>
        <w:t xml:space="preserve"> parcial que se plantea </w:t>
      </w:r>
      <w:r w:rsidR="000A2590">
        <w:rPr>
          <w:rFonts w:ascii="Verdana" w:hAnsi="Verdana"/>
          <w:sz w:val="20"/>
          <w:szCs w:val="20"/>
          <w:lang w:val="es-ES"/>
        </w:rPr>
        <w:t xml:space="preserve">en este escrito </w:t>
      </w:r>
      <w:r w:rsidR="007A0D2D" w:rsidRPr="00CF7FE6">
        <w:rPr>
          <w:rFonts w:ascii="Verdana" w:hAnsi="Verdana"/>
          <w:sz w:val="20"/>
          <w:szCs w:val="20"/>
          <w:lang w:val="es-ES"/>
        </w:rPr>
        <w:t>se refiere, como se ha señalado, a la violación de dos derechos, al derecho a la estabilidad en el empleo y al derecho de asociación.</w:t>
      </w:r>
    </w:p>
    <w:p w14:paraId="0B39B9F1" w14:textId="77777777" w:rsidR="00D11EA9" w:rsidRPr="00CF7FE6" w:rsidRDefault="00D11EA9" w:rsidP="00EB7CE1">
      <w:pPr>
        <w:spacing w:after="0" w:line="240" w:lineRule="auto"/>
        <w:jc w:val="both"/>
        <w:rPr>
          <w:rFonts w:ascii="Verdana" w:hAnsi="Verdana"/>
          <w:sz w:val="20"/>
          <w:szCs w:val="20"/>
          <w:lang w:val="es-ES"/>
        </w:rPr>
      </w:pPr>
    </w:p>
    <w:p w14:paraId="409F129D" w14:textId="77777777" w:rsidR="007A0D2D" w:rsidRPr="00CF7FE6" w:rsidRDefault="00CE0698" w:rsidP="00EB7CE1">
      <w:pPr>
        <w:pStyle w:val="ListParagraph"/>
        <w:numPr>
          <w:ilvl w:val="0"/>
          <w:numId w:val="12"/>
        </w:numPr>
        <w:spacing w:after="0" w:line="240" w:lineRule="auto"/>
        <w:jc w:val="both"/>
        <w:rPr>
          <w:rFonts w:ascii="Verdana" w:hAnsi="Verdana"/>
          <w:sz w:val="20"/>
          <w:szCs w:val="20"/>
          <w:lang w:val="es-ES"/>
        </w:rPr>
      </w:pPr>
      <w:r w:rsidRPr="00CF7FE6">
        <w:rPr>
          <w:rFonts w:ascii="Verdana" w:hAnsi="Verdana"/>
          <w:b/>
          <w:sz w:val="20"/>
          <w:szCs w:val="20"/>
          <w:lang w:val="es-ES"/>
        </w:rPr>
        <w:t>D</w:t>
      </w:r>
      <w:r w:rsidR="007A0D2D" w:rsidRPr="00CF7FE6">
        <w:rPr>
          <w:rFonts w:ascii="Verdana" w:hAnsi="Verdana"/>
          <w:b/>
          <w:sz w:val="20"/>
          <w:szCs w:val="20"/>
          <w:lang w:val="es-ES"/>
        </w:rPr>
        <w:t>erecho a la estabilidad en el empleo</w:t>
      </w:r>
      <w:r w:rsidR="007A0D2D" w:rsidRPr="00CF7FE6">
        <w:rPr>
          <w:rFonts w:ascii="Verdana" w:hAnsi="Verdana"/>
          <w:sz w:val="20"/>
          <w:szCs w:val="20"/>
          <w:lang w:val="es-ES"/>
        </w:rPr>
        <w:t xml:space="preserve">. </w:t>
      </w:r>
    </w:p>
    <w:p w14:paraId="3199F67D" w14:textId="77777777" w:rsidR="00D11EA9" w:rsidRPr="00CF7FE6" w:rsidRDefault="00D11EA9" w:rsidP="00EB7CE1">
      <w:pPr>
        <w:pStyle w:val="ListParagraph"/>
        <w:spacing w:after="0" w:line="240" w:lineRule="auto"/>
        <w:ind w:left="0"/>
        <w:jc w:val="both"/>
        <w:rPr>
          <w:rFonts w:ascii="Verdana" w:hAnsi="Verdana"/>
          <w:sz w:val="20"/>
          <w:szCs w:val="20"/>
          <w:lang w:val="es-ES"/>
        </w:rPr>
      </w:pPr>
    </w:p>
    <w:p w14:paraId="7A91F100" w14:textId="77777777" w:rsidR="000C386D" w:rsidRPr="00CF7FE6" w:rsidRDefault="007A0D2D" w:rsidP="00EB7CE1">
      <w:pPr>
        <w:spacing w:after="0" w:line="240" w:lineRule="auto"/>
        <w:jc w:val="both"/>
        <w:rPr>
          <w:rFonts w:ascii="Verdana" w:hAnsi="Verdana"/>
          <w:i/>
          <w:sz w:val="20"/>
          <w:szCs w:val="20"/>
          <w:lang w:val="es-ES"/>
        </w:rPr>
      </w:pPr>
      <w:r w:rsidRPr="00CF7FE6">
        <w:rPr>
          <w:rFonts w:ascii="Verdana" w:hAnsi="Verdana"/>
          <w:sz w:val="20"/>
          <w:szCs w:val="20"/>
          <w:lang w:val="es-ES"/>
        </w:rPr>
        <w:t>En lo concerniente al derecho a la estab</w:t>
      </w:r>
      <w:r w:rsidR="009377B9" w:rsidRPr="00CF7FE6">
        <w:rPr>
          <w:rFonts w:ascii="Verdana" w:hAnsi="Verdana"/>
          <w:sz w:val="20"/>
          <w:szCs w:val="20"/>
          <w:lang w:val="es-ES"/>
        </w:rPr>
        <w:t xml:space="preserve">ilidad en el empleo, es indispensable señalar </w:t>
      </w:r>
      <w:r w:rsidR="000A2590">
        <w:rPr>
          <w:rFonts w:ascii="Verdana" w:hAnsi="Verdana"/>
          <w:sz w:val="20"/>
          <w:szCs w:val="20"/>
          <w:lang w:val="es-ES"/>
        </w:rPr>
        <w:t xml:space="preserve">que la disidencia en cuestión </w:t>
      </w:r>
      <w:r w:rsidR="000C14D0" w:rsidRPr="00CF7FE6">
        <w:rPr>
          <w:rFonts w:ascii="Verdana" w:hAnsi="Verdana"/>
          <w:sz w:val="20"/>
          <w:szCs w:val="20"/>
          <w:lang w:val="es-ES"/>
        </w:rPr>
        <w:t>no se refiere a la e</w:t>
      </w:r>
      <w:r w:rsidR="0014760F" w:rsidRPr="00CF7FE6">
        <w:rPr>
          <w:rFonts w:ascii="Verdana" w:hAnsi="Verdana"/>
          <w:sz w:val="20"/>
          <w:szCs w:val="20"/>
          <w:lang w:val="es-ES"/>
        </w:rPr>
        <w:t xml:space="preserve">xistencia </w:t>
      </w:r>
      <w:r w:rsidRPr="00CF7FE6">
        <w:rPr>
          <w:rFonts w:ascii="Verdana" w:hAnsi="Verdana"/>
          <w:sz w:val="20"/>
          <w:szCs w:val="20"/>
          <w:lang w:val="es-ES"/>
        </w:rPr>
        <w:t>de dicho</w:t>
      </w:r>
      <w:r w:rsidR="00DB225B" w:rsidRPr="00CF7FE6">
        <w:rPr>
          <w:rFonts w:ascii="Verdana" w:hAnsi="Verdana"/>
          <w:sz w:val="20"/>
          <w:szCs w:val="20"/>
          <w:lang w:val="es-ES"/>
        </w:rPr>
        <w:t xml:space="preserve"> derec</w:t>
      </w:r>
      <w:r w:rsidRPr="00CF7FE6">
        <w:rPr>
          <w:rFonts w:ascii="Verdana" w:hAnsi="Verdana"/>
          <w:sz w:val="20"/>
          <w:szCs w:val="20"/>
          <w:lang w:val="es-ES"/>
        </w:rPr>
        <w:t>ho</w:t>
      </w:r>
      <w:r w:rsidR="00DB225B" w:rsidRPr="00CF7FE6">
        <w:rPr>
          <w:rFonts w:ascii="Verdana" w:hAnsi="Verdana"/>
          <w:sz w:val="20"/>
          <w:szCs w:val="20"/>
          <w:lang w:val="es-ES"/>
        </w:rPr>
        <w:t xml:space="preserve">, </w:t>
      </w:r>
      <w:r w:rsidR="00505082" w:rsidRPr="00CF7FE6">
        <w:rPr>
          <w:rFonts w:ascii="Verdana" w:hAnsi="Verdana"/>
          <w:sz w:val="20"/>
          <w:szCs w:val="20"/>
          <w:lang w:val="es-ES"/>
        </w:rPr>
        <w:t xml:space="preserve">ni </w:t>
      </w:r>
      <w:r w:rsidR="00DB225B" w:rsidRPr="00CF7FE6">
        <w:rPr>
          <w:rFonts w:ascii="Verdana" w:hAnsi="Verdana"/>
          <w:sz w:val="20"/>
          <w:szCs w:val="20"/>
          <w:lang w:val="es-ES"/>
        </w:rPr>
        <w:t xml:space="preserve">tampoco </w:t>
      </w:r>
      <w:r w:rsidR="00505082" w:rsidRPr="00CF7FE6">
        <w:rPr>
          <w:rFonts w:ascii="Verdana" w:hAnsi="Verdana"/>
          <w:sz w:val="20"/>
          <w:szCs w:val="20"/>
          <w:lang w:val="es-ES"/>
        </w:rPr>
        <w:t>a</w:t>
      </w:r>
      <w:r w:rsidR="00DB225B" w:rsidRPr="00CF7FE6">
        <w:rPr>
          <w:rFonts w:ascii="Verdana" w:hAnsi="Verdana"/>
          <w:sz w:val="20"/>
          <w:szCs w:val="20"/>
          <w:lang w:val="es-ES"/>
        </w:rPr>
        <w:t xml:space="preserve"> la de</w:t>
      </w:r>
      <w:r w:rsidR="00505082" w:rsidRPr="00CF7FE6">
        <w:rPr>
          <w:rFonts w:ascii="Verdana" w:hAnsi="Verdana"/>
          <w:sz w:val="20"/>
          <w:szCs w:val="20"/>
          <w:lang w:val="es-ES"/>
        </w:rPr>
        <w:t xml:space="preserve"> los demás derechos económicos, sociales y culturales</w:t>
      </w:r>
      <w:r w:rsidR="000C14D0" w:rsidRPr="00CF7FE6">
        <w:rPr>
          <w:rFonts w:ascii="Verdana" w:hAnsi="Verdana"/>
          <w:sz w:val="20"/>
          <w:szCs w:val="20"/>
          <w:lang w:val="es-ES"/>
        </w:rPr>
        <w:t>. Ello no se pone en duda</w:t>
      </w:r>
      <w:r w:rsidR="00505082" w:rsidRPr="00CF7FE6">
        <w:rPr>
          <w:rFonts w:ascii="Verdana" w:hAnsi="Verdana"/>
          <w:sz w:val="20"/>
          <w:szCs w:val="20"/>
          <w:lang w:val="es-ES"/>
        </w:rPr>
        <w:t xml:space="preserve">, pues es evidente que </w:t>
      </w:r>
      <w:r w:rsidR="000C14D0" w:rsidRPr="00CF7FE6">
        <w:rPr>
          <w:rFonts w:ascii="Verdana" w:hAnsi="Verdana"/>
          <w:sz w:val="20"/>
          <w:szCs w:val="20"/>
          <w:lang w:val="es-ES"/>
        </w:rPr>
        <w:t>se encuentra</w:t>
      </w:r>
      <w:r w:rsidR="00505082" w:rsidRPr="00CF7FE6">
        <w:rPr>
          <w:rFonts w:ascii="Verdana" w:hAnsi="Verdana"/>
          <w:sz w:val="20"/>
          <w:szCs w:val="20"/>
          <w:lang w:val="es-ES"/>
        </w:rPr>
        <w:t>n</w:t>
      </w:r>
      <w:r w:rsidR="000C14D0" w:rsidRPr="00CF7FE6">
        <w:rPr>
          <w:rFonts w:ascii="Verdana" w:hAnsi="Verdana"/>
          <w:sz w:val="20"/>
          <w:szCs w:val="20"/>
          <w:lang w:val="es-ES"/>
        </w:rPr>
        <w:t xml:space="preserve"> consagrado</w:t>
      </w:r>
      <w:r w:rsidR="00505082" w:rsidRPr="00CF7FE6">
        <w:rPr>
          <w:rFonts w:ascii="Verdana" w:hAnsi="Verdana"/>
          <w:sz w:val="20"/>
          <w:szCs w:val="20"/>
          <w:lang w:val="es-ES"/>
        </w:rPr>
        <w:t>s</w:t>
      </w:r>
      <w:r w:rsidR="00D5318C" w:rsidRPr="00CF7FE6">
        <w:rPr>
          <w:rFonts w:ascii="Verdana" w:hAnsi="Verdana"/>
          <w:sz w:val="20"/>
          <w:szCs w:val="20"/>
          <w:lang w:val="es-ES"/>
        </w:rPr>
        <w:t xml:space="preserve"> en el D</w:t>
      </w:r>
      <w:r w:rsidR="000C14D0" w:rsidRPr="00CF7FE6">
        <w:rPr>
          <w:rFonts w:ascii="Verdana" w:hAnsi="Verdana"/>
          <w:sz w:val="20"/>
          <w:szCs w:val="20"/>
          <w:lang w:val="es-ES"/>
        </w:rPr>
        <w:t>erecho Internacional aplic</w:t>
      </w:r>
      <w:r w:rsidR="00D5318C" w:rsidRPr="00CF7FE6">
        <w:rPr>
          <w:rFonts w:ascii="Verdana" w:hAnsi="Verdana"/>
          <w:sz w:val="20"/>
          <w:szCs w:val="20"/>
          <w:lang w:val="es-ES"/>
        </w:rPr>
        <w:t>able a</w:t>
      </w:r>
      <w:r w:rsidR="00DB225B" w:rsidRPr="00CF7FE6">
        <w:rPr>
          <w:rFonts w:ascii="Verdana" w:hAnsi="Verdana"/>
          <w:sz w:val="20"/>
          <w:szCs w:val="20"/>
          <w:lang w:val="es-ES"/>
        </w:rPr>
        <w:t xml:space="preserve"> los Estados americanos y, en lo concerniente particularmente al derecho a</w:t>
      </w:r>
      <w:r w:rsidR="00DF2917" w:rsidRPr="00CF7FE6">
        <w:rPr>
          <w:rFonts w:ascii="Verdana" w:hAnsi="Verdana"/>
          <w:sz w:val="20"/>
          <w:szCs w:val="20"/>
          <w:lang w:val="es-ES"/>
        </w:rPr>
        <w:t>l trabajo</w:t>
      </w:r>
      <w:r w:rsidR="00DB225B" w:rsidRPr="00CF7FE6">
        <w:rPr>
          <w:rFonts w:ascii="Verdana" w:hAnsi="Verdana"/>
          <w:sz w:val="20"/>
          <w:szCs w:val="20"/>
          <w:lang w:val="es-ES"/>
        </w:rPr>
        <w:t>,</w:t>
      </w:r>
      <w:r w:rsidR="009A3CC0" w:rsidRPr="00CF7FE6">
        <w:rPr>
          <w:rFonts w:ascii="Verdana" w:hAnsi="Verdana"/>
          <w:sz w:val="20"/>
          <w:szCs w:val="20"/>
          <w:lang w:val="es-ES"/>
        </w:rPr>
        <w:t xml:space="preserve"> en el </w:t>
      </w:r>
      <w:r w:rsidR="009A3CC0" w:rsidRPr="00CF7FE6">
        <w:rPr>
          <w:rFonts w:ascii="Verdana" w:hAnsi="Verdana"/>
          <w:i/>
          <w:sz w:val="20"/>
          <w:szCs w:val="20"/>
          <w:lang w:val="es-ES"/>
        </w:rPr>
        <w:t xml:space="preserve">Protocolo Adicional a la Convención Americana sobre Derechos Humanos en Materia </w:t>
      </w:r>
      <w:r w:rsidR="00505082" w:rsidRPr="00CF7FE6">
        <w:rPr>
          <w:rFonts w:ascii="Verdana" w:hAnsi="Verdana"/>
          <w:i/>
          <w:sz w:val="20"/>
          <w:szCs w:val="20"/>
          <w:lang w:val="es-ES"/>
        </w:rPr>
        <w:t>de Derechos Económicos, S</w:t>
      </w:r>
      <w:r w:rsidR="009B2BD4" w:rsidRPr="00CF7FE6">
        <w:rPr>
          <w:rFonts w:ascii="Verdana" w:hAnsi="Verdana"/>
          <w:i/>
          <w:sz w:val="20"/>
          <w:szCs w:val="20"/>
          <w:lang w:val="es-ES"/>
        </w:rPr>
        <w:t xml:space="preserve">ociales y Culturales, </w:t>
      </w:r>
      <w:r w:rsidR="000C14D0" w:rsidRPr="00CF7FE6">
        <w:rPr>
          <w:rFonts w:ascii="Verdana" w:hAnsi="Verdana"/>
          <w:i/>
          <w:sz w:val="20"/>
          <w:szCs w:val="20"/>
          <w:lang w:val="es-ES"/>
        </w:rPr>
        <w:t>Pr</w:t>
      </w:r>
      <w:r w:rsidR="009B2BD4" w:rsidRPr="00CF7FE6">
        <w:rPr>
          <w:rFonts w:ascii="Verdana" w:hAnsi="Verdana"/>
          <w:i/>
          <w:sz w:val="20"/>
          <w:szCs w:val="20"/>
          <w:lang w:val="es-ES"/>
        </w:rPr>
        <w:t>otocolo de San Salvador”</w:t>
      </w:r>
      <w:r w:rsidR="00FC07E4" w:rsidRPr="00CF7FE6">
        <w:rPr>
          <w:rFonts w:ascii="Verdana" w:hAnsi="Verdana"/>
          <w:i/>
          <w:sz w:val="20"/>
          <w:szCs w:val="20"/>
          <w:lang w:val="es-ES"/>
        </w:rPr>
        <w:t>.</w:t>
      </w:r>
      <w:r w:rsidR="000C14D0" w:rsidRPr="00CF7FE6">
        <w:rPr>
          <w:rFonts w:ascii="Verdana" w:hAnsi="Verdana"/>
          <w:i/>
          <w:sz w:val="20"/>
          <w:szCs w:val="20"/>
          <w:lang w:val="es-ES"/>
        </w:rPr>
        <w:t xml:space="preserve"> </w:t>
      </w:r>
    </w:p>
    <w:p w14:paraId="4BD773CD" w14:textId="77777777" w:rsidR="00D11EA9" w:rsidRPr="00CF7FE6" w:rsidRDefault="00D11EA9" w:rsidP="00EB7CE1">
      <w:pPr>
        <w:spacing w:after="0" w:line="240" w:lineRule="auto"/>
        <w:jc w:val="both"/>
        <w:rPr>
          <w:rFonts w:ascii="Verdana" w:hAnsi="Verdana"/>
          <w:sz w:val="20"/>
          <w:szCs w:val="20"/>
          <w:lang w:val="es-ES"/>
        </w:rPr>
      </w:pPr>
    </w:p>
    <w:p w14:paraId="23826168" w14:textId="77777777" w:rsidR="000C14D0" w:rsidRPr="00CF7FE6" w:rsidRDefault="00D5318C" w:rsidP="00EB7CE1">
      <w:pPr>
        <w:spacing w:after="0" w:line="240" w:lineRule="auto"/>
        <w:jc w:val="both"/>
        <w:rPr>
          <w:rFonts w:ascii="Verdana" w:hAnsi="Verdana"/>
          <w:sz w:val="20"/>
          <w:szCs w:val="20"/>
          <w:lang w:val="es-ES"/>
        </w:rPr>
      </w:pPr>
      <w:r w:rsidRPr="00CF7FE6">
        <w:rPr>
          <w:rFonts w:ascii="Verdana" w:hAnsi="Verdana"/>
          <w:sz w:val="20"/>
          <w:szCs w:val="20"/>
          <w:lang w:val="es-ES"/>
        </w:rPr>
        <w:t>D</w:t>
      </w:r>
      <w:r w:rsidR="000A2590">
        <w:rPr>
          <w:rFonts w:ascii="Verdana" w:hAnsi="Verdana"/>
          <w:sz w:val="20"/>
          <w:szCs w:val="20"/>
          <w:lang w:val="es-ES"/>
        </w:rPr>
        <w:t xml:space="preserve">e lo </w:t>
      </w:r>
      <w:r w:rsidR="00EA27F9" w:rsidRPr="00CF7FE6">
        <w:rPr>
          <w:rFonts w:ascii="Verdana" w:hAnsi="Verdana"/>
          <w:sz w:val="20"/>
          <w:szCs w:val="20"/>
          <w:lang w:val="es-ES"/>
        </w:rPr>
        <w:t>da</w:t>
      </w:r>
      <w:r w:rsidR="002B4739">
        <w:rPr>
          <w:rFonts w:ascii="Verdana" w:hAnsi="Verdana"/>
          <w:sz w:val="20"/>
          <w:szCs w:val="20"/>
          <w:lang w:val="es-ES"/>
        </w:rPr>
        <w:t xml:space="preserve"> cuenta este documento</w:t>
      </w:r>
      <w:r w:rsidR="000C386D" w:rsidRPr="00CF7FE6">
        <w:rPr>
          <w:rFonts w:ascii="Verdana" w:hAnsi="Verdana"/>
          <w:sz w:val="20"/>
          <w:szCs w:val="20"/>
          <w:lang w:val="es-ES"/>
        </w:rPr>
        <w:t xml:space="preserve"> dic</w:t>
      </w:r>
      <w:r w:rsidR="00555222" w:rsidRPr="00CF7FE6">
        <w:rPr>
          <w:rFonts w:ascii="Verdana" w:hAnsi="Verdana"/>
          <w:sz w:val="20"/>
          <w:szCs w:val="20"/>
          <w:lang w:val="es-ES"/>
        </w:rPr>
        <w:t xml:space="preserve">e relación más bien con </w:t>
      </w:r>
      <w:r w:rsidR="00F828D9" w:rsidRPr="00CF7FE6">
        <w:rPr>
          <w:rFonts w:ascii="Verdana" w:hAnsi="Verdana"/>
          <w:sz w:val="20"/>
          <w:szCs w:val="20"/>
          <w:lang w:val="es-ES"/>
        </w:rPr>
        <w:t xml:space="preserve">que en autos no se trataba </w:t>
      </w:r>
      <w:r w:rsidR="000C386D" w:rsidRPr="00CF7FE6">
        <w:rPr>
          <w:rFonts w:ascii="Verdana" w:hAnsi="Verdana"/>
          <w:sz w:val="20"/>
          <w:szCs w:val="20"/>
          <w:lang w:val="es-ES"/>
        </w:rPr>
        <w:t xml:space="preserve">de determinar </w:t>
      </w:r>
      <w:r w:rsidR="006F0616" w:rsidRPr="00CF7FE6">
        <w:rPr>
          <w:rFonts w:ascii="Verdana" w:hAnsi="Verdana"/>
          <w:sz w:val="20"/>
          <w:szCs w:val="20"/>
          <w:lang w:val="es-ES"/>
        </w:rPr>
        <w:t xml:space="preserve">la existencia </w:t>
      </w:r>
      <w:r w:rsidR="000C386D" w:rsidRPr="00CF7FE6">
        <w:rPr>
          <w:rFonts w:ascii="Verdana" w:hAnsi="Verdana"/>
          <w:sz w:val="20"/>
          <w:szCs w:val="20"/>
          <w:lang w:val="es-ES"/>
        </w:rPr>
        <w:t>del derecho a la estabilidad en el empleo, como lo hace la Sentencia</w:t>
      </w:r>
      <w:r w:rsidR="000C386D" w:rsidRPr="00CF7FE6">
        <w:rPr>
          <w:rStyle w:val="FootnoteReference"/>
          <w:rFonts w:ascii="Verdana" w:hAnsi="Verdana"/>
          <w:sz w:val="20"/>
          <w:szCs w:val="20"/>
          <w:lang w:val="es-ES"/>
        </w:rPr>
        <w:footnoteReference w:id="16"/>
      </w:r>
      <w:r w:rsidR="00F828D9" w:rsidRPr="00CF7FE6">
        <w:rPr>
          <w:rFonts w:ascii="Verdana" w:hAnsi="Verdana"/>
          <w:sz w:val="20"/>
          <w:szCs w:val="20"/>
          <w:lang w:val="es-ES"/>
        </w:rPr>
        <w:t>, sino si su eventual violación</w:t>
      </w:r>
      <w:r w:rsidR="000C386D" w:rsidRPr="00CF7FE6">
        <w:rPr>
          <w:rFonts w:ascii="Verdana" w:hAnsi="Verdana"/>
          <w:sz w:val="20"/>
          <w:szCs w:val="20"/>
          <w:lang w:val="es-ES"/>
        </w:rPr>
        <w:t xml:space="preserve"> </w:t>
      </w:r>
      <w:r w:rsidR="00F828D9" w:rsidRPr="00CF7FE6">
        <w:rPr>
          <w:rFonts w:ascii="Verdana" w:hAnsi="Verdana"/>
          <w:sz w:val="20"/>
          <w:szCs w:val="20"/>
          <w:lang w:val="es-ES"/>
        </w:rPr>
        <w:t>por el Estado</w:t>
      </w:r>
      <w:r w:rsidR="003C1CE8" w:rsidRPr="00CF7FE6">
        <w:rPr>
          <w:rFonts w:ascii="Verdana" w:hAnsi="Verdana"/>
          <w:sz w:val="20"/>
          <w:szCs w:val="20"/>
          <w:lang w:val="es-ES"/>
        </w:rPr>
        <w:t xml:space="preserve"> podía</w:t>
      </w:r>
      <w:r w:rsidR="00F828D9" w:rsidRPr="00CF7FE6">
        <w:rPr>
          <w:rFonts w:ascii="Verdana" w:hAnsi="Verdana"/>
          <w:sz w:val="20"/>
          <w:szCs w:val="20"/>
          <w:lang w:val="es-ES"/>
        </w:rPr>
        <w:t xml:space="preserve"> ser sometida al </w:t>
      </w:r>
      <w:r w:rsidR="00F828D9" w:rsidRPr="00CF7FE6">
        <w:rPr>
          <w:rFonts w:ascii="Verdana" w:hAnsi="Verdana"/>
          <w:sz w:val="20"/>
          <w:szCs w:val="20"/>
          <w:lang w:val="es-ES"/>
        </w:rPr>
        <w:lastRenderedPageBreak/>
        <w:t>conocimiento y resolución de la Corte.</w:t>
      </w:r>
      <w:r w:rsidR="000C386D" w:rsidRPr="00CF7FE6">
        <w:rPr>
          <w:rFonts w:ascii="Verdana" w:hAnsi="Verdana"/>
          <w:sz w:val="20"/>
          <w:szCs w:val="20"/>
          <w:lang w:val="es-ES"/>
        </w:rPr>
        <w:t xml:space="preserve">  </w:t>
      </w:r>
      <w:r w:rsidR="003C1CE8" w:rsidRPr="00CF7FE6">
        <w:rPr>
          <w:rFonts w:ascii="Verdana" w:hAnsi="Verdana"/>
          <w:sz w:val="20"/>
          <w:szCs w:val="20"/>
          <w:lang w:val="es-ES"/>
        </w:rPr>
        <w:t>La cuestión controvertida era, entonces</w:t>
      </w:r>
      <w:r w:rsidR="00FC07E4" w:rsidRPr="00CF7FE6">
        <w:rPr>
          <w:rFonts w:ascii="Verdana" w:hAnsi="Verdana"/>
          <w:sz w:val="20"/>
          <w:szCs w:val="20"/>
          <w:lang w:val="es-ES"/>
        </w:rPr>
        <w:t xml:space="preserve">, </w:t>
      </w:r>
      <w:r w:rsidR="003C1CE8" w:rsidRPr="00CF7FE6">
        <w:rPr>
          <w:rFonts w:ascii="Verdana" w:hAnsi="Verdana"/>
          <w:sz w:val="20"/>
          <w:szCs w:val="20"/>
          <w:lang w:val="es-ES"/>
        </w:rPr>
        <w:t>respecto a</w:t>
      </w:r>
      <w:r w:rsidR="003E0D64" w:rsidRPr="00CF7FE6">
        <w:rPr>
          <w:rFonts w:ascii="Verdana" w:hAnsi="Verdana"/>
          <w:sz w:val="20"/>
          <w:szCs w:val="20"/>
          <w:lang w:val="es-ES"/>
        </w:rPr>
        <w:t xml:space="preserve"> </w:t>
      </w:r>
      <w:r w:rsidR="00FC07E4" w:rsidRPr="00CF7FE6">
        <w:rPr>
          <w:rFonts w:ascii="Verdana" w:hAnsi="Verdana"/>
          <w:sz w:val="20"/>
          <w:szCs w:val="20"/>
          <w:lang w:val="es-ES"/>
        </w:rPr>
        <w:t>si l</w:t>
      </w:r>
      <w:r w:rsidR="006F0616" w:rsidRPr="00CF7FE6">
        <w:rPr>
          <w:rFonts w:ascii="Verdana" w:hAnsi="Verdana"/>
          <w:sz w:val="20"/>
          <w:szCs w:val="20"/>
          <w:lang w:val="es-ES"/>
        </w:rPr>
        <w:t xml:space="preserve">o relativo </w:t>
      </w:r>
      <w:r w:rsidR="00DB225B" w:rsidRPr="00CF7FE6">
        <w:rPr>
          <w:rFonts w:ascii="Verdana" w:hAnsi="Verdana"/>
          <w:sz w:val="20"/>
          <w:szCs w:val="20"/>
          <w:lang w:val="es-ES"/>
        </w:rPr>
        <w:t>al derecho a la estabilidad en el empleo</w:t>
      </w:r>
      <w:r w:rsidR="00FF0E29" w:rsidRPr="00CF7FE6">
        <w:rPr>
          <w:rFonts w:ascii="Verdana" w:hAnsi="Verdana"/>
          <w:sz w:val="20"/>
          <w:szCs w:val="20"/>
          <w:lang w:val="es-ES"/>
        </w:rPr>
        <w:t xml:space="preserve"> es</w:t>
      </w:r>
      <w:r w:rsidR="00FC07E4" w:rsidRPr="00CF7FE6">
        <w:rPr>
          <w:rFonts w:ascii="Verdana" w:hAnsi="Verdana"/>
          <w:sz w:val="20"/>
          <w:szCs w:val="20"/>
          <w:lang w:val="es-ES"/>
        </w:rPr>
        <w:t xml:space="preserve"> susceptible de ser enjuiciado por la Corte, es decir, si ésta tiene</w:t>
      </w:r>
      <w:r w:rsidR="003E0D64" w:rsidRPr="00CF7FE6">
        <w:rPr>
          <w:rFonts w:ascii="Verdana" w:hAnsi="Verdana"/>
          <w:sz w:val="20"/>
          <w:szCs w:val="20"/>
          <w:lang w:val="es-ES"/>
        </w:rPr>
        <w:t xml:space="preserve">, al amparo de lo contemplado en </w:t>
      </w:r>
      <w:r w:rsidR="006F0616" w:rsidRPr="00CF7FE6">
        <w:rPr>
          <w:rFonts w:ascii="Verdana" w:hAnsi="Verdana"/>
          <w:sz w:val="20"/>
          <w:szCs w:val="20"/>
          <w:lang w:val="es-ES"/>
        </w:rPr>
        <w:t xml:space="preserve">el artículo 26 de </w:t>
      </w:r>
      <w:r w:rsidR="003E0D64" w:rsidRPr="00CF7FE6">
        <w:rPr>
          <w:rFonts w:ascii="Verdana" w:hAnsi="Verdana"/>
          <w:sz w:val="20"/>
          <w:szCs w:val="20"/>
          <w:lang w:val="es-ES"/>
        </w:rPr>
        <w:t>la Convención,</w:t>
      </w:r>
      <w:r w:rsidR="00FC07E4" w:rsidRPr="00CF7FE6">
        <w:rPr>
          <w:rFonts w:ascii="Verdana" w:hAnsi="Verdana"/>
          <w:sz w:val="20"/>
          <w:szCs w:val="20"/>
          <w:lang w:val="es-ES"/>
        </w:rPr>
        <w:t xml:space="preserve"> competencia para</w:t>
      </w:r>
      <w:r w:rsidR="00F53488">
        <w:rPr>
          <w:rFonts w:ascii="Verdana" w:hAnsi="Verdana"/>
          <w:sz w:val="20"/>
          <w:szCs w:val="20"/>
          <w:lang w:val="es-ES"/>
        </w:rPr>
        <w:t xml:space="preserve"> </w:t>
      </w:r>
      <w:r w:rsidR="00FC07E4" w:rsidRPr="00CF7FE6">
        <w:rPr>
          <w:rFonts w:ascii="Verdana" w:hAnsi="Verdana"/>
          <w:sz w:val="20"/>
          <w:szCs w:val="20"/>
          <w:lang w:val="es-ES"/>
        </w:rPr>
        <w:t>pro</w:t>
      </w:r>
      <w:r w:rsidR="000C386D" w:rsidRPr="00CF7FE6">
        <w:rPr>
          <w:rFonts w:ascii="Verdana" w:hAnsi="Verdana"/>
          <w:sz w:val="20"/>
          <w:szCs w:val="20"/>
          <w:lang w:val="es-ES"/>
        </w:rPr>
        <w:t xml:space="preserve">nunciarse acerca de la eventual </w:t>
      </w:r>
      <w:r w:rsidR="00FC07E4" w:rsidRPr="00CF7FE6">
        <w:rPr>
          <w:rFonts w:ascii="Verdana" w:hAnsi="Verdana"/>
          <w:sz w:val="20"/>
          <w:szCs w:val="20"/>
          <w:lang w:val="es-ES"/>
        </w:rPr>
        <w:t xml:space="preserve">violación de dicho derecho. </w:t>
      </w:r>
    </w:p>
    <w:p w14:paraId="5BDF95C4" w14:textId="77777777" w:rsidR="00D11EA9" w:rsidRPr="00CF7FE6" w:rsidRDefault="00D11EA9" w:rsidP="00EB7CE1">
      <w:pPr>
        <w:spacing w:after="0" w:line="240" w:lineRule="auto"/>
        <w:jc w:val="both"/>
        <w:rPr>
          <w:rFonts w:ascii="Verdana" w:hAnsi="Verdana"/>
          <w:sz w:val="20"/>
          <w:szCs w:val="20"/>
          <w:lang w:val="es-ES"/>
        </w:rPr>
      </w:pPr>
    </w:p>
    <w:p w14:paraId="2B8168E1" w14:textId="77777777" w:rsidR="00FC07E4" w:rsidRPr="00CF7FE6" w:rsidRDefault="00D5318C" w:rsidP="00EB7CE1">
      <w:pPr>
        <w:spacing w:after="0" w:line="240" w:lineRule="auto"/>
        <w:jc w:val="both"/>
        <w:rPr>
          <w:rFonts w:ascii="Verdana" w:hAnsi="Verdana"/>
          <w:sz w:val="20"/>
          <w:szCs w:val="20"/>
          <w:lang w:val="es-ES"/>
        </w:rPr>
      </w:pPr>
      <w:r w:rsidRPr="00CF7FE6">
        <w:rPr>
          <w:rFonts w:ascii="Verdana" w:hAnsi="Verdana"/>
          <w:sz w:val="20"/>
          <w:szCs w:val="20"/>
          <w:lang w:val="es-ES"/>
        </w:rPr>
        <w:t xml:space="preserve">Lo que se sostiene en </w:t>
      </w:r>
      <w:r w:rsidR="00FC07E4" w:rsidRPr="00CF7FE6">
        <w:rPr>
          <w:rFonts w:ascii="Verdana" w:hAnsi="Verdana"/>
          <w:sz w:val="20"/>
          <w:szCs w:val="20"/>
          <w:lang w:val="es-ES"/>
        </w:rPr>
        <w:t>el presente escrito se fundamenta en que la Corte carece de d</w:t>
      </w:r>
      <w:r w:rsidR="00505082" w:rsidRPr="00CF7FE6">
        <w:rPr>
          <w:rFonts w:ascii="Verdana" w:hAnsi="Verdana"/>
          <w:sz w:val="20"/>
          <w:szCs w:val="20"/>
          <w:lang w:val="es-ES"/>
        </w:rPr>
        <w:t>icha competencia</w:t>
      </w:r>
      <w:r w:rsidR="006F0616" w:rsidRPr="00CF7FE6">
        <w:rPr>
          <w:rFonts w:ascii="Verdana" w:hAnsi="Verdana"/>
          <w:sz w:val="20"/>
          <w:szCs w:val="20"/>
          <w:lang w:val="es-ES"/>
        </w:rPr>
        <w:t>, es dec</w:t>
      </w:r>
      <w:r w:rsidR="001C321E" w:rsidRPr="00CF7FE6">
        <w:rPr>
          <w:rFonts w:ascii="Verdana" w:hAnsi="Verdana"/>
          <w:sz w:val="20"/>
          <w:szCs w:val="20"/>
          <w:lang w:val="es-ES"/>
        </w:rPr>
        <w:t xml:space="preserve">ir, se afirma, </w:t>
      </w:r>
      <w:proofErr w:type="spellStart"/>
      <w:r w:rsidR="001C321E" w:rsidRPr="00CF7FE6">
        <w:rPr>
          <w:rFonts w:ascii="Verdana" w:hAnsi="Verdana"/>
          <w:sz w:val="20"/>
          <w:szCs w:val="20"/>
          <w:lang w:val="es-ES"/>
        </w:rPr>
        <w:t>a</w:t>
      </w:r>
      <w:proofErr w:type="spellEnd"/>
      <w:r w:rsidR="001C321E" w:rsidRPr="00CF7FE6">
        <w:rPr>
          <w:rFonts w:ascii="Verdana" w:hAnsi="Verdana"/>
          <w:sz w:val="20"/>
          <w:szCs w:val="20"/>
          <w:lang w:val="es-ES"/>
        </w:rPr>
        <w:t xml:space="preserve"> contrario de lo indicado en la Sentencia, </w:t>
      </w:r>
      <w:r w:rsidR="006F0616" w:rsidRPr="00CF7FE6">
        <w:rPr>
          <w:rFonts w:ascii="Verdana" w:hAnsi="Verdana"/>
          <w:sz w:val="20"/>
          <w:szCs w:val="20"/>
          <w:lang w:val="es-ES"/>
        </w:rPr>
        <w:t>que el derecho a l</w:t>
      </w:r>
      <w:r w:rsidR="00DF2917" w:rsidRPr="00CF7FE6">
        <w:rPr>
          <w:rFonts w:ascii="Verdana" w:hAnsi="Verdana"/>
          <w:sz w:val="20"/>
          <w:szCs w:val="20"/>
          <w:lang w:val="es-ES"/>
        </w:rPr>
        <w:t>a estabilidad en el empleo no es</w:t>
      </w:r>
      <w:r w:rsidR="00732149" w:rsidRPr="00CF7FE6">
        <w:rPr>
          <w:rFonts w:ascii="Verdana" w:hAnsi="Verdana"/>
          <w:sz w:val="20"/>
          <w:szCs w:val="20"/>
          <w:lang w:val="es-ES"/>
        </w:rPr>
        <w:t xml:space="preserve"> susceptible de</w:t>
      </w:r>
      <w:r w:rsidR="006F0616" w:rsidRPr="00CF7FE6">
        <w:rPr>
          <w:rFonts w:ascii="Verdana" w:hAnsi="Verdana"/>
          <w:sz w:val="20"/>
          <w:szCs w:val="20"/>
          <w:lang w:val="es-ES"/>
        </w:rPr>
        <w:t xml:space="preserve"> </w:t>
      </w:r>
      <w:r w:rsidR="005D2DB8" w:rsidRPr="00CF7FE6">
        <w:rPr>
          <w:rFonts w:ascii="Verdana" w:hAnsi="Verdana"/>
          <w:sz w:val="20"/>
          <w:szCs w:val="20"/>
          <w:lang w:val="es-ES"/>
        </w:rPr>
        <w:t>ser judicializado</w:t>
      </w:r>
      <w:r w:rsidR="00732149" w:rsidRPr="00CF7FE6">
        <w:rPr>
          <w:rFonts w:ascii="Verdana" w:hAnsi="Verdana"/>
          <w:sz w:val="20"/>
          <w:szCs w:val="20"/>
          <w:lang w:val="es-ES"/>
        </w:rPr>
        <w:t xml:space="preserve"> </w:t>
      </w:r>
      <w:r w:rsidR="00DF2917" w:rsidRPr="00CF7FE6">
        <w:rPr>
          <w:rFonts w:ascii="Verdana" w:hAnsi="Verdana"/>
          <w:sz w:val="20"/>
          <w:szCs w:val="20"/>
          <w:lang w:val="es-ES"/>
        </w:rPr>
        <w:t xml:space="preserve">internacionalmente </w:t>
      </w:r>
      <w:r w:rsidR="00732149" w:rsidRPr="00CF7FE6">
        <w:rPr>
          <w:rFonts w:ascii="Verdana" w:hAnsi="Verdana"/>
          <w:sz w:val="20"/>
          <w:szCs w:val="20"/>
          <w:lang w:val="es-ES"/>
        </w:rPr>
        <w:t>ante aquella</w:t>
      </w:r>
      <w:r w:rsidR="00FC07E4" w:rsidRPr="00CF7FE6">
        <w:rPr>
          <w:rFonts w:ascii="Verdana" w:hAnsi="Verdana"/>
          <w:sz w:val="20"/>
          <w:szCs w:val="20"/>
          <w:lang w:val="es-ES"/>
        </w:rPr>
        <w:t>. Y ello por las razo</w:t>
      </w:r>
      <w:r w:rsidR="006A165E" w:rsidRPr="00CF7FE6">
        <w:rPr>
          <w:rFonts w:ascii="Verdana" w:hAnsi="Verdana"/>
          <w:sz w:val="20"/>
          <w:szCs w:val="20"/>
          <w:lang w:val="es-ES"/>
        </w:rPr>
        <w:t>nes que se esgrimen más adelante</w:t>
      </w:r>
      <w:r w:rsidR="00DF2917" w:rsidRPr="00CF7FE6">
        <w:rPr>
          <w:rFonts w:ascii="Verdana" w:hAnsi="Verdana"/>
          <w:sz w:val="20"/>
          <w:szCs w:val="20"/>
          <w:lang w:val="es-ES"/>
        </w:rPr>
        <w:t>, agrup</w:t>
      </w:r>
      <w:r w:rsidR="006A165E" w:rsidRPr="00CF7FE6">
        <w:rPr>
          <w:rFonts w:ascii="Verdana" w:hAnsi="Verdana"/>
          <w:sz w:val="20"/>
          <w:szCs w:val="20"/>
          <w:lang w:val="es-ES"/>
        </w:rPr>
        <w:t>adas en torno a lo que dispone</w:t>
      </w:r>
      <w:r w:rsidR="00DF2917" w:rsidRPr="00CF7FE6">
        <w:rPr>
          <w:rFonts w:ascii="Verdana" w:hAnsi="Verdana"/>
          <w:sz w:val="20"/>
          <w:szCs w:val="20"/>
          <w:lang w:val="es-ES"/>
        </w:rPr>
        <w:t xml:space="preserve"> la Convención</w:t>
      </w:r>
      <w:r w:rsidR="006A165E" w:rsidRPr="00CF7FE6">
        <w:rPr>
          <w:rFonts w:ascii="Verdana" w:hAnsi="Verdana"/>
          <w:sz w:val="20"/>
          <w:szCs w:val="20"/>
          <w:lang w:val="es-ES"/>
        </w:rPr>
        <w:t xml:space="preserve">, </w:t>
      </w:r>
      <w:r w:rsidR="00DF2917" w:rsidRPr="00CF7FE6">
        <w:rPr>
          <w:rFonts w:ascii="Verdana" w:hAnsi="Verdana"/>
          <w:sz w:val="20"/>
          <w:szCs w:val="20"/>
          <w:lang w:val="es-ES"/>
        </w:rPr>
        <w:t>lo que establece</w:t>
      </w:r>
      <w:r w:rsidR="00DD1757" w:rsidRPr="00CF7FE6">
        <w:rPr>
          <w:rFonts w:ascii="Verdana" w:hAnsi="Verdana"/>
          <w:sz w:val="20"/>
          <w:szCs w:val="20"/>
          <w:lang w:val="es-ES"/>
        </w:rPr>
        <w:t>, en especial,</w:t>
      </w:r>
      <w:r w:rsidR="00DF2917" w:rsidRPr="00CF7FE6">
        <w:rPr>
          <w:rFonts w:ascii="Verdana" w:hAnsi="Verdana"/>
          <w:sz w:val="20"/>
          <w:szCs w:val="20"/>
          <w:lang w:val="es-ES"/>
        </w:rPr>
        <w:t xml:space="preserve"> su artículo 26 y, fi</w:t>
      </w:r>
      <w:r w:rsidR="00AA5E22" w:rsidRPr="00CF7FE6">
        <w:rPr>
          <w:rFonts w:ascii="Verdana" w:hAnsi="Verdana"/>
          <w:sz w:val="20"/>
          <w:szCs w:val="20"/>
          <w:lang w:val="es-ES"/>
        </w:rPr>
        <w:t>nalmente, otras consideraciones de la Sentencia</w:t>
      </w:r>
      <w:r w:rsidR="00FC07E4" w:rsidRPr="00CF7FE6">
        <w:rPr>
          <w:rFonts w:ascii="Verdana" w:hAnsi="Verdana"/>
          <w:sz w:val="20"/>
          <w:szCs w:val="20"/>
          <w:lang w:val="es-ES"/>
        </w:rPr>
        <w:t>.</w:t>
      </w:r>
    </w:p>
    <w:p w14:paraId="1EA15010" w14:textId="77777777" w:rsidR="00D11EA9" w:rsidRPr="00CF7FE6" w:rsidRDefault="00D11EA9" w:rsidP="00EB7CE1">
      <w:pPr>
        <w:spacing w:after="0" w:line="240" w:lineRule="auto"/>
        <w:jc w:val="both"/>
        <w:rPr>
          <w:rFonts w:ascii="Verdana" w:hAnsi="Verdana"/>
          <w:sz w:val="20"/>
          <w:szCs w:val="20"/>
          <w:lang w:val="es-ES"/>
        </w:rPr>
      </w:pPr>
    </w:p>
    <w:p w14:paraId="2D8944DD" w14:textId="77777777" w:rsidR="007A0D2D" w:rsidRPr="00CF7FE6" w:rsidRDefault="007A0D2D" w:rsidP="00EB7CE1">
      <w:pPr>
        <w:pStyle w:val="ListParagraph"/>
        <w:numPr>
          <w:ilvl w:val="0"/>
          <w:numId w:val="12"/>
        </w:numPr>
        <w:spacing w:after="0" w:line="240" w:lineRule="auto"/>
        <w:jc w:val="both"/>
        <w:rPr>
          <w:rFonts w:ascii="Verdana" w:hAnsi="Verdana"/>
          <w:b/>
          <w:sz w:val="20"/>
          <w:szCs w:val="20"/>
          <w:lang w:val="es-ES"/>
        </w:rPr>
      </w:pPr>
      <w:r w:rsidRPr="00CF7FE6">
        <w:rPr>
          <w:rFonts w:ascii="Verdana" w:hAnsi="Verdana"/>
          <w:b/>
          <w:sz w:val="20"/>
          <w:szCs w:val="20"/>
          <w:lang w:val="es-ES"/>
        </w:rPr>
        <w:t>Derecho a la libertad de asociación.</w:t>
      </w:r>
    </w:p>
    <w:p w14:paraId="06239DF7" w14:textId="77777777" w:rsidR="00D11EA9" w:rsidRPr="00CF7FE6" w:rsidRDefault="00D11EA9" w:rsidP="00EB7CE1">
      <w:pPr>
        <w:pStyle w:val="ListParagraph"/>
        <w:spacing w:after="0" w:line="240" w:lineRule="auto"/>
        <w:ind w:left="0"/>
        <w:jc w:val="both"/>
        <w:rPr>
          <w:rFonts w:ascii="Verdana" w:hAnsi="Verdana"/>
          <w:b/>
          <w:sz w:val="20"/>
          <w:szCs w:val="20"/>
          <w:lang w:val="es-ES"/>
        </w:rPr>
      </w:pPr>
    </w:p>
    <w:p w14:paraId="1F6FD1BE" w14:textId="77777777" w:rsidR="00A156A0" w:rsidRPr="00CF7FE6" w:rsidRDefault="005D2DB8" w:rsidP="00EB7CE1">
      <w:pPr>
        <w:spacing w:after="0" w:line="240" w:lineRule="auto"/>
        <w:jc w:val="both"/>
        <w:rPr>
          <w:rFonts w:ascii="Verdana" w:hAnsi="Verdana"/>
          <w:sz w:val="20"/>
          <w:szCs w:val="20"/>
          <w:lang w:val="es-ES"/>
        </w:rPr>
      </w:pPr>
      <w:r w:rsidRPr="00CF7FE6">
        <w:rPr>
          <w:rFonts w:ascii="Verdana" w:hAnsi="Verdana"/>
          <w:sz w:val="20"/>
          <w:szCs w:val="20"/>
          <w:lang w:val="es-ES"/>
        </w:rPr>
        <w:t>E</w:t>
      </w:r>
      <w:r w:rsidR="00132AE0" w:rsidRPr="00CF7FE6">
        <w:rPr>
          <w:rFonts w:ascii="Verdana" w:hAnsi="Verdana"/>
          <w:sz w:val="20"/>
          <w:szCs w:val="20"/>
          <w:lang w:val="es-ES"/>
        </w:rPr>
        <w:t>n cuanto al derecho a la libertad de asociación, bas</w:t>
      </w:r>
      <w:r w:rsidR="007D3D1C">
        <w:rPr>
          <w:rFonts w:ascii="Verdana" w:hAnsi="Verdana"/>
          <w:sz w:val="20"/>
          <w:szCs w:val="20"/>
          <w:lang w:val="es-ES"/>
        </w:rPr>
        <w:t>te con señalar que la mención</w:t>
      </w:r>
      <w:r w:rsidR="00132AE0" w:rsidRPr="00CF7FE6">
        <w:rPr>
          <w:rFonts w:ascii="Verdana" w:hAnsi="Verdana"/>
          <w:sz w:val="20"/>
          <w:szCs w:val="20"/>
          <w:lang w:val="es-ES"/>
        </w:rPr>
        <w:t xml:space="preserve"> que la Sentencia </w:t>
      </w:r>
      <w:r w:rsidR="00962D48">
        <w:rPr>
          <w:rFonts w:ascii="Verdana" w:hAnsi="Verdana"/>
          <w:sz w:val="20"/>
          <w:szCs w:val="20"/>
          <w:lang w:val="es-ES"/>
        </w:rPr>
        <w:t xml:space="preserve">al efecto </w:t>
      </w:r>
      <w:r w:rsidR="00132AE0" w:rsidRPr="00CF7FE6">
        <w:rPr>
          <w:rFonts w:ascii="Verdana" w:hAnsi="Verdana"/>
          <w:sz w:val="20"/>
          <w:szCs w:val="20"/>
          <w:lang w:val="es-ES"/>
        </w:rPr>
        <w:t>hace al artículo 26 de la Convención</w:t>
      </w:r>
      <w:r w:rsidR="00962D48">
        <w:rPr>
          <w:rFonts w:ascii="Verdana" w:hAnsi="Verdana"/>
          <w:sz w:val="20"/>
          <w:szCs w:val="20"/>
          <w:lang w:val="es-ES"/>
        </w:rPr>
        <w:t>,</w:t>
      </w:r>
      <w:r w:rsidR="00132AE0" w:rsidRPr="00CF7FE6">
        <w:rPr>
          <w:rFonts w:ascii="Verdana" w:hAnsi="Verdana"/>
          <w:sz w:val="20"/>
          <w:szCs w:val="20"/>
          <w:lang w:val="es-ES"/>
        </w:rPr>
        <w:t xml:space="preserve"> parece innecesaria, dado que dicho derecho, por una parte, se encuentra expresamente previsto en el artículo 16.1 de la Convención</w:t>
      </w:r>
      <w:r w:rsidR="00132AE0" w:rsidRPr="00CF7FE6">
        <w:rPr>
          <w:rStyle w:val="FootnoteReference"/>
          <w:rFonts w:ascii="Verdana" w:hAnsi="Verdana"/>
          <w:sz w:val="20"/>
          <w:szCs w:val="20"/>
          <w:lang w:val="es-ES"/>
        </w:rPr>
        <w:footnoteReference w:id="17"/>
      </w:r>
      <w:r w:rsidR="00A156A0" w:rsidRPr="00CF7FE6">
        <w:rPr>
          <w:rFonts w:ascii="Verdana" w:hAnsi="Verdana"/>
          <w:sz w:val="20"/>
          <w:szCs w:val="20"/>
          <w:lang w:val="es-ES"/>
        </w:rPr>
        <w:t xml:space="preserve"> y por la otra</w:t>
      </w:r>
      <w:r w:rsidR="006A165E" w:rsidRPr="00CF7FE6">
        <w:rPr>
          <w:rFonts w:ascii="Verdana" w:hAnsi="Verdana"/>
          <w:sz w:val="20"/>
          <w:szCs w:val="20"/>
          <w:lang w:val="es-ES"/>
        </w:rPr>
        <w:t>,</w:t>
      </w:r>
      <w:r w:rsidR="00A156A0" w:rsidRPr="00CF7FE6">
        <w:rPr>
          <w:rFonts w:ascii="Verdana" w:hAnsi="Verdana"/>
          <w:sz w:val="20"/>
          <w:szCs w:val="20"/>
          <w:lang w:val="es-ES"/>
        </w:rPr>
        <w:t xml:space="preserve"> su sentido y alcance es ampliamente reiterado en la propia Sentencia</w:t>
      </w:r>
      <w:r w:rsidR="00A156A0" w:rsidRPr="00CF7FE6">
        <w:rPr>
          <w:rStyle w:val="FootnoteReference"/>
          <w:rFonts w:ascii="Verdana" w:hAnsi="Verdana"/>
          <w:sz w:val="20"/>
          <w:szCs w:val="20"/>
          <w:lang w:val="es-ES"/>
        </w:rPr>
        <w:footnoteReference w:id="18"/>
      </w:r>
      <w:r w:rsidR="00962D48">
        <w:rPr>
          <w:rFonts w:ascii="Verdana" w:hAnsi="Verdana"/>
          <w:sz w:val="20"/>
          <w:szCs w:val="20"/>
          <w:lang w:val="es-ES"/>
        </w:rPr>
        <w:t xml:space="preserve">. De ello </w:t>
      </w:r>
      <w:r w:rsidR="00A156A0" w:rsidRPr="00CF7FE6">
        <w:rPr>
          <w:rFonts w:ascii="Verdana" w:hAnsi="Verdana"/>
          <w:sz w:val="20"/>
          <w:szCs w:val="20"/>
          <w:lang w:val="es-ES"/>
        </w:rPr>
        <w:t xml:space="preserve">se deduce que </w:t>
      </w:r>
      <w:r w:rsidR="006A165E" w:rsidRPr="00CF7FE6">
        <w:rPr>
          <w:rFonts w:ascii="Verdana" w:hAnsi="Verdana"/>
          <w:sz w:val="20"/>
          <w:szCs w:val="20"/>
          <w:lang w:val="es-ES"/>
        </w:rPr>
        <w:t xml:space="preserve">dicho derecho </w:t>
      </w:r>
      <w:r w:rsidR="00A156A0" w:rsidRPr="00CF7FE6">
        <w:rPr>
          <w:rFonts w:ascii="Verdana" w:hAnsi="Verdana"/>
          <w:sz w:val="20"/>
          <w:szCs w:val="20"/>
          <w:lang w:val="es-ES"/>
        </w:rPr>
        <w:t>es susceptible de ser judicializado ante la Corte en mérito de esos antecedentes y no de lo previsto en el referido art</w:t>
      </w:r>
      <w:r w:rsidR="007A3393" w:rsidRPr="00CF7FE6">
        <w:rPr>
          <w:rFonts w:ascii="Verdana" w:hAnsi="Verdana"/>
          <w:sz w:val="20"/>
          <w:szCs w:val="20"/>
          <w:lang w:val="es-ES"/>
        </w:rPr>
        <w:t>ículo 26, el que</w:t>
      </w:r>
      <w:r w:rsidRPr="00CF7FE6">
        <w:rPr>
          <w:rFonts w:ascii="Verdana" w:hAnsi="Verdana"/>
          <w:sz w:val="20"/>
          <w:szCs w:val="20"/>
          <w:lang w:val="es-ES"/>
        </w:rPr>
        <w:t>, por lo demás,</w:t>
      </w:r>
      <w:r w:rsidR="007A3393" w:rsidRPr="00CF7FE6">
        <w:rPr>
          <w:rFonts w:ascii="Verdana" w:hAnsi="Verdana"/>
          <w:sz w:val="20"/>
          <w:szCs w:val="20"/>
          <w:lang w:val="es-ES"/>
        </w:rPr>
        <w:t xml:space="preserve"> </w:t>
      </w:r>
      <w:r w:rsidR="00A156A0" w:rsidRPr="00CF7FE6">
        <w:rPr>
          <w:rFonts w:ascii="Verdana" w:hAnsi="Verdana"/>
          <w:sz w:val="20"/>
          <w:szCs w:val="20"/>
          <w:lang w:val="es-ES"/>
        </w:rPr>
        <w:t>es aludido</w:t>
      </w:r>
      <w:r w:rsidR="00934869">
        <w:rPr>
          <w:rFonts w:ascii="Verdana" w:hAnsi="Verdana"/>
          <w:sz w:val="20"/>
          <w:szCs w:val="20"/>
          <w:lang w:val="es-ES"/>
        </w:rPr>
        <w:t>, en cuanto a la libertad de asociación,</w:t>
      </w:r>
      <w:r w:rsidR="00A156A0" w:rsidRPr="00CF7FE6">
        <w:rPr>
          <w:rFonts w:ascii="Verdana" w:hAnsi="Verdana"/>
          <w:sz w:val="20"/>
          <w:szCs w:val="20"/>
          <w:lang w:val="es-ES"/>
        </w:rPr>
        <w:t xml:space="preserve"> muy </w:t>
      </w:r>
      <w:r w:rsidR="00DD1757" w:rsidRPr="00CF7FE6">
        <w:rPr>
          <w:rFonts w:ascii="Verdana" w:hAnsi="Verdana"/>
          <w:sz w:val="20"/>
          <w:szCs w:val="20"/>
          <w:lang w:val="es-ES"/>
        </w:rPr>
        <w:t xml:space="preserve">marginal o </w:t>
      </w:r>
      <w:r w:rsidR="00A156A0" w:rsidRPr="00CF7FE6">
        <w:rPr>
          <w:rFonts w:ascii="Verdana" w:hAnsi="Verdana"/>
          <w:sz w:val="20"/>
          <w:szCs w:val="20"/>
          <w:lang w:val="es-ES"/>
        </w:rPr>
        <w:t>tangencialmente en el fallo</w:t>
      </w:r>
      <w:r w:rsidRPr="00CF7FE6">
        <w:rPr>
          <w:rFonts w:ascii="Verdana" w:hAnsi="Verdana"/>
          <w:sz w:val="20"/>
          <w:szCs w:val="20"/>
          <w:lang w:val="es-ES"/>
        </w:rPr>
        <w:t xml:space="preserve">, al mismo nivel </w:t>
      </w:r>
      <w:r w:rsidR="00BA2A54" w:rsidRPr="00CF7FE6">
        <w:rPr>
          <w:rFonts w:ascii="Verdana" w:hAnsi="Verdana"/>
          <w:sz w:val="20"/>
          <w:szCs w:val="20"/>
          <w:lang w:val="es-ES"/>
        </w:rPr>
        <w:t>que la Carta D</w:t>
      </w:r>
      <w:r w:rsidR="007A0D2D" w:rsidRPr="00CF7FE6">
        <w:rPr>
          <w:rFonts w:ascii="Verdana" w:hAnsi="Verdana"/>
          <w:sz w:val="20"/>
          <w:szCs w:val="20"/>
          <w:lang w:val="es-ES"/>
        </w:rPr>
        <w:t>emocrática Interamericana</w:t>
      </w:r>
      <w:r w:rsidR="00934869">
        <w:rPr>
          <w:rStyle w:val="FootnoteReference"/>
          <w:rFonts w:ascii="Verdana" w:hAnsi="Verdana"/>
          <w:sz w:val="20"/>
          <w:szCs w:val="20"/>
          <w:lang w:val="es-ES"/>
        </w:rPr>
        <w:footnoteReference w:id="19"/>
      </w:r>
      <w:r w:rsidR="00BA2A54" w:rsidRPr="00CF7FE6">
        <w:rPr>
          <w:rFonts w:ascii="Verdana" w:hAnsi="Verdana"/>
          <w:sz w:val="20"/>
          <w:szCs w:val="20"/>
          <w:lang w:val="es-ES"/>
        </w:rPr>
        <w:t xml:space="preserve"> y el Convenio sobre los representantes de los trabajadores</w:t>
      </w:r>
      <w:r w:rsidR="00BA2A54" w:rsidRPr="00CF7FE6">
        <w:rPr>
          <w:rStyle w:val="FootnoteReference"/>
          <w:rFonts w:ascii="Verdana" w:hAnsi="Verdana"/>
          <w:sz w:val="20"/>
          <w:szCs w:val="20"/>
          <w:vertAlign w:val="baseline"/>
          <w:lang w:val="es-ES"/>
        </w:rPr>
        <w:t xml:space="preserve"> </w:t>
      </w:r>
      <w:r w:rsidR="00BA2A54" w:rsidRPr="00CF7FE6">
        <w:rPr>
          <w:rFonts w:ascii="Verdana" w:hAnsi="Verdana"/>
          <w:sz w:val="20"/>
          <w:szCs w:val="20"/>
          <w:lang w:val="es-ES"/>
        </w:rPr>
        <w:t>de la OIT</w:t>
      </w:r>
      <w:r w:rsidR="00A156A0" w:rsidRPr="00CF7FE6">
        <w:rPr>
          <w:rStyle w:val="FootnoteReference"/>
          <w:rFonts w:ascii="Verdana" w:hAnsi="Verdana"/>
          <w:sz w:val="20"/>
          <w:szCs w:val="20"/>
          <w:lang w:val="es-ES"/>
        </w:rPr>
        <w:footnoteReference w:id="20"/>
      </w:r>
      <w:r w:rsidR="007A0D2D" w:rsidRPr="00CF7FE6">
        <w:rPr>
          <w:rFonts w:ascii="Verdana" w:hAnsi="Verdana"/>
          <w:sz w:val="20"/>
          <w:szCs w:val="20"/>
          <w:lang w:val="es-ES"/>
        </w:rPr>
        <w:t>,</w:t>
      </w:r>
      <w:r w:rsidR="00A156A0" w:rsidRPr="00CF7FE6">
        <w:rPr>
          <w:rFonts w:ascii="Verdana" w:hAnsi="Verdana"/>
          <w:sz w:val="20"/>
          <w:szCs w:val="20"/>
          <w:lang w:val="es-ES"/>
        </w:rPr>
        <w:t xml:space="preserve"> </w:t>
      </w:r>
      <w:r w:rsidR="007A3393" w:rsidRPr="00CF7FE6">
        <w:rPr>
          <w:rFonts w:ascii="Verdana" w:hAnsi="Verdana"/>
          <w:sz w:val="20"/>
          <w:szCs w:val="20"/>
          <w:lang w:val="es-ES"/>
        </w:rPr>
        <w:t>es</w:t>
      </w:r>
      <w:r w:rsidR="00314F34" w:rsidRPr="00CF7FE6">
        <w:rPr>
          <w:rFonts w:ascii="Verdana" w:hAnsi="Verdana"/>
          <w:sz w:val="20"/>
          <w:szCs w:val="20"/>
          <w:lang w:val="es-ES"/>
        </w:rPr>
        <w:t xml:space="preserve">to es, </w:t>
      </w:r>
      <w:r w:rsidR="00962D48">
        <w:rPr>
          <w:rFonts w:ascii="Verdana" w:hAnsi="Verdana"/>
          <w:sz w:val="20"/>
          <w:szCs w:val="20"/>
          <w:lang w:val="es-ES"/>
        </w:rPr>
        <w:t xml:space="preserve">es abordado </w:t>
      </w:r>
      <w:r w:rsidR="009C18E8" w:rsidRPr="00CF7FE6">
        <w:rPr>
          <w:rFonts w:ascii="Verdana" w:hAnsi="Verdana"/>
          <w:sz w:val="20"/>
          <w:szCs w:val="20"/>
          <w:lang w:val="es-ES"/>
        </w:rPr>
        <w:t xml:space="preserve">más propiamente </w:t>
      </w:r>
      <w:r w:rsidR="00314F34" w:rsidRPr="00CF7FE6">
        <w:rPr>
          <w:rFonts w:ascii="Verdana" w:hAnsi="Verdana"/>
          <w:sz w:val="20"/>
          <w:szCs w:val="20"/>
          <w:lang w:val="es-ES"/>
        </w:rPr>
        <w:t>como medio de interpretación</w:t>
      </w:r>
      <w:r w:rsidR="00BE3D78" w:rsidRPr="00BE3D78">
        <w:rPr>
          <w:lang w:val="es-ES"/>
        </w:rPr>
        <w:t xml:space="preserve"> </w:t>
      </w:r>
      <w:r w:rsidR="00BE3D78" w:rsidRPr="00BE3D78">
        <w:rPr>
          <w:rFonts w:ascii="Verdana" w:hAnsi="Verdana"/>
          <w:sz w:val="20"/>
          <w:szCs w:val="20"/>
          <w:lang w:val="es-ES"/>
        </w:rPr>
        <w:t>de lo previsto en ella</w:t>
      </w:r>
      <w:r w:rsidR="00314F34" w:rsidRPr="00CF7FE6">
        <w:rPr>
          <w:rFonts w:ascii="Verdana" w:hAnsi="Verdana"/>
          <w:sz w:val="20"/>
          <w:szCs w:val="20"/>
          <w:lang w:val="es-ES"/>
        </w:rPr>
        <w:t>, juntamente con el contexto</w:t>
      </w:r>
      <w:r w:rsidR="005A1A44" w:rsidRPr="00CF7FE6">
        <w:rPr>
          <w:rFonts w:ascii="Verdana" w:hAnsi="Verdana"/>
          <w:sz w:val="20"/>
          <w:szCs w:val="20"/>
          <w:lang w:val="es-ES"/>
        </w:rPr>
        <w:t xml:space="preserve"> de los términos de la Convención</w:t>
      </w:r>
      <w:r w:rsidR="00DD1757" w:rsidRPr="00CF7FE6">
        <w:rPr>
          <w:rStyle w:val="FootnoteReference"/>
          <w:rFonts w:ascii="Verdana" w:hAnsi="Verdana"/>
          <w:sz w:val="20"/>
          <w:szCs w:val="20"/>
          <w:lang w:val="es-ES"/>
        </w:rPr>
        <w:footnoteReference w:id="21"/>
      </w:r>
      <w:r w:rsidR="005A1A44" w:rsidRPr="00CF7FE6">
        <w:rPr>
          <w:rFonts w:ascii="Verdana" w:hAnsi="Verdana"/>
          <w:sz w:val="20"/>
          <w:szCs w:val="20"/>
          <w:lang w:val="es-ES"/>
        </w:rPr>
        <w:t xml:space="preserve">, </w:t>
      </w:r>
      <w:r w:rsidR="005C11BD">
        <w:rPr>
          <w:rFonts w:ascii="Verdana" w:hAnsi="Verdana"/>
          <w:sz w:val="20"/>
          <w:szCs w:val="20"/>
          <w:lang w:val="es-ES"/>
        </w:rPr>
        <w:t xml:space="preserve">en lo concerniente a la existencia del derecho a la libertad de asociación, más no </w:t>
      </w:r>
      <w:r w:rsidR="00A156A0" w:rsidRPr="00CF7FE6">
        <w:rPr>
          <w:rFonts w:ascii="Verdana" w:hAnsi="Verdana"/>
          <w:sz w:val="20"/>
          <w:szCs w:val="20"/>
          <w:lang w:val="es-ES"/>
        </w:rPr>
        <w:t>como sustento de la competencia de la Corte para pronunciarse al respecto.</w:t>
      </w:r>
    </w:p>
    <w:p w14:paraId="1FCE24AA" w14:textId="77777777" w:rsidR="00D11EA9" w:rsidRPr="00CF7FE6" w:rsidRDefault="00D11EA9" w:rsidP="00EB7CE1">
      <w:pPr>
        <w:spacing w:after="0" w:line="240" w:lineRule="auto"/>
        <w:jc w:val="both"/>
        <w:rPr>
          <w:rFonts w:ascii="Verdana" w:hAnsi="Verdana"/>
          <w:sz w:val="20"/>
          <w:szCs w:val="20"/>
          <w:lang w:val="es-ES"/>
        </w:rPr>
      </w:pPr>
    </w:p>
    <w:p w14:paraId="426161E7" w14:textId="77777777" w:rsidR="00273011" w:rsidRPr="00273011" w:rsidRDefault="00273011" w:rsidP="00EB7CE1">
      <w:pPr>
        <w:pStyle w:val="ListParagraph"/>
        <w:numPr>
          <w:ilvl w:val="0"/>
          <w:numId w:val="11"/>
        </w:numPr>
        <w:spacing w:after="0" w:line="240" w:lineRule="auto"/>
        <w:jc w:val="both"/>
        <w:rPr>
          <w:rFonts w:ascii="Verdana" w:hAnsi="Verdana"/>
          <w:b/>
          <w:sz w:val="20"/>
          <w:szCs w:val="20"/>
          <w:lang w:val="es-ES"/>
        </w:rPr>
      </w:pPr>
      <w:r>
        <w:rPr>
          <w:rFonts w:ascii="Verdana" w:hAnsi="Verdana"/>
          <w:b/>
          <w:sz w:val="20"/>
          <w:szCs w:val="20"/>
          <w:lang w:val="es-ES"/>
        </w:rPr>
        <w:t xml:space="preserve">Alcance </w:t>
      </w:r>
      <w:r w:rsidRPr="00273011">
        <w:rPr>
          <w:rFonts w:ascii="Verdana" w:hAnsi="Verdana"/>
          <w:b/>
          <w:sz w:val="20"/>
          <w:szCs w:val="20"/>
          <w:lang w:val="es-ES"/>
        </w:rPr>
        <w:t>del presente texto.</w:t>
      </w:r>
    </w:p>
    <w:p w14:paraId="2CF5B416" w14:textId="77777777" w:rsidR="00273011" w:rsidRDefault="00273011" w:rsidP="00EB7CE1">
      <w:pPr>
        <w:spacing w:after="0" w:line="240" w:lineRule="auto"/>
        <w:ind w:left="360"/>
        <w:jc w:val="both"/>
        <w:rPr>
          <w:rFonts w:ascii="Verdana" w:hAnsi="Verdana"/>
          <w:sz w:val="20"/>
          <w:szCs w:val="20"/>
          <w:lang w:val="es-ES"/>
        </w:rPr>
      </w:pPr>
    </w:p>
    <w:p w14:paraId="690A694F" w14:textId="77777777" w:rsidR="00132AE0" w:rsidRPr="00273011" w:rsidRDefault="00A156A0" w:rsidP="00EB7CE1">
      <w:pPr>
        <w:spacing w:after="0" w:line="240" w:lineRule="auto"/>
        <w:ind w:left="360"/>
        <w:jc w:val="both"/>
        <w:rPr>
          <w:rFonts w:ascii="Verdana" w:hAnsi="Verdana"/>
          <w:sz w:val="20"/>
          <w:szCs w:val="20"/>
          <w:lang w:val="es-ES"/>
        </w:rPr>
      </w:pPr>
      <w:r w:rsidRPr="00273011">
        <w:rPr>
          <w:rFonts w:ascii="Verdana" w:hAnsi="Verdana"/>
          <w:sz w:val="20"/>
          <w:szCs w:val="20"/>
          <w:lang w:val="es-ES"/>
        </w:rPr>
        <w:t>Es por lo anterior, que lo que se exp</w:t>
      </w:r>
      <w:r w:rsidR="00EA27F9" w:rsidRPr="00273011">
        <w:rPr>
          <w:rFonts w:ascii="Verdana" w:hAnsi="Verdana"/>
          <w:sz w:val="20"/>
          <w:szCs w:val="20"/>
          <w:lang w:val="es-ES"/>
        </w:rPr>
        <w:t>resa en este voto se restringe</w:t>
      </w:r>
      <w:r w:rsidRPr="00273011">
        <w:rPr>
          <w:rFonts w:ascii="Verdana" w:hAnsi="Verdana"/>
          <w:sz w:val="20"/>
          <w:szCs w:val="20"/>
          <w:lang w:val="es-ES"/>
        </w:rPr>
        <w:t xml:space="preserve"> a lo concerniente al derecho a la</w:t>
      </w:r>
      <w:r w:rsidR="00D24A8C" w:rsidRPr="00273011">
        <w:rPr>
          <w:rFonts w:ascii="Verdana" w:hAnsi="Verdana"/>
          <w:sz w:val="20"/>
          <w:szCs w:val="20"/>
          <w:lang w:val="es-ES"/>
        </w:rPr>
        <w:t xml:space="preserve"> estabilidad del empleo</w:t>
      </w:r>
      <w:r w:rsidR="007D3D1C" w:rsidRPr="00273011">
        <w:rPr>
          <w:rFonts w:ascii="Verdana" w:hAnsi="Verdana"/>
          <w:sz w:val="20"/>
          <w:szCs w:val="20"/>
          <w:lang w:val="es-ES"/>
        </w:rPr>
        <w:t xml:space="preserve">, aunque lo que </w:t>
      </w:r>
      <w:r w:rsidR="005C11BD" w:rsidRPr="00273011">
        <w:rPr>
          <w:rFonts w:ascii="Verdana" w:hAnsi="Verdana"/>
          <w:sz w:val="20"/>
          <w:szCs w:val="20"/>
          <w:lang w:val="es-ES"/>
        </w:rPr>
        <w:t xml:space="preserve">se </w:t>
      </w:r>
      <w:r w:rsidR="00EA27F9" w:rsidRPr="00273011">
        <w:rPr>
          <w:rFonts w:ascii="Verdana" w:hAnsi="Verdana"/>
          <w:sz w:val="20"/>
          <w:szCs w:val="20"/>
          <w:lang w:val="es-ES"/>
        </w:rPr>
        <w:t xml:space="preserve">afirma </w:t>
      </w:r>
      <w:r w:rsidR="007D3D1C" w:rsidRPr="00273011">
        <w:rPr>
          <w:rFonts w:ascii="Verdana" w:hAnsi="Verdana"/>
          <w:sz w:val="20"/>
          <w:szCs w:val="20"/>
          <w:lang w:val="es-ES"/>
        </w:rPr>
        <w:t>puede</w:t>
      </w:r>
      <w:r w:rsidR="007A3393" w:rsidRPr="00273011">
        <w:rPr>
          <w:rFonts w:ascii="Verdana" w:hAnsi="Verdana"/>
          <w:sz w:val="20"/>
          <w:szCs w:val="20"/>
          <w:lang w:val="es-ES"/>
        </w:rPr>
        <w:t xml:space="preserve"> </w:t>
      </w:r>
      <w:r w:rsidR="009C18E8" w:rsidRPr="00273011">
        <w:rPr>
          <w:rFonts w:ascii="Verdana" w:hAnsi="Verdana"/>
          <w:sz w:val="20"/>
          <w:szCs w:val="20"/>
          <w:lang w:val="es-ES"/>
        </w:rPr>
        <w:t xml:space="preserve">asimismo </w:t>
      </w:r>
      <w:r w:rsidR="007D3D1C" w:rsidRPr="00273011">
        <w:rPr>
          <w:rFonts w:ascii="Verdana" w:hAnsi="Verdana"/>
          <w:sz w:val="20"/>
          <w:szCs w:val="20"/>
          <w:lang w:val="es-ES"/>
        </w:rPr>
        <w:t xml:space="preserve">ser estimado </w:t>
      </w:r>
      <w:r w:rsidR="007A3393" w:rsidRPr="00273011">
        <w:rPr>
          <w:rFonts w:ascii="Verdana" w:hAnsi="Verdana"/>
          <w:sz w:val="20"/>
          <w:szCs w:val="20"/>
          <w:lang w:val="es-ES"/>
        </w:rPr>
        <w:t>proc</w:t>
      </w:r>
      <w:r w:rsidR="007D3D1C" w:rsidRPr="00273011">
        <w:rPr>
          <w:rFonts w:ascii="Verdana" w:hAnsi="Verdana"/>
          <w:sz w:val="20"/>
          <w:szCs w:val="20"/>
          <w:lang w:val="es-ES"/>
        </w:rPr>
        <w:t>edente en cuanto a la relación que la Sentencia hace de</w:t>
      </w:r>
      <w:r w:rsidR="007A3393" w:rsidRPr="00273011">
        <w:rPr>
          <w:rFonts w:ascii="Verdana" w:hAnsi="Verdana"/>
          <w:sz w:val="20"/>
          <w:szCs w:val="20"/>
          <w:lang w:val="es-ES"/>
        </w:rPr>
        <w:t xml:space="preserve">l artículo </w:t>
      </w:r>
      <w:r w:rsidR="007D3D1C" w:rsidRPr="00273011">
        <w:rPr>
          <w:rFonts w:ascii="Verdana" w:hAnsi="Verdana"/>
          <w:sz w:val="20"/>
          <w:szCs w:val="20"/>
          <w:lang w:val="es-ES"/>
        </w:rPr>
        <w:t xml:space="preserve">26 de la Convención con el </w:t>
      </w:r>
      <w:r w:rsidR="007A3393" w:rsidRPr="00273011">
        <w:rPr>
          <w:rFonts w:ascii="Verdana" w:hAnsi="Verdana"/>
          <w:sz w:val="20"/>
          <w:szCs w:val="20"/>
          <w:lang w:val="es-ES"/>
        </w:rPr>
        <w:t>derecho a la libertad de asociación</w:t>
      </w:r>
      <w:r w:rsidR="00D24A8C" w:rsidRPr="00273011">
        <w:rPr>
          <w:rFonts w:ascii="Verdana" w:hAnsi="Verdana"/>
          <w:sz w:val="20"/>
          <w:szCs w:val="20"/>
          <w:lang w:val="es-ES"/>
        </w:rPr>
        <w:t>.</w:t>
      </w:r>
      <w:r w:rsidRPr="00273011">
        <w:rPr>
          <w:rFonts w:ascii="Verdana" w:hAnsi="Verdana"/>
          <w:sz w:val="20"/>
          <w:szCs w:val="20"/>
          <w:lang w:val="es-ES"/>
        </w:rPr>
        <w:t xml:space="preserve"> </w:t>
      </w:r>
      <w:r w:rsidR="00132AE0" w:rsidRPr="00273011">
        <w:rPr>
          <w:rFonts w:ascii="Verdana" w:hAnsi="Verdana"/>
          <w:sz w:val="20"/>
          <w:szCs w:val="20"/>
          <w:lang w:val="es-ES"/>
        </w:rPr>
        <w:t xml:space="preserve"> </w:t>
      </w:r>
    </w:p>
    <w:p w14:paraId="4F76FA2D" w14:textId="77777777" w:rsidR="00D11EA9" w:rsidRPr="00CF7FE6" w:rsidRDefault="00D11EA9" w:rsidP="00EB7CE1">
      <w:pPr>
        <w:spacing w:after="0" w:line="240" w:lineRule="auto"/>
        <w:jc w:val="both"/>
        <w:rPr>
          <w:rFonts w:ascii="Verdana" w:hAnsi="Verdana"/>
          <w:sz w:val="20"/>
          <w:szCs w:val="20"/>
          <w:lang w:val="es-ES"/>
        </w:rPr>
      </w:pPr>
    </w:p>
    <w:p w14:paraId="22688191" w14:textId="77777777" w:rsidR="00DF2917" w:rsidRPr="00273011" w:rsidRDefault="00B94AE5" w:rsidP="00EB7CE1">
      <w:pPr>
        <w:pStyle w:val="ListParagraph"/>
        <w:numPr>
          <w:ilvl w:val="0"/>
          <w:numId w:val="13"/>
        </w:numPr>
        <w:spacing w:after="0" w:line="240" w:lineRule="auto"/>
        <w:jc w:val="both"/>
        <w:rPr>
          <w:rFonts w:ascii="Verdana" w:hAnsi="Verdana"/>
          <w:b/>
          <w:sz w:val="20"/>
          <w:szCs w:val="20"/>
          <w:lang w:val="es-ES"/>
        </w:rPr>
      </w:pPr>
      <w:r>
        <w:rPr>
          <w:rFonts w:ascii="Verdana" w:hAnsi="Verdana"/>
          <w:b/>
          <w:sz w:val="20"/>
          <w:szCs w:val="20"/>
          <w:lang w:val="es-ES"/>
        </w:rPr>
        <w:t xml:space="preserve">LO </w:t>
      </w:r>
      <w:r w:rsidR="00DF2917" w:rsidRPr="00273011">
        <w:rPr>
          <w:rFonts w:ascii="Verdana" w:hAnsi="Verdana"/>
          <w:b/>
          <w:sz w:val="20"/>
          <w:szCs w:val="20"/>
          <w:lang w:val="es-ES"/>
        </w:rPr>
        <w:t>QUE ESTABLECE LA CONVENCIÓN.</w:t>
      </w:r>
    </w:p>
    <w:p w14:paraId="1E3F5CC3" w14:textId="77777777" w:rsidR="00D11EA9" w:rsidRPr="00CF7FE6" w:rsidRDefault="00D11EA9" w:rsidP="00EB7CE1">
      <w:pPr>
        <w:spacing w:after="0" w:line="240" w:lineRule="auto"/>
        <w:jc w:val="both"/>
        <w:rPr>
          <w:rFonts w:ascii="Verdana" w:hAnsi="Verdana"/>
          <w:b/>
          <w:sz w:val="20"/>
          <w:szCs w:val="20"/>
          <w:lang w:val="es-ES"/>
        </w:rPr>
      </w:pPr>
    </w:p>
    <w:p w14:paraId="7FD66A72" w14:textId="77777777" w:rsidR="00AC65DA" w:rsidRPr="00CF7FE6" w:rsidRDefault="006D4634" w:rsidP="00EB7CE1">
      <w:pPr>
        <w:spacing w:after="0" w:line="240" w:lineRule="auto"/>
        <w:jc w:val="both"/>
        <w:rPr>
          <w:rFonts w:ascii="Verdana" w:hAnsi="Verdana"/>
          <w:sz w:val="20"/>
          <w:szCs w:val="20"/>
          <w:lang w:val="es-ES"/>
        </w:rPr>
      </w:pPr>
      <w:r w:rsidRPr="00CF7FE6">
        <w:rPr>
          <w:rFonts w:ascii="Verdana" w:hAnsi="Verdana"/>
          <w:sz w:val="20"/>
          <w:szCs w:val="20"/>
          <w:lang w:val="es-ES"/>
        </w:rPr>
        <w:t>En cuanto a lo que dice</w:t>
      </w:r>
      <w:r w:rsidR="007D3D1C">
        <w:rPr>
          <w:rFonts w:ascii="Verdana" w:hAnsi="Verdana"/>
          <w:sz w:val="20"/>
          <w:szCs w:val="20"/>
          <w:lang w:val="es-ES"/>
        </w:rPr>
        <w:t xml:space="preserve"> relación con lo que se discrepa</w:t>
      </w:r>
      <w:r w:rsidR="00F1238F" w:rsidRPr="00CF7FE6">
        <w:rPr>
          <w:rFonts w:ascii="Verdana" w:hAnsi="Verdana"/>
          <w:sz w:val="20"/>
          <w:szCs w:val="20"/>
          <w:lang w:val="es-ES"/>
        </w:rPr>
        <w:t xml:space="preserve"> de lo expuesto en la Sentencia</w:t>
      </w:r>
      <w:r w:rsidRPr="00CF7FE6">
        <w:rPr>
          <w:rFonts w:ascii="Verdana" w:hAnsi="Verdana"/>
          <w:sz w:val="20"/>
          <w:szCs w:val="20"/>
          <w:lang w:val="es-ES"/>
        </w:rPr>
        <w:t xml:space="preserve">, </w:t>
      </w:r>
      <w:r w:rsidR="003871E0" w:rsidRPr="00CF7FE6">
        <w:rPr>
          <w:rFonts w:ascii="Verdana" w:hAnsi="Verdana"/>
          <w:sz w:val="20"/>
          <w:szCs w:val="20"/>
          <w:lang w:val="es-ES"/>
        </w:rPr>
        <w:t>se exponen cinco</w:t>
      </w:r>
      <w:r w:rsidR="00AC65DA" w:rsidRPr="00CF7FE6">
        <w:rPr>
          <w:rFonts w:ascii="Verdana" w:hAnsi="Verdana"/>
          <w:sz w:val="20"/>
          <w:szCs w:val="20"/>
          <w:lang w:val="es-ES"/>
        </w:rPr>
        <w:t xml:space="preserve"> consideraciones. Una</w:t>
      </w:r>
      <w:r w:rsidR="009C18E8" w:rsidRPr="00CF7FE6">
        <w:rPr>
          <w:rFonts w:ascii="Verdana" w:hAnsi="Verdana"/>
          <w:sz w:val="20"/>
          <w:szCs w:val="20"/>
          <w:lang w:val="es-ES"/>
        </w:rPr>
        <w:t>,</w:t>
      </w:r>
      <w:r w:rsidR="00AC65DA" w:rsidRPr="00CF7FE6">
        <w:rPr>
          <w:rFonts w:ascii="Verdana" w:hAnsi="Verdana"/>
          <w:sz w:val="20"/>
          <w:szCs w:val="20"/>
          <w:lang w:val="es-ES"/>
        </w:rPr>
        <w:t xml:space="preserve"> sobre los derechos “</w:t>
      </w:r>
      <w:r w:rsidR="00AC65DA" w:rsidRPr="00CF7FE6">
        <w:rPr>
          <w:rFonts w:ascii="Verdana" w:hAnsi="Verdana"/>
          <w:i/>
          <w:sz w:val="20"/>
          <w:szCs w:val="20"/>
          <w:lang w:val="es-ES"/>
        </w:rPr>
        <w:t>reconocidos</w:t>
      </w:r>
      <w:r w:rsidR="00BE3D78">
        <w:rPr>
          <w:rFonts w:ascii="Verdana" w:hAnsi="Verdana"/>
          <w:sz w:val="20"/>
          <w:szCs w:val="20"/>
          <w:lang w:val="es-ES"/>
        </w:rPr>
        <w:t>” en la Convención</w:t>
      </w:r>
      <w:r w:rsidR="00AC65DA" w:rsidRPr="00CF7FE6">
        <w:rPr>
          <w:rFonts w:ascii="Verdana" w:hAnsi="Verdana"/>
          <w:sz w:val="20"/>
          <w:szCs w:val="20"/>
          <w:lang w:val="es-ES"/>
        </w:rPr>
        <w:t>. Otra, sobre la existencia de otros</w:t>
      </w:r>
      <w:r w:rsidR="00BE3D78">
        <w:rPr>
          <w:rFonts w:ascii="Verdana" w:hAnsi="Verdana"/>
          <w:sz w:val="20"/>
          <w:szCs w:val="20"/>
          <w:lang w:val="es-ES"/>
        </w:rPr>
        <w:t xml:space="preserve"> derechos. La tercera, sobre el </w:t>
      </w:r>
      <w:r w:rsidR="00AC65DA" w:rsidRPr="00CF7FE6">
        <w:rPr>
          <w:rFonts w:ascii="Verdana" w:hAnsi="Verdana"/>
          <w:sz w:val="20"/>
          <w:szCs w:val="20"/>
          <w:lang w:val="es-ES"/>
        </w:rPr>
        <w:t xml:space="preserve">sistema </w:t>
      </w:r>
      <w:r w:rsidR="00AC65DA" w:rsidRPr="00CF7FE6">
        <w:rPr>
          <w:rFonts w:ascii="Verdana" w:hAnsi="Verdana"/>
          <w:sz w:val="20"/>
          <w:szCs w:val="20"/>
          <w:lang w:val="es-ES"/>
        </w:rPr>
        <w:lastRenderedPageBreak/>
        <w:t>de protección</w:t>
      </w:r>
      <w:r w:rsidR="00BE3D78">
        <w:rPr>
          <w:rFonts w:ascii="Verdana" w:hAnsi="Verdana"/>
          <w:sz w:val="20"/>
          <w:szCs w:val="20"/>
          <w:lang w:val="es-ES"/>
        </w:rPr>
        <w:t xml:space="preserve"> consagrado en aquella</w:t>
      </w:r>
      <w:r w:rsidR="00AC65DA" w:rsidRPr="00CF7FE6">
        <w:rPr>
          <w:rFonts w:ascii="Verdana" w:hAnsi="Verdana"/>
          <w:sz w:val="20"/>
          <w:szCs w:val="20"/>
          <w:lang w:val="es-ES"/>
        </w:rPr>
        <w:t>.</w:t>
      </w:r>
      <w:r w:rsidR="00ED74C3" w:rsidRPr="00CF7FE6">
        <w:rPr>
          <w:rFonts w:ascii="Verdana" w:hAnsi="Verdana"/>
          <w:sz w:val="20"/>
          <w:szCs w:val="20"/>
          <w:lang w:val="es-ES"/>
        </w:rPr>
        <w:t xml:space="preserve"> La cuarta</w:t>
      </w:r>
      <w:r w:rsidR="009C18E8" w:rsidRPr="00CF7FE6">
        <w:rPr>
          <w:rFonts w:ascii="Verdana" w:hAnsi="Verdana"/>
          <w:sz w:val="20"/>
          <w:szCs w:val="20"/>
          <w:lang w:val="es-ES"/>
        </w:rPr>
        <w:t>,</w:t>
      </w:r>
      <w:r w:rsidR="00ED74C3" w:rsidRPr="00CF7FE6">
        <w:rPr>
          <w:rFonts w:ascii="Verdana" w:hAnsi="Verdana"/>
          <w:sz w:val="20"/>
          <w:szCs w:val="20"/>
          <w:lang w:val="es-ES"/>
        </w:rPr>
        <w:t xml:space="preserve"> sobre la ampli</w:t>
      </w:r>
      <w:r w:rsidR="005A1ADC" w:rsidRPr="00CF7FE6">
        <w:rPr>
          <w:rFonts w:ascii="Verdana" w:hAnsi="Verdana"/>
          <w:sz w:val="20"/>
          <w:szCs w:val="20"/>
          <w:lang w:val="es-ES"/>
        </w:rPr>
        <w:t xml:space="preserve">ación de éste </w:t>
      </w:r>
      <w:r w:rsidR="00ED74C3" w:rsidRPr="00CF7FE6">
        <w:rPr>
          <w:rFonts w:ascii="Verdana" w:hAnsi="Verdana"/>
          <w:sz w:val="20"/>
          <w:szCs w:val="20"/>
          <w:lang w:val="es-ES"/>
        </w:rPr>
        <w:t xml:space="preserve">a </w:t>
      </w:r>
      <w:r w:rsidR="00AC65DA" w:rsidRPr="00CF7FE6">
        <w:rPr>
          <w:rFonts w:ascii="Verdana" w:hAnsi="Verdana"/>
          <w:sz w:val="20"/>
          <w:szCs w:val="20"/>
          <w:lang w:val="es-ES"/>
        </w:rPr>
        <w:t xml:space="preserve">otros derechos. </w:t>
      </w:r>
      <w:r w:rsidR="00ED74C3" w:rsidRPr="00CF7FE6">
        <w:rPr>
          <w:rFonts w:ascii="Verdana" w:hAnsi="Verdana"/>
          <w:sz w:val="20"/>
          <w:szCs w:val="20"/>
          <w:lang w:val="es-ES"/>
        </w:rPr>
        <w:t>Y, por último</w:t>
      </w:r>
      <w:r w:rsidR="00AC65DA" w:rsidRPr="00CF7FE6">
        <w:rPr>
          <w:rFonts w:ascii="Verdana" w:hAnsi="Verdana"/>
          <w:sz w:val="20"/>
          <w:szCs w:val="20"/>
          <w:lang w:val="es-ES"/>
        </w:rPr>
        <w:t>, acerca del Protocolo de San Salvador</w:t>
      </w:r>
      <w:r w:rsidR="00ED74C3" w:rsidRPr="00CF7FE6">
        <w:rPr>
          <w:rFonts w:ascii="Verdana" w:hAnsi="Verdana"/>
          <w:sz w:val="20"/>
          <w:szCs w:val="20"/>
          <w:lang w:val="es-ES"/>
        </w:rPr>
        <w:t>.</w:t>
      </w:r>
    </w:p>
    <w:p w14:paraId="5FBE8DCD" w14:textId="77777777" w:rsidR="00D11EA9" w:rsidRPr="00CF7FE6" w:rsidRDefault="00D11EA9" w:rsidP="00EB7CE1">
      <w:pPr>
        <w:spacing w:after="0" w:line="240" w:lineRule="auto"/>
        <w:jc w:val="both"/>
        <w:rPr>
          <w:rFonts w:ascii="Verdana" w:hAnsi="Verdana"/>
          <w:b/>
          <w:sz w:val="20"/>
          <w:szCs w:val="20"/>
          <w:lang w:val="es-ES"/>
        </w:rPr>
      </w:pPr>
    </w:p>
    <w:p w14:paraId="2C52CB03" w14:textId="6E6D4FB0" w:rsidR="00FC07E4" w:rsidRPr="003B2532" w:rsidRDefault="00436F82" w:rsidP="00EB7CE1">
      <w:pPr>
        <w:pStyle w:val="ListParagraph"/>
        <w:numPr>
          <w:ilvl w:val="0"/>
          <w:numId w:val="10"/>
        </w:numPr>
        <w:spacing w:after="0" w:line="240" w:lineRule="auto"/>
        <w:jc w:val="both"/>
        <w:rPr>
          <w:rFonts w:ascii="Verdana" w:hAnsi="Verdana"/>
          <w:b/>
          <w:sz w:val="20"/>
          <w:szCs w:val="20"/>
          <w:lang w:val="es-ES"/>
        </w:rPr>
      </w:pPr>
      <w:r w:rsidRPr="003B2532">
        <w:rPr>
          <w:rFonts w:ascii="Verdana" w:hAnsi="Verdana"/>
          <w:b/>
          <w:sz w:val="20"/>
          <w:szCs w:val="20"/>
          <w:lang w:val="es-ES"/>
        </w:rPr>
        <w:t>Derechos “</w:t>
      </w:r>
      <w:r w:rsidR="00731F1E" w:rsidRPr="003B2532">
        <w:rPr>
          <w:rFonts w:ascii="Verdana" w:hAnsi="Verdana"/>
          <w:b/>
          <w:sz w:val="20"/>
          <w:szCs w:val="20"/>
          <w:lang w:val="es-ES"/>
        </w:rPr>
        <w:t>reconocidos”</w:t>
      </w:r>
      <w:r w:rsidR="001C321E" w:rsidRPr="003B2532">
        <w:rPr>
          <w:rFonts w:ascii="Verdana" w:hAnsi="Verdana"/>
          <w:b/>
          <w:sz w:val="20"/>
          <w:szCs w:val="20"/>
          <w:lang w:val="es-ES"/>
        </w:rPr>
        <w:t xml:space="preserve"> </w:t>
      </w:r>
      <w:r w:rsidR="004714BF">
        <w:rPr>
          <w:rFonts w:ascii="Verdana" w:hAnsi="Verdana"/>
          <w:b/>
          <w:sz w:val="20"/>
          <w:szCs w:val="20"/>
          <w:lang w:val="es-ES"/>
        </w:rPr>
        <w:t>en</w:t>
      </w:r>
      <w:r w:rsidR="00FC07E4" w:rsidRPr="003B2532">
        <w:rPr>
          <w:rFonts w:ascii="Verdana" w:hAnsi="Verdana"/>
          <w:b/>
          <w:sz w:val="20"/>
          <w:szCs w:val="20"/>
          <w:lang w:val="es-ES"/>
        </w:rPr>
        <w:t xml:space="preserve"> la Convención</w:t>
      </w:r>
      <w:r w:rsidR="00731F1E" w:rsidRPr="003B2532">
        <w:rPr>
          <w:rFonts w:ascii="Verdana" w:hAnsi="Verdana"/>
          <w:b/>
          <w:sz w:val="20"/>
          <w:szCs w:val="20"/>
          <w:lang w:val="es-ES"/>
        </w:rPr>
        <w:t>.</w:t>
      </w:r>
    </w:p>
    <w:p w14:paraId="7F430E40" w14:textId="77777777" w:rsidR="00D11EA9" w:rsidRPr="00CF7FE6" w:rsidRDefault="00D11EA9" w:rsidP="00EB7CE1">
      <w:pPr>
        <w:spacing w:after="0" w:line="240" w:lineRule="auto"/>
        <w:jc w:val="both"/>
        <w:rPr>
          <w:rFonts w:ascii="Verdana" w:hAnsi="Verdana"/>
          <w:sz w:val="20"/>
          <w:szCs w:val="20"/>
          <w:lang w:val="es-ES"/>
        </w:rPr>
      </w:pPr>
    </w:p>
    <w:p w14:paraId="4A869720" w14:textId="77777777" w:rsidR="00643800" w:rsidRPr="00CF7FE6" w:rsidRDefault="00505082" w:rsidP="00EB7CE1">
      <w:pPr>
        <w:spacing w:after="0" w:line="240" w:lineRule="auto"/>
        <w:jc w:val="both"/>
        <w:rPr>
          <w:rFonts w:ascii="Verdana" w:hAnsi="Verdana"/>
          <w:sz w:val="20"/>
          <w:szCs w:val="20"/>
          <w:lang w:val="es-ES"/>
        </w:rPr>
      </w:pPr>
      <w:r w:rsidRPr="00CF7FE6">
        <w:rPr>
          <w:rFonts w:ascii="Verdana" w:hAnsi="Verdana"/>
          <w:sz w:val="20"/>
          <w:szCs w:val="20"/>
          <w:lang w:val="es-ES"/>
        </w:rPr>
        <w:t>El artículo 1.1 de la Convención dispone que</w:t>
      </w:r>
      <w:r w:rsidR="008E4D92" w:rsidRPr="00CF7FE6">
        <w:rPr>
          <w:rFonts w:ascii="Verdana" w:hAnsi="Verdana"/>
          <w:sz w:val="20"/>
          <w:szCs w:val="20"/>
          <w:lang w:val="es-ES"/>
        </w:rPr>
        <w:t xml:space="preserve"> sus Estado Partes se </w:t>
      </w:r>
      <w:proofErr w:type="gramStart"/>
      <w:r w:rsidR="008E4D92" w:rsidRPr="00CF7FE6">
        <w:rPr>
          <w:rFonts w:ascii="Verdana" w:hAnsi="Verdana"/>
          <w:sz w:val="20"/>
          <w:szCs w:val="20"/>
          <w:lang w:val="es-ES"/>
        </w:rPr>
        <w:t>comprometen</w:t>
      </w:r>
      <w:proofErr w:type="gramEnd"/>
      <w:r w:rsidR="008E4D92" w:rsidRPr="00CF7FE6">
        <w:rPr>
          <w:rFonts w:ascii="Verdana" w:hAnsi="Verdana"/>
          <w:sz w:val="20"/>
          <w:szCs w:val="20"/>
          <w:lang w:val="es-ES"/>
        </w:rPr>
        <w:t xml:space="preserve"> a respetar y a garantizar el libre ejercicio de  los derechos</w:t>
      </w:r>
      <w:r w:rsidRPr="00CF7FE6">
        <w:rPr>
          <w:rFonts w:ascii="Verdana" w:hAnsi="Verdana"/>
          <w:sz w:val="20"/>
          <w:szCs w:val="20"/>
          <w:lang w:val="es-ES"/>
        </w:rPr>
        <w:t xml:space="preserve"> </w:t>
      </w:r>
      <w:r w:rsidR="008E4D92" w:rsidRPr="00CF7FE6">
        <w:rPr>
          <w:rFonts w:ascii="Verdana" w:hAnsi="Verdana"/>
          <w:sz w:val="20"/>
          <w:szCs w:val="20"/>
          <w:lang w:val="es-ES"/>
        </w:rPr>
        <w:t>“</w:t>
      </w:r>
      <w:r w:rsidR="008E4D92" w:rsidRPr="00CF7FE6">
        <w:rPr>
          <w:rFonts w:ascii="Verdana" w:hAnsi="Verdana"/>
          <w:i/>
          <w:sz w:val="20"/>
          <w:szCs w:val="20"/>
          <w:lang w:val="es-ES"/>
        </w:rPr>
        <w:t>reconocidos en ella</w:t>
      </w:r>
      <w:r w:rsidR="008E4D92" w:rsidRPr="00CF7FE6">
        <w:rPr>
          <w:rFonts w:ascii="Verdana" w:hAnsi="Verdana"/>
          <w:sz w:val="20"/>
          <w:szCs w:val="20"/>
          <w:lang w:val="es-ES"/>
        </w:rPr>
        <w:t>”</w:t>
      </w:r>
      <w:r w:rsidR="008E4D92" w:rsidRPr="00CF7FE6">
        <w:rPr>
          <w:rStyle w:val="FootnoteReference"/>
          <w:rFonts w:ascii="Verdana" w:hAnsi="Verdana"/>
          <w:sz w:val="20"/>
          <w:szCs w:val="20"/>
          <w:lang w:val="es-ES"/>
        </w:rPr>
        <w:footnoteReference w:id="22"/>
      </w:r>
      <w:r w:rsidR="00314F34" w:rsidRPr="00CF7FE6">
        <w:rPr>
          <w:rFonts w:ascii="Verdana" w:hAnsi="Verdana"/>
          <w:sz w:val="20"/>
          <w:szCs w:val="20"/>
          <w:lang w:val="es-ES"/>
        </w:rPr>
        <w:t>.</w:t>
      </w:r>
      <w:r w:rsidR="006F0616" w:rsidRPr="00CF7FE6">
        <w:rPr>
          <w:rFonts w:ascii="Verdana" w:hAnsi="Verdana"/>
          <w:sz w:val="20"/>
          <w:szCs w:val="20"/>
          <w:lang w:val="es-ES"/>
        </w:rPr>
        <w:t xml:space="preserve"> Por su parte, </w:t>
      </w:r>
      <w:r w:rsidR="00643800" w:rsidRPr="00CF7FE6">
        <w:rPr>
          <w:rFonts w:ascii="Verdana" w:hAnsi="Verdana"/>
          <w:sz w:val="20"/>
          <w:szCs w:val="20"/>
          <w:lang w:val="es-ES"/>
        </w:rPr>
        <w:t>el</w:t>
      </w:r>
      <w:r w:rsidR="008E4D92" w:rsidRPr="00CF7FE6">
        <w:rPr>
          <w:rFonts w:ascii="Verdana" w:hAnsi="Verdana"/>
          <w:sz w:val="20"/>
          <w:szCs w:val="20"/>
          <w:lang w:val="es-ES"/>
        </w:rPr>
        <w:t xml:space="preserve"> artículo 29</w:t>
      </w:r>
      <w:r w:rsidR="002B02D8">
        <w:rPr>
          <w:rFonts w:ascii="Verdana" w:hAnsi="Verdana"/>
          <w:sz w:val="20"/>
          <w:szCs w:val="20"/>
          <w:lang w:val="es-ES"/>
        </w:rPr>
        <w:t>.a) de del mismo texto, relativo</w:t>
      </w:r>
      <w:r w:rsidR="008E4D92" w:rsidRPr="00CF7FE6">
        <w:rPr>
          <w:rFonts w:ascii="Verdana" w:hAnsi="Verdana"/>
          <w:sz w:val="20"/>
          <w:szCs w:val="20"/>
          <w:lang w:val="es-ES"/>
        </w:rPr>
        <w:t xml:space="preserve"> al principio </w:t>
      </w:r>
      <w:r w:rsidR="008E4D92" w:rsidRPr="00CF7FE6">
        <w:rPr>
          <w:rFonts w:ascii="Verdana" w:hAnsi="Verdana"/>
          <w:i/>
          <w:sz w:val="20"/>
          <w:szCs w:val="20"/>
          <w:lang w:val="es-ES"/>
        </w:rPr>
        <w:t xml:space="preserve">pro </w:t>
      </w:r>
      <w:proofErr w:type="spellStart"/>
      <w:r w:rsidR="008E4D92" w:rsidRPr="00CF7FE6">
        <w:rPr>
          <w:rFonts w:ascii="Verdana" w:hAnsi="Verdana"/>
          <w:i/>
          <w:sz w:val="20"/>
          <w:szCs w:val="20"/>
          <w:lang w:val="es-ES"/>
        </w:rPr>
        <w:t>personae</w:t>
      </w:r>
      <w:proofErr w:type="spellEnd"/>
      <w:r w:rsidR="00314F34" w:rsidRPr="00CF7FE6">
        <w:rPr>
          <w:rFonts w:ascii="Verdana" w:hAnsi="Verdana"/>
          <w:sz w:val="20"/>
          <w:szCs w:val="20"/>
          <w:lang w:val="es-ES"/>
        </w:rPr>
        <w:t>, emplea la misma fórmula.</w:t>
      </w:r>
      <w:r w:rsidR="008E4D92" w:rsidRPr="00CF7FE6">
        <w:rPr>
          <w:rStyle w:val="FootnoteReference"/>
          <w:rFonts w:ascii="Verdana" w:hAnsi="Verdana"/>
          <w:sz w:val="20"/>
          <w:szCs w:val="20"/>
          <w:lang w:val="es-ES"/>
        </w:rPr>
        <w:footnoteReference w:id="23"/>
      </w:r>
      <w:r w:rsidR="00643800" w:rsidRPr="00CF7FE6">
        <w:rPr>
          <w:rFonts w:ascii="Verdana" w:hAnsi="Verdana"/>
          <w:sz w:val="20"/>
          <w:szCs w:val="20"/>
          <w:lang w:val="es-ES"/>
        </w:rPr>
        <w:t xml:space="preserve"> </w:t>
      </w:r>
    </w:p>
    <w:p w14:paraId="2860736E" w14:textId="77777777" w:rsidR="00314F34" w:rsidRPr="00CF7FE6" w:rsidRDefault="00314F34" w:rsidP="00EB7CE1">
      <w:pPr>
        <w:spacing w:after="0" w:line="240" w:lineRule="auto"/>
        <w:jc w:val="both"/>
        <w:rPr>
          <w:rFonts w:ascii="Verdana" w:hAnsi="Verdana"/>
          <w:sz w:val="20"/>
          <w:szCs w:val="20"/>
          <w:lang w:val="es-ES"/>
        </w:rPr>
      </w:pPr>
    </w:p>
    <w:p w14:paraId="1738FD68" w14:textId="77777777" w:rsidR="00EB2166" w:rsidRPr="00CF7FE6" w:rsidRDefault="00EB2166" w:rsidP="00EB7CE1">
      <w:pPr>
        <w:spacing w:after="0" w:line="240" w:lineRule="auto"/>
        <w:jc w:val="both"/>
        <w:rPr>
          <w:rFonts w:ascii="Verdana" w:hAnsi="Verdana"/>
          <w:sz w:val="20"/>
          <w:szCs w:val="20"/>
          <w:lang w:val="es-ES"/>
        </w:rPr>
      </w:pPr>
      <w:r w:rsidRPr="00CF7FE6">
        <w:rPr>
          <w:rFonts w:ascii="Verdana" w:hAnsi="Verdana"/>
          <w:sz w:val="20"/>
          <w:szCs w:val="20"/>
          <w:lang w:val="es-ES"/>
        </w:rPr>
        <w:t>Es menester indicar también que en otras disposiciones, la Convención se refiere</w:t>
      </w:r>
      <w:r w:rsidR="009C18E8" w:rsidRPr="00CF7FE6">
        <w:rPr>
          <w:rFonts w:ascii="Verdana" w:hAnsi="Verdana"/>
          <w:sz w:val="20"/>
          <w:szCs w:val="20"/>
          <w:lang w:val="es-ES"/>
        </w:rPr>
        <w:t xml:space="preserve"> </w:t>
      </w:r>
      <w:r w:rsidRPr="00CF7FE6">
        <w:rPr>
          <w:rFonts w:ascii="Verdana" w:hAnsi="Verdana"/>
          <w:sz w:val="20"/>
          <w:szCs w:val="20"/>
          <w:lang w:val="es-ES"/>
        </w:rPr>
        <w:t>a “</w:t>
      </w:r>
      <w:r w:rsidRPr="00CF7FE6">
        <w:rPr>
          <w:rFonts w:ascii="Verdana" w:hAnsi="Verdana"/>
          <w:i/>
          <w:sz w:val="20"/>
          <w:szCs w:val="20"/>
          <w:lang w:val="es-ES"/>
        </w:rPr>
        <w:t>los derechos establecidos</w:t>
      </w:r>
      <w:r w:rsidRPr="00CF7FE6">
        <w:rPr>
          <w:rFonts w:ascii="Verdana" w:hAnsi="Verdana"/>
          <w:sz w:val="20"/>
          <w:szCs w:val="20"/>
          <w:lang w:val="es-ES"/>
        </w:rPr>
        <w:t>”</w:t>
      </w:r>
      <w:r w:rsidRPr="00CF7FE6">
        <w:rPr>
          <w:rStyle w:val="FootnoteReference"/>
          <w:rFonts w:ascii="Verdana" w:hAnsi="Verdana"/>
          <w:sz w:val="20"/>
          <w:szCs w:val="20"/>
          <w:lang w:val="es-ES"/>
        </w:rPr>
        <w:footnoteReference w:id="24"/>
      </w:r>
      <w:r w:rsidR="009C18E8" w:rsidRPr="00CF7FE6">
        <w:rPr>
          <w:rFonts w:ascii="Verdana" w:hAnsi="Verdana"/>
          <w:sz w:val="20"/>
          <w:szCs w:val="20"/>
          <w:lang w:val="es-ES"/>
        </w:rPr>
        <w:t xml:space="preserve">, </w:t>
      </w:r>
      <w:r w:rsidRPr="00CF7FE6">
        <w:rPr>
          <w:rFonts w:ascii="Verdana" w:hAnsi="Verdana"/>
          <w:sz w:val="20"/>
          <w:szCs w:val="20"/>
          <w:lang w:val="es-ES"/>
        </w:rPr>
        <w:t>“</w:t>
      </w:r>
      <w:r w:rsidRPr="00CF7FE6">
        <w:rPr>
          <w:rFonts w:ascii="Verdana" w:hAnsi="Verdana"/>
          <w:i/>
          <w:sz w:val="20"/>
          <w:szCs w:val="20"/>
          <w:lang w:val="es-ES"/>
        </w:rPr>
        <w:t>garantizados</w:t>
      </w:r>
      <w:r w:rsidRPr="00CF7FE6">
        <w:rPr>
          <w:rFonts w:ascii="Verdana" w:hAnsi="Verdana"/>
          <w:sz w:val="20"/>
          <w:szCs w:val="20"/>
          <w:lang w:val="es-ES"/>
        </w:rPr>
        <w:t>”</w:t>
      </w:r>
      <w:r w:rsidR="00245253" w:rsidRPr="00CF7FE6">
        <w:rPr>
          <w:rStyle w:val="FootnoteReference"/>
          <w:rFonts w:ascii="Verdana" w:hAnsi="Verdana"/>
          <w:sz w:val="20"/>
          <w:szCs w:val="20"/>
          <w:lang w:val="es-ES"/>
        </w:rPr>
        <w:footnoteReference w:id="25"/>
      </w:r>
      <w:r w:rsidR="00765770" w:rsidRPr="00CF7FE6">
        <w:rPr>
          <w:rFonts w:ascii="Verdana" w:hAnsi="Verdana"/>
          <w:sz w:val="20"/>
          <w:szCs w:val="20"/>
          <w:lang w:val="es-ES"/>
        </w:rPr>
        <w:t xml:space="preserve">, </w:t>
      </w:r>
      <w:r w:rsidRPr="00CF7FE6">
        <w:rPr>
          <w:rFonts w:ascii="Verdana" w:hAnsi="Verdana"/>
          <w:sz w:val="20"/>
          <w:szCs w:val="20"/>
          <w:lang w:val="es-ES"/>
        </w:rPr>
        <w:t>“</w:t>
      </w:r>
      <w:r w:rsidRPr="00CF7FE6">
        <w:rPr>
          <w:rFonts w:ascii="Verdana" w:hAnsi="Verdana"/>
          <w:i/>
          <w:sz w:val="20"/>
          <w:szCs w:val="20"/>
          <w:lang w:val="es-ES"/>
        </w:rPr>
        <w:t>consagrados</w:t>
      </w:r>
      <w:r w:rsidRPr="00CF7FE6">
        <w:rPr>
          <w:rFonts w:ascii="Verdana" w:hAnsi="Verdana"/>
          <w:sz w:val="20"/>
          <w:szCs w:val="20"/>
          <w:lang w:val="es-ES"/>
        </w:rPr>
        <w:t>”</w:t>
      </w:r>
      <w:r w:rsidR="00245253" w:rsidRPr="00CF7FE6">
        <w:rPr>
          <w:rStyle w:val="FootnoteReference"/>
          <w:rFonts w:ascii="Verdana" w:hAnsi="Verdana"/>
          <w:sz w:val="20"/>
          <w:szCs w:val="20"/>
          <w:lang w:val="es-ES"/>
        </w:rPr>
        <w:footnoteReference w:id="26"/>
      </w:r>
      <w:r w:rsidR="00BE2655" w:rsidRPr="00CF7FE6">
        <w:rPr>
          <w:rFonts w:ascii="Verdana" w:hAnsi="Verdana"/>
          <w:sz w:val="20"/>
          <w:szCs w:val="20"/>
          <w:lang w:val="es-ES"/>
        </w:rPr>
        <w:t xml:space="preserve"> o </w:t>
      </w:r>
      <w:r w:rsidR="00CF7891" w:rsidRPr="00CF7FE6">
        <w:rPr>
          <w:rFonts w:ascii="Verdana" w:hAnsi="Verdana"/>
          <w:sz w:val="20"/>
          <w:szCs w:val="20"/>
          <w:lang w:val="es-ES"/>
        </w:rPr>
        <w:t>“</w:t>
      </w:r>
      <w:r w:rsidR="00CF7891" w:rsidRPr="00CF7FE6">
        <w:rPr>
          <w:rFonts w:ascii="Verdana" w:hAnsi="Verdana"/>
          <w:i/>
          <w:sz w:val="20"/>
          <w:szCs w:val="20"/>
          <w:lang w:val="es-ES"/>
        </w:rPr>
        <w:t>protegidos</w:t>
      </w:r>
      <w:r w:rsidR="00CF7891" w:rsidRPr="00CF7FE6">
        <w:rPr>
          <w:rFonts w:ascii="Verdana" w:hAnsi="Verdana"/>
          <w:sz w:val="20"/>
          <w:szCs w:val="20"/>
          <w:lang w:val="es-ES"/>
        </w:rPr>
        <w:t>”</w:t>
      </w:r>
      <w:r w:rsidR="00CF7891" w:rsidRPr="00CF7FE6">
        <w:rPr>
          <w:rStyle w:val="FootnoteReference"/>
          <w:rFonts w:ascii="Verdana" w:hAnsi="Verdana"/>
          <w:sz w:val="20"/>
          <w:szCs w:val="20"/>
          <w:lang w:val="es-ES"/>
        </w:rPr>
        <w:footnoteReference w:id="27"/>
      </w:r>
      <w:r w:rsidR="005C11BD">
        <w:rPr>
          <w:rFonts w:ascii="Verdana" w:hAnsi="Verdana"/>
          <w:sz w:val="20"/>
          <w:szCs w:val="20"/>
          <w:lang w:val="es-ES"/>
        </w:rPr>
        <w:t xml:space="preserve"> en</w:t>
      </w:r>
      <w:r w:rsidRPr="00CF7FE6">
        <w:rPr>
          <w:rFonts w:ascii="Verdana" w:hAnsi="Verdana"/>
          <w:sz w:val="20"/>
          <w:szCs w:val="20"/>
          <w:lang w:val="es-ES"/>
        </w:rPr>
        <w:t xml:space="preserve"> ella</w:t>
      </w:r>
      <w:r w:rsidR="00245253" w:rsidRPr="00CF7FE6">
        <w:rPr>
          <w:rFonts w:ascii="Verdana" w:hAnsi="Verdana"/>
          <w:sz w:val="20"/>
          <w:szCs w:val="20"/>
          <w:lang w:val="es-ES"/>
        </w:rPr>
        <w:t>, por lo que</w:t>
      </w:r>
      <w:r w:rsidR="009C18E8" w:rsidRPr="00CF7FE6">
        <w:rPr>
          <w:rFonts w:ascii="Verdana" w:hAnsi="Verdana"/>
          <w:sz w:val="20"/>
          <w:szCs w:val="20"/>
          <w:lang w:val="es-ES"/>
        </w:rPr>
        <w:t>,</w:t>
      </w:r>
      <w:r w:rsidR="00245253" w:rsidRPr="00CF7FE6">
        <w:rPr>
          <w:rFonts w:ascii="Verdana" w:hAnsi="Verdana"/>
          <w:sz w:val="20"/>
          <w:szCs w:val="20"/>
          <w:lang w:val="es-ES"/>
        </w:rPr>
        <w:t xml:space="preserve"> lógicamente</w:t>
      </w:r>
      <w:r w:rsidR="009C18E8" w:rsidRPr="00CF7FE6">
        <w:rPr>
          <w:rFonts w:ascii="Verdana" w:hAnsi="Verdana"/>
          <w:sz w:val="20"/>
          <w:szCs w:val="20"/>
          <w:lang w:val="es-ES"/>
        </w:rPr>
        <w:t>,</w:t>
      </w:r>
      <w:r w:rsidR="00245253" w:rsidRPr="00CF7FE6">
        <w:rPr>
          <w:rFonts w:ascii="Verdana" w:hAnsi="Verdana"/>
          <w:sz w:val="20"/>
          <w:szCs w:val="20"/>
          <w:lang w:val="es-ES"/>
        </w:rPr>
        <w:t xml:space="preserve"> se debe entender que se trata de los derechos </w:t>
      </w:r>
      <w:r w:rsidR="005C11BD">
        <w:rPr>
          <w:rFonts w:ascii="Verdana" w:hAnsi="Verdana"/>
          <w:sz w:val="20"/>
          <w:szCs w:val="20"/>
          <w:lang w:val="es-ES"/>
        </w:rPr>
        <w:t xml:space="preserve">que han sido  </w:t>
      </w:r>
      <w:r w:rsidR="00245253" w:rsidRPr="00CF7FE6">
        <w:rPr>
          <w:rFonts w:ascii="Verdana" w:hAnsi="Verdana"/>
          <w:sz w:val="20"/>
          <w:szCs w:val="20"/>
          <w:lang w:val="es-ES"/>
        </w:rPr>
        <w:t>“</w:t>
      </w:r>
      <w:r w:rsidR="005C11BD">
        <w:rPr>
          <w:rFonts w:ascii="Verdana" w:hAnsi="Verdana"/>
          <w:i/>
          <w:sz w:val="20"/>
          <w:szCs w:val="20"/>
          <w:lang w:val="es-ES"/>
        </w:rPr>
        <w:t xml:space="preserve">reconocidos” </w:t>
      </w:r>
      <w:r w:rsidR="005C11BD">
        <w:rPr>
          <w:rFonts w:ascii="Verdana" w:hAnsi="Verdana"/>
          <w:sz w:val="20"/>
          <w:szCs w:val="20"/>
          <w:lang w:val="es-ES"/>
        </w:rPr>
        <w:t>en tal tratado</w:t>
      </w:r>
      <w:r w:rsidR="00427495" w:rsidRPr="00CF7FE6">
        <w:rPr>
          <w:rStyle w:val="FootnoteReference"/>
          <w:rFonts w:ascii="Verdana" w:hAnsi="Verdana"/>
          <w:sz w:val="20"/>
          <w:szCs w:val="20"/>
          <w:lang w:val="es-ES"/>
        </w:rPr>
        <w:footnoteReference w:id="28"/>
      </w:r>
      <w:r w:rsidR="00314F34" w:rsidRPr="00CF7FE6">
        <w:rPr>
          <w:rFonts w:ascii="Verdana" w:hAnsi="Verdana"/>
          <w:sz w:val="20"/>
          <w:szCs w:val="20"/>
          <w:lang w:val="es-ES"/>
        </w:rPr>
        <w:t>.</w:t>
      </w:r>
    </w:p>
    <w:p w14:paraId="005E4C56" w14:textId="77777777" w:rsidR="00314F34" w:rsidRPr="00CF7FE6" w:rsidRDefault="00314F34" w:rsidP="00EB7CE1">
      <w:pPr>
        <w:spacing w:after="0" w:line="240" w:lineRule="auto"/>
        <w:jc w:val="both"/>
        <w:rPr>
          <w:rFonts w:ascii="Verdana" w:hAnsi="Verdana"/>
          <w:sz w:val="20"/>
          <w:szCs w:val="20"/>
          <w:lang w:val="es-ES"/>
        </w:rPr>
      </w:pPr>
    </w:p>
    <w:p w14:paraId="3CA332A5" w14:textId="77777777" w:rsidR="00436F82" w:rsidRPr="00CF7FE6" w:rsidRDefault="006F0616" w:rsidP="00EB7CE1">
      <w:pPr>
        <w:spacing w:after="0" w:line="240" w:lineRule="auto"/>
        <w:jc w:val="both"/>
        <w:rPr>
          <w:rFonts w:ascii="Verdana" w:hAnsi="Verdana"/>
          <w:sz w:val="20"/>
          <w:szCs w:val="20"/>
          <w:lang w:val="es-ES"/>
        </w:rPr>
      </w:pPr>
      <w:r w:rsidRPr="00CF7FE6">
        <w:rPr>
          <w:rFonts w:ascii="Verdana" w:hAnsi="Verdana"/>
          <w:sz w:val="20"/>
          <w:szCs w:val="20"/>
          <w:lang w:val="es-ES"/>
        </w:rPr>
        <w:t>Ahora bien, los derechos “</w:t>
      </w:r>
      <w:r w:rsidRPr="00CF7FE6">
        <w:rPr>
          <w:rFonts w:ascii="Verdana" w:hAnsi="Verdana"/>
          <w:i/>
          <w:sz w:val="20"/>
          <w:szCs w:val="20"/>
          <w:lang w:val="es-ES"/>
        </w:rPr>
        <w:t>reconocid</w:t>
      </w:r>
      <w:r w:rsidR="00782620" w:rsidRPr="00CF7FE6">
        <w:rPr>
          <w:rFonts w:ascii="Verdana" w:hAnsi="Verdana"/>
          <w:sz w:val="20"/>
          <w:szCs w:val="20"/>
          <w:lang w:val="es-ES"/>
        </w:rPr>
        <w:t>os” en</w:t>
      </w:r>
      <w:r w:rsidRPr="00CF7FE6">
        <w:rPr>
          <w:rFonts w:ascii="Verdana" w:hAnsi="Verdana"/>
          <w:sz w:val="20"/>
          <w:szCs w:val="20"/>
          <w:lang w:val="es-ES"/>
        </w:rPr>
        <w:t xml:space="preserve"> la Convención </w:t>
      </w:r>
      <w:r w:rsidR="002872F5" w:rsidRPr="00CF7FE6">
        <w:rPr>
          <w:rFonts w:ascii="Verdana" w:hAnsi="Verdana"/>
          <w:sz w:val="20"/>
          <w:szCs w:val="20"/>
          <w:lang w:val="es-ES"/>
        </w:rPr>
        <w:t>son los “</w:t>
      </w:r>
      <w:r w:rsidR="001F4F66" w:rsidRPr="00CF7FE6">
        <w:rPr>
          <w:rFonts w:ascii="Verdana" w:hAnsi="Verdana"/>
          <w:i/>
          <w:sz w:val="20"/>
          <w:szCs w:val="20"/>
          <w:lang w:val="es-ES"/>
        </w:rPr>
        <w:t>Derechos Civiles y políticos</w:t>
      </w:r>
      <w:r w:rsidR="002872F5" w:rsidRPr="00CF7FE6">
        <w:rPr>
          <w:rFonts w:ascii="Verdana" w:hAnsi="Verdana"/>
          <w:sz w:val="20"/>
          <w:szCs w:val="20"/>
          <w:lang w:val="es-ES"/>
        </w:rPr>
        <w:t>”</w:t>
      </w:r>
      <w:r w:rsidR="001F4F66" w:rsidRPr="00CF7FE6">
        <w:rPr>
          <w:rFonts w:ascii="Verdana" w:hAnsi="Verdana"/>
          <w:sz w:val="20"/>
          <w:szCs w:val="20"/>
          <w:lang w:val="es-ES"/>
        </w:rPr>
        <w:t xml:space="preserve"> (Capítulo II), es decir, </w:t>
      </w:r>
      <w:r w:rsidR="00436F82" w:rsidRPr="00CF7FE6">
        <w:rPr>
          <w:rFonts w:ascii="Verdana" w:hAnsi="Verdana"/>
          <w:sz w:val="20"/>
          <w:szCs w:val="20"/>
          <w:lang w:val="es-ES"/>
        </w:rPr>
        <w:t>derecho al reconocimiento de la personalidad jurídica</w:t>
      </w:r>
      <w:r w:rsidR="001F4F66" w:rsidRPr="00CF7FE6">
        <w:rPr>
          <w:rFonts w:ascii="Verdana" w:hAnsi="Verdana"/>
          <w:sz w:val="20"/>
          <w:szCs w:val="20"/>
          <w:lang w:val="es-ES"/>
        </w:rPr>
        <w:t xml:space="preserve"> (art.3)</w:t>
      </w:r>
      <w:r w:rsidR="00436F82" w:rsidRPr="00CF7FE6">
        <w:rPr>
          <w:rFonts w:ascii="Verdana" w:hAnsi="Verdana"/>
          <w:sz w:val="20"/>
          <w:szCs w:val="20"/>
          <w:lang w:val="es-ES"/>
        </w:rPr>
        <w:t>, derecho a la vida</w:t>
      </w:r>
      <w:r w:rsidR="001F4F66" w:rsidRPr="00CF7FE6">
        <w:rPr>
          <w:rFonts w:ascii="Verdana" w:hAnsi="Verdana"/>
          <w:sz w:val="20"/>
          <w:szCs w:val="20"/>
          <w:lang w:val="es-ES"/>
        </w:rPr>
        <w:t xml:space="preserve"> (art.4)</w:t>
      </w:r>
      <w:r w:rsidR="00436F82" w:rsidRPr="00CF7FE6">
        <w:rPr>
          <w:rFonts w:ascii="Verdana" w:hAnsi="Verdana"/>
          <w:sz w:val="20"/>
          <w:szCs w:val="20"/>
          <w:lang w:val="es-ES"/>
        </w:rPr>
        <w:t>, derecho a la integridad personal</w:t>
      </w:r>
      <w:r w:rsidR="001C321E" w:rsidRPr="00CF7FE6">
        <w:rPr>
          <w:rFonts w:ascii="Verdana" w:hAnsi="Verdana"/>
          <w:sz w:val="20"/>
          <w:szCs w:val="20"/>
          <w:lang w:val="es-ES"/>
        </w:rPr>
        <w:t xml:space="preserve"> (art5)</w:t>
      </w:r>
      <w:r w:rsidR="00436F82" w:rsidRPr="00CF7FE6">
        <w:rPr>
          <w:rFonts w:ascii="Verdana" w:hAnsi="Verdana"/>
          <w:sz w:val="20"/>
          <w:szCs w:val="20"/>
          <w:lang w:val="es-ES"/>
        </w:rPr>
        <w:t>, prohibición de la esclavitud y la servidumbre</w:t>
      </w:r>
      <w:r w:rsidR="00CB0119" w:rsidRPr="00CF7FE6">
        <w:rPr>
          <w:rFonts w:ascii="Verdana" w:hAnsi="Verdana"/>
          <w:sz w:val="20"/>
          <w:szCs w:val="20"/>
          <w:lang w:val="es-ES"/>
        </w:rPr>
        <w:t xml:space="preserve"> (art.6)</w:t>
      </w:r>
      <w:r w:rsidR="00436F82" w:rsidRPr="00CF7FE6">
        <w:rPr>
          <w:rFonts w:ascii="Verdana" w:hAnsi="Verdana"/>
          <w:sz w:val="20"/>
          <w:szCs w:val="20"/>
          <w:lang w:val="es-ES"/>
        </w:rPr>
        <w:t>, derecho a la libertad personal</w:t>
      </w:r>
      <w:r w:rsidR="00CB0119" w:rsidRPr="00CF7FE6">
        <w:rPr>
          <w:rFonts w:ascii="Verdana" w:hAnsi="Verdana"/>
          <w:sz w:val="20"/>
          <w:szCs w:val="20"/>
          <w:lang w:val="es-ES"/>
        </w:rPr>
        <w:t xml:space="preserve"> (art.7)</w:t>
      </w:r>
      <w:r w:rsidR="00436F82" w:rsidRPr="00CF7FE6">
        <w:rPr>
          <w:rFonts w:ascii="Verdana" w:hAnsi="Verdana"/>
          <w:sz w:val="20"/>
          <w:szCs w:val="20"/>
          <w:lang w:val="es-ES"/>
        </w:rPr>
        <w:t>, garantías judiciales</w:t>
      </w:r>
      <w:r w:rsidR="00CB0119" w:rsidRPr="00CF7FE6">
        <w:rPr>
          <w:rFonts w:ascii="Verdana" w:hAnsi="Verdana"/>
          <w:sz w:val="20"/>
          <w:szCs w:val="20"/>
          <w:lang w:val="es-ES"/>
        </w:rPr>
        <w:t xml:space="preserve"> (art.8)</w:t>
      </w:r>
      <w:r w:rsidR="00436F82" w:rsidRPr="00CF7FE6">
        <w:rPr>
          <w:rFonts w:ascii="Verdana" w:hAnsi="Verdana"/>
          <w:sz w:val="20"/>
          <w:szCs w:val="20"/>
          <w:lang w:val="es-ES"/>
        </w:rPr>
        <w:t>, principio de legalidad y retroactividad</w:t>
      </w:r>
      <w:r w:rsidR="00CB0119" w:rsidRPr="00CF7FE6">
        <w:rPr>
          <w:rFonts w:ascii="Verdana" w:hAnsi="Verdana"/>
          <w:sz w:val="20"/>
          <w:szCs w:val="20"/>
          <w:lang w:val="es-ES"/>
        </w:rPr>
        <w:t xml:space="preserve"> (art.9)</w:t>
      </w:r>
      <w:r w:rsidR="00436F82" w:rsidRPr="00CF7FE6">
        <w:rPr>
          <w:rFonts w:ascii="Verdana" w:hAnsi="Verdana"/>
          <w:sz w:val="20"/>
          <w:szCs w:val="20"/>
          <w:lang w:val="es-ES"/>
        </w:rPr>
        <w:t>, derecho a indemni</w:t>
      </w:r>
      <w:r w:rsidR="00CB0119" w:rsidRPr="00CF7FE6">
        <w:rPr>
          <w:rFonts w:ascii="Verdana" w:hAnsi="Verdana"/>
          <w:sz w:val="20"/>
          <w:szCs w:val="20"/>
          <w:lang w:val="es-ES"/>
        </w:rPr>
        <w:t>zación (art.10)</w:t>
      </w:r>
      <w:r w:rsidR="00436F82" w:rsidRPr="00CF7FE6">
        <w:rPr>
          <w:rFonts w:ascii="Verdana" w:hAnsi="Verdana"/>
          <w:sz w:val="20"/>
          <w:szCs w:val="20"/>
          <w:lang w:val="es-ES"/>
        </w:rPr>
        <w:t>, protección de la honra y la dignidad</w:t>
      </w:r>
      <w:r w:rsidR="00CB0119" w:rsidRPr="00CF7FE6">
        <w:rPr>
          <w:rFonts w:ascii="Verdana" w:hAnsi="Verdana"/>
          <w:sz w:val="20"/>
          <w:szCs w:val="20"/>
          <w:lang w:val="es-ES"/>
        </w:rPr>
        <w:t xml:space="preserve"> (art.11)</w:t>
      </w:r>
      <w:r w:rsidR="00436F82" w:rsidRPr="00CF7FE6">
        <w:rPr>
          <w:rFonts w:ascii="Verdana" w:hAnsi="Verdana"/>
          <w:sz w:val="20"/>
          <w:szCs w:val="20"/>
          <w:lang w:val="es-ES"/>
        </w:rPr>
        <w:t>, libertad de conciencia y de religión</w:t>
      </w:r>
      <w:r w:rsidR="00CB0119" w:rsidRPr="00CF7FE6">
        <w:rPr>
          <w:rFonts w:ascii="Verdana" w:hAnsi="Verdana"/>
          <w:sz w:val="20"/>
          <w:szCs w:val="20"/>
          <w:lang w:val="es-ES"/>
        </w:rPr>
        <w:t xml:space="preserve"> (art.12)</w:t>
      </w:r>
      <w:r w:rsidR="00436F82" w:rsidRPr="00CF7FE6">
        <w:rPr>
          <w:rFonts w:ascii="Verdana" w:hAnsi="Verdana"/>
          <w:sz w:val="20"/>
          <w:szCs w:val="20"/>
          <w:lang w:val="es-ES"/>
        </w:rPr>
        <w:t>, libertad de pensamiento y de expresión</w:t>
      </w:r>
      <w:r w:rsidR="00CB0119" w:rsidRPr="00CF7FE6">
        <w:rPr>
          <w:rFonts w:ascii="Verdana" w:hAnsi="Verdana"/>
          <w:sz w:val="20"/>
          <w:szCs w:val="20"/>
          <w:lang w:val="es-ES"/>
        </w:rPr>
        <w:t xml:space="preserve"> (art.13)</w:t>
      </w:r>
      <w:r w:rsidR="00436F82" w:rsidRPr="00CF7FE6">
        <w:rPr>
          <w:rFonts w:ascii="Verdana" w:hAnsi="Verdana"/>
          <w:sz w:val="20"/>
          <w:szCs w:val="20"/>
          <w:lang w:val="es-ES"/>
        </w:rPr>
        <w:t>, derecho de rectificación o respuesta</w:t>
      </w:r>
      <w:r w:rsidR="00CB0119" w:rsidRPr="00CF7FE6">
        <w:rPr>
          <w:rFonts w:ascii="Verdana" w:hAnsi="Verdana"/>
          <w:sz w:val="20"/>
          <w:szCs w:val="20"/>
          <w:lang w:val="es-ES"/>
        </w:rPr>
        <w:t xml:space="preserve"> (art.14)</w:t>
      </w:r>
      <w:r w:rsidR="00436F82" w:rsidRPr="00CF7FE6">
        <w:rPr>
          <w:rFonts w:ascii="Verdana" w:hAnsi="Verdana"/>
          <w:sz w:val="20"/>
          <w:szCs w:val="20"/>
          <w:lang w:val="es-ES"/>
        </w:rPr>
        <w:t>, derecho de reunión</w:t>
      </w:r>
      <w:r w:rsidR="00CB0119" w:rsidRPr="00CF7FE6">
        <w:rPr>
          <w:rFonts w:ascii="Verdana" w:hAnsi="Verdana"/>
          <w:sz w:val="20"/>
          <w:szCs w:val="20"/>
          <w:lang w:val="es-ES"/>
        </w:rPr>
        <w:t xml:space="preserve"> (art.15)</w:t>
      </w:r>
      <w:r w:rsidR="00436F82" w:rsidRPr="00CF7FE6">
        <w:rPr>
          <w:rFonts w:ascii="Verdana" w:hAnsi="Verdana"/>
          <w:sz w:val="20"/>
          <w:szCs w:val="20"/>
          <w:lang w:val="es-ES"/>
        </w:rPr>
        <w:t>, libertad de asociación</w:t>
      </w:r>
      <w:r w:rsidR="00CB0119" w:rsidRPr="00CF7FE6">
        <w:rPr>
          <w:rFonts w:ascii="Verdana" w:hAnsi="Verdana"/>
          <w:sz w:val="20"/>
          <w:szCs w:val="20"/>
          <w:lang w:val="es-ES"/>
        </w:rPr>
        <w:t xml:space="preserve"> (art.16)</w:t>
      </w:r>
      <w:r w:rsidR="00436F82" w:rsidRPr="00CF7FE6">
        <w:rPr>
          <w:rFonts w:ascii="Verdana" w:hAnsi="Verdana"/>
          <w:sz w:val="20"/>
          <w:szCs w:val="20"/>
          <w:lang w:val="es-ES"/>
        </w:rPr>
        <w:t>, protección a la familia</w:t>
      </w:r>
      <w:r w:rsidR="00CB0119" w:rsidRPr="00CF7FE6">
        <w:rPr>
          <w:rFonts w:ascii="Verdana" w:hAnsi="Verdana"/>
          <w:sz w:val="20"/>
          <w:szCs w:val="20"/>
          <w:lang w:val="es-ES"/>
        </w:rPr>
        <w:t xml:space="preserve"> (art.17)</w:t>
      </w:r>
      <w:r w:rsidR="00436F82" w:rsidRPr="00CF7FE6">
        <w:rPr>
          <w:rFonts w:ascii="Verdana" w:hAnsi="Verdana"/>
          <w:sz w:val="20"/>
          <w:szCs w:val="20"/>
          <w:lang w:val="es-ES"/>
        </w:rPr>
        <w:t>, derecho al nombre</w:t>
      </w:r>
      <w:r w:rsidR="00CB0119" w:rsidRPr="00CF7FE6">
        <w:rPr>
          <w:rFonts w:ascii="Verdana" w:hAnsi="Verdana"/>
          <w:sz w:val="20"/>
          <w:szCs w:val="20"/>
          <w:lang w:val="es-ES"/>
        </w:rPr>
        <w:t xml:space="preserve"> (art.18)</w:t>
      </w:r>
      <w:r w:rsidR="00436F82" w:rsidRPr="00CF7FE6">
        <w:rPr>
          <w:rFonts w:ascii="Verdana" w:hAnsi="Verdana"/>
          <w:sz w:val="20"/>
          <w:szCs w:val="20"/>
          <w:lang w:val="es-ES"/>
        </w:rPr>
        <w:t>, derechos del niño</w:t>
      </w:r>
      <w:r w:rsidR="00CB0119" w:rsidRPr="00CF7FE6">
        <w:rPr>
          <w:rFonts w:ascii="Verdana" w:hAnsi="Verdana"/>
          <w:sz w:val="20"/>
          <w:szCs w:val="20"/>
          <w:lang w:val="es-ES"/>
        </w:rPr>
        <w:t xml:space="preserve"> (art.19)</w:t>
      </w:r>
      <w:r w:rsidR="00436F82" w:rsidRPr="00CF7FE6">
        <w:rPr>
          <w:rFonts w:ascii="Verdana" w:hAnsi="Verdana"/>
          <w:sz w:val="20"/>
          <w:szCs w:val="20"/>
          <w:lang w:val="es-ES"/>
        </w:rPr>
        <w:t>, derecho a la nacionalidad</w:t>
      </w:r>
      <w:r w:rsidR="00CB0119" w:rsidRPr="00CF7FE6">
        <w:rPr>
          <w:rFonts w:ascii="Verdana" w:hAnsi="Verdana"/>
          <w:sz w:val="20"/>
          <w:szCs w:val="20"/>
          <w:lang w:val="es-ES"/>
        </w:rPr>
        <w:t xml:space="preserve"> (art.20</w:t>
      </w:r>
      <w:r w:rsidR="00BE3D78">
        <w:rPr>
          <w:rFonts w:ascii="Verdana" w:hAnsi="Verdana"/>
          <w:sz w:val="20"/>
          <w:szCs w:val="20"/>
          <w:lang w:val="es-ES"/>
        </w:rPr>
        <w:t>)</w:t>
      </w:r>
      <w:r w:rsidR="00436F82" w:rsidRPr="00CF7FE6">
        <w:rPr>
          <w:rFonts w:ascii="Verdana" w:hAnsi="Verdana"/>
          <w:sz w:val="20"/>
          <w:szCs w:val="20"/>
          <w:lang w:val="es-ES"/>
        </w:rPr>
        <w:t>, derecho a la propiedad privada</w:t>
      </w:r>
      <w:r w:rsidR="00CB0119" w:rsidRPr="00CF7FE6">
        <w:rPr>
          <w:rFonts w:ascii="Verdana" w:hAnsi="Verdana"/>
          <w:sz w:val="20"/>
          <w:szCs w:val="20"/>
          <w:lang w:val="es-ES"/>
        </w:rPr>
        <w:t xml:space="preserve"> (art.21)</w:t>
      </w:r>
      <w:r w:rsidR="00436F82" w:rsidRPr="00CF7FE6">
        <w:rPr>
          <w:rFonts w:ascii="Verdana" w:hAnsi="Verdana"/>
          <w:sz w:val="20"/>
          <w:szCs w:val="20"/>
          <w:lang w:val="es-ES"/>
        </w:rPr>
        <w:t>, derecho de circulación y de residencia</w:t>
      </w:r>
      <w:r w:rsidR="00CB0119" w:rsidRPr="00CF7FE6">
        <w:rPr>
          <w:rFonts w:ascii="Verdana" w:hAnsi="Verdana"/>
          <w:sz w:val="20"/>
          <w:szCs w:val="20"/>
          <w:lang w:val="es-ES"/>
        </w:rPr>
        <w:t xml:space="preserve"> (art.22)</w:t>
      </w:r>
      <w:r w:rsidR="00436F82" w:rsidRPr="00CF7FE6">
        <w:rPr>
          <w:rFonts w:ascii="Verdana" w:hAnsi="Verdana"/>
          <w:sz w:val="20"/>
          <w:szCs w:val="20"/>
          <w:lang w:val="es-ES"/>
        </w:rPr>
        <w:t>, derechos políticos</w:t>
      </w:r>
      <w:r w:rsidR="00CB0119" w:rsidRPr="00CF7FE6">
        <w:rPr>
          <w:rFonts w:ascii="Verdana" w:hAnsi="Verdana"/>
          <w:sz w:val="20"/>
          <w:szCs w:val="20"/>
          <w:lang w:val="es-ES"/>
        </w:rPr>
        <w:t xml:space="preserve"> (art.23)</w:t>
      </w:r>
      <w:r w:rsidR="00436F82" w:rsidRPr="00CF7FE6">
        <w:rPr>
          <w:rFonts w:ascii="Verdana" w:hAnsi="Verdana"/>
          <w:sz w:val="20"/>
          <w:szCs w:val="20"/>
          <w:lang w:val="es-ES"/>
        </w:rPr>
        <w:t>, igualdad ante la ley</w:t>
      </w:r>
      <w:r w:rsidR="00CB0119" w:rsidRPr="00CF7FE6">
        <w:rPr>
          <w:rFonts w:ascii="Verdana" w:hAnsi="Verdana"/>
          <w:sz w:val="20"/>
          <w:szCs w:val="20"/>
          <w:lang w:val="es-ES"/>
        </w:rPr>
        <w:t xml:space="preserve"> (art.24)</w:t>
      </w:r>
      <w:r w:rsidR="00436F82" w:rsidRPr="00CF7FE6">
        <w:rPr>
          <w:rFonts w:ascii="Verdana" w:hAnsi="Verdana"/>
          <w:sz w:val="20"/>
          <w:szCs w:val="20"/>
          <w:lang w:val="es-ES"/>
        </w:rPr>
        <w:t xml:space="preserve"> y protección judicial</w:t>
      </w:r>
      <w:r w:rsidR="00CB0119" w:rsidRPr="00CF7FE6">
        <w:rPr>
          <w:rFonts w:ascii="Verdana" w:hAnsi="Verdana"/>
          <w:sz w:val="20"/>
          <w:szCs w:val="20"/>
          <w:lang w:val="es-ES"/>
        </w:rPr>
        <w:t xml:space="preserve"> (art.25)</w:t>
      </w:r>
      <w:r w:rsidR="00436F82" w:rsidRPr="00CF7FE6">
        <w:rPr>
          <w:rFonts w:ascii="Verdana" w:hAnsi="Verdana"/>
          <w:sz w:val="20"/>
          <w:szCs w:val="20"/>
          <w:lang w:val="es-ES"/>
        </w:rPr>
        <w:t>.</w:t>
      </w:r>
    </w:p>
    <w:p w14:paraId="5BDAAEA5" w14:textId="77777777" w:rsidR="00AF1638" w:rsidRPr="00CF7FE6" w:rsidRDefault="00AF1638" w:rsidP="00EB7CE1">
      <w:pPr>
        <w:spacing w:after="0" w:line="240" w:lineRule="auto"/>
        <w:jc w:val="both"/>
        <w:rPr>
          <w:rFonts w:ascii="Verdana" w:hAnsi="Verdana"/>
          <w:sz w:val="20"/>
          <w:szCs w:val="20"/>
          <w:lang w:val="es-ES"/>
        </w:rPr>
      </w:pPr>
    </w:p>
    <w:p w14:paraId="6F6ADBD6" w14:textId="77777777" w:rsidR="006F0616" w:rsidRPr="00CF7FE6" w:rsidRDefault="006F0616" w:rsidP="00EB7CE1">
      <w:pPr>
        <w:spacing w:after="0" w:line="240" w:lineRule="auto"/>
        <w:jc w:val="both"/>
        <w:rPr>
          <w:rFonts w:ascii="Verdana" w:hAnsi="Verdana"/>
          <w:sz w:val="20"/>
          <w:szCs w:val="20"/>
          <w:lang w:val="es-ES"/>
        </w:rPr>
      </w:pPr>
      <w:r w:rsidRPr="00CF7FE6">
        <w:rPr>
          <w:rFonts w:ascii="Verdana" w:hAnsi="Verdana"/>
          <w:sz w:val="20"/>
          <w:szCs w:val="20"/>
          <w:lang w:val="es-ES"/>
        </w:rPr>
        <w:lastRenderedPageBreak/>
        <w:t>De conformidad a estas disposiciones, los derechos objeto de la Convención y que, consecuentemente, sus Estados Partes “</w:t>
      </w:r>
      <w:r w:rsidRPr="00CF7FE6">
        <w:rPr>
          <w:rFonts w:ascii="Verdana" w:hAnsi="Verdana"/>
          <w:i/>
          <w:sz w:val="20"/>
          <w:szCs w:val="20"/>
          <w:lang w:val="es-ES"/>
        </w:rPr>
        <w:t>se comprometen a respetar y a garantizar su libre y pleno ejercicio a toda persona que esté sujeta a su jurisdicción</w:t>
      </w:r>
      <w:r w:rsidRPr="00CF7FE6">
        <w:rPr>
          <w:rFonts w:ascii="Verdana" w:hAnsi="Verdana"/>
          <w:sz w:val="20"/>
          <w:szCs w:val="20"/>
          <w:lang w:val="es-ES"/>
        </w:rPr>
        <w:t>” y a interpretar</w:t>
      </w:r>
      <w:r w:rsidR="006550A6" w:rsidRPr="00CF7FE6">
        <w:rPr>
          <w:rFonts w:ascii="Verdana" w:hAnsi="Verdana"/>
          <w:sz w:val="20"/>
          <w:szCs w:val="20"/>
          <w:lang w:val="es-ES"/>
        </w:rPr>
        <w:t>los</w:t>
      </w:r>
      <w:r w:rsidRPr="00CF7FE6">
        <w:rPr>
          <w:rFonts w:ascii="Verdana" w:hAnsi="Verdana"/>
          <w:sz w:val="20"/>
          <w:szCs w:val="20"/>
          <w:lang w:val="es-ES"/>
        </w:rPr>
        <w:t xml:space="preserve"> de conformidad al principio </w:t>
      </w:r>
      <w:r w:rsidRPr="00CF7FE6">
        <w:rPr>
          <w:rFonts w:ascii="Verdana" w:hAnsi="Verdana"/>
          <w:i/>
          <w:sz w:val="20"/>
          <w:szCs w:val="20"/>
          <w:lang w:val="es-ES"/>
        </w:rPr>
        <w:t xml:space="preserve">pro </w:t>
      </w:r>
      <w:proofErr w:type="spellStart"/>
      <w:r w:rsidRPr="00CF7FE6">
        <w:rPr>
          <w:rFonts w:ascii="Verdana" w:hAnsi="Verdana"/>
          <w:i/>
          <w:sz w:val="20"/>
          <w:szCs w:val="20"/>
          <w:lang w:val="es-ES"/>
        </w:rPr>
        <w:t>personae</w:t>
      </w:r>
      <w:proofErr w:type="spellEnd"/>
      <w:r w:rsidR="00F80D26" w:rsidRPr="00CF7FE6">
        <w:rPr>
          <w:rFonts w:ascii="Verdana" w:hAnsi="Verdana"/>
          <w:sz w:val="20"/>
          <w:szCs w:val="20"/>
          <w:lang w:val="es-ES"/>
        </w:rPr>
        <w:t>, son</w:t>
      </w:r>
      <w:r w:rsidR="009C18E8" w:rsidRPr="00CF7FE6">
        <w:rPr>
          <w:rFonts w:ascii="Verdana" w:hAnsi="Verdana"/>
          <w:sz w:val="20"/>
          <w:szCs w:val="20"/>
          <w:lang w:val="es-ES"/>
        </w:rPr>
        <w:t>,</w:t>
      </w:r>
      <w:r w:rsidRPr="00CF7FE6">
        <w:rPr>
          <w:rFonts w:ascii="Verdana" w:hAnsi="Verdana"/>
          <w:sz w:val="20"/>
          <w:szCs w:val="20"/>
          <w:lang w:val="es-ES"/>
        </w:rPr>
        <w:t xml:space="preserve"> por lo tanto, </w:t>
      </w:r>
      <w:r w:rsidR="0029184F" w:rsidRPr="00CF7FE6">
        <w:rPr>
          <w:rFonts w:ascii="Verdana" w:hAnsi="Verdana"/>
          <w:sz w:val="20"/>
          <w:szCs w:val="20"/>
          <w:lang w:val="es-ES"/>
        </w:rPr>
        <w:t xml:space="preserve">solamente </w:t>
      </w:r>
      <w:r w:rsidRPr="00CF7FE6">
        <w:rPr>
          <w:rFonts w:ascii="Verdana" w:hAnsi="Verdana"/>
          <w:sz w:val="20"/>
          <w:szCs w:val="20"/>
          <w:lang w:val="es-ES"/>
        </w:rPr>
        <w:t xml:space="preserve">los mencionados, entre los que no se encuentra </w:t>
      </w:r>
      <w:r w:rsidR="001032EE" w:rsidRPr="00CF7FE6">
        <w:rPr>
          <w:rFonts w:ascii="Verdana" w:hAnsi="Verdana"/>
          <w:sz w:val="20"/>
          <w:szCs w:val="20"/>
          <w:lang w:val="es-ES"/>
        </w:rPr>
        <w:t xml:space="preserve">el derecho al trabajo ni </w:t>
      </w:r>
      <w:r w:rsidRPr="00CF7FE6">
        <w:rPr>
          <w:rFonts w:ascii="Verdana" w:hAnsi="Verdana"/>
          <w:sz w:val="20"/>
          <w:szCs w:val="20"/>
          <w:lang w:val="es-ES"/>
        </w:rPr>
        <w:t>el derecho a la estabilidad en el empleo</w:t>
      </w:r>
      <w:r w:rsidR="00F80D26" w:rsidRPr="00CF7FE6">
        <w:rPr>
          <w:rFonts w:ascii="Verdana" w:hAnsi="Verdana"/>
          <w:sz w:val="20"/>
          <w:szCs w:val="20"/>
          <w:lang w:val="es-ES"/>
        </w:rPr>
        <w:t>.</w:t>
      </w:r>
    </w:p>
    <w:p w14:paraId="71809028" w14:textId="77777777" w:rsidR="00AF1638" w:rsidRPr="00CF7FE6" w:rsidRDefault="00AF1638" w:rsidP="00EB7CE1">
      <w:pPr>
        <w:spacing w:after="0" w:line="240" w:lineRule="auto"/>
        <w:jc w:val="both"/>
        <w:rPr>
          <w:rFonts w:ascii="Verdana" w:hAnsi="Verdana"/>
          <w:sz w:val="20"/>
          <w:szCs w:val="20"/>
          <w:lang w:val="es-ES"/>
        </w:rPr>
      </w:pPr>
    </w:p>
    <w:p w14:paraId="6C2752A1" w14:textId="77777777" w:rsidR="00F80D26" w:rsidRPr="003B2532" w:rsidRDefault="00F80D26" w:rsidP="00EB7CE1">
      <w:pPr>
        <w:pStyle w:val="ListParagraph"/>
        <w:numPr>
          <w:ilvl w:val="0"/>
          <w:numId w:val="10"/>
        </w:numPr>
        <w:spacing w:after="0" w:line="240" w:lineRule="auto"/>
        <w:jc w:val="both"/>
        <w:rPr>
          <w:rFonts w:ascii="Verdana" w:hAnsi="Verdana"/>
          <w:b/>
          <w:sz w:val="20"/>
          <w:szCs w:val="20"/>
          <w:lang w:val="es-ES"/>
        </w:rPr>
      </w:pPr>
      <w:r w:rsidRPr="003B2532">
        <w:rPr>
          <w:rFonts w:ascii="Verdana" w:hAnsi="Verdana"/>
          <w:b/>
          <w:sz w:val="20"/>
          <w:szCs w:val="20"/>
          <w:lang w:val="es-ES"/>
        </w:rPr>
        <w:t>La existencia de otros derechos humanos.</w:t>
      </w:r>
    </w:p>
    <w:p w14:paraId="3B99CD52" w14:textId="77777777" w:rsidR="00AF1638" w:rsidRPr="00CF7FE6" w:rsidRDefault="00AF1638" w:rsidP="00EB7CE1">
      <w:pPr>
        <w:spacing w:after="0" w:line="240" w:lineRule="auto"/>
        <w:jc w:val="both"/>
        <w:rPr>
          <w:rFonts w:ascii="Verdana" w:hAnsi="Verdana"/>
          <w:b/>
          <w:sz w:val="20"/>
          <w:szCs w:val="20"/>
          <w:lang w:val="es-ES"/>
        </w:rPr>
      </w:pPr>
    </w:p>
    <w:p w14:paraId="16668CBF" w14:textId="77777777" w:rsidR="00BD1761" w:rsidRPr="00CF7FE6" w:rsidRDefault="00436F82" w:rsidP="00EB7CE1">
      <w:pPr>
        <w:spacing w:after="0" w:line="240" w:lineRule="auto"/>
        <w:jc w:val="both"/>
        <w:rPr>
          <w:rFonts w:ascii="Verdana" w:hAnsi="Verdana"/>
          <w:sz w:val="20"/>
          <w:szCs w:val="20"/>
          <w:lang w:val="es-ES"/>
        </w:rPr>
      </w:pPr>
      <w:r w:rsidRPr="00CF7FE6">
        <w:rPr>
          <w:rFonts w:ascii="Verdana" w:hAnsi="Verdana"/>
          <w:sz w:val="20"/>
          <w:szCs w:val="20"/>
          <w:lang w:val="es-ES"/>
        </w:rPr>
        <w:t>E</w:t>
      </w:r>
      <w:r w:rsidR="00731F1E" w:rsidRPr="00CF7FE6">
        <w:rPr>
          <w:rFonts w:ascii="Verdana" w:hAnsi="Verdana"/>
          <w:sz w:val="20"/>
          <w:szCs w:val="20"/>
          <w:lang w:val="es-ES"/>
        </w:rPr>
        <w:t xml:space="preserve">mpero, lo indicado no significa que </w:t>
      </w:r>
      <w:r w:rsidR="009C18E8" w:rsidRPr="00CF7FE6">
        <w:rPr>
          <w:rFonts w:ascii="Verdana" w:hAnsi="Verdana"/>
          <w:sz w:val="20"/>
          <w:szCs w:val="20"/>
          <w:lang w:val="es-ES"/>
        </w:rPr>
        <w:t xml:space="preserve">no </w:t>
      </w:r>
      <w:r w:rsidRPr="00CF7FE6">
        <w:rPr>
          <w:rFonts w:ascii="Verdana" w:hAnsi="Verdana"/>
          <w:sz w:val="20"/>
          <w:szCs w:val="20"/>
          <w:lang w:val="es-ES"/>
        </w:rPr>
        <w:t xml:space="preserve">existan </w:t>
      </w:r>
      <w:r w:rsidR="009C18E8" w:rsidRPr="00CF7FE6">
        <w:rPr>
          <w:rFonts w:ascii="Verdana" w:hAnsi="Verdana"/>
          <w:sz w:val="20"/>
          <w:szCs w:val="20"/>
          <w:lang w:val="es-ES"/>
        </w:rPr>
        <w:t>otros</w:t>
      </w:r>
      <w:r w:rsidRPr="00CF7FE6">
        <w:rPr>
          <w:rFonts w:ascii="Verdana" w:hAnsi="Verdana"/>
          <w:sz w:val="20"/>
          <w:szCs w:val="20"/>
          <w:lang w:val="es-ES"/>
        </w:rPr>
        <w:t xml:space="preserve"> derecho</w:t>
      </w:r>
      <w:r w:rsidR="00731F1E" w:rsidRPr="00CF7FE6">
        <w:rPr>
          <w:rFonts w:ascii="Verdana" w:hAnsi="Verdana"/>
          <w:sz w:val="20"/>
          <w:szCs w:val="20"/>
          <w:lang w:val="es-ES"/>
        </w:rPr>
        <w:t>s</w:t>
      </w:r>
      <w:r w:rsidR="00F80D26" w:rsidRPr="00CF7FE6">
        <w:rPr>
          <w:rFonts w:ascii="Verdana" w:hAnsi="Verdana"/>
          <w:sz w:val="20"/>
          <w:szCs w:val="20"/>
          <w:lang w:val="es-ES"/>
        </w:rPr>
        <w:t xml:space="preserve"> humanos</w:t>
      </w:r>
      <w:r w:rsidR="00731F1E" w:rsidRPr="00CF7FE6">
        <w:rPr>
          <w:rFonts w:ascii="Verdana" w:hAnsi="Verdana"/>
          <w:sz w:val="20"/>
          <w:szCs w:val="20"/>
          <w:lang w:val="es-ES"/>
        </w:rPr>
        <w:t>.</w:t>
      </w:r>
      <w:r w:rsidR="00B74416" w:rsidRPr="00CF7FE6">
        <w:rPr>
          <w:rFonts w:ascii="Verdana" w:hAnsi="Verdana"/>
          <w:sz w:val="20"/>
          <w:szCs w:val="20"/>
          <w:lang w:val="es-ES"/>
        </w:rPr>
        <w:t xml:space="preserve"> </w:t>
      </w:r>
      <w:r w:rsidR="00731F1E" w:rsidRPr="00CF7FE6">
        <w:rPr>
          <w:rFonts w:ascii="Verdana" w:hAnsi="Verdana"/>
          <w:sz w:val="20"/>
          <w:szCs w:val="20"/>
          <w:lang w:val="es-ES"/>
        </w:rPr>
        <w:t xml:space="preserve">Por </w:t>
      </w:r>
      <w:r w:rsidRPr="00CF7FE6">
        <w:rPr>
          <w:rFonts w:ascii="Verdana" w:hAnsi="Verdana"/>
          <w:sz w:val="20"/>
          <w:szCs w:val="20"/>
          <w:lang w:val="es-ES"/>
        </w:rPr>
        <w:t xml:space="preserve">el contrario, la </w:t>
      </w:r>
      <w:r w:rsidR="00F1238F" w:rsidRPr="00CF7FE6">
        <w:rPr>
          <w:rFonts w:ascii="Verdana" w:hAnsi="Verdana"/>
          <w:sz w:val="20"/>
          <w:szCs w:val="20"/>
          <w:lang w:val="es-ES"/>
        </w:rPr>
        <w:t xml:space="preserve">propia Convención alude </w:t>
      </w:r>
      <w:r w:rsidR="002B02D8">
        <w:rPr>
          <w:rFonts w:ascii="Verdana" w:hAnsi="Verdana"/>
          <w:sz w:val="20"/>
          <w:szCs w:val="20"/>
          <w:lang w:val="es-ES"/>
        </w:rPr>
        <w:t xml:space="preserve">a </w:t>
      </w:r>
      <w:r w:rsidR="006D2C28" w:rsidRPr="00CF7FE6">
        <w:rPr>
          <w:rFonts w:ascii="Verdana" w:hAnsi="Verdana"/>
          <w:sz w:val="20"/>
          <w:szCs w:val="20"/>
          <w:lang w:val="es-ES"/>
        </w:rPr>
        <w:t>otros derechos o a diversos tipos o categorías de derechos humanos o que tienen distintas fuentes del Derechos Internacional</w:t>
      </w:r>
      <w:r w:rsidR="00D55E06">
        <w:rPr>
          <w:rStyle w:val="FootnoteReference"/>
          <w:rFonts w:ascii="Verdana" w:hAnsi="Verdana"/>
          <w:sz w:val="20"/>
          <w:szCs w:val="20"/>
          <w:lang w:val="es-ES"/>
        </w:rPr>
        <w:footnoteReference w:id="29"/>
      </w:r>
      <w:r w:rsidR="006D2C28" w:rsidRPr="00CF7FE6">
        <w:rPr>
          <w:rFonts w:ascii="Verdana" w:hAnsi="Verdana"/>
          <w:sz w:val="20"/>
          <w:szCs w:val="20"/>
          <w:lang w:val="es-ES"/>
        </w:rPr>
        <w:t>. Así, además de los “r</w:t>
      </w:r>
      <w:r w:rsidR="006D2C28" w:rsidRPr="00CF7FE6">
        <w:rPr>
          <w:rFonts w:ascii="Verdana" w:hAnsi="Verdana"/>
          <w:i/>
          <w:sz w:val="20"/>
          <w:szCs w:val="20"/>
          <w:lang w:val="es-ES"/>
        </w:rPr>
        <w:t>econocidos</w:t>
      </w:r>
      <w:r w:rsidR="00314F34" w:rsidRPr="00CF7FE6">
        <w:rPr>
          <w:rFonts w:ascii="Verdana" w:hAnsi="Verdana"/>
          <w:i/>
          <w:sz w:val="20"/>
          <w:szCs w:val="20"/>
          <w:lang w:val="es-ES"/>
        </w:rPr>
        <w:t>”</w:t>
      </w:r>
      <w:r w:rsidR="00782620" w:rsidRPr="00CF7FE6">
        <w:rPr>
          <w:rFonts w:ascii="Verdana" w:hAnsi="Verdana"/>
          <w:sz w:val="20"/>
          <w:szCs w:val="20"/>
          <w:lang w:val="es-ES"/>
        </w:rPr>
        <w:t xml:space="preserve"> en </w:t>
      </w:r>
      <w:r w:rsidR="00CD4A90" w:rsidRPr="00CF7FE6">
        <w:rPr>
          <w:rFonts w:ascii="Verdana" w:hAnsi="Verdana"/>
          <w:sz w:val="20"/>
          <w:szCs w:val="20"/>
          <w:lang w:val="es-ES"/>
        </w:rPr>
        <w:t>ella</w:t>
      </w:r>
      <w:r w:rsidR="002B02D8">
        <w:rPr>
          <w:rFonts w:ascii="Verdana" w:hAnsi="Verdana"/>
          <w:sz w:val="20"/>
          <w:szCs w:val="20"/>
          <w:lang w:val="es-ES"/>
        </w:rPr>
        <w:t>,</w:t>
      </w:r>
      <w:r w:rsidR="00CD4A90" w:rsidRPr="00CF7FE6">
        <w:rPr>
          <w:rFonts w:ascii="Verdana" w:hAnsi="Verdana"/>
          <w:sz w:val="20"/>
          <w:szCs w:val="20"/>
          <w:lang w:val="es-ES"/>
        </w:rPr>
        <w:t xml:space="preserve"> se mencionan </w:t>
      </w:r>
      <w:r w:rsidR="006D2C28" w:rsidRPr="00CF7FE6">
        <w:rPr>
          <w:rFonts w:ascii="Verdana" w:hAnsi="Verdana"/>
          <w:sz w:val="20"/>
          <w:szCs w:val="20"/>
          <w:lang w:val="es-ES"/>
        </w:rPr>
        <w:t>los “</w:t>
      </w:r>
      <w:r w:rsidR="00DD5C7C">
        <w:rPr>
          <w:rFonts w:ascii="Verdana" w:hAnsi="Verdana"/>
          <w:i/>
          <w:sz w:val="20"/>
          <w:szCs w:val="20"/>
          <w:lang w:val="es-ES"/>
        </w:rPr>
        <w:t>derechos económicos,</w:t>
      </w:r>
      <w:r w:rsidR="006D2C28" w:rsidRPr="00CF7FE6">
        <w:rPr>
          <w:rFonts w:ascii="Verdana" w:hAnsi="Verdana"/>
          <w:i/>
          <w:sz w:val="20"/>
          <w:szCs w:val="20"/>
          <w:lang w:val="es-ES"/>
        </w:rPr>
        <w:t xml:space="preserve"> sociales y culturales</w:t>
      </w:r>
      <w:r w:rsidR="006D2C28" w:rsidRPr="00CF7FE6">
        <w:rPr>
          <w:rFonts w:ascii="Verdana" w:hAnsi="Verdana"/>
          <w:sz w:val="20"/>
          <w:szCs w:val="20"/>
          <w:lang w:val="es-ES"/>
        </w:rPr>
        <w:t>”</w:t>
      </w:r>
      <w:r w:rsidR="00245253" w:rsidRPr="00CF7FE6">
        <w:rPr>
          <w:rStyle w:val="FootnoteReference"/>
          <w:rFonts w:ascii="Verdana" w:hAnsi="Verdana"/>
          <w:sz w:val="20"/>
          <w:szCs w:val="20"/>
          <w:lang w:val="es-ES"/>
        </w:rPr>
        <w:footnoteReference w:id="30"/>
      </w:r>
      <w:r w:rsidR="00CD4A90" w:rsidRPr="00CF7FE6">
        <w:rPr>
          <w:rFonts w:ascii="Verdana" w:hAnsi="Verdana"/>
          <w:sz w:val="20"/>
          <w:szCs w:val="20"/>
          <w:lang w:val="es-ES"/>
        </w:rPr>
        <w:t xml:space="preserve">; </w:t>
      </w:r>
      <w:r w:rsidR="006D2C28" w:rsidRPr="00CF7FE6">
        <w:rPr>
          <w:rFonts w:ascii="Verdana" w:hAnsi="Verdana"/>
          <w:sz w:val="20"/>
          <w:szCs w:val="20"/>
          <w:lang w:val="es-ES"/>
        </w:rPr>
        <w:t>los que “</w:t>
      </w:r>
      <w:r w:rsidR="006D2C28" w:rsidRPr="00CF7FE6">
        <w:rPr>
          <w:rFonts w:ascii="Verdana" w:hAnsi="Verdana"/>
          <w:i/>
          <w:sz w:val="20"/>
          <w:szCs w:val="20"/>
          <w:lang w:val="es-ES"/>
        </w:rPr>
        <w:t>derivan</w:t>
      </w:r>
      <w:r w:rsidR="006D2C28" w:rsidRPr="00CF7FE6">
        <w:rPr>
          <w:rFonts w:ascii="Verdana" w:hAnsi="Verdana"/>
          <w:sz w:val="20"/>
          <w:szCs w:val="20"/>
          <w:lang w:val="es-ES"/>
        </w:rPr>
        <w:t>” de normas de la Carta de la Organización de los Estados Americanos</w:t>
      </w:r>
      <w:r w:rsidR="00EB2166" w:rsidRPr="00CF7FE6">
        <w:rPr>
          <w:rStyle w:val="FootnoteReference"/>
          <w:rFonts w:ascii="Verdana" w:hAnsi="Verdana"/>
          <w:sz w:val="20"/>
          <w:szCs w:val="20"/>
          <w:lang w:val="es-ES"/>
        </w:rPr>
        <w:footnoteReference w:id="31"/>
      </w:r>
      <w:r w:rsidR="00CD4A90" w:rsidRPr="00CF7FE6">
        <w:rPr>
          <w:rFonts w:ascii="Verdana" w:hAnsi="Verdana"/>
          <w:sz w:val="20"/>
          <w:szCs w:val="20"/>
          <w:lang w:val="es-ES"/>
        </w:rPr>
        <w:t xml:space="preserve">; </w:t>
      </w:r>
      <w:r w:rsidR="006D2C28" w:rsidRPr="00CF7FE6">
        <w:rPr>
          <w:rFonts w:ascii="Verdana" w:hAnsi="Verdana"/>
          <w:sz w:val="20"/>
          <w:szCs w:val="20"/>
          <w:lang w:val="es-ES"/>
        </w:rPr>
        <w:t>los “</w:t>
      </w:r>
      <w:r w:rsidR="006D2C28" w:rsidRPr="00CF7FE6">
        <w:rPr>
          <w:rFonts w:ascii="Verdana" w:hAnsi="Verdana"/>
          <w:i/>
          <w:sz w:val="20"/>
          <w:szCs w:val="20"/>
          <w:lang w:val="es-ES"/>
        </w:rPr>
        <w:t>reconocidos</w:t>
      </w:r>
      <w:r w:rsidR="006D2C28" w:rsidRPr="00CF7FE6">
        <w:rPr>
          <w:rFonts w:ascii="Verdana" w:hAnsi="Verdana"/>
          <w:sz w:val="20"/>
          <w:szCs w:val="20"/>
          <w:lang w:val="es-ES"/>
        </w:rPr>
        <w:t>” por leyes de los Estados u otras</w:t>
      </w:r>
      <w:r w:rsidR="00CD4A90" w:rsidRPr="00CF7FE6">
        <w:rPr>
          <w:rFonts w:ascii="Verdana" w:hAnsi="Verdana"/>
          <w:sz w:val="20"/>
          <w:szCs w:val="20"/>
          <w:lang w:val="es-ES"/>
        </w:rPr>
        <w:t xml:space="preserve"> convenciones</w:t>
      </w:r>
      <w:r w:rsidR="00032C73">
        <w:rPr>
          <w:rStyle w:val="FootnoteReference"/>
          <w:rFonts w:ascii="Verdana" w:hAnsi="Verdana"/>
          <w:sz w:val="20"/>
          <w:szCs w:val="20"/>
          <w:lang w:val="es-ES"/>
        </w:rPr>
        <w:footnoteReference w:id="32"/>
      </w:r>
      <w:r w:rsidR="00CD4A90" w:rsidRPr="00CF7FE6">
        <w:rPr>
          <w:rFonts w:ascii="Verdana" w:hAnsi="Verdana"/>
          <w:sz w:val="20"/>
          <w:szCs w:val="20"/>
          <w:lang w:val="es-ES"/>
        </w:rPr>
        <w:t xml:space="preserve"> y </w:t>
      </w:r>
      <w:r w:rsidR="006D2C28" w:rsidRPr="00CF7FE6">
        <w:rPr>
          <w:rFonts w:ascii="Verdana" w:hAnsi="Verdana"/>
          <w:sz w:val="20"/>
          <w:szCs w:val="20"/>
          <w:lang w:val="es-ES"/>
        </w:rPr>
        <w:t>los “</w:t>
      </w:r>
      <w:r w:rsidR="006D2C28" w:rsidRPr="00CF7FE6">
        <w:rPr>
          <w:rFonts w:ascii="Verdana" w:hAnsi="Verdana"/>
          <w:i/>
          <w:sz w:val="20"/>
          <w:szCs w:val="20"/>
          <w:lang w:val="es-ES"/>
        </w:rPr>
        <w:t>inherentes al ser humano o que se derivan de la forma democrática representativa de gobierno</w:t>
      </w:r>
      <w:r w:rsidR="006D2C28" w:rsidRPr="00CF7FE6">
        <w:rPr>
          <w:rFonts w:ascii="Verdana" w:hAnsi="Verdana"/>
          <w:sz w:val="20"/>
          <w:szCs w:val="20"/>
          <w:lang w:val="es-ES"/>
        </w:rPr>
        <w:t>”</w:t>
      </w:r>
      <w:r w:rsidR="00EB2166" w:rsidRPr="00CF7FE6">
        <w:rPr>
          <w:rStyle w:val="FootnoteReference"/>
          <w:rFonts w:ascii="Verdana" w:hAnsi="Verdana"/>
          <w:sz w:val="20"/>
          <w:szCs w:val="20"/>
          <w:lang w:val="es-ES"/>
        </w:rPr>
        <w:footnoteReference w:id="33"/>
      </w:r>
      <w:r w:rsidR="006D2C28" w:rsidRPr="00CF7FE6">
        <w:rPr>
          <w:rFonts w:ascii="Verdana" w:hAnsi="Verdana"/>
          <w:sz w:val="20"/>
          <w:szCs w:val="20"/>
          <w:lang w:val="es-ES"/>
        </w:rPr>
        <w:t xml:space="preserve">. </w:t>
      </w:r>
    </w:p>
    <w:p w14:paraId="77323993" w14:textId="77777777" w:rsidR="00526B54" w:rsidRPr="00CF7FE6" w:rsidRDefault="00526B54" w:rsidP="00EB7CE1">
      <w:pPr>
        <w:spacing w:after="0" w:line="240" w:lineRule="auto"/>
        <w:jc w:val="both"/>
        <w:rPr>
          <w:rFonts w:ascii="Verdana" w:hAnsi="Verdana"/>
          <w:sz w:val="20"/>
          <w:szCs w:val="20"/>
          <w:lang w:val="es-ES"/>
        </w:rPr>
      </w:pPr>
    </w:p>
    <w:p w14:paraId="5CD7B376" w14:textId="77777777" w:rsidR="001F4F66" w:rsidRPr="00CF7FE6" w:rsidRDefault="00BD1761" w:rsidP="00EB7CE1">
      <w:pPr>
        <w:spacing w:after="0" w:line="240" w:lineRule="auto"/>
        <w:jc w:val="both"/>
        <w:rPr>
          <w:rFonts w:ascii="Verdana" w:hAnsi="Verdana"/>
          <w:sz w:val="20"/>
          <w:szCs w:val="20"/>
          <w:lang w:val="es-ES"/>
        </w:rPr>
      </w:pPr>
      <w:r w:rsidRPr="00CF7FE6">
        <w:rPr>
          <w:rFonts w:ascii="Verdana" w:hAnsi="Verdana"/>
          <w:sz w:val="20"/>
          <w:szCs w:val="20"/>
          <w:lang w:val="es-ES"/>
        </w:rPr>
        <w:t xml:space="preserve">Es evidente, por </w:t>
      </w:r>
      <w:r w:rsidR="002B02D8">
        <w:rPr>
          <w:rFonts w:ascii="Verdana" w:hAnsi="Verdana"/>
          <w:sz w:val="20"/>
          <w:szCs w:val="20"/>
          <w:lang w:val="es-ES"/>
        </w:rPr>
        <w:t>lo tanto y como lo afirma</w:t>
      </w:r>
      <w:r w:rsidR="001C321E" w:rsidRPr="00CF7FE6">
        <w:rPr>
          <w:rFonts w:ascii="Verdana" w:hAnsi="Verdana"/>
          <w:sz w:val="20"/>
          <w:szCs w:val="20"/>
          <w:lang w:val="es-ES"/>
        </w:rPr>
        <w:t xml:space="preserve"> la m</w:t>
      </w:r>
      <w:r w:rsidRPr="00CF7FE6">
        <w:rPr>
          <w:rFonts w:ascii="Verdana" w:hAnsi="Verdana"/>
          <w:sz w:val="20"/>
          <w:szCs w:val="20"/>
          <w:lang w:val="es-ES"/>
        </w:rPr>
        <w:t xml:space="preserve">isma Sentencia al invocar el artículo 26 de la Convención para declarar la violación del </w:t>
      </w:r>
      <w:r w:rsidR="00F15618" w:rsidRPr="00CF7FE6">
        <w:rPr>
          <w:rFonts w:ascii="Verdana" w:hAnsi="Verdana"/>
          <w:sz w:val="20"/>
          <w:szCs w:val="20"/>
          <w:lang w:val="es-ES"/>
        </w:rPr>
        <w:t>derecho a la estabilidad en el empleo</w:t>
      </w:r>
      <w:r w:rsidRPr="00CF7FE6">
        <w:rPr>
          <w:rFonts w:ascii="Verdana" w:hAnsi="Verdana"/>
          <w:sz w:val="20"/>
          <w:szCs w:val="20"/>
          <w:lang w:val="es-ES"/>
        </w:rPr>
        <w:t xml:space="preserve">, que éste integra el grupo de </w:t>
      </w:r>
      <w:r w:rsidR="00232D8A" w:rsidRPr="00CF7FE6">
        <w:rPr>
          <w:rFonts w:ascii="Verdana" w:hAnsi="Verdana"/>
          <w:sz w:val="20"/>
          <w:szCs w:val="20"/>
          <w:lang w:val="es-ES"/>
        </w:rPr>
        <w:t>“</w:t>
      </w:r>
      <w:r w:rsidR="00232D8A" w:rsidRPr="00CF7FE6">
        <w:rPr>
          <w:rFonts w:ascii="Verdana" w:hAnsi="Verdana"/>
          <w:i/>
          <w:sz w:val="20"/>
          <w:szCs w:val="20"/>
          <w:lang w:val="es-ES"/>
        </w:rPr>
        <w:t xml:space="preserve">derechos económicos y </w:t>
      </w:r>
      <w:r w:rsidRPr="00CF7FE6">
        <w:rPr>
          <w:rFonts w:ascii="Verdana" w:hAnsi="Verdana"/>
          <w:i/>
          <w:sz w:val="20"/>
          <w:szCs w:val="20"/>
          <w:lang w:val="es-ES"/>
        </w:rPr>
        <w:t>sociales y culturales</w:t>
      </w:r>
      <w:r w:rsidR="00232D8A" w:rsidRPr="00CF7FE6">
        <w:rPr>
          <w:rFonts w:ascii="Verdana" w:hAnsi="Verdana"/>
          <w:i/>
          <w:sz w:val="20"/>
          <w:szCs w:val="20"/>
          <w:lang w:val="es-ES"/>
        </w:rPr>
        <w:t>”</w:t>
      </w:r>
      <w:r w:rsidR="00314F34" w:rsidRPr="00CF7FE6">
        <w:rPr>
          <w:rStyle w:val="FootnoteReference"/>
          <w:rFonts w:ascii="Verdana" w:hAnsi="Verdana"/>
          <w:i/>
          <w:sz w:val="20"/>
          <w:szCs w:val="20"/>
          <w:lang w:val="es-ES"/>
        </w:rPr>
        <w:footnoteReference w:id="34"/>
      </w:r>
      <w:r w:rsidR="00DE13D9" w:rsidRPr="00CF7FE6">
        <w:rPr>
          <w:rFonts w:ascii="Verdana" w:hAnsi="Verdana"/>
          <w:sz w:val="20"/>
          <w:szCs w:val="20"/>
          <w:lang w:val="es-ES"/>
        </w:rPr>
        <w:t xml:space="preserve">. De ello igualmente se deduce </w:t>
      </w:r>
      <w:r w:rsidRPr="00CF7FE6">
        <w:rPr>
          <w:rFonts w:ascii="Verdana" w:hAnsi="Verdana"/>
          <w:sz w:val="20"/>
          <w:szCs w:val="20"/>
          <w:lang w:val="es-ES"/>
        </w:rPr>
        <w:t xml:space="preserve"> </w:t>
      </w:r>
      <w:r w:rsidR="00BE3D78">
        <w:rPr>
          <w:rFonts w:ascii="Verdana" w:hAnsi="Verdana"/>
          <w:sz w:val="20"/>
          <w:szCs w:val="20"/>
          <w:lang w:val="es-ES"/>
        </w:rPr>
        <w:t>que, por derivar éstos</w:t>
      </w:r>
      <w:r w:rsidRPr="00CF7FE6">
        <w:rPr>
          <w:rFonts w:ascii="Verdana" w:hAnsi="Verdana"/>
          <w:sz w:val="20"/>
          <w:szCs w:val="20"/>
          <w:lang w:val="es-ES"/>
        </w:rPr>
        <w:t xml:space="preserve"> d</w:t>
      </w:r>
      <w:r w:rsidR="00DE13D9" w:rsidRPr="00CF7FE6">
        <w:rPr>
          <w:rFonts w:ascii="Verdana" w:hAnsi="Verdana"/>
          <w:sz w:val="20"/>
          <w:szCs w:val="20"/>
          <w:lang w:val="es-ES"/>
        </w:rPr>
        <w:t xml:space="preserve">e normas de la Carta de la OEA, </w:t>
      </w:r>
      <w:r w:rsidR="001C321E" w:rsidRPr="00CF7FE6">
        <w:rPr>
          <w:rFonts w:ascii="Verdana" w:hAnsi="Verdana"/>
          <w:sz w:val="20"/>
          <w:szCs w:val="20"/>
          <w:lang w:val="es-ES"/>
        </w:rPr>
        <w:t xml:space="preserve">aquél </w:t>
      </w:r>
      <w:r w:rsidRPr="00CF7FE6">
        <w:rPr>
          <w:rFonts w:ascii="Verdana" w:hAnsi="Verdana"/>
          <w:sz w:val="20"/>
          <w:szCs w:val="20"/>
          <w:lang w:val="es-ES"/>
        </w:rPr>
        <w:t xml:space="preserve">no forma parte de los derechos </w:t>
      </w:r>
      <w:r w:rsidR="00232D8A" w:rsidRPr="00CF7FE6">
        <w:rPr>
          <w:rFonts w:ascii="Verdana" w:hAnsi="Verdana"/>
          <w:sz w:val="20"/>
          <w:szCs w:val="20"/>
          <w:lang w:val="es-ES"/>
        </w:rPr>
        <w:t>“</w:t>
      </w:r>
      <w:r w:rsidR="001C321E" w:rsidRPr="00CF7FE6">
        <w:rPr>
          <w:rFonts w:ascii="Verdana" w:hAnsi="Verdana"/>
          <w:i/>
          <w:sz w:val="20"/>
          <w:szCs w:val="20"/>
          <w:lang w:val="es-ES"/>
        </w:rPr>
        <w:t xml:space="preserve">reconocidos” </w:t>
      </w:r>
      <w:r w:rsidR="00BE3D78">
        <w:rPr>
          <w:rFonts w:ascii="Verdana" w:hAnsi="Verdana"/>
          <w:sz w:val="20"/>
          <w:szCs w:val="20"/>
          <w:lang w:val="es-ES"/>
        </w:rPr>
        <w:t>en</w:t>
      </w:r>
      <w:r w:rsidR="00232D8A" w:rsidRPr="00CF7FE6">
        <w:rPr>
          <w:rFonts w:ascii="Verdana" w:hAnsi="Verdana"/>
          <w:sz w:val="20"/>
          <w:szCs w:val="20"/>
          <w:lang w:val="es-ES"/>
        </w:rPr>
        <w:t xml:space="preserve"> la Convención</w:t>
      </w:r>
      <w:r w:rsidR="0029184F" w:rsidRPr="00CF7FE6">
        <w:rPr>
          <w:rFonts w:ascii="Verdana" w:hAnsi="Verdana"/>
          <w:sz w:val="20"/>
          <w:szCs w:val="20"/>
          <w:lang w:val="es-ES"/>
        </w:rPr>
        <w:t>.</w:t>
      </w:r>
    </w:p>
    <w:p w14:paraId="5A0CA7D5" w14:textId="77777777" w:rsidR="00EB1087" w:rsidRPr="00CF7FE6" w:rsidRDefault="00EB1087" w:rsidP="00EB7CE1">
      <w:pPr>
        <w:spacing w:after="0" w:line="240" w:lineRule="auto"/>
        <w:jc w:val="both"/>
        <w:rPr>
          <w:rFonts w:ascii="Verdana" w:hAnsi="Verdana"/>
          <w:sz w:val="20"/>
          <w:szCs w:val="20"/>
          <w:lang w:val="es-ES"/>
        </w:rPr>
      </w:pPr>
    </w:p>
    <w:p w14:paraId="328F7AC9" w14:textId="77777777" w:rsidR="00654068" w:rsidRPr="003B2532" w:rsidRDefault="00ED74C3" w:rsidP="00EB7CE1">
      <w:pPr>
        <w:pStyle w:val="ListParagraph"/>
        <w:numPr>
          <w:ilvl w:val="0"/>
          <w:numId w:val="10"/>
        </w:numPr>
        <w:spacing w:after="0" w:line="240" w:lineRule="auto"/>
        <w:jc w:val="both"/>
        <w:rPr>
          <w:rFonts w:ascii="Verdana" w:hAnsi="Verdana"/>
          <w:b/>
          <w:sz w:val="20"/>
          <w:szCs w:val="20"/>
          <w:lang w:val="es-ES"/>
        </w:rPr>
      </w:pPr>
      <w:r w:rsidRPr="003B2532">
        <w:rPr>
          <w:rFonts w:ascii="Verdana" w:hAnsi="Verdana"/>
          <w:b/>
          <w:sz w:val="20"/>
          <w:szCs w:val="20"/>
          <w:lang w:val="es-ES"/>
        </w:rPr>
        <w:t>El</w:t>
      </w:r>
      <w:r w:rsidR="00843E69" w:rsidRPr="003B2532">
        <w:rPr>
          <w:rFonts w:ascii="Verdana" w:hAnsi="Verdana"/>
          <w:b/>
          <w:sz w:val="20"/>
          <w:szCs w:val="20"/>
          <w:lang w:val="es-ES"/>
        </w:rPr>
        <w:t xml:space="preserve"> sistema de </w:t>
      </w:r>
      <w:r w:rsidR="00AC65DA" w:rsidRPr="003B2532">
        <w:rPr>
          <w:rFonts w:ascii="Verdana" w:hAnsi="Verdana"/>
          <w:b/>
          <w:sz w:val="20"/>
          <w:szCs w:val="20"/>
          <w:lang w:val="es-ES"/>
        </w:rPr>
        <w:t>protección</w:t>
      </w:r>
      <w:r w:rsidRPr="003B2532">
        <w:rPr>
          <w:rFonts w:ascii="Verdana" w:hAnsi="Verdana"/>
          <w:b/>
          <w:sz w:val="20"/>
          <w:szCs w:val="20"/>
          <w:lang w:val="es-ES"/>
        </w:rPr>
        <w:t xml:space="preserve"> de la Convención</w:t>
      </w:r>
      <w:r w:rsidR="00185B5F" w:rsidRPr="003B2532">
        <w:rPr>
          <w:rFonts w:ascii="Verdana" w:hAnsi="Verdana"/>
          <w:b/>
          <w:sz w:val="20"/>
          <w:szCs w:val="20"/>
          <w:lang w:val="es-ES"/>
        </w:rPr>
        <w:t>.</w:t>
      </w:r>
    </w:p>
    <w:p w14:paraId="456633C8" w14:textId="77777777" w:rsidR="00526B54" w:rsidRPr="00CF7FE6" w:rsidRDefault="00526B54" w:rsidP="00EB7CE1">
      <w:pPr>
        <w:spacing w:after="0" w:line="240" w:lineRule="auto"/>
        <w:jc w:val="both"/>
        <w:rPr>
          <w:rFonts w:ascii="Verdana" w:hAnsi="Verdana"/>
          <w:b/>
          <w:sz w:val="20"/>
          <w:szCs w:val="20"/>
          <w:lang w:val="es-ES"/>
        </w:rPr>
      </w:pPr>
    </w:p>
    <w:p w14:paraId="272C1386" w14:textId="089055BD" w:rsidR="003B2532" w:rsidRDefault="00393B15" w:rsidP="00EB7CE1">
      <w:pPr>
        <w:spacing w:after="0" w:line="240" w:lineRule="auto"/>
        <w:jc w:val="both"/>
        <w:rPr>
          <w:rFonts w:ascii="Verdana" w:hAnsi="Verdana"/>
          <w:sz w:val="20"/>
          <w:szCs w:val="20"/>
          <w:lang w:val="es-ES"/>
        </w:rPr>
      </w:pPr>
      <w:r>
        <w:rPr>
          <w:rFonts w:ascii="Verdana" w:hAnsi="Verdana"/>
          <w:sz w:val="20"/>
          <w:szCs w:val="20"/>
          <w:lang w:val="es-ES"/>
        </w:rPr>
        <w:t>Pues bien</w:t>
      </w:r>
      <w:r w:rsidR="007D2EAB">
        <w:rPr>
          <w:rFonts w:ascii="Verdana" w:hAnsi="Verdana"/>
          <w:sz w:val="20"/>
          <w:szCs w:val="20"/>
          <w:lang w:val="es-ES"/>
        </w:rPr>
        <w:t xml:space="preserve">, considerando lo precedente, es preciso </w:t>
      </w:r>
      <w:r w:rsidR="00491B35">
        <w:rPr>
          <w:rFonts w:ascii="Verdana" w:hAnsi="Verdana"/>
          <w:sz w:val="20"/>
          <w:szCs w:val="20"/>
          <w:lang w:val="es-ES"/>
        </w:rPr>
        <w:t>referirse a</w:t>
      </w:r>
      <w:r w:rsidR="00980883" w:rsidRPr="00CF7FE6">
        <w:rPr>
          <w:rFonts w:ascii="Verdana" w:hAnsi="Verdana"/>
          <w:sz w:val="20"/>
          <w:szCs w:val="20"/>
          <w:lang w:val="es-ES"/>
        </w:rPr>
        <w:t xml:space="preserve">l sistema </w:t>
      </w:r>
      <w:r w:rsidR="00CD4A90" w:rsidRPr="00CF7FE6">
        <w:rPr>
          <w:rFonts w:ascii="Verdana" w:hAnsi="Verdana"/>
          <w:sz w:val="20"/>
          <w:szCs w:val="20"/>
          <w:lang w:val="es-ES"/>
        </w:rPr>
        <w:t>de protección contemplado en la Convención,</w:t>
      </w:r>
      <w:r w:rsidR="00980883" w:rsidRPr="00CF7FE6">
        <w:rPr>
          <w:rFonts w:ascii="Verdana" w:hAnsi="Verdana"/>
          <w:sz w:val="20"/>
          <w:szCs w:val="20"/>
          <w:lang w:val="es-ES"/>
        </w:rPr>
        <w:t xml:space="preserve"> </w:t>
      </w:r>
      <w:r w:rsidR="00491B35">
        <w:rPr>
          <w:rFonts w:ascii="Verdana" w:hAnsi="Verdana"/>
          <w:sz w:val="20"/>
          <w:szCs w:val="20"/>
          <w:lang w:val="es-ES"/>
        </w:rPr>
        <w:t xml:space="preserve">que </w:t>
      </w:r>
      <w:r w:rsidR="00980883" w:rsidRPr="00CF7FE6">
        <w:rPr>
          <w:rFonts w:ascii="Verdana" w:hAnsi="Verdana"/>
          <w:sz w:val="20"/>
          <w:szCs w:val="20"/>
          <w:lang w:val="es-ES"/>
        </w:rPr>
        <w:t>está previsto en su Parte II, que titula como “</w:t>
      </w:r>
      <w:r w:rsidR="00980883" w:rsidRPr="00CF7FE6">
        <w:rPr>
          <w:rFonts w:ascii="Verdana" w:hAnsi="Verdana"/>
          <w:i/>
          <w:sz w:val="20"/>
          <w:szCs w:val="20"/>
          <w:lang w:val="es-ES"/>
        </w:rPr>
        <w:t>Medios de la Protección</w:t>
      </w:r>
      <w:r w:rsidR="00980883" w:rsidRPr="00CF7FE6">
        <w:rPr>
          <w:rFonts w:ascii="Verdana" w:hAnsi="Verdana"/>
          <w:sz w:val="20"/>
          <w:szCs w:val="20"/>
          <w:lang w:val="es-ES"/>
        </w:rPr>
        <w:t>”</w:t>
      </w:r>
      <w:r w:rsidR="00C94D51" w:rsidRPr="00CF7FE6">
        <w:rPr>
          <w:rFonts w:ascii="Verdana" w:hAnsi="Verdana"/>
          <w:sz w:val="20"/>
          <w:szCs w:val="20"/>
          <w:lang w:val="es-ES"/>
        </w:rPr>
        <w:t xml:space="preserve"> y</w:t>
      </w:r>
      <w:r w:rsidR="00CD4A90" w:rsidRPr="00CF7FE6">
        <w:rPr>
          <w:rFonts w:ascii="Verdana" w:hAnsi="Verdana"/>
          <w:sz w:val="20"/>
          <w:szCs w:val="20"/>
          <w:lang w:val="es-ES"/>
        </w:rPr>
        <w:t xml:space="preserve"> está formado por dos órganos, a saber, la Comisión y la Corte</w:t>
      </w:r>
      <w:r w:rsidR="00980883" w:rsidRPr="00CF7FE6">
        <w:rPr>
          <w:rStyle w:val="FootnoteReference"/>
          <w:rFonts w:ascii="Verdana" w:hAnsi="Verdana"/>
          <w:sz w:val="20"/>
          <w:szCs w:val="20"/>
          <w:lang w:val="es-ES"/>
        </w:rPr>
        <w:footnoteReference w:id="35"/>
      </w:r>
      <w:r w:rsidR="00CD4A90" w:rsidRPr="00CF7FE6">
        <w:rPr>
          <w:rFonts w:ascii="Verdana" w:hAnsi="Verdana"/>
          <w:sz w:val="20"/>
          <w:szCs w:val="20"/>
          <w:lang w:val="es-ES"/>
        </w:rPr>
        <w:t>.</w:t>
      </w:r>
      <w:r w:rsidR="00EB1087" w:rsidRPr="00CF7FE6">
        <w:rPr>
          <w:rFonts w:ascii="Verdana" w:hAnsi="Verdana"/>
          <w:sz w:val="20"/>
          <w:szCs w:val="20"/>
          <w:lang w:val="es-ES"/>
        </w:rPr>
        <w:t xml:space="preserve"> </w:t>
      </w:r>
      <w:r w:rsidR="000F7F2E" w:rsidRPr="00CF7FE6">
        <w:rPr>
          <w:rFonts w:ascii="Verdana" w:hAnsi="Verdana"/>
          <w:sz w:val="20"/>
          <w:szCs w:val="20"/>
          <w:lang w:val="es-ES"/>
        </w:rPr>
        <w:t>En lo que concierne a la Corte, la interpretac</w:t>
      </w:r>
      <w:r w:rsidR="00062733" w:rsidRPr="00CF7FE6">
        <w:rPr>
          <w:rFonts w:ascii="Verdana" w:hAnsi="Verdana"/>
          <w:sz w:val="20"/>
          <w:szCs w:val="20"/>
          <w:lang w:val="es-ES"/>
        </w:rPr>
        <w:t xml:space="preserve">ión armónica de </w:t>
      </w:r>
      <w:r w:rsidR="000F7F2E" w:rsidRPr="00CF7FE6">
        <w:rPr>
          <w:rFonts w:ascii="Verdana" w:hAnsi="Verdana"/>
          <w:sz w:val="20"/>
          <w:szCs w:val="20"/>
          <w:lang w:val="es-ES"/>
        </w:rPr>
        <w:t xml:space="preserve">los </w:t>
      </w:r>
      <w:r w:rsidR="00B461A2" w:rsidRPr="00CF7FE6">
        <w:rPr>
          <w:rFonts w:ascii="Verdana" w:hAnsi="Verdana"/>
          <w:sz w:val="20"/>
          <w:szCs w:val="20"/>
          <w:lang w:val="es-ES"/>
        </w:rPr>
        <w:t xml:space="preserve">ya citados </w:t>
      </w:r>
      <w:r w:rsidR="000F7F2E" w:rsidRPr="00CF7FE6">
        <w:rPr>
          <w:rFonts w:ascii="Verdana" w:hAnsi="Verdana"/>
          <w:sz w:val="20"/>
          <w:szCs w:val="20"/>
          <w:lang w:val="es-ES"/>
        </w:rPr>
        <w:lastRenderedPageBreak/>
        <w:t xml:space="preserve">artículos </w:t>
      </w:r>
      <w:r w:rsidR="00AB1D08" w:rsidRPr="00CF7FE6">
        <w:rPr>
          <w:rFonts w:ascii="Verdana" w:hAnsi="Verdana"/>
          <w:sz w:val="20"/>
          <w:szCs w:val="20"/>
          <w:lang w:val="es-ES"/>
        </w:rPr>
        <w:t>1</w:t>
      </w:r>
      <w:r w:rsidR="00B461A2" w:rsidRPr="00CF7FE6">
        <w:rPr>
          <w:rFonts w:ascii="Verdana" w:hAnsi="Verdana"/>
          <w:sz w:val="20"/>
          <w:szCs w:val="20"/>
          <w:lang w:val="es-ES"/>
        </w:rPr>
        <w:t xml:space="preserve">, 29.a), </w:t>
      </w:r>
      <w:r w:rsidR="000F7F2E" w:rsidRPr="00CF7FE6">
        <w:rPr>
          <w:rFonts w:ascii="Verdana" w:hAnsi="Verdana"/>
          <w:sz w:val="20"/>
          <w:szCs w:val="20"/>
          <w:lang w:val="es-ES"/>
        </w:rPr>
        <w:t xml:space="preserve">33, </w:t>
      </w:r>
      <w:r w:rsidR="00B461A2" w:rsidRPr="00CF7FE6">
        <w:rPr>
          <w:rFonts w:ascii="Verdana" w:hAnsi="Verdana"/>
          <w:sz w:val="20"/>
          <w:szCs w:val="20"/>
          <w:lang w:val="es-ES"/>
        </w:rPr>
        <w:t xml:space="preserve">45.1, 47.b), 48.1, </w:t>
      </w:r>
      <w:r w:rsidR="00CF546E" w:rsidRPr="00CF7FE6">
        <w:rPr>
          <w:rFonts w:ascii="Verdana" w:hAnsi="Verdana"/>
          <w:sz w:val="20"/>
          <w:szCs w:val="20"/>
          <w:lang w:val="es-ES"/>
        </w:rPr>
        <w:t xml:space="preserve">62.3, </w:t>
      </w:r>
      <w:r w:rsidR="00B461A2" w:rsidRPr="00CF7FE6">
        <w:rPr>
          <w:rFonts w:ascii="Verdana" w:hAnsi="Verdana"/>
          <w:sz w:val="20"/>
          <w:szCs w:val="20"/>
          <w:lang w:val="es-ES"/>
        </w:rPr>
        <w:t xml:space="preserve">y </w:t>
      </w:r>
      <w:r w:rsidR="000F7F2E" w:rsidRPr="00CF7FE6">
        <w:rPr>
          <w:rFonts w:ascii="Verdana" w:hAnsi="Verdana"/>
          <w:sz w:val="20"/>
          <w:szCs w:val="20"/>
          <w:lang w:val="es-ES"/>
        </w:rPr>
        <w:t>63.1</w:t>
      </w:r>
      <w:r w:rsidR="007D3D1C">
        <w:rPr>
          <w:rFonts w:ascii="Verdana" w:hAnsi="Verdana"/>
          <w:sz w:val="20"/>
          <w:szCs w:val="20"/>
          <w:lang w:val="es-ES"/>
        </w:rPr>
        <w:t xml:space="preserve">, </w:t>
      </w:r>
      <w:r w:rsidR="00AB1D08" w:rsidRPr="00CF7FE6">
        <w:rPr>
          <w:rFonts w:ascii="Verdana" w:hAnsi="Verdana"/>
          <w:sz w:val="20"/>
          <w:szCs w:val="20"/>
          <w:lang w:val="es-ES"/>
        </w:rPr>
        <w:t xml:space="preserve">conduce a concluir que los derechos susceptibles </w:t>
      </w:r>
      <w:r w:rsidR="004E2F42" w:rsidRPr="00CF7FE6">
        <w:rPr>
          <w:rFonts w:ascii="Verdana" w:hAnsi="Verdana"/>
          <w:sz w:val="20"/>
          <w:szCs w:val="20"/>
          <w:lang w:val="es-ES"/>
        </w:rPr>
        <w:t xml:space="preserve">a </w:t>
      </w:r>
      <w:r w:rsidR="00AB1D08" w:rsidRPr="00CF7FE6">
        <w:rPr>
          <w:rFonts w:ascii="Verdana" w:hAnsi="Verdana"/>
          <w:sz w:val="20"/>
          <w:szCs w:val="20"/>
          <w:lang w:val="es-ES"/>
        </w:rPr>
        <w:t xml:space="preserve">ser invocados ante </w:t>
      </w:r>
      <w:r w:rsidR="00B461A2" w:rsidRPr="00CF7FE6">
        <w:rPr>
          <w:rFonts w:ascii="Verdana" w:hAnsi="Verdana"/>
          <w:sz w:val="20"/>
          <w:szCs w:val="20"/>
          <w:lang w:val="es-ES"/>
        </w:rPr>
        <w:t xml:space="preserve">aquella </w:t>
      </w:r>
      <w:r w:rsidR="00AB1D08" w:rsidRPr="00CF7FE6">
        <w:rPr>
          <w:rFonts w:ascii="Verdana" w:hAnsi="Verdana"/>
          <w:sz w:val="20"/>
          <w:szCs w:val="20"/>
          <w:lang w:val="es-ES"/>
        </w:rPr>
        <w:t>a los efectos de qu</w:t>
      </w:r>
      <w:r w:rsidR="00491B35">
        <w:rPr>
          <w:rFonts w:ascii="Verdana" w:hAnsi="Verdana"/>
          <w:sz w:val="20"/>
          <w:szCs w:val="20"/>
          <w:lang w:val="es-ES"/>
        </w:rPr>
        <w:t xml:space="preserve">e se pronuncie sobre su alegada </w:t>
      </w:r>
      <w:r w:rsidR="00AB1D08" w:rsidRPr="00CF7FE6">
        <w:rPr>
          <w:rFonts w:ascii="Verdana" w:hAnsi="Verdana"/>
          <w:sz w:val="20"/>
          <w:szCs w:val="20"/>
          <w:lang w:val="es-ES"/>
        </w:rPr>
        <w:t>violación, son los que “</w:t>
      </w:r>
      <w:r w:rsidR="00AB1D08" w:rsidRPr="00CF7FE6">
        <w:rPr>
          <w:rFonts w:ascii="Verdana" w:hAnsi="Verdana"/>
          <w:i/>
          <w:sz w:val="20"/>
          <w:szCs w:val="20"/>
          <w:lang w:val="es-ES"/>
        </w:rPr>
        <w:t>reconocidos</w:t>
      </w:r>
      <w:r w:rsidR="00AB1D08" w:rsidRPr="00CF7FE6">
        <w:rPr>
          <w:rFonts w:ascii="Verdana" w:hAnsi="Verdana"/>
          <w:sz w:val="20"/>
          <w:szCs w:val="20"/>
          <w:lang w:val="es-ES"/>
        </w:rPr>
        <w:t>”, “</w:t>
      </w:r>
      <w:r w:rsidR="00AB1D08" w:rsidRPr="00CF7FE6">
        <w:rPr>
          <w:rFonts w:ascii="Verdana" w:hAnsi="Verdana"/>
          <w:i/>
          <w:sz w:val="20"/>
          <w:szCs w:val="20"/>
          <w:lang w:val="es-ES"/>
        </w:rPr>
        <w:t>establecidos</w:t>
      </w:r>
      <w:r w:rsidR="00AB1D08" w:rsidRPr="00CF7FE6">
        <w:rPr>
          <w:rFonts w:ascii="Verdana" w:hAnsi="Verdana"/>
          <w:sz w:val="20"/>
          <w:szCs w:val="20"/>
          <w:lang w:val="es-ES"/>
        </w:rPr>
        <w:t>”, “</w:t>
      </w:r>
      <w:r w:rsidR="00AB1D08" w:rsidRPr="00CF7FE6">
        <w:rPr>
          <w:rFonts w:ascii="Verdana" w:hAnsi="Verdana"/>
          <w:i/>
          <w:sz w:val="20"/>
          <w:szCs w:val="20"/>
          <w:lang w:val="es-ES"/>
        </w:rPr>
        <w:t>garantizados</w:t>
      </w:r>
      <w:r w:rsidR="007D2EAB">
        <w:rPr>
          <w:rFonts w:ascii="Verdana" w:hAnsi="Verdana"/>
          <w:sz w:val="20"/>
          <w:szCs w:val="20"/>
          <w:lang w:val="es-ES"/>
        </w:rPr>
        <w:t>”</w:t>
      </w:r>
      <w:r w:rsidR="00AB1D08" w:rsidRPr="00CF7FE6">
        <w:rPr>
          <w:rFonts w:ascii="Verdana" w:hAnsi="Verdana"/>
          <w:sz w:val="20"/>
          <w:szCs w:val="20"/>
          <w:lang w:val="es-ES"/>
        </w:rPr>
        <w:t>, “</w:t>
      </w:r>
      <w:r w:rsidR="00AB1D08" w:rsidRPr="00CF7FE6">
        <w:rPr>
          <w:rFonts w:ascii="Verdana" w:hAnsi="Verdana"/>
          <w:i/>
          <w:sz w:val="20"/>
          <w:szCs w:val="20"/>
          <w:lang w:val="es-ES"/>
        </w:rPr>
        <w:t>consag</w:t>
      </w:r>
      <w:r w:rsidR="00B461A2" w:rsidRPr="00CF7FE6">
        <w:rPr>
          <w:rFonts w:ascii="Verdana" w:hAnsi="Verdana"/>
          <w:i/>
          <w:sz w:val="20"/>
          <w:szCs w:val="20"/>
          <w:lang w:val="es-ES"/>
        </w:rPr>
        <w:t>rados</w:t>
      </w:r>
      <w:r w:rsidR="00B461A2" w:rsidRPr="00CF7FE6">
        <w:rPr>
          <w:rFonts w:ascii="Verdana" w:hAnsi="Verdana"/>
          <w:sz w:val="20"/>
          <w:szCs w:val="20"/>
          <w:lang w:val="es-ES"/>
        </w:rPr>
        <w:t>”  o “</w:t>
      </w:r>
      <w:r w:rsidR="00B461A2" w:rsidRPr="00CF7FE6">
        <w:rPr>
          <w:rFonts w:ascii="Verdana" w:hAnsi="Verdana"/>
          <w:i/>
          <w:sz w:val="20"/>
          <w:szCs w:val="20"/>
          <w:lang w:val="es-ES"/>
        </w:rPr>
        <w:t>protegidos</w:t>
      </w:r>
      <w:r w:rsidR="00BE3D78">
        <w:rPr>
          <w:rFonts w:ascii="Verdana" w:hAnsi="Verdana"/>
          <w:sz w:val="20"/>
          <w:szCs w:val="20"/>
          <w:lang w:val="es-ES"/>
        </w:rPr>
        <w:t>”  en</w:t>
      </w:r>
      <w:r w:rsidR="00B461A2" w:rsidRPr="00CF7FE6">
        <w:rPr>
          <w:rFonts w:ascii="Verdana" w:hAnsi="Verdana"/>
          <w:sz w:val="20"/>
          <w:szCs w:val="20"/>
          <w:lang w:val="es-ES"/>
        </w:rPr>
        <w:t xml:space="preserve"> </w:t>
      </w:r>
      <w:r w:rsidR="00062733" w:rsidRPr="00CF7FE6">
        <w:rPr>
          <w:rFonts w:ascii="Verdana" w:hAnsi="Verdana"/>
          <w:sz w:val="20"/>
          <w:szCs w:val="20"/>
          <w:lang w:val="es-ES"/>
        </w:rPr>
        <w:t>la Convención</w:t>
      </w:r>
      <w:r w:rsidR="00185B5F" w:rsidRPr="00CF7FE6">
        <w:rPr>
          <w:rFonts w:ascii="Verdana" w:hAnsi="Verdana"/>
          <w:sz w:val="20"/>
          <w:szCs w:val="20"/>
          <w:lang w:val="es-ES"/>
        </w:rPr>
        <w:t xml:space="preserve">, esto es, </w:t>
      </w:r>
      <w:r w:rsidR="006D2C28" w:rsidRPr="00CF7FE6">
        <w:rPr>
          <w:rFonts w:ascii="Verdana" w:hAnsi="Verdana"/>
          <w:sz w:val="20"/>
          <w:szCs w:val="20"/>
          <w:lang w:val="es-ES"/>
        </w:rPr>
        <w:t>los “</w:t>
      </w:r>
      <w:r w:rsidR="006D2C28" w:rsidRPr="00CF7FE6">
        <w:rPr>
          <w:rFonts w:ascii="Verdana" w:hAnsi="Verdana"/>
          <w:i/>
          <w:sz w:val="20"/>
          <w:szCs w:val="20"/>
          <w:lang w:val="es-ES"/>
        </w:rPr>
        <w:t xml:space="preserve">Derechos Civiles y </w:t>
      </w:r>
      <w:r w:rsidR="00D92406">
        <w:rPr>
          <w:rFonts w:ascii="Verdana" w:hAnsi="Verdana"/>
          <w:i/>
          <w:sz w:val="20"/>
          <w:szCs w:val="20"/>
          <w:lang w:val="es-ES"/>
        </w:rPr>
        <w:t>P</w:t>
      </w:r>
      <w:r w:rsidR="006D2C28" w:rsidRPr="00CF7FE6">
        <w:rPr>
          <w:rFonts w:ascii="Verdana" w:hAnsi="Verdana"/>
          <w:i/>
          <w:sz w:val="20"/>
          <w:szCs w:val="20"/>
          <w:lang w:val="es-ES"/>
        </w:rPr>
        <w:t>olíticos</w:t>
      </w:r>
      <w:r w:rsidR="006D2C28" w:rsidRPr="00CF7FE6">
        <w:rPr>
          <w:rFonts w:ascii="Verdana" w:hAnsi="Verdana"/>
          <w:sz w:val="20"/>
          <w:szCs w:val="20"/>
          <w:lang w:val="es-ES"/>
        </w:rPr>
        <w:t xml:space="preserve">”, </w:t>
      </w:r>
      <w:r w:rsidR="007D2EAB">
        <w:rPr>
          <w:rFonts w:ascii="Verdana" w:hAnsi="Verdana"/>
          <w:sz w:val="20"/>
          <w:szCs w:val="20"/>
          <w:lang w:val="es-ES"/>
        </w:rPr>
        <w:t xml:space="preserve">por lo que se </w:t>
      </w:r>
      <w:r w:rsidR="00ED6243">
        <w:rPr>
          <w:rFonts w:ascii="Verdana" w:hAnsi="Verdana"/>
          <w:sz w:val="20"/>
          <w:szCs w:val="20"/>
          <w:lang w:val="es-ES"/>
        </w:rPr>
        <w:t>deben excluir</w:t>
      </w:r>
      <w:r w:rsidR="00EB1087" w:rsidRPr="00CF7FE6">
        <w:rPr>
          <w:rFonts w:ascii="Verdana" w:hAnsi="Verdana"/>
          <w:sz w:val="20"/>
          <w:szCs w:val="20"/>
          <w:lang w:val="es-ES"/>
        </w:rPr>
        <w:t xml:space="preserve"> de</w:t>
      </w:r>
      <w:r w:rsidR="00ED6243">
        <w:rPr>
          <w:rFonts w:ascii="Verdana" w:hAnsi="Verdana"/>
          <w:sz w:val="20"/>
          <w:szCs w:val="20"/>
          <w:lang w:val="es-ES"/>
        </w:rPr>
        <w:t xml:space="preserve"> dicha judicialización </w:t>
      </w:r>
      <w:r w:rsidR="006D2C28" w:rsidRPr="00CF7FE6">
        <w:rPr>
          <w:rFonts w:ascii="Verdana" w:hAnsi="Verdana"/>
          <w:sz w:val="20"/>
          <w:szCs w:val="20"/>
          <w:lang w:val="es-ES"/>
        </w:rPr>
        <w:t>a los “</w:t>
      </w:r>
      <w:r w:rsidR="006D2C28" w:rsidRPr="00CF7FE6">
        <w:rPr>
          <w:rFonts w:ascii="Verdana" w:hAnsi="Verdana"/>
          <w:i/>
          <w:sz w:val="20"/>
          <w:szCs w:val="20"/>
          <w:lang w:val="es-ES"/>
        </w:rPr>
        <w:t>derechos econ</w:t>
      </w:r>
      <w:r w:rsidR="00062733" w:rsidRPr="00CF7FE6">
        <w:rPr>
          <w:rFonts w:ascii="Verdana" w:hAnsi="Verdana"/>
          <w:i/>
          <w:sz w:val="20"/>
          <w:szCs w:val="20"/>
          <w:lang w:val="es-ES"/>
        </w:rPr>
        <w:t xml:space="preserve">ómicos. sociales y culturales”, </w:t>
      </w:r>
      <w:r w:rsidR="006D2C28" w:rsidRPr="00CF7FE6">
        <w:rPr>
          <w:rFonts w:ascii="Verdana" w:hAnsi="Verdana"/>
          <w:sz w:val="20"/>
          <w:szCs w:val="20"/>
          <w:lang w:val="es-ES"/>
        </w:rPr>
        <w:t xml:space="preserve">a los que </w:t>
      </w:r>
      <w:r w:rsidR="006D2C28" w:rsidRPr="00CF7FE6">
        <w:rPr>
          <w:rFonts w:ascii="Verdana" w:hAnsi="Verdana"/>
          <w:i/>
          <w:sz w:val="20"/>
          <w:szCs w:val="20"/>
          <w:lang w:val="es-ES"/>
        </w:rPr>
        <w:t xml:space="preserve">“derivan” </w:t>
      </w:r>
      <w:r w:rsidR="006D2C28" w:rsidRPr="00CF7FE6">
        <w:rPr>
          <w:rFonts w:ascii="Verdana" w:hAnsi="Verdana"/>
          <w:sz w:val="20"/>
          <w:szCs w:val="20"/>
          <w:lang w:val="es-ES"/>
        </w:rPr>
        <w:t>de normas de la Carta de la Organiza</w:t>
      </w:r>
      <w:r w:rsidR="00062733" w:rsidRPr="00CF7FE6">
        <w:rPr>
          <w:rFonts w:ascii="Verdana" w:hAnsi="Verdana"/>
          <w:sz w:val="20"/>
          <w:szCs w:val="20"/>
          <w:lang w:val="es-ES"/>
        </w:rPr>
        <w:t xml:space="preserve">ción de los Estados Americanos, </w:t>
      </w:r>
      <w:r w:rsidR="006D2C28" w:rsidRPr="00CF7FE6">
        <w:rPr>
          <w:rFonts w:ascii="Verdana" w:hAnsi="Verdana"/>
          <w:sz w:val="20"/>
          <w:szCs w:val="20"/>
          <w:lang w:val="es-ES"/>
        </w:rPr>
        <w:t>a los “</w:t>
      </w:r>
      <w:r w:rsidR="006D2C28" w:rsidRPr="00CF7FE6">
        <w:rPr>
          <w:rFonts w:ascii="Verdana" w:hAnsi="Verdana"/>
          <w:i/>
          <w:sz w:val="20"/>
          <w:szCs w:val="20"/>
          <w:lang w:val="es-ES"/>
        </w:rPr>
        <w:t>reconocidos</w:t>
      </w:r>
      <w:r w:rsidR="006D2C28" w:rsidRPr="00CF7FE6">
        <w:rPr>
          <w:rFonts w:ascii="Verdana" w:hAnsi="Verdana"/>
          <w:sz w:val="20"/>
          <w:szCs w:val="20"/>
          <w:lang w:val="es-ES"/>
        </w:rPr>
        <w:t>” por leyes de los Estados u otras convenciones y a otros “</w:t>
      </w:r>
      <w:r w:rsidR="006D2C28" w:rsidRPr="00CF7FE6">
        <w:rPr>
          <w:rFonts w:ascii="Verdana" w:hAnsi="Verdana"/>
          <w:i/>
          <w:sz w:val="20"/>
          <w:szCs w:val="20"/>
          <w:lang w:val="es-ES"/>
        </w:rPr>
        <w:t>inherentes al ser humano o que se derivan de la forma democrática representativa de gobierno</w:t>
      </w:r>
      <w:r w:rsidR="004E2F42" w:rsidRPr="00CF7FE6">
        <w:rPr>
          <w:rFonts w:ascii="Verdana" w:hAnsi="Verdana"/>
          <w:sz w:val="20"/>
          <w:szCs w:val="20"/>
          <w:lang w:val="es-ES"/>
        </w:rPr>
        <w:t>”</w:t>
      </w:r>
      <w:r w:rsidR="006D2C28" w:rsidRPr="00CF7FE6">
        <w:rPr>
          <w:rFonts w:ascii="Verdana" w:hAnsi="Verdana"/>
          <w:sz w:val="20"/>
          <w:szCs w:val="20"/>
          <w:lang w:val="es-ES"/>
        </w:rPr>
        <w:t>.</w:t>
      </w:r>
      <w:r w:rsidR="00C2026C" w:rsidRPr="00CF7FE6">
        <w:rPr>
          <w:rFonts w:ascii="Verdana" w:hAnsi="Verdana"/>
          <w:sz w:val="20"/>
          <w:szCs w:val="20"/>
          <w:lang w:val="es-ES"/>
        </w:rPr>
        <w:t xml:space="preserve"> Evidentemente, d</w:t>
      </w:r>
      <w:r w:rsidR="00ED6243">
        <w:rPr>
          <w:rFonts w:ascii="Verdana" w:hAnsi="Verdana"/>
          <w:sz w:val="20"/>
          <w:szCs w:val="20"/>
          <w:lang w:val="es-ES"/>
        </w:rPr>
        <w:t xml:space="preserve">ichos derechos quedan descartados </w:t>
      </w:r>
      <w:r w:rsidR="00C2026C" w:rsidRPr="00CF7FE6">
        <w:rPr>
          <w:rFonts w:ascii="Verdana" w:hAnsi="Verdana"/>
          <w:sz w:val="20"/>
          <w:szCs w:val="20"/>
          <w:lang w:val="es-ES"/>
        </w:rPr>
        <w:t xml:space="preserve">de la judicialización ante la Corte en razón de que </w:t>
      </w:r>
      <w:r w:rsidR="00F83670" w:rsidRPr="00CF7FE6">
        <w:rPr>
          <w:rFonts w:ascii="Verdana" w:hAnsi="Verdana"/>
          <w:sz w:val="20"/>
          <w:szCs w:val="20"/>
          <w:lang w:val="es-ES"/>
        </w:rPr>
        <w:t xml:space="preserve">tienen </w:t>
      </w:r>
      <w:r w:rsidR="00E46888" w:rsidRPr="00CF7FE6">
        <w:rPr>
          <w:rFonts w:ascii="Verdana" w:hAnsi="Verdana"/>
          <w:sz w:val="20"/>
          <w:szCs w:val="20"/>
          <w:lang w:val="es-ES"/>
        </w:rPr>
        <w:t>como fuente otro tratado</w:t>
      </w:r>
      <w:r w:rsidR="00F83670" w:rsidRPr="00CF7FE6">
        <w:rPr>
          <w:rFonts w:ascii="Verdana" w:hAnsi="Verdana"/>
          <w:sz w:val="20"/>
          <w:szCs w:val="20"/>
          <w:lang w:val="es-ES"/>
        </w:rPr>
        <w:t xml:space="preserve"> u otra fuente de Derecho Internacional</w:t>
      </w:r>
      <w:r w:rsidR="00C2026C" w:rsidRPr="00CF7FE6">
        <w:rPr>
          <w:rFonts w:ascii="Verdana" w:hAnsi="Verdana"/>
          <w:sz w:val="20"/>
          <w:szCs w:val="20"/>
          <w:lang w:val="es-ES"/>
        </w:rPr>
        <w:t xml:space="preserve"> distinta a la Conve</w:t>
      </w:r>
      <w:r w:rsidR="004E2F42" w:rsidRPr="00CF7FE6">
        <w:rPr>
          <w:rFonts w:ascii="Verdana" w:hAnsi="Verdana"/>
          <w:sz w:val="20"/>
          <w:szCs w:val="20"/>
          <w:lang w:val="es-ES"/>
        </w:rPr>
        <w:t>nción</w:t>
      </w:r>
      <w:r w:rsidR="00F83670" w:rsidRPr="00CF7FE6">
        <w:rPr>
          <w:rFonts w:ascii="Verdana" w:hAnsi="Verdana"/>
          <w:sz w:val="20"/>
          <w:szCs w:val="20"/>
          <w:lang w:val="es-ES"/>
        </w:rPr>
        <w:t>.</w:t>
      </w:r>
      <w:r w:rsidR="007A56D8" w:rsidRPr="00CF7FE6">
        <w:rPr>
          <w:rFonts w:ascii="Verdana" w:hAnsi="Verdana"/>
          <w:sz w:val="20"/>
          <w:szCs w:val="20"/>
          <w:lang w:val="es-ES"/>
        </w:rPr>
        <w:t xml:space="preserve"> </w:t>
      </w:r>
      <w:r w:rsidR="00D76949">
        <w:rPr>
          <w:rFonts w:ascii="Verdana" w:hAnsi="Verdana"/>
          <w:sz w:val="20"/>
          <w:szCs w:val="20"/>
          <w:lang w:val="es-ES"/>
        </w:rPr>
        <w:t xml:space="preserve"> </w:t>
      </w:r>
      <w:r w:rsidR="007A56D8" w:rsidRPr="00CF7FE6">
        <w:rPr>
          <w:rFonts w:ascii="Verdana" w:hAnsi="Verdana"/>
          <w:sz w:val="20"/>
          <w:szCs w:val="20"/>
          <w:lang w:val="es-ES"/>
        </w:rPr>
        <w:t xml:space="preserve">Al </w:t>
      </w:r>
      <w:r w:rsidR="00CF7891" w:rsidRPr="00CF7FE6">
        <w:rPr>
          <w:rFonts w:ascii="Verdana" w:hAnsi="Verdana"/>
          <w:sz w:val="20"/>
          <w:szCs w:val="20"/>
          <w:lang w:val="es-ES"/>
        </w:rPr>
        <w:t xml:space="preserve">no </w:t>
      </w:r>
      <w:r w:rsidR="007A56D8" w:rsidRPr="00CF7FE6">
        <w:rPr>
          <w:rFonts w:ascii="Verdana" w:hAnsi="Verdana"/>
          <w:sz w:val="20"/>
          <w:szCs w:val="20"/>
          <w:lang w:val="es-ES"/>
        </w:rPr>
        <w:t xml:space="preserve">integrar, pues, la categoría de derechos </w:t>
      </w:r>
      <w:r w:rsidR="00ED0C50" w:rsidRPr="00CF7FE6">
        <w:rPr>
          <w:rFonts w:ascii="Verdana" w:hAnsi="Verdana"/>
          <w:i/>
          <w:sz w:val="20"/>
          <w:szCs w:val="20"/>
          <w:lang w:val="es-ES"/>
        </w:rPr>
        <w:t xml:space="preserve">“reconocidos” </w:t>
      </w:r>
      <w:r w:rsidR="00BE3D78">
        <w:rPr>
          <w:rFonts w:ascii="Verdana" w:hAnsi="Verdana"/>
          <w:sz w:val="20"/>
          <w:szCs w:val="20"/>
          <w:lang w:val="es-ES"/>
        </w:rPr>
        <w:t>en</w:t>
      </w:r>
      <w:r w:rsidR="007A56D8" w:rsidRPr="00CF7FE6">
        <w:rPr>
          <w:rFonts w:ascii="Verdana" w:hAnsi="Verdana"/>
          <w:sz w:val="20"/>
          <w:szCs w:val="20"/>
          <w:lang w:val="es-ES"/>
        </w:rPr>
        <w:t xml:space="preserve"> la Convención, </w:t>
      </w:r>
      <w:r w:rsidR="001032EE" w:rsidRPr="00CF7FE6">
        <w:rPr>
          <w:rFonts w:ascii="Verdana" w:hAnsi="Verdana"/>
          <w:sz w:val="20"/>
          <w:szCs w:val="20"/>
          <w:lang w:val="es-ES"/>
        </w:rPr>
        <w:t xml:space="preserve">el derecho al trabajo y </w:t>
      </w:r>
      <w:r w:rsidR="007A56D8" w:rsidRPr="00CF7FE6">
        <w:rPr>
          <w:rFonts w:ascii="Verdana" w:hAnsi="Verdana"/>
          <w:sz w:val="20"/>
          <w:szCs w:val="20"/>
          <w:lang w:val="es-ES"/>
        </w:rPr>
        <w:t>el derecho a l</w:t>
      </w:r>
      <w:r w:rsidR="001032EE" w:rsidRPr="00CF7FE6">
        <w:rPr>
          <w:rFonts w:ascii="Verdana" w:hAnsi="Verdana"/>
          <w:sz w:val="20"/>
          <w:szCs w:val="20"/>
          <w:lang w:val="es-ES"/>
        </w:rPr>
        <w:t xml:space="preserve">a estabilidad en el empleo no son </w:t>
      </w:r>
      <w:r w:rsidR="007A56D8" w:rsidRPr="00CF7FE6">
        <w:rPr>
          <w:rFonts w:ascii="Verdana" w:hAnsi="Verdana"/>
          <w:sz w:val="20"/>
          <w:szCs w:val="20"/>
          <w:lang w:val="es-ES"/>
        </w:rPr>
        <w:t>susceptibles de judicializar ante la Corte</w:t>
      </w:r>
      <w:r w:rsidR="001032EE" w:rsidRPr="00CF7FE6">
        <w:rPr>
          <w:rFonts w:ascii="Verdana" w:hAnsi="Verdana"/>
          <w:sz w:val="20"/>
          <w:szCs w:val="20"/>
          <w:lang w:val="es-ES"/>
        </w:rPr>
        <w:t xml:space="preserve">, salvo, en lo que respecta al primero, </w:t>
      </w:r>
      <w:r>
        <w:rPr>
          <w:rFonts w:ascii="Verdana" w:hAnsi="Verdana"/>
          <w:sz w:val="20"/>
          <w:szCs w:val="20"/>
          <w:lang w:val="es-ES"/>
        </w:rPr>
        <w:t xml:space="preserve">más únicamente </w:t>
      </w:r>
      <w:r w:rsidR="001032EE" w:rsidRPr="00CF7FE6">
        <w:rPr>
          <w:rFonts w:ascii="Verdana" w:hAnsi="Verdana"/>
          <w:sz w:val="20"/>
          <w:szCs w:val="20"/>
          <w:lang w:val="es-ES"/>
        </w:rPr>
        <w:t>en</w:t>
      </w:r>
      <w:r>
        <w:rPr>
          <w:rFonts w:ascii="Verdana" w:hAnsi="Verdana"/>
          <w:sz w:val="20"/>
          <w:szCs w:val="20"/>
          <w:lang w:val="es-ES"/>
        </w:rPr>
        <w:t xml:space="preserve"> lo pertinente a</w:t>
      </w:r>
      <w:r w:rsidR="001032EE" w:rsidRPr="00CF7FE6">
        <w:rPr>
          <w:rFonts w:ascii="Verdana" w:hAnsi="Verdana"/>
          <w:sz w:val="20"/>
          <w:szCs w:val="20"/>
          <w:lang w:val="es-ES"/>
        </w:rPr>
        <w:t xml:space="preserve"> la</w:t>
      </w:r>
      <w:r w:rsidR="006550A6" w:rsidRPr="00CF7FE6">
        <w:rPr>
          <w:rFonts w:ascii="Verdana" w:hAnsi="Verdana"/>
          <w:sz w:val="20"/>
          <w:szCs w:val="20"/>
          <w:lang w:val="es-ES"/>
        </w:rPr>
        <w:t>s</w:t>
      </w:r>
      <w:r w:rsidR="001032EE" w:rsidRPr="00CF7FE6">
        <w:rPr>
          <w:rFonts w:ascii="Verdana" w:hAnsi="Verdana"/>
          <w:sz w:val="20"/>
          <w:szCs w:val="20"/>
          <w:lang w:val="es-ES"/>
        </w:rPr>
        <w:t xml:space="preserve"> </w:t>
      </w:r>
      <w:r w:rsidR="00063E7E">
        <w:rPr>
          <w:rFonts w:ascii="Verdana" w:hAnsi="Verdana"/>
          <w:sz w:val="20"/>
          <w:szCs w:val="20"/>
          <w:lang w:val="es-ES"/>
        </w:rPr>
        <w:t xml:space="preserve">específicas </w:t>
      </w:r>
      <w:r w:rsidR="001032EE" w:rsidRPr="00CF7FE6">
        <w:rPr>
          <w:rFonts w:ascii="Verdana" w:hAnsi="Verdana"/>
          <w:sz w:val="20"/>
          <w:szCs w:val="20"/>
          <w:lang w:val="es-ES"/>
        </w:rPr>
        <w:t>materia</w:t>
      </w:r>
      <w:r w:rsidR="006550A6" w:rsidRPr="00CF7FE6">
        <w:rPr>
          <w:rFonts w:ascii="Verdana" w:hAnsi="Verdana"/>
          <w:sz w:val="20"/>
          <w:szCs w:val="20"/>
          <w:lang w:val="es-ES"/>
        </w:rPr>
        <w:t>s</w:t>
      </w:r>
      <w:r w:rsidR="00063E7E">
        <w:rPr>
          <w:rFonts w:ascii="Verdana" w:hAnsi="Verdana"/>
          <w:sz w:val="20"/>
          <w:szCs w:val="20"/>
          <w:lang w:val="es-ES"/>
        </w:rPr>
        <w:t xml:space="preserve"> que </w:t>
      </w:r>
      <w:r w:rsidR="006550A6" w:rsidRPr="00CF7FE6">
        <w:rPr>
          <w:rFonts w:ascii="Verdana" w:hAnsi="Verdana"/>
          <w:sz w:val="20"/>
          <w:szCs w:val="20"/>
          <w:lang w:val="es-ES"/>
        </w:rPr>
        <w:t xml:space="preserve">dispone </w:t>
      </w:r>
      <w:r w:rsidR="001032EE" w:rsidRPr="00CF7FE6">
        <w:rPr>
          <w:rFonts w:ascii="Verdana" w:hAnsi="Verdana"/>
          <w:sz w:val="20"/>
          <w:szCs w:val="20"/>
          <w:lang w:val="es-ES"/>
        </w:rPr>
        <w:t>el Protocolo de San Salvador</w:t>
      </w:r>
      <w:r w:rsidR="007A56D8" w:rsidRPr="00CF7FE6">
        <w:rPr>
          <w:rFonts w:ascii="Verdana" w:hAnsi="Verdana"/>
          <w:sz w:val="20"/>
          <w:szCs w:val="20"/>
          <w:lang w:val="es-ES"/>
        </w:rPr>
        <w:t>.</w:t>
      </w:r>
    </w:p>
    <w:p w14:paraId="7A31AF91" w14:textId="77777777" w:rsidR="00D92406" w:rsidRDefault="00D92406" w:rsidP="00EB7CE1">
      <w:pPr>
        <w:spacing w:after="0" w:line="240" w:lineRule="auto"/>
        <w:jc w:val="both"/>
        <w:rPr>
          <w:rFonts w:ascii="Verdana" w:hAnsi="Verdana"/>
          <w:sz w:val="20"/>
          <w:szCs w:val="20"/>
          <w:lang w:val="es-ES"/>
        </w:rPr>
      </w:pPr>
    </w:p>
    <w:p w14:paraId="60F5B287" w14:textId="77777777" w:rsidR="007A56D8" w:rsidRPr="003B2532" w:rsidRDefault="00ED74C3" w:rsidP="00EB7CE1">
      <w:pPr>
        <w:pStyle w:val="ListParagraph"/>
        <w:numPr>
          <w:ilvl w:val="0"/>
          <w:numId w:val="10"/>
        </w:numPr>
        <w:spacing w:after="0" w:line="240" w:lineRule="auto"/>
        <w:jc w:val="both"/>
        <w:rPr>
          <w:rFonts w:ascii="Verdana" w:hAnsi="Verdana"/>
          <w:sz w:val="20"/>
          <w:szCs w:val="20"/>
          <w:lang w:val="es-ES"/>
        </w:rPr>
      </w:pPr>
      <w:r w:rsidRPr="003B2532">
        <w:rPr>
          <w:rFonts w:ascii="Verdana" w:hAnsi="Verdana"/>
          <w:b/>
          <w:sz w:val="20"/>
          <w:szCs w:val="20"/>
          <w:lang w:val="es-ES"/>
        </w:rPr>
        <w:t xml:space="preserve">Ampliación del sistema de protección a otros derechos. </w:t>
      </w:r>
      <w:r w:rsidR="00185B5F" w:rsidRPr="003B2532">
        <w:rPr>
          <w:rFonts w:ascii="Verdana" w:hAnsi="Verdana"/>
          <w:sz w:val="20"/>
          <w:szCs w:val="20"/>
          <w:lang w:val="es-ES"/>
        </w:rPr>
        <w:t xml:space="preserve"> </w:t>
      </w:r>
    </w:p>
    <w:p w14:paraId="4CCEBD62" w14:textId="77777777" w:rsidR="00526B54" w:rsidRPr="00CF7FE6" w:rsidRDefault="00526B54" w:rsidP="00EB7CE1">
      <w:pPr>
        <w:spacing w:after="0" w:line="240" w:lineRule="auto"/>
        <w:jc w:val="both"/>
        <w:rPr>
          <w:rFonts w:ascii="Verdana" w:hAnsi="Verdana"/>
          <w:sz w:val="20"/>
          <w:szCs w:val="20"/>
          <w:lang w:val="es-ES"/>
        </w:rPr>
      </w:pPr>
    </w:p>
    <w:p w14:paraId="3244385C" w14:textId="77777777" w:rsidR="007A56D8" w:rsidRPr="00CF7FE6" w:rsidRDefault="00491B35" w:rsidP="00EB7CE1">
      <w:pPr>
        <w:spacing w:after="0" w:line="240" w:lineRule="auto"/>
        <w:jc w:val="both"/>
        <w:rPr>
          <w:rFonts w:ascii="Verdana" w:hAnsi="Verdana"/>
          <w:sz w:val="20"/>
          <w:szCs w:val="20"/>
          <w:lang w:val="es-ES"/>
        </w:rPr>
      </w:pPr>
      <w:r>
        <w:rPr>
          <w:rFonts w:ascii="Verdana" w:hAnsi="Verdana"/>
          <w:sz w:val="20"/>
          <w:szCs w:val="20"/>
          <w:lang w:val="es-ES"/>
        </w:rPr>
        <w:t>Sin embargo</w:t>
      </w:r>
      <w:r w:rsidR="007A56D8" w:rsidRPr="00CF7FE6">
        <w:rPr>
          <w:rFonts w:ascii="Verdana" w:hAnsi="Verdana"/>
          <w:sz w:val="20"/>
          <w:szCs w:val="20"/>
          <w:lang w:val="es-ES"/>
        </w:rPr>
        <w:t xml:space="preserve">, </w:t>
      </w:r>
      <w:r w:rsidR="001032EE" w:rsidRPr="00CF7FE6">
        <w:rPr>
          <w:rFonts w:ascii="Verdana" w:hAnsi="Verdana"/>
          <w:sz w:val="20"/>
          <w:szCs w:val="20"/>
          <w:lang w:val="es-ES"/>
        </w:rPr>
        <w:t>la circunstancia de que un derecho no sea “</w:t>
      </w:r>
      <w:r w:rsidR="001032EE" w:rsidRPr="00CF7FE6">
        <w:rPr>
          <w:rFonts w:ascii="Verdana" w:hAnsi="Verdana"/>
          <w:i/>
          <w:sz w:val="20"/>
          <w:szCs w:val="20"/>
          <w:lang w:val="es-ES"/>
        </w:rPr>
        <w:t>reconocido</w:t>
      </w:r>
      <w:r w:rsidR="00F43BD0">
        <w:rPr>
          <w:rFonts w:ascii="Verdana" w:hAnsi="Verdana"/>
          <w:sz w:val="20"/>
          <w:szCs w:val="20"/>
          <w:lang w:val="es-ES"/>
        </w:rPr>
        <w:t>” en</w:t>
      </w:r>
      <w:r w:rsidR="001032EE" w:rsidRPr="00CF7FE6">
        <w:rPr>
          <w:rFonts w:ascii="Verdana" w:hAnsi="Verdana"/>
          <w:sz w:val="20"/>
          <w:szCs w:val="20"/>
          <w:lang w:val="es-ES"/>
        </w:rPr>
        <w:t xml:space="preserve"> la Convención </w:t>
      </w:r>
      <w:r w:rsidR="007A56D8" w:rsidRPr="00CF7FE6">
        <w:rPr>
          <w:rFonts w:ascii="Verdana" w:hAnsi="Verdana"/>
          <w:sz w:val="20"/>
          <w:szCs w:val="20"/>
          <w:lang w:val="es-ES"/>
        </w:rPr>
        <w:t>n</w:t>
      </w:r>
      <w:r w:rsidR="001032EE" w:rsidRPr="00CF7FE6">
        <w:rPr>
          <w:rFonts w:ascii="Verdana" w:hAnsi="Verdana"/>
          <w:sz w:val="20"/>
          <w:szCs w:val="20"/>
          <w:lang w:val="es-ES"/>
        </w:rPr>
        <w:t xml:space="preserve">o impide que pueda en </w:t>
      </w:r>
      <w:r w:rsidR="007A56D8" w:rsidRPr="00CF7FE6">
        <w:rPr>
          <w:rFonts w:ascii="Verdana" w:hAnsi="Verdana"/>
          <w:sz w:val="20"/>
          <w:szCs w:val="20"/>
          <w:lang w:val="es-ES"/>
        </w:rPr>
        <w:t>ser incluido entre los derechos que podrían ser invocados ante l</w:t>
      </w:r>
      <w:r w:rsidR="00AE740A" w:rsidRPr="00CF7FE6">
        <w:rPr>
          <w:rFonts w:ascii="Verdana" w:hAnsi="Verdana"/>
          <w:sz w:val="20"/>
          <w:szCs w:val="20"/>
          <w:lang w:val="es-ES"/>
        </w:rPr>
        <w:t>a Corte. Para ello se requiere adoptar un protocolo que lo contemple</w:t>
      </w:r>
      <w:r w:rsidR="007A56D8" w:rsidRPr="00CF7FE6">
        <w:rPr>
          <w:rFonts w:ascii="Verdana" w:hAnsi="Verdana"/>
          <w:sz w:val="20"/>
          <w:szCs w:val="20"/>
          <w:lang w:val="es-ES"/>
        </w:rPr>
        <w:t xml:space="preserve"> en</w:t>
      </w:r>
      <w:r w:rsidR="00AE740A" w:rsidRPr="00CF7FE6">
        <w:rPr>
          <w:rFonts w:ascii="Verdana" w:hAnsi="Verdana"/>
          <w:sz w:val="20"/>
          <w:szCs w:val="20"/>
          <w:lang w:val="es-ES"/>
        </w:rPr>
        <w:t xml:space="preserve"> tal sentido</w:t>
      </w:r>
      <w:r w:rsidR="002B7F96" w:rsidRPr="00CF7FE6">
        <w:rPr>
          <w:rStyle w:val="FootnoteReference"/>
          <w:rFonts w:ascii="Verdana" w:hAnsi="Verdana"/>
          <w:sz w:val="20"/>
          <w:szCs w:val="20"/>
          <w:lang w:val="es-ES"/>
        </w:rPr>
        <w:footnoteReference w:id="36"/>
      </w:r>
      <w:r w:rsidR="00AE740A" w:rsidRPr="00CF7FE6">
        <w:rPr>
          <w:rFonts w:ascii="Verdana" w:hAnsi="Verdana"/>
          <w:sz w:val="20"/>
          <w:szCs w:val="20"/>
          <w:lang w:val="es-ES"/>
        </w:rPr>
        <w:t>.</w:t>
      </w:r>
    </w:p>
    <w:p w14:paraId="7E330081" w14:textId="77777777" w:rsidR="00526B54" w:rsidRPr="00CF7FE6" w:rsidRDefault="00526B54" w:rsidP="00EB7CE1">
      <w:pPr>
        <w:spacing w:after="0" w:line="240" w:lineRule="auto"/>
        <w:jc w:val="both"/>
        <w:rPr>
          <w:rFonts w:ascii="Verdana" w:hAnsi="Verdana"/>
          <w:sz w:val="20"/>
          <w:szCs w:val="20"/>
          <w:lang w:val="es-ES"/>
        </w:rPr>
      </w:pPr>
    </w:p>
    <w:p w14:paraId="05A741F6" w14:textId="77777777" w:rsidR="00654068" w:rsidRPr="00CF7FE6" w:rsidRDefault="00185B5F" w:rsidP="00EB7CE1">
      <w:pPr>
        <w:spacing w:after="0" w:line="240" w:lineRule="auto"/>
        <w:jc w:val="both"/>
        <w:rPr>
          <w:rFonts w:ascii="Verdana" w:hAnsi="Verdana"/>
          <w:sz w:val="20"/>
          <w:szCs w:val="20"/>
          <w:lang w:val="es-ES"/>
        </w:rPr>
      </w:pPr>
      <w:r w:rsidRPr="00CF7FE6">
        <w:rPr>
          <w:rFonts w:ascii="Verdana" w:hAnsi="Verdana"/>
          <w:sz w:val="20"/>
          <w:szCs w:val="20"/>
          <w:lang w:val="es-ES"/>
        </w:rPr>
        <w:t xml:space="preserve">Efectivamente, </w:t>
      </w:r>
      <w:r w:rsidR="007A56D8" w:rsidRPr="00CF7FE6">
        <w:rPr>
          <w:rFonts w:ascii="Verdana" w:hAnsi="Verdana"/>
          <w:sz w:val="20"/>
          <w:szCs w:val="20"/>
          <w:lang w:val="es-ES"/>
        </w:rPr>
        <w:t>el artículo 31 de la Convención, en concordancia con los artículos</w:t>
      </w:r>
      <w:r w:rsidRPr="00CF7FE6">
        <w:rPr>
          <w:rFonts w:ascii="Verdana" w:hAnsi="Verdana"/>
          <w:sz w:val="20"/>
          <w:szCs w:val="20"/>
          <w:lang w:val="es-ES"/>
        </w:rPr>
        <w:t xml:space="preserve"> 76</w:t>
      </w:r>
      <w:r w:rsidR="00A766F9" w:rsidRPr="00CF7FE6">
        <w:rPr>
          <w:rFonts w:ascii="Verdana" w:hAnsi="Verdana"/>
          <w:sz w:val="20"/>
          <w:szCs w:val="20"/>
          <w:lang w:val="es-ES"/>
        </w:rPr>
        <w:t>.1</w:t>
      </w:r>
      <w:r w:rsidRPr="00CF7FE6">
        <w:rPr>
          <w:rFonts w:ascii="Verdana" w:hAnsi="Verdana"/>
          <w:sz w:val="20"/>
          <w:szCs w:val="20"/>
          <w:lang w:val="es-ES"/>
        </w:rPr>
        <w:t xml:space="preserve"> y 77</w:t>
      </w:r>
      <w:r w:rsidR="00A766F9" w:rsidRPr="00CF7FE6">
        <w:rPr>
          <w:rFonts w:ascii="Verdana" w:hAnsi="Verdana"/>
          <w:sz w:val="20"/>
          <w:szCs w:val="20"/>
          <w:lang w:val="es-ES"/>
        </w:rPr>
        <w:t>.1</w:t>
      </w:r>
      <w:r w:rsidR="00A766F9" w:rsidRPr="00CF7FE6">
        <w:rPr>
          <w:rStyle w:val="FootnoteReference"/>
          <w:rFonts w:ascii="Verdana" w:hAnsi="Verdana"/>
          <w:sz w:val="20"/>
          <w:szCs w:val="20"/>
          <w:lang w:val="es-ES"/>
        </w:rPr>
        <w:footnoteReference w:id="37"/>
      </w:r>
      <w:r w:rsidR="007A56D8" w:rsidRPr="00CF7FE6">
        <w:rPr>
          <w:rFonts w:ascii="Verdana" w:hAnsi="Verdana"/>
          <w:sz w:val="20"/>
          <w:szCs w:val="20"/>
          <w:lang w:val="es-ES"/>
        </w:rPr>
        <w:t xml:space="preserve"> de la misma, </w:t>
      </w:r>
      <w:r w:rsidR="00A766F9" w:rsidRPr="00CF7FE6">
        <w:rPr>
          <w:rFonts w:ascii="Verdana" w:hAnsi="Verdana"/>
          <w:sz w:val="20"/>
          <w:szCs w:val="20"/>
          <w:lang w:val="es-ES"/>
        </w:rPr>
        <w:t>expresamente disponen que la función normativa relativa a la Convención</w:t>
      </w:r>
      <w:r w:rsidR="006B4ADC" w:rsidRPr="00CF7FE6">
        <w:rPr>
          <w:rFonts w:ascii="Verdana" w:hAnsi="Verdana"/>
          <w:sz w:val="20"/>
          <w:szCs w:val="20"/>
          <w:lang w:val="es-ES"/>
        </w:rPr>
        <w:t xml:space="preserve"> y muy especialmente a los efectos de “</w:t>
      </w:r>
      <w:r w:rsidR="006B4ADC" w:rsidRPr="00CF7FE6">
        <w:rPr>
          <w:rFonts w:ascii="Verdana" w:hAnsi="Verdana"/>
          <w:i/>
          <w:sz w:val="20"/>
          <w:szCs w:val="20"/>
          <w:lang w:val="es-ES"/>
        </w:rPr>
        <w:t>incluir progresivamente en el régimen de protección de la misma otros derechos</w:t>
      </w:r>
      <w:r w:rsidR="006B4ADC" w:rsidRPr="00CF7FE6">
        <w:rPr>
          <w:rFonts w:ascii="Verdana" w:hAnsi="Verdana"/>
          <w:sz w:val="20"/>
          <w:szCs w:val="20"/>
          <w:lang w:val="es-ES"/>
        </w:rPr>
        <w:t xml:space="preserve">”, </w:t>
      </w:r>
      <w:r w:rsidR="00A766F9" w:rsidRPr="00CF7FE6">
        <w:rPr>
          <w:rFonts w:ascii="Verdana" w:hAnsi="Verdana"/>
          <w:sz w:val="20"/>
          <w:szCs w:val="20"/>
          <w:lang w:val="es-ES"/>
        </w:rPr>
        <w:t>la ejercerán sus Estados Partes, por lo que esa área está implíc</w:t>
      </w:r>
      <w:r w:rsidR="00CF7891" w:rsidRPr="00CF7FE6">
        <w:rPr>
          <w:rFonts w:ascii="Verdana" w:hAnsi="Verdana"/>
          <w:sz w:val="20"/>
          <w:szCs w:val="20"/>
          <w:lang w:val="es-ES"/>
        </w:rPr>
        <w:t>itamente vedada a la Corte, la q</w:t>
      </w:r>
      <w:r w:rsidR="00A766F9" w:rsidRPr="00CF7FE6">
        <w:rPr>
          <w:rFonts w:ascii="Verdana" w:hAnsi="Verdana"/>
          <w:sz w:val="20"/>
          <w:szCs w:val="20"/>
          <w:lang w:val="es-ES"/>
        </w:rPr>
        <w:t>ue, por tanto, no puede incluir al derecho a la estabilidad en el empleo entre los derechos susceptibles de judic</w:t>
      </w:r>
      <w:r w:rsidR="007D0A89" w:rsidRPr="00CF7FE6">
        <w:rPr>
          <w:rFonts w:ascii="Verdana" w:hAnsi="Verdana"/>
          <w:sz w:val="20"/>
          <w:szCs w:val="20"/>
          <w:lang w:val="es-ES"/>
        </w:rPr>
        <w:t>i</w:t>
      </w:r>
      <w:r w:rsidR="00CF7891" w:rsidRPr="00CF7FE6">
        <w:rPr>
          <w:rFonts w:ascii="Verdana" w:hAnsi="Verdana"/>
          <w:sz w:val="20"/>
          <w:szCs w:val="20"/>
          <w:lang w:val="es-ES"/>
        </w:rPr>
        <w:t>alizar</w:t>
      </w:r>
      <w:r w:rsidR="001032EE" w:rsidRPr="00CF7FE6">
        <w:rPr>
          <w:rFonts w:ascii="Verdana" w:hAnsi="Verdana"/>
          <w:sz w:val="20"/>
          <w:szCs w:val="20"/>
          <w:lang w:val="es-ES"/>
        </w:rPr>
        <w:t xml:space="preserve"> ante ella</w:t>
      </w:r>
      <w:r w:rsidR="00CF7891" w:rsidRPr="00CF7FE6">
        <w:rPr>
          <w:rFonts w:ascii="Verdana" w:hAnsi="Verdana"/>
          <w:sz w:val="20"/>
          <w:szCs w:val="20"/>
          <w:lang w:val="es-ES"/>
        </w:rPr>
        <w:t>. Si lo hace, evidentemente, se extrali</w:t>
      </w:r>
      <w:r w:rsidR="001032EE" w:rsidRPr="00CF7FE6">
        <w:rPr>
          <w:rFonts w:ascii="Verdana" w:hAnsi="Verdana"/>
          <w:sz w:val="20"/>
          <w:szCs w:val="20"/>
          <w:lang w:val="es-ES"/>
        </w:rPr>
        <w:t>mita en su competencia. Efectiva</w:t>
      </w:r>
      <w:r w:rsidR="00CF7891" w:rsidRPr="00CF7FE6">
        <w:rPr>
          <w:rFonts w:ascii="Verdana" w:hAnsi="Verdana"/>
          <w:sz w:val="20"/>
          <w:szCs w:val="20"/>
          <w:lang w:val="es-ES"/>
        </w:rPr>
        <w:t>mente</w:t>
      </w:r>
      <w:r w:rsidR="002B7F96" w:rsidRPr="00CF7FE6">
        <w:rPr>
          <w:rFonts w:ascii="Verdana" w:hAnsi="Verdana"/>
          <w:sz w:val="20"/>
          <w:szCs w:val="20"/>
          <w:lang w:val="es-ES"/>
        </w:rPr>
        <w:t xml:space="preserve"> y a con</w:t>
      </w:r>
      <w:r w:rsidR="00F90399" w:rsidRPr="00CF7FE6">
        <w:rPr>
          <w:rFonts w:ascii="Verdana" w:hAnsi="Verdana"/>
          <w:sz w:val="20"/>
          <w:szCs w:val="20"/>
          <w:lang w:val="es-ES"/>
        </w:rPr>
        <w:t>trario de lo que parece desprenderse de la Sentencia</w:t>
      </w:r>
      <w:r w:rsidR="002B7F96" w:rsidRPr="00CF7FE6">
        <w:rPr>
          <w:rStyle w:val="FootnoteReference"/>
          <w:rFonts w:ascii="Verdana" w:hAnsi="Verdana"/>
          <w:sz w:val="20"/>
          <w:szCs w:val="20"/>
          <w:lang w:val="es-ES"/>
        </w:rPr>
        <w:footnoteReference w:id="38"/>
      </w:r>
      <w:r w:rsidR="006550A6" w:rsidRPr="00CF7FE6">
        <w:rPr>
          <w:rFonts w:ascii="Verdana" w:hAnsi="Verdana"/>
          <w:sz w:val="20"/>
          <w:szCs w:val="20"/>
          <w:lang w:val="es-ES"/>
        </w:rPr>
        <w:t>, la</w:t>
      </w:r>
      <w:r w:rsidR="00CF7891" w:rsidRPr="00CF7FE6">
        <w:rPr>
          <w:rFonts w:ascii="Verdana" w:hAnsi="Verdana"/>
          <w:sz w:val="20"/>
          <w:szCs w:val="20"/>
          <w:lang w:val="es-ES"/>
        </w:rPr>
        <w:t xml:space="preserve"> facultad de d</w:t>
      </w:r>
      <w:r w:rsidR="00F87AA6" w:rsidRPr="00CF7FE6">
        <w:rPr>
          <w:rFonts w:ascii="Verdana" w:hAnsi="Verdana"/>
          <w:sz w:val="20"/>
          <w:szCs w:val="20"/>
          <w:lang w:val="es-ES"/>
        </w:rPr>
        <w:t>eterminar su propia competencia, acorde al principio de la competencia de la competencia</w:t>
      </w:r>
      <w:proofErr w:type="gramStart"/>
      <w:r w:rsidR="006B4ADC" w:rsidRPr="00CF7FE6">
        <w:rPr>
          <w:rFonts w:ascii="Verdana" w:hAnsi="Verdana"/>
          <w:sz w:val="20"/>
          <w:szCs w:val="20"/>
          <w:lang w:val="es-ES"/>
        </w:rPr>
        <w:t>,“</w:t>
      </w:r>
      <w:proofErr w:type="spellStart"/>
      <w:proofErr w:type="gramEnd"/>
      <w:r w:rsidR="006B4ADC" w:rsidRPr="00CF7FE6">
        <w:rPr>
          <w:rFonts w:ascii="Verdana" w:hAnsi="Verdana"/>
          <w:i/>
          <w:sz w:val="20"/>
          <w:szCs w:val="20"/>
          <w:lang w:val="es-ES"/>
        </w:rPr>
        <w:t>kompetenz-kompetenz</w:t>
      </w:r>
      <w:proofErr w:type="spellEnd"/>
      <w:r w:rsidR="00D11EA9" w:rsidRPr="00CF7FE6">
        <w:rPr>
          <w:rFonts w:ascii="Verdana" w:hAnsi="Verdana"/>
          <w:sz w:val="20"/>
          <w:szCs w:val="20"/>
          <w:lang w:val="es-ES"/>
        </w:rPr>
        <w:t>”</w:t>
      </w:r>
      <w:r w:rsidR="00F87AA6" w:rsidRPr="00CF7FE6">
        <w:rPr>
          <w:rFonts w:ascii="Verdana" w:hAnsi="Verdana"/>
          <w:sz w:val="20"/>
          <w:szCs w:val="20"/>
          <w:lang w:val="es-ES"/>
        </w:rPr>
        <w:t>, no la habilita para vulnerar el principio de derecho público de que solo se puede hacer lo que la norma permite o prescribe.</w:t>
      </w:r>
      <w:r w:rsidR="00CF7891" w:rsidRPr="00CF7FE6">
        <w:rPr>
          <w:rFonts w:ascii="Verdana" w:hAnsi="Verdana"/>
          <w:sz w:val="20"/>
          <w:szCs w:val="20"/>
          <w:lang w:val="es-ES"/>
        </w:rPr>
        <w:t xml:space="preserve"> </w:t>
      </w:r>
    </w:p>
    <w:p w14:paraId="7C9A3FD3" w14:textId="77777777" w:rsidR="00D11EA9" w:rsidRPr="00CF7FE6" w:rsidRDefault="00D11EA9" w:rsidP="00EB7CE1">
      <w:pPr>
        <w:spacing w:after="0" w:line="240" w:lineRule="auto"/>
        <w:jc w:val="both"/>
        <w:rPr>
          <w:rFonts w:ascii="Verdana" w:hAnsi="Verdana"/>
          <w:sz w:val="20"/>
          <w:szCs w:val="20"/>
          <w:lang w:val="es-ES"/>
        </w:rPr>
      </w:pPr>
    </w:p>
    <w:p w14:paraId="448F6A1A" w14:textId="77777777" w:rsidR="00FC07E4" w:rsidRPr="003B2532" w:rsidRDefault="00ED74C3" w:rsidP="00EB7CE1">
      <w:pPr>
        <w:pStyle w:val="ListParagraph"/>
        <w:numPr>
          <w:ilvl w:val="0"/>
          <w:numId w:val="10"/>
        </w:numPr>
        <w:spacing w:after="0" w:line="240" w:lineRule="auto"/>
        <w:jc w:val="both"/>
        <w:rPr>
          <w:rFonts w:ascii="Verdana" w:hAnsi="Verdana"/>
          <w:b/>
          <w:sz w:val="20"/>
          <w:szCs w:val="20"/>
          <w:lang w:val="es-ES"/>
        </w:rPr>
      </w:pPr>
      <w:r w:rsidRPr="003B2532">
        <w:rPr>
          <w:rFonts w:ascii="Verdana" w:hAnsi="Verdana"/>
          <w:b/>
          <w:sz w:val="20"/>
          <w:szCs w:val="20"/>
          <w:lang w:val="es-ES"/>
        </w:rPr>
        <w:t xml:space="preserve">El </w:t>
      </w:r>
      <w:r w:rsidR="00654068" w:rsidRPr="003B2532">
        <w:rPr>
          <w:rFonts w:ascii="Verdana" w:hAnsi="Verdana"/>
          <w:b/>
          <w:sz w:val="20"/>
          <w:szCs w:val="20"/>
          <w:lang w:val="es-ES"/>
        </w:rPr>
        <w:t>Protocolo de San Salvador.</w:t>
      </w:r>
    </w:p>
    <w:p w14:paraId="4CE6493A" w14:textId="77777777" w:rsidR="00526B54" w:rsidRPr="00CF7FE6" w:rsidRDefault="00526B54" w:rsidP="00EB7CE1">
      <w:pPr>
        <w:spacing w:after="0" w:line="240" w:lineRule="auto"/>
        <w:jc w:val="both"/>
        <w:rPr>
          <w:rFonts w:ascii="Verdana" w:hAnsi="Verdana"/>
          <w:b/>
          <w:sz w:val="20"/>
          <w:szCs w:val="20"/>
          <w:lang w:val="es-ES"/>
        </w:rPr>
      </w:pPr>
    </w:p>
    <w:p w14:paraId="3994117C" w14:textId="77777777" w:rsidR="00C12ED9" w:rsidRPr="00CF7FE6" w:rsidRDefault="00431FF2" w:rsidP="00EB7CE1">
      <w:pPr>
        <w:spacing w:after="0" w:line="240" w:lineRule="auto"/>
        <w:jc w:val="both"/>
        <w:rPr>
          <w:rFonts w:ascii="Verdana" w:hAnsi="Verdana"/>
          <w:sz w:val="20"/>
          <w:szCs w:val="20"/>
          <w:lang w:val="es-ES"/>
        </w:rPr>
      </w:pPr>
      <w:r>
        <w:rPr>
          <w:rFonts w:ascii="Verdana" w:hAnsi="Verdana"/>
          <w:sz w:val="20"/>
          <w:szCs w:val="20"/>
          <w:lang w:val="es-ES"/>
        </w:rPr>
        <w:t>Como ya se advirtió,</w:t>
      </w:r>
      <w:r w:rsidR="003E07A3">
        <w:rPr>
          <w:rFonts w:ascii="Verdana" w:hAnsi="Verdana"/>
          <w:sz w:val="20"/>
          <w:szCs w:val="20"/>
          <w:lang w:val="es-ES"/>
        </w:rPr>
        <w:t xml:space="preserve"> </w:t>
      </w:r>
      <w:r>
        <w:rPr>
          <w:rFonts w:ascii="Verdana" w:hAnsi="Verdana"/>
          <w:sz w:val="20"/>
          <w:szCs w:val="20"/>
          <w:lang w:val="es-ES"/>
        </w:rPr>
        <w:t>l</w:t>
      </w:r>
      <w:r w:rsidR="00EF4889" w:rsidRPr="00CF7FE6">
        <w:rPr>
          <w:rFonts w:ascii="Verdana" w:hAnsi="Verdana"/>
          <w:sz w:val="20"/>
          <w:szCs w:val="20"/>
          <w:lang w:val="es-ES"/>
        </w:rPr>
        <w:t>a judicialización</w:t>
      </w:r>
      <w:r w:rsidR="006550A6" w:rsidRPr="00CF7FE6">
        <w:rPr>
          <w:rFonts w:ascii="Verdana" w:hAnsi="Verdana"/>
          <w:sz w:val="20"/>
          <w:szCs w:val="20"/>
          <w:lang w:val="es-ES"/>
        </w:rPr>
        <w:t>,</w:t>
      </w:r>
      <w:r w:rsidR="00EF4889" w:rsidRPr="00CF7FE6">
        <w:rPr>
          <w:rFonts w:ascii="Verdana" w:hAnsi="Verdana"/>
          <w:sz w:val="20"/>
          <w:szCs w:val="20"/>
          <w:lang w:val="es-ES"/>
        </w:rPr>
        <w:t xml:space="preserve"> aunque parcial, del derecho al trabajo</w:t>
      </w:r>
      <w:r w:rsidR="00F0584C" w:rsidRPr="00CF7FE6">
        <w:rPr>
          <w:rFonts w:ascii="Verdana" w:hAnsi="Verdana"/>
          <w:sz w:val="20"/>
          <w:szCs w:val="20"/>
          <w:lang w:val="es-ES"/>
        </w:rPr>
        <w:t xml:space="preserve"> ha tenido lugar</w:t>
      </w:r>
      <w:r w:rsidR="00C12ED9" w:rsidRPr="00CF7FE6">
        <w:rPr>
          <w:rFonts w:ascii="Verdana" w:hAnsi="Verdana"/>
          <w:sz w:val="20"/>
          <w:szCs w:val="20"/>
          <w:lang w:val="es-ES"/>
        </w:rPr>
        <w:t>, precisamente</w:t>
      </w:r>
      <w:r w:rsidR="00F0584C" w:rsidRPr="00CF7FE6">
        <w:rPr>
          <w:rFonts w:ascii="Verdana" w:hAnsi="Verdana"/>
          <w:sz w:val="20"/>
          <w:szCs w:val="20"/>
          <w:lang w:val="es-ES"/>
        </w:rPr>
        <w:t>, con</w:t>
      </w:r>
      <w:r w:rsidR="00C12ED9" w:rsidRPr="00CF7FE6">
        <w:rPr>
          <w:rFonts w:ascii="Verdana" w:hAnsi="Verdana"/>
          <w:sz w:val="20"/>
          <w:szCs w:val="20"/>
          <w:lang w:val="es-ES"/>
        </w:rPr>
        <w:t xml:space="preserve"> </w:t>
      </w:r>
      <w:r w:rsidR="00974FF4" w:rsidRPr="00CF7FE6">
        <w:rPr>
          <w:rFonts w:ascii="Verdana" w:hAnsi="Verdana"/>
          <w:sz w:val="20"/>
          <w:szCs w:val="20"/>
          <w:lang w:val="es-ES"/>
        </w:rPr>
        <w:t>el “</w:t>
      </w:r>
      <w:r w:rsidR="00974FF4" w:rsidRPr="00CF7FE6">
        <w:rPr>
          <w:rFonts w:ascii="Verdana" w:hAnsi="Verdana"/>
          <w:i/>
          <w:sz w:val="20"/>
          <w:szCs w:val="20"/>
          <w:lang w:val="es-ES"/>
        </w:rPr>
        <w:t>Protocolo Adicional a la Convención Americana sobre Derechos Humanos en materia de Derechos Económicos, Sociales y Culturales, Protocolo de San Salvador</w:t>
      </w:r>
      <w:r w:rsidR="00974FF4" w:rsidRPr="00CF7FE6">
        <w:rPr>
          <w:rFonts w:ascii="Verdana" w:hAnsi="Verdana"/>
          <w:sz w:val="20"/>
          <w:szCs w:val="20"/>
          <w:lang w:val="es-ES"/>
        </w:rPr>
        <w:t>” de</w:t>
      </w:r>
      <w:r w:rsidR="00C12ED9" w:rsidRPr="00CF7FE6">
        <w:rPr>
          <w:rFonts w:ascii="Verdana" w:hAnsi="Verdana"/>
          <w:sz w:val="20"/>
          <w:szCs w:val="20"/>
          <w:lang w:val="es-ES"/>
        </w:rPr>
        <w:t xml:space="preserve"> 1988, </w:t>
      </w:r>
      <w:r w:rsidR="00F0584C" w:rsidRPr="00CF7FE6">
        <w:rPr>
          <w:rFonts w:ascii="Verdana" w:hAnsi="Verdana"/>
          <w:sz w:val="20"/>
          <w:szCs w:val="20"/>
          <w:lang w:val="es-ES"/>
        </w:rPr>
        <w:t xml:space="preserve">el que fue </w:t>
      </w:r>
      <w:r w:rsidR="00C12ED9" w:rsidRPr="00CF7FE6">
        <w:rPr>
          <w:rFonts w:ascii="Verdana" w:hAnsi="Verdana"/>
          <w:sz w:val="20"/>
          <w:szCs w:val="20"/>
          <w:lang w:val="es-ES"/>
        </w:rPr>
        <w:t>adoptado al amparo de  lo previsto en los artículos 76.1 y 77.1 de la Convención</w:t>
      </w:r>
      <w:r w:rsidR="0008092F" w:rsidRPr="00CF7FE6">
        <w:rPr>
          <w:rFonts w:ascii="Verdana" w:hAnsi="Verdana"/>
          <w:sz w:val="20"/>
          <w:szCs w:val="20"/>
          <w:lang w:val="es-ES"/>
        </w:rPr>
        <w:t>, esto es, “</w:t>
      </w:r>
      <w:r w:rsidR="0008092F" w:rsidRPr="00CF7FE6">
        <w:rPr>
          <w:rFonts w:ascii="Verdana" w:hAnsi="Verdana"/>
          <w:i/>
          <w:sz w:val="20"/>
          <w:szCs w:val="20"/>
          <w:lang w:val="es-ES"/>
        </w:rPr>
        <w:t xml:space="preserve">con la finalidad de incluir </w:t>
      </w:r>
      <w:r w:rsidR="0008092F" w:rsidRPr="00CF7FE6">
        <w:rPr>
          <w:rFonts w:ascii="Verdana" w:hAnsi="Verdana"/>
          <w:i/>
          <w:sz w:val="20"/>
          <w:szCs w:val="20"/>
          <w:lang w:val="es-ES"/>
        </w:rPr>
        <w:lastRenderedPageBreak/>
        <w:t>progresivamente en el régimen de protección de la misma otros derechos y libertades</w:t>
      </w:r>
      <w:r w:rsidR="00AE740A" w:rsidRPr="00CF7FE6">
        <w:rPr>
          <w:rFonts w:ascii="Verdana" w:hAnsi="Verdana"/>
          <w:sz w:val="20"/>
          <w:szCs w:val="20"/>
          <w:lang w:val="es-ES"/>
        </w:rPr>
        <w:t xml:space="preserve">”, </w:t>
      </w:r>
      <w:r w:rsidR="0008092F" w:rsidRPr="00CF7FE6">
        <w:rPr>
          <w:rFonts w:ascii="Verdana" w:hAnsi="Verdana"/>
          <w:sz w:val="20"/>
          <w:szCs w:val="20"/>
          <w:lang w:val="es-ES"/>
        </w:rPr>
        <w:t>c</w:t>
      </w:r>
      <w:r w:rsidR="00F0584C" w:rsidRPr="00CF7FE6">
        <w:rPr>
          <w:rFonts w:ascii="Verdana" w:hAnsi="Verdana"/>
          <w:sz w:val="20"/>
          <w:szCs w:val="20"/>
          <w:lang w:val="es-ES"/>
        </w:rPr>
        <w:t>omo expresamente se indica en su</w:t>
      </w:r>
      <w:r w:rsidR="0008092F" w:rsidRPr="00CF7FE6">
        <w:rPr>
          <w:rFonts w:ascii="Verdana" w:hAnsi="Verdana"/>
          <w:sz w:val="20"/>
          <w:szCs w:val="20"/>
          <w:lang w:val="es-ES"/>
        </w:rPr>
        <w:t xml:space="preserve"> P</w:t>
      </w:r>
      <w:r w:rsidR="00F0584C" w:rsidRPr="00CF7FE6">
        <w:rPr>
          <w:rFonts w:ascii="Verdana" w:hAnsi="Verdana"/>
          <w:sz w:val="20"/>
          <w:szCs w:val="20"/>
          <w:lang w:val="es-ES"/>
        </w:rPr>
        <w:t>reámbulo</w:t>
      </w:r>
      <w:r w:rsidR="00163876" w:rsidRPr="00CF7FE6">
        <w:rPr>
          <w:rFonts w:ascii="Verdana" w:hAnsi="Verdana"/>
          <w:sz w:val="20"/>
          <w:szCs w:val="20"/>
          <w:lang w:val="es-ES"/>
        </w:rPr>
        <w:t>.</w:t>
      </w:r>
      <w:r w:rsidR="0008092F" w:rsidRPr="00CF7FE6">
        <w:rPr>
          <w:rStyle w:val="FootnoteReference"/>
          <w:rFonts w:ascii="Verdana" w:hAnsi="Verdana"/>
          <w:sz w:val="20"/>
          <w:szCs w:val="20"/>
          <w:lang w:val="es-ES"/>
        </w:rPr>
        <w:footnoteReference w:id="39"/>
      </w:r>
    </w:p>
    <w:p w14:paraId="006F8C9B" w14:textId="77777777" w:rsidR="00526B54" w:rsidRPr="00CF7FE6" w:rsidRDefault="00526B54" w:rsidP="00EB7CE1">
      <w:pPr>
        <w:spacing w:after="0" w:line="240" w:lineRule="auto"/>
        <w:jc w:val="both"/>
        <w:rPr>
          <w:rFonts w:ascii="Verdana" w:hAnsi="Verdana"/>
          <w:sz w:val="20"/>
          <w:szCs w:val="20"/>
          <w:lang w:val="es-ES"/>
        </w:rPr>
      </w:pPr>
    </w:p>
    <w:p w14:paraId="5271BF85" w14:textId="77777777" w:rsidR="00155266" w:rsidRPr="00CF7FE6" w:rsidRDefault="00155266" w:rsidP="00EB7CE1">
      <w:pPr>
        <w:spacing w:after="0" w:line="240" w:lineRule="auto"/>
        <w:jc w:val="both"/>
        <w:rPr>
          <w:rFonts w:ascii="Verdana" w:hAnsi="Verdana"/>
          <w:sz w:val="20"/>
          <w:szCs w:val="20"/>
          <w:lang w:val="es-ES"/>
        </w:rPr>
      </w:pPr>
      <w:r w:rsidRPr="00CF7FE6">
        <w:rPr>
          <w:rFonts w:ascii="Verdana" w:hAnsi="Verdana"/>
          <w:sz w:val="20"/>
          <w:szCs w:val="20"/>
          <w:lang w:val="es-ES"/>
        </w:rPr>
        <w:t xml:space="preserve">Dicho Protocolo </w:t>
      </w:r>
      <w:r w:rsidR="000528BE">
        <w:rPr>
          <w:rFonts w:ascii="Verdana" w:hAnsi="Verdana"/>
          <w:sz w:val="20"/>
          <w:szCs w:val="20"/>
          <w:lang w:val="es-ES"/>
        </w:rPr>
        <w:t>“</w:t>
      </w:r>
      <w:r w:rsidRPr="000528BE">
        <w:rPr>
          <w:rFonts w:ascii="Verdana" w:hAnsi="Verdana"/>
          <w:i/>
          <w:sz w:val="20"/>
          <w:szCs w:val="20"/>
          <w:lang w:val="es-ES"/>
        </w:rPr>
        <w:t>reconoce</w:t>
      </w:r>
      <w:r w:rsidR="000528BE">
        <w:rPr>
          <w:rFonts w:ascii="Verdana" w:hAnsi="Verdana"/>
          <w:sz w:val="20"/>
          <w:szCs w:val="20"/>
          <w:lang w:val="es-ES"/>
        </w:rPr>
        <w:t>”</w:t>
      </w:r>
      <w:r w:rsidRPr="00CF7FE6">
        <w:rPr>
          <w:rStyle w:val="FootnoteReference"/>
          <w:rFonts w:ascii="Verdana" w:hAnsi="Verdana"/>
          <w:sz w:val="20"/>
          <w:szCs w:val="20"/>
          <w:lang w:val="es-ES"/>
        </w:rPr>
        <w:footnoteReference w:id="40"/>
      </w:r>
      <w:r w:rsidRPr="00CF7FE6">
        <w:rPr>
          <w:rFonts w:ascii="Verdana" w:hAnsi="Verdana"/>
          <w:sz w:val="20"/>
          <w:szCs w:val="20"/>
          <w:lang w:val="es-ES"/>
        </w:rPr>
        <w:t xml:space="preserve"> el derecho</w:t>
      </w:r>
      <w:r w:rsidR="005E4A69" w:rsidRPr="00CF7FE6">
        <w:rPr>
          <w:rFonts w:ascii="Verdana" w:hAnsi="Verdana"/>
          <w:sz w:val="20"/>
          <w:szCs w:val="20"/>
          <w:lang w:val="es-ES"/>
        </w:rPr>
        <w:t xml:space="preserve"> al trabajo (art.</w:t>
      </w:r>
      <w:r w:rsidR="000528BE">
        <w:rPr>
          <w:rFonts w:ascii="Verdana" w:hAnsi="Verdana"/>
          <w:sz w:val="20"/>
          <w:szCs w:val="20"/>
          <w:lang w:val="es-ES"/>
        </w:rPr>
        <w:t xml:space="preserve">6), el derecho a </w:t>
      </w:r>
      <w:r w:rsidR="00163876" w:rsidRPr="00CF7FE6">
        <w:rPr>
          <w:rFonts w:ascii="Verdana" w:hAnsi="Verdana"/>
          <w:sz w:val="20"/>
          <w:szCs w:val="20"/>
          <w:lang w:val="es-ES"/>
        </w:rPr>
        <w:t xml:space="preserve">condiciones justas, equitativas y satisfactorias de trabajo (art.7), </w:t>
      </w:r>
      <w:r w:rsidRPr="00CF7FE6">
        <w:rPr>
          <w:rFonts w:ascii="Verdana" w:hAnsi="Verdana"/>
          <w:sz w:val="20"/>
          <w:szCs w:val="20"/>
          <w:lang w:val="es-ES"/>
        </w:rPr>
        <w:t xml:space="preserve">los </w:t>
      </w:r>
      <w:r w:rsidR="00163876" w:rsidRPr="00CF7FE6">
        <w:rPr>
          <w:rFonts w:ascii="Verdana" w:hAnsi="Verdana"/>
          <w:sz w:val="20"/>
          <w:szCs w:val="20"/>
          <w:lang w:val="es-ES"/>
        </w:rPr>
        <w:t xml:space="preserve">derechos sindicales (art.8), </w:t>
      </w:r>
      <w:r w:rsidRPr="00CF7FE6">
        <w:rPr>
          <w:rFonts w:ascii="Verdana" w:hAnsi="Verdana"/>
          <w:sz w:val="20"/>
          <w:szCs w:val="20"/>
          <w:lang w:val="es-ES"/>
        </w:rPr>
        <w:t xml:space="preserve">el </w:t>
      </w:r>
      <w:r w:rsidR="00163876" w:rsidRPr="00CF7FE6">
        <w:rPr>
          <w:rFonts w:ascii="Verdana" w:hAnsi="Verdana"/>
          <w:sz w:val="20"/>
          <w:szCs w:val="20"/>
          <w:lang w:val="es-ES"/>
        </w:rPr>
        <w:t xml:space="preserve">derecho a la seguridad social (art.9), </w:t>
      </w:r>
      <w:r w:rsidRPr="00CF7FE6">
        <w:rPr>
          <w:rFonts w:ascii="Verdana" w:hAnsi="Verdana"/>
          <w:sz w:val="20"/>
          <w:szCs w:val="20"/>
          <w:lang w:val="es-ES"/>
        </w:rPr>
        <w:t xml:space="preserve">el </w:t>
      </w:r>
      <w:r w:rsidR="00163876" w:rsidRPr="00CF7FE6">
        <w:rPr>
          <w:rFonts w:ascii="Verdana" w:hAnsi="Verdana"/>
          <w:sz w:val="20"/>
          <w:szCs w:val="20"/>
          <w:lang w:val="es-ES"/>
        </w:rPr>
        <w:t xml:space="preserve">derecho a la  salud (art.10), </w:t>
      </w:r>
      <w:r w:rsidRPr="00CF7FE6">
        <w:rPr>
          <w:rFonts w:ascii="Verdana" w:hAnsi="Verdana"/>
          <w:sz w:val="20"/>
          <w:szCs w:val="20"/>
          <w:lang w:val="es-ES"/>
        </w:rPr>
        <w:t xml:space="preserve">el </w:t>
      </w:r>
      <w:r w:rsidR="00163876" w:rsidRPr="00CF7FE6">
        <w:rPr>
          <w:rFonts w:ascii="Verdana" w:hAnsi="Verdana"/>
          <w:sz w:val="20"/>
          <w:szCs w:val="20"/>
          <w:lang w:val="es-ES"/>
        </w:rPr>
        <w:t xml:space="preserve">derecho a </w:t>
      </w:r>
      <w:r w:rsidR="00431FF2">
        <w:rPr>
          <w:rFonts w:ascii="Verdana" w:hAnsi="Verdana"/>
          <w:sz w:val="20"/>
          <w:szCs w:val="20"/>
          <w:lang w:val="es-ES"/>
        </w:rPr>
        <w:t>un medio ambiente sano (art.11)</w:t>
      </w:r>
      <w:r w:rsidR="00163876" w:rsidRPr="00CF7FE6">
        <w:rPr>
          <w:rFonts w:ascii="Verdana" w:hAnsi="Verdana"/>
          <w:sz w:val="20"/>
          <w:szCs w:val="20"/>
          <w:lang w:val="es-ES"/>
        </w:rPr>
        <w:t xml:space="preserve">, </w:t>
      </w:r>
      <w:r w:rsidRPr="00CF7FE6">
        <w:rPr>
          <w:rFonts w:ascii="Verdana" w:hAnsi="Verdana"/>
          <w:sz w:val="20"/>
          <w:szCs w:val="20"/>
          <w:lang w:val="es-ES"/>
        </w:rPr>
        <w:t xml:space="preserve">el </w:t>
      </w:r>
      <w:r w:rsidR="00163876" w:rsidRPr="00CF7FE6">
        <w:rPr>
          <w:rFonts w:ascii="Verdana" w:hAnsi="Verdana"/>
          <w:sz w:val="20"/>
          <w:szCs w:val="20"/>
          <w:lang w:val="es-ES"/>
        </w:rPr>
        <w:t xml:space="preserve">derecho a la alimentación (art.12), </w:t>
      </w:r>
      <w:r w:rsidRPr="00CF7FE6">
        <w:rPr>
          <w:rFonts w:ascii="Verdana" w:hAnsi="Verdana"/>
          <w:sz w:val="20"/>
          <w:szCs w:val="20"/>
          <w:lang w:val="es-ES"/>
        </w:rPr>
        <w:t xml:space="preserve">el </w:t>
      </w:r>
      <w:r w:rsidR="00163876" w:rsidRPr="00CF7FE6">
        <w:rPr>
          <w:rFonts w:ascii="Verdana" w:hAnsi="Verdana"/>
          <w:sz w:val="20"/>
          <w:szCs w:val="20"/>
          <w:lang w:val="es-ES"/>
        </w:rPr>
        <w:t xml:space="preserve">derecho a la educación (art.13), </w:t>
      </w:r>
      <w:r w:rsidRPr="00CF7FE6">
        <w:rPr>
          <w:rFonts w:ascii="Verdana" w:hAnsi="Verdana"/>
          <w:sz w:val="20"/>
          <w:szCs w:val="20"/>
          <w:lang w:val="es-ES"/>
        </w:rPr>
        <w:t xml:space="preserve">el </w:t>
      </w:r>
      <w:r w:rsidR="00163876" w:rsidRPr="00CF7FE6">
        <w:rPr>
          <w:rFonts w:ascii="Verdana" w:hAnsi="Verdana"/>
          <w:sz w:val="20"/>
          <w:szCs w:val="20"/>
          <w:lang w:val="es-ES"/>
        </w:rPr>
        <w:t xml:space="preserve">derecho a  los beneficios de la cultura (art. 14), </w:t>
      </w:r>
      <w:r w:rsidRPr="00CF7FE6">
        <w:rPr>
          <w:rFonts w:ascii="Verdana" w:hAnsi="Verdana"/>
          <w:sz w:val="20"/>
          <w:szCs w:val="20"/>
          <w:lang w:val="es-ES"/>
        </w:rPr>
        <w:t xml:space="preserve">el </w:t>
      </w:r>
      <w:r w:rsidR="00163876" w:rsidRPr="00CF7FE6">
        <w:rPr>
          <w:rFonts w:ascii="Verdana" w:hAnsi="Verdana"/>
          <w:sz w:val="20"/>
          <w:szCs w:val="20"/>
          <w:lang w:val="es-ES"/>
        </w:rPr>
        <w:t xml:space="preserve">derecho a la constitución y protección de la familia (art.15), </w:t>
      </w:r>
      <w:r w:rsidRPr="00CF7FE6">
        <w:rPr>
          <w:rFonts w:ascii="Verdana" w:hAnsi="Verdana"/>
          <w:sz w:val="20"/>
          <w:szCs w:val="20"/>
          <w:lang w:val="es-ES"/>
        </w:rPr>
        <w:t xml:space="preserve">el </w:t>
      </w:r>
      <w:r w:rsidR="00163876" w:rsidRPr="00CF7FE6">
        <w:rPr>
          <w:rFonts w:ascii="Verdana" w:hAnsi="Verdana"/>
          <w:sz w:val="20"/>
          <w:szCs w:val="20"/>
          <w:lang w:val="es-ES"/>
        </w:rPr>
        <w:t xml:space="preserve">derecho de la niñez (art.16), </w:t>
      </w:r>
      <w:r w:rsidRPr="00CF7FE6">
        <w:rPr>
          <w:rFonts w:ascii="Verdana" w:hAnsi="Verdana"/>
          <w:sz w:val="20"/>
          <w:szCs w:val="20"/>
          <w:lang w:val="es-ES"/>
        </w:rPr>
        <w:t xml:space="preserve">la </w:t>
      </w:r>
      <w:r w:rsidR="00163876" w:rsidRPr="00CF7FE6">
        <w:rPr>
          <w:rFonts w:ascii="Verdana" w:hAnsi="Verdana"/>
          <w:sz w:val="20"/>
          <w:szCs w:val="20"/>
          <w:lang w:val="es-ES"/>
        </w:rPr>
        <w:t xml:space="preserve">protección de los ancianos (art.17) y </w:t>
      </w:r>
      <w:r w:rsidRPr="00CF7FE6">
        <w:rPr>
          <w:rFonts w:ascii="Verdana" w:hAnsi="Verdana"/>
          <w:sz w:val="20"/>
          <w:szCs w:val="20"/>
          <w:lang w:val="es-ES"/>
        </w:rPr>
        <w:t xml:space="preserve">la </w:t>
      </w:r>
      <w:r w:rsidR="00163876" w:rsidRPr="00CF7FE6">
        <w:rPr>
          <w:rFonts w:ascii="Verdana" w:hAnsi="Verdana"/>
          <w:sz w:val="20"/>
          <w:szCs w:val="20"/>
          <w:lang w:val="es-ES"/>
        </w:rPr>
        <w:t>protección de los minusválidos (art. 18</w:t>
      </w:r>
      <w:r w:rsidR="0005471C" w:rsidRPr="00CF7FE6">
        <w:rPr>
          <w:rFonts w:ascii="Verdana" w:hAnsi="Verdana"/>
          <w:sz w:val="20"/>
          <w:szCs w:val="20"/>
          <w:lang w:val="es-ES"/>
        </w:rPr>
        <w:t>).</w:t>
      </w:r>
    </w:p>
    <w:p w14:paraId="70CD2768" w14:textId="77777777" w:rsidR="00526B54" w:rsidRPr="00CF7FE6" w:rsidRDefault="00526B54" w:rsidP="00EB7CE1">
      <w:pPr>
        <w:spacing w:after="0" w:line="240" w:lineRule="auto"/>
        <w:jc w:val="both"/>
        <w:rPr>
          <w:rFonts w:ascii="Verdana" w:hAnsi="Verdana"/>
          <w:sz w:val="20"/>
          <w:szCs w:val="20"/>
          <w:lang w:val="es-ES"/>
        </w:rPr>
      </w:pPr>
    </w:p>
    <w:p w14:paraId="096DC123" w14:textId="77777777" w:rsidR="00974FF4" w:rsidRPr="00CF7FE6" w:rsidRDefault="00155266" w:rsidP="00EB7CE1">
      <w:pPr>
        <w:spacing w:after="0" w:line="240" w:lineRule="auto"/>
        <w:jc w:val="both"/>
        <w:rPr>
          <w:rFonts w:ascii="Verdana" w:hAnsi="Verdana"/>
          <w:sz w:val="20"/>
          <w:szCs w:val="20"/>
          <w:lang w:val="es-ES"/>
        </w:rPr>
      </w:pPr>
      <w:r w:rsidRPr="00CF7FE6">
        <w:rPr>
          <w:rFonts w:ascii="Verdana" w:hAnsi="Verdana"/>
          <w:sz w:val="20"/>
          <w:szCs w:val="20"/>
          <w:lang w:val="es-ES"/>
        </w:rPr>
        <w:t xml:space="preserve">Empero, </w:t>
      </w:r>
      <w:r w:rsidR="0005471C" w:rsidRPr="00CF7FE6">
        <w:rPr>
          <w:rFonts w:ascii="Verdana" w:hAnsi="Verdana"/>
          <w:sz w:val="20"/>
          <w:szCs w:val="20"/>
          <w:lang w:val="es-ES"/>
        </w:rPr>
        <w:t>dicho Protocolo ha previsto</w:t>
      </w:r>
      <w:r w:rsidR="00DB0EBE" w:rsidRPr="00CF7FE6">
        <w:rPr>
          <w:rFonts w:ascii="Verdana" w:hAnsi="Verdana"/>
          <w:sz w:val="20"/>
          <w:szCs w:val="20"/>
          <w:lang w:val="es-ES"/>
        </w:rPr>
        <w:t xml:space="preserve"> que únicamente la violación de algunos </w:t>
      </w:r>
      <w:r w:rsidR="00FF6F89">
        <w:rPr>
          <w:rFonts w:ascii="Verdana" w:hAnsi="Verdana"/>
          <w:sz w:val="20"/>
          <w:szCs w:val="20"/>
          <w:lang w:val="es-ES"/>
        </w:rPr>
        <w:t xml:space="preserve">de esos </w:t>
      </w:r>
      <w:r w:rsidR="00DB0EBE" w:rsidRPr="00CF7FE6">
        <w:rPr>
          <w:rFonts w:ascii="Verdana" w:hAnsi="Verdana"/>
          <w:sz w:val="20"/>
          <w:szCs w:val="20"/>
          <w:lang w:val="es-ES"/>
        </w:rPr>
        <w:t>derechos pueden ser llevados ante la Corte</w:t>
      </w:r>
      <w:r w:rsidR="0005471C" w:rsidRPr="00CF7FE6">
        <w:rPr>
          <w:rStyle w:val="FootnoteReference"/>
          <w:rFonts w:ascii="Verdana" w:hAnsi="Verdana"/>
          <w:sz w:val="20"/>
          <w:szCs w:val="20"/>
          <w:lang w:val="es-ES"/>
        </w:rPr>
        <w:footnoteReference w:id="41"/>
      </w:r>
      <w:r w:rsidR="00DB0EBE" w:rsidRPr="00CF7FE6">
        <w:rPr>
          <w:rFonts w:ascii="Verdana" w:hAnsi="Verdana"/>
          <w:sz w:val="20"/>
          <w:szCs w:val="20"/>
          <w:lang w:val="es-ES"/>
        </w:rPr>
        <w:t xml:space="preserve"> y ellos son los relativos al derecho de organizar sindicatos y a afiliarse en ellos</w:t>
      </w:r>
      <w:r w:rsidR="00DB0EBE" w:rsidRPr="00CF7FE6">
        <w:rPr>
          <w:rStyle w:val="FootnoteReference"/>
          <w:rFonts w:ascii="Verdana" w:hAnsi="Verdana"/>
          <w:sz w:val="20"/>
          <w:szCs w:val="20"/>
          <w:lang w:val="es-ES"/>
        </w:rPr>
        <w:footnoteReference w:id="42"/>
      </w:r>
      <w:r w:rsidR="00DB0EBE" w:rsidRPr="00CF7FE6">
        <w:rPr>
          <w:rFonts w:ascii="Verdana" w:hAnsi="Verdana"/>
          <w:sz w:val="20"/>
          <w:szCs w:val="20"/>
          <w:lang w:val="es-ES"/>
        </w:rPr>
        <w:t xml:space="preserve"> </w:t>
      </w:r>
      <w:r w:rsidR="00C864C3" w:rsidRPr="00CF7FE6">
        <w:rPr>
          <w:rFonts w:ascii="Verdana" w:hAnsi="Verdana"/>
          <w:sz w:val="20"/>
          <w:szCs w:val="20"/>
          <w:lang w:val="es-ES"/>
        </w:rPr>
        <w:t>y el derecho a la educación</w:t>
      </w:r>
      <w:r w:rsidR="00C864C3" w:rsidRPr="00CF7FE6">
        <w:rPr>
          <w:rStyle w:val="FootnoteReference"/>
          <w:rFonts w:ascii="Verdana" w:hAnsi="Verdana"/>
          <w:sz w:val="20"/>
          <w:szCs w:val="20"/>
          <w:lang w:val="es-ES"/>
        </w:rPr>
        <w:footnoteReference w:id="43"/>
      </w:r>
      <w:r w:rsidR="00C864C3" w:rsidRPr="00CF7FE6">
        <w:rPr>
          <w:rFonts w:ascii="Verdana" w:hAnsi="Verdana"/>
          <w:sz w:val="20"/>
          <w:szCs w:val="20"/>
          <w:lang w:val="es-ES"/>
        </w:rPr>
        <w:t xml:space="preserve">. En lo </w:t>
      </w:r>
      <w:r w:rsidR="00C864C3" w:rsidRPr="00CF7FE6">
        <w:rPr>
          <w:rFonts w:ascii="Verdana" w:hAnsi="Verdana"/>
          <w:sz w:val="20"/>
          <w:szCs w:val="20"/>
          <w:lang w:val="es-ES"/>
        </w:rPr>
        <w:lastRenderedPageBreak/>
        <w:t xml:space="preserve">pertinente al Derecho al Trabajo, </w:t>
      </w:r>
      <w:r w:rsidR="000528BE">
        <w:rPr>
          <w:rFonts w:ascii="Verdana" w:hAnsi="Verdana"/>
          <w:sz w:val="20"/>
          <w:szCs w:val="20"/>
          <w:lang w:val="es-ES"/>
        </w:rPr>
        <w:t>si bien</w:t>
      </w:r>
      <w:r w:rsidR="00C864C3" w:rsidRPr="00CF7FE6">
        <w:rPr>
          <w:rFonts w:ascii="Verdana" w:hAnsi="Verdana"/>
          <w:sz w:val="20"/>
          <w:szCs w:val="20"/>
          <w:lang w:val="es-ES"/>
        </w:rPr>
        <w:t xml:space="preserve">, en consecuencia, lo </w:t>
      </w:r>
      <w:r w:rsidR="00C12ED9" w:rsidRPr="00CF7FE6">
        <w:rPr>
          <w:rFonts w:ascii="Verdana" w:hAnsi="Verdana"/>
          <w:sz w:val="20"/>
          <w:szCs w:val="20"/>
          <w:lang w:val="es-ES"/>
        </w:rPr>
        <w:t xml:space="preserve">ha </w:t>
      </w:r>
      <w:r w:rsidR="00F0584C" w:rsidRPr="00CF7FE6">
        <w:rPr>
          <w:rFonts w:ascii="Verdana" w:hAnsi="Verdana"/>
          <w:sz w:val="20"/>
          <w:szCs w:val="20"/>
          <w:lang w:val="es-ES"/>
        </w:rPr>
        <w:t>reconocido e incluso</w:t>
      </w:r>
      <w:r w:rsidR="00C864C3" w:rsidRPr="00CF7FE6">
        <w:rPr>
          <w:rFonts w:ascii="Verdana" w:hAnsi="Verdana"/>
          <w:sz w:val="20"/>
          <w:szCs w:val="20"/>
          <w:lang w:val="es-ES"/>
        </w:rPr>
        <w:t xml:space="preserve"> </w:t>
      </w:r>
      <w:r w:rsidR="00C12ED9" w:rsidRPr="00CF7FE6">
        <w:rPr>
          <w:rFonts w:ascii="Verdana" w:hAnsi="Verdana"/>
          <w:sz w:val="20"/>
          <w:szCs w:val="20"/>
          <w:lang w:val="es-ES"/>
        </w:rPr>
        <w:t>judicializado</w:t>
      </w:r>
      <w:r w:rsidR="00F0584C" w:rsidRPr="00CF7FE6">
        <w:rPr>
          <w:rFonts w:ascii="Verdana" w:hAnsi="Verdana"/>
          <w:sz w:val="20"/>
          <w:szCs w:val="20"/>
          <w:lang w:val="es-ES"/>
        </w:rPr>
        <w:t xml:space="preserve">, lo ha hecho </w:t>
      </w:r>
      <w:r w:rsidR="00C864C3" w:rsidRPr="00CF7FE6">
        <w:rPr>
          <w:rFonts w:ascii="Verdana" w:hAnsi="Verdana"/>
          <w:sz w:val="20"/>
          <w:szCs w:val="20"/>
          <w:lang w:val="es-ES"/>
        </w:rPr>
        <w:t>solo parcialmente, es decir, en lo atingente al derecho a organizar sindicados y a afiliarse en ellos. Nada más.</w:t>
      </w:r>
      <w:r w:rsidR="006530D7" w:rsidRPr="00CF7FE6">
        <w:rPr>
          <w:rFonts w:ascii="Verdana" w:hAnsi="Verdana"/>
          <w:sz w:val="20"/>
          <w:szCs w:val="20"/>
          <w:lang w:val="es-ES"/>
        </w:rPr>
        <w:t xml:space="preserve"> </w:t>
      </w:r>
      <w:r w:rsidR="00F0584C" w:rsidRPr="00CF7FE6">
        <w:rPr>
          <w:rFonts w:ascii="Verdana" w:hAnsi="Verdana"/>
          <w:sz w:val="20"/>
          <w:szCs w:val="20"/>
          <w:lang w:val="es-ES"/>
        </w:rPr>
        <w:t xml:space="preserve">El resto de </w:t>
      </w:r>
      <w:r w:rsidR="00AE740A" w:rsidRPr="00CF7FE6">
        <w:rPr>
          <w:rFonts w:ascii="Verdana" w:hAnsi="Verdana"/>
          <w:sz w:val="20"/>
          <w:szCs w:val="20"/>
          <w:lang w:val="es-ES"/>
        </w:rPr>
        <w:t>las materias que involucra</w:t>
      </w:r>
      <w:r w:rsidR="00F0584C" w:rsidRPr="00CF7FE6">
        <w:rPr>
          <w:rFonts w:ascii="Verdana" w:hAnsi="Verdana"/>
          <w:sz w:val="20"/>
          <w:szCs w:val="20"/>
          <w:lang w:val="es-ES"/>
        </w:rPr>
        <w:t>, incluyendo l</w:t>
      </w:r>
      <w:r w:rsidR="006530D7" w:rsidRPr="00CF7FE6">
        <w:rPr>
          <w:rFonts w:ascii="Verdana" w:hAnsi="Verdana"/>
          <w:sz w:val="20"/>
          <w:szCs w:val="20"/>
          <w:lang w:val="es-ES"/>
        </w:rPr>
        <w:t>a eventual violación del derecho a la estabilidad en el empleo</w:t>
      </w:r>
      <w:r w:rsidR="00F0584C" w:rsidRPr="00CF7FE6">
        <w:rPr>
          <w:rFonts w:ascii="Verdana" w:hAnsi="Verdana"/>
          <w:sz w:val="20"/>
          <w:szCs w:val="20"/>
          <w:lang w:val="es-ES"/>
        </w:rPr>
        <w:t xml:space="preserve">, el que, por lo demás </w:t>
      </w:r>
      <w:r w:rsidR="006530D7" w:rsidRPr="00CF7FE6">
        <w:rPr>
          <w:rFonts w:ascii="Verdana" w:hAnsi="Verdana"/>
          <w:sz w:val="20"/>
          <w:szCs w:val="20"/>
          <w:lang w:val="es-ES"/>
        </w:rPr>
        <w:t>no se menciona</w:t>
      </w:r>
      <w:r w:rsidR="00F0584C" w:rsidRPr="00CF7FE6">
        <w:rPr>
          <w:rFonts w:ascii="Verdana" w:hAnsi="Verdana"/>
          <w:sz w:val="20"/>
          <w:szCs w:val="20"/>
          <w:lang w:val="es-ES"/>
        </w:rPr>
        <w:t xml:space="preserve"> en el citado Protocolo, </w:t>
      </w:r>
      <w:r w:rsidR="006530D7" w:rsidRPr="00CF7FE6">
        <w:rPr>
          <w:rFonts w:ascii="Verdana" w:hAnsi="Verdana"/>
          <w:sz w:val="20"/>
          <w:szCs w:val="20"/>
          <w:lang w:val="es-ES"/>
        </w:rPr>
        <w:t>queda</w:t>
      </w:r>
      <w:r w:rsidR="00F0584C" w:rsidRPr="00CF7FE6">
        <w:rPr>
          <w:rFonts w:ascii="Verdana" w:hAnsi="Verdana"/>
          <w:sz w:val="20"/>
          <w:szCs w:val="20"/>
          <w:lang w:val="es-ES"/>
        </w:rPr>
        <w:t>n</w:t>
      </w:r>
      <w:r w:rsidR="006530D7" w:rsidRPr="00CF7FE6">
        <w:rPr>
          <w:rFonts w:ascii="Verdana" w:hAnsi="Verdana"/>
          <w:sz w:val="20"/>
          <w:szCs w:val="20"/>
          <w:lang w:val="es-ES"/>
        </w:rPr>
        <w:t>, por ende, excluida</w:t>
      </w:r>
      <w:r w:rsidR="00E75EA9">
        <w:rPr>
          <w:rFonts w:ascii="Verdana" w:hAnsi="Verdana"/>
          <w:sz w:val="20"/>
          <w:szCs w:val="20"/>
          <w:lang w:val="es-ES"/>
        </w:rPr>
        <w:t>s</w:t>
      </w:r>
      <w:r w:rsidR="006530D7" w:rsidRPr="00CF7FE6">
        <w:rPr>
          <w:rFonts w:ascii="Verdana" w:hAnsi="Verdana"/>
          <w:sz w:val="20"/>
          <w:szCs w:val="20"/>
          <w:lang w:val="es-ES"/>
        </w:rPr>
        <w:t xml:space="preserve"> de ser elevada</w:t>
      </w:r>
      <w:r w:rsidR="000528BE">
        <w:rPr>
          <w:rFonts w:ascii="Verdana" w:hAnsi="Verdana"/>
          <w:sz w:val="20"/>
          <w:szCs w:val="20"/>
          <w:lang w:val="es-ES"/>
        </w:rPr>
        <w:t>s</w:t>
      </w:r>
      <w:r w:rsidR="006530D7" w:rsidRPr="00CF7FE6">
        <w:rPr>
          <w:rFonts w:ascii="Verdana" w:hAnsi="Verdana"/>
          <w:sz w:val="20"/>
          <w:szCs w:val="20"/>
          <w:lang w:val="es-ES"/>
        </w:rPr>
        <w:t xml:space="preserve"> a conocimiento y resolución de la Corte</w:t>
      </w:r>
      <w:r w:rsidR="00C12ED9" w:rsidRPr="00CF7FE6">
        <w:rPr>
          <w:rFonts w:ascii="Verdana" w:hAnsi="Verdana"/>
          <w:sz w:val="20"/>
          <w:szCs w:val="20"/>
          <w:lang w:val="es-ES"/>
        </w:rPr>
        <w:t>.</w:t>
      </w:r>
      <w:r w:rsidR="00F0584C" w:rsidRPr="00CF7FE6">
        <w:rPr>
          <w:rFonts w:ascii="Verdana" w:hAnsi="Verdana"/>
          <w:sz w:val="20"/>
          <w:szCs w:val="20"/>
          <w:lang w:val="es-ES"/>
        </w:rPr>
        <w:t xml:space="preserve"> Si se admitiera la posibilidad de que la</w:t>
      </w:r>
      <w:r w:rsidR="00841CD6" w:rsidRPr="00CF7FE6">
        <w:rPr>
          <w:rFonts w:ascii="Verdana" w:hAnsi="Verdana"/>
          <w:sz w:val="20"/>
          <w:szCs w:val="20"/>
          <w:lang w:val="es-ES"/>
        </w:rPr>
        <w:t>s violaciones al derecho al trabajo y</w:t>
      </w:r>
      <w:r w:rsidR="00F0584C" w:rsidRPr="00CF7FE6">
        <w:rPr>
          <w:rFonts w:ascii="Verdana" w:hAnsi="Verdana"/>
          <w:sz w:val="20"/>
          <w:szCs w:val="20"/>
          <w:lang w:val="es-ES"/>
        </w:rPr>
        <w:t xml:space="preserve"> </w:t>
      </w:r>
      <w:r w:rsidR="00841CD6" w:rsidRPr="00CF7FE6">
        <w:rPr>
          <w:rFonts w:ascii="Verdana" w:hAnsi="Verdana"/>
          <w:sz w:val="20"/>
          <w:szCs w:val="20"/>
          <w:lang w:val="es-ES"/>
        </w:rPr>
        <w:t xml:space="preserve">al </w:t>
      </w:r>
      <w:r w:rsidR="00F0584C" w:rsidRPr="00CF7FE6">
        <w:rPr>
          <w:rFonts w:ascii="Verdana" w:hAnsi="Verdana"/>
          <w:sz w:val="20"/>
          <w:szCs w:val="20"/>
          <w:lang w:val="es-ES"/>
        </w:rPr>
        <w:t>derecho a la estabilidad en el empleo pudiesen ser sometidas, conocidas y resueltas por la Corte</w:t>
      </w:r>
      <w:r w:rsidR="00841CD6" w:rsidRPr="00CF7FE6">
        <w:rPr>
          <w:rFonts w:ascii="Verdana" w:hAnsi="Verdana"/>
          <w:sz w:val="20"/>
          <w:szCs w:val="20"/>
          <w:lang w:val="es-ES"/>
        </w:rPr>
        <w:t xml:space="preserve"> en razón de lo previsto en el artículo 26 de la Convención, lo dispuesto en </w:t>
      </w:r>
      <w:r w:rsidR="00F0584C" w:rsidRPr="00CF7FE6">
        <w:rPr>
          <w:rFonts w:ascii="Verdana" w:hAnsi="Verdana"/>
          <w:sz w:val="20"/>
          <w:szCs w:val="20"/>
          <w:lang w:val="es-ES"/>
        </w:rPr>
        <w:t xml:space="preserve">el Protocolo de San Salvador no tendría sentido alguno.  </w:t>
      </w:r>
    </w:p>
    <w:p w14:paraId="52971509" w14:textId="77777777" w:rsidR="00526B54" w:rsidRPr="00CF7FE6" w:rsidRDefault="00526B54" w:rsidP="00EB7CE1">
      <w:pPr>
        <w:spacing w:after="0" w:line="240" w:lineRule="auto"/>
        <w:jc w:val="both"/>
        <w:rPr>
          <w:rFonts w:ascii="Verdana" w:hAnsi="Verdana"/>
          <w:sz w:val="20"/>
          <w:szCs w:val="20"/>
          <w:lang w:val="es-ES"/>
        </w:rPr>
      </w:pPr>
    </w:p>
    <w:p w14:paraId="090ED264" w14:textId="77777777" w:rsidR="002E78E1" w:rsidRPr="00CF7FE6" w:rsidRDefault="00AC65DA" w:rsidP="00EB7CE1">
      <w:pPr>
        <w:spacing w:after="0" w:line="240" w:lineRule="auto"/>
        <w:jc w:val="both"/>
        <w:rPr>
          <w:rFonts w:ascii="Verdana" w:hAnsi="Verdana"/>
          <w:b/>
          <w:sz w:val="20"/>
          <w:szCs w:val="20"/>
          <w:lang w:val="es-ES"/>
        </w:rPr>
      </w:pPr>
      <w:r w:rsidRPr="00CF7FE6">
        <w:rPr>
          <w:rFonts w:ascii="Verdana" w:hAnsi="Verdana"/>
          <w:b/>
          <w:sz w:val="20"/>
          <w:szCs w:val="20"/>
          <w:lang w:val="es-ES"/>
        </w:rPr>
        <w:t xml:space="preserve">II.- </w:t>
      </w:r>
      <w:r w:rsidR="004223B4">
        <w:rPr>
          <w:rFonts w:ascii="Verdana" w:hAnsi="Verdana"/>
          <w:b/>
          <w:sz w:val="20"/>
          <w:szCs w:val="20"/>
          <w:lang w:val="es-ES"/>
        </w:rPr>
        <w:t xml:space="preserve">LA </w:t>
      </w:r>
      <w:r w:rsidRPr="00CF7FE6">
        <w:rPr>
          <w:rFonts w:ascii="Verdana" w:hAnsi="Verdana"/>
          <w:b/>
          <w:sz w:val="20"/>
          <w:szCs w:val="20"/>
          <w:lang w:val="es-ES"/>
        </w:rPr>
        <w:t>INTERPRETACIÓN DEL ARTÍCULO 26.</w:t>
      </w:r>
    </w:p>
    <w:p w14:paraId="18A9EAD2" w14:textId="77777777" w:rsidR="00526B54" w:rsidRPr="00CF7FE6" w:rsidRDefault="00526B54" w:rsidP="00EB7CE1">
      <w:pPr>
        <w:spacing w:after="0" w:line="240" w:lineRule="auto"/>
        <w:jc w:val="both"/>
        <w:rPr>
          <w:rFonts w:ascii="Verdana" w:hAnsi="Verdana"/>
          <w:b/>
          <w:sz w:val="20"/>
          <w:szCs w:val="20"/>
          <w:lang w:val="es-ES"/>
        </w:rPr>
      </w:pPr>
    </w:p>
    <w:p w14:paraId="49A23F5F" w14:textId="77777777" w:rsidR="00275A5B" w:rsidRPr="00CF7FE6" w:rsidRDefault="00431FF2" w:rsidP="00EB7CE1">
      <w:pPr>
        <w:spacing w:after="0" w:line="240" w:lineRule="auto"/>
        <w:jc w:val="both"/>
        <w:rPr>
          <w:rFonts w:ascii="Verdana" w:hAnsi="Verdana"/>
          <w:sz w:val="20"/>
          <w:szCs w:val="20"/>
          <w:lang w:val="es-ES"/>
        </w:rPr>
      </w:pPr>
      <w:r>
        <w:rPr>
          <w:rFonts w:ascii="Verdana" w:hAnsi="Verdana"/>
          <w:sz w:val="20"/>
          <w:szCs w:val="20"/>
          <w:lang w:val="es-ES"/>
        </w:rPr>
        <w:t xml:space="preserve">Expuesto todo lo anterior y habida cuenta </w:t>
      </w:r>
      <w:r w:rsidR="002E78E1" w:rsidRPr="00CF7FE6">
        <w:rPr>
          <w:rFonts w:ascii="Verdana" w:hAnsi="Verdana"/>
          <w:sz w:val="20"/>
          <w:szCs w:val="20"/>
          <w:lang w:val="es-ES"/>
        </w:rPr>
        <w:t xml:space="preserve">que la Sentencia </w:t>
      </w:r>
      <w:r w:rsidR="004D63F5" w:rsidRPr="00CF7FE6">
        <w:rPr>
          <w:rFonts w:ascii="Verdana" w:hAnsi="Verdana"/>
          <w:sz w:val="20"/>
          <w:szCs w:val="20"/>
          <w:lang w:val="es-ES"/>
        </w:rPr>
        <w:t xml:space="preserve">fundamenta </w:t>
      </w:r>
      <w:r w:rsidR="00572724" w:rsidRPr="00CF7FE6">
        <w:rPr>
          <w:rFonts w:ascii="Verdana" w:hAnsi="Verdana"/>
          <w:sz w:val="20"/>
          <w:szCs w:val="20"/>
          <w:lang w:val="es-ES"/>
        </w:rPr>
        <w:t>lo que resuelve en su</w:t>
      </w:r>
      <w:r w:rsidR="00EF4889" w:rsidRPr="00CF7FE6">
        <w:rPr>
          <w:rFonts w:ascii="Verdana" w:hAnsi="Verdana"/>
          <w:sz w:val="20"/>
          <w:szCs w:val="20"/>
          <w:lang w:val="es-ES"/>
        </w:rPr>
        <w:t xml:space="preserve"> Dispositivo Nº 5</w:t>
      </w:r>
      <w:r w:rsidR="00572724" w:rsidRPr="00CF7FE6">
        <w:rPr>
          <w:rStyle w:val="FootnoteReference"/>
          <w:rFonts w:ascii="Verdana" w:hAnsi="Verdana"/>
          <w:sz w:val="20"/>
          <w:szCs w:val="20"/>
          <w:lang w:val="es-ES"/>
        </w:rPr>
        <w:footnoteReference w:id="44"/>
      </w:r>
      <w:r w:rsidR="00572724" w:rsidRPr="00CF7FE6">
        <w:rPr>
          <w:rFonts w:ascii="Verdana" w:hAnsi="Verdana"/>
          <w:sz w:val="20"/>
          <w:szCs w:val="20"/>
          <w:lang w:val="es-ES"/>
        </w:rPr>
        <w:t xml:space="preserve"> </w:t>
      </w:r>
      <w:r w:rsidR="004D63F5" w:rsidRPr="00CF7FE6">
        <w:rPr>
          <w:rFonts w:ascii="Verdana" w:hAnsi="Verdana"/>
          <w:sz w:val="20"/>
          <w:szCs w:val="20"/>
          <w:lang w:val="es-ES"/>
        </w:rPr>
        <w:t>en e</w:t>
      </w:r>
      <w:r w:rsidR="002E78E1" w:rsidRPr="00CF7FE6">
        <w:rPr>
          <w:rFonts w:ascii="Verdana" w:hAnsi="Verdana"/>
          <w:sz w:val="20"/>
          <w:szCs w:val="20"/>
          <w:lang w:val="es-ES"/>
        </w:rPr>
        <w:t>l artículo 26 de la Convención</w:t>
      </w:r>
      <w:r w:rsidR="004D63F5" w:rsidRPr="00CF7FE6">
        <w:rPr>
          <w:rStyle w:val="FootnoteReference"/>
          <w:rFonts w:ascii="Verdana" w:hAnsi="Verdana"/>
          <w:sz w:val="20"/>
          <w:szCs w:val="20"/>
          <w:lang w:val="es-ES"/>
        </w:rPr>
        <w:footnoteReference w:id="45"/>
      </w:r>
      <w:r w:rsidR="00275A5B" w:rsidRPr="00CF7FE6">
        <w:rPr>
          <w:rFonts w:ascii="Verdana" w:hAnsi="Verdana"/>
          <w:sz w:val="20"/>
          <w:szCs w:val="20"/>
          <w:lang w:val="es-ES"/>
        </w:rPr>
        <w:t xml:space="preserve">, procede </w:t>
      </w:r>
      <w:r w:rsidR="000528BE">
        <w:rPr>
          <w:rFonts w:ascii="Verdana" w:hAnsi="Verdana"/>
          <w:sz w:val="20"/>
          <w:szCs w:val="20"/>
          <w:lang w:val="es-ES"/>
        </w:rPr>
        <w:t xml:space="preserve">interpretar esta norma, </w:t>
      </w:r>
      <w:r w:rsidR="00292A5F">
        <w:rPr>
          <w:rFonts w:ascii="Verdana" w:hAnsi="Verdana"/>
          <w:sz w:val="20"/>
          <w:szCs w:val="20"/>
          <w:lang w:val="es-ES"/>
        </w:rPr>
        <w:t xml:space="preserve">referirse a los trabajos preparatorios que demandó, </w:t>
      </w:r>
      <w:r w:rsidR="000528BE">
        <w:rPr>
          <w:rFonts w:ascii="Verdana" w:hAnsi="Verdana"/>
          <w:sz w:val="20"/>
          <w:szCs w:val="20"/>
          <w:lang w:val="es-ES"/>
        </w:rPr>
        <w:t xml:space="preserve">analizar </w:t>
      </w:r>
      <w:r w:rsidR="0065385F" w:rsidRPr="00CF7FE6">
        <w:rPr>
          <w:rFonts w:ascii="Verdana" w:hAnsi="Verdana"/>
          <w:sz w:val="20"/>
          <w:szCs w:val="20"/>
          <w:lang w:val="es-ES"/>
        </w:rPr>
        <w:t xml:space="preserve">los derechos a que se refiere </w:t>
      </w:r>
      <w:r w:rsidR="00275A5B" w:rsidRPr="00CF7FE6">
        <w:rPr>
          <w:rFonts w:ascii="Verdana" w:hAnsi="Verdana"/>
          <w:sz w:val="20"/>
          <w:szCs w:val="20"/>
          <w:lang w:val="es-ES"/>
        </w:rPr>
        <w:t xml:space="preserve">y </w:t>
      </w:r>
      <w:r w:rsidR="000528BE">
        <w:rPr>
          <w:rFonts w:ascii="Verdana" w:hAnsi="Verdana"/>
          <w:sz w:val="20"/>
          <w:szCs w:val="20"/>
          <w:lang w:val="es-ES"/>
        </w:rPr>
        <w:t xml:space="preserve">derivar </w:t>
      </w:r>
      <w:r w:rsidR="00275A5B" w:rsidRPr="00CF7FE6">
        <w:rPr>
          <w:rFonts w:ascii="Verdana" w:hAnsi="Verdana"/>
          <w:sz w:val="20"/>
          <w:szCs w:val="20"/>
          <w:lang w:val="es-ES"/>
        </w:rPr>
        <w:t xml:space="preserve">las </w:t>
      </w:r>
      <w:r>
        <w:rPr>
          <w:rFonts w:ascii="Verdana" w:hAnsi="Verdana"/>
          <w:sz w:val="20"/>
          <w:szCs w:val="20"/>
          <w:lang w:val="es-ES"/>
        </w:rPr>
        <w:t>consecuencias de lo decidido</w:t>
      </w:r>
      <w:r w:rsidR="000528BE">
        <w:rPr>
          <w:rFonts w:ascii="Verdana" w:hAnsi="Verdana"/>
          <w:sz w:val="20"/>
          <w:szCs w:val="20"/>
          <w:lang w:val="es-ES"/>
        </w:rPr>
        <w:t xml:space="preserve"> al respecto en </w:t>
      </w:r>
      <w:r w:rsidR="00275A5B" w:rsidRPr="00CF7FE6">
        <w:rPr>
          <w:rFonts w:ascii="Verdana" w:hAnsi="Verdana"/>
          <w:sz w:val="20"/>
          <w:szCs w:val="20"/>
          <w:lang w:val="es-ES"/>
        </w:rPr>
        <w:t>la Sentencia.</w:t>
      </w:r>
    </w:p>
    <w:p w14:paraId="70660B7B" w14:textId="77777777" w:rsidR="00526B54" w:rsidRPr="00CF7FE6" w:rsidRDefault="00526B54" w:rsidP="00EB7CE1">
      <w:pPr>
        <w:spacing w:after="0" w:line="240" w:lineRule="auto"/>
        <w:jc w:val="both"/>
        <w:rPr>
          <w:rFonts w:ascii="Verdana" w:hAnsi="Verdana"/>
          <w:sz w:val="20"/>
          <w:szCs w:val="20"/>
          <w:lang w:val="es-ES"/>
        </w:rPr>
      </w:pPr>
    </w:p>
    <w:p w14:paraId="15D36413" w14:textId="77777777" w:rsidR="00275A5B" w:rsidRPr="006364FF" w:rsidRDefault="006364FF" w:rsidP="00EB7CE1">
      <w:pPr>
        <w:pStyle w:val="ListParagraph"/>
        <w:numPr>
          <w:ilvl w:val="0"/>
          <w:numId w:val="9"/>
        </w:numPr>
        <w:spacing w:after="0" w:line="240" w:lineRule="auto"/>
        <w:jc w:val="both"/>
        <w:rPr>
          <w:rFonts w:ascii="Verdana" w:hAnsi="Verdana"/>
          <w:b/>
          <w:sz w:val="20"/>
          <w:szCs w:val="20"/>
          <w:lang w:val="es-ES"/>
        </w:rPr>
      </w:pPr>
      <w:r w:rsidRPr="006364FF">
        <w:rPr>
          <w:rFonts w:ascii="Verdana" w:hAnsi="Verdana"/>
          <w:b/>
          <w:sz w:val="20"/>
          <w:szCs w:val="20"/>
          <w:lang w:val="es-ES"/>
        </w:rPr>
        <w:t>La norma</w:t>
      </w:r>
      <w:r w:rsidR="00275A5B" w:rsidRPr="006364FF">
        <w:rPr>
          <w:rFonts w:ascii="Verdana" w:hAnsi="Verdana"/>
          <w:b/>
          <w:sz w:val="20"/>
          <w:szCs w:val="20"/>
          <w:lang w:val="es-ES"/>
        </w:rPr>
        <w:t>.</w:t>
      </w:r>
    </w:p>
    <w:p w14:paraId="69B2E013" w14:textId="77777777" w:rsidR="00526B54" w:rsidRPr="00CF7FE6" w:rsidRDefault="00526B54" w:rsidP="00EB7CE1">
      <w:pPr>
        <w:spacing w:after="0" w:line="240" w:lineRule="auto"/>
        <w:jc w:val="both"/>
        <w:rPr>
          <w:rFonts w:ascii="Verdana" w:hAnsi="Verdana"/>
          <w:sz w:val="20"/>
          <w:szCs w:val="20"/>
          <w:lang w:val="es-ES"/>
        </w:rPr>
      </w:pPr>
    </w:p>
    <w:p w14:paraId="0E4B3B6E" w14:textId="77777777" w:rsidR="00BC0318" w:rsidRPr="00CF7FE6" w:rsidRDefault="00BC0318" w:rsidP="00EB7CE1">
      <w:pPr>
        <w:spacing w:after="0" w:line="240" w:lineRule="auto"/>
        <w:jc w:val="both"/>
        <w:rPr>
          <w:rFonts w:ascii="Verdana" w:hAnsi="Verdana"/>
          <w:sz w:val="20"/>
          <w:szCs w:val="20"/>
          <w:lang w:val="es-ES"/>
        </w:rPr>
      </w:pPr>
      <w:r w:rsidRPr="00CF7FE6">
        <w:rPr>
          <w:rFonts w:ascii="Verdana" w:hAnsi="Verdana"/>
          <w:sz w:val="20"/>
          <w:szCs w:val="20"/>
          <w:lang w:val="es-ES"/>
        </w:rPr>
        <w:t>La citada disposición</w:t>
      </w:r>
      <w:r w:rsidR="00582103" w:rsidRPr="00CF7FE6">
        <w:rPr>
          <w:rFonts w:ascii="Verdana" w:hAnsi="Verdana"/>
          <w:sz w:val="20"/>
          <w:szCs w:val="20"/>
          <w:lang w:val="es-ES"/>
        </w:rPr>
        <w:t>, tal como se indicó</w:t>
      </w:r>
      <w:r w:rsidR="00841CD6" w:rsidRPr="00CF7FE6">
        <w:rPr>
          <w:rStyle w:val="FootnoteReference"/>
          <w:rFonts w:ascii="Verdana" w:hAnsi="Verdana"/>
          <w:sz w:val="20"/>
          <w:szCs w:val="20"/>
          <w:lang w:val="es-ES"/>
        </w:rPr>
        <w:footnoteReference w:id="46"/>
      </w:r>
      <w:r w:rsidR="00582103" w:rsidRPr="00CF7FE6">
        <w:rPr>
          <w:rFonts w:ascii="Verdana" w:hAnsi="Verdana"/>
          <w:sz w:val="20"/>
          <w:szCs w:val="20"/>
          <w:lang w:val="es-ES"/>
        </w:rPr>
        <w:t>,</w:t>
      </w:r>
      <w:r w:rsidRPr="00CF7FE6">
        <w:rPr>
          <w:rFonts w:ascii="Verdana" w:hAnsi="Verdana"/>
          <w:sz w:val="20"/>
          <w:szCs w:val="20"/>
          <w:lang w:val="es-ES"/>
        </w:rPr>
        <w:t xml:space="preserve"> establece:</w:t>
      </w:r>
    </w:p>
    <w:p w14:paraId="7733AE78" w14:textId="77777777" w:rsidR="006550A6" w:rsidRPr="00CF7FE6" w:rsidRDefault="006550A6" w:rsidP="00EB7CE1">
      <w:pPr>
        <w:spacing w:after="0" w:line="240" w:lineRule="auto"/>
        <w:jc w:val="both"/>
        <w:rPr>
          <w:rFonts w:ascii="Verdana" w:hAnsi="Verdana"/>
          <w:sz w:val="20"/>
          <w:szCs w:val="20"/>
          <w:lang w:val="es-ES"/>
        </w:rPr>
      </w:pPr>
    </w:p>
    <w:p w14:paraId="14B924B0" w14:textId="77777777" w:rsidR="00BC0318" w:rsidRPr="00D76949" w:rsidRDefault="00582103" w:rsidP="00D76949">
      <w:pPr>
        <w:spacing w:after="0" w:line="240" w:lineRule="auto"/>
        <w:ind w:left="720" w:right="738"/>
        <w:jc w:val="both"/>
        <w:rPr>
          <w:rFonts w:ascii="Verdana" w:hAnsi="Verdana"/>
          <w:i/>
          <w:sz w:val="18"/>
          <w:szCs w:val="18"/>
          <w:lang w:val="es-ES"/>
        </w:rPr>
      </w:pPr>
      <w:r w:rsidRPr="00D76949">
        <w:rPr>
          <w:rFonts w:ascii="Verdana" w:hAnsi="Verdana"/>
          <w:sz w:val="18"/>
          <w:szCs w:val="18"/>
          <w:lang w:val="es-ES"/>
        </w:rPr>
        <w:t>“</w:t>
      </w:r>
      <w:r w:rsidRPr="00D76949">
        <w:rPr>
          <w:rFonts w:ascii="Verdana" w:hAnsi="Verdana"/>
          <w:i/>
          <w:sz w:val="18"/>
          <w:szCs w:val="18"/>
          <w:lang w:val="es-ES"/>
        </w:rPr>
        <w:t>Desarrollo Progresivo.</w:t>
      </w:r>
      <w:r w:rsidRPr="00D76949">
        <w:rPr>
          <w:rFonts w:ascii="Verdana" w:hAnsi="Verdana"/>
          <w:sz w:val="18"/>
          <w:szCs w:val="18"/>
          <w:lang w:val="es-ES"/>
        </w:rPr>
        <w:t xml:space="preserve"> </w:t>
      </w:r>
      <w:r w:rsidR="00BC0318" w:rsidRPr="00D76949">
        <w:rPr>
          <w:rFonts w:ascii="Verdana" w:hAnsi="Verdana"/>
          <w:i/>
          <w:sz w:val="18"/>
          <w:szCs w:val="18"/>
          <w:lang w:val="es-ES"/>
        </w:rPr>
        <w:t>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p w14:paraId="1DC1276A" w14:textId="77777777" w:rsidR="00526B54" w:rsidRPr="00CF7FE6" w:rsidRDefault="00526B54" w:rsidP="00EB7CE1">
      <w:pPr>
        <w:spacing w:after="0" w:line="240" w:lineRule="auto"/>
        <w:ind w:left="567"/>
        <w:jc w:val="both"/>
        <w:rPr>
          <w:rFonts w:ascii="Verdana" w:hAnsi="Verdana"/>
          <w:i/>
          <w:sz w:val="20"/>
          <w:szCs w:val="20"/>
          <w:lang w:val="es-ES"/>
        </w:rPr>
      </w:pPr>
    </w:p>
    <w:p w14:paraId="1611DF2F" w14:textId="77777777" w:rsidR="00555222" w:rsidRPr="00CF7FE6" w:rsidRDefault="00275A5B" w:rsidP="00EB7CE1">
      <w:pPr>
        <w:spacing w:after="0" w:line="240" w:lineRule="auto"/>
        <w:jc w:val="both"/>
        <w:rPr>
          <w:rFonts w:ascii="Verdana" w:hAnsi="Verdana"/>
          <w:sz w:val="20"/>
          <w:szCs w:val="20"/>
          <w:lang w:val="es-ES"/>
        </w:rPr>
      </w:pPr>
      <w:r w:rsidRPr="00CF7FE6">
        <w:rPr>
          <w:rFonts w:ascii="Verdana" w:hAnsi="Verdana"/>
          <w:sz w:val="20"/>
          <w:szCs w:val="20"/>
          <w:lang w:val="es-ES"/>
        </w:rPr>
        <w:t>Al efecto, se debe llamar l</w:t>
      </w:r>
      <w:r w:rsidR="00555222" w:rsidRPr="00CF7FE6">
        <w:rPr>
          <w:rFonts w:ascii="Verdana" w:hAnsi="Verdana"/>
          <w:sz w:val="20"/>
          <w:szCs w:val="20"/>
          <w:lang w:val="es-ES"/>
        </w:rPr>
        <w:t>a atención</w:t>
      </w:r>
      <w:r w:rsidR="00572724" w:rsidRPr="00CF7FE6">
        <w:rPr>
          <w:rFonts w:ascii="Verdana" w:hAnsi="Verdana"/>
          <w:sz w:val="20"/>
          <w:szCs w:val="20"/>
          <w:lang w:val="es-ES"/>
        </w:rPr>
        <w:t xml:space="preserve"> acerca de que</w:t>
      </w:r>
      <w:r w:rsidR="00555222" w:rsidRPr="00CF7FE6">
        <w:rPr>
          <w:rFonts w:ascii="Verdana" w:hAnsi="Verdana"/>
          <w:sz w:val="20"/>
          <w:szCs w:val="20"/>
          <w:lang w:val="es-ES"/>
        </w:rPr>
        <w:t>:</w:t>
      </w:r>
    </w:p>
    <w:p w14:paraId="46ABC11A" w14:textId="77777777" w:rsidR="00526B54" w:rsidRPr="00CF7FE6" w:rsidRDefault="00526B54" w:rsidP="00EB7CE1">
      <w:pPr>
        <w:spacing w:after="0" w:line="240" w:lineRule="auto"/>
        <w:jc w:val="both"/>
        <w:rPr>
          <w:rFonts w:ascii="Verdana" w:hAnsi="Verdana"/>
          <w:sz w:val="20"/>
          <w:szCs w:val="20"/>
          <w:lang w:val="es-ES"/>
        </w:rPr>
      </w:pPr>
    </w:p>
    <w:p w14:paraId="461BD0AC" w14:textId="77777777" w:rsidR="00555222" w:rsidRPr="00CF7FE6" w:rsidRDefault="00555222" w:rsidP="00EB7CE1">
      <w:pPr>
        <w:spacing w:after="0" w:line="240" w:lineRule="auto"/>
        <w:jc w:val="both"/>
        <w:rPr>
          <w:rFonts w:ascii="Verdana" w:hAnsi="Verdana"/>
          <w:sz w:val="20"/>
          <w:szCs w:val="20"/>
          <w:lang w:val="es-ES"/>
        </w:rPr>
      </w:pPr>
      <w:r w:rsidRPr="00CF7FE6">
        <w:rPr>
          <w:rFonts w:ascii="Verdana" w:hAnsi="Verdana"/>
          <w:sz w:val="20"/>
          <w:szCs w:val="20"/>
          <w:lang w:val="es-ES"/>
        </w:rPr>
        <w:t xml:space="preserve">a.- </w:t>
      </w:r>
      <w:r w:rsidR="00572724" w:rsidRPr="00CF7FE6">
        <w:rPr>
          <w:rFonts w:ascii="Verdana" w:hAnsi="Verdana"/>
          <w:sz w:val="20"/>
          <w:szCs w:val="20"/>
          <w:lang w:val="es-ES"/>
        </w:rPr>
        <w:t xml:space="preserve">Por de pronto, </w:t>
      </w:r>
      <w:r w:rsidR="004D63F5" w:rsidRPr="00CF7FE6">
        <w:rPr>
          <w:rFonts w:ascii="Verdana" w:hAnsi="Verdana"/>
          <w:sz w:val="20"/>
          <w:szCs w:val="20"/>
          <w:lang w:val="es-ES"/>
        </w:rPr>
        <w:t xml:space="preserve">tal disposición contempla una obligación de hacer de los Estados, </w:t>
      </w:r>
      <w:r w:rsidR="00940E0E" w:rsidRPr="00CF7FE6">
        <w:rPr>
          <w:rFonts w:ascii="Verdana" w:hAnsi="Verdana"/>
          <w:sz w:val="20"/>
          <w:szCs w:val="20"/>
          <w:lang w:val="es-ES"/>
        </w:rPr>
        <w:t xml:space="preserve">no de resultado, </w:t>
      </w:r>
      <w:r w:rsidR="004D63F5" w:rsidRPr="00CF7FE6">
        <w:rPr>
          <w:rFonts w:ascii="Verdana" w:hAnsi="Verdana"/>
          <w:sz w:val="20"/>
          <w:szCs w:val="20"/>
          <w:lang w:val="es-ES"/>
        </w:rPr>
        <w:t>cual es, la de “</w:t>
      </w:r>
      <w:r w:rsidR="004D63F5" w:rsidRPr="00CF7FE6">
        <w:rPr>
          <w:rFonts w:ascii="Verdana" w:hAnsi="Verdana"/>
          <w:i/>
          <w:sz w:val="20"/>
          <w:szCs w:val="20"/>
          <w:lang w:val="es-ES"/>
        </w:rPr>
        <w:t>adoptar providencias, tanto a nivel interno como mediante la cooperación internacional, especialmente económica y técnica, para lograr progresivamente la plena efectividad de los derechos</w:t>
      </w:r>
      <w:r w:rsidR="00BA7B90" w:rsidRPr="00CF7FE6">
        <w:rPr>
          <w:rFonts w:ascii="Verdana" w:hAnsi="Verdana"/>
          <w:i/>
          <w:sz w:val="20"/>
          <w:szCs w:val="20"/>
          <w:lang w:val="es-ES"/>
        </w:rPr>
        <w:t>”</w:t>
      </w:r>
      <w:r w:rsidR="00431FF2">
        <w:rPr>
          <w:rFonts w:ascii="Verdana" w:hAnsi="Verdana"/>
          <w:sz w:val="20"/>
          <w:szCs w:val="20"/>
          <w:lang w:val="es-ES"/>
        </w:rPr>
        <w:t xml:space="preserve"> que menciona</w:t>
      </w:r>
      <w:r w:rsidR="00BA7B90" w:rsidRPr="00CF7FE6">
        <w:rPr>
          <w:rFonts w:ascii="Verdana" w:hAnsi="Verdana"/>
          <w:sz w:val="20"/>
          <w:szCs w:val="20"/>
          <w:lang w:val="es-ES"/>
        </w:rPr>
        <w:t>.</w:t>
      </w:r>
      <w:r w:rsidR="00B5578A" w:rsidRPr="00CF7FE6">
        <w:rPr>
          <w:rFonts w:ascii="Verdana" w:hAnsi="Verdana"/>
          <w:sz w:val="20"/>
          <w:szCs w:val="20"/>
          <w:lang w:val="es-ES"/>
        </w:rPr>
        <w:t xml:space="preserve"> Ella, entonces, no “</w:t>
      </w:r>
      <w:r w:rsidR="00B5578A" w:rsidRPr="00CF7FE6">
        <w:rPr>
          <w:rFonts w:ascii="Verdana" w:hAnsi="Verdana"/>
          <w:i/>
          <w:sz w:val="20"/>
          <w:szCs w:val="20"/>
          <w:lang w:val="es-ES"/>
        </w:rPr>
        <w:t>reconoce</w:t>
      </w:r>
      <w:r w:rsidR="00572724" w:rsidRPr="00CF7FE6">
        <w:rPr>
          <w:rFonts w:ascii="Verdana" w:hAnsi="Verdana"/>
          <w:sz w:val="20"/>
          <w:szCs w:val="20"/>
          <w:lang w:val="es-ES"/>
        </w:rPr>
        <w:t xml:space="preserve">” </w:t>
      </w:r>
      <w:r w:rsidR="00B5578A" w:rsidRPr="00CF7FE6">
        <w:rPr>
          <w:rFonts w:ascii="Verdana" w:hAnsi="Verdana"/>
          <w:sz w:val="20"/>
          <w:szCs w:val="20"/>
          <w:lang w:val="es-ES"/>
        </w:rPr>
        <w:t>derechos</w:t>
      </w:r>
      <w:r w:rsidR="00582103" w:rsidRPr="00CF7FE6">
        <w:rPr>
          <w:rFonts w:ascii="Verdana" w:hAnsi="Verdana"/>
          <w:sz w:val="20"/>
          <w:szCs w:val="20"/>
          <w:lang w:val="es-ES"/>
        </w:rPr>
        <w:t xml:space="preserve">, sino que dispone la obligación de los Estados de desarrollar progresivamente </w:t>
      </w:r>
      <w:r w:rsidR="00431FF2">
        <w:rPr>
          <w:rFonts w:ascii="Verdana" w:hAnsi="Verdana"/>
          <w:sz w:val="20"/>
          <w:szCs w:val="20"/>
          <w:lang w:val="es-ES"/>
        </w:rPr>
        <w:t xml:space="preserve">ciertos </w:t>
      </w:r>
      <w:r w:rsidR="00582103" w:rsidRPr="00CF7FE6">
        <w:rPr>
          <w:rFonts w:ascii="Verdana" w:hAnsi="Verdana"/>
          <w:sz w:val="20"/>
          <w:szCs w:val="20"/>
          <w:lang w:val="es-ES"/>
        </w:rPr>
        <w:t>derechos</w:t>
      </w:r>
      <w:r w:rsidR="002742BE">
        <w:rPr>
          <w:rFonts w:ascii="Verdana" w:hAnsi="Verdana"/>
          <w:sz w:val="20"/>
          <w:szCs w:val="20"/>
          <w:lang w:val="es-ES"/>
        </w:rPr>
        <w:t xml:space="preserve">, precisamente por no ser </w:t>
      </w:r>
      <w:r w:rsidR="00582103" w:rsidRPr="00CF7FE6">
        <w:rPr>
          <w:rFonts w:ascii="Verdana" w:hAnsi="Verdana"/>
          <w:sz w:val="20"/>
          <w:szCs w:val="20"/>
          <w:lang w:val="es-ES"/>
        </w:rPr>
        <w:t>plenamente efectivos</w:t>
      </w:r>
      <w:r w:rsidR="00B5578A" w:rsidRPr="00CF7FE6">
        <w:rPr>
          <w:rFonts w:ascii="Verdana" w:hAnsi="Verdana"/>
          <w:sz w:val="20"/>
          <w:szCs w:val="20"/>
          <w:lang w:val="es-ES"/>
        </w:rPr>
        <w:t xml:space="preserve">. </w:t>
      </w:r>
    </w:p>
    <w:p w14:paraId="3421223D" w14:textId="77777777" w:rsidR="00526B54" w:rsidRPr="00CF7FE6" w:rsidRDefault="00526B54" w:rsidP="00EB7CE1">
      <w:pPr>
        <w:spacing w:after="0" w:line="240" w:lineRule="auto"/>
        <w:jc w:val="both"/>
        <w:rPr>
          <w:rFonts w:ascii="Verdana" w:hAnsi="Verdana"/>
          <w:sz w:val="20"/>
          <w:szCs w:val="20"/>
          <w:lang w:val="es-ES"/>
        </w:rPr>
      </w:pPr>
    </w:p>
    <w:p w14:paraId="762B4A22" w14:textId="77777777" w:rsidR="00555222" w:rsidRPr="00CF7FE6" w:rsidRDefault="00526B54" w:rsidP="00EB7CE1">
      <w:pPr>
        <w:spacing w:after="0" w:line="240" w:lineRule="auto"/>
        <w:jc w:val="both"/>
        <w:rPr>
          <w:rFonts w:ascii="Verdana" w:hAnsi="Verdana"/>
          <w:sz w:val="20"/>
          <w:szCs w:val="20"/>
          <w:lang w:val="es-ES"/>
        </w:rPr>
      </w:pPr>
      <w:r w:rsidRPr="00CF7FE6">
        <w:rPr>
          <w:rFonts w:ascii="Verdana" w:hAnsi="Verdana"/>
          <w:sz w:val="20"/>
          <w:szCs w:val="20"/>
          <w:lang w:val="es-ES"/>
        </w:rPr>
        <w:t>b</w:t>
      </w:r>
      <w:r w:rsidR="00555222" w:rsidRPr="00CF7FE6">
        <w:rPr>
          <w:rFonts w:ascii="Verdana" w:hAnsi="Verdana"/>
          <w:sz w:val="20"/>
          <w:szCs w:val="20"/>
          <w:lang w:val="es-ES"/>
        </w:rPr>
        <w:t xml:space="preserve">.- </w:t>
      </w:r>
      <w:r w:rsidR="00B5578A" w:rsidRPr="00CF7FE6">
        <w:rPr>
          <w:rFonts w:ascii="Verdana" w:hAnsi="Verdana"/>
          <w:sz w:val="20"/>
          <w:szCs w:val="20"/>
          <w:lang w:val="es-ES"/>
        </w:rPr>
        <w:t>En se</w:t>
      </w:r>
      <w:r w:rsidR="002742BE">
        <w:rPr>
          <w:rFonts w:ascii="Verdana" w:hAnsi="Verdana"/>
          <w:sz w:val="20"/>
          <w:szCs w:val="20"/>
          <w:lang w:val="es-ES"/>
        </w:rPr>
        <w:t>gundo término</w:t>
      </w:r>
      <w:r w:rsidR="00B5578A" w:rsidRPr="00CF7FE6">
        <w:rPr>
          <w:rFonts w:ascii="Verdana" w:hAnsi="Verdana"/>
          <w:sz w:val="20"/>
          <w:szCs w:val="20"/>
          <w:lang w:val="es-ES"/>
        </w:rPr>
        <w:t>, dicha disposición se refiere a “</w:t>
      </w:r>
      <w:r w:rsidR="00B5578A" w:rsidRPr="00CF7FE6">
        <w:rPr>
          <w:rFonts w:ascii="Verdana" w:hAnsi="Verdana"/>
          <w:i/>
          <w:sz w:val="20"/>
          <w:szCs w:val="20"/>
          <w:lang w:val="es-ES"/>
        </w:rPr>
        <w:t>derechos que se derivan de las normas económicas, sociales y sobre educación, ciencia y cultura, contenidas en la Carta de la</w:t>
      </w:r>
      <w:r w:rsidR="00B5578A" w:rsidRPr="00CF7FE6">
        <w:rPr>
          <w:rFonts w:ascii="Verdana" w:hAnsi="Verdana"/>
          <w:sz w:val="20"/>
          <w:szCs w:val="20"/>
          <w:lang w:val="es-ES"/>
        </w:rPr>
        <w:t>”</w:t>
      </w:r>
      <w:r w:rsidR="00B53337">
        <w:rPr>
          <w:rFonts w:ascii="Verdana" w:hAnsi="Verdana"/>
          <w:sz w:val="20"/>
          <w:szCs w:val="20"/>
          <w:lang w:val="es-ES"/>
        </w:rPr>
        <w:t xml:space="preserve"> OEA, vale decir, </w:t>
      </w:r>
      <w:r w:rsidR="008F1A54">
        <w:rPr>
          <w:rFonts w:ascii="Verdana" w:hAnsi="Verdana"/>
          <w:sz w:val="20"/>
          <w:szCs w:val="20"/>
          <w:lang w:val="es-ES"/>
        </w:rPr>
        <w:t xml:space="preserve">a </w:t>
      </w:r>
      <w:r w:rsidR="00B53337">
        <w:rPr>
          <w:rFonts w:ascii="Verdana" w:hAnsi="Verdana"/>
          <w:sz w:val="20"/>
          <w:szCs w:val="20"/>
          <w:lang w:val="es-ES"/>
        </w:rPr>
        <w:t>derechos que se desprenden</w:t>
      </w:r>
      <w:r w:rsidR="008F1A54">
        <w:rPr>
          <w:rFonts w:ascii="Verdana" w:hAnsi="Verdana"/>
          <w:sz w:val="20"/>
          <w:szCs w:val="20"/>
          <w:lang w:val="es-ES"/>
        </w:rPr>
        <w:t xml:space="preserve"> o se pueden inferir</w:t>
      </w:r>
      <w:r w:rsidR="00B53337">
        <w:rPr>
          <w:rFonts w:ascii="Verdana" w:hAnsi="Verdana"/>
          <w:sz w:val="20"/>
          <w:szCs w:val="20"/>
          <w:lang w:val="es-ES"/>
        </w:rPr>
        <w:t xml:space="preserve"> de </w:t>
      </w:r>
      <w:r w:rsidR="00B5578A" w:rsidRPr="00CF7FE6">
        <w:rPr>
          <w:rFonts w:ascii="Verdana" w:hAnsi="Verdana"/>
          <w:sz w:val="20"/>
          <w:szCs w:val="20"/>
          <w:lang w:val="es-ES"/>
        </w:rPr>
        <w:t>disposiciones de esta última</w:t>
      </w:r>
      <w:r w:rsidR="00B53337">
        <w:rPr>
          <w:rFonts w:ascii="Verdana" w:hAnsi="Verdana"/>
          <w:sz w:val="20"/>
          <w:szCs w:val="20"/>
          <w:lang w:val="es-ES"/>
        </w:rPr>
        <w:t xml:space="preserve"> y no que </w:t>
      </w:r>
      <w:r w:rsidR="008F1A54">
        <w:rPr>
          <w:rFonts w:ascii="Verdana" w:hAnsi="Verdana"/>
          <w:sz w:val="20"/>
          <w:szCs w:val="20"/>
          <w:lang w:val="es-ES"/>
        </w:rPr>
        <w:t>ella los consagre o reconozca</w:t>
      </w:r>
      <w:r w:rsidR="00940E0E" w:rsidRPr="00CF7FE6">
        <w:rPr>
          <w:rFonts w:ascii="Verdana" w:hAnsi="Verdana"/>
          <w:sz w:val="20"/>
          <w:szCs w:val="20"/>
          <w:lang w:val="es-ES"/>
        </w:rPr>
        <w:t xml:space="preserve">. </w:t>
      </w:r>
    </w:p>
    <w:p w14:paraId="75C80198" w14:textId="77777777" w:rsidR="00526B54" w:rsidRPr="00CF7FE6" w:rsidRDefault="00526B54" w:rsidP="00EB7CE1">
      <w:pPr>
        <w:spacing w:after="0" w:line="240" w:lineRule="auto"/>
        <w:jc w:val="both"/>
        <w:rPr>
          <w:rFonts w:ascii="Verdana" w:hAnsi="Verdana"/>
          <w:sz w:val="20"/>
          <w:szCs w:val="20"/>
          <w:lang w:val="es-ES"/>
        </w:rPr>
      </w:pPr>
    </w:p>
    <w:p w14:paraId="14F21F2E" w14:textId="77777777" w:rsidR="00555222" w:rsidRPr="00CF7FE6" w:rsidRDefault="00555222" w:rsidP="00EB7CE1">
      <w:pPr>
        <w:spacing w:after="0" w:line="240" w:lineRule="auto"/>
        <w:jc w:val="both"/>
        <w:rPr>
          <w:rFonts w:ascii="Verdana" w:hAnsi="Verdana"/>
          <w:sz w:val="20"/>
          <w:szCs w:val="20"/>
          <w:lang w:val="es-ES"/>
        </w:rPr>
      </w:pPr>
      <w:r w:rsidRPr="00CF7FE6">
        <w:rPr>
          <w:rFonts w:ascii="Verdana" w:hAnsi="Verdana"/>
          <w:sz w:val="20"/>
          <w:szCs w:val="20"/>
          <w:lang w:val="es-ES"/>
        </w:rPr>
        <w:lastRenderedPageBreak/>
        <w:t xml:space="preserve">c.- </w:t>
      </w:r>
      <w:r w:rsidR="00940E0E" w:rsidRPr="00CF7FE6">
        <w:rPr>
          <w:rFonts w:ascii="Verdana" w:hAnsi="Verdana"/>
          <w:sz w:val="20"/>
          <w:szCs w:val="20"/>
          <w:lang w:val="es-ES"/>
        </w:rPr>
        <w:t>En tercer término, la norma en comento condiciona el cumplimiento de la mencionada obligación de hacer</w:t>
      </w:r>
      <w:r w:rsidR="00841CD6" w:rsidRPr="00CF7FE6">
        <w:rPr>
          <w:rFonts w:ascii="Verdana" w:hAnsi="Verdana"/>
          <w:sz w:val="20"/>
          <w:szCs w:val="20"/>
          <w:lang w:val="es-ES"/>
        </w:rPr>
        <w:t xml:space="preserve"> a</w:t>
      </w:r>
      <w:r w:rsidR="00940E0E" w:rsidRPr="00CF7FE6">
        <w:rPr>
          <w:rFonts w:ascii="Verdana" w:hAnsi="Verdana"/>
          <w:sz w:val="20"/>
          <w:szCs w:val="20"/>
          <w:lang w:val="es-ES"/>
        </w:rPr>
        <w:t xml:space="preserve"> “</w:t>
      </w:r>
      <w:r w:rsidR="00940E0E" w:rsidRPr="00CF7FE6">
        <w:rPr>
          <w:rFonts w:ascii="Verdana" w:hAnsi="Verdana"/>
          <w:i/>
          <w:sz w:val="20"/>
          <w:szCs w:val="20"/>
          <w:lang w:val="es-ES"/>
        </w:rPr>
        <w:t>la medida de los recursos disponibles</w:t>
      </w:r>
      <w:r w:rsidR="00940E0E" w:rsidRPr="00CF7FE6">
        <w:rPr>
          <w:rFonts w:ascii="Verdana" w:hAnsi="Verdana"/>
          <w:sz w:val="20"/>
          <w:szCs w:val="20"/>
          <w:lang w:val="es-ES"/>
        </w:rPr>
        <w:t xml:space="preserve">”, lo que refuerza la idea de que no se trata de una obligación de resultado. </w:t>
      </w:r>
    </w:p>
    <w:p w14:paraId="27A2DE09" w14:textId="77777777" w:rsidR="00526B54" w:rsidRPr="00CF7FE6" w:rsidRDefault="00526B54" w:rsidP="00EB7CE1">
      <w:pPr>
        <w:spacing w:after="0" w:line="240" w:lineRule="auto"/>
        <w:jc w:val="both"/>
        <w:rPr>
          <w:rFonts w:ascii="Verdana" w:hAnsi="Verdana"/>
          <w:sz w:val="20"/>
          <w:szCs w:val="20"/>
          <w:lang w:val="es-ES"/>
        </w:rPr>
      </w:pPr>
    </w:p>
    <w:p w14:paraId="2E2CCD32" w14:textId="77777777" w:rsidR="00526B54" w:rsidRDefault="00572724" w:rsidP="00EB7CE1">
      <w:pPr>
        <w:spacing w:after="0" w:line="240" w:lineRule="auto"/>
        <w:jc w:val="both"/>
        <w:rPr>
          <w:rFonts w:ascii="Verdana" w:hAnsi="Verdana"/>
          <w:sz w:val="20"/>
          <w:szCs w:val="20"/>
          <w:lang w:val="es-ES"/>
        </w:rPr>
      </w:pPr>
      <w:r w:rsidRPr="00CF7FE6">
        <w:rPr>
          <w:rFonts w:ascii="Verdana" w:hAnsi="Verdana"/>
          <w:sz w:val="20"/>
          <w:szCs w:val="20"/>
          <w:lang w:val="es-ES"/>
        </w:rPr>
        <w:t xml:space="preserve">d.- </w:t>
      </w:r>
      <w:r w:rsidR="00940E0E" w:rsidRPr="00CF7FE6">
        <w:rPr>
          <w:rFonts w:ascii="Verdana" w:hAnsi="Verdana"/>
          <w:sz w:val="20"/>
          <w:szCs w:val="20"/>
          <w:lang w:val="es-ES"/>
        </w:rPr>
        <w:t>Y, finalmente, el citado artículo 26 indica el o los medios para cumplir la obligación de comportamiento que establece, a saber, “</w:t>
      </w:r>
      <w:r w:rsidR="00940E0E" w:rsidRPr="00CF7FE6">
        <w:rPr>
          <w:rFonts w:ascii="Verdana" w:hAnsi="Verdana"/>
          <w:i/>
          <w:sz w:val="20"/>
          <w:szCs w:val="20"/>
          <w:lang w:val="es-ES"/>
        </w:rPr>
        <w:t>por vía legislativa u otros medios apropi</w:t>
      </w:r>
      <w:r w:rsidR="00940E0E" w:rsidRPr="00CF7FE6">
        <w:rPr>
          <w:rFonts w:ascii="Verdana" w:hAnsi="Verdana"/>
          <w:sz w:val="20"/>
          <w:szCs w:val="20"/>
          <w:lang w:val="es-ES"/>
        </w:rPr>
        <w:t>ados”. Dicho artículo se refiere, por lo tanto y tal como lo señala su título, al “</w:t>
      </w:r>
      <w:r w:rsidR="00940E0E" w:rsidRPr="00CF7FE6">
        <w:rPr>
          <w:rFonts w:ascii="Verdana" w:hAnsi="Verdana"/>
          <w:i/>
          <w:sz w:val="20"/>
          <w:szCs w:val="20"/>
          <w:lang w:val="es-ES"/>
        </w:rPr>
        <w:t>Desarrollo Progresivo</w:t>
      </w:r>
      <w:r w:rsidR="00940E0E" w:rsidRPr="00CF7FE6">
        <w:rPr>
          <w:rFonts w:ascii="Verdana" w:hAnsi="Verdana"/>
          <w:sz w:val="20"/>
          <w:szCs w:val="20"/>
          <w:lang w:val="es-ES"/>
        </w:rPr>
        <w:t xml:space="preserve">” </w:t>
      </w:r>
      <w:r w:rsidR="00431FF2">
        <w:rPr>
          <w:rFonts w:ascii="Verdana" w:hAnsi="Verdana"/>
          <w:sz w:val="20"/>
          <w:szCs w:val="20"/>
          <w:lang w:val="es-ES"/>
        </w:rPr>
        <w:t>de los mencionados derechos</w:t>
      </w:r>
      <w:r w:rsidR="00755450">
        <w:rPr>
          <w:rFonts w:ascii="Verdana" w:hAnsi="Verdana"/>
          <w:sz w:val="20"/>
          <w:szCs w:val="20"/>
          <w:lang w:val="es-ES"/>
        </w:rPr>
        <w:t>, lo que, evidentemente, si bien concuerda con la obligación prevista en el artículo 2 de la Convención</w:t>
      </w:r>
      <w:r w:rsidR="00755450">
        <w:rPr>
          <w:rStyle w:val="FootnoteReference"/>
          <w:rFonts w:ascii="Verdana" w:hAnsi="Verdana"/>
          <w:sz w:val="20"/>
          <w:szCs w:val="20"/>
          <w:lang w:val="es-ES"/>
        </w:rPr>
        <w:footnoteReference w:id="47"/>
      </w:r>
      <w:r w:rsidR="00755450">
        <w:rPr>
          <w:rFonts w:ascii="Verdana" w:hAnsi="Verdana"/>
          <w:sz w:val="20"/>
          <w:szCs w:val="20"/>
          <w:lang w:val="es-ES"/>
        </w:rPr>
        <w:t>, no constituye, bajo ningún r</w:t>
      </w:r>
      <w:r w:rsidR="002F0F11">
        <w:rPr>
          <w:rFonts w:ascii="Verdana" w:hAnsi="Verdana"/>
          <w:sz w:val="20"/>
          <w:szCs w:val="20"/>
          <w:lang w:val="es-ES"/>
        </w:rPr>
        <w:t>especto, fundamento para sostener que se puede someter</w:t>
      </w:r>
      <w:r w:rsidR="00755450">
        <w:rPr>
          <w:rFonts w:ascii="Verdana" w:hAnsi="Verdana"/>
          <w:sz w:val="20"/>
          <w:szCs w:val="20"/>
          <w:lang w:val="es-ES"/>
        </w:rPr>
        <w:t xml:space="preserve"> a la Corte un caso atingente a la p</w:t>
      </w:r>
      <w:r w:rsidR="002F0F11">
        <w:rPr>
          <w:rFonts w:ascii="Verdana" w:hAnsi="Verdana"/>
          <w:sz w:val="20"/>
          <w:szCs w:val="20"/>
          <w:lang w:val="es-ES"/>
        </w:rPr>
        <w:t>resunta violación de alguno de los derechos a que se remite</w:t>
      </w:r>
      <w:r w:rsidR="00755450">
        <w:rPr>
          <w:rFonts w:ascii="Verdana" w:hAnsi="Verdana"/>
          <w:sz w:val="20"/>
          <w:szCs w:val="20"/>
          <w:lang w:val="es-ES"/>
        </w:rPr>
        <w:t xml:space="preserve">.  </w:t>
      </w:r>
      <w:r w:rsidR="00431FF2" w:rsidRPr="00CF7FE6">
        <w:rPr>
          <w:rFonts w:ascii="Verdana" w:hAnsi="Verdana"/>
          <w:sz w:val="20"/>
          <w:szCs w:val="20"/>
          <w:lang w:val="es-ES"/>
        </w:rPr>
        <w:t xml:space="preserve"> </w:t>
      </w:r>
    </w:p>
    <w:p w14:paraId="07C8CD69" w14:textId="77777777" w:rsidR="00431FF2" w:rsidRPr="00CF7FE6" w:rsidRDefault="00431FF2" w:rsidP="00EB7CE1">
      <w:pPr>
        <w:spacing w:after="0" w:line="240" w:lineRule="auto"/>
        <w:jc w:val="both"/>
        <w:rPr>
          <w:rFonts w:ascii="Verdana" w:hAnsi="Verdana"/>
          <w:sz w:val="20"/>
          <w:szCs w:val="20"/>
          <w:lang w:val="es-ES"/>
        </w:rPr>
      </w:pPr>
    </w:p>
    <w:p w14:paraId="3D7CEB3E" w14:textId="77777777" w:rsidR="00940E0E" w:rsidRPr="00CF7FE6" w:rsidRDefault="002742BE" w:rsidP="00EB7CE1">
      <w:pPr>
        <w:spacing w:after="0" w:line="240" w:lineRule="auto"/>
        <w:jc w:val="both"/>
        <w:rPr>
          <w:rFonts w:ascii="Verdana" w:hAnsi="Verdana"/>
          <w:sz w:val="20"/>
          <w:szCs w:val="20"/>
          <w:lang w:val="es-ES"/>
        </w:rPr>
      </w:pPr>
      <w:r>
        <w:rPr>
          <w:rFonts w:ascii="Verdana" w:hAnsi="Verdana"/>
          <w:sz w:val="20"/>
          <w:szCs w:val="20"/>
          <w:lang w:val="es-ES"/>
        </w:rPr>
        <w:t>Es obvio, en consecuencia</w:t>
      </w:r>
      <w:r w:rsidR="00702191" w:rsidRPr="00CF7FE6">
        <w:rPr>
          <w:rFonts w:ascii="Verdana" w:hAnsi="Verdana"/>
          <w:sz w:val="20"/>
          <w:szCs w:val="20"/>
          <w:lang w:val="es-ES"/>
        </w:rPr>
        <w:t>, que los citados derechos s</w:t>
      </w:r>
      <w:r w:rsidR="008A4C41">
        <w:rPr>
          <w:rFonts w:ascii="Verdana" w:hAnsi="Verdana"/>
          <w:sz w:val="20"/>
          <w:szCs w:val="20"/>
          <w:lang w:val="es-ES"/>
        </w:rPr>
        <w:t xml:space="preserve">on distintos a los que la </w:t>
      </w:r>
      <w:r w:rsidR="00702191" w:rsidRPr="00CF7FE6">
        <w:rPr>
          <w:rFonts w:ascii="Verdana" w:hAnsi="Verdana"/>
          <w:sz w:val="20"/>
          <w:szCs w:val="20"/>
          <w:lang w:val="es-ES"/>
        </w:rPr>
        <w:t xml:space="preserve"> Convención regula en sus artículos</w:t>
      </w:r>
      <w:r w:rsidR="008A4C41">
        <w:rPr>
          <w:rFonts w:ascii="Verdana" w:hAnsi="Verdana"/>
          <w:sz w:val="20"/>
          <w:szCs w:val="20"/>
          <w:lang w:val="es-ES"/>
        </w:rPr>
        <w:t xml:space="preserve"> 3 a 25</w:t>
      </w:r>
      <w:r w:rsidR="00BE2655" w:rsidRPr="00CF7FE6">
        <w:rPr>
          <w:rFonts w:ascii="Verdana" w:hAnsi="Verdana"/>
          <w:sz w:val="20"/>
          <w:szCs w:val="20"/>
          <w:lang w:val="es-ES"/>
        </w:rPr>
        <w:t xml:space="preserve"> ya citados, esto es, a los</w:t>
      </w:r>
      <w:r w:rsidR="00940E0E" w:rsidRPr="00CF7FE6">
        <w:rPr>
          <w:rFonts w:ascii="Verdana" w:hAnsi="Verdana"/>
          <w:sz w:val="20"/>
          <w:szCs w:val="20"/>
          <w:lang w:val="es-ES"/>
        </w:rPr>
        <w:t xml:space="preserve"> </w:t>
      </w:r>
      <w:r w:rsidR="00BE2655" w:rsidRPr="00CF7FE6">
        <w:rPr>
          <w:rFonts w:ascii="Verdana" w:hAnsi="Verdana"/>
          <w:sz w:val="20"/>
          <w:szCs w:val="20"/>
          <w:lang w:val="es-ES"/>
        </w:rPr>
        <w:t>“</w:t>
      </w:r>
      <w:r w:rsidR="00BE2655" w:rsidRPr="00CF7FE6">
        <w:rPr>
          <w:rFonts w:ascii="Verdana" w:hAnsi="Verdana"/>
          <w:i/>
          <w:sz w:val="20"/>
          <w:szCs w:val="20"/>
          <w:lang w:val="es-ES"/>
        </w:rPr>
        <w:t>Derechos Civiles y políticos</w:t>
      </w:r>
      <w:r w:rsidR="00BE2655" w:rsidRPr="00CF7FE6">
        <w:rPr>
          <w:rFonts w:ascii="Verdana" w:hAnsi="Verdana"/>
          <w:sz w:val="20"/>
          <w:szCs w:val="20"/>
          <w:lang w:val="es-ES"/>
        </w:rPr>
        <w:t>” y sujetos, entonces, a un régimen de protección diferente.</w:t>
      </w:r>
    </w:p>
    <w:p w14:paraId="7C5988E7" w14:textId="77777777" w:rsidR="00526B54" w:rsidRPr="00CF7FE6" w:rsidRDefault="00526B54" w:rsidP="00EB7CE1">
      <w:pPr>
        <w:spacing w:after="0" w:line="240" w:lineRule="auto"/>
        <w:jc w:val="both"/>
        <w:rPr>
          <w:rFonts w:ascii="Verdana" w:hAnsi="Verdana"/>
          <w:sz w:val="20"/>
          <w:szCs w:val="20"/>
          <w:lang w:val="es-ES"/>
        </w:rPr>
      </w:pPr>
    </w:p>
    <w:p w14:paraId="11E60EE4" w14:textId="77777777" w:rsidR="00432286" w:rsidRPr="00432286" w:rsidRDefault="00432286" w:rsidP="00EB7CE1">
      <w:pPr>
        <w:pStyle w:val="ListParagraph"/>
        <w:numPr>
          <w:ilvl w:val="0"/>
          <w:numId w:val="9"/>
        </w:numPr>
        <w:spacing w:after="0" w:line="240" w:lineRule="auto"/>
        <w:jc w:val="both"/>
        <w:rPr>
          <w:rFonts w:ascii="Verdana" w:hAnsi="Verdana"/>
          <w:b/>
          <w:sz w:val="20"/>
          <w:szCs w:val="20"/>
          <w:lang w:val="es-ES"/>
        </w:rPr>
      </w:pPr>
      <w:r>
        <w:rPr>
          <w:rFonts w:ascii="Verdana" w:hAnsi="Verdana"/>
          <w:b/>
          <w:sz w:val="20"/>
          <w:szCs w:val="20"/>
          <w:lang w:val="es-ES"/>
        </w:rPr>
        <w:t>Trabajos preparatorios</w:t>
      </w:r>
      <w:r>
        <w:rPr>
          <w:rStyle w:val="FootnoteReference"/>
          <w:rFonts w:ascii="Verdana" w:hAnsi="Verdana"/>
          <w:b/>
          <w:sz w:val="20"/>
          <w:szCs w:val="20"/>
          <w:lang w:val="es-ES"/>
        </w:rPr>
        <w:footnoteReference w:id="48"/>
      </w:r>
      <w:r>
        <w:rPr>
          <w:rFonts w:ascii="Verdana" w:hAnsi="Verdana"/>
          <w:b/>
          <w:sz w:val="20"/>
          <w:szCs w:val="20"/>
          <w:lang w:val="es-ES"/>
        </w:rPr>
        <w:t>.</w:t>
      </w:r>
    </w:p>
    <w:p w14:paraId="41D5F5CD" w14:textId="77777777" w:rsidR="00432286" w:rsidRDefault="00432286" w:rsidP="00EB7CE1">
      <w:pPr>
        <w:spacing w:after="0" w:line="240" w:lineRule="auto"/>
        <w:jc w:val="both"/>
        <w:rPr>
          <w:rFonts w:ascii="Verdana" w:hAnsi="Verdana"/>
          <w:b/>
          <w:sz w:val="20"/>
          <w:szCs w:val="20"/>
          <w:lang w:val="es-ES"/>
        </w:rPr>
      </w:pPr>
    </w:p>
    <w:p w14:paraId="4843A36C" w14:textId="7296FFF5" w:rsidR="00432286" w:rsidRDefault="00273235" w:rsidP="00EB7CE1">
      <w:pPr>
        <w:spacing w:after="0" w:line="240" w:lineRule="auto"/>
        <w:jc w:val="both"/>
        <w:rPr>
          <w:rFonts w:ascii="Verdana" w:hAnsi="Verdana"/>
          <w:sz w:val="20"/>
          <w:szCs w:val="20"/>
          <w:lang w:val="es-ES"/>
        </w:rPr>
      </w:pPr>
      <w:r w:rsidRPr="00CF7FE6">
        <w:rPr>
          <w:rFonts w:ascii="Verdana" w:hAnsi="Verdana"/>
          <w:sz w:val="20"/>
          <w:szCs w:val="20"/>
          <w:lang w:val="es-ES"/>
        </w:rPr>
        <w:t>Cabe advertir que en la Conferencia Especializada Interamericana sobre Derechos Humanos</w:t>
      </w:r>
      <w:r w:rsidR="00572724" w:rsidRPr="00CF7FE6">
        <w:rPr>
          <w:rFonts w:ascii="Verdana" w:hAnsi="Verdana"/>
          <w:sz w:val="20"/>
          <w:szCs w:val="20"/>
          <w:lang w:val="es-ES"/>
        </w:rPr>
        <w:t>,</w:t>
      </w:r>
      <w:r w:rsidRPr="00CF7FE6">
        <w:rPr>
          <w:rFonts w:ascii="Verdana" w:hAnsi="Verdana"/>
          <w:sz w:val="20"/>
          <w:szCs w:val="20"/>
          <w:lang w:val="es-ES"/>
        </w:rPr>
        <w:t xml:space="preserve"> en la que se adoptó el texto definitivo de la Convención</w:t>
      </w:r>
      <w:r w:rsidRPr="00CF7FE6">
        <w:rPr>
          <w:rFonts w:ascii="Verdana" w:hAnsi="Verdana"/>
          <w:i/>
          <w:sz w:val="20"/>
          <w:szCs w:val="20"/>
          <w:lang w:val="es-ES"/>
        </w:rPr>
        <w:t>,</w:t>
      </w:r>
      <w:r w:rsidR="004714BF">
        <w:rPr>
          <w:rFonts w:ascii="Verdana" w:hAnsi="Verdana"/>
          <w:i/>
          <w:sz w:val="20"/>
          <w:szCs w:val="20"/>
          <w:lang w:val="es-ES"/>
        </w:rPr>
        <w:t xml:space="preserve"> </w:t>
      </w:r>
      <w:r w:rsidR="00515B78" w:rsidRPr="00CF7FE6">
        <w:rPr>
          <w:rFonts w:ascii="Verdana" w:hAnsi="Verdana"/>
          <w:i/>
          <w:sz w:val="20"/>
          <w:szCs w:val="20"/>
          <w:lang w:val="es-ES"/>
        </w:rPr>
        <w:t>“(l</w:t>
      </w:r>
      <w:proofErr w:type="gramStart"/>
      <w:r w:rsidR="00515B78" w:rsidRPr="00CF7FE6">
        <w:rPr>
          <w:rFonts w:ascii="Verdana" w:hAnsi="Verdana"/>
          <w:i/>
          <w:sz w:val="20"/>
          <w:szCs w:val="20"/>
          <w:lang w:val="es-ES"/>
        </w:rPr>
        <w:t>)</w:t>
      </w:r>
      <w:proofErr w:type="spellStart"/>
      <w:r w:rsidR="00515B78" w:rsidRPr="00CF7FE6">
        <w:rPr>
          <w:rFonts w:ascii="Verdana" w:hAnsi="Verdana"/>
          <w:i/>
          <w:sz w:val="20"/>
          <w:szCs w:val="20"/>
          <w:lang w:val="es-ES"/>
        </w:rPr>
        <w:t>uego</w:t>
      </w:r>
      <w:proofErr w:type="spellEnd"/>
      <w:proofErr w:type="gramEnd"/>
      <w:r w:rsidR="00515B78" w:rsidRPr="00CF7FE6">
        <w:rPr>
          <w:rFonts w:ascii="Verdana" w:hAnsi="Verdana"/>
          <w:i/>
          <w:sz w:val="20"/>
          <w:szCs w:val="20"/>
          <w:lang w:val="es-ES"/>
        </w:rPr>
        <w:t xml:space="preserve"> de algunos debates en los que se reiteraron algunas posiciones anteriores sin llegar a un consenso, y en ninguno de los cuales se propuso incluir a los derechos económicos, sociales y culturales en el régimen de protección previsto para los derechos civiles y políticos, se redactó un capítulo con dos artículos</w:t>
      </w:r>
      <w:r w:rsidRPr="00CF7FE6">
        <w:rPr>
          <w:rFonts w:ascii="Verdana" w:hAnsi="Verdana"/>
          <w:sz w:val="20"/>
          <w:szCs w:val="20"/>
          <w:lang w:val="es-ES"/>
        </w:rPr>
        <w:t>”</w:t>
      </w:r>
      <w:r w:rsidR="00C362A2" w:rsidRPr="00CF7FE6">
        <w:rPr>
          <w:rStyle w:val="FootnoteReference"/>
          <w:rFonts w:ascii="Verdana" w:hAnsi="Verdana"/>
          <w:sz w:val="20"/>
          <w:szCs w:val="20"/>
          <w:lang w:val="es-ES"/>
        </w:rPr>
        <w:footnoteReference w:id="49"/>
      </w:r>
      <w:r w:rsidR="00146B15" w:rsidRPr="00CF7FE6">
        <w:rPr>
          <w:rFonts w:ascii="Verdana" w:hAnsi="Verdana"/>
          <w:sz w:val="20"/>
          <w:szCs w:val="20"/>
          <w:lang w:val="es-ES"/>
        </w:rPr>
        <w:t>.</w:t>
      </w:r>
      <w:r w:rsidRPr="00CF7FE6">
        <w:rPr>
          <w:rFonts w:ascii="Verdana" w:hAnsi="Verdana"/>
          <w:sz w:val="20"/>
          <w:szCs w:val="20"/>
          <w:lang w:val="es-ES"/>
        </w:rPr>
        <w:t xml:space="preserve"> E</w:t>
      </w:r>
      <w:r w:rsidR="0084445F" w:rsidRPr="00CF7FE6">
        <w:rPr>
          <w:rFonts w:ascii="Verdana" w:hAnsi="Verdana"/>
          <w:sz w:val="20"/>
          <w:szCs w:val="20"/>
          <w:lang w:val="es-ES"/>
        </w:rPr>
        <w:t>n la correspondiente votación, e</w:t>
      </w:r>
      <w:r w:rsidRPr="00CF7FE6">
        <w:rPr>
          <w:rFonts w:ascii="Verdana" w:hAnsi="Verdana"/>
          <w:sz w:val="20"/>
          <w:szCs w:val="20"/>
          <w:lang w:val="es-ES"/>
        </w:rPr>
        <w:t>l primero</w:t>
      </w:r>
      <w:r w:rsidR="0001016B" w:rsidRPr="00CF7FE6">
        <w:rPr>
          <w:rFonts w:ascii="Verdana" w:hAnsi="Verdana"/>
          <w:sz w:val="20"/>
          <w:szCs w:val="20"/>
          <w:lang w:val="es-ES"/>
        </w:rPr>
        <w:t xml:space="preserve"> </w:t>
      </w:r>
      <w:r w:rsidR="0084445F" w:rsidRPr="00CF7FE6">
        <w:rPr>
          <w:rFonts w:ascii="Verdana" w:hAnsi="Verdana"/>
          <w:sz w:val="20"/>
          <w:szCs w:val="20"/>
          <w:lang w:val="es-ES"/>
        </w:rPr>
        <w:t xml:space="preserve">fue </w:t>
      </w:r>
      <w:r w:rsidR="00515B78" w:rsidRPr="00CF7FE6">
        <w:rPr>
          <w:rFonts w:ascii="Verdana" w:hAnsi="Verdana"/>
          <w:sz w:val="20"/>
          <w:szCs w:val="20"/>
          <w:lang w:val="es-ES"/>
        </w:rPr>
        <w:t>incluido en el tex</w:t>
      </w:r>
      <w:r w:rsidR="0001016B" w:rsidRPr="00CF7FE6">
        <w:rPr>
          <w:rFonts w:ascii="Verdana" w:hAnsi="Verdana"/>
          <w:sz w:val="20"/>
          <w:szCs w:val="20"/>
          <w:lang w:val="es-ES"/>
        </w:rPr>
        <w:t>to definitivo de la Convención, como artículo 26.</w:t>
      </w:r>
      <w:r w:rsidRPr="00CF7FE6">
        <w:rPr>
          <w:rFonts w:ascii="Verdana" w:hAnsi="Verdana"/>
          <w:sz w:val="20"/>
          <w:szCs w:val="20"/>
          <w:lang w:val="es-ES"/>
        </w:rPr>
        <w:t xml:space="preserve"> E</w:t>
      </w:r>
      <w:r w:rsidR="00515B78" w:rsidRPr="00CF7FE6">
        <w:rPr>
          <w:rFonts w:ascii="Verdana" w:hAnsi="Verdana"/>
          <w:sz w:val="20"/>
          <w:szCs w:val="20"/>
          <w:lang w:val="es-ES"/>
        </w:rPr>
        <w:t>l segundo</w:t>
      </w:r>
      <w:r w:rsidR="00C362A2" w:rsidRPr="00CF7FE6">
        <w:rPr>
          <w:rFonts w:ascii="Verdana" w:hAnsi="Verdana"/>
          <w:sz w:val="20"/>
          <w:szCs w:val="20"/>
          <w:lang w:val="es-ES"/>
        </w:rPr>
        <w:t xml:space="preserve">, </w:t>
      </w:r>
      <w:r w:rsidRPr="00CF7FE6">
        <w:rPr>
          <w:rFonts w:ascii="Verdana" w:hAnsi="Verdana"/>
          <w:sz w:val="20"/>
          <w:szCs w:val="20"/>
          <w:lang w:val="es-ES"/>
        </w:rPr>
        <w:t>que era el art</w:t>
      </w:r>
      <w:r w:rsidR="00C362A2" w:rsidRPr="00CF7FE6">
        <w:rPr>
          <w:rFonts w:ascii="Verdana" w:hAnsi="Verdana"/>
          <w:sz w:val="20"/>
          <w:szCs w:val="20"/>
          <w:lang w:val="es-ES"/>
        </w:rPr>
        <w:t>ículo 27,</w:t>
      </w:r>
      <w:r w:rsidR="00515B78" w:rsidRPr="00CF7FE6">
        <w:rPr>
          <w:rFonts w:ascii="Verdana" w:hAnsi="Verdana"/>
          <w:sz w:val="20"/>
          <w:szCs w:val="20"/>
          <w:lang w:val="es-ES"/>
        </w:rPr>
        <w:t xml:space="preserve"> </w:t>
      </w:r>
      <w:r w:rsidR="00C362A2" w:rsidRPr="00CF7FE6">
        <w:rPr>
          <w:rFonts w:ascii="Verdana" w:hAnsi="Verdana"/>
          <w:sz w:val="20"/>
          <w:szCs w:val="20"/>
          <w:lang w:val="es-ES"/>
        </w:rPr>
        <w:t>establecía</w:t>
      </w:r>
      <w:r w:rsidRPr="00CF7FE6">
        <w:rPr>
          <w:rFonts w:ascii="Verdana" w:hAnsi="Verdana"/>
          <w:sz w:val="20"/>
          <w:szCs w:val="20"/>
          <w:lang w:val="es-ES"/>
        </w:rPr>
        <w:t>: “</w:t>
      </w:r>
      <w:r w:rsidR="00515B78" w:rsidRPr="00CF7FE6">
        <w:rPr>
          <w:rFonts w:ascii="Verdana" w:hAnsi="Verdana"/>
          <w:i/>
          <w:sz w:val="20"/>
          <w:szCs w:val="20"/>
          <w:lang w:val="es-ES"/>
        </w:rPr>
        <w:t>Control del Cumplimiento de las Obligaciones</w:t>
      </w:r>
      <w:r w:rsidRPr="00CF7FE6">
        <w:rPr>
          <w:rFonts w:ascii="Verdana" w:hAnsi="Verdana"/>
          <w:i/>
          <w:sz w:val="20"/>
          <w:szCs w:val="20"/>
          <w:lang w:val="es-ES"/>
        </w:rPr>
        <w:t xml:space="preserve">. </w:t>
      </w:r>
      <w:r w:rsidR="00515B78" w:rsidRPr="00CF7FE6">
        <w:rPr>
          <w:rFonts w:ascii="Verdana" w:hAnsi="Verdana"/>
          <w:i/>
          <w:sz w:val="20"/>
          <w:szCs w:val="20"/>
          <w:lang w:val="es-ES"/>
        </w:rPr>
        <w:t>Los Estados Partes deben remitir a la Comisión Interamericana de Derechos Humanos copia de los informes y estudios que en sus respectivos campos someten anualmente a las Comisiones Ejecutivas del Consejo Interamericano Económico y Social y del Consejo Interamericano para la Educación, la Ciencia y la Cultura, a fin de que aquélla verifique si se están cumpliendo las obligaciones antes determinadas, que son la sustentación indispensable para el ejercicio de los otros derechos consagrados en esta Convención.</w:t>
      </w:r>
      <w:r w:rsidR="00C362A2" w:rsidRPr="00CF7FE6">
        <w:rPr>
          <w:rFonts w:ascii="Verdana" w:hAnsi="Verdana"/>
          <w:sz w:val="20"/>
          <w:szCs w:val="20"/>
          <w:lang w:val="es-ES"/>
        </w:rPr>
        <w:t xml:space="preserve">” </w:t>
      </w:r>
    </w:p>
    <w:p w14:paraId="65E139ED" w14:textId="77777777" w:rsidR="00432286" w:rsidRDefault="00432286" w:rsidP="00EB7CE1">
      <w:pPr>
        <w:spacing w:after="0" w:line="240" w:lineRule="auto"/>
        <w:jc w:val="both"/>
        <w:rPr>
          <w:rFonts w:ascii="Verdana" w:hAnsi="Verdana"/>
          <w:sz w:val="20"/>
          <w:szCs w:val="20"/>
          <w:lang w:val="es-ES"/>
        </w:rPr>
      </w:pPr>
    </w:p>
    <w:p w14:paraId="0C78352F" w14:textId="77777777" w:rsidR="00515B78" w:rsidRPr="00CF7FE6" w:rsidRDefault="00432286" w:rsidP="00EB7CE1">
      <w:pPr>
        <w:spacing w:after="0" w:line="240" w:lineRule="auto"/>
        <w:jc w:val="both"/>
        <w:rPr>
          <w:rFonts w:ascii="Verdana" w:hAnsi="Verdana"/>
          <w:sz w:val="20"/>
          <w:szCs w:val="20"/>
          <w:lang w:val="es-ES"/>
        </w:rPr>
      </w:pPr>
      <w:r>
        <w:rPr>
          <w:rFonts w:ascii="Verdana" w:hAnsi="Verdana"/>
          <w:sz w:val="20"/>
          <w:szCs w:val="20"/>
          <w:lang w:val="es-ES"/>
        </w:rPr>
        <w:t>Nótese</w:t>
      </w:r>
      <w:r w:rsidR="00B10612" w:rsidRPr="00CF7FE6">
        <w:rPr>
          <w:rFonts w:ascii="Verdana" w:hAnsi="Verdana"/>
          <w:sz w:val="20"/>
          <w:szCs w:val="20"/>
          <w:lang w:val="es-ES"/>
        </w:rPr>
        <w:t>,</w:t>
      </w:r>
      <w:r>
        <w:rPr>
          <w:rFonts w:ascii="Verdana" w:hAnsi="Verdana"/>
          <w:sz w:val="20"/>
          <w:szCs w:val="20"/>
          <w:lang w:val="es-ES"/>
        </w:rPr>
        <w:t xml:space="preserve"> al efecto, que la </w:t>
      </w:r>
      <w:r w:rsidR="0001016B" w:rsidRPr="00CF7FE6">
        <w:rPr>
          <w:rFonts w:ascii="Verdana" w:hAnsi="Verdana"/>
          <w:sz w:val="20"/>
          <w:szCs w:val="20"/>
          <w:lang w:val="es-ES"/>
        </w:rPr>
        <w:t xml:space="preserve">proposición </w:t>
      </w:r>
      <w:r>
        <w:rPr>
          <w:rFonts w:ascii="Verdana" w:hAnsi="Verdana"/>
          <w:sz w:val="20"/>
          <w:szCs w:val="20"/>
          <w:lang w:val="es-ES"/>
        </w:rPr>
        <w:t xml:space="preserve">relativa al mencionado artículo 27 </w:t>
      </w:r>
      <w:r w:rsidR="00B10612" w:rsidRPr="00CF7FE6">
        <w:rPr>
          <w:rFonts w:ascii="Verdana" w:hAnsi="Verdana"/>
          <w:sz w:val="20"/>
          <w:szCs w:val="20"/>
          <w:lang w:val="es-ES"/>
        </w:rPr>
        <w:t>distinguía entre “</w:t>
      </w:r>
      <w:r w:rsidR="000D1022" w:rsidRPr="00CF7FE6">
        <w:rPr>
          <w:rFonts w:ascii="Verdana" w:hAnsi="Verdana"/>
          <w:i/>
          <w:sz w:val="20"/>
          <w:szCs w:val="20"/>
          <w:lang w:val="es-ES"/>
        </w:rPr>
        <w:t>las obligaciones antes determinadas</w:t>
      </w:r>
      <w:r w:rsidR="00B10612" w:rsidRPr="00CF7FE6">
        <w:rPr>
          <w:rFonts w:ascii="Verdana" w:hAnsi="Verdana"/>
          <w:sz w:val="20"/>
          <w:szCs w:val="20"/>
          <w:lang w:val="es-ES"/>
        </w:rPr>
        <w:t>”, obviamente en el artículo 26,</w:t>
      </w:r>
      <w:r w:rsidR="000D1022" w:rsidRPr="00CF7FE6">
        <w:rPr>
          <w:rFonts w:ascii="Verdana" w:hAnsi="Verdana"/>
          <w:sz w:val="20"/>
          <w:szCs w:val="20"/>
          <w:lang w:val="es-ES"/>
        </w:rPr>
        <w:t xml:space="preserve"> y “</w:t>
      </w:r>
      <w:r w:rsidR="000D1022" w:rsidRPr="00CF7FE6">
        <w:rPr>
          <w:rFonts w:ascii="Verdana" w:hAnsi="Verdana"/>
          <w:i/>
          <w:sz w:val="20"/>
          <w:szCs w:val="20"/>
          <w:lang w:val="es-ES"/>
        </w:rPr>
        <w:t>los otros derechos consagrados en esta Convención</w:t>
      </w:r>
      <w:r w:rsidR="000D1022" w:rsidRPr="00CF7FE6">
        <w:rPr>
          <w:rFonts w:ascii="Verdana" w:hAnsi="Verdana"/>
          <w:sz w:val="20"/>
          <w:szCs w:val="20"/>
          <w:lang w:val="es-ES"/>
        </w:rPr>
        <w:t xml:space="preserve">”. </w:t>
      </w:r>
      <w:r w:rsidR="00292A5F">
        <w:rPr>
          <w:rFonts w:ascii="Verdana" w:hAnsi="Verdana"/>
          <w:sz w:val="20"/>
          <w:szCs w:val="20"/>
          <w:lang w:val="es-ES"/>
        </w:rPr>
        <w:t xml:space="preserve">Téngase presente, además, que dicho </w:t>
      </w:r>
      <w:r w:rsidR="004E2F42" w:rsidRPr="00CF7FE6">
        <w:rPr>
          <w:rFonts w:ascii="Verdana" w:hAnsi="Verdana"/>
          <w:sz w:val="20"/>
          <w:szCs w:val="20"/>
          <w:lang w:val="es-ES"/>
        </w:rPr>
        <w:t xml:space="preserve">artículo </w:t>
      </w:r>
      <w:r w:rsidR="005E21EE" w:rsidRPr="00CF7FE6">
        <w:rPr>
          <w:rFonts w:ascii="Verdana" w:hAnsi="Verdana"/>
          <w:sz w:val="20"/>
          <w:szCs w:val="20"/>
          <w:lang w:val="es-ES"/>
        </w:rPr>
        <w:t>fue</w:t>
      </w:r>
      <w:r w:rsidR="00B10612" w:rsidRPr="00CF7FE6">
        <w:rPr>
          <w:rFonts w:ascii="Verdana" w:hAnsi="Verdana"/>
          <w:sz w:val="20"/>
          <w:szCs w:val="20"/>
          <w:lang w:val="es-ES"/>
        </w:rPr>
        <w:t>, empero,</w:t>
      </w:r>
      <w:r w:rsidR="005E21EE" w:rsidRPr="00CF7FE6">
        <w:rPr>
          <w:rFonts w:ascii="Verdana" w:hAnsi="Verdana"/>
          <w:sz w:val="20"/>
          <w:szCs w:val="20"/>
          <w:lang w:val="es-ES"/>
        </w:rPr>
        <w:t xml:space="preserve"> supr</w:t>
      </w:r>
      <w:r w:rsidR="0084445F" w:rsidRPr="00CF7FE6">
        <w:rPr>
          <w:rFonts w:ascii="Verdana" w:hAnsi="Verdana"/>
          <w:sz w:val="20"/>
          <w:szCs w:val="20"/>
          <w:lang w:val="es-ES"/>
        </w:rPr>
        <w:t>im</w:t>
      </w:r>
      <w:r w:rsidR="005E21EE" w:rsidRPr="00CF7FE6">
        <w:rPr>
          <w:rFonts w:ascii="Verdana" w:hAnsi="Verdana"/>
          <w:sz w:val="20"/>
          <w:szCs w:val="20"/>
          <w:lang w:val="es-ES"/>
        </w:rPr>
        <w:t>ido</w:t>
      </w:r>
      <w:r w:rsidR="00C362A2" w:rsidRPr="00CF7FE6">
        <w:rPr>
          <w:rFonts w:ascii="Verdana" w:hAnsi="Verdana"/>
          <w:sz w:val="20"/>
          <w:szCs w:val="20"/>
          <w:lang w:val="es-ES"/>
        </w:rPr>
        <w:t xml:space="preserve">, de </w:t>
      </w:r>
      <w:r w:rsidR="00292A5F">
        <w:rPr>
          <w:rFonts w:ascii="Verdana" w:hAnsi="Verdana"/>
          <w:sz w:val="20"/>
          <w:szCs w:val="20"/>
          <w:lang w:val="es-ES"/>
        </w:rPr>
        <w:t>todo lo cual</w:t>
      </w:r>
      <w:r w:rsidR="00C362A2" w:rsidRPr="00CF7FE6">
        <w:rPr>
          <w:rFonts w:ascii="Verdana" w:hAnsi="Verdana"/>
          <w:sz w:val="20"/>
          <w:szCs w:val="20"/>
          <w:lang w:val="es-ES"/>
        </w:rPr>
        <w:t xml:space="preserve"> se concluye que en momento alguno </w:t>
      </w:r>
      <w:r w:rsidR="00C362A2" w:rsidRPr="00CF7FE6">
        <w:rPr>
          <w:rFonts w:ascii="Verdana" w:hAnsi="Verdana"/>
          <w:sz w:val="20"/>
          <w:szCs w:val="20"/>
          <w:lang w:val="es-ES"/>
        </w:rPr>
        <w:lastRenderedPageBreak/>
        <w:t>se incluyó a los derechos económicos, sociales y culturales que se “</w:t>
      </w:r>
      <w:r w:rsidR="00C362A2" w:rsidRPr="00CF7FE6">
        <w:rPr>
          <w:rFonts w:ascii="Verdana" w:hAnsi="Verdana"/>
          <w:i/>
          <w:sz w:val="20"/>
          <w:szCs w:val="20"/>
          <w:lang w:val="es-ES"/>
        </w:rPr>
        <w:t>derivan</w:t>
      </w:r>
      <w:r w:rsidR="00C362A2" w:rsidRPr="00CF7FE6">
        <w:rPr>
          <w:rFonts w:ascii="Verdana" w:hAnsi="Verdana"/>
          <w:sz w:val="20"/>
          <w:szCs w:val="20"/>
          <w:lang w:val="es-ES"/>
        </w:rPr>
        <w:t>” de las normas de la Carta de la OEA, entre ellos</w:t>
      </w:r>
      <w:r w:rsidR="004E2F42" w:rsidRPr="00CF7FE6">
        <w:rPr>
          <w:rFonts w:ascii="Verdana" w:hAnsi="Verdana"/>
          <w:sz w:val="20"/>
          <w:szCs w:val="20"/>
          <w:lang w:val="es-ES"/>
        </w:rPr>
        <w:t>,</w:t>
      </w:r>
      <w:r w:rsidR="00C362A2" w:rsidRPr="00CF7FE6">
        <w:rPr>
          <w:rFonts w:ascii="Verdana" w:hAnsi="Verdana"/>
          <w:sz w:val="20"/>
          <w:szCs w:val="20"/>
          <w:lang w:val="es-ES"/>
        </w:rPr>
        <w:t xml:space="preserve"> el</w:t>
      </w:r>
      <w:r w:rsidR="004D7089" w:rsidRPr="00CF7FE6">
        <w:rPr>
          <w:rFonts w:ascii="Verdana" w:hAnsi="Verdana"/>
          <w:sz w:val="20"/>
          <w:szCs w:val="20"/>
          <w:lang w:val="es-ES"/>
        </w:rPr>
        <w:t xml:space="preserve"> </w:t>
      </w:r>
      <w:r w:rsidR="00C362A2" w:rsidRPr="00CF7FE6">
        <w:rPr>
          <w:rFonts w:ascii="Verdana" w:hAnsi="Verdana"/>
          <w:sz w:val="20"/>
          <w:szCs w:val="20"/>
          <w:lang w:val="es-ES"/>
        </w:rPr>
        <w:t>derecho a la estabilidad en el empleo, en el régimen de protección de los derechos civiles y políticos “</w:t>
      </w:r>
      <w:r w:rsidR="00572724" w:rsidRPr="00CF7FE6">
        <w:rPr>
          <w:rFonts w:ascii="Verdana" w:hAnsi="Verdana"/>
          <w:i/>
          <w:sz w:val="20"/>
          <w:szCs w:val="20"/>
          <w:lang w:val="es-ES"/>
        </w:rPr>
        <w:t xml:space="preserve">reconocidos” </w:t>
      </w:r>
      <w:r w:rsidR="002742BE">
        <w:rPr>
          <w:rFonts w:ascii="Verdana" w:hAnsi="Verdana"/>
          <w:sz w:val="20"/>
          <w:szCs w:val="20"/>
          <w:lang w:val="es-ES"/>
        </w:rPr>
        <w:t>en</w:t>
      </w:r>
      <w:r w:rsidR="00C362A2" w:rsidRPr="00CF7FE6">
        <w:rPr>
          <w:rFonts w:ascii="Verdana" w:hAnsi="Verdana"/>
          <w:sz w:val="20"/>
          <w:szCs w:val="20"/>
          <w:lang w:val="es-ES"/>
        </w:rPr>
        <w:t xml:space="preserve"> la Convención. </w:t>
      </w:r>
    </w:p>
    <w:p w14:paraId="25E63EEF" w14:textId="77777777" w:rsidR="004714BF" w:rsidRPr="00CF7FE6" w:rsidRDefault="004714BF" w:rsidP="00EB7CE1">
      <w:pPr>
        <w:spacing w:after="0" w:line="240" w:lineRule="auto"/>
        <w:jc w:val="both"/>
        <w:rPr>
          <w:rFonts w:ascii="Verdana" w:hAnsi="Verdana"/>
          <w:sz w:val="20"/>
          <w:szCs w:val="20"/>
          <w:lang w:val="es-ES"/>
        </w:rPr>
      </w:pPr>
    </w:p>
    <w:p w14:paraId="72D9A357" w14:textId="77777777" w:rsidR="00E26B58" w:rsidRPr="00292A5F" w:rsidRDefault="00E26B58" w:rsidP="00EB7CE1">
      <w:pPr>
        <w:pStyle w:val="ListParagraph"/>
        <w:numPr>
          <w:ilvl w:val="0"/>
          <w:numId w:val="9"/>
        </w:numPr>
        <w:spacing w:after="0" w:line="240" w:lineRule="auto"/>
        <w:jc w:val="both"/>
        <w:rPr>
          <w:rFonts w:ascii="Verdana" w:hAnsi="Verdana"/>
          <w:b/>
          <w:sz w:val="20"/>
          <w:szCs w:val="20"/>
          <w:lang w:val="es-ES"/>
        </w:rPr>
      </w:pPr>
      <w:r w:rsidRPr="00292A5F">
        <w:rPr>
          <w:rFonts w:ascii="Verdana" w:hAnsi="Verdana"/>
          <w:b/>
          <w:sz w:val="20"/>
          <w:szCs w:val="20"/>
          <w:lang w:val="es-ES"/>
        </w:rPr>
        <w:t>Los derechos que se derivan de las normas económicas, sociales y sobre educación, ciencia y cultura, contenidas en la Carta de la OEA.</w:t>
      </w:r>
    </w:p>
    <w:p w14:paraId="225C46F4" w14:textId="77777777" w:rsidR="00526B54" w:rsidRPr="00CF7FE6" w:rsidRDefault="00526B54" w:rsidP="00EB7CE1">
      <w:pPr>
        <w:spacing w:after="0" w:line="240" w:lineRule="auto"/>
        <w:jc w:val="both"/>
        <w:rPr>
          <w:rFonts w:ascii="Verdana" w:hAnsi="Verdana"/>
          <w:b/>
          <w:sz w:val="20"/>
          <w:szCs w:val="20"/>
          <w:lang w:val="es-ES"/>
        </w:rPr>
      </w:pPr>
    </w:p>
    <w:p w14:paraId="491ACC57" w14:textId="77777777" w:rsidR="00E26B58" w:rsidRPr="00CF7FE6" w:rsidRDefault="00E26B58" w:rsidP="00EB7CE1">
      <w:pPr>
        <w:spacing w:after="0" w:line="240" w:lineRule="auto"/>
        <w:jc w:val="both"/>
        <w:rPr>
          <w:rFonts w:ascii="Verdana" w:hAnsi="Verdana"/>
          <w:sz w:val="20"/>
          <w:szCs w:val="20"/>
          <w:lang w:val="es-ES"/>
        </w:rPr>
      </w:pPr>
      <w:r w:rsidRPr="00CF7FE6">
        <w:rPr>
          <w:rFonts w:ascii="Verdana" w:hAnsi="Verdana"/>
          <w:sz w:val="20"/>
          <w:szCs w:val="20"/>
          <w:lang w:val="es-ES"/>
        </w:rPr>
        <w:t>La Sentencia ha evocado a los artículos 45.b</w:t>
      </w:r>
      <w:r w:rsidR="00146B15" w:rsidRPr="00CF7FE6">
        <w:rPr>
          <w:rFonts w:ascii="Verdana" w:hAnsi="Verdana"/>
          <w:sz w:val="20"/>
          <w:szCs w:val="20"/>
          <w:lang w:val="es-ES"/>
        </w:rPr>
        <w:t xml:space="preserve"> y c</w:t>
      </w:r>
      <w:r w:rsidR="00EE0931" w:rsidRPr="00CF7FE6">
        <w:rPr>
          <w:rStyle w:val="FootnoteReference"/>
          <w:rFonts w:ascii="Verdana" w:hAnsi="Verdana"/>
          <w:sz w:val="20"/>
          <w:szCs w:val="20"/>
          <w:lang w:val="es-ES"/>
        </w:rPr>
        <w:footnoteReference w:id="50"/>
      </w:r>
      <w:r w:rsidR="00146B15" w:rsidRPr="00CF7FE6">
        <w:rPr>
          <w:rFonts w:ascii="Verdana" w:hAnsi="Verdana"/>
          <w:sz w:val="20"/>
          <w:szCs w:val="20"/>
          <w:lang w:val="es-ES"/>
        </w:rPr>
        <w:t>.</w:t>
      </w:r>
      <w:r w:rsidR="00EE0931" w:rsidRPr="00CF7FE6">
        <w:rPr>
          <w:rFonts w:ascii="Verdana" w:hAnsi="Verdana"/>
          <w:sz w:val="20"/>
          <w:szCs w:val="20"/>
          <w:lang w:val="es-ES"/>
        </w:rPr>
        <w:t xml:space="preserve"> </w:t>
      </w:r>
      <w:r w:rsidRPr="00CF7FE6">
        <w:rPr>
          <w:rFonts w:ascii="Verdana" w:hAnsi="Verdana"/>
          <w:sz w:val="20"/>
          <w:szCs w:val="20"/>
          <w:lang w:val="es-ES"/>
        </w:rPr>
        <w:t>46</w:t>
      </w:r>
      <w:r w:rsidR="00EE0931" w:rsidRPr="00CF7FE6">
        <w:rPr>
          <w:rStyle w:val="FootnoteReference"/>
          <w:rFonts w:ascii="Verdana" w:hAnsi="Verdana"/>
          <w:sz w:val="20"/>
          <w:szCs w:val="20"/>
          <w:lang w:val="es-ES"/>
        </w:rPr>
        <w:footnoteReference w:id="51"/>
      </w:r>
      <w:r w:rsidRPr="00CF7FE6">
        <w:rPr>
          <w:rFonts w:ascii="Verdana" w:hAnsi="Verdana"/>
          <w:sz w:val="20"/>
          <w:szCs w:val="20"/>
          <w:lang w:val="es-ES"/>
        </w:rPr>
        <w:t xml:space="preserve">  y 34.g</w:t>
      </w:r>
      <w:r w:rsidR="00EE0931" w:rsidRPr="00CF7FE6">
        <w:rPr>
          <w:rStyle w:val="FootnoteReference"/>
          <w:rFonts w:ascii="Verdana" w:hAnsi="Verdana"/>
          <w:sz w:val="20"/>
          <w:szCs w:val="20"/>
          <w:lang w:val="es-ES"/>
        </w:rPr>
        <w:footnoteReference w:id="52"/>
      </w:r>
      <w:r w:rsidRPr="00CF7FE6">
        <w:rPr>
          <w:rFonts w:ascii="Verdana" w:hAnsi="Verdana"/>
          <w:sz w:val="20"/>
          <w:szCs w:val="20"/>
          <w:lang w:val="es-ES"/>
        </w:rPr>
        <w:t xml:space="preserve">  de la Carta de la OEA para pronunciarse respecto del derecho del trabajo y más específicamente</w:t>
      </w:r>
      <w:r w:rsidR="002F2B90">
        <w:rPr>
          <w:rFonts w:ascii="Verdana" w:hAnsi="Verdana"/>
          <w:sz w:val="20"/>
          <w:szCs w:val="20"/>
          <w:lang w:val="es-ES"/>
        </w:rPr>
        <w:t>,</w:t>
      </w:r>
      <w:r w:rsidRPr="00CF7FE6">
        <w:rPr>
          <w:rFonts w:ascii="Verdana" w:hAnsi="Verdana"/>
          <w:sz w:val="20"/>
          <w:szCs w:val="20"/>
          <w:lang w:val="es-ES"/>
        </w:rPr>
        <w:t xml:space="preserve"> del derecho a la estabilid</w:t>
      </w:r>
      <w:r w:rsidR="00247B4A">
        <w:rPr>
          <w:rFonts w:ascii="Verdana" w:hAnsi="Verdana"/>
          <w:sz w:val="20"/>
          <w:szCs w:val="20"/>
          <w:lang w:val="es-ES"/>
        </w:rPr>
        <w:t>ad en el empleo.  Tales disposiciones</w:t>
      </w:r>
      <w:r w:rsidRPr="00CF7FE6">
        <w:rPr>
          <w:rFonts w:ascii="Verdana" w:hAnsi="Verdana"/>
          <w:sz w:val="20"/>
          <w:szCs w:val="20"/>
          <w:lang w:val="es-ES"/>
        </w:rPr>
        <w:t xml:space="preserve">, sin embargo, </w:t>
      </w:r>
      <w:r w:rsidR="00247B4A">
        <w:rPr>
          <w:rFonts w:ascii="Verdana" w:hAnsi="Verdana"/>
          <w:sz w:val="20"/>
          <w:szCs w:val="20"/>
          <w:lang w:val="es-ES"/>
        </w:rPr>
        <w:t xml:space="preserve">disponen sea </w:t>
      </w:r>
      <w:r w:rsidRPr="00CF7FE6">
        <w:rPr>
          <w:rFonts w:ascii="Verdana" w:hAnsi="Verdana"/>
          <w:sz w:val="20"/>
          <w:szCs w:val="20"/>
          <w:lang w:val="es-ES"/>
        </w:rPr>
        <w:t>un “</w:t>
      </w:r>
      <w:r w:rsidRPr="00CF7FE6">
        <w:rPr>
          <w:rFonts w:ascii="Verdana" w:hAnsi="Verdana"/>
          <w:i/>
          <w:sz w:val="20"/>
          <w:szCs w:val="20"/>
          <w:lang w:val="es-ES"/>
        </w:rPr>
        <w:t>principio y mecani</w:t>
      </w:r>
      <w:r w:rsidRPr="00CF7FE6">
        <w:rPr>
          <w:rFonts w:ascii="Verdana" w:hAnsi="Verdana"/>
          <w:sz w:val="20"/>
          <w:szCs w:val="20"/>
          <w:lang w:val="es-ES"/>
        </w:rPr>
        <w:t>smo” para “</w:t>
      </w:r>
      <w:r w:rsidRPr="00CF7FE6">
        <w:rPr>
          <w:rFonts w:ascii="Verdana" w:hAnsi="Verdana"/>
          <w:i/>
          <w:sz w:val="20"/>
          <w:szCs w:val="20"/>
          <w:lang w:val="es-ES"/>
        </w:rPr>
        <w:t>alcanzar la plena realización de sus aspiraciones dentro de un orden social justo, acompañado de desarrollo económico y verdadera paz</w:t>
      </w:r>
      <w:r w:rsidR="00EE0931" w:rsidRPr="00CF7FE6">
        <w:rPr>
          <w:rFonts w:ascii="Verdana" w:hAnsi="Verdana"/>
          <w:sz w:val="20"/>
          <w:szCs w:val="20"/>
          <w:lang w:val="es-ES"/>
        </w:rPr>
        <w:t>”</w:t>
      </w:r>
      <w:r w:rsidR="00247B4A">
        <w:rPr>
          <w:rFonts w:ascii="Verdana" w:hAnsi="Verdana"/>
          <w:sz w:val="20"/>
          <w:szCs w:val="20"/>
          <w:lang w:val="es-ES"/>
        </w:rPr>
        <w:t xml:space="preserve">, sea </w:t>
      </w:r>
      <w:r w:rsidRPr="00CF7FE6">
        <w:rPr>
          <w:rFonts w:ascii="Verdana" w:hAnsi="Verdana"/>
          <w:sz w:val="20"/>
          <w:szCs w:val="20"/>
          <w:lang w:val="es-ES"/>
        </w:rPr>
        <w:t>una “</w:t>
      </w:r>
      <w:r w:rsidRPr="00CF7FE6">
        <w:rPr>
          <w:rFonts w:ascii="Verdana" w:hAnsi="Verdana"/>
          <w:i/>
          <w:sz w:val="20"/>
          <w:szCs w:val="20"/>
          <w:lang w:val="es-ES"/>
        </w:rPr>
        <w:t>finalidad</w:t>
      </w:r>
      <w:r w:rsidRPr="00CF7FE6">
        <w:rPr>
          <w:rFonts w:ascii="Verdana" w:hAnsi="Verdana"/>
          <w:sz w:val="20"/>
          <w:szCs w:val="20"/>
          <w:lang w:val="es-ES"/>
        </w:rPr>
        <w:t>”</w:t>
      </w:r>
      <w:r w:rsidR="00524B78" w:rsidRPr="00CF7FE6">
        <w:rPr>
          <w:rFonts w:ascii="Verdana" w:hAnsi="Verdana"/>
          <w:sz w:val="20"/>
          <w:szCs w:val="20"/>
          <w:lang w:val="es-ES"/>
        </w:rPr>
        <w:t xml:space="preserve"> </w:t>
      </w:r>
      <w:r w:rsidRPr="00CF7FE6">
        <w:rPr>
          <w:rFonts w:ascii="Verdana" w:hAnsi="Verdana"/>
          <w:sz w:val="20"/>
          <w:szCs w:val="20"/>
          <w:lang w:val="es-ES"/>
        </w:rPr>
        <w:t>a fin de facilitar el proceso de integ</w:t>
      </w:r>
      <w:r w:rsidR="00EE0931" w:rsidRPr="00CF7FE6">
        <w:rPr>
          <w:rFonts w:ascii="Verdana" w:hAnsi="Verdana"/>
          <w:sz w:val="20"/>
          <w:szCs w:val="20"/>
          <w:lang w:val="es-ES"/>
        </w:rPr>
        <w:t>ración regional latinoamericana</w:t>
      </w:r>
      <w:r w:rsidR="00247B4A">
        <w:rPr>
          <w:rFonts w:ascii="Verdana" w:hAnsi="Verdana"/>
          <w:sz w:val="20"/>
          <w:szCs w:val="20"/>
          <w:lang w:val="es-ES"/>
        </w:rPr>
        <w:t xml:space="preserve">, sea </w:t>
      </w:r>
      <w:r w:rsidRPr="00CF7FE6">
        <w:rPr>
          <w:rFonts w:ascii="Verdana" w:hAnsi="Verdana"/>
          <w:sz w:val="20"/>
          <w:szCs w:val="20"/>
          <w:lang w:val="es-ES"/>
        </w:rPr>
        <w:t>una “</w:t>
      </w:r>
      <w:r w:rsidRPr="00CF7FE6">
        <w:rPr>
          <w:rFonts w:ascii="Verdana" w:hAnsi="Verdana"/>
          <w:i/>
          <w:sz w:val="20"/>
          <w:szCs w:val="20"/>
          <w:lang w:val="es-ES"/>
        </w:rPr>
        <w:t>meta</w:t>
      </w:r>
      <w:r w:rsidR="002F2B90">
        <w:rPr>
          <w:rFonts w:ascii="Verdana" w:hAnsi="Verdana"/>
          <w:i/>
          <w:sz w:val="20"/>
          <w:szCs w:val="20"/>
          <w:lang w:val="es-ES"/>
        </w:rPr>
        <w:t xml:space="preserve"> básica</w:t>
      </w:r>
      <w:r w:rsidRPr="00CF7FE6">
        <w:rPr>
          <w:rFonts w:ascii="Verdana" w:hAnsi="Verdana"/>
          <w:sz w:val="20"/>
          <w:szCs w:val="20"/>
          <w:lang w:val="es-ES"/>
        </w:rPr>
        <w:t>” para alcanzar “</w:t>
      </w:r>
      <w:r w:rsidRPr="00CF7FE6">
        <w:rPr>
          <w:rFonts w:ascii="Verdana" w:hAnsi="Verdana"/>
          <w:i/>
          <w:sz w:val="20"/>
          <w:szCs w:val="20"/>
          <w:lang w:val="es-ES"/>
        </w:rPr>
        <w:t>objetivos básicos del desarrollo integra</w:t>
      </w:r>
      <w:r w:rsidR="00EE0931" w:rsidRPr="00CF7FE6">
        <w:rPr>
          <w:rFonts w:ascii="Verdana" w:hAnsi="Verdana"/>
          <w:sz w:val="20"/>
          <w:szCs w:val="20"/>
          <w:lang w:val="es-ES"/>
        </w:rPr>
        <w:t xml:space="preserve">l” </w:t>
      </w:r>
      <w:r w:rsidR="00247B4A">
        <w:rPr>
          <w:rFonts w:ascii="Verdana" w:hAnsi="Verdana"/>
          <w:sz w:val="20"/>
          <w:szCs w:val="20"/>
          <w:lang w:val="es-ES"/>
        </w:rPr>
        <w:t xml:space="preserve">y en todas esas hipótesis, disponen </w:t>
      </w:r>
      <w:r w:rsidRPr="00CF7FE6">
        <w:rPr>
          <w:rFonts w:ascii="Verdana" w:hAnsi="Verdana"/>
          <w:sz w:val="20"/>
          <w:szCs w:val="20"/>
          <w:lang w:val="es-ES"/>
        </w:rPr>
        <w:t>una obligación de comportamiento que se expresa en la dedicación de los “</w:t>
      </w:r>
      <w:r w:rsidRPr="00CF7FE6">
        <w:rPr>
          <w:rFonts w:ascii="Verdana" w:hAnsi="Verdana"/>
          <w:i/>
          <w:sz w:val="20"/>
          <w:szCs w:val="20"/>
          <w:lang w:val="es-ES"/>
        </w:rPr>
        <w:t>máximos esfuerzos</w:t>
      </w:r>
      <w:r w:rsidRPr="00CF7FE6">
        <w:rPr>
          <w:rFonts w:ascii="Verdana" w:hAnsi="Verdana"/>
          <w:sz w:val="20"/>
          <w:szCs w:val="20"/>
          <w:lang w:val="es-ES"/>
        </w:rPr>
        <w:t>” para alcanzar los objetivos indicados.</w:t>
      </w:r>
    </w:p>
    <w:p w14:paraId="241E0D4F" w14:textId="77777777" w:rsidR="00526B54" w:rsidRPr="00CF7FE6" w:rsidRDefault="00526B54" w:rsidP="00EB7CE1">
      <w:pPr>
        <w:spacing w:after="0" w:line="240" w:lineRule="auto"/>
        <w:jc w:val="both"/>
        <w:rPr>
          <w:rFonts w:ascii="Verdana" w:hAnsi="Verdana"/>
          <w:sz w:val="20"/>
          <w:szCs w:val="20"/>
          <w:lang w:val="es-ES"/>
        </w:rPr>
      </w:pPr>
    </w:p>
    <w:p w14:paraId="2FF15229" w14:textId="77777777" w:rsidR="00761972" w:rsidRDefault="000879DF" w:rsidP="00EB7CE1">
      <w:pPr>
        <w:spacing w:after="0" w:line="240" w:lineRule="auto"/>
        <w:jc w:val="both"/>
        <w:rPr>
          <w:rFonts w:ascii="Verdana" w:hAnsi="Verdana"/>
          <w:sz w:val="20"/>
          <w:szCs w:val="20"/>
          <w:lang w:val="es-ES"/>
        </w:rPr>
      </w:pPr>
      <w:r>
        <w:rPr>
          <w:rFonts w:ascii="Verdana" w:hAnsi="Verdana"/>
          <w:sz w:val="20"/>
          <w:szCs w:val="20"/>
          <w:lang w:val="es-ES"/>
        </w:rPr>
        <w:t>Esto es, t</w:t>
      </w:r>
      <w:r w:rsidR="00E26B58" w:rsidRPr="00CF7FE6">
        <w:rPr>
          <w:rFonts w:ascii="Verdana" w:hAnsi="Verdana"/>
          <w:sz w:val="20"/>
          <w:szCs w:val="20"/>
          <w:lang w:val="es-ES"/>
        </w:rPr>
        <w:t>ales disposiciones, en rigor, no establecen derechos sino la obligación del correspondiente Estado de realizar los “</w:t>
      </w:r>
      <w:r w:rsidR="00E26B58" w:rsidRPr="00CF7FE6">
        <w:rPr>
          <w:rFonts w:ascii="Verdana" w:hAnsi="Verdana"/>
          <w:i/>
          <w:sz w:val="20"/>
          <w:szCs w:val="20"/>
          <w:lang w:val="es-ES"/>
        </w:rPr>
        <w:t>máximos esfuerzos</w:t>
      </w:r>
      <w:r w:rsidR="002F2B90">
        <w:rPr>
          <w:rFonts w:ascii="Verdana" w:hAnsi="Verdana"/>
          <w:sz w:val="20"/>
          <w:szCs w:val="20"/>
          <w:lang w:val="es-ES"/>
        </w:rPr>
        <w:t xml:space="preserve">” para lograr, como objetivo, </w:t>
      </w:r>
      <w:r w:rsidR="00E26B58" w:rsidRPr="00CF7FE6">
        <w:rPr>
          <w:rFonts w:ascii="Verdana" w:hAnsi="Verdana"/>
          <w:sz w:val="20"/>
          <w:szCs w:val="20"/>
          <w:lang w:val="es-ES"/>
        </w:rPr>
        <w:t>el desarrollo económico y la paz, la integración latinoamericana o el desarrollo integral, según corresponda.</w:t>
      </w:r>
      <w:r>
        <w:rPr>
          <w:rFonts w:ascii="Verdana" w:hAnsi="Verdana"/>
          <w:sz w:val="20"/>
          <w:szCs w:val="20"/>
          <w:lang w:val="es-ES"/>
        </w:rPr>
        <w:t xml:space="preserve"> Por ende y</w:t>
      </w:r>
      <w:r w:rsidR="00E26B58" w:rsidRPr="00CF7FE6">
        <w:rPr>
          <w:rFonts w:ascii="Verdana" w:hAnsi="Verdana"/>
          <w:sz w:val="20"/>
          <w:szCs w:val="20"/>
          <w:lang w:val="es-ES"/>
        </w:rPr>
        <w:t>, además, atendidas las fórmulas tan genéricas empleadas por la Carta de la OEA para referirse a las materias que aborda en las referidas dis</w:t>
      </w:r>
      <w:r>
        <w:rPr>
          <w:rFonts w:ascii="Verdana" w:hAnsi="Verdana"/>
          <w:sz w:val="20"/>
          <w:szCs w:val="20"/>
          <w:lang w:val="es-ES"/>
        </w:rPr>
        <w:t xml:space="preserve">posiciones, </w:t>
      </w:r>
      <w:r w:rsidR="00C4009F">
        <w:rPr>
          <w:rFonts w:ascii="Verdana" w:hAnsi="Verdana"/>
          <w:sz w:val="20"/>
          <w:szCs w:val="20"/>
          <w:lang w:val="es-ES"/>
        </w:rPr>
        <w:t xml:space="preserve">se </w:t>
      </w:r>
      <w:r>
        <w:rPr>
          <w:rFonts w:ascii="Verdana" w:hAnsi="Verdana"/>
          <w:sz w:val="20"/>
          <w:szCs w:val="20"/>
          <w:lang w:val="es-ES"/>
        </w:rPr>
        <w:t>puede</w:t>
      </w:r>
      <w:r w:rsidR="0001016B" w:rsidRPr="00CF7FE6">
        <w:rPr>
          <w:rFonts w:ascii="Verdana" w:hAnsi="Verdana"/>
          <w:sz w:val="20"/>
          <w:szCs w:val="20"/>
          <w:lang w:val="es-ES"/>
        </w:rPr>
        <w:t xml:space="preserve"> concluir </w:t>
      </w:r>
      <w:r w:rsidR="00E26B58" w:rsidRPr="00CF7FE6">
        <w:rPr>
          <w:rFonts w:ascii="Verdana" w:hAnsi="Verdana"/>
          <w:sz w:val="20"/>
          <w:szCs w:val="20"/>
          <w:lang w:val="es-ES"/>
        </w:rPr>
        <w:t>que aquellas, como se expresó, son consideradas por ella más bien como “</w:t>
      </w:r>
      <w:r w:rsidR="00E26B58" w:rsidRPr="00CF7FE6">
        <w:rPr>
          <w:rFonts w:ascii="Verdana" w:hAnsi="Verdana"/>
          <w:i/>
          <w:sz w:val="20"/>
          <w:szCs w:val="20"/>
          <w:lang w:val="es-ES"/>
        </w:rPr>
        <w:t>metas</w:t>
      </w:r>
      <w:r w:rsidR="004764B9">
        <w:rPr>
          <w:rFonts w:ascii="Verdana" w:hAnsi="Verdana"/>
          <w:sz w:val="20"/>
          <w:szCs w:val="20"/>
          <w:lang w:val="es-ES"/>
        </w:rPr>
        <w:t>”</w:t>
      </w:r>
      <w:r w:rsidR="00365ACB">
        <w:rPr>
          <w:rFonts w:ascii="Verdana" w:hAnsi="Verdana"/>
          <w:sz w:val="20"/>
          <w:szCs w:val="20"/>
          <w:lang w:val="es-ES"/>
        </w:rPr>
        <w:t xml:space="preserve"> o </w:t>
      </w:r>
      <w:r w:rsidR="00E26B58" w:rsidRPr="00CF7FE6">
        <w:rPr>
          <w:rFonts w:ascii="Verdana" w:hAnsi="Verdana"/>
          <w:sz w:val="20"/>
          <w:szCs w:val="20"/>
          <w:lang w:val="es-ES"/>
        </w:rPr>
        <w:t>“</w:t>
      </w:r>
      <w:r w:rsidR="00E26B58" w:rsidRPr="00CF7FE6">
        <w:rPr>
          <w:rFonts w:ascii="Verdana" w:hAnsi="Verdana"/>
          <w:i/>
          <w:sz w:val="20"/>
          <w:szCs w:val="20"/>
          <w:lang w:val="es-ES"/>
        </w:rPr>
        <w:t>finalidades</w:t>
      </w:r>
      <w:r w:rsidR="00EF4889" w:rsidRPr="00CF7FE6">
        <w:rPr>
          <w:rFonts w:ascii="Verdana" w:hAnsi="Verdana"/>
          <w:i/>
          <w:sz w:val="20"/>
          <w:szCs w:val="20"/>
          <w:lang w:val="es-ES"/>
        </w:rPr>
        <w:t>”</w:t>
      </w:r>
      <w:r w:rsidR="00365ACB">
        <w:rPr>
          <w:rFonts w:ascii="Verdana" w:hAnsi="Verdana"/>
          <w:i/>
          <w:sz w:val="20"/>
          <w:szCs w:val="20"/>
          <w:lang w:val="es-ES"/>
        </w:rPr>
        <w:t xml:space="preserve"> </w:t>
      </w:r>
      <w:r w:rsidR="00E26B58" w:rsidRPr="00CF7FE6">
        <w:rPr>
          <w:rFonts w:ascii="Verdana" w:hAnsi="Verdana"/>
          <w:sz w:val="20"/>
          <w:szCs w:val="20"/>
          <w:lang w:val="es-ES"/>
        </w:rPr>
        <w:t xml:space="preserve">a alcanzar </w:t>
      </w:r>
      <w:r w:rsidR="002F2B90">
        <w:rPr>
          <w:rFonts w:ascii="Verdana" w:hAnsi="Verdana"/>
          <w:sz w:val="20"/>
          <w:szCs w:val="20"/>
          <w:lang w:val="es-ES"/>
        </w:rPr>
        <w:t xml:space="preserve">o </w:t>
      </w:r>
      <w:r w:rsidR="004764B9">
        <w:rPr>
          <w:rFonts w:ascii="Verdana" w:hAnsi="Verdana"/>
          <w:sz w:val="20"/>
          <w:szCs w:val="20"/>
          <w:lang w:val="es-ES"/>
        </w:rPr>
        <w:t xml:space="preserve">como </w:t>
      </w:r>
      <w:r w:rsidR="002F2B90" w:rsidRPr="002F2B90">
        <w:rPr>
          <w:rFonts w:ascii="Verdana" w:hAnsi="Verdana"/>
          <w:sz w:val="20"/>
          <w:szCs w:val="20"/>
          <w:lang w:val="es-ES"/>
        </w:rPr>
        <w:t>“</w:t>
      </w:r>
      <w:r w:rsidR="002F2B90" w:rsidRPr="002F2B90">
        <w:rPr>
          <w:rFonts w:ascii="Verdana" w:hAnsi="Verdana"/>
          <w:i/>
          <w:sz w:val="20"/>
          <w:szCs w:val="20"/>
          <w:lang w:val="es-ES"/>
        </w:rPr>
        <w:t>principios y mecanismos</w:t>
      </w:r>
      <w:r w:rsidR="002F2B90" w:rsidRPr="002F2B90">
        <w:rPr>
          <w:rFonts w:ascii="Verdana" w:hAnsi="Verdana"/>
          <w:sz w:val="20"/>
          <w:szCs w:val="20"/>
          <w:lang w:val="es-ES"/>
        </w:rPr>
        <w:t>”</w:t>
      </w:r>
      <w:r w:rsidR="004764B9">
        <w:rPr>
          <w:rFonts w:ascii="Verdana" w:hAnsi="Verdana"/>
          <w:sz w:val="20"/>
          <w:szCs w:val="20"/>
          <w:lang w:val="es-ES"/>
        </w:rPr>
        <w:t xml:space="preserve"> a seguir</w:t>
      </w:r>
      <w:r>
        <w:rPr>
          <w:rFonts w:ascii="Verdana" w:hAnsi="Verdana"/>
          <w:sz w:val="20"/>
          <w:szCs w:val="20"/>
          <w:lang w:val="es-ES"/>
        </w:rPr>
        <w:t xml:space="preserve"> </w:t>
      </w:r>
      <w:r w:rsidR="00E26B58" w:rsidRPr="00CF7FE6">
        <w:rPr>
          <w:rFonts w:ascii="Verdana" w:hAnsi="Verdana"/>
          <w:sz w:val="20"/>
          <w:szCs w:val="20"/>
          <w:lang w:val="es-ES"/>
        </w:rPr>
        <w:t xml:space="preserve">que derechos susceptibles de judicializar internacionalmente por las personas o seres humanos. </w:t>
      </w:r>
    </w:p>
    <w:p w14:paraId="57E9CD27" w14:textId="77777777" w:rsidR="002F2B90" w:rsidRPr="00CF7FE6" w:rsidRDefault="002F2B90" w:rsidP="00EB7CE1">
      <w:pPr>
        <w:spacing w:after="0" w:line="240" w:lineRule="auto"/>
        <w:jc w:val="both"/>
        <w:rPr>
          <w:rFonts w:ascii="Verdana" w:hAnsi="Verdana"/>
          <w:i/>
          <w:sz w:val="20"/>
          <w:szCs w:val="20"/>
          <w:lang w:val="es-ES"/>
        </w:rPr>
      </w:pPr>
    </w:p>
    <w:p w14:paraId="3F703E57" w14:textId="77777777" w:rsidR="00E26B58" w:rsidRPr="00CF7FE6" w:rsidRDefault="000879DF" w:rsidP="00EB7CE1">
      <w:pPr>
        <w:spacing w:after="0" w:line="240" w:lineRule="auto"/>
        <w:jc w:val="both"/>
        <w:rPr>
          <w:rFonts w:ascii="Verdana" w:hAnsi="Verdana"/>
          <w:sz w:val="20"/>
          <w:szCs w:val="20"/>
          <w:lang w:val="es-ES"/>
        </w:rPr>
      </w:pPr>
      <w:r>
        <w:rPr>
          <w:rFonts w:ascii="Verdana" w:hAnsi="Verdana"/>
          <w:sz w:val="20"/>
          <w:szCs w:val="20"/>
          <w:lang w:val="es-ES"/>
        </w:rPr>
        <w:t>A mayor abundamiento</w:t>
      </w:r>
      <w:r w:rsidR="00E26B58" w:rsidRPr="00CF7FE6">
        <w:rPr>
          <w:rFonts w:ascii="Verdana" w:hAnsi="Verdana"/>
          <w:sz w:val="20"/>
          <w:szCs w:val="20"/>
          <w:lang w:val="es-ES"/>
        </w:rPr>
        <w:t>, cabe resaltar la circunstancia de que las normas de la Carta de l</w:t>
      </w:r>
      <w:r>
        <w:rPr>
          <w:rFonts w:ascii="Verdana" w:hAnsi="Verdana"/>
          <w:sz w:val="20"/>
          <w:szCs w:val="20"/>
          <w:lang w:val="es-ES"/>
        </w:rPr>
        <w:t>a OEA citadas por la Sentencia</w:t>
      </w:r>
      <w:r w:rsidR="008240C7">
        <w:rPr>
          <w:rFonts w:ascii="Verdana" w:hAnsi="Verdana"/>
          <w:sz w:val="20"/>
          <w:szCs w:val="20"/>
          <w:lang w:val="es-ES"/>
        </w:rPr>
        <w:t>,</w:t>
      </w:r>
      <w:r>
        <w:rPr>
          <w:rFonts w:ascii="Verdana" w:hAnsi="Verdana"/>
          <w:sz w:val="20"/>
          <w:szCs w:val="20"/>
          <w:lang w:val="es-ES"/>
        </w:rPr>
        <w:t xml:space="preserve"> </w:t>
      </w:r>
      <w:r w:rsidR="00E26B58" w:rsidRPr="00CF7FE6">
        <w:rPr>
          <w:rFonts w:ascii="Verdana" w:hAnsi="Verdana"/>
          <w:sz w:val="20"/>
          <w:szCs w:val="20"/>
          <w:lang w:val="es-ES"/>
        </w:rPr>
        <w:t>se u</w:t>
      </w:r>
      <w:r w:rsidR="008240C7">
        <w:rPr>
          <w:rFonts w:ascii="Verdana" w:hAnsi="Verdana"/>
          <w:sz w:val="20"/>
          <w:szCs w:val="20"/>
          <w:lang w:val="es-ES"/>
        </w:rPr>
        <w:t>bican en el Capítulo VII de dicho in</w:t>
      </w:r>
      <w:r w:rsidR="00B53337">
        <w:rPr>
          <w:rFonts w:ascii="Verdana" w:hAnsi="Verdana"/>
          <w:sz w:val="20"/>
          <w:szCs w:val="20"/>
          <w:lang w:val="es-ES"/>
        </w:rPr>
        <w:t>s</w:t>
      </w:r>
      <w:r w:rsidR="008240C7">
        <w:rPr>
          <w:rFonts w:ascii="Verdana" w:hAnsi="Verdana"/>
          <w:sz w:val="20"/>
          <w:szCs w:val="20"/>
          <w:lang w:val="es-ES"/>
        </w:rPr>
        <w:t>trumento jurídico internacional</w:t>
      </w:r>
      <w:r w:rsidR="00E26B58" w:rsidRPr="00CF7FE6">
        <w:rPr>
          <w:rFonts w:ascii="Verdana" w:hAnsi="Verdana"/>
          <w:sz w:val="20"/>
          <w:szCs w:val="20"/>
          <w:lang w:val="es-ES"/>
        </w:rPr>
        <w:t>, denominado  “</w:t>
      </w:r>
      <w:r w:rsidR="00E26B58" w:rsidRPr="00CF7FE6">
        <w:rPr>
          <w:rFonts w:ascii="Verdana" w:hAnsi="Verdana"/>
          <w:i/>
          <w:sz w:val="20"/>
          <w:szCs w:val="20"/>
          <w:lang w:val="es-ES"/>
        </w:rPr>
        <w:t>Desarrollo Integral</w:t>
      </w:r>
      <w:r>
        <w:rPr>
          <w:rFonts w:ascii="Verdana" w:hAnsi="Verdana"/>
          <w:sz w:val="20"/>
          <w:szCs w:val="20"/>
          <w:lang w:val="es-ES"/>
        </w:rPr>
        <w:t xml:space="preserve">”, y que </w:t>
      </w:r>
      <w:r w:rsidR="003B2532">
        <w:rPr>
          <w:rFonts w:ascii="Verdana" w:hAnsi="Verdana"/>
          <w:sz w:val="20"/>
          <w:szCs w:val="20"/>
          <w:lang w:val="es-ES"/>
        </w:rPr>
        <w:t xml:space="preserve">el </w:t>
      </w:r>
      <w:r w:rsidR="00E26B58" w:rsidRPr="00CF7FE6">
        <w:rPr>
          <w:rFonts w:ascii="Verdana" w:hAnsi="Verdana"/>
          <w:sz w:val="20"/>
          <w:szCs w:val="20"/>
          <w:lang w:val="es-ES"/>
        </w:rPr>
        <w:t>artículo 30</w:t>
      </w:r>
      <w:r w:rsidR="003B2532">
        <w:rPr>
          <w:rStyle w:val="FootnoteReference"/>
          <w:rFonts w:ascii="Verdana" w:hAnsi="Verdana"/>
          <w:sz w:val="20"/>
          <w:szCs w:val="20"/>
          <w:lang w:val="es-ES"/>
        </w:rPr>
        <w:footnoteReference w:id="53"/>
      </w:r>
      <w:r w:rsidR="00E26B58" w:rsidRPr="00CF7FE6">
        <w:rPr>
          <w:rFonts w:ascii="Verdana" w:hAnsi="Verdana"/>
          <w:sz w:val="20"/>
          <w:szCs w:val="20"/>
          <w:lang w:val="es-ES"/>
        </w:rPr>
        <w:t xml:space="preserve">, el </w:t>
      </w:r>
      <w:r w:rsidR="00E26B58" w:rsidRPr="00CF7FE6">
        <w:rPr>
          <w:rFonts w:ascii="Verdana" w:hAnsi="Verdana"/>
          <w:sz w:val="20"/>
          <w:szCs w:val="20"/>
          <w:lang w:val="es-ES"/>
        </w:rPr>
        <w:lastRenderedPageBreak/>
        <w:t>primero del mismo, considera a dicho desarrollo como el objetivo a lograr por medio del cumplimiento de las normas que le sigue</w:t>
      </w:r>
      <w:r w:rsidR="00C4009F">
        <w:rPr>
          <w:rFonts w:ascii="Verdana" w:hAnsi="Verdana"/>
          <w:sz w:val="20"/>
          <w:szCs w:val="20"/>
          <w:lang w:val="es-ES"/>
        </w:rPr>
        <w:t>n</w:t>
      </w:r>
      <w:r w:rsidR="00E26B58" w:rsidRPr="00CF7FE6">
        <w:rPr>
          <w:rFonts w:ascii="Verdana" w:hAnsi="Verdana"/>
          <w:sz w:val="20"/>
          <w:szCs w:val="20"/>
          <w:lang w:val="es-ES"/>
        </w:rPr>
        <w:t>. Igualmente, debe señalarse que las demás disposiciones del referido Capítulo, reafirman la concepc</w:t>
      </w:r>
      <w:r w:rsidR="00524B78">
        <w:rPr>
          <w:rFonts w:ascii="Verdana" w:hAnsi="Verdana"/>
          <w:sz w:val="20"/>
          <w:szCs w:val="20"/>
          <w:lang w:val="es-ES"/>
        </w:rPr>
        <w:t>ión de que se trata de “</w:t>
      </w:r>
      <w:r w:rsidR="00524B78" w:rsidRPr="00524B78">
        <w:rPr>
          <w:rFonts w:ascii="Verdana" w:hAnsi="Verdana"/>
          <w:i/>
          <w:sz w:val="20"/>
          <w:szCs w:val="20"/>
          <w:lang w:val="es-ES"/>
        </w:rPr>
        <w:t>propósitos</w:t>
      </w:r>
      <w:r w:rsidR="00524B78">
        <w:rPr>
          <w:rFonts w:ascii="Verdana" w:hAnsi="Verdana"/>
          <w:sz w:val="20"/>
          <w:szCs w:val="20"/>
          <w:lang w:val="es-ES"/>
        </w:rPr>
        <w:t>”</w:t>
      </w:r>
      <w:r w:rsidR="00E26B58" w:rsidRPr="00CF7FE6">
        <w:rPr>
          <w:rFonts w:ascii="Verdana" w:hAnsi="Verdana"/>
          <w:sz w:val="20"/>
          <w:szCs w:val="20"/>
          <w:lang w:val="es-ES"/>
        </w:rPr>
        <w:t xml:space="preserve"> que los Est</w:t>
      </w:r>
      <w:r>
        <w:rPr>
          <w:rFonts w:ascii="Verdana" w:hAnsi="Verdana"/>
          <w:sz w:val="20"/>
          <w:szCs w:val="20"/>
          <w:lang w:val="es-ES"/>
        </w:rPr>
        <w:t xml:space="preserve">ados se comprometen </w:t>
      </w:r>
      <w:r w:rsidR="00E26B58" w:rsidRPr="00CF7FE6">
        <w:rPr>
          <w:rFonts w:ascii="Verdana" w:hAnsi="Verdana"/>
          <w:sz w:val="20"/>
          <w:szCs w:val="20"/>
          <w:lang w:val="es-ES"/>
        </w:rPr>
        <w:t>a alcanzar y no de derechos susceptibles de judicializar int</w:t>
      </w:r>
      <w:r w:rsidR="00C4009F">
        <w:rPr>
          <w:rFonts w:ascii="Verdana" w:hAnsi="Verdana"/>
          <w:sz w:val="20"/>
          <w:szCs w:val="20"/>
          <w:lang w:val="es-ES"/>
        </w:rPr>
        <w:t>ernacionalmente</w:t>
      </w:r>
      <w:r w:rsidR="00E26B58" w:rsidRPr="00CF7FE6">
        <w:rPr>
          <w:rFonts w:ascii="Verdana" w:hAnsi="Verdana"/>
          <w:sz w:val="20"/>
          <w:szCs w:val="20"/>
          <w:lang w:val="es-ES"/>
        </w:rPr>
        <w:t>.</w:t>
      </w:r>
    </w:p>
    <w:p w14:paraId="50145C08" w14:textId="77777777" w:rsidR="00761972" w:rsidRPr="00CF7FE6" w:rsidRDefault="00761972" w:rsidP="00EB7CE1">
      <w:pPr>
        <w:spacing w:after="0" w:line="240" w:lineRule="auto"/>
        <w:jc w:val="both"/>
        <w:rPr>
          <w:rFonts w:ascii="Verdana" w:hAnsi="Verdana"/>
          <w:sz w:val="20"/>
          <w:szCs w:val="20"/>
          <w:lang w:val="es-ES"/>
        </w:rPr>
      </w:pPr>
    </w:p>
    <w:p w14:paraId="381B833C" w14:textId="77777777" w:rsidR="00E26B58" w:rsidRPr="004714BF" w:rsidRDefault="00E26B58" w:rsidP="00EB7CE1">
      <w:pPr>
        <w:spacing w:after="0" w:line="240" w:lineRule="auto"/>
        <w:jc w:val="both"/>
        <w:rPr>
          <w:rFonts w:ascii="Verdana" w:hAnsi="Verdana"/>
          <w:sz w:val="20"/>
          <w:szCs w:val="20"/>
          <w:lang w:val="es-ES"/>
        </w:rPr>
      </w:pPr>
      <w:r w:rsidRPr="00CF7FE6">
        <w:rPr>
          <w:rFonts w:ascii="Verdana" w:hAnsi="Verdana"/>
          <w:sz w:val="20"/>
          <w:szCs w:val="20"/>
          <w:lang w:val="es-ES"/>
        </w:rPr>
        <w:t>Es decir, result</w:t>
      </w:r>
      <w:r w:rsidR="008240C7">
        <w:rPr>
          <w:rFonts w:ascii="Verdana" w:hAnsi="Verdana"/>
          <w:sz w:val="20"/>
          <w:szCs w:val="20"/>
          <w:lang w:val="es-ES"/>
        </w:rPr>
        <w:t xml:space="preserve">a a todas luces evidente que, </w:t>
      </w:r>
      <w:r w:rsidR="000879DF">
        <w:rPr>
          <w:rFonts w:ascii="Verdana" w:hAnsi="Verdana"/>
          <w:sz w:val="20"/>
          <w:szCs w:val="20"/>
          <w:lang w:val="es-ES"/>
        </w:rPr>
        <w:t>aplicando la regla de interpretación</w:t>
      </w:r>
      <w:r w:rsidR="006364FF">
        <w:rPr>
          <w:rFonts w:ascii="Verdana" w:hAnsi="Verdana"/>
          <w:sz w:val="20"/>
          <w:szCs w:val="20"/>
          <w:lang w:val="es-ES"/>
        </w:rPr>
        <w:t xml:space="preserve"> armónica</w:t>
      </w:r>
      <w:r w:rsidR="000879DF">
        <w:rPr>
          <w:rFonts w:ascii="Verdana" w:hAnsi="Verdana"/>
          <w:sz w:val="20"/>
          <w:szCs w:val="20"/>
          <w:lang w:val="es-ES"/>
        </w:rPr>
        <w:t xml:space="preserve"> prevista en el artículo 31</w:t>
      </w:r>
      <w:r w:rsidR="008240C7">
        <w:rPr>
          <w:rFonts w:ascii="Verdana" w:hAnsi="Verdana"/>
          <w:sz w:val="20"/>
          <w:szCs w:val="20"/>
          <w:lang w:val="es-ES"/>
        </w:rPr>
        <w:t xml:space="preserve"> d</w:t>
      </w:r>
      <w:r w:rsidR="000879DF">
        <w:rPr>
          <w:rFonts w:ascii="Verdana" w:hAnsi="Verdana"/>
          <w:sz w:val="20"/>
          <w:szCs w:val="20"/>
          <w:lang w:val="es-ES"/>
        </w:rPr>
        <w:t>e la Convención de Viena sobre el Derecho de los Tratados</w:t>
      </w:r>
      <w:r w:rsidR="000879DF">
        <w:rPr>
          <w:rStyle w:val="FootnoteReference"/>
          <w:rFonts w:ascii="Verdana" w:hAnsi="Verdana"/>
          <w:sz w:val="20"/>
          <w:szCs w:val="20"/>
          <w:lang w:val="es-ES"/>
        </w:rPr>
        <w:footnoteReference w:id="54"/>
      </w:r>
      <w:r w:rsidR="008240C7">
        <w:rPr>
          <w:rFonts w:ascii="Verdana" w:hAnsi="Verdana"/>
          <w:sz w:val="20"/>
          <w:szCs w:val="20"/>
          <w:lang w:val="es-ES"/>
        </w:rPr>
        <w:t>,</w:t>
      </w:r>
      <w:r w:rsidR="0001016B" w:rsidRPr="00CF7FE6">
        <w:rPr>
          <w:rFonts w:ascii="Verdana" w:hAnsi="Verdana"/>
          <w:sz w:val="20"/>
          <w:szCs w:val="20"/>
          <w:lang w:val="es-ES"/>
        </w:rPr>
        <w:t xml:space="preserve"> </w:t>
      </w:r>
      <w:r w:rsidR="008240C7">
        <w:rPr>
          <w:rFonts w:ascii="Verdana" w:hAnsi="Verdana"/>
          <w:sz w:val="20"/>
          <w:szCs w:val="20"/>
          <w:lang w:val="es-ES"/>
        </w:rPr>
        <w:t xml:space="preserve">no </w:t>
      </w:r>
      <w:r w:rsidR="00483B87">
        <w:rPr>
          <w:rFonts w:ascii="Verdana" w:hAnsi="Verdana"/>
          <w:sz w:val="20"/>
          <w:szCs w:val="20"/>
          <w:lang w:val="es-ES"/>
        </w:rPr>
        <w:t xml:space="preserve">se puede inferir </w:t>
      </w:r>
      <w:r w:rsidR="008240C7">
        <w:rPr>
          <w:rFonts w:ascii="Verdana" w:hAnsi="Verdana"/>
          <w:sz w:val="20"/>
          <w:szCs w:val="20"/>
          <w:lang w:val="es-ES"/>
        </w:rPr>
        <w:t xml:space="preserve">que las normas contempladas en el mencionado Capítulo VII, </w:t>
      </w:r>
      <w:r w:rsidRPr="00CF7FE6">
        <w:rPr>
          <w:rFonts w:ascii="Verdana" w:hAnsi="Verdana"/>
          <w:sz w:val="20"/>
          <w:szCs w:val="20"/>
          <w:lang w:val="es-ES"/>
        </w:rPr>
        <w:t>fueron convenidas en tanto establecían derechos de los seres humanos, sino obligaciones de comportamiento de los Estados en cuanto a la formulación y</w:t>
      </w:r>
      <w:r w:rsidR="00C4009F">
        <w:rPr>
          <w:rFonts w:ascii="Verdana" w:hAnsi="Verdana"/>
          <w:sz w:val="20"/>
          <w:szCs w:val="20"/>
          <w:lang w:val="es-ES"/>
        </w:rPr>
        <w:t xml:space="preserve"> aplicación de sus respectivas </w:t>
      </w:r>
      <w:r w:rsidRPr="00CF7FE6">
        <w:rPr>
          <w:rFonts w:ascii="Verdana" w:hAnsi="Verdana"/>
          <w:sz w:val="20"/>
          <w:szCs w:val="20"/>
          <w:lang w:val="es-ES"/>
        </w:rPr>
        <w:t xml:space="preserve">políticas públicas en beneficio de quienes se encuentran bajo sus respectivas jurisdicciones. El objeto y fin de tales </w:t>
      </w:r>
      <w:r w:rsidR="00F336C5">
        <w:rPr>
          <w:rFonts w:ascii="Verdana" w:hAnsi="Verdana"/>
          <w:sz w:val="20"/>
          <w:szCs w:val="20"/>
          <w:lang w:val="es-ES"/>
        </w:rPr>
        <w:t xml:space="preserve">normas </w:t>
      </w:r>
      <w:r w:rsidRPr="00CF7FE6">
        <w:rPr>
          <w:rFonts w:ascii="Verdana" w:hAnsi="Verdana"/>
          <w:sz w:val="20"/>
          <w:szCs w:val="20"/>
          <w:lang w:val="es-ES"/>
        </w:rPr>
        <w:t>no dicen relación, entonces, con los derechos humanos sino con el desarrollo integral de los pueblos</w:t>
      </w:r>
      <w:r w:rsidRPr="004714BF">
        <w:rPr>
          <w:rFonts w:ascii="Verdana" w:hAnsi="Verdana"/>
          <w:sz w:val="20"/>
          <w:szCs w:val="20"/>
          <w:lang w:val="es-ES"/>
        </w:rPr>
        <w:t>.</w:t>
      </w:r>
    </w:p>
    <w:p w14:paraId="128676F5" w14:textId="77777777" w:rsidR="00761972" w:rsidRPr="00CF7FE6" w:rsidRDefault="00761972" w:rsidP="00EB7CE1">
      <w:pPr>
        <w:spacing w:after="0" w:line="240" w:lineRule="auto"/>
        <w:jc w:val="both"/>
        <w:rPr>
          <w:rFonts w:ascii="Verdana" w:hAnsi="Verdana"/>
          <w:b/>
          <w:sz w:val="20"/>
          <w:szCs w:val="20"/>
          <w:lang w:val="es-ES"/>
        </w:rPr>
      </w:pPr>
    </w:p>
    <w:p w14:paraId="4B8E4688" w14:textId="77777777" w:rsidR="00E26B58" w:rsidRPr="003B2532" w:rsidRDefault="00E26B58" w:rsidP="00EB7CE1">
      <w:pPr>
        <w:pStyle w:val="ListParagraph"/>
        <w:numPr>
          <w:ilvl w:val="0"/>
          <w:numId w:val="9"/>
        </w:numPr>
        <w:spacing w:after="0" w:line="240" w:lineRule="auto"/>
        <w:jc w:val="both"/>
        <w:rPr>
          <w:rFonts w:ascii="Verdana" w:hAnsi="Verdana"/>
          <w:b/>
          <w:sz w:val="20"/>
          <w:szCs w:val="20"/>
          <w:lang w:val="es-ES"/>
        </w:rPr>
      </w:pPr>
      <w:r w:rsidRPr="003B2532">
        <w:rPr>
          <w:rFonts w:ascii="Verdana" w:hAnsi="Verdana"/>
          <w:b/>
          <w:sz w:val="20"/>
          <w:szCs w:val="20"/>
          <w:lang w:val="es-ES"/>
        </w:rPr>
        <w:t>Consecuencias.</w:t>
      </w:r>
    </w:p>
    <w:p w14:paraId="2C34ABB8" w14:textId="77777777" w:rsidR="00761972" w:rsidRPr="00CF7FE6" w:rsidRDefault="00761972" w:rsidP="00EB7CE1">
      <w:pPr>
        <w:spacing w:after="0" w:line="240" w:lineRule="auto"/>
        <w:jc w:val="both"/>
        <w:rPr>
          <w:rFonts w:ascii="Verdana" w:hAnsi="Verdana"/>
          <w:b/>
          <w:sz w:val="20"/>
          <w:szCs w:val="20"/>
          <w:lang w:val="es-ES"/>
        </w:rPr>
      </w:pPr>
    </w:p>
    <w:p w14:paraId="7BAC834A" w14:textId="77777777" w:rsidR="00C2084E" w:rsidRPr="00CF7FE6" w:rsidRDefault="00E26B58" w:rsidP="00EB7CE1">
      <w:pPr>
        <w:spacing w:after="0" w:line="240" w:lineRule="auto"/>
        <w:jc w:val="both"/>
        <w:rPr>
          <w:rFonts w:ascii="Verdana" w:hAnsi="Verdana"/>
          <w:sz w:val="20"/>
          <w:szCs w:val="20"/>
          <w:lang w:val="es-ES"/>
        </w:rPr>
      </w:pPr>
      <w:r w:rsidRPr="00CF7FE6">
        <w:rPr>
          <w:rFonts w:ascii="Verdana" w:hAnsi="Verdana"/>
          <w:sz w:val="20"/>
          <w:szCs w:val="20"/>
          <w:lang w:val="es-ES"/>
        </w:rPr>
        <w:t>Con relación a la interpretación que</w:t>
      </w:r>
      <w:r w:rsidR="00555222" w:rsidRPr="00CF7FE6">
        <w:rPr>
          <w:rFonts w:ascii="Verdana" w:hAnsi="Verdana"/>
          <w:sz w:val="20"/>
          <w:szCs w:val="20"/>
          <w:lang w:val="es-ES"/>
        </w:rPr>
        <w:t xml:space="preserve"> hace la Sentencia</w:t>
      </w:r>
      <w:r w:rsidRPr="00CF7FE6">
        <w:rPr>
          <w:rFonts w:ascii="Verdana" w:hAnsi="Verdana"/>
          <w:sz w:val="20"/>
          <w:szCs w:val="20"/>
          <w:lang w:val="es-ES"/>
        </w:rPr>
        <w:t xml:space="preserve"> en cuanto a </w:t>
      </w:r>
      <w:r w:rsidR="00555222" w:rsidRPr="00CF7FE6">
        <w:rPr>
          <w:rFonts w:ascii="Verdana" w:hAnsi="Verdana"/>
          <w:sz w:val="20"/>
          <w:szCs w:val="20"/>
          <w:lang w:val="es-ES"/>
        </w:rPr>
        <w:t xml:space="preserve">que los derechos aludidos en el artículo 26 de la Convención </w:t>
      </w:r>
      <w:r w:rsidR="00B42968" w:rsidRPr="00B42968">
        <w:rPr>
          <w:rFonts w:ascii="Verdana" w:hAnsi="Verdana"/>
          <w:sz w:val="20"/>
          <w:szCs w:val="20"/>
          <w:lang w:val="es-ES"/>
        </w:rPr>
        <w:t>serían también “</w:t>
      </w:r>
      <w:r w:rsidR="00B42968" w:rsidRPr="00F336C5">
        <w:rPr>
          <w:rFonts w:ascii="Verdana" w:hAnsi="Verdana"/>
          <w:i/>
          <w:sz w:val="20"/>
          <w:szCs w:val="20"/>
          <w:lang w:val="es-ES"/>
        </w:rPr>
        <w:t>exigibles en todos los casos ante aquellas autoridades que resulten competentes para ello</w:t>
      </w:r>
      <w:r w:rsidR="00B42968" w:rsidRPr="00B42968">
        <w:rPr>
          <w:rFonts w:ascii="Verdana" w:hAnsi="Verdana"/>
          <w:sz w:val="20"/>
          <w:szCs w:val="20"/>
          <w:lang w:val="es-ES"/>
        </w:rPr>
        <w:t>”</w:t>
      </w:r>
      <w:r w:rsidR="00B42968">
        <w:rPr>
          <w:rStyle w:val="FootnoteReference"/>
          <w:rFonts w:ascii="Verdana" w:hAnsi="Verdana"/>
          <w:sz w:val="20"/>
          <w:szCs w:val="20"/>
          <w:lang w:val="es-ES"/>
        </w:rPr>
        <w:footnoteReference w:id="55"/>
      </w:r>
      <w:r w:rsidR="00555222" w:rsidRPr="00CF7FE6">
        <w:rPr>
          <w:rFonts w:ascii="Verdana" w:hAnsi="Verdana"/>
          <w:sz w:val="20"/>
          <w:szCs w:val="20"/>
          <w:lang w:val="es-ES"/>
        </w:rPr>
        <w:t>, cabe</w:t>
      </w:r>
      <w:r w:rsidR="008240C7">
        <w:rPr>
          <w:rFonts w:ascii="Verdana" w:hAnsi="Verdana"/>
          <w:sz w:val="20"/>
          <w:szCs w:val="20"/>
          <w:lang w:val="es-ES"/>
        </w:rPr>
        <w:t xml:space="preserve"> complementariamente</w:t>
      </w:r>
      <w:r w:rsidR="00555222" w:rsidRPr="00CF7FE6">
        <w:rPr>
          <w:rFonts w:ascii="Verdana" w:hAnsi="Verdana"/>
          <w:sz w:val="20"/>
          <w:szCs w:val="20"/>
          <w:lang w:val="es-ES"/>
        </w:rPr>
        <w:t xml:space="preserve"> interrogarse</w:t>
      </w:r>
      <w:r w:rsidR="00247B4A">
        <w:rPr>
          <w:rFonts w:ascii="Verdana" w:hAnsi="Verdana"/>
          <w:sz w:val="20"/>
          <w:szCs w:val="20"/>
          <w:lang w:val="es-ES"/>
        </w:rPr>
        <w:t xml:space="preserve">, </w:t>
      </w:r>
      <w:r w:rsidR="00E71D42">
        <w:rPr>
          <w:rFonts w:ascii="Verdana" w:hAnsi="Verdana"/>
          <w:sz w:val="20"/>
          <w:szCs w:val="20"/>
          <w:lang w:val="es-ES"/>
        </w:rPr>
        <w:t>entonces</w:t>
      </w:r>
      <w:r w:rsidR="00247B4A">
        <w:rPr>
          <w:rFonts w:ascii="Verdana" w:hAnsi="Verdana"/>
          <w:sz w:val="20"/>
          <w:szCs w:val="20"/>
          <w:lang w:val="es-ES"/>
        </w:rPr>
        <w:t>,</w:t>
      </w:r>
      <w:r w:rsidR="00555222" w:rsidRPr="00CF7FE6">
        <w:rPr>
          <w:rFonts w:ascii="Verdana" w:hAnsi="Verdana"/>
          <w:sz w:val="20"/>
          <w:szCs w:val="20"/>
          <w:lang w:val="es-ES"/>
        </w:rPr>
        <w:t xml:space="preserve"> </w:t>
      </w:r>
      <w:r w:rsidR="008240C7">
        <w:rPr>
          <w:rFonts w:ascii="Verdana" w:hAnsi="Verdana"/>
          <w:sz w:val="20"/>
          <w:szCs w:val="20"/>
          <w:lang w:val="es-ES"/>
        </w:rPr>
        <w:t xml:space="preserve">acerca de </w:t>
      </w:r>
      <w:r w:rsidR="00555222" w:rsidRPr="00CF7FE6">
        <w:rPr>
          <w:rFonts w:ascii="Verdana" w:hAnsi="Verdana"/>
          <w:sz w:val="20"/>
          <w:szCs w:val="20"/>
          <w:lang w:val="es-ES"/>
        </w:rPr>
        <w:t>la razón por la que</w:t>
      </w:r>
      <w:r w:rsidR="003E07A3">
        <w:rPr>
          <w:rFonts w:ascii="Verdana" w:hAnsi="Verdana"/>
          <w:sz w:val="20"/>
          <w:szCs w:val="20"/>
          <w:lang w:val="es-ES"/>
        </w:rPr>
        <w:t xml:space="preserve"> tales derechos no se incluyeron</w:t>
      </w:r>
      <w:r w:rsidR="00555222" w:rsidRPr="00CF7FE6">
        <w:rPr>
          <w:rFonts w:ascii="Verdana" w:hAnsi="Verdana"/>
          <w:sz w:val="20"/>
          <w:szCs w:val="20"/>
          <w:lang w:val="es-ES"/>
        </w:rPr>
        <w:t xml:space="preserve"> directamente en el articula</w:t>
      </w:r>
      <w:r w:rsidRPr="00CF7FE6">
        <w:rPr>
          <w:rFonts w:ascii="Verdana" w:hAnsi="Verdana"/>
          <w:sz w:val="20"/>
          <w:szCs w:val="20"/>
          <w:lang w:val="es-ES"/>
        </w:rPr>
        <w:t>do de la Convención, como se hizo</w:t>
      </w:r>
      <w:r w:rsidR="00C2084E" w:rsidRPr="00CF7FE6">
        <w:rPr>
          <w:rFonts w:ascii="Verdana" w:hAnsi="Verdana"/>
          <w:sz w:val="20"/>
          <w:szCs w:val="20"/>
          <w:lang w:val="es-ES"/>
        </w:rPr>
        <w:t xml:space="preserve"> expresamente </w:t>
      </w:r>
      <w:r w:rsidR="00B011A1" w:rsidRPr="00CF7FE6">
        <w:rPr>
          <w:rFonts w:ascii="Verdana" w:hAnsi="Verdana"/>
          <w:sz w:val="20"/>
          <w:szCs w:val="20"/>
          <w:lang w:val="es-ES"/>
        </w:rPr>
        <w:t xml:space="preserve">con </w:t>
      </w:r>
      <w:r w:rsidR="00C2084E" w:rsidRPr="00CF7FE6">
        <w:rPr>
          <w:rFonts w:ascii="Verdana" w:hAnsi="Verdana"/>
          <w:sz w:val="20"/>
          <w:szCs w:val="20"/>
          <w:lang w:val="es-ES"/>
        </w:rPr>
        <w:t xml:space="preserve">los </w:t>
      </w:r>
      <w:r w:rsidR="00C2084E" w:rsidRPr="00CF7FE6">
        <w:rPr>
          <w:rFonts w:ascii="Verdana" w:hAnsi="Verdana"/>
          <w:i/>
          <w:sz w:val="20"/>
          <w:szCs w:val="20"/>
          <w:lang w:val="es-ES"/>
        </w:rPr>
        <w:t>D</w:t>
      </w:r>
      <w:r w:rsidR="00555222" w:rsidRPr="00CF7FE6">
        <w:rPr>
          <w:rFonts w:ascii="Verdana" w:hAnsi="Verdana"/>
          <w:i/>
          <w:sz w:val="20"/>
          <w:szCs w:val="20"/>
          <w:lang w:val="es-ES"/>
        </w:rPr>
        <w:t>erec</w:t>
      </w:r>
      <w:r w:rsidR="00C2084E" w:rsidRPr="00CF7FE6">
        <w:rPr>
          <w:rFonts w:ascii="Verdana" w:hAnsi="Verdana"/>
          <w:i/>
          <w:sz w:val="20"/>
          <w:szCs w:val="20"/>
          <w:lang w:val="es-ES"/>
        </w:rPr>
        <w:t>hos Civiles y P</w:t>
      </w:r>
      <w:r w:rsidR="00555222" w:rsidRPr="00CF7FE6">
        <w:rPr>
          <w:rFonts w:ascii="Verdana" w:hAnsi="Verdana"/>
          <w:i/>
          <w:sz w:val="20"/>
          <w:szCs w:val="20"/>
          <w:lang w:val="es-ES"/>
        </w:rPr>
        <w:t>olíticos</w:t>
      </w:r>
      <w:r w:rsidR="009E5DB7" w:rsidRPr="00CF7FE6">
        <w:rPr>
          <w:rFonts w:ascii="Verdana" w:hAnsi="Verdana"/>
          <w:sz w:val="20"/>
          <w:szCs w:val="20"/>
          <w:lang w:val="es-ES"/>
        </w:rPr>
        <w:t xml:space="preserve">, y se optó, en cambio, por hacer un enunciado general en la citada disposición, ubicada, además, en un capítulo especial, el III de la Parte I, denominado </w:t>
      </w:r>
      <w:r w:rsidR="009E5DB7" w:rsidRPr="00CF7FE6">
        <w:rPr>
          <w:rFonts w:ascii="Verdana" w:hAnsi="Verdana"/>
          <w:i/>
          <w:sz w:val="20"/>
          <w:szCs w:val="20"/>
          <w:lang w:val="es-ES"/>
        </w:rPr>
        <w:t>Derechos Económicos, Sociales y Culturales</w:t>
      </w:r>
      <w:r w:rsidR="009E5DB7" w:rsidRPr="00CF7FE6">
        <w:rPr>
          <w:rFonts w:ascii="Verdana" w:hAnsi="Verdana"/>
          <w:sz w:val="20"/>
          <w:szCs w:val="20"/>
          <w:lang w:val="es-ES"/>
        </w:rPr>
        <w:t xml:space="preserve">. </w:t>
      </w:r>
      <w:r w:rsidR="00B42968">
        <w:rPr>
          <w:rFonts w:ascii="Verdana" w:hAnsi="Verdana"/>
          <w:sz w:val="20"/>
          <w:szCs w:val="20"/>
          <w:lang w:val="es-ES"/>
        </w:rPr>
        <w:t>El asunto es, pues, determinar l</w:t>
      </w:r>
      <w:r w:rsidR="00E71D42">
        <w:rPr>
          <w:rFonts w:ascii="Verdana" w:hAnsi="Verdana"/>
          <w:sz w:val="20"/>
          <w:szCs w:val="20"/>
          <w:lang w:val="es-ES"/>
        </w:rPr>
        <w:t>a razón de la existencia de la norma en comento y, consecuentemente, de la regulación de estos últimos derechos.</w:t>
      </w:r>
      <w:r w:rsidR="00E71D42" w:rsidRPr="00E71D42">
        <w:rPr>
          <w:rFonts w:ascii="Verdana" w:hAnsi="Verdana"/>
          <w:sz w:val="20"/>
          <w:szCs w:val="20"/>
          <w:lang w:val="es-ES"/>
        </w:rPr>
        <w:t xml:space="preserve"> </w:t>
      </w:r>
      <w:r w:rsidR="00F167BE">
        <w:rPr>
          <w:rFonts w:ascii="Verdana" w:hAnsi="Verdana"/>
          <w:sz w:val="20"/>
          <w:szCs w:val="20"/>
          <w:lang w:val="es-ES"/>
        </w:rPr>
        <w:t xml:space="preserve">La respuesta parece, empero, </w:t>
      </w:r>
      <w:r w:rsidR="009E5DB7" w:rsidRPr="00CF7FE6">
        <w:rPr>
          <w:rFonts w:ascii="Verdana" w:hAnsi="Verdana"/>
          <w:sz w:val="20"/>
          <w:szCs w:val="20"/>
          <w:lang w:val="es-ES"/>
        </w:rPr>
        <w:t xml:space="preserve">evidente, a saber, </w:t>
      </w:r>
      <w:r w:rsidRPr="00CF7FE6">
        <w:rPr>
          <w:rFonts w:ascii="Verdana" w:hAnsi="Verdana"/>
          <w:sz w:val="20"/>
          <w:szCs w:val="20"/>
          <w:lang w:val="es-ES"/>
        </w:rPr>
        <w:t xml:space="preserve">que </w:t>
      </w:r>
      <w:r w:rsidR="00F167BE">
        <w:rPr>
          <w:rFonts w:ascii="Verdana" w:hAnsi="Verdana"/>
          <w:sz w:val="20"/>
          <w:szCs w:val="20"/>
          <w:lang w:val="es-ES"/>
        </w:rPr>
        <w:t xml:space="preserve">los </w:t>
      </w:r>
      <w:r w:rsidR="00F167BE">
        <w:rPr>
          <w:rFonts w:ascii="Verdana" w:hAnsi="Verdana"/>
          <w:i/>
          <w:sz w:val="20"/>
          <w:szCs w:val="20"/>
          <w:lang w:val="es-ES"/>
        </w:rPr>
        <w:t xml:space="preserve">Derechos Económicos, Sociales y Culturales </w:t>
      </w:r>
      <w:r w:rsidR="009E5DB7" w:rsidRPr="00CF7FE6">
        <w:rPr>
          <w:rFonts w:ascii="Verdana" w:hAnsi="Verdana"/>
          <w:sz w:val="20"/>
          <w:szCs w:val="20"/>
          <w:lang w:val="es-ES"/>
        </w:rPr>
        <w:t xml:space="preserve">no son objeto del mismo régimen de protección que los </w:t>
      </w:r>
      <w:r w:rsidR="00C2084E" w:rsidRPr="00CF7FE6">
        <w:rPr>
          <w:rFonts w:ascii="Verdana" w:hAnsi="Verdana"/>
          <w:i/>
          <w:sz w:val="20"/>
          <w:szCs w:val="20"/>
          <w:lang w:val="es-ES"/>
        </w:rPr>
        <w:t>Derechos Civiles y P</w:t>
      </w:r>
      <w:r w:rsidR="009E5DB7" w:rsidRPr="00CF7FE6">
        <w:rPr>
          <w:rFonts w:ascii="Verdana" w:hAnsi="Verdana"/>
          <w:i/>
          <w:sz w:val="20"/>
          <w:szCs w:val="20"/>
          <w:lang w:val="es-ES"/>
        </w:rPr>
        <w:t>olíticos</w:t>
      </w:r>
      <w:r w:rsidR="009E5DB7" w:rsidRPr="00CF7FE6">
        <w:rPr>
          <w:rFonts w:ascii="Verdana" w:hAnsi="Verdana"/>
          <w:sz w:val="20"/>
          <w:szCs w:val="20"/>
          <w:lang w:val="es-ES"/>
        </w:rPr>
        <w:t>, precisados en el Capítulo II</w:t>
      </w:r>
      <w:r w:rsidR="00C2084E" w:rsidRPr="00CF7FE6">
        <w:rPr>
          <w:rFonts w:ascii="Verdana" w:hAnsi="Verdana"/>
          <w:sz w:val="20"/>
          <w:szCs w:val="20"/>
          <w:lang w:val="es-ES"/>
        </w:rPr>
        <w:t>.</w:t>
      </w:r>
      <w:r w:rsidR="00F167BE" w:rsidRPr="00F167BE">
        <w:rPr>
          <w:lang w:val="es-ES"/>
        </w:rPr>
        <w:t xml:space="preserve"> </w:t>
      </w:r>
      <w:r w:rsidR="00F167BE" w:rsidRPr="00F167BE">
        <w:rPr>
          <w:rFonts w:ascii="Verdana" w:hAnsi="Verdana"/>
          <w:sz w:val="20"/>
          <w:szCs w:val="20"/>
          <w:lang w:val="es-ES"/>
        </w:rPr>
        <w:t xml:space="preserve">Es decir, </w:t>
      </w:r>
      <w:r w:rsidR="00F167BE">
        <w:rPr>
          <w:rFonts w:ascii="Verdana" w:hAnsi="Verdana"/>
          <w:sz w:val="20"/>
          <w:szCs w:val="20"/>
          <w:lang w:val="es-ES"/>
        </w:rPr>
        <w:t xml:space="preserve">que </w:t>
      </w:r>
      <w:r w:rsidR="00F167BE" w:rsidRPr="00F167BE">
        <w:rPr>
          <w:rFonts w:ascii="Verdana" w:hAnsi="Verdana"/>
          <w:sz w:val="20"/>
          <w:szCs w:val="20"/>
          <w:lang w:val="es-ES"/>
        </w:rPr>
        <w:t>si bien es cierto que existe una estrecha vinculación entre ambos tipos de derechos, no es menos cierto que la Convención les proporciona un tratamiento diferenciado y que se expresa precisamente en el artículo 26.</w:t>
      </w:r>
    </w:p>
    <w:p w14:paraId="243598BC" w14:textId="77777777" w:rsidR="00761972" w:rsidRPr="00CF7FE6" w:rsidRDefault="00761972" w:rsidP="00EB7CE1">
      <w:pPr>
        <w:spacing w:after="0" w:line="240" w:lineRule="auto"/>
        <w:jc w:val="both"/>
        <w:rPr>
          <w:rFonts w:ascii="Verdana" w:hAnsi="Verdana"/>
          <w:sz w:val="20"/>
          <w:szCs w:val="20"/>
          <w:lang w:val="es-ES"/>
        </w:rPr>
      </w:pPr>
    </w:p>
    <w:p w14:paraId="37311886" w14:textId="77777777" w:rsidR="008A0B43" w:rsidRPr="00CF7FE6" w:rsidRDefault="00C2084E" w:rsidP="00EB7CE1">
      <w:pPr>
        <w:spacing w:after="0" w:line="240" w:lineRule="auto"/>
        <w:jc w:val="both"/>
        <w:rPr>
          <w:rFonts w:ascii="Verdana" w:hAnsi="Verdana"/>
          <w:sz w:val="20"/>
          <w:szCs w:val="20"/>
          <w:lang w:val="es-ES"/>
        </w:rPr>
      </w:pPr>
      <w:r w:rsidRPr="00CF7FE6">
        <w:rPr>
          <w:rFonts w:ascii="Verdana" w:hAnsi="Verdana"/>
          <w:sz w:val="20"/>
          <w:szCs w:val="20"/>
          <w:lang w:val="es-ES"/>
        </w:rPr>
        <w:t>Por otra parte, de aceptarse lo se</w:t>
      </w:r>
      <w:r w:rsidR="00E26B58" w:rsidRPr="00CF7FE6">
        <w:rPr>
          <w:rFonts w:ascii="Verdana" w:hAnsi="Verdana"/>
          <w:sz w:val="20"/>
          <w:szCs w:val="20"/>
          <w:lang w:val="es-ES"/>
        </w:rPr>
        <w:t>ñalado en la Sentencia en lo que dice relación con e</w:t>
      </w:r>
      <w:r w:rsidRPr="00CF7FE6">
        <w:rPr>
          <w:rFonts w:ascii="Verdana" w:hAnsi="Verdana"/>
          <w:sz w:val="20"/>
          <w:szCs w:val="20"/>
          <w:lang w:val="es-ES"/>
        </w:rPr>
        <w:t>l citado artículo 26, haría innecesario e inútil lo previsto en los artículos 31, 76.1 y 77.1</w:t>
      </w:r>
      <w:r w:rsidRPr="00CF7FE6">
        <w:rPr>
          <w:rStyle w:val="FootnoteReference"/>
          <w:rFonts w:ascii="Verdana" w:hAnsi="Verdana"/>
          <w:sz w:val="20"/>
          <w:szCs w:val="20"/>
          <w:lang w:val="es-ES"/>
        </w:rPr>
        <w:footnoteReference w:id="56"/>
      </w:r>
      <w:r w:rsidRPr="00CF7FE6">
        <w:rPr>
          <w:rFonts w:ascii="Verdana" w:hAnsi="Verdana"/>
          <w:sz w:val="20"/>
          <w:szCs w:val="20"/>
          <w:lang w:val="es-ES"/>
        </w:rPr>
        <w:t xml:space="preserve"> de la Convención, esto es</w:t>
      </w:r>
      <w:r w:rsidR="00275A5B" w:rsidRPr="00CF7FE6">
        <w:rPr>
          <w:rFonts w:ascii="Verdana" w:hAnsi="Verdana"/>
          <w:sz w:val="20"/>
          <w:szCs w:val="20"/>
          <w:lang w:val="es-ES"/>
        </w:rPr>
        <w:t>,</w:t>
      </w:r>
      <w:r w:rsidRPr="00CF7FE6">
        <w:rPr>
          <w:rFonts w:ascii="Verdana" w:hAnsi="Verdana"/>
          <w:sz w:val="20"/>
          <w:szCs w:val="20"/>
          <w:lang w:val="es-ES"/>
        </w:rPr>
        <w:t xml:space="preserve"> la suscripción de protocolos adicionales</w:t>
      </w:r>
      <w:r w:rsidR="00275A5B" w:rsidRPr="00CF7FE6">
        <w:rPr>
          <w:rFonts w:ascii="Verdana" w:hAnsi="Verdana"/>
          <w:sz w:val="20"/>
          <w:szCs w:val="20"/>
          <w:lang w:val="es-ES"/>
        </w:rPr>
        <w:t xml:space="preserve"> a fin de reconocer otros derechos diferentes a los que lo son en la Convención e incluirlos en el régimen de protección que contempla, dado que para ello bastaría la aplicaci</w:t>
      </w:r>
      <w:r w:rsidR="00B011A1" w:rsidRPr="00CF7FE6">
        <w:rPr>
          <w:rFonts w:ascii="Verdana" w:hAnsi="Verdana"/>
          <w:sz w:val="20"/>
          <w:szCs w:val="20"/>
          <w:lang w:val="es-ES"/>
        </w:rPr>
        <w:t xml:space="preserve">ón del primero de los </w:t>
      </w:r>
      <w:r w:rsidR="00F336C5">
        <w:rPr>
          <w:rFonts w:ascii="Verdana" w:hAnsi="Verdana"/>
          <w:sz w:val="20"/>
          <w:szCs w:val="20"/>
          <w:lang w:val="es-ES"/>
        </w:rPr>
        <w:t xml:space="preserve">artículos </w:t>
      </w:r>
      <w:r w:rsidR="00B011A1" w:rsidRPr="00CF7FE6">
        <w:rPr>
          <w:rFonts w:ascii="Verdana" w:hAnsi="Verdana"/>
          <w:sz w:val="20"/>
          <w:szCs w:val="20"/>
          <w:lang w:val="es-ES"/>
        </w:rPr>
        <w:t>mencionados</w:t>
      </w:r>
      <w:r w:rsidR="00275A5B" w:rsidRPr="00CF7FE6">
        <w:rPr>
          <w:rFonts w:ascii="Verdana" w:hAnsi="Verdana"/>
          <w:sz w:val="20"/>
          <w:szCs w:val="20"/>
          <w:lang w:val="es-ES"/>
        </w:rPr>
        <w:t>. En este sentido, incluso</w:t>
      </w:r>
      <w:r w:rsidR="0001016B" w:rsidRPr="00CF7FE6">
        <w:rPr>
          <w:rFonts w:ascii="Verdana" w:hAnsi="Verdana"/>
          <w:sz w:val="20"/>
          <w:szCs w:val="20"/>
          <w:lang w:val="es-ES"/>
        </w:rPr>
        <w:t>, como ya se indicó, el “</w:t>
      </w:r>
      <w:r w:rsidR="00275A5B" w:rsidRPr="00CF7FE6">
        <w:rPr>
          <w:rFonts w:ascii="Verdana" w:hAnsi="Verdana"/>
          <w:i/>
          <w:sz w:val="20"/>
          <w:szCs w:val="20"/>
          <w:lang w:val="es-ES"/>
        </w:rPr>
        <w:t>Protocolo de San Salvador</w:t>
      </w:r>
      <w:r w:rsidR="00275A5B" w:rsidRPr="00CF7FE6">
        <w:rPr>
          <w:rFonts w:ascii="Verdana" w:hAnsi="Verdana"/>
          <w:sz w:val="20"/>
          <w:szCs w:val="20"/>
          <w:lang w:val="es-ES"/>
        </w:rPr>
        <w:t>”</w:t>
      </w:r>
      <w:r w:rsidR="00E26B58" w:rsidRPr="00CF7FE6">
        <w:rPr>
          <w:rFonts w:ascii="Verdana" w:hAnsi="Verdana"/>
          <w:sz w:val="20"/>
          <w:szCs w:val="20"/>
          <w:lang w:val="es-ES"/>
        </w:rPr>
        <w:t xml:space="preserve"> y, </w:t>
      </w:r>
      <w:r w:rsidR="00275A5B" w:rsidRPr="00CF7FE6">
        <w:rPr>
          <w:rFonts w:ascii="Verdana" w:hAnsi="Verdana"/>
          <w:sz w:val="20"/>
          <w:szCs w:val="20"/>
          <w:lang w:val="es-ES"/>
        </w:rPr>
        <w:t>muy especialmente</w:t>
      </w:r>
      <w:r w:rsidR="00E26B58" w:rsidRPr="00CF7FE6">
        <w:rPr>
          <w:rFonts w:ascii="Verdana" w:hAnsi="Verdana"/>
          <w:sz w:val="20"/>
          <w:szCs w:val="20"/>
          <w:lang w:val="es-ES"/>
        </w:rPr>
        <w:t>,</w:t>
      </w:r>
      <w:r w:rsidR="00275A5B" w:rsidRPr="00CF7FE6">
        <w:rPr>
          <w:rFonts w:ascii="Verdana" w:hAnsi="Verdana"/>
          <w:sz w:val="20"/>
          <w:szCs w:val="20"/>
          <w:lang w:val="es-ES"/>
        </w:rPr>
        <w:t xml:space="preserve"> sus artículos relativos al derecho de organizar sindicatos y a afiliarse en el</w:t>
      </w:r>
      <w:r w:rsidR="001649B0" w:rsidRPr="00CF7FE6">
        <w:rPr>
          <w:rFonts w:ascii="Verdana" w:hAnsi="Verdana"/>
          <w:sz w:val="20"/>
          <w:szCs w:val="20"/>
          <w:lang w:val="es-ES"/>
        </w:rPr>
        <w:t>los y el derecho a la educación</w:t>
      </w:r>
      <w:r w:rsidR="00275A5B" w:rsidRPr="00CF7FE6">
        <w:rPr>
          <w:rStyle w:val="FootnoteReference"/>
          <w:rFonts w:ascii="Verdana" w:hAnsi="Verdana"/>
          <w:sz w:val="20"/>
          <w:szCs w:val="20"/>
          <w:lang w:val="es-ES"/>
        </w:rPr>
        <w:footnoteReference w:id="57"/>
      </w:r>
      <w:r w:rsidR="001649B0" w:rsidRPr="00CF7FE6">
        <w:rPr>
          <w:rFonts w:ascii="Verdana" w:hAnsi="Verdana"/>
          <w:sz w:val="20"/>
          <w:szCs w:val="20"/>
          <w:lang w:val="es-ES"/>
        </w:rPr>
        <w:t>,</w:t>
      </w:r>
      <w:r w:rsidR="00275A5B" w:rsidRPr="00CF7FE6">
        <w:rPr>
          <w:rFonts w:ascii="Verdana" w:hAnsi="Verdana"/>
          <w:sz w:val="20"/>
          <w:szCs w:val="20"/>
          <w:lang w:val="es-ES"/>
        </w:rPr>
        <w:t xml:space="preserve"> no sería</w:t>
      </w:r>
      <w:r w:rsidR="00B011A1" w:rsidRPr="00CF7FE6">
        <w:rPr>
          <w:rFonts w:ascii="Verdana" w:hAnsi="Verdana"/>
          <w:sz w:val="20"/>
          <w:szCs w:val="20"/>
          <w:lang w:val="es-ES"/>
        </w:rPr>
        <w:t>n</w:t>
      </w:r>
      <w:r w:rsidR="00275A5B" w:rsidRPr="00CF7FE6">
        <w:rPr>
          <w:rFonts w:ascii="Verdana" w:hAnsi="Verdana"/>
          <w:sz w:val="20"/>
          <w:szCs w:val="20"/>
          <w:lang w:val="es-ES"/>
        </w:rPr>
        <w:t xml:space="preserve"> </w:t>
      </w:r>
      <w:r w:rsidR="00275A5B" w:rsidRPr="00CF7FE6">
        <w:rPr>
          <w:rFonts w:ascii="Verdana" w:hAnsi="Verdana"/>
          <w:sz w:val="20"/>
          <w:szCs w:val="20"/>
          <w:lang w:val="es-ES"/>
        </w:rPr>
        <w:lastRenderedPageBreak/>
        <w:t>necesario</w:t>
      </w:r>
      <w:r w:rsidR="00B011A1" w:rsidRPr="00CF7FE6">
        <w:rPr>
          <w:rFonts w:ascii="Verdana" w:hAnsi="Verdana"/>
          <w:sz w:val="20"/>
          <w:szCs w:val="20"/>
          <w:lang w:val="es-ES"/>
        </w:rPr>
        <w:t>s</w:t>
      </w:r>
      <w:r w:rsidR="00275A5B" w:rsidRPr="00CF7FE6">
        <w:rPr>
          <w:rFonts w:ascii="Verdana" w:hAnsi="Verdana"/>
          <w:sz w:val="20"/>
          <w:szCs w:val="20"/>
          <w:lang w:val="es-ES"/>
        </w:rPr>
        <w:t xml:space="preserve"> para reclamar la violaci</w:t>
      </w:r>
      <w:r w:rsidR="00E26B58" w:rsidRPr="00CF7FE6">
        <w:rPr>
          <w:rFonts w:ascii="Verdana" w:hAnsi="Verdana"/>
          <w:sz w:val="20"/>
          <w:szCs w:val="20"/>
          <w:lang w:val="es-ES"/>
        </w:rPr>
        <w:t xml:space="preserve">ón de estos derechos ante la </w:t>
      </w:r>
      <w:r w:rsidR="00275A5B" w:rsidRPr="00CF7FE6">
        <w:rPr>
          <w:rFonts w:ascii="Verdana" w:hAnsi="Verdana"/>
          <w:sz w:val="20"/>
          <w:szCs w:val="20"/>
          <w:lang w:val="es-ES"/>
        </w:rPr>
        <w:t xml:space="preserve">Corte, </w:t>
      </w:r>
      <w:r w:rsidR="00E26B58" w:rsidRPr="00CF7FE6">
        <w:rPr>
          <w:rFonts w:ascii="Verdana" w:hAnsi="Verdana"/>
          <w:sz w:val="20"/>
          <w:szCs w:val="20"/>
          <w:lang w:val="es-ES"/>
        </w:rPr>
        <w:t xml:space="preserve">pues para ello </w:t>
      </w:r>
      <w:r w:rsidR="00275A5B" w:rsidRPr="00CF7FE6">
        <w:rPr>
          <w:rFonts w:ascii="Verdana" w:hAnsi="Verdana"/>
          <w:sz w:val="20"/>
          <w:szCs w:val="20"/>
          <w:lang w:val="es-ES"/>
        </w:rPr>
        <w:t>bastar</w:t>
      </w:r>
      <w:r w:rsidR="00E26B58" w:rsidRPr="00CF7FE6">
        <w:rPr>
          <w:rFonts w:ascii="Verdana" w:hAnsi="Verdana"/>
          <w:sz w:val="20"/>
          <w:szCs w:val="20"/>
          <w:lang w:val="es-ES"/>
        </w:rPr>
        <w:t xml:space="preserve">ía </w:t>
      </w:r>
      <w:r w:rsidR="00275A5B" w:rsidRPr="00CF7FE6">
        <w:rPr>
          <w:rFonts w:ascii="Verdana" w:hAnsi="Verdana"/>
          <w:sz w:val="20"/>
          <w:szCs w:val="20"/>
          <w:lang w:val="es-ES"/>
        </w:rPr>
        <w:t>solo el artículo 26 citado.</w:t>
      </w:r>
    </w:p>
    <w:p w14:paraId="7186974E" w14:textId="77777777" w:rsidR="00236A55" w:rsidRPr="00CF7FE6" w:rsidRDefault="00236A55" w:rsidP="00EB7CE1">
      <w:pPr>
        <w:spacing w:after="0" w:line="240" w:lineRule="auto"/>
        <w:jc w:val="both"/>
        <w:rPr>
          <w:rFonts w:ascii="Verdana" w:hAnsi="Verdana"/>
          <w:sz w:val="20"/>
          <w:szCs w:val="20"/>
          <w:lang w:val="es-ES"/>
        </w:rPr>
      </w:pPr>
    </w:p>
    <w:p w14:paraId="5367883E" w14:textId="77777777" w:rsidR="00EA1E7D" w:rsidRDefault="005908CD" w:rsidP="00EB7CE1">
      <w:pPr>
        <w:spacing w:after="0" w:line="240" w:lineRule="auto"/>
        <w:jc w:val="both"/>
        <w:rPr>
          <w:rFonts w:ascii="Verdana" w:hAnsi="Verdana"/>
          <w:sz w:val="20"/>
          <w:szCs w:val="20"/>
          <w:lang w:val="es-ES"/>
        </w:rPr>
      </w:pPr>
      <w:r w:rsidRPr="00CF7FE6">
        <w:rPr>
          <w:rFonts w:ascii="Verdana" w:hAnsi="Verdana"/>
          <w:sz w:val="20"/>
          <w:szCs w:val="20"/>
          <w:lang w:val="es-ES"/>
        </w:rPr>
        <w:t>En otras palabras, sobre la base del principio de que "</w:t>
      </w:r>
      <w:r w:rsidRPr="00CF7FE6">
        <w:rPr>
          <w:rFonts w:ascii="Verdana" w:hAnsi="Verdana"/>
          <w:i/>
          <w:sz w:val="20"/>
          <w:szCs w:val="20"/>
          <w:lang w:val="es-ES"/>
        </w:rPr>
        <w:t>donde hay la misma razón legal debe existir igual disposición de derecho"</w:t>
      </w:r>
      <w:r w:rsidRPr="00CF7FE6">
        <w:rPr>
          <w:rFonts w:ascii="Verdana" w:hAnsi="Verdana"/>
          <w:sz w:val="20"/>
          <w:szCs w:val="20"/>
          <w:lang w:val="es-ES"/>
        </w:rPr>
        <w:t xml:space="preserve"> o “</w:t>
      </w:r>
      <w:r w:rsidRPr="00CF7FE6">
        <w:rPr>
          <w:rFonts w:ascii="Verdana" w:hAnsi="Verdana"/>
          <w:i/>
          <w:sz w:val="20"/>
          <w:szCs w:val="20"/>
          <w:lang w:val="es-ES"/>
        </w:rPr>
        <w:t>donde existe la misma razón debe existir la misma disposición</w:t>
      </w:r>
      <w:r w:rsidRPr="00CF7FE6">
        <w:rPr>
          <w:rFonts w:ascii="Verdana" w:hAnsi="Verdana"/>
          <w:sz w:val="20"/>
          <w:szCs w:val="20"/>
          <w:lang w:val="es-ES"/>
        </w:rPr>
        <w:t>”, de seguirse el criterio adoptado por la Sentencia</w:t>
      </w:r>
      <w:r w:rsidR="00C4009F">
        <w:rPr>
          <w:rFonts w:ascii="Verdana" w:hAnsi="Verdana"/>
          <w:sz w:val="20"/>
          <w:szCs w:val="20"/>
          <w:lang w:val="es-ES"/>
        </w:rPr>
        <w:t xml:space="preserve"> y llevándolo a su extremo</w:t>
      </w:r>
      <w:r w:rsidRPr="00CF7FE6">
        <w:rPr>
          <w:rFonts w:ascii="Verdana" w:hAnsi="Verdana"/>
          <w:sz w:val="20"/>
          <w:szCs w:val="20"/>
          <w:lang w:val="es-ES"/>
        </w:rPr>
        <w:t>, no se vislumbraría el motivo</w:t>
      </w:r>
      <w:r w:rsidR="00E7009A" w:rsidRPr="00CF7FE6">
        <w:rPr>
          <w:rFonts w:ascii="Verdana" w:hAnsi="Verdana"/>
          <w:sz w:val="20"/>
          <w:szCs w:val="20"/>
          <w:lang w:val="es-ES"/>
        </w:rPr>
        <w:t xml:space="preserve"> por el que no podrían ser también invocad</w:t>
      </w:r>
      <w:r w:rsidR="009C4CD5">
        <w:rPr>
          <w:rFonts w:ascii="Verdana" w:hAnsi="Verdana"/>
          <w:sz w:val="20"/>
          <w:szCs w:val="20"/>
          <w:lang w:val="es-ES"/>
        </w:rPr>
        <w:t>os ante la Corte las presuntas violaciones a los</w:t>
      </w:r>
      <w:r w:rsidR="00E7009A" w:rsidRPr="00CF7FE6">
        <w:rPr>
          <w:rFonts w:ascii="Verdana" w:hAnsi="Verdana"/>
          <w:sz w:val="20"/>
          <w:szCs w:val="20"/>
          <w:lang w:val="es-ES"/>
        </w:rPr>
        <w:t xml:space="preserve"> derechos humanos que las normas de todo el Capítulo VII de la Carta de la OEA implicarían</w:t>
      </w:r>
      <w:r w:rsidR="00EA1E7D">
        <w:rPr>
          <w:rStyle w:val="FootnoteReference"/>
          <w:rFonts w:ascii="Verdana" w:hAnsi="Verdana"/>
          <w:sz w:val="20"/>
          <w:szCs w:val="20"/>
          <w:lang w:val="es-ES"/>
        </w:rPr>
        <w:footnoteReference w:id="58"/>
      </w:r>
      <w:r w:rsidR="00E7009A" w:rsidRPr="00CF7FE6">
        <w:rPr>
          <w:rFonts w:ascii="Verdana" w:hAnsi="Verdana"/>
          <w:sz w:val="20"/>
          <w:szCs w:val="20"/>
          <w:lang w:val="es-ES"/>
        </w:rPr>
        <w:t xml:space="preserve">. </w:t>
      </w:r>
    </w:p>
    <w:p w14:paraId="45E28492" w14:textId="77777777" w:rsidR="00EA1E7D" w:rsidRPr="00CF7FE6" w:rsidRDefault="00EA1E7D" w:rsidP="00EB7CE1">
      <w:pPr>
        <w:spacing w:after="0" w:line="240" w:lineRule="auto"/>
        <w:jc w:val="both"/>
        <w:rPr>
          <w:rFonts w:ascii="Verdana" w:hAnsi="Verdana"/>
          <w:sz w:val="20"/>
          <w:szCs w:val="20"/>
          <w:lang w:val="es-ES"/>
        </w:rPr>
      </w:pPr>
    </w:p>
    <w:p w14:paraId="1E04AAE9" w14:textId="77777777" w:rsidR="00761972" w:rsidRPr="00CF7FE6" w:rsidRDefault="00C82E24" w:rsidP="00EB7CE1">
      <w:pPr>
        <w:spacing w:after="0" w:line="240" w:lineRule="auto"/>
        <w:jc w:val="both"/>
        <w:rPr>
          <w:rFonts w:ascii="Verdana" w:hAnsi="Verdana"/>
          <w:sz w:val="20"/>
          <w:szCs w:val="20"/>
          <w:lang w:val="es-ES"/>
        </w:rPr>
      </w:pPr>
      <w:r w:rsidRPr="00CF7FE6">
        <w:rPr>
          <w:rFonts w:ascii="Verdana" w:hAnsi="Verdana"/>
          <w:sz w:val="20"/>
          <w:szCs w:val="20"/>
          <w:lang w:val="es-ES"/>
        </w:rPr>
        <w:t xml:space="preserve">Empero, </w:t>
      </w:r>
      <w:r w:rsidR="00652B77">
        <w:rPr>
          <w:rFonts w:ascii="Verdana" w:hAnsi="Verdana"/>
          <w:sz w:val="20"/>
          <w:szCs w:val="20"/>
          <w:lang w:val="es-ES"/>
        </w:rPr>
        <w:t>d</w:t>
      </w:r>
      <w:r w:rsidR="00652B77" w:rsidRPr="00652B77">
        <w:rPr>
          <w:rFonts w:ascii="Verdana" w:hAnsi="Verdana"/>
          <w:sz w:val="20"/>
          <w:szCs w:val="20"/>
          <w:lang w:val="es-ES"/>
        </w:rPr>
        <w:t xml:space="preserve">e aceptarse, pues, </w:t>
      </w:r>
      <w:r w:rsidR="006D4172">
        <w:rPr>
          <w:rFonts w:ascii="Verdana" w:hAnsi="Verdana"/>
          <w:sz w:val="20"/>
          <w:szCs w:val="20"/>
          <w:lang w:val="es-ES"/>
        </w:rPr>
        <w:t>esta conclusión extrema</w:t>
      </w:r>
      <w:r w:rsidR="00782577">
        <w:rPr>
          <w:rFonts w:ascii="Verdana" w:hAnsi="Verdana"/>
          <w:sz w:val="20"/>
          <w:szCs w:val="20"/>
          <w:lang w:val="es-ES"/>
        </w:rPr>
        <w:t>, importaría</w:t>
      </w:r>
      <w:r w:rsidR="00652B77" w:rsidRPr="00652B77">
        <w:rPr>
          <w:rFonts w:ascii="Verdana" w:hAnsi="Verdana"/>
          <w:sz w:val="20"/>
          <w:szCs w:val="20"/>
          <w:lang w:val="es-ES"/>
        </w:rPr>
        <w:t xml:space="preserve"> que todos los Estados Partes de la Convención y que han aceptado su jurisdicción, </w:t>
      </w:r>
      <w:r w:rsidR="00652B77">
        <w:rPr>
          <w:rFonts w:ascii="Verdana" w:hAnsi="Verdana"/>
          <w:sz w:val="20"/>
          <w:szCs w:val="20"/>
          <w:lang w:val="es-ES"/>
        </w:rPr>
        <w:t xml:space="preserve">eventualmente </w:t>
      </w:r>
      <w:r w:rsidR="00652B77" w:rsidRPr="00652B77">
        <w:rPr>
          <w:rFonts w:ascii="Verdana" w:hAnsi="Verdana"/>
          <w:sz w:val="20"/>
          <w:szCs w:val="20"/>
          <w:lang w:val="es-ES"/>
        </w:rPr>
        <w:t>podrían ser llevados ante la Corte por ser subdesarrollados o en vías de desarrollo, es decir, por no alcanzar plenamente el desarrollo integral o algunas de sus facetas, lo que a todas luces parece alejado de lo que ellos deseaban al firmar la Convención o</w:t>
      </w:r>
      <w:r w:rsidR="006D4172">
        <w:rPr>
          <w:rFonts w:ascii="Verdana" w:hAnsi="Verdana"/>
          <w:sz w:val="20"/>
          <w:szCs w:val="20"/>
          <w:lang w:val="es-ES"/>
        </w:rPr>
        <w:t>, al menos, de la lógica implícita en ella</w:t>
      </w:r>
      <w:r w:rsidR="00CE06BA">
        <w:rPr>
          <w:rFonts w:ascii="Verdana" w:hAnsi="Verdana"/>
          <w:sz w:val="20"/>
          <w:szCs w:val="20"/>
          <w:lang w:val="es-ES"/>
        </w:rPr>
        <w:t>, en especial, por la forma en que está redactado el mencionado Capítulo VII.</w:t>
      </w:r>
      <w:r w:rsidR="00524112" w:rsidRPr="00CF7FE6">
        <w:rPr>
          <w:rFonts w:ascii="Verdana" w:hAnsi="Verdana"/>
          <w:sz w:val="20"/>
          <w:szCs w:val="20"/>
          <w:lang w:val="es-ES"/>
        </w:rPr>
        <w:t xml:space="preserve"> </w:t>
      </w:r>
    </w:p>
    <w:p w14:paraId="341D6644" w14:textId="77777777" w:rsidR="00652B77" w:rsidRDefault="00652B77" w:rsidP="00EB7CE1">
      <w:pPr>
        <w:spacing w:after="0" w:line="240" w:lineRule="auto"/>
        <w:jc w:val="both"/>
        <w:rPr>
          <w:rFonts w:ascii="Verdana" w:hAnsi="Verdana"/>
          <w:sz w:val="20"/>
          <w:szCs w:val="20"/>
          <w:lang w:val="es-ES"/>
        </w:rPr>
      </w:pPr>
    </w:p>
    <w:p w14:paraId="66E90C54" w14:textId="77777777" w:rsidR="00FF0E29" w:rsidRPr="00CF7FE6" w:rsidRDefault="00FF0E29" w:rsidP="00EB7CE1">
      <w:pPr>
        <w:spacing w:after="0" w:line="240" w:lineRule="auto"/>
        <w:jc w:val="both"/>
        <w:rPr>
          <w:rFonts w:ascii="Verdana" w:hAnsi="Verdana"/>
          <w:sz w:val="20"/>
          <w:szCs w:val="20"/>
          <w:lang w:val="es-ES"/>
        </w:rPr>
      </w:pPr>
      <w:r w:rsidRPr="00CF7FE6">
        <w:rPr>
          <w:rFonts w:ascii="Verdana" w:hAnsi="Verdana"/>
          <w:sz w:val="20"/>
          <w:szCs w:val="20"/>
          <w:lang w:val="es-ES"/>
        </w:rPr>
        <w:t xml:space="preserve">Finalmente, </w:t>
      </w:r>
      <w:r w:rsidR="00586A4C">
        <w:rPr>
          <w:rFonts w:ascii="Verdana" w:hAnsi="Verdana"/>
          <w:sz w:val="20"/>
          <w:szCs w:val="20"/>
          <w:lang w:val="es-ES"/>
        </w:rPr>
        <w:t xml:space="preserve">en tanto acotación suplementaria a lo sostenido en el presente voto, </w:t>
      </w:r>
      <w:r w:rsidRPr="00CF7FE6">
        <w:rPr>
          <w:rFonts w:ascii="Verdana" w:hAnsi="Verdana"/>
          <w:sz w:val="20"/>
          <w:szCs w:val="20"/>
          <w:lang w:val="es-ES"/>
        </w:rPr>
        <w:t>habría que reco</w:t>
      </w:r>
      <w:r w:rsidR="005415A0" w:rsidRPr="00CF7FE6">
        <w:rPr>
          <w:rFonts w:ascii="Verdana" w:hAnsi="Verdana"/>
          <w:sz w:val="20"/>
          <w:szCs w:val="20"/>
          <w:lang w:val="es-ES"/>
        </w:rPr>
        <w:t>r</w:t>
      </w:r>
      <w:r w:rsidRPr="00CF7FE6">
        <w:rPr>
          <w:rFonts w:ascii="Verdana" w:hAnsi="Verdana"/>
          <w:sz w:val="20"/>
          <w:szCs w:val="20"/>
          <w:lang w:val="es-ES"/>
        </w:rPr>
        <w:t xml:space="preserve">dar que </w:t>
      </w:r>
      <w:r w:rsidR="00586A4C">
        <w:rPr>
          <w:rFonts w:ascii="Verdana" w:hAnsi="Verdana"/>
          <w:sz w:val="20"/>
          <w:szCs w:val="20"/>
          <w:lang w:val="es-ES"/>
        </w:rPr>
        <w:t xml:space="preserve">en otras sentencias </w:t>
      </w:r>
      <w:r w:rsidR="00582103" w:rsidRPr="00CF7FE6">
        <w:rPr>
          <w:rFonts w:ascii="Verdana" w:hAnsi="Verdana"/>
          <w:sz w:val="20"/>
          <w:szCs w:val="20"/>
          <w:lang w:val="es-ES"/>
        </w:rPr>
        <w:t>de la Corte</w:t>
      </w:r>
      <w:r w:rsidR="00586A4C">
        <w:rPr>
          <w:rFonts w:ascii="Verdana" w:hAnsi="Verdana"/>
          <w:sz w:val="20"/>
          <w:szCs w:val="20"/>
          <w:lang w:val="es-ES"/>
        </w:rPr>
        <w:t xml:space="preserve"> se alcanzó </w:t>
      </w:r>
      <w:r w:rsidRPr="00CF7FE6">
        <w:rPr>
          <w:rFonts w:ascii="Verdana" w:hAnsi="Verdana"/>
          <w:sz w:val="20"/>
          <w:szCs w:val="20"/>
          <w:lang w:val="es-ES"/>
        </w:rPr>
        <w:t xml:space="preserve">un resultado análogo al que se pretende en autos, aplicando únicamente disposiciones de la Convención referentes a derechos que </w:t>
      </w:r>
      <w:r w:rsidR="00582103" w:rsidRPr="00CF7FE6">
        <w:rPr>
          <w:rFonts w:ascii="Verdana" w:hAnsi="Verdana"/>
          <w:sz w:val="20"/>
          <w:szCs w:val="20"/>
          <w:lang w:val="es-ES"/>
        </w:rPr>
        <w:t xml:space="preserve">ésta </w:t>
      </w:r>
      <w:r w:rsidRPr="00CF7FE6">
        <w:rPr>
          <w:rFonts w:ascii="Verdana" w:hAnsi="Verdana"/>
          <w:sz w:val="20"/>
          <w:szCs w:val="20"/>
          <w:lang w:val="es-ES"/>
        </w:rPr>
        <w:t>reconoce, como las que protegen el derecho a la integridad personal, a la propiedad o a las garantías judiciales y la protección judicial, sin haber</w:t>
      </w:r>
      <w:r w:rsidR="00264DEE" w:rsidRPr="00CF7FE6">
        <w:rPr>
          <w:rFonts w:ascii="Verdana" w:hAnsi="Verdana"/>
          <w:sz w:val="20"/>
          <w:szCs w:val="20"/>
          <w:lang w:val="es-ES"/>
        </w:rPr>
        <w:t xml:space="preserve"> tenido necesidad de recurrir</w:t>
      </w:r>
      <w:r w:rsidRPr="00CF7FE6">
        <w:rPr>
          <w:rFonts w:ascii="Verdana" w:hAnsi="Verdana"/>
          <w:sz w:val="20"/>
          <w:szCs w:val="20"/>
          <w:lang w:val="es-ES"/>
        </w:rPr>
        <w:t xml:space="preserve"> al </w:t>
      </w:r>
      <w:r w:rsidR="00264DEE" w:rsidRPr="00CF7FE6">
        <w:rPr>
          <w:rFonts w:ascii="Verdana" w:hAnsi="Verdana"/>
          <w:sz w:val="20"/>
          <w:szCs w:val="20"/>
          <w:lang w:val="es-ES"/>
        </w:rPr>
        <w:t xml:space="preserve">mencionado </w:t>
      </w:r>
      <w:r w:rsidR="00236A55" w:rsidRPr="00CF7FE6">
        <w:rPr>
          <w:rFonts w:ascii="Verdana" w:hAnsi="Verdana"/>
          <w:sz w:val="20"/>
          <w:szCs w:val="20"/>
          <w:lang w:val="es-ES"/>
        </w:rPr>
        <w:t>artículo 26</w:t>
      </w:r>
      <w:r w:rsidR="008E602E" w:rsidRPr="00CF7FE6">
        <w:rPr>
          <w:rStyle w:val="FootnoteReference"/>
          <w:rFonts w:ascii="Verdana" w:hAnsi="Verdana"/>
          <w:sz w:val="20"/>
          <w:szCs w:val="20"/>
          <w:lang w:val="es-ES"/>
        </w:rPr>
        <w:footnoteReference w:id="59"/>
      </w:r>
      <w:r w:rsidR="00236A55" w:rsidRPr="00CF7FE6">
        <w:rPr>
          <w:rFonts w:ascii="Verdana" w:hAnsi="Verdana"/>
          <w:sz w:val="20"/>
          <w:szCs w:val="20"/>
          <w:lang w:val="es-ES"/>
        </w:rPr>
        <w:t>.</w:t>
      </w:r>
    </w:p>
    <w:p w14:paraId="158AD340" w14:textId="77777777" w:rsidR="00761972" w:rsidRPr="00CF7FE6" w:rsidRDefault="00761972" w:rsidP="00EB7CE1">
      <w:pPr>
        <w:spacing w:after="0" w:line="240" w:lineRule="auto"/>
        <w:jc w:val="both"/>
        <w:rPr>
          <w:rFonts w:ascii="Verdana" w:hAnsi="Verdana"/>
          <w:sz w:val="20"/>
          <w:szCs w:val="20"/>
          <w:lang w:val="es-ES"/>
        </w:rPr>
      </w:pPr>
    </w:p>
    <w:p w14:paraId="09D704D6" w14:textId="77777777" w:rsidR="005908CD" w:rsidRPr="00CF7FE6" w:rsidRDefault="004223B4" w:rsidP="00EB7CE1">
      <w:pPr>
        <w:spacing w:after="0" w:line="240" w:lineRule="auto"/>
        <w:jc w:val="both"/>
        <w:rPr>
          <w:rFonts w:ascii="Verdana" w:hAnsi="Verdana"/>
          <w:sz w:val="20"/>
          <w:szCs w:val="20"/>
          <w:lang w:val="es-ES"/>
        </w:rPr>
      </w:pPr>
      <w:r w:rsidRPr="00CF7FE6">
        <w:rPr>
          <w:rFonts w:ascii="Verdana" w:hAnsi="Verdana"/>
          <w:b/>
          <w:sz w:val="20"/>
          <w:szCs w:val="20"/>
          <w:lang w:val="es-ES"/>
        </w:rPr>
        <w:t>III.- OTRAS ARGUMENTACIONES ESBOZADAS EN LA SENTENCIA.</w:t>
      </w:r>
      <w:r w:rsidRPr="00CF7FE6">
        <w:rPr>
          <w:rFonts w:ascii="Verdana" w:hAnsi="Verdana"/>
          <w:sz w:val="20"/>
          <w:szCs w:val="20"/>
          <w:lang w:val="es-ES"/>
        </w:rPr>
        <w:t xml:space="preserve"> </w:t>
      </w:r>
    </w:p>
    <w:p w14:paraId="18E13D44" w14:textId="77777777" w:rsidR="00761972" w:rsidRPr="00CF7FE6" w:rsidRDefault="00761972" w:rsidP="00EB7CE1">
      <w:pPr>
        <w:spacing w:after="0" w:line="240" w:lineRule="auto"/>
        <w:jc w:val="both"/>
        <w:rPr>
          <w:rFonts w:ascii="Verdana" w:hAnsi="Verdana"/>
          <w:sz w:val="20"/>
          <w:szCs w:val="20"/>
          <w:lang w:val="es-ES"/>
        </w:rPr>
      </w:pPr>
    </w:p>
    <w:p w14:paraId="13F82409" w14:textId="77777777" w:rsidR="00F45C4D" w:rsidRPr="00CF7FE6" w:rsidRDefault="00247B4A" w:rsidP="00EB7CE1">
      <w:pPr>
        <w:spacing w:after="0" w:line="240" w:lineRule="auto"/>
        <w:jc w:val="both"/>
        <w:rPr>
          <w:rFonts w:ascii="Verdana" w:hAnsi="Verdana"/>
          <w:sz w:val="20"/>
          <w:szCs w:val="20"/>
          <w:lang w:val="es-ES"/>
        </w:rPr>
      </w:pPr>
      <w:r>
        <w:rPr>
          <w:rFonts w:ascii="Verdana" w:hAnsi="Verdana"/>
          <w:sz w:val="20"/>
          <w:szCs w:val="20"/>
          <w:lang w:val="es-ES"/>
        </w:rPr>
        <w:t xml:space="preserve">A </w:t>
      </w:r>
      <w:r w:rsidRPr="00247B4A">
        <w:rPr>
          <w:rFonts w:ascii="Verdana" w:hAnsi="Verdana"/>
          <w:sz w:val="20"/>
          <w:szCs w:val="20"/>
          <w:lang w:val="es-ES"/>
        </w:rPr>
        <w:t>los efectos de reforzar l</w:t>
      </w:r>
      <w:r>
        <w:rPr>
          <w:rFonts w:ascii="Verdana" w:hAnsi="Verdana"/>
          <w:sz w:val="20"/>
          <w:szCs w:val="20"/>
          <w:lang w:val="es-ES"/>
        </w:rPr>
        <w:t>a tesis sostenida en este texto, p</w:t>
      </w:r>
      <w:r w:rsidR="004A2D74" w:rsidRPr="00CF7FE6">
        <w:rPr>
          <w:rFonts w:ascii="Verdana" w:hAnsi="Verdana"/>
          <w:sz w:val="20"/>
          <w:szCs w:val="20"/>
          <w:lang w:val="es-ES"/>
        </w:rPr>
        <w:t>arece conveniente</w:t>
      </w:r>
      <w:r w:rsidR="00F45C4D" w:rsidRPr="00CF7FE6">
        <w:rPr>
          <w:rFonts w:ascii="Verdana" w:hAnsi="Verdana"/>
          <w:sz w:val="20"/>
          <w:szCs w:val="20"/>
          <w:lang w:val="es-ES"/>
        </w:rPr>
        <w:t xml:space="preserve"> referirse también</w:t>
      </w:r>
      <w:r w:rsidR="002E6C7A">
        <w:rPr>
          <w:rFonts w:ascii="Verdana" w:hAnsi="Verdana"/>
          <w:sz w:val="20"/>
          <w:szCs w:val="20"/>
          <w:lang w:val="es-ES"/>
        </w:rPr>
        <w:t>, aunque en forma adicional, a ciertas aseveraciones</w:t>
      </w:r>
      <w:r w:rsidR="00F45C4D" w:rsidRPr="00CF7FE6">
        <w:rPr>
          <w:rFonts w:ascii="Verdana" w:hAnsi="Verdana"/>
          <w:sz w:val="20"/>
          <w:szCs w:val="20"/>
          <w:lang w:val="es-ES"/>
        </w:rPr>
        <w:t xml:space="preserve"> de la Sentenc</w:t>
      </w:r>
      <w:r w:rsidR="004223B4">
        <w:rPr>
          <w:rFonts w:ascii="Verdana" w:hAnsi="Verdana"/>
          <w:sz w:val="20"/>
          <w:szCs w:val="20"/>
          <w:lang w:val="es-ES"/>
        </w:rPr>
        <w:t>ia, lo que se hace seguidamente.</w:t>
      </w:r>
    </w:p>
    <w:p w14:paraId="318B27F1" w14:textId="77777777" w:rsidR="005D221B" w:rsidRPr="00CF7FE6" w:rsidRDefault="005D221B" w:rsidP="00EB7CE1">
      <w:pPr>
        <w:spacing w:after="0" w:line="240" w:lineRule="auto"/>
        <w:jc w:val="both"/>
        <w:rPr>
          <w:rFonts w:ascii="Verdana" w:hAnsi="Verdana"/>
          <w:sz w:val="20"/>
          <w:szCs w:val="20"/>
          <w:lang w:val="es-ES"/>
        </w:rPr>
      </w:pPr>
    </w:p>
    <w:p w14:paraId="428804A5" w14:textId="77777777" w:rsidR="00F45C4D" w:rsidRDefault="00D4418C" w:rsidP="00EB7CE1">
      <w:pPr>
        <w:spacing w:after="0" w:line="240" w:lineRule="auto"/>
        <w:jc w:val="both"/>
        <w:rPr>
          <w:rFonts w:ascii="Verdana" w:hAnsi="Verdana"/>
          <w:sz w:val="20"/>
          <w:szCs w:val="20"/>
          <w:lang w:val="es-ES"/>
        </w:rPr>
      </w:pPr>
      <w:r>
        <w:rPr>
          <w:rFonts w:ascii="Verdana" w:hAnsi="Verdana"/>
          <w:sz w:val="20"/>
          <w:szCs w:val="20"/>
          <w:lang w:val="es-ES"/>
        </w:rPr>
        <w:t>1</w:t>
      </w:r>
      <w:r w:rsidR="005D221B" w:rsidRPr="00CF7FE6">
        <w:rPr>
          <w:rFonts w:ascii="Verdana" w:hAnsi="Verdana"/>
          <w:sz w:val="20"/>
          <w:szCs w:val="20"/>
          <w:lang w:val="es-ES"/>
        </w:rPr>
        <w:t xml:space="preserve">.- </w:t>
      </w:r>
      <w:r w:rsidR="00731AEA">
        <w:rPr>
          <w:rFonts w:ascii="Verdana" w:hAnsi="Verdana"/>
          <w:sz w:val="20"/>
          <w:szCs w:val="20"/>
          <w:lang w:val="es-ES"/>
        </w:rPr>
        <w:t xml:space="preserve">La afirmación concerniente </w:t>
      </w:r>
      <w:r w:rsidR="00F45C4D" w:rsidRPr="00CF7FE6">
        <w:rPr>
          <w:rFonts w:ascii="Verdana" w:hAnsi="Verdana"/>
          <w:sz w:val="20"/>
          <w:szCs w:val="20"/>
          <w:lang w:val="es-ES"/>
        </w:rPr>
        <w:t>a “</w:t>
      </w:r>
      <w:r w:rsidR="00731AEA" w:rsidRPr="00731AEA">
        <w:rPr>
          <w:rFonts w:ascii="Verdana" w:hAnsi="Verdana"/>
          <w:i/>
          <w:sz w:val="20"/>
          <w:szCs w:val="20"/>
          <w:lang w:val="es-ES"/>
        </w:rPr>
        <w:t>la interdependencia e indivisibilidad existente entre los derechos civiles y políticos, y los económicos, sociales y culturales</w:t>
      </w:r>
      <w:r w:rsidR="00731AEA">
        <w:rPr>
          <w:rFonts w:ascii="Verdana" w:hAnsi="Verdana"/>
          <w:sz w:val="20"/>
          <w:szCs w:val="20"/>
          <w:lang w:val="es-ES"/>
        </w:rPr>
        <w:t>”</w:t>
      </w:r>
      <w:r w:rsidR="00731AEA" w:rsidRPr="00731AEA">
        <w:rPr>
          <w:rFonts w:ascii="Verdana" w:hAnsi="Verdana"/>
          <w:sz w:val="20"/>
          <w:szCs w:val="20"/>
          <w:lang w:val="es-ES"/>
        </w:rPr>
        <w:t xml:space="preserve">, </w:t>
      </w:r>
      <w:r w:rsidR="00731AEA">
        <w:rPr>
          <w:rFonts w:ascii="Verdana" w:hAnsi="Verdana"/>
          <w:sz w:val="20"/>
          <w:szCs w:val="20"/>
          <w:lang w:val="es-ES"/>
        </w:rPr>
        <w:t>por lo “</w:t>
      </w:r>
      <w:r w:rsidR="00731AEA" w:rsidRPr="00731AEA">
        <w:rPr>
          <w:rFonts w:ascii="Verdana" w:hAnsi="Verdana"/>
          <w:i/>
          <w:sz w:val="20"/>
          <w:szCs w:val="20"/>
          <w:lang w:val="es-ES"/>
        </w:rPr>
        <w:t>que deben ser entendidos integralmente y de forma conglobada como derechos humanos, sin jerarquía entre sí y exigibles en todos los casos ante aquellas autoridades que resulten competentes para ello</w:t>
      </w:r>
      <w:r w:rsidR="00F167BE" w:rsidRPr="00F167BE">
        <w:rPr>
          <w:rFonts w:ascii="Verdana" w:hAnsi="Verdana"/>
          <w:i/>
          <w:sz w:val="20"/>
          <w:szCs w:val="20"/>
          <w:lang w:val="es-ES"/>
        </w:rPr>
        <w:t>”</w:t>
      </w:r>
      <w:r w:rsidR="00F45C4D" w:rsidRPr="00CF7FE6">
        <w:rPr>
          <w:rStyle w:val="FootnoteReference"/>
          <w:rFonts w:ascii="Verdana" w:hAnsi="Verdana"/>
          <w:sz w:val="20"/>
          <w:szCs w:val="20"/>
          <w:lang w:val="es-ES"/>
        </w:rPr>
        <w:footnoteReference w:id="60"/>
      </w:r>
      <w:r w:rsidR="00F45C4D" w:rsidRPr="00CF7FE6">
        <w:rPr>
          <w:rFonts w:ascii="Verdana" w:hAnsi="Verdana"/>
          <w:sz w:val="20"/>
          <w:szCs w:val="20"/>
          <w:lang w:val="es-ES"/>
        </w:rPr>
        <w:t>, en nada implica que la violación de ambos tipos de derechos puedan ser invocados ante la Corte</w:t>
      </w:r>
      <w:r w:rsidR="00F167BE">
        <w:rPr>
          <w:rFonts w:ascii="Verdana" w:hAnsi="Verdana"/>
          <w:sz w:val="20"/>
          <w:szCs w:val="20"/>
          <w:lang w:val="es-ES"/>
        </w:rPr>
        <w:t>. Lo sostenido por la Sentencia</w:t>
      </w:r>
      <w:r w:rsidR="00714B27">
        <w:rPr>
          <w:rFonts w:ascii="Verdana" w:hAnsi="Verdana"/>
          <w:sz w:val="20"/>
          <w:szCs w:val="20"/>
          <w:lang w:val="es-ES"/>
        </w:rPr>
        <w:t xml:space="preserve"> se podría compartir en la medida en que se entienda que si bien </w:t>
      </w:r>
      <w:r w:rsidR="005415A0" w:rsidRPr="00CF7FE6">
        <w:rPr>
          <w:rFonts w:ascii="Verdana" w:hAnsi="Verdana"/>
          <w:sz w:val="20"/>
          <w:szCs w:val="20"/>
          <w:lang w:val="es-ES"/>
        </w:rPr>
        <w:t>el goce de todos los derechos humanos, incluidos los económicos, sociales y culturales, deben ser respetados</w:t>
      </w:r>
      <w:r w:rsidR="00714B27">
        <w:rPr>
          <w:rFonts w:ascii="Verdana" w:hAnsi="Verdana"/>
          <w:sz w:val="20"/>
          <w:szCs w:val="20"/>
          <w:lang w:val="es-ES"/>
        </w:rPr>
        <w:t xml:space="preserve"> y que, consecuentemente, todos pueden ser exigibles ante las autoridades competentes, de ello no se desprende que estas últimas sean, siempre y en toda circunstancia y en cuanto a todos los derechos human</w:t>
      </w:r>
      <w:r w:rsidR="005A06E4">
        <w:rPr>
          <w:rFonts w:ascii="Verdana" w:hAnsi="Verdana"/>
          <w:sz w:val="20"/>
          <w:szCs w:val="20"/>
          <w:lang w:val="es-ES"/>
        </w:rPr>
        <w:t xml:space="preserve">os, los tribunales nacionales y, </w:t>
      </w:r>
      <w:r w:rsidR="00714B27">
        <w:rPr>
          <w:rFonts w:ascii="Verdana" w:hAnsi="Verdana"/>
          <w:sz w:val="20"/>
          <w:szCs w:val="20"/>
          <w:lang w:val="es-ES"/>
        </w:rPr>
        <w:t>eventualmente</w:t>
      </w:r>
      <w:r w:rsidR="005A06E4">
        <w:rPr>
          <w:rFonts w:ascii="Verdana" w:hAnsi="Verdana"/>
          <w:sz w:val="20"/>
          <w:szCs w:val="20"/>
          <w:lang w:val="es-ES"/>
        </w:rPr>
        <w:t>, la Corte</w:t>
      </w:r>
      <w:r w:rsidR="00714B27">
        <w:rPr>
          <w:rFonts w:ascii="Verdana" w:hAnsi="Verdana"/>
          <w:sz w:val="20"/>
          <w:szCs w:val="20"/>
          <w:lang w:val="es-ES"/>
        </w:rPr>
        <w:t>.</w:t>
      </w:r>
      <w:r w:rsidR="00731AEA">
        <w:rPr>
          <w:rFonts w:ascii="Verdana" w:hAnsi="Verdana"/>
          <w:sz w:val="20"/>
          <w:szCs w:val="20"/>
          <w:lang w:val="es-ES"/>
        </w:rPr>
        <w:t xml:space="preserve"> Efectivamente</w:t>
      </w:r>
      <w:r w:rsidR="00714B27">
        <w:rPr>
          <w:rFonts w:ascii="Verdana" w:hAnsi="Verdana"/>
          <w:sz w:val="20"/>
          <w:szCs w:val="20"/>
          <w:lang w:val="es-ES"/>
        </w:rPr>
        <w:t xml:space="preserve"> y como ya se ha indicado, </w:t>
      </w:r>
      <w:r w:rsidR="00731AEA">
        <w:rPr>
          <w:rFonts w:ascii="Verdana" w:hAnsi="Verdana"/>
          <w:sz w:val="20"/>
          <w:szCs w:val="20"/>
          <w:lang w:val="es-ES"/>
        </w:rPr>
        <w:t xml:space="preserve">no se discute que </w:t>
      </w:r>
      <w:r w:rsidR="00714B27">
        <w:rPr>
          <w:rFonts w:ascii="Verdana" w:hAnsi="Verdana"/>
          <w:sz w:val="20"/>
          <w:szCs w:val="20"/>
          <w:lang w:val="es-ES"/>
        </w:rPr>
        <w:t xml:space="preserve">las presuntas violaciones de cualquier derecho humano pueden </w:t>
      </w:r>
      <w:r w:rsidR="00B42968">
        <w:rPr>
          <w:rFonts w:ascii="Verdana" w:hAnsi="Verdana"/>
          <w:sz w:val="20"/>
          <w:szCs w:val="20"/>
          <w:lang w:val="es-ES"/>
        </w:rPr>
        <w:t xml:space="preserve">y aún deben </w:t>
      </w:r>
      <w:r w:rsidR="00714B27">
        <w:rPr>
          <w:rFonts w:ascii="Verdana" w:hAnsi="Verdana"/>
          <w:sz w:val="20"/>
          <w:szCs w:val="20"/>
          <w:lang w:val="es-ES"/>
        </w:rPr>
        <w:t xml:space="preserve">ser reclamadas ante los </w:t>
      </w:r>
      <w:r w:rsidR="00714B27">
        <w:rPr>
          <w:rFonts w:ascii="Verdana" w:hAnsi="Verdana"/>
          <w:sz w:val="20"/>
          <w:szCs w:val="20"/>
          <w:lang w:val="es-ES"/>
        </w:rPr>
        <w:lastRenderedPageBreak/>
        <w:t>tr</w:t>
      </w:r>
      <w:r w:rsidR="00731AEA">
        <w:rPr>
          <w:rFonts w:ascii="Verdana" w:hAnsi="Verdana"/>
          <w:sz w:val="20"/>
          <w:szCs w:val="20"/>
          <w:lang w:val="es-ES"/>
        </w:rPr>
        <w:t>ibunales nacionales competentes</w:t>
      </w:r>
      <w:r w:rsidR="00E45C18">
        <w:rPr>
          <w:rStyle w:val="FootnoteReference"/>
          <w:rFonts w:ascii="Verdana" w:hAnsi="Verdana"/>
          <w:sz w:val="20"/>
          <w:szCs w:val="20"/>
          <w:lang w:val="es-ES"/>
        </w:rPr>
        <w:footnoteReference w:id="61"/>
      </w:r>
      <w:r w:rsidR="00731AEA">
        <w:rPr>
          <w:rFonts w:ascii="Verdana" w:hAnsi="Verdana"/>
          <w:sz w:val="20"/>
          <w:szCs w:val="20"/>
          <w:lang w:val="es-ES"/>
        </w:rPr>
        <w:t>, p</w:t>
      </w:r>
      <w:r w:rsidR="00714B27">
        <w:rPr>
          <w:rFonts w:ascii="Verdana" w:hAnsi="Verdana"/>
          <w:sz w:val="20"/>
          <w:szCs w:val="20"/>
          <w:lang w:val="es-ES"/>
        </w:rPr>
        <w:t>ero,</w:t>
      </w:r>
      <w:r w:rsidR="00731AEA">
        <w:rPr>
          <w:rFonts w:ascii="Verdana" w:hAnsi="Verdana"/>
          <w:sz w:val="20"/>
          <w:szCs w:val="20"/>
          <w:lang w:val="es-ES"/>
        </w:rPr>
        <w:t xml:space="preserve"> lo que se sostienen en el presente voto es que</w:t>
      </w:r>
      <w:r w:rsidR="00714B27">
        <w:rPr>
          <w:rFonts w:ascii="Verdana" w:hAnsi="Verdana"/>
          <w:sz w:val="20"/>
          <w:szCs w:val="20"/>
          <w:lang w:val="es-ES"/>
        </w:rPr>
        <w:t xml:space="preserve"> únicamente algunas de las violaciones de los derechos económicos, sociales y culturales, específicamente las previstas en el Protocolo de San Salvador,</w:t>
      </w:r>
      <w:r w:rsidR="00731AEA">
        <w:rPr>
          <w:rFonts w:ascii="Verdana" w:hAnsi="Verdana"/>
          <w:sz w:val="20"/>
          <w:szCs w:val="20"/>
          <w:lang w:val="es-ES"/>
        </w:rPr>
        <w:t xml:space="preserve"> pueden ser sometidas a conocimiento y resolución de la Corte.</w:t>
      </w:r>
      <w:r w:rsidR="00714B27">
        <w:rPr>
          <w:rFonts w:ascii="Verdana" w:hAnsi="Verdana"/>
          <w:sz w:val="20"/>
          <w:szCs w:val="20"/>
          <w:lang w:val="es-ES"/>
        </w:rPr>
        <w:t xml:space="preserve">  </w:t>
      </w:r>
    </w:p>
    <w:p w14:paraId="7726FB57" w14:textId="77777777" w:rsidR="00670DE6" w:rsidRDefault="00670DE6" w:rsidP="00EB7CE1">
      <w:pPr>
        <w:spacing w:after="0" w:line="240" w:lineRule="auto"/>
        <w:jc w:val="both"/>
        <w:rPr>
          <w:rFonts w:ascii="Verdana" w:hAnsi="Verdana"/>
          <w:sz w:val="20"/>
          <w:szCs w:val="20"/>
          <w:lang w:val="es-ES"/>
        </w:rPr>
      </w:pPr>
    </w:p>
    <w:p w14:paraId="2D852ACC" w14:textId="77777777" w:rsidR="00670DE6" w:rsidRPr="00CF7FE6" w:rsidRDefault="00670DE6" w:rsidP="00EB7CE1">
      <w:pPr>
        <w:spacing w:after="0" w:line="240" w:lineRule="auto"/>
        <w:jc w:val="both"/>
        <w:rPr>
          <w:rFonts w:ascii="Verdana" w:hAnsi="Verdana"/>
          <w:sz w:val="20"/>
          <w:szCs w:val="20"/>
          <w:lang w:val="es-ES"/>
        </w:rPr>
      </w:pPr>
      <w:r>
        <w:rPr>
          <w:rFonts w:ascii="Verdana" w:hAnsi="Verdana"/>
          <w:sz w:val="20"/>
          <w:szCs w:val="20"/>
          <w:lang w:val="es-ES"/>
        </w:rPr>
        <w:t xml:space="preserve">2.- </w:t>
      </w:r>
      <w:r w:rsidRPr="00670DE6">
        <w:rPr>
          <w:rFonts w:ascii="Verdana" w:hAnsi="Verdana"/>
          <w:sz w:val="20"/>
          <w:szCs w:val="20"/>
          <w:lang w:val="es-ES"/>
        </w:rPr>
        <w:t>Igualmente, la declaración de que “</w:t>
      </w:r>
      <w:r w:rsidRPr="00670DE6">
        <w:rPr>
          <w:rFonts w:ascii="Verdana" w:hAnsi="Verdana"/>
          <w:i/>
          <w:sz w:val="20"/>
          <w:szCs w:val="20"/>
          <w:lang w:val="es-ES"/>
        </w:rPr>
        <w:t>el artículo</w:t>
      </w:r>
      <w:r w:rsidR="004223B4">
        <w:rPr>
          <w:rFonts w:ascii="Verdana" w:hAnsi="Verdana"/>
          <w:i/>
          <w:sz w:val="20"/>
          <w:szCs w:val="20"/>
          <w:lang w:val="es-ES"/>
        </w:rPr>
        <w:t xml:space="preserve"> 26 [</w:t>
      </w:r>
      <w:r w:rsidRPr="00670DE6">
        <w:rPr>
          <w:rFonts w:ascii="Verdana" w:hAnsi="Verdana"/>
          <w:i/>
          <w:sz w:val="20"/>
          <w:szCs w:val="20"/>
          <w:lang w:val="es-ES"/>
        </w:rPr>
        <w:t>...</w:t>
      </w:r>
      <w:r w:rsidR="004223B4">
        <w:rPr>
          <w:rFonts w:ascii="Verdana" w:hAnsi="Verdana"/>
          <w:i/>
          <w:sz w:val="20"/>
          <w:szCs w:val="20"/>
          <w:lang w:val="es-ES"/>
        </w:rPr>
        <w:t>]</w:t>
      </w:r>
      <w:r w:rsidRPr="00670DE6">
        <w:rPr>
          <w:rFonts w:ascii="Verdana" w:hAnsi="Verdana"/>
          <w:i/>
          <w:sz w:val="20"/>
          <w:szCs w:val="20"/>
          <w:lang w:val="es-ES"/>
        </w:rPr>
        <w:t xml:space="preserve"> está sujeto a las obligaciones generales contenidas en los artículos 1.1 y 2 señalados en el capítulo I (titulado “Enumeración de Deberes”), así como lo están los artículos 3 al 25 señalados en el capítulo II (titulado “Derechos Civiles y Políticos”)</w:t>
      </w:r>
      <w:r>
        <w:rPr>
          <w:rStyle w:val="FootnoteReference"/>
          <w:rFonts w:ascii="Verdana" w:hAnsi="Verdana"/>
          <w:sz w:val="20"/>
          <w:szCs w:val="20"/>
          <w:lang w:val="es-ES"/>
        </w:rPr>
        <w:footnoteReference w:id="62"/>
      </w:r>
      <w:r w:rsidRPr="00670DE6">
        <w:rPr>
          <w:rFonts w:ascii="Verdana" w:hAnsi="Verdana"/>
          <w:sz w:val="20"/>
          <w:szCs w:val="20"/>
          <w:lang w:val="es-ES"/>
        </w:rPr>
        <w:t>, no conlleva que los derechos que derivan de la Carta de la OEA sean susceptibles de judicializar ante la Corte. Ello significa únicamente, como ya se afirmó, que todos los derechos humanos, incluyendo los derechos económicos, sociales y culturales, aludidos estos últimos en el Capítulo III de la Convención, deben ser respetados y garantizarse su respeto, por así disponerlo los artículos 1 y 2 mencionados.</w:t>
      </w:r>
    </w:p>
    <w:p w14:paraId="68C7A70E" w14:textId="77777777" w:rsidR="00761972" w:rsidRPr="00CF7FE6" w:rsidRDefault="00761972" w:rsidP="00EB7CE1">
      <w:pPr>
        <w:pStyle w:val="ListParagraph"/>
        <w:spacing w:after="0" w:line="240" w:lineRule="auto"/>
        <w:ind w:left="0"/>
        <w:jc w:val="both"/>
        <w:rPr>
          <w:rFonts w:ascii="Verdana" w:hAnsi="Verdana"/>
          <w:sz w:val="20"/>
          <w:szCs w:val="20"/>
          <w:lang w:val="es-ES"/>
        </w:rPr>
      </w:pPr>
    </w:p>
    <w:p w14:paraId="4E60A0D9" w14:textId="77777777" w:rsidR="00670DE6" w:rsidRDefault="00670DE6" w:rsidP="00EB7CE1">
      <w:pPr>
        <w:spacing w:after="0" w:line="240" w:lineRule="auto"/>
        <w:jc w:val="both"/>
        <w:rPr>
          <w:rFonts w:ascii="Verdana" w:hAnsi="Verdana"/>
          <w:sz w:val="20"/>
          <w:szCs w:val="20"/>
          <w:lang w:val="es-ES"/>
        </w:rPr>
      </w:pPr>
      <w:r>
        <w:rPr>
          <w:rFonts w:ascii="Verdana" w:hAnsi="Verdana"/>
          <w:sz w:val="20"/>
          <w:szCs w:val="20"/>
          <w:lang w:val="es-ES"/>
        </w:rPr>
        <w:t>3</w:t>
      </w:r>
      <w:r w:rsidR="005D221B" w:rsidRPr="00CF7FE6">
        <w:rPr>
          <w:rFonts w:ascii="Verdana" w:hAnsi="Verdana"/>
          <w:sz w:val="20"/>
          <w:szCs w:val="20"/>
          <w:lang w:val="es-ES"/>
        </w:rPr>
        <w:t xml:space="preserve">.- </w:t>
      </w:r>
      <w:r w:rsidRPr="00670DE6">
        <w:rPr>
          <w:rFonts w:ascii="Verdana" w:hAnsi="Verdana"/>
          <w:sz w:val="20"/>
          <w:szCs w:val="20"/>
          <w:lang w:val="es-ES"/>
        </w:rPr>
        <w:t xml:space="preserve">La alusión a los artículos </w:t>
      </w:r>
      <w:r w:rsidRPr="00670DE6">
        <w:rPr>
          <w:rFonts w:ascii="Verdana" w:hAnsi="Verdana"/>
          <w:i/>
          <w:sz w:val="20"/>
          <w:szCs w:val="20"/>
          <w:lang w:val="es-ES"/>
        </w:rPr>
        <w:t>“6 del Pacto Internacional de Derechos Económicos, Sociales y Culturales”, “23 de la Declaración Universal de Derechos Humanos” , “7 y 8 de la Carta Social de las Américas”, “6 y 7 del Protocolo Adicional a la Convención Americana sobre Derechos Económicos, Sociales y Culturales”, “11 de la Convención sobre la Eliminación de Todas las Formas de Discriminación contra la Mujer”, “32.1 de la Convención sobre los Derechos del Niño”, “1 de la Carta Social Europea” y “15 de la Carta Africana sobre los Derechos Humanos y de los Pueblos”</w:t>
      </w:r>
      <w:r>
        <w:rPr>
          <w:rStyle w:val="FootnoteReference"/>
          <w:rFonts w:ascii="Verdana" w:hAnsi="Verdana"/>
          <w:i/>
          <w:sz w:val="20"/>
          <w:szCs w:val="20"/>
          <w:lang w:val="es-ES"/>
        </w:rPr>
        <w:footnoteReference w:id="63"/>
      </w:r>
      <w:r>
        <w:rPr>
          <w:rFonts w:ascii="Verdana" w:hAnsi="Verdana"/>
          <w:sz w:val="20"/>
          <w:szCs w:val="20"/>
          <w:lang w:val="es-ES"/>
        </w:rPr>
        <w:t>, tampoco</w:t>
      </w:r>
      <w:r w:rsidRPr="00670DE6">
        <w:rPr>
          <w:rFonts w:ascii="Verdana" w:hAnsi="Verdana"/>
          <w:sz w:val="20"/>
          <w:szCs w:val="20"/>
          <w:lang w:val="es-ES"/>
        </w:rPr>
        <w:t xml:space="preserve"> constituyen fundamento para sostener que la violación del derecho al trabajo y más específicamente, del derecho a la estabilidad laboral, puede ser conocida y resuelta por la Corte a la luz de lo prescrito en el artículo 26 de la Convención.</w:t>
      </w:r>
    </w:p>
    <w:p w14:paraId="0D092414" w14:textId="77777777" w:rsidR="004714BF" w:rsidRDefault="004714BF" w:rsidP="00EB7CE1">
      <w:pPr>
        <w:spacing w:after="0" w:line="240" w:lineRule="auto"/>
        <w:jc w:val="both"/>
        <w:rPr>
          <w:rFonts w:ascii="Verdana" w:hAnsi="Verdana"/>
          <w:sz w:val="20"/>
          <w:szCs w:val="20"/>
          <w:lang w:val="es-ES"/>
        </w:rPr>
      </w:pPr>
    </w:p>
    <w:p w14:paraId="6C0779B9" w14:textId="77777777" w:rsidR="000C3877" w:rsidRDefault="000C3877" w:rsidP="00EB7CE1">
      <w:pPr>
        <w:spacing w:after="0" w:line="240" w:lineRule="auto"/>
        <w:jc w:val="both"/>
        <w:rPr>
          <w:rFonts w:ascii="Verdana" w:hAnsi="Verdana"/>
          <w:sz w:val="20"/>
          <w:szCs w:val="20"/>
          <w:lang w:val="es-ES"/>
        </w:rPr>
      </w:pPr>
      <w:r>
        <w:rPr>
          <w:rFonts w:ascii="Verdana" w:hAnsi="Verdana"/>
          <w:sz w:val="20"/>
          <w:szCs w:val="20"/>
          <w:lang w:val="es-ES"/>
        </w:rPr>
        <w:t xml:space="preserve">4.- </w:t>
      </w:r>
      <w:r w:rsidRPr="000C3877">
        <w:rPr>
          <w:rFonts w:ascii="Verdana" w:hAnsi="Verdana"/>
          <w:sz w:val="20"/>
          <w:szCs w:val="20"/>
          <w:lang w:val="es-ES"/>
        </w:rPr>
        <w:t>Lo mismo acontece con las referencias al Comité de Derechos Económicos, Sociales y Culturales, en su Observación General No. 18 sobre el derecho al trabajo</w:t>
      </w:r>
      <w:r>
        <w:rPr>
          <w:rStyle w:val="FootnoteReference"/>
          <w:rFonts w:ascii="Verdana" w:hAnsi="Verdana"/>
          <w:sz w:val="20"/>
          <w:szCs w:val="20"/>
          <w:lang w:val="es-ES"/>
        </w:rPr>
        <w:footnoteReference w:id="64"/>
      </w:r>
      <w:r w:rsidRPr="000C3877">
        <w:rPr>
          <w:rFonts w:ascii="Verdana" w:hAnsi="Verdana"/>
          <w:sz w:val="20"/>
          <w:szCs w:val="20"/>
          <w:lang w:val="es-ES"/>
        </w:rPr>
        <w:t xml:space="preserve">, y al </w:t>
      </w:r>
      <w:r w:rsidRPr="000C3877">
        <w:rPr>
          <w:rFonts w:ascii="Verdana" w:hAnsi="Verdana"/>
          <w:sz w:val="20"/>
          <w:szCs w:val="20"/>
          <w:lang w:val="es-ES"/>
        </w:rPr>
        <w:lastRenderedPageBreak/>
        <w:t>Convenio 158 de la Organización International del Trabajo, sobre la terminación de la relación de trabajo (1982)</w:t>
      </w:r>
      <w:r>
        <w:rPr>
          <w:rStyle w:val="FootnoteReference"/>
          <w:rFonts w:ascii="Verdana" w:hAnsi="Verdana"/>
          <w:sz w:val="20"/>
          <w:szCs w:val="20"/>
          <w:lang w:val="es-ES"/>
        </w:rPr>
        <w:footnoteReference w:id="65"/>
      </w:r>
      <w:r w:rsidRPr="000C3877">
        <w:rPr>
          <w:rFonts w:ascii="Verdana" w:hAnsi="Verdana"/>
          <w:sz w:val="20"/>
          <w:szCs w:val="20"/>
          <w:lang w:val="es-ES"/>
        </w:rPr>
        <w:t>. En definitiva, las disposiciones citadas no se refieren a ello ni les corresponde hacerlo, sea porque unas tratan de tratados que no tienen relación alguna con la posibilidad de judicializar los derechos económicos, sociales y culturales, sea porque otras son resoluciones de organizaciones internacionales no vinculantes para los Estados, esto es, meras resoluciones, que o bien reflejan aspiraciones políticas, que pueden ser muy legítimas, de que sean incorporadas en el Derecho o bien no interpretan tratado alguno.</w:t>
      </w:r>
    </w:p>
    <w:p w14:paraId="32B9D128" w14:textId="77777777" w:rsidR="004714BF" w:rsidRDefault="004714BF" w:rsidP="00EB7CE1">
      <w:pPr>
        <w:spacing w:after="0" w:line="240" w:lineRule="auto"/>
        <w:jc w:val="both"/>
        <w:rPr>
          <w:rFonts w:ascii="Verdana" w:hAnsi="Verdana"/>
          <w:sz w:val="20"/>
          <w:szCs w:val="20"/>
          <w:lang w:val="es-ES"/>
        </w:rPr>
      </w:pPr>
    </w:p>
    <w:p w14:paraId="75D5A6B0" w14:textId="77777777" w:rsidR="000C3877" w:rsidRDefault="000C3877" w:rsidP="00EB7CE1">
      <w:pPr>
        <w:spacing w:after="0" w:line="240" w:lineRule="auto"/>
        <w:jc w:val="both"/>
        <w:rPr>
          <w:rFonts w:ascii="Verdana" w:hAnsi="Verdana"/>
          <w:sz w:val="20"/>
          <w:szCs w:val="20"/>
          <w:lang w:val="es-ES"/>
        </w:rPr>
      </w:pPr>
      <w:r w:rsidRPr="000C3877">
        <w:rPr>
          <w:rFonts w:ascii="Verdana" w:hAnsi="Verdana"/>
          <w:sz w:val="20"/>
          <w:szCs w:val="20"/>
          <w:lang w:val="es-ES"/>
        </w:rPr>
        <w:t>5.- Lo sostenido en orden a que “</w:t>
      </w:r>
      <w:r w:rsidRPr="000C3877">
        <w:rPr>
          <w:rFonts w:ascii="Verdana" w:hAnsi="Verdana"/>
          <w:i/>
          <w:sz w:val="20"/>
          <w:szCs w:val="20"/>
          <w:lang w:val="es-ES"/>
        </w:rPr>
        <w:t>la Declaración Americana, constituye, en lo pertinente y en relación con la Carta de la Organización, una fuente de obligaciones internacionales</w:t>
      </w:r>
      <w:r w:rsidRPr="000C3877">
        <w:rPr>
          <w:rFonts w:ascii="Verdana" w:hAnsi="Verdana"/>
          <w:sz w:val="20"/>
          <w:szCs w:val="20"/>
          <w:lang w:val="es-ES"/>
        </w:rPr>
        <w:t>”</w:t>
      </w:r>
      <w:r>
        <w:rPr>
          <w:rStyle w:val="FootnoteReference"/>
          <w:rFonts w:ascii="Verdana" w:hAnsi="Verdana"/>
          <w:sz w:val="20"/>
          <w:szCs w:val="20"/>
          <w:lang w:val="es-ES"/>
        </w:rPr>
        <w:footnoteReference w:id="66"/>
      </w:r>
      <w:r>
        <w:rPr>
          <w:rFonts w:ascii="Verdana" w:hAnsi="Verdana"/>
          <w:sz w:val="20"/>
          <w:szCs w:val="20"/>
          <w:lang w:val="es-ES"/>
        </w:rPr>
        <w:t xml:space="preserve"> </w:t>
      </w:r>
      <w:r w:rsidRPr="000C3877">
        <w:rPr>
          <w:rFonts w:ascii="Verdana" w:hAnsi="Verdana"/>
          <w:sz w:val="20"/>
          <w:szCs w:val="20"/>
          <w:lang w:val="es-ES"/>
        </w:rPr>
        <w:t>y a lo dispuesto en el artículo 29.d) de la Convención</w:t>
      </w:r>
      <w:r>
        <w:rPr>
          <w:rStyle w:val="FootnoteReference"/>
          <w:rFonts w:ascii="Verdana" w:hAnsi="Verdana"/>
          <w:sz w:val="20"/>
          <w:szCs w:val="20"/>
          <w:lang w:val="es-ES"/>
        </w:rPr>
        <w:footnoteReference w:id="67"/>
      </w:r>
      <w:r w:rsidR="00310630">
        <w:rPr>
          <w:rFonts w:ascii="Verdana" w:hAnsi="Verdana"/>
          <w:sz w:val="20"/>
          <w:szCs w:val="20"/>
          <w:lang w:val="es-ES"/>
        </w:rPr>
        <w:t xml:space="preserve">, </w:t>
      </w:r>
      <w:r w:rsidRPr="000C3877">
        <w:rPr>
          <w:rFonts w:ascii="Verdana" w:hAnsi="Verdana"/>
          <w:sz w:val="20"/>
          <w:szCs w:val="20"/>
          <w:lang w:val="es-ES"/>
        </w:rPr>
        <w:t>no contradice la circunstancia, indiscutida en Derecho Internacional, de que aquella es una resolución de una organización o institución internacional declarativa de derecho y, por ende, aunque no prevista entre las fuentes del Derecho Internacional que contempla el artículo 38 del Estatuto de la Corte Internacional de Justicia</w:t>
      </w:r>
      <w:r>
        <w:rPr>
          <w:rStyle w:val="FootnoteReference"/>
          <w:rFonts w:ascii="Verdana" w:hAnsi="Verdana"/>
          <w:sz w:val="20"/>
          <w:szCs w:val="20"/>
          <w:lang w:val="es-ES"/>
        </w:rPr>
        <w:footnoteReference w:id="68"/>
      </w:r>
      <w:r w:rsidRPr="000C3877">
        <w:rPr>
          <w:rFonts w:ascii="Verdana" w:hAnsi="Verdana"/>
          <w:sz w:val="20"/>
          <w:szCs w:val="20"/>
          <w:lang w:val="es-ES"/>
        </w:rPr>
        <w:t>, única disposición que lo hace, es una fuente auxiliar del Derecho Internacional, es decir, que sirve “</w:t>
      </w:r>
      <w:r w:rsidRPr="00310630">
        <w:rPr>
          <w:rFonts w:ascii="Verdana" w:hAnsi="Verdana"/>
          <w:i/>
          <w:sz w:val="20"/>
          <w:szCs w:val="20"/>
          <w:lang w:val="es-ES"/>
        </w:rPr>
        <w:t>para la determinación de las reglas de derecho</w:t>
      </w:r>
      <w:r w:rsidRPr="000C3877">
        <w:rPr>
          <w:rFonts w:ascii="Verdana" w:hAnsi="Verdana"/>
          <w:sz w:val="20"/>
          <w:szCs w:val="20"/>
          <w:lang w:val="es-ES"/>
        </w:rPr>
        <w:t>” establecidas por una fuente autónoma del Derecho Internacional. La referida declaración es, entonces, “</w:t>
      </w:r>
      <w:r w:rsidRPr="00310630">
        <w:rPr>
          <w:rFonts w:ascii="Verdana" w:hAnsi="Verdana"/>
          <w:i/>
          <w:sz w:val="20"/>
          <w:szCs w:val="20"/>
          <w:lang w:val="es-ES"/>
        </w:rPr>
        <w:t>fuente de obligaciones internacionales</w:t>
      </w:r>
      <w:r w:rsidRPr="000C3877">
        <w:rPr>
          <w:rFonts w:ascii="Verdana" w:hAnsi="Verdana"/>
          <w:sz w:val="20"/>
          <w:szCs w:val="20"/>
          <w:lang w:val="es-ES"/>
        </w:rPr>
        <w:t>” en la medida que interpreta derechos u obligaciones previstos en alguna de las fuentes autónomas de Derecho Internacional.</w:t>
      </w:r>
    </w:p>
    <w:p w14:paraId="1D99C6B9" w14:textId="77777777" w:rsidR="004714BF" w:rsidRPr="000C3877" w:rsidRDefault="004714BF" w:rsidP="00EB7CE1">
      <w:pPr>
        <w:spacing w:after="0" w:line="240" w:lineRule="auto"/>
        <w:jc w:val="both"/>
        <w:rPr>
          <w:rFonts w:ascii="Verdana" w:hAnsi="Verdana"/>
          <w:sz w:val="20"/>
          <w:szCs w:val="20"/>
          <w:lang w:val="es-ES"/>
        </w:rPr>
      </w:pPr>
    </w:p>
    <w:p w14:paraId="2068B124" w14:textId="77777777" w:rsidR="000C3877" w:rsidRDefault="00310630" w:rsidP="00EB7CE1">
      <w:pPr>
        <w:spacing w:after="0" w:line="240" w:lineRule="auto"/>
        <w:jc w:val="both"/>
        <w:rPr>
          <w:rFonts w:ascii="Verdana" w:hAnsi="Verdana"/>
          <w:sz w:val="20"/>
          <w:szCs w:val="20"/>
          <w:lang w:val="es-ES"/>
        </w:rPr>
      </w:pPr>
      <w:r>
        <w:rPr>
          <w:rFonts w:ascii="Verdana" w:hAnsi="Verdana"/>
          <w:sz w:val="20"/>
          <w:szCs w:val="20"/>
          <w:lang w:val="es-ES"/>
        </w:rPr>
        <w:t xml:space="preserve">6.- </w:t>
      </w:r>
      <w:r w:rsidR="000C3877" w:rsidRPr="000C3877">
        <w:rPr>
          <w:rFonts w:ascii="Verdana" w:hAnsi="Verdana"/>
          <w:sz w:val="20"/>
          <w:szCs w:val="20"/>
          <w:lang w:val="es-ES"/>
        </w:rPr>
        <w:t>Las referencias a todos los documentos recién citados</w:t>
      </w:r>
      <w:r>
        <w:rPr>
          <w:rStyle w:val="FootnoteReference"/>
          <w:rFonts w:ascii="Verdana" w:hAnsi="Verdana"/>
          <w:sz w:val="20"/>
          <w:szCs w:val="20"/>
          <w:lang w:val="es-ES"/>
        </w:rPr>
        <w:footnoteReference w:id="69"/>
      </w:r>
      <w:r w:rsidR="000C3877" w:rsidRPr="000C3877">
        <w:rPr>
          <w:rFonts w:ascii="Verdana" w:hAnsi="Verdana"/>
          <w:sz w:val="20"/>
          <w:szCs w:val="20"/>
          <w:lang w:val="es-ES"/>
        </w:rPr>
        <w:t>, parecen formularse básicamente para complementar la interpretación en cuanto a la existencia del derecho al trabajo y del derecho a la estabilidad, lo que, se reitera, no se contradice o disiente en el presente escrito, pero no conllevan que dichos textos dispongan que la violación de tales derechos puedan ser sometidas al conocimiento y resolución de la Corte en virtud de lo prescrito en el tantas veces citado artículo 26.</w:t>
      </w:r>
    </w:p>
    <w:p w14:paraId="2F695CDB" w14:textId="77777777" w:rsidR="004714BF" w:rsidRDefault="004714BF" w:rsidP="00EB7CE1">
      <w:pPr>
        <w:spacing w:after="0" w:line="240" w:lineRule="auto"/>
        <w:jc w:val="both"/>
        <w:rPr>
          <w:rFonts w:ascii="Verdana" w:hAnsi="Verdana"/>
          <w:sz w:val="20"/>
          <w:szCs w:val="20"/>
          <w:lang w:val="es-ES"/>
        </w:rPr>
      </w:pPr>
    </w:p>
    <w:p w14:paraId="6B6067A6" w14:textId="77777777" w:rsidR="00310630" w:rsidRDefault="00B94AE5" w:rsidP="00EB7CE1">
      <w:pPr>
        <w:spacing w:after="0" w:line="240" w:lineRule="auto"/>
        <w:jc w:val="both"/>
        <w:rPr>
          <w:rFonts w:ascii="Verdana" w:hAnsi="Verdana"/>
          <w:sz w:val="20"/>
          <w:szCs w:val="20"/>
          <w:lang w:val="es-ES"/>
        </w:rPr>
      </w:pPr>
      <w:r>
        <w:rPr>
          <w:rFonts w:ascii="Verdana" w:hAnsi="Verdana"/>
          <w:sz w:val="20"/>
          <w:szCs w:val="20"/>
          <w:lang w:val="es-ES"/>
        </w:rPr>
        <w:t>7</w:t>
      </w:r>
      <w:r w:rsidR="00670DE6">
        <w:rPr>
          <w:rFonts w:ascii="Verdana" w:hAnsi="Verdana"/>
          <w:sz w:val="20"/>
          <w:szCs w:val="20"/>
          <w:lang w:val="es-ES"/>
        </w:rPr>
        <w:t xml:space="preserve">.- </w:t>
      </w:r>
      <w:r w:rsidR="00310630" w:rsidRPr="00310630">
        <w:rPr>
          <w:rFonts w:ascii="Verdana" w:hAnsi="Verdana"/>
          <w:sz w:val="20"/>
          <w:szCs w:val="20"/>
          <w:lang w:val="es-ES"/>
        </w:rPr>
        <w:t>La frase de que “</w:t>
      </w:r>
      <w:r w:rsidR="00310630" w:rsidRPr="00310630">
        <w:rPr>
          <w:rFonts w:ascii="Verdana" w:hAnsi="Verdana"/>
          <w:i/>
          <w:sz w:val="20"/>
          <w:szCs w:val="20"/>
          <w:lang w:val="es-ES"/>
        </w:rPr>
        <w:t>la Corte ejerce una jurisdicción plena sobre todos sus artículos y disposiciones”</w:t>
      </w:r>
      <w:r w:rsidR="00310630">
        <w:rPr>
          <w:rStyle w:val="FootnoteReference"/>
          <w:rFonts w:ascii="Verdana" w:hAnsi="Verdana"/>
          <w:i/>
          <w:sz w:val="20"/>
          <w:szCs w:val="20"/>
          <w:lang w:val="es-ES"/>
        </w:rPr>
        <w:footnoteReference w:id="70"/>
      </w:r>
      <w:r>
        <w:rPr>
          <w:rFonts w:ascii="Verdana" w:hAnsi="Verdana"/>
          <w:sz w:val="20"/>
          <w:szCs w:val="20"/>
          <w:lang w:val="es-ES"/>
        </w:rPr>
        <w:t>, asimismo no</w:t>
      </w:r>
      <w:r w:rsidR="00310630" w:rsidRPr="00310630">
        <w:rPr>
          <w:rFonts w:ascii="Verdana" w:hAnsi="Verdana"/>
          <w:sz w:val="20"/>
          <w:szCs w:val="20"/>
          <w:lang w:val="es-ES"/>
        </w:rPr>
        <w:t xml:space="preserve"> importa que el artículo 26 de la Convención contempla derechos cuya violación pueda ser llevada a conocimiento y resolución de aquella, sino que indica que ella debe fallar aplicando e interpretando las disposiciones de la </w:t>
      </w:r>
      <w:r w:rsidR="00310630" w:rsidRPr="00310630">
        <w:rPr>
          <w:rFonts w:ascii="Verdana" w:hAnsi="Verdana"/>
          <w:sz w:val="20"/>
          <w:szCs w:val="20"/>
          <w:lang w:val="es-ES"/>
        </w:rPr>
        <w:lastRenderedPageBreak/>
        <w:t>Convención</w:t>
      </w:r>
      <w:r w:rsidR="00310630">
        <w:rPr>
          <w:rStyle w:val="FootnoteReference"/>
          <w:rFonts w:ascii="Verdana" w:hAnsi="Verdana"/>
          <w:sz w:val="20"/>
          <w:szCs w:val="20"/>
          <w:lang w:val="es-ES"/>
        </w:rPr>
        <w:footnoteReference w:id="71"/>
      </w:r>
      <w:r w:rsidR="00310630" w:rsidRPr="00310630">
        <w:rPr>
          <w:rFonts w:ascii="Verdana" w:hAnsi="Verdana"/>
          <w:sz w:val="20"/>
          <w:szCs w:val="20"/>
          <w:lang w:val="es-ES"/>
        </w:rPr>
        <w:t>, lo que debe hacer, por otra parte y como antes se afirmó, respetando el principio de derecho público de que solo procede lo que la norma permite o prescribe.</w:t>
      </w:r>
    </w:p>
    <w:p w14:paraId="6FE0AD1C" w14:textId="77777777" w:rsidR="00CF694C" w:rsidRDefault="00CF694C" w:rsidP="00EB7CE1">
      <w:pPr>
        <w:spacing w:after="0" w:line="240" w:lineRule="auto"/>
        <w:jc w:val="both"/>
        <w:rPr>
          <w:rFonts w:ascii="Verdana" w:hAnsi="Verdana"/>
          <w:sz w:val="20"/>
          <w:szCs w:val="20"/>
          <w:lang w:val="es-ES"/>
        </w:rPr>
      </w:pPr>
    </w:p>
    <w:p w14:paraId="6C7546A2" w14:textId="77777777" w:rsidR="00761972" w:rsidRDefault="00B94AE5" w:rsidP="00EB7CE1">
      <w:pPr>
        <w:spacing w:after="0" w:line="240" w:lineRule="auto"/>
        <w:jc w:val="both"/>
        <w:rPr>
          <w:rFonts w:ascii="Verdana" w:hAnsi="Verdana"/>
          <w:sz w:val="20"/>
          <w:szCs w:val="20"/>
          <w:lang w:val="es-ES"/>
        </w:rPr>
      </w:pPr>
      <w:r>
        <w:rPr>
          <w:rFonts w:ascii="Verdana" w:hAnsi="Verdana"/>
          <w:sz w:val="20"/>
          <w:szCs w:val="20"/>
          <w:lang w:val="es-ES"/>
        </w:rPr>
        <w:t xml:space="preserve">8.- </w:t>
      </w:r>
      <w:r w:rsidR="0011733B">
        <w:rPr>
          <w:rFonts w:ascii="Verdana" w:hAnsi="Verdana"/>
          <w:sz w:val="20"/>
          <w:szCs w:val="20"/>
          <w:lang w:val="es-ES"/>
        </w:rPr>
        <w:t>En cuanto a l</w:t>
      </w:r>
      <w:r w:rsidR="0029353D" w:rsidRPr="00CF7FE6">
        <w:rPr>
          <w:rFonts w:ascii="Verdana" w:hAnsi="Verdana"/>
          <w:sz w:val="20"/>
          <w:szCs w:val="20"/>
          <w:lang w:val="es-ES"/>
        </w:rPr>
        <w:t>o señalado respecto a que la Corte “</w:t>
      </w:r>
      <w:r w:rsidR="0029353D" w:rsidRPr="00CF7FE6">
        <w:rPr>
          <w:rFonts w:ascii="Verdana" w:hAnsi="Verdana"/>
          <w:i/>
          <w:sz w:val="20"/>
          <w:szCs w:val="20"/>
          <w:lang w:val="es-ES"/>
        </w:rPr>
        <w:t>tiene el derecho a resolver cualquier controversia relativa a su jurisdicción”</w:t>
      </w:r>
      <w:r w:rsidR="0029353D" w:rsidRPr="00CF7FE6">
        <w:rPr>
          <w:rStyle w:val="FootnoteReference"/>
          <w:rFonts w:ascii="Verdana" w:hAnsi="Verdana"/>
          <w:sz w:val="20"/>
          <w:szCs w:val="20"/>
          <w:lang w:val="es-ES"/>
        </w:rPr>
        <w:footnoteReference w:id="72"/>
      </w:r>
      <w:r w:rsidR="005415A0" w:rsidRPr="00CF7FE6">
        <w:rPr>
          <w:rFonts w:ascii="Verdana" w:hAnsi="Verdana"/>
          <w:sz w:val="20"/>
          <w:szCs w:val="20"/>
          <w:lang w:val="es-ES"/>
        </w:rPr>
        <w:t xml:space="preserve">, </w:t>
      </w:r>
      <w:r w:rsidR="0011733B">
        <w:rPr>
          <w:rFonts w:ascii="Verdana" w:hAnsi="Verdana"/>
          <w:sz w:val="20"/>
          <w:szCs w:val="20"/>
          <w:lang w:val="es-ES"/>
        </w:rPr>
        <w:t xml:space="preserve">se debe tener presente que </w:t>
      </w:r>
      <w:r w:rsidR="005550DC">
        <w:rPr>
          <w:rFonts w:ascii="Verdana" w:hAnsi="Verdana"/>
          <w:sz w:val="20"/>
          <w:szCs w:val="20"/>
          <w:lang w:val="es-ES"/>
        </w:rPr>
        <w:t xml:space="preserve">en autos no se aludió </w:t>
      </w:r>
      <w:r w:rsidR="00E5613A" w:rsidRPr="00CF7FE6">
        <w:rPr>
          <w:rFonts w:ascii="Verdana" w:hAnsi="Verdana"/>
          <w:sz w:val="20"/>
          <w:szCs w:val="20"/>
          <w:lang w:val="es-ES"/>
        </w:rPr>
        <w:t>a la presunta violación de los derechos laborales a l</w:t>
      </w:r>
      <w:r w:rsidR="005415A0" w:rsidRPr="00CF7FE6">
        <w:rPr>
          <w:rFonts w:ascii="Verdana" w:hAnsi="Verdana"/>
          <w:sz w:val="20"/>
          <w:szCs w:val="20"/>
          <w:lang w:val="es-ES"/>
        </w:rPr>
        <w:t>a luz de la Convención</w:t>
      </w:r>
      <w:r w:rsidR="00E5613A" w:rsidRPr="00CF7FE6">
        <w:rPr>
          <w:rFonts w:ascii="Verdana" w:hAnsi="Verdana"/>
          <w:sz w:val="20"/>
          <w:szCs w:val="20"/>
          <w:lang w:val="es-ES"/>
        </w:rPr>
        <w:t>.</w:t>
      </w:r>
      <w:r w:rsidR="00701FBA" w:rsidRPr="00CF7FE6">
        <w:rPr>
          <w:rFonts w:ascii="Verdana" w:hAnsi="Verdana"/>
          <w:sz w:val="20"/>
          <w:szCs w:val="20"/>
          <w:lang w:val="es-ES"/>
        </w:rPr>
        <w:t xml:space="preserve"> Únicamente lo hizo el peticionario, pero solamente ante la Comisión</w:t>
      </w:r>
      <w:r w:rsidR="00701FBA" w:rsidRPr="00CF7FE6">
        <w:rPr>
          <w:rStyle w:val="FootnoteReference"/>
          <w:rFonts w:ascii="Verdana" w:hAnsi="Verdana"/>
          <w:sz w:val="20"/>
          <w:szCs w:val="20"/>
          <w:lang w:val="es-ES"/>
        </w:rPr>
        <w:footnoteReference w:id="73"/>
      </w:r>
      <w:r w:rsidR="00701FBA" w:rsidRPr="00CF7FE6">
        <w:rPr>
          <w:rFonts w:ascii="Verdana" w:hAnsi="Verdana"/>
          <w:sz w:val="20"/>
          <w:szCs w:val="20"/>
          <w:lang w:val="es-ES"/>
        </w:rPr>
        <w:t xml:space="preserve">, sin invocar, por lo demás, </w:t>
      </w:r>
      <w:r w:rsidR="0029353D" w:rsidRPr="00CF7FE6">
        <w:rPr>
          <w:rFonts w:ascii="Verdana" w:hAnsi="Verdana"/>
          <w:sz w:val="20"/>
          <w:szCs w:val="20"/>
          <w:lang w:val="es-ES"/>
        </w:rPr>
        <w:t>la aplicación del artículo 26</w:t>
      </w:r>
      <w:r w:rsidR="00586A4C">
        <w:rPr>
          <w:rFonts w:ascii="Verdana" w:hAnsi="Verdana"/>
          <w:sz w:val="20"/>
          <w:szCs w:val="20"/>
          <w:lang w:val="es-ES"/>
        </w:rPr>
        <w:t>. En rigor, n</w:t>
      </w:r>
      <w:r w:rsidR="00701FBA" w:rsidRPr="00CF7FE6">
        <w:rPr>
          <w:rFonts w:ascii="Verdana" w:hAnsi="Verdana"/>
          <w:sz w:val="20"/>
          <w:szCs w:val="20"/>
          <w:lang w:val="es-ES"/>
        </w:rPr>
        <w:t>o hubo, pues, controversia al respecto</w:t>
      </w:r>
      <w:r w:rsidR="0029353D" w:rsidRPr="00CF7FE6">
        <w:rPr>
          <w:rFonts w:ascii="Verdana" w:hAnsi="Verdana"/>
          <w:sz w:val="20"/>
          <w:szCs w:val="20"/>
          <w:lang w:val="es-ES"/>
        </w:rPr>
        <w:t>.</w:t>
      </w:r>
    </w:p>
    <w:p w14:paraId="436E9A35" w14:textId="77777777" w:rsidR="00D11632" w:rsidRPr="00CF7FE6" w:rsidRDefault="00D11632" w:rsidP="00EB7CE1">
      <w:pPr>
        <w:spacing w:after="0" w:line="240" w:lineRule="auto"/>
        <w:jc w:val="both"/>
        <w:rPr>
          <w:rFonts w:ascii="Verdana" w:hAnsi="Verdana"/>
          <w:sz w:val="20"/>
          <w:szCs w:val="20"/>
          <w:lang w:val="es-ES"/>
        </w:rPr>
      </w:pPr>
    </w:p>
    <w:p w14:paraId="6A23B44D" w14:textId="77777777" w:rsidR="00642EEC" w:rsidRDefault="00B94AE5" w:rsidP="00EB7CE1">
      <w:pPr>
        <w:spacing w:after="0" w:line="240" w:lineRule="auto"/>
        <w:jc w:val="both"/>
        <w:rPr>
          <w:rFonts w:ascii="Verdana" w:hAnsi="Verdana"/>
          <w:sz w:val="20"/>
          <w:szCs w:val="20"/>
          <w:lang w:val="es-ES"/>
        </w:rPr>
      </w:pPr>
      <w:r>
        <w:rPr>
          <w:rFonts w:ascii="Verdana" w:hAnsi="Verdana"/>
          <w:sz w:val="20"/>
          <w:szCs w:val="20"/>
          <w:lang w:val="es-ES"/>
        </w:rPr>
        <w:t>9</w:t>
      </w:r>
      <w:r w:rsidR="005D221B" w:rsidRPr="00CF7FE6">
        <w:rPr>
          <w:rFonts w:ascii="Verdana" w:hAnsi="Verdana"/>
          <w:sz w:val="20"/>
          <w:szCs w:val="20"/>
          <w:lang w:val="es-ES"/>
        </w:rPr>
        <w:t xml:space="preserve">.- </w:t>
      </w:r>
      <w:r w:rsidR="00320F94" w:rsidRPr="00CF7FE6">
        <w:rPr>
          <w:rFonts w:ascii="Verdana" w:hAnsi="Verdana"/>
          <w:sz w:val="20"/>
          <w:szCs w:val="20"/>
          <w:lang w:val="es-ES"/>
        </w:rPr>
        <w:t>La mención</w:t>
      </w:r>
      <w:r w:rsidR="00642EEC" w:rsidRPr="00CF7FE6">
        <w:rPr>
          <w:rFonts w:ascii="Verdana" w:hAnsi="Verdana"/>
          <w:sz w:val="20"/>
          <w:szCs w:val="20"/>
          <w:lang w:val="es-ES"/>
        </w:rPr>
        <w:t xml:space="preserve"> a los “</w:t>
      </w:r>
      <w:r w:rsidR="00642EEC" w:rsidRPr="00CF7FE6">
        <w:rPr>
          <w:rFonts w:ascii="Verdana" w:hAnsi="Verdana"/>
          <w:i/>
          <w:sz w:val="20"/>
          <w:szCs w:val="20"/>
          <w:lang w:val="es-ES"/>
        </w:rPr>
        <w:t>importantes desarrollos jurisprudenciales en la materia a la luz de diversos artículos convencionales</w:t>
      </w:r>
      <w:r w:rsidR="00320F94" w:rsidRPr="00CF7FE6">
        <w:rPr>
          <w:rFonts w:ascii="Verdana" w:hAnsi="Verdana"/>
          <w:sz w:val="20"/>
          <w:szCs w:val="20"/>
          <w:lang w:val="es-ES"/>
        </w:rPr>
        <w:t>”</w:t>
      </w:r>
      <w:r w:rsidR="00F15618" w:rsidRPr="00CF7FE6">
        <w:rPr>
          <w:rStyle w:val="FootnoteReference"/>
          <w:rFonts w:ascii="Verdana" w:hAnsi="Verdana"/>
          <w:sz w:val="20"/>
          <w:szCs w:val="20"/>
          <w:lang w:val="es-ES"/>
        </w:rPr>
        <w:footnoteReference w:id="74"/>
      </w:r>
      <w:r w:rsidR="00320F94" w:rsidRPr="00CF7FE6">
        <w:rPr>
          <w:rFonts w:ascii="Verdana" w:hAnsi="Verdana"/>
          <w:sz w:val="20"/>
          <w:szCs w:val="20"/>
          <w:lang w:val="es-ES"/>
        </w:rPr>
        <w:t>,</w:t>
      </w:r>
      <w:r w:rsidR="00642EEC" w:rsidRPr="00CF7FE6">
        <w:rPr>
          <w:rFonts w:ascii="Verdana" w:hAnsi="Verdana"/>
          <w:sz w:val="20"/>
          <w:szCs w:val="20"/>
          <w:lang w:val="es-ES"/>
        </w:rPr>
        <w:t xml:space="preserve"> debe entenderse también como el empleo </w:t>
      </w:r>
      <w:r w:rsidR="00320F94" w:rsidRPr="00CF7FE6">
        <w:rPr>
          <w:rFonts w:ascii="Verdana" w:hAnsi="Verdana"/>
          <w:sz w:val="20"/>
          <w:szCs w:val="20"/>
          <w:lang w:val="es-ES"/>
        </w:rPr>
        <w:t>de la propia jurisprudencia en tanto</w:t>
      </w:r>
      <w:r w:rsidR="00642EEC" w:rsidRPr="00CF7FE6">
        <w:rPr>
          <w:rFonts w:ascii="Verdana" w:hAnsi="Verdana"/>
          <w:sz w:val="20"/>
          <w:szCs w:val="20"/>
          <w:lang w:val="es-ES"/>
        </w:rPr>
        <w:t xml:space="preserve"> fuente auxiliar</w:t>
      </w:r>
      <w:r w:rsidR="00320F94" w:rsidRPr="00CF7FE6">
        <w:rPr>
          <w:rFonts w:ascii="Verdana" w:hAnsi="Verdana"/>
          <w:sz w:val="20"/>
          <w:szCs w:val="20"/>
          <w:lang w:val="es-ES"/>
        </w:rPr>
        <w:t xml:space="preserve"> del Derecho Internacional</w:t>
      </w:r>
      <w:r w:rsidR="00642EEC" w:rsidRPr="00CF7FE6">
        <w:rPr>
          <w:rFonts w:ascii="Verdana" w:hAnsi="Verdana"/>
          <w:sz w:val="20"/>
          <w:szCs w:val="20"/>
          <w:lang w:val="es-ES"/>
        </w:rPr>
        <w:t xml:space="preserve"> y no como creadora </w:t>
      </w:r>
      <w:r w:rsidR="00642EEC" w:rsidRPr="00CF7FE6">
        <w:rPr>
          <w:rFonts w:ascii="Verdana" w:hAnsi="Verdana"/>
          <w:i/>
          <w:sz w:val="20"/>
          <w:szCs w:val="20"/>
          <w:lang w:val="es-ES"/>
        </w:rPr>
        <w:t>per se</w:t>
      </w:r>
      <w:r w:rsidR="00642EEC" w:rsidRPr="00CF7FE6">
        <w:rPr>
          <w:rFonts w:ascii="Verdana" w:hAnsi="Verdana"/>
          <w:sz w:val="20"/>
          <w:szCs w:val="20"/>
          <w:lang w:val="es-ES"/>
        </w:rPr>
        <w:t xml:space="preserve"> de derechos u obligaciones</w:t>
      </w:r>
      <w:r w:rsidR="00320F94" w:rsidRPr="00CF7FE6">
        <w:rPr>
          <w:rFonts w:ascii="Verdana" w:hAnsi="Verdana"/>
          <w:sz w:val="20"/>
          <w:szCs w:val="20"/>
          <w:lang w:val="es-ES"/>
        </w:rPr>
        <w:t xml:space="preserve"> internacionales</w:t>
      </w:r>
      <w:r w:rsidR="00642EEC" w:rsidRPr="00CF7FE6">
        <w:rPr>
          <w:rFonts w:ascii="Verdana" w:hAnsi="Verdana"/>
          <w:sz w:val="20"/>
          <w:szCs w:val="20"/>
          <w:lang w:val="es-ES"/>
        </w:rPr>
        <w:t>.</w:t>
      </w:r>
    </w:p>
    <w:p w14:paraId="051EC989" w14:textId="77777777" w:rsidR="00D11632" w:rsidRPr="00CF7FE6" w:rsidRDefault="00D11632" w:rsidP="00EB7CE1">
      <w:pPr>
        <w:spacing w:after="0" w:line="240" w:lineRule="auto"/>
        <w:jc w:val="both"/>
        <w:rPr>
          <w:rFonts w:ascii="Verdana" w:hAnsi="Verdana"/>
          <w:sz w:val="20"/>
          <w:szCs w:val="20"/>
          <w:lang w:val="es-ES"/>
        </w:rPr>
      </w:pPr>
    </w:p>
    <w:p w14:paraId="76C8ED1F" w14:textId="77777777" w:rsidR="00642EEC" w:rsidRPr="00CF7FE6" w:rsidRDefault="00D4418C" w:rsidP="00EB7CE1">
      <w:pPr>
        <w:spacing w:after="0" w:line="240" w:lineRule="auto"/>
        <w:jc w:val="both"/>
        <w:rPr>
          <w:rFonts w:ascii="Verdana" w:hAnsi="Verdana"/>
          <w:sz w:val="20"/>
          <w:szCs w:val="20"/>
          <w:lang w:val="es-ES"/>
        </w:rPr>
      </w:pPr>
      <w:r>
        <w:rPr>
          <w:rFonts w:ascii="Verdana" w:hAnsi="Verdana"/>
          <w:sz w:val="20"/>
          <w:szCs w:val="20"/>
          <w:lang w:val="es-ES"/>
        </w:rPr>
        <w:t>10</w:t>
      </w:r>
      <w:r w:rsidR="00586A4C">
        <w:rPr>
          <w:rFonts w:ascii="Verdana" w:hAnsi="Verdana"/>
          <w:sz w:val="20"/>
          <w:szCs w:val="20"/>
          <w:lang w:val="es-ES"/>
        </w:rPr>
        <w:t xml:space="preserve">.- Finalmente, la evocación </w:t>
      </w:r>
      <w:r w:rsidR="00642EEC" w:rsidRPr="00CF7FE6">
        <w:rPr>
          <w:rFonts w:ascii="Verdana" w:hAnsi="Verdana"/>
          <w:sz w:val="20"/>
          <w:szCs w:val="20"/>
          <w:lang w:val="es-ES"/>
        </w:rPr>
        <w:t xml:space="preserve">a que </w:t>
      </w:r>
      <w:r w:rsidR="0021332B" w:rsidRPr="00CF7FE6">
        <w:rPr>
          <w:rFonts w:ascii="Verdana" w:hAnsi="Verdana"/>
          <w:sz w:val="20"/>
          <w:szCs w:val="20"/>
          <w:lang w:val="es-ES"/>
        </w:rPr>
        <w:t>“</w:t>
      </w:r>
      <w:r w:rsidR="0021332B" w:rsidRPr="00CF7FE6">
        <w:rPr>
          <w:rFonts w:ascii="Verdana" w:hAnsi="Verdana"/>
          <w:i/>
          <w:sz w:val="20"/>
          <w:szCs w:val="20"/>
          <w:lang w:val="es-ES"/>
        </w:rPr>
        <w:t>el derecho al trabajo está reconocido explícitamente en diversas leyes internas de los Estados de la región</w:t>
      </w:r>
      <w:r w:rsidR="0021332B" w:rsidRPr="00CF7FE6">
        <w:rPr>
          <w:rFonts w:ascii="Verdana" w:hAnsi="Verdana"/>
          <w:sz w:val="20"/>
          <w:szCs w:val="20"/>
          <w:lang w:val="es-ES"/>
        </w:rPr>
        <w:t>”</w:t>
      </w:r>
      <w:r w:rsidR="0021332B" w:rsidRPr="00CF7FE6">
        <w:rPr>
          <w:rStyle w:val="FootnoteReference"/>
          <w:rFonts w:ascii="Verdana" w:hAnsi="Verdana"/>
          <w:sz w:val="20"/>
          <w:szCs w:val="20"/>
          <w:lang w:val="es-ES"/>
        </w:rPr>
        <w:footnoteReference w:id="75"/>
      </w:r>
      <w:r w:rsidR="0011111C">
        <w:rPr>
          <w:rFonts w:ascii="Verdana" w:hAnsi="Verdana"/>
          <w:sz w:val="20"/>
          <w:szCs w:val="20"/>
          <w:lang w:val="es-ES"/>
        </w:rPr>
        <w:t>, supone</w:t>
      </w:r>
      <w:r w:rsidR="0011733B">
        <w:rPr>
          <w:rFonts w:ascii="Verdana" w:hAnsi="Verdana"/>
          <w:sz w:val="20"/>
          <w:szCs w:val="20"/>
          <w:lang w:val="es-ES"/>
        </w:rPr>
        <w:t xml:space="preserve"> únicamente </w:t>
      </w:r>
      <w:r w:rsidR="002E6C7A">
        <w:rPr>
          <w:rFonts w:ascii="Verdana" w:hAnsi="Verdana"/>
          <w:sz w:val="20"/>
          <w:szCs w:val="20"/>
          <w:lang w:val="es-ES"/>
        </w:rPr>
        <w:t>que no hay duda alguna de que en el ámbito interno o sede nacional la presunta violación al derecho al trabajo</w:t>
      </w:r>
      <w:r w:rsidR="00CC3776">
        <w:rPr>
          <w:rFonts w:ascii="Verdana" w:hAnsi="Verdana"/>
          <w:sz w:val="20"/>
          <w:szCs w:val="20"/>
          <w:lang w:val="es-ES"/>
        </w:rPr>
        <w:t xml:space="preserve"> puede </w:t>
      </w:r>
      <w:r w:rsidR="00E45C18">
        <w:rPr>
          <w:rFonts w:ascii="Verdana" w:hAnsi="Verdana"/>
          <w:sz w:val="20"/>
          <w:szCs w:val="20"/>
          <w:lang w:val="es-ES"/>
        </w:rPr>
        <w:t xml:space="preserve">y debe </w:t>
      </w:r>
      <w:r w:rsidR="00CC3776">
        <w:rPr>
          <w:rFonts w:ascii="Verdana" w:hAnsi="Verdana"/>
          <w:sz w:val="20"/>
          <w:szCs w:val="20"/>
          <w:lang w:val="es-ES"/>
        </w:rPr>
        <w:t xml:space="preserve">ser invocada </w:t>
      </w:r>
      <w:r w:rsidR="002E6C7A">
        <w:rPr>
          <w:rFonts w:ascii="Verdana" w:hAnsi="Verdana"/>
          <w:sz w:val="20"/>
          <w:szCs w:val="20"/>
          <w:lang w:val="es-ES"/>
        </w:rPr>
        <w:t>ante los tribunales nacionales competentes</w:t>
      </w:r>
      <w:r w:rsidR="0021332B" w:rsidRPr="00CF7FE6">
        <w:rPr>
          <w:rFonts w:ascii="Verdana" w:hAnsi="Verdana"/>
          <w:sz w:val="20"/>
          <w:szCs w:val="20"/>
          <w:lang w:val="es-ES"/>
        </w:rPr>
        <w:t xml:space="preserve"> y no que exista el derecho a reclamar la violación a ese derecho ante la Corte al amparo de lo previsto en el artículo 26 de la Convención.</w:t>
      </w:r>
    </w:p>
    <w:p w14:paraId="153DC7D5" w14:textId="77777777" w:rsidR="005D221B" w:rsidRPr="00CF7FE6" w:rsidRDefault="005D221B" w:rsidP="00EB7CE1">
      <w:pPr>
        <w:spacing w:after="0" w:line="240" w:lineRule="auto"/>
        <w:jc w:val="both"/>
        <w:rPr>
          <w:rFonts w:ascii="Verdana" w:hAnsi="Verdana"/>
          <w:sz w:val="20"/>
          <w:szCs w:val="20"/>
          <w:lang w:val="es-ES"/>
        </w:rPr>
      </w:pPr>
    </w:p>
    <w:p w14:paraId="7E27FCBC" w14:textId="77777777" w:rsidR="001F7D5A" w:rsidRPr="00CF7FE6" w:rsidRDefault="00273011" w:rsidP="00EB7CE1">
      <w:pPr>
        <w:spacing w:after="0" w:line="240" w:lineRule="auto"/>
        <w:jc w:val="both"/>
        <w:rPr>
          <w:rFonts w:ascii="Verdana" w:hAnsi="Verdana"/>
          <w:b/>
          <w:sz w:val="20"/>
          <w:szCs w:val="20"/>
          <w:lang w:val="es-ES"/>
        </w:rPr>
      </w:pPr>
      <w:r>
        <w:rPr>
          <w:rFonts w:ascii="Verdana" w:hAnsi="Verdana"/>
          <w:b/>
          <w:sz w:val="20"/>
          <w:szCs w:val="20"/>
          <w:lang w:val="es-ES"/>
        </w:rPr>
        <w:t>CONCLUSIÓN</w:t>
      </w:r>
      <w:r w:rsidR="001F7D5A" w:rsidRPr="00CF7FE6">
        <w:rPr>
          <w:rFonts w:ascii="Verdana" w:hAnsi="Verdana"/>
          <w:b/>
          <w:sz w:val="20"/>
          <w:szCs w:val="20"/>
          <w:lang w:val="es-ES"/>
        </w:rPr>
        <w:t>.</w:t>
      </w:r>
    </w:p>
    <w:p w14:paraId="5F17A7A4" w14:textId="77777777" w:rsidR="005D221B" w:rsidRPr="00CF7FE6" w:rsidRDefault="005D221B" w:rsidP="00EB7CE1">
      <w:pPr>
        <w:spacing w:after="0" w:line="240" w:lineRule="auto"/>
        <w:jc w:val="both"/>
        <w:rPr>
          <w:rFonts w:ascii="Verdana" w:hAnsi="Verdana"/>
          <w:b/>
          <w:sz w:val="20"/>
          <w:szCs w:val="20"/>
          <w:lang w:val="es-ES"/>
        </w:rPr>
      </w:pPr>
    </w:p>
    <w:p w14:paraId="29871546" w14:textId="77777777" w:rsidR="00CC3776" w:rsidRDefault="00112B3A" w:rsidP="00EB7CE1">
      <w:pPr>
        <w:spacing w:after="0" w:line="240" w:lineRule="auto"/>
        <w:jc w:val="both"/>
        <w:rPr>
          <w:rFonts w:ascii="Verdana" w:hAnsi="Verdana"/>
          <w:sz w:val="20"/>
          <w:szCs w:val="20"/>
          <w:lang w:val="es-ES"/>
        </w:rPr>
      </w:pPr>
      <w:r>
        <w:rPr>
          <w:rFonts w:ascii="Verdana" w:hAnsi="Verdana"/>
          <w:sz w:val="20"/>
          <w:szCs w:val="20"/>
          <w:lang w:val="es-ES"/>
        </w:rPr>
        <w:t>En suma, entonces, se discrepa de lo resuelto en la Sentencia habida cuenta que</w:t>
      </w:r>
      <w:r w:rsidR="00100DA4">
        <w:rPr>
          <w:rFonts w:ascii="Verdana" w:hAnsi="Verdana"/>
          <w:sz w:val="20"/>
          <w:szCs w:val="20"/>
          <w:lang w:val="es-ES"/>
        </w:rPr>
        <w:t>, haciendo la Convención una clara distinción entre l</w:t>
      </w:r>
      <w:r w:rsidR="00D4418C">
        <w:rPr>
          <w:rFonts w:ascii="Verdana" w:hAnsi="Verdana"/>
          <w:sz w:val="20"/>
          <w:szCs w:val="20"/>
          <w:lang w:val="es-ES"/>
        </w:rPr>
        <w:t>os derechos políticos y civiles</w:t>
      </w:r>
      <w:r w:rsidR="00100DA4">
        <w:rPr>
          <w:rFonts w:ascii="Verdana" w:hAnsi="Verdana"/>
          <w:sz w:val="20"/>
          <w:szCs w:val="20"/>
          <w:lang w:val="es-ES"/>
        </w:rPr>
        <w:t xml:space="preserve"> y los derechos económicos, sociales y culturales, </w:t>
      </w:r>
      <w:r>
        <w:rPr>
          <w:rFonts w:ascii="Verdana" w:hAnsi="Verdana"/>
          <w:sz w:val="20"/>
          <w:szCs w:val="20"/>
          <w:lang w:val="es-ES"/>
        </w:rPr>
        <w:t>el derecho al trabaj</w:t>
      </w:r>
      <w:r w:rsidR="00CE06BA">
        <w:rPr>
          <w:rFonts w:ascii="Verdana" w:hAnsi="Verdana"/>
          <w:sz w:val="20"/>
          <w:szCs w:val="20"/>
          <w:lang w:val="es-ES"/>
        </w:rPr>
        <w:t>o, incluyendo a</w:t>
      </w:r>
      <w:r>
        <w:rPr>
          <w:rFonts w:ascii="Verdana" w:hAnsi="Verdana"/>
          <w:sz w:val="20"/>
          <w:szCs w:val="20"/>
          <w:lang w:val="es-ES"/>
        </w:rPr>
        <w:t>l derecho a la estabilidad en el empleo</w:t>
      </w:r>
      <w:r w:rsidR="00100DA4">
        <w:rPr>
          <w:rFonts w:ascii="Verdana" w:hAnsi="Verdana"/>
          <w:sz w:val="20"/>
          <w:szCs w:val="20"/>
          <w:lang w:val="es-ES"/>
        </w:rPr>
        <w:t xml:space="preserve">, </w:t>
      </w:r>
      <w:r w:rsidR="00C320E8">
        <w:rPr>
          <w:rFonts w:ascii="Verdana" w:hAnsi="Verdana"/>
          <w:sz w:val="20"/>
          <w:szCs w:val="20"/>
          <w:lang w:val="es-ES"/>
        </w:rPr>
        <w:t xml:space="preserve">en tanto </w:t>
      </w:r>
      <w:r w:rsidR="00100DA4">
        <w:rPr>
          <w:rFonts w:ascii="Verdana" w:hAnsi="Verdana"/>
          <w:sz w:val="20"/>
          <w:szCs w:val="20"/>
          <w:lang w:val="es-ES"/>
        </w:rPr>
        <w:t xml:space="preserve">integrante de los últimos mencionados, </w:t>
      </w:r>
      <w:r w:rsidR="00CE06BA">
        <w:rPr>
          <w:rFonts w:ascii="Verdana" w:hAnsi="Verdana"/>
          <w:sz w:val="20"/>
          <w:szCs w:val="20"/>
          <w:lang w:val="es-ES"/>
        </w:rPr>
        <w:t>no es</w:t>
      </w:r>
      <w:r>
        <w:rPr>
          <w:rFonts w:ascii="Verdana" w:hAnsi="Verdana"/>
          <w:sz w:val="20"/>
          <w:szCs w:val="20"/>
          <w:lang w:val="es-ES"/>
        </w:rPr>
        <w:t xml:space="preserve"> </w:t>
      </w:r>
      <w:r w:rsidRPr="00112B3A">
        <w:rPr>
          <w:rFonts w:ascii="Verdana" w:hAnsi="Verdana"/>
          <w:sz w:val="20"/>
          <w:szCs w:val="20"/>
          <w:lang w:val="es-ES"/>
        </w:rPr>
        <w:t xml:space="preserve"> derecho “</w:t>
      </w:r>
      <w:r w:rsidRPr="00A46621">
        <w:rPr>
          <w:rFonts w:ascii="Verdana" w:hAnsi="Verdana"/>
          <w:i/>
          <w:sz w:val="20"/>
          <w:szCs w:val="20"/>
          <w:lang w:val="es-ES"/>
        </w:rPr>
        <w:t>reconocido</w:t>
      </w:r>
      <w:r w:rsidR="00A46621">
        <w:rPr>
          <w:rFonts w:ascii="Verdana" w:hAnsi="Verdana"/>
          <w:sz w:val="20"/>
          <w:szCs w:val="20"/>
          <w:lang w:val="es-ES"/>
        </w:rPr>
        <w:t xml:space="preserve">” </w:t>
      </w:r>
      <w:r w:rsidR="005550DC">
        <w:rPr>
          <w:rFonts w:ascii="Verdana" w:hAnsi="Verdana"/>
          <w:sz w:val="20"/>
          <w:szCs w:val="20"/>
          <w:lang w:val="es-ES"/>
        </w:rPr>
        <w:t>en</w:t>
      </w:r>
      <w:r w:rsidRPr="00112B3A">
        <w:rPr>
          <w:rFonts w:ascii="Verdana" w:hAnsi="Verdana"/>
          <w:sz w:val="20"/>
          <w:szCs w:val="20"/>
          <w:lang w:val="es-ES"/>
        </w:rPr>
        <w:t xml:space="preserve"> la Convención y no se encuentra, consecuentemente, al amparo del sistema de protección previsto en ella</w:t>
      </w:r>
      <w:r w:rsidR="00325D8E">
        <w:rPr>
          <w:rFonts w:ascii="Verdana" w:hAnsi="Verdana"/>
          <w:sz w:val="20"/>
          <w:szCs w:val="20"/>
          <w:lang w:val="es-ES"/>
        </w:rPr>
        <w:t xml:space="preserve"> únicamente para </w:t>
      </w:r>
      <w:r w:rsidR="00100DA4">
        <w:rPr>
          <w:rFonts w:ascii="Verdana" w:hAnsi="Verdana"/>
          <w:sz w:val="20"/>
          <w:szCs w:val="20"/>
          <w:lang w:val="es-ES"/>
        </w:rPr>
        <w:t>el pri</w:t>
      </w:r>
      <w:r w:rsidR="00CC3776">
        <w:rPr>
          <w:rFonts w:ascii="Verdana" w:hAnsi="Verdana"/>
          <w:sz w:val="20"/>
          <w:szCs w:val="20"/>
          <w:lang w:val="es-ES"/>
        </w:rPr>
        <w:t>mer tipo de dere</w:t>
      </w:r>
      <w:r w:rsidR="0011733B">
        <w:rPr>
          <w:rFonts w:ascii="Verdana" w:hAnsi="Verdana"/>
          <w:sz w:val="20"/>
          <w:szCs w:val="20"/>
          <w:lang w:val="es-ES"/>
        </w:rPr>
        <w:t xml:space="preserve">chos señalados. Para que los </w:t>
      </w:r>
      <w:r w:rsidR="00CC3776">
        <w:rPr>
          <w:rFonts w:ascii="Verdana" w:hAnsi="Verdana"/>
          <w:sz w:val="20"/>
          <w:szCs w:val="20"/>
          <w:lang w:val="es-ES"/>
        </w:rPr>
        <w:t>derechos</w:t>
      </w:r>
      <w:r w:rsidR="0011733B">
        <w:rPr>
          <w:rFonts w:ascii="Verdana" w:hAnsi="Verdana"/>
          <w:sz w:val="20"/>
          <w:szCs w:val="20"/>
          <w:lang w:val="es-ES"/>
        </w:rPr>
        <w:t xml:space="preserve"> económicos sociales y culturales</w:t>
      </w:r>
      <w:r w:rsidR="00CC3776">
        <w:rPr>
          <w:rFonts w:ascii="Verdana" w:hAnsi="Verdana"/>
          <w:sz w:val="20"/>
          <w:szCs w:val="20"/>
          <w:lang w:val="es-ES"/>
        </w:rPr>
        <w:t xml:space="preserve"> pudieran judicializar ante la Corte, </w:t>
      </w:r>
      <w:r>
        <w:rPr>
          <w:rFonts w:ascii="Verdana" w:hAnsi="Verdana"/>
          <w:sz w:val="20"/>
          <w:szCs w:val="20"/>
          <w:lang w:val="es-ES"/>
        </w:rPr>
        <w:t>sería menester la suscripción d</w:t>
      </w:r>
      <w:r w:rsidR="00100DA4">
        <w:rPr>
          <w:rFonts w:ascii="Verdana" w:hAnsi="Verdana"/>
          <w:sz w:val="20"/>
          <w:szCs w:val="20"/>
          <w:lang w:val="es-ES"/>
        </w:rPr>
        <w:t xml:space="preserve">e un protocolo complementario, </w:t>
      </w:r>
      <w:r w:rsidR="00A46621">
        <w:rPr>
          <w:rFonts w:ascii="Verdana" w:hAnsi="Verdana"/>
          <w:sz w:val="20"/>
          <w:szCs w:val="20"/>
          <w:lang w:val="es-ES"/>
        </w:rPr>
        <w:t>lo que no ha acontecido</w:t>
      </w:r>
      <w:r w:rsidR="00100DA4">
        <w:rPr>
          <w:rFonts w:ascii="Verdana" w:hAnsi="Verdana"/>
          <w:sz w:val="20"/>
          <w:szCs w:val="20"/>
          <w:lang w:val="es-ES"/>
        </w:rPr>
        <w:t>, salvo parcialmente en el Protocolo de San Salvador</w:t>
      </w:r>
      <w:r w:rsidR="00CC3776">
        <w:rPr>
          <w:rFonts w:ascii="Verdana" w:hAnsi="Verdana"/>
          <w:sz w:val="20"/>
          <w:szCs w:val="20"/>
          <w:lang w:val="es-ES"/>
        </w:rPr>
        <w:t>,</w:t>
      </w:r>
      <w:r w:rsidR="00100DA4">
        <w:rPr>
          <w:rFonts w:ascii="Verdana" w:hAnsi="Verdana"/>
          <w:sz w:val="20"/>
          <w:szCs w:val="20"/>
          <w:lang w:val="es-ES"/>
        </w:rPr>
        <w:t xml:space="preserve"> pero para materias ajenas a las de autos</w:t>
      </w:r>
      <w:r>
        <w:rPr>
          <w:rFonts w:ascii="Verdana" w:hAnsi="Verdana"/>
          <w:sz w:val="20"/>
          <w:szCs w:val="20"/>
          <w:lang w:val="es-ES"/>
        </w:rPr>
        <w:t xml:space="preserve">. </w:t>
      </w:r>
    </w:p>
    <w:p w14:paraId="3E47D7FA" w14:textId="77777777" w:rsidR="00CC3776" w:rsidRDefault="00CC3776" w:rsidP="00EB7CE1">
      <w:pPr>
        <w:spacing w:after="0" w:line="240" w:lineRule="auto"/>
        <w:jc w:val="both"/>
        <w:rPr>
          <w:rFonts w:ascii="Verdana" w:hAnsi="Verdana"/>
          <w:sz w:val="20"/>
          <w:szCs w:val="20"/>
          <w:lang w:val="es-ES"/>
        </w:rPr>
      </w:pPr>
    </w:p>
    <w:p w14:paraId="6535587A" w14:textId="77777777" w:rsidR="00112B3A" w:rsidRDefault="00112B3A" w:rsidP="00EB7CE1">
      <w:pPr>
        <w:spacing w:after="0" w:line="240" w:lineRule="auto"/>
        <w:jc w:val="both"/>
        <w:rPr>
          <w:rFonts w:ascii="Verdana" w:hAnsi="Verdana"/>
          <w:sz w:val="20"/>
          <w:szCs w:val="20"/>
          <w:lang w:val="es-ES"/>
        </w:rPr>
      </w:pPr>
      <w:r>
        <w:rPr>
          <w:rFonts w:ascii="Verdana" w:hAnsi="Verdana"/>
          <w:sz w:val="20"/>
          <w:szCs w:val="20"/>
          <w:lang w:val="es-ES"/>
        </w:rPr>
        <w:t>Se disiente también en mérito</w:t>
      </w:r>
      <w:r w:rsidR="00A46621">
        <w:rPr>
          <w:rFonts w:ascii="Verdana" w:hAnsi="Verdana"/>
          <w:sz w:val="20"/>
          <w:szCs w:val="20"/>
          <w:lang w:val="es-ES"/>
        </w:rPr>
        <w:t xml:space="preserve"> de que lo que establece el artículo 26 de la Convención son obligaciones de comportamiento de los Estados, no recono</w:t>
      </w:r>
      <w:r w:rsidR="00C320E8">
        <w:rPr>
          <w:rFonts w:ascii="Verdana" w:hAnsi="Verdana"/>
          <w:sz w:val="20"/>
          <w:szCs w:val="20"/>
          <w:lang w:val="es-ES"/>
        </w:rPr>
        <w:t>cimiento de</w:t>
      </w:r>
      <w:r w:rsidR="00A46621">
        <w:rPr>
          <w:rFonts w:ascii="Verdana" w:hAnsi="Verdana"/>
          <w:sz w:val="20"/>
          <w:szCs w:val="20"/>
          <w:lang w:val="es-ES"/>
        </w:rPr>
        <w:t xml:space="preserve"> derechos de lo</w:t>
      </w:r>
      <w:r w:rsidR="00B53337">
        <w:rPr>
          <w:rFonts w:ascii="Verdana" w:hAnsi="Verdana"/>
          <w:sz w:val="20"/>
          <w:szCs w:val="20"/>
          <w:lang w:val="es-ES"/>
        </w:rPr>
        <w:t>s seres humanos, norma que, por lo demás</w:t>
      </w:r>
      <w:r w:rsidR="00A46621">
        <w:rPr>
          <w:rFonts w:ascii="Verdana" w:hAnsi="Verdana"/>
          <w:sz w:val="20"/>
          <w:szCs w:val="20"/>
          <w:lang w:val="es-ES"/>
        </w:rPr>
        <w:t>,</w:t>
      </w:r>
      <w:r w:rsidR="00B53337">
        <w:rPr>
          <w:rFonts w:ascii="Verdana" w:hAnsi="Verdana"/>
          <w:sz w:val="20"/>
          <w:szCs w:val="20"/>
          <w:lang w:val="es-ES"/>
        </w:rPr>
        <w:t xml:space="preserve"> se remite a la Carta de la OEA, la que</w:t>
      </w:r>
      <w:r w:rsidR="00A46621">
        <w:rPr>
          <w:rFonts w:ascii="Verdana" w:hAnsi="Verdana"/>
          <w:sz w:val="20"/>
          <w:szCs w:val="20"/>
          <w:lang w:val="es-ES"/>
        </w:rPr>
        <w:t xml:space="preserve">, a su vez, tampoco </w:t>
      </w:r>
      <w:r w:rsidR="00C320E8">
        <w:rPr>
          <w:rFonts w:ascii="Verdana" w:hAnsi="Verdana"/>
          <w:sz w:val="20"/>
          <w:szCs w:val="20"/>
          <w:lang w:val="es-ES"/>
        </w:rPr>
        <w:t xml:space="preserve">lo </w:t>
      </w:r>
      <w:r w:rsidR="00A46621">
        <w:rPr>
          <w:rFonts w:ascii="Verdana" w:hAnsi="Verdana"/>
          <w:sz w:val="20"/>
          <w:szCs w:val="20"/>
          <w:lang w:val="es-ES"/>
        </w:rPr>
        <w:t>hac</w:t>
      </w:r>
      <w:r w:rsidR="00325D8E">
        <w:rPr>
          <w:rFonts w:ascii="Verdana" w:hAnsi="Verdana"/>
          <w:sz w:val="20"/>
          <w:szCs w:val="20"/>
          <w:lang w:val="es-ES"/>
        </w:rPr>
        <w:t>e</w:t>
      </w:r>
      <w:r w:rsidR="00A46621">
        <w:rPr>
          <w:rFonts w:ascii="Verdana" w:hAnsi="Verdana"/>
          <w:sz w:val="20"/>
          <w:szCs w:val="20"/>
          <w:lang w:val="es-ES"/>
        </w:rPr>
        <w:t>, sino más bien estipula “</w:t>
      </w:r>
      <w:r w:rsidR="00A46621" w:rsidRPr="00325D8E">
        <w:rPr>
          <w:rFonts w:ascii="Verdana" w:hAnsi="Verdana"/>
          <w:i/>
          <w:sz w:val="20"/>
          <w:szCs w:val="20"/>
          <w:lang w:val="es-ES"/>
        </w:rPr>
        <w:t>metas</w:t>
      </w:r>
      <w:r w:rsidR="00A46621">
        <w:rPr>
          <w:rFonts w:ascii="Verdana" w:hAnsi="Verdana"/>
          <w:sz w:val="20"/>
          <w:szCs w:val="20"/>
          <w:lang w:val="es-ES"/>
        </w:rPr>
        <w:t>”</w:t>
      </w:r>
      <w:r w:rsidR="009F7E73">
        <w:rPr>
          <w:rFonts w:ascii="Verdana" w:hAnsi="Verdana"/>
          <w:sz w:val="20"/>
          <w:szCs w:val="20"/>
          <w:lang w:val="es-ES"/>
        </w:rPr>
        <w:t xml:space="preserve"> o</w:t>
      </w:r>
      <w:r w:rsidR="004764B9">
        <w:rPr>
          <w:rFonts w:ascii="Verdana" w:hAnsi="Verdana"/>
          <w:sz w:val="20"/>
          <w:szCs w:val="20"/>
          <w:lang w:val="es-ES"/>
        </w:rPr>
        <w:t xml:space="preserve"> </w:t>
      </w:r>
      <w:r w:rsidR="00325D8E">
        <w:rPr>
          <w:rFonts w:ascii="Verdana" w:hAnsi="Verdana"/>
          <w:sz w:val="20"/>
          <w:szCs w:val="20"/>
          <w:lang w:val="es-ES"/>
        </w:rPr>
        <w:t>“</w:t>
      </w:r>
      <w:r w:rsidR="00325D8E" w:rsidRPr="00325D8E">
        <w:rPr>
          <w:rFonts w:ascii="Verdana" w:hAnsi="Verdana"/>
          <w:i/>
          <w:sz w:val="20"/>
          <w:szCs w:val="20"/>
          <w:lang w:val="es-ES"/>
        </w:rPr>
        <w:t>finalidades</w:t>
      </w:r>
      <w:r w:rsidR="00325D8E">
        <w:rPr>
          <w:rFonts w:ascii="Verdana" w:hAnsi="Verdana"/>
          <w:sz w:val="20"/>
          <w:szCs w:val="20"/>
          <w:lang w:val="es-ES"/>
        </w:rPr>
        <w:t>”</w:t>
      </w:r>
      <w:r w:rsidR="00380245">
        <w:rPr>
          <w:rFonts w:ascii="Verdana" w:hAnsi="Verdana"/>
          <w:sz w:val="20"/>
          <w:szCs w:val="20"/>
          <w:lang w:val="es-ES"/>
        </w:rPr>
        <w:t xml:space="preserve"> o </w:t>
      </w:r>
      <w:r w:rsidR="00380245" w:rsidRPr="00380245">
        <w:rPr>
          <w:rFonts w:ascii="Verdana" w:hAnsi="Verdana"/>
          <w:sz w:val="20"/>
          <w:szCs w:val="20"/>
          <w:lang w:val="es-ES"/>
        </w:rPr>
        <w:t>“</w:t>
      </w:r>
      <w:r w:rsidR="00380245" w:rsidRPr="00380245">
        <w:rPr>
          <w:rFonts w:ascii="Verdana" w:hAnsi="Verdana"/>
          <w:i/>
          <w:sz w:val="20"/>
          <w:szCs w:val="20"/>
          <w:lang w:val="es-ES"/>
        </w:rPr>
        <w:t>principios y mecanismos”</w:t>
      </w:r>
      <w:r w:rsidR="00380245">
        <w:rPr>
          <w:rFonts w:ascii="Verdana" w:hAnsi="Verdana"/>
          <w:sz w:val="20"/>
          <w:szCs w:val="20"/>
          <w:lang w:val="es-ES"/>
        </w:rPr>
        <w:t xml:space="preserve"> </w:t>
      </w:r>
      <w:r w:rsidR="00325D8E">
        <w:rPr>
          <w:rFonts w:ascii="Verdana" w:hAnsi="Verdana"/>
          <w:sz w:val="20"/>
          <w:szCs w:val="20"/>
          <w:lang w:val="es-ES"/>
        </w:rPr>
        <w:t>que los Estados se comprometen a alcanzar</w:t>
      </w:r>
      <w:r w:rsidR="00380245">
        <w:rPr>
          <w:rFonts w:ascii="Verdana" w:hAnsi="Verdana"/>
          <w:sz w:val="20"/>
          <w:szCs w:val="20"/>
          <w:lang w:val="es-ES"/>
        </w:rPr>
        <w:t xml:space="preserve"> o a implementar, según corresponda</w:t>
      </w:r>
      <w:r w:rsidR="00325D8E">
        <w:rPr>
          <w:rFonts w:ascii="Verdana" w:hAnsi="Verdana"/>
          <w:sz w:val="20"/>
          <w:szCs w:val="20"/>
          <w:lang w:val="es-ES"/>
        </w:rPr>
        <w:t xml:space="preserve">. Adicionalmente, no se comparte lo decidido puesto que, al permitir que lo previsto en el artículo 26 citado se pueda judicializar ante la Corte, no solo deja sin sentido lo dispuesto </w:t>
      </w:r>
      <w:r w:rsidR="00CC3776">
        <w:rPr>
          <w:rFonts w:ascii="Verdana" w:hAnsi="Verdana"/>
          <w:sz w:val="20"/>
          <w:szCs w:val="20"/>
          <w:lang w:val="es-ES"/>
        </w:rPr>
        <w:t xml:space="preserve">tanto en los artículos </w:t>
      </w:r>
      <w:r w:rsidR="00CA45E4">
        <w:rPr>
          <w:rFonts w:ascii="Verdana" w:hAnsi="Verdana"/>
          <w:sz w:val="20"/>
          <w:szCs w:val="20"/>
          <w:lang w:val="es-ES"/>
        </w:rPr>
        <w:t xml:space="preserve">31, </w:t>
      </w:r>
      <w:r w:rsidR="00CA45E4" w:rsidRPr="00CA45E4">
        <w:rPr>
          <w:rFonts w:ascii="Verdana" w:hAnsi="Verdana"/>
          <w:sz w:val="20"/>
          <w:szCs w:val="20"/>
          <w:lang w:val="es-ES"/>
        </w:rPr>
        <w:t xml:space="preserve">76.1 y 77.1 </w:t>
      </w:r>
      <w:r w:rsidR="00CA45E4">
        <w:rPr>
          <w:rFonts w:ascii="Verdana" w:hAnsi="Verdana"/>
          <w:sz w:val="20"/>
          <w:szCs w:val="20"/>
          <w:lang w:val="es-ES"/>
        </w:rPr>
        <w:t xml:space="preserve">de la Convención como </w:t>
      </w:r>
      <w:r w:rsidR="00325D8E">
        <w:rPr>
          <w:rFonts w:ascii="Verdana" w:hAnsi="Verdana"/>
          <w:sz w:val="20"/>
          <w:szCs w:val="20"/>
          <w:lang w:val="es-ES"/>
        </w:rPr>
        <w:t xml:space="preserve">en el Protocolo de San Salvador, sino que permitiría que todos los derechos que se derivan </w:t>
      </w:r>
      <w:r w:rsidR="00325D8E">
        <w:rPr>
          <w:rFonts w:ascii="Verdana" w:hAnsi="Verdana"/>
          <w:sz w:val="20"/>
          <w:szCs w:val="20"/>
          <w:lang w:val="es-ES"/>
        </w:rPr>
        <w:lastRenderedPageBreak/>
        <w:t xml:space="preserve">de la Carta de la OEA lo sean, eventualidad </w:t>
      </w:r>
      <w:r w:rsidR="00100DA4">
        <w:rPr>
          <w:rFonts w:ascii="Verdana" w:hAnsi="Verdana"/>
          <w:sz w:val="20"/>
          <w:szCs w:val="20"/>
          <w:lang w:val="es-ES"/>
        </w:rPr>
        <w:t xml:space="preserve">evidentemente del todo </w:t>
      </w:r>
      <w:r w:rsidR="00325D8E">
        <w:rPr>
          <w:rFonts w:ascii="Verdana" w:hAnsi="Verdana"/>
          <w:sz w:val="20"/>
          <w:szCs w:val="20"/>
          <w:lang w:val="es-ES"/>
        </w:rPr>
        <w:t>alejada</w:t>
      </w:r>
      <w:r w:rsidR="00C320E8">
        <w:rPr>
          <w:rFonts w:ascii="Verdana" w:hAnsi="Verdana"/>
          <w:sz w:val="20"/>
          <w:szCs w:val="20"/>
          <w:lang w:val="es-ES"/>
        </w:rPr>
        <w:t xml:space="preserve"> de </w:t>
      </w:r>
      <w:r w:rsidR="00100DA4">
        <w:rPr>
          <w:rFonts w:ascii="Verdana" w:hAnsi="Verdana"/>
          <w:sz w:val="20"/>
          <w:szCs w:val="20"/>
          <w:lang w:val="es-ES"/>
        </w:rPr>
        <w:t>l</w:t>
      </w:r>
      <w:r w:rsidR="00B53337">
        <w:rPr>
          <w:rFonts w:ascii="Verdana" w:hAnsi="Verdana"/>
          <w:sz w:val="20"/>
          <w:szCs w:val="20"/>
          <w:lang w:val="es-ES"/>
        </w:rPr>
        <w:t>o convenido</w:t>
      </w:r>
      <w:r w:rsidR="00C320E8">
        <w:rPr>
          <w:rFonts w:ascii="Verdana" w:hAnsi="Verdana"/>
          <w:sz w:val="20"/>
          <w:szCs w:val="20"/>
          <w:lang w:val="es-ES"/>
        </w:rPr>
        <w:t>.</w:t>
      </w:r>
      <w:r w:rsidR="00325D8E">
        <w:rPr>
          <w:rFonts w:ascii="Verdana" w:hAnsi="Verdana"/>
          <w:sz w:val="20"/>
          <w:szCs w:val="20"/>
          <w:lang w:val="es-ES"/>
        </w:rPr>
        <w:t xml:space="preserve">  </w:t>
      </w:r>
    </w:p>
    <w:p w14:paraId="4A90252C" w14:textId="77777777" w:rsidR="00112B3A" w:rsidRDefault="00112B3A" w:rsidP="00EB7CE1">
      <w:pPr>
        <w:spacing w:after="0" w:line="240" w:lineRule="auto"/>
        <w:jc w:val="both"/>
        <w:rPr>
          <w:rFonts w:ascii="Verdana" w:hAnsi="Verdana"/>
          <w:sz w:val="20"/>
          <w:szCs w:val="20"/>
          <w:lang w:val="es-ES"/>
        </w:rPr>
      </w:pPr>
    </w:p>
    <w:p w14:paraId="16EEF58F" w14:textId="77777777" w:rsidR="00D434B7" w:rsidRPr="00CF7FE6" w:rsidRDefault="00C320E8" w:rsidP="00EB7CE1">
      <w:pPr>
        <w:spacing w:after="0" w:line="240" w:lineRule="auto"/>
        <w:jc w:val="both"/>
        <w:rPr>
          <w:rFonts w:ascii="Verdana" w:hAnsi="Verdana"/>
          <w:sz w:val="20"/>
          <w:szCs w:val="20"/>
          <w:lang w:val="es-ES"/>
        </w:rPr>
      </w:pPr>
      <w:r>
        <w:rPr>
          <w:rFonts w:ascii="Verdana" w:hAnsi="Verdana"/>
          <w:sz w:val="20"/>
          <w:szCs w:val="20"/>
          <w:lang w:val="es-ES"/>
        </w:rPr>
        <w:t xml:space="preserve">Con lo anterior, </w:t>
      </w:r>
      <w:r w:rsidR="00470DB1" w:rsidRPr="00CF7FE6">
        <w:rPr>
          <w:rFonts w:ascii="Verdana" w:hAnsi="Verdana"/>
          <w:sz w:val="20"/>
          <w:szCs w:val="20"/>
          <w:lang w:val="es-ES"/>
        </w:rPr>
        <w:t>s</w:t>
      </w:r>
      <w:r w:rsidR="005550DC">
        <w:rPr>
          <w:rFonts w:ascii="Verdana" w:hAnsi="Verdana"/>
          <w:sz w:val="20"/>
          <w:szCs w:val="20"/>
          <w:lang w:val="es-ES"/>
        </w:rPr>
        <w:t xml:space="preserve">e reitera </w:t>
      </w:r>
      <w:r w:rsidR="00D434B7" w:rsidRPr="00CF7FE6">
        <w:rPr>
          <w:rFonts w:ascii="Verdana" w:hAnsi="Verdana"/>
          <w:sz w:val="20"/>
          <w:szCs w:val="20"/>
          <w:lang w:val="es-ES"/>
        </w:rPr>
        <w:t>no se está nega</w:t>
      </w:r>
      <w:r w:rsidR="00F3245F" w:rsidRPr="00CF7FE6">
        <w:rPr>
          <w:rFonts w:ascii="Verdana" w:hAnsi="Verdana"/>
          <w:sz w:val="20"/>
          <w:szCs w:val="20"/>
          <w:lang w:val="es-ES"/>
        </w:rPr>
        <w:t xml:space="preserve">ndo la existencia del derecho </w:t>
      </w:r>
      <w:r w:rsidR="00D434B7" w:rsidRPr="00CF7FE6">
        <w:rPr>
          <w:rFonts w:ascii="Verdana" w:hAnsi="Verdana"/>
          <w:sz w:val="20"/>
          <w:szCs w:val="20"/>
          <w:lang w:val="es-ES"/>
        </w:rPr>
        <w:t xml:space="preserve">a la estabilidad laboral, el que, por lo demás, no figura en esos términos en la Carta de la OEA de cuyas normas, según el artículo 26 de la Convención, derivaría. Únicamente se sostiene que su eventual violación no puede </w:t>
      </w:r>
      <w:r w:rsidR="005550DC">
        <w:rPr>
          <w:rFonts w:ascii="Verdana" w:hAnsi="Verdana"/>
          <w:sz w:val="20"/>
          <w:szCs w:val="20"/>
          <w:lang w:val="es-ES"/>
        </w:rPr>
        <w:t xml:space="preserve">ser </w:t>
      </w:r>
      <w:r w:rsidR="00D434B7" w:rsidRPr="00CF7FE6">
        <w:rPr>
          <w:rFonts w:ascii="Verdana" w:hAnsi="Verdana"/>
          <w:sz w:val="20"/>
          <w:szCs w:val="20"/>
          <w:lang w:val="es-ES"/>
        </w:rPr>
        <w:t xml:space="preserve">sometida al conocimiento y resolución de la Corte, </w:t>
      </w:r>
    </w:p>
    <w:p w14:paraId="684F29FE" w14:textId="77777777" w:rsidR="00D11EA9" w:rsidRPr="00CF7FE6" w:rsidRDefault="00D11EA9" w:rsidP="00EB7CE1">
      <w:pPr>
        <w:spacing w:after="0" w:line="240" w:lineRule="auto"/>
        <w:jc w:val="both"/>
        <w:rPr>
          <w:rFonts w:ascii="Verdana" w:hAnsi="Verdana"/>
          <w:sz w:val="20"/>
          <w:szCs w:val="20"/>
          <w:lang w:val="es-ES"/>
        </w:rPr>
      </w:pPr>
    </w:p>
    <w:p w14:paraId="400AD435" w14:textId="77777777" w:rsidR="0068020D" w:rsidRPr="00CF7FE6" w:rsidRDefault="004D00A9" w:rsidP="00EB7CE1">
      <w:pPr>
        <w:spacing w:after="0" w:line="240" w:lineRule="auto"/>
        <w:jc w:val="both"/>
        <w:rPr>
          <w:rFonts w:ascii="Verdana" w:hAnsi="Verdana"/>
          <w:sz w:val="20"/>
          <w:szCs w:val="20"/>
          <w:lang w:val="es-ES"/>
        </w:rPr>
      </w:pPr>
      <w:r w:rsidRPr="00CF7FE6">
        <w:rPr>
          <w:rFonts w:ascii="Verdana" w:hAnsi="Verdana"/>
          <w:sz w:val="20"/>
          <w:szCs w:val="20"/>
          <w:lang w:val="es-ES"/>
        </w:rPr>
        <w:t>Tamp</w:t>
      </w:r>
      <w:r w:rsidR="00470DB1" w:rsidRPr="00CF7FE6">
        <w:rPr>
          <w:rFonts w:ascii="Verdana" w:hAnsi="Verdana"/>
          <w:sz w:val="20"/>
          <w:szCs w:val="20"/>
          <w:lang w:val="es-ES"/>
        </w:rPr>
        <w:t xml:space="preserve">oco el presente voto debe ser entendido en orden a </w:t>
      </w:r>
      <w:r w:rsidRPr="00CF7FE6">
        <w:rPr>
          <w:rFonts w:ascii="Verdana" w:hAnsi="Verdana"/>
          <w:sz w:val="20"/>
          <w:szCs w:val="20"/>
          <w:lang w:val="es-ES"/>
        </w:rPr>
        <w:t>que eventualmente no se esté a f</w:t>
      </w:r>
      <w:r w:rsidR="00F3245F" w:rsidRPr="00CF7FE6">
        <w:rPr>
          <w:rFonts w:ascii="Verdana" w:hAnsi="Verdana"/>
          <w:sz w:val="20"/>
          <w:szCs w:val="20"/>
          <w:lang w:val="es-ES"/>
        </w:rPr>
        <w:t xml:space="preserve">avor de </w:t>
      </w:r>
      <w:r w:rsidRPr="00CF7FE6">
        <w:rPr>
          <w:rFonts w:ascii="Verdana" w:hAnsi="Verdana"/>
          <w:sz w:val="20"/>
          <w:szCs w:val="20"/>
          <w:lang w:val="es-ES"/>
        </w:rPr>
        <w:t>judicializar los derechos económicos, sociales y</w:t>
      </w:r>
      <w:r w:rsidR="00470DB1" w:rsidRPr="00CF7FE6">
        <w:rPr>
          <w:rFonts w:ascii="Verdana" w:hAnsi="Verdana"/>
          <w:sz w:val="20"/>
          <w:szCs w:val="20"/>
          <w:lang w:val="es-ES"/>
        </w:rPr>
        <w:t xml:space="preserve"> culturales. Lo que se </w:t>
      </w:r>
      <w:r w:rsidRPr="00CF7FE6">
        <w:rPr>
          <w:rFonts w:ascii="Verdana" w:hAnsi="Verdana"/>
          <w:sz w:val="20"/>
          <w:szCs w:val="20"/>
          <w:lang w:val="es-ES"/>
        </w:rPr>
        <w:t xml:space="preserve">considera sobre el particular es que, si se procede a </w:t>
      </w:r>
      <w:r w:rsidR="00C320E8">
        <w:rPr>
          <w:rFonts w:ascii="Verdana" w:hAnsi="Verdana"/>
          <w:sz w:val="20"/>
          <w:szCs w:val="20"/>
          <w:lang w:val="es-ES"/>
        </w:rPr>
        <w:t xml:space="preserve">ello, debe hacerse </w:t>
      </w:r>
      <w:r w:rsidRPr="00CF7FE6">
        <w:rPr>
          <w:rFonts w:ascii="Verdana" w:hAnsi="Verdana"/>
          <w:sz w:val="20"/>
          <w:szCs w:val="20"/>
          <w:lang w:val="es-ES"/>
        </w:rPr>
        <w:t>por quién detenta la titularidad de la función normativa</w:t>
      </w:r>
      <w:r w:rsidR="00C320E8">
        <w:rPr>
          <w:rFonts w:ascii="Verdana" w:hAnsi="Verdana"/>
          <w:sz w:val="20"/>
          <w:szCs w:val="20"/>
          <w:lang w:val="es-ES"/>
        </w:rPr>
        <w:t xml:space="preserve"> internacional</w:t>
      </w:r>
      <w:r w:rsidRPr="00CF7FE6">
        <w:rPr>
          <w:rFonts w:ascii="Verdana" w:hAnsi="Verdana"/>
          <w:sz w:val="20"/>
          <w:szCs w:val="20"/>
          <w:lang w:val="es-ES"/>
        </w:rPr>
        <w:t>, esto es,</w:t>
      </w:r>
      <w:r w:rsidR="0068020D" w:rsidRPr="00CF7FE6">
        <w:rPr>
          <w:rFonts w:ascii="Verdana" w:hAnsi="Verdana"/>
          <w:sz w:val="20"/>
          <w:szCs w:val="20"/>
          <w:lang w:val="es-ES"/>
        </w:rPr>
        <w:t xml:space="preserve"> </w:t>
      </w:r>
      <w:r w:rsidR="00C320E8">
        <w:rPr>
          <w:rFonts w:ascii="Verdana" w:hAnsi="Verdana"/>
          <w:sz w:val="20"/>
          <w:szCs w:val="20"/>
          <w:lang w:val="es-ES"/>
        </w:rPr>
        <w:t xml:space="preserve">los Estados </w:t>
      </w:r>
      <w:r w:rsidR="0068020D" w:rsidRPr="00CF7FE6">
        <w:rPr>
          <w:rFonts w:ascii="Verdana" w:hAnsi="Verdana"/>
          <w:sz w:val="20"/>
          <w:szCs w:val="20"/>
          <w:lang w:val="es-ES"/>
        </w:rPr>
        <w:t>a través de tratados, costumbre internacional, principios generales de derecho o</w:t>
      </w:r>
      <w:r w:rsidR="00D15234">
        <w:rPr>
          <w:rFonts w:ascii="Verdana" w:hAnsi="Verdana"/>
          <w:sz w:val="20"/>
          <w:szCs w:val="20"/>
          <w:lang w:val="es-ES"/>
        </w:rPr>
        <w:t xml:space="preserve"> de</w:t>
      </w:r>
      <w:r w:rsidR="0068020D" w:rsidRPr="00CF7FE6">
        <w:rPr>
          <w:rFonts w:ascii="Verdana" w:hAnsi="Verdana"/>
          <w:sz w:val="20"/>
          <w:szCs w:val="20"/>
          <w:lang w:val="es-ES"/>
        </w:rPr>
        <w:t xml:space="preserve"> actos jurídicos unilaterales. No parece conve</w:t>
      </w:r>
      <w:r w:rsidR="00CF7FE6">
        <w:rPr>
          <w:rFonts w:ascii="Verdana" w:hAnsi="Verdana"/>
          <w:sz w:val="20"/>
          <w:szCs w:val="20"/>
          <w:lang w:val="es-ES"/>
        </w:rPr>
        <w:t>niente que el órgano al que le compete</w:t>
      </w:r>
      <w:r w:rsidR="0068020D" w:rsidRPr="00CF7FE6">
        <w:rPr>
          <w:rFonts w:ascii="Verdana" w:hAnsi="Verdana"/>
          <w:sz w:val="20"/>
          <w:szCs w:val="20"/>
          <w:lang w:val="es-ES"/>
        </w:rPr>
        <w:t xml:space="preserve"> la función judicial interamericana asuma la función norm</w:t>
      </w:r>
      <w:r w:rsidR="00470DB1" w:rsidRPr="00CF7FE6">
        <w:rPr>
          <w:rFonts w:ascii="Verdana" w:hAnsi="Verdana"/>
          <w:sz w:val="20"/>
          <w:szCs w:val="20"/>
          <w:lang w:val="es-ES"/>
        </w:rPr>
        <w:t xml:space="preserve">ativa internacional, </w:t>
      </w:r>
      <w:r w:rsidR="00532D76">
        <w:rPr>
          <w:rFonts w:ascii="Verdana" w:hAnsi="Verdana"/>
          <w:sz w:val="20"/>
          <w:szCs w:val="20"/>
          <w:lang w:val="es-ES"/>
        </w:rPr>
        <w:t xml:space="preserve">máxime </w:t>
      </w:r>
      <w:r w:rsidR="00C313F9" w:rsidRPr="00CF7FE6">
        <w:rPr>
          <w:rFonts w:ascii="Verdana" w:hAnsi="Verdana"/>
          <w:sz w:val="20"/>
          <w:szCs w:val="20"/>
          <w:lang w:val="es-ES"/>
        </w:rPr>
        <w:t xml:space="preserve">cuando los Estados Partes de la Convención son democráticos y </w:t>
      </w:r>
      <w:r w:rsidR="00B53337">
        <w:rPr>
          <w:rFonts w:ascii="Verdana" w:hAnsi="Verdana"/>
          <w:sz w:val="20"/>
          <w:szCs w:val="20"/>
          <w:lang w:val="es-ES"/>
        </w:rPr>
        <w:t xml:space="preserve">a su </w:t>
      </w:r>
      <w:r w:rsidR="00C313F9" w:rsidRPr="00CF7FE6">
        <w:rPr>
          <w:rFonts w:ascii="Verdana" w:hAnsi="Verdana"/>
          <w:sz w:val="20"/>
          <w:szCs w:val="20"/>
          <w:lang w:val="es-ES"/>
        </w:rPr>
        <w:t>r</w:t>
      </w:r>
      <w:r w:rsidR="00B53337">
        <w:rPr>
          <w:rFonts w:ascii="Verdana" w:hAnsi="Verdana"/>
          <w:sz w:val="20"/>
          <w:szCs w:val="20"/>
          <w:lang w:val="es-ES"/>
        </w:rPr>
        <w:t xml:space="preserve">especto </w:t>
      </w:r>
      <w:r w:rsidR="00470DB1" w:rsidRPr="00CF7FE6">
        <w:rPr>
          <w:rFonts w:ascii="Verdana" w:hAnsi="Verdana"/>
          <w:sz w:val="20"/>
          <w:szCs w:val="20"/>
          <w:lang w:val="es-ES"/>
        </w:rPr>
        <w:t>rige la Carta D</w:t>
      </w:r>
      <w:r w:rsidR="00C313F9" w:rsidRPr="00CF7FE6">
        <w:rPr>
          <w:rFonts w:ascii="Verdana" w:hAnsi="Verdana"/>
          <w:sz w:val="20"/>
          <w:szCs w:val="20"/>
          <w:lang w:val="es-ES"/>
        </w:rPr>
        <w:t>emocrática Interamericana que prevé la separación de poderes y la participación ciudadana en los asuntos públicos</w:t>
      </w:r>
      <w:r w:rsidR="00C313F9" w:rsidRPr="00CF7FE6">
        <w:rPr>
          <w:rStyle w:val="FootnoteReference"/>
          <w:rFonts w:ascii="Verdana" w:hAnsi="Verdana"/>
          <w:sz w:val="20"/>
          <w:szCs w:val="20"/>
          <w:lang w:val="es-ES"/>
        </w:rPr>
        <w:footnoteReference w:id="76"/>
      </w:r>
      <w:r w:rsidR="00C1498C">
        <w:rPr>
          <w:rFonts w:ascii="Verdana" w:hAnsi="Verdana"/>
          <w:sz w:val="20"/>
          <w:szCs w:val="20"/>
          <w:lang w:val="es-ES"/>
        </w:rPr>
        <w:t>, lo que parecería que también debería reflejarse en</w:t>
      </w:r>
      <w:r w:rsidR="00532D76">
        <w:rPr>
          <w:rFonts w:ascii="Verdana" w:hAnsi="Verdana"/>
          <w:sz w:val="20"/>
          <w:szCs w:val="20"/>
          <w:lang w:val="es-ES"/>
        </w:rPr>
        <w:t xml:space="preserve"> lo atinente a la función normativa internacional</w:t>
      </w:r>
      <w:r w:rsidR="00C1498C">
        <w:rPr>
          <w:rFonts w:ascii="Verdana" w:hAnsi="Verdana"/>
          <w:sz w:val="20"/>
          <w:szCs w:val="20"/>
          <w:lang w:val="es-ES"/>
        </w:rPr>
        <w:t xml:space="preserve">, particularmente de aquellas </w:t>
      </w:r>
      <w:r w:rsidR="00532D76">
        <w:rPr>
          <w:rFonts w:ascii="Verdana" w:hAnsi="Verdana"/>
          <w:sz w:val="20"/>
          <w:szCs w:val="20"/>
          <w:lang w:val="es-ES"/>
        </w:rPr>
        <w:t xml:space="preserve">normas </w:t>
      </w:r>
      <w:r w:rsidR="00C1498C">
        <w:rPr>
          <w:rFonts w:ascii="Verdana" w:hAnsi="Verdana"/>
          <w:sz w:val="20"/>
          <w:szCs w:val="20"/>
          <w:lang w:val="es-ES"/>
        </w:rPr>
        <w:t>que les conciernen más directamente.</w:t>
      </w:r>
    </w:p>
    <w:p w14:paraId="7A7BD469" w14:textId="77777777" w:rsidR="005D221B" w:rsidRPr="00CF7FE6" w:rsidRDefault="005D221B" w:rsidP="00EB7CE1">
      <w:pPr>
        <w:spacing w:after="0" w:line="240" w:lineRule="auto"/>
        <w:jc w:val="both"/>
        <w:rPr>
          <w:rFonts w:ascii="Verdana" w:hAnsi="Verdana"/>
          <w:sz w:val="20"/>
          <w:szCs w:val="20"/>
          <w:lang w:val="es-ES"/>
        </w:rPr>
      </w:pPr>
    </w:p>
    <w:p w14:paraId="7B90B435" w14:textId="77777777" w:rsidR="00586A4C" w:rsidRDefault="007301CB" w:rsidP="00EB7CE1">
      <w:pPr>
        <w:spacing w:after="0" w:line="240" w:lineRule="auto"/>
        <w:jc w:val="both"/>
        <w:rPr>
          <w:rFonts w:ascii="Verdana" w:hAnsi="Verdana"/>
          <w:sz w:val="20"/>
          <w:szCs w:val="20"/>
          <w:lang w:val="es-ES"/>
        </w:rPr>
      </w:pPr>
      <w:r>
        <w:rPr>
          <w:rFonts w:ascii="Verdana" w:hAnsi="Verdana"/>
          <w:sz w:val="20"/>
          <w:szCs w:val="20"/>
          <w:lang w:val="es-ES"/>
        </w:rPr>
        <w:t>En definitiva</w:t>
      </w:r>
      <w:r w:rsidR="00470DB1" w:rsidRPr="00CF7FE6">
        <w:rPr>
          <w:rFonts w:ascii="Verdana" w:hAnsi="Verdana"/>
          <w:sz w:val="20"/>
          <w:szCs w:val="20"/>
          <w:lang w:val="es-ES"/>
        </w:rPr>
        <w:t>, en el presente voto se deja co</w:t>
      </w:r>
      <w:r w:rsidR="00775575" w:rsidRPr="00CF7FE6">
        <w:rPr>
          <w:rFonts w:ascii="Verdana" w:hAnsi="Verdana"/>
          <w:sz w:val="20"/>
          <w:szCs w:val="20"/>
          <w:lang w:val="es-ES"/>
        </w:rPr>
        <w:t xml:space="preserve">nstancia de la discrepancia en cuanto a </w:t>
      </w:r>
      <w:r w:rsidR="00470DB1" w:rsidRPr="00CF7FE6">
        <w:rPr>
          <w:rFonts w:ascii="Verdana" w:hAnsi="Verdana"/>
          <w:sz w:val="20"/>
          <w:szCs w:val="20"/>
          <w:lang w:val="es-ES"/>
        </w:rPr>
        <w:t>que en la Sentencia se desarrolle y concrete, por primera vez, “</w:t>
      </w:r>
      <w:r w:rsidR="00470DB1" w:rsidRPr="00CF7FE6">
        <w:rPr>
          <w:rFonts w:ascii="Verdana" w:hAnsi="Verdana"/>
          <w:i/>
          <w:sz w:val="20"/>
          <w:szCs w:val="20"/>
          <w:lang w:val="es-ES"/>
        </w:rPr>
        <w:t>una condena específica por la violación del artículo 26 de la Convención, dispuesto en (su) Capítulo III titulado Derechos Económicos, Sociales y Culturales</w:t>
      </w:r>
      <w:r w:rsidR="00B64C0F" w:rsidRPr="00CF7FE6">
        <w:rPr>
          <w:rFonts w:ascii="Verdana" w:hAnsi="Verdana"/>
          <w:sz w:val="20"/>
          <w:szCs w:val="20"/>
          <w:lang w:val="es-ES"/>
        </w:rPr>
        <w:t>”</w:t>
      </w:r>
      <w:r w:rsidR="00775575" w:rsidRPr="00CF7FE6">
        <w:rPr>
          <w:rStyle w:val="FootnoteReference"/>
          <w:rFonts w:ascii="Verdana" w:hAnsi="Verdana"/>
          <w:sz w:val="20"/>
          <w:szCs w:val="20"/>
          <w:lang w:val="es-ES"/>
        </w:rPr>
        <w:footnoteReference w:id="77"/>
      </w:r>
      <w:r w:rsidR="00B64C0F" w:rsidRPr="00CF7FE6">
        <w:rPr>
          <w:rFonts w:ascii="Verdana" w:hAnsi="Verdana"/>
          <w:sz w:val="20"/>
          <w:szCs w:val="20"/>
          <w:lang w:val="es-ES"/>
        </w:rPr>
        <w:t>.</w:t>
      </w:r>
      <w:r w:rsidR="00CA45E4">
        <w:rPr>
          <w:rFonts w:ascii="Verdana" w:hAnsi="Verdana"/>
          <w:sz w:val="20"/>
          <w:szCs w:val="20"/>
          <w:lang w:val="es-ES"/>
        </w:rPr>
        <w:t xml:space="preserve"> </w:t>
      </w:r>
    </w:p>
    <w:p w14:paraId="795E3D07" w14:textId="77777777" w:rsidR="00586A4C" w:rsidRDefault="00586A4C" w:rsidP="00EB7CE1">
      <w:pPr>
        <w:spacing w:after="0" w:line="240" w:lineRule="auto"/>
        <w:jc w:val="both"/>
        <w:rPr>
          <w:rFonts w:ascii="Verdana" w:hAnsi="Verdana"/>
          <w:sz w:val="20"/>
          <w:szCs w:val="20"/>
          <w:lang w:val="es-ES"/>
        </w:rPr>
      </w:pPr>
    </w:p>
    <w:p w14:paraId="2F58256A" w14:textId="77777777" w:rsidR="00E32E41" w:rsidRPr="00CF7FE6" w:rsidRDefault="00470DB1" w:rsidP="00EB7CE1">
      <w:pPr>
        <w:spacing w:after="0" w:line="240" w:lineRule="auto"/>
        <w:jc w:val="both"/>
        <w:rPr>
          <w:rFonts w:ascii="Verdana" w:hAnsi="Verdana"/>
          <w:sz w:val="20"/>
          <w:szCs w:val="20"/>
          <w:lang w:val="es-ES"/>
        </w:rPr>
      </w:pPr>
      <w:r w:rsidRPr="00CF7FE6">
        <w:rPr>
          <w:rFonts w:ascii="Verdana" w:hAnsi="Verdana"/>
          <w:sz w:val="20"/>
          <w:szCs w:val="20"/>
          <w:lang w:val="es-ES"/>
        </w:rPr>
        <w:t>Y se procede así</w:t>
      </w:r>
      <w:r w:rsidR="00BA492B" w:rsidRPr="00CF7FE6">
        <w:rPr>
          <w:rFonts w:ascii="Verdana" w:hAnsi="Verdana"/>
          <w:sz w:val="20"/>
          <w:szCs w:val="20"/>
          <w:lang w:val="es-ES"/>
        </w:rPr>
        <w:t>, además,</w:t>
      </w:r>
      <w:r w:rsidR="00BE694F">
        <w:rPr>
          <w:rFonts w:ascii="Verdana" w:hAnsi="Verdana"/>
          <w:sz w:val="20"/>
          <w:szCs w:val="20"/>
          <w:lang w:val="es-ES"/>
        </w:rPr>
        <w:t xml:space="preserve"> no solo por las negativas </w:t>
      </w:r>
      <w:r w:rsidRPr="00CF7FE6">
        <w:rPr>
          <w:rFonts w:ascii="Verdana" w:hAnsi="Verdana"/>
          <w:sz w:val="20"/>
          <w:szCs w:val="20"/>
          <w:lang w:val="es-ES"/>
        </w:rPr>
        <w:t>consecuencias que podrí</w:t>
      </w:r>
      <w:r w:rsidR="00BE694F">
        <w:rPr>
          <w:rFonts w:ascii="Verdana" w:hAnsi="Verdana"/>
          <w:sz w:val="20"/>
          <w:szCs w:val="20"/>
          <w:lang w:val="es-ES"/>
        </w:rPr>
        <w:t>a tener tal decisión</w:t>
      </w:r>
      <w:r w:rsidRPr="00CF7FE6">
        <w:rPr>
          <w:rFonts w:ascii="Verdana" w:hAnsi="Verdana"/>
          <w:sz w:val="20"/>
          <w:szCs w:val="20"/>
          <w:lang w:val="es-ES"/>
        </w:rPr>
        <w:t xml:space="preserve">, </w:t>
      </w:r>
      <w:r w:rsidR="00FE58C0">
        <w:rPr>
          <w:rFonts w:ascii="Verdana" w:hAnsi="Verdana"/>
          <w:sz w:val="20"/>
          <w:szCs w:val="20"/>
          <w:lang w:val="es-ES"/>
        </w:rPr>
        <w:t xml:space="preserve">sino también porque parece no </w:t>
      </w:r>
      <w:r w:rsidR="00E75EA9">
        <w:rPr>
          <w:rFonts w:ascii="Verdana" w:hAnsi="Verdana"/>
          <w:sz w:val="20"/>
          <w:szCs w:val="20"/>
          <w:lang w:val="es-ES"/>
        </w:rPr>
        <w:t>po</w:t>
      </w:r>
      <w:r w:rsidR="0034598A">
        <w:rPr>
          <w:rFonts w:ascii="Verdana" w:hAnsi="Verdana"/>
          <w:sz w:val="20"/>
          <w:szCs w:val="20"/>
          <w:lang w:val="es-ES"/>
        </w:rPr>
        <w:t xml:space="preserve">nderar la circunstancia de que </w:t>
      </w:r>
      <w:r w:rsidR="00264DEE" w:rsidRPr="00CF7FE6">
        <w:rPr>
          <w:rFonts w:ascii="Verdana" w:hAnsi="Verdana"/>
          <w:sz w:val="20"/>
          <w:szCs w:val="20"/>
          <w:lang w:val="es-ES"/>
        </w:rPr>
        <w:t>aún existe</w:t>
      </w:r>
      <w:r w:rsidRPr="00CF7FE6">
        <w:rPr>
          <w:rFonts w:ascii="Verdana" w:hAnsi="Verdana"/>
          <w:sz w:val="20"/>
          <w:szCs w:val="20"/>
          <w:lang w:val="es-ES"/>
        </w:rPr>
        <w:t>, aunque en menor medida que ant</w:t>
      </w:r>
      <w:r w:rsidR="00BA492B" w:rsidRPr="00CF7FE6">
        <w:rPr>
          <w:rFonts w:ascii="Verdana" w:hAnsi="Verdana"/>
          <w:sz w:val="20"/>
          <w:szCs w:val="20"/>
          <w:lang w:val="es-ES"/>
        </w:rPr>
        <w:t xml:space="preserve">año, </w:t>
      </w:r>
      <w:r w:rsidR="00486563" w:rsidRPr="00CF7FE6">
        <w:rPr>
          <w:rFonts w:ascii="Verdana" w:hAnsi="Verdana"/>
          <w:sz w:val="20"/>
          <w:szCs w:val="20"/>
          <w:lang w:val="es-ES"/>
        </w:rPr>
        <w:t>el</w:t>
      </w:r>
      <w:r w:rsidR="00264DEE" w:rsidRPr="00CF7FE6">
        <w:rPr>
          <w:rFonts w:ascii="Verdana" w:hAnsi="Verdana"/>
          <w:sz w:val="20"/>
          <w:szCs w:val="20"/>
          <w:lang w:val="es-ES"/>
        </w:rPr>
        <w:t xml:space="preserve"> ámbito de la jurisdicción interna, doméstica o exclusiva de los Estados</w:t>
      </w:r>
      <w:r w:rsidR="00A7333E">
        <w:rPr>
          <w:rStyle w:val="FootnoteReference"/>
          <w:rFonts w:ascii="Verdana" w:hAnsi="Verdana"/>
          <w:sz w:val="20"/>
          <w:szCs w:val="20"/>
          <w:lang w:val="es-ES"/>
        </w:rPr>
        <w:footnoteReference w:id="78"/>
      </w:r>
      <w:r w:rsidR="00CA45E4">
        <w:rPr>
          <w:rFonts w:ascii="Verdana" w:hAnsi="Verdana"/>
          <w:sz w:val="20"/>
          <w:szCs w:val="20"/>
          <w:lang w:val="es-ES"/>
        </w:rPr>
        <w:t>,</w:t>
      </w:r>
      <w:r w:rsidR="00D12C54">
        <w:rPr>
          <w:rFonts w:ascii="Verdana" w:hAnsi="Verdana"/>
          <w:sz w:val="20"/>
          <w:szCs w:val="20"/>
          <w:lang w:val="es-ES"/>
        </w:rPr>
        <w:t xml:space="preserve"> también denominado margen de apreciación</w:t>
      </w:r>
      <w:r w:rsidR="00D12C54">
        <w:rPr>
          <w:rStyle w:val="FootnoteReference"/>
          <w:rFonts w:ascii="Verdana" w:hAnsi="Verdana"/>
          <w:sz w:val="20"/>
          <w:szCs w:val="20"/>
          <w:lang w:val="es-ES"/>
        </w:rPr>
        <w:footnoteReference w:id="79"/>
      </w:r>
      <w:r w:rsidR="00D12C54">
        <w:rPr>
          <w:rFonts w:ascii="Verdana" w:hAnsi="Verdana"/>
          <w:sz w:val="20"/>
          <w:szCs w:val="20"/>
          <w:lang w:val="es-ES"/>
        </w:rPr>
        <w:t>,</w:t>
      </w:r>
      <w:r w:rsidR="00CA45E4">
        <w:rPr>
          <w:rFonts w:ascii="Verdana" w:hAnsi="Verdana"/>
          <w:sz w:val="20"/>
          <w:szCs w:val="20"/>
          <w:lang w:val="es-ES"/>
        </w:rPr>
        <w:t xml:space="preserve"> </w:t>
      </w:r>
      <w:r w:rsidR="009F7E73">
        <w:rPr>
          <w:rFonts w:ascii="Verdana" w:hAnsi="Verdana"/>
          <w:sz w:val="20"/>
          <w:szCs w:val="20"/>
          <w:lang w:val="es-ES"/>
        </w:rPr>
        <w:t xml:space="preserve">el que </w:t>
      </w:r>
      <w:r w:rsidR="009F7E73">
        <w:rPr>
          <w:rFonts w:ascii="Verdana" w:hAnsi="Verdana"/>
          <w:sz w:val="20"/>
          <w:szCs w:val="20"/>
          <w:lang w:val="es-ES"/>
        </w:rPr>
        <w:lastRenderedPageBreak/>
        <w:t xml:space="preserve">evidencia que </w:t>
      </w:r>
      <w:r w:rsidR="00E75EA9">
        <w:rPr>
          <w:rFonts w:ascii="Verdana" w:hAnsi="Verdana"/>
          <w:sz w:val="20"/>
          <w:szCs w:val="20"/>
          <w:lang w:val="es-ES"/>
        </w:rPr>
        <w:t xml:space="preserve">no todo lo regula el Derecho Internacional y que, en lo atingente a la Convención, se expresa, entre otras normas, tanto en aquella que dispone </w:t>
      </w:r>
      <w:r w:rsidR="00264DEE" w:rsidRPr="00CF7FE6">
        <w:rPr>
          <w:rFonts w:ascii="Verdana" w:hAnsi="Verdana"/>
          <w:sz w:val="20"/>
          <w:szCs w:val="20"/>
          <w:lang w:val="es-ES"/>
        </w:rPr>
        <w:t>que es el Estado Parte del caso de que se trata el que d</w:t>
      </w:r>
      <w:r w:rsidR="007301CB">
        <w:rPr>
          <w:rFonts w:ascii="Verdana" w:hAnsi="Verdana"/>
          <w:sz w:val="20"/>
          <w:szCs w:val="20"/>
          <w:lang w:val="es-ES"/>
        </w:rPr>
        <w:t xml:space="preserve">ebe cumplir </w:t>
      </w:r>
      <w:r w:rsidR="00320F94" w:rsidRPr="00CF7FE6">
        <w:rPr>
          <w:rFonts w:ascii="Verdana" w:hAnsi="Verdana"/>
          <w:sz w:val="20"/>
          <w:szCs w:val="20"/>
          <w:lang w:val="es-ES"/>
        </w:rPr>
        <w:t>el respectivo fallo</w:t>
      </w:r>
      <w:r w:rsidR="00264DEE" w:rsidRPr="00CF7FE6">
        <w:rPr>
          <w:rStyle w:val="FootnoteReference"/>
          <w:rFonts w:ascii="Verdana" w:hAnsi="Verdana"/>
          <w:sz w:val="20"/>
          <w:szCs w:val="20"/>
          <w:lang w:val="es-ES"/>
        </w:rPr>
        <w:footnoteReference w:id="80"/>
      </w:r>
      <w:r w:rsidR="00E75EA9">
        <w:rPr>
          <w:rFonts w:ascii="Verdana" w:hAnsi="Verdana"/>
          <w:sz w:val="20"/>
          <w:szCs w:val="20"/>
          <w:lang w:val="es-ES"/>
        </w:rPr>
        <w:t xml:space="preserve"> como en su artículo 26, que deja, en la mencionada esfera, el enjuiciamiento de los derechos económicos, sociales y culturales.</w:t>
      </w:r>
    </w:p>
    <w:p w14:paraId="63A00E53" w14:textId="77777777" w:rsidR="005D221B" w:rsidRPr="00CF7FE6" w:rsidRDefault="005D221B" w:rsidP="00EB7CE1">
      <w:pPr>
        <w:spacing w:after="0" w:line="240" w:lineRule="auto"/>
        <w:jc w:val="both"/>
        <w:rPr>
          <w:rFonts w:ascii="Verdana" w:hAnsi="Verdana"/>
          <w:sz w:val="20"/>
          <w:szCs w:val="20"/>
          <w:lang w:val="es-ES"/>
        </w:rPr>
      </w:pPr>
    </w:p>
    <w:p w14:paraId="0E52768C" w14:textId="77777777" w:rsidR="00B64C0F" w:rsidRPr="00D11632" w:rsidRDefault="00B64C0F" w:rsidP="00EB7CE1">
      <w:pPr>
        <w:spacing w:after="0" w:line="240" w:lineRule="auto"/>
        <w:jc w:val="right"/>
        <w:rPr>
          <w:rFonts w:ascii="Verdana" w:hAnsi="Verdana"/>
          <w:sz w:val="20"/>
          <w:szCs w:val="20"/>
          <w:lang w:val="es-ES"/>
        </w:rPr>
      </w:pPr>
    </w:p>
    <w:p w14:paraId="0C9A9E06" w14:textId="43A453B7" w:rsidR="00B64C0F" w:rsidRDefault="00B64C0F" w:rsidP="00EB7CE1">
      <w:pPr>
        <w:spacing w:after="0" w:line="240" w:lineRule="auto"/>
        <w:rPr>
          <w:rFonts w:ascii="Verdana" w:hAnsi="Verdana"/>
          <w:sz w:val="20"/>
          <w:szCs w:val="20"/>
          <w:lang w:val="es-ES"/>
        </w:rPr>
      </w:pPr>
    </w:p>
    <w:p w14:paraId="6CDF80F7" w14:textId="13875A2F" w:rsidR="00D11632" w:rsidRPr="00D11632" w:rsidRDefault="00D11632" w:rsidP="00EB7CE1">
      <w:pPr>
        <w:spacing w:after="0" w:line="240" w:lineRule="auto"/>
        <w:rPr>
          <w:rFonts w:ascii="Verdana" w:hAnsi="Verdana"/>
          <w:sz w:val="20"/>
          <w:szCs w:val="20"/>
          <w:lang w:val="es-ES"/>
        </w:rPr>
      </w:pPr>
    </w:p>
    <w:p w14:paraId="22ACF265" w14:textId="17C32857" w:rsidR="00B64C0F" w:rsidRPr="00D11632" w:rsidRDefault="00B64C0F" w:rsidP="00EB7CE1">
      <w:pPr>
        <w:spacing w:after="0" w:line="240" w:lineRule="auto"/>
        <w:jc w:val="right"/>
        <w:rPr>
          <w:rFonts w:ascii="Verdana" w:hAnsi="Verdana"/>
          <w:sz w:val="20"/>
          <w:szCs w:val="20"/>
          <w:lang w:val="es-ES"/>
        </w:rPr>
      </w:pPr>
    </w:p>
    <w:p w14:paraId="51FA399C" w14:textId="37C768B0" w:rsidR="00D11632" w:rsidRPr="00D11632" w:rsidRDefault="00D11632" w:rsidP="00EB7CE1">
      <w:pPr>
        <w:spacing w:after="0" w:line="240" w:lineRule="auto"/>
        <w:jc w:val="right"/>
        <w:rPr>
          <w:rFonts w:ascii="Verdana" w:hAnsi="Verdana"/>
          <w:sz w:val="20"/>
          <w:szCs w:val="20"/>
          <w:lang w:val="es-ES"/>
        </w:rPr>
      </w:pPr>
    </w:p>
    <w:p w14:paraId="0780F2F6" w14:textId="77777777" w:rsidR="00D11632" w:rsidRPr="00D11632" w:rsidRDefault="00D11632" w:rsidP="00EB7CE1">
      <w:pPr>
        <w:spacing w:after="0" w:line="240" w:lineRule="auto"/>
        <w:jc w:val="right"/>
        <w:rPr>
          <w:rFonts w:ascii="Verdana" w:hAnsi="Verdana"/>
          <w:sz w:val="20"/>
          <w:szCs w:val="20"/>
          <w:lang w:val="es-ES"/>
        </w:rPr>
      </w:pPr>
    </w:p>
    <w:p w14:paraId="78F5804F" w14:textId="1A845516" w:rsidR="00D11632" w:rsidRPr="00D11632" w:rsidRDefault="00D11632" w:rsidP="00BE044A">
      <w:pPr>
        <w:spacing w:after="0" w:line="240" w:lineRule="auto"/>
        <w:rPr>
          <w:rFonts w:ascii="Verdana" w:hAnsi="Verdana"/>
          <w:sz w:val="20"/>
          <w:szCs w:val="20"/>
          <w:lang w:val="es-ES"/>
        </w:rPr>
      </w:pPr>
    </w:p>
    <w:p w14:paraId="5FDBD898" w14:textId="77777777" w:rsidR="003C4700" w:rsidRPr="00D11632" w:rsidRDefault="003C4700" w:rsidP="00BE044A">
      <w:pPr>
        <w:spacing w:after="0" w:line="240" w:lineRule="auto"/>
        <w:ind w:right="18"/>
        <w:jc w:val="right"/>
        <w:rPr>
          <w:rFonts w:ascii="Verdana" w:hAnsi="Verdana"/>
          <w:sz w:val="20"/>
          <w:szCs w:val="20"/>
          <w:lang w:val="es-ES"/>
        </w:rPr>
      </w:pPr>
      <w:r w:rsidRPr="00D11632">
        <w:rPr>
          <w:rFonts w:ascii="Verdana" w:hAnsi="Verdana"/>
          <w:sz w:val="20"/>
          <w:szCs w:val="20"/>
          <w:lang w:val="es-ES"/>
        </w:rPr>
        <w:t>Eduardo Vio Grossi</w:t>
      </w:r>
    </w:p>
    <w:p w14:paraId="10111923" w14:textId="77777777" w:rsidR="008F04AA" w:rsidRPr="00D11632" w:rsidRDefault="00AB4628" w:rsidP="00BE044A">
      <w:pPr>
        <w:spacing w:after="0" w:line="240" w:lineRule="auto"/>
        <w:ind w:right="738"/>
        <w:jc w:val="right"/>
        <w:rPr>
          <w:rFonts w:ascii="Verdana" w:hAnsi="Verdana"/>
          <w:sz w:val="20"/>
          <w:szCs w:val="20"/>
          <w:lang w:val="es-ES"/>
        </w:rPr>
      </w:pPr>
      <w:r w:rsidRPr="00D11632">
        <w:rPr>
          <w:rFonts w:ascii="Verdana" w:hAnsi="Verdana"/>
          <w:sz w:val="20"/>
          <w:szCs w:val="20"/>
          <w:lang w:val="es-ES"/>
        </w:rPr>
        <w:t>J</w:t>
      </w:r>
      <w:r w:rsidR="003C4700" w:rsidRPr="00D11632">
        <w:rPr>
          <w:rFonts w:ascii="Verdana" w:hAnsi="Verdana"/>
          <w:sz w:val="20"/>
          <w:szCs w:val="20"/>
          <w:lang w:val="es-ES"/>
        </w:rPr>
        <w:t>uez</w:t>
      </w:r>
    </w:p>
    <w:p w14:paraId="09263DED" w14:textId="41C090FF" w:rsidR="00D11632" w:rsidRPr="00D11632" w:rsidRDefault="00D11632" w:rsidP="00EB7CE1">
      <w:pPr>
        <w:spacing w:after="0" w:line="240" w:lineRule="auto"/>
        <w:jc w:val="right"/>
        <w:rPr>
          <w:rFonts w:ascii="Verdana" w:hAnsi="Verdana"/>
          <w:sz w:val="20"/>
          <w:szCs w:val="20"/>
          <w:lang w:val="es-ES"/>
        </w:rPr>
      </w:pPr>
    </w:p>
    <w:p w14:paraId="1B226692" w14:textId="0BA1D2FD" w:rsidR="00D11632" w:rsidRPr="00D11632" w:rsidRDefault="00D11632" w:rsidP="00EB7CE1">
      <w:pPr>
        <w:spacing w:after="0" w:line="240" w:lineRule="auto"/>
        <w:jc w:val="right"/>
        <w:rPr>
          <w:rFonts w:ascii="Verdana" w:hAnsi="Verdana"/>
          <w:sz w:val="20"/>
          <w:szCs w:val="20"/>
          <w:lang w:val="es-ES"/>
        </w:rPr>
      </w:pPr>
    </w:p>
    <w:p w14:paraId="11C5AEBB" w14:textId="42CEF77D" w:rsidR="00D11632" w:rsidRPr="00D11632" w:rsidRDefault="00D11632" w:rsidP="00D11632">
      <w:pPr>
        <w:spacing w:after="0" w:line="240" w:lineRule="auto"/>
        <w:rPr>
          <w:rFonts w:ascii="Verdana" w:hAnsi="Verdana"/>
          <w:sz w:val="20"/>
          <w:szCs w:val="20"/>
          <w:lang w:val="es-ES"/>
        </w:rPr>
      </w:pPr>
    </w:p>
    <w:p w14:paraId="04AB7A44" w14:textId="77777777" w:rsidR="00D11632" w:rsidRDefault="00D11632" w:rsidP="00D11632">
      <w:pPr>
        <w:spacing w:after="0" w:line="240" w:lineRule="auto"/>
        <w:rPr>
          <w:rFonts w:ascii="Verdana" w:hAnsi="Verdana"/>
          <w:b/>
          <w:sz w:val="20"/>
          <w:szCs w:val="20"/>
          <w:lang w:val="es-ES"/>
        </w:rPr>
      </w:pPr>
    </w:p>
    <w:p w14:paraId="417E32A8" w14:textId="77777777" w:rsidR="00D11632" w:rsidRDefault="00D11632" w:rsidP="00D11632">
      <w:pPr>
        <w:spacing w:after="0" w:line="240" w:lineRule="auto"/>
        <w:rPr>
          <w:rFonts w:ascii="Verdana" w:hAnsi="Verdana"/>
          <w:b/>
          <w:sz w:val="20"/>
          <w:szCs w:val="20"/>
          <w:lang w:val="es-ES"/>
        </w:rPr>
      </w:pPr>
    </w:p>
    <w:p w14:paraId="1403CE57" w14:textId="77777777" w:rsidR="00EE5C0D" w:rsidRDefault="00EE5C0D" w:rsidP="00D11632">
      <w:pPr>
        <w:spacing w:after="0" w:line="240" w:lineRule="auto"/>
        <w:rPr>
          <w:rFonts w:ascii="Verdana" w:hAnsi="Verdana"/>
          <w:b/>
          <w:sz w:val="20"/>
          <w:szCs w:val="20"/>
          <w:lang w:val="es-ES"/>
        </w:rPr>
      </w:pPr>
    </w:p>
    <w:p w14:paraId="710FA656" w14:textId="5254D567" w:rsidR="00EE5C0D" w:rsidRDefault="00EE5C0D" w:rsidP="00D11632">
      <w:pPr>
        <w:spacing w:after="0" w:line="240" w:lineRule="auto"/>
        <w:rPr>
          <w:rFonts w:ascii="Verdana" w:hAnsi="Verdana"/>
          <w:b/>
          <w:sz w:val="20"/>
          <w:szCs w:val="20"/>
          <w:lang w:val="es-ES"/>
        </w:rPr>
      </w:pPr>
    </w:p>
    <w:p w14:paraId="216A3A77" w14:textId="77777777" w:rsidR="00D11632" w:rsidRDefault="00D11632" w:rsidP="00D11632">
      <w:pPr>
        <w:spacing w:after="0" w:line="240" w:lineRule="auto"/>
        <w:rPr>
          <w:rFonts w:ascii="Verdana" w:hAnsi="Verdana"/>
          <w:b/>
          <w:sz w:val="20"/>
          <w:szCs w:val="20"/>
          <w:lang w:val="es-ES"/>
        </w:rPr>
      </w:pPr>
    </w:p>
    <w:p w14:paraId="67CCFE8B" w14:textId="72F56BE7" w:rsidR="00D11632" w:rsidRDefault="00D11632" w:rsidP="00D11632">
      <w:pPr>
        <w:spacing w:after="0" w:line="240" w:lineRule="auto"/>
        <w:rPr>
          <w:rFonts w:ascii="Verdana" w:hAnsi="Verdana"/>
          <w:b/>
          <w:sz w:val="20"/>
          <w:szCs w:val="20"/>
          <w:lang w:val="es-ES"/>
        </w:rPr>
      </w:pPr>
    </w:p>
    <w:p w14:paraId="3E4E06B1" w14:textId="7E5134BC" w:rsidR="00D11632" w:rsidRPr="00D11632" w:rsidRDefault="00D11632" w:rsidP="00D11632">
      <w:pPr>
        <w:spacing w:after="0" w:line="240" w:lineRule="auto"/>
        <w:rPr>
          <w:rFonts w:ascii="Verdana" w:hAnsi="Verdana"/>
          <w:sz w:val="20"/>
          <w:szCs w:val="20"/>
          <w:lang w:val="es-ES"/>
        </w:rPr>
      </w:pPr>
      <w:r w:rsidRPr="00D11632">
        <w:rPr>
          <w:rFonts w:ascii="Verdana" w:hAnsi="Verdana"/>
          <w:sz w:val="20"/>
          <w:szCs w:val="20"/>
          <w:lang w:val="es-ES"/>
        </w:rPr>
        <w:t>Pablo Saavedra Alessandri</w:t>
      </w:r>
    </w:p>
    <w:p w14:paraId="4BBF2091" w14:textId="03519C22" w:rsidR="00D11632" w:rsidRPr="00D11632" w:rsidRDefault="00D11632" w:rsidP="00D11632">
      <w:pPr>
        <w:spacing w:after="0" w:line="240" w:lineRule="auto"/>
        <w:ind w:firstLine="720"/>
        <w:rPr>
          <w:rFonts w:ascii="Verdana" w:hAnsi="Verdana"/>
          <w:sz w:val="20"/>
          <w:szCs w:val="20"/>
          <w:lang w:val="es-ES"/>
        </w:rPr>
      </w:pPr>
      <w:r>
        <w:rPr>
          <w:rFonts w:ascii="Verdana" w:hAnsi="Verdana"/>
          <w:sz w:val="20"/>
          <w:szCs w:val="20"/>
          <w:lang w:val="es-ES"/>
        </w:rPr>
        <w:t xml:space="preserve">  </w:t>
      </w:r>
      <w:r w:rsidRPr="00D11632">
        <w:rPr>
          <w:rFonts w:ascii="Verdana" w:hAnsi="Verdana"/>
          <w:sz w:val="20"/>
          <w:szCs w:val="20"/>
          <w:lang w:val="es-ES"/>
        </w:rPr>
        <w:t>Secretario</w:t>
      </w:r>
    </w:p>
    <w:p w14:paraId="5263993A" w14:textId="77777777" w:rsidR="00D11632" w:rsidRPr="00CF7FE6" w:rsidRDefault="00D11632" w:rsidP="00D11632">
      <w:pPr>
        <w:spacing w:after="0" w:line="240" w:lineRule="auto"/>
        <w:rPr>
          <w:rFonts w:ascii="Verdana" w:hAnsi="Verdana"/>
          <w:sz w:val="20"/>
          <w:szCs w:val="20"/>
          <w:lang w:val="es-ES"/>
        </w:rPr>
      </w:pPr>
    </w:p>
    <w:sectPr w:rsidR="00D11632" w:rsidRPr="00CF7FE6" w:rsidSect="00B41924">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24EAB" w14:textId="77777777" w:rsidR="002323F7" w:rsidRDefault="002323F7" w:rsidP="00B55BB3">
      <w:pPr>
        <w:spacing w:after="0" w:line="240" w:lineRule="auto"/>
      </w:pPr>
      <w:r>
        <w:separator/>
      </w:r>
    </w:p>
  </w:endnote>
  <w:endnote w:type="continuationSeparator" w:id="0">
    <w:p w14:paraId="2EEED9D7" w14:textId="77777777" w:rsidR="002323F7" w:rsidRDefault="002323F7" w:rsidP="00B55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BAA82" w14:textId="77777777" w:rsidR="00AC22FC" w:rsidRDefault="00AC2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529616"/>
      <w:docPartObj>
        <w:docPartGallery w:val="Page Numbers (Bottom of Page)"/>
        <w:docPartUnique/>
      </w:docPartObj>
    </w:sdtPr>
    <w:sdtEndPr>
      <w:rPr>
        <w:rFonts w:ascii="Verdana" w:hAnsi="Verdana"/>
        <w:noProof/>
        <w:sz w:val="20"/>
        <w:szCs w:val="20"/>
      </w:rPr>
    </w:sdtEndPr>
    <w:sdtContent>
      <w:p w14:paraId="755647BD" w14:textId="67DBB526" w:rsidR="002F66C8" w:rsidRPr="002F66C8" w:rsidRDefault="002F66C8">
        <w:pPr>
          <w:pStyle w:val="Footer"/>
          <w:jc w:val="center"/>
          <w:rPr>
            <w:rFonts w:ascii="Verdana" w:hAnsi="Verdana"/>
            <w:sz w:val="20"/>
            <w:szCs w:val="20"/>
          </w:rPr>
        </w:pPr>
        <w:r w:rsidRPr="002F66C8">
          <w:rPr>
            <w:rFonts w:ascii="Verdana" w:hAnsi="Verdana"/>
            <w:sz w:val="20"/>
            <w:szCs w:val="20"/>
          </w:rPr>
          <w:fldChar w:fldCharType="begin"/>
        </w:r>
        <w:r w:rsidRPr="002F66C8">
          <w:rPr>
            <w:rFonts w:ascii="Verdana" w:hAnsi="Verdana"/>
            <w:sz w:val="20"/>
            <w:szCs w:val="20"/>
          </w:rPr>
          <w:instrText xml:space="preserve"> PAGE   \* MERGEFORMAT </w:instrText>
        </w:r>
        <w:r w:rsidRPr="002F66C8">
          <w:rPr>
            <w:rFonts w:ascii="Verdana" w:hAnsi="Verdana"/>
            <w:sz w:val="20"/>
            <w:szCs w:val="20"/>
          </w:rPr>
          <w:fldChar w:fldCharType="separate"/>
        </w:r>
        <w:r w:rsidR="009F2FA6">
          <w:rPr>
            <w:rFonts w:ascii="Verdana" w:hAnsi="Verdana"/>
            <w:noProof/>
            <w:sz w:val="20"/>
            <w:szCs w:val="20"/>
          </w:rPr>
          <w:t>11</w:t>
        </w:r>
        <w:r w:rsidRPr="002F66C8">
          <w:rPr>
            <w:rFonts w:ascii="Verdana" w:hAnsi="Verdana"/>
            <w:noProof/>
            <w:sz w:val="20"/>
            <w:szCs w:val="20"/>
          </w:rPr>
          <w:fldChar w:fldCharType="end"/>
        </w:r>
      </w:p>
    </w:sdtContent>
  </w:sdt>
  <w:p w14:paraId="6DEC385A" w14:textId="16F6C815" w:rsidR="00755450" w:rsidRPr="00AC22FC" w:rsidRDefault="00755450" w:rsidP="00AC22FC">
    <w:pPr>
      <w:pStyle w:val="Footer"/>
      <w:jc w:val="center"/>
      <w:rPr>
        <w:rFonts w:ascii="Verdana" w:hAnsi="Verdana"/>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EFF43" w14:textId="77777777" w:rsidR="00AC22FC" w:rsidRDefault="00AC2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E05FD" w14:textId="77777777" w:rsidR="002323F7" w:rsidRDefault="002323F7" w:rsidP="00B55BB3">
      <w:pPr>
        <w:spacing w:after="0" w:line="240" w:lineRule="auto"/>
      </w:pPr>
      <w:r>
        <w:separator/>
      </w:r>
    </w:p>
  </w:footnote>
  <w:footnote w:type="continuationSeparator" w:id="0">
    <w:p w14:paraId="60BFC118" w14:textId="77777777" w:rsidR="002323F7" w:rsidRDefault="002323F7" w:rsidP="00B55BB3">
      <w:pPr>
        <w:spacing w:after="0" w:line="240" w:lineRule="auto"/>
      </w:pPr>
      <w:r>
        <w:continuationSeparator/>
      </w:r>
    </w:p>
  </w:footnote>
  <w:footnote w:id="1">
    <w:p w14:paraId="0E3101B1"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Art. 66.2 de la Convención: “</w:t>
      </w:r>
      <w:r w:rsidRPr="00032C73">
        <w:rPr>
          <w:rFonts w:ascii="Verdana" w:hAnsi="Verdana"/>
          <w:i/>
          <w:sz w:val="16"/>
          <w:szCs w:val="16"/>
          <w:lang w:val="es-ES"/>
        </w:rPr>
        <w:t>Si el fallo no expresare en todo o en parte la opinión unánime de los jueces, cualquiera de éstos tendrá derecho a que se agregue al fallo su opinión disidente o individual</w:t>
      </w:r>
      <w:r w:rsidRPr="00032C73">
        <w:rPr>
          <w:rFonts w:ascii="Verdana" w:hAnsi="Verdana"/>
          <w:sz w:val="16"/>
          <w:szCs w:val="16"/>
          <w:lang w:val="es-ES"/>
        </w:rPr>
        <w:t xml:space="preserve">.” </w:t>
      </w:r>
    </w:p>
    <w:p w14:paraId="091AA804"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sz w:val="16"/>
          <w:szCs w:val="16"/>
          <w:lang w:val="es-ES"/>
        </w:rPr>
        <w:t>Art, 24.3 de los Estatutos de la Corte: “</w:t>
      </w:r>
      <w:r w:rsidRPr="00032C73">
        <w:rPr>
          <w:rFonts w:ascii="Verdana" w:hAnsi="Verdana"/>
          <w:i/>
          <w:sz w:val="16"/>
          <w:szCs w:val="16"/>
          <w:lang w:val="es-ES"/>
        </w:rPr>
        <w:t>Las decisiones, juicios y opiniones de la Corte se comunicarán en sesiones públicas y se notificarán por escrito a las partes. Además, se publicarán conjuntamente con los votos y opiniones separados de los jueces y con cualesquiera otros datos o antecedentes que la Corte considere conveniente.”</w:t>
      </w:r>
    </w:p>
    <w:p w14:paraId="5EAC4438"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sz w:val="16"/>
          <w:szCs w:val="16"/>
          <w:lang w:val="es-ES"/>
        </w:rPr>
        <w:t>Art.65.2 del Reglamento de la Corte: “</w:t>
      </w:r>
      <w:r w:rsidRPr="00032C73">
        <w:rPr>
          <w:rFonts w:ascii="Verdana" w:hAnsi="Verdana"/>
          <w:i/>
          <w:sz w:val="16"/>
          <w:szCs w:val="16"/>
          <w:lang w:val="es-ES"/>
        </w:rPr>
        <w:t>Todo Juez que haya participado en el examen de un caso tiene derecho a unir a la sentencia su voto concurrente o disidente que deberá ser razonado. Estos votos deberán ser presentados dentro del plazo fijado por la Presidencia, de modo que puedan ser conocidos por los Jueces antes de la notificación de la sentencia. Dichos votos sólo podrán referirse a lo tratado en las sentencias.”</w:t>
      </w:r>
    </w:p>
    <w:p w14:paraId="11C1FCFA" w14:textId="77777777" w:rsidR="00755450" w:rsidRPr="00032C73" w:rsidRDefault="00755450" w:rsidP="00B10962">
      <w:pPr>
        <w:pStyle w:val="FootnoteText"/>
        <w:jc w:val="both"/>
        <w:rPr>
          <w:rFonts w:ascii="Verdana" w:hAnsi="Verdana"/>
          <w:sz w:val="16"/>
          <w:szCs w:val="16"/>
          <w:lang w:val="es-ES"/>
        </w:rPr>
      </w:pPr>
      <w:r w:rsidRPr="00032C73">
        <w:rPr>
          <w:rFonts w:ascii="Verdana" w:hAnsi="Verdana"/>
          <w:sz w:val="16"/>
          <w:szCs w:val="16"/>
          <w:lang w:val="es-ES"/>
        </w:rPr>
        <w:t>En lo sucesivo, cada vez que se cite una disposición sin indicar a cual instrumento jurídico corresponde, se entenderá que es de la Convención Americana sobre Derechos Humanos.</w:t>
      </w:r>
    </w:p>
    <w:p w14:paraId="5A12B41F" w14:textId="77777777" w:rsidR="00755450" w:rsidRPr="00032C73" w:rsidRDefault="00755450" w:rsidP="00B10962">
      <w:pPr>
        <w:pStyle w:val="FootnoteText"/>
        <w:jc w:val="both"/>
        <w:rPr>
          <w:rFonts w:ascii="Verdana" w:hAnsi="Verdana"/>
          <w:sz w:val="16"/>
          <w:szCs w:val="16"/>
          <w:lang w:val="es-ES"/>
        </w:rPr>
      </w:pPr>
    </w:p>
  </w:footnote>
  <w:footnote w:id="2">
    <w:p w14:paraId="1A94F709"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En adelante, la Sentencia.</w:t>
      </w:r>
    </w:p>
    <w:p w14:paraId="5FD5CBB7" w14:textId="77777777" w:rsidR="00755450" w:rsidRPr="00032C73" w:rsidRDefault="00755450" w:rsidP="00B10962">
      <w:pPr>
        <w:pStyle w:val="FootnoteText"/>
        <w:jc w:val="both"/>
        <w:rPr>
          <w:rFonts w:ascii="Verdana" w:hAnsi="Verdana"/>
          <w:sz w:val="16"/>
          <w:szCs w:val="16"/>
          <w:lang w:val="es-ES"/>
        </w:rPr>
      </w:pPr>
    </w:p>
  </w:footnote>
  <w:footnote w:id="3">
    <w:p w14:paraId="27F51535" w14:textId="77777777" w:rsidR="00755450" w:rsidRPr="00032C73" w:rsidRDefault="00755450" w:rsidP="00B10962">
      <w:pPr>
        <w:pStyle w:val="FootnoteText"/>
        <w:jc w:val="both"/>
        <w:rPr>
          <w:rFonts w:ascii="Verdana" w:hAnsi="Verdana"/>
          <w:i/>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w:t>
      </w:r>
      <w:r w:rsidRPr="00032C73">
        <w:rPr>
          <w:rFonts w:ascii="Verdana" w:hAnsi="Verdana"/>
          <w:i/>
          <w:sz w:val="16"/>
          <w:szCs w:val="16"/>
          <w:lang w:val="es-ES"/>
        </w:rPr>
        <w:t xml:space="preserve">“Desarrollo Progresivo.  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 </w:t>
      </w:r>
    </w:p>
    <w:p w14:paraId="003B510C" w14:textId="77777777" w:rsidR="00755450" w:rsidRPr="00032C73" w:rsidRDefault="00755450" w:rsidP="00B10962">
      <w:pPr>
        <w:pStyle w:val="FootnoteText"/>
        <w:jc w:val="both"/>
        <w:rPr>
          <w:rFonts w:ascii="Verdana" w:hAnsi="Verdana"/>
          <w:sz w:val="16"/>
          <w:szCs w:val="16"/>
          <w:lang w:val="es-ES"/>
        </w:rPr>
      </w:pPr>
      <w:r w:rsidRPr="00032C73">
        <w:rPr>
          <w:rFonts w:ascii="Verdana" w:hAnsi="Verdana"/>
          <w:sz w:val="16"/>
          <w:szCs w:val="16"/>
          <w:lang w:val="es-ES"/>
        </w:rPr>
        <w:t>En adelante, la Organización de los Estados Americanos será denominada OEA.</w:t>
      </w:r>
    </w:p>
    <w:p w14:paraId="7EA0F513" w14:textId="77777777" w:rsidR="00755450" w:rsidRPr="00032C73" w:rsidRDefault="00755450" w:rsidP="00B10962">
      <w:pPr>
        <w:pStyle w:val="FootnoteText"/>
        <w:jc w:val="both"/>
        <w:rPr>
          <w:rFonts w:ascii="Verdana" w:hAnsi="Verdana"/>
          <w:sz w:val="16"/>
          <w:szCs w:val="16"/>
          <w:lang w:val="es-ES"/>
        </w:rPr>
      </w:pPr>
    </w:p>
  </w:footnote>
  <w:footnote w:id="4">
    <w:p w14:paraId="7FE6D130"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En adelante, la Convención. </w:t>
      </w:r>
    </w:p>
    <w:p w14:paraId="54F40D41" w14:textId="77777777" w:rsidR="00755450" w:rsidRPr="00032C73" w:rsidRDefault="00755450" w:rsidP="00B10962">
      <w:pPr>
        <w:pStyle w:val="FootnoteText"/>
        <w:jc w:val="both"/>
        <w:rPr>
          <w:rFonts w:ascii="Verdana" w:hAnsi="Verdana"/>
          <w:sz w:val="16"/>
          <w:szCs w:val="16"/>
          <w:lang w:val="es-ES"/>
        </w:rPr>
      </w:pPr>
    </w:p>
  </w:footnote>
  <w:footnote w:id="5">
    <w:p w14:paraId="31AD6954"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w:t>
      </w:r>
      <w:r w:rsidRPr="00032C73">
        <w:rPr>
          <w:rFonts w:ascii="Verdana" w:hAnsi="Verdana"/>
          <w:i/>
          <w:sz w:val="16"/>
          <w:szCs w:val="16"/>
          <w:lang w:val="es-ES"/>
        </w:rPr>
        <w:t>El Estado es responsable por la violación al derecho a la estabilidad laboral, reconocido en el artículo 26 de la Convención Americana, en relación con los artículos 1.1, 13, 8 y 16 de la misma, en perjuicio del señor Lagos del Campo, en los términos de los párrafos 133 a 154 y 166 de la presente Sentencia</w:t>
      </w:r>
      <w:r w:rsidRPr="00032C73">
        <w:rPr>
          <w:rFonts w:ascii="Verdana" w:hAnsi="Verdana"/>
          <w:sz w:val="16"/>
          <w:szCs w:val="16"/>
          <w:lang w:val="es-ES"/>
        </w:rPr>
        <w:t>.”</w:t>
      </w:r>
    </w:p>
    <w:p w14:paraId="64AE98E0" w14:textId="77777777" w:rsidR="00755450" w:rsidRPr="00032C73" w:rsidRDefault="00755450" w:rsidP="00B10962">
      <w:pPr>
        <w:pStyle w:val="FootnoteText"/>
        <w:jc w:val="both"/>
        <w:rPr>
          <w:rFonts w:ascii="Verdana" w:hAnsi="Verdana"/>
          <w:sz w:val="16"/>
          <w:szCs w:val="16"/>
          <w:lang w:val="es-ES"/>
        </w:rPr>
      </w:pPr>
    </w:p>
  </w:footnote>
  <w:footnote w:id="6">
    <w:p w14:paraId="192BAFA8"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w:t>
      </w:r>
      <w:r w:rsidRPr="00032C73">
        <w:rPr>
          <w:rFonts w:ascii="Verdana" w:hAnsi="Verdana"/>
          <w:i/>
          <w:sz w:val="16"/>
          <w:szCs w:val="16"/>
          <w:lang w:val="es-ES"/>
        </w:rPr>
        <w:t>El Estado es responsable por la violación al derecho a la libertad de asociación, reconocido en los artículos 16 y 26 de la Convención Americana, en relación con los artículos 1.1, 13 y 8 de la misma, en perjuicio del señor Lagos del Campo, en los términos de los párrafos 155 a 163 de la presente Sentencia</w:t>
      </w:r>
      <w:r w:rsidRPr="00032C73">
        <w:rPr>
          <w:rFonts w:ascii="Verdana" w:hAnsi="Verdana"/>
          <w:sz w:val="16"/>
          <w:szCs w:val="16"/>
          <w:lang w:val="es-ES"/>
        </w:rPr>
        <w:t>.”</w:t>
      </w:r>
    </w:p>
    <w:p w14:paraId="3BFE712F" w14:textId="77777777" w:rsidR="00755450" w:rsidRPr="00032C73" w:rsidRDefault="00755450" w:rsidP="00B10962">
      <w:pPr>
        <w:pStyle w:val="FootnoteText"/>
        <w:jc w:val="both"/>
        <w:rPr>
          <w:rFonts w:ascii="Verdana" w:hAnsi="Verdana"/>
          <w:sz w:val="16"/>
          <w:szCs w:val="16"/>
          <w:lang w:val="es-ES"/>
        </w:rPr>
      </w:pPr>
    </w:p>
  </w:footnote>
  <w:footnote w:id="7">
    <w:p w14:paraId="2B48F7E9"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En adelante, la Corte.</w:t>
      </w:r>
    </w:p>
    <w:p w14:paraId="295B6556" w14:textId="77777777" w:rsidR="00755450" w:rsidRPr="00032C73" w:rsidRDefault="00755450" w:rsidP="00B10962">
      <w:pPr>
        <w:pStyle w:val="FootnoteText"/>
        <w:jc w:val="both"/>
        <w:rPr>
          <w:rFonts w:ascii="Verdana" w:hAnsi="Verdana"/>
          <w:sz w:val="16"/>
          <w:szCs w:val="16"/>
          <w:lang w:val="es-ES"/>
        </w:rPr>
      </w:pPr>
    </w:p>
  </w:footnote>
  <w:footnote w:id="8">
    <w:p w14:paraId="324B56DB"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Art.62.3: “</w:t>
      </w:r>
      <w:r w:rsidRPr="00032C73">
        <w:rPr>
          <w:rFonts w:ascii="Verdana" w:hAnsi="Verdana"/>
          <w:i/>
          <w:sz w:val="16"/>
          <w:szCs w:val="16"/>
          <w:lang w:val="es-ES"/>
        </w:rPr>
        <w:t>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r w:rsidRPr="00032C73">
        <w:rPr>
          <w:rFonts w:ascii="Verdana" w:hAnsi="Verdana"/>
          <w:sz w:val="16"/>
          <w:szCs w:val="16"/>
          <w:lang w:val="es-ES"/>
        </w:rPr>
        <w:t>”</w:t>
      </w:r>
    </w:p>
    <w:p w14:paraId="0F4FD565" w14:textId="77777777" w:rsidR="00755450" w:rsidRPr="00032C73" w:rsidRDefault="00755450" w:rsidP="00B10962">
      <w:pPr>
        <w:pStyle w:val="FootnoteText"/>
        <w:jc w:val="both"/>
        <w:rPr>
          <w:rFonts w:ascii="Verdana" w:hAnsi="Verdana"/>
          <w:sz w:val="16"/>
          <w:szCs w:val="16"/>
          <w:lang w:val="es-ES"/>
        </w:rPr>
      </w:pPr>
    </w:p>
  </w:footnote>
  <w:footnote w:id="9">
    <w:p w14:paraId="04BA4243"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w:t>
      </w:r>
      <w:r w:rsidRPr="00032C73">
        <w:rPr>
          <w:rFonts w:ascii="Verdana" w:hAnsi="Verdana"/>
          <w:i/>
          <w:sz w:val="16"/>
          <w:szCs w:val="16"/>
          <w:lang w:val="es-ES"/>
        </w:rPr>
        <w:t>“Un tratado deberá interpretarse de buena fe conforme al sentido corriente que haya de atribuirse a los términos del tratado en el contexto de estos y teniendo en cuenta su objeto y fin.”</w:t>
      </w:r>
      <w:r w:rsidRPr="00032C73">
        <w:rPr>
          <w:rFonts w:ascii="Verdana" w:hAnsi="Verdana"/>
          <w:sz w:val="16"/>
          <w:szCs w:val="16"/>
          <w:lang w:val="es-ES"/>
        </w:rPr>
        <w:t xml:space="preserve">  </w:t>
      </w:r>
    </w:p>
    <w:p w14:paraId="788CAB26" w14:textId="77777777" w:rsidR="00755450" w:rsidRPr="00032C73" w:rsidRDefault="00755450" w:rsidP="00B10962">
      <w:pPr>
        <w:pStyle w:val="FootnoteText"/>
        <w:jc w:val="both"/>
        <w:rPr>
          <w:rFonts w:ascii="Verdana" w:hAnsi="Verdana"/>
          <w:sz w:val="16"/>
          <w:szCs w:val="16"/>
          <w:lang w:val="es-ES"/>
        </w:rPr>
      </w:pPr>
    </w:p>
  </w:footnote>
  <w:footnote w:id="10">
    <w:p w14:paraId="478ED474"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Nota a pie de pág. Nº 8.</w:t>
      </w:r>
    </w:p>
    <w:p w14:paraId="4D794586" w14:textId="77777777" w:rsidR="00755450" w:rsidRPr="00032C73" w:rsidRDefault="00755450" w:rsidP="00B10962">
      <w:pPr>
        <w:pStyle w:val="FootnoteText"/>
        <w:jc w:val="both"/>
        <w:rPr>
          <w:rFonts w:ascii="Verdana" w:hAnsi="Verdana"/>
          <w:sz w:val="16"/>
          <w:szCs w:val="16"/>
          <w:lang w:val="es-ES"/>
        </w:rPr>
      </w:pPr>
    </w:p>
  </w:footnote>
  <w:footnote w:id="11">
    <w:p w14:paraId="406D0849"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En adelante la Comisión.</w:t>
      </w:r>
    </w:p>
    <w:p w14:paraId="31E3B3DC"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sz w:val="16"/>
          <w:szCs w:val="16"/>
          <w:lang w:val="es-ES"/>
        </w:rPr>
        <w:t>Art. 41: “</w:t>
      </w:r>
      <w:r w:rsidRPr="00032C73">
        <w:rPr>
          <w:rFonts w:ascii="Verdana" w:hAnsi="Verdana"/>
          <w:i/>
          <w:sz w:val="16"/>
          <w:szCs w:val="16"/>
          <w:lang w:val="es-ES"/>
        </w:rPr>
        <w:t>La Comisión tiene la función principal de promover la observancia y la defensa de los derechos humanos, y en el ejercicio de su mandato tiene las siguientes funciones y atribuciones:</w:t>
      </w:r>
    </w:p>
    <w:p w14:paraId="0777C283"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 a) estimular la conciencia de los derechos humanos en los pueblos de América;</w:t>
      </w:r>
    </w:p>
    <w:p w14:paraId="186DC8ED"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 b) formular recomendaciones, cuando lo estime conveniente, a los gobiernos de los Estados miembros para que adopten medidas progresivas en favor de los derechos humanos dentro del marco de sus leyes internas y sus preceptos constitucionales, al igual que disposiciones apropiadas para fomentar el debido respeto a esos derechos;</w:t>
      </w:r>
    </w:p>
    <w:p w14:paraId="46C1DB74"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 c) preparar los estudios e informes que considere convenientes para el desempeño de sus funciones;</w:t>
      </w:r>
    </w:p>
    <w:p w14:paraId="160CC331"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 d) solicitar de los gobiernos de los Estados miembros que le proporcionen informes sobre las medidas que adopten en materia de derechos humanos;</w:t>
      </w:r>
    </w:p>
    <w:p w14:paraId="02A8DE4F"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 e) atender las consultas que, por medio de la Secretaría General de la Organización de los Estados Americanos, le formulen los Estados miembros en cuestiones relacionadas con los derechos humanos y, dentro de sus posibilidades, les prestará el asesoramiento que éstos le soliciten;</w:t>
      </w:r>
    </w:p>
    <w:p w14:paraId="23653652"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 f) actuar respecto de las peticiones y otras comunicaciones en ejercicio de su autoridad de conformidad con lo dispuesto en los artículos 44 al 51 de esta Convención, y</w:t>
      </w:r>
    </w:p>
    <w:p w14:paraId="7CE1B56A"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 g) rendir un informe anual a la Asamblea General de la Organización de los Estados Americanos.”</w:t>
      </w:r>
    </w:p>
    <w:p w14:paraId="79F99B3D" w14:textId="77777777" w:rsidR="00755450" w:rsidRPr="00032C73" w:rsidRDefault="00755450" w:rsidP="00B10962">
      <w:pPr>
        <w:pStyle w:val="FootnoteText"/>
        <w:jc w:val="both"/>
        <w:rPr>
          <w:rFonts w:ascii="Verdana" w:hAnsi="Verdana"/>
          <w:sz w:val="16"/>
          <w:szCs w:val="16"/>
          <w:lang w:val="es-ES"/>
        </w:rPr>
      </w:pPr>
    </w:p>
  </w:footnote>
  <w:footnote w:id="12">
    <w:p w14:paraId="77C57D66"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Art.68.1: “</w:t>
      </w:r>
      <w:r w:rsidRPr="00032C73">
        <w:rPr>
          <w:rFonts w:ascii="Verdana" w:hAnsi="Verdana"/>
          <w:i/>
          <w:sz w:val="16"/>
          <w:szCs w:val="16"/>
          <w:lang w:val="es-ES"/>
        </w:rPr>
        <w:t>Los Estados Partes en la Convención se comprometen a cumplir la decisión de la Corte en todo caso en que sean partes</w:t>
      </w:r>
      <w:r w:rsidRPr="00032C73">
        <w:rPr>
          <w:rFonts w:ascii="Verdana" w:hAnsi="Verdana"/>
          <w:sz w:val="16"/>
          <w:szCs w:val="16"/>
          <w:lang w:val="es-ES"/>
        </w:rPr>
        <w:t>.”</w:t>
      </w:r>
    </w:p>
    <w:p w14:paraId="6E68B733" w14:textId="77777777" w:rsidR="00755450" w:rsidRPr="00032C73" w:rsidRDefault="00755450" w:rsidP="00B10962">
      <w:pPr>
        <w:pStyle w:val="FootnoteText"/>
        <w:jc w:val="both"/>
        <w:rPr>
          <w:rFonts w:ascii="Verdana" w:hAnsi="Verdana"/>
          <w:sz w:val="16"/>
          <w:szCs w:val="16"/>
          <w:lang w:val="es-ES"/>
        </w:rPr>
      </w:pPr>
      <w:r w:rsidRPr="00032C73">
        <w:rPr>
          <w:rFonts w:ascii="Verdana" w:hAnsi="Verdana"/>
          <w:sz w:val="16"/>
          <w:szCs w:val="16"/>
          <w:lang w:val="es-ES"/>
        </w:rPr>
        <w:t xml:space="preserve">Art. 46.1 de la </w:t>
      </w:r>
      <w:proofErr w:type="spellStart"/>
      <w:r w:rsidRPr="00032C73">
        <w:rPr>
          <w:rFonts w:ascii="Verdana" w:hAnsi="Verdana"/>
          <w:sz w:val="16"/>
          <w:szCs w:val="16"/>
          <w:lang w:val="es-ES"/>
        </w:rPr>
        <w:t>Convention</w:t>
      </w:r>
      <w:proofErr w:type="spellEnd"/>
      <w:r w:rsidRPr="00032C73">
        <w:rPr>
          <w:rFonts w:ascii="Verdana" w:hAnsi="Verdana"/>
          <w:sz w:val="16"/>
          <w:szCs w:val="16"/>
          <w:lang w:val="es-ES"/>
        </w:rPr>
        <w:t xml:space="preserve"> </w:t>
      </w:r>
      <w:proofErr w:type="spellStart"/>
      <w:r w:rsidRPr="00032C73">
        <w:rPr>
          <w:rFonts w:ascii="Verdana" w:hAnsi="Verdana"/>
          <w:sz w:val="16"/>
          <w:szCs w:val="16"/>
          <w:lang w:val="es-ES"/>
        </w:rPr>
        <w:t>Européenne</w:t>
      </w:r>
      <w:proofErr w:type="spellEnd"/>
      <w:r w:rsidRPr="00032C73">
        <w:rPr>
          <w:rFonts w:ascii="Verdana" w:hAnsi="Verdana"/>
          <w:sz w:val="16"/>
          <w:szCs w:val="16"/>
          <w:lang w:val="es-ES"/>
        </w:rPr>
        <w:t xml:space="preserve"> des </w:t>
      </w:r>
      <w:proofErr w:type="spellStart"/>
      <w:r w:rsidRPr="00032C73">
        <w:rPr>
          <w:rFonts w:ascii="Verdana" w:hAnsi="Verdana"/>
          <w:sz w:val="16"/>
          <w:szCs w:val="16"/>
          <w:lang w:val="es-ES"/>
        </w:rPr>
        <w:t>Droit</w:t>
      </w:r>
      <w:proofErr w:type="spellEnd"/>
      <w:r w:rsidRPr="00032C73">
        <w:rPr>
          <w:rFonts w:ascii="Verdana" w:hAnsi="Verdana"/>
          <w:sz w:val="16"/>
          <w:szCs w:val="16"/>
          <w:lang w:val="es-ES"/>
        </w:rPr>
        <w:t xml:space="preserve"> de </w:t>
      </w:r>
      <w:proofErr w:type="spellStart"/>
      <w:r w:rsidRPr="00032C73">
        <w:rPr>
          <w:rFonts w:ascii="Verdana" w:hAnsi="Verdana"/>
          <w:sz w:val="16"/>
          <w:szCs w:val="16"/>
          <w:lang w:val="es-ES"/>
        </w:rPr>
        <w:t>l’Homme</w:t>
      </w:r>
      <w:proofErr w:type="spellEnd"/>
      <w:r w:rsidRPr="00032C73">
        <w:rPr>
          <w:rFonts w:ascii="Verdana" w:hAnsi="Verdana"/>
          <w:sz w:val="16"/>
          <w:szCs w:val="16"/>
          <w:lang w:val="es-ES"/>
        </w:rPr>
        <w:t>: “</w:t>
      </w:r>
      <w:r w:rsidRPr="00032C73">
        <w:rPr>
          <w:rFonts w:ascii="Verdana" w:hAnsi="Verdana"/>
          <w:i/>
          <w:sz w:val="16"/>
          <w:szCs w:val="16"/>
          <w:lang w:val="es-ES"/>
        </w:rPr>
        <w:t xml:space="preserve">Les Hautes </w:t>
      </w:r>
      <w:proofErr w:type="spellStart"/>
      <w:r w:rsidRPr="00032C73">
        <w:rPr>
          <w:rFonts w:ascii="Verdana" w:hAnsi="Verdana"/>
          <w:i/>
          <w:sz w:val="16"/>
          <w:szCs w:val="16"/>
          <w:lang w:val="es-ES"/>
        </w:rPr>
        <w:t>Parties</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contractantes</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s’engagent</w:t>
      </w:r>
      <w:proofErr w:type="spellEnd"/>
      <w:r w:rsidRPr="00032C73">
        <w:rPr>
          <w:rFonts w:ascii="Verdana" w:hAnsi="Verdana"/>
          <w:i/>
          <w:sz w:val="16"/>
          <w:szCs w:val="16"/>
          <w:lang w:val="es-ES"/>
        </w:rPr>
        <w:t xml:space="preserve"> à se </w:t>
      </w:r>
      <w:proofErr w:type="spellStart"/>
      <w:r w:rsidRPr="00032C73">
        <w:rPr>
          <w:rFonts w:ascii="Verdana" w:hAnsi="Verdana"/>
          <w:i/>
          <w:sz w:val="16"/>
          <w:szCs w:val="16"/>
          <w:lang w:val="es-ES"/>
        </w:rPr>
        <w:t>conformer</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aux</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arrêts</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définitifs</w:t>
      </w:r>
      <w:proofErr w:type="spellEnd"/>
      <w:r w:rsidRPr="00032C73">
        <w:rPr>
          <w:rFonts w:ascii="Verdana" w:hAnsi="Verdana"/>
          <w:i/>
          <w:sz w:val="16"/>
          <w:szCs w:val="16"/>
          <w:lang w:val="es-ES"/>
        </w:rPr>
        <w:t xml:space="preserve"> de la </w:t>
      </w:r>
      <w:proofErr w:type="spellStart"/>
      <w:r w:rsidRPr="00032C73">
        <w:rPr>
          <w:rFonts w:ascii="Verdana" w:hAnsi="Verdana"/>
          <w:i/>
          <w:sz w:val="16"/>
          <w:szCs w:val="16"/>
          <w:lang w:val="es-ES"/>
        </w:rPr>
        <w:t>Cour</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dans</w:t>
      </w:r>
      <w:proofErr w:type="spellEnd"/>
      <w:r w:rsidRPr="00032C73">
        <w:rPr>
          <w:rFonts w:ascii="Verdana" w:hAnsi="Verdana"/>
          <w:i/>
          <w:sz w:val="16"/>
          <w:szCs w:val="16"/>
          <w:lang w:val="es-ES"/>
        </w:rPr>
        <w:t xml:space="preserve"> les </w:t>
      </w:r>
      <w:proofErr w:type="spellStart"/>
      <w:r w:rsidRPr="00032C73">
        <w:rPr>
          <w:rFonts w:ascii="Verdana" w:hAnsi="Verdana"/>
          <w:i/>
          <w:sz w:val="16"/>
          <w:szCs w:val="16"/>
          <w:lang w:val="es-ES"/>
        </w:rPr>
        <w:t>litiges</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auxquels</w:t>
      </w:r>
      <w:proofErr w:type="spellEnd"/>
      <w:r w:rsidRPr="00032C73">
        <w:rPr>
          <w:rFonts w:ascii="Verdana" w:hAnsi="Verdana"/>
          <w:i/>
          <w:sz w:val="16"/>
          <w:szCs w:val="16"/>
          <w:lang w:val="es-ES"/>
        </w:rPr>
        <w:t xml:space="preserve"> elles </w:t>
      </w:r>
      <w:proofErr w:type="spellStart"/>
      <w:r w:rsidRPr="00032C73">
        <w:rPr>
          <w:rFonts w:ascii="Verdana" w:hAnsi="Verdana"/>
          <w:i/>
          <w:sz w:val="16"/>
          <w:szCs w:val="16"/>
          <w:lang w:val="es-ES"/>
        </w:rPr>
        <w:t>sont</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parties</w:t>
      </w:r>
      <w:proofErr w:type="spellEnd"/>
      <w:r w:rsidRPr="00032C73">
        <w:rPr>
          <w:rFonts w:ascii="Verdana" w:hAnsi="Verdana"/>
          <w:sz w:val="16"/>
          <w:szCs w:val="16"/>
          <w:lang w:val="es-ES"/>
        </w:rPr>
        <w:t>.”</w:t>
      </w:r>
    </w:p>
    <w:p w14:paraId="42491730" w14:textId="77777777" w:rsidR="00755450" w:rsidRPr="00032C73" w:rsidRDefault="00755450" w:rsidP="00B10962">
      <w:pPr>
        <w:pStyle w:val="FootnoteText"/>
        <w:jc w:val="both"/>
        <w:rPr>
          <w:rFonts w:ascii="Verdana" w:hAnsi="Verdana"/>
          <w:sz w:val="16"/>
          <w:szCs w:val="16"/>
          <w:lang w:val="es-ES"/>
        </w:rPr>
      </w:pPr>
      <w:r w:rsidRPr="00032C73">
        <w:rPr>
          <w:rFonts w:ascii="Verdana" w:hAnsi="Verdana"/>
          <w:sz w:val="16"/>
          <w:szCs w:val="16"/>
          <w:lang w:val="es-ES"/>
        </w:rPr>
        <w:t xml:space="preserve">Art. 46. y 3 du </w:t>
      </w:r>
      <w:proofErr w:type="spellStart"/>
      <w:r w:rsidRPr="00032C73">
        <w:rPr>
          <w:rFonts w:ascii="Verdana" w:hAnsi="Verdana"/>
          <w:sz w:val="16"/>
          <w:szCs w:val="16"/>
          <w:lang w:val="es-ES"/>
        </w:rPr>
        <w:t>Statut</w:t>
      </w:r>
      <w:proofErr w:type="spellEnd"/>
      <w:r w:rsidRPr="00032C73">
        <w:rPr>
          <w:rFonts w:ascii="Verdana" w:hAnsi="Verdana"/>
          <w:sz w:val="16"/>
          <w:szCs w:val="16"/>
          <w:lang w:val="es-ES"/>
        </w:rPr>
        <w:t xml:space="preserve"> de la </w:t>
      </w:r>
      <w:proofErr w:type="spellStart"/>
      <w:r w:rsidRPr="00032C73">
        <w:rPr>
          <w:rFonts w:ascii="Verdana" w:hAnsi="Verdana"/>
          <w:sz w:val="16"/>
          <w:szCs w:val="16"/>
          <w:lang w:val="es-ES"/>
        </w:rPr>
        <w:t>Cour</w:t>
      </w:r>
      <w:proofErr w:type="spellEnd"/>
      <w:r w:rsidRPr="00032C73">
        <w:rPr>
          <w:rFonts w:ascii="Verdana" w:hAnsi="Verdana"/>
          <w:sz w:val="16"/>
          <w:szCs w:val="16"/>
          <w:lang w:val="es-ES"/>
        </w:rPr>
        <w:t xml:space="preserve"> </w:t>
      </w:r>
      <w:proofErr w:type="spellStart"/>
      <w:r w:rsidRPr="00032C73">
        <w:rPr>
          <w:rFonts w:ascii="Verdana" w:hAnsi="Verdana"/>
          <w:sz w:val="16"/>
          <w:szCs w:val="16"/>
          <w:lang w:val="es-ES"/>
        </w:rPr>
        <w:t>Africaine</w:t>
      </w:r>
      <w:proofErr w:type="spellEnd"/>
      <w:r w:rsidRPr="00032C73">
        <w:rPr>
          <w:rFonts w:ascii="Verdana" w:hAnsi="Verdana"/>
          <w:sz w:val="16"/>
          <w:szCs w:val="16"/>
          <w:lang w:val="es-ES"/>
        </w:rPr>
        <w:t xml:space="preserve"> de </w:t>
      </w:r>
      <w:proofErr w:type="spellStart"/>
      <w:r w:rsidRPr="00032C73">
        <w:rPr>
          <w:rFonts w:ascii="Verdana" w:hAnsi="Verdana"/>
          <w:sz w:val="16"/>
          <w:szCs w:val="16"/>
          <w:lang w:val="es-ES"/>
        </w:rPr>
        <w:t>Justice</w:t>
      </w:r>
      <w:proofErr w:type="spellEnd"/>
      <w:r w:rsidRPr="00032C73">
        <w:rPr>
          <w:rFonts w:ascii="Verdana" w:hAnsi="Verdana"/>
          <w:sz w:val="16"/>
          <w:szCs w:val="16"/>
          <w:lang w:val="es-ES"/>
        </w:rPr>
        <w:t xml:space="preserve"> y des </w:t>
      </w:r>
      <w:proofErr w:type="spellStart"/>
      <w:r w:rsidRPr="00032C73">
        <w:rPr>
          <w:rFonts w:ascii="Verdana" w:hAnsi="Verdana"/>
          <w:sz w:val="16"/>
          <w:szCs w:val="16"/>
          <w:lang w:val="es-ES"/>
        </w:rPr>
        <w:t>Droits</w:t>
      </w:r>
      <w:proofErr w:type="spellEnd"/>
      <w:r w:rsidRPr="00032C73">
        <w:rPr>
          <w:rFonts w:ascii="Verdana" w:hAnsi="Verdana"/>
          <w:sz w:val="16"/>
          <w:szCs w:val="16"/>
          <w:lang w:val="es-ES"/>
        </w:rPr>
        <w:t xml:space="preserve"> de </w:t>
      </w:r>
      <w:proofErr w:type="spellStart"/>
      <w:r w:rsidRPr="00032C73">
        <w:rPr>
          <w:rFonts w:ascii="Verdana" w:hAnsi="Verdana"/>
          <w:sz w:val="16"/>
          <w:szCs w:val="16"/>
          <w:lang w:val="es-ES"/>
        </w:rPr>
        <w:t>l´Homme</w:t>
      </w:r>
      <w:proofErr w:type="spellEnd"/>
      <w:r w:rsidRPr="00032C73">
        <w:rPr>
          <w:rFonts w:ascii="Verdana" w:hAnsi="Verdana"/>
          <w:sz w:val="16"/>
          <w:szCs w:val="16"/>
          <w:lang w:val="es-ES"/>
        </w:rPr>
        <w:t>: “</w:t>
      </w:r>
      <w:proofErr w:type="spellStart"/>
      <w:r w:rsidRPr="00032C73">
        <w:rPr>
          <w:rFonts w:ascii="Verdana" w:hAnsi="Verdana"/>
          <w:i/>
          <w:sz w:val="16"/>
          <w:szCs w:val="16"/>
          <w:lang w:val="es-ES"/>
        </w:rPr>
        <w:t>Force</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obligatoire</w:t>
      </w:r>
      <w:proofErr w:type="spellEnd"/>
      <w:r w:rsidRPr="00032C73">
        <w:rPr>
          <w:rFonts w:ascii="Verdana" w:hAnsi="Verdana"/>
          <w:i/>
          <w:sz w:val="16"/>
          <w:szCs w:val="16"/>
          <w:lang w:val="es-ES"/>
        </w:rPr>
        <w:t xml:space="preserve"> et </w:t>
      </w:r>
      <w:proofErr w:type="spellStart"/>
      <w:r w:rsidRPr="00032C73">
        <w:rPr>
          <w:rFonts w:ascii="Verdana" w:hAnsi="Verdana"/>
          <w:i/>
          <w:sz w:val="16"/>
          <w:szCs w:val="16"/>
          <w:lang w:val="es-ES"/>
        </w:rPr>
        <w:t>exécution</w:t>
      </w:r>
      <w:proofErr w:type="spellEnd"/>
      <w:r w:rsidRPr="00032C73">
        <w:rPr>
          <w:rFonts w:ascii="Verdana" w:hAnsi="Verdana"/>
          <w:i/>
          <w:sz w:val="16"/>
          <w:szCs w:val="16"/>
          <w:lang w:val="es-ES"/>
        </w:rPr>
        <w:t xml:space="preserve"> des </w:t>
      </w:r>
      <w:proofErr w:type="spellStart"/>
      <w:r w:rsidRPr="00032C73">
        <w:rPr>
          <w:rFonts w:ascii="Verdana" w:hAnsi="Verdana"/>
          <w:i/>
          <w:sz w:val="16"/>
          <w:szCs w:val="16"/>
          <w:lang w:val="es-ES"/>
        </w:rPr>
        <w:t>décisions</w:t>
      </w:r>
      <w:proofErr w:type="spellEnd"/>
      <w:r w:rsidRPr="00032C73">
        <w:rPr>
          <w:rFonts w:ascii="Verdana" w:hAnsi="Verdana"/>
          <w:i/>
          <w:sz w:val="16"/>
          <w:szCs w:val="16"/>
          <w:lang w:val="es-ES"/>
        </w:rPr>
        <w:t xml:space="preserve">. 1. La </w:t>
      </w:r>
      <w:proofErr w:type="spellStart"/>
      <w:r w:rsidRPr="00032C73">
        <w:rPr>
          <w:rFonts w:ascii="Verdana" w:hAnsi="Verdana"/>
          <w:i/>
          <w:sz w:val="16"/>
          <w:szCs w:val="16"/>
          <w:lang w:val="es-ES"/>
        </w:rPr>
        <w:t>décision</w:t>
      </w:r>
      <w:proofErr w:type="spellEnd"/>
      <w:r w:rsidRPr="00032C73">
        <w:rPr>
          <w:rFonts w:ascii="Verdana" w:hAnsi="Verdana"/>
          <w:i/>
          <w:sz w:val="16"/>
          <w:szCs w:val="16"/>
          <w:lang w:val="es-ES"/>
        </w:rPr>
        <w:t xml:space="preserve"> de la </w:t>
      </w:r>
      <w:proofErr w:type="spellStart"/>
      <w:r w:rsidRPr="00032C73">
        <w:rPr>
          <w:rFonts w:ascii="Verdana" w:hAnsi="Verdana"/>
          <w:i/>
          <w:sz w:val="16"/>
          <w:szCs w:val="16"/>
          <w:lang w:val="es-ES"/>
        </w:rPr>
        <w:t>Cour</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n'est</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obligatoire</w:t>
      </w:r>
      <w:proofErr w:type="spellEnd"/>
      <w:r w:rsidRPr="00032C73">
        <w:rPr>
          <w:rFonts w:ascii="Verdana" w:hAnsi="Verdana"/>
          <w:i/>
          <w:sz w:val="16"/>
          <w:szCs w:val="16"/>
          <w:lang w:val="es-ES"/>
        </w:rPr>
        <w:t xml:space="preserve"> que </w:t>
      </w:r>
      <w:proofErr w:type="spellStart"/>
      <w:r w:rsidRPr="00032C73">
        <w:rPr>
          <w:rFonts w:ascii="Verdana" w:hAnsi="Verdana"/>
          <w:i/>
          <w:sz w:val="16"/>
          <w:szCs w:val="16"/>
          <w:lang w:val="es-ES"/>
        </w:rPr>
        <w:t>pour</w:t>
      </w:r>
      <w:proofErr w:type="spellEnd"/>
      <w:r w:rsidRPr="00032C73">
        <w:rPr>
          <w:rFonts w:ascii="Verdana" w:hAnsi="Verdana"/>
          <w:i/>
          <w:sz w:val="16"/>
          <w:szCs w:val="16"/>
          <w:lang w:val="es-ES"/>
        </w:rPr>
        <w:t xml:space="preserve"> les </w:t>
      </w:r>
      <w:proofErr w:type="spellStart"/>
      <w:r w:rsidRPr="00032C73">
        <w:rPr>
          <w:rFonts w:ascii="Verdana" w:hAnsi="Verdana"/>
          <w:i/>
          <w:sz w:val="16"/>
          <w:szCs w:val="16"/>
          <w:lang w:val="es-ES"/>
        </w:rPr>
        <w:t>parties</w:t>
      </w:r>
      <w:proofErr w:type="spellEnd"/>
      <w:r w:rsidRPr="00032C73">
        <w:rPr>
          <w:rFonts w:ascii="Verdana" w:hAnsi="Verdana"/>
          <w:i/>
          <w:sz w:val="16"/>
          <w:szCs w:val="16"/>
          <w:lang w:val="es-ES"/>
        </w:rPr>
        <w:t xml:space="preserve"> en </w:t>
      </w:r>
      <w:proofErr w:type="spellStart"/>
      <w:r w:rsidRPr="00032C73">
        <w:rPr>
          <w:rFonts w:ascii="Verdana" w:hAnsi="Verdana"/>
          <w:i/>
          <w:sz w:val="16"/>
          <w:szCs w:val="16"/>
          <w:lang w:val="es-ES"/>
        </w:rPr>
        <w:t>litige</w:t>
      </w:r>
      <w:proofErr w:type="spellEnd"/>
      <w:r w:rsidRPr="00032C73">
        <w:rPr>
          <w:rFonts w:ascii="Verdana" w:hAnsi="Verdana"/>
          <w:i/>
          <w:sz w:val="16"/>
          <w:szCs w:val="16"/>
          <w:lang w:val="es-ES"/>
        </w:rPr>
        <w:t xml:space="preserve">. ... 3. Les </w:t>
      </w:r>
      <w:proofErr w:type="spellStart"/>
      <w:r w:rsidRPr="00032C73">
        <w:rPr>
          <w:rFonts w:ascii="Verdana" w:hAnsi="Verdana"/>
          <w:i/>
          <w:sz w:val="16"/>
          <w:szCs w:val="16"/>
          <w:lang w:val="es-ES"/>
        </w:rPr>
        <w:t>parties</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doivent</w:t>
      </w:r>
      <w:proofErr w:type="spellEnd"/>
      <w:r w:rsidRPr="00032C73">
        <w:rPr>
          <w:rFonts w:ascii="Verdana" w:hAnsi="Verdana"/>
          <w:i/>
          <w:sz w:val="16"/>
          <w:szCs w:val="16"/>
          <w:lang w:val="es-ES"/>
        </w:rPr>
        <w:t xml:space="preserve"> se </w:t>
      </w:r>
      <w:proofErr w:type="spellStart"/>
      <w:r w:rsidRPr="00032C73">
        <w:rPr>
          <w:rFonts w:ascii="Verdana" w:hAnsi="Verdana"/>
          <w:i/>
          <w:sz w:val="16"/>
          <w:szCs w:val="16"/>
          <w:lang w:val="es-ES"/>
        </w:rPr>
        <w:t>conformer</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aux</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décisions</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rendues</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par</w:t>
      </w:r>
      <w:proofErr w:type="spellEnd"/>
      <w:r w:rsidRPr="00032C73">
        <w:rPr>
          <w:rFonts w:ascii="Verdana" w:hAnsi="Verdana"/>
          <w:i/>
          <w:sz w:val="16"/>
          <w:szCs w:val="16"/>
          <w:lang w:val="es-ES"/>
        </w:rPr>
        <w:t xml:space="preserve"> la </w:t>
      </w:r>
      <w:proofErr w:type="spellStart"/>
      <w:r w:rsidRPr="00032C73">
        <w:rPr>
          <w:rFonts w:ascii="Verdana" w:hAnsi="Verdana"/>
          <w:i/>
          <w:sz w:val="16"/>
          <w:szCs w:val="16"/>
          <w:lang w:val="es-ES"/>
        </w:rPr>
        <w:t>Cour</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dans</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tout</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litige</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auquel</w:t>
      </w:r>
      <w:proofErr w:type="spellEnd"/>
      <w:r w:rsidRPr="00032C73">
        <w:rPr>
          <w:rFonts w:ascii="Verdana" w:hAnsi="Verdana"/>
          <w:i/>
          <w:sz w:val="16"/>
          <w:szCs w:val="16"/>
          <w:lang w:val="es-ES"/>
        </w:rPr>
        <w:t xml:space="preserve"> elles </w:t>
      </w:r>
      <w:proofErr w:type="spellStart"/>
      <w:r w:rsidRPr="00032C73">
        <w:rPr>
          <w:rFonts w:ascii="Verdana" w:hAnsi="Verdana"/>
          <w:i/>
          <w:sz w:val="16"/>
          <w:szCs w:val="16"/>
          <w:lang w:val="es-ES"/>
        </w:rPr>
        <w:t>sont</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parties</w:t>
      </w:r>
      <w:proofErr w:type="spellEnd"/>
      <w:r w:rsidRPr="00032C73">
        <w:rPr>
          <w:rFonts w:ascii="Verdana" w:hAnsi="Verdana"/>
          <w:i/>
          <w:sz w:val="16"/>
          <w:szCs w:val="16"/>
          <w:lang w:val="es-ES"/>
        </w:rPr>
        <w:t xml:space="preserve">, et en </w:t>
      </w:r>
      <w:proofErr w:type="spellStart"/>
      <w:r w:rsidRPr="00032C73">
        <w:rPr>
          <w:rFonts w:ascii="Verdana" w:hAnsi="Verdana"/>
          <w:i/>
          <w:sz w:val="16"/>
          <w:szCs w:val="16"/>
          <w:lang w:val="es-ES"/>
        </w:rPr>
        <w:t>assurer</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l’exécution</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dans</w:t>
      </w:r>
      <w:proofErr w:type="spellEnd"/>
      <w:r w:rsidRPr="00032C73">
        <w:rPr>
          <w:rFonts w:ascii="Verdana" w:hAnsi="Verdana"/>
          <w:i/>
          <w:sz w:val="16"/>
          <w:szCs w:val="16"/>
          <w:lang w:val="es-ES"/>
        </w:rPr>
        <w:t xml:space="preserve"> le </w:t>
      </w:r>
      <w:proofErr w:type="spellStart"/>
      <w:r w:rsidRPr="00032C73">
        <w:rPr>
          <w:rFonts w:ascii="Verdana" w:hAnsi="Verdana"/>
          <w:i/>
          <w:sz w:val="16"/>
          <w:szCs w:val="16"/>
          <w:lang w:val="es-ES"/>
        </w:rPr>
        <w:t>délai</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fixé</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par</w:t>
      </w:r>
      <w:proofErr w:type="spellEnd"/>
      <w:r w:rsidRPr="00032C73">
        <w:rPr>
          <w:rFonts w:ascii="Verdana" w:hAnsi="Verdana"/>
          <w:i/>
          <w:sz w:val="16"/>
          <w:szCs w:val="16"/>
          <w:lang w:val="es-ES"/>
        </w:rPr>
        <w:t xml:space="preserve"> la </w:t>
      </w:r>
      <w:proofErr w:type="spellStart"/>
      <w:r w:rsidRPr="00032C73">
        <w:rPr>
          <w:rFonts w:ascii="Verdana" w:hAnsi="Verdana"/>
          <w:i/>
          <w:sz w:val="16"/>
          <w:szCs w:val="16"/>
          <w:lang w:val="es-ES"/>
        </w:rPr>
        <w:t>Cour</w:t>
      </w:r>
      <w:proofErr w:type="spellEnd"/>
      <w:r w:rsidRPr="00032C73">
        <w:rPr>
          <w:rFonts w:ascii="Verdana" w:hAnsi="Verdana"/>
          <w:i/>
          <w:sz w:val="16"/>
          <w:szCs w:val="16"/>
          <w:lang w:val="es-ES"/>
        </w:rPr>
        <w:t>.”</w:t>
      </w:r>
    </w:p>
    <w:p w14:paraId="090B696D" w14:textId="77777777" w:rsidR="00755450" w:rsidRPr="00032C73" w:rsidRDefault="00755450" w:rsidP="00B10962">
      <w:pPr>
        <w:pStyle w:val="FootnoteText"/>
        <w:jc w:val="both"/>
        <w:rPr>
          <w:rFonts w:ascii="Verdana" w:hAnsi="Verdana"/>
          <w:sz w:val="16"/>
          <w:szCs w:val="16"/>
          <w:lang w:val="es-ES"/>
        </w:rPr>
      </w:pPr>
      <w:r w:rsidRPr="00032C73">
        <w:rPr>
          <w:rFonts w:ascii="Verdana" w:hAnsi="Verdana"/>
          <w:sz w:val="16"/>
          <w:szCs w:val="16"/>
          <w:lang w:val="es-ES"/>
        </w:rPr>
        <w:t>Art. 59 del Estatuto de la Corte Internacional de Justicia: “</w:t>
      </w:r>
      <w:r w:rsidRPr="00032C73">
        <w:rPr>
          <w:rFonts w:ascii="Verdana" w:hAnsi="Verdana"/>
          <w:i/>
          <w:sz w:val="16"/>
          <w:szCs w:val="16"/>
          <w:lang w:val="es-ES"/>
        </w:rPr>
        <w:t>La decisión de la Corte no es obligatoria sino para las partes en litigio y respecto del caso que ha sido decidido</w:t>
      </w:r>
      <w:r w:rsidRPr="00032C73">
        <w:rPr>
          <w:rFonts w:ascii="Verdana" w:hAnsi="Verdana"/>
          <w:sz w:val="16"/>
          <w:szCs w:val="16"/>
          <w:lang w:val="es-ES"/>
        </w:rPr>
        <w:t>.”</w:t>
      </w:r>
    </w:p>
    <w:p w14:paraId="15D83E09" w14:textId="77777777" w:rsidR="00755450" w:rsidRPr="00032C73" w:rsidRDefault="00755450" w:rsidP="00B10962">
      <w:pPr>
        <w:pStyle w:val="FootnoteText"/>
        <w:jc w:val="both"/>
        <w:rPr>
          <w:rFonts w:ascii="Verdana" w:hAnsi="Verdana"/>
          <w:sz w:val="16"/>
          <w:szCs w:val="16"/>
          <w:lang w:val="es-ES"/>
        </w:rPr>
      </w:pPr>
    </w:p>
  </w:footnote>
  <w:footnote w:id="13">
    <w:p w14:paraId="23D0A508" w14:textId="77777777" w:rsidR="00755450" w:rsidRPr="00032C73" w:rsidRDefault="00755450" w:rsidP="00B10962">
      <w:pPr>
        <w:pStyle w:val="FootnoteText"/>
        <w:jc w:val="both"/>
        <w:rPr>
          <w:rFonts w:ascii="Verdana" w:hAnsi="Verdana"/>
          <w:i/>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Art.38 del Estatuto de la Corte Internacional de Justicia: </w:t>
      </w:r>
      <w:r w:rsidRPr="00032C73">
        <w:rPr>
          <w:rFonts w:ascii="Verdana" w:hAnsi="Verdana"/>
          <w:i/>
          <w:sz w:val="16"/>
          <w:szCs w:val="16"/>
          <w:lang w:val="es-ES"/>
        </w:rPr>
        <w:t>“1. La Corte, cuya función es decidir conforme al derecho internacional las controversias que le sean sometidas, deberá aplicar:</w:t>
      </w:r>
    </w:p>
    <w:p w14:paraId="1657DB82"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a. las convenciones internacionales, sean generales o particulares, que establecen reglas expresamente reconocidas por los Estados litigantes;</w:t>
      </w:r>
    </w:p>
    <w:p w14:paraId="438CB529"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b. la costumbre internacional como prueba de una práctica generalmente aceptada como derecho;</w:t>
      </w:r>
    </w:p>
    <w:p w14:paraId="080EC2CF"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c. los principios generales de derecho reconocidos por las naciones civilizadas;</w:t>
      </w:r>
    </w:p>
    <w:p w14:paraId="39543BAB"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d. las decisiones judiciales y las doctrinas de los publicistas de mayor competencia de las distintas naciones, como medio auxiliar para la determinación de las reglas de derecho, sin perjuicio de lo dispuesto en el Artículo 59.</w:t>
      </w:r>
    </w:p>
    <w:p w14:paraId="6F81D8FF"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2. La presente disposición no restringe la facultad de la Corte para decidir un litigio ex aequo et bono, si las partes así lo convinieren.”</w:t>
      </w:r>
    </w:p>
    <w:p w14:paraId="636EB295" w14:textId="77777777" w:rsidR="00755450" w:rsidRPr="00032C73" w:rsidRDefault="00755450" w:rsidP="00B10962">
      <w:pPr>
        <w:pStyle w:val="FootnoteText"/>
        <w:jc w:val="both"/>
        <w:rPr>
          <w:rFonts w:ascii="Verdana" w:hAnsi="Verdana"/>
          <w:sz w:val="16"/>
          <w:szCs w:val="16"/>
          <w:lang w:val="es-ES"/>
        </w:rPr>
      </w:pPr>
    </w:p>
  </w:footnote>
  <w:footnote w:id="14">
    <w:p w14:paraId="28C5F963"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Art. 31: “</w:t>
      </w:r>
      <w:r w:rsidRPr="00032C73">
        <w:rPr>
          <w:rFonts w:ascii="Verdana" w:hAnsi="Verdana"/>
          <w:i/>
          <w:sz w:val="16"/>
          <w:szCs w:val="16"/>
          <w:lang w:val="es-ES"/>
        </w:rPr>
        <w:t>Reconocimiento de Otros Derechos. Podrán ser incluidos en el régimen de protección de esta Convención otros derechos y libertades que sean reconocidos de acuerdo con los procedimientos establecidos en los artículos 76 y 77.”</w:t>
      </w:r>
    </w:p>
    <w:p w14:paraId="4DFD1D16" w14:textId="77777777" w:rsidR="00755450" w:rsidRPr="00032C73" w:rsidRDefault="00755450" w:rsidP="00B10962">
      <w:pPr>
        <w:pStyle w:val="FootnoteText"/>
        <w:jc w:val="both"/>
        <w:rPr>
          <w:rFonts w:ascii="Verdana" w:hAnsi="Verdana"/>
          <w:sz w:val="16"/>
          <w:szCs w:val="16"/>
          <w:lang w:val="es-ES"/>
        </w:rPr>
      </w:pPr>
      <w:r w:rsidRPr="00032C73">
        <w:rPr>
          <w:rFonts w:ascii="Verdana" w:hAnsi="Verdana"/>
          <w:sz w:val="16"/>
          <w:szCs w:val="16"/>
          <w:lang w:val="es-ES"/>
        </w:rPr>
        <w:t>Art. 76.1</w:t>
      </w:r>
      <w:r w:rsidRPr="00032C73">
        <w:rPr>
          <w:rFonts w:ascii="Verdana" w:hAnsi="Verdana"/>
          <w:i/>
          <w:sz w:val="16"/>
          <w:szCs w:val="16"/>
          <w:lang w:val="es-ES"/>
        </w:rPr>
        <w:t>:” Cualquier Estado parte directamente y la Comisión o la Corte por conducto del Secretario General, pueden someter a la Asamblea General, para lo que estime conveniente, una propuesta de enmienda a esta Convención.”</w:t>
      </w:r>
    </w:p>
    <w:p w14:paraId="0251B1D5" w14:textId="77777777" w:rsidR="00755450" w:rsidRPr="00032C73" w:rsidRDefault="00755450" w:rsidP="00B10962">
      <w:pPr>
        <w:pStyle w:val="FootnoteText"/>
        <w:jc w:val="both"/>
        <w:rPr>
          <w:rFonts w:ascii="Verdana" w:hAnsi="Verdana"/>
          <w:sz w:val="16"/>
          <w:szCs w:val="16"/>
          <w:lang w:val="es-ES"/>
        </w:rPr>
      </w:pPr>
      <w:r w:rsidRPr="00032C73">
        <w:rPr>
          <w:rFonts w:ascii="Verdana" w:hAnsi="Verdana"/>
          <w:sz w:val="16"/>
          <w:szCs w:val="16"/>
          <w:lang w:val="es-ES"/>
        </w:rPr>
        <w:t>Art.77.1</w:t>
      </w:r>
      <w:r w:rsidRPr="00032C73">
        <w:rPr>
          <w:rFonts w:ascii="Verdana" w:hAnsi="Verdana"/>
          <w:i/>
          <w:sz w:val="16"/>
          <w:szCs w:val="16"/>
          <w:lang w:val="es-ES"/>
        </w:rPr>
        <w:t>:“De acuerdo con la facultad establecida en el artículo 31, cualquier Estado parte y la Comisión podrán someter a la consideración de los Estados Partes reunidos con ocasión de la Asamblea General, proyectos de protocolos adicionales a esta Convención, con la finalidad de incluir progresivamente en el régimen de protección de la misma otros derechos y libertades.”</w:t>
      </w:r>
    </w:p>
  </w:footnote>
  <w:footnote w:id="15">
    <w:p w14:paraId="131FEDE1" w14:textId="77777777" w:rsidR="00755450" w:rsidRPr="00032C73" w:rsidRDefault="00755450" w:rsidP="00B10962">
      <w:pPr>
        <w:pStyle w:val="FootnoteText"/>
        <w:jc w:val="both"/>
        <w:rPr>
          <w:rFonts w:ascii="Verdana" w:hAnsi="Verdana"/>
          <w:i/>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Art. 31. 3.c) de la Convención de Viena sobre el Derecho de los Tratados: “</w:t>
      </w:r>
      <w:r w:rsidRPr="00032C73">
        <w:rPr>
          <w:rFonts w:ascii="Verdana" w:hAnsi="Verdana"/>
          <w:i/>
          <w:sz w:val="16"/>
          <w:szCs w:val="16"/>
          <w:lang w:val="es-ES"/>
        </w:rPr>
        <w:t>Juntamente con el contexto, habrá de tenerse en cuenta: ... c) “toda norma pertinente de derecho internacional aplicable en las relaciones entre las partes.”</w:t>
      </w:r>
    </w:p>
    <w:p w14:paraId="4AF59EBE" w14:textId="77777777" w:rsidR="00755450" w:rsidRPr="00032C73" w:rsidRDefault="00755450" w:rsidP="00B10962">
      <w:pPr>
        <w:pStyle w:val="FootnoteText"/>
        <w:jc w:val="both"/>
        <w:rPr>
          <w:rFonts w:ascii="Verdana" w:hAnsi="Verdana"/>
          <w:i/>
          <w:sz w:val="16"/>
          <w:szCs w:val="16"/>
          <w:lang w:val="es-ES"/>
        </w:rPr>
      </w:pPr>
    </w:p>
  </w:footnote>
  <w:footnote w:id="16">
    <w:p w14:paraId="4BD7ACE0"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w:t>
      </w:r>
      <w:proofErr w:type="spellStart"/>
      <w:r w:rsidRPr="00032C73">
        <w:rPr>
          <w:rFonts w:ascii="Verdana" w:hAnsi="Verdana"/>
          <w:sz w:val="16"/>
          <w:szCs w:val="16"/>
          <w:lang w:val="es-ES"/>
        </w:rPr>
        <w:t>Párrs</w:t>
      </w:r>
      <w:proofErr w:type="spellEnd"/>
      <w:r w:rsidRPr="00032C73">
        <w:rPr>
          <w:rFonts w:ascii="Verdana" w:hAnsi="Verdana"/>
          <w:sz w:val="16"/>
          <w:szCs w:val="16"/>
          <w:lang w:val="es-ES"/>
        </w:rPr>
        <w:t>. Nºs.141  a 150. En lo sucesivo, cada vez que se cite un párrafo, se hará como “</w:t>
      </w:r>
      <w:proofErr w:type="spellStart"/>
      <w:r w:rsidRPr="00032C73">
        <w:rPr>
          <w:rFonts w:ascii="Verdana" w:hAnsi="Verdana"/>
          <w:i/>
          <w:sz w:val="16"/>
          <w:szCs w:val="16"/>
          <w:lang w:val="es-ES"/>
        </w:rPr>
        <w:t>párr</w:t>
      </w:r>
      <w:proofErr w:type="spellEnd"/>
      <w:r w:rsidRPr="00032C73">
        <w:rPr>
          <w:rFonts w:ascii="Verdana" w:hAnsi="Verdana"/>
          <w:sz w:val="16"/>
          <w:szCs w:val="16"/>
          <w:lang w:val="es-ES"/>
        </w:rPr>
        <w:t>”, en plural “</w:t>
      </w:r>
      <w:proofErr w:type="spellStart"/>
      <w:r w:rsidRPr="00032C73">
        <w:rPr>
          <w:rFonts w:ascii="Verdana" w:hAnsi="Verdana"/>
          <w:i/>
          <w:sz w:val="16"/>
          <w:szCs w:val="16"/>
          <w:lang w:val="es-ES"/>
        </w:rPr>
        <w:t>párrs</w:t>
      </w:r>
      <w:proofErr w:type="spellEnd"/>
      <w:r w:rsidRPr="00032C73">
        <w:rPr>
          <w:rFonts w:ascii="Verdana" w:hAnsi="Verdana"/>
          <w:i/>
          <w:sz w:val="16"/>
          <w:szCs w:val="16"/>
          <w:lang w:val="es-ES"/>
        </w:rPr>
        <w:t>”</w:t>
      </w:r>
      <w:r w:rsidRPr="00032C73">
        <w:rPr>
          <w:rFonts w:ascii="Verdana" w:hAnsi="Verdana"/>
          <w:sz w:val="16"/>
          <w:szCs w:val="16"/>
          <w:lang w:val="es-ES"/>
        </w:rPr>
        <w:t xml:space="preserve"> y se entenderá que corresponde a la Sentencia.</w:t>
      </w:r>
    </w:p>
    <w:p w14:paraId="2C0FDCA7" w14:textId="77777777" w:rsidR="00755450" w:rsidRPr="00032C73" w:rsidRDefault="00755450" w:rsidP="00B10962">
      <w:pPr>
        <w:pStyle w:val="FootnoteText"/>
        <w:jc w:val="both"/>
        <w:rPr>
          <w:rFonts w:ascii="Verdana" w:hAnsi="Verdana"/>
          <w:sz w:val="16"/>
          <w:szCs w:val="16"/>
          <w:lang w:val="es-ES"/>
        </w:rPr>
      </w:pPr>
    </w:p>
  </w:footnote>
  <w:footnote w:id="17">
    <w:p w14:paraId="7790ACE2" w14:textId="77777777" w:rsidR="00755450" w:rsidRPr="00032C73" w:rsidRDefault="00755450" w:rsidP="00B10962">
      <w:pPr>
        <w:pStyle w:val="FootnoteText"/>
        <w:jc w:val="both"/>
        <w:rPr>
          <w:rFonts w:ascii="Verdana" w:hAnsi="Verdana"/>
          <w:i/>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w:t>
      </w:r>
      <w:r w:rsidRPr="00032C73">
        <w:rPr>
          <w:rFonts w:ascii="Verdana" w:hAnsi="Verdana"/>
          <w:i/>
          <w:sz w:val="16"/>
          <w:szCs w:val="16"/>
          <w:lang w:val="es-ES"/>
        </w:rPr>
        <w:t>Libertad de Asociación. Todas las personas tienen derecho a asociarse libremente con fines ideológicos, religiosos, políticos, económicos, laborales, sociales, culturales, deportivos o de cualquiera otra índole.”</w:t>
      </w:r>
    </w:p>
    <w:p w14:paraId="04455F7A" w14:textId="77777777" w:rsidR="00755450" w:rsidRPr="00032C73" w:rsidRDefault="00755450" w:rsidP="00B10962">
      <w:pPr>
        <w:pStyle w:val="FootnoteText"/>
        <w:jc w:val="both"/>
        <w:rPr>
          <w:rFonts w:ascii="Verdana" w:hAnsi="Verdana"/>
          <w:sz w:val="16"/>
          <w:szCs w:val="16"/>
          <w:lang w:val="es-ES"/>
        </w:rPr>
      </w:pPr>
    </w:p>
  </w:footnote>
  <w:footnote w:id="18">
    <w:p w14:paraId="746C8B15"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w:t>
      </w:r>
      <w:proofErr w:type="spellStart"/>
      <w:r w:rsidRPr="00032C73">
        <w:rPr>
          <w:rFonts w:ascii="Verdana" w:hAnsi="Verdana"/>
          <w:sz w:val="16"/>
          <w:szCs w:val="16"/>
          <w:lang w:val="es-ES"/>
        </w:rPr>
        <w:t>Párrs</w:t>
      </w:r>
      <w:proofErr w:type="spellEnd"/>
      <w:r w:rsidRPr="00032C73">
        <w:rPr>
          <w:rFonts w:ascii="Verdana" w:hAnsi="Verdana"/>
          <w:sz w:val="16"/>
          <w:szCs w:val="16"/>
          <w:lang w:val="es-ES"/>
        </w:rPr>
        <w:t xml:space="preserve"> 155 a 160.</w:t>
      </w:r>
    </w:p>
    <w:p w14:paraId="03209493" w14:textId="77777777" w:rsidR="00755450" w:rsidRPr="00032C73" w:rsidRDefault="00755450" w:rsidP="00B10962">
      <w:pPr>
        <w:pStyle w:val="FootnoteText"/>
        <w:jc w:val="both"/>
        <w:rPr>
          <w:rFonts w:ascii="Verdana" w:hAnsi="Verdana"/>
          <w:sz w:val="16"/>
          <w:szCs w:val="16"/>
          <w:lang w:val="es-ES"/>
        </w:rPr>
      </w:pPr>
    </w:p>
  </w:footnote>
  <w:footnote w:id="19">
    <w:p w14:paraId="13F08D1E" w14:textId="77777777" w:rsidR="00755450" w:rsidRPr="00032C73" w:rsidRDefault="00755450" w:rsidP="004248FA">
      <w:pPr>
        <w:pStyle w:val="FootnoteText"/>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Párr. 158.</w:t>
      </w:r>
    </w:p>
    <w:p w14:paraId="0E6276D8" w14:textId="77777777" w:rsidR="00755450" w:rsidRPr="00032C73" w:rsidRDefault="00755450" w:rsidP="004248FA">
      <w:pPr>
        <w:pStyle w:val="FootnoteText"/>
        <w:rPr>
          <w:rFonts w:ascii="Verdana" w:hAnsi="Verdana"/>
          <w:sz w:val="16"/>
          <w:szCs w:val="16"/>
          <w:lang w:val="es-ES"/>
        </w:rPr>
      </w:pPr>
    </w:p>
  </w:footnote>
  <w:footnote w:id="20">
    <w:p w14:paraId="7275F6C3" w14:textId="77777777" w:rsidR="00755450" w:rsidRPr="00032C73" w:rsidRDefault="00755450" w:rsidP="004248FA">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Párr. 159.</w:t>
      </w:r>
    </w:p>
    <w:p w14:paraId="32887CD2" w14:textId="77777777" w:rsidR="00755450" w:rsidRPr="00032C73" w:rsidRDefault="00755450" w:rsidP="00B10962">
      <w:pPr>
        <w:pStyle w:val="FootnoteText"/>
        <w:jc w:val="both"/>
        <w:rPr>
          <w:rFonts w:ascii="Verdana" w:hAnsi="Verdana"/>
          <w:sz w:val="16"/>
          <w:szCs w:val="16"/>
          <w:lang w:val="es-ES"/>
        </w:rPr>
      </w:pPr>
    </w:p>
  </w:footnote>
  <w:footnote w:id="21">
    <w:p w14:paraId="39294002" w14:textId="77777777" w:rsidR="00755450" w:rsidRDefault="00755450" w:rsidP="00B10962">
      <w:pPr>
        <w:pStyle w:val="FootnoteText"/>
        <w:jc w:val="both"/>
        <w:rPr>
          <w:rFonts w:ascii="Verdana" w:hAnsi="Verdana"/>
          <w:i/>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Art. 31.3.c) de la Convención de Viena sobre el Derecho de los Tratados: “</w:t>
      </w:r>
      <w:r w:rsidRPr="00032C73">
        <w:rPr>
          <w:rFonts w:ascii="Verdana" w:hAnsi="Verdana"/>
          <w:i/>
          <w:sz w:val="16"/>
          <w:szCs w:val="16"/>
          <w:lang w:val="es-ES"/>
        </w:rPr>
        <w:t>Regla general de interpretación.... Juntamente con el contexto, habrá de tenerse en cuenta: ... toda norma pertinente de derecho internacional aplicable en las relaciones entre las partes.”</w:t>
      </w:r>
    </w:p>
    <w:p w14:paraId="27DE9BA9" w14:textId="77777777" w:rsidR="00D92406" w:rsidRPr="00032C73" w:rsidRDefault="00D92406" w:rsidP="00B10962">
      <w:pPr>
        <w:pStyle w:val="FootnoteText"/>
        <w:jc w:val="both"/>
        <w:rPr>
          <w:rFonts w:ascii="Verdana" w:hAnsi="Verdana"/>
          <w:i/>
          <w:sz w:val="16"/>
          <w:szCs w:val="16"/>
          <w:lang w:val="es-ES"/>
        </w:rPr>
      </w:pPr>
    </w:p>
  </w:footnote>
  <w:footnote w:id="22">
    <w:p w14:paraId="7E895DA5"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w:t>
      </w:r>
      <w:r w:rsidRPr="00032C73">
        <w:rPr>
          <w:rFonts w:ascii="Verdana" w:hAnsi="Verdana"/>
          <w:i/>
          <w:sz w:val="16"/>
          <w:szCs w:val="16"/>
          <w:lang w:val="es-ES"/>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r w:rsidRPr="00032C73">
        <w:rPr>
          <w:rFonts w:ascii="Verdana" w:hAnsi="Verdana"/>
          <w:sz w:val="16"/>
          <w:szCs w:val="16"/>
          <w:lang w:val="es-ES"/>
        </w:rPr>
        <w:t>.”</w:t>
      </w:r>
    </w:p>
    <w:p w14:paraId="76DA89BC" w14:textId="77777777" w:rsidR="00755450" w:rsidRPr="00032C73" w:rsidRDefault="00755450" w:rsidP="00B10962">
      <w:pPr>
        <w:pStyle w:val="FootnoteText"/>
        <w:jc w:val="both"/>
        <w:rPr>
          <w:rFonts w:ascii="Verdana" w:hAnsi="Verdana"/>
          <w:sz w:val="16"/>
          <w:szCs w:val="16"/>
          <w:lang w:val="es-ES"/>
        </w:rPr>
      </w:pPr>
    </w:p>
  </w:footnote>
  <w:footnote w:id="23">
    <w:p w14:paraId="38E2E8CF" w14:textId="378649A7" w:rsidR="00755450" w:rsidRPr="00032C73" w:rsidRDefault="00755450" w:rsidP="00B10962">
      <w:pPr>
        <w:pStyle w:val="FootnoteText"/>
        <w:jc w:val="both"/>
        <w:rPr>
          <w:rFonts w:ascii="Verdana" w:hAnsi="Verdana"/>
          <w:i/>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w:t>
      </w:r>
      <w:r w:rsidRPr="00032C73">
        <w:rPr>
          <w:rFonts w:ascii="Verdana" w:hAnsi="Verdana"/>
          <w:i/>
          <w:sz w:val="16"/>
          <w:szCs w:val="16"/>
          <w:lang w:val="es-ES"/>
        </w:rPr>
        <w:t xml:space="preserve">“Normas de interpretación. Ninguna disposición de la presente Convención puede ser </w:t>
      </w:r>
      <w:r w:rsidR="003947FB">
        <w:rPr>
          <w:rFonts w:ascii="Verdana" w:hAnsi="Verdana"/>
          <w:i/>
          <w:sz w:val="16"/>
          <w:szCs w:val="16"/>
          <w:lang w:val="es-ES"/>
        </w:rPr>
        <w:t>interpretada en el sentido de: [</w:t>
      </w:r>
      <w:r w:rsidRPr="00032C73">
        <w:rPr>
          <w:rFonts w:ascii="Verdana" w:hAnsi="Verdana"/>
          <w:i/>
          <w:sz w:val="16"/>
          <w:szCs w:val="16"/>
          <w:lang w:val="es-ES"/>
        </w:rPr>
        <w:t>...</w:t>
      </w:r>
      <w:r w:rsidR="003947FB">
        <w:rPr>
          <w:rFonts w:ascii="Verdana" w:hAnsi="Verdana"/>
          <w:i/>
          <w:sz w:val="16"/>
          <w:szCs w:val="16"/>
          <w:lang w:val="es-ES"/>
        </w:rPr>
        <w:t>]</w:t>
      </w:r>
      <w:r w:rsidRPr="00032C73">
        <w:rPr>
          <w:rFonts w:ascii="Verdana" w:hAnsi="Verdana"/>
          <w:i/>
          <w:sz w:val="16"/>
          <w:szCs w:val="16"/>
          <w:lang w:val="es-ES"/>
        </w:rPr>
        <w:t xml:space="preserve"> permitir a alguno de los Estados Partes, grupo o persona, suprimir el goce y ejercicio de los derechos y libertades reconocidos en la Convención o limitarlos en mayor medida que la prevista en ella</w:t>
      </w:r>
      <w:r w:rsidRPr="00032C73">
        <w:rPr>
          <w:rFonts w:ascii="Verdana" w:hAnsi="Verdana"/>
          <w:sz w:val="16"/>
          <w:szCs w:val="16"/>
          <w:lang w:val="es-ES"/>
        </w:rPr>
        <w:t>”.</w:t>
      </w:r>
    </w:p>
    <w:p w14:paraId="740A1C3F" w14:textId="77777777" w:rsidR="00755450" w:rsidRPr="00032C73" w:rsidRDefault="00755450" w:rsidP="00B10962">
      <w:pPr>
        <w:pStyle w:val="FootnoteText"/>
        <w:jc w:val="both"/>
        <w:rPr>
          <w:rFonts w:ascii="Verdana" w:hAnsi="Verdana"/>
          <w:sz w:val="16"/>
          <w:szCs w:val="16"/>
          <w:lang w:val="es-ES"/>
        </w:rPr>
      </w:pPr>
    </w:p>
  </w:footnote>
  <w:footnote w:id="24">
    <w:p w14:paraId="42EA8EED"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Art 45.1: “</w:t>
      </w:r>
      <w:r w:rsidRPr="00032C73">
        <w:rPr>
          <w:rFonts w:ascii="Verdana" w:hAnsi="Verdana"/>
          <w:i/>
          <w:sz w:val="16"/>
          <w:szCs w:val="16"/>
          <w:lang w:val="es-ES"/>
        </w:rPr>
        <w:t>Todo Estado parte puede, en el momento del depósito de su instrumento de ratificación o adhesión de esta Convención, o en cualquier momento posterior, declarar que reconoce la competencia de la Comisión para recibir y examinar las comunicaciones en que un Estado parte alegue que otro Estado parte ha incurrido en violaciones de los derechos humanos establecidos en esta Convención.</w:t>
      </w:r>
      <w:r w:rsidRPr="00032C73">
        <w:rPr>
          <w:rFonts w:ascii="Verdana" w:hAnsi="Verdana"/>
          <w:sz w:val="16"/>
          <w:szCs w:val="16"/>
          <w:lang w:val="es-ES"/>
        </w:rPr>
        <w:t>”</w:t>
      </w:r>
    </w:p>
    <w:p w14:paraId="3B7A0578" w14:textId="77777777" w:rsidR="00755450" w:rsidRPr="00032C73" w:rsidRDefault="00755450" w:rsidP="00B10962">
      <w:pPr>
        <w:pStyle w:val="FootnoteText"/>
        <w:jc w:val="both"/>
        <w:rPr>
          <w:rFonts w:ascii="Verdana" w:hAnsi="Verdana"/>
          <w:sz w:val="16"/>
          <w:szCs w:val="16"/>
          <w:lang w:val="es-ES"/>
        </w:rPr>
      </w:pPr>
    </w:p>
  </w:footnote>
  <w:footnote w:id="25">
    <w:p w14:paraId="5330B199"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Art 47.b: “</w:t>
      </w:r>
      <w:r w:rsidRPr="00032C73">
        <w:rPr>
          <w:rFonts w:ascii="Verdana" w:hAnsi="Verdana"/>
          <w:i/>
          <w:sz w:val="16"/>
          <w:szCs w:val="16"/>
          <w:lang w:val="es-ES"/>
        </w:rPr>
        <w:t xml:space="preserve">La Comisión declarará inadmisible toda petición o comunicación presentada de acuerdo con los artículos 44 </w:t>
      </w:r>
      <w:proofErr w:type="spellStart"/>
      <w:r w:rsidRPr="00032C73">
        <w:rPr>
          <w:rFonts w:ascii="Verdana" w:hAnsi="Verdana"/>
          <w:i/>
          <w:sz w:val="16"/>
          <w:szCs w:val="16"/>
          <w:lang w:val="es-ES"/>
        </w:rPr>
        <w:t>ó</w:t>
      </w:r>
      <w:proofErr w:type="spellEnd"/>
      <w:r w:rsidRPr="00032C73">
        <w:rPr>
          <w:rFonts w:ascii="Verdana" w:hAnsi="Verdana"/>
          <w:i/>
          <w:sz w:val="16"/>
          <w:szCs w:val="16"/>
          <w:lang w:val="es-ES"/>
        </w:rPr>
        <w:t xml:space="preserve"> 45 cuando: ... no exponga hechos que caractericen una violación de los derechos garantizados por esta Convención</w:t>
      </w:r>
      <w:r w:rsidRPr="00032C73">
        <w:rPr>
          <w:rFonts w:ascii="Verdana" w:hAnsi="Verdana"/>
          <w:sz w:val="16"/>
          <w:szCs w:val="16"/>
          <w:lang w:val="es-ES"/>
        </w:rPr>
        <w:t>;”</w:t>
      </w:r>
    </w:p>
    <w:p w14:paraId="0E1A0EBB" w14:textId="77777777" w:rsidR="00755450" w:rsidRPr="00032C73" w:rsidRDefault="00755450" w:rsidP="00B10962">
      <w:pPr>
        <w:pStyle w:val="FootnoteText"/>
        <w:jc w:val="both"/>
        <w:rPr>
          <w:rFonts w:ascii="Verdana" w:hAnsi="Verdana"/>
          <w:sz w:val="16"/>
          <w:szCs w:val="16"/>
          <w:lang w:val="es-ES"/>
        </w:rPr>
      </w:pPr>
    </w:p>
  </w:footnote>
  <w:footnote w:id="26">
    <w:p w14:paraId="18B3CEBD" w14:textId="77777777" w:rsidR="00755450" w:rsidRPr="00032C73" w:rsidRDefault="00755450" w:rsidP="00B10962">
      <w:pPr>
        <w:pStyle w:val="FootnoteText"/>
        <w:jc w:val="both"/>
        <w:rPr>
          <w:rFonts w:ascii="Verdana" w:hAnsi="Verdana"/>
          <w:i/>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Art.48.1: “</w:t>
      </w:r>
      <w:r w:rsidRPr="00032C73">
        <w:rPr>
          <w:rFonts w:ascii="Verdana" w:hAnsi="Verdana"/>
          <w:i/>
          <w:sz w:val="16"/>
          <w:szCs w:val="16"/>
          <w:lang w:val="es-ES"/>
        </w:rPr>
        <w:t>La Comisión, al recibir una petición o comunicación en la que se alegue la violación de cualquiera de los derechos que consagra esta Convención, procederá en los siguientes términos: ...”</w:t>
      </w:r>
    </w:p>
    <w:p w14:paraId="450EE1FB" w14:textId="77777777" w:rsidR="00755450" w:rsidRPr="00032C73" w:rsidRDefault="00755450" w:rsidP="00B10962">
      <w:pPr>
        <w:pStyle w:val="FootnoteText"/>
        <w:jc w:val="both"/>
        <w:rPr>
          <w:rFonts w:ascii="Verdana" w:hAnsi="Verdana"/>
          <w:sz w:val="16"/>
          <w:szCs w:val="16"/>
          <w:lang w:val="es-ES"/>
        </w:rPr>
      </w:pPr>
    </w:p>
  </w:footnote>
  <w:footnote w:id="27">
    <w:p w14:paraId="6700324C"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Art.63.1: “</w:t>
      </w:r>
      <w:r w:rsidRPr="00032C73">
        <w:rPr>
          <w:rFonts w:ascii="Verdana" w:hAnsi="Verdana"/>
          <w:i/>
          <w:sz w:val="16"/>
          <w:szCs w:val="16"/>
          <w:lang w:val="es-ES"/>
        </w:rPr>
        <w:t>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r w:rsidRPr="00032C73">
        <w:rPr>
          <w:rFonts w:ascii="Verdana" w:hAnsi="Verdana"/>
          <w:sz w:val="16"/>
          <w:szCs w:val="16"/>
          <w:lang w:val="es-ES"/>
        </w:rPr>
        <w:t>.”</w:t>
      </w:r>
    </w:p>
    <w:p w14:paraId="0D967ED4" w14:textId="77777777" w:rsidR="00755450" w:rsidRPr="00032C73" w:rsidRDefault="00755450" w:rsidP="00B10962">
      <w:pPr>
        <w:pStyle w:val="FootnoteText"/>
        <w:jc w:val="both"/>
        <w:rPr>
          <w:rFonts w:ascii="Verdana" w:hAnsi="Verdana"/>
          <w:sz w:val="16"/>
          <w:szCs w:val="16"/>
          <w:lang w:val="es-ES"/>
        </w:rPr>
      </w:pPr>
    </w:p>
  </w:footnote>
  <w:footnote w:id="28">
    <w:p w14:paraId="618C5019"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En lo sucesivo, cada vez que se haga referencia  a los derechos “</w:t>
      </w:r>
      <w:r w:rsidRPr="00032C73">
        <w:rPr>
          <w:rFonts w:ascii="Verdana" w:hAnsi="Verdana"/>
          <w:i/>
          <w:sz w:val="16"/>
          <w:szCs w:val="16"/>
          <w:lang w:val="es-ES"/>
        </w:rPr>
        <w:t>reconocidos</w:t>
      </w:r>
      <w:r w:rsidRPr="00032C73">
        <w:rPr>
          <w:rFonts w:ascii="Verdana" w:hAnsi="Verdana"/>
          <w:sz w:val="16"/>
          <w:szCs w:val="16"/>
          <w:lang w:val="es-ES"/>
        </w:rPr>
        <w:t>” en la Convención, se deberá entender que se incluyen también a los “</w:t>
      </w:r>
      <w:r w:rsidRPr="00032C73">
        <w:rPr>
          <w:rFonts w:ascii="Verdana" w:hAnsi="Verdana"/>
          <w:i/>
          <w:sz w:val="16"/>
          <w:szCs w:val="16"/>
          <w:lang w:val="es-ES"/>
        </w:rPr>
        <w:t>establecidos</w:t>
      </w:r>
      <w:r w:rsidRPr="00032C73">
        <w:rPr>
          <w:rFonts w:ascii="Verdana" w:hAnsi="Verdana"/>
          <w:sz w:val="16"/>
          <w:szCs w:val="16"/>
          <w:lang w:val="es-ES"/>
        </w:rPr>
        <w:t>”, “</w:t>
      </w:r>
      <w:r w:rsidRPr="00032C73">
        <w:rPr>
          <w:rFonts w:ascii="Verdana" w:hAnsi="Verdana"/>
          <w:i/>
          <w:sz w:val="16"/>
          <w:szCs w:val="16"/>
          <w:lang w:val="es-ES"/>
        </w:rPr>
        <w:t>garantizados</w:t>
      </w:r>
      <w:r w:rsidRPr="00032C73">
        <w:rPr>
          <w:rFonts w:ascii="Verdana" w:hAnsi="Verdana"/>
          <w:sz w:val="16"/>
          <w:szCs w:val="16"/>
          <w:lang w:val="es-ES"/>
        </w:rPr>
        <w:t>”,  “</w:t>
      </w:r>
      <w:r w:rsidRPr="00032C73">
        <w:rPr>
          <w:rFonts w:ascii="Verdana" w:hAnsi="Verdana"/>
          <w:i/>
          <w:sz w:val="16"/>
          <w:szCs w:val="16"/>
          <w:lang w:val="es-ES"/>
        </w:rPr>
        <w:t>consagrados</w:t>
      </w:r>
      <w:r w:rsidRPr="00032C73">
        <w:rPr>
          <w:rFonts w:ascii="Verdana" w:hAnsi="Verdana"/>
          <w:sz w:val="16"/>
          <w:szCs w:val="16"/>
          <w:lang w:val="es-ES"/>
        </w:rPr>
        <w:t>”  o “</w:t>
      </w:r>
      <w:r w:rsidRPr="00032C73">
        <w:rPr>
          <w:rFonts w:ascii="Verdana" w:hAnsi="Verdana"/>
          <w:i/>
          <w:sz w:val="16"/>
          <w:szCs w:val="16"/>
          <w:lang w:val="es-ES"/>
        </w:rPr>
        <w:t>protegidos”</w:t>
      </w:r>
      <w:r w:rsidRPr="00032C73">
        <w:rPr>
          <w:rFonts w:ascii="Verdana" w:hAnsi="Verdana"/>
          <w:sz w:val="16"/>
          <w:szCs w:val="16"/>
          <w:lang w:val="es-ES"/>
        </w:rPr>
        <w:t xml:space="preserve"> en ella.</w:t>
      </w:r>
    </w:p>
  </w:footnote>
  <w:footnote w:id="29">
    <w:p w14:paraId="5EE9BB0D"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Procede llamar la atención en cuanto a que la Convención asimismo hace mención a “</w:t>
      </w:r>
      <w:r w:rsidRPr="00032C73">
        <w:rPr>
          <w:rFonts w:ascii="Verdana" w:hAnsi="Verdana"/>
          <w:i/>
          <w:sz w:val="16"/>
          <w:szCs w:val="16"/>
          <w:lang w:val="es-ES"/>
        </w:rPr>
        <w:t>principios</w:t>
      </w:r>
      <w:r w:rsidRPr="00032C73">
        <w:rPr>
          <w:rFonts w:ascii="Verdana" w:hAnsi="Verdana"/>
          <w:sz w:val="16"/>
          <w:szCs w:val="16"/>
          <w:lang w:val="es-ES"/>
        </w:rPr>
        <w:t xml:space="preserve">”, refiriéndose </w:t>
      </w:r>
      <w:proofErr w:type="spellStart"/>
      <w:r w:rsidRPr="00032C73">
        <w:rPr>
          <w:rFonts w:ascii="Verdana" w:hAnsi="Verdana"/>
          <w:sz w:val="16"/>
          <w:szCs w:val="16"/>
          <w:lang w:val="es-ES"/>
        </w:rPr>
        <w:t>a“</w:t>
      </w:r>
      <w:r w:rsidRPr="00032C73">
        <w:rPr>
          <w:rFonts w:ascii="Verdana" w:hAnsi="Verdana"/>
          <w:i/>
          <w:sz w:val="16"/>
          <w:szCs w:val="16"/>
          <w:lang w:val="es-ES"/>
        </w:rPr>
        <w:t>un</w:t>
      </w:r>
      <w:proofErr w:type="spellEnd"/>
      <w:r w:rsidRPr="00032C73">
        <w:rPr>
          <w:rFonts w:ascii="Verdana" w:hAnsi="Verdana"/>
          <w:i/>
          <w:sz w:val="16"/>
          <w:szCs w:val="16"/>
          <w:lang w:val="es-ES"/>
        </w:rPr>
        <w:t xml:space="preserve"> régimen de libertad personal y de justicia social, </w:t>
      </w:r>
      <w:r w:rsidRPr="00032C73">
        <w:rPr>
          <w:rFonts w:ascii="Verdana" w:hAnsi="Verdana"/>
          <w:sz w:val="16"/>
          <w:szCs w:val="16"/>
          <w:lang w:val="es-ES"/>
        </w:rPr>
        <w:t xml:space="preserve">fundado en el </w:t>
      </w:r>
      <w:r w:rsidRPr="00032C73">
        <w:rPr>
          <w:rFonts w:ascii="Verdana" w:hAnsi="Verdana"/>
          <w:i/>
          <w:sz w:val="16"/>
          <w:szCs w:val="16"/>
          <w:lang w:val="es-ES"/>
        </w:rPr>
        <w:t>respeto de los derechos esenciales del hombre”</w:t>
      </w:r>
      <w:r w:rsidRPr="00032C73">
        <w:rPr>
          <w:rFonts w:ascii="Verdana" w:hAnsi="Verdana"/>
          <w:sz w:val="16"/>
          <w:szCs w:val="16"/>
          <w:lang w:val="es-ES"/>
        </w:rPr>
        <w:t>, en tanto que éstos “</w:t>
      </w:r>
      <w:r w:rsidRPr="00032C73">
        <w:rPr>
          <w:rFonts w:ascii="Verdana" w:hAnsi="Verdana"/>
          <w:i/>
          <w:sz w:val="16"/>
          <w:szCs w:val="16"/>
          <w:lang w:val="es-ES"/>
        </w:rPr>
        <w:t>no nacen del hecho de ser nacional de determinado Estado, sino que tienen como fundamento los atributos de la persona humana</w:t>
      </w:r>
      <w:r w:rsidRPr="00032C73">
        <w:rPr>
          <w:rFonts w:ascii="Verdana" w:hAnsi="Verdana"/>
          <w:sz w:val="16"/>
          <w:szCs w:val="16"/>
          <w:lang w:val="es-ES"/>
        </w:rPr>
        <w:t>” y que “</w:t>
      </w:r>
      <w:r w:rsidRPr="00032C73">
        <w:rPr>
          <w:rFonts w:ascii="Verdana" w:hAnsi="Verdana"/>
          <w:i/>
          <w:sz w:val="16"/>
          <w:szCs w:val="16"/>
          <w:lang w:val="es-ES"/>
        </w:rPr>
        <w:t xml:space="preserve">han sido consagrados en la Carta de la Organización de los Estados Americanos, en la Declaración Americana de los Derechos y Deberes del Hombre y en la Declaración Universal de los Derechos Humanos que han sido reafirmados y desarrollados en otros instrumentos internacionales, tanto de ámbito universal como regional.” </w:t>
      </w:r>
      <w:r w:rsidRPr="00032C73">
        <w:rPr>
          <w:rFonts w:ascii="Verdana" w:hAnsi="Verdana"/>
          <w:sz w:val="16"/>
          <w:szCs w:val="16"/>
          <w:lang w:val="es-ES"/>
        </w:rPr>
        <w:t>Párrs.1</w:t>
      </w:r>
      <w:proofErr w:type="gramStart"/>
      <w:r w:rsidRPr="00032C73">
        <w:rPr>
          <w:rFonts w:ascii="Verdana" w:hAnsi="Verdana"/>
          <w:sz w:val="16"/>
          <w:szCs w:val="16"/>
          <w:lang w:val="es-ES"/>
        </w:rPr>
        <w:t>,2</w:t>
      </w:r>
      <w:proofErr w:type="gramEnd"/>
      <w:r w:rsidRPr="00032C73">
        <w:rPr>
          <w:rFonts w:ascii="Verdana" w:hAnsi="Verdana"/>
          <w:sz w:val="16"/>
          <w:szCs w:val="16"/>
          <w:lang w:val="es-ES"/>
        </w:rPr>
        <w:t xml:space="preserve"> y 3 del Preámbulo.</w:t>
      </w:r>
    </w:p>
    <w:p w14:paraId="47B9D81C" w14:textId="77777777" w:rsidR="00755450" w:rsidRPr="00032C73" w:rsidRDefault="00755450" w:rsidP="00B10962">
      <w:pPr>
        <w:pStyle w:val="FootnoteText"/>
        <w:rPr>
          <w:rFonts w:ascii="Verdana" w:hAnsi="Verdana"/>
          <w:i/>
          <w:sz w:val="16"/>
          <w:szCs w:val="16"/>
          <w:lang w:val="es-ES"/>
        </w:rPr>
      </w:pPr>
    </w:p>
  </w:footnote>
  <w:footnote w:id="30">
    <w:p w14:paraId="3FA483B6" w14:textId="0FF6415A" w:rsidR="00755450" w:rsidRPr="00032C73" w:rsidRDefault="00755450" w:rsidP="00B10962">
      <w:pPr>
        <w:pStyle w:val="FootnoteText"/>
        <w:jc w:val="both"/>
        <w:rPr>
          <w:rFonts w:ascii="Verdana" w:hAnsi="Verdana"/>
          <w:i/>
          <w:sz w:val="16"/>
          <w:szCs w:val="16"/>
          <w:lang w:val="es-ES"/>
        </w:rPr>
      </w:pPr>
      <w:r w:rsidRPr="00032C73">
        <w:rPr>
          <w:rStyle w:val="FootnoteReference"/>
          <w:rFonts w:ascii="Verdana" w:hAnsi="Verdana"/>
          <w:sz w:val="16"/>
          <w:szCs w:val="16"/>
        </w:rPr>
        <w:footnoteRef/>
      </w:r>
      <w:r w:rsidR="00F250BC">
        <w:rPr>
          <w:rFonts w:ascii="Verdana" w:hAnsi="Verdana"/>
          <w:sz w:val="16"/>
          <w:szCs w:val="16"/>
          <w:lang w:val="es-ES"/>
        </w:rPr>
        <w:t xml:space="preserve"> Párrafo 4º del Preámbulo:</w:t>
      </w:r>
      <w:r w:rsidRPr="00032C73">
        <w:rPr>
          <w:rFonts w:ascii="Verdana" w:hAnsi="Verdana"/>
          <w:sz w:val="16"/>
          <w:szCs w:val="16"/>
          <w:lang w:val="es-ES"/>
        </w:rPr>
        <w:t xml:space="preserve"> </w:t>
      </w:r>
      <w:r w:rsidRPr="00032C73">
        <w:rPr>
          <w:rFonts w:ascii="Verdana" w:hAnsi="Verdana"/>
          <w:i/>
          <w:sz w:val="16"/>
          <w:szCs w:val="16"/>
          <w:lang w:val="es-ES"/>
        </w:rPr>
        <w:t>“Reiterando que, con arreglo a la Declaración Universal de los Derechos Humanos, sólo puede realizarse el ideal del ser humano libre, exento del temor y de la miseria, si se crean condiciones que permitan a cada persona gozar de sus derechos económicos, sociales y culturales, tanto como de sus derechos civiles y políticos.”</w:t>
      </w:r>
    </w:p>
    <w:p w14:paraId="255DB948" w14:textId="77777777" w:rsidR="00755450" w:rsidRPr="00032C73" w:rsidRDefault="00755450" w:rsidP="00B10962">
      <w:pPr>
        <w:pStyle w:val="FootnoteText"/>
        <w:jc w:val="both"/>
        <w:rPr>
          <w:rFonts w:ascii="Verdana" w:hAnsi="Verdana"/>
          <w:sz w:val="16"/>
          <w:szCs w:val="16"/>
          <w:lang w:val="es-ES"/>
        </w:rPr>
      </w:pPr>
    </w:p>
  </w:footnote>
  <w:footnote w:id="31">
    <w:p w14:paraId="1799C2AB" w14:textId="77777777" w:rsidR="00755450" w:rsidRPr="00032C73" w:rsidRDefault="00755450" w:rsidP="00B10962">
      <w:pPr>
        <w:pStyle w:val="FootnoteText"/>
        <w:jc w:val="both"/>
        <w:rPr>
          <w:rFonts w:ascii="Verdana" w:hAnsi="Verdana"/>
          <w:i/>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Art.2, </w:t>
      </w:r>
      <w:r w:rsidRPr="00032C73">
        <w:rPr>
          <w:rFonts w:ascii="Verdana" w:hAnsi="Verdana"/>
          <w:i/>
          <w:sz w:val="16"/>
          <w:szCs w:val="16"/>
          <w:lang w:val="es-ES"/>
        </w:rPr>
        <w:t xml:space="preserve">cit. </w:t>
      </w:r>
      <w:r w:rsidRPr="00032C73">
        <w:rPr>
          <w:rFonts w:ascii="Verdana" w:hAnsi="Verdana"/>
          <w:sz w:val="16"/>
          <w:szCs w:val="16"/>
          <w:lang w:val="es-ES"/>
        </w:rPr>
        <w:t>en nota a pie de pág. Nº 3.</w:t>
      </w:r>
    </w:p>
    <w:p w14:paraId="00CDE6DA" w14:textId="77777777" w:rsidR="00755450" w:rsidRPr="00032C73" w:rsidRDefault="00755450" w:rsidP="00B10962">
      <w:pPr>
        <w:pStyle w:val="FootnoteText"/>
        <w:jc w:val="both"/>
        <w:rPr>
          <w:rFonts w:ascii="Verdana" w:hAnsi="Verdana"/>
          <w:sz w:val="16"/>
          <w:szCs w:val="16"/>
          <w:lang w:val="es-ES"/>
        </w:rPr>
      </w:pPr>
    </w:p>
  </w:footnote>
  <w:footnote w:id="32">
    <w:p w14:paraId="761DECAB" w14:textId="5FF29AA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w:t>
      </w:r>
      <w:r w:rsidR="00D92406">
        <w:rPr>
          <w:rFonts w:ascii="Verdana" w:hAnsi="Verdana"/>
          <w:sz w:val="16"/>
          <w:szCs w:val="16"/>
          <w:lang w:val="es-ES"/>
        </w:rPr>
        <w:t xml:space="preserve">Art. 29.b; “. </w:t>
      </w:r>
      <w:r w:rsidRPr="00032C73">
        <w:rPr>
          <w:rFonts w:ascii="Verdana" w:hAnsi="Verdana"/>
          <w:i/>
          <w:sz w:val="16"/>
          <w:szCs w:val="16"/>
          <w:lang w:val="es-ES"/>
        </w:rPr>
        <w:t>Normas de Interpretación. Ninguna disposición de la presente Convención puede ser interpretada en el sentido de:... limitar el goce y ejercicio de cualquier derecho o libertad que pueda estar reconocido de acuerdo con las leyes de cualquiera de los Estados Partes o de acuerdo con otra convención en que sea parte uno de dichos Estados</w:t>
      </w:r>
      <w:r>
        <w:rPr>
          <w:rFonts w:ascii="Verdana" w:hAnsi="Verdana"/>
          <w:sz w:val="16"/>
          <w:szCs w:val="16"/>
          <w:lang w:val="es-ES"/>
        </w:rPr>
        <w:t>;”</w:t>
      </w:r>
    </w:p>
    <w:p w14:paraId="750D5428" w14:textId="77777777" w:rsidR="00755450" w:rsidRPr="00032C73" w:rsidRDefault="00755450" w:rsidP="00B10962">
      <w:pPr>
        <w:pStyle w:val="FootnoteText"/>
        <w:rPr>
          <w:rFonts w:ascii="Verdana" w:hAnsi="Verdana"/>
          <w:sz w:val="16"/>
          <w:szCs w:val="16"/>
          <w:lang w:val="es-ES"/>
        </w:rPr>
      </w:pPr>
    </w:p>
  </w:footnote>
  <w:footnote w:id="33">
    <w:p w14:paraId="1B626776" w14:textId="5B2C501B"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Pr>
          <w:rFonts w:ascii="Verdana" w:hAnsi="Verdana"/>
          <w:sz w:val="16"/>
          <w:szCs w:val="16"/>
          <w:lang w:val="es-ES"/>
        </w:rPr>
        <w:t xml:space="preserve"> Art. 29.</w:t>
      </w:r>
      <w:r w:rsidRPr="00032C73">
        <w:rPr>
          <w:rFonts w:ascii="Verdana" w:hAnsi="Verdana"/>
          <w:sz w:val="16"/>
          <w:szCs w:val="16"/>
          <w:lang w:val="es-ES"/>
        </w:rPr>
        <w:t xml:space="preserve">c): </w:t>
      </w:r>
      <w:r w:rsidRPr="00032C73">
        <w:rPr>
          <w:rFonts w:ascii="Verdana" w:hAnsi="Verdana"/>
          <w:i/>
          <w:sz w:val="16"/>
          <w:szCs w:val="16"/>
          <w:lang w:val="es-ES"/>
        </w:rPr>
        <w:t>“Normas de Interpretación. Ninguna disposición de la presente Convención puede ser interpretada en el sentido de: ...</w:t>
      </w:r>
      <w:r>
        <w:rPr>
          <w:rFonts w:ascii="Verdana" w:hAnsi="Verdana"/>
          <w:sz w:val="16"/>
          <w:szCs w:val="16"/>
          <w:lang w:val="es-ES"/>
        </w:rPr>
        <w:t xml:space="preserve"> </w:t>
      </w:r>
      <w:r w:rsidRPr="00032C73">
        <w:rPr>
          <w:rFonts w:ascii="Verdana" w:hAnsi="Verdana"/>
          <w:i/>
          <w:sz w:val="16"/>
          <w:szCs w:val="16"/>
          <w:lang w:val="es-ES"/>
        </w:rPr>
        <w:t xml:space="preserve">excluir otros derechos y garantías que son inherentes al ser humano o que se derivan de la forma democrática representativa de gobierno, </w:t>
      </w:r>
      <w:r w:rsidR="003947FB">
        <w:rPr>
          <w:rFonts w:ascii="Verdana" w:hAnsi="Verdana"/>
          <w:i/>
          <w:sz w:val="16"/>
          <w:szCs w:val="16"/>
          <w:lang w:val="es-ES"/>
        </w:rPr>
        <w:t>[</w:t>
      </w:r>
      <w:r w:rsidRPr="00032C73">
        <w:rPr>
          <w:rFonts w:ascii="Verdana" w:hAnsi="Verdana"/>
          <w:i/>
          <w:sz w:val="16"/>
          <w:szCs w:val="16"/>
          <w:lang w:val="es-ES"/>
        </w:rPr>
        <w:t>...</w:t>
      </w:r>
      <w:r w:rsidR="003947FB">
        <w:rPr>
          <w:rFonts w:ascii="Verdana" w:hAnsi="Verdana"/>
          <w:i/>
          <w:sz w:val="16"/>
          <w:szCs w:val="16"/>
          <w:lang w:val="es-ES"/>
        </w:rPr>
        <w:t>]</w:t>
      </w:r>
      <w:r w:rsidRPr="00032C73">
        <w:rPr>
          <w:rFonts w:ascii="Verdana" w:hAnsi="Verdana"/>
          <w:i/>
          <w:sz w:val="16"/>
          <w:szCs w:val="16"/>
          <w:lang w:val="es-ES"/>
        </w:rPr>
        <w:t>”</w:t>
      </w:r>
    </w:p>
    <w:p w14:paraId="2927E71F" w14:textId="77777777" w:rsidR="00755450" w:rsidRPr="00032C73" w:rsidRDefault="00755450" w:rsidP="00B10962">
      <w:pPr>
        <w:pStyle w:val="FootnoteText"/>
        <w:jc w:val="both"/>
        <w:rPr>
          <w:rFonts w:ascii="Verdana" w:hAnsi="Verdana"/>
          <w:sz w:val="16"/>
          <w:szCs w:val="16"/>
          <w:lang w:val="es-ES"/>
        </w:rPr>
      </w:pPr>
    </w:p>
  </w:footnote>
  <w:footnote w:id="34">
    <w:p w14:paraId="7ADA4E26"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Párrs.142 y 154.</w:t>
      </w:r>
    </w:p>
    <w:p w14:paraId="23F5095C" w14:textId="77777777" w:rsidR="00755450" w:rsidRPr="00032C73" w:rsidRDefault="00755450" w:rsidP="00B10962">
      <w:pPr>
        <w:pStyle w:val="FootnoteText"/>
        <w:jc w:val="both"/>
        <w:rPr>
          <w:rFonts w:ascii="Verdana" w:hAnsi="Verdana"/>
          <w:sz w:val="16"/>
          <w:szCs w:val="16"/>
          <w:lang w:val="es-ES"/>
        </w:rPr>
      </w:pPr>
    </w:p>
  </w:footnote>
  <w:footnote w:id="35">
    <w:p w14:paraId="0A74C426" w14:textId="77777777" w:rsidR="00755450" w:rsidRPr="00032C73" w:rsidRDefault="00755450" w:rsidP="00B10962">
      <w:pPr>
        <w:pStyle w:val="FootnoteText"/>
        <w:jc w:val="both"/>
        <w:rPr>
          <w:rFonts w:ascii="Verdana" w:hAnsi="Verdana"/>
          <w:i/>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Art. 33: “</w:t>
      </w:r>
      <w:r w:rsidRPr="00032C73">
        <w:rPr>
          <w:rFonts w:ascii="Verdana" w:hAnsi="Verdana"/>
          <w:i/>
          <w:sz w:val="16"/>
          <w:szCs w:val="16"/>
          <w:lang w:val="es-ES"/>
        </w:rPr>
        <w:t xml:space="preserve">Son competentes para conocer de los asuntos relacionados con el cumplimiento de los </w:t>
      </w:r>
    </w:p>
    <w:p w14:paraId="3C95A259"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compromisos contraídos por los Estados Partes en esta Convención:</w:t>
      </w:r>
    </w:p>
    <w:p w14:paraId="5382012E"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 a) la Comisión Interamericana de Derechos Humanos, llamada en adelante la Comisión, y</w:t>
      </w:r>
    </w:p>
    <w:p w14:paraId="3D741B2D"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 b) la Corte Interamericana de Derechos Humanos, llamada en adelante la Corte.”</w:t>
      </w:r>
    </w:p>
    <w:p w14:paraId="2A43628B" w14:textId="77777777" w:rsidR="00755450" w:rsidRPr="00032C73" w:rsidRDefault="00755450" w:rsidP="00B10962">
      <w:pPr>
        <w:pStyle w:val="FootnoteText"/>
        <w:jc w:val="both"/>
        <w:rPr>
          <w:rFonts w:ascii="Verdana" w:hAnsi="Verdana"/>
          <w:sz w:val="16"/>
          <w:szCs w:val="16"/>
          <w:lang w:val="es-ES"/>
        </w:rPr>
      </w:pPr>
    </w:p>
  </w:footnote>
  <w:footnote w:id="36">
    <w:p w14:paraId="76283620"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Existe también la posibilidad de que se suscriban protocolos que no impliquen incorporación de derechos al sistema de protección. Así,  por ejemplo, el </w:t>
      </w:r>
      <w:r w:rsidRPr="00032C73">
        <w:rPr>
          <w:rFonts w:ascii="Verdana" w:hAnsi="Verdana"/>
          <w:i/>
          <w:sz w:val="16"/>
          <w:szCs w:val="16"/>
          <w:lang w:val="es-ES"/>
        </w:rPr>
        <w:t>Protocolo a la Convención Americana sobre Derechos Humanos Relativo a la Abolición de la Pena de Muerte</w:t>
      </w:r>
      <w:r w:rsidRPr="00032C73">
        <w:rPr>
          <w:rFonts w:ascii="Verdana" w:hAnsi="Verdana"/>
          <w:sz w:val="16"/>
          <w:szCs w:val="16"/>
          <w:lang w:val="es-ES"/>
        </w:rPr>
        <w:t>, de 1990, se adopta en vista de que, según el párrafo 6º de su Preámbulo, “</w:t>
      </w:r>
      <w:r w:rsidRPr="00032C73">
        <w:rPr>
          <w:rFonts w:ascii="Verdana" w:hAnsi="Verdana"/>
          <w:i/>
          <w:sz w:val="16"/>
          <w:szCs w:val="16"/>
          <w:lang w:val="es-ES"/>
        </w:rPr>
        <w:t>es necesario alcanzar un acuerdo internacional que signifique un desarrollo progresivo de la Convención Americana sobre Derechos Humanos</w:t>
      </w:r>
      <w:r w:rsidRPr="00032C73">
        <w:rPr>
          <w:rFonts w:ascii="Verdana" w:hAnsi="Verdana"/>
          <w:sz w:val="16"/>
          <w:szCs w:val="16"/>
          <w:lang w:val="es-ES"/>
        </w:rPr>
        <w:t>”.</w:t>
      </w:r>
    </w:p>
    <w:p w14:paraId="7FB15C56" w14:textId="77777777" w:rsidR="00755450" w:rsidRPr="00032C73" w:rsidRDefault="00755450" w:rsidP="00B10962">
      <w:pPr>
        <w:pStyle w:val="FootnoteText"/>
        <w:jc w:val="both"/>
        <w:rPr>
          <w:rFonts w:ascii="Verdana" w:hAnsi="Verdana"/>
          <w:sz w:val="16"/>
          <w:szCs w:val="16"/>
          <w:lang w:val="es-ES"/>
        </w:rPr>
      </w:pPr>
    </w:p>
  </w:footnote>
  <w:footnote w:id="37">
    <w:p w14:paraId="5230530A" w14:textId="77777777" w:rsidR="00755450"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Nota a pie de pág. Nº14. </w:t>
      </w:r>
    </w:p>
    <w:p w14:paraId="22EE93F5" w14:textId="77777777" w:rsidR="00755450" w:rsidRPr="00032C73" w:rsidRDefault="00755450" w:rsidP="00B10962">
      <w:pPr>
        <w:pStyle w:val="FootnoteText"/>
        <w:jc w:val="both"/>
        <w:rPr>
          <w:rFonts w:ascii="Verdana" w:hAnsi="Verdana"/>
          <w:sz w:val="16"/>
          <w:szCs w:val="16"/>
          <w:lang w:val="es-ES"/>
        </w:rPr>
      </w:pPr>
    </w:p>
  </w:footnote>
  <w:footnote w:id="38">
    <w:p w14:paraId="35AED201"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Párr. 142. </w:t>
      </w:r>
    </w:p>
    <w:p w14:paraId="0EBB4C74" w14:textId="77777777" w:rsidR="00755450" w:rsidRPr="00032C73" w:rsidRDefault="00755450" w:rsidP="00B10962">
      <w:pPr>
        <w:pStyle w:val="FootnoteText"/>
        <w:jc w:val="both"/>
        <w:rPr>
          <w:rFonts w:ascii="Verdana" w:hAnsi="Verdana"/>
          <w:sz w:val="16"/>
          <w:szCs w:val="16"/>
          <w:lang w:val="es-ES"/>
        </w:rPr>
      </w:pPr>
    </w:p>
  </w:footnote>
  <w:footnote w:id="39">
    <w:p w14:paraId="4270BAAF"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Considerando 7º: “</w:t>
      </w:r>
      <w:r w:rsidRPr="00032C73">
        <w:rPr>
          <w:rFonts w:ascii="Verdana" w:hAnsi="Verdana"/>
          <w:i/>
          <w:sz w:val="16"/>
          <w:szCs w:val="16"/>
          <w:lang w:val="es-ES"/>
        </w:rPr>
        <w:t>Considerando que la Convención Americana sobre Derechos Humanos establece que pueden someterse a la consideración de los Estados partes reunidos con ocasión de la Asamblea General de la Organización de los Estados Americanos proyectos de protocolos adicionales a esa Convención con la finalidad de incluir progresivamente en el régimen de protección de la misma otros derechos y libertades</w:t>
      </w:r>
      <w:r w:rsidRPr="00032C73">
        <w:rPr>
          <w:rFonts w:ascii="Verdana" w:hAnsi="Verdana"/>
          <w:sz w:val="16"/>
          <w:szCs w:val="16"/>
          <w:lang w:val="es-ES"/>
        </w:rPr>
        <w:t>.”</w:t>
      </w:r>
    </w:p>
    <w:p w14:paraId="79B69C6B" w14:textId="77777777" w:rsidR="00755450" w:rsidRPr="00032C73" w:rsidRDefault="00755450" w:rsidP="00B10962">
      <w:pPr>
        <w:pStyle w:val="FootnoteText"/>
        <w:jc w:val="both"/>
        <w:rPr>
          <w:rFonts w:ascii="Verdana" w:hAnsi="Verdana"/>
          <w:i/>
          <w:sz w:val="16"/>
          <w:szCs w:val="16"/>
          <w:lang w:val="es-ES"/>
        </w:rPr>
      </w:pPr>
    </w:p>
  </w:footnote>
  <w:footnote w:id="40">
    <w:p w14:paraId="6D9BB4B2" w14:textId="77777777" w:rsidR="00755450" w:rsidRPr="00032C73" w:rsidRDefault="00755450" w:rsidP="00B10962">
      <w:pPr>
        <w:pStyle w:val="FootnoteText"/>
        <w:jc w:val="both"/>
        <w:rPr>
          <w:rFonts w:ascii="Verdana" w:hAnsi="Verdana"/>
          <w:i/>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Art.1 del Protocolo de San Salvador: “</w:t>
      </w:r>
      <w:r w:rsidRPr="00032C73">
        <w:rPr>
          <w:rFonts w:ascii="Verdana" w:hAnsi="Verdana"/>
          <w:i/>
          <w:sz w:val="16"/>
          <w:szCs w:val="16"/>
          <w:lang w:val="es-ES"/>
        </w:rPr>
        <w:t>Obligación de Adoptar Medidas. 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14:paraId="09700C39" w14:textId="77777777" w:rsidR="00755450" w:rsidRPr="00032C73" w:rsidRDefault="00755450" w:rsidP="00B10962">
      <w:pPr>
        <w:pStyle w:val="FootnoteText"/>
        <w:jc w:val="both"/>
        <w:rPr>
          <w:rFonts w:ascii="Verdana" w:hAnsi="Verdana"/>
          <w:sz w:val="16"/>
          <w:szCs w:val="16"/>
          <w:lang w:val="es-ES"/>
        </w:rPr>
      </w:pPr>
    </w:p>
  </w:footnote>
  <w:footnote w:id="41">
    <w:p w14:paraId="2A91AE6A" w14:textId="77777777" w:rsidR="00755450" w:rsidRPr="00032C73" w:rsidRDefault="00755450" w:rsidP="00B10962">
      <w:pPr>
        <w:pStyle w:val="FootnoteText"/>
        <w:jc w:val="both"/>
        <w:rPr>
          <w:rFonts w:ascii="Verdana" w:hAnsi="Verdana"/>
          <w:i/>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Art.19.6 de dicho Protocolo: “</w:t>
      </w:r>
      <w:r w:rsidRPr="00032C73">
        <w:rPr>
          <w:rFonts w:ascii="Verdana" w:hAnsi="Verdana"/>
          <w:i/>
          <w:sz w:val="16"/>
          <w:szCs w:val="16"/>
          <w:lang w:val="es-ES"/>
        </w:rPr>
        <w:t>En el caso de que los derechos establecidos en el párrafo a) del artículo 8 y en el artículo 13 fuesen violados por una acción imputable directamente a un Estado parte del presente Protocolo, tal situación podría dar lugar, mediante la participación de la Comisión Interamericana de Derechos Humanos, y cuando proceda de la Corte Interamericana de Derechos Humanos, a la aplicación del sistema de peticiones individuales regulado por los artículos 44 a 51 y 61 a 69 de la Convención Americana sobre Derechos Humanos.”</w:t>
      </w:r>
    </w:p>
    <w:p w14:paraId="31DCEBD4" w14:textId="77777777" w:rsidR="00755450" w:rsidRPr="00032C73" w:rsidRDefault="00755450" w:rsidP="00B10962">
      <w:pPr>
        <w:pStyle w:val="FootnoteText"/>
        <w:jc w:val="both"/>
        <w:rPr>
          <w:rFonts w:ascii="Verdana" w:hAnsi="Verdana"/>
          <w:i/>
          <w:sz w:val="16"/>
          <w:szCs w:val="16"/>
          <w:lang w:val="es-ES"/>
        </w:rPr>
      </w:pPr>
    </w:p>
  </w:footnote>
  <w:footnote w:id="42">
    <w:p w14:paraId="034FFD42"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Art.8.a) del mismo Protocolo: “</w:t>
      </w:r>
      <w:r w:rsidRPr="00032C73">
        <w:rPr>
          <w:rFonts w:ascii="Verdana" w:hAnsi="Verdana"/>
          <w:i/>
          <w:sz w:val="16"/>
          <w:szCs w:val="16"/>
          <w:lang w:val="es-ES"/>
        </w:rPr>
        <w:t>Los Estados partes garantizarán: a. el derecho de los trabajadores a organizar sindicatos y a afiliarse al de su elección, para la protección y promoción de sus intereses. Como proyección de este derecho, los Estados partes permitirán a los sindicatos formar federaciones y confederaciones nacionales y asociarse a las ya existentes, así como formar organizaciones sindicales  internacionales y asociarse a la de su elección. Los Estados partes también permitirán que los sindicatos, federaciones y confederaciones funcionen libremente</w:t>
      </w:r>
      <w:r w:rsidRPr="00032C73">
        <w:rPr>
          <w:rFonts w:ascii="Verdana" w:hAnsi="Verdana"/>
          <w:sz w:val="16"/>
          <w:szCs w:val="16"/>
          <w:lang w:val="es-ES"/>
        </w:rPr>
        <w:t>;”.</w:t>
      </w:r>
    </w:p>
    <w:p w14:paraId="2EB38D44" w14:textId="77777777" w:rsidR="00755450" w:rsidRPr="00032C73" w:rsidRDefault="00755450" w:rsidP="00B10962">
      <w:pPr>
        <w:pStyle w:val="FootnoteText"/>
        <w:jc w:val="both"/>
        <w:rPr>
          <w:rFonts w:ascii="Verdana" w:hAnsi="Verdana"/>
          <w:sz w:val="16"/>
          <w:szCs w:val="16"/>
          <w:lang w:val="es-ES"/>
        </w:rPr>
      </w:pPr>
    </w:p>
  </w:footnote>
  <w:footnote w:id="43">
    <w:p w14:paraId="393F3DB3" w14:textId="77777777" w:rsidR="00755450" w:rsidRPr="00032C73" w:rsidRDefault="00755450" w:rsidP="00B10962">
      <w:pPr>
        <w:pStyle w:val="FootnoteText"/>
        <w:jc w:val="both"/>
        <w:rPr>
          <w:rFonts w:ascii="Verdana" w:hAnsi="Verdana"/>
          <w:i/>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Art.13 de tal Protocolo: </w:t>
      </w:r>
      <w:r w:rsidRPr="00032C73">
        <w:rPr>
          <w:rFonts w:ascii="Verdana" w:hAnsi="Verdana"/>
          <w:i/>
          <w:sz w:val="16"/>
          <w:szCs w:val="16"/>
          <w:lang w:val="es-ES"/>
        </w:rPr>
        <w:t>“Derecho a la Educación. 1. Toda persona tiene derecho a la educación. 2. Los Estados partes en el presente Protocolo convienen en que la educación deberá orientarse hacia el pleno desarrollo de la personalidad humana y del sentido de su dignidad y deberá fortalecer el respeto por los derechos humanos, el pluralismo ideológico, las libertades fundamentales, la justicia y la paz. Convienen, asimismo, en que la educación debe capacitar a todas las personas para participar efectivamente en una sociedad democrática y pluralista, lograr una subsistencia digna, favorecer la comprensión, la tolerancia y la amistad entre todas las naciones y todos los grupos raciales, étnicos o religiosos y promover las actividades en favor del mantenimiento de la paz. 3. Los Estados partes en el presente Protocolo reconocen que, con objeto de lograr el pleno ejercicio del derecho a la educación: a. la enseñanza primaria debe ser obligatoria y asequible a todos gratuitamente; b. la enseñanza secundaria en sus diferentes formas, incluso la enseñanza secundaria técnica y profesional, debe ser generalizada y hacerse accesible a todos, por cuantos medios sean apropiados, y en particular por la implantación progresiva de la enseñanza gratuita; c. la enseñanza superior debe hacerse igualmente accesible a todos, sobre la base de la capacidad de cada uno, por cuantos medios sean apropiados y en particular, por la implantación progresiva de la enseñanza gratuita; d. se deberá fomentar o intensificar, en la medida de lo posible, la educación básica para aquellas personas que no hayan recibido o terminado el ciclo completo de instrucción primaria; e. se deberán establecer programas de enseñanza diferenciada para los minusválidos a fin de proporcionar una especial instrucción y formación a personas con impedimentos físicos o deficiencias mentales. 4. Conforme con la legislación interna de los Estados partes, los padres tendrán derecho a escoger el tipo de educación que habrá de darse a sus hijos, siempre que ella se adecue a los principios enunciados precedentemente. 5. Nada de lo dispuesto en este Protocolo se interpretará como una restricción de la libertad de los particulares y entidades para establecer y dirigir instituciones de enseñanza, de acuerdo con la legislación interna de los Estados partes.”</w:t>
      </w:r>
    </w:p>
    <w:p w14:paraId="4A2EDE42" w14:textId="77777777" w:rsidR="00755450" w:rsidRPr="00032C73" w:rsidRDefault="00755450" w:rsidP="00B10962">
      <w:pPr>
        <w:pStyle w:val="FootnoteText"/>
        <w:jc w:val="both"/>
        <w:rPr>
          <w:rFonts w:ascii="Verdana" w:hAnsi="Verdana"/>
          <w:i/>
          <w:sz w:val="16"/>
          <w:szCs w:val="16"/>
          <w:lang w:val="es-ES"/>
        </w:rPr>
      </w:pPr>
    </w:p>
  </w:footnote>
  <w:footnote w:id="44">
    <w:p w14:paraId="031168D7"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Nota a pie de pág. Nº 5.</w:t>
      </w:r>
    </w:p>
    <w:p w14:paraId="4DEFB1EF" w14:textId="77777777" w:rsidR="00755450" w:rsidRPr="00032C73" w:rsidRDefault="00755450" w:rsidP="00B10962">
      <w:pPr>
        <w:pStyle w:val="FootnoteText"/>
        <w:jc w:val="both"/>
        <w:rPr>
          <w:rFonts w:ascii="Verdana" w:hAnsi="Verdana"/>
          <w:sz w:val="16"/>
          <w:szCs w:val="16"/>
          <w:lang w:val="es-ES"/>
        </w:rPr>
      </w:pPr>
    </w:p>
  </w:footnote>
  <w:footnote w:id="45">
    <w:p w14:paraId="7F89EFA5" w14:textId="77777777" w:rsidR="00755450" w:rsidRPr="00032C73" w:rsidRDefault="00755450" w:rsidP="00B10962">
      <w:pPr>
        <w:pStyle w:val="FootnoteText"/>
        <w:jc w:val="both"/>
        <w:rPr>
          <w:rFonts w:ascii="Verdana" w:hAnsi="Verdana"/>
          <w:i/>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Nota a pie de pág. Nº 3.</w:t>
      </w:r>
    </w:p>
    <w:p w14:paraId="69BB8B45" w14:textId="77777777" w:rsidR="00755450" w:rsidRPr="00032C73" w:rsidRDefault="00755450" w:rsidP="00B10962">
      <w:pPr>
        <w:pStyle w:val="FootnoteText"/>
        <w:jc w:val="both"/>
        <w:rPr>
          <w:rFonts w:ascii="Verdana" w:hAnsi="Verdana"/>
          <w:sz w:val="16"/>
          <w:szCs w:val="16"/>
          <w:lang w:val="es-ES"/>
        </w:rPr>
      </w:pPr>
    </w:p>
  </w:footnote>
  <w:footnote w:id="46">
    <w:p w14:paraId="5ADAB958" w14:textId="77777777" w:rsidR="00755450" w:rsidRDefault="00755450" w:rsidP="00B10962">
      <w:pPr>
        <w:pStyle w:val="FootnoteText"/>
        <w:jc w:val="both"/>
        <w:rPr>
          <w:rFonts w:ascii="Verdana" w:hAnsi="Verdana"/>
          <w:i/>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w:t>
      </w:r>
      <w:proofErr w:type="spellStart"/>
      <w:r w:rsidRPr="00032C73">
        <w:rPr>
          <w:rFonts w:ascii="Verdana" w:hAnsi="Verdana"/>
          <w:i/>
          <w:sz w:val="16"/>
          <w:szCs w:val="16"/>
          <w:lang w:val="es-ES"/>
        </w:rPr>
        <w:t>Idem</w:t>
      </w:r>
      <w:proofErr w:type="spellEnd"/>
      <w:r w:rsidRPr="00032C73">
        <w:rPr>
          <w:rFonts w:ascii="Verdana" w:hAnsi="Verdana"/>
          <w:i/>
          <w:sz w:val="16"/>
          <w:szCs w:val="16"/>
          <w:lang w:val="es-ES"/>
        </w:rPr>
        <w:t>.</w:t>
      </w:r>
    </w:p>
    <w:p w14:paraId="140558A9" w14:textId="77777777" w:rsidR="00755450" w:rsidRPr="00032C73" w:rsidRDefault="00755450" w:rsidP="00B10962">
      <w:pPr>
        <w:pStyle w:val="FootnoteText"/>
        <w:jc w:val="both"/>
        <w:rPr>
          <w:rFonts w:ascii="Verdana" w:hAnsi="Verdana"/>
          <w:i/>
          <w:sz w:val="16"/>
          <w:szCs w:val="16"/>
          <w:lang w:val="es-ES"/>
        </w:rPr>
      </w:pPr>
    </w:p>
  </w:footnote>
  <w:footnote w:id="47">
    <w:p w14:paraId="71A764AD" w14:textId="2D076A56" w:rsidR="008A4C41" w:rsidRPr="009F2FA6" w:rsidRDefault="00755450" w:rsidP="001A5227">
      <w:pPr>
        <w:pStyle w:val="FootnoteText"/>
        <w:jc w:val="both"/>
        <w:rPr>
          <w:rFonts w:ascii="Verdana" w:hAnsi="Verdana"/>
          <w:i/>
          <w:sz w:val="16"/>
          <w:szCs w:val="16"/>
          <w:lang w:val="es-ES"/>
        </w:rPr>
      </w:pPr>
      <w:r w:rsidRPr="00497025">
        <w:rPr>
          <w:rStyle w:val="FootnoteReference"/>
        </w:rPr>
        <w:footnoteRef/>
      </w:r>
      <w:r w:rsidRPr="009F2FA6">
        <w:rPr>
          <w:rStyle w:val="FootnoteReference"/>
          <w:lang w:val="es-CR"/>
        </w:rPr>
        <w:t xml:space="preserve"> </w:t>
      </w:r>
      <w:r w:rsidRPr="009F2FA6">
        <w:rPr>
          <w:rFonts w:ascii="Verdana" w:hAnsi="Verdana"/>
          <w:i/>
          <w:sz w:val="16"/>
          <w:szCs w:val="16"/>
          <w:lang w:val="es-ES"/>
        </w:rPr>
        <w:t>“Deber de Adoptar Disposiciones de Derecho Interno.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14:paraId="10873784" w14:textId="77777777" w:rsidR="001A5227" w:rsidRPr="00497025" w:rsidRDefault="001A5227" w:rsidP="001A5227">
      <w:pPr>
        <w:pStyle w:val="FootnoteText"/>
        <w:jc w:val="both"/>
        <w:rPr>
          <w:rFonts w:ascii="Verdana" w:hAnsi="Verdana"/>
          <w:sz w:val="16"/>
          <w:szCs w:val="16"/>
          <w:lang w:val="es-ES"/>
        </w:rPr>
      </w:pPr>
    </w:p>
  </w:footnote>
  <w:footnote w:id="48">
    <w:p w14:paraId="2D041D13" w14:textId="1F0271B3" w:rsidR="00432286" w:rsidRPr="009F2FA6" w:rsidRDefault="00432286" w:rsidP="001A5227">
      <w:pPr>
        <w:pStyle w:val="FootnoteText"/>
        <w:jc w:val="both"/>
        <w:rPr>
          <w:rFonts w:ascii="Verdana" w:hAnsi="Verdana"/>
          <w:i/>
          <w:sz w:val="16"/>
          <w:szCs w:val="16"/>
          <w:lang w:val="es-ES"/>
        </w:rPr>
      </w:pPr>
      <w:r w:rsidRPr="00497025">
        <w:rPr>
          <w:rStyle w:val="FootnoteReference"/>
          <w:rFonts w:ascii="Verdana" w:hAnsi="Verdana"/>
          <w:sz w:val="16"/>
          <w:szCs w:val="16"/>
        </w:rPr>
        <w:footnoteRef/>
      </w:r>
      <w:r w:rsidRPr="009F2FA6">
        <w:rPr>
          <w:rStyle w:val="FootnoteReference"/>
          <w:lang w:val="es-CR"/>
        </w:rPr>
        <w:t xml:space="preserve"> </w:t>
      </w:r>
      <w:r w:rsidRPr="009F2FA6">
        <w:rPr>
          <w:rFonts w:ascii="Verdana" w:hAnsi="Verdana"/>
          <w:i/>
          <w:sz w:val="16"/>
          <w:szCs w:val="16"/>
          <w:lang w:val="es-ES"/>
        </w:rPr>
        <w:t>Art.32 de la Convención de Viena sobre el Derecho de los Tratados: “Medios de interpretación complementarios. Se podrán acudir a medios de interpretación complementarios, en particular a los trabajos preparatorios del tratado y a las circunstancias de su celebración, para confirmar el sentido resultante de la aplicación del artículo 31, o para determinar el sentido cuando la interpretación dada de</w:t>
      </w:r>
      <w:r w:rsidR="001A5227" w:rsidRPr="009F2FA6">
        <w:rPr>
          <w:rFonts w:ascii="Verdana" w:hAnsi="Verdana"/>
          <w:i/>
          <w:sz w:val="16"/>
          <w:szCs w:val="16"/>
          <w:lang w:val="es-ES"/>
        </w:rPr>
        <w:t xml:space="preserve"> </w:t>
      </w:r>
      <w:r w:rsidRPr="009F2FA6">
        <w:rPr>
          <w:rFonts w:ascii="Verdana" w:hAnsi="Verdana"/>
          <w:i/>
          <w:sz w:val="16"/>
          <w:szCs w:val="16"/>
          <w:lang w:val="es-ES"/>
        </w:rPr>
        <w:t>conformidad con el artículo 31:</w:t>
      </w:r>
    </w:p>
    <w:p w14:paraId="11DC293D" w14:textId="77777777" w:rsidR="00432286" w:rsidRPr="009F2FA6" w:rsidRDefault="00432286" w:rsidP="001A5227">
      <w:pPr>
        <w:pStyle w:val="FootnoteText"/>
        <w:jc w:val="both"/>
        <w:rPr>
          <w:rFonts w:ascii="Verdana" w:hAnsi="Verdana"/>
          <w:i/>
          <w:sz w:val="16"/>
          <w:szCs w:val="16"/>
          <w:lang w:val="es-ES"/>
        </w:rPr>
      </w:pPr>
      <w:r w:rsidRPr="009F2FA6">
        <w:rPr>
          <w:rFonts w:ascii="Verdana" w:hAnsi="Verdana"/>
          <w:i/>
          <w:sz w:val="16"/>
          <w:szCs w:val="16"/>
          <w:lang w:val="es-ES"/>
        </w:rPr>
        <w:t>a) deje ambiguo u oscuro el sentido; o</w:t>
      </w:r>
    </w:p>
    <w:p w14:paraId="4626B9A4" w14:textId="77777777" w:rsidR="00432286" w:rsidRPr="009F2FA6" w:rsidRDefault="00432286" w:rsidP="001A5227">
      <w:pPr>
        <w:pStyle w:val="FootnoteText"/>
        <w:jc w:val="both"/>
        <w:rPr>
          <w:rFonts w:ascii="Verdana" w:hAnsi="Verdana"/>
          <w:i/>
          <w:sz w:val="16"/>
          <w:szCs w:val="16"/>
          <w:lang w:val="es-ES"/>
        </w:rPr>
      </w:pPr>
      <w:r w:rsidRPr="009F2FA6">
        <w:rPr>
          <w:rFonts w:ascii="Verdana" w:hAnsi="Verdana"/>
          <w:i/>
          <w:sz w:val="16"/>
          <w:szCs w:val="16"/>
          <w:lang w:val="es-ES"/>
        </w:rPr>
        <w:t>b) conduzca a un resultado manifiestamente absurdo o irrazonable.”</w:t>
      </w:r>
    </w:p>
    <w:p w14:paraId="56AC900F" w14:textId="77777777" w:rsidR="00432286" w:rsidRPr="00432286" w:rsidRDefault="00432286" w:rsidP="001A5227">
      <w:pPr>
        <w:pStyle w:val="FootnoteText"/>
        <w:jc w:val="both"/>
        <w:rPr>
          <w:rFonts w:ascii="Verdana" w:hAnsi="Verdana"/>
          <w:i/>
          <w:sz w:val="16"/>
          <w:szCs w:val="16"/>
          <w:lang w:val="es-ES"/>
        </w:rPr>
      </w:pPr>
    </w:p>
  </w:footnote>
  <w:footnote w:id="49">
    <w:p w14:paraId="351F743B" w14:textId="65A8BEA7" w:rsidR="00755450" w:rsidRPr="00032C73" w:rsidRDefault="00755450" w:rsidP="001A5227">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Voto concurrente del Juez Alberto Pérez </w:t>
      </w:r>
      <w:proofErr w:type="spellStart"/>
      <w:r w:rsidRPr="00032C73">
        <w:rPr>
          <w:rFonts w:ascii="Verdana" w:hAnsi="Verdana"/>
          <w:sz w:val="16"/>
          <w:szCs w:val="16"/>
          <w:lang w:val="es-ES"/>
        </w:rPr>
        <w:t>Pérez</w:t>
      </w:r>
      <w:proofErr w:type="spellEnd"/>
      <w:r w:rsidRPr="00032C73">
        <w:rPr>
          <w:rFonts w:ascii="Verdana" w:hAnsi="Verdana"/>
          <w:sz w:val="16"/>
          <w:szCs w:val="16"/>
          <w:lang w:val="es-ES"/>
        </w:rPr>
        <w:t xml:space="preserve">, </w:t>
      </w:r>
      <w:r w:rsidRPr="00032C73">
        <w:rPr>
          <w:rFonts w:ascii="Verdana" w:hAnsi="Verdana"/>
          <w:i/>
          <w:sz w:val="16"/>
          <w:szCs w:val="16"/>
          <w:lang w:val="es-ES"/>
        </w:rPr>
        <w:t xml:space="preserve">Caso Gonzales </w:t>
      </w:r>
      <w:proofErr w:type="spellStart"/>
      <w:r w:rsidRPr="00032C73">
        <w:rPr>
          <w:rFonts w:ascii="Verdana" w:hAnsi="Verdana"/>
          <w:i/>
          <w:sz w:val="16"/>
          <w:szCs w:val="16"/>
          <w:lang w:val="es-ES"/>
        </w:rPr>
        <w:t>Lluy</w:t>
      </w:r>
      <w:proofErr w:type="spellEnd"/>
      <w:r w:rsidRPr="00032C73">
        <w:rPr>
          <w:rFonts w:ascii="Verdana" w:hAnsi="Verdana"/>
          <w:i/>
          <w:sz w:val="16"/>
          <w:szCs w:val="16"/>
          <w:lang w:val="es-ES"/>
        </w:rPr>
        <w:t xml:space="preserve"> y Otros Vs. Ecuador,</w:t>
      </w:r>
      <w:r w:rsidRPr="00032C73">
        <w:rPr>
          <w:rFonts w:ascii="Verdana" w:hAnsi="Verdana"/>
          <w:sz w:val="16"/>
          <w:szCs w:val="16"/>
          <w:lang w:val="es-ES"/>
        </w:rPr>
        <w:t xml:space="preserve"> Sentencia de 1 de septiembre de 2015</w:t>
      </w:r>
      <w:proofErr w:type="gramStart"/>
      <w:r w:rsidRPr="00032C73">
        <w:rPr>
          <w:rFonts w:ascii="Verdana" w:hAnsi="Verdana"/>
          <w:sz w:val="16"/>
          <w:szCs w:val="16"/>
          <w:lang w:val="es-ES"/>
        </w:rPr>
        <w:t>,(</w:t>
      </w:r>
      <w:proofErr w:type="gramEnd"/>
      <w:r w:rsidRPr="00032C73">
        <w:rPr>
          <w:rFonts w:ascii="Verdana" w:hAnsi="Verdana"/>
          <w:sz w:val="16"/>
          <w:szCs w:val="16"/>
          <w:lang w:val="es-ES"/>
        </w:rPr>
        <w:t>Excepciones Preliminares, Fondo, Reparaciones y Costas)</w:t>
      </w:r>
      <w:r w:rsidR="000D6B3A">
        <w:rPr>
          <w:rFonts w:ascii="Verdana" w:hAnsi="Verdana"/>
          <w:sz w:val="16"/>
          <w:szCs w:val="16"/>
          <w:lang w:val="es-ES"/>
        </w:rPr>
        <w:t>.</w:t>
      </w:r>
      <w:bookmarkStart w:id="0" w:name="_GoBack"/>
      <w:bookmarkEnd w:id="0"/>
    </w:p>
    <w:p w14:paraId="12BABAAD" w14:textId="77777777" w:rsidR="00755450" w:rsidRPr="00032C73" w:rsidRDefault="00755450" w:rsidP="00B10962">
      <w:pPr>
        <w:pStyle w:val="FootnoteText"/>
        <w:jc w:val="both"/>
        <w:rPr>
          <w:rFonts w:ascii="Verdana" w:hAnsi="Verdana"/>
          <w:i/>
          <w:sz w:val="16"/>
          <w:szCs w:val="16"/>
          <w:lang w:val="es-ES"/>
        </w:rPr>
      </w:pPr>
    </w:p>
  </w:footnote>
  <w:footnote w:id="50">
    <w:p w14:paraId="20983E04" w14:textId="77777777" w:rsidR="00755450" w:rsidRPr="00032C73" w:rsidRDefault="00755450" w:rsidP="00B10962">
      <w:pPr>
        <w:pStyle w:val="FootnoteText"/>
        <w:jc w:val="both"/>
        <w:rPr>
          <w:rFonts w:ascii="Verdana" w:hAnsi="Verdana"/>
          <w:i/>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w:t>
      </w:r>
      <w:r w:rsidRPr="00032C73">
        <w:rPr>
          <w:rFonts w:ascii="Verdana" w:hAnsi="Verdana"/>
          <w:i/>
          <w:sz w:val="16"/>
          <w:szCs w:val="16"/>
          <w:lang w:val="es-ES"/>
        </w:rPr>
        <w:t>Los Estados miembros, convencidos de que el hombre sólo puede alcanzar la plena realización de sus aspiraciones dentro de un orden social justo, acompañado de desarrollo económico y verdadera paz, convienen en dedicar sus máximos esfuerzos a la aplicación de los siguientes principios y mecanismos:</w:t>
      </w:r>
    </w:p>
    <w:p w14:paraId="0B8FD7A7"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b) El trabajo es un derecho y un deber social, otorga dignidad a quien lo realiza y debe prestarse en condiciones que, incluyendo un régimen de salarios justos, aseguren la vida, la salud y un nivel económico decoroso para el trabajador y su familia, tanto en sus años de trabajo como en su vejez, o cuando cualquier circunstancia lo prive de la posibilidad de trabajar; c) Los empleadores y los trabajadores, tanto rurales como urbanos, tienen el derecho de asociarse libremente para la defensa y promoción de sus intereses, incluyendo el derecho de negociación colectiva y el de huelga por parte de los trabajadores, el reconocimiento de la personería jurídica de las asociaciones y la protección de su libertad e independencia, todo de conformidad con la legislación respectiva;”</w:t>
      </w:r>
    </w:p>
    <w:p w14:paraId="2850DDFD" w14:textId="77777777" w:rsidR="00755450" w:rsidRPr="00032C73" w:rsidRDefault="00755450" w:rsidP="00B10962">
      <w:pPr>
        <w:pStyle w:val="FootnoteText"/>
        <w:jc w:val="both"/>
        <w:rPr>
          <w:rFonts w:ascii="Verdana" w:hAnsi="Verdana"/>
          <w:sz w:val="16"/>
          <w:szCs w:val="16"/>
          <w:lang w:val="es-ES"/>
        </w:rPr>
      </w:pPr>
    </w:p>
  </w:footnote>
  <w:footnote w:id="51">
    <w:p w14:paraId="4160EEDA" w14:textId="77777777" w:rsidR="00755450" w:rsidRPr="00032C73" w:rsidRDefault="00755450" w:rsidP="00B10962">
      <w:pPr>
        <w:pStyle w:val="FootnoteText"/>
        <w:jc w:val="both"/>
        <w:rPr>
          <w:rFonts w:ascii="Verdana" w:hAnsi="Verdana"/>
          <w:i/>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w:t>
      </w:r>
      <w:r w:rsidRPr="00032C73">
        <w:rPr>
          <w:rFonts w:ascii="Verdana" w:hAnsi="Verdana"/>
          <w:i/>
          <w:sz w:val="16"/>
          <w:szCs w:val="16"/>
          <w:lang w:val="es-ES"/>
        </w:rPr>
        <w:t>“Los Estados miembros reconocen que, para facilitar el proceso de la integración regional latinoamericana, es necesario armonizar la legislación social de los países en desarrollo, especialmente en el campo laboral y de la seguridad social, a fin de que los derechos de los trabajadores sean igualmente protegidos, y convienen en realizar los máximos esfuerzos para alcanzar esta finalidad.”</w:t>
      </w:r>
    </w:p>
    <w:p w14:paraId="3EB80706" w14:textId="77777777" w:rsidR="00755450" w:rsidRPr="00032C73" w:rsidRDefault="00755450" w:rsidP="00B10962">
      <w:pPr>
        <w:pStyle w:val="FootnoteText"/>
        <w:jc w:val="both"/>
        <w:rPr>
          <w:rFonts w:ascii="Verdana" w:hAnsi="Verdana"/>
          <w:i/>
          <w:sz w:val="16"/>
          <w:szCs w:val="16"/>
          <w:lang w:val="es-ES"/>
        </w:rPr>
      </w:pPr>
    </w:p>
  </w:footnote>
  <w:footnote w:id="52">
    <w:p w14:paraId="34F24540" w14:textId="632D11F9" w:rsidR="00755450" w:rsidRPr="00032C73" w:rsidRDefault="00755450" w:rsidP="00B10962">
      <w:pPr>
        <w:pStyle w:val="FootnoteText"/>
        <w:jc w:val="both"/>
        <w:rPr>
          <w:rFonts w:ascii="Verdana" w:hAnsi="Verdana"/>
          <w:i/>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w:t>
      </w:r>
      <w:r w:rsidRPr="00032C73">
        <w:rPr>
          <w:rFonts w:ascii="Verdana" w:hAnsi="Verdana"/>
          <w:i/>
          <w:sz w:val="16"/>
          <w:szCs w:val="16"/>
          <w:lang w:val="es-ES"/>
        </w:rPr>
        <w:t>“Los Estados miembros convienen en que la igualdad de oportunidades, la eliminación de la pobreza crítica y la distribución equitativa de la riqueza y del ingreso, así como la plena participación de sus pueblos en las decisiones relativas a su propio desarrollo, son, entre otros, objetivos básicos del desarrollo integral. Para lograrlos, convienen asimismo en dedicar sus máximos esfuerzos a la consecución de las sigui</w:t>
      </w:r>
      <w:r w:rsidR="003947FB">
        <w:rPr>
          <w:rFonts w:ascii="Verdana" w:hAnsi="Verdana"/>
          <w:i/>
          <w:sz w:val="16"/>
          <w:szCs w:val="16"/>
          <w:lang w:val="es-ES"/>
        </w:rPr>
        <w:t xml:space="preserve">entes metas básicas: ... g) </w:t>
      </w:r>
      <w:r w:rsidRPr="00032C73">
        <w:rPr>
          <w:rFonts w:ascii="Verdana" w:hAnsi="Verdana"/>
          <w:i/>
          <w:sz w:val="16"/>
          <w:szCs w:val="16"/>
          <w:lang w:val="es-ES"/>
        </w:rPr>
        <w:t>Salarios justos, oportunidades de empleo y condiciones de trabajo aceptables para todos;”</w:t>
      </w:r>
    </w:p>
    <w:p w14:paraId="4D577A72" w14:textId="77777777" w:rsidR="00755450" w:rsidRPr="00032C73" w:rsidRDefault="00755450" w:rsidP="00B10962">
      <w:pPr>
        <w:pStyle w:val="FootnoteText"/>
        <w:jc w:val="both"/>
        <w:rPr>
          <w:rFonts w:ascii="Verdana" w:hAnsi="Verdana"/>
          <w:sz w:val="16"/>
          <w:szCs w:val="16"/>
          <w:lang w:val="es-ES"/>
        </w:rPr>
      </w:pPr>
    </w:p>
  </w:footnote>
  <w:footnote w:id="53">
    <w:p w14:paraId="30014B38" w14:textId="77777777" w:rsidR="003B2532" w:rsidRDefault="003B2532" w:rsidP="004248FA">
      <w:pPr>
        <w:pStyle w:val="FootnoteText"/>
        <w:jc w:val="both"/>
        <w:rPr>
          <w:rFonts w:ascii="Verdana" w:hAnsi="Verdana"/>
          <w:i/>
          <w:sz w:val="16"/>
          <w:szCs w:val="16"/>
          <w:lang w:val="es-ES"/>
        </w:rPr>
      </w:pPr>
      <w:r w:rsidRPr="003B2532">
        <w:rPr>
          <w:rStyle w:val="FootnoteReference"/>
          <w:rFonts w:ascii="Verdana" w:hAnsi="Verdana"/>
          <w:i/>
          <w:sz w:val="16"/>
          <w:szCs w:val="16"/>
        </w:rPr>
        <w:footnoteRef/>
      </w:r>
      <w:r w:rsidRPr="003B2532">
        <w:rPr>
          <w:rFonts w:ascii="Verdana" w:hAnsi="Verdana"/>
          <w:i/>
          <w:sz w:val="16"/>
          <w:szCs w:val="16"/>
          <w:lang w:val="es-ES"/>
        </w:rPr>
        <w:t>“Los Estados miembros, inspirados en los principios de solidaridad y cooperación interamericanas, se comprometen a aunar esfuerzos para lograr que impere la justicia social internacional en sus relaciones y para que sus pueblos alcancen un desarrollo integral, condiciones indispensables para la paz y la seguridad. El desarrollo integral abarca los campos económico, social, educacional, cultural, científico y tecnológico, en los cuales deben obtenerse las metas que cada país defina para lograrlo.”</w:t>
      </w:r>
    </w:p>
    <w:p w14:paraId="6BAC919C" w14:textId="77777777" w:rsidR="004248FA" w:rsidRPr="003B2532" w:rsidRDefault="004248FA" w:rsidP="004248FA">
      <w:pPr>
        <w:pStyle w:val="FootnoteText"/>
        <w:jc w:val="both"/>
        <w:rPr>
          <w:rFonts w:ascii="Verdana" w:hAnsi="Verdana"/>
          <w:i/>
          <w:sz w:val="16"/>
          <w:szCs w:val="16"/>
          <w:lang w:val="es-ES"/>
        </w:rPr>
      </w:pPr>
    </w:p>
  </w:footnote>
  <w:footnote w:id="54">
    <w:p w14:paraId="3CAF7B16" w14:textId="77777777" w:rsidR="00755450" w:rsidRPr="00032C73" w:rsidRDefault="00755450" w:rsidP="004248FA">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Nota de pie de pág. Nº 9.</w:t>
      </w:r>
    </w:p>
    <w:p w14:paraId="3311C95E" w14:textId="77777777" w:rsidR="00755450" w:rsidRPr="00032C73" w:rsidRDefault="00755450" w:rsidP="004248FA">
      <w:pPr>
        <w:pStyle w:val="FootnoteText"/>
        <w:jc w:val="both"/>
        <w:rPr>
          <w:rFonts w:ascii="Verdana" w:hAnsi="Verdana"/>
          <w:sz w:val="16"/>
          <w:szCs w:val="16"/>
          <w:lang w:val="es-ES"/>
        </w:rPr>
      </w:pPr>
    </w:p>
  </w:footnote>
  <w:footnote w:id="55">
    <w:p w14:paraId="4C66F4D6" w14:textId="77777777" w:rsidR="00755450" w:rsidRDefault="00755450" w:rsidP="004248FA">
      <w:pPr>
        <w:pStyle w:val="FootnoteText"/>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Párr.  141.</w:t>
      </w:r>
    </w:p>
    <w:p w14:paraId="24CB9FD8" w14:textId="77777777" w:rsidR="005A06E4" w:rsidRPr="00032C73" w:rsidRDefault="005A06E4" w:rsidP="004248FA">
      <w:pPr>
        <w:pStyle w:val="FootnoteText"/>
        <w:rPr>
          <w:rFonts w:ascii="Verdana" w:hAnsi="Verdana"/>
          <w:sz w:val="16"/>
          <w:szCs w:val="16"/>
          <w:lang w:val="es-ES"/>
        </w:rPr>
      </w:pPr>
    </w:p>
  </w:footnote>
  <w:footnote w:id="56">
    <w:p w14:paraId="32BFDCBD" w14:textId="77777777" w:rsidR="00755450" w:rsidRPr="00032C73" w:rsidRDefault="00755450" w:rsidP="004248FA">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Nota a pie de pág. Nº 14.</w:t>
      </w:r>
    </w:p>
    <w:p w14:paraId="05840C24" w14:textId="77777777" w:rsidR="00755450" w:rsidRPr="00032C73" w:rsidRDefault="00755450" w:rsidP="004248FA">
      <w:pPr>
        <w:pStyle w:val="FootnoteText"/>
        <w:jc w:val="both"/>
        <w:rPr>
          <w:rFonts w:ascii="Verdana" w:hAnsi="Verdana"/>
          <w:sz w:val="16"/>
          <w:szCs w:val="16"/>
          <w:lang w:val="es-ES"/>
        </w:rPr>
      </w:pPr>
    </w:p>
  </w:footnote>
  <w:footnote w:id="57">
    <w:p w14:paraId="35D26D83" w14:textId="77777777" w:rsidR="00755450" w:rsidRPr="00032C73" w:rsidRDefault="00755450" w:rsidP="004248FA">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Nota a pie de pág. Nº 42.</w:t>
      </w:r>
    </w:p>
    <w:p w14:paraId="64C0096A" w14:textId="77777777" w:rsidR="00755450" w:rsidRPr="00032C73" w:rsidRDefault="00755450" w:rsidP="00B10962">
      <w:pPr>
        <w:pStyle w:val="FootnoteText"/>
        <w:jc w:val="both"/>
        <w:rPr>
          <w:rFonts w:ascii="Verdana" w:hAnsi="Verdana"/>
          <w:sz w:val="16"/>
          <w:szCs w:val="16"/>
          <w:lang w:val="es-ES"/>
        </w:rPr>
      </w:pPr>
    </w:p>
  </w:footnote>
  <w:footnote w:id="58">
    <w:p w14:paraId="363604A5"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Así, por ejemplo, acorde a tal criterio y restringiendo la referencia únicamente a lo que atañe a los artículos de la Carta de la OEA citados en la Sentencia, es decir, a los artículos 34, 45 y 46, se podrían judicializar ante la Corte los derechos que “</w:t>
      </w:r>
      <w:r w:rsidRPr="00032C73">
        <w:rPr>
          <w:rFonts w:ascii="Verdana" w:hAnsi="Verdana"/>
          <w:i/>
          <w:sz w:val="16"/>
          <w:szCs w:val="16"/>
          <w:lang w:val="es-ES"/>
        </w:rPr>
        <w:t>derivan</w:t>
      </w:r>
      <w:r w:rsidRPr="00032C73">
        <w:rPr>
          <w:rFonts w:ascii="Verdana" w:hAnsi="Verdana"/>
          <w:sz w:val="16"/>
          <w:szCs w:val="16"/>
          <w:lang w:val="es-ES"/>
        </w:rPr>
        <w:t>” de las “</w:t>
      </w:r>
      <w:r w:rsidRPr="00032C73">
        <w:rPr>
          <w:rFonts w:ascii="Verdana" w:hAnsi="Verdana"/>
          <w:i/>
          <w:sz w:val="16"/>
          <w:szCs w:val="16"/>
          <w:lang w:val="es-ES"/>
        </w:rPr>
        <w:t>metas básicas</w:t>
      </w:r>
      <w:r w:rsidRPr="00032C73">
        <w:rPr>
          <w:rFonts w:ascii="Verdana" w:hAnsi="Verdana"/>
          <w:sz w:val="16"/>
          <w:szCs w:val="16"/>
          <w:lang w:val="es-ES"/>
        </w:rPr>
        <w:t>”, “</w:t>
      </w:r>
      <w:r w:rsidRPr="00032C73">
        <w:rPr>
          <w:rFonts w:ascii="Verdana" w:hAnsi="Verdana"/>
          <w:i/>
          <w:sz w:val="16"/>
          <w:szCs w:val="16"/>
          <w:lang w:val="es-ES"/>
        </w:rPr>
        <w:t>principios y mecanismos</w:t>
      </w:r>
      <w:r w:rsidRPr="00032C73">
        <w:rPr>
          <w:rFonts w:ascii="Verdana" w:hAnsi="Verdana"/>
          <w:sz w:val="16"/>
          <w:szCs w:val="16"/>
          <w:lang w:val="es-ES"/>
        </w:rPr>
        <w:t xml:space="preserve">” o </w:t>
      </w:r>
      <w:r w:rsidRPr="00032C73">
        <w:rPr>
          <w:rFonts w:ascii="Verdana" w:hAnsi="Verdana"/>
          <w:i/>
          <w:sz w:val="16"/>
          <w:szCs w:val="16"/>
          <w:lang w:val="es-ES"/>
        </w:rPr>
        <w:t>“finalidad</w:t>
      </w:r>
      <w:r w:rsidRPr="00032C73">
        <w:rPr>
          <w:rFonts w:ascii="Verdana" w:hAnsi="Verdana"/>
          <w:sz w:val="16"/>
          <w:szCs w:val="16"/>
          <w:lang w:val="es-ES"/>
        </w:rPr>
        <w:t xml:space="preserve">”, según corresponda, que establecen: </w:t>
      </w:r>
    </w:p>
    <w:p w14:paraId="515CFF50"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sz w:val="16"/>
          <w:szCs w:val="16"/>
          <w:lang w:val="es-ES"/>
        </w:rPr>
        <w:t>Art. 34 :“</w:t>
      </w:r>
      <w:r w:rsidRPr="00032C73">
        <w:rPr>
          <w:rFonts w:ascii="Verdana" w:hAnsi="Verdana"/>
          <w:i/>
          <w:sz w:val="16"/>
          <w:szCs w:val="16"/>
          <w:lang w:val="es-ES"/>
        </w:rPr>
        <w:t>Los Estados miembros convienen en que la igualdad de oportunidades, la eliminación de la pobreza crítica y la distribución equitativa de la riqueza y del ingreso, así como la plena participación de sus pueblos en las decisiones relativas a su propio desarrollo, son, entre otros, objetivos básicos del desarrollo integral. Para lograrlos, convienen asimismo en dedicar sus máximos esfuerzos a la consecución de las siguientes metas básicas:</w:t>
      </w:r>
    </w:p>
    <w:p w14:paraId="77BB83F0"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a) Incremento sustancial y </w:t>
      </w:r>
      <w:proofErr w:type="spellStart"/>
      <w:r w:rsidRPr="00032C73">
        <w:rPr>
          <w:rFonts w:ascii="Verdana" w:hAnsi="Verdana"/>
          <w:i/>
          <w:sz w:val="16"/>
          <w:szCs w:val="16"/>
          <w:lang w:val="es-ES"/>
        </w:rPr>
        <w:t>autosostenido</w:t>
      </w:r>
      <w:proofErr w:type="spellEnd"/>
      <w:r w:rsidRPr="00032C73">
        <w:rPr>
          <w:rFonts w:ascii="Verdana" w:hAnsi="Verdana"/>
          <w:i/>
          <w:sz w:val="16"/>
          <w:szCs w:val="16"/>
          <w:lang w:val="es-ES"/>
        </w:rPr>
        <w:t xml:space="preserve"> del producto nacional per cápita; </w:t>
      </w:r>
    </w:p>
    <w:p w14:paraId="6FC19342"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b) Distribución equitativa del ingreso nacional;</w:t>
      </w:r>
    </w:p>
    <w:p w14:paraId="703B3B97"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c) Sistemas impositivos adecuados y equitativos;</w:t>
      </w:r>
    </w:p>
    <w:p w14:paraId="2B6A105C"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d) Modernización de la vida rural y reformas que conduzcan a regímenes equitativos y eficaces de tenencia de la tierra, mayor productividad agrícola, expansión del uso de la tierra, diversificación de la producción y mejores sistemas para la industrialización y comercialización de productos agrícolas, y fortalecimiento y ampliación de los medios para alcanzar estos fines;</w:t>
      </w:r>
    </w:p>
    <w:p w14:paraId="1F0260AE"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e) Industrialización acelerada y diversificada, especialmente de bienes de capital e intermedios;</w:t>
      </w:r>
    </w:p>
    <w:p w14:paraId="3943C316"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f) Estabilidad del nivel de precios internos en armonía con el desarrollo económico sostenido y el logro de la justicia social;</w:t>
      </w:r>
    </w:p>
    <w:p w14:paraId="779FEE97"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g) Salarios justos, oportunidades de empleo y condiciones de trabajo aceptables para todos;</w:t>
      </w:r>
    </w:p>
    <w:p w14:paraId="4D91219F"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h) Erradicación rápida del analfabetismo y ampliación, para todos, de las oportunidades en el campo de la educación;</w:t>
      </w:r>
    </w:p>
    <w:p w14:paraId="53C3B9E3"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i) Defensa del potencial humano mediante la extensión y aplicación de los modernos conocimientos de la ciencia médica;</w:t>
      </w:r>
    </w:p>
    <w:p w14:paraId="16BF0D3D"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j) Nutrición adecuada, particularmente por medio de la aceleración de los esfuerzos nacionales para incrementar la producción y disponibilidad de alimentos;</w:t>
      </w:r>
    </w:p>
    <w:p w14:paraId="3A6B937C"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k) Vivienda adecuada para todos los sectores de la población;</w:t>
      </w:r>
    </w:p>
    <w:p w14:paraId="4C05C9F9"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l) Condiciones urbanas que hagan posible una vida sana, productiva y digna;</w:t>
      </w:r>
    </w:p>
    <w:p w14:paraId="15222BB4"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m) Promoción de la iniciativa y la inversión privadas en armonía con la acción del sector público, y</w:t>
      </w:r>
    </w:p>
    <w:p w14:paraId="5AF34E7D" w14:textId="77777777" w:rsidR="00755450" w:rsidRPr="00032C73" w:rsidRDefault="00755450" w:rsidP="00B10962">
      <w:pPr>
        <w:pStyle w:val="FootnoteText"/>
        <w:jc w:val="both"/>
        <w:rPr>
          <w:rFonts w:ascii="Verdana" w:hAnsi="Verdana"/>
          <w:sz w:val="16"/>
          <w:szCs w:val="16"/>
          <w:lang w:val="es-ES"/>
        </w:rPr>
      </w:pPr>
      <w:r w:rsidRPr="00032C73">
        <w:rPr>
          <w:rFonts w:ascii="Verdana" w:hAnsi="Verdana"/>
          <w:i/>
          <w:sz w:val="16"/>
          <w:szCs w:val="16"/>
          <w:lang w:val="es-ES"/>
        </w:rPr>
        <w:t>n) Expansión y diversificación de las exportaciones</w:t>
      </w:r>
      <w:r w:rsidRPr="00032C73">
        <w:rPr>
          <w:rFonts w:ascii="Verdana" w:hAnsi="Verdana"/>
          <w:sz w:val="16"/>
          <w:szCs w:val="16"/>
          <w:lang w:val="es-ES"/>
        </w:rPr>
        <w:t>.”</w:t>
      </w:r>
    </w:p>
    <w:p w14:paraId="4316F0CB"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sz w:val="16"/>
          <w:szCs w:val="16"/>
          <w:lang w:val="es-ES"/>
        </w:rPr>
        <w:t>Art.45: “</w:t>
      </w:r>
      <w:r w:rsidRPr="00032C73">
        <w:rPr>
          <w:rFonts w:ascii="Verdana" w:hAnsi="Verdana"/>
          <w:i/>
          <w:sz w:val="16"/>
          <w:szCs w:val="16"/>
          <w:lang w:val="es-ES"/>
        </w:rPr>
        <w:t>Los Estados miembros, convencidos de que el hombre sólo puede alcanzar la plena realización de sus aspiraciones dentro de un orden social justo, acompañado de desarrollo económico y verdadera paz, convienen en dedicar sus máximos esfuerzos a la aplicación de los siguientes principios y mecanismos:</w:t>
      </w:r>
    </w:p>
    <w:p w14:paraId="62207E5A"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a) Todos los seres humanos, sin distinción de raza, sexo, nacionalidad, credo o condición social, tienen derecho al bienestar material y a su desarrollo espiritual, en condiciones de libertad, dignidad, igualdad de oportunidades y seguridad económica;</w:t>
      </w:r>
    </w:p>
    <w:p w14:paraId="139C1E09"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b) El trabajo es un derecho y un deber social, otorga dignidad a quien lo realiza y debe prestarse en condiciones que, incluyendo un régimen de salarios justos, aseguren la vida, la salud y un nivel económico decoroso para el trabajador y su familia, tanto en sus años de trabajo como en su vejez, o cuando cualquier circunstancia lo prive de la posibilidad de trabajar;</w:t>
      </w:r>
    </w:p>
    <w:p w14:paraId="673902DA"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c) Los empleadores y los trabajadores, tanto rurales como urbanos, tienen el derecho de asociarse libremente para la defensa y promoción de sus intereses, incluyendo el derecho de negociación colectiva y el de huelga por parte de los trabajadores, el reconocimiento de la personería jurídica de las asociaciones y la protección de su libertad e independencia, todo de conformidad con la legislación respectiva;</w:t>
      </w:r>
    </w:p>
    <w:p w14:paraId="112F5F42"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d) Justos y eficientes sistemas y procedimientos de consulta y colaboración entre los sectores de la producción, tomando en cuenta la protección de los intereses de toda la sociedad;</w:t>
      </w:r>
    </w:p>
    <w:p w14:paraId="61661654"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e) El funcionamiento de los sistemas de administración pública, banca y crédito, empresa, distribución y ventas, en forma que, en armonía con el sector privado, responda a los requerimientos e intereses de la comunidad;</w:t>
      </w:r>
    </w:p>
    <w:p w14:paraId="24738CED"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f) La incorporación y creciente participación de los sectores marginales de la población, tanto del campo como de la ciudad, en la vida económica, social, cívica, cultural y política de la nación, a fin de lograr la plena integración de la comunidad nacional, el aceleramiento del proceso de movilidad social y la consolidación del régimen democrático. El estímulo a todo esfuerzo de promoción y cooperación populares que tenga por fin el desarrollo y progreso de la comunidad;</w:t>
      </w:r>
    </w:p>
    <w:p w14:paraId="7FF235F6"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g) El reconocimiento de la importancia de la contribución de las organizaciones, tales como los sindicatos, las cooperativas y asociaciones culturales, profesionales, de negocios, vecinales y comunales, a la vida de la sociedad y al proceso de desarrollo;</w:t>
      </w:r>
    </w:p>
    <w:p w14:paraId="0A0D24B8"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h) Desarrollo de una política eficiente de seguridad social, e </w:t>
      </w:r>
    </w:p>
    <w:p w14:paraId="35464E2F" w14:textId="77777777" w:rsidR="00755450" w:rsidRPr="00032C73" w:rsidRDefault="00755450" w:rsidP="00B10962">
      <w:pPr>
        <w:pStyle w:val="FootnoteText"/>
        <w:jc w:val="both"/>
        <w:rPr>
          <w:rFonts w:ascii="Verdana" w:hAnsi="Verdana"/>
          <w:sz w:val="16"/>
          <w:szCs w:val="16"/>
          <w:lang w:val="es-ES"/>
        </w:rPr>
      </w:pPr>
      <w:r w:rsidRPr="00032C73">
        <w:rPr>
          <w:rFonts w:ascii="Verdana" w:hAnsi="Verdana"/>
          <w:i/>
          <w:sz w:val="16"/>
          <w:szCs w:val="16"/>
          <w:lang w:val="es-ES"/>
        </w:rPr>
        <w:t>i) Disposiciones adecuadas para que todas las personas tengan la debida asistencia legal para hacer valer sus derechos</w:t>
      </w:r>
      <w:r w:rsidRPr="00032C73">
        <w:rPr>
          <w:rFonts w:ascii="Verdana" w:hAnsi="Verdana"/>
          <w:sz w:val="16"/>
          <w:szCs w:val="16"/>
          <w:lang w:val="es-ES"/>
        </w:rPr>
        <w:t>.”</w:t>
      </w:r>
    </w:p>
    <w:p w14:paraId="65322269"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sz w:val="16"/>
          <w:szCs w:val="16"/>
          <w:lang w:val="es-ES"/>
        </w:rPr>
        <w:t xml:space="preserve">Art.46:” </w:t>
      </w:r>
      <w:r w:rsidRPr="00032C73">
        <w:rPr>
          <w:rFonts w:ascii="Verdana" w:hAnsi="Verdana"/>
          <w:i/>
          <w:sz w:val="16"/>
          <w:szCs w:val="16"/>
          <w:lang w:val="es-ES"/>
        </w:rPr>
        <w:t>Los Estados miembros reconocen que, para facilitar el proceso de la integración regional</w:t>
      </w:r>
    </w:p>
    <w:p w14:paraId="4F5EFEF8"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latinoamericana, es necesario armonizar la legislación social de los países en desarrollo, especialmente en el campo laboral y de la seguridad social, a fin de que los derechos de los trabajadores sean igualmente protegidos, y convienen en realizar los máximos esfuerzos para alcanzar esta finalidad</w:t>
      </w:r>
      <w:r w:rsidRPr="00032C73">
        <w:rPr>
          <w:rFonts w:ascii="Verdana" w:hAnsi="Verdana"/>
          <w:sz w:val="16"/>
          <w:szCs w:val="16"/>
          <w:lang w:val="es-ES"/>
        </w:rPr>
        <w:t>”.</w:t>
      </w:r>
    </w:p>
    <w:p w14:paraId="0A684E5B" w14:textId="77777777" w:rsidR="00755450" w:rsidRPr="00032C73" w:rsidRDefault="00755450" w:rsidP="00B10962">
      <w:pPr>
        <w:pStyle w:val="FootnoteText"/>
        <w:jc w:val="both"/>
        <w:rPr>
          <w:rFonts w:ascii="Verdana" w:hAnsi="Verdana"/>
          <w:sz w:val="16"/>
          <w:szCs w:val="16"/>
          <w:lang w:val="es-ES"/>
        </w:rPr>
      </w:pPr>
      <w:r w:rsidRPr="00032C73">
        <w:rPr>
          <w:rFonts w:ascii="Verdana" w:hAnsi="Verdana"/>
          <w:sz w:val="16"/>
          <w:szCs w:val="16"/>
          <w:lang w:val="es-ES"/>
        </w:rPr>
        <w:t xml:space="preserve">Y lo mismo se desprendería de otras normas del Capítulo VII de  la Carta de la OEA, artículos 30 a 52, todos concernientes al </w:t>
      </w:r>
      <w:r w:rsidRPr="00032C73">
        <w:rPr>
          <w:rFonts w:ascii="Verdana" w:hAnsi="Verdana"/>
          <w:i/>
          <w:sz w:val="16"/>
          <w:szCs w:val="16"/>
          <w:lang w:val="es-ES"/>
        </w:rPr>
        <w:t>“desarrollo integral</w:t>
      </w:r>
      <w:r w:rsidRPr="00032C73">
        <w:rPr>
          <w:rFonts w:ascii="Verdana" w:hAnsi="Verdana"/>
          <w:sz w:val="16"/>
          <w:szCs w:val="16"/>
          <w:lang w:val="es-ES"/>
        </w:rPr>
        <w:t>”, del que, según se deduciría de la Sentencia, también se derivaría un derecho cuya violación podría alegarse ante la Corte.</w:t>
      </w:r>
    </w:p>
    <w:p w14:paraId="5E92BFDD" w14:textId="77777777" w:rsidR="00755450" w:rsidRPr="00032C73" w:rsidRDefault="00755450" w:rsidP="00B10962">
      <w:pPr>
        <w:pStyle w:val="FootnoteText"/>
        <w:jc w:val="both"/>
        <w:rPr>
          <w:rFonts w:ascii="Verdana" w:hAnsi="Verdana"/>
          <w:sz w:val="16"/>
          <w:szCs w:val="16"/>
          <w:lang w:val="es-ES"/>
        </w:rPr>
      </w:pPr>
    </w:p>
  </w:footnote>
  <w:footnote w:id="59">
    <w:p w14:paraId="3ED77413" w14:textId="77777777" w:rsidR="00755450" w:rsidRPr="00032C73" w:rsidRDefault="00755450" w:rsidP="00CF694C">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Ejemplo más reciente, </w:t>
      </w:r>
      <w:r w:rsidRPr="00032C73">
        <w:rPr>
          <w:rFonts w:ascii="Verdana" w:hAnsi="Verdana"/>
          <w:i/>
          <w:sz w:val="16"/>
          <w:szCs w:val="16"/>
          <w:lang w:val="es-ES"/>
        </w:rPr>
        <w:t>Caso I.V. Vs. Bolivia. Excepciones Preliminares, Fondo, Reparaciones y Costas.</w:t>
      </w:r>
      <w:r w:rsidRPr="00032C73">
        <w:rPr>
          <w:rFonts w:ascii="Verdana" w:hAnsi="Verdana"/>
          <w:sz w:val="16"/>
          <w:szCs w:val="16"/>
          <w:lang w:val="es-ES"/>
        </w:rPr>
        <w:t xml:space="preserve"> Sentencia de 30 de noviembre de 2016. Serie C No. 329, </w:t>
      </w:r>
      <w:proofErr w:type="spellStart"/>
      <w:r w:rsidRPr="00032C73">
        <w:rPr>
          <w:rFonts w:ascii="Verdana" w:hAnsi="Verdana"/>
          <w:sz w:val="16"/>
          <w:szCs w:val="16"/>
          <w:lang w:val="es-ES"/>
        </w:rPr>
        <w:t>párrs</w:t>
      </w:r>
      <w:proofErr w:type="spellEnd"/>
      <w:r w:rsidRPr="00032C73">
        <w:rPr>
          <w:rFonts w:ascii="Verdana" w:hAnsi="Verdana"/>
          <w:sz w:val="16"/>
          <w:szCs w:val="16"/>
          <w:lang w:val="es-ES"/>
        </w:rPr>
        <w:t>. 154, 155 y ss.</w:t>
      </w:r>
    </w:p>
    <w:p w14:paraId="6A8CE13B" w14:textId="77777777" w:rsidR="00755450" w:rsidRPr="00032C73" w:rsidRDefault="00755450" w:rsidP="00CF694C">
      <w:pPr>
        <w:pStyle w:val="FootnoteText"/>
        <w:jc w:val="both"/>
        <w:rPr>
          <w:rFonts w:ascii="Verdana" w:hAnsi="Verdana"/>
          <w:sz w:val="16"/>
          <w:szCs w:val="16"/>
          <w:lang w:val="es-ES"/>
        </w:rPr>
      </w:pPr>
    </w:p>
  </w:footnote>
  <w:footnote w:id="60">
    <w:p w14:paraId="39A97697" w14:textId="77777777" w:rsidR="00755450" w:rsidRPr="00032C73" w:rsidRDefault="00755450" w:rsidP="00CF694C">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Párr. 141.</w:t>
      </w:r>
    </w:p>
    <w:p w14:paraId="353756BF" w14:textId="77777777" w:rsidR="00755450" w:rsidRPr="00032C73" w:rsidRDefault="00755450" w:rsidP="00B10962">
      <w:pPr>
        <w:pStyle w:val="FootnoteText"/>
        <w:jc w:val="both"/>
        <w:rPr>
          <w:rFonts w:ascii="Verdana" w:hAnsi="Verdana"/>
          <w:sz w:val="16"/>
          <w:szCs w:val="16"/>
          <w:lang w:val="es-ES"/>
        </w:rPr>
      </w:pPr>
    </w:p>
  </w:footnote>
  <w:footnote w:id="61">
    <w:p w14:paraId="2707B9B3"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Preámbulo, 2º Párr. : </w:t>
      </w:r>
      <w:r w:rsidRPr="00032C73">
        <w:rPr>
          <w:rFonts w:ascii="Verdana" w:hAnsi="Verdana"/>
          <w:i/>
          <w:sz w:val="16"/>
          <w:szCs w:val="16"/>
          <w:lang w:val="es-ES"/>
        </w:rPr>
        <w:t>“Reconociendo que los derechos esenciales del hombre no nacen del hecho de ser nacional de determinado Estado, sino que tienen como fundamento los atributos de la persona humana, razón por la cual justifican una protección internacional, de naturaleza convencional coadyuvante o complementaria de la que ofrece el derecho interno de los Estados americanos</w:t>
      </w:r>
      <w:r w:rsidRPr="00032C73">
        <w:rPr>
          <w:rFonts w:ascii="Verdana" w:hAnsi="Verdana"/>
          <w:sz w:val="16"/>
          <w:szCs w:val="16"/>
          <w:lang w:val="es-ES"/>
        </w:rPr>
        <w:t>;”</w:t>
      </w:r>
    </w:p>
    <w:p w14:paraId="6E6BD979"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sz w:val="16"/>
          <w:szCs w:val="16"/>
          <w:lang w:val="es-ES"/>
        </w:rPr>
        <w:t>Art. 46: “</w:t>
      </w:r>
      <w:r w:rsidRPr="00032C73">
        <w:rPr>
          <w:rFonts w:ascii="Verdana" w:hAnsi="Verdana"/>
          <w:i/>
          <w:sz w:val="16"/>
          <w:szCs w:val="16"/>
          <w:lang w:val="es-ES"/>
        </w:rPr>
        <w:t xml:space="preserve">1. Para que una petición o comunicación presentada conforme a los artículos 44 </w:t>
      </w:r>
      <w:proofErr w:type="spellStart"/>
      <w:r w:rsidRPr="00032C73">
        <w:rPr>
          <w:rFonts w:ascii="Verdana" w:hAnsi="Verdana"/>
          <w:i/>
          <w:sz w:val="16"/>
          <w:szCs w:val="16"/>
          <w:lang w:val="es-ES"/>
        </w:rPr>
        <w:t>ó</w:t>
      </w:r>
      <w:proofErr w:type="spellEnd"/>
      <w:r w:rsidRPr="00032C73">
        <w:rPr>
          <w:rFonts w:ascii="Verdana" w:hAnsi="Verdana"/>
          <w:i/>
          <w:sz w:val="16"/>
          <w:szCs w:val="16"/>
          <w:lang w:val="es-ES"/>
        </w:rPr>
        <w:t xml:space="preserve"> 45 sea admitida por la Comisión, se requerirá:</w:t>
      </w:r>
    </w:p>
    <w:p w14:paraId="3A82E1CE"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 a) que se hayan interpuesto y agotado los recursos de jurisdicción interna, conforme a los principios del Derecho Internacional generalmente reconocidos;</w:t>
      </w:r>
    </w:p>
    <w:p w14:paraId="4A1D766D"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 b) que sea presentada dentro del plazo de seis meses, a partir de la fecha en que el presunto lesionado en sus derechos haya sido notificado de la decisión definitiva;</w:t>
      </w:r>
    </w:p>
    <w:p w14:paraId="6754FE39"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 c) que la materia de la petición o comunicación no esté pendiente de otro procedimiento de arreglo internacional, y</w:t>
      </w:r>
    </w:p>
    <w:p w14:paraId="42A9CD9D"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 d) que en el caso del artículo 44 la petición contenga el nombre, la nacionalidad, la profesión, el domicilio y la firma de la persona o personas o del representante legal de la entidad que somete la petición.</w:t>
      </w:r>
    </w:p>
    <w:p w14:paraId="0741D203"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 2. Las disposiciones de los incisos 1.a. y 1.b. del presente artículo no se aplicarán cuando:</w:t>
      </w:r>
    </w:p>
    <w:p w14:paraId="032265A1"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 a) no exista en la legislación interna del Estado de que se trata el debido proceso legal para la protección del derecho o derechos que se alega han sido violados;</w:t>
      </w:r>
    </w:p>
    <w:p w14:paraId="59A18F3A"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 b) no se haya permitido al presunto lesionado en sus derechos el acceso a los recursos de la jurisdicción interna, o haya sido impedido de agotarlos, y</w:t>
      </w:r>
    </w:p>
    <w:p w14:paraId="260097B0"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 c) haya retardo injustificado en la decisión sobre los mencionados recursos.”</w:t>
      </w:r>
    </w:p>
    <w:p w14:paraId="7FC80FD4"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sz w:val="16"/>
          <w:szCs w:val="16"/>
          <w:lang w:val="es-ES"/>
        </w:rPr>
        <w:t xml:space="preserve">Art.61:” </w:t>
      </w:r>
      <w:r w:rsidRPr="00032C73">
        <w:rPr>
          <w:rFonts w:ascii="Verdana" w:hAnsi="Verdana"/>
          <w:i/>
          <w:sz w:val="16"/>
          <w:szCs w:val="16"/>
          <w:lang w:val="es-ES"/>
        </w:rPr>
        <w:t>1. Sólo los Estados Partes y la Comisión tienen derecho a someter un caso a la decisión de la Corte.</w:t>
      </w:r>
    </w:p>
    <w:p w14:paraId="39143080" w14:textId="77777777" w:rsidR="00755450" w:rsidRPr="00032C73" w:rsidRDefault="00755450" w:rsidP="00B10962">
      <w:pPr>
        <w:pStyle w:val="FootnoteText"/>
        <w:jc w:val="both"/>
        <w:rPr>
          <w:rFonts w:ascii="Verdana" w:hAnsi="Verdana"/>
          <w:i/>
          <w:sz w:val="16"/>
          <w:szCs w:val="16"/>
          <w:lang w:val="es-ES"/>
        </w:rPr>
      </w:pPr>
      <w:r w:rsidRPr="00032C73">
        <w:rPr>
          <w:rFonts w:ascii="Verdana" w:hAnsi="Verdana"/>
          <w:i/>
          <w:sz w:val="16"/>
          <w:szCs w:val="16"/>
          <w:lang w:val="es-ES"/>
        </w:rPr>
        <w:t xml:space="preserve"> 2. Para que la Corte pueda conocer de cualquier caso, es necesario que sean agotados los procedimientos previstos en los artículos 48 a 50.”</w:t>
      </w:r>
    </w:p>
    <w:p w14:paraId="56957B56" w14:textId="77777777" w:rsidR="00755450" w:rsidRPr="00032C73" w:rsidRDefault="00755450" w:rsidP="00B10962">
      <w:pPr>
        <w:pStyle w:val="FootnoteText"/>
        <w:rPr>
          <w:rFonts w:ascii="Verdana" w:hAnsi="Verdana"/>
          <w:sz w:val="16"/>
          <w:szCs w:val="16"/>
          <w:lang w:val="es-ES"/>
        </w:rPr>
      </w:pPr>
    </w:p>
  </w:footnote>
  <w:footnote w:id="62">
    <w:p w14:paraId="3FA96E1B" w14:textId="77777777" w:rsidR="00670DE6" w:rsidRDefault="00670DE6" w:rsidP="00B10962">
      <w:pPr>
        <w:pStyle w:val="FootnoteText"/>
        <w:rPr>
          <w:lang w:val="es-ES"/>
        </w:rPr>
      </w:pPr>
      <w:r>
        <w:rPr>
          <w:rStyle w:val="FootnoteReference"/>
        </w:rPr>
        <w:footnoteRef/>
      </w:r>
      <w:r w:rsidRPr="008A4C41">
        <w:rPr>
          <w:lang w:val="es-ES"/>
        </w:rPr>
        <w:t xml:space="preserve"> Párr. 142.</w:t>
      </w:r>
    </w:p>
    <w:p w14:paraId="1E98FE9B" w14:textId="77777777" w:rsidR="00B16A81" w:rsidRPr="00670DE6" w:rsidRDefault="00B16A81" w:rsidP="00B10962">
      <w:pPr>
        <w:pStyle w:val="FootnoteText"/>
        <w:rPr>
          <w:lang w:val="es-ES"/>
        </w:rPr>
      </w:pPr>
    </w:p>
  </w:footnote>
  <w:footnote w:id="63">
    <w:p w14:paraId="61F1CFCF" w14:textId="77777777" w:rsidR="00670DE6" w:rsidRPr="008A4C41" w:rsidRDefault="00670DE6" w:rsidP="00B10962">
      <w:pPr>
        <w:pStyle w:val="FootnoteText"/>
        <w:rPr>
          <w:lang w:val="es-ES"/>
        </w:rPr>
      </w:pPr>
      <w:r>
        <w:rPr>
          <w:rStyle w:val="FootnoteReference"/>
        </w:rPr>
        <w:footnoteRef/>
      </w:r>
      <w:r w:rsidRPr="008A4C41">
        <w:rPr>
          <w:lang w:val="es-ES"/>
        </w:rPr>
        <w:t xml:space="preserve"> Párr.145.</w:t>
      </w:r>
    </w:p>
    <w:p w14:paraId="14BE156A" w14:textId="77777777" w:rsidR="00B94AE5" w:rsidRPr="008A4C41" w:rsidRDefault="00B94AE5" w:rsidP="00B10962">
      <w:pPr>
        <w:pStyle w:val="FootnoteText"/>
        <w:rPr>
          <w:lang w:val="es-ES"/>
        </w:rPr>
      </w:pPr>
    </w:p>
  </w:footnote>
  <w:footnote w:id="64">
    <w:p w14:paraId="5B48357C" w14:textId="77777777" w:rsidR="000C3877" w:rsidRDefault="000C3877" w:rsidP="00B10962">
      <w:pPr>
        <w:pStyle w:val="FootnoteText"/>
        <w:rPr>
          <w:lang w:val="es-ES"/>
        </w:rPr>
      </w:pPr>
      <w:r>
        <w:rPr>
          <w:rStyle w:val="FootnoteReference"/>
        </w:rPr>
        <w:footnoteRef/>
      </w:r>
      <w:r w:rsidRPr="000C3877">
        <w:rPr>
          <w:lang w:val="es-ES"/>
        </w:rPr>
        <w:t xml:space="preserve"> Párr. 147.</w:t>
      </w:r>
    </w:p>
    <w:p w14:paraId="7C38B5CD" w14:textId="77777777" w:rsidR="00B94AE5" w:rsidRPr="000C3877" w:rsidRDefault="00B94AE5" w:rsidP="00B10962">
      <w:pPr>
        <w:pStyle w:val="FootnoteText"/>
        <w:rPr>
          <w:lang w:val="es-ES"/>
        </w:rPr>
      </w:pPr>
    </w:p>
  </w:footnote>
  <w:footnote w:id="65">
    <w:p w14:paraId="26A37EEC" w14:textId="77777777" w:rsidR="000C3877" w:rsidRPr="00B16A81" w:rsidRDefault="000C3877" w:rsidP="00B10962">
      <w:pPr>
        <w:pStyle w:val="FootnoteText"/>
        <w:rPr>
          <w:rFonts w:ascii="Verdana" w:hAnsi="Verdana"/>
          <w:sz w:val="16"/>
          <w:szCs w:val="16"/>
          <w:lang w:val="es-ES"/>
        </w:rPr>
      </w:pPr>
      <w:r w:rsidRPr="00B16A81">
        <w:rPr>
          <w:rStyle w:val="FootnoteReference"/>
          <w:rFonts w:ascii="Verdana" w:hAnsi="Verdana"/>
          <w:sz w:val="16"/>
          <w:szCs w:val="16"/>
        </w:rPr>
        <w:footnoteRef/>
      </w:r>
      <w:r w:rsidRPr="00B16A81">
        <w:rPr>
          <w:rFonts w:ascii="Verdana" w:hAnsi="Verdana"/>
          <w:sz w:val="16"/>
          <w:szCs w:val="16"/>
          <w:lang w:val="es-ES"/>
        </w:rPr>
        <w:t xml:space="preserve"> Párr. 148</w:t>
      </w:r>
    </w:p>
    <w:p w14:paraId="6948EA8A" w14:textId="77777777" w:rsidR="00B94AE5" w:rsidRPr="00B16A81" w:rsidRDefault="00B94AE5" w:rsidP="00B10962">
      <w:pPr>
        <w:pStyle w:val="FootnoteText"/>
        <w:rPr>
          <w:rFonts w:ascii="Verdana" w:hAnsi="Verdana"/>
          <w:sz w:val="16"/>
          <w:szCs w:val="16"/>
          <w:lang w:val="es-ES"/>
        </w:rPr>
      </w:pPr>
    </w:p>
  </w:footnote>
  <w:footnote w:id="66">
    <w:p w14:paraId="2D5AA2ED" w14:textId="77777777" w:rsidR="000C3877" w:rsidRPr="00B16A81" w:rsidRDefault="000C3877" w:rsidP="00B10962">
      <w:pPr>
        <w:pStyle w:val="FootnoteText"/>
        <w:rPr>
          <w:rFonts w:ascii="Verdana" w:hAnsi="Verdana"/>
          <w:sz w:val="16"/>
          <w:szCs w:val="16"/>
          <w:lang w:val="es-ES"/>
        </w:rPr>
      </w:pPr>
      <w:r w:rsidRPr="00B16A81">
        <w:rPr>
          <w:rStyle w:val="FootnoteReference"/>
          <w:rFonts w:ascii="Verdana" w:hAnsi="Verdana"/>
          <w:sz w:val="16"/>
          <w:szCs w:val="16"/>
        </w:rPr>
        <w:footnoteRef/>
      </w:r>
      <w:r w:rsidRPr="00B16A81">
        <w:rPr>
          <w:rFonts w:ascii="Verdana" w:hAnsi="Verdana"/>
          <w:sz w:val="16"/>
          <w:szCs w:val="16"/>
          <w:lang w:val="es-ES"/>
        </w:rPr>
        <w:t xml:space="preserve"> Párr. 144</w:t>
      </w:r>
    </w:p>
    <w:p w14:paraId="09291C11" w14:textId="77777777" w:rsidR="00B94AE5" w:rsidRPr="00B16A81" w:rsidRDefault="00B94AE5" w:rsidP="00B10962">
      <w:pPr>
        <w:pStyle w:val="FootnoteText"/>
        <w:rPr>
          <w:rFonts w:ascii="Verdana" w:hAnsi="Verdana"/>
          <w:sz w:val="16"/>
          <w:szCs w:val="16"/>
          <w:lang w:val="es-ES"/>
        </w:rPr>
      </w:pPr>
    </w:p>
  </w:footnote>
  <w:footnote w:id="67">
    <w:p w14:paraId="092673F9" w14:textId="77777777" w:rsidR="000C3877" w:rsidRPr="00B16A81" w:rsidRDefault="000C3877" w:rsidP="00B10962">
      <w:pPr>
        <w:pStyle w:val="FootnoteText"/>
        <w:jc w:val="both"/>
        <w:rPr>
          <w:rFonts w:ascii="Verdana" w:hAnsi="Verdana"/>
          <w:i/>
          <w:sz w:val="16"/>
          <w:szCs w:val="16"/>
          <w:lang w:val="es-ES"/>
        </w:rPr>
      </w:pPr>
      <w:r w:rsidRPr="00B16A81">
        <w:rPr>
          <w:rStyle w:val="FootnoteReference"/>
          <w:rFonts w:ascii="Verdana" w:hAnsi="Verdana"/>
          <w:sz w:val="16"/>
          <w:szCs w:val="16"/>
        </w:rPr>
        <w:footnoteRef/>
      </w:r>
      <w:r w:rsidRPr="00B16A81">
        <w:rPr>
          <w:rFonts w:ascii="Verdana" w:hAnsi="Verdana"/>
          <w:sz w:val="16"/>
          <w:szCs w:val="16"/>
          <w:lang w:val="es-ES"/>
        </w:rPr>
        <w:t xml:space="preserve"> </w:t>
      </w:r>
      <w:r w:rsidRPr="00B16A81">
        <w:rPr>
          <w:rFonts w:ascii="Verdana" w:hAnsi="Verdana"/>
          <w:i/>
          <w:sz w:val="16"/>
          <w:szCs w:val="16"/>
          <w:lang w:val="es-ES"/>
        </w:rPr>
        <w:t>“[n]</w:t>
      </w:r>
      <w:proofErr w:type="spellStart"/>
      <w:r w:rsidRPr="00B16A81">
        <w:rPr>
          <w:rFonts w:ascii="Verdana" w:hAnsi="Verdana"/>
          <w:i/>
          <w:sz w:val="16"/>
          <w:szCs w:val="16"/>
          <w:lang w:val="es-ES"/>
        </w:rPr>
        <w:t>inguna</w:t>
      </w:r>
      <w:proofErr w:type="spellEnd"/>
      <w:r w:rsidRPr="00B16A81">
        <w:rPr>
          <w:rFonts w:ascii="Verdana" w:hAnsi="Verdana"/>
          <w:i/>
          <w:sz w:val="16"/>
          <w:szCs w:val="16"/>
          <w:lang w:val="es-ES"/>
        </w:rPr>
        <w:t xml:space="preserve"> disposición de la presente Convención puede ser interpretada en el sentido de: […] d) excluir o limitar el efecto que puedan producir la Declaración Americana de Derechos y Deberes del Hombre y otros actos internacionales de la misma naturaleza”</w:t>
      </w:r>
    </w:p>
    <w:p w14:paraId="233BC8FD" w14:textId="77777777" w:rsidR="00B94AE5" w:rsidRPr="00B16A81" w:rsidRDefault="00B94AE5" w:rsidP="00B10962">
      <w:pPr>
        <w:pStyle w:val="FootnoteText"/>
        <w:jc w:val="both"/>
        <w:rPr>
          <w:rFonts w:ascii="Verdana" w:hAnsi="Verdana"/>
          <w:sz w:val="16"/>
          <w:szCs w:val="16"/>
          <w:lang w:val="es-ES"/>
        </w:rPr>
      </w:pPr>
    </w:p>
  </w:footnote>
  <w:footnote w:id="68">
    <w:p w14:paraId="479A47DC" w14:textId="77777777" w:rsidR="000C3877" w:rsidRPr="00B16A81" w:rsidRDefault="000C3877" w:rsidP="00B10962">
      <w:pPr>
        <w:pStyle w:val="FootnoteText"/>
        <w:jc w:val="both"/>
        <w:rPr>
          <w:rFonts w:ascii="Verdana" w:hAnsi="Verdana"/>
          <w:i/>
          <w:sz w:val="16"/>
          <w:szCs w:val="16"/>
          <w:lang w:val="es-ES"/>
        </w:rPr>
      </w:pPr>
      <w:r w:rsidRPr="00B16A81">
        <w:rPr>
          <w:rStyle w:val="FootnoteReference"/>
          <w:rFonts w:ascii="Verdana" w:hAnsi="Verdana"/>
          <w:sz w:val="16"/>
          <w:szCs w:val="16"/>
        </w:rPr>
        <w:footnoteRef/>
      </w:r>
      <w:r w:rsidRPr="00B16A81">
        <w:rPr>
          <w:rFonts w:ascii="Verdana" w:hAnsi="Verdana"/>
          <w:sz w:val="16"/>
          <w:szCs w:val="16"/>
          <w:lang w:val="es-ES"/>
        </w:rPr>
        <w:t xml:space="preserve"> </w:t>
      </w:r>
      <w:r w:rsidRPr="00B16A81">
        <w:rPr>
          <w:rFonts w:ascii="Verdana" w:hAnsi="Verdana"/>
          <w:i/>
          <w:sz w:val="16"/>
          <w:szCs w:val="16"/>
          <w:lang w:val="es-ES"/>
        </w:rPr>
        <w:t>“1. La Corte, cuya función es decidir conforme al derecho internacional las controversias que le sean sometidas, deberá aplicar: a. las convenciones internacionales, sean generales o particulares, que establecen reglas expresamente reconocidas por los Estados litigantes; b. la costumbre internacional como prueba de una práctica generalmente aceptada como derecho; c. los principios generales de derecho reconocidos por las naciones civilizadas; d. las decisiones judiciales y las doctrinas de los publicistas de mayor competencia de las distintas naciones, como medio auxiliar para la determinación de las reglas de derecho, sin perjuicio de lo dispuesto en el Artículo 59. 2. La presente disposición no restringe la facultad de la Corte para decidir un litigio ex aequo et bono, si las partes así lo convinieren.”</w:t>
      </w:r>
    </w:p>
    <w:p w14:paraId="04C3945F" w14:textId="77777777" w:rsidR="00B94AE5" w:rsidRPr="00B16A81" w:rsidRDefault="00B94AE5" w:rsidP="00B10962">
      <w:pPr>
        <w:pStyle w:val="FootnoteText"/>
        <w:jc w:val="both"/>
        <w:rPr>
          <w:rFonts w:ascii="Verdana" w:hAnsi="Verdana"/>
          <w:i/>
          <w:sz w:val="16"/>
          <w:szCs w:val="16"/>
          <w:lang w:val="es-ES"/>
        </w:rPr>
      </w:pPr>
    </w:p>
  </w:footnote>
  <w:footnote w:id="69">
    <w:p w14:paraId="5E1FC4FF" w14:textId="77777777" w:rsidR="00310630" w:rsidRPr="00B16A81" w:rsidRDefault="00310630" w:rsidP="00B10962">
      <w:pPr>
        <w:pStyle w:val="FootnoteText"/>
        <w:rPr>
          <w:rFonts w:ascii="Verdana" w:hAnsi="Verdana"/>
          <w:sz w:val="16"/>
          <w:szCs w:val="16"/>
        </w:rPr>
      </w:pPr>
      <w:r w:rsidRPr="00B16A81">
        <w:rPr>
          <w:rStyle w:val="FootnoteReference"/>
          <w:rFonts w:ascii="Verdana" w:hAnsi="Verdana"/>
          <w:sz w:val="16"/>
          <w:szCs w:val="16"/>
        </w:rPr>
        <w:footnoteRef/>
      </w:r>
      <w:r w:rsidRPr="00B16A81">
        <w:rPr>
          <w:rFonts w:ascii="Verdana" w:hAnsi="Verdana"/>
          <w:sz w:val="16"/>
          <w:szCs w:val="16"/>
        </w:rPr>
        <w:t xml:space="preserve"> </w:t>
      </w:r>
      <w:proofErr w:type="spellStart"/>
      <w:proofErr w:type="gramStart"/>
      <w:r w:rsidRPr="00B16A81">
        <w:rPr>
          <w:rFonts w:ascii="Verdana" w:hAnsi="Verdana"/>
          <w:sz w:val="16"/>
          <w:szCs w:val="16"/>
        </w:rPr>
        <w:t>Párrs</w:t>
      </w:r>
      <w:proofErr w:type="spellEnd"/>
      <w:r w:rsidRPr="00B16A81">
        <w:rPr>
          <w:rFonts w:ascii="Verdana" w:hAnsi="Verdana"/>
          <w:sz w:val="16"/>
          <w:szCs w:val="16"/>
        </w:rPr>
        <w:t>.</w:t>
      </w:r>
      <w:proofErr w:type="gramEnd"/>
      <w:r w:rsidRPr="00B16A81">
        <w:rPr>
          <w:rFonts w:ascii="Verdana" w:hAnsi="Verdana"/>
          <w:sz w:val="16"/>
          <w:szCs w:val="16"/>
        </w:rPr>
        <w:t xml:space="preserve"> </w:t>
      </w:r>
      <w:proofErr w:type="gramStart"/>
      <w:r w:rsidRPr="00B16A81">
        <w:rPr>
          <w:rFonts w:ascii="Verdana" w:hAnsi="Verdana"/>
          <w:sz w:val="16"/>
          <w:szCs w:val="16"/>
        </w:rPr>
        <w:t>143 a 149.</w:t>
      </w:r>
      <w:proofErr w:type="gramEnd"/>
    </w:p>
    <w:p w14:paraId="03D5453B" w14:textId="77777777" w:rsidR="00B94AE5" w:rsidRPr="00B16A81" w:rsidRDefault="00B94AE5" w:rsidP="00B10962">
      <w:pPr>
        <w:pStyle w:val="FootnoteText"/>
        <w:rPr>
          <w:rFonts w:ascii="Verdana" w:hAnsi="Verdana"/>
          <w:sz w:val="16"/>
          <w:szCs w:val="16"/>
        </w:rPr>
      </w:pPr>
    </w:p>
  </w:footnote>
  <w:footnote w:id="70">
    <w:p w14:paraId="27CD8CB3" w14:textId="77777777" w:rsidR="00310630" w:rsidRPr="00B16A81" w:rsidRDefault="00310630" w:rsidP="00B10962">
      <w:pPr>
        <w:pStyle w:val="FootnoteText"/>
        <w:rPr>
          <w:rFonts w:ascii="Verdana" w:hAnsi="Verdana"/>
          <w:sz w:val="16"/>
          <w:szCs w:val="16"/>
        </w:rPr>
      </w:pPr>
      <w:r w:rsidRPr="00B16A81">
        <w:rPr>
          <w:rStyle w:val="FootnoteReference"/>
          <w:rFonts w:ascii="Verdana" w:hAnsi="Verdana"/>
          <w:sz w:val="16"/>
          <w:szCs w:val="16"/>
        </w:rPr>
        <w:footnoteRef/>
      </w:r>
      <w:r w:rsidRPr="00B16A81">
        <w:rPr>
          <w:rFonts w:ascii="Verdana" w:hAnsi="Verdana"/>
          <w:sz w:val="16"/>
          <w:szCs w:val="16"/>
        </w:rPr>
        <w:t xml:space="preserve"> </w:t>
      </w:r>
      <w:proofErr w:type="spellStart"/>
      <w:proofErr w:type="gramStart"/>
      <w:r w:rsidRPr="00B16A81">
        <w:rPr>
          <w:rFonts w:ascii="Verdana" w:hAnsi="Verdana"/>
          <w:sz w:val="16"/>
          <w:szCs w:val="16"/>
        </w:rPr>
        <w:t>Párr</w:t>
      </w:r>
      <w:proofErr w:type="spellEnd"/>
      <w:r w:rsidRPr="00B16A81">
        <w:rPr>
          <w:rFonts w:ascii="Verdana" w:hAnsi="Verdana"/>
          <w:sz w:val="16"/>
          <w:szCs w:val="16"/>
        </w:rPr>
        <w:t>.</w:t>
      </w:r>
      <w:proofErr w:type="gramEnd"/>
      <w:r w:rsidRPr="00B16A81">
        <w:rPr>
          <w:rFonts w:ascii="Verdana" w:hAnsi="Verdana"/>
          <w:sz w:val="16"/>
          <w:szCs w:val="16"/>
        </w:rPr>
        <w:t xml:space="preserve"> 142.</w:t>
      </w:r>
    </w:p>
    <w:p w14:paraId="139B8593" w14:textId="77777777" w:rsidR="00B94AE5" w:rsidRPr="00310630" w:rsidRDefault="00B94AE5" w:rsidP="00B10962">
      <w:pPr>
        <w:pStyle w:val="FootnoteText"/>
      </w:pPr>
    </w:p>
  </w:footnote>
  <w:footnote w:id="71">
    <w:p w14:paraId="50600403" w14:textId="77777777" w:rsidR="00310630" w:rsidRPr="00B16A81" w:rsidRDefault="00310630" w:rsidP="00B10962">
      <w:pPr>
        <w:pStyle w:val="FootnoteText"/>
        <w:rPr>
          <w:rFonts w:ascii="Verdana" w:hAnsi="Verdana"/>
          <w:sz w:val="16"/>
          <w:szCs w:val="16"/>
        </w:rPr>
      </w:pPr>
      <w:r w:rsidRPr="00B16A81">
        <w:rPr>
          <w:rStyle w:val="FootnoteReference"/>
          <w:rFonts w:ascii="Verdana" w:hAnsi="Verdana"/>
          <w:sz w:val="16"/>
          <w:szCs w:val="16"/>
        </w:rPr>
        <w:footnoteRef/>
      </w:r>
      <w:r w:rsidRPr="00B16A81">
        <w:rPr>
          <w:rFonts w:ascii="Verdana" w:hAnsi="Verdana"/>
          <w:sz w:val="16"/>
          <w:szCs w:val="16"/>
        </w:rPr>
        <w:t xml:space="preserve"> Art. 62.3. cit.</w:t>
      </w:r>
    </w:p>
    <w:p w14:paraId="0E86B5FE" w14:textId="77777777" w:rsidR="00B94AE5" w:rsidRPr="00B16A81" w:rsidRDefault="00B94AE5" w:rsidP="00B10962">
      <w:pPr>
        <w:pStyle w:val="FootnoteText"/>
        <w:rPr>
          <w:rFonts w:ascii="Verdana" w:hAnsi="Verdana"/>
          <w:sz w:val="16"/>
          <w:szCs w:val="16"/>
        </w:rPr>
      </w:pPr>
    </w:p>
  </w:footnote>
  <w:footnote w:id="72">
    <w:p w14:paraId="61008F03" w14:textId="77777777" w:rsidR="00755450" w:rsidRPr="00B16A81" w:rsidRDefault="00755450" w:rsidP="00B10962">
      <w:pPr>
        <w:pStyle w:val="FootnoteText"/>
        <w:jc w:val="both"/>
        <w:rPr>
          <w:rFonts w:ascii="Verdana" w:hAnsi="Verdana"/>
          <w:sz w:val="16"/>
          <w:szCs w:val="16"/>
          <w:lang w:val="es-ES"/>
        </w:rPr>
      </w:pPr>
      <w:r w:rsidRPr="00B16A81">
        <w:rPr>
          <w:rStyle w:val="FootnoteReference"/>
          <w:rFonts w:ascii="Verdana" w:hAnsi="Verdana"/>
          <w:sz w:val="16"/>
          <w:szCs w:val="16"/>
        </w:rPr>
        <w:footnoteRef/>
      </w:r>
      <w:r w:rsidRPr="00B16A81">
        <w:rPr>
          <w:rFonts w:ascii="Verdana" w:hAnsi="Verdana"/>
          <w:sz w:val="16"/>
          <w:szCs w:val="16"/>
          <w:lang w:val="es-ES"/>
        </w:rPr>
        <w:t xml:space="preserve"> Párr. 142.</w:t>
      </w:r>
    </w:p>
    <w:p w14:paraId="6D7B59B4" w14:textId="77777777" w:rsidR="00755450" w:rsidRPr="00B16A81" w:rsidRDefault="00755450" w:rsidP="00B10962">
      <w:pPr>
        <w:pStyle w:val="FootnoteText"/>
        <w:jc w:val="both"/>
        <w:rPr>
          <w:rFonts w:ascii="Verdana" w:hAnsi="Verdana"/>
          <w:sz w:val="16"/>
          <w:szCs w:val="16"/>
          <w:lang w:val="es-ES"/>
        </w:rPr>
      </w:pPr>
    </w:p>
  </w:footnote>
  <w:footnote w:id="73">
    <w:p w14:paraId="302D32A5" w14:textId="77777777" w:rsidR="00755450" w:rsidRPr="00B16A81" w:rsidRDefault="00755450" w:rsidP="00B10962">
      <w:pPr>
        <w:pStyle w:val="FootnoteText"/>
        <w:jc w:val="both"/>
        <w:rPr>
          <w:rFonts w:ascii="Verdana" w:hAnsi="Verdana"/>
          <w:sz w:val="16"/>
          <w:szCs w:val="16"/>
          <w:lang w:val="es-ES"/>
        </w:rPr>
      </w:pPr>
      <w:r w:rsidRPr="00B16A81">
        <w:rPr>
          <w:rStyle w:val="FootnoteReference"/>
          <w:rFonts w:ascii="Verdana" w:hAnsi="Verdana"/>
          <w:sz w:val="16"/>
          <w:szCs w:val="16"/>
        </w:rPr>
        <w:footnoteRef/>
      </w:r>
      <w:r w:rsidRPr="00B16A81">
        <w:rPr>
          <w:rFonts w:ascii="Verdana" w:hAnsi="Verdana"/>
          <w:sz w:val="16"/>
          <w:szCs w:val="16"/>
          <w:lang w:val="es-ES"/>
        </w:rPr>
        <w:t xml:space="preserve"> </w:t>
      </w:r>
      <w:proofErr w:type="spellStart"/>
      <w:r w:rsidRPr="00B16A81">
        <w:rPr>
          <w:rFonts w:ascii="Verdana" w:hAnsi="Verdana"/>
          <w:sz w:val="16"/>
          <w:szCs w:val="16"/>
          <w:lang w:val="es-ES"/>
        </w:rPr>
        <w:t>Párrs</w:t>
      </w:r>
      <w:proofErr w:type="spellEnd"/>
      <w:r w:rsidRPr="00B16A81">
        <w:rPr>
          <w:rFonts w:ascii="Verdana" w:hAnsi="Verdana"/>
          <w:sz w:val="16"/>
          <w:szCs w:val="16"/>
          <w:lang w:val="es-ES"/>
        </w:rPr>
        <w:t>. 133 a 137.</w:t>
      </w:r>
    </w:p>
    <w:p w14:paraId="50FCBF21" w14:textId="77777777" w:rsidR="00755450" w:rsidRPr="00B16A81" w:rsidRDefault="00755450" w:rsidP="00B10962">
      <w:pPr>
        <w:pStyle w:val="FootnoteText"/>
        <w:jc w:val="both"/>
        <w:rPr>
          <w:rFonts w:ascii="Verdana" w:hAnsi="Verdana"/>
          <w:sz w:val="16"/>
          <w:szCs w:val="16"/>
          <w:lang w:val="es-ES"/>
        </w:rPr>
      </w:pPr>
    </w:p>
  </w:footnote>
  <w:footnote w:id="74">
    <w:p w14:paraId="0B3D3101" w14:textId="77777777" w:rsidR="00755450" w:rsidRPr="00B16A81" w:rsidRDefault="00755450" w:rsidP="00B10962">
      <w:pPr>
        <w:pStyle w:val="FootnoteText"/>
        <w:jc w:val="both"/>
        <w:rPr>
          <w:rFonts w:ascii="Verdana" w:hAnsi="Verdana"/>
          <w:sz w:val="16"/>
          <w:szCs w:val="16"/>
          <w:lang w:val="es-ES"/>
        </w:rPr>
      </w:pPr>
      <w:r w:rsidRPr="00B16A81">
        <w:rPr>
          <w:rStyle w:val="FootnoteReference"/>
          <w:rFonts w:ascii="Verdana" w:hAnsi="Verdana"/>
          <w:sz w:val="16"/>
          <w:szCs w:val="16"/>
        </w:rPr>
        <w:footnoteRef/>
      </w:r>
      <w:r w:rsidRPr="00B16A81">
        <w:rPr>
          <w:rFonts w:ascii="Verdana" w:hAnsi="Verdana"/>
          <w:sz w:val="16"/>
          <w:szCs w:val="16"/>
          <w:lang w:val="es-ES"/>
        </w:rPr>
        <w:t xml:space="preserve"> Párr. 145.</w:t>
      </w:r>
    </w:p>
    <w:p w14:paraId="458DA8F0" w14:textId="77777777" w:rsidR="00755450" w:rsidRPr="00B16A81" w:rsidRDefault="00755450" w:rsidP="00B10962">
      <w:pPr>
        <w:pStyle w:val="FootnoteText"/>
        <w:jc w:val="both"/>
        <w:rPr>
          <w:rFonts w:ascii="Verdana" w:hAnsi="Verdana"/>
          <w:sz w:val="16"/>
          <w:szCs w:val="16"/>
          <w:lang w:val="es-ES"/>
        </w:rPr>
      </w:pPr>
    </w:p>
  </w:footnote>
  <w:footnote w:id="75">
    <w:p w14:paraId="6696D427" w14:textId="77777777" w:rsidR="00755450" w:rsidRPr="00B16A81" w:rsidRDefault="00755450" w:rsidP="00B10962">
      <w:pPr>
        <w:pStyle w:val="FootnoteText"/>
        <w:jc w:val="both"/>
        <w:rPr>
          <w:rFonts w:ascii="Verdana" w:hAnsi="Verdana"/>
          <w:sz w:val="16"/>
          <w:szCs w:val="16"/>
          <w:lang w:val="es-ES"/>
        </w:rPr>
      </w:pPr>
      <w:r w:rsidRPr="00B16A81">
        <w:rPr>
          <w:rStyle w:val="FootnoteReference"/>
          <w:rFonts w:ascii="Verdana" w:hAnsi="Verdana"/>
          <w:sz w:val="16"/>
          <w:szCs w:val="16"/>
        </w:rPr>
        <w:footnoteRef/>
      </w:r>
      <w:r w:rsidRPr="00B16A81">
        <w:rPr>
          <w:rFonts w:ascii="Verdana" w:hAnsi="Verdana"/>
          <w:sz w:val="16"/>
          <w:szCs w:val="16"/>
          <w:lang w:val="es-ES"/>
        </w:rPr>
        <w:t xml:space="preserve"> Párr. 145.</w:t>
      </w:r>
    </w:p>
    <w:p w14:paraId="4355DB9F" w14:textId="77777777" w:rsidR="00755450" w:rsidRPr="00032C73" w:rsidRDefault="00755450" w:rsidP="00B10962">
      <w:pPr>
        <w:pStyle w:val="FootnoteText"/>
        <w:jc w:val="both"/>
        <w:rPr>
          <w:rFonts w:ascii="Verdana" w:hAnsi="Verdana"/>
          <w:sz w:val="16"/>
          <w:szCs w:val="16"/>
          <w:lang w:val="es-ES"/>
        </w:rPr>
      </w:pPr>
    </w:p>
  </w:footnote>
  <w:footnote w:id="76">
    <w:p w14:paraId="4FD73B7A"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Adoptada en el Vigésimo Octavo Período Extraordinario de Sesiones de la Asamblea General de la OEA, 11 de septiembre de 2001, Lima, Perú. </w:t>
      </w:r>
    </w:p>
    <w:p w14:paraId="0F11938F" w14:textId="77777777" w:rsidR="00755450" w:rsidRPr="00032C73" w:rsidRDefault="00755450" w:rsidP="00B10962">
      <w:pPr>
        <w:pStyle w:val="FootnoteText"/>
        <w:jc w:val="both"/>
        <w:rPr>
          <w:rFonts w:ascii="Verdana" w:hAnsi="Verdana"/>
          <w:sz w:val="16"/>
          <w:szCs w:val="16"/>
          <w:lang w:val="es-ES"/>
        </w:rPr>
      </w:pPr>
      <w:r w:rsidRPr="00032C73">
        <w:rPr>
          <w:rFonts w:ascii="Verdana" w:hAnsi="Verdana"/>
          <w:sz w:val="16"/>
          <w:szCs w:val="16"/>
          <w:lang w:val="es-ES"/>
        </w:rPr>
        <w:t xml:space="preserve">Art. 3:” </w:t>
      </w:r>
      <w:r w:rsidRPr="00032C73">
        <w:rPr>
          <w:rFonts w:ascii="Verdana" w:hAnsi="Verdana"/>
          <w:i/>
          <w:sz w:val="16"/>
          <w:szCs w:val="16"/>
          <w:lang w:val="es-ES"/>
        </w:rPr>
        <w:t>Son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r w:rsidRPr="00032C73">
        <w:rPr>
          <w:rFonts w:ascii="Verdana" w:hAnsi="Verdana"/>
          <w:sz w:val="16"/>
          <w:szCs w:val="16"/>
          <w:lang w:val="es-ES"/>
        </w:rPr>
        <w:t>.”</w:t>
      </w:r>
    </w:p>
    <w:p w14:paraId="30569F6E" w14:textId="77777777" w:rsidR="00755450" w:rsidRPr="00032C73" w:rsidRDefault="00755450" w:rsidP="00B10962">
      <w:pPr>
        <w:pStyle w:val="FootnoteText"/>
        <w:jc w:val="both"/>
        <w:rPr>
          <w:rFonts w:ascii="Verdana" w:hAnsi="Verdana"/>
          <w:sz w:val="16"/>
          <w:szCs w:val="16"/>
          <w:lang w:val="es-ES"/>
        </w:rPr>
      </w:pPr>
      <w:r w:rsidRPr="00032C73">
        <w:rPr>
          <w:rFonts w:ascii="Verdana" w:hAnsi="Verdana"/>
          <w:sz w:val="16"/>
          <w:szCs w:val="16"/>
          <w:lang w:val="es-ES"/>
        </w:rPr>
        <w:t>Art. 6: “</w:t>
      </w:r>
      <w:r w:rsidRPr="00032C73">
        <w:rPr>
          <w:rFonts w:ascii="Verdana" w:hAnsi="Verdana"/>
          <w:i/>
          <w:sz w:val="16"/>
          <w:szCs w:val="16"/>
          <w:lang w:val="es-ES"/>
        </w:rPr>
        <w:t>La participación de la ciudadanía en las decisiones relativas a su propio desarrollo es un derecho y una responsabilidad. Es también una condición necesaria para el pleno y efectivo ejercicio de la democracia. Promover y fomentar diversas formas de participación fortalece la democracia</w:t>
      </w:r>
      <w:r w:rsidRPr="00032C73">
        <w:rPr>
          <w:rFonts w:ascii="Verdana" w:hAnsi="Verdana"/>
          <w:sz w:val="16"/>
          <w:szCs w:val="16"/>
          <w:lang w:val="es-ES"/>
        </w:rPr>
        <w:t>.”</w:t>
      </w:r>
    </w:p>
    <w:p w14:paraId="062F0792" w14:textId="77777777" w:rsidR="00755450" w:rsidRPr="00032C73" w:rsidRDefault="00755450" w:rsidP="00B10962">
      <w:pPr>
        <w:pStyle w:val="FootnoteText"/>
        <w:jc w:val="both"/>
        <w:rPr>
          <w:rFonts w:ascii="Verdana" w:hAnsi="Verdana"/>
          <w:sz w:val="16"/>
          <w:szCs w:val="16"/>
          <w:lang w:val="es-ES"/>
        </w:rPr>
      </w:pPr>
    </w:p>
  </w:footnote>
  <w:footnote w:id="77">
    <w:p w14:paraId="55421FE3"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Párr. 154. </w:t>
      </w:r>
    </w:p>
    <w:p w14:paraId="64CE3BFA" w14:textId="77777777" w:rsidR="00755450" w:rsidRPr="00032C73" w:rsidRDefault="00755450" w:rsidP="00B10962">
      <w:pPr>
        <w:pStyle w:val="FootnoteText"/>
        <w:jc w:val="both"/>
        <w:rPr>
          <w:rFonts w:ascii="Verdana" w:hAnsi="Verdana"/>
          <w:sz w:val="16"/>
          <w:szCs w:val="16"/>
          <w:lang w:val="es-ES"/>
        </w:rPr>
      </w:pPr>
    </w:p>
  </w:footnote>
  <w:footnote w:id="78">
    <w:p w14:paraId="56DFD0F7" w14:textId="77777777"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w:t>
      </w:r>
      <w:r w:rsidRPr="00032C73">
        <w:rPr>
          <w:rFonts w:ascii="Verdana" w:hAnsi="Verdana"/>
          <w:i/>
          <w:sz w:val="16"/>
          <w:szCs w:val="16"/>
          <w:lang w:val="es-ES"/>
        </w:rPr>
        <w:t>La cuestión de si un asunto determinado corresponde o no a la jurisdicción exclusiva del Estado, es una cuestión esencialmente relativa, la que depende del desarrollo de las relaciones internacionales. En el estado actual del desarrollo del derecho internacional, la Corte es de opinión que los asuntos relativos a la nacionalidad pertenecen, en principio, a ese dominio reservado</w:t>
      </w:r>
      <w:r w:rsidRPr="00032C73">
        <w:rPr>
          <w:rFonts w:ascii="Verdana" w:hAnsi="Verdana"/>
          <w:sz w:val="16"/>
          <w:szCs w:val="16"/>
          <w:lang w:val="es-ES"/>
        </w:rPr>
        <w:t>”. Corte Permanente de Justicia Internacional, Opinión Consultiva sobre ciertos decretos de nacionalidad dictados en la zona francesa de Túnez y Marruecos, Serie B Nº 4 Pág. 24.</w:t>
      </w:r>
    </w:p>
    <w:p w14:paraId="63608A31" w14:textId="77777777" w:rsidR="00755450" w:rsidRPr="00032C73" w:rsidRDefault="00755450" w:rsidP="00B10962">
      <w:pPr>
        <w:pStyle w:val="FootnoteText"/>
        <w:jc w:val="both"/>
        <w:rPr>
          <w:rFonts w:ascii="Verdana" w:hAnsi="Verdana"/>
          <w:sz w:val="16"/>
          <w:szCs w:val="16"/>
          <w:lang w:val="es-ES"/>
        </w:rPr>
      </w:pPr>
    </w:p>
  </w:footnote>
  <w:footnote w:id="79">
    <w:p w14:paraId="09A25A50" w14:textId="24E89D14" w:rsidR="00755450" w:rsidRPr="00032C73" w:rsidRDefault="00755450" w:rsidP="00B10962">
      <w:pPr>
        <w:pStyle w:val="FootnoteText"/>
        <w:jc w:val="both"/>
        <w:rPr>
          <w:rFonts w:ascii="Verdana" w:hAnsi="Verdana"/>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Protocole n° 15 </w:t>
      </w:r>
      <w:proofErr w:type="spellStart"/>
      <w:r w:rsidRPr="00032C73">
        <w:rPr>
          <w:rFonts w:ascii="Verdana" w:hAnsi="Verdana"/>
          <w:sz w:val="16"/>
          <w:szCs w:val="16"/>
          <w:lang w:val="es-ES"/>
        </w:rPr>
        <w:t>portant</w:t>
      </w:r>
      <w:proofErr w:type="spellEnd"/>
      <w:r w:rsidRPr="00032C73">
        <w:rPr>
          <w:rFonts w:ascii="Verdana" w:hAnsi="Verdana"/>
          <w:sz w:val="16"/>
          <w:szCs w:val="16"/>
          <w:lang w:val="es-ES"/>
        </w:rPr>
        <w:t xml:space="preserve"> </w:t>
      </w:r>
      <w:proofErr w:type="spellStart"/>
      <w:r w:rsidRPr="00032C73">
        <w:rPr>
          <w:rFonts w:ascii="Verdana" w:hAnsi="Verdana"/>
          <w:sz w:val="16"/>
          <w:szCs w:val="16"/>
          <w:lang w:val="es-ES"/>
        </w:rPr>
        <w:t>amendement</w:t>
      </w:r>
      <w:proofErr w:type="spellEnd"/>
      <w:r w:rsidRPr="00032C73">
        <w:rPr>
          <w:rFonts w:ascii="Verdana" w:hAnsi="Verdana"/>
          <w:sz w:val="16"/>
          <w:szCs w:val="16"/>
          <w:lang w:val="es-ES"/>
        </w:rPr>
        <w:t xml:space="preserve"> à la </w:t>
      </w:r>
      <w:proofErr w:type="spellStart"/>
      <w:r w:rsidRPr="00032C73">
        <w:rPr>
          <w:rFonts w:ascii="Verdana" w:hAnsi="Verdana"/>
          <w:sz w:val="16"/>
          <w:szCs w:val="16"/>
          <w:lang w:val="es-ES"/>
        </w:rPr>
        <w:t>Convention</w:t>
      </w:r>
      <w:proofErr w:type="spellEnd"/>
      <w:r w:rsidRPr="00032C73">
        <w:rPr>
          <w:rFonts w:ascii="Verdana" w:hAnsi="Verdana"/>
          <w:sz w:val="16"/>
          <w:szCs w:val="16"/>
          <w:lang w:val="es-ES"/>
        </w:rPr>
        <w:t xml:space="preserve"> de </w:t>
      </w:r>
      <w:proofErr w:type="spellStart"/>
      <w:r w:rsidRPr="00032C73">
        <w:rPr>
          <w:rFonts w:ascii="Verdana" w:hAnsi="Verdana"/>
          <w:sz w:val="16"/>
          <w:szCs w:val="16"/>
          <w:lang w:val="es-ES"/>
        </w:rPr>
        <w:t>sauvegarde</w:t>
      </w:r>
      <w:proofErr w:type="spellEnd"/>
      <w:r w:rsidRPr="00032C73">
        <w:rPr>
          <w:rFonts w:ascii="Verdana" w:hAnsi="Verdana"/>
          <w:sz w:val="16"/>
          <w:szCs w:val="16"/>
          <w:lang w:val="es-ES"/>
        </w:rPr>
        <w:t xml:space="preserve"> des </w:t>
      </w:r>
      <w:proofErr w:type="spellStart"/>
      <w:r w:rsidRPr="00032C73">
        <w:rPr>
          <w:rFonts w:ascii="Verdana" w:hAnsi="Verdana"/>
          <w:sz w:val="16"/>
          <w:szCs w:val="16"/>
          <w:lang w:val="es-ES"/>
        </w:rPr>
        <w:t>Droits</w:t>
      </w:r>
      <w:proofErr w:type="spellEnd"/>
      <w:r w:rsidRPr="00032C73">
        <w:rPr>
          <w:rFonts w:ascii="Verdana" w:hAnsi="Verdana"/>
          <w:sz w:val="16"/>
          <w:szCs w:val="16"/>
          <w:lang w:val="es-ES"/>
        </w:rPr>
        <w:t xml:space="preserve"> de </w:t>
      </w:r>
      <w:proofErr w:type="spellStart"/>
      <w:r w:rsidRPr="00032C73">
        <w:rPr>
          <w:rFonts w:ascii="Verdana" w:hAnsi="Verdana"/>
          <w:sz w:val="16"/>
          <w:szCs w:val="16"/>
          <w:lang w:val="es-ES"/>
        </w:rPr>
        <w:t>l’Homme</w:t>
      </w:r>
      <w:proofErr w:type="spellEnd"/>
      <w:r w:rsidRPr="00032C73">
        <w:rPr>
          <w:rFonts w:ascii="Verdana" w:hAnsi="Verdana"/>
          <w:sz w:val="16"/>
          <w:szCs w:val="16"/>
          <w:lang w:val="es-ES"/>
        </w:rPr>
        <w:t xml:space="preserve"> et des </w:t>
      </w:r>
      <w:proofErr w:type="spellStart"/>
      <w:r w:rsidRPr="00032C73">
        <w:rPr>
          <w:rFonts w:ascii="Verdana" w:hAnsi="Verdana"/>
          <w:sz w:val="16"/>
          <w:szCs w:val="16"/>
          <w:lang w:val="es-ES"/>
        </w:rPr>
        <w:t>Libertés</w:t>
      </w:r>
      <w:proofErr w:type="spellEnd"/>
      <w:r w:rsidRPr="00032C73">
        <w:rPr>
          <w:rFonts w:ascii="Verdana" w:hAnsi="Verdana"/>
          <w:sz w:val="16"/>
          <w:szCs w:val="16"/>
          <w:lang w:val="es-ES"/>
        </w:rPr>
        <w:t xml:space="preserve"> </w:t>
      </w:r>
      <w:proofErr w:type="spellStart"/>
      <w:r w:rsidRPr="00032C73">
        <w:rPr>
          <w:rFonts w:ascii="Verdana" w:hAnsi="Verdana"/>
          <w:sz w:val="16"/>
          <w:szCs w:val="16"/>
          <w:lang w:val="es-ES"/>
        </w:rPr>
        <w:t>fondamentales</w:t>
      </w:r>
      <w:proofErr w:type="spellEnd"/>
      <w:r w:rsidRPr="00032C73">
        <w:rPr>
          <w:rFonts w:ascii="Verdana" w:hAnsi="Verdana"/>
          <w:sz w:val="16"/>
          <w:szCs w:val="16"/>
          <w:lang w:val="es-ES"/>
        </w:rPr>
        <w:t>, art.1: “</w:t>
      </w:r>
      <w:r w:rsidRPr="00032C73">
        <w:rPr>
          <w:rFonts w:ascii="Verdana" w:hAnsi="Verdana"/>
          <w:i/>
          <w:sz w:val="16"/>
          <w:szCs w:val="16"/>
          <w:lang w:val="es-ES"/>
        </w:rPr>
        <w:t xml:space="preserve">A la fin du </w:t>
      </w:r>
      <w:proofErr w:type="spellStart"/>
      <w:r w:rsidRPr="00032C73">
        <w:rPr>
          <w:rFonts w:ascii="Verdana" w:hAnsi="Verdana"/>
          <w:i/>
          <w:sz w:val="16"/>
          <w:szCs w:val="16"/>
          <w:lang w:val="es-ES"/>
        </w:rPr>
        <w:t>préambule</w:t>
      </w:r>
      <w:proofErr w:type="spellEnd"/>
      <w:r w:rsidRPr="00032C73">
        <w:rPr>
          <w:rFonts w:ascii="Verdana" w:hAnsi="Verdana"/>
          <w:i/>
          <w:sz w:val="16"/>
          <w:szCs w:val="16"/>
          <w:lang w:val="es-ES"/>
        </w:rPr>
        <w:t xml:space="preserve"> de la </w:t>
      </w:r>
      <w:proofErr w:type="spellStart"/>
      <w:r w:rsidRPr="00032C73">
        <w:rPr>
          <w:rFonts w:ascii="Verdana" w:hAnsi="Verdana"/>
          <w:i/>
          <w:sz w:val="16"/>
          <w:szCs w:val="16"/>
          <w:lang w:val="es-ES"/>
        </w:rPr>
        <w:t>Convention</w:t>
      </w:r>
      <w:proofErr w:type="spellEnd"/>
      <w:r w:rsidRPr="00032C73">
        <w:rPr>
          <w:rFonts w:ascii="Verdana" w:hAnsi="Verdana"/>
          <w:i/>
          <w:sz w:val="16"/>
          <w:szCs w:val="16"/>
          <w:lang w:val="es-ES"/>
        </w:rPr>
        <w:t xml:space="preserve">, un </w:t>
      </w:r>
      <w:proofErr w:type="spellStart"/>
      <w:r w:rsidRPr="00032C73">
        <w:rPr>
          <w:rFonts w:ascii="Verdana" w:hAnsi="Verdana"/>
          <w:i/>
          <w:sz w:val="16"/>
          <w:szCs w:val="16"/>
          <w:lang w:val="es-ES"/>
        </w:rPr>
        <w:t>nouveau</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considérant</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est</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ajouté</w:t>
      </w:r>
      <w:proofErr w:type="spellEnd"/>
      <w:r w:rsidRPr="00032C73">
        <w:rPr>
          <w:rFonts w:ascii="Verdana" w:hAnsi="Verdana"/>
          <w:i/>
          <w:sz w:val="16"/>
          <w:szCs w:val="16"/>
          <w:lang w:val="es-ES"/>
        </w:rPr>
        <w:t xml:space="preserve"> et se </w:t>
      </w:r>
      <w:proofErr w:type="spellStart"/>
      <w:r w:rsidRPr="00032C73">
        <w:rPr>
          <w:rFonts w:ascii="Verdana" w:hAnsi="Verdana"/>
          <w:i/>
          <w:sz w:val="16"/>
          <w:szCs w:val="16"/>
          <w:lang w:val="es-ES"/>
        </w:rPr>
        <w:t>lit</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comme</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suit</w:t>
      </w:r>
      <w:proofErr w:type="spellEnd"/>
      <w:r w:rsidRPr="00032C73">
        <w:rPr>
          <w:rFonts w:ascii="Verdana" w:hAnsi="Verdana"/>
          <w:sz w:val="16"/>
          <w:szCs w:val="16"/>
          <w:lang w:val="es-ES"/>
        </w:rPr>
        <w:t>:</w:t>
      </w:r>
      <w:r w:rsidR="00DA18ED">
        <w:rPr>
          <w:rFonts w:ascii="Verdana" w:hAnsi="Verdana"/>
          <w:sz w:val="16"/>
          <w:szCs w:val="16"/>
          <w:lang w:val="es-ES"/>
        </w:rPr>
        <w:t xml:space="preserve"> </w:t>
      </w:r>
      <w:proofErr w:type="spellStart"/>
      <w:r w:rsidRPr="00032C73">
        <w:rPr>
          <w:rFonts w:ascii="Verdana" w:hAnsi="Verdana"/>
          <w:i/>
          <w:sz w:val="16"/>
          <w:szCs w:val="16"/>
          <w:lang w:val="es-ES"/>
        </w:rPr>
        <w:t>Affirmant</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qu’il</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incombe</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au</w:t>
      </w:r>
      <w:proofErr w:type="spellEnd"/>
      <w:r w:rsidRPr="00032C73">
        <w:rPr>
          <w:rFonts w:ascii="Verdana" w:hAnsi="Verdana"/>
          <w:i/>
          <w:sz w:val="16"/>
          <w:szCs w:val="16"/>
          <w:lang w:val="es-ES"/>
        </w:rPr>
        <w:t xml:space="preserve"> premier chef </w:t>
      </w:r>
      <w:proofErr w:type="spellStart"/>
      <w:r w:rsidRPr="00032C73">
        <w:rPr>
          <w:rFonts w:ascii="Verdana" w:hAnsi="Verdana"/>
          <w:i/>
          <w:sz w:val="16"/>
          <w:szCs w:val="16"/>
          <w:lang w:val="es-ES"/>
        </w:rPr>
        <w:t>aux</w:t>
      </w:r>
      <w:proofErr w:type="spellEnd"/>
      <w:r w:rsidRPr="00032C73">
        <w:rPr>
          <w:rFonts w:ascii="Verdana" w:hAnsi="Verdana"/>
          <w:i/>
          <w:sz w:val="16"/>
          <w:szCs w:val="16"/>
          <w:lang w:val="es-ES"/>
        </w:rPr>
        <w:t xml:space="preserve"> Hautes </w:t>
      </w:r>
      <w:proofErr w:type="spellStart"/>
      <w:r w:rsidRPr="00032C73">
        <w:rPr>
          <w:rFonts w:ascii="Verdana" w:hAnsi="Verdana"/>
          <w:i/>
          <w:sz w:val="16"/>
          <w:szCs w:val="16"/>
          <w:lang w:val="es-ES"/>
        </w:rPr>
        <w:t>Parties</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contractantes</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conformément</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au</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principe</w:t>
      </w:r>
      <w:proofErr w:type="spellEnd"/>
      <w:r w:rsidRPr="00032C73">
        <w:rPr>
          <w:rFonts w:ascii="Verdana" w:hAnsi="Verdana"/>
          <w:i/>
          <w:sz w:val="16"/>
          <w:szCs w:val="16"/>
          <w:lang w:val="es-ES"/>
        </w:rPr>
        <w:t xml:space="preserve"> de </w:t>
      </w:r>
      <w:proofErr w:type="spellStart"/>
      <w:r w:rsidRPr="00032C73">
        <w:rPr>
          <w:rFonts w:ascii="Verdana" w:hAnsi="Verdana"/>
          <w:i/>
          <w:sz w:val="16"/>
          <w:szCs w:val="16"/>
          <w:lang w:val="es-ES"/>
        </w:rPr>
        <w:t>subsidiarité</w:t>
      </w:r>
      <w:proofErr w:type="spellEnd"/>
      <w:r w:rsidRPr="00032C73">
        <w:rPr>
          <w:rFonts w:ascii="Verdana" w:hAnsi="Verdana"/>
          <w:i/>
          <w:sz w:val="16"/>
          <w:szCs w:val="16"/>
          <w:lang w:val="es-ES"/>
        </w:rPr>
        <w:t xml:space="preserve">, de garantir le </w:t>
      </w:r>
      <w:proofErr w:type="spellStart"/>
      <w:r w:rsidRPr="00032C73">
        <w:rPr>
          <w:rFonts w:ascii="Verdana" w:hAnsi="Verdana"/>
          <w:i/>
          <w:sz w:val="16"/>
          <w:szCs w:val="16"/>
          <w:lang w:val="es-ES"/>
        </w:rPr>
        <w:t>respect</w:t>
      </w:r>
      <w:proofErr w:type="spellEnd"/>
      <w:r w:rsidRPr="00032C73">
        <w:rPr>
          <w:rFonts w:ascii="Verdana" w:hAnsi="Verdana"/>
          <w:i/>
          <w:sz w:val="16"/>
          <w:szCs w:val="16"/>
          <w:lang w:val="es-ES"/>
        </w:rPr>
        <w:t xml:space="preserve"> des </w:t>
      </w:r>
      <w:proofErr w:type="spellStart"/>
      <w:r w:rsidRPr="00032C73">
        <w:rPr>
          <w:rFonts w:ascii="Verdana" w:hAnsi="Verdana"/>
          <w:i/>
          <w:sz w:val="16"/>
          <w:szCs w:val="16"/>
          <w:lang w:val="es-ES"/>
        </w:rPr>
        <w:t>droits</w:t>
      </w:r>
      <w:proofErr w:type="spellEnd"/>
      <w:r w:rsidRPr="00032C73">
        <w:rPr>
          <w:rFonts w:ascii="Verdana" w:hAnsi="Verdana"/>
          <w:i/>
          <w:sz w:val="16"/>
          <w:szCs w:val="16"/>
          <w:lang w:val="es-ES"/>
        </w:rPr>
        <w:t xml:space="preserve"> et </w:t>
      </w:r>
      <w:proofErr w:type="spellStart"/>
      <w:r w:rsidRPr="00032C73">
        <w:rPr>
          <w:rFonts w:ascii="Verdana" w:hAnsi="Verdana"/>
          <w:i/>
          <w:sz w:val="16"/>
          <w:szCs w:val="16"/>
          <w:lang w:val="es-ES"/>
        </w:rPr>
        <w:t>libertés</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définis</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dans</w:t>
      </w:r>
      <w:proofErr w:type="spellEnd"/>
      <w:r w:rsidRPr="00032C73">
        <w:rPr>
          <w:rFonts w:ascii="Verdana" w:hAnsi="Verdana"/>
          <w:i/>
          <w:sz w:val="16"/>
          <w:szCs w:val="16"/>
          <w:lang w:val="es-ES"/>
        </w:rPr>
        <w:t xml:space="preserve"> la </w:t>
      </w:r>
      <w:proofErr w:type="spellStart"/>
      <w:r w:rsidRPr="00032C73">
        <w:rPr>
          <w:rFonts w:ascii="Verdana" w:hAnsi="Verdana"/>
          <w:i/>
          <w:sz w:val="16"/>
          <w:szCs w:val="16"/>
          <w:lang w:val="es-ES"/>
        </w:rPr>
        <w:t>présente</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Convention</w:t>
      </w:r>
      <w:proofErr w:type="spellEnd"/>
      <w:r w:rsidRPr="00032C73">
        <w:rPr>
          <w:rFonts w:ascii="Verdana" w:hAnsi="Verdana"/>
          <w:i/>
          <w:sz w:val="16"/>
          <w:szCs w:val="16"/>
          <w:lang w:val="es-ES"/>
        </w:rPr>
        <w:t xml:space="preserve"> et </w:t>
      </w:r>
      <w:proofErr w:type="spellStart"/>
      <w:r w:rsidRPr="00032C73">
        <w:rPr>
          <w:rFonts w:ascii="Verdana" w:hAnsi="Verdana"/>
          <w:i/>
          <w:sz w:val="16"/>
          <w:szCs w:val="16"/>
          <w:lang w:val="es-ES"/>
        </w:rPr>
        <w:t>ses</w:t>
      </w:r>
      <w:proofErr w:type="spellEnd"/>
      <w:r w:rsidRPr="00032C73">
        <w:rPr>
          <w:rFonts w:ascii="Verdana" w:hAnsi="Verdana"/>
          <w:i/>
          <w:sz w:val="16"/>
          <w:szCs w:val="16"/>
          <w:lang w:val="es-ES"/>
        </w:rPr>
        <w:t xml:space="preserve"> protocoles, et que, ce </w:t>
      </w:r>
      <w:proofErr w:type="spellStart"/>
      <w:r w:rsidRPr="00032C73">
        <w:rPr>
          <w:rFonts w:ascii="Verdana" w:hAnsi="Verdana"/>
          <w:i/>
          <w:sz w:val="16"/>
          <w:szCs w:val="16"/>
          <w:lang w:val="es-ES"/>
        </w:rPr>
        <w:t>faisant</w:t>
      </w:r>
      <w:proofErr w:type="spellEnd"/>
      <w:r w:rsidRPr="00032C73">
        <w:rPr>
          <w:rFonts w:ascii="Verdana" w:hAnsi="Verdana"/>
          <w:i/>
          <w:sz w:val="16"/>
          <w:szCs w:val="16"/>
          <w:lang w:val="es-ES"/>
        </w:rPr>
        <w:t xml:space="preserve">, elles </w:t>
      </w:r>
      <w:proofErr w:type="spellStart"/>
      <w:r w:rsidRPr="00032C73">
        <w:rPr>
          <w:rFonts w:ascii="Verdana" w:hAnsi="Verdana"/>
          <w:i/>
          <w:sz w:val="16"/>
          <w:szCs w:val="16"/>
          <w:lang w:val="es-ES"/>
        </w:rPr>
        <w:t>jouissent</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d’une</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marge</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d’appréciation</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sous</w:t>
      </w:r>
      <w:proofErr w:type="spellEnd"/>
      <w:r w:rsidRPr="00032C73">
        <w:rPr>
          <w:rFonts w:ascii="Verdana" w:hAnsi="Verdana"/>
          <w:i/>
          <w:sz w:val="16"/>
          <w:szCs w:val="16"/>
          <w:lang w:val="es-ES"/>
        </w:rPr>
        <w:t xml:space="preserve"> le </w:t>
      </w:r>
      <w:proofErr w:type="spellStart"/>
      <w:r w:rsidRPr="00032C73">
        <w:rPr>
          <w:rFonts w:ascii="Verdana" w:hAnsi="Verdana"/>
          <w:i/>
          <w:sz w:val="16"/>
          <w:szCs w:val="16"/>
          <w:lang w:val="es-ES"/>
        </w:rPr>
        <w:t>contrôle</w:t>
      </w:r>
      <w:proofErr w:type="spellEnd"/>
      <w:r w:rsidRPr="00032C73">
        <w:rPr>
          <w:rFonts w:ascii="Verdana" w:hAnsi="Verdana"/>
          <w:i/>
          <w:sz w:val="16"/>
          <w:szCs w:val="16"/>
          <w:lang w:val="es-ES"/>
        </w:rPr>
        <w:t xml:space="preserve"> de la </w:t>
      </w:r>
      <w:proofErr w:type="spellStart"/>
      <w:r w:rsidRPr="00032C73">
        <w:rPr>
          <w:rFonts w:ascii="Verdana" w:hAnsi="Verdana"/>
          <w:i/>
          <w:sz w:val="16"/>
          <w:szCs w:val="16"/>
          <w:lang w:val="es-ES"/>
        </w:rPr>
        <w:t>Cour</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européenne</w:t>
      </w:r>
      <w:proofErr w:type="spellEnd"/>
      <w:r w:rsidRPr="00032C73">
        <w:rPr>
          <w:rFonts w:ascii="Verdana" w:hAnsi="Verdana"/>
          <w:i/>
          <w:sz w:val="16"/>
          <w:szCs w:val="16"/>
          <w:lang w:val="es-ES"/>
        </w:rPr>
        <w:t xml:space="preserve"> des </w:t>
      </w:r>
      <w:proofErr w:type="spellStart"/>
      <w:r w:rsidRPr="00032C73">
        <w:rPr>
          <w:rFonts w:ascii="Verdana" w:hAnsi="Verdana"/>
          <w:i/>
          <w:sz w:val="16"/>
          <w:szCs w:val="16"/>
          <w:lang w:val="es-ES"/>
        </w:rPr>
        <w:t>Droits</w:t>
      </w:r>
      <w:proofErr w:type="spellEnd"/>
      <w:r w:rsidRPr="00032C73">
        <w:rPr>
          <w:rFonts w:ascii="Verdana" w:hAnsi="Verdana"/>
          <w:i/>
          <w:sz w:val="16"/>
          <w:szCs w:val="16"/>
          <w:lang w:val="es-ES"/>
        </w:rPr>
        <w:t xml:space="preserve"> de </w:t>
      </w:r>
      <w:proofErr w:type="spellStart"/>
      <w:r w:rsidRPr="00032C73">
        <w:rPr>
          <w:rFonts w:ascii="Verdana" w:hAnsi="Verdana"/>
          <w:i/>
          <w:sz w:val="16"/>
          <w:szCs w:val="16"/>
          <w:lang w:val="es-ES"/>
        </w:rPr>
        <w:t>l’Homme</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instituée</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par</w:t>
      </w:r>
      <w:proofErr w:type="spellEnd"/>
      <w:r w:rsidRPr="00032C73">
        <w:rPr>
          <w:rFonts w:ascii="Verdana" w:hAnsi="Verdana"/>
          <w:i/>
          <w:sz w:val="16"/>
          <w:szCs w:val="16"/>
          <w:lang w:val="es-ES"/>
        </w:rPr>
        <w:t xml:space="preserve"> la </w:t>
      </w:r>
      <w:proofErr w:type="spellStart"/>
      <w:r w:rsidRPr="00032C73">
        <w:rPr>
          <w:rFonts w:ascii="Verdana" w:hAnsi="Verdana"/>
          <w:i/>
          <w:sz w:val="16"/>
          <w:szCs w:val="16"/>
          <w:lang w:val="es-ES"/>
        </w:rPr>
        <w:t>présente</w:t>
      </w:r>
      <w:proofErr w:type="spellEnd"/>
      <w:r w:rsidRPr="00032C73">
        <w:rPr>
          <w:rFonts w:ascii="Verdana" w:hAnsi="Verdana"/>
          <w:i/>
          <w:sz w:val="16"/>
          <w:szCs w:val="16"/>
          <w:lang w:val="es-ES"/>
        </w:rPr>
        <w:t xml:space="preserve"> </w:t>
      </w:r>
      <w:proofErr w:type="spellStart"/>
      <w:r w:rsidRPr="00032C73">
        <w:rPr>
          <w:rFonts w:ascii="Verdana" w:hAnsi="Verdana"/>
          <w:i/>
          <w:sz w:val="16"/>
          <w:szCs w:val="16"/>
          <w:lang w:val="es-ES"/>
        </w:rPr>
        <w:t>Convention</w:t>
      </w:r>
      <w:proofErr w:type="spellEnd"/>
      <w:r w:rsidRPr="00032C73">
        <w:rPr>
          <w:rFonts w:ascii="Verdana" w:hAnsi="Verdana"/>
          <w:i/>
          <w:sz w:val="16"/>
          <w:szCs w:val="16"/>
          <w:lang w:val="es-ES"/>
        </w:rPr>
        <w:t>.”</w:t>
      </w:r>
    </w:p>
    <w:p w14:paraId="346F60BE" w14:textId="77777777" w:rsidR="00755450" w:rsidRPr="00032C73" w:rsidRDefault="00755450" w:rsidP="00B10962">
      <w:pPr>
        <w:pStyle w:val="FootnoteText"/>
        <w:jc w:val="both"/>
        <w:rPr>
          <w:rFonts w:ascii="Verdana" w:hAnsi="Verdana"/>
          <w:sz w:val="16"/>
          <w:szCs w:val="16"/>
          <w:lang w:val="es-ES"/>
        </w:rPr>
      </w:pPr>
    </w:p>
  </w:footnote>
  <w:footnote w:id="80">
    <w:p w14:paraId="2FDF1CE9" w14:textId="77777777" w:rsidR="00755450" w:rsidRPr="00032C73" w:rsidRDefault="00755450" w:rsidP="00B10962">
      <w:pPr>
        <w:pStyle w:val="FootnoteText"/>
        <w:jc w:val="both"/>
        <w:rPr>
          <w:rFonts w:ascii="Verdana" w:hAnsi="Verdana"/>
          <w:i/>
          <w:sz w:val="16"/>
          <w:szCs w:val="16"/>
          <w:lang w:val="es-ES"/>
        </w:rPr>
      </w:pPr>
      <w:r w:rsidRPr="00032C73">
        <w:rPr>
          <w:rStyle w:val="FootnoteReference"/>
          <w:rFonts w:ascii="Verdana" w:hAnsi="Verdana"/>
          <w:sz w:val="16"/>
          <w:szCs w:val="16"/>
        </w:rPr>
        <w:footnoteRef/>
      </w:r>
      <w:r w:rsidRPr="00032C73">
        <w:rPr>
          <w:rFonts w:ascii="Verdana" w:hAnsi="Verdana"/>
          <w:sz w:val="16"/>
          <w:szCs w:val="16"/>
          <w:lang w:val="es-ES"/>
        </w:rPr>
        <w:t xml:space="preserve"> Art. 68:”</w:t>
      </w:r>
      <w:r w:rsidRPr="00032C73">
        <w:rPr>
          <w:rFonts w:ascii="Verdana" w:hAnsi="Verdana"/>
          <w:i/>
          <w:sz w:val="16"/>
          <w:szCs w:val="16"/>
          <w:lang w:val="es-ES"/>
        </w:rPr>
        <w:t>1. Los Estados Partes en la Convención se comprometen a cumplir la decisión de la Corte en todo caso en que sean partes.</w:t>
      </w:r>
    </w:p>
    <w:p w14:paraId="1D64DFDA" w14:textId="77777777" w:rsidR="00755450" w:rsidRPr="00032C73" w:rsidRDefault="00755450" w:rsidP="00B10962">
      <w:pPr>
        <w:pStyle w:val="FootnoteText"/>
        <w:jc w:val="both"/>
        <w:rPr>
          <w:rFonts w:ascii="Verdana" w:hAnsi="Verdana"/>
          <w:sz w:val="16"/>
          <w:szCs w:val="16"/>
          <w:lang w:val="es-ES"/>
        </w:rPr>
      </w:pPr>
      <w:r w:rsidRPr="00032C73">
        <w:rPr>
          <w:rFonts w:ascii="Verdana" w:hAnsi="Verdana"/>
          <w:i/>
          <w:sz w:val="16"/>
          <w:szCs w:val="16"/>
          <w:lang w:val="es-ES"/>
        </w:rPr>
        <w:t xml:space="preserve"> 2. La parte del fallo que disponga indemnización compensatoria se podrá ejecutar en el respectivo país por el procedimiento interno vigente para la ejecución de sentencias contra el Estado.”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82ADF" w14:textId="77777777" w:rsidR="00AC22FC" w:rsidRDefault="00AC2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EAA3C" w14:textId="77777777" w:rsidR="00AC22FC" w:rsidRDefault="00AC2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DD4AB" w14:textId="77777777" w:rsidR="00AC22FC" w:rsidRDefault="00AC2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71C0"/>
    <w:multiLevelType w:val="hybridMultilevel"/>
    <w:tmpl w:val="F84E5BE0"/>
    <w:lvl w:ilvl="0" w:tplc="2B8267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E40BC"/>
    <w:multiLevelType w:val="hybridMultilevel"/>
    <w:tmpl w:val="0366D748"/>
    <w:lvl w:ilvl="0" w:tplc="B906C7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F1E49"/>
    <w:multiLevelType w:val="hybridMultilevel"/>
    <w:tmpl w:val="D62255A8"/>
    <w:lvl w:ilvl="0" w:tplc="790E8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B7E24"/>
    <w:multiLevelType w:val="hybridMultilevel"/>
    <w:tmpl w:val="81AE5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BD6209"/>
    <w:multiLevelType w:val="hybridMultilevel"/>
    <w:tmpl w:val="E6B2D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067608"/>
    <w:multiLevelType w:val="hybridMultilevel"/>
    <w:tmpl w:val="C02AA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FE78CE"/>
    <w:multiLevelType w:val="hybridMultilevel"/>
    <w:tmpl w:val="3BBAB5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027F31"/>
    <w:multiLevelType w:val="hybridMultilevel"/>
    <w:tmpl w:val="D64CA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B8347C"/>
    <w:multiLevelType w:val="hybridMultilevel"/>
    <w:tmpl w:val="B092464A"/>
    <w:lvl w:ilvl="0" w:tplc="1CB6CE88">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5835FB"/>
    <w:multiLevelType w:val="hybridMultilevel"/>
    <w:tmpl w:val="1496466C"/>
    <w:lvl w:ilvl="0" w:tplc="43F8F9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E66EF9"/>
    <w:multiLevelType w:val="hybridMultilevel"/>
    <w:tmpl w:val="0B60C32C"/>
    <w:lvl w:ilvl="0" w:tplc="101E98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DF4FB2"/>
    <w:multiLevelType w:val="hybridMultilevel"/>
    <w:tmpl w:val="C324B6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9A2054"/>
    <w:multiLevelType w:val="hybridMultilevel"/>
    <w:tmpl w:val="C96CC97E"/>
    <w:lvl w:ilvl="0" w:tplc="5C8A9954">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1"/>
  </w:num>
  <w:num w:numId="2">
    <w:abstractNumId w:val="4"/>
  </w:num>
  <w:num w:numId="3">
    <w:abstractNumId w:val="5"/>
  </w:num>
  <w:num w:numId="4">
    <w:abstractNumId w:val="11"/>
  </w:num>
  <w:num w:numId="5">
    <w:abstractNumId w:val="3"/>
  </w:num>
  <w:num w:numId="6">
    <w:abstractNumId w:val="6"/>
  </w:num>
  <w:num w:numId="7">
    <w:abstractNumId w:val="8"/>
  </w:num>
  <w:num w:numId="8">
    <w:abstractNumId w:val="12"/>
  </w:num>
  <w:num w:numId="9">
    <w:abstractNumId w:val="9"/>
  </w:num>
  <w:num w:numId="10">
    <w:abstractNumId w:val="0"/>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82"/>
    <w:rsid w:val="0001016B"/>
    <w:rsid w:val="00013F82"/>
    <w:rsid w:val="000158F2"/>
    <w:rsid w:val="00015E34"/>
    <w:rsid w:val="0002323F"/>
    <w:rsid w:val="00027986"/>
    <w:rsid w:val="00032C73"/>
    <w:rsid w:val="00042F01"/>
    <w:rsid w:val="000478A8"/>
    <w:rsid w:val="000517ED"/>
    <w:rsid w:val="000528BE"/>
    <w:rsid w:val="0005471C"/>
    <w:rsid w:val="00062733"/>
    <w:rsid w:val="00063E7E"/>
    <w:rsid w:val="0007453A"/>
    <w:rsid w:val="0008092F"/>
    <w:rsid w:val="00081744"/>
    <w:rsid w:val="0008649B"/>
    <w:rsid w:val="000879DF"/>
    <w:rsid w:val="000A2590"/>
    <w:rsid w:val="000B47F7"/>
    <w:rsid w:val="000B790C"/>
    <w:rsid w:val="000C07AA"/>
    <w:rsid w:val="000C14D0"/>
    <w:rsid w:val="000C386D"/>
    <w:rsid w:val="000C3877"/>
    <w:rsid w:val="000D1022"/>
    <w:rsid w:val="000D6B3A"/>
    <w:rsid w:val="000E3DB5"/>
    <w:rsid w:val="000E78BC"/>
    <w:rsid w:val="000F7F2E"/>
    <w:rsid w:val="00100DA4"/>
    <w:rsid w:val="001032EE"/>
    <w:rsid w:val="0011111C"/>
    <w:rsid w:val="00112B3A"/>
    <w:rsid w:val="0011348A"/>
    <w:rsid w:val="00115F89"/>
    <w:rsid w:val="0011733B"/>
    <w:rsid w:val="001248A3"/>
    <w:rsid w:val="001269C1"/>
    <w:rsid w:val="00132AE0"/>
    <w:rsid w:val="001421D0"/>
    <w:rsid w:val="00142B8C"/>
    <w:rsid w:val="00146B15"/>
    <w:rsid w:val="0014760F"/>
    <w:rsid w:val="00155266"/>
    <w:rsid w:val="00161813"/>
    <w:rsid w:val="00162A29"/>
    <w:rsid w:val="00163876"/>
    <w:rsid w:val="001649B0"/>
    <w:rsid w:val="00165F16"/>
    <w:rsid w:val="00167E7D"/>
    <w:rsid w:val="0017007A"/>
    <w:rsid w:val="00185B5F"/>
    <w:rsid w:val="00193E97"/>
    <w:rsid w:val="001A5227"/>
    <w:rsid w:val="001C321E"/>
    <w:rsid w:val="001E2FDB"/>
    <w:rsid w:val="001F4F66"/>
    <w:rsid w:val="001F7D5A"/>
    <w:rsid w:val="002003DA"/>
    <w:rsid w:val="00204CA8"/>
    <w:rsid w:val="0021332B"/>
    <w:rsid w:val="00224792"/>
    <w:rsid w:val="0023099B"/>
    <w:rsid w:val="002323F7"/>
    <w:rsid w:val="0023249E"/>
    <w:rsid w:val="00232D8A"/>
    <w:rsid w:val="00236A55"/>
    <w:rsid w:val="00242D0C"/>
    <w:rsid w:val="00244178"/>
    <w:rsid w:val="00245253"/>
    <w:rsid w:val="00246223"/>
    <w:rsid w:val="00247B4A"/>
    <w:rsid w:val="00264DEE"/>
    <w:rsid w:val="00270B5C"/>
    <w:rsid w:val="00273011"/>
    <w:rsid w:val="00273235"/>
    <w:rsid w:val="002742BE"/>
    <w:rsid w:val="002751A8"/>
    <w:rsid w:val="00275A5B"/>
    <w:rsid w:val="002872F5"/>
    <w:rsid w:val="00287F1B"/>
    <w:rsid w:val="002907FE"/>
    <w:rsid w:val="0029184F"/>
    <w:rsid w:val="00292A5F"/>
    <w:rsid w:val="0029353D"/>
    <w:rsid w:val="002A687F"/>
    <w:rsid w:val="002B02D8"/>
    <w:rsid w:val="002B4739"/>
    <w:rsid w:val="002B7F96"/>
    <w:rsid w:val="002D2F6F"/>
    <w:rsid w:val="002E6C7A"/>
    <w:rsid w:val="002E73F2"/>
    <w:rsid w:val="002E78E1"/>
    <w:rsid w:val="002F021B"/>
    <w:rsid w:val="002F0F11"/>
    <w:rsid w:val="002F2B90"/>
    <w:rsid w:val="002F5BD0"/>
    <w:rsid w:val="002F66C8"/>
    <w:rsid w:val="00303317"/>
    <w:rsid w:val="00303441"/>
    <w:rsid w:val="003042E4"/>
    <w:rsid w:val="003103CD"/>
    <w:rsid w:val="00310630"/>
    <w:rsid w:val="00314F34"/>
    <w:rsid w:val="00320F94"/>
    <w:rsid w:val="00325608"/>
    <w:rsid w:val="00325D8E"/>
    <w:rsid w:val="00336E8A"/>
    <w:rsid w:val="00343F7C"/>
    <w:rsid w:val="0034598A"/>
    <w:rsid w:val="00354894"/>
    <w:rsid w:val="00362EF8"/>
    <w:rsid w:val="003657F7"/>
    <w:rsid w:val="00365ACB"/>
    <w:rsid w:val="00373BEF"/>
    <w:rsid w:val="00376DC8"/>
    <w:rsid w:val="0037777D"/>
    <w:rsid w:val="00380245"/>
    <w:rsid w:val="00380B4E"/>
    <w:rsid w:val="003871E0"/>
    <w:rsid w:val="003903BC"/>
    <w:rsid w:val="003933AE"/>
    <w:rsid w:val="00393B15"/>
    <w:rsid w:val="003941B0"/>
    <w:rsid w:val="003947FB"/>
    <w:rsid w:val="003A433E"/>
    <w:rsid w:val="003B2532"/>
    <w:rsid w:val="003B2F2B"/>
    <w:rsid w:val="003C1CE8"/>
    <w:rsid w:val="003C4700"/>
    <w:rsid w:val="003E07A3"/>
    <w:rsid w:val="003E0D64"/>
    <w:rsid w:val="003F0156"/>
    <w:rsid w:val="00400BED"/>
    <w:rsid w:val="004077FE"/>
    <w:rsid w:val="004223B4"/>
    <w:rsid w:val="004248FA"/>
    <w:rsid w:val="00426CDB"/>
    <w:rsid w:val="004272BC"/>
    <w:rsid w:val="00427495"/>
    <w:rsid w:val="00431FF2"/>
    <w:rsid w:val="00432286"/>
    <w:rsid w:val="00436F82"/>
    <w:rsid w:val="0045316E"/>
    <w:rsid w:val="004641DD"/>
    <w:rsid w:val="00467AA0"/>
    <w:rsid w:val="00470DB1"/>
    <w:rsid w:val="004714BF"/>
    <w:rsid w:val="004727D5"/>
    <w:rsid w:val="00475410"/>
    <w:rsid w:val="004764B9"/>
    <w:rsid w:val="00483B87"/>
    <w:rsid w:val="00486563"/>
    <w:rsid w:val="004874FC"/>
    <w:rsid w:val="00491B35"/>
    <w:rsid w:val="00497025"/>
    <w:rsid w:val="004A00AE"/>
    <w:rsid w:val="004A10BD"/>
    <w:rsid w:val="004A2D74"/>
    <w:rsid w:val="004A6465"/>
    <w:rsid w:val="004B4EC9"/>
    <w:rsid w:val="004D000A"/>
    <w:rsid w:val="004D00A9"/>
    <w:rsid w:val="004D00FC"/>
    <w:rsid w:val="004D0279"/>
    <w:rsid w:val="004D04CA"/>
    <w:rsid w:val="004D26DE"/>
    <w:rsid w:val="004D63F5"/>
    <w:rsid w:val="004D7089"/>
    <w:rsid w:val="004E2F42"/>
    <w:rsid w:val="004E4445"/>
    <w:rsid w:val="004E4E85"/>
    <w:rsid w:val="004F67EB"/>
    <w:rsid w:val="005006DB"/>
    <w:rsid w:val="00505082"/>
    <w:rsid w:val="005051E6"/>
    <w:rsid w:val="00513A49"/>
    <w:rsid w:val="00515B78"/>
    <w:rsid w:val="00517EDF"/>
    <w:rsid w:val="00524112"/>
    <w:rsid w:val="00524B78"/>
    <w:rsid w:val="00525475"/>
    <w:rsid w:val="00526B54"/>
    <w:rsid w:val="00527AD3"/>
    <w:rsid w:val="00532D76"/>
    <w:rsid w:val="005353EF"/>
    <w:rsid w:val="005415A0"/>
    <w:rsid w:val="0054764E"/>
    <w:rsid w:val="00550CB9"/>
    <w:rsid w:val="005514BA"/>
    <w:rsid w:val="005520CB"/>
    <w:rsid w:val="005550DC"/>
    <w:rsid w:val="00555222"/>
    <w:rsid w:val="00567FE1"/>
    <w:rsid w:val="005725BC"/>
    <w:rsid w:val="00572724"/>
    <w:rsid w:val="00574FC2"/>
    <w:rsid w:val="00580234"/>
    <w:rsid w:val="00582103"/>
    <w:rsid w:val="00586A4C"/>
    <w:rsid w:val="005908CD"/>
    <w:rsid w:val="00590CA6"/>
    <w:rsid w:val="005962C4"/>
    <w:rsid w:val="005A06E4"/>
    <w:rsid w:val="005A1A44"/>
    <w:rsid w:val="005A1ADC"/>
    <w:rsid w:val="005B4B64"/>
    <w:rsid w:val="005C11BD"/>
    <w:rsid w:val="005D221B"/>
    <w:rsid w:val="005D2DB8"/>
    <w:rsid w:val="005D5253"/>
    <w:rsid w:val="005D5A7D"/>
    <w:rsid w:val="005D78E4"/>
    <w:rsid w:val="005E21EE"/>
    <w:rsid w:val="005E4A69"/>
    <w:rsid w:val="005F33D0"/>
    <w:rsid w:val="0062079F"/>
    <w:rsid w:val="00631113"/>
    <w:rsid w:val="00633F86"/>
    <w:rsid w:val="006364FF"/>
    <w:rsid w:val="00642EEC"/>
    <w:rsid w:val="00643800"/>
    <w:rsid w:val="00652B77"/>
    <w:rsid w:val="006530D7"/>
    <w:rsid w:val="0065385F"/>
    <w:rsid w:val="00654068"/>
    <w:rsid w:val="006550A6"/>
    <w:rsid w:val="006569A1"/>
    <w:rsid w:val="0066655E"/>
    <w:rsid w:val="00670DE6"/>
    <w:rsid w:val="00675965"/>
    <w:rsid w:val="0068020D"/>
    <w:rsid w:val="0068620E"/>
    <w:rsid w:val="00693BF6"/>
    <w:rsid w:val="00693CED"/>
    <w:rsid w:val="006A165E"/>
    <w:rsid w:val="006B096C"/>
    <w:rsid w:val="006B4ADC"/>
    <w:rsid w:val="006C2095"/>
    <w:rsid w:val="006D15FD"/>
    <w:rsid w:val="006D2C28"/>
    <w:rsid w:val="006D4172"/>
    <w:rsid w:val="006D4634"/>
    <w:rsid w:val="006D65FA"/>
    <w:rsid w:val="006F0616"/>
    <w:rsid w:val="007017D0"/>
    <w:rsid w:val="00701FBA"/>
    <w:rsid w:val="00702191"/>
    <w:rsid w:val="00714260"/>
    <w:rsid w:val="007142E3"/>
    <w:rsid w:val="00714B27"/>
    <w:rsid w:val="007226BE"/>
    <w:rsid w:val="00723D1A"/>
    <w:rsid w:val="007253E3"/>
    <w:rsid w:val="0072562F"/>
    <w:rsid w:val="007301CB"/>
    <w:rsid w:val="00731AEA"/>
    <w:rsid w:val="00731F1E"/>
    <w:rsid w:val="00732149"/>
    <w:rsid w:val="00755450"/>
    <w:rsid w:val="007554BA"/>
    <w:rsid w:val="00761972"/>
    <w:rsid w:val="00765770"/>
    <w:rsid w:val="00772D38"/>
    <w:rsid w:val="00775575"/>
    <w:rsid w:val="00782577"/>
    <w:rsid w:val="00782620"/>
    <w:rsid w:val="007A0D2D"/>
    <w:rsid w:val="007A2472"/>
    <w:rsid w:val="007A3393"/>
    <w:rsid w:val="007A56D8"/>
    <w:rsid w:val="007A7A3C"/>
    <w:rsid w:val="007B727A"/>
    <w:rsid w:val="007D0A89"/>
    <w:rsid w:val="007D1A04"/>
    <w:rsid w:val="007D2EAB"/>
    <w:rsid w:val="007D3D1C"/>
    <w:rsid w:val="007D4F48"/>
    <w:rsid w:val="007F0D9D"/>
    <w:rsid w:val="007F57D1"/>
    <w:rsid w:val="00803512"/>
    <w:rsid w:val="008069E4"/>
    <w:rsid w:val="008122CA"/>
    <w:rsid w:val="008240C7"/>
    <w:rsid w:val="00841CD6"/>
    <w:rsid w:val="00843E69"/>
    <w:rsid w:val="0084401D"/>
    <w:rsid w:val="0084445F"/>
    <w:rsid w:val="00844B7C"/>
    <w:rsid w:val="0086422C"/>
    <w:rsid w:val="00867FFE"/>
    <w:rsid w:val="008919B1"/>
    <w:rsid w:val="008A0B43"/>
    <w:rsid w:val="008A187A"/>
    <w:rsid w:val="008A1D81"/>
    <w:rsid w:val="008A2313"/>
    <w:rsid w:val="008A4C41"/>
    <w:rsid w:val="008A5B2F"/>
    <w:rsid w:val="008B09C6"/>
    <w:rsid w:val="008C1310"/>
    <w:rsid w:val="008C5E75"/>
    <w:rsid w:val="008E2954"/>
    <w:rsid w:val="008E4D92"/>
    <w:rsid w:val="008E4F0F"/>
    <w:rsid w:val="008E59BB"/>
    <w:rsid w:val="008E602E"/>
    <w:rsid w:val="008F04AA"/>
    <w:rsid w:val="008F1A54"/>
    <w:rsid w:val="008F3D82"/>
    <w:rsid w:val="009344A6"/>
    <w:rsid w:val="00934869"/>
    <w:rsid w:val="00934A96"/>
    <w:rsid w:val="009377B9"/>
    <w:rsid w:val="00940E0E"/>
    <w:rsid w:val="00952F5E"/>
    <w:rsid w:val="00953DE1"/>
    <w:rsid w:val="00957D1B"/>
    <w:rsid w:val="00962D48"/>
    <w:rsid w:val="009654DC"/>
    <w:rsid w:val="00974A88"/>
    <w:rsid w:val="00974FF4"/>
    <w:rsid w:val="00980883"/>
    <w:rsid w:val="0099311B"/>
    <w:rsid w:val="009A3CC0"/>
    <w:rsid w:val="009B2BD4"/>
    <w:rsid w:val="009B36D6"/>
    <w:rsid w:val="009C18E8"/>
    <w:rsid w:val="009C2F8A"/>
    <w:rsid w:val="009C4CD5"/>
    <w:rsid w:val="009C7C3D"/>
    <w:rsid w:val="009E5DB7"/>
    <w:rsid w:val="009F2FA6"/>
    <w:rsid w:val="009F4E5B"/>
    <w:rsid w:val="009F7E73"/>
    <w:rsid w:val="00A00AFE"/>
    <w:rsid w:val="00A06C5E"/>
    <w:rsid w:val="00A156A0"/>
    <w:rsid w:val="00A2480B"/>
    <w:rsid w:val="00A35D6D"/>
    <w:rsid w:val="00A40551"/>
    <w:rsid w:val="00A42BEA"/>
    <w:rsid w:val="00A46621"/>
    <w:rsid w:val="00A50154"/>
    <w:rsid w:val="00A616EA"/>
    <w:rsid w:val="00A65DE2"/>
    <w:rsid w:val="00A673FA"/>
    <w:rsid w:val="00A679ED"/>
    <w:rsid w:val="00A7333E"/>
    <w:rsid w:val="00A766F9"/>
    <w:rsid w:val="00A76F5C"/>
    <w:rsid w:val="00AA438E"/>
    <w:rsid w:val="00AA5E22"/>
    <w:rsid w:val="00AA6E81"/>
    <w:rsid w:val="00AB1D08"/>
    <w:rsid w:val="00AB1FA5"/>
    <w:rsid w:val="00AB4628"/>
    <w:rsid w:val="00AB70F8"/>
    <w:rsid w:val="00AC22FC"/>
    <w:rsid w:val="00AC65DA"/>
    <w:rsid w:val="00AC7965"/>
    <w:rsid w:val="00AE740A"/>
    <w:rsid w:val="00AF1638"/>
    <w:rsid w:val="00AF21A9"/>
    <w:rsid w:val="00B011A1"/>
    <w:rsid w:val="00B10612"/>
    <w:rsid w:val="00B10962"/>
    <w:rsid w:val="00B1294C"/>
    <w:rsid w:val="00B16A81"/>
    <w:rsid w:val="00B22449"/>
    <w:rsid w:val="00B3496E"/>
    <w:rsid w:val="00B41924"/>
    <w:rsid w:val="00B41B71"/>
    <w:rsid w:val="00B42968"/>
    <w:rsid w:val="00B461A2"/>
    <w:rsid w:val="00B53337"/>
    <w:rsid w:val="00B5578A"/>
    <w:rsid w:val="00B55BB3"/>
    <w:rsid w:val="00B64166"/>
    <w:rsid w:val="00B64AE2"/>
    <w:rsid w:val="00B64C0F"/>
    <w:rsid w:val="00B74416"/>
    <w:rsid w:val="00B804C8"/>
    <w:rsid w:val="00B8537C"/>
    <w:rsid w:val="00B86D31"/>
    <w:rsid w:val="00B9460B"/>
    <w:rsid w:val="00B94AE5"/>
    <w:rsid w:val="00BA2A54"/>
    <w:rsid w:val="00BA492B"/>
    <w:rsid w:val="00BA74F3"/>
    <w:rsid w:val="00BA7989"/>
    <w:rsid w:val="00BA7B90"/>
    <w:rsid w:val="00BB20AD"/>
    <w:rsid w:val="00BC0318"/>
    <w:rsid w:val="00BC2411"/>
    <w:rsid w:val="00BD1761"/>
    <w:rsid w:val="00BE044A"/>
    <w:rsid w:val="00BE2655"/>
    <w:rsid w:val="00BE3D78"/>
    <w:rsid w:val="00BE4D24"/>
    <w:rsid w:val="00BE694F"/>
    <w:rsid w:val="00BF3FC4"/>
    <w:rsid w:val="00C01301"/>
    <w:rsid w:val="00C02434"/>
    <w:rsid w:val="00C12ED9"/>
    <w:rsid w:val="00C13FA1"/>
    <w:rsid w:val="00C1498C"/>
    <w:rsid w:val="00C152D9"/>
    <w:rsid w:val="00C1532A"/>
    <w:rsid w:val="00C2026C"/>
    <w:rsid w:val="00C2084E"/>
    <w:rsid w:val="00C27CCC"/>
    <w:rsid w:val="00C313F9"/>
    <w:rsid w:val="00C320E8"/>
    <w:rsid w:val="00C362A2"/>
    <w:rsid w:val="00C4009F"/>
    <w:rsid w:val="00C4423E"/>
    <w:rsid w:val="00C44D4A"/>
    <w:rsid w:val="00C53D51"/>
    <w:rsid w:val="00C5675B"/>
    <w:rsid w:val="00C57321"/>
    <w:rsid w:val="00C712E0"/>
    <w:rsid w:val="00C82E24"/>
    <w:rsid w:val="00C864C3"/>
    <w:rsid w:val="00C94D51"/>
    <w:rsid w:val="00C97E88"/>
    <w:rsid w:val="00CA45E4"/>
    <w:rsid w:val="00CA6A4F"/>
    <w:rsid w:val="00CB0119"/>
    <w:rsid w:val="00CB3347"/>
    <w:rsid w:val="00CB419F"/>
    <w:rsid w:val="00CB7AB0"/>
    <w:rsid w:val="00CB7EEB"/>
    <w:rsid w:val="00CC3776"/>
    <w:rsid w:val="00CD4A90"/>
    <w:rsid w:val="00CD61B6"/>
    <w:rsid w:val="00CE0698"/>
    <w:rsid w:val="00CE06BA"/>
    <w:rsid w:val="00CF0AF9"/>
    <w:rsid w:val="00CF546E"/>
    <w:rsid w:val="00CF694C"/>
    <w:rsid w:val="00CF7891"/>
    <w:rsid w:val="00CF7B87"/>
    <w:rsid w:val="00CF7FE6"/>
    <w:rsid w:val="00D01BAE"/>
    <w:rsid w:val="00D03560"/>
    <w:rsid w:val="00D11632"/>
    <w:rsid w:val="00D11EA9"/>
    <w:rsid w:val="00D12C54"/>
    <w:rsid w:val="00D13CE2"/>
    <w:rsid w:val="00D15234"/>
    <w:rsid w:val="00D1527A"/>
    <w:rsid w:val="00D24A8C"/>
    <w:rsid w:val="00D334A1"/>
    <w:rsid w:val="00D434B7"/>
    <w:rsid w:val="00D4418C"/>
    <w:rsid w:val="00D5318C"/>
    <w:rsid w:val="00D55E06"/>
    <w:rsid w:val="00D76949"/>
    <w:rsid w:val="00D81FF7"/>
    <w:rsid w:val="00D92406"/>
    <w:rsid w:val="00D93E1E"/>
    <w:rsid w:val="00D95B46"/>
    <w:rsid w:val="00DA18ED"/>
    <w:rsid w:val="00DA23F2"/>
    <w:rsid w:val="00DB0EBE"/>
    <w:rsid w:val="00DB225B"/>
    <w:rsid w:val="00DB3657"/>
    <w:rsid w:val="00DD11A0"/>
    <w:rsid w:val="00DD1757"/>
    <w:rsid w:val="00DD5C7C"/>
    <w:rsid w:val="00DD61C5"/>
    <w:rsid w:val="00DE13D9"/>
    <w:rsid w:val="00DF2917"/>
    <w:rsid w:val="00DF4DA6"/>
    <w:rsid w:val="00DF6E40"/>
    <w:rsid w:val="00E22D78"/>
    <w:rsid w:val="00E26B58"/>
    <w:rsid w:val="00E32E41"/>
    <w:rsid w:val="00E45C18"/>
    <w:rsid w:val="00E46888"/>
    <w:rsid w:val="00E5613A"/>
    <w:rsid w:val="00E7009A"/>
    <w:rsid w:val="00E71D42"/>
    <w:rsid w:val="00E75EA9"/>
    <w:rsid w:val="00E82B57"/>
    <w:rsid w:val="00E900A9"/>
    <w:rsid w:val="00EA1E7D"/>
    <w:rsid w:val="00EA27F9"/>
    <w:rsid w:val="00EA3D5C"/>
    <w:rsid w:val="00EB1087"/>
    <w:rsid w:val="00EB1F16"/>
    <w:rsid w:val="00EB2166"/>
    <w:rsid w:val="00EB7CE1"/>
    <w:rsid w:val="00EC6A70"/>
    <w:rsid w:val="00ED0C50"/>
    <w:rsid w:val="00ED6243"/>
    <w:rsid w:val="00ED7333"/>
    <w:rsid w:val="00ED74C3"/>
    <w:rsid w:val="00EE0931"/>
    <w:rsid w:val="00EE5C0D"/>
    <w:rsid w:val="00EE780E"/>
    <w:rsid w:val="00EF2811"/>
    <w:rsid w:val="00EF4889"/>
    <w:rsid w:val="00EF74BF"/>
    <w:rsid w:val="00EF7757"/>
    <w:rsid w:val="00F0584C"/>
    <w:rsid w:val="00F1238F"/>
    <w:rsid w:val="00F12814"/>
    <w:rsid w:val="00F155A3"/>
    <w:rsid w:val="00F15618"/>
    <w:rsid w:val="00F167BE"/>
    <w:rsid w:val="00F230E0"/>
    <w:rsid w:val="00F250BC"/>
    <w:rsid w:val="00F3245F"/>
    <w:rsid w:val="00F336C5"/>
    <w:rsid w:val="00F3372C"/>
    <w:rsid w:val="00F43BD0"/>
    <w:rsid w:val="00F45C4D"/>
    <w:rsid w:val="00F53488"/>
    <w:rsid w:val="00F5671D"/>
    <w:rsid w:val="00F71A2F"/>
    <w:rsid w:val="00F77E51"/>
    <w:rsid w:val="00F80D26"/>
    <w:rsid w:val="00F828D9"/>
    <w:rsid w:val="00F83670"/>
    <w:rsid w:val="00F87AA6"/>
    <w:rsid w:val="00F90399"/>
    <w:rsid w:val="00F964A2"/>
    <w:rsid w:val="00FA0592"/>
    <w:rsid w:val="00FB02CB"/>
    <w:rsid w:val="00FB723E"/>
    <w:rsid w:val="00FC07E4"/>
    <w:rsid w:val="00FD48A2"/>
    <w:rsid w:val="00FE58C0"/>
    <w:rsid w:val="00FF0E29"/>
    <w:rsid w:val="00FF1236"/>
    <w:rsid w:val="00FF5B3A"/>
    <w:rsid w:val="00FF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BB3"/>
    <w:pPr>
      <w:tabs>
        <w:tab w:val="center" w:pos="4419"/>
        <w:tab w:val="right" w:pos="8838"/>
      </w:tabs>
      <w:spacing w:after="0" w:line="240" w:lineRule="auto"/>
    </w:pPr>
  </w:style>
  <w:style w:type="character" w:customStyle="1" w:styleId="HeaderChar">
    <w:name w:val="Header Char"/>
    <w:basedOn w:val="DefaultParagraphFont"/>
    <w:link w:val="Header"/>
    <w:uiPriority w:val="99"/>
    <w:rsid w:val="00B55BB3"/>
  </w:style>
  <w:style w:type="paragraph" w:styleId="Footer">
    <w:name w:val="footer"/>
    <w:basedOn w:val="Normal"/>
    <w:link w:val="FooterChar"/>
    <w:uiPriority w:val="99"/>
    <w:unhideWhenUsed/>
    <w:rsid w:val="00B55BB3"/>
    <w:pPr>
      <w:tabs>
        <w:tab w:val="center" w:pos="4419"/>
        <w:tab w:val="right" w:pos="8838"/>
      </w:tabs>
      <w:spacing w:after="0" w:line="240" w:lineRule="auto"/>
    </w:pPr>
  </w:style>
  <w:style w:type="character" w:customStyle="1" w:styleId="FooterChar">
    <w:name w:val="Footer Char"/>
    <w:basedOn w:val="DefaultParagraphFont"/>
    <w:link w:val="Footer"/>
    <w:uiPriority w:val="99"/>
    <w:rsid w:val="00B55BB3"/>
  </w:style>
  <w:style w:type="paragraph" w:styleId="FootnoteText">
    <w:name w:val="footnote text"/>
    <w:basedOn w:val="Normal"/>
    <w:link w:val="FootnoteTextChar"/>
    <w:uiPriority w:val="99"/>
    <w:unhideWhenUsed/>
    <w:rsid w:val="00EB2166"/>
    <w:pPr>
      <w:spacing w:after="0" w:line="240" w:lineRule="auto"/>
    </w:pPr>
    <w:rPr>
      <w:sz w:val="20"/>
      <w:szCs w:val="20"/>
    </w:rPr>
  </w:style>
  <w:style w:type="character" w:customStyle="1" w:styleId="FootnoteTextChar">
    <w:name w:val="Footnote Text Char"/>
    <w:basedOn w:val="DefaultParagraphFont"/>
    <w:link w:val="FootnoteText"/>
    <w:uiPriority w:val="99"/>
    <w:rsid w:val="00EB2166"/>
    <w:rPr>
      <w:sz w:val="20"/>
      <w:szCs w:val="20"/>
    </w:rPr>
  </w:style>
  <w:style w:type="character" w:styleId="FootnoteReference">
    <w:name w:val="footnote reference"/>
    <w:basedOn w:val="DefaultParagraphFont"/>
    <w:uiPriority w:val="99"/>
    <w:semiHidden/>
    <w:unhideWhenUsed/>
    <w:rsid w:val="00EB2166"/>
    <w:rPr>
      <w:vertAlign w:val="superscript"/>
    </w:rPr>
  </w:style>
  <w:style w:type="paragraph" w:styleId="ListParagraph">
    <w:name w:val="List Paragraph"/>
    <w:basedOn w:val="Normal"/>
    <w:uiPriority w:val="34"/>
    <w:qFormat/>
    <w:rsid w:val="00FB723E"/>
    <w:pPr>
      <w:ind w:left="720"/>
      <w:contextualSpacing/>
    </w:pPr>
  </w:style>
  <w:style w:type="paragraph" w:styleId="BalloonText">
    <w:name w:val="Balloon Text"/>
    <w:basedOn w:val="Normal"/>
    <w:link w:val="BalloonTextChar"/>
    <w:uiPriority w:val="99"/>
    <w:semiHidden/>
    <w:unhideWhenUsed/>
    <w:rsid w:val="00BE0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BB3"/>
    <w:pPr>
      <w:tabs>
        <w:tab w:val="center" w:pos="4419"/>
        <w:tab w:val="right" w:pos="8838"/>
      </w:tabs>
      <w:spacing w:after="0" w:line="240" w:lineRule="auto"/>
    </w:pPr>
  </w:style>
  <w:style w:type="character" w:customStyle="1" w:styleId="HeaderChar">
    <w:name w:val="Header Char"/>
    <w:basedOn w:val="DefaultParagraphFont"/>
    <w:link w:val="Header"/>
    <w:uiPriority w:val="99"/>
    <w:rsid w:val="00B55BB3"/>
  </w:style>
  <w:style w:type="paragraph" w:styleId="Footer">
    <w:name w:val="footer"/>
    <w:basedOn w:val="Normal"/>
    <w:link w:val="FooterChar"/>
    <w:uiPriority w:val="99"/>
    <w:unhideWhenUsed/>
    <w:rsid w:val="00B55BB3"/>
    <w:pPr>
      <w:tabs>
        <w:tab w:val="center" w:pos="4419"/>
        <w:tab w:val="right" w:pos="8838"/>
      </w:tabs>
      <w:spacing w:after="0" w:line="240" w:lineRule="auto"/>
    </w:pPr>
  </w:style>
  <w:style w:type="character" w:customStyle="1" w:styleId="FooterChar">
    <w:name w:val="Footer Char"/>
    <w:basedOn w:val="DefaultParagraphFont"/>
    <w:link w:val="Footer"/>
    <w:uiPriority w:val="99"/>
    <w:rsid w:val="00B55BB3"/>
  </w:style>
  <w:style w:type="paragraph" w:styleId="FootnoteText">
    <w:name w:val="footnote text"/>
    <w:basedOn w:val="Normal"/>
    <w:link w:val="FootnoteTextChar"/>
    <w:uiPriority w:val="99"/>
    <w:unhideWhenUsed/>
    <w:rsid w:val="00EB2166"/>
    <w:pPr>
      <w:spacing w:after="0" w:line="240" w:lineRule="auto"/>
    </w:pPr>
    <w:rPr>
      <w:sz w:val="20"/>
      <w:szCs w:val="20"/>
    </w:rPr>
  </w:style>
  <w:style w:type="character" w:customStyle="1" w:styleId="FootnoteTextChar">
    <w:name w:val="Footnote Text Char"/>
    <w:basedOn w:val="DefaultParagraphFont"/>
    <w:link w:val="FootnoteText"/>
    <w:uiPriority w:val="99"/>
    <w:rsid w:val="00EB2166"/>
    <w:rPr>
      <w:sz w:val="20"/>
      <w:szCs w:val="20"/>
    </w:rPr>
  </w:style>
  <w:style w:type="character" w:styleId="FootnoteReference">
    <w:name w:val="footnote reference"/>
    <w:basedOn w:val="DefaultParagraphFont"/>
    <w:uiPriority w:val="99"/>
    <w:semiHidden/>
    <w:unhideWhenUsed/>
    <w:rsid w:val="00EB2166"/>
    <w:rPr>
      <w:vertAlign w:val="superscript"/>
    </w:rPr>
  </w:style>
  <w:style w:type="paragraph" w:styleId="ListParagraph">
    <w:name w:val="List Paragraph"/>
    <w:basedOn w:val="Normal"/>
    <w:uiPriority w:val="34"/>
    <w:qFormat/>
    <w:rsid w:val="00FB723E"/>
    <w:pPr>
      <w:ind w:left="720"/>
      <w:contextualSpacing/>
    </w:pPr>
  </w:style>
  <w:style w:type="paragraph" w:styleId="BalloonText">
    <w:name w:val="Balloon Text"/>
    <w:basedOn w:val="Normal"/>
    <w:link w:val="BalloonTextChar"/>
    <w:uiPriority w:val="99"/>
    <w:semiHidden/>
    <w:unhideWhenUsed/>
    <w:rsid w:val="00BE0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15BEBE2BF87F40A76A9C926EBECC0C" ma:contentTypeVersion="0" ma:contentTypeDescription="Create a new document." ma:contentTypeScope="" ma:versionID="ad8069bb81a7b5dc5c766ad6aa2648bb">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8ABF0-45A1-4D70-9099-7587C20595EC}">
  <ds:schemaRefs>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406A28F1-5B5B-411F-878C-1128B3B025EA}">
  <ds:schemaRefs>
    <ds:schemaRef ds:uri="http://schemas.microsoft.com/sharepoint/v3/contenttype/forms"/>
  </ds:schemaRefs>
</ds:datastoreItem>
</file>

<file path=customXml/itemProps3.xml><?xml version="1.0" encoding="utf-8"?>
<ds:datastoreItem xmlns:ds="http://schemas.openxmlformats.org/officeDocument/2006/customXml" ds:itemID="{DA4D970F-5653-43F9-87D4-2EA7F4D07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048A41-96C7-4273-8F07-6A40670F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6577</Words>
  <Characters>34201</Characters>
  <Application>Microsoft Office Word</Application>
  <DocSecurity>0</DocSecurity>
  <Lines>589</Lines>
  <Paragraphs>111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CorteIDH</dc:creator>
  <cp:lastModifiedBy>Ana Rita Ramirez</cp:lastModifiedBy>
  <cp:revision>4</cp:revision>
  <cp:lastPrinted>2017-11-13T21:08:00Z</cp:lastPrinted>
  <dcterms:created xsi:type="dcterms:W3CDTF">2017-11-14T23:47:00Z</dcterms:created>
  <dcterms:modified xsi:type="dcterms:W3CDTF">2017-11-14T23:58:00Z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0x010100D015BEBE2BF87F40A76A9C926EBECC0C</vt:lpwstr>
  </property>
</Properties>
</file>