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8F" w:rsidRDefault="0019528F" w:rsidP="00F619B9">
      <w:pPr>
        <w:spacing w:after="0" w:line="240" w:lineRule="auto"/>
        <w:ind w:right="-4"/>
        <w:jc w:val="center"/>
        <w:rPr>
          <w:rFonts w:ascii="Verdana" w:hAnsi="Verdana"/>
          <w:b/>
          <w:sz w:val="20"/>
          <w:szCs w:val="20"/>
          <w:lang w:val="es-ES"/>
        </w:rPr>
      </w:pPr>
    </w:p>
    <w:p w:rsidR="00F75421" w:rsidRDefault="00F75421" w:rsidP="00F619B9">
      <w:pPr>
        <w:spacing w:after="0" w:line="240" w:lineRule="auto"/>
        <w:ind w:right="-4"/>
        <w:jc w:val="center"/>
        <w:rPr>
          <w:rFonts w:ascii="Verdana" w:hAnsi="Verdana"/>
          <w:b/>
          <w:sz w:val="20"/>
          <w:szCs w:val="20"/>
          <w:lang w:val="es-ES"/>
        </w:rPr>
      </w:pPr>
    </w:p>
    <w:p w:rsidR="00F75421" w:rsidRPr="00FD16D8" w:rsidRDefault="00F75421" w:rsidP="00F619B9">
      <w:pPr>
        <w:spacing w:after="0" w:line="240" w:lineRule="auto"/>
        <w:ind w:right="-4"/>
        <w:jc w:val="center"/>
        <w:rPr>
          <w:rFonts w:ascii="Verdana" w:hAnsi="Verdana"/>
          <w:b/>
          <w:sz w:val="20"/>
          <w:szCs w:val="20"/>
          <w:lang w:val="es-ES"/>
        </w:rPr>
      </w:pPr>
    </w:p>
    <w:p w:rsidR="00DB7928" w:rsidRPr="00FD16D8" w:rsidRDefault="007B6DC4" w:rsidP="00F619B9">
      <w:pPr>
        <w:pStyle w:val="ListParagraph"/>
        <w:spacing w:after="0" w:line="240" w:lineRule="auto"/>
        <w:ind w:left="0" w:right="-4"/>
        <w:jc w:val="center"/>
        <w:rPr>
          <w:rFonts w:ascii="Verdana" w:hAnsi="Verdana"/>
          <w:b/>
          <w:sz w:val="20"/>
          <w:szCs w:val="20"/>
          <w:lang w:val="es-ES"/>
        </w:rPr>
      </w:pPr>
      <w:r w:rsidRPr="00FD16D8">
        <w:rPr>
          <w:rFonts w:ascii="Verdana" w:hAnsi="Verdana"/>
          <w:b/>
          <w:sz w:val="20"/>
          <w:szCs w:val="20"/>
          <w:lang w:val="es-ES"/>
        </w:rPr>
        <w:t xml:space="preserve">VOTO </w:t>
      </w:r>
      <w:r w:rsidR="0056323D" w:rsidRPr="00FD16D8">
        <w:rPr>
          <w:rFonts w:ascii="Verdana" w:hAnsi="Verdana"/>
          <w:b/>
          <w:sz w:val="20"/>
          <w:szCs w:val="20"/>
          <w:lang w:val="es-ES"/>
        </w:rPr>
        <w:t xml:space="preserve">INDIVIDUAL </w:t>
      </w:r>
      <w:r w:rsidRPr="00FD16D8">
        <w:rPr>
          <w:rFonts w:ascii="Verdana" w:hAnsi="Verdana"/>
          <w:b/>
          <w:sz w:val="20"/>
          <w:szCs w:val="20"/>
          <w:lang w:val="es-ES"/>
        </w:rPr>
        <w:t>DEL JUEZ EDUARDO VIO GROSSI</w:t>
      </w:r>
      <w:r w:rsidR="00DB7928" w:rsidRPr="00FD16D8">
        <w:rPr>
          <w:rFonts w:ascii="Verdana" w:hAnsi="Verdana"/>
          <w:b/>
          <w:sz w:val="20"/>
          <w:szCs w:val="20"/>
          <w:lang w:val="es-ES"/>
        </w:rPr>
        <w:t>,</w:t>
      </w:r>
    </w:p>
    <w:p w:rsidR="00FD16D8" w:rsidRPr="00FD16D8" w:rsidRDefault="003B2469" w:rsidP="00F619B9">
      <w:pPr>
        <w:pStyle w:val="ListParagraph"/>
        <w:spacing w:after="0" w:line="240" w:lineRule="auto"/>
        <w:ind w:left="0" w:right="-4"/>
        <w:jc w:val="center"/>
        <w:rPr>
          <w:rFonts w:ascii="Verdana" w:eastAsia="MS Mincho" w:hAnsi="Verdana" w:cs="Calibri"/>
          <w:b/>
          <w:sz w:val="20"/>
          <w:szCs w:val="20"/>
          <w:lang w:val="es-ES_tradnl"/>
        </w:rPr>
      </w:pPr>
      <w:r w:rsidRPr="00FD16D8">
        <w:rPr>
          <w:rFonts w:ascii="Verdana" w:eastAsia="MS Mincho" w:hAnsi="Verdana" w:cs="Calibri"/>
          <w:b/>
          <w:sz w:val="20"/>
          <w:szCs w:val="20"/>
          <w:lang w:val="es-ES_tradnl"/>
        </w:rPr>
        <w:t>CORTE INTERAMERICANA DE DERECHOS HUMANOS</w:t>
      </w:r>
      <w:r w:rsidR="0056323D" w:rsidRPr="00FD16D8">
        <w:rPr>
          <w:rFonts w:ascii="Verdana" w:eastAsia="MS Mincho" w:hAnsi="Verdana" w:cs="Calibri"/>
          <w:b/>
          <w:sz w:val="20"/>
          <w:szCs w:val="20"/>
          <w:lang w:val="es-ES_tradnl"/>
        </w:rPr>
        <w:t>,</w:t>
      </w:r>
    </w:p>
    <w:p w:rsidR="00FD16D8" w:rsidRPr="00F619B9" w:rsidRDefault="003B2469" w:rsidP="00F619B9">
      <w:pPr>
        <w:pStyle w:val="ListParagraph"/>
        <w:spacing w:after="0" w:line="240" w:lineRule="auto"/>
        <w:ind w:left="0" w:right="-4"/>
        <w:jc w:val="center"/>
        <w:rPr>
          <w:rFonts w:ascii="Verdana" w:hAnsi="Verdana"/>
          <w:b/>
          <w:sz w:val="20"/>
          <w:szCs w:val="20"/>
          <w:lang w:val="es-CR"/>
        </w:rPr>
      </w:pPr>
      <w:r w:rsidRPr="00F619B9">
        <w:rPr>
          <w:rFonts w:ascii="Verdana" w:hAnsi="Verdana"/>
          <w:b/>
          <w:sz w:val="20"/>
          <w:szCs w:val="20"/>
          <w:lang w:val="es-CR"/>
        </w:rPr>
        <w:t>CASO TR</w:t>
      </w:r>
      <w:r w:rsidR="00F619B9">
        <w:rPr>
          <w:rFonts w:ascii="Verdana" w:hAnsi="Verdana"/>
          <w:b/>
          <w:sz w:val="20"/>
          <w:szCs w:val="20"/>
          <w:lang w:val="es-CR"/>
        </w:rPr>
        <w:t>ABAJADORES CESADOS DE PETROPERÚ</w:t>
      </w:r>
    </w:p>
    <w:p w:rsidR="00FD16D8" w:rsidRPr="00F619B9" w:rsidRDefault="00574F83" w:rsidP="00F619B9">
      <w:pPr>
        <w:pStyle w:val="ListParagraph"/>
        <w:spacing w:after="0" w:line="240" w:lineRule="auto"/>
        <w:ind w:left="0" w:right="-4"/>
        <w:jc w:val="center"/>
        <w:rPr>
          <w:rFonts w:ascii="Verdana" w:hAnsi="Verdana"/>
          <w:b/>
          <w:sz w:val="20"/>
          <w:szCs w:val="20"/>
          <w:lang w:val="es-CR"/>
        </w:rPr>
      </w:pPr>
      <w:r w:rsidRPr="00F619B9">
        <w:rPr>
          <w:rFonts w:ascii="Verdana" w:hAnsi="Verdana"/>
          <w:b/>
          <w:sz w:val="20"/>
          <w:szCs w:val="20"/>
          <w:lang w:val="es-CR"/>
        </w:rPr>
        <w:t xml:space="preserve"> Y OTROS </w:t>
      </w:r>
      <w:r w:rsidR="003B2469" w:rsidRPr="00F619B9">
        <w:rPr>
          <w:rFonts w:ascii="Verdana" w:hAnsi="Verdana"/>
          <w:b/>
          <w:sz w:val="20"/>
          <w:szCs w:val="20"/>
          <w:lang w:val="es-CR"/>
        </w:rPr>
        <w:t>VS. PERÚ</w:t>
      </w:r>
      <w:r w:rsidR="00FD16D8" w:rsidRPr="00F619B9">
        <w:rPr>
          <w:rFonts w:ascii="Verdana" w:hAnsi="Verdana"/>
          <w:b/>
          <w:sz w:val="20"/>
          <w:szCs w:val="20"/>
          <w:lang w:val="es-CR"/>
        </w:rPr>
        <w:t>,</w:t>
      </w:r>
    </w:p>
    <w:p w:rsidR="00FD16D8" w:rsidRPr="00F619B9" w:rsidRDefault="003B2469" w:rsidP="00F619B9">
      <w:pPr>
        <w:pStyle w:val="ListParagraph"/>
        <w:spacing w:after="0" w:line="240" w:lineRule="auto"/>
        <w:ind w:left="0" w:right="-4"/>
        <w:jc w:val="center"/>
        <w:rPr>
          <w:rFonts w:ascii="Verdana" w:hAnsi="Verdana"/>
          <w:b/>
          <w:sz w:val="20"/>
          <w:szCs w:val="20"/>
          <w:lang w:val="es-CR"/>
        </w:rPr>
      </w:pPr>
      <w:r w:rsidRPr="00FD16D8">
        <w:rPr>
          <w:rFonts w:ascii="Verdana" w:eastAsia="MS Mincho" w:hAnsi="Verdana" w:cs="Calibri"/>
          <w:b/>
          <w:sz w:val="20"/>
          <w:szCs w:val="20"/>
          <w:lang w:val="es-ES_tradnl"/>
        </w:rPr>
        <w:t xml:space="preserve">SENTENCIA DE 23 </w:t>
      </w:r>
      <w:r w:rsidR="00DB7928" w:rsidRPr="00FD16D8">
        <w:rPr>
          <w:rFonts w:ascii="Verdana" w:eastAsia="MS Mincho" w:hAnsi="Verdana" w:cs="Calibri"/>
          <w:b/>
          <w:sz w:val="20"/>
          <w:szCs w:val="20"/>
          <w:lang w:val="es-ES_tradnl"/>
        </w:rPr>
        <w:t>DE NOVIEMBRE DE 201</w:t>
      </w:r>
      <w:r w:rsidR="00574F83">
        <w:rPr>
          <w:rFonts w:ascii="Verdana" w:eastAsia="MS Mincho" w:hAnsi="Verdana" w:cs="Calibri"/>
          <w:b/>
          <w:sz w:val="20"/>
          <w:szCs w:val="20"/>
          <w:lang w:val="es-ES_tradnl"/>
        </w:rPr>
        <w:t>7</w:t>
      </w:r>
    </w:p>
    <w:p w:rsidR="00A54A2E" w:rsidRPr="00F619B9" w:rsidRDefault="003B2469" w:rsidP="00F619B9">
      <w:pPr>
        <w:pStyle w:val="ListParagraph"/>
        <w:spacing w:after="0" w:line="240" w:lineRule="auto"/>
        <w:ind w:left="0" w:right="-4"/>
        <w:jc w:val="center"/>
        <w:rPr>
          <w:rFonts w:ascii="Verdana" w:hAnsi="Verdana"/>
          <w:b/>
          <w:sz w:val="20"/>
          <w:szCs w:val="20"/>
          <w:lang w:val="es-CR"/>
        </w:rPr>
      </w:pPr>
      <w:r w:rsidRPr="00FD16D8">
        <w:rPr>
          <w:rFonts w:ascii="Verdana" w:hAnsi="Verdana" w:cs="Calibri"/>
          <w:b/>
          <w:i/>
          <w:iCs/>
          <w:spacing w:val="15"/>
          <w:sz w:val="20"/>
          <w:szCs w:val="20"/>
          <w:lang w:val="es-ES_tradnl"/>
        </w:rPr>
        <w:t>(Excepciones Preliminares, Fondo, Reparaciones y Costas</w:t>
      </w:r>
      <w:r w:rsidR="00A54A2E" w:rsidRPr="00FD16D8">
        <w:rPr>
          <w:rFonts w:ascii="Verdana" w:hAnsi="Verdana" w:cs="Calibri"/>
          <w:b/>
          <w:i/>
          <w:iCs/>
          <w:spacing w:val="15"/>
          <w:sz w:val="20"/>
          <w:szCs w:val="20"/>
          <w:lang w:val="es-ES_tradnl"/>
        </w:rPr>
        <w:t>)</w:t>
      </w:r>
    </w:p>
    <w:p w:rsidR="00A54A2E" w:rsidRPr="00FD16D8" w:rsidRDefault="00A54A2E" w:rsidP="00F619B9">
      <w:pPr>
        <w:spacing w:line="240" w:lineRule="auto"/>
        <w:ind w:right="-4"/>
        <w:jc w:val="center"/>
        <w:rPr>
          <w:rFonts w:ascii="Verdana" w:hAnsi="Verdana" w:cs="Calibri"/>
          <w:b/>
          <w:i/>
          <w:iCs/>
          <w:spacing w:val="15"/>
          <w:sz w:val="20"/>
          <w:szCs w:val="20"/>
          <w:lang w:val="es-ES_tradnl"/>
        </w:rPr>
      </w:pPr>
    </w:p>
    <w:p w:rsidR="00FD16D8" w:rsidRPr="00FD16D8" w:rsidRDefault="00DB7928" w:rsidP="00F619B9">
      <w:pPr>
        <w:pStyle w:val="ListParagraph"/>
        <w:spacing w:line="240" w:lineRule="auto"/>
        <w:ind w:left="0" w:right="-4"/>
        <w:jc w:val="both"/>
        <w:rPr>
          <w:rFonts w:ascii="Verdana" w:hAnsi="Verdana"/>
          <w:b/>
          <w:sz w:val="20"/>
          <w:szCs w:val="20"/>
          <w:lang w:val="es-ES"/>
        </w:rPr>
      </w:pPr>
      <w:r w:rsidRPr="00FD16D8">
        <w:rPr>
          <w:rFonts w:ascii="Verdana" w:hAnsi="Verdana"/>
          <w:b/>
          <w:sz w:val="20"/>
          <w:szCs w:val="20"/>
          <w:lang w:val="es-ES"/>
        </w:rPr>
        <w:t>INTRODUCCIÓN.</w:t>
      </w:r>
    </w:p>
    <w:p w:rsidR="00FD16D8" w:rsidRPr="00FD16D8" w:rsidRDefault="00FD16D8" w:rsidP="00F619B9">
      <w:pPr>
        <w:pStyle w:val="ListParagraph"/>
        <w:spacing w:line="240" w:lineRule="auto"/>
        <w:ind w:left="0" w:right="-4"/>
        <w:jc w:val="both"/>
        <w:rPr>
          <w:rFonts w:ascii="Verdana" w:hAnsi="Verdana"/>
          <w:b/>
          <w:sz w:val="20"/>
          <w:szCs w:val="20"/>
          <w:lang w:val="es-ES"/>
        </w:rPr>
      </w:pPr>
    </w:p>
    <w:p w:rsidR="00DB7928" w:rsidRPr="00FD16D8" w:rsidRDefault="00D432DD" w:rsidP="00F619B9">
      <w:pPr>
        <w:pStyle w:val="ListParagraph"/>
        <w:numPr>
          <w:ilvl w:val="0"/>
          <w:numId w:val="13"/>
        </w:numPr>
        <w:spacing w:after="120" w:line="240" w:lineRule="auto"/>
        <w:ind w:left="0" w:firstLine="0"/>
        <w:jc w:val="both"/>
        <w:rPr>
          <w:rFonts w:ascii="Verdana" w:hAnsi="Verdana"/>
          <w:sz w:val="20"/>
          <w:szCs w:val="20"/>
          <w:lang w:val="es-ES"/>
        </w:rPr>
      </w:pPr>
      <w:r w:rsidRPr="00FD16D8">
        <w:rPr>
          <w:rFonts w:ascii="Verdana" w:hAnsi="Verdana"/>
          <w:sz w:val="20"/>
          <w:szCs w:val="20"/>
          <w:lang w:val="es-ES"/>
        </w:rPr>
        <w:t>Se ex</w:t>
      </w:r>
      <w:r w:rsidR="00DB7928" w:rsidRPr="00FD16D8">
        <w:rPr>
          <w:rFonts w:ascii="Verdana" w:hAnsi="Verdana"/>
          <w:sz w:val="20"/>
          <w:szCs w:val="20"/>
          <w:lang w:val="es-ES"/>
        </w:rPr>
        <w:t>pide el presente voto individual</w:t>
      </w:r>
      <w:r w:rsidR="00B86BA2" w:rsidRPr="00FD16D8">
        <w:rPr>
          <w:rStyle w:val="FootnoteReference"/>
          <w:rFonts w:ascii="Verdana" w:hAnsi="Verdana"/>
          <w:sz w:val="20"/>
          <w:szCs w:val="20"/>
          <w:lang w:val="es-ES"/>
        </w:rPr>
        <w:footnoteReference w:id="1"/>
      </w:r>
      <w:r w:rsidR="00543D39" w:rsidRPr="00FD16D8">
        <w:rPr>
          <w:rFonts w:ascii="Verdana" w:hAnsi="Verdana"/>
          <w:sz w:val="20"/>
          <w:szCs w:val="20"/>
          <w:lang w:val="es-ES"/>
        </w:rPr>
        <w:t xml:space="preserve"> </w:t>
      </w:r>
      <w:r w:rsidR="00F15B1E" w:rsidRPr="00FD16D8">
        <w:rPr>
          <w:rFonts w:ascii="Verdana" w:hAnsi="Verdana"/>
          <w:sz w:val="20"/>
          <w:szCs w:val="20"/>
          <w:lang w:val="es-ES"/>
        </w:rPr>
        <w:t>re</w:t>
      </w:r>
      <w:r w:rsidR="00705D62" w:rsidRPr="00FD16D8">
        <w:rPr>
          <w:rFonts w:ascii="Verdana" w:hAnsi="Verdana"/>
          <w:sz w:val="20"/>
          <w:szCs w:val="20"/>
          <w:lang w:val="es-ES"/>
        </w:rPr>
        <w:t>specto de</w:t>
      </w:r>
      <w:r w:rsidR="00C4258A" w:rsidRPr="00FD16D8">
        <w:rPr>
          <w:rFonts w:ascii="Verdana" w:hAnsi="Verdana"/>
          <w:sz w:val="20"/>
          <w:szCs w:val="20"/>
          <w:lang w:val="es-ES"/>
        </w:rPr>
        <w:t xml:space="preserve"> </w:t>
      </w:r>
      <w:r w:rsidR="00390294">
        <w:rPr>
          <w:rFonts w:ascii="Verdana" w:hAnsi="Verdana"/>
          <w:sz w:val="20"/>
          <w:szCs w:val="20"/>
          <w:lang w:val="es-ES"/>
        </w:rPr>
        <w:t xml:space="preserve">la referencia que </w:t>
      </w:r>
      <w:r w:rsidR="00EA7A07" w:rsidRPr="00FD16D8">
        <w:rPr>
          <w:rFonts w:ascii="Verdana" w:hAnsi="Verdana"/>
          <w:sz w:val="20"/>
          <w:szCs w:val="20"/>
          <w:lang w:val="es-ES"/>
        </w:rPr>
        <w:t xml:space="preserve">la Sentencia </w:t>
      </w:r>
      <w:r w:rsidR="00705D62" w:rsidRPr="00FD16D8">
        <w:rPr>
          <w:rFonts w:ascii="Verdana" w:hAnsi="Verdana"/>
          <w:sz w:val="20"/>
          <w:szCs w:val="20"/>
          <w:lang w:val="es-ES"/>
        </w:rPr>
        <w:t>del epígrafe</w:t>
      </w:r>
      <w:r w:rsidR="00705D62" w:rsidRPr="00FD16D8">
        <w:rPr>
          <w:rStyle w:val="FootnoteReference"/>
          <w:rFonts w:ascii="Verdana" w:hAnsi="Verdana"/>
          <w:sz w:val="20"/>
          <w:szCs w:val="20"/>
          <w:lang w:val="es-ES"/>
        </w:rPr>
        <w:footnoteReference w:id="2"/>
      </w:r>
      <w:r w:rsidR="00705D62" w:rsidRPr="00FD16D8">
        <w:rPr>
          <w:rFonts w:ascii="Verdana" w:hAnsi="Verdana"/>
          <w:sz w:val="20"/>
          <w:szCs w:val="20"/>
          <w:lang w:val="es-ES"/>
        </w:rPr>
        <w:t xml:space="preserve"> </w:t>
      </w:r>
      <w:r w:rsidR="00390294">
        <w:rPr>
          <w:rFonts w:ascii="Verdana" w:hAnsi="Verdana"/>
          <w:sz w:val="20"/>
          <w:szCs w:val="20"/>
          <w:lang w:val="es-ES"/>
        </w:rPr>
        <w:t xml:space="preserve">hace </w:t>
      </w:r>
      <w:r w:rsidR="00C4258A" w:rsidRPr="00FD16D8">
        <w:rPr>
          <w:rFonts w:ascii="Verdana" w:hAnsi="Verdana"/>
          <w:sz w:val="20"/>
          <w:szCs w:val="20"/>
          <w:lang w:val="es-ES"/>
        </w:rPr>
        <w:t>a</w:t>
      </w:r>
      <w:r w:rsidR="008E280A" w:rsidRPr="00FD16D8">
        <w:rPr>
          <w:rFonts w:ascii="Verdana" w:hAnsi="Verdana"/>
          <w:sz w:val="20"/>
          <w:szCs w:val="20"/>
          <w:lang w:val="es-ES"/>
        </w:rPr>
        <w:t xml:space="preserve">l </w:t>
      </w:r>
      <w:r w:rsidR="00C4258A" w:rsidRPr="00FD16D8">
        <w:rPr>
          <w:rFonts w:ascii="Verdana" w:hAnsi="Verdana"/>
          <w:sz w:val="20"/>
          <w:szCs w:val="20"/>
          <w:lang w:val="es-ES"/>
        </w:rPr>
        <w:t>artículo 26 de la Conve</w:t>
      </w:r>
      <w:r w:rsidR="00F619B9">
        <w:rPr>
          <w:rFonts w:ascii="Verdana" w:hAnsi="Verdana"/>
          <w:sz w:val="20"/>
          <w:szCs w:val="20"/>
          <w:lang w:val="es-ES"/>
        </w:rPr>
        <w:t>nción Americana sobre Derechos H</w:t>
      </w:r>
      <w:r w:rsidR="00C4258A" w:rsidRPr="00FD16D8">
        <w:rPr>
          <w:rFonts w:ascii="Verdana" w:hAnsi="Verdana"/>
          <w:sz w:val="20"/>
          <w:szCs w:val="20"/>
          <w:lang w:val="es-ES"/>
        </w:rPr>
        <w:t>umanos</w:t>
      </w:r>
      <w:r w:rsidR="00C4258A" w:rsidRPr="00FD16D8">
        <w:rPr>
          <w:rStyle w:val="FootnoteReference"/>
          <w:rFonts w:ascii="Verdana" w:hAnsi="Verdana"/>
          <w:sz w:val="20"/>
          <w:szCs w:val="20"/>
          <w:lang w:val="es-ES"/>
        </w:rPr>
        <w:footnoteReference w:id="3"/>
      </w:r>
      <w:r w:rsidR="00C4258A" w:rsidRPr="00FD16D8">
        <w:rPr>
          <w:rFonts w:ascii="Verdana" w:hAnsi="Verdana"/>
          <w:sz w:val="20"/>
          <w:szCs w:val="20"/>
          <w:lang w:val="es-ES"/>
        </w:rPr>
        <w:t>.</w:t>
      </w:r>
      <w:bookmarkStart w:id="0" w:name="_GoBack"/>
      <w:bookmarkEnd w:id="0"/>
    </w:p>
    <w:p w:rsidR="00DB7928" w:rsidRPr="00FD16D8" w:rsidRDefault="00DB7928" w:rsidP="00F619B9">
      <w:pPr>
        <w:pStyle w:val="ListParagraph"/>
        <w:spacing w:after="120" w:line="240" w:lineRule="auto"/>
        <w:ind w:left="0"/>
        <w:jc w:val="both"/>
        <w:rPr>
          <w:rFonts w:ascii="Verdana" w:hAnsi="Verdana"/>
          <w:sz w:val="20"/>
          <w:szCs w:val="20"/>
          <w:lang w:val="es-ES"/>
        </w:rPr>
      </w:pPr>
    </w:p>
    <w:p w:rsidR="00390294" w:rsidRDefault="00DB7928" w:rsidP="00F619B9">
      <w:pPr>
        <w:pStyle w:val="ListParagraph"/>
        <w:numPr>
          <w:ilvl w:val="0"/>
          <w:numId w:val="13"/>
        </w:numPr>
        <w:spacing w:after="120" w:line="240" w:lineRule="auto"/>
        <w:ind w:left="0" w:firstLine="0"/>
        <w:jc w:val="both"/>
        <w:rPr>
          <w:rFonts w:ascii="Verdana" w:hAnsi="Verdana"/>
          <w:sz w:val="20"/>
          <w:szCs w:val="20"/>
          <w:lang w:val="es-ES"/>
        </w:rPr>
      </w:pPr>
      <w:r w:rsidRPr="00FD16D8">
        <w:rPr>
          <w:rFonts w:ascii="Verdana" w:hAnsi="Verdana"/>
          <w:sz w:val="20"/>
          <w:szCs w:val="20"/>
          <w:lang w:val="es-ES"/>
        </w:rPr>
        <w:t>Y, tal como en otras ocasiones</w:t>
      </w:r>
      <w:r w:rsidR="00627365" w:rsidRPr="00FD16D8">
        <w:rPr>
          <w:rStyle w:val="FootnoteReference"/>
          <w:rFonts w:ascii="Verdana" w:hAnsi="Verdana"/>
          <w:sz w:val="20"/>
          <w:szCs w:val="20"/>
          <w:lang w:val="es-ES"/>
        </w:rPr>
        <w:footnoteReference w:id="4"/>
      </w:r>
      <w:r w:rsidRPr="00FD16D8">
        <w:rPr>
          <w:rFonts w:ascii="Verdana" w:hAnsi="Verdana"/>
          <w:sz w:val="20"/>
          <w:szCs w:val="20"/>
          <w:lang w:val="es-ES"/>
        </w:rPr>
        <w:t>, este voto se emite respetando la Sentencia de la Corte</w:t>
      </w:r>
      <w:r w:rsidR="00255409">
        <w:rPr>
          <w:rFonts w:ascii="Verdana" w:hAnsi="Verdana"/>
          <w:sz w:val="20"/>
          <w:szCs w:val="20"/>
          <w:lang w:val="es-ES"/>
        </w:rPr>
        <w:t xml:space="preserve"> Interamericana de Derechos Humanos</w:t>
      </w:r>
      <w:r w:rsidR="00255409">
        <w:rPr>
          <w:rStyle w:val="FootnoteReference"/>
          <w:rFonts w:ascii="Verdana" w:hAnsi="Verdana"/>
          <w:sz w:val="20"/>
          <w:szCs w:val="20"/>
          <w:lang w:val="es-ES"/>
        </w:rPr>
        <w:footnoteReference w:id="5"/>
      </w:r>
      <w:r w:rsidRPr="00FD16D8">
        <w:rPr>
          <w:rFonts w:ascii="Verdana" w:hAnsi="Verdana"/>
          <w:sz w:val="20"/>
          <w:szCs w:val="20"/>
          <w:lang w:val="es-ES"/>
        </w:rPr>
        <w:t xml:space="preserve"> a que se refiere, así como a todos sus integrantes</w:t>
      </w:r>
      <w:r w:rsidR="007C2832">
        <w:rPr>
          <w:rFonts w:ascii="Verdana" w:hAnsi="Verdana"/>
          <w:sz w:val="20"/>
          <w:szCs w:val="20"/>
          <w:lang w:val="es-ES"/>
        </w:rPr>
        <w:t>,</w:t>
      </w:r>
      <w:r w:rsidRPr="00FD16D8">
        <w:rPr>
          <w:rFonts w:ascii="Verdana" w:hAnsi="Verdana"/>
          <w:sz w:val="20"/>
          <w:szCs w:val="20"/>
          <w:lang w:val="es-ES"/>
        </w:rPr>
        <w:t xml:space="preserve"> y como demostración el alto nivel de discusión que se lleva a cabo en su interior</w:t>
      </w:r>
      <w:r w:rsidR="007C2832">
        <w:rPr>
          <w:rFonts w:ascii="Verdana" w:hAnsi="Verdana"/>
          <w:sz w:val="20"/>
          <w:szCs w:val="20"/>
          <w:lang w:val="es-ES"/>
        </w:rPr>
        <w:t>,</w:t>
      </w:r>
      <w:r w:rsidRPr="00FD16D8">
        <w:rPr>
          <w:rFonts w:ascii="Verdana" w:hAnsi="Verdana"/>
          <w:sz w:val="20"/>
          <w:szCs w:val="20"/>
          <w:lang w:val="es-ES"/>
        </w:rPr>
        <w:t xml:space="preserve"> en vista del desarrollo del Derecho Internacional de los Derechos Humanos y de la Justicia en ese ámbito.</w:t>
      </w:r>
    </w:p>
    <w:p w:rsidR="00390294" w:rsidRPr="00390294" w:rsidRDefault="00390294" w:rsidP="00F619B9">
      <w:pPr>
        <w:pStyle w:val="ListParagraph"/>
        <w:spacing w:line="240" w:lineRule="auto"/>
        <w:rPr>
          <w:rFonts w:ascii="Verdana" w:hAnsi="Verdana"/>
          <w:b/>
          <w:sz w:val="20"/>
          <w:szCs w:val="20"/>
          <w:lang w:val="es-ES"/>
        </w:rPr>
      </w:pPr>
    </w:p>
    <w:p w:rsidR="00DB7928" w:rsidRPr="00390294" w:rsidRDefault="00390294" w:rsidP="00F619B9">
      <w:pPr>
        <w:pStyle w:val="ListParagraph"/>
        <w:spacing w:after="120" w:line="240" w:lineRule="auto"/>
        <w:ind w:left="0"/>
        <w:jc w:val="both"/>
        <w:rPr>
          <w:rFonts w:ascii="Verdana" w:hAnsi="Verdana"/>
          <w:sz w:val="20"/>
          <w:szCs w:val="20"/>
          <w:lang w:val="es-ES"/>
        </w:rPr>
      </w:pPr>
      <w:r>
        <w:rPr>
          <w:rFonts w:ascii="Verdana" w:hAnsi="Verdana"/>
          <w:b/>
          <w:sz w:val="20"/>
          <w:szCs w:val="20"/>
          <w:lang w:val="es-ES"/>
        </w:rPr>
        <w:t>LA DISIDENCIA</w:t>
      </w:r>
      <w:r w:rsidR="00C4258A" w:rsidRPr="00390294">
        <w:rPr>
          <w:rFonts w:ascii="Verdana" w:hAnsi="Verdana"/>
          <w:b/>
          <w:sz w:val="20"/>
          <w:szCs w:val="20"/>
          <w:lang w:val="es-ES"/>
        </w:rPr>
        <w:t>.</w:t>
      </w:r>
    </w:p>
    <w:p w:rsidR="00627365" w:rsidRPr="00FD16D8" w:rsidRDefault="00627365" w:rsidP="00F619B9">
      <w:pPr>
        <w:pStyle w:val="ListParagraph"/>
        <w:spacing w:after="120" w:line="240" w:lineRule="auto"/>
        <w:ind w:left="0"/>
        <w:jc w:val="both"/>
        <w:rPr>
          <w:rFonts w:ascii="Verdana" w:hAnsi="Verdana"/>
          <w:b/>
          <w:sz w:val="20"/>
          <w:szCs w:val="20"/>
          <w:lang w:val="es-ES"/>
        </w:rPr>
      </w:pPr>
    </w:p>
    <w:p w:rsidR="00BE2D69" w:rsidRDefault="00DB7928" w:rsidP="00F619B9">
      <w:pPr>
        <w:pStyle w:val="ListParagraph"/>
        <w:numPr>
          <w:ilvl w:val="0"/>
          <w:numId w:val="13"/>
        </w:numPr>
        <w:spacing w:after="0" w:line="240" w:lineRule="auto"/>
        <w:ind w:left="0" w:firstLine="0"/>
        <w:jc w:val="both"/>
        <w:rPr>
          <w:rFonts w:ascii="Verdana" w:hAnsi="Verdana"/>
          <w:sz w:val="20"/>
          <w:szCs w:val="20"/>
          <w:lang w:val="es-ES"/>
        </w:rPr>
      </w:pPr>
      <w:r w:rsidRPr="00FD16D8">
        <w:rPr>
          <w:rFonts w:ascii="Verdana" w:hAnsi="Verdana"/>
          <w:sz w:val="20"/>
          <w:szCs w:val="20"/>
          <w:lang w:val="es-ES"/>
        </w:rPr>
        <w:t>E</w:t>
      </w:r>
      <w:r w:rsidR="004C726F" w:rsidRPr="00FD16D8">
        <w:rPr>
          <w:rFonts w:ascii="Verdana" w:hAnsi="Verdana"/>
          <w:sz w:val="20"/>
          <w:szCs w:val="20"/>
          <w:lang w:val="es-ES"/>
        </w:rPr>
        <w:t xml:space="preserve">n </w:t>
      </w:r>
      <w:r w:rsidR="00CA14C3" w:rsidRPr="00FD16D8">
        <w:rPr>
          <w:rFonts w:ascii="Verdana" w:hAnsi="Verdana"/>
          <w:sz w:val="20"/>
          <w:szCs w:val="20"/>
          <w:lang w:val="es-ES"/>
        </w:rPr>
        <w:t xml:space="preserve">la Sentencia </w:t>
      </w:r>
      <w:r w:rsidR="004C726F" w:rsidRPr="00FD16D8">
        <w:rPr>
          <w:rFonts w:ascii="Verdana" w:hAnsi="Verdana"/>
          <w:sz w:val="20"/>
          <w:szCs w:val="20"/>
          <w:lang w:val="es-ES"/>
        </w:rPr>
        <w:t xml:space="preserve">se alude en </w:t>
      </w:r>
      <w:r w:rsidRPr="00FD16D8">
        <w:rPr>
          <w:rFonts w:ascii="Verdana" w:hAnsi="Verdana"/>
          <w:sz w:val="20"/>
          <w:szCs w:val="20"/>
          <w:lang w:val="es-ES"/>
        </w:rPr>
        <w:t xml:space="preserve">varia </w:t>
      </w:r>
      <w:r w:rsidR="004C726F" w:rsidRPr="00FD16D8">
        <w:rPr>
          <w:rFonts w:ascii="Verdana" w:hAnsi="Verdana"/>
          <w:sz w:val="20"/>
          <w:szCs w:val="20"/>
          <w:lang w:val="es-ES"/>
        </w:rPr>
        <w:t>ocasiones</w:t>
      </w:r>
      <w:r w:rsidRPr="00FD16D8">
        <w:rPr>
          <w:rStyle w:val="FootnoteReference"/>
          <w:rFonts w:ascii="Verdana" w:hAnsi="Verdana"/>
          <w:sz w:val="20"/>
          <w:szCs w:val="20"/>
          <w:lang w:val="es-ES"/>
        </w:rPr>
        <w:footnoteReference w:id="6"/>
      </w:r>
      <w:r w:rsidR="004C726F" w:rsidRPr="00FD16D8">
        <w:rPr>
          <w:rFonts w:ascii="Verdana" w:hAnsi="Verdana"/>
          <w:sz w:val="20"/>
          <w:szCs w:val="20"/>
          <w:lang w:val="es-ES"/>
        </w:rPr>
        <w:t xml:space="preserve"> </w:t>
      </w:r>
      <w:r w:rsidR="00CA14C3" w:rsidRPr="00FD16D8">
        <w:rPr>
          <w:rFonts w:ascii="Verdana" w:hAnsi="Verdana"/>
          <w:sz w:val="20"/>
          <w:szCs w:val="20"/>
          <w:lang w:val="es-ES"/>
        </w:rPr>
        <w:t xml:space="preserve">y, muy especialmente, en su </w:t>
      </w:r>
      <w:r w:rsidR="00EA7A07" w:rsidRPr="00FD16D8">
        <w:rPr>
          <w:rFonts w:ascii="Verdana" w:hAnsi="Verdana"/>
          <w:sz w:val="20"/>
          <w:szCs w:val="20"/>
          <w:lang w:val="es-ES"/>
        </w:rPr>
        <w:t>Punto</w:t>
      </w:r>
      <w:r w:rsidR="00CA14C3" w:rsidRPr="00FD16D8">
        <w:rPr>
          <w:rFonts w:ascii="Verdana" w:hAnsi="Verdana"/>
          <w:sz w:val="20"/>
          <w:szCs w:val="20"/>
          <w:lang w:val="es-ES"/>
        </w:rPr>
        <w:t xml:space="preserve"> </w:t>
      </w:r>
      <w:r w:rsidR="00EA7A07" w:rsidRPr="00FD16D8">
        <w:rPr>
          <w:rFonts w:ascii="Verdana" w:hAnsi="Verdana"/>
          <w:sz w:val="20"/>
          <w:szCs w:val="20"/>
          <w:lang w:val="es-ES"/>
        </w:rPr>
        <w:t xml:space="preserve">Resolutivo N° </w:t>
      </w:r>
      <w:r w:rsidR="00C542E9">
        <w:rPr>
          <w:rFonts w:ascii="Verdana" w:hAnsi="Verdana"/>
          <w:sz w:val="20"/>
          <w:szCs w:val="20"/>
          <w:lang w:val="es-ES"/>
        </w:rPr>
        <w:t>7</w:t>
      </w:r>
      <w:r w:rsidR="00CA14C3" w:rsidRPr="00FD16D8">
        <w:rPr>
          <w:rStyle w:val="FootnoteReference"/>
          <w:rFonts w:ascii="Verdana" w:hAnsi="Verdana"/>
          <w:sz w:val="20"/>
          <w:szCs w:val="20"/>
          <w:lang w:val="es-ES"/>
        </w:rPr>
        <w:footnoteReference w:id="7"/>
      </w:r>
      <w:r w:rsidR="00CA14C3" w:rsidRPr="00FD16D8">
        <w:rPr>
          <w:rFonts w:ascii="Verdana" w:hAnsi="Verdana"/>
          <w:sz w:val="20"/>
          <w:szCs w:val="20"/>
          <w:lang w:val="es-ES"/>
        </w:rPr>
        <w:t xml:space="preserve">, </w:t>
      </w:r>
      <w:r w:rsidR="004C726F" w:rsidRPr="00FD16D8">
        <w:rPr>
          <w:rFonts w:ascii="Verdana" w:hAnsi="Verdana"/>
          <w:sz w:val="20"/>
          <w:szCs w:val="20"/>
          <w:lang w:val="es-ES"/>
        </w:rPr>
        <w:t>al artículo 26 de la Convenci</w:t>
      </w:r>
      <w:r w:rsidR="008E280A" w:rsidRPr="00FD16D8">
        <w:rPr>
          <w:rFonts w:ascii="Verdana" w:hAnsi="Verdana"/>
          <w:sz w:val="20"/>
          <w:szCs w:val="20"/>
          <w:lang w:val="es-ES"/>
        </w:rPr>
        <w:t>ón</w:t>
      </w:r>
      <w:r w:rsidR="007C2832">
        <w:rPr>
          <w:rFonts w:ascii="Verdana" w:hAnsi="Verdana"/>
          <w:sz w:val="20"/>
          <w:szCs w:val="20"/>
          <w:lang w:val="es-ES"/>
        </w:rPr>
        <w:t>,</w:t>
      </w:r>
      <w:r w:rsidR="006A0107">
        <w:rPr>
          <w:rFonts w:ascii="Verdana" w:hAnsi="Verdana"/>
          <w:sz w:val="20"/>
          <w:szCs w:val="20"/>
          <w:lang w:val="es-ES"/>
        </w:rPr>
        <w:t xml:space="preserve"> </w:t>
      </w:r>
      <w:r w:rsidR="00C319E8" w:rsidRPr="00FD16D8">
        <w:rPr>
          <w:rFonts w:ascii="Verdana" w:hAnsi="Verdana"/>
          <w:sz w:val="20"/>
          <w:szCs w:val="20"/>
          <w:lang w:val="es-ES"/>
        </w:rPr>
        <w:t>en tanto incluye a los derechos económicos, sociales y culturales com</w:t>
      </w:r>
      <w:r w:rsidR="00CA14C3" w:rsidRPr="00FD16D8">
        <w:rPr>
          <w:rFonts w:ascii="Verdana" w:hAnsi="Verdana"/>
          <w:sz w:val="20"/>
          <w:szCs w:val="20"/>
          <w:lang w:val="es-ES"/>
        </w:rPr>
        <w:t xml:space="preserve">o protegidos por esta última y, consecuentemente, </w:t>
      </w:r>
      <w:r w:rsidR="00C72893" w:rsidRPr="00FD16D8">
        <w:rPr>
          <w:rFonts w:ascii="Verdana" w:hAnsi="Verdana"/>
          <w:sz w:val="20"/>
          <w:szCs w:val="20"/>
          <w:lang w:val="es-ES"/>
        </w:rPr>
        <w:t xml:space="preserve">susceptibles de ser judicializados </w:t>
      </w:r>
      <w:r w:rsidR="00CA14C3" w:rsidRPr="00FD16D8">
        <w:rPr>
          <w:rFonts w:ascii="Verdana" w:hAnsi="Verdana"/>
          <w:sz w:val="20"/>
          <w:szCs w:val="20"/>
          <w:lang w:val="es-ES"/>
        </w:rPr>
        <w:t>ante la Corte</w:t>
      </w:r>
      <w:r w:rsidR="00C72893" w:rsidRPr="00FD16D8">
        <w:rPr>
          <w:rFonts w:ascii="Verdana" w:hAnsi="Verdana"/>
          <w:sz w:val="20"/>
          <w:szCs w:val="20"/>
          <w:lang w:val="es-ES"/>
        </w:rPr>
        <w:t xml:space="preserve">. </w:t>
      </w:r>
      <w:r w:rsidR="00390294">
        <w:rPr>
          <w:rFonts w:ascii="Verdana" w:hAnsi="Verdana"/>
          <w:sz w:val="20"/>
          <w:szCs w:val="20"/>
          <w:lang w:val="es-ES"/>
        </w:rPr>
        <w:t>En consideración a ello</w:t>
      </w:r>
      <w:r w:rsidR="007C2832">
        <w:rPr>
          <w:rFonts w:ascii="Verdana" w:hAnsi="Verdana"/>
          <w:sz w:val="20"/>
          <w:szCs w:val="20"/>
          <w:lang w:val="es-ES"/>
        </w:rPr>
        <w:t>,</w:t>
      </w:r>
      <w:r w:rsidR="00390294">
        <w:rPr>
          <w:rFonts w:ascii="Verdana" w:hAnsi="Verdana"/>
          <w:sz w:val="20"/>
          <w:szCs w:val="20"/>
          <w:lang w:val="es-ES"/>
        </w:rPr>
        <w:t xml:space="preserve"> y </w:t>
      </w:r>
      <w:r w:rsidR="00AD041F" w:rsidRPr="00FD16D8">
        <w:rPr>
          <w:rFonts w:ascii="Verdana" w:hAnsi="Verdana"/>
          <w:sz w:val="20"/>
          <w:szCs w:val="20"/>
          <w:lang w:val="es-ES"/>
        </w:rPr>
        <w:t>habida cuenta que</w:t>
      </w:r>
      <w:r w:rsidR="00C72893" w:rsidRPr="00FD16D8">
        <w:rPr>
          <w:rFonts w:ascii="Verdana" w:hAnsi="Verdana"/>
          <w:sz w:val="20"/>
          <w:szCs w:val="20"/>
          <w:lang w:val="es-ES"/>
        </w:rPr>
        <w:t xml:space="preserve"> </w:t>
      </w:r>
      <w:r w:rsidR="00255409">
        <w:rPr>
          <w:rFonts w:ascii="Verdana" w:hAnsi="Verdana"/>
          <w:sz w:val="20"/>
          <w:szCs w:val="20"/>
          <w:lang w:val="es-ES"/>
        </w:rPr>
        <w:t xml:space="preserve">en </w:t>
      </w:r>
      <w:r w:rsidR="00C72893" w:rsidRPr="00FD16D8">
        <w:rPr>
          <w:rFonts w:ascii="Verdana" w:hAnsi="Verdana"/>
          <w:sz w:val="20"/>
          <w:szCs w:val="20"/>
          <w:lang w:val="es-ES"/>
        </w:rPr>
        <w:t xml:space="preserve">su párrafo </w:t>
      </w:r>
      <w:r w:rsidR="007C2832">
        <w:rPr>
          <w:rFonts w:ascii="Verdana" w:hAnsi="Verdana"/>
          <w:sz w:val="20"/>
          <w:szCs w:val="20"/>
          <w:lang w:val="es-ES"/>
        </w:rPr>
        <w:t>192</w:t>
      </w:r>
      <w:r w:rsidR="00C542E9">
        <w:rPr>
          <w:rFonts w:ascii="Verdana" w:hAnsi="Verdana"/>
          <w:sz w:val="20"/>
          <w:szCs w:val="20"/>
          <w:lang w:val="es-ES"/>
        </w:rPr>
        <w:t xml:space="preserve"> </w:t>
      </w:r>
      <w:r w:rsidR="00F7051D">
        <w:rPr>
          <w:rFonts w:ascii="Verdana" w:hAnsi="Verdana"/>
          <w:sz w:val="20"/>
          <w:szCs w:val="20"/>
          <w:lang w:val="es-ES"/>
        </w:rPr>
        <w:t>y en apoyo de lo que sostiene,</w:t>
      </w:r>
      <w:r w:rsidR="00C72893" w:rsidRPr="00FD16D8">
        <w:rPr>
          <w:rFonts w:ascii="Verdana" w:hAnsi="Verdana"/>
          <w:sz w:val="20"/>
          <w:szCs w:val="20"/>
          <w:lang w:val="es-ES"/>
        </w:rPr>
        <w:t xml:space="preserve"> </w:t>
      </w:r>
      <w:r w:rsidR="00734FAB" w:rsidRPr="00FD16D8">
        <w:rPr>
          <w:rFonts w:ascii="Verdana" w:hAnsi="Verdana"/>
          <w:sz w:val="20"/>
          <w:szCs w:val="20"/>
          <w:lang w:val="es-ES"/>
        </w:rPr>
        <w:t xml:space="preserve">la Sentencia </w:t>
      </w:r>
      <w:r w:rsidR="00390294">
        <w:rPr>
          <w:rFonts w:ascii="Verdana" w:hAnsi="Verdana"/>
          <w:sz w:val="20"/>
          <w:szCs w:val="20"/>
          <w:lang w:val="es-ES"/>
        </w:rPr>
        <w:t xml:space="preserve">cita </w:t>
      </w:r>
      <w:r w:rsidR="00255409">
        <w:rPr>
          <w:rFonts w:ascii="Verdana" w:hAnsi="Verdana"/>
          <w:sz w:val="20"/>
          <w:szCs w:val="20"/>
          <w:lang w:val="es-ES"/>
        </w:rPr>
        <w:t>el f</w:t>
      </w:r>
      <w:r w:rsidR="00734FAB" w:rsidRPr="00FD16D8">
        <w:rPr>
          <w:rFonts w:ascii="Verdana" w:hAnsi="Verdana"/>
          <w:sz w:val="20"/>
          <w:szCs w:val="20"/>
          <w:lang w:val="es-ES"/>
        </w:rPr>
        <w:t>allo pronunciado</w:t>
      </w:r>
      <w:r w:rsidR="00AD041F" w:rsidRPr="00FD16D8">
        <w:rPr>
          <w:rFonts w:ascii="Verdana" w:hAnsi="Verdana"/>
          <w:sz w:val="20"/>
          <w:szCs w:val="20"/>
          <w:lang w:val="es-ES"/>
        </w:rPr>
        <w:t xml:space="preserve"> en el </w:t>
      </w:r>
      <w:r w:rsidR="00C319E8" w:rsidRPr="00FD16D8">
        <w:rPr>
          <w:rFonts w:ascii="Verdana" w:hAnsi="Verdana"/>
          <w:i/>
          <w:sz w:val="20"/>
          <w:szCs w:val="20"/>
          <w:lang w:val="es-ES"/>
        </w:rPr>
        <w:t>Caso Lagos del Campo Vs. Perú</w:t>
      </w:r>
      <w:r w:rsidR="00AD041F" w:rsidRPr="00FD16D8">
        <w:rPr>
          <w:rFonts w:ascii="Verdana" w:hAnsi="Verdana"/>
          <w:sz w:val="20"/>
          <w:szCs w:val="20"/>
          <w:lang w:val="es-ES"/>
        </w:rPr>
        <w:t xml:space="preserve">, </w:t>
      </w:r>
      <w:r w:rsidR="00C72893" w:rsidRPr="00FD16D8">
        <w:rPr>
          <w:rFonts w:ascii="Verdana" w:hAnsi="Verdana"/>
          <w:sz w:val="20"/>
          <w:szCs w:val="20"/>
          <w:lang w:val="es-ES"/>
        </w:rPr>
        <w:t>y</w:t>
      </w:r>
      <w:r w:rsidR="00255409">
        <w:rPr>
          <w:rFonts w:ascii="Verdana" w:hAnsi="Verdana"/>
          <w:sz w:val="20"/>
          <w:szCs w:val="20"/>
          <w:lang w:val="es-ES"/>
        </w:rPr>
        <w:t xml:space="preserve"> reproduce </w:t>
      </w:r>
      <w:r w:rsidR="00255409">
        <w:rPr>
          <w:rFonts w:ascii="Verdana" w:hAnsi="Verdana"/>
          <w:sz w:val="20"/>
          <w:szCs w:val="20"/>
          <w:lang w:val="es-ES"/>
        </w:rPr>
        <w:lastRenderedPageBreak/>
        <w:t>los</w:t>
      </w:r>
      <w:r w:rsidR="00C72893" w:rsidRPr="00FD16D8">
        <w:rPr>
          <w:rFonts w:ascii="Verdana" w:hAnsi="Verdana"/>
          <w:sz w:val="20"/>
          <w:szCs w:val="20"/>
          <w:lang w:val="es-ES"/>
        </w:rPr>
        <w:t xml:space="preserve"> párrafos 141 </w:t>
      </w:r>
      <w:r w:rsidR="00255409">
        <w:rPr>
          <w:rFonts w:ascii="Verdana" w:hAnsi="Verdana"/>
          <w:sz w:val="20"/>
          <w:szCs w:val="20"/>
          <w:lang w:val="es-ES"/>
        </w:rPr>
        <w:t>a 1</w:t>
      </w:r>
      <w:r w:rsidR="00C542E9">
        <w:rPr>
          <w:rFonts w:ascii="Verdana" w:hAnsi="Verdana"/>
          <w:sz w:val="20"/>
          <w:szCs w:val="20"/>
          <w:lang w:val="es-ES"/>
        </w:rPr>
        <w:t>50 y 154</w:t>
      </w:r>
      <w:r w:rsidR="00F7051D">
        <w:rPr>
          <w:rFonts w:ascii="Verdana" w:hAnsi="Verdana"/>
          <w:sz w:val="20"/>
          <w:szCs w:val="20"/>
          <w:lang w:val="es-ES"/>
        </w:rPr>
        <w:t xml:space="preserve"> del mismo,</w:t>
      </w:r>
      <w:r w:rsidR="00C72893" w:rsidRPr="00FD16D8">
        <w:rPr>
          <w:rFonts w:ascii="Verdana" w:hAnsi="Verdana"/>
          <w:sz w:val="20"/>
          <w:szCs w:val="20"/>
          <w:lang w:val="es-ES"/>
        </w:rPr>
        <w:t xml:space="preserve"> en el presente docum</w:t>
      </w:r>
      <w:r w:rsidR="009B6FEC">
        <w:rPr>
          <w:rFonts w:ascii="Verdana" w:hAnsi="Verdana"/>
          <w:sz w:val="20"/>
          <w:szCs w:val="20"/>
          <w:lang w:val="es-ES"/>
        </w:rPr>
        <w:t>ento se da, igualmente, por reiterado</w:t>
      </w:r>
      <w:r w:rsidR="00734FAB" w:rsidRPr="00FD16D8">
        <w:rPr>
          <w:rFonts w:ascii="Verdana" w:hAnsi="Verdana"/>
          <w:sz w:val="20"/>
          <w:szCs w:val="20"/>
          <w:lang w:val="es-ES"/>
        </w:rPr>
        <w:t xml:space="preserve"> todo lo señalado en </w:t>
      </w:r>
      <w:r w:rsidR="00F7051D">
        <w:rPr>
          <w:rFonts w:ascii="Verdana" w:hAnsi="Verdana"/>
          <w:sz w:val="20"/>
          <w:szCs w:val="20"/>
          <w:lang w:val="es-ES"/>
        </w:rPr>
        <w:t>voto individual emitido en esa</w:t>
      </w:r>
      <w:r w:rsidR="001426DC">
        <w:rPr>
          <w:rFonts w:ascii="Verdana" w:hAnsi="Verdana"/>
          <w:sz w:val="20"/>
          <w:szCs w:val="20"/>
          <w:lang w:val="es-ES"/>
        </w:rPr>
        <w:t xml:space="preserve"> causa</w:t>
      </w:r>
      <w:r w:rsidR="001426DC">
        <w:rPr>
          <w:rStyle w:val="FootnoteReference"/>
          <w:rFonts w:ascii="Verdana" w:hAnsi="Verdana"/>
          <w:sz w:val="20"/>
          <w:szCs w:val="20"/>
          <w:lang w:val="es-ES"/>
        </w:rPr>
        <w:footnoteReference w:id="8"/>
      </w:r>
      <w:r w:rsidR="001426DC">
        <w:rPr>
          <w:rFonts w:ascii="Verdana" w:hAnsi="Verdana"/>
          <w:sz w:val="20"/>
          <w:szCs w:val="20"/>
          <w:lang w:val="es-ES"/>
        </w:rPr>
        <w:t>.</w:t>
      </w:r>
    </w:p>
    <w:p w:rsidR="00D15351" w:rsidRPr="00FD16D8" w:rsidRDefault="00BE2D69" w:rsidP="00F619B9">
      <w:pPr>
        <w:pStyle w:val="ListParagraph"/>
        <w:spacing w:after="0" w:line="240" w:lineRule="auto"/>
        <w:ind w:left="0"/>
        <w:jc w:val="both"/>
        <w:rPr>
          <w:rFonts w:ascii="Verdana" w:hAnsi="Verdana"/>
          <w:sz w:val="20"/>
          <w:szCs w:val="20"/>
          <w:lang w:val="es-ES"/>
        </w:rPr>
      </w:pPr>
      <w:r w:rsidRPr="00FD16D8">
        <w:rPr>
          <w:rFonts w:ascii="Verdana" w:hAnsi="Verdana"/>
          <w:sz w:val="20"/>
          <w:szCs w:val="20"/>
          <w:lang w:val="es-ES"/>
        </w:rPr>
        <w:t xml:space="preserve"> </w:t>
      </w:r>
    </w:p>
    <w:p w:rsidR="00936DC8" w:rsidRPr="00F7051D" w:rsidRDefault="00734FAB" w:rsidP="00F619B9">
      <w:pPr>
        <w:pStyle w:val="ListParagraph"/>
        <w:numPr>
          <w:ilvl w:val="0"/>
          <w:numId w:val="13"/>
        </w:numPr>
        <w:spacing w:after="120" w:line="240" w:lineRule="auto"/>
        <w:ind w:left="0" w:firstLine="0"/>
        <w:jc w:val="both"/>
        <w:rPr>
          <w:rFonts w:ascii="Verdana" w:hAnsi="Verdana"/>
          <w:sz w:val="20"/>
          <w:szCs w:val="20"/>
          <w:lang w:val="es-ES"/>
        </w:rPr>
      </w:pPr>
      <w:r w:rsidRPr="00FD16D8">
        <w:rPr>
          <w:rFonts w:ascii="Verdana" w:hAnsi="Verdana"/>
          <w:sz w:val="20"/>
          <w:szCs w:val="20"/>
          <w:lang w:val="es-ES"/>
        </w:rPr>
        <w:t>En tal voto, se sostiene, entre otras consideraciones</w:t>
      </w:r>
      <w:r w:rsidR="007C2832">
        <w:rPr>
          <w:rFonts w:ascii="Verdana" w:hAnsi="Verdana"/>
          <w:sz w:val="20"/>
          <w:szCs w:val="20"/>
          <w:lang w:val="es-ES"/>
        </w:rPr>
        <w:t>,</w:t>
      </w:r>
      <w:r w:rsidRPr="00FD16D8">
        <w:rPr>
          <w:rFonts w:ascii="Verdana" w:hAnsi="Verdana"/>
          <w:sz w:val="20"/>
          <w:szCs w:val="20"/>
          <w:lang w:val="es-ES"/>
        </w:rPr>
        <w:t xml:space="preserve"> y contrariamente a lo afirmado en dicho fallo, </w:t>
      </w:r>
      <w:r w:rsidR="00D15351" w:rsidRPr="00FD16D8">
        <w:rPr>
          <w:rFonts w:ascii="Verdana" w:hAnsi="Verdana"/>
          <w:sz w:val="20"/>
          <w:szCs w:val="20"/>
          <w:lang w:val="es-ES"/>
        </w:rPr>
        <w:t xml:space="preserve">por una parte, </w:t>
      </w:r>
      <w:r w:rsidR="00CD5E05">
        <w:rPr>
          <w:rFonts w:ascii="Verdana" w:hAnsi="Verdana"/>
          <w:sz w:val="20"/>
          <w:szCs w:val="20"/>
          <w:lang w:val="es-ES"/>
        </w:rPr>
        <w:t>que los únicos derechos susceptibles de ser objeto del sistema de protección previsto en la Convención, son los “</w:t>
      </w:r>
      <w:r w:rsidR="00CD5E05" w:rsidRPr="00CD5E05">
        <w:rPr>
          <w:rFonts w:ascii="Verdana" w:hAnsi="Verdana"/>
          <w:i/>
          <w:sz w:val="20"/>
          <w:szCs w:val="20"/>
          <w:lang w:val="es-ES"/>
        </w:rPr>
        <w:t>reconocidos</w:t>
      </w:r>
      <w:r w:rsidR="00CD5E05">
        <w:rPr>
          <w:rFonts w:ascii="Verdana" w:hAnsi="Verdana"/>
          <w:sz w:val="20"/>
          <w:szCs w:val="20"/>
          <w:lang w:val="es-ES"/>
        </w:rPr>
        <w:t>” en ella;</w:t>
      </w:r>
      <w:r w:rsidR="00CD5E05" w:rsidRPr="00FD16D8">
        <w:rPr>
          <w:rFonts w:ascii="Verdana" w:hAnsi="Verdana"/>
          <w:sz w:val="20"/>
          <w:szCs w:val="20"/>
          <w:lang w:val="es-ES"/>
        </w:rPr>
        <w:t xml:space="preserve"> </w:t>
      </w:r>
      <w:r w:rsidRPr="00FD16D8">
        <w:rPr>
          <w:rFonts w:ascii="Verdana" w:hAnsi="Verdana"/>
          <w:sz w:val="20"/>
          <w:szCs w:val="20"/>
          <w:lang w:val="es-ES"/>
        </w:rPr>
        <w:t>que el artículo 26</w:t>
      </w:r>
      <w:r w:rsidR="00D15351" w:rsidRPr="00FD16D8">
        <w:rPr>
          <w:rStyle w:val="FootnoteReference"/>
          <w:rFonts w:ascii="Verdana" w:hAnsi="Verdana"/>
          <w:sz w:val="20"/>
          <w:szCs w:val="20"/>
          <w:lang w:val="es-ES"/>
        </w:rPr>
        <w:footnoteReference w:id="9"/>
      </w:r>
      <w:r w:rsidR="00CD5E05">
        <w:rPr>
          <w:rFonts w:ascii="Verdana" w:hAnsi="Verdana"/>
          <w:sz w:val="20"/>
          <w:szCs w:val="20"/>
          <w:lang w:val="es-ES"/>
        </w:rPr>
        <w:t xml:space="preserve"> de </w:t>
      </w:r>
      <w:r w:rsidR="009B1F76">
        <w:rPr>
          <w:rFonts w:ascii="Verdana" w:hAnsi="Verdana"/>
          <w:sz w:val="20"/>
          <w:szCs w:val="20"/>
          <w:lang w:val="es-ES"/>
        </w:rPr>
        <w:t>e</w:t>
      </w:r>
      <w:r w:rsidR="00CD5E05">
        <w:rPr>
          <w:rFonts w:ascii="Verdana" w:hAnsi="Verdana"/>
          <w:sz w:val="20"/>
          <w:szCs w:val="20"/>
          <w:lang w:val="es-ES"/>
        </w:rPr>
        <w:t>sta</w:t>
      </w:r>
      <w:r w:rsidR="009B1F76">
        <w:rPr>
          <w:rFonts w:ascii="Verdana" w:hAnsi="Verdana"/>
          <w:sz w:val="20"/>
          <w:szCs w:val="20"/>
          <w:lang w:val="es-ES"/>
        </w:rPr>
        <w:t xml:space="preserve"> ú</w:t>
      </w:r>
      <w:r w:rsidR="001426DC">
        <w:rPr>
          <w:rFonts w:ascii="Verdana" w:hAnsi="Verdana"/>
          <w:sz w:val="20"/>
          <w:szCs w:val="20"/>
          <w:lang w:val="es-ES"/>
        </w:rPr>
        <w:t>l</w:t>
      </w:r>
      <w:r w:rsidR="009B1F76">
        <w:rPr>
          <w:rFonts w:ascii="Verdana" w:hAnsi="Verdana"/>
          <w:sz w:val="20"/>
          <w:szCs w:val="20"/>
          <w:lang w:val="es-ES"/>
        </w:rPr>
        <w:t>tima</w:t>
      </w:r>
      <w:r w:rsidRPr="00FD16D8">
        <w:rPr>
          <w:rFonts w:ascii="Verdana" w:hAnsi="Verdana"/>
          <w:sz w:val="20"/>
          <w:szCs w:val="20"/>
          <w:lang w:val="es-ES"/>
        </w:rPr>
        <w:t xml:space="preserve"> no </w:t>
      </w:r>
      <w:r w:rsidR="00D15351" w:rsidRPr="00FD16D8">
        <w:rPr>
          <w:rFonts w:ascii="Verdana" w:hAnsi="Verdana"/>
          <w:sz w:val="20"/>
          <w:szCs w:val="20"/>
          <w:lang w:val="es-ES"/>
        </w:rPr>
        <w:t>se refiere a</w:t>
      </w:r>
      <w:r w:rsidR="00F7051D">
        <w:rPr>
          <w:rFonts w:ascii="Verdana" w:hAnsi="Verdana"/>
          <w:sz w:val="20"/>
          <w:szCs w:val="20"/>
          <w:lang w:val="es-ES"/>
        </w:rPr>
        <w:t xml:space="preserve"> tales derechos</w:t>
      </w:r>
      <w:r w:rsidR="007C2832">
        <w:rPr>
          <w:rFonts w:ascii="Verdana" w:hAnsi="Verdana"/>
          <w:sz w:val="20"/>
          <w:szCs w:val="20"/>
          <w:lang w:val="es-ES"/>
        </w:rPr>
        <w:t>,</w:t>
      </w:r>
      <w:r w:rsidR="00390294" w:rsidRPr="00F7051D">
        <w:rPr>
          <w:rFonts w:ascii="Verdana" w:hAnsi="Verdana"/>
          <w:sz w:val="20"/>
          <w:szCs w:val="20"/>
          <w:lang w:val="es-ES"/>
        </w:rPr>
        <w:t xml:space="preserve"> </w:t>
      </w:r>
      <w:r w:rsidR="00D15351" w:rsidRPr="00F7051D">
        <w:rPr>
          <w:rFonts w:ascii="Verdana" w:hAnsi="Verdana"/>
          <w:sz w:val="20"/>
          <w:szCs w:val="20"/>
          <w:lang w:val="es-ES"/>
        </w:rPr>
        <w:t xml:space="preserve">sino a los que </w:t>
      </w:r>
      <w:r w:rsidR="00390294" w:rsidRPr="00F7051D">
        <w:rPr>
          <w:rFonts w:ascii="Verdana" w:hAnsi="Verdana"/>
          <w:sz w:val="20"/>
          <w:szCs w:val="20"/>
          <w:lang w:val="es-ES"/>
        </w:rPr>
        <w:t>“</w:t>
      </w:r>
      <w:r w:rsidR="00390294" w:rsidRPr="00F7051D">
        <w:rPr>
          <w:rFonts w:ascii="Verdana" w:hAnsi="Verdana"/>
          <w:i/>
          <w:sz w:val="20"/>
          <w:szCs w:val="20"/>
          <w:lang w:val="es-ES"/>
        </w:rPr>
        <w:t>derivan de las normas económicas, sociales y sobre educación, ciencia y cultura, contenidas en la Carta de la Organización de los Estados Americanos</w:t>
      </w:r>
      <w:r w:rsidR="00390294" w:rsidRPr="00F7051D">
        <w:rPr>
          <w:rFonts w:ascii="Verdana" w:hAnsi="Verdana"/>
          <w:sz w:val="20"/>
          <w:szCs w:val="20"/>
          <w:lang w:val="es-ES"/>
        </w:rPr>
        <w:t>”</w:t>
      </w:r>
      <w:r w:rsidR="00CD5E05" w:rsidRPr="00F7051D">
        <w:rPr>
          <w:rFonts w:ascii="Verdana" w:hAnsi="Verdana"/>
          <w:sz w:val="20"/>
          <w:szCs w:val="20"/>
          <w:lang w:val="es-ES"/>
        </w:rPr>
        <w:t xml:space="preserve">; </w:t>
      </w:r>
      <w:r w:rsidR="00D15351" w:rsidRPr="00F7051D">
        <w:rPr>
          <w:rFonts w:ascii="Verdana" w:hAnsi="Verdana"/>
          <w:sz w:val="20"/>
          <w:szCs w:val="20"/>
          <w:lang w:val="es-ES"/>
        </w:rPr>
        <w:t>que lo que dispone</w:t>
      </w:r>
      <w:r w:rsidR="00CD5E05" w:rsidRPr="00F7051D">
        <w:rPr>
          <w:rFonts w:ascii="Verdana" w:hAnsi="Verdana"/>
          <w:sz w:val="20"/>
          <w:szCs w:val="20"/>
          <w:lang w:val="es-ES"/>
        </w:rPr>
        <w:t xml:space="preserve"> el citado artículo 26 </w:t>
      </w:r>
      <w:r w:rsidR="00D15351" w:rsidRPr="00F7051D">
        <w:rPr>
          <w:rFonts w:ascii="Verdana" w:hAnsi="Verdana"/>
          <w:sz w:val="20"/>
          <w:szCs w:val="20"/>
          <w:lang w:val="es-ES"/>
        </w:rPr>
        <w:t xml:space="preserve">es la obligación de los Estados de adoptar medidas en vista de lograr progresivamente la plena </w:t>
      </w:r>
      <w:r w:rsidR="00F7051D">
        <w:rPr>
          <w:rFonts w:ascii="Verdana" w:hAnsi="Verdana"/>
          <w:sz w:val="20"/>
          <w:szCs w:val="20"/>
          <w:lang w:val="es-ES"/>
        </w:rPr>
        <w:t xml:space="preserve">efectividad de los </w:t>
      </w:r>
      <w:r w:rsidR="00D15351" w:rsidRPr="00F7051D">
        <w:rPr>
          <w:rFonts w:ascii="Verdana" w:hAnsi="Verdana"/>
          <w:sz w:val="20"/>
          <w:szCs w:val="20"/>
          <w:lang w:val="es-ES"/>
        </w:rPr>
        <w:t>derechos</w:t>
      </w:r>
      <w:r w:rsidR="00F7051D">
        <w:rPr>
          <w:rFonts w:ascii="Verdana" w:hAnsi="Verdana"/>
          <w:sz w:val="20"/>
          <w:szCs w:val="20"/>
          <w:lang w:val="es-ES"/>
        </w:rPr>
        <w:t xml:space="preserve"> a que se refiere</w:t>
      </w:r>
      <w:r w:rsidR="00D15351" w:rsidRPr="00F7051D">
        <w:rPr>
          <w:rFonts w:ascii="Verdana" w:hAnsi="Verdana"/>
          <w:sz w:val="20"/>
          <w:szCs w:val="20"/>
          <w:lang w:val="es-ES"/>
        </w:rPr>
        <w:t xml:space="preserve"> y ello en la medida de los recursos disponibles</w:t>
      </w:r>
      <w:r w:rsidR="00CD5E05" w:rsidRPr="00F7051D">
        <w:rPr>
          <w:rFonts w:ascii="Verdana" w:hAnsi="Verdana"/>
          <w:sz w:val="20"/>
          <w:szCs w:val="20"/>
          <w:lang w:val="es-ES"/>
        </w:rPr>
        <w:t xml:space="preserve">; </w:t>
      </w:r>
      <w:r w:rsidR="00D15351" w:rsidRPr="00F7051D">
        <w:rPr>
          <w:rFonts w:ascii="Verdana" w:hAnsi="Verdana"/>
          <w:sz w:val="20"/>
          <w:szCs w:val="20"/>
          <w:lang w:val="es-ES"/>
        </w:rPr>
        <w:t xml:space="preserve">y, finalmente y en consecuencia, que si bien </w:t>
      </w:r>
      <w:r w:rsidR="00F7051D">
        <w:rPr>
          <w:rFonts w:ascii="Verdana" w:hAnsi="Verdana"/>
          <w:sz w:val="20"/>
          <w:szCs w:val="20"/>
          <w:lang w:val="es-ES"/>
        </w:rPr>
        <w:t>esos</w:t>
      </w:r>
      <w:r w:rsidR="00627365" w:rsidRPr="00F7051D">
        <w:rPr>
          <w:rFonts w:ascii="Verdana" w:hAnsi="Verdana"/>
          <w:sz w:val="20"/>
          <w:szCs w:val="20"/>
          <w:lang w:val="es-ES"/>
        </w:rPr>
        <w:t xml:space="preserve"> derechos existen, no son susceptibles de ser judicializados ante la Corte, salvo que así lo contemple algún trata</w:t>
      </w:r>
      <w:r w:rsidR="00A83A68" w:rsidRPr="00F7051D">
        <w:rPr>
          <w:rFonts w:ascii="Verdana" w:hAnsi="Verdana"/>
          <w:sz w:val="20"/>
          <w:szCs w:val="20"/>
          <w:lang w:val="es-ES"/>
        </w:rPr>
        <w:t xml:space="preserve">do, como acontece, por ejemplo, </w:t>
      </w:r>
      <w:r w:rsidR="00627365" w:rsidRPr="00F7051D">
        <w:rPr>
          <w:rFonts w:ascii="Verdana" w:hAnsi="Verdana"/>
          <w:sz w:val="20"/>
          <w:szCs w:val="20"/>
          <w:lang w:val="es-ES"/>
        </w:rPr>
        <w:t>con el Protocolo de San Salvador</w:t>
      </w:r>
      <w:r w:rsidR="007C2832">
        <w:rPr>
          <w:rFonts w:ascii="Verdana" w:hAnsi="Verdana"/>
          <w:sz w:val="20"/>
          <w:szCs w:val="20"/>
          <w:lang w:val="es-ES"/>
        </w:rPr>
        <w:t>,</w:t>
      </w:r>
      <w:r w:rsidR="00627365" w:rsidRPr="00F7051D">
        <w:rPr>
          <w:rFonts w:ascii="Verdana" w:hAnsi="Verdana"/>
          <w:sz w:val="20"/>
          <w:szCs w:val="20"/>
          <w:lang w:val="es-ES"/>
        </w:rPr>
        <w:t xml:space="preserve"> </w:t>
      </w:r>
      <w:r w:rsidR="00162B5F" w:rsidRPr="00F7051D">
        <w:rPr>
          <w:rFonts w:ascii="Verdana" w:hAnsi="Verdana"/>
          <w:sz w:val="20"/>
          <w:szCs w:val="20"/>
          <w:lang w:val="es-ES"/>
        </w:rPr>
        <w:t xml:space="preserve">pero únicamente </w:t>
      </w:r>
      <w:r w:rsidR="00627365" w:rsidRPr="00F7051D">
        <w:rPr>
          <w:rFonts w:ascii="Verdana" w:hAnsi="Verdana"/>
          <w:sz w:val="20"/>
          <w:szCs w:val="20"/>
          <w:lang w:val="es-ES"/>
        </w:rPr>
        <w:t>respecto al derecho de organizar sindicatos y a afiliarse en ellos y al derecho a la educación.</w:t>
      </w:r>
      <w:r w:rsidR="001426DC" w:rsidRPr="00F7051D">
        <w:rPr>
          <w:rFonts w:ascii="Verdana" w:hAnsi="Verdana"/>
          <w:sz w:val="20"/>
          <w:szCs w:val="20"/>
          <w:lang w:val="es-ES"/>
        </w:rPr>
        <w:t xml:space="preserve"> </w:t>
      </w:r>
    </w:p>
    <w:p w:rsidR="00936DC8" w:rsidRPr="00936DC8" w:rsidRDefault="00936DC8" w:rsidP="00F619B9">
      <w:pPr>
        <w:pStyle w:val="ListParagraph"/>
        <w:spacing w:line="240" w:lineRule="auto"/>
        <w:rPr>
          <w:rFonts w:ascii="Verdana" w:hAnsi="Verdana"/>
          <w:sz w:val="20"/>
          <w:szCs w:val="20"/>
          <w:lang w:val="es-ES"/>
        </w:rPr>
      </w:pPr>
    </w:p>
    <w:p w:rsidR="00627365" w:rsidRPr="00FD16D8" w:rsidRDefault="00390294" w:rsidP="00F619B9">
      <w:pPr>
        <w:pStyle w:val="ListParagraph"/>
        <w:numPr>
          <w:ilvl w:val="0"/>
          <w:numId w:val="13"/>
        </w:numPr>
        <w:spacing w:after="120" w:line="240" w:lineRule="auto"/>
        <w:ind w:left="0" w:firstLine="0"/>
        <w:jc w:val="both"/>
        <w:rPr>
          <w:rFonts w:ascii="Verdana" w:hAnsi="Verdana"/>
          <w:sz w:val="20"/>
          <w:szCs w:val="20"/>
          <w:lang w:val="es-ES"/>
        </w:rPr>
      </w:pPr>
      <w:r>
        <w:rPr>
          <w:rFonts w:ascii="Verdana" w:hAnsi="Verdana"/>
          <w:sz w:val="20"/>
          <w:szCs w:val="20"/>
          <w:lang w:val="es-ES"/>
        </w:rPr>
        <w:t>Por cierto, a</w:t>
      </w:r>
      <w:r w:rsidR="001426DC">
        <w:rPr>
          <w:rFonts w:ascii="Verdana" w:hAnsi="Verdana"/>
          <w:sz w:val="20"/>
          <w:szCs w:val="20"/>
          <w:lang w:val="es-ES"/>
        </w:rPr>
        <w:t xml:space="preserve"> to</w:t>
      </w:r>
      <w:r w:rsidR="002F427A">
        <w:rPr>
          <w:rFonts w:ascii="Verdana" w:hAnsi="Verdana"/>
          <w:sz w:val="20"/>
          <w:szCs w:val="20"/>
          <w:lang w:val="es-ES"/>
        </w:rPr>
        <w:t>do ello es procedente añadir</w:t>
      </w:r>
      <w:r w:rsidR="001426DC">
        <w:rPr>
          <w:rFonts w:ascii="Verdana" w:hAnsi="Verdana"/>
          <w:sz w:val="20"/>
          <w:szCs w:val="20"/>
          <w:lang w:val="es-ES"/>
        </w:rPr>
        <w:t>,</w:t>
      </w:r>
      <w:r w:rsidR="002F427A">
        <w:rPr>
          <w:rFonts w:ascii="Verdana" w:hAnsi="Verdana"/>
          <w:sz w:val="20"/>
          <w:szCs w:val="20"/>
          <w:lang w:val="es-ES"/>
        </w:rPr>
        <w:t xml:space="preserve"> por una parte, que </w:t>
      </w:r>
      <w:r w:rsidR="00F7051D">
        <w:rPr>
          <w:rFonts w:ascii="Verdana" w:hAnsi="Verdana"/>
          <w:sz w:val="20"/>
          <w:szCs w:val="20"/>
          <w:lang w:val="es-ES"/>
        </w:rPr>
        <w:t>los</w:t>
      </w:r>
      <w:r>
        <w:rPr>
          <w:rFonts w:ascii="Verdana" w:hAnsi="Verdana"/>
          <w:sz w:val="20"/>
          <w:szCs w:val="20"/>
          <w:lang w:val="es-ES"/>
        </w:rPr>
        <w:t xml:space="preserve"> der</w:t>
      </w:r>
      <w:r w:rsidR="00255409">
        <w:rPr>
          <w:rFonts w:ascii="Verdana" w:hAnsi="Verdana"/>
          <w:sz w:val="20"/>
          <w:szCs w:val="20"/>
          <w:lang w:val="es-ES"/>
        </w:rPr>
        <w:t xml:space="preserve">echos en cuestión </w:t>
      </w:r>
      <w:r w:rsidR="002F427A">
        <w:rPr>
          <w:rFonts w:ascii="Verdana" w:hAnsi="Verdana"/>
          <w:sz w:val="20"/>
          <w:szCs w:val="20"/>
          <w:lang w:val="es-ES"/>
        </w:rPr>
        <w:t>pueden ser judicializados ante los tribunales nacionales de los Estados Partes de la Convención</w:t>
      </w:r>
      <w:r w:rsidR="007C2832">
        <w:rPr>
          <w:rFonts w:ascii="Verdana" w:hAnsi="Verdana"/>
          <w:sz w:val="20"/>
          <w:szCs w:val="20"/>
          <w:lang w:val="es-ES"/>
        </w:rPr>
        <w:t>,</w:t>
      </w:r>
      <w:r w:rsidR="002F427A">
        <w:rPr>
          <w:rFonts w:ascii="Verdana" w:hAnsi="Verdana"/>
          <w:sz w:val="20"/>
          <w:szCs w:val="20"/>
          <w:lang w:val="es-ES"/>
        </w:rPr>
        <w:t xml:space="preserve"> si así lo disponen sus respectivos or</w:t>
      </w:r>
      <w:r w:rsidR="00255409">
        <w:rPr>
          <w:rFonts w:ascii="Verdana" w:hAnsi="Verdana"/>
          <w:sz w:val="20"/>
          <w:szCs w:val="20"/>
          <w:lang w:val="es-ES"/>
        </w:rPr>
        <w:t>denamientos jurídicos internos y</w:t>
      </w:r>
      <w:r w:rsidR="007C2832">
        <w:rPr>
          <w:rFonts w:ascii="Verdana" w:hAnsi="Verdana"/>
          <w:sz w:val="20"/>
          <w:szCs w:val="20"/>
          <w:lang w:val="es-ES"/>
        </w:rPr>
        <w:t>,</w:t>
      </w:r>
      <w:r w:rsidR="00255409">
        <w:rPr>
          <w:rFonts w:ascii="Verdana" w:hAnsi="Verdana"/>
          <w:sz w:val="20"/>
          <w:szCs w:val="20"/>
          <w:lang w:val="es-ES"/>
        </w:rPr>
        <w:t xml:space="preserve"> por la otra, </w:t>
      </w:r>
      <w:r w:rsidR="002F427A">
        <w:rPr>
          <w:rFonts w:ascii="Verdana" w:hAnsi="Verdana"/>
          <w:sz w:val="20"/>
          <w:szCs w:val="20"/>
          <w:lang w:val="es-ES"/>
        </w:rPr>
        <w:t>que, al interpretar la Convención, se debe procurar no dejar margen alguno para que se perciba que, en alguna medida, se estaría alterando el principio de que ningún Estado puede ser llevado a un tribunal internacional sin su consentimiento</w:t>
      </w:r>
      <w:r w:rsidR="001426DC">
        <w:rPr>
          <w:rFonts w:ascii="Verdana" w:hAnsi="Verdana"/>
          <w:sz w:val="20"/>
          <w:szCs w:val="20"/>
          <w:lang w:val="es-ES"/>
        </w:rPr>
        <w:t>.</w:t>
      </w:r>
    </w:p>
    <w:p w:rsidR="00627365" w:rsidRPr="00FD16D8" w:rsidRDefault="00627365" w:rsidP="00F619B9">
      <w:pPr>
        <w:pStyle w:val="ListParagraph"/>
        <w:spacing w:line="240" w:lineRule="auto"/>
        <w:ind w:left="0"/>
        <w:rPr>
          <w:rFonts w:ascii="Verdana" w:hAnsi="Verdana"/>
          <w:sz w:val="20"/>
          <w:szCs w:val="20"/>
          <w:lang w:val="es-ES"/>
        </w:rPr>
      </w:pPr>
    </w:p>
    <w:p w:rsidR="009B6FEC" w:rsidRPr="009B6FEC" w:rsidRDefault="009B6FEC" w:rsidP="00F619B9">
      <w:pPr>
        <w:pStyle w:val="ListParagraph"/>
        <w:spacing w:after="120" w:line="240" w:lineRule="auto"/>
        <w:ind w:left="0"/>
        <w:jc w:val="both"/>
        <w:rPr>
          <w:rFonts w:ascii="Verdana" w:hAnsi="Verdana"/>
          <w:b/>
          <w:sz w:val="20"/>
          <w:szCs w:val="20"/>
          <w:lang w:val="es-ES"/>
        </w:rPr>
      </w:pPr>
      <w:r w:rsidRPr="009B6FEC">
        <w:rPr>
          <w:rFonts w:ascii="Verdana" w:hAnsi="Verdana"/>
          <w:b/>
          <w:sz w:val="20"/>
          <w:szCs w:val="20"/>
          <w:lang w:val="es-ES"/>
        </w:rPr>
        <w:t>CONCLUSIÓN.</w:t>
      </w:r>
    </w:p>
    <w:p w:rsidR="009B6FEC" w:rsidRPr="009B6FEC" w:rsidRDefault="009B6FEC" w:rsidP="00F619B9">
      <w:pPr>
        <w:pStyle w:val="ListParagraph"/>
        <w:spacing w:line="240" w:lineRule="auto"/>
        <w:rPr>
          <w:rFonts w:ascii="Verdana" w:hAnsi="Verdana"/>
          <w:sz w:val="20"/>
          <w:szCs w:val="20"/>
          <w:lang w:val="es-ES"/>
        </w:rPr>
      </w:pPr>
    </w:p>
    <w:p w:rsidR="00C4258A" w:rsidRPr="00FD16D8" w:rsidRDefault="00255409" w:rsidP="00F619B9">
      <w:pPr>
        <w:pStyle w:val="ListParagraph"/>
        <w:numPr>
          <w:ilvl w:val="0"/>
          <w:numId w:val="13"/>
        </w:numPr>
        <w:spacing w:after="120" w:line="240" w:lineRule="auto"/>
        <w:ind w:left="0" w:firstLine="0"/>
        <w:jc w:val="both"/>
        <w:rPr>
          <w:rFonts w:ascii="Verdana" w:hAnsi="Verdana"/>
          <w:sz w:val="20"/>
          <w:szCs w:val="20"/>
          <w:lang w:val="es-ES"/>
        </w:rPr>
      </w:pPr>
      <w:r>
        <w:rPr>
          <w:rFonts w:ascii="Verdana" w:hAnsi="Verdana"/>
          <w:sz w:val="20"/>
          <w:szCs w:val="20"/>
          <w:lang w:val="es-ES"/>
        </w:rPr>
        <w:t>E</w:t>
      </w:r>
      <w:r w:rsidR="00627365" w:rsidRPr="00FD16D8">
        <w:rPr>
          <w:rFonts w:ascii="Verdana" w:hAnsi="Verdana"/>
          <w:sz w:val="20"/>
          <w:szCs w:val="20"/>
          <w:lang w:val="es-ES"/>
        </w:rPr>
        <w:t>n atención a los mismos motivos expuestos en el mencionado Voto Parcialmente Disidente</w:t>
      </w:r>
      <w:r>
        <w:rPr>
          <w:rFonts w:ascii="Verdana" w:hAnsi="Verdana"/>
          <w:sz w:val="20"/>
          <w:szCs w:val="20"/>
          <w:lang w:val="es-ES"/>
        </w:rPr>
        <w:t xml:space="preserve"> y, en particular, a que los derechos en comento no se encuentran comprendidos o contenidos en la Convención y</w:t>
      </w:r>
      <w:r w:rsidR="007C2832">
        <w:rPr>
          <w:rFonts w:ascii="Verdana" w:hAnsi="Verdana"/>
          <w:sz w:val="20"/>
          <w:szCs w:val="20"/>
          <w:lang w:val="es-ES"/>
        </w:rPr>
        <w:t>,</w:t>
      </w:r>
      <w:r>
        <w:rPr>
          <w:rFonts w:ascii="Verdana" w:hAnsi="Verdana"/>
          <w:sz w:val="20"/>
          <w:szCs w:val="20"/>
          <w:lang w:val="es-ES"/>
        </w:rPr>
        <w:t xml:space="preserve"> por ende, no pueden ser objeto del sistema de</w:t>
      </w:r>
      <w:r w:rsidR="007C2832">
        <w:rPr>
          <w:rFonts w:ascii="Verdana" w:hAnsi="Verdana"/>
          <w:sz w:val="20"/>
          <w:szCs w:val="20"/>
          <w:lang w:val="es-ES"/>
        </w:rPr>
        <w:t xml:space="preserve"> protección que ella contempla,</w:t>
      </w:r>
      <w:r w:rsidR="00627365" w:rsidRPr="00FD16D8">
        <w:rPr>
          <w:rFonts w:ascii="Verdana" w:hAnsi="Verdana"/>
          <w:sz w:val="20"/>
          <w:szCs w:val="20"/>
          <w:lang w:val="es-ES"/>
        </w:rPr>
        <w:t xml:space="preserve"> </w:t>
      </w:r>
      <w:r>
        <w:rPr>
          <w:rFonts w:ascii="Verdana" w:hAnsi="Verdana"/>
          <w:sz w:val="20"/>
          <w:szCs w:val="20"/>
          <w:lang w:val="es-ES"/>
        </w:rPr>
        <w:t xml:space="preserve">es </w:t>
      </w:r>
      <w:r w:rsidR="00627365" w:rsidRPr="00FD16D8">
        <w:rPr>
          <w:rFonts w:ascii="Verdana" w:hAnsi="Verdana"/>
          <w:sz w:val="20"/>
          <w:szCs w:val="20"/>
          <w:lang w:val="es-ES"/>
        </w:rPr>
        <w:t xml:space="preserve">que </w:t>
      </w:r>
      <w:r w:rsidR="00A83A68" w:rsidRPr="00FD16D8">
        <w:rPr>
          <w:rFonts w:ascii="Verdana" w:hAnsi="Verdana"/>
          <w:sz w:val="20"/>
          <w:szCs w:val="20"/>
          <w:lang w:val="es-ES"/>
        </w:rPr>
        <w:t xml:space="preserve">no </w:t>
      </w:r>
      <w:r w:rsidR="00627365" w:rsidRPr="00FD16D8">
        <w:rPr>
          <w:rFonts w:ascii="Verdana" w:hAnsi="Verdana"/>
          <w:sz w:val="20"/>
          <w:szCs w:val="20"/>
          <w:lang w:val="es-ES"/>
        </w:rPr>
        <w:t>se puede coincidir con lo señalado en el Punto</w:t>
      </w:r>
      <w:r w:rsidR="007C4AE7">
        <w:rPr>
          <w:rFonts w:ascii="Verdana" w:hAnsi="Verdana"/>
          <w:sz w:val="20"/>
          <w:szCs w:val="20"/>
          <w:lang w:val="es-ES"/>
        </w:rPr>
        <w:t xml:space="preserve"> Resolutivo No.</w:t>
      </w:r>
      <w:r w:rsidR="00627365" w:rsidRPr="00FD16D8">
        <w:rPr>
          <w:rFonts w:ascii="Verdana" w:hAnsi="Verdana"/>
          <w:sz w:val="20"/>
          <w:szCs w:val="20"/>
          <w:lang w:val="es-ES"/>
        </w:rPr>
        <w:t xml:space="preserve"> </w:t>
      </w:r>
      <w:r w:rsidR="007C4AE7">
        <w:rPr>
          <w:rFonts w:ascii="Verdana" w:hAnsi="Verdana"/>
          <w:sz w:val="20"/>
          <w:szCs w:val="20"/>
          <w:lang w:val="es-ES"/>
        </w:rPr>
        <w:t>7</w:t>
      </w:r>
      <w:r w:rsidR="00627365" w:rsidRPr="00FD16D8">
        <w:rPr>
          <w:rFonts w:ascii="Verdana" w:hAnsi="Verdana"/>
          <w:sz w:val="20"/>
          <w:szCs w:val="20"/>
          <w:lang w:val="es-ES"/>
        </w:rPr>
        <w:t xml:space="preserve"> de la Sentencia.</w:t>
      </w:r>
    </w:p>
    <w:p w:rsidR="00627365" w:rsidRPr="00FD16D8" w:rsidRDefault="00627365" w:rsidP="00F619B9">
      <w:pPr>
        <w:pStyle w:val="ListParagraph"/>
        <w:spacing w:after="120" w:line="240" w:lineRule="auto"/>
        <w:ind w:left="0"/>
        <w:jc w:val="both"/>
        <w:rPr>
          <w:rFonts w:ascii="Verdana" w:hAnsi="Verdana"/>
          <w:sz w:val="20"/>
          <w:szCs w:val="20"/>
          <w:lang w:val="es-ES"/>
        </w:rPr>
      </w:pPr>
    </w:p>
    <w:p w:rsidR="006A0107" w:rsidRPr="006A0107" w:rsidRDefault="006A0107" w:rsidP="00F619B9">
      <w:pPr>
        <w:pStyle w:val="ListParagraph"/>
        <w:spacing w:line="240" w:lineRule="auto"/>
        <w:rPr>
          <w:rFonts w:ascii="Verdana" w:hAnsi="Verdana"/>
          <w:sz w:val="20"/>
          <w:szCs w:val="20"/>
          <w:lang w:val="es-ES"/>
        </w:rPr>
      </w:pPr>
    </w:p>
    <w:p w:rsidR="006A0107" w:rsidRDefault="006A0107" w:rsidP="00F619B9">
      <w:pPr>
        <w:spacing w:after="120" w:line="240" w:lineRule="auto"/>
        <w:jc w:val="both"/>
        <w:rPr>
          <w:rFonts w:ascii="Verdana" w:hAnsi="Verdana"/>
          <w:sz w:val="20"/>
          <w:szCs w:val="20"/>
          <w:lang w:val="es-ES"/>
        </w:rPr>
      </w:pPr>
    </w:p>
    <w:p w:rsidR="00F75421" w:rsidRPr="00F75421" w:rsidRDefault="00F75421" w:rsidP="00F75421">
      <w:pPr>
        <w:spacing w:after="0" w:line="240" w:lineRule="auto"/>
        <w:jc w:val="right"/>
        <w:rPr>
          <w:lang w:val="es-CR"/>
        </w:rPr>
      </w:pPr>
    </w:p>
    <w:p w:rsidR="00F75421" w:rsidRPr="00F75421" w:rsidRDefault="00F75421" w:rsidP="00F75421">
      <w:pPr>
        <w:spacing w:after="0" w:line="240" w:lineRule="auto"/>
        <w:jc w:val="right"/>
        <w:rPr>
          <w:lang w:val="es-CR"/>
        </w:rPr>
      </w:pPr>
      <w:r w:rsidRPr="00F75421">
        <w:rPr>
          <w:lang w:val="es-CR"/>
        </w:rPr>
        <w:t>Eduardo Vio Grossi</w:t>
      </w:r>
    </w:p>
    <w:p w:rsidR="00F75421" w:rsidRPr="00F75421" w:rsidRDefault="00F75421" w:rsidP="00F75421">
      <w:pPr>
        <w:spacing w:after="0" w:line="240" w:lineRule="auto"/>
        <w:jc w:val="right"/>
        <w:rPr>
          <w:lang w:val="es-CR"/>
        </w:rPr>
      </w:pPr>
      <w:r w:rsidRPr="00F75421">
        <w:rPr>
          <w:lang w:val="es-CR"/>
        </w:rPr>
        <w:t>Juez</w:t>
      </w:r>
    </w:p>
    <w:p w:rsidR="00F75421" w:rsidRPr="00F75421" w:rsidRDefault="00F75421" w:rsidP="00F75421">
      <w:pPr>
        <w:tabs>
          <w:tab w:val="left" w:pos="1440"/>
        </w:tabs>
        <w:spacing w:after="0" w:line="240" w:lineRule="auto"/>
        <w:rPr>
          <w:lang w:val="es-CR"/>
        </w:rPr>
      </w:pPr>
    </w:p>
    <w:p w:rsidR="00F75421" w:rsidRPr="00F75421" w:rsidRDefault="00F75421" w:rsidP="00F75421">
      <w:pPr>
        <w:tabs>
          <w:tab w:val="left" w:pos="1440"/>
        </w:tabs>
        <w:spacing w:after="0" w:line="240" w:lineRule="auto"/>
        <w:rPr>
          <w:lang w:val="es-CR"/>
        </w:rPr>
      </w:pPr>
    </w:p>
    <w:p w:rsidR="00F75421" w:rsidRPr="00F75421" w:rsidRDefault="00F75421" w:rsidP="00F75421">
      <w:pPr>
        <w:tabs>
          <w:tab w:val="left" w:pos="1440"/>
        </w:tabs>
        <w:spacing w:after="0" w:line="240" w:lineRule="auto"/>
        <w:rPr>
          <w:lang w:val="es-CR"/>
        </w:rPr>
      </w:pPr>
    </w:p>
    <w:p w:rsidR="00F75421" w:rsidRPr="00F75421" w:rsidRDefault="00F75421" w:rsidP="00F75421">
      <w:pPr>
        <w:tabs>
          <w:tab w:val="left" w:pos="1440"/>
        </w:tabs>
        <w:spacing w:after="0" w:line="240" w:lineRule="auto"/>
        <w:rPr>
          <w:lang w:val="es-CR"/>
        </w:rPr>
      </w:pPr>
    </w:p>
    <w:p w:rsidR="00F75421" w:rsidRPr="00F75421" w:rsidRDefault="00F75421" w:rsidP="00F75421">
      <w:pPr>
        <w:tabs>
          <w:tab w:val="left" w:pos="1440"/>
        </w:tabs>
        <w:spacing w:after="0" w:line="240" w:lineRule="auto"/>
        <w:rPr>
          <w:lang w:val="es-CR"/>
        </w:rPr>
      </w:pPr>
      <w:r w:rsidRPr="00F75421">
        <w:rPr>
          <w:lang w:val="es-CR"/>
        </w:rPr>
        <w:t>Pablo Saavedra Alessandri</w:t>
      </w:r>
    </w:p>
    <w:p w:rsidR="00F75421" w:rsidRPr="0042466A" w:rsidRDefault="00F75421" w:rsidP="00F75421">
      <w:pPr>
        <w:tabs>
          <w:tab w:val="left" w:pos="1440"/>
        </w:tabs>
        <w:spacing w:after="0" w:line="240" w:lineRule="auto"/>
      </w:pPr>
      <w:r w:rsidRPr="00F75421">
        <w:rPr>
          <w:lang w:val="es-CR"/>
        </w:rPr>
        <w:t xml:space="preserve">               </w:t>
      </w:r>
      <w:proofErr w:type="spellStart"/>
      <w:r>
        <w:t>Secretario</w:t>
      </w:r>
      <w:proofErr w:type="spellEnd"/>
    </w:p>
    <w:p w:rsidR="00230789" w:rsidRPr="006D6C75" w:rsidRDefault="00230789" w:rsidP="00F619B9">
      <w:pPr>
        <w:spacing w:after="120" w:line="240" w:lineRule="auto"/>
        <w:jc w:val="both"/>
        <w:rPr>
          <w:rFonts w:ascii="Verdana" w:hAnsi="Verdana"/>
          <w:sz w:val="20"/>
          <w:szCs w:val="20"/>
          <w:lang w:val="es-ES"/>
        </w:rPr>
      </w:pPr>
    </w:p>
    <w:sectPr w:rsidR="00230789" w:rsidRPr="006D6C75" w:rsidSect="00CD7E09">
      <w:headerReference w:type="default" r:id="rId9"/>
      <w:footerReference w:type="default" r:id="rId10"/>
      <w:pgSz w:w="12240" w:h="15840"/>
      <w:pgMar w:top="1701"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98" w:rsidRDefault="00587198" w:rsidP="00AD4472">
      <w:pPr>
        <w:spacing w:after="0" w:line="240" w:lineRule="auto"/>
      </w:pPr>
      <w:r>
        <w:separator/>
      </w:r>
    </w:p>
  </w:endnote>
  <w:endnote w:type="continuationSeparator" w:id="0">
    <w:p w:rsidR="00587198" w:rsidRDefault="00587198" w:rsidP="00AD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49" w:rsidRDefault="00D41449">
    <w:pPr>
      <w:pStyle w:val="Footer"/>
      <w:jc w:val="right"/>
    </w:pPr>
  </w:p>
  <w:p w:rsidR="00D41449" w:rsidRDefault="00D41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98" w:rsidRDefault="00587198" w:rsidP="00AD4472">
      <w:pPr>
        <w:spacing w:after="0" w:line="240" w:lineRule="auto"/>
      </w:pPr>
      <w:r>
        <w:separator/>
      </w:r>
    </w:p>
  </w:footnote>
  <w:footnote w:type="continuationSeparator" w:id="0">
    <w:p w:rsidR="00587198" w:rsidRDefault="00587198" w:rsidP="00AD4472">
      <w:pPr>
        <w:spacing w:after="0" w:line="240" w:lineRule="auto"/>
      </w:pPr>
      <w:r>
        <w:continuationSeparator/>
      </w:r>
    </w:p>
  </w:footnote>
  <w:footnote w:id="1">
    <w:p w:rsidR="00D41449" w:rsidRPr="00230789" w:rsidRDefault="00D41449" w:rsidP="00F619B9">
      <w:pPr>
        <w:pStyle w:val="FootnoteText"/>
        <w:spacing w:before="120" w:after="120"/>
        <w:jc w:val="both"/>
        <w:rPr>
          <w:rFonts w:ascii="Verdana" w:hAnsi="Verdana"/>
          <w:i/>
          <w:sz w:val="16"/>
          <w:szCs w:val="16"/>
          <w:lang w:val="es-ES"/>
        </w:rPr>
      </w:pPr>
      <w:r w:rsidRPr="00230789">
        <w:rPr>
          <w:rStyle w:val="FootnoteReference"/>
          <w:rFonts w:ascii="Verdana" w:hAnsi="Verdana"/>
          <w:sz w:val="16"/>
          <w:szCs w:val="16"/>
        </w:rPr>
        <w:footnoteRef/>
      </w:r>
      <w:r w:rsidRPr="00230789">
        <w:rPr>
          <w:rFonts w:ascii="Verdana" w:hAnsi="Verdana"/>
          <w:sz w:val="16"/>
          <w:szCs w:val="16"/>
          <w:lang w:val="es-ES"/>
        </w:rPr>
        <w:t xml:space="preserve"> </w:t>
      </w:r>
      <w:r w:rsidR="00574F83">
        <w:rPr>
          <w:rFonts w:ascii="Verdana" w:hAnsi="Verdana"/>
          <w:sz w:val="16"/>
          <w:szCs w:val="16"/>
          <w:lang w:val="es-ES"/>
        </w:rPr>
        <w:tab/>
      </w:r>
      <w:r w:rsidRPr="00230789">
        <w:rPr>
          <w:rFonts w:ascii="Verdana" w:hAnsi="Verdana"/>
          <w:sz w:val="16"/>
          <w:szCs w:val="16"/>
          <w:lang w:val="es-ES"/>
        </w:rPr>
        <w:t xml:space="preserve">Art. 66.2 de la Convención: </w:t>
      </w:r>
      <w:r w:rsidRPr="00F619B9">
        <w:rPr>
          <w:rFonts w:ascii="Verdana" w:hAnsi="Verdana"/>
          <w:sz w:val="16"/>
          <w:szCs w:val="16"/>
          <w:lang w:val="es-ES"/>
        </w:rPr>
        <w:t>“Si el fallo no expresare en todo o en parte la opinión unánime de los jueces, cualquiera de éstos tendrá derecho a que se agregue al fallo su opinión disidente o individual.”</w:t>
      </w:r>
      <w:r w:rsidRPr="00230789">
        <w:rPr>
          <w:rFonts w:ascii="Verdana" w:hAnsi="Verdana"/>
          <w:i/>
          <w:sz w:val="16"/>
          <w:szCs w:val="16"/>
          <w:lang w:val="es-ES"/>
        </w:rPr>
        <w:t xml:space="preserve"> </w:t>
      </w:r>
    </w:p>
    <w:p w:rsidR="00D41449" w:rsidRPr="00230789" w:rsidRDefault="00D41449" w:rsidP="00F619B9">
      <w:pPr>
        <w:pStyle w:val="FootnoteText"/>
        <w:spacing w:before="120" w:after="120"/>
        <w:ind w:firstLine="720"/>
        <w:jc w:val="both"/>
        <w:rPr>
          <w:rFonts w:ascii="Verdana" w:hAnsi="Verdana"/>
          <w:i/>
          <w:sz w:val="16"/>
          <w:szCs w:val="16"/>
          <w:lang w:val="es-ES"/>
        </w:rPr>
      </w:pPr>
      <w:r w:rsidRPr="00230789">
        <w:rPr>
          <w:rFonts w:ascii="Verdana" w:hAnsi="Verdana"/>
          <w:sz w:val="16"/>
          <w:szCs w:val="16"/>
          <w:lang w:val="es-ES"/>
        </w:rPr>
        <w:t>Art</w:t>
      </w:r>
      <w:r w:rsidR="00C542E9">
        <w:rPr>
          <w:rFonts w:ascii="Verdana" w:hAnsi="Verdana"/>
          <w:sz w:val="16"/>
          <w:szCs w:val="16"/>
          <w:lang w:val="es-ES"/>
        </w:rPr>
        <w:t>.</w:t>
      </w:r>
      <w:r w:rsidRPr="00230789">
        <w:rPr>
          <w:rFonts w:ascii="Verdana" w:hAnsi="Verdana"/>
          <w:sz w:val="16"/>
          <w:szCs w:val="16"/>
          <w:lang w:val="es-ES"/>
        </w:rPr>
        <w:t xml:space="preserve"> 24.3 de los Estatutos de la Corte: </w:t>
      </w:r>
      <w:r w:rsidRPr="00F619B9">
        <w:rPr>
          <w:rFonts w:ascii="Verdana" w:hAnsi="Verdana"/>
          <w:sz w:val="16"/>
          <w:szCs w:val="16"/>
          <w:lang w:val="es-ES"/>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p>
    <w:p w:rsidR="006A6EE6" w:rsidRPr="00F619B9" w:rsidRDefault="00D41449" w:rsidP="00F619B9">
      <w:pPr>
        <w:pStyle w:val="FootnoteText"/>
        <w:spacing w:before="120" w:after="120"/>
        <w:ind w:firstLine="720"/>
        <w:jc w:val="both"/>
        <w:rPr>
          <w:rFonts w:ascii="Verdana" w:hAnsi="Verdana"/>
          <w:sz w:val="16"/>
          <w:szCs w:val="16"/>
          <w:lang w:val="es-ES"/>
        </w:rPr>
      </w:pPr>
      <w:r w:rsidRPr="00230789">
        <w:rPr>
          <w:rFonts w:ascii="Verdana" w:hAnsi="Verdana"/>
          <w:sz w:val="16"/>
          <w:szCs w:val="16"/>
          <w:lang w:val="es-ES"/>
        </w:rPr>
        <w:t>Art.75.3</w:t>
      </w:r>
      <w:r w:rsidR="00EA7A07" w:rsidRPr="00230789">
        <w:rPr>
          <w:rFonts w:ascii="Verdana" w:hAnsi="Verdana"/>
          <w:sz w:val="16"/>
          <w:szCs w:val="16"/>
          <w:lang w:val="es-ES"/>
        </w:rPr>
        <w:t xml:space="preserve"> del Reglamento de la Corte:</w:t>
      </w:r>
      <w:r w:rsidRPr="00230789">
        <w:rPr>
          <w:rFonts w:ascii="Verdana" w:hAnsi="Verdana"/>
          <w:sz w:val="16"/>
          <w:szCs w:val="16"/>
          <w:lang w:val="es-ES"/>
        </w:rPr>
        <w:t xml:space="preserve"> </w:t>
      </w:r>
      <w:r w:rsidRPr="00F619B9">
        <w:rPr>
          <w:rFonts w:ascii="Verdana" w:hAnsi="Verdana"/>
          <w:sz w:val="16"/>
          <w:szCs w:val="16"/>
          <w:lang w:val="es-ES"/>
        </w:rPr>
        <w:t>“Todo Juez que haya participado en la emisión de una opinión consultiva tiene derecho a unir a la de la Corte, su voto concurrente o disidente, el cual deberá ser razonado. Estos votos deberán ser presentados dentro del plazo fijado por la Presidencia, de modo que puedan ser conocidos por los Jueces antes de la comunicación de la opinión consultiva. Para su publicación se aplicará lo dispuesto en el artículo 32.1.</w:t>
      </w:r>
      <w:proofErr w:type="spellStart"/>
      <w:r w:rsidRPr="00F619B9">
        <w:rPr>
          <w:rFonts w:ascii="Verdana" w:hAnsi="Verdana"/>
          <w:sz w:val="16"/>
          <w:szCs w:val="16"/>
          <w:lang w:val="es-ES"/>
        </w:rPr>
        <w:t>a</w:t>
      </w:r>
      <w:proofErr w:type="spellEnd"/>
      <w:r w:rsidRPr="00F619B9">
        <w:rPr>
          <w:rFonts w:ascii="Verdana" w:hAnsi="Verdana"/>
          <w:sz w:val="16"/>
          <w:szCs w:val="16"/>
          <w:lang w:val="es-ES"/>
        </w:rPr>
        <w:t xml:space="preserve"> de este Reglamento.</w:t>
      </w:r>
      <w:r w:rsidRPr="00C542E9">
        <w:rPr>
          <w:rFonts w:ascii="Verdana" w:hAnsi="Verdana"/>
          <w:sz w:val="16"/>
          <w:szCs w:val="16"/>
          <w:lang w:val="es-ES"/>
        </w:rPr>
        <w:t>”</w:t>
      </w:r>
    </w:p>
  </w:footnote>
  <w:footnote w:id="2">
    <w:p w:rsidR="006A6EE6" w:rsidRPr="00230789" w:rsidRDefault="00705D62" w:rsidP="00F619B9">
      <w:pPr>
        <w:pStyle w:val="FootnoteText"/>
        <w:spacing w:before="120" w:after="120"/>
        <w:jc w:val="both"/>
        <w:rPr>
          <w:rFonts w:ascii="Verdana" w:hAnsi="Verdana"/>
          <w:sz w:val="16"/>
          <w:szCs w:val="16"/>
          <w:lang w:val="es-ES"/>
        </w:rPr>
      </w:pPr>
      <w:r w:rsidRPr="00230789">
        <w:rPr>
          <w:rStyle w:val="FootnoteReference"/>
          <w:rFonts w:ascii="Verdana" w:hAnsi="Verdana"/>
          <w:sz w:val="16"/>
          <w:szCs w:val="16"/>
        </w:rPr>
        <w:footnoteRef/>
      </w:r>
      <w:r w:rsidRPr="00230789">
        <w:rPr>
          <w:rFonts w:ascii="Verdana" w:hAnsi="Verdana"/>
          <w:sz w:val="16"/>
          <w:szCs w:val="16"/>
          <w:lang w:val="es-ES"/>
        </w:rPr>
        <w:t xml:space="preserve"> </w:t>
      </w:r>
      <w:r w:rsidR="00C542E9">
        <w:rPr>
          <w:rFonts w:ascii="Verdana" w:hAnsi="Verdana"/>
          <w:sz w:val="16"/>
          <w:szCs w:val="16"/>
          <w:lang w:val="es-ES"/>
        </w:rPr>
        <w:tab/>
      </w:r>
      <w:r w:rsidR="004C726F" w:rsidRPr="00230789">
        <w:rPr>
          <w:rFonts w:ascii="Verdana" w:hAnsi="Verdana"/>
          <w:sz w:val="16"/>
          <w:szCs w:val="16"/>
          <w:lang w:val="es-ES"/>
        </w:rPr>
        <w:t>En adelante</w:t>
      </w:r>
      <w:r w:rsidR="00CA14C3" w:rsidRPr="00230789">
        <w:rPr>
          <w:rFonts w:ascii="Verdana" w:hAnsi="Verdana"/>
          <w:sz w:val="16"/>
          <w:szCs w:val="16"/>
          <w:lang w:val="es-ES"/>
        </w:rPr>
        <w:t>, la Sentencia</w:t>
      </w:r>
      <w:r w:rsidR="004C726F" w:rsidRPr="00230789">
        <w:rPr>
          <w:rFonts w:ascii="Verdana" w:hAnsi="Verdana"/>
          <w:sz w:val="16"/>
          <w:szCs w:val="16"/>
          <w:lang w:val="es-ES"/>
        </w:rPr>
        <w:t>.</w:t>
      </w:r>
    </w:p>
  </w:footnote>
  <w:footnote w:id="3">
    <w:p w:rsidR="00C542E9" w:rsidRPr="00230789" w:rsidRDefault="00C4258A" w:rsidP="00F619B9">
      <w:pPr>
        <w:pStyle w:val="FootnoteText"/>
        <w:spacing w:before="120" w:after="120"/>
        <w:jc w:val="both"/>
        <w:rPr>
          <w:rFonts w:ascii="Verdana" w:hAnsi="Verdana"/>
          <w:sz w:val="16"/>
          <w:szCs w:val="16"/>
          <w:lang w:val="es-ES"/>
        </w:rPr>
      </w:pPr>
      <w:r w:rsidRPr="00230789">
        <w:rPr>
          <w:rStyle w:val="FootnoteReference"/>
          <w:rFonts w:ascii="Verdana" w:hAnsi="Verdana"/>
          <w:sz w:val="16"/>
          <w:szCs w:val="16"/>
        </w:rPr>
        <w:footnoteRef/>
      </w:r>
      <w:r w:rsidR="00255409">
        <w:rPr>
          <w:rFonts w:ascii="Verdana" w:hAnsi="Verdana"/>
          <w:sz w:val="16"/>
          <w:szCs w:val="16"/>
          <w:lang w:val="es-ES"/>
        </w:rPr>
        <w:t xml:space="preserve"> </w:t>
      </w:r>
      <w:r w:rsidR="00C542E9">
        <w:rPr>
          <w:rFonts w:ascii="Verdana" w:hAnsi="Verdana"/>
          <w:sz w:val="16"/>
          <w:szCs w:val="16"/>
          <w:lang w:val="es-ES"/>
        </w:rPr>
        <w:tab/>
      </w:r>
      <w:r w:rsidR="00255409">
        <w:rPr>
          <w:rFonts w:ascii="Verdana" w:hAnsi="Verdana"/>
          <w:sz w:val="16"/>
          <w:szCs w:val="16"/>
          <w:lang w:val="es-ES"/>
        </w:rPr>
        <w:t>En adelante, la Convención</w:t>
      </w:r>
      <w:r w:rsidRPr="00230789">
        <w:rPr>
          <w:rFonts w:ascii="Verdana" w:hAnsi="Verdana"/>
          <w:sz w:val="16"/>
          <w:szCs w:val="16"/>
          <w:lang w:val="es-ES"/>
        </w:rPr>
        <w:t>.</w:t>
      </w:r>
    </w:p>
  </w:footnote>
  <w:footnote w:id="4">
    <w:p w:rsidR="00C542E9" w:rsidRPr="00F619B9" w:rsidRDefault="00627365" w:rsidP="00F619B9">
      <w:pPr>
        <w:pStyle w:val="FootnoteText"/>
        <w:spacing w:before="120" w:after="120"/>
        <w:jc w:val="both"/>
        <w:rPr>
          <w:rFonts w:ascii="Verdana" w:hAnsi="Verdana"/>
          <w:b/>
          <w:sz w:val="16"/>
          <w:szCs w:val="16"/>
          <w:lang w:val="es-CR"/>
        </w:rPr>
      </w:pPr>
      <w:r w:rsidRPr="00F619B9">
        <w:rPr>
          <w:rStyle w:val="FootnoteReference"/>
          <w:rFonts w:ascii="Verdana" w:hAnsi="Verdana"/>
          <w:b/>
          <w:sz w:val="16"/>
          <w:szCs w:val="16"/>
        </w:rPr>
        <w:footnoteRef/>
      </w:r>
      <w:r w:rsidRPr="00F619B9">
        <w:rPr>
          <w:rFonts w:ascii="Verdana" w:hAnsi="Verdana"/>
          <w:b/>
          <w:sz w:val="16"/>
          <w:szCs w:val="16"/>
          <w:lang w:val="es-CR"/>
        </w:rPr>
        <w:t xml:space="preserve"> </w:t>
      </w:r>
      <w:r w:rsidR="00C542E9" w:rsidRPr="00F619B9">
        <w:rPr>
          <w:rFonts w:ascii="Verdana" w:hAnsi="Verdana"/>
          <w:b/>
          <w:sz w:val="16"/>
          <w:szCs w:val="16"/>
          <w:lang w:val="es-CR"/>
        </w:rPr>
        <w:tab/>
      </w:r>
      <w:r w:rsidR="00C542E9" w:rsidRPr="00C542E9">
        <w:rPr>
          <w:rFonts w:ascii="Verdana" w:hAnsi="Verdana"/>
          <w:i/>
          <w:sz w:val="16"/>
          <w:szCs w:val="16"/>
          <w:lang w:val="es-CR"/>
        </w:rPr>
        <w:t>Cfr.</w:t>
      </w:r>
      <w:r w:rsidR="00C542E9" w:rsidRPr="00F619B9">
        <w:rPr>
          <w:rFonts w:ascii="Verdana" w:hAnsi="Verdana"/>
          <w:b/>
          <w:i/>
          <w:sz w:val="16"/>
          <w:szCs w:val="16"/>
          <w:lang w:val="es-CR"/>
        </w:rPr>
        <w:t xml:space="preserve"> </w:t>
      </w:r>
      <w:r w:rsidR="00C542E9" w:rsidRPr="00F619B9">
        <w:rPr>
          <w:rStyle w:val="Strong"/>
          <w:rFonts w:ascii="Verdana" w:hAnsi="Verdana"/>
          <w:b w:val="0"/>
          <w:i/>
          <w:color w:val="000000"/>
          <w:sz w:val="16"/>
          <w:szCs w:val="16"/>
          <w:shd w:val="clear" w:color="auto" w:fill="FFFFFF"/>
          <w:lang w:val="es-CR"/>
        </w:rPr>
        <w:t>Caso Lagos del Campo Vs. Perú. Excepciones Preliminares, Fondo, Reparaciones y Costas.</w:t>
      </w:r>
      <w:r w:rsidR="00C542E9" w:rsidRPr="00F619B9">
        <w:rPr>
          <w:rStyle w:val="Strong"/>
          <w:rFonts w:ascii="Verdana" w:hAnsi="Verdana"/>
          <w:b w:val="0"/>
          <w:color w:val="000000"/>
          <w:sz w:val="16"/>
          <w:szCs w:val="16"/>
          <w:shd w:val="clear" w:color="auto" w:fill="FFFFFF"/>
          <w:lang w:val="es-CR"/>
        </w:rPr>
        <w:t xml:space="preserve"> Sentencia de 31 de agosto de 2017. Serie C No. 340. Voto parcialmente disidente del Juez Eduardo Vio Grossi.</w:t>
      </w:r>
    </w:p>
  </w:footnote>
  <w:footnote w:id="5">
    <w:p w:rsidR="00255409" w:rsidRPr="00255409" w:rsidRDefault="00255409" w:rsidP="00F619B9">
      <w:pPr>
        <w:pStyle w:val="FootnoteText"/>
        <w:spacing w:before="120" w:after="120"/>
        <w:rPr>
          <w:lang w:val="es-CL"/>
        </w:rPr>
      </w:pPr>
      <w:r>
        <w:rPr>
          <w:rStyle w:val="FootnoteReference"/>
        </w:rPr>
        <w:footnoteRef/>
      </w:r>
      <w:r w:rsidRPr="00F619B9">
        <w:rPr>
          <w:lang w:val="es-CR"/>
        </w:rPr>
        <w:t xml:space="preserve"> </w:t>
      </w:r>
      <w:r w:rsidR="00C542E9">
        <w:rPr>
          <w:lang w:val="es-CR"/>
        </w:rPr>
        <w:tab/>
      </w:r>
      <w:r>
        <w:rPr>
          <w:lang w:val="es-CL"/>
        </w:rPr>
        <w:t>En adelante, la Corte.</w:t>
      </w:r>
    </w:p>
  </w:footnote>
  <w:footnote w:id="6">
    <w:p w:rsidR="00DD251E" w:rsidRPr="00230789" w:rsidRDefault="00DB7928" w:rsidP="00F619B9">
      <w:pPr>
        <w:pStyle w:val="FootnoteText"/>
        <w:spacing w:before="120" w:after="120"/>
        <w:jc w:val="both"/>
        <w:rPr>
          <w:rFonts w:ascii="Verdana" w:hAnsi="Verdana"/>
          <w:sz w:val="16"/>
          <w:szCs w:val="16"/>
          <w:lang w:val="es-CL"/>
        </w:rPr>
      </w:pPr>
      <w:r w:rsidRPr="00230789">
        <w:rPr>
          <w:rStyle w:val="FootnoteReference"/>
          <w:rFonts w:ascii="Verdana" w:hAnsi="Verdana"/>
          <w:sz w:val="16"/>
          <w:szCs w:val="16"/>
        </w:rPr>
        <w:footnoteRef/>
      </w:r>
      <w:r w:rsidRPr="00055B6E">
        <w:rPr>
          <w:rFonts w:ascii="Verdana" w:hAnsi="Verdana"/>
          <w:sz w:val="16"/>
          <w:szCs w:val="16"/>
          <w:lang w:val="es-CR"/>
        </w:rPr>
        <w:t xml:space="preserve"> </w:t>
      </w:r>
      <w:r w:rsidR="00C542E9">
        <w:rPr>
          <w:rFonts w:ascii="Verdana" w:hAnsi="Verdana"/>
          <w:sz w:val="16"/>
          <w:szCs w:val="16"/>
          <w:lang w:val="es-CR"/>
        </w:rPr>
        <w:tab/>
      </w:r>
      <w:proofErr w:type="spellStart"/>
      <w:r w:rsidRPr="00230789">
        <w:rPr>
          <w:rFonts w:ascii="Verdana" w:hAnsi="Verdana"/>
          <w:sz w:val="16"/>
          <w:szCs w:val="16"/>
          <w:lang w:val="es-CL"/>
        </w:rPr>
        <w:t>Párrs</w:t>
      </w:r>
      <w:proofErr w:type="spellEnd"/>
      <w:r w:rsidRPr="00230789">
        <w:rPr>
          <w:rFonts w:ascii="Verdana" w:hAnsi="Verdana"/>
          <w:sz w:val="16"/>
          <w:szCs w:val="16"/>
          <w:lang w:val="es-CL"/>
        </w:rPr>
        <w:t xml:space="preserve">. </w:t>
      </w:r>
      <w:r w:rsidR="00C542E9">
        <w:rPr>
          <w:rFonts w:ascii="Verdana" w:hAnsi="Verdana"/>
          <w:sz w:val="16"/>
          <w:szCs w:val="16"/>
          <w:lang w:val="es-CL"/>
        </w:rPr>
        <w:t xml:space="preserve">195 </w:t>
      </w:r>
      <w:r w:rsidR="00541E12">
        <w:rPr>
          <w:rFonts w:ascii="Verdana" w:hAnsi="Verdana"/>
          <w:sz w:val="16"/>
          <w:szCs w:val="16"/>
          <w:lang w:val="es-CL"/>
        </w:rPr>
        <w:t xml:space="preserve">y </w:t>
      </w:r>
      <w:r w:rsidR="00C542E9">
        <w:rPr>
          <w:rFonts w:ascii="Verdana" w:hAnsi="Verdana"/>
          <w:sz w:val="16"/>
          <w:szCs w:val="16"/>
          <w:lang w:val="es-CL"/>
        </w:rPr>
        <w:t>196</w:t>
      </w:r>
      <w:r w:rsidR="00541E12">
        <w:rPr>
          <w:rFonts w:ascii="Verdana" w:hAnsi="Verdana"/>
          <w:sz w:val="16"/>
          <w:szCs w:val="16"/>
          <w:lang w:val="es-CL"/>
        </w:rPr>
        <w:t xml:space="preserve">. </w:t>
      </w:r>
      <w:r w:rsidR="00EA7A07" w:rsidRPr="00230789">
        <w:rPr>
          <w:rFonts w:ascii="Verdana" w:hAnsi="Verdana"/>
          <w:sz w:val="16"/>
          <w:szCs w:val="16"/>
          <w:lang w:val="es-CL"/>
        </w:rPr>
        <w:t>Cada vez que, en lo sucesivo, se señale “párr.” o “</w:t>
      </w:r>
      <w:proofErr w:type="spellStart"/>
      <w:r w:rsidR="00EA7A07" w:rsidRPr="00230789">
        <w:rPr>
          <w:rFonts w:ascii="Verdana" w:hAnsi="Verdana"/>
          <w:sz w:val="16"/>
          <w:szCs w:val="16"/>
          <w:lang w:val="es-CL"/>
        </w:rPr>
        <w:t>párrs</w:t>
      </w:r>
      <w:proofErr w:type="spellEnd"/>
      <w:r w:rsidR="00EA7A07" w:rsidRPr="00230789">
        <w:rPr>
          <w:rFonts w:ascii="Verdana" w:hAnsi="Verdana"/>
          <w:sz w:val="16"/>
          <w:szCs w:val="16"/>
          <w:lang w:val="es-CL"/>
        </w:rPr>
        <w:t>.”, se entenderá que se hace referencia al párrafo o a los p</w:t>
      </w:r>
      <w:r w:rsidR="00CA14C3" w:rsidRPr="00230789">
        <w:rPr>
          <w:rFonts w:ascii="Verdana" w:hAnsi="Verdana"/>
          <w:sz w:val="16"/>
          <w:szCs w:val="16"/>
          <w:lang w:val="es-CL"/>
        </w:rPr>
        <w:t>árrafos que indica de la Sentencia</w:t>
      </w:r>
      <w:r w:rsidR="00EA7A07" w:rsidRPr="00230789">
        <w:rPr>
          <w:rFonts w:ascii="Verdana" w:hAnsi="Verdana"/>
          <w:sz w:val="16"/>
          <w:szCs w:val="16"/>
          <w:lang w:val="es-CL"/>
        </w:rPr>
        <w:t>.</w:t>
      </w:r>
    </w:p>
  </w:footnote>
  <w:footnote w:id="7">
    <w:p w:rsidR="00CA14C3" w:rsidRPr="00230789" w:rsidRDefault="00CA14C3" w:rsidP="00F619B9">
      <w:pPr>
        <w:tabs>
          <w:tab w:val="left" w:pos="567"/>
          <w:tab w:val="left" w:pos="720"/>
        </w:tabs>
        <w:spacing w:before="120" w:after="120" w:line="240" w:lineRule="auto"/>
        <w:ind w:right="-144"/>
        <w:contextualSpacing/>
        <w:jc w:val="both"/>
        <w:rPr>
          <w:lang w:val="es-CL"/>
        </w:rPr>
      </w:pPr>
      <w:r w:rsidRPr="00230789">
        <w:rPr>
          <w:rStyle w:val="FootnoteReference"/>
          <w:rFonts w:ascii="Verdana" w:hAnsi="Verdana"/>
          <w:i/>
          <w:sz w:val="16"/>
          <w:szCs w:val="16"/>
        </w:rPr>
        <w:footnoteRef/>
      </w:r>
      <w:r w:rsidRPr="00F619B9">
        <w:rPr>
          <w:rFonts w:ascii="Verdana" w:hAnsi="Verdana"/>
          <w:i/>
          <w:sz w:val="16"/>
          <w:szCs w:val="16"/>
          <w:lang w:val="es-CR"/>
        </w:rPr>
        <w:t xml:space="preserve"> </w:t>
      </w:r>
      <w:r w:rsidR="00C542E9">
        <w:rPr>
          <w:rFonts w:ascii="Verdana" w:hAnsi="Verdana"/>
          <w:i/>
          <w:sz w:val="16"/>
          <w:szCs w:val="16"/>
          <w:lang w:val="es-CR"/>
        </w:rPr>
        <w:tab/>
        <w:t>“</w:t>
      </w:r>
      <w:r w:rsidR="00C542E9" w:rsidRPr="00F619B9">
        <w:rPr>
          <w:rFonts w:ascii="Verdana" w:hAnsi="Verdana"/>
          <w:sz w:val="16"/>
          <w:szCs w:val="16"/>
          <w:lang w:val="es-CR"/>
        </w:rPr>
        <w:t xml:space="preserve">El Estado es responsable por la violación </w:t>
      </w:r>
      <w:r w:rsidR="00C542E9" w:rsidRPr="00F619B9">
        <w:rPr>
          <w:rFonts w:ascii="Verdana" w:eastAsia="Batang" w:hAnsi="Verdana" w:cs="Times"/>
          <w:spacing w:val="-2"/>
          <w:sz w:val="16"/>
          <w:szCs w:val="16"/>
          <w:lang w:val="es-CR"/>
        </w:rPr>
        <w:t xml:space="preserve">del derecho al trabajo, consagrado en el artículo 26 </w:t>
      </w:r>
      <w:r w:rsidR="00C542E9" w:rsidRPr="00F619B9">
        <w:rPr>
          <w:rFonts w:ascii="Verdana" w:hAnsi="Verdana"/>
          <w:spacing w:val="-2"/>
          <w:sz w:val="16"/>
          <w:szCs w:val="16"/>
          <w:lang w:val="es-CR"/>
        </w:rPr>
        <w:t xml:space="preserve">de la Convención Americana sobre Derechos Humanos, en relación con el artículo 1.1 </w:t>
      </w:r>
      <w:r w:rsidR="00C542E9" w:rsidRPr="00F619B9">
        <w:rPr>
          <w:rFonts w:ascii="Verdana" w:hAnsi="Verdana"/>
          <w:sz w:val="16"/>
          <w:szCs w:val="16"/>
          <w:lang w:val="es-CR"/>
        </w:rPr>
        <w:t>del mismo instrumento,</w:t>
      </w:r>
      <w:r w:rsidR="00C542E9" w:rsidRPr="00F619B9">
        <w:rPr>
          <w:rFonts w:ascii="Verdana" w:hAnsi="Verdana"/>
          <w:spacing w:val="-2"/>
          <w:sz w:val="16"/>
          <w:szCs w:val="16"/>
          <w:lang w:val="es-CR"/>
        </w:rPr>
        <w:t xml:space="preserve"> en perjuicio de </w:t>
      </w:r>
      <w:r w:rsidR="00C542E9" w:rsidRPr="00F619B9">
        <w:rPr>
          <w:rFonts w:ascii="Verdana" w:hAnsi="Verdana"/>
          <w:sz w:val="16"/>
          <w:szCs w:val="16"/>
          <w:lang w:val="es-CR"/>
        </w:rPr>
        <w:t>los 85 trabajadores de Petroperú,</w:t>
      </w:r>
      <w:r w:rsidR="00C542E9" w:rsidRPr="00F619B9">
        <w:rPr>
          <w:rFonts w:ascii="Verdana" w:hAnsi="Verdana"/>
          <w:b/>
          <w:sz w:val="16"/>
          <w:szCs w:val="16"/>
          <w:lang w:val="es-CR"/>
        </w:rPr>
        <w:t xml:space="preserve"> </w:t>
      </w:r>
      <w:r w:rsidR="00C542E9" w:rsidRPr="00F619B9">
        <w:rPr>
          <w:rFonts w:ascii="Verdana" w:hAnsi="Verdana"/>
          <w:sz w:val="16"/>
          <w:szCs w:val="16"/>
          <w:lang w:val="es-CR"/>
        </w:rPr>
        <w:t xml:space="preserve">los 25 trabajadores de </w:t>
      </w:r>
      <w:proofErr w:type="spellStart"/>
      <w:r w:rsidR="00C542E9" w:rsidRPr="00F619B9">
        <w:rPr>
          <w:rFonts w:ascii="Verdana" w:hAnsi="Verdana"/>
          <w:sz w:val="16"/>
          <w:szCs w:val="16"/>
          <w:lang w:val="es-CR"/>
        </w:rPr>
        <w:t>Enapu</w:t>
      </w:r>
      <w:proofErr w:type="spellEnd"/>
      <w:r w:rsidR="00C542E9" w:rsidRPr="00F619B9">
        <w:rPr>
          <w:rFonts w:ascii="Verdana" w:hAnsi="Verdana"/>
          <w:sz w:val="16"/>
          <w:szCs w:val="16"/>
          <w:lang w:val="es-CR"/>
        </w:rPr>
        <w:t xml:space="preserve">, los 39 trabajadores de </w:t>
      </w:r>
      <w:proofErr w:type="spellStart"/>
      <w:r w:rsidR="00C542E9" w:rsidRPr="00F619B9">
        <w:rPr>
          <w:rFonts w:ascii="Verdana" w:hAnsi="Verdana"/>
          <w:sz w:val="16"/>
          <w:szCs w:val="16"/>
          <w:lang w:val="es-CR"/>
        </w:rPr>
        <w:t>Minedu</w:t>
      </w:r>
      <w:proofErr w:type="spellEnd"/>
      <w:r w:rsidR="00C542E9" w:rsidRPr="00F619B9">
        <w:rPr>
          <w:rFonts w:ascii="Verdana" w:hAnsi="Verdana"/>
          <w:sz w:val="16"/>
          <w:szCs w:val="16"/>
          <w:lang w:val="es-CR"/>
        </w:rPr>
        <w:t>, los 15 trabajadores del MEF</w:t>
      </w:r>
      <w:r w:rsidR="00C542E9" w:rsidRPr="00F619B9">
        <w:rPr>
          <w:rFonts w:ascii="Verdana" w:hAnsi="Verdana"/>
          <w:spacing w:val="-2"/>
          <w:sz w:val="16"/>
          <w:szCs w:val="16"/>
          <w:lang w:val="es-CR"/>
        </w:rPr>
        <w:t xml:space="preserve">, de conformidad con los párrafos </w:t>
      </w:r>
      <w:r w:rsidR="00C542E9" w:rsidRPr="00F619B9">
        <w:rPr>
          <w:rFonts w:ascii="Verdana" w:hAnsi="Verdana" w:cs="Arial"/>
          <w:sz w:val="16"/>
          <w:szCs w:val="16"/>
          <w:lang w:val="es-MX"/>
        </w:rPr>
        <w:t>192 y 193</w:t>
      </w:r>
      <w:r w:rsidR="00C542E9" w:rsidRPr="00F619B9">
        <w:rPr>
          <w:rFonts w:ascii="Verdana" w:hAnsi="Verdana"/>
          <w:sz w:val="16"/>
          <w:szCs w:val="16"/>
          <w:lang w:val="es-CR"/>
        </w:rPr>
        <w:t xml:space="preserve"> de la presente Sentencia.</w:t>
      </w:r>
      <w:r w:rsidR="00C542E9" w:rsidRPr="007C2832">
        <w:rPr>
          <w:rFonts w:ascii="Verdana" w:hAnsi="Verdana"/>
          <w:i/>
          <w:sz w:val="16"/>
          <w:szCs w:val="16"/>
          <w:lang w:val="es-AR"/>
        </w:rPr>
        <w:t>”</w:t>
      </w:r>
    </w:p>
  </w:footnote>
  <w:footnote w:id="8">
    <w:p w:rsidR="001426DC" w:rsidRPr="00F619B9" w:rsidRDefault="001426DC" w:rsidP="00F619B9">
      <w:pPr>
        <w:pStyle w:val="ListParagraph"/>
        <w:spacing w:before="120" w:after="120" w:line="240" w:lineRule="auto"/>
        <w:ind w:left="0"/>
        <w:jc w:val="both"/>
        <w:rPr>
          <w:rFonts w:ascii="Verdana" w:hAnsi="Verdana"/>
          <w:i/>
          <w:sz w:val="16"/>
          <w:szCs w:val="16"/>
          <w:lang w:val="es-ES"/>
        </w:rPr>
      </w:pPr>
      <w:r w:rsidRPr="00BE2D69">
        <w:rPr>
          <w:rStyle w:val="FootnoteReference"/>
          <w:rFonts w:ascii="Verdana" w:hAnsi="Verdana"/>
          <w:i/>
          <w:sz w:val="16"/>
          <w:szCs w:val="16"/>
        </w:rPr>
        <w:footnoteRef/>
      </w:r>
      <w:r w:rsidRPr="00F619B9">
        <w:rPr>
          <w:rFonts w:ascii="Verdana" w:hAnsi="Verdana"/>
          <w:i/>
          <w:sz w:val="16"/>
          <w:szCs w:val="16"/>
          <w:lang w:val="es-CR"/>
        </w:rPr>
        <w:t xml:space="preserve"> </w:t>
      </w:r>
      <w:r w:rsidR="007C4AE7">
        <w:rPr>
          <w:rFonts w:ascii="Verdana" w:hAnsi="Verdana"/>
          <w:i/>
          <w:sz w:val="16"/>
          <w:szCs w:val="16"/>
          <w:lang w:val="es-CR"/>
        </w:rPr>
        <w:tab/>
      </w:r>
      <w:r w:rsidR="007C4AE7" w:rsidRPr="00C542E9">
        <w:rPr>
          <w:rFonts w:ascii="Verdana" w:hAnsi="Verdana"/>
          <w:i/>
          <w:sz w:val="16"/>
          <w:szCs w:val="16"/>
          <w:lang w:val="es-CR"/>
        </w:rPr>
        <w:t>Cfr.</w:t>
      </w:r>
      <w:r w:rsidR="007C4AE7" w:rsidRPr="00F070CD">
        <w:rPr>
          <w:rFonts w:ascii="Verdana" w:hAnsi="Verdana"/>
          <w:b/>
          <w:i/>
          <w:sz w:val="16"/>
          <w:szCs w:val="16"/>
          <w:lang w:val="es-CR"/>
        </w:rPr>
        <w:t xml:space="preserve"> </w:t>
      </w:r>
      <w:r w:rsidR="007C4AE7" w:rsidRPr="00F070CD">
        <w:rPr>
          <w:rStyle w:val="Strong"/>
          <w:rFonts w:ascii="Verdana" w:hAnsi="Verdana"/>
          <w:b w:val="0"/>
          <w:i/>
          <w:color w:val="000000"/>
          <w:sz w:val="16"/>
          <w:szCs w:val="16"/>
          <w:shd w:val="clear" w:color="auto" w:fill="FFFFFF"/>
          <w:lang w:val="es-CR"/>
        </w:rPr>
        <w:t>Caso Lagos del Campo Vs. Perú. Excepciones Preliminares, Fondo, Reparaciones y Costas.</w:t>
      </w:r>
      <w:r w:rsidR="007C4AE7" w:rsidRPr="00F070CD">
        <w:rPr>
          <w:rStyle w:val="Strong"/>
          <w:rFonts w:ascii="Verdana" w:hAnsi="Verdana"/>
          <w:b w:val="0"/>
          <w:color w:val="000000"/>
          <w:sz w:val="16"/>
          <w:szCs w:val="16"/>
          <w:shd w:val="clear" w:color="auto" w:fill="FFFFFF"/>
          <w:lang w:val="es-CR"/>
        </w:rPr>
        <w:t xml:space="preserve"> Sentencia de 31 de agosto de 2017. Serie C No. 340. Voto parcialmente disidente del Juez Eduardo Vio Grossi.</w:t>
      </w:r>
    </w:p>
  </w:footnote>
  <w:footnote w:id="9">
    <w:p w:rsidR="00D15351" w:rsidRPr="00F619B9" w:rsidRDefault="00D15351" w:rsidP="00F619B9">
      <w:pPr>
        <w:spacing w:before="120" w:after="120" w:line="240" w:lineRule="auto"/>
        <w:jc w:val="both"/>
        <w:rPr>
          <w:rFonts w:ascii="Verdana" w:hAnsi="Verdana"/>
          <w:sz w:val="16"/>
          <w:szCs w:val="16"/>
          <w:lang w:val="es-ES"/>
        </w:rPr>
      </w:pPr>
      <w:r w:rsidRPr="00F619B9">
        <w:rPr>
          <w:rStyle w:val="FootnoteReference"/>
          <w:rFonts w:ascii="Verdana" w:hAnsi="Verdana"/>
          <w:sz w:val="16"/>
          <w:szCs w:val="16"/>
        </w:rPr>
        <w:footnoteRef/>
      </w:r>
      <w:r w:rsidRPr="00F619B9">
        <w:rPr>
          <w:rFonts w:ascii="Verdana" w:hAnsi="Verdana"/>
          <w:sz w:val="16"/>
          <w:szCs w:val="16"/>
          <w:lang w:val="es-CR"/>
        </w:rPr>
        <w:t xml:space="preserve"> </w:t>
      </w:r>
      <w:r w:rsidR="007C4AE7" w:rsidRPr="00F619B9">
        <w:rPr>
          <w:rFonts w:ascii="Verdana" w:hAnsi="Verdana"/>
          <w:sz w:val="16"/>
          <w:szCs w:val="16"/>
          <w:lang w:val="es-CR"/>
        </w:rPr>
        <w:tab/>
        <w:t xml:space="preserve">Art. 26. </w:t>
      </w:r>
      <w:r w:rsidR="007A1833" w:rsidRPr="00F619B9">
        <w:rPr>
          <w:rFonts w:ascii="Verdana" w:hAnsi="Verdana"/>
          <w:sz w:val="16"/>
          <w:szCs w:val="16"/>
          <w:lang w:val="es-CR"/>
        </w:rPr>
        <w:t>“</w:t>
      </w:r>
      <w:r w:rsidRPr="00F619B9">
        <w:rPr>
          <w:rFonts w:ascii="Verdana" w:hAnsi="Verdana"/>
          <w:sz w:val="16"/>
          <w:szCs w:val="16"/>
          <w:lang w:val="es-ES"/>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r w:rsidR="007A1833" w:rsidRPr="00F619B9">
        <w:rPr>
          <w:rFonts w:ascii="Verdana" w:hAnsi="Verdana"/>
          <w:sz w:val="16"/>
          <w:szCs w:val="16"/>
          <w:lang w:val="es-ES"/>
        </w:rPr>
        <w:t>”</w:t>
      </w:r>
      <w:r w:rsidRPr="00F619B9">
        <w:rPr>
          <w:rFonts w:ascii="Verdana" w:hAnsi="Verdana"/>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F4" w:rsidRPr="004D6DF4" w:rsidRDefault="004D6DF4">
    <w:pPr>
      <w:pStyle w:val="Header"/>
      <w:jc w:val="center"/>
      <w:rPr>
        <w:rFonts w:ascii="Verdana" w:hAnsi="Verdana"/>
        <w:sz w:val="20"/>
        <w:szCs w:val="20"/>
      </w:rPr>
    </w:pPr>
    <w:r w:rsidRPr="004D6DF4">
      <w:rPr>
        <w:rFonts w:ascii="Verdana" w:hAnsi="Verdana"/>
        <w:sz w:val="20"/>
        <w:szCs w:val="20"/>
      </w:rPr>
      <w:t>-</w:t>
    </w:r>
    <w:sdt>
      <w:sdtPr>
        <w:rPr>
          <w:rFonts w:ascii="Verdana" w:hAnsi="Verdana"/>
          <w:sz w:val="20"/>
          <w:szCs w:val="20"/>
        </w:rPr>
        <w:id w:val="-1713952662"/>
        <w:docPartObj>
          <w:docPartGallery w:val="Page Numbers (Top of Page)"/>
          <w:docPartUnique/>
        </w:docPartObj>
      </w:sdtPr>
      <w:sdtEndPr>
        <w:rPr>
          <w:noProof/>
        </w:rPr>
      </w:sdtEndPr>
      <w:sdtContent>
        <w:r w:rsidRPr="004D6DF4">
          <w:rPr>
            <w:rFonts w:ascii="Verdana" w:hAnsi="Verdana"/>
            <w:sz w:val="20"/>
            <w:szCs w:val="20"/>
          </w:rPr>
          <w:fldChar w:fldCharType="begin"/>
        </w:r>
        <w:r w:rsidRPr="004D6DF4">
          <w:rPr>
            <w:rFonts w:ascii="Verdana" w:hAnsi="Verdana"/>
            <w:sz w:val="20"/>
            <w:szCs w:val="20"/>
          </w:rPr>
          <w:instrText xml:space="preserve"> PAGE   \* MERGEFORMAT </w:instrText>
        </w:r>
        <w:r w:rsidRPr="004D6DF4">
          <w:rPr>
            <w:rFonts w:ascii="Verdana" w:hAnsi="Verdana"/>
            <w:sz w:val="20"/>
            <w:szCs w:val="20"/>
          </w:rPr>
          <w:fldChar w:fldCharType="separate"/>
        </w:r>
        <w:r w:rsidR="00CD7E09">
          <w:rPr>
            <w:rFonts w:ascii="Verdana" w:hAnsi="Verdana"/>
            <w:noProof/>
            <w:sz w:val="20"/>
            <w:szCs w:val="20"/>
          </w:rPr>
          <w:t>2</w:t>
        </w:r>
        <w:r w:rsidRPr="004D6DF4">
          <w:rPr>
            <w:rFonts w:ascii="Verdana" w:hAnsi="Verdana"/>
            <w:noProof/>
            <w:sz w:val="20"/>
            <w:szCs w:val="20"/>
          </w:rPr>
          <w:fldChar w:fldCharType="end"/>
        </w:r>
      </w:sdtContent>
    </w:sdt>
    <w:r w:rsidRPr="004D6DF4">
      <w:rPr>
        <w:rFonts w:ascii="Verdana" w:hAnsi="Verdana"/>
        <w:noProof/>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5F4"/>
    <w:multiLevelType w:val="hybridMultilevel"/>
    <w:tmpl w:val="B3D8E5AA"/>
    <w:lvl w:ilvl="0" w:tplc="6736DA98">
      <w:start w:val="1"/>
      <w:numFmt w:val="upperLetter"/>
      <w:lvlText w:val="%1."/>
      <w:lvlJc w:val="left"/>
      <w:pPr>
        <w:ind w:left="1800" w:hanging="360"/>
      </w:pPr>
      <w:rPr>
        <w:rFonts w:hint="default"/>
        <w:b/>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nsid w:val="0943757F"/>
    <w:multiLevelType w:val="hybridMultilevel"/>
    <w:tmpl w:val="B06A5E32"/>
    <w:lvl w:ilvl="0" w:tplc="7404277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B0626DB"/>
    <w:multiLevelType w:val="hybridMultilevel"/>
    <w:tmpl w:val="CC28AFB0"/>
    <w:lvl w:ilvl="0" w:tplc="C8CCB698">
      <w:start w:val="1"/>
      <w:numFmt w:val="decimal"/>
      <w:lvlText w:val="%1."/>
      <w:lvlJc w:val="left"/>
      <w:pPr>
        <w:ind w:left="720" w:hanging="360"/>
      </w:pPr>
      <w:rPr>
        <w:sz w:val="20"/>
        <w:szCs w:val="2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041A26"/>
    <w:multiLevelType w:val="hybridMultilevel"/>
    <w:tmpl w:val="0A44491C"/>
    <w:lvl w:ilvl="0" w:tplc="4A10C952">
      <w:start w:val="1"/>
      <w:numFmt w:val="lowerRoman"/>
      <w:lvlText w:val="%1."/>
      <w:lvlJc w:val="left"/>
      <w:pPr>
        <w:ind w:left="1440" w:hanging="72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8E9581D"/>
    <w:multiLevelType w:val="hybridMultilevel"/>
    <w:tmpl w:val="F1FAC3CE"/>
    <w:lvl w:ilvl="0" w:tplc="311ECFF8">
      <w:start w:val="122"/>
      <w:numFmt w:val="decimal"/>
      <w:lvlText w:val="%1."/>
      <w:lvlJc w:val="left"/>
      <w:pPr>
        <w:ind w:left="1178" w:hanging="458"/>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1D4464E7"/>
    <w:multiLevelType w:val="hybridMultilevel"/>
    <w:tmpl w:val="11565C26"/>
    <w:lvl w:ilvl="0" w:tplc="8B863204">
      <w:start w:val="1"/>
      <w:numFmt w:val="lowerLetter"/>
      <w:lvlText w:val="%1."/>
      <w:lvlJc w:val="left"/>
      <w:pPr>
        <w:ind w:left="720" w:hanging="360"/>
      </w:pPr>
      <w:rPr>
        <w:rFonts w:ascii="Verdana" w:eastAsiaTheme="minorHAnsi" w:hAnsi="Verdana" w:cstheme="minorBidi"/>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0870839"/>
    <w:multiLevelType w:val="hybridMultilevel"/>
    <w:tmpl w:val="2564E6FE"/>
    <w:lvl w:ilvl="0" w:tplc="6444FAB8">
      <w:start w:val="2"/>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249B105F"/>
    <w:multiLevelType w:val="hybridMultilevel"/>
    <w:tmpl w:val="91EEE540"/>
    <w:lvl w:ilvl="0" w:tplc="2EB40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46B12"/>
    <w:multiLevelType w:val="hybridMultilevel"/>
    <w:tmpl w:val="CFC2C2D4"/>
    <w:lvl w:ilvl="0" w:tplc="ECB43F86">
      <w:start w:val="1"/>
      <w:numFmt w:val="lowerRoman"/>
      <w:lvlText w:val="%1."/>
      <w:lvlJc w:val="left"/>
      <w:pPr>
        <w:ind w:left="1080" w:hanging="720"/>
      </w:pPr>
      <w:rPr>
        <w:rFonts w:ascii="Verdana" w:eastAsiaTheme="minorHAnsi" w:hAnsi="Verdana" w:cstheme="minorBidi"/>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BEC4081"/>
    <w:multiLevelType w:val="hybridMultilevel"/>
    <w:tmpl w:val="840665BE"/>
    <w:lvl w:ilvl="0" w:tplc="FF3EA118">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3033731"/>
    <w:multiLevelType w:val="hybridMultilevel"/>
    <w:tmpl w:val="CADCD36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C76CB"/>
    <w:multiLevelType w:val="hybridMultilevel"/>
    <w:tmpl w:val="86282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92B0D"/>
    <w:multiLevelType w:val="hybridMultilevel"/>
    <w:tmpl w:val="6198963E"/>
    <w:lvl w:ilvl="0" w:tplc="0CFC98EE">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47DF7AE8"/>
    <w:multiLevelType w:val="hybridMultilevel"/>
    <w:tmpl w:val="953238A2"/>
    <w:lvl w:ilvl="0" w:tplc="F30A7024">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4A893144"/>
    <w:multiLevelType w:val="hybridMultilevel"/>
    <w:tmpl w:val="684467DA"/>
    <w:lvl w:ilvl="0" w:tplc="498ABEF6">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50A93294"/>
    <w:multiLevelType w:val="hybridMultilevel"/>
    <w:tmpl w:val="34506992"/>
    <w:lvl w:ilvl="0" w:tplc="8C3EA0B0">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0AB64B7"/>
    <w:multiLevelType w:val="hybridMultilevel"/>
    <w:tmpl w:val="FC026F04"/>
    <w:lvl w:ilvl="0" w:tplc="3C02A48C">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5DB018A"/>
    <w:multiLevelType w:val="hybridMultilevel"/>
    <w:tmpl w:val="A89A8606"/>
    <w:lvl w:ilvl="0" w:tplc="326A575A">
      <w:start w:val="1"/>
      <w:numFmt w:val="upperRoman"/>
      <w:lvlText w:val="%1."/>
      <w:lvlJc w:val="left"/>
      <w:pPr>
        <w:ind w:left="1854" w:hanging="72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8">
    <w:nsid w:val="56147EDE"/>
    <w:multiLevelType w:val="hybridMultilevel"/>
    <w:tmpl w:val="4D52B9C2"/>
    <w:lvl w:ilvl="0" w:tplc="2790134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97058A1"/>
    <w:multiLevelType w:val="hybridMultilevel"/>
    <w:tmpl w:val="492EF586"/>
    <w:lvl w:ilvl="0" w:tplc="B8E0ED44">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C2858"/>
    <w:multiLevelType w:val="hybridMultilevel"/>
    <w:tmpl w:val="DAB01D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6B1510C"/>
    <w:multiLevelType w:val="hybridMultilevel"/>
    <w:tmpl w:val="089CC8EE"/>
    <w:lvl w:ilvl="0" w:tplc="EC8405C8">
      <w:start w:val="1"/>
      <w:numFmt w:val="lowerRoman"/>
      <w:lvlText w:val="%1."/>
      <w:lvlJc w:val="left"/>
      <w:pPr>
        <w:ind w:left="1440" w:hanging="72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67BB4A58"/>
    <w:multiLevelType w:val="hybridMultilevel"/>
    <w:tmpl w:val="378AF708"/>
    <w:lvl w:ilvl="0" w:tplc="79D453E2">
      <w:start w:val="1"/>
      <w:numFmt w:val="lowerRoman"/>
      <w:lvlText w:val="%1."/>
      <w:lvlJc w:val="left"/>
      <w:pPr>
        <w:ind w:left="1440" w:hanging="72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6A1C7F4D"/>
    <w:multiLevelType w:val="hybridMultilevel"/>
    <w:tmpl w:val="F62EE75E"/>
    <w:lvl w:ilvl="0" w:tplc="99CE23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EC378C"/>
    <w:multiLevelType w:val="hybridMultilevel"/>
    <w:tmpl w:val="D88E7C44"/>
    <w:lvl w:ilvl="0" w:tplc="DC10E71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0314AE0"/>
    <w:multiLevelType w:val="hybridMultilevel"/>
    <w:tmpl w:val="01544BD6"/>
    <w:lvl w:ilvl="0" w:tplc="F4B8D1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E75C20"/>
    <w:multiLevelType w:val="hybridMultilevel"/>
    <w:tmpl w:val="53762C58"/>
    <w:lvl w:ilvl="0" w:tplc="70FE434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32D43DA"/>
    <w:multiLevelType w:val="hybridMultilevel"/>
    <w:tmpl w:val="4184D876"/>
    <w:lvl w:ilvl="0" w:tplc="6F4C1ED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59A7878"/>
    <w:multiLevelType w:val="hybridMultilevel"/>
    <w:tmpl w:val="7F766878"/>
    <w:lvl w:ilvl="0" w:tplc="30AC8A48">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6417B9C"/>
    <w:multiLevelType w:val="hybridMultilevel"/>
    <w:tmpl w:val="B476BE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7037827"/>
    <w:multiLevelType w:val="hybridMultilevel"/>
    <w:tmpl w:val="15060B10"/>
    <w:lvl w:ilvl="0" w:tplc="7C36A6A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9061FEB"/>
    <w:multiLevelType w:val="hybridMultilevel"/>
    <w:tmpl w:val="A9B4FB5E"/>
    <w:lvl w:ilvl="0" w:tplc="4C3AB9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7D511C"/>
    <w:multiLevelType w:val="hybridMultilevel"/>
    <w:tmpl w:val="A5DC8C4A"/>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E1254FF"/>
    <w:multiLevelType w:val="hybridMultilevel"/>
    <w:tmpl w:val="7B90AC66"/>
    <w:lvl w:ilvl="0" w:tplc="75220134">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33"/>
  </w:num>
  <w:num w:numId="4">
    <w:abstractNumId w:val="11"/>
  </w:num>
  <w:num w:numId="5">
    <w:abstractNumId w:val="25"/>
  </w:num>
  <w:num w:numId="6">
    <w:abstractNumId w:val="19"/>
  </w:num>
  <w:num w:numId="7">
    <w:abstractNumId w:val="31"/>
  </w:num>
  <w:num w:numId="8">
    <w:abstractNumId w:val="15"/>
  </w:num>
  <w:num w:numId="9">
    <w:abstractNumId w:val="7"/>
  </w:num>
  <w:num w:numId="10">
    <w:abstractNumId w:val="20"/>
  </w:num>
  <w:num w:numId="11">
    <w:abstractNumId w:val="32"/>
  </w:num>
  <w:num w:numId="12">
    <w:abstractNumId w:val="29"/>
  </w:num>
  <w:num w:numId="13">
    <w:abstractNumId w:val="2"/>
  </w:num>
  <w:num w:numId="14">
    <w:abstractNumId w:val="17"/>
  </w:num>
  <w:num w:numId="15">
    <w:abstractNumId w:val="1"/>
  </w:num>
  <w:num w:numId="16">
    <w:abstractNumId w:val="9"/>
  </w:num>
  <w:num w:numId="17">
    <w:abstractNumId w:val="6"/>
  </w:num>
  <w:num w:numId="18">
    <w:abstractNumId w:val="24"/>
  </w:num>
  <w:num w:numId="19">
    <w:abstractNumId w:val="5"/>
  </w:num>
  <w:num w:numId="20">
    <w:abstractNumId w:val="28"/>
  </w:num>
  <w:num w:numId="21">
    <w:abstractNumId w:val="30"/>
  </w:num>
  <w:num w:numId="22">
    <w:abstractNumId w:val="4"/>
  </w:num>
  <w:num w:numId="23">
    <w:abstractNumId w:val="12"/>
  </w:num>
  <w:num w:numId="24">
    <w:abstractNumId w:val="16"/>
  </w:num>
  <w:num w:numId="25">
    <w:abstractNumId w:val="13"/>
  </w:num>
  <w:num w:numId="26">
    <w:abstractNumId w:val="3"/>
  </w:num>
  <w:num w:numId="27">
    <w:abstractNumId w:val="22"/>
  </w:num>
  <w:num w:numId="28">
    <w:abstractNumId w:val="14"/>
  </w:num>
  <w:num w:numId="29">
    <w:abstractNumId w:val="26"/>
  </w:num>
  <w:num w:numId="30">
    <w:abstractNumId w:val="18"/>
  </w:num>
  <w:num w:numId="31">
    <w:abstractNumId w:val="21"/>
  </w:num>
  <w:num w:numId="32">
    <w:abstractNumId w:val="0"/>
  </w:num>
  <w:num w:numId="33">
    <w:abstractNumId w:val="27"/>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6A"/>
    <w:rsid w:val="00012883"/>
    <w:rsid w:val="000134F3"/>
    <w:rsid w:val="000314C4"/>
    <w:rsid w:val="00042A4B"/>
    <w:rsid w:val="00043ED4"/>
    <w:rsid w:val="000471AD"/>
    <w:rsid w:val="00051C9C"/>
    <w:rsid w:val="00051E62"/>
    <w:rsid w:val="0005361B"/>
    <w:rsid w:val="00054325"/>
    <w:rsid w:val="00055646"/>
    <w:rsid w:val="00055B6E"/>
    <w:rsid w:val="0005752D"/>
    <w:rsid w:val="00065236"/>
    <w:rsid w:val="0006650B"/>
    <w:rsid w:val="00070FAC"/>
    <w:rsid w:val="00071EEB"/>
    <w:rsid w:val="0007730E"/>
    <w:rsid w:val="00081CE5"/>
    <w:rsid w:val="00097544"/>
    <w:rsid w:val="000A23A0"/>
    <w:rsid w:val="000A4EC0"/>
    <w:rsid w:val="000B0425"/>
    <w:rsid w:val="000B06B4"/>
    <w:rsid w:val="000B085C"/>
    <w:rsid w:val="000B7140"/>
    <w:rsid w:val="000C1D8D"/>
    <w:rsid w:val="000C2E7B"/>
    <w:rsid w:val="000C36E8"/>
    <w:rsid w:val="000C7FE7"/>
    <w:rsid w:val="000D10BC"/>
    <w:rsid w:val="000E336F"/>
    <w:rsid w:val="000E3639"/>
    <w:rsid w:val="000E52C4"/>
    <w:rsid w:val="000F4C93"/>
    <w:rsid w:val="0010193F"/>
    <w:rsid w:val="00102B25"/>
    <w:rsid w:val="00107FDF"/>
    <w:rsid w:val="00112E5E"/>
    <w:rsid w:val="0011539D"/>
    <w:rsid w:val="00116544"/>
    <w:rsid w:val="00116F48"/>
    <w:rsid w:val="0012046A"/>
    <w:rsid w:val="00122790"/>
    <w:rsid w:val="001231AE"/>
    <w:rsid w:val="00130266"/>
    <w:rsid w:val="001338BC"/>
    <w:rsid w:val="00134106"/>
    <w:rsid w:val="0013423E"/>
    <w:rsid w:val="001426DC"/>
    <w:rsid w:val="00145999"/>
    <w:rsid w:val="00147370"/>
    <w:rsid w:val="001513F4"/>
    <w:rsid w:val="00152643"/>
    <w:rsid w:val="00155B1C"/>
    <w:rsid w:val="00161948"/>
    <w:rsid w:val="00162A9C"/>
    <w:rsid w:val="00162B5F"/>
    <w:rsid w:val="001631A9"/>
    <w:rsid w:val="00167CF3"/>
    <w:rsid w:val="00170C16"/>
    <w:rsid w:val="00174224"/>
    <w:rsid w:val="00181025"/>
    <w:rsid w:val="00181B93"/>
    <w:rsid w:val="00191A7B"/>
    <w:rsid w:val="00193F64"/>
    <w:rsid w:val="00194404"/>
    <w:rsid w:val="0019528F"/>
    <w:rsid w:val="001A11B3"/>
    <w:rsid w:val="001A5328"/>
    <w:rsid w:val="001A665F"/>
    <w:rsid w:val="001B1322"/>
    <w:rsid w:val="001B322D"/>
    <w:rsid w:val="001B35A7"/>
    <w:rsid w:val="001B6B39"/>
    <w:rsid w:val="001B6D8A"/>
    <w:rsid w:val="001C2887"/>
    <w:rsid w:val="001C3593"/>
    <w:rsid w:val="001C3E37"/>
    <w:rsid w:val="001D32CC"/>
    <w:rsid w:val="001D41A7"/>
    <w:rsid w:val="001E281B"/>
    <w:rsid w:val="001E394C"/>
    <w:rsid w:val="001E728F"/>
    <w:rsid w:val="001F0EC1"/>
    <w:rsid w:val="002010B6"/>
    <w:rsid w:val="002029CC"/>
    <w:rsid w:val="0020640A"/>
    <w:rsid w:val="00210185"/>
    <w:rsid w:val="00212C7D"/>
    <w:rsid w:val="0021431F"/>
    <w:rsid w:val="00221F61"/>
    <w:rsid w:val="00221F62"/>
    <w:rsid w:val="0022296D"/>
    <w:rsid w:val="00223829"/>
    <w:rsid w:val="00223C8C"/>
    <w:rsid w:val="00225E40"/>
    <w:rsid w:val="00230789"/>
    <w:rsid w:val="002339BA"/>
    <w:rsid w:val="00243089"/>
    <w:rsid w:val="00250219"/>
    <w:rsid w:val="00253C0B"/>
    <w:rsid w:val="00255409"/>
    <w:rsid w:val="00262884"/>
    <w:rsid w:val="00265E90"/>
    <w:rsid w:val="0026715C"/>
    <w:rsid w:val="00267B7C"/>
    <w:rsid w:val="00276DC8"/>
    <w:rsid w:val="00283A25"/>
    <w:rsid w:val="00287821"/>
    <w:rsid w:val="002938E1"/>
    <w:rsid w:val="002A01C2"/>
    <w:rsid w:val="002A481C"/>
    <w:rsid w:val="002A517E"/>
    <w:rsid w:val="002B30BB"/>
    <w:rsid w:val="002C46AC"/>
    <w:rsid w:val="002E1C12"/>
    <w:rsid w:val="002E68E4"/>
    <w:rsid w:val="002E74E8"/>
    <w:rsid w:val="002F21EF"/>
    <w:rsid w:val="002F427A"/>
    <w:rsid w:val="00305CAD"/>
    <w:rsid w:val="00306D8D"/>
    <w:rsid w:val="0031012C"/>
    <w:rsid w:val="003102EA"/>
    <w:rsid w:val="0031161D"/>
    <w:rsid w:val="003116DE"/>
    <w:rsid w:val="00315DC9"/>
    <w:rsid w:val="00316B51"/>
    <w:rsid w:val="00324D61"/>
    <w:rsid w:val="0032538C"/>
    <w:rsid w:val="00331D7A"/>
    <w:rsid w:val="00337859"/>
    <w:rsid w:val="00340B32"/>
    <w:rsid w:val="00341038"/>
    <w:rsid w:val="00341E9E"/>
    <w:rsid w:val="00342C27"/>
    <w:rsid w:val="00343E2B"/>
    <w:rsid w:val="003458C6"/>
    <w:rsid w:val="00347323"/>
    <w:rsid w:val="0035595F"/>
    <w:rsid w:val="00357FD9"/>
    <w:rsid w:val="00363774"/>
    <w:rsid w:val="003653D8"/>
    <w:rsid w:val="0037145D"/>
    <w:rsid w:val="003901DA"/>
    <w:rsid w:val="00390294"/>
    <w:rsid w:val="003944FD"/>
    <w:rsid w:val="003A4C4D"/>
    <w:rsid w:val="003B2469"/>
    <w:rsid w:val="003B29E4"/>
    <w:rsid w:val="003C6A80"/>
    <w:rsid w:val="003D0EBF"/>
    <w:rsid w:val="003D1316"/>
    <w:rsid w:val="003D22E2"/>
    <w:rsid w:val="003D41BF"/>
    <w:rsid w:val="003D5596"/>
    <w:rsid w:val="003D6DD1"/>
    <w:rsid w:val="003E68A1"/>
    <w:rsid w:val="003F452A"/>
    <w:rsid w:val="003F5A54"/>
    <w:rsid w:val="003F70E5"/>
    <w:rsid w:val="00400634"/>
    <w:rsid w:val="004049D6"/>
    <w:rsid w:val="00410788"/>
    <w:rsid w:val="00411279"/>
    <w:rsid w:val="00413DE3"/>
    <w:rsid w:val="0041667F"/>
    <w:rsid w:val="00416741"/>
    <w:rsid w:val="00423890"/>
    <w:rsid w:val="00425493"/>
    <w:rsid w:val="00426166"/>
    <w:rsid w:val="00427089"/>
    <w:rsid w:val="00430305"/>
    <w:rsid w:val="004377C3"/>
    <w:rsid w:val="00444B10"/>
    <w:rsid w:val="00451632"/>
    <w:rsid w:val="004519F1"/>
    <w:rsid w:val="00452310"/>
    <w:rsid w:val="00454759"/>
    <w:rsid w:val="004555B9"/>
    <w:rsid w:val="00455D30"/>
    <w:rsid w:val="00461B3E"/>
    <w:rsid w:val="00461D9B"/>
    <w:rsid w:val="0046641A"/>
    <w:rsid w:val="00471E98"/>
    <w:rsid w:val="00473FCA"/>
    <w:rsid w:val="00475734"/>
    <w:rsid w:val="00490E29"/>
    <w:rsid w:val="004A57C8"/>
    <w:rsid w:val="004B7AB8"/>
    <w:rsid w:val="004C5B6C"/>
    <w:rsid w:val="004C726F"/>
    <w:rsid w:val="004D052A"/>
    <w:rsid w:val="004D1478"/>
    <w:rsid w:val="004D2121"/>
    <w:rsid w:val="004D2D48"/>
    <w:rsid w:val="004D6DF4"/>
    <w:rsid w:val="004E2992"/>
    <w:rsid w:val="004E29E3"/>
    <w:rsid w:val="004E2F23"/>
    <w:rsid w:val="004E3533"/>
    <w:rsid w:val="004F3F8D"/>
    <w:rsid w:val="004F5065"/>
    <w:rsid w:val="0050021A"/>
    <w:rsid w:val="00502E14"/>
    <w:rsid w:val="005174EA"/>
    <w:rsid w:val="00530031"/>
    <w:rsid w:val="00531CEE"/>
    <w:rsid w:val="005409E3"/>
    <w:rsid w:val="00541E12"/>
    <w:rsid w:val="00543967"/>
    <w:rsid w:val="00543D39"/>
    <w:rsid w:val="00545B90"/>
    <w:rsid w:val="00546756"/>
    <w:rsid w:val="00547E38"/>
    <w:rsid w:val="00553B77"/>
    <w:rsid w:val="00554F96"/>
    <w:rsid w:val="00556C82"/>
    <w:rsid w:val="0056243A"/>
    <w:rsid w:val="0056323D"/>
    <w:rsid w:val="00565AF9"/>
    <w:rsid w:val="00570DB9"/>
    <w:rsid w:val="00571555"/>
    <w:rsid w:val="00573CFB"/>
    <w:rsid w:val="00574F83"/>
    <w:rsid w:val="005758FA"/>
    <w:rsid w:val="00580183"/>
    <w:rsid w:val="00587198"/>
    <w:rsid w:val="00590E46"/>
    <w:rsid w:val="00596744"/>
    <w:rsid w:val="005A1C58"/>
    <w:rsid w:val="005A1F22"/>
    <w:rsid w:val="005A379C"/>
    <w:rsid w:val="005A55DD"/>
    <w:rsid w:val="005B66D5"/>
    <w:rsid w:val="005C7979"/>
    <w:rsid w:val="005D215B"/>
    <w:rsid w:val="005D43FF"/>
    <w:rsid w:val="005E0909"/>
    <w:rsid w:val="005E12A8"/>
    <w:rsid w:val="005E4EAE"/>
    <w:rsid w:val="005E570F"/>
    <w:rsid w:val="005F4B34"/>
    <w:rsid w:val="006019D3"/>
    <w:rsid w:val="00603C15"/>
    <w:rsid w:val="006053B0"/>
    <w:rsid w:val="00613E44"/>
    <w:rsid w:val="00614E6D"/>
    <w:rsid w:val="00620DB3"/>
    <w:rsid w:val="00627365"/>
    <w:rsid w:val="00645302"/>
    <w:rsid w:val="00646B5D"/>
    <w:rsid w:val="00651BD0"/>
    <w:rsid w:val="006577D7"/>
    <w:rsid w:val="00663A42"/>
    <w:rsid w:val="00663A74"/>
    <w:rsid w:val="00664804"/>
    <w:rsid w:val="006735AA"/>
    <w:rsid w:val="0067380B"/>
    <w:rsid w:val="006744B4"/>
    <w:rsid w:val="006752BD"/>
    <w:rsid w:val="006806F5"/>
    <w:rsid w:val="00680B58"/>
    <w:rsid w:val="006833E5"/>
    <w:rsid w:val="00685F0D"/>
    <w:rsid w:val="00692870"/>
    <w:rsid w:val="00694681"/>
    <w:rsid w:val="00695E88"/>
    <w:rsid w:val="006977AA"/>
    <w:rsid w:val="006A0107"/>
    <w:rsid w:val="006A22D3"/>
    <w:rsid w:val="006A46D0"/>
    <w:rsid w:val="006A6EE6"/>
    <w:rsid w:val="006B1D85"/>
    <w:rsid w:val="006B22ED"/>
    <w:rsid w:val="006B2AB7"/>
    <w:rsid w:val="006C31BB"/>
    <w:rsid w:val="006C79B5"/>
    <w:rsid w:val="006D6B26"/>
    <w:rsid w:val="006D6C75"/>
    <w:rsid w:val="006D7291"/>
    <w:rsid w:val="006D79A0"/>
    <w:rsid w:val="006E18CF"/>
    <w:rsid w:val="006E2E20"/>
    <w:rsid w:val="006E315A"/>
    <w:rsid w:val="006E5163"/>
    <w:rsid w:val="006E6387"/>
    <w:rsid w:val="006F1E4C"/>
    <w:rsid w:val="006F2D4D"/>
    <w:rsid w:val="006F5826"/>
    <w:rsid w:val="007016C0"/>
    <w:rsid w:val="00705D62"/>
    <w:rsid w:val="00705F46"/>
    <w:rsid w:val="00714355"/>
    <w:rsid w:val="00721E12"/>
    <w:rsid w:val="00726C33"/>
    <w:rsid w:val="007327EC"/>
    <w:rsid w:val="007347B5"/>
    <w:rsid w:val="00734FAB"/>
    <w:rsid w:val="00735285"/>
    <w:rsid w:val="007366AA"/>
    <w:rsid w:val="007379B7"/>
    <w:rsid w:val="00750504"/>
    <w:rsid w:val="00757038"/>
    <w:rsid w:val="007603A8"/>
    <w:rsid w:val="00765C03"/>
    <w:rsid w:val="00772B8F"/>
    <w:rsid w:val="00776F80"/>
    <w:rsid w:val="0078213E"/>
    <w:rsid w:val="0078488F"/>
    <w:rsid w:val="00786C9D"/>
    <w:rsid w:val="0079156E"/>
    <w:rsid w:val="00793359"/>
    <w:rsid w:val="00796C1E"/>
    <w:rsid w:val="007A1833"/>
    <w:rsid w:val="007B306C"/>
    <w:rsid w:val="007B4EE9"/>
    <w:rsid w:val="007B6DC4"/>
    <w:rsid w:val="007C04A0"/>
    <w:rsid w:val="007C0887"/>
    <w:rsid w:val="007C2832"/>
    <w:rsid w:val="007C2CCC"/>
    <w:rsid w:val="007C4AE7"/>
    <w:rsid w:val="007D427A"/>
    <w:rsid w:val="007D7DA9"/>
    <w:rsid w:val="007E1C60"/>
    <w:rsid w:val="007E350E"/>
    <w:rsid w:val="007E5BCC"/>
    <w:rsid w:val="007F4428"/>
    <w:rsid w:val="007F44BB"/>
    <w:rsid w:val="007F75DB"/>
    <w:rsid w:val="00807E9D"/>
    <w:rsid w:val="00810195"/>
    <w:rsid w:val="008101F4"/>
    <w:rsid w:val="00811ED8"/>
    <w:rsid w:val="00812F3C"/>
    <w:rsid w:val="00814B36"/>
    <w:rsid w:val="00831C59"/>
    <w:rsid w:val="00834362"/>
    <w:rsid w:val="00834471"/>
    <w:rsid w:val="00843632"/>
    <w:rsid w:val="008509C6"/>
    <w:rsid w:val="008530A2"/>
    <w:rsid w:val="00853667"/>
    <w:rsid w:val="00853D86"/>
    <w:rsid w:val="00855C5F"/>
    <w:rsid w:val="0086518D"/>
    <w:rsid w:val="008726B7"/>
    <w:rsid w:val="00874944"/>
    <w:rsid w:val="00876823"/>
    <w:rsid w:val="00877D90"/>
    <w:rsid w:val="00881034"/>
    <w:rsid w:val="0089763F"/>
    <w:rsid w:val="008A54D7"/>
    <w:rsid w:val="008B0512"/>
    <w:rsid w:val="008B053A"/>
    <w:rsid w:val="008B1ED4"/>
    <w:rsid w:val="008B703E"/>
    <w:rsid w:val="008D07FE"/>
    <w:rsid w:val="008D3E5E"/>
    <w:rsid w:val="008D6327"/>
    <w:rsid w:val="008E280A"/>
    <w:rsid w:val="008E3FE6"/>
    <w:rsid w:val="008E4609"/>
    <w:rsid w:val="008F5D09"/>
    <w:rsid w:val="008F6CC9"/>
    <w:rsid w:val="009008C8"/>
    <w:rsid w:val="00901132"/>
    <w:rsid w:val="00902C19"/>
    <w:rsid w:val="0090368A"/>
    <w:rsid w:val="00907E46"/>
    <w:rsid w:val="00915919"/>
    <w:rsid w:val="009159BB"/>
    <w:rsid w:val="00921369"/>
    <w:rsid w:val="00936DC8"/>
    <w:rsid w:val="00937482"/>
    <w:rsid w:val="0096095B"/>
    <w:rsid w:val="00961459"/>
    <w:rsid w:val="00982310"/>
    <w:rsid w:val="00984C83"/>
    <w:rsid w:val="00987D1D"/>
    <w:rsid w:val="00992938"/>
    <w:rsid w:val="00996734"/>
    <w:rsid w:val="009B1F76"/>
    <w:rsid w:val="009B6FEC"/>
    <w:rsid w:val="009C38BF"/>
    <w:rsid w:val="009C46D0"/>
    <w:rsid w:val="009D4140"/>
    <w:rsid w:val="009E13BE"/>
    <w:rsid w:val="009E5B0F"/>
    <w:rsid w:val="009E7D59"/>
    <w:rsid w:val="009F45D5"/>
    <w:rsid w:val="009F5BBC"/>
    <w:rsid w:val="009F65EB"/>
    <w:rsid w:val="009F694F"/>
    <w:rsid w:val="00A00896"/>
    <w:rsid w:val="00A01469"/>
    <w:rsid w:val="00A1117F"/>
    <w:rsid w:val="00A1389E"/>
    <w:rsid w:val="00A13E19"/>
    <w:rsid w:val="00A22D4E"/>
    <w:rsid w:val="00A300D3"/>
    <w:rsid w:val="00A33FA0"/>
    <w:rsid w:val="00A35408"/>
    <w:rsid w:val="00A407F3"/>
    <w:rsid w:val="00A41BF2"/>
    <w:rsid w:val="00A42FCC"/>
    <w:rsid w:val="00A42FE3"/>
    <w:rsid w:val="00A46AA3"/>
    <w:rsid w:val="00A54A2E"/>
    <w:rsid w:val="00A56687"/>
    <w:rsid w:val="00A56766"/>
    <w:rsid w:val="00A66819"/>
    <w:rsid w:val="00A674B3"/>
    <w:rsid w:val="00A73C21"/>
    <w:rsid w:val="00A760D8"/>
    <w:rsid w:val="00A77F1A"/>
    <w:rsid w:val="00A82E80"/>
    <w:rsid w:val="00A83A68"/>
    <w:rsid w:val="00A9389D"/>
    <w:rsid w:val="00A94F3C"/>
    <w:rsid w:val="00A976F8"/>
    <w:rsid w:val="00AA3B1D"/>
    <w:rsid w:val="00AB0B75"/>
    <w:rsid w:val="00AB31E2"/>
    <w:rsid w:val="00AC0273"/>
    <w:rsid w:val="00AC1FEC"/>
    <w:rsid w:val="00AC4154"/>
    <w:rsid w:val="00AC51B7"/>
    <w:rsid w:val="00AD041F"/>
    <w:rsid w:val="00AD4472"/>
    <w:rsid w:val="00AE1DDB"/>
    <w:rsid w:val="00AE2518"/>
    <w:rsid w:val="00AE7D5C"/>
    <w:rsid w:val="00AF6491"/>
    <w:rsid w:val="00B0264A"/>
    <w:rsid w:val="00B02C7E"/>
    <w:rsid w:val="00B06C0B"/>
    <w:rsid w:val="00B07D2C"/>
    <w:rsid w:val="00B10E54"/>
    <w:rsid w:val="00B135B1"/>
    <w:rsid w:val="00B168B3"/>
    <w:rsid w:val="00B21405"/>
    <w:rsid w:val="00B50C37"/>
    <w:rsid w:val="00B600E6"/>
    <w:rsid w:val="00B608DA"/>
    <w:rsid w:val="00B61F81"/>
    <w:rsid w:val="00B635AD"/>
    <w:rsid w:val="00B63C0E"/>
    <w:rsid w:val="00B67A89"/>
    <w:rsid w:val="00B70C0F"/>
    <w:rsid w:val="00B76B2F"/>
    <w:rsid w:val="00B8164F"/>
    <w:rsid w:val="00B81855"/>
    <w:rsid w:val="00B86348"/>
    <w:rsid w:val="00B86BA2"/>
    <w:rsid w:val="00B86BB3"/>
    <w:rsid w:val="00B915D4"/>
    <w:rsid w:val="00B975B4"/>
    <w:rsid w:val="00BA14D0"/>
    <w:rsid w:val="00BA1D8C"/>
    <w:rsid w:val="00BA2D2B"/>
    <w:rsid w:val="00BA33E9"/>
    <w:rsid w:val="00BB11E6"/>
    <w:rsid w:val="00BB3783"/>
    <w:rsid w:val="00BC0750"/>
    <w:rsid w:val="00BC3A9C"/>
    <w:rsid w:val="00BD136D"/>
    <w:rsid w:val="00BD360F"/>
    <w:rsid w:val="00BD7A62"/>
    <w:rsid w:val="00BE2D69"/>
    <w:rsid w:val="00BF05B7"/>
    <w:rsid w:val="00C07F3E"/>
    <w:rsid w:val="00C20299"/>
    <w:rsid w:val="00C20C89"/>
    <w:rsid w:val="00C25B19"/>
    <w:rsid w:val="00C319E8"/>
    <w:rsid w:val="00C34797"/>
    <w:rsid w:val="00C348D2"/>
    <w:rsid w:val="00C4258A"/>
    <w:rsid w:val="00C444C5"/>
    <w:rsid w:val="00C46674"/>
    <w:rsid w:val="00C50470"/>
    <w:rsid w:val="00C51D04"/>
    <w:rsid w:val="00C542E9"/>
    <w:rsid w:val="00C566F7"/>
    <w:rsid w:val="00C63411"/>
    <w:rsid w:val="00C66B5F"/>
    <w:rsid w:val="00C72893"/>
    <w:rsid w:val="00C86576"/>
    <w:rsid w:val="00C86B6C"/>
    <w:rsid w:val="00C96168"/>
    <w:rsid w:val="00C978F9"/>
    <w:rsid w:val="00CA14C3"/>
    <w:rsid w:val="00CA21E2"/>
    <w:rsid w:val="00CA2741"/>
    <w:rsid w:val="00CB0170"/>
    <w:rsid w:val="00CC4101"/>
    <w:rsid w:val="00CD0E69"/>
    <w:rsid w:val="00CD5BD1"/>
    <w:rsid w:val="00CD5E05"/>
    <w:rsid w:val="00CD7E09"/>
    <w:rsid w:val="00CE4C93"/>
    <w:rsid w:val="00CF1ECA"/>
    <w:rsid w:val="00CF2E4F"/>
    <w:rsid w:val="00CF7930"/>
    <w:rsid w:val="00D0136E"/>
    <w:rsid w:val="00D078FA"/>
    <w:rsid w:val="00D10186"/>
    <w:rsid w:val="00D15351"/>
    <w:rsid w:val="00D176B3"/>
    <w:rsid w:val="00D217DB"/>
    <w:rsid w:val="00D225FF"/>
    <w:rsid w:val="00D2463C"/>
    <w:rsid w:val="00D30C71"/>
    <w:rsid w:val="00D41041"/>
    <w:rsid w:val="00D41449"/>
    <w:rsid w:val="00D432DD"/>
    <w:rsid w:val="00D44CC3"/>
    <w:rsid w:val="00D4547B"/>
    <w:rsid w:val="00D5119B"/>
    <w:rsid w:val="00D51A70"/>
    <w:rsid w:val="00D545D4"/>
    <w:rsid w:val="00D55D4B"/>
    <w:rsid w:val="00D560C8"/>
    <w:rsid w:val="00D630DC"/>
    <w:rsid w:val="00D65AC6"/>
    <w:rsid w:val="00D662C2"/>
    <w:rsid w:val="00D71EF0"/>
    <w:rsid w:val="00D7432D"/>
    <w:rsid w:val="00D80F78"/>
    <w:rsid w:val="00D86007"/>
    <w:rsid w:val="00D92F4A"/>
    <w:rsid w:val="00D937D3"/>
    <w:rsid w:val="00D9453F"/>
    <w:rsid w:val="00DA0AD6"/>
    <w:rsid w:val="00DA5AB6"/>
    <w:rsid w:val="00DA635C"/>
    <w:rsid w:val="00DB1900"/>
    <w:rsid w:val="00DB3B47"/>
    <w:rsid w:val="00DB7417"/>
    <w:rsid w:val="00DB7928"/>
    <w:rsid w:val="00DC1BC1"/>
    <w:rsid w:val="00DC56B6"/>
    <w:rsid w:val="00DC591B"/>
    <w:rsid w:val="00DD0DD8"/>
    <w:rsid w:val="00DD251E"/>
    <w:rsid w:val="00DD2562"/>
    <w:rsid w:val="00DD376A"/>
    <w:rsid w:val="00DD3D27"/>
    <w:rsid w:val="00DE7D68"/>
    <w:rsid w:val="00DF1B2C"/>
    <w:rsid w:val="00DF6C47"/>
    <w:rsid w:val="00E004D2"/>
    <w:rsid w:val="00E01F69"/>
    <w:rsid w:val="00E06A41"/>
    <w:rsid w:val="00E07456"/>
    <w:rsid w:val="00E116F2"/>
    <w:rsid w:val="00E13706"/>
    <w:rsid w:val="00E153CC"/>
    <w:rsid w:val="00E16A75"/>
    <w:rsid w:val="00E173B5"/>
    <w:rsid w:val="00E41355"/>
    <w:rsid w:val="00E5020B"/>
    <w:rsid w:val="00E53A17"/>
    <w:rsid w:val="00E566B9"/>
    <w:rsid w:val="00E62D3B"/>
    <w:rsid w:val="00E63470"/>
    <w:rsid w:val="00E63BDF"/>
    <w:rsid w:val="00E64001"/>
    <w:rsid w:val="00E65AD3"/>
    <w:rsid w:val="00E667C1"/>
    <w:rsid w:val="00E6734C"/>
    <w:rsid w:val="00E71CE7"/>
    <w:rsid w:val="00E74888"/>
    <w:rsid w:val="00E7602B"/>
    <w:rsid w:val="00E81040"/>
    <w:rsid w:val="00E818A4"/>
    <w:rsid w:val="00E922F4"/>
    <w:rsid w:val="00E97781"/>
    <w:rsid w:val="00E9791F"/>
    <w:rsid w:val="00EA3435"/>
    <w:rsid w:val="00EA7A07"/>
    <w:rsid w:val="00EA7EC0"/>
    <w:rsid w:val="00EB091B"/>
    <w:rsid w:val="00EB0C0F"/>
    <w:rsid w:val="00EC194A"/>
    <w:rsid w:val="00ED0319"/>
    <w:rsid w:val="00ED3D96"/>
    <w:rsid w:val="00EE75E8"/>
    <w:rsid w:val="00EF397E"/>
    <w:rsid w:val="00EF6E13"/>
    <w:rsid w:val="00F043FB"/>
    <w:rsid w:val="00F048D9"/>
    <w:rsid w:val="00F13801"/>
    <w:rsid w:val="00F13FD8"/>
    <w:rsid w:val="00F14A15"/>
    <w:rsid w:val="00F15B1E"/>
    <w:rsid w:val="00F20612"/>
    <w:rsid w:val="00F20A79"/>
    <w:rsid w:val="00F21139"/>
    <w:rsid w:val="00F213E8"/>
    <w:rsid w:val="00F2671A"/>
    <w:rsid w:val="00F307E5"/>
    <w:rsid w:val="00F33988"/>
    <w:rsid w:val="00F41607"/>
    <w:rsid w:val="00F4607C"/>
    <w:rsid w:val="00F506A7"/>
    <w:rsid w:val="00F619B9"/>
    <w:rsid w:val="00F64D2F"/>
    <w:rsid w:val="00F7051D"/>
    <w:rsid w:val="00F74F78"/>
    <w:rsid w:val="00F75421"/>
    <w:rsid w:val="00F95D19"/>
    <w:rsid w:val="00FA299A"/>
    <w:rsid w:val="00FA3A85"/>
    <w:rsid w:val="00FA47DE"/>
    <w:rsid w:val="00FA4AB2"/>
    <w:rsid w:val="00FA5FBE"/>
    <w:rsid w:val="00FB2779"/>
    <w:rsid w:val="00FC1BB4"/>
    <w:rsid w:val="00FC6071"/>
    <w:rsid w:val="00FC6545"/>
    <w:rsid w:val="00FC779D"/>
    <w:rsid w:val="00FC7D0A"/>
    <w:rsid w:val="00FD0FD6"/>
    <w:rsid w:val="00FD14F6"/>
    <w:rsid w:val="00FD16D8"/>
    <w:rsid w:val="00FD7DEE"/>
    <w:rsid w:val="00FE15A3"/>
    <w:rsid w:val="00FE1A2F"/>
    <w:rsid w:val="00FF4CC3"/>
    <w:rsid w:val="00FF60D4"/>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C8"/>
    <w:pPr>
      <w:ind w:left="720"/>
      <w:contextualSpacing/>
    </w:pPr>
  </w:style>
  <w:style w:type="paragraph" w:styleId="FootnoteText">
    <w:name w:val="footnote text"/>
    <w:basedOn w:val="Normal"/>
    <w:link w:val="FootnoteTextChar"/>
    <w:uiPriority w:val="99"/>
    <w:unhideWhenUsed/>
    <w:rsid w:val="00AD4472"/>
    <w:pPr>
      <w:spacing w:after="0" w:line="240" w:lineRule="auto"/>
    </w:pPr>
    <w:rPr>
      <w:sz w:val="20"/>
      <w:szCs w:val="20"/>
    </w:rPr>
  </w:style>
  <w:style w:type="character" w:customStyle="1" w:styleId="FootnoteTextChar">
    <w:name w:val="Footnote Text Char"/>
    <w:basedOn w:val="DefaultParagraphFont"/>
    <w:link w:val="FootnoteText"/>
    <w:uiPriority w:val="99"/>
    <w:rsid w:val="00AD4472"/>
    <w:rPr>
      <w:sz w:val="20"/>
      <w:szCs w:val="20"/>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basedOn w:val="DefaultParagraphFont"/>
    <w:link w:val="4GChar"/>
    <w:unhideWhenUsed/>
    <w:qFormat/>
    <w:rsid w:val="00AD4472"/>
    <w:rPr>
      <w:vertAlign w:val="superscript"/>
    </w:rPr>
  </w:style>
  <w:style w:type="paragraph" w:styleId="Header">
    <w:name w:val="header"/>
    <w:basedOn w:val="Normal"/>
    <w:link w:val="HeaderChar"/>
    <w:uiPriority w:val="99"/>
    <w:unhideWhenUsed/>
    <w:rsid w:val="00162A9C"/>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9C"/>
  </w:style>
  <w:style w:type="paragraph" w:styleId="Footer">
    <w:name w:val="footer"/>
    <w:basedOn w:val="Normal"/>
    <w:link w:val="FooterChar"/>
    <w:uiPriority w:val="99"/>
    <w:unhideWhenUsed/>
    <w:rsid w:val="00162A9C"/>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9C"/>
  </w:style>
  <w:style w:type="paragraph" w:customStyle="1" w:styleId="PrrafodeSentencia">
    <w:name w:val="*. Párrafo de Sentencia"/>
    <w:basedOn w:val="FootnoteText"/>
    <w:autoRedefine/>
    <w:qFormat/>
    <w:rsid w:val="00FD16D8"/>
    <w:pPr>
      <w:tabs>
        <w:tab w:val="left" w:pos="720"/>
      </w:tabs>
      <w:ind w:left="708"/>
      <w:jc w:val="both"/>
    </w:pPr>
    <w:rPr>
      <w:rFonts w:ascii="Verdana" w:eastAsia="Calibri" w:hAnsi="Verdana" w:cs="Times New Roman"/>
      <w:bCs/>
      <w:noProof/>
      <w:lang w:val="es-ES_tradnl" w:eastAsia="es-ES"/>
    </w:rPr>
  </w:style>
  <w:style w:type="character" w:styleId="CommentReference">
    <w:name w:val="annotation reference"/>
    <w:basedOn w:val="DefaultParagraphFont"/>
    <w:uiPriority w:val="99"/>
    <w:semiHidden/>
    <w:unhideWhenUsed/>
    <w:rsid w:val="007A1833"/>
    <w:rPr>
      <w:sz w:val="16"/>
      <w:szCs w:val="16"/>
    </w:rPr>
  </w:style>
  <w:style w:type="paragraph" w:styleId="CommentText">
    <w:name w:val="annotation text"/>
    <w:basedOn w:val="Normal"/>
    <w:link w:val="CommentTextChar"/>
    <w:uiPriority w:val="99"/>
    <w:semiHidden/>
    <w:unhideWhenUsed/>
    <w:rsid w:val="007A1833"/>
    <w:pPr>
      <w:spacing w:line="240" w:lineRule="auto"/>
    </w:pPr>
    <w:rPr>
      <w:sz w:val="20"/>
      <w:szCs w:val="20"/>
    </w:rPr>
  </w:style>
  <w:style w:type="character" w:customStyle="1" w:styleId="CommentTextChar">
    <w:name w:val="Comment Text Char"/>
    <w:basedOn w:val="DefaultParagraphFont"/>
    <w:link w:val="CommentText"/>
    <w:uiPriority w:val="99"/>
    <w:semiHidden/>
    <w:rsid w:val="007A1833"/>
    <w:rPr>
      <w:sz w:val="20"/>
      <w:szCs w:val="20"/>
    </w:rPr>
  </w:style>
  <w:style w:type="paragraph" w:styleId="CommentSubject">
    <w:name w:val="annotation subject"/>
    <w:basedOn w:val="CommentText"/>
    <w:next w:val="CommentText"/>
    <w:link w:val="CommentSubjectChar"/>
    <w:uiPriority w:val="99"/>
    <w:semiHidden/>
    <w:unhideWhenUsed/>
    <w:rsid w:val="007A1833"/>
    <w:rPr>
      <w:b/>
      <w:bCs/>
    </w:rPr>
  </w:style>
  <w:style w:type="character" w:customStyle="1" w:styleId="CommentSubjectChar">
    <w:name w:val="Comment Subject Char"/>
    <w:basedOn w:val="CommentTextChar"/>
    <w:link w:val="CommentSubject"/>
    <w:uiPriority w:val="99"/>
    <w:semiHidden/>
    <w:rsid w:val="007A1833"/>
    <w:rPr>
      <w:b/>
      <w:bCs/>
      <w:sz w:val="20"/>
      <w:szCs w:val="20"/>
    </w:rPr>
  </w:style>
  <w:style w:type="paragraph" w:styleId="BalloonText">
    <w:name w:val="Balloon Text"/>
    <w:basedOn w:val="Normal"/>
    <w:link w:val="BalloonTextChar"/>
    <w:uiPriority w:val="99"/>
    <w:semiHidden/>
    <w:unhideWhenUsed/>
    <w:rsid w:val="007A1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833"/>
    <w:rPr>
      <w:rFonts w:ascii="Segoe UI" w:hAnsi="Segoe UI" w:cs="Segoe UI"/>
      <w:sz w:val="18"/>
      <w:szCs w:val="18"/>
    </w:rPr>
  </w:style>
  <w:style w:type="character" w:styleId="Strong">
    <w:name w:val="Strong"/>
    <w:basedOn w:val="DefaultParagraphFont"/>
    <w:uiPriority w:val="22"/>
    <w:qFormat/>
    <w:rsid w:val="00D65AC6"/>
    <w:rPr>
      <w:b/>
      <w:bCs/>
    </w:rPr>
  </w:style>
  <w:style w:type="paragraph" w:styleId="NormalWeb">
    <w:name w:val="Normal (Web)"/>
    <w:basedOn w:val="Normal"/>
    <w:uiPriority w:val="99"/>
    <w:semiHidden/>
    <w:unhideWhenUsed/>
    <w:rsid w:val="00A42FCC"/>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10193F"/>
    <w:pPr>
      <w:spacing w:after="0" w:line="240" w:lineRule="auto"/>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C8"/>
    <w:pPr>
      <w:ind w:left="720"/>
      <w:contextualSpacing/>
    </w:pPr>
  </w:style>
  <w:style w:type="paragraph" w:styleId="FootnoteText">
    <w:name w:val="footnote text"/>
    <w:basedOn w:val="Normal"/>
    <w:link w:val="FootnoteTextChar"/>
    <w:uiPriority w:val="99"/>
    <w:unhideWhenUsed/>
    <w:rsid w:val="00AD4472"/>
    <w:pPr>
      <w:spacing w:after="0" w:line="240" w:lineRule="auto"/>
    </w:pPr>
    <w:rPr>
      <w:sz w:val="20"/>
      <w:szCs w:val="20"/>
    </w:rPr>
  </w:style>
  <w:style w:type="character" w:customStyle="1" w:styleId="FootnoteTextChar">
    <w:name w:val="Footnote Text Char"/>
    <w:basedOn w:val="DefaultParagraphFont"/>
    <w:link w:val="FootnoteText"/>
    <w:uiPriority w:val="99"/>
    <w:rsid w:val="00AD4472"/>
    <w:rPr>
      <w:sz w:val="20"/>
      <w:szCs w:val="20"/>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basedOn w:val="DefaultParagraphFont"/>
    <w:link w:val="4GChar"/>
    <w:unhideWhenUsed/>
    <w:qFormat/>
    <w:rsid w:val="00AD4472"/>
    <w:rPr>
      <w:vertAlign w:val="superscript"/>
    </w:rPr>
  </w:style>
  <w:style w:type="paragraph" w:styleId="Header">
    <w:name w:val="header"/>
    <w:basedOn w:val="Normal"/>
    <w:link w:val="HeaderChar"/>
    <w:uiPriority w:val="99"/>
    <w:unhideWhenUsed/>
    <w:rsid w:val="00162A9C"/>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9C"/>
  </w:style>
  <w:style w:type="paragraph" w:styleId="Footer">
    <w:name w:val="footer"/>
    <w:basedOn w:val="Normal"/>
    <w:link w:val="FooterChar"/>
    <w:uiPriority w:val="99"/>
    <w:unhideWhenUsed/>
    <w:rsid w:val="00162A9C"/>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9C"/>
  </w:style>
  <w:style w:type="paragraph" w:customStyle="1" w:styleId="PrrafodeSentencia">
    <w:name w:val="*. Párrafo de Sentencia"/>
    <w:basedOn w:val="FootnoteText"/>
    <w:autoRedefine/>
    <w:qFormat/>
    <w:rsid w:val="00FD16D8"/>
    <w:pPr>
      <w:tabs>
        <w:tab w:val="left" w:pos="720"/>
      </w:tabs>
      <w:ind w:left="708"/>
      <w:jc w:val="both"/>
    </w:pPr>
    <w:rPr>
      <w:rFonts w:ascii="Verdana" w:eastAsia="Calibri" w:hAnsi="Verdana" w:cs="Times New Roman"/>
      <w:bCs/>
      <w:noProof/>
      <w:lang w:val="es-ES_tradnl" w:eastAsia="es-ES"/>
    </w:rPr>
  </w:style>
  <w:style w:type="character" w:styleId="CommentReference">
    <w:name w:val="annotation reference"/>
    <w:basedOn w:val="DefaultParagraphFont"/>
    <w:uiPriority w:val="99"/>
    <w:semiHidden/>
    <w:unhideWhenUsed/>
    <w:rsid w:val="007A1833"/>
    <w:rPr>
      <w:sz w:val="16"/>
      <w:szCs w:val="16"/>
    </w:rPr>
  </w:style>
  <w:style w:type="paragraph" w:styleId="CommentText">
    <w:name w:val="annotation text"/>
    <w:basedOn w:val="Normal"/>
    <w:link w:val="CommentTextChar"/>
    <w:uiPriority w:val="99"/>
    <w:semiHidden/>
    <w:unhideWhenUsed/>
    <w:rsid w:val="007A1833"/>
    <w:pPr>
      <w:spacing w:line="240" w:lineRule="auto"/>
    </w:pPr>
    <w:rPr>
      <w:sz w:val="20"/>
      <w:szCs w:val="20"/>
    </w:rPr>
  </w:style>
  <w:style w:type="character" w:customStyle="1" w:styleId="CommentTextChar">
    <w:name w:val="Comment Text Char"/>
    <w:basedOn w:val="DefaultParagraphFont"/>
    <w:link w:val="CommentText"/>
    <w:uiPriority w:val="99"/>
    <w:semiHidden/>
    <w:rsid w:val="007A1833"/>
    <w:rPr>
      <w:sz w:val="20"/>
      <w:szCs w:val="20"/>
    </w:rPr>
  </w:style>
  <w:style w:type="paragraph" w:styleId="CommentSubject">
    <w:name w:val="annotation subject"/>
    <w:basedOn w:val="CommentText"/>
    <w:next w:val="CommentText"/>
    <w:link w:val="CommentSubjectChar"/>
    <w:uiPriority w:val="99"/>
    <w:semiHidden/>
    <w:unhideWhenUsed/>
    <w:rsid w:val="007A1833"/>
    <w:rPr>
      <w:b/>
      <w:bCs/>
    </w:rPr>
  </w:style>
  <w:style w:type="character" w:customStyle="1" w:styleId="CommentSubjectChar">
    <w:name w:val="Comment Subject Char"/>
    <w:basedOn w:val="CommentTextChar"/>
    <w:link w:val="CommentSubject"/>
    <w:uiPriority w:val="99"/>
    <w:semiHidden/>
    <w:rsid w:val="007A1833"/>
    <w:rPr>
      <w:b/>
      <w:bCs/>
      <w:sz w:val="20"/>
      <w:szCs w:val="20"/>
    </w:rPr>
  </w:style>
  <w:style w:type="paragraph" w:styleId="BalloonText">
    <w:name w:val="Balloon Text"/>
    <w:basedOn w:val="Normal"/>
    <w:link w:val="BalloonTextChar"/>
    <w:uiPriority w:val="99"/>
    <w:semiHidden/>
    <w:unhideWhenUsed/>
    <w:rsid w:val="007A1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833"/>
    <w:rPr>
      <w:rFonts w:ascii="Segoe UI" w:hAnsi="Segoe UI" w:cs="Segoe UI"/>
      <w:sz w:val="18"/>
      <w:szCs w:val="18"/>
    </w:rPr>
  </w:style>
  <w:style w:type="character" w:styleId="Strong">
    <w:name w:val="Strong"/>
    <w:basedOn w:val="DefaultParagraphFont"/>
    <w:uiPriority w:val="22"/>
    <w:qFormat/>
    <w:rsid w:val="00D65AC6"/>
    <w:rPr>
      <w:b/>
      <w:bCs/>
    </w:rPr>
  </w:style>
  <w:style w:type="paragraph" w:styleId="NormalWeb">
    <w:name w:val="Normal (Web)"/>
    <w:basedOn w:val="Normal"/>
    <w:uiPriority w:val="99"/>
    <w:semiHidden/>
    <w:unhideWhenUsed/>
    <w:rsid w:val="00A42FCC"/>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10193F"/>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06025">
      <w:bodyDiv w:val="1"/>
      <w:marLeft w:val="0"/>
      <w:marRight w:val="0"/>
      <w:marTop w:val="0"/>
      <w:marBottom w:val="0"/>
      <w:divBdr>
        <w:top w:val="none" w:sz="0" w:space="0" w:color="auto"/>
        <w:left w:val="none" w:sz="0" w:space="0" w:color="auto"/>
        <w:bottom w:val="none" w:sz="0" w:space="0" w:color="auto"/>
        <w:right w:val="none" w:sz="0" w:space="0" w:color="auto"/>
      </w:divBdr>
    </w:div>
    <w:div w:id="698089880">
      <w:bodyDiv w:val="1"/>
      <w:marLeft w:val="0"/>
      <w:marRight w:val="0"/>
      <w:marTop w:val="0"/>
      <w:marBottom w:val="0"/>
      <w:divBdr>
        <w:top w:val="none" w:sz="0" w:space="0" w:color="auto"/>
        <w:left w:val="none" w:sz="0" w:space="0" w:color="auto"/>
        <w:bottom w:val="none" w:sz="0" w:space="0" w:color="auto"/>
        <w:right w:val="none" w:sz="0" w:space="0" w:color="auto"/>
      </w:divBdr>
    </w:div>
    <w:div w:id="163421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4656B-DA85-455A-891D-AD3EB407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2929</Characters>
  <Application>Microsoft Office Word</Application>
  <DocSecurity>4</DocSecurity>
  <Lines>55</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2017-12-20T23:14:00Z</cp:lastPrinted>
  <dcterms:created xsi:type="dcterms:W3CDTF">2017-12-21T00:41:00Z</dcterms:created>
  <dcterms:modified xsi:type="dcterms:W3CDTF">2017-12-21T00:41:00Z</dcterms:modified>
</cp:coreProperties>
</file>