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82" w:rsidRDefault="00522E82" w:rsidP="00846C91">
      <w:pPr>
        <w:pStyle w:val="Title"/>
        <w:numPr>
          <w:ilvl w:val="0"/>
          <w:numId w:val="0"/>
        </w:numPr>
        <w:ind w:right="-138"/>
        <w:rPr>
          <w:rFonts w:eastAsia="MS Mincho"/>
          <w:lang w:val="es-CR"/>
        </w:rPr>
      </w:pPr>
      <w:bookmarkStart w:id="0" w:name="_GoBack"/>
      <w:bookmarkEnd w:id="0"/>
    </w:p>
    <w:p w:rsidR="0070704F" w:rsidRDefault="0070704F" w:rsidP="00846C91">
      <w:pPr>
        <w:pStyle w:val="Title"/>
        <w:numPr>
          <w:ilvl w:val="0"/>
          <w:numId w:val="0"/>
        </w:numPr>
        <w:ind w:right="-138"/>
        <w:rPr>
          <w:rFonts w:eastAsia="MS Mincho"/>
          <w:lang w:val="es-CR"/>
        </w:rPr>
      </w:pPr>
    </w:p>
    <w:p w:rsidR="009C0347" w:rsidRDefault="009C0347" w:rsidP="00846C91">
      <w:pPr>
        <w:pStyle w:val="Title"/>
        <w:numPr>
          <w:ilvl w:val="0"/>
          <w:numId w:val="0"/>
        </w:numPr>
        <w:ind w:right="-138"/>
        <w:rPr>
          <w:rFonts w:eastAsia="MS Mincho"/>
          <w:lang w:val="es-CR"/>
        </w:rPr>
      </w:pPr>
    </w:p>
    <w:p w:rsidR="009C0347" w:rsidRDefault="009C0347" w:rsidP="00846C91">
      <w:pPr>
        <w:pStyle w:val="Title"/>
        <w:numPr>
          <w:ilvl w:val="0"/>
          <w:numId w:val="0"/>
        </w:numPr>
        <w:ind w:right="-138"/>
        <w:rPr>
          <w:rFonts w:eastAsia="MS Mincho"/>
          <w:lang w:val="es-CR"/>
        </w:rPr>
      </w:pPr>
    </w:p>
    <w:p w:rsidR="0070704F" w:rsidRPr="00954476" w:rsidRDefault="0070704F" w:rsidP="00846C91">
      <w:pPr>
        <w:pStyle w:val="Title"/>
        <w:numPr>
          <w:ilvl w:val="0"/>
          <w:numId w:val="0"/>
        </w:numPr>
        <w:ind w:right="-138"/>
        <w:rPr>
          <w:rFonts w:eastAsia="MS Mincho"/>
          <w:lang w:val="es-CR"/>
        </w:rPr>
      </w:pPr>
    </w:p>
    <w:p w:rsidR="00E261DE" w:rsidRPr="00954476" w:rsidRDefault="00E261DE" w:rsidP="00846C91">
      <w:pPr>
        <w:pStyle w:val="Title"/>
        <w:numPr>
          <w:ilvl w:val="0"/>
          <w:numId w:val="0"/>
        </w:numPr>
        <w:ind w:right="-138"/>
        <w:jc w:val="center"/>
        <w:rPr>
          <w:rFonts w:eastAsia="MS Mincho"/>
        </w:rPr>
      </w:pPr>
      <w:r w:rsidRPr="00954476">
        <w:rPr>
          <w:rFonts w:eastAsia="MS Mincho"/>
          <w:lang w:val="es-CR"/>
        </w:rPr>
        <w:t>VOTO PARCIALMENTE DISIDENTE DEL JUEZ EDUARDO VIO GROSSI,</w:t>
      </w:r>
    </w:p>
    <w:p w:rsidR="00E261DE" w:rsidRPr="00954476" w:rsidRDefault="00E261DE" w:rsidP="00846C91">
      <w:pPr>
        <w:pStyle w:val="Title"/>
        <w:numPr>
          <w:ilvl w:val="0"/>
          <w:numId w:val="0"/>
        </w:numPr>
        <w:ind w:right="-138"/>
        <w:jc w:val="center"/>
        <w:rPr>
          <w:rFonts w:eastAsia="MS Mincho"/>
          <w:lang w:val="es-CR"/>
        </w:rPr>
      </w:pPr>
      <w:r w:rsidRPr="00954476">
        <w:rPr>
          <w:rFonts w:eastAsia="MS Mincho"/>
          <w:lang w:val="es-CR"/>
        </w:rPr>
        <w:t>CORTE INTERAMERICANA DE DERECHOS HUMANOS,</w:t>
      </w:r>
    </w:p>
    <w:p w:rsidR="00E261DE" w:rsidRPr="00954476" w:rsidRDefault="00E261DE" w:rsidP="00846C91">
      <w:pPr>
        <w:autoSpaceDE w:val="0"/>
        <w:autoSpaceDN w:val="0"/>
        <w:adjustRightInd w:val="0"/>
        <w:spacing w:after="0" w:line="240" w:lineRule="auto"/>
        <w:jc w:val="center"/>
        <w:rPr>
          <w:rFonts w:ascii="Verdana" w:eastAsia="MS Mincho" w:hAnsi="Verdana" w:cs="Times New Roman"/>
          <w:b/>
          <w:i/>
          <w:sz w:val="20"/>
          <w:szCs w:val="20"/>
          <w:lang w:eastAsia="es-ES" w:bidi="en-US"/>
        </w:rPr>
      </w:pPr>
      <w:r w:rsidRPr="00954476">
        <w:rPr>
          <w:rFonts w:ascii="Verdana" w:eastAsia="MS Mincho" w:hAnsi="Verdana" w:cs="Times New Roman"/>
          <w:b/>
          <w:i/>
          <w:sz w:val="20"/>
          <w:szCs w:val="20"/>
          <w:lang w:eastAsia="es-ES" w:bidi="en-US"/>
        </w:rPr>
        <w:t>CASO SAN MIGUEL SOSA Y OTRAS VS. VENEZUELA</w:t>
      </w:r>
    </w:p>
    <w:p w:rsidR="00E261DE" w:rsidRPr="00954476" w:rsidRDefault="00E261DE" w:rsidP="00846C91">
      <w:pPr>
        <w:pStyle w:val="Title"/>
        <w:numPr>
          <w:ilvl w:val="0"/>
          <w:numId w:val="0"/>
        </w:numPr>
        <w:ind w:right="-138"/>
        <w:jc w:val="center"/>
        <w:rPr>
          <w:rFonts w:eastAsia="MS Mincho"/>
          <w:lang w:val="es-CR"/>
        </w:rPr>
      </w:pPr>
      <w:r w:rsidRPr="00954476">
        <w:rPr>
          <w:rFonts w:eastAsia="MS Mincho"/>
          <w:lang w:val="es-CR"/>
        </w:rPr>
        <w:t>SENTENCIA DE 8 DE FEBRERO DE 2018,</w:t>
      </w:r>
    </w:p>
    <w:p w:rsidR="00E261DE" w:rsidRPr="00954476" w:rsidRDefault="00E261DE" w:rsidP="00846C91">
      <w:pPr>
        <w:pStyle w:val="Title"/>
        <w:numPr>
          <w:ilvl w:val="0"/>
          <w:numId w:val="0"/>
        </w:numPr>
        <w:ind w:right="-138"/>
        <w:jc w:val="center"/>
        <w:rPr>
          <w:rFonts w:eastAsia="MS Mincho"/>
          <w:lang w:val="es-CR"/>
        </w:rPr>
      </w:pPr>
      <w:r w:rsidRPr="00954476">
        <w:rPr>
          <w:rFonts w:eastAsia="MS Mincho"/>
          <w:lang w:val="es-CR"/>
        </w:rPr>
        <w:t>(Fondo, Reparaciones y Costas).</w:t>
      </w:r>
    </w:p>
    <w:p w:rsidR="00522E82" w:rsidRPr="00954476" w:rsidRDefault="00522E82" w:rsidP="00846C91">
      <w:pPr>
        <w:pStyle w:val="Title"/>
        <w:numPr>
          <w:ilvl w:val="0"/>
          <w:numId w:val="0"/>
        </w:numPr>
        <w:ind w:right="-138"/>
        <w:rPr>
          <w:rFonts w:eastAsia="MS Mincho"/>
          <w:lang w:val="es-CR"/>
        </w:rPr>
      </w:pPr>
    </w:p>
    <w:p w:rsidR="007C1861" w:rsidRPr="00954476" w:rsidRDefault="00215375" w:rsidP="00846C91">
      <w:pPr>
        <w:pStyle w:val="Title"/>
        <w:numPr>
          <w:ilvl w:val="0"/>
          <w:numId w:val="8"/>
        </w:numPr>
        <w:ind w:left="0" w:right="-138" w:firstLine="0"/>
        <w:rPr>
          <w:rFonts w:eastAsia="MS Mincho"/>
          <w:b w:val="0"/>
          <w:lang w:val="es-CR"/>
        </w:rPr>
      </w:pPr>
      <w:r w:rsidRPr="00954476">
        <w:rPr>
          <w:rFonts w:eastAsia="MS Mincho"/>
          <w:b w:val="0"/>
          <w:lang w:val="es-CR"/>
        </w:rPr>
        <w:t>Se expide el presente voto individual parcialmente disidente de la Sentencia del título</w:t>
      </w:r>
      <w:r w:rsidRPr="00954476">
        <w:rPr>
          <w:rStyle w:val="FootnoteReference"/>
          <w:rFonts w:eastAsia="MS Mincho"/>
          <w:b w:val="0"/>
          <w:lang w:val="es-CR"/>
        </w:rPr>
        <w:footnoteReference w:id="1"/>
      </w:r>
      <w:r w:rsidRPr="00954476">
        <w:rPr>
          <w:rFonts w:eastAsia="MS Mincho"/>
          <w:b w:val="0"/>
          <w:lang w:val="es-CR"/>
        </w:rPr>
        <w:t>, por discrepar de ella en dos de sus puntos resolutivos. Uno, el N° 4</w:t>
      </w:r>
      <w:r w:rsidRPr="00954476">
        <w:rPr>
          <w:rStyle w:val="FootnoteReference"/>
          <w:rFonts w:eastAsia="MS Mincho"/>
          <w:b w:val="0"/>
          <w:lang w:val="es-CR"/>
        </w:rPr>
        <w:footnoteReference w:id="2"/>
      </w:r>
      <w:r w:rsidR="002350BB" w:rsidRPr="00954476">
        <w:rPr>
          <w:rFonts w:eastAsia="MS Mincho"/>
          <w:b w:val="0"/>
          <w:lang w:val="es-CR"/>
        </w:rPr>
        <w:t>, concerniente a</w:t>
      </w:r>
      <w:r w:rsidRPr="00954476">
        <w:rPr>
          <w:rFonts w:eastAsia="MS Mincho"/>
          <w:b w:val="0"/>
          <w:lang w:val="es-CR"/>
        </w:rPr>
        <w:t>l artículo 26 de la Convención Americana sobre Derechos Humanos</w:t>
      </w:r>
      <w:r w:rsidR="007C1861" w:rsidRPr="00954476">
        <w:rPr>
          <w:rStyle w:val="FootnoteReference"/>
          <w:rFonts w:eastAsia="MS Mincho"/>
          <w:b w:val="0"/>
          <w:lang w:val="es-CR"/>
        </w:rPr>
        <w:footnoteReference w:id="3"/>
      </w:r>
      <w:r w:rsidRPr="00954476">
        <w:rPr>
          <w:rFonts w:eastAsia="MS Mincho"/>
          <w:b w:val="0"/>
          <w:lang w:val="es-CR"/>
        </w:rPr>
        <w:t xml:space="preserve"> co</w:t>
      </w:r>
      <w:r w:rsidR="007C1861" w:rsidRPr="00954476">
        <w:rPr>
          <w:rFonts w:eastAsia="MS Mincho"/>
          <w:b w:val="0"/>
          <w:lang w:val="es-CR"/>
        </w:rPr>
        <w:t>n relación al derecho al trabajo</w:t>
      </w:r>
      <w:r w:rsidRPr="00954476">
        <w:rPr>
          <w:rFonts w:eastAsia="MS Mincho"/>
          <w:b w:val="0"/>
          <w:lang w:val="es-CR"/>
        </w:rPr>
        <w:t>. Y el otro, el N° 7</w:t>
      </w:r>
      <w:r w:rsidRPr="00954476">
        <w:rPr>
          <w:rStyle w:val="FootnoteReference"/>
          <w:rFonts w:eastAsia="MS Mincho"/>
          <w:b w:val="0"/>
          <w:lang w:val="es-CR"/>
        </w:rPr>
        <w:footnoteReference w:id="4"/>
      </w:r>
      <w:r w:rsidRPr="00954476">
        <w:rPr>
          <w:rFonts w:eastAsia="MS Mincho"/>
          <w:b w:val="0"/>
          <w:lang w:val="es-CR"/>
        </w:rPr>
        <w:t>, atingente a la no violac</w:t>
      </w:r>
      <w:r w:rsidR="007C1861" w:rsidRPr="00954476">
        <w:rPr>
          <w:rFonts w:eastAsia="MS Mincho"/>
          <w:b w:val="0"/>
          <w:lang w:val="es-CR"/>
        </w:rPr>
        <w:t xml:space="preserve">ión de las garantías judiciales </w:t>
      </w:r>
      <w:r w:rsidR="004D7521" w:rsidRPr="00954476">
        <w:rPr>
          <w:rFonts w:eastAsia="MS Mincho"/>
          <w:b w:val="0"/>
          <w:lang w:val="es-CR"/>
        </w:rPr>
        <w:t>con referencia</w:t>
      </w:r>
      <w:r w:rsidR="007C1861" w:rsidRPr="00954476">
        <w:rPr>
          <w:rFonts w:eastAsia="MS Mincho"/>
          <w:b w:val="0"/>
          <w:lang w:val="es-CR"/>
        </w:rPr>
        <w:t xml:space="preserve"> a la independencia judicial.</w:t>
      </w:r>
      <w:r w:rsidRPr="00954476">
        <w:rPr>
          <w:rFonts w:eastAsia="MS Mincho"/>
          <w:b w:val="0"/>
          <w:lang w:val="es-CR"/>
        </w:rPr>
        <w:t xml:space="preserve"> </w:t>
      </w:r>
    </w:p>
    <w:p w:rsidR="007C1861" w:rsidRPr="00954476" w:rsidRDefault="007C1861" w:rsidP="00846C91">
      <w:pPr>
        <w:pStyle w:val="Title"/>
        <w:numPr>
          <w:ilvl w:val="0"/>
          <w:numId w:val="0"/>
        </w:numPr>
        <w:ind w:right="-138"/>
        <w:rPr>
          <w:rFonts w:eastAsia="MS Mincho"/>
          <w:b w:val="0"/>
          <w:lang w:val="es-CR"/>
        </w:rPr>
      </w:pPr>
    </w:p>
    <w:p w:rsidR="00215375" w:rsidRPr="00954476" w:rsidRDefault="00110A5F" w:rsidP="00846C91">
      <w:pPr>
        <w:pStyle w:val="Title"/>
        <w:numPr>
          <w:ilvl w:val="0"/>
          <w:numId w:val="6"/>
        </w:numPr>
        <w:ind w:right="-138"/>
        <w:rPr>
          <w:rFonts w:eastAsia="MS Mincho"/>
          <w:lang w:val="es-CR"/>
        </w:rPr>
      </w:pPr>
      <w:r w:rsidRPr="00954476">
        <w:rPr>
          <w:rFonts w:eastAsia="MS Mincho"/>
          <w:lang w:val="es-CR"/>
        </w:rPr>
        <w:t>El artículo 26.</w:t>
      </w:r>
      <w:r w:rsidR="00215375" w:rsidRPr="00954476">
        <w:rPr>
          <w:rFonts w:eastAsia="MS Mincho"/>
          <w:lang w:val="es-CR"/>
        </w:rPr>
        <w:t xml:space="preserve"> </w:t>
      </w:r>
    </w:p>
    <w:p w:rsidR="00E261DE" w:rsidRPr="00954476" w:rsidRDefault="00E261DE" w:rsidP="00846C91">
      <w:pPr>
        <w:pStyle w:val="Title"/>
        <w:numPr>
          <w:ilvl w:val="0"/>
          <w:numId w:val="0"/>
        </w:numPr>
        <w:ind w:right="-138"/>
        <w:rPr>
          <w:rFonts w:eastAsia="MS Mincho"/>
          <w:lang w:val="es-CR"/>
        </w:rPr>
      </w:pPr>
    </w:p>
    <w:p w:rsidR="00981095" w:rsidRPr="00954476" w:rsidRDefault="00110A5F" w:rsidP="00846C91">
      <w:pPr>
        <w:pStyle w:val="Title"/>
        <w:numPr>
          <w:ilvl w:val="0"/>
          <w:numId w:val="8"/>
        </w:numPr>
        <w:ind w:left="0" w:right="-138" w:firstLine="0"/>
        <w:rPr>
          <w:rFonts w:eastAsia="MS Mincho"/>
          <w:b w:val="0"/>
          <w:lang w:val="es-CR"/>
        </w:rPr>
      </w:pPr>
      <w:r w:rsidRPr="00954476">
        <w:rPr>
          <w:rFonts w:eastAsia="MS Mincho"/>
          <w:b w:val="0"/>
          <w:lang w:val="es-CR"/>
        </w:rPr>
        <w:t>Como se ha expresado en otras dos ocasiones</w:t>
      </w:r>
      <w:r w:rsidRPr="00954476">
        <w:rPr>
          <w:rStyle w:val="FootnoteReference"/>
          <w:rFonts w:eastAsia="MS Mincho"/>
          <w:b w:val="0"/>
          <w:lang w:val="es-CR"/>
        </w:rPr>
        <w:footnoteReference w:id="5"/>
      </w:r>
      <w:r w:rsidR="003262DA" w:rsidRPr="00954476">
        <w:rPr>
          <w:rFonts w:eastAsia="MS Mincho"/>
          <w:b w:val="0"/>
          <w:lang w:val="es-CR"/>
        </w:rPr>
        <w:t xml:space="preserve">, </w:t>
      </w:r>
      <w:r w:rsidR="00981095" w:rsidRPr="00954476">
        <w:rPr>
          <w:rFonts w:eastAsia="MS Mincho"/>
          <w:b w:val="0"/>
          <w:lang w:val="es-CR"/>
        </w:rPr>
        <w:t xml:space="preserve">en este voto se </w:t>
      </w:r>
      <w:r w:rsidR="003262DA" w:rsidRPr="00954476">
        <w:rPr>
          <w:rFonts w:eastAsia="MS Mincho"/>
          <w:b w:val="0"/>
          <w:lang w:val="es-CR"/>
        </w:rPr>
        <w:t>estima improcedente la referencia al artículo 26 de la Convención para justificar la justiciabilidad, por parte de la Corte</w:t>
      </w:r>
      <w:r w:rsidR="007C1861" w:rsidRPr="00954476">
        <w:rPr>
          <w:rFonts w:eastAsia="MS Mincho"/>
          <w:b w:val="0"/>
          <w:lang w:val="es-CR"/>
        </w:rPr>
        <w:t xml:space="preserve"> Interamericana de Derechos Humanos</w:t>
      </w:r>
      <w:r w:rsidR="007C1861" w:rsidRPr="00954476">
        <w:rPr>
          <w:rStyle w:val="FootnoteReference"/>
          <w:rFonts w:eastAsia="MS Mincho"/>
          <w:b w:val="0"/>
          <w:lang w:val="es-CR"/>
        </w:rPr>
        <w:footnoteReference w:id="6"/>
      </w:r>
      <w:r w:rsidR="004D7521" w:rsidRPr="00954476">
        <w:rPr>
          <w:rFonts w:eastAsia="MS Mincho"/>
          <w:b w:val="0"/>
          <w:lang w:val="es-CR"/>
        </w:rPr>
        <w:t>, de eventuales violaciones</w:t>
      </w:r>
      <w:r w:rsidR="007026DC">
        <w:rPr>
          <w:rFonts w:eastAsia="MS Mincho"/>
          <w:b w:val="0"/>
          <w:lang w:val="es-CR"/>
        </w:rPr>
        <w:t>, por arte de la República Bolivariana de Venezuela</w:t>
      </w:r>
      <w:r w:rsidR="007026DC">
        <w:rPr>
          <w:rStyle w:val="FootnoteReference"/>
          <w:rFonts w:eastAsia="MS Mincho"/>
          <w:b w:val="0"/>
          <w:lang w:val="es-CR"/>
        </w:rPr>
        <w:footnoteReference w:id="7"/>
      </w:r>
      <w:r w:rsidR="004D7521" w:rsidRPr="00954476">
        <w:rPr>
          <w:rFonts w:eastAsia="MS Mincho"/>
          <w:b w:val="0"/>
          <w:lang w:val="es-CR"/>
        </w:rPr>
        <w:t xml:space="preserve"> al Derecho al Trabajo</w:t>
      </w:r>
      <w:r w:rsidR="003262DA" w:rsidRPr="00954476">
        <w:rPr>
          <w:rFonts w:eastAsia="MS Mincho"/>
          <w:b w:val="0"/>
          <w:lang w:val="es-CR"/>
        </w:rPr>
        <w:t xml:space="preserve">. Las razones  para ello </w:t>
      </w:r>
      <w:r w:rsidR="00981095" w:rsidRPr="00954476">
        <w:rPr>
          <w:rFonts w:eastAsia="MS Mincho"/>
          <w:b w:val="0"/>
          <w:lang w:val="es-CR"/>
        </w:rPr>
        <w:t xml:space="preserve">fueron </w:t>
      </w:r>
      <w:r w:rsidR="003262DA" w:rsidRPr="00954476">
        <w:rPr>
          <w:rFonts w:eastAsia="MS Mincho"/>
          <w:b w:val="0"/>
          <w:lang w:val="es-CR"/>
        </w:rPr>
        <w:t xml:space="preserve">especialmente expuestas en </w:t>
      </w:r>
      <w:r w:rsidR="00981095" w:rsidRPr="00954476">
        <w:rPr>
          <w:rFonts w:eastAsia="MS Mincho"/>
          <w:b w:val="0"/>
          <w:lang w:val="es-CR"/>
        </w:rPr>
        <w:t xml:space="preserve">el voto disidente emitido en el </w:t>
      </w:r>
      <w:r w:rsidR="00981095" w:rsidRPr="00954476">
        <w:rPr>
          <w:b w:val="0"/>
          <w:i/>
          <w:spacing w:val="-12"/>
          <w:lang w:val="es-VE"/>
        </w:rPr>
        <w:t xml:space="preserve">Caso </w:t>
      </w:r>
      <w:r w:rsidR="00981095" w:rsidRPr="00954476">
        <w:rPr>
          <w:b w:val="0"/>
          <w:bCs/>
          <w:i/>
          <w:spacing w:val="-12"/>
          <w:lang w:val="es-VE"/>
        </w:rPr>
        <w:t>Lagos del Campo Vs. Perú,</w:t>
      </w:r>
      <w:r w:rsidR="00981095" w:rsidRPr="00954476">
        <w:rPr>
          <w:bCs/>
          <w:i/>
          <w:spacing w:val="-12"/>
          <w:lang w:val="es-VE"/>
        </w:rPr>
        <w:t xml:space="preserve"> </w:t>
      </w:r>
      <w:r w:rsidR="00981095" w:rsidRPr="00954476">
        <w:rPr>
          <w:rFonts w:eastAsia="MS Mincho"/>
          <w:b w:val="0"/>
          <w:lang w:val="es-CR"/>
        </w:rPr>
        <w:t>las que se dan por reproducidas.</w:t>
      </w:r>
    </w:p>
    <w:p w:rsidR="00981095" w:rsidRPr="00954476" w:rsidRDefault="00981095" w:rsidP="00846C91">
      <w:pPr>
        <w:pStyle w:val="Title"/>
        <w:numPr>
          <w:ilvl w:val="0"/>
          <w:numId w:val="0"/>
        </w:numPr>
        <w:ind w:right="-138"/>
        <w:rPr>
          <w:rFonts w:eastAsia="MS Mincho"/>
          <w:b w:val="0"/>
          <w:lang w:val="es-CR"/>
        </w:rPr>
      </w:pPr>
    </w:p>
    <w:p w:rsidR="00981095" w:rsidRPr="00522E82" w:rsidRDefault="00981095" w:rsidP="00846C91">
      <w:pPr>
        <w:pStyle w:val="Title"/>
        <w:numPr>
          <w:ilvl w:val="0"/>
          <w:numId w:val="8"/>
        </w:numPr>
        <w:ind w:left="0" w:right="-138" w:firstLine="0"/>
        <w:rPr>
          <w:b w:val="0"/>
          <w:lang w:val="es-ES"/>
        </w:rPr>
      </w:pPr>
      <w:r w:rsidRPr="00522E82">
        <w:rPr>
          <w:rFonts w:eastAsia="MS Mincho"/>
          <w:b w:val="0"/>
          <w:lang w:val="es-CR"/>
        </w:rPr>
        <w:t>Sin perjuicio de ello, se insiste en que</w:t>
      </w:r>
      <w:r w:rsidRPr="00522E82">
        <w:rPr>
          <w:b w:val="0"/>
          <w:lang w:val="es-ES"/>
        </w:rPr>
        <w:t xml:space="preserve"> </w:t>
      </w:r>
      <w:r w:rsidR="002350BB" w:rsidRPr="00522E82">
        <w:rPr>
          <w:b w:val="0"/>
          <w:lang w:val="es-ES"/>
        </w:rPr>
        <w:t>“</w:t>
      </w:r>
      <w:r w:rsidRPr="00522E82">
        <w:rPr>
          <w:b w:val="0"/>
          <w:i/>
          <w:lang w:val="es-ES"/>
        </w:rPr>
        <w:t>los únicos derechos susceptibles de ser objeto del sistema de protección previsto en la Convención, son los “reconocidos” en ella; que el artículo 26</w:t>
      </w:r>
      <w:r w:rsidRPr="00522E82">
        <w:rPr>
          <w:rStyle w:val="FootnoteReference"/>
          <w:b w:val="0"/>
          <w:i/>
          <w:lang w:val="es-ES"/>
        </w:rPr>
        <w:footnoteReference w:id="8"/>
      </w:r>
      <w:r w:rsidRPr="00522E82">
        <w:rPr>
          <w:b w:val="0"/>
          <w:i/>
          <w:lang w:val="es-ES"/>
        </w:rPr>
        <w:t xml:space="preserve"> de esta última no se refiere a tales derechos, sino a los que </w:t>
      </w:r>
      <w:r w:rsidRPr="00522E82">
        <w:rPr>
          <w:b w:val="0"/>
          <w:i/>
          <w:lang w:val="es-ES"/>
        </w:rPr>
        <w:lastRenderedPageBreak/>
        <w:t>“derivan de las normas económicas, sociales y sobre educación, ciencia y cultura, contenidas en la Carta de la Organización de los Estados Americanos”; que lo que dispone el citado artículo 26 es la obligación de los Estados de adoptar medidas en vista de lograr progresivamente la plena efectividad de los derechos a que se refiere y ello en la medida de los recursos disponibles; y, finalmente y en consecuencia, que si bien esos derechos existen, no son susceptibles de ser judicializados ante la Corte, salvo que así lo contemple algún tratado, como acontece, por ejemplo, con el Protocolo de San Salvador, pero únicamente respecto al derecho de organizar sindicatos y a afiliarse en ellos y al derecho a la educación.</w:t>
      </w:r>
      <w:r w:rsidRPr="00522E82">
        <w:rPr>
          <w:b w:val="0"/>
          <w:lang w:val="es-ES"/>
        </w:rPr>
        <w:t>” Asimismo se reitera que “</w:t>
      </w:r>
      <w:r w:rsidRPr="00522E82">
        <w:rPr>
          <w:b w:val="0"/>
          <w:i/>
          <w:lang w:val="es-ES"/>
        </w:rPr>
        <w:t>se debe procurar no dejar margen alguno para que se perciba que, en alguna medida, se estaría alterando el principio de que ningún Estado puede ser llevado a un tribunal inte</w:t>
      </w:r>
      <w:r w:rsidR="002350BB" w:rsidRPr="00522E82">
        <w:rPr>
          <w:b w:val="0"/>
          <w:i/>
          <w:lang w:val="es-ES"/>
        </w:rPr>
        <w:t>rnacional sin su consentimiento</w:t>
      </w:r>
      <w:r w:rsidRPr="00522E82">
        <w:rPr>
          <w:b w:val="0"/>
          <w:lang w:val="es-ES"/>
        </w:rPr>
        <w:t>”</w:t>
      </w:r>
      <w:r w:rsidR="002350BB" w:rsidRPr="00522E82">
        <w:rPr>
          <w:rStyle w:val="FootnoteReference"/>
          <w:b w:val="0"/>
          <w:lang w:val="es-ES"/>
        </w:rPr>
        <w:footnoteReference w:id="9"/>
      </w:r>
      <w:r w:rsidR="002350BB" w:rsidRPr="00522E82">
        <w:rPr>
          <w:b w:val="0"/>
          <w:lang w:val="es-ES"/>
        </w:rPr>
        <w:t>.</w:t>
      </w:r>
    </w:p>
    <w:p w:rsidR="004D7521" w:rsidRPr="00954476" w:rsidRDefault="004D7521" w:rsidP="00846C91">
      <w:pPr>
        <w:pStyle w:val="ListParagraph"/>
        <w:spacing w:after="0" w:line="240" w:lineRule="auto"/>
        <w:ind w:left="0"/>
        <w:jc w:val="both"/>
        <w:rPr>
          <w:rFonts w:ascii="Verdana" w:hAnsi="Verdana"/>
          <w:sz w:val="20"/>
          <w:szCs w:val="20"/>
          <w:lang w:val="es-ES"/>
        </w:rPr>
      </w:pPr>
    </w:p>
    <w:p w:rsidR="004D7521" w:rsidRPr="00522E82" w:rsidRDefault="004D7521" w:rsidP="00846C91">
      <w:pPr>
        <w:pStyle w:val="Title"/>
        <w:numPr>
          <w:ilvl w:val="0"/>
          <w:numId w:val="8"/>
        </w:numPr>
        <w:ind w:left="0" w:right="-138" w:firstLine="0"/>
        <w:rPr>
          <w:b w:val="0"/>
          <w:lang w:val="es-ES"/>
        </w:rPr>
      </w:pPr>
      <w:r w:rsidRPr="00522E82">
        <w:rPr>
          <w:b w:val="0"/>
          <w:lang w:val="es-ES"/>
        </w:rPr>
        <w:t xml:space="preserve">De </w:t>
      </w:r>
      <w:r w:rsidRPr="00522E82">
        <w:rPr>
          <w:rFonts w:eastAsia="MS Mincho"/>
          <w:b w:val="0"/>
          <w:lang w:val="es-CR"/>
        </w:rPr>
        <w:t>suerte</w:t>
      </w:r>
      <w:r w:rsidRPr="00522E82">
        <w:rPr>
          <w:b w:val="0"/>
          <w:lang w:val="es-ES"/>
        </w:rPr>
        <w:t>, en consecuencia, que, correspondiéndole a la Corte conocer únicamente los casos “</w:t>
      </w:r>
      <w:r w:rsidRPr="00522E82">
        <w:rPr>
          <w:b w:val="0"/>
          <w:i/>
          <w:lang w:val="es-ES"/>
        </w:rPr>
        <w:t>relativo</w:t>
      </w:r>
      <w:r w:rsidRPr="00522E82">
        <w:rPr>
          <w:b w:val="0"/>
          <w:lang w:val="es-ES"/>
        </w:rPr>
        <w:t xml:space="preserve">(s) </w:t>
      </w:r>
      <w:r w:rsidRPr="00522E82">
        <w:rPr>
          <w:b w:val="0"/>
          <w:i/>
          <w:lang w:val="es-ES"/>
        </w:rPr>
        <w:t xml:space="preserve">a la interpretación y aplicación de las disposiciones de </w:t>
      </w:r>
      <w:r w:rsidRPr="00522E82">
        <w:rPr>
          <w:b w:val="0"/>
          <w:lang w:val="es-ES"/>
        </w:rPr>
        <w:t>(la)</w:t>
      </w:r>
      <w:r w:rsidRPr="00522E82">
        <w:rPr>
          <w:b w:val="0"/>
          <w:i/>
          <w:lang w:val="es-ES"/>
        </w:rPr>
        <w:t xml:space="preserve"> Convención que le sea</w:t>
      </w:r>
      <w:r w:rsidRPr="00522E82">
        <w:rPr>
          <w:b w:val="0"/>
          <w:lang w:val="es-ES"/>
        </w:rPr>
        <w:t>(n)</w:t>
      </w:r>
      <w:r w:rsidRPr="00522E82">
        <w:rPr>
          <w:b w:val="0"/>
          <w:i/>
          <w:lang w:val="es-ES"/>
        </w:rPr>
        <w:t xml:space="preserve"> sometido</w:t>
      </w:r>
      <w:r w:rsidRPr="00522E82">
        <w:rPr>
          <w:b w:val="0"/>
          <w:lang w:val="es-ES"/>
        </w:rPr>
        <w:t>(s)</w:t>
      </w:r>
      <w:r w:rsidRPr="00522E82">
        <w:rPr>
          <w:b w:val="0"/>
          <w:i/>
          <w:lang w:val="es-ES"/>
        </w:rPr>
        <w:t>”</w:t>
      </w:r>
      <w:r w:rsidRPr="00522E82">
        <w:rPr>
          <w:rStyle w:val="FootnoteReference"/>
          <w:b w:val="0"/>
          <w:lang w:val="es-ES"/>
        </w:rPr>
        <w:footnoteReference w:id="10"/>
      </w:r>
      <w:r w:rsidR="00954476" w:rsidRPr="00522E82">
        <w:rPr>
          <w:b w:val="0"/>
          <w:lang w:val="es-ES"/>
        </w:rPr>
        <w:t>, es obvio que n</w:t>
      </w:r>
      <w:r w:rsidRPr="00522E82">
        <w:rPr>
          <w:b w:val="0"/>
          <w:lang w:val="es-ES"/>
        </w:rPr>
        <w:t xml:space="preserve">o le compete juzgar aquellos que no implican </w:t>
      </w:r>
      <w:r w:rsidR="002350BB" w:rsidRPr="00522E82">
        <w:rPr>
          <w:b w:val="0"/>
          <w:lang w:val="es-ES"/>
        </w:rPr>
        <w:t xml:space="preserve">interpretar y aplicar </w:t>
      </w:r>
      <w:r w:rsidRPr="00522E82">
        <w:rPr>
          <w:b w:val="0"/>
          <w:lang w:val="es-ES"/>
        </w:rPr>
        <w:t>esta última</w:t>
      </w:r>
      <w:r w:rsidR="00954476" w:rsidRPr="00522E82">
        <w:rPr>
          <w:b w:val="0"/>
          <w:lang w:val="es-ES"/>
        </w:rPr>
        <w:t>, como acontece en la presente causa</w:t>
      </w:r>
      <w:r w:rsidR="00430DF3" w:rsidRPr="00522E82">
        <w:rPr>
          <w:b w:val="0"/>
          <w:lang w:val="es-ES"/>
        </w:rPr>
        <w:t>.</w:t>
      </w:r>
    </w:p>
    <w:p w:rsidR="0008377E" w:rsidRPr="00954476" w:rsidRDefault="0008377E" w:rsidP="00846C91">
      <w:pPr>
        <w:pStyle w:val="ListParagraph"/>
        <w:spacing w:after="0" w:line="240" w:lineRule="auto"/>
        <w:ind w:left="0"/>
        <w:jc w:val="both"/>
        <w:rPr>
          <w:rFonts w:ascii="Verdana" w:hAnsi="Verdana"/>
          <w:i/>
          <w:sz w:val="20"/>
          <w:szCs w:val="20"/>
          <w:lang w:val="es-ES"/>
        </w:rPr>
      </w:pPr>
    </w:p>
    <w:p w:rsidR="0008377E" w:rsidRPr="001E429C" w:rsidRDefault="0008377E" w:rsidP="00846C91">
      <w:pPr>
        <w:pStyle w:val="Title"/>
        <w:numPr>
          <w:ilvl w:val="0"/>
          <w:numId w:val="6"/>
        </w:numPr>
        <w:ind w:right="-138"/>
        <w:rPr>
          <w:b w:val="0"/>
          <w:i/>
          <w:lang w:val="es-ES"/>
        </w:rPr>
      </w:pPr>
      <w:r w:rsidRPr="00954476">
        <w:rPr>
          <w:lang w:val="es-ES"/>
        </w:rPr>
        <w:t>No violación de las garantías judiciales.</w:t>
      </w:r>
    </w:p>
    <w:p w:rsidR="0098694B" w:rsidRDefault="0098694B" w:rsidP="00846C91">
      <w:pPr>
        <w:pBdr>
          <w:top w:val="nil"/>
        </w:pBdr>
        <w:autoSpaceDE w:val="0"/>
        <w:autoSpaceDN w:val="0"/>
        <w:adjustRightInd w:val="0"/>
        <w:spacing w:after="0" w:line="240" w:lineRule="auto"/>
        <w:jc w:val="both"/>
        <w:rPr>
          <w:rFonts w:ascii="Verdana" w:hAnsi="Verdana"/>
          <w:i/>
          <w:sz w:val="20"/>
          <w:szCs w:val="20"/>
          <w:lang w:val="es-ES"/>
        </w:rPr>
      </w:pPr>
    </w:p>
    <w:p w:rsidR="00D17339" w:rsidRPr="00522E82" w:rsidRDefault="0008377E" w:rsidP="00846C91">
      <w:pPr>
        <w:pStyle w:val="Title"/>
        <w:numPr>
          <w:ilvl w:val="0"/>
          <w:numId w:val="8"/>
        </w:numPr>
        <w:ind w:left="0" w:right="-138" w:firstLine="0"/>
        <w:rPr>
          <w:rFonts w:cs="BookAntiqua"/>
          <w:b w:val="0"/>
        </w:rPr>
      </w:pPr>
      <w:r w:rsidRPr="00522E82">
        <w:rPr>
          <w:b w:val="0"/>
          <w:lang w:val="es-ES"/>
        </w:rPr>
        <w:t>Con relación al Resolutivo N° 7, en la Sentencia</w:t>
      </w:r>
      <w:r w:rsidR="0062012C" w:rsidRPr="00522E82">
        <w:rPr>
          <w:b w:val="0"/>
          <w:lang w:val="es-ES"/>
        </w:rPr>
        <w:t xml:space="preserve"> se indica</w:t>
      </w:r>
      <w:r w:rsidR="009C1BF0" w:rsidRPr="00522E82">
        <w:rPr>
          <w:rFonts w:eastAsia="Calibri" w:cs="BookAntiqua,Italic"/>
          <w:b w:val="0"/>
          <w:iCs/>
          <w:lang w:eastAsia="es-CR"/>
        </w:rPr>
        <w:t xml:space="preserve"> que</w:t>
      </w:r>
      <w:r w:rsidR="009C1BF0" w:rsidRPr="00522E82">
        <w:rPr>
          <w:rFonts w:eastAsia="Calibri" w:cs="BookAntiqua,Italic"/>
          <w:b w:val="0"/>
          <w:i/>
          <w:iCs/>
          <w:lang w:eastAsia="es-CR"/>
        </w:rPr>
        <w:t xml:space="preserve"> “no pueden considerarse efectivos aquellos recursos que, por las condiciones generales del país o incluso por las circunstancias particulares de un caso dado, resulten ilusorios. Ello puede ocurrir, por ejemplo, cuando su inutilidad haya quedado demostrada por la práctica, porque el Poder Judicial carezca de la independencia necesaria para decidir con imparcialidad o por cualquier otra situación que configure un cuadro de denegación de justicia</w:t>
      </w:r>
      <w:r w:rsidR="0043578C" w:rsidRPr="00522E82">
        <w:rPr>
          <w:rFonts w:eastAsia="Calibri" w:cs="BookAntiqua,Italic"/>
          <w:b w:val="0"/>
          <w:i/>
          <w:iCs/>
          <w:lang w:eastAsia="es-CR"/>
        </w:rPr>
        <w:t xml:space="preserve">”. </w:t>
      </w:r>
      <w:r w:rsidR="0043578C" w:rsidRPr="00522E82">
        <w:rPr>
          <w:rFonts w:eastAsia="Calibri" w:cs="BookAntiqua,Italic"/>
          <w:b w:val="0"/>
          <w:iCs/>
          <w:lang w:eastAsia="es-CR"/>
        </w:rPr>
        <w:t>Y añade que,</w:t>
      </w:r>
      <w:r w:rsidR="0043578C" w:rsidRPr="00522E82">
        <w:rPr>
          <w:rFonts w:eastAsia="Calibri" w:cs="BookAntiqua,Italic"/>
          <w:b w:val="0"/>
          <w:i/>
          <w:iCs/>
          <w:lang w:eastAsia="es-CR"/>
        </w:rPr>
        <w:t xml:space="preserve"> “(s)</w:t>
      </w:r>
      <w:r w:rsidR="009C1BF0" w:rsidRPr="00522E82">
        <w:rPr>
          <w:rFonts w:eastAsia="Calibri" w:cs="BookAntiqua,Italic"/>
          <w:b w:val="0"/>
          <w:i/>
          <w:iCs/>
          <w:lang w:eastAsia="es-CR"/>
        </w:rPr>
        <w:t xml:space="preserve">in perjuicio de ello, </w:t>
      </w:r>
      <w:r w:rsidR="009C1BF0" w:rsidRPr="00522E82">
        <w:rPr>
          <w:rFonts w:cs="BookAntiqua"/>
          <w:b w:val="0"/>
          <w:i/>
        </w:rPr>
        <w:t>no basta con realizar una mención general a un alegado contexto para que sea posible concluir que existía una vulneración a la independencia e imparcialidad en determinado proceso, por lo que es necesario que se presenten argumentos concretos para considerar tal hipótesis</w:t>
      </w:r>
      <w:r w:rsidR="00552EB2" w:rsidRPr="00522E82">
        <w:rPr>
          <w:rFonts w:cs="BookAntiqua"/>
          <w:b w:val="0"/>
        </w:rPr>
        <w:t>”</w:t>
      </w:r>
      <w:r w:rsidR="009C1BF0" w:rsidRPr="00522E82">
        <w:rPr>
          <w:rStyle w:val="FootnoteReference"/>
          <w:rFonts w:cs="BookAntiqua"/>
          <w:b w:val="0"/>
        </w:rPr>
        <w:footnoteReference w:id="11"/>
      </w:r>
      <w:r w:rsidR="009C1BF0" w:rsidRPr="00522E82">
        <w:rPr>
          <w:rFonts w:cs="BookAntiqua"/>
          <w:b w:val="0"/>
        </w:rPr>
        <w:t xml:space="preserve">. </w:t>
      </w:r>
    </w:p>
    <w:p w:rsidR="00D17339" w:rsidRPr="001E429C" w:rsidRDefault="00D17339" w:rsidP="00846C91">
      <w:pPr>
        <w:pBdr>
          <w:top w:val="nil"/>
        </w:pBdr>
        <w:autoSpaceDE w:val="0"/>
        <w:autoSpaceDN w:val="0"/>
        <w:adjustRightInd w:val="0"/>
        <w:spacing w:after="0" w:line="240" w:lineRule="auto"/>
        <w:jc w:val="both"/>
        <w:rPr>
          <w:rFonts w:ascii="Verdana" w:hAnsi="Verdana" w:cs="BookAntiqua"/>
          <w:sz w:val="20"/>
          <w:szCs w:val="20"/>
        </w:rPr>
      </w:pPr>
    </w:p>
    <w:p w:rsidR="0008377E" w:rsidRPr="00522E82" w:rsidRDefault="00D17339" w:rsidP="00846C91">
      <w:pPr>
        <w:pStyle w:val="Title"/>
        <w:numPr>
          <w:ilvl w:val="0"/>
          <w:numId w:val="8"/>
        </w:numPr>
        <w:ind w:left="0" w:right="-138" w:firstLine="0"/>
        <w:rPr>
          <w:b w:val="0"/>
        </w:rPr>
      </w:pPr>
      <w:r w:rsidRPr="00522E82">
        <w:rPr>
          <w:rFonts w:cs="BookAntiqua"/>
          <w:b w:val="0"/>
        </w:rPr>
        <w:t xml:space="preserve">En </w:t>
      </w:r>
      <w:r w:rsidRPr="00522E82">
        <w:rPr>
          <w:rFonts w:eastAsia="Calibri" w:cs="BookAntiqua,Italic"/>
          <w:b w:val="0"/>
          <w:iCs/>
          <w:lang w:eastAsia="es-CR"/>
        </w:rPr>
        <w:t>razón</w:t>
      </w:r>
      <w:r w:rsidRPr="00522E82">
        <w:rPr>
          <w:rFonts w:cs="BookAntiqua"/>
          <w:b w:val="0"/>
        </w:rPr>
        <w:t xml:space="preserve"> de lo </w:t>
      </w:r>
      <w:r w:rsidR="009C1BF0" w:rsidRPr="00522E82">
        <w:rPr>
          <w:rFonts w:cs="BookAntiqua"/>
          <w:b w:val="0"/>
        </w:rPr>
        <w:t>último</w:t>
      </w:r>
      <w:r w:rsidRPr="00522E82">
        <w:rPr>
          <w:rFonts w:cs="BookAntiqua"/>
          <w:b w:val="0"/>
        </w:rPr>
        <w:t xml:space="preserve"> indicado</w:t>
      </w:r>
      <w:r w:rsidR="009C1BF0" w:rsidRPr="00522E82">
        <w:rPr>
          <w:rFonts w:cs="BookAntiqua"/>
          <w:b w:val="0"/>
        </w:rPr>
        <w:t xml:space="preserve">, en la Sentencia se concluye en </w:t>
      </w:r>
      <w:r w:rsidR="0008377E" w:rsidRPr="00522E82">
        <w:rPr>
          <w:b w:val="0"/>
          <w:i/>
          <w:lang w:val="es-ES"/>
        </w:rPr>
        <w:t>“</w:t>
      </w:r>
      <w:r w:rsidR="0008377E" w:rsidRPr="00522E82">
        <w:rPr>
          <w:b w:val="0"/>
          <w:i/>
        </w:rPr>
        <w:t>que no han sido aportados elementos específicos para el presente caso que permitan analizar si en los hechos relacionados con la acción de amparo o la denuncia penal, intentados por las presuntas víctimas, las autoridades judiciales faltaron a su obligación de actuar y decidir con independencia, en los términos del 8 de la Convención, por lo cual la alegada responsabilidad del Estado en este sentido no ha sido demostrad</w:t>
      </w:r>
      <w:r w:rsidR="00552EB2" w:rsidRPr="00522E82">
        <w:rPr>
          <w:b w:val="0"/>
          <w:i/>
        </w:rPr>
        <w:t>a</w:t>
      </w:r>
      <w:r w:rsidR="0008377E" w:rsidRPr="00522E82">
        <w:rPr>
          <w:b w:val="0"/>
          <w:i/>
        </w:rPr>
        <w:t>”</w:t>
      </w:r>
      <w:r w:rsidR="00552EB2" w:rsidRPr="00522E82">
        <w:rPr>
          <w:rStyle w:val="FootnoteReference"/>
          <w:b w:val="0"/>
        </w:rPr>
        <w:footnoteReference w:id="12"/>
      </w:r>
      <w:r w:rsidR="001E429C" w:rsidRPr="00522E82">
        <w:rPr>
          <w:b w:val="0"/>
          <w:i/>
        </w:rPr>
        <w:t>.</w:t>
      </w:r>
    </w:p>
    <w:p w:rsidR="0062012C" w:rsidRPr="001E429C" w:rsidRDefault="0062012C" w:rsidP="00846C91">
      <w:pPr>
        <w:pBdr>
          <w:top w:val="nil"/>
        </w:pBdr>
        <w:autoSpaceDE w:val="0"/>
        <w:autoSpaceDN w:val="0"/>
        <w:adjustRightInd w:val="0"/>
        <w:spacing w:after="0" w:line="240" w:lineRule="auto"/>
        <w:jc w:val="both"/>
        <w:rPr>
          <w:rFonts w:ascii="Verdana" w:hAnsi="Verdana"/>
          <w:sz w:val="20"/>
          <w:szCs w:val="20"/>
        </w:rPr>
      </w:pPr>
    </w:p>
    <w:p w:rsidR="009A2F63" w:rsidRPr="00522E82" w:rsidRDefault="009C1BF0" w:rsidP="00846C91">
      <w:pPr>
        <w:pStyle w:val="Title"/>
        <w:numPr>
          <w:ilvl w:val="0"/>
          <w:numId w:val="8"/>
        </w:numPr>
        <w:ind w:left="0" w:right="-138" w:firstLine="0"/>
        <w:rPr>
          <w:b w:val="0"/>
          <w:i/>
        </w:rPr>
      </w:pPr>
      <w:r w:rsidRPr="00522E82">
        <w:rPr>
          <w:b w:val="0"/>
        </w:rPr>
        <w:t xml:space="preserve">Sin </w:t>
      </w:r>
      <w:r w:rsidRPr="00522E82">
        <w:rPr>
          <w:rFonts w:cs="BookAntiqua"/>
          <w:b w:val="0"/>
        </w:rPr>
        <w:t>embargo</w:t>
      </w:r>
      <w:r w:rsidRPr="00522E82">
        <w:rPr>
          <w:b w:val="0"/>
        </w:rPr>
        <w:t>, t</w:t>
      </w:r>
      <w:r w:rsidR="0062012C" w:rsidRPr="00522E82">
        <w:rPr>
          <w:b w:val="0"/>
        </w:rPr>
        <w:t>al categórica afirm</w:t>
      </w:r>
      <w:r w:rsidRPr="00522E82">
        <w:rPr>
          <w:b w:val="0"/>
        </w:rPr>
        <w:t>ación no se condice, por de pronto,</w:t>
      </w:r>
      <w:r w:rsidR="0062012C" w:rsidRPr="00522E82">
        <w:rPr>
          <w:b w:val="0"/>
        </w:rPr>
        <w:t xml:space="preserve"> con lo manifestado previamente por la propia Sentencia</w:t>
      </w:r>
      <w:r w:rsidR="009A2F63" w:rsidRPr="00522E82">
        <w:rPr>
          <w:rFonts w:cs="Arial"/>
          <w:b w:val="0"/>
        </w:rPr>
        <w:t>, a saber,</w:t>
      </w:r>
      <w:r w:rsidR="001E429C" w:rsidRPr="00522E82">
        <w:rPr>
          <w:b w:val="0"/>
          <w:spacing w:val="-3"/>
        </w:rPr>
        <w:t xml:space="preserve"> que</w:t>
      </w:r>
      <w:r w:rsidR="001E429C" w:rsidRPr="00522E82">
        <w:rPr>
          <w:b w:val="0"/>
          <w:i/>
          <w:spacing w:val="-3"/>
        </w:rPr>
        <w:t xml:space="preserve"> </w:t>
      </w:r>
      <w:r w:rsidR="009A2F63" w:rsidRPr="00522E82">
        <w:rPr>
          <w:b w:val="0"/>
          <w:i/>
          <w:spacing w:val="-3"/>
        </w:rPr>
        <w:t>“</w:t>
      </w:r>
      <w:r w:rsidR="009A2F63" w:rsidRPr="00522E82">
        <w:rPr>
          <w:b w:val="0"/>
          <w:i/>
        </w:rPr>
        <w:t xml:space="preserve">constan seis </w:t>
      </w:r>
      <w:r w:rsidR="009A2F63" w:rsidRPr="00522E82">
        <w:rPr>
          <w:b w:val="0"/>
          <w:i/>
        </w:rPr>
        <w:lastRenderedPageBreak/>
        <w:t>declaraciones del propio Presidente de la República y de otros altos funcionarios públicos realizadas en ese período, en que se llama a la ciudadanía a revisar la lista Tascón para que “salgan los rostros”, acusando a los firmantes de traición e incluso de terrorismo y amenazando con “botar” (despedir) o trasladar a los funcionarios que hubiesen firmado</w:t>
      </w:r>
      <w:r w:rsidR="0043578C" w:rsidRPr="00522E82">
        <w:rPr>
          <w:b w:val="0"/>
          <w:i/>
        </w:rPr>
        <w:t xml:space="preserve">” </w:t>
      </w:r>
      <w:r w:rsidR="0043578C" w:rsidRPr="00522E82">
        <w:rPr>
          <w:b w:val="0"/>
        </w:rPr>
        <w:t>y que</w:t>
      </w:r>
      <w:r w:rsidR="0043578C" w:rsidRPr="00522E82">
        <w:rPr>
          <w:b w:val="0"/>
          <w:i/>
        </w:rPr>
        <w:t xml:space="preserve"> “(l)l</w:t>
      </w:r>
      <w:r w:rsidR="009A2F63" w:rsidRPr="00522E82">
        <w:rPr>
          <w:b w:val="0"/>
          <w:i/>
        </w:rPr>
        <w:t>os contenidos de tales declaraciones reflejan formas de presión para no firmar y amenazas de represalias para quienes lo hicieron”</w:t>
      </w:r>
      <w:r w:rsidR="009A2F63" w:rsidRPr="00522E82">
        <w:rPr>
          <w:rStyle w:val="FootnoteReference"/>
          <w:b w:val="0"/>
          <w:i/>
        </w:rPr>
        <w:footnoteReference w:id="13"/>
      </w:r>
      <w:r w:rsidR="009A2F63" w:rsidRPr="00522E82">
        <w:rPr>
          <w:b w:val="0"/>
          <w:i/>
        </w:rPr>
        <w:t>.</w:t>
      </w:r>
    </w:p>
    <w:p w:rsidR="001E429C" w:rsidRDefault="001E429C" w:rsidP="00846C91">
      <w:pPr>
        <w:pBdr>
          <w:top w:val="nil"/>
        </w:pBdr>
        <w:spacing w:after="0" w:line="240" w:lineRule="auto"/>
        <w:jc w:val="both"/>
        <w:rPr>
          <w:rFonts w:ascii="Verdana" w:hAnsi="Verdana"/>
          <w:i/>
          <w:sz w:val="20"/>
          <w:szCs w:val="20"/>
        </w:rPr>
      </w:pPr>
    </w:p>
    <w:p w:rsidR="001E429C" w:rsidRPr="00522E82" w:rsidRDefault="001E429C" w:rsidP="00846C91">
      <w:pPr>
        <w:pStyle w:val="Title"/>
        <w:numPr>
          <w:ilvl w:val="0"/>
          <w:numId w:val="8"/>
        </w:numPr>
        <w:ind w:left="0" w:right="-138" w:firstLine="0"/>
        <w:rPr>
          <w:b w:val="0"/>
          <w:spacing w:val="-3"/>
        </w:rPr>
      </w:pPr>
      <w:r w:rsidRPr="00522E82">
        <w:rPr>
          <w:b w:val="0"/>
        </w:rPr>
        <w:t>Tampoco</w:t>
      </w:r>
      <w:r w:rsidRPr="00522E82">
        <w:rPr>
          <w:b w:val="0"/>
          <w:spacing w:val="-3"/>
        </w:rPr>
        <w:t xml:space="preserve"> lo decidido en la Sentencia se corresponde con su afirmación en cuanto a que </w:t>
      </w:r>
      <w:r w:rsidRPr="00522E82">
        <w:rPr>
          <w:b w:val="0"/>
          <w:i/>
          <w:spacing w:val="-3"/>
        </w:rPr>
        <w:t>“</w:t>
      </w:r>
      <w:r w:rsidRPr="00522E82">
        <w:rPr>
          <w:b w:val="0"/>
          <w:i/>
        </w:rPr>
        <w:t>(a)demás, fue aportada información que indica que los he</w:t>
      </w:r>
      <w:r w:rsidR="0043578C" w:rsidRPr="00522E82">
        <w:rPr>
          <w:b w:val="0"/>
          <w:i/>
        </w:rPr>
        <w:t xml:space="preserve">chos del presente caso no </w:t>
      </w:r>
      <w:r w:rsidRPr="00522E82">
        <w:rPr>
          <w:b w:val="0"/>
          <w:i/>
        </w:rPr>
        <w:t>fueron aislados, pues la materialización de tales amenazas constaría en informes de organizaciones no gubernamentales internacionales y venezolanas, así como en declaraciones o reportajes publicados en medios de comunicación y en testimonios rendidos ante la Corte, que refirieron o documentaron casos de despidos de trabajadores o funcionarios de diversas instituciones públicas que habrían estado motivados por su participación en la solicitud de referendo revocatorio</w:t>
      </w:r>
      <w:r w:rsidR="0043578C" w:rsidRPr="00522E82">
        <w:rPr>
          <w:b w:val="0"/>
          <w:i/>
        </w:rPr>
        <w:t xml:space="preserve">”. </w:t>
      </w:r>
      <w:r w:rsidR="0043578C" w:rsidRPr="00522E82">
        <w:rPr>
          <w:b w:val="0"/>
        </w:rPr>
        <w:t xml:space="preserve">El fallo igualmente señala que </w:t>
      </w:r>
      <w:r w:rsidR="0043578C" w:rsidRPr="00522E82">
        <w:rPr>
          <w:b w:val="0"/>
          <w:i/>
        </w:rPr>
        <w:t>“(t</w:t>
      </w:r>
      <w:proofErr w:type="gramStart"/>
      <w:r w:rsidR="0043578C" w:rsidRPr="00522E82">
        <w:rPr>
          <w:b w:val="0"/>
          <w:i/>
        </w:rPr>
        <w:t>)</w:t>
      </w:r>
      <w:proofErr w:type="spellStart"/>
      <w:r w:rsidRPr="00522E82">
        <w:rPr>
          <w:b w:val="0"/>
          <w:i/>
        </w:rPr>
        <w:t>ambién</w:t>
      </w:r>
      <w:proofErr w:type="spellEnd"/>
      <w:proofErr w:type="gramEnd"/>
      <w:r w:rsidRPr="00522E82">
        <w:rPr>
          <w:b w:val="0"/>
          <w:i/>
        </w:rPr>
        <w:t xml:space="preserve"> fue aportada información sobre denuncias de personas que habrían sido coaccionadas para evitar que firmaran o para que, si ya lo habían hecho, después no revalidaran su firma, así como testimonios que refieren a situaciones de rechazo de solicitudes de trabajo en cargos públicos a firmantes o a la prohibición de que éstos fuesen beneficiarios de ciertos programas de asistencia social</w:t>
      </w:r>
      <w:r w:rsidR="0043578C" w:rsidRPr="00522E82">
        <w:rPr>
          <w:b w:val="0"/>
          <w:i/>
        </w:rPr>
        <w:t>”</w:t>
      </w:r>
      <w:r w:rsidRPr="00522E82">
        <w:rPr>
          <w:b w:val="0"/>
          <w:i/>
        </w:rPr>
        <w:t xml:space="preserve">. </w:t>
      </w:r>
      <w:r w:rsidR="0043578C" w:rsidRPr="00522E82">
        <w:rPr>
          <w:b w:val="0"/>
        </w:rPr>
        <w:t xml:space="preserve">Y agrega que </w:t>
      </w:r>
      <w:r w:rsidR="0043578C" w:rsidRPr="00522E82">
        <w:rPr>
          <w:b w:val="0"/>
          <w:i/>
        </w:rPr>
        <w:t>“(s</w:t>
      </w:r>
      <w:proofErr w:type="gramStart"/>
      <w:r w:rsidR="0043578C" w:rsidRPr="00522E82">
        <w:rPr>
          <w:b w:val="0"/>
          <w:i/>
        </w:rPr>
        <w:t>)</w:t>
      </w:r>
      <w:r w:rsidRPr="00522E82">
        <w:rPr>
          <w:b w:val="0"/>
          <w:i/>
        </w:rPr>
        <w:t>e</w:t>
      </w:r>
      <w:proofErr w:type="gramEnd"/>
      <w:r w:rsidRPr="00522E82">
        <w:rPr>
          <w:b w:val="0"/>
          <w:i/>
        </w:rPr>
        <w:t xml:space="preserve"> refirió que jueces e inspectores de trabajo no modificaban las decisiones de despidos o terminaciones de contratos y que la Fiscalía General de la República o la Defensoría del Pueblo</w:t>
      </w:r>
      <w:r w:rsidRPr="00522E82">
        <w:rPr>
          <w:rStyle w:val="FootnoteReference"/>
          <w:b w:val="0"/>
          <w:i/>
        </w:rPr>
        <w:t xml:space="preserve"> </w:t>
      </w:r>
      <w:r w:rsidRPr="00522E82">
        <w:rPr>
          <w:b w:val="0"/>
          <w:i/>
        </w:rPr>
        <w:t>tampoco habrían intervenido en ese sentido</w:t>
      </w:r>
      <w:r w:rsidR="0043578C" w:rsidRPr="00522E82">
        <w:rPr>
          <w:b w:val="0"/>
          <w:i/>
        </w:rPr>
        <w:t xml:space="preserve">”, </w:t>
      </w:r>
      <w:r w:rsidR="0043578C" w:rsidRPr="00522E82">
        <w:rPr>
          <w:b w:val="0"/>
        </w:rPr>
        <w:t>concluyendo en que “(</w:t>
      </w:r>
      <w:r w:rsidR="0043578C" w:rsidRPr="00522E82">
        <w:rPr>
          <w:b w:val="0"/>
          <w:i/>
        </w:rPr>
        <w:t>d)</w:t>
      </w:r>
      <w:r w:rsidRPr="00522E82">
        <w:rPr>
          <w:b w:val="0"/>
          <w:i/>
        </w:rPr>
        <w:t>e hecho, posteriormente el propio Fiscal General de la República reconocería la posible existencia de múltiples denuncias al ordenar, en abril de 2005, la apertura de una investigación por casos de discriminación política”</w:t>
      </w:r>
      <w:r w:rsidRPr="00522E82">
        <w:rPr>
          <w:rStyle w:val="FootnoteReference"/>
          <w:b w:val="0"/>
          <w:i/>
        </w:rPr>
        <w:footnoteReference w:id="14"/>
      </w:r>
    </w:p>
    <w:p w:rsidR="009A2F63" w:rsidRPr="00954476" w:rsidRDefault="009A2F63" w:rsidP="00846C91">
      <w:pPr>
        <w:pBdr>
          <w:top w:val="nil"/>
        </w:pBdr>
        <w:autoSpaceDE w:val="0"/>
        <w:autoSpaceDN w:val="0"/>
        <w:adjustRightInd w:val="0"/>
        <w:spacing w:after="0" w:line="240" w:lineRule="auto"/>
        <w:jc w:val="both"/>
        <w:rPr>
          <w:rFonts w:ascii="Verdana" w:hAnsi="Verdana"/>
          <w:sz w:val="20"/>
          <w:szCs w:val="20"/>
        </w:rPr>
      </w:pPr>
    </w:p>
    <w:p w:rsidR="009A2F63" w:rsidRPr="00522E82" w:rsidRDefault="001E429C" w:rsidP="00846C91">
      <w:pPr>
        <w:pStyle w:val="Title"/>
        <w:numPr>
          <w:ilvl w:val="0"/>
          <w:numId w:val="8"/>
        </w:numPr>
        <w:ind w:left="0" w:right="-138" w:firstLine="0"/>
        <w:rPr>
          <w:b w:val="0"/>
          <w:spacing w:val="-3"/>
        </w:rPr>
      </w:pPr>
      <w:r w:rsidRPr="00522E82">
        <w:rPr>
          <w:b w:val="0"/>
        </w:rPr>
        <w:t xml:space="preserve">Del mismo modo, no hay correspondencia entre lo resuelto por la Sentencia y su afirmación en orden </w:t>
      </w:r>
      <w:r w:rsidR="009A2F63" w:rsidRPr="00522E82">
        <w:rPr>
          <w:b w:val="0"/>
        </w:rPr>
        <w:t xml:space="preserve">a </w:t>
      </w:r>
      <w:r w:rsidR="009A2F63" w:rsidRPr="00522E82">
        <w:rPr>
          <w:b w:val="0"/>
          <w:spacing w:val="-3"/>
        </w:rPr>
        <w:t>“</w:t>
      </w:r>
      <w:r w:rsidR="009A2F63" w:rsidRPr="00522E82">
        <w:rPr>
          <w:b w:val="0"/>
          <w:i/>
          <w:spacing w:val="-3"/>
        </w:rPr>
        <w:t>que las autoridades sí utilizaron esas firmas (</w:t>
      </w:r>
      <w:r w:rsidR="009A2F63" w:rsidRPr="00522E82">
        <w:rPr>
          <w:b w:val="0"/>
          <w:spacing w:val="-3"/>
        </w:rPr>
        <w:t>de solicitud de referendo</w:t>
      </w:r>
      <w:r w:rsidR="009A2F63" w:rsidRPr="00522E82">
        <w:rPr>
          <w:b w:val="0"/>
          <w:i/>
          <w:spacing w:val="-3"/>
        </w:rPr>
        <w:t>) para amedrentar a los ciudadanos a fin de que no se expresaran de igual manera</w:t>
      </w:r>
      <w:r w:rsidR="009A2F63" w:rsidRPr="00522E82">
        <w:rPr>
          <w:b w:val="0"/>
          <w:spacing w:val="-3"/>
        </w:rPr>
        <w:t xml:space="preserve">” y que </w:t>
      </w:r>
      <w:r w:rsidR="009A2F63" w:rsidRPr="00522E82">
        <w:rPr>
          <w:b w:val="0"/>
          <w:i/>
          <w:spacing w:val="-3"/>
        </w:rPr>
        <w:t xml:space="preserve">“(e)l despido arbitrario al que fueron sometidas (las víctimas), luego de la publicación de la lista Tascón y en un contexto de denuncias de despidos arbitrarios y de otras formas de represalia para quienes habían firmado por el referendo, tenía la intención encubierta de acallar y desincentivar la disidencia política, pues fue instrumentalizado como factor ejemplarizante para que otras personas que ejercieron esa misma libertad se vieran amedrentadas de participar políticamente y eventualmente motivadas de manera ilegítima a retirar o “reparar” sus firmas en el procedimiento establecido por el </w:t>
      </w:r>
      <w:r w:rsidR="009A2F63" w:rsidRPr="00522E82">
        <w:rPr>
          <w:b w:val="0"/>
          <w:i/>
        </w:rPr>
        <w:t>Consejo Nacional Electoral</w:t>
      </w:r>
      <w:r w:rsidR="009A2F63" w:rsidRPr="00522E82">
        <w:rPr>
          <w:b w:val="0"/>
          <w:i/>
          <w:spacing w:val="-3"/>
        </w:rPr>
        <w:t xml:space="preserve"> al efecto”</w:t>
      </w:r>
      <w:r w:rsidR="009A2F63" w:rsidRPr="00522E82">
        <w:rPr>
          <w:rStyle w:val="FootnoteReference"/>
          <w:b w:val="0"/>
          <w:i/>
          <w:spacing w:val="-3"/>
        </w:rPr>
        <w:footnoteReference w:id="15"/>
      </w:r>
      <w:r w:rsidR="009A2F63" w:rsidRPr="00522E82">
        <w:rPr>
          <w:b w:val="0"/>
          <w:i/>
          <w:spacing w:val="-3"/>
        </w:rPr>
        <w:t xml:space="preserve">. </w:t>
      </w:r>
    </w:p>
    <w:p w:rsidR="009A2F63" w:rsidRPr="00954476" w:rsidRDefault="009A2F63" w:rsidP="00846C91">
      <w:pPr>
        <w:pBdr>
          <w:top w:val="nil"/>
        </w:pBdr>
        <w:autoSpaceDE w:val="0"/>
        <w:autoSpaceDN w:val="0"/>
        <w:adjustRightInd w:val="0"/>
        <w:spacing w:after="0" w:line="240" w:lineRule="auto"/>
        <w:jc w:val="both"/>
        <w:rPr>
          <w:rFonts w:ascii="Verdana" w:hAnsi="Verdana"/>
          <w:sz w:val="20"/>
          <w:szCs w:val="20"/>
        </w:rPr>
      </w:pPr>
    </w:p>
    <w:p w:rsidR="009C1BF0" w:rsidRPr="00522E82" w:rsidRDefault="00552EB2" w:rsidP="00846C91">
      <w:pPr>
        <w:pStyle w:val="Title"/>
        <w:numPr>
          <w:ilvl w:val="0"/>
          <w:numId w:val="8"/>
        </w:numPr>
        <w:ind w:left="0" w:right="-138" w:firstLine="0"/>
        <w:rPr>
          <w:rFonts w:cs="Arial"/>
          <w:b w:val="0"/>
        </w:rPr>
      </w:pPr>
      <w:r w:rsidRPr="00522E82">
        <w:rPr>
          <w:b w:val="0"/>
        </w:rPr>
        <w:t>Y todavía menos relación tiene</w:t>
      </w:r>
      <w:r w:rsidR="001E429C" w:rsidRPr="00522E82">
        <w:rPr>
          <w:b w:val="0"/>
        </w:rPr>
        <w:t xml:space="preserve"> todavía</w:t>
      </w:r>
      <w:r w:rsidRPr="00522E82">
        <w:rPr>
          <w:b w:val="0"/>
        </w:rPr>
        <w:t xml:space="preserve"> lo resulto en la Sente</w:t>
      </w:r>
      <w:r w:rsidR="001E429C" w:rsidRPr="00522E82">
        <w:rPr>
          <w:b w:val="0"/>
        </w:rPr>
        <w:t>ncia con lo que en ella misma se sostiene</w:t>
      </w:r>
      <w:r w:rsidRPr="00522E82">
        <w:rPr>
          <w:b w:val="0"/>
        </w:rPr>
        <w:t xml:space="preserve"> </w:t>
      </w:r>
      <w:r w:rsidR="001E429C" w:rsidRPr="00522E82">
        <w:rPr>
          <w:b w:val="0"/>
        </w:rPr>
        <w:t>en lo relativo</w:t>
      </w:r>
      <w:r w:rsidR="0043578C" w:rsidRPr="00522E82">
        <w:rPr>
          <w:b w:val="0"/>
        </w:rPr>
        <w:t>, por una parte,</w:t>
      </w:r>
      <w:r w:rsidR="0062012C" w:rsidRPr="00522E82">
        <w:rPr>
          <w:b w:val="0"/>
        </w:rPr>
        <w:t xml:space="preserve"> a que </w:t>
      </w:r>
      <w:r w:rsidR="009C1BF0" w:rsidRPr="00522E82">
        <w:rPr>
          <w:b w:val="0"/>
          <w:i/>
        </w:rPr>
        <w:t xml:space="preserve">“(s)ería posible considerar que hay elementos que </w:t>
      </w:r>
      <w:r w:rsidR="009C1BF0" w:rsidRPr="00522E82">
        <w:rPr>
          <w:rFonts w:cs="Arial"/>
          <w:b w:val="0"/>
          <w:i/>
        </w:rPr>
        <w:t>permitirían analizar si los funcionarios de la administración de justicia que intervinieron se vieron sometidos a restricciones indebidas en el ejercicio de su función por parte de personas u órganos ajenos al Poder Judicial</w:t>
      </w:r>
      <w:r w:rsidR="0043578C" w:rsidRPr="00522E82">
        <w:rPr>
          <w:rFonts w:cs="Arial"/>
          <w:b w:val="0"/>
          <w:i/>
        </w:rPr>
        <w:t xml:space="preserve">” </w:t>
      </w:r>
      <w:r w:rsidR="0043578C" w:rsidRPr="00522E82">
        <w:rPr>
          <w:rFonts w:cs="Arial"/>
          <w:b w:val="0"/>
        </w:rPr>
        <w:t>y por la otra parte, a que</w:t>
      </w:r>
      <w:r w:rsidR="003F4131" w:rsidRPr="00522E82">
        <w:rPr>
          <w:rFonts w:cs="Arial"/>
          <w:b w:val="0"/>
        </w:rPr>
        <w:t xml:space="preserve"> </w:t>
      </w:r>
      <w:r w:rsidR="003F4131" w:rsidRPr="00522E82">
        <w:rPr>
          <w:rFonts w:cs="Arial"/>
          <w:b w:val="0"/>
          <w:i/>
        </w:rPr>
        <w:t>“(a)</w:t>
      </w:r>
      <w:r w:rsidR="009C1BF0" w:rsidRPr="00522E82">
        <w:rPr>
          <w:b w:val="0"/>
          <w:i/>
        </w:rPr>
        <w:t>demás, no es menos cierto que,</w:t>
      </w:r>
      <w:r w:rsidR="009C1BF0" w:rsidRPr="00522E82">
        <w:rPr>
          <w:rFonts w:cs="BookAntiqua"/>
          <w:b w:val="0"/>
          <w:i/>
        </w:rPr>
        <w:t xml:space="preserve"> según ha sido constatado en varios casos ante este Tribunal, durante los períodos relevantes a los hechos de este caso, en Venezuela fueron detectadas diversas situaciones que obstaculizaban o afectaban la independencia judicial, relacionadas con normas y prácticas asociadas al proceso de </w:t>
      </w:r>
      <w:r w:rsidR="009C1BF0" w:rsidRPr="00522E82">
        <w:rPr>
          <w:rFonts w:cs="BookAntiqua"/>
          <w:b w:val="0"/>
          <w:i/>
        </w:rPr>
        <w:lastRenderedPageBreak/>
        <w:t>reestructuración del Poder Judicial iniciado en 1999 (y que se extendió por más de 10 años); la provisionalidad de los jueces; la falta de garantías en procedimientos disciplinarios contra jueces; conductas amedrentadoras de altos funcionarios del Poder Ejecutivo hacia determinados jueces por adoptar decisiones en el ejercicio de sus funciones; la falta de un código de ética judicial que garantizara la imparcialidad e independencia del órgano disciplinario</w:t>
      </w:r>
      <w:r w:rsidR="00653B07" w:rsidRPr="00522E82">
        <w:rPr>
          <w:rFonts w:cs="BookAntiqua"/>
          <w:b w:val="0"/>
          <w:i/>
        </w:rPr>
        <w:t>”</w:t>
      </w:r>
      <w:r w:rsidR="009C1BF0" w:rsidRPr="00522E82">
        <w:rPr>
          <w:rStyle w:val="FootnoteReference"/>
          <w:rFonts w:cs="BookAntiqua"/>
          <w:b w:val="0"/>
        </w:rPr>
        <w:footnoteReference w:id="16"/>
      </w:r>
      <w:r w:rsidR="00653B07" w:rsidRPr="00522E82">
        <w:rPr>
          <w:rFonts w:cs="Arial"/>
          <w:b w:val="0"/>
        </w:rPr>
        <w:t>.</w:t>
      </w:r>
    </w:p>
    <w:p w:rsidR="009C1BF0" w:rsidRPr="00954476" w:rsidRDefault="009C1BF0" w:rsidP="00846C91">
      <w:pPr>
        <w:pBdr>
          <w:top w:val="nil"/>
        </w:pBdr>
        <w:autoSpaceDE w:val="0"/>
        <w:autoSpaceDN w:val="0"/>
        <w:adjustRightInd w:val="0"/>
        <w:spacing w:after="0" w:line="240" w:lineRule="auto"/>
        <w:jc w:val="both"/>
        <w:rPr>
          <w:rFonts w:ascii="Verdana" w:hAnsi="Verdana" w:cs="Arial"/>
          <w:sz w:val="20"/>
          <w:szCs w:val="20"/>
        </w:rPr>
      </w:pPr>
    </w:p>
    <w:p w:rsidR="00C4480F" w:rsidRPr="00522E82" w:rsidRDefault="00552EB2" w:rsidP="00846C91">
      <w:pPr>
        <w:pStyle w:val="Title"/>
        <w:numPr>
          <w:ilvl w:val="0"/>
          <w:numId w:val="8"/>
        </w:numPr>
        <w:ind w:left="0" w:right="-138" w:firstLine="0"/>
        <w:rPr>
          <w:b w:val="0"/>
          <w:spacing w:val="-3"/>
        </w:rPr>
      </w:pPr>
      <w:r w:rsidRPr="00522E82">
        <w:rPr>
          <w:rFonts w:cs="Arial"/>
          <w:b w:val="0"/>
        </w:rPr>
        <w:t xml:space="preserve">De todo lo </w:t>
      </w:r>
      <w:r w:rsidRPr="00522E82">
        <w:rPr>
          <w:b w:val="0"/>
        </w:rPr>
        <w:t>transcrito</w:t>
      </w:r>
      <w:r w:rsidRPr="00522E82">
        <w:rPr>
          <w:rFonts w:cs="Arial"/>
          <w:b w:val="0"/>
        </w:rPr>
        <w:t xml:space="preserve">, </w:t>
      </w:r>
      <w:r w:rsidR="00C4480F" w:rsidRPr="00522E82">
        <w:rPr>
          <w:b w:val="0"/>
          <w:spacing w:val="-3"/>
        </w:rPr>
        <w:t xml:space="preserve">resulta evidente, en consecuencia, que </w:t>
      </w:r>
      <w:r w:rsidR="00587692" w:rsidRPr="00522E82">
        <w:rPr>
          <w:b w:val="0"/>
          <w:spacing w:val="-3"/>
        </w:rPr>
        <w:t xml:space="preserve">el </w:t>
      </w:r>
      <w:r w:rsidR="00C4480F" w:rsidRPr="00522E82">
        <w:rPr>
          <w:b w:val="0"/>
          <w:spacing w:val="-3"/>
        </w:rPr>
        <w:t>amedrentamiento</w:t>
      </w:r>
      <w:r w:rsidR="00587692" w:rsidRPr="00522E82">
        <w:rPr>
          <w:b w:val="0"/>
          <w:spacing w:val="-3"/>
        </w:rPr>
        <w:t xml:space="preserve"> realizado por las autoridades gubernamentales y señalado por la Sentencia, </w:t>
      </w:r>
      <w:r w:rsidR="00C4480F" w:rsidRPr="00522E82">
        <w:rPr>
          <w:b w:val="0"/>
          <w:spacing w:val="-3"/>
        </w:rPr>
        <w:t>lo fue asimismo para que todos los órganos del Estado</w:t>
      </w:r>
      <w:r w:rsidR="001E429C" w:rsidRPr="00522E82">
        <w:rPr>
          <w:b w:val="0"/>
          <w:spacing w:val="-3"/>
        </w:rPr>
        <w:t xml:space="preserve"> </w:t>
      </w:r>
      <w:r w:rsidR="00C4480F" w:rsidRPr="00522E82">
        <w:rPr>
          <w:b w:val="0"/>
          <w:spacing w:val="-3"/>
        </w:rPr>
        <w:t xml:space="preserve">procedieran acorde a las políticas por </w:t>
      </w:r>
      <w:r w:rsidR="00002C0F" w:rsidRPr="00522E82">
        <w:rPr>
          <w:b w:val="0"/>
          <w:spacing w:val="-3"/>
        </w:rPr>
        <w:t>aqu</w:t>
      </w:r>
      <w:r w:rsidR="00C4480F" w:rsidRPr="00522E82">
        <w:rPr>
          <w:b w:val="0"/>
          <w:spacing w:val="-3"/>
        </w:rPr>
        <w:t>ellas impartida</w:t>
      </w:r>
      <w:r w:rsidR="00587692" w:rsidRPr="00522E82">
        <w:rPr>
          <w:b w:val="0"/>
          <w:spacing w:val="-3"/>
        </w:rPr>
        <w:t>s o aplicadas</w:t>
      </w:r>
      <w:r w:rsidR="00731269" w:rsidRPr="00522E82">
        <w:rPr>
          <w:b w:val="0"/>
          <w:spacing w:val="-3"/>
        </w:rPr>
        <w:t>, de suerte de garantizar su éxito</w:t>
      </w:r>
      <w:r w:rsidR="00587692" w:rsidRPr="00522E82">
        <w:rPr>
          <w:b w:val="0"/>
          <w:spacing w:val="-3"/>
        </w:rPr>
        <w:t>. Y así s</w:t>
      </w:r>
      <w:r w:rsidR="00C4480F" w:rsidRPr="00522E82">
        <w:rPr>
          <w:b w:val="0"/>
          <w:spacing w:val="-3"/>
        </w:rPr>
        <w:t xml:space="preserve">e desprende </w:t>
      </w:r>
      <w:r w:rsidR="00587692" w:rsidRPr="00522E82">
        <w:rPr>
          <w:b w:val="0"/>
          <w:spacing w:val="-3"/>
        </w:rPr>
        <w:t xml:space="preserve">lógicamente y </w:t>
      </w:r>
      <w:r w:rsidR="00C4480F" w:rsidRPr="00522E82">
        <w:rPr>
          <w:b w:val="0"/>
          <w:spacing w:val="-3"/>
        </w:rPr>
        <w:t>con facilidad que el Poder Judicial,</w:t>
      </w:r>
      <w:r w:rsidR="00587692" w:rsidRPr="00522E82">
        <w:rPr>
          <w:b w:val="0"/>
          <w:spacing w:val="-3"/>
        </w:rPr>
        <w:t xml:space="preserve"> tan dependiente del Poder Ejecutivo, tal como la propia Sentencia lo reconoce, era, sin duda, objeto preferen</w:t>
      </w:r>
      <w:r w:rsidR="00731269" w:rsidRPr="00522E82">
        <w:rPr>
          <w:b w:val="0"/>
          <w:spacing w:val="-3"/>
        </w:rPr>
        <w:t>te de dicho amedrenta</w:t>
      </w:r>
      <w:r w:rsidR="00587692" w:rsidRPr="00522E82">
        <w:rPr>
          <w:b w:val="0"/>
          <w:spacing w:val="-3"/>
        </w:rPr>
        <w:t>miento en consideración</w:t>
      </w:r>
      <w:r w:rsidR="00731269" w:rsidRPr="00522E82">
        <w:rPr>
          <w:b w:val="0"/>
          <w:spacing w:val="-3"/>
        </w:rPr>
        <w:t xml:space="preserve"> a que, en tanto </w:t>
      </w:r>
      <w:r w:rsidR="00C4480F" w:rsidRPr="00522E82">
        <w:rPr>
          <w:b w:val="0"/>
          <w:spacing w:val="-3"/>
        </w:rPr>
        <w:t>encargado de hacer respetar los derechos de los ciudadanos</w:t>
      </w:r>
      <w:r w:rsidR="00731269" w:rsidRPr="00522E82">
        <w:rPr>
          <w:b w:val="0"/>
          <w:spacing w:val="-3"/>
        </w:rPr>
        <w:t>, no procediera de tal manera que dejara sin efecto la pretensión gubernamental “</w:t>
      </w:r>
      <w:r w:rsidR="00731269" w:rsidRPr="00522E82">
        <w:rPr>
          <w:b w:val="0"/>
          <w:i/>
          <w:spacing w:val="-3"/>
        </w:rPr>
        <w:t>de acallar y desincentivar la disidencia política”</w:t>
      </w:r>
      <w:r w:rsidR="00731269" w:rsidRPr="00522E82">
        <w:rPr>
          <w:b w:val="0"/>
          <w:spacing w:val="-3"/>
        </w:rPr>
        <w:t>.</w:t>
      </w:r>
    </w:p>
    <w:p w:rsidR="00430DF3" w:rsidRPr="00954476" w:rsidRDefault="00430DF3" w:rsidP="00846C91">
      <w:pPr>
        <w:pBdr>
          <w:top w:val="nil"/>
        </w:pBdr>
        <w:spacing w:after="0" w:line="240" w:lineRule="auto"/>
        <w:jc w:val="both"/>
        <w:rPr>
          <w:rFonts w:ascii="Verdana" w:hAnsi="Verdana"/>
          <w:spacing w:val="-3"/>
          <w:sz w:val="20"/>
          <w:szCs w:val="20"/>
        </w:rPr>
      </w:pPr>
    </w:p>
    <w:p w:rsidR="00430DF3" w:rsidRPr="00522E82" w:rsidRDefault="00430DF3" w:rsidP="00846C91">
      <w:pPr>
        <w:pStyle w:val="Title"/>
        <w:numPr>
          <w:ilvl w:val="0"/>
          <w:numId w:val="8"/>
        </w:numPr>
        <w:ind w:left="0" w:right="-138" w:firstLine="0"/>
        <w:rPr>
          <w:b w:val="0"/>
          <w:spacing w:val="-3"/>
        </w:rPr>
      </w:pPr>
      <w:r w:rsidRPr="00522E82">
        <w:rPr>
          <w:b w:val="0"/>
          <w:spacing w:val="-3"/>
        </w:rPr>
        <w:t xml:space="preserve">En </w:t>
      </w:r>
      <w:r w:rsidRPr="00522E82">
        <w:rPr>
          <w:rFonts w:cs="Arial"/>
          <w:b w:val="0"/>
        </w:rPr>
        <w:t>síntesis</w:t>
      </w:r>
      <w:r w:rsidRPr="00522E82">
        <w:rPr>
          <w:b w:val="0"/>
          <w:spacing w:val="-3"/>
        </w:rPr>
        <w:t>, en el presente escrito se estima que, en cuanto a la presente causa, la independencia judicial en el Estado se encontraba gravemente afectada y ello consta no solo del contexto general, sino que nítidamente se d</w:t>
      </w:r>
      <w:r w:rsidR="00586214" w:rsidRPr="00522E82">
        <w:rPr>
          <w:b w:val="0"/>
          <w:spacing w:val="-3"/>
        </w:rPr>
        <w:t xml:space="preserve">esprende </w:t>
      </w:r>
      <w:r w:rsidR="00653B07" w:rsidRPr="00522E82">
        <w:rPr>
          <w:b w:val="0"/>
          <w:spacing w:val="-3"/>
        </w:rPr>
        <w:t xml:space="preserve">de lo acreditado en autos, </w:t>
      </w:r>
      <w:r w:rsidR="003F4131" w:rsidRPr="00522E82">
        <w:rPr>
          <w:b w:val="0"/>
          <w:spacing w:val="-3"/>
        </w:rPr>
        <w:t xml:space="preserve">en especial, </w:t>
      </w:r>
      <w:r w:rsidR="00586214" w:rsidRPr="00522E82">
        <w:rPr>
          <w:b w:val="0"/>
          <w:spacing w:val="-3"/>
        </w:rPr>
        <w:t>el efecto intimidante</w:t>
      </w:r>
      <w:r w:rsidRPr="00522E82">
        <w:rPr>
          <w:b w:val="0"/>
          <w:spacing w:val="-3"/>
        </w:rPr>
        <w:t xml:space="preserve"> de la acción gubernamen</w:t>
      </w:r>
      <w:r w:rsidR="00954476" w:rsidRPr="00522E82">
        <w:rPr>
          <w:b w:val="0"/>
          <w:spacing w:val="-3"/>
        </w:rPr>
        <w:t>tal, la que no solo estaba dirigida</w:t>
      </w:r>
      <w:r w:rsidRPr="00522E82">
        <w:rPr>
          <w:b w:val="0"/>
          <w:spacing w:val="-3"/>
        </w:rPr>
        <w:t xml:space="preserve"> a los probables impulsores del acto revocatorio en cuestión, sino asimismo a los entes estatales con competencia para actuar a su respecto y, entonces, en especial, </w:t>
      </w:r>
      <w:r w:rsidR="00954476" w:rsidRPr="00522E82">
        <w:rPr>
          <w:b w:val="0"/>
          <w:spacing w:val="-3"/>
        </w:rPr>
        <w:t xml:space="preserve">a </w:t>
      </w:r>
      <w:r w:rsidRPr="00522E82">
        <w:rPr>
          <w:b w:val="0"/>
          <w:spacing w:val="-3"/>
        </w:rPr>
        <w:t>los tribunales de justicia</w:t>
      </w:r>
      <w:r w:rsidR="00586214" w:rsidRPr="00522E82">
        <w:rPr>
          <w:b w:val="0"/>
          <w:spacing w:val="-3"/>
        </w:rPr>
        <w:t>.</w:t>
      </w:r>
    </w:p>
    <w:p w:rsidR="00D17339" w:rsidRPr="00954476" w:rsidRDefault="00D17339" w:rsidP="00846C91">
      <w:pPr>
        <w:pBdr>
          <w:top w:val="nil"/>
        </w:pBdr>
        <w:autoSpaceDE w:val="0"/>
        <w:autoSpaceDN w:val="0"/>
        <w:adjustRightInd w:val="0"/>
        <w:spacing w:after="0" w:line="240" w:lineRule="auto"/>
        <w:jc w:val="both"/>
        <w:rPr>
          <w:rFonts w:ascii="Verdana" w:hAnsi="Verdana"/>
          <w:spacing w:val="-3"/>
          <w:sz w:val="20"/>
          <w:szCs w:val="20"/>
        </w:rPr>
      </w:pPr>
    </w:p>
    <w:p w:rsidR="00552EB2" w:rsidRPr="00954476" w:rsidRDefault="00552EB2" w:rsidP="00846C91">
      <w:pPr>
        <w:pStyle w:val="Title"/>
        <w:numPr>
          <w:ilvl w:val="0"/>
          <w:numId w:val="6"/>
        </w:numPr>
        <w:ind w:right="-138"/>
        <w:rPr>
          <w:b w:val="0"/>
          <w:spacing w:val="-3"/>
        </w:rPr>
      </w:pPr>
      <w:r w:rsidRPr="00A763A1">
        <w:rPr>
          <w:lang w:val="es-ES"/>
        </w:rPr>
        <w:t>Conclusión</w:t>
      </w:r>
      <w:r w:rsidRPr="00954476">
        <w:rPr>
          <w:spacing w:val="-3"/>
        </w:rPr>
        <w:t>.</w:t>
      </w:r>
    </w:p>
    <w:p w:rsidR="00552EB2" w:rsidRPr="00954476" w:rsidRDefault="00552EB2" w:rsidP="00846C91">
      <w:pPr>
        <w:pBdr>
          <w:top w:val="nil"/>
        </w:pBdr>
        <w:autoSpaceDE w:val="0"/>
        <w:autoSpaceDN w:val="0"/>
        <w:adjustRightInd w:val="0"/>
        <w:spacing w:after="0" w:line="240" w:lineRule="auto"/>
        <w:jc w:val="both"/>
        <w:rPr>
          <w:rFonts w:ascii="Verdana" w:hAnsi="Verdana"/>
          <w:spacing w:val="-3"/>
          <w:sz w:val="20"/>
          <w:szCs w:val="20"/>
        </w:rPr>
      </w:pPr>
    </w:p>
    <w:p w:rsidR="00D17339" w:rsidRPr="00522E82" w:rsidRDefault="00552EB2" w:rsidP="00846C91">
      <w:pPr>
        <w:pStyle w:val="Title"/>
        <w:numPr>
          <w:ilvl w:val="0"/>
          <w:numId w:val="8"/>
        </w:numPr>
        <w:ind w:left="0" w:right="-138" w:firstLine="0"/>
        <w:rPr>
          <w:b w:val="0"/>
          <w:spacing w:val="-3"/>
        </w:rPr>
      </w:pPr>
      <w:r w:rsidRPr="00522E82">
        <w:rPr>
          <w:b w:val="0"/>
          <w:spacing w:val="-3"/>
        </w:rPr>
        <w:t xml:space="preserve">Es, entonces, en mérito de las respectivas consideraciones formuladas precedentemente, que no se pueden compartir los Resolutivos N°s. 4 y 7 de la Sentencia. </w:t>
      </w:r>
    </w:p>
    <w:p w:rsidR="00F90B1E" w:rsidRDefault="00F90B1E" w:rsidP="00846C91">
      <w:pPr>
        <w:pBdr>
          <w:top w:val="nil"/>
        </w:pBdr>
        <w:autoSpaceDE w:val="0"/>
        <w:autoSpaceDN w:val="0"/>
        <w:adjustRightInd w:val="0"/>
        <w:spacing w:after="0" w:line="240" w:lineRule="auto"/>
        <w:jc w:val="both"/>
        <w:rPr>
          <w:rFonts w:ascii="Verdana" w:hAnsi="Verdana"/>
          <w:spacing w:val="-3"/>
          <w:sz w:val="20"/>
          <w:szCs w:val="20"/>
        </w:rPr>
      </w:pPr>
    </w:p>
    <w:p w:rsidR="00635BAA" w:rsidRDefault="00635BAA" w:rsidP="00846C91">
      <w:pPr>
        <w:pBdr>
          <w:top w:val="nil"/>
        </w:pBdr>
        <w:autoSpaceDE w:val="0"/>
        <w:autoSpaceDN w:val="0"/>
        <w:adjustRightInd w:val="0"/>
        <w:spacing w:after="0" w:line="240" w:lineRule="auto"/>
        <w:jc w:val="both"/>
        <w:rPr>
          <w:rFonts w:ascii="Verdana" w:hAnsi="Verdana"/>
          <w:spacing w:val="-3"/>
          <w:sz w:val="20"/>
          <w:szCs w:val="20"/>
        </w:rPr>
      </w:pPr>
    </w:p>
    <w:p w:rsidR="00F90B1E" w:rsidRPr="00954476" w:rsidRDefault="00F90B1E" w:rsidP="00846C91">
      <w:pPr>
        <w:pBdr>
          <w:top w:val="nil"/>
        </w:pBdr>
        <w:autoSpaceDE w:val="0"/>
        <w:autoSpaceDN w:val="0"/>
        <w:adjustRightInd w:val="0"/>
        <w:spacing w:after="0" w:line="240" w:lineRule="auto"/>
        <w:jc w:val="both"/>
        <w:rPr>
          <w:rFonts w:ascii="Verdana" w:hAnsi="Verdana"/>
          <w:spacing w:val="-3"/>
          <w:sz w:val="20"/>
          <w:szCs w:val="20"/>
        </w:rPr>
      </w:pPr>
    </w:p>
    <w:p w:rsidR="00552EB2" w:rsidRPr="00954476" w:rsidRDefault="00552EB2" w:rsidP="00846C91">
      <w:pPr>
        <w:pBdr>
          <w:top w:val="nil"/>
        </w:pBdr>
        <w:autoSpaceDE w:val="0"/>
        <w:autoSpaceDN w:val="0"/>
        <w:adjustRightInd w:val="0"/>
        <w:spacing w:after="0" w:line="240" w:lineRule="auto"/>
        <w:jc w:val="right"/>
        <w:rPr>
          <w:rFonts w:ascii="Verdana" w:hAnsi="Verdana"/>
          <w:spacing w:val="-3"/>
          <w:sz w:val="20"/>
          <w:szCs w:val="20"/>
        </w:rPr>
      </w:pPr>
    </w:p>
    <w:p w:rsidR="00552EB2" w:rsidRPr="00954476" w:rsidRDefault="00C8489F" w:rsidP="00846C91">
      <w:pPr>
        <w:pBdr>
          <w:top w:val="nil"/>
        </w:pBdr>
        <w:autoSpaceDE w:val="0"/>
        <w:autoSpaceDN w:val="0"/>
        <w:adjustRightInd w:val="0"/>
        <w:spacing w:after="0" w:line="240" w:lineRule="auto"/>
        <w:ind w:left="4956" w:firstLine="708"/>
        <w:jc w:val="center"/>
        <w:rPr>
          <w:rFonts w:ascii="Verdana" w:hAnsi="Verdana"/>
          <w:spacing w:val="-3"/>
          <w:sz w:val="20"/>
          <w:szCs w:val="20"/>
        </w:rPr>
      </w:pPr>
      <w:r>
        <w:rPr>
          <w:rFonts w:ascii="Verdana" w:hAnsi="Verdana"/>
          <w:spacing w:val="-3"/>
          <w:sz w:val="20"/>
          <w:szCs w:val="20"/>
        </w:rPr>
        <w:t xml:space="preserve">      </w:t>
      </w:r>
      <w:r w:rsidR="00552EB2" w:rsidRPr="00954476">
        <w:rPr>
          <w:rFonts w:ascii="Verdana" w:hAnsi="Verdana"/>
          <w:spacing w:val="-3"/>
          <w:sz w:val="20"/>
          <w:szCs w:val="20"/>
        </w:rPr>
        <w:t>Eduardo Vio Grossi</w:t>
      </w:r>
    </w:p>
    <w:p w:rsidR="00552EB2" w:rsidRPr="00954476" w:rsidRDefault="00C8489F" w:rsidP="00846C91">
      <w:pPr>
        <w:pBdr>
          <w:top w:val="nil"/>
        </w:pBdr>
        <w:autoSpaceDE w:val="0"/>
        <w:autoSpaceDN w:val="0"/>
        <w:adjustRightInd w:val="0"/>
        <w:spacing w:after="0" w:line="240" w:lineRule="auto"/>
        <w:ind w:left="6372" w:firstLine="708"/>
        <w:rPr>
          <w:rFonts w:ascii="Verdana" w:hAnsi="Verdana"/>
          <w:sz w:val="20"/>
          <w:szCs w:val="20"/>
        </w:rPr>
      </w:pPr>
      <w:r>
        <w:rPr>
          <w:rFonts w:ascii="Verdana" w:hAnsi="Verdana"/>
          <w:spacing w:val="-3"/>
          <w:sz w:val="20"/>
          <w:szCs w:val="20"/>
        </w:rPr>
        <w:t xml:space="preserve">   </w:t>
      </w:r>
      <w:r w:rsidR="00552EB2" w:rsidRPr="00954476">
        <w:rPr>
          <w:rFonts w:ascii="Verdana" w:hAnsi="Verdana"/>
          <w:spacing w:val="-3"/>
          <w:sz w:val="20"/>
          <w:szCs w:val="20"/>
        </w:rPr>
        <w:t>Juez</w:t>
      </w:r>
    </w:p>
    <w:p w:rsidR="008348E3" w:rsidRDefault="008348E3" w:rsidP="00846C91">
      <w:pPr>
        <w:spacing w:after="0" w:line="240" w:lineRule="auto"/>
        <w:jc w:val="both"/>
        <w:rPr>
          <w:rFonts w:ascii="Verdana" w:hAnsi="Verdana"/>
          <w:sz w:val="20"/>
          <w:szCs w:val="20"/>
          <w:lang w:val="es-ES"/>
        </w:rPr>
      </w:pPr>
    </w:p>
    <w:p w:rsidR="00635BAA" w:rsidRDefault="00635BAA" w:rsidP="00846C91">
      <w:pPr>
        <w:spacing w:after="0" w:line="240" w:lineRule="auto"/>
        <w:jc w:val="both"/>
        <w:rPr>
          <w:rFonts w:ascii="Verdana" w:hAnsi="Verdana"/>
          <w:sz w:val="20"/>
          <w:szCs w:val="20"/>
          <w:lang w:val="es-ES"/>
        </w:rPr>
      </w:pPr>
    </w:p>
    <w:p w:rsidR="00635BAA" w:rsidRDefault="00635BAA" w:rsidP="00846C91">
      <w:pPr>
        <w:spacing w:after="0" w:line="240" w:lineRule="auto"/>
        <w:jc w:val="both"/>
        <w:rPr>
          <w:rFonts w:ascii="Verdana" w:hAnsi="Verdana"/>
          <w:sz w:val="20"/>
          <w:szCs w:val="20"/>
          <w:lang w:val="es-ES"/>
        </w:rPr>
      </w:pPr>
    </w:p>
    <w:p w:rsidR="00635BAA" w:rsidRPr="008348E3" w:rsidRDefault="00635BAA" w:rsidP="00846C91">
      <w:pPr>
        <w:spacing w:after="0" w:line="240" w:lineRule="auto"/>
        <w:jc w:val="both"/>
        <w:rPr>
          <w:rFonts w:ascii="Verdana" w:hAnsi="Verdana"/>
          <w:sz w:val="20"/>
          <w:szCs w:val="20"/>
          <w:lang w:val="es-ES"/>
        </w:rPr>
      </w:pPr>
    </w:p>
    <w:p w:rsidR="00110A5F" w:rsidRPr="008348E3" w:rsidRDefault="00110A5F" w:rsidP="00846C91">
      <w:pPr>
        <w:pStyle w:val="Title"/>
        <w:numPr>
          <w:ilvl w:val="0"/>
          <w:numId w:val="0"/>
        </w:numPr>
        <w:ind w:right="-138"/>
        <w:rPr>
          <w:rFonts w:eastAsia="MS Mincho"/>
          <w:b w:val="0"/>
          <w:lang w:val="es-CR"/>
        </w:rPr>
      </w:pPr>
    </w:p>
    <w:p w:rsidR="00522E82" w:rsidRPr="00865A46" w:rsidRDefault="00522E82" w:rsidP="00846C91">
      <w:pPr>
        <w:tabs>
          <w:tab w:val="left" w:pos="1440"/>
        </w:tabs>
        <w:spacing w:after="0" w:line="240" w:lineRule="auto"/>
        <w:rPr>
          <w:rFonts w:ascii="Verdana" w:hAnsi="Verdana"/>
          <w:sz w:val="20"/>
          <w:szCs w:val="20"/>
        </w:rPr>
      </w:pPr>
      <w:r w:rsidRPr="00865A46">
        <w:rPr>
          <w:rFonts w:ascii="Verdana" w:hAnsi="Verdana"/>
          <w:sz w:val="20"/>
          <w:szCs w:val="20"/>
        </w:rPr>
        <w:t>Pablo Saavedra Alessandri</w:t>
      </w:r>
    </w:p>
    <w:p w:rsidR="00522E82" w:rsidRPr="00C8489F" w:rsidRDefault="00522E82" w:rsidP="00846C91">
      <w:pPr>
        <w:spacing w:after="0" w:line="240" w:lineRule="auto"/>
        <w:rPr>
          <w:rFonts w:ascii="Verdana" w:hAnsi="Verdana"/>
          <w:sz w:val="20"/>
          <w:szCs w:val="20"/>
        </w:rPr>
      </w:pPr>
      <w:r w:rsidRPr="00865A46">
        <w:rPr>
          <w:rFonts w:ascii="Verdana" w:hAnsi="Verdana"/>
          <w:sz w:val="20"/>
          <w:szCs w:val="20"/>
        </w:rPr>
        <w:tab/>
        <w:t>Secretario</w:t>
      </w:r>
    </w:p>
    <w:p w:rsidR="00E261DE" w:rsidRPr="00865A46" w:rsidRDefault="00E261DE" w:rsidP="00846C91">
      <w:pPr>
        <w:pStyle w:val="Title"/>
        <w:numPr>
          <w:ilvl w:val="0"/>
          <w:numId w:val="0"/>
        </w:numPr>
        <w:ind w:right="-138"/>
        <w:rPr>
          <w:rFonts w:eastAsia="MS Mincho"/>
          <w:b w:val="0"/>
          <w:lang w:val="es-CR"/>
        </w:rPr>
      </w:pPr>
    </w:p>
    <w:p w:rsidR="00A317F9" w:rsidRPr="00954476" w:rsidRDefault="00A317F9" w:rsidP="00846C91">
      <w:pPr>
        <w:spacing w:after="0" w:line="240" w:lineRule="auto"/>
        <w:jc w:val="both"/>
        <w:rPr>
          <w:rFonts w:ascii="Verdana" w:hAnsi="Verdana"/>
          <w:sz w:val="20"/>
          <w:szCs w:val="20"/>
        </w:rPr>
      </w:pPr>
    </w:p>
    <w:sectPr w:rsidR="00A317F9" w:rsidRPr="00954476" w:rsidSect="00E3416E">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20" w:rsidRDefault="00EB3920" w:rsidP="00215375">
      <w:pPr>
        <w:spacing w:after="0" w:line="240" w:lineRule="auto"/>
      </w:pPr>
      <w:r>
        <w:separator/>
      </w:r>
    </w:p>
  </w:endnote>
  <w:endnote w:type="continuationSeparator" w:id="0">
    <w:p w:rsidR="00EB3920" w:rsidRDefault="00EB3920" w:rsidP="0021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7B" w:rsidRDefault="00110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363106385"/>
      <w:docPartObj>
        <w:docPartGallery w:val="Page Numbers (Bottom of Page)"/>
        <w:docPartUnique/>
      </w:docPartObj>
    </w:sdtPr>
    <w:sdtEndPr>
      <w:rPr>
        <w:noProof/>
        <w:sz w:val="20"/>
        <w:szCs w:val="20"/>
      </w:rPr>
    </w:sdtEndPr>
    <w:sdtContent>
      <w:p w:rsidR="00E3416E" w:rsidRPr="0011077B" w:rsidRDefault="00E3416E">
        <w:pPr>
          <w:pStyle w:val="Footer"/>
          <w:jc w:val="center"/>
          <w:rPr>
            <w:rFonts w:ascii="Verdana" w:hAnsi="Verdana"/>
            <w:sz w:val="20"/>
            <w:szCs w:val="20"/>
          </w:rPr>
        </w:pPr>
        <w:r w:rsidRPr="0011077B">
          <w:rPr>
            <w:rFonts w:ascii="Verdana" w:hAnsi="Verdana"/>
            <w:sz w:val="20"/>
            <w:szCs w:val="20"/>
          </w:rPr>
          <w:fldChar w:fldCharType="begin"/>
        </w:r>
        <w:r w:rsidRPr="0011077B">
          <w:rPr>
            <w:rFonts w:ascii="Verdana" w:hAnsi="Verdana"/>
            <w:sz w:val="20"/>
            <w:szCs w:val="20"/>
          </w:rPr>
          <w:instrText xml:space="preserve"> PAGE   \* MERGEFORMAT </w:instrText>
        </w:r>
        <w:r w:rsidRPr="0011077B">
          <w:rPr>
            <w:rFonts w:ascii="Verdana" w:hAnsi="Verdana"/>
            <w:sz w:val="20"/>
            <w:szCs w:val="20"/>
          </w:rPr>
          <w:fldChar w:fldCharType="separate"/>
        </w:r>
        <w:r w:rsidR="009F2B0B">
          <w:rPr>
            <w:rFonts w:ascii="Verdana" w:hAnsi="Verdana"/>
            <w:noProof/>
            <w:sz w:val="20"/>
            <w:szCs w:val="20"/>
          </w:rPr>
          <w:t>2</w:t>
        </w:r>
        <w:r w:rsidRPr="0011077B">
          <w:rPr>
            <w:rFonts w:ascii="Verdana" w:hAnsi="Verdana"/>
            <w:noProof/>
            <w:sz w:val="20"/>
            <w:szCs w:val="20"/>
          </w:rPr>
          <w:fldChar w:fldCharType="end"/>
        </w:r>
      </w:p>
    </w:sdtContent>
  </w:sdt>
  <w:p w:rsidR="00552EB2" w:rsidRDefault="00552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7B" w:rsidRDefault="0011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20" w:rsidRDefault="00EB3920" w:rsidP="00215375">
      <w:pPr>
        <w:spacing w:after="0" w:line="240" w:lineRule="auto"/>
      </w:pPr>
      <w:r>
        <w:separator/>
      </w:r>
    </w:p>
  </w:footnote>
  <w:footnote w:type="continuationSeparator" w:id="0">
    <w:p w:rsidR="00EB3920" w:rsidRDefault="00EB3920" w:rsidP="00215375">
      <w:pPr>
        <w:spacing w:after="0" w:line="240" w:lineRule="auto"/>
      </w:pPr>
      <w:r>
        <w:continuationSeparator/>
      </w:r>
    </w:p>
  </w:footnote>
  <w:footnote w:id="1">
    <w:p w:rsidR="007026DC" w:rsidRPr="00954476" w:rsidRDefault="00215375" w:rsidP="007026DC">
      <w:pPr>
        <w:pStyle w:val="FootnoteText"/>
        <w:spacing w:after="120"/>
        <w:jc w:val="both"/>
        <w:rPr>
          <w:rFonts w:ascii="Verdana" w:hAnsi="Verdana"/>
          <w:sz w:val="16"/>
          <w:szCs w:val="16"/>
          <w:lang w:val="es-CL"/>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r w:rsidRPr="00954476">
        <w:rPr>
          <w:rFonts w:ascii="Verdana" w:hAnsi="Verdana"/>
          <w:sz w:val="16"/>
          <w:szCs w:val="16"/>
          <w:lang w:val="es-CL"/>
        </w:rPr>
        <w:t>En adelante, la Sentencia.</w:t>
      </w:r>
    </w:p>
  </w:footnote>
  <w:footnote w:id="2">
    <w:p w:rsidR="00215375" w:rsidRPr="00954476" w:rsidRDefault="00215375" w:rsidP="007026DC">
      <w:pPr>
        <w:pStyle w:val="FootnoteText"/>
        <w:spacing w:after="120"/>
        <w:jc w:val="both"/>
        <w:rPr>
          <w:rFonts w:ascii="Verdana" w:hAnsi="Verdana"/>
          <w:i/>
          <w:sz w:val="16"/>
          <w:szCs w:val="16"/>
          <w:lang w:val="es-CL"/>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r w:rsidRPr="00954476">
        <w:rPr>
          <w:rFonts w:ascii="Verdana" w:hAnsi="Verdana"/>
          <w:sz w:val="16"/>
          <w:szCs w:val="16"/>
        </w:rPr>
        <w:t>“</w:t>
      </w:r>
      <w:r w:rsidRPr="00954476">
        <w:rPr>
          <w:rFonts w:ascii="Verdana" w:hAnsi="Verdana"/>
          <w:i/>
          <w:sz w:val="16"/>
          <w:szCs w:val="16"/>
        </w:rPr>
        <w:t xml:space="preserve">El Estado es responsable por la violación </w:t>
      </w:r>
      <w:r w:rsidRPr="00954476">
        <w:rPr>
          <w:rFonts w:ascii="Verdana" w:eastAsia="Batang" w:hAnsi="Verdana" w:cs="Times"/>
          <w:i/>
          <w:spacing w:val="-2"/>
          <w:sz w:val="16"/>
          <w:szCs w:val="16"/>
        </w:rPr>
        <w:t xml:space="preserve">del derecho al trabajo, reconocido en el artículo 26 </w:t>
      </w:r>
      <w:r w:rsidRPr="00954476">
        <w:rPr>
          <w:rFonts w:ascii="Verdana" w:hAnsi="Verdana"/>
          <w:i/>
          <w:spacing w:val="-2"/>
          <w:sz w:val="16"/>
          <w:szCs w:val="16"/>
        </w:rPr>
        <w:t xml:space="preserve">de la Convención Americana sobre Derechos Humanos, </w:t>
      </w:r>
      <w:r w:rsidRPr="00954476">
        <w:rPr>
          <w:rFonts w:ascii="Verdana" w:eastAsia="Cambria" w:hAnsi="Verdana" w:cs="Cambria"/>
          <w:i/>
          <w:color w:val="000000"/>
          <w:sz w:val="16"/>
          <w:szCs w:val="16"/>
          <w:u w:color="000000"/>
          <w:lang w:eastAsia="es-ES"/>
        </w:rPr>
        <w:t>en relación con los derechos a la participación política, a la libertad de expresión y de acceso a la justicia, así como con el principio de no discriminación, reconocidos en los artículos 23.1, 13.1, 8.1, 25.1 y 1.1 de aquel instrumento,</w:t>
      </w:r>
      <w:r w:rsidRPr="00954476">
        <w:rPr>
          <w:rFonts w:ascii="Verdana" w:hAnsi="Verdana"/>
          <w:i/>
          <w:spacing w:val="-2"/>
          <w:sz w:val="16"/>
          <w:szCs w:val="16"/>
        </w:rPr>
        <w:t xml:space="preserve"> en perjuicio de </w:t>
      </w:r>
      <w:r w:rsidRPr="00954476">
        <w:rPr>
          <w:rFonts w:ascii="Verdana" w:hAnsi="Verdana"/>
          <w:i/>
          <w:sz w:val="16"/>
          <w:szCs w:val="16"/>
        </w:rPr>
        <w:t xml:space="preserve">las señoras Rocío San Miguel Sosa, Magally Chang Girón y Thais Coromoto Peña, </w:t>
      </w:r>
      <w:r w:rsidRPr="00954476">
        <w:rPr>
          <w:rFonts w:ascii="Verdana" w:hAnsi="Verdana"/>
          <w:i/>
          <w:spacing w:val="-2"/>
          <w:sz w:val="16"/>
          <w:szCs w:val="16"/>
        </w:rPr>
        <w:t>en los términos de los párrafos 211 a 222 de esta Sentencia.”</w:t>
      </w:r>
    </w:p>
  </w:footnote>
  <w:footnote w:id="3">
    <w:p w:rsidR="007C1861" w:rsidRPr="00954476" w:rsidRDefault="007C1861" w:rsidP="0098694B">
      <w:pPr>
        <w:pStyle w:val="FootnoteText"/>
        <w:spacing w:before="120" w:after="120"/>
        <w:jc w:val="both"/>
        <w:rPr>
          <w:rFonts w:ascii="Verdana" w:hAnsi="Verdana"/>
          <w:sz w:val="16"/>
          <w:szCs w:val="16"/>
          <w:lang w:val="es-CL"/>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r w:rsidRPr="00954476">
        <w:rPr>
          <w:rFonts w:ascii="Verdana" w:hAnsi="Verdana"/>
          <w:sz w:val="16"/>
          <w:szCs w:val="16"/>
          <w:lang w:val="es-CL"/>
        </w:rPr>
        <w:t>En adelante la Convención.</w:t>
      </w:r>
    </w:p>
  </w:footnote>
  <w:footnote w:id="4">
    <w:p w:rsidR="00215375" w:rsidRDefault="00215375" w:rsidP="0098694B">
      <w:pPr>
        <w:spacing w:before="120" w:after="120" w:line="240" w:lineRule="auto"/>
        <w:contextualSpacing/>
        <w:jc w:val="both"/>
        <w:rPr>
          <w:rFonts w:ascii="Verdana" w:hAnsi="Verdana"/>
          <w:i/>
          <w:spacing w:val="-2"/>
          <w:sz w:val="16"/>
          <w:szCs w:val="16"/>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r w:rsidRPr="00954476">
        <w:rPr>
          <w:rFonts w:ascii="Verdana" w:hAnsi="Verdana"/>
          <w:i/>
          <w:sz w:val="16"/>
          <w:szCs w:val="16"/>
        </w:rPr>
        <w:t>“</w:t>
      </w:r>
      <w:r w:rsidRPr="00954476">
        <w:rPr>
          <w:rFonts w:ascii="Verdana" w:hAnsi="Verdana"/>
          <w:i/>
          <w:spacing w:val="-2"/>
          <w:sz w:val="16"/>
          <w:szCs w:val="16"/>
        </w:rPr>
        <w:t xml:space="preserve">El Estado no es responsable por la alegada violación del derecho a las garantías judiciales, específicamente a ser oído por un juez independiente y en un plazo razonable, reconocido en el artículo 8.1 de la Convención Americana sobre Derechos Humanos, por las razones señaladas en los párrafos </w:t>
      </w:r>
      <w:r w:rsidR="0098694B">
        <w:rPr>
          <w:rFonts w:ascii="Verdana" w:hAnsi="Verdana"/>
          <w:i/>
          <w:spacing w:val="-2"/>
          <w:sz w:val="16"/>
          <w:szCs w:val="16"/>
        </w:rPr>
        <w:t xml:space="preserve">197 y </w:t>
      </w:r>
      <w:r w:rsidRPr="00954476">
        <w:rPr>
          <w:rFonts w:ascii="Verdana" w:hAnsi="Verdana"/>
          <w:i/>
          <w:spacing w:val="-2"/>
          <w:sz w:val="16"/>
          <w:szCs w:val="16"/>
        </w:rPr>
        <w:t>201 a 210 de esta Sentencia.”</w:t>
      </w:r>
    </w:p>
    <w:p w:rsidR="0098694B" w:rsidRPr="00954476" w:rsidRDefault="0098694B" w:rsidP="0098694B">
      <w:pPr>
        <w:spacing w:before="120" w:after="120" w:line="240" w:lineRule="auto"/>
        <w:contextualSpacing/>
        <w:jc w:val="both"/>
        <w:rPr>
          <w:rFonts w:ascii="Verdana" w:hAnsi="Verdana"/>
          <w:i/>
          <w:spacing w:val="-2"/>
          <w:sz w:val="16"/>
          <w:szCs w:val="16"/>
        </w:rPr>
      </w:pPr>
    </w:p>
  </w:footnote>
  <w:footnote w:id="5">
    <w:p w:rsidR="00110A5F" w:rsidRPr="00954476" w:rsidRDefault="00110A5F" w:rsidP="0098694B">
      <w:pPr>
        <w:spacing w:before="120" w:after="120" w:line="240" w:lineRule="auto"/>
        <w:jc w:val="both"/>
        <w:rPr>
          <w:rFonts w:ascii="Verdana" w:hAnsi="Verdana"/>
          <w:i/>
          <w:sz w:val="16"/>
          <w:szCs w:val="16"/>
          <w:lang w:val="es-ES"/>
        </w:rPr>
      </w:pPr>
      <w:r w:rsidRPr="0098694B">
        <w:rPr>
          <w:rStyle w:val="FootnoteReference"/>
          <w:rFonts w:ascii="Verdana" w:hAnsi="Verdana"/>
          <w:i/>
          <w:sz w:val="16"/>
          <w:szCs w:val="16"/>
        </w:rPr>
        <w:footnoteRef/>
      </w:r>
      <w:r w:rsidRPr="0098694B">
        <w:rPr>
          <w:rFonts w:ascii="Verdana" w:hAnsi="Verdana"/>
          <w:i/>
          <w:sz w:val="16"/>
          <w:szCs w:val="16"/>
        </w:rPr>
        <w:t xml:space="preserve"> </w:t>
      </w:r>
      <w:r w:rsidR="00A763A1">
        <w:rPr>
          <w:rFonts w:ascii="Verdana" w:hAnsi="Verdana"/>
          <w:i/>
          <w:sz w:val="16"/>
          <w:szCs w:val="16"/>
        </w:rPr>
        <w:tab/>
      </w:r>
      <w:r w:rsidR="009B5DB7" w:rsidRPr="00954476">
        <w:rPr>
          <w:rFonts w:ascii="Verdana" w:hAnsi="Verdana"/>
          <w:i/>
          <w:sz w:val="16"/>
          <w:szCs w:val="16"/>
        </w:rPr>
        <w:t>Voto Individual del Juez Eduardo Vio Grossi, Corte Interamericana de Derechos Humanos,</w:t>
      </w:r>
      <w:r w:rsidR="009B5DB7" w:rsidRPr="00954476">
        <w:rPr>
          <w:rFonts w:ascii="Verdana" w:hAnsi="Verdana"/>
          <w:b/>
          <w:i/>
          <w:sz w:val="16"/>
          <w:szCs w:val="16"/>
        </w:rPr>
        <w:t xml:space="preserve"> </w:t>
      </w:r>
      <w:r w:rsidR="009B5DB7" w:rsidRPr="00954476">
        <w:rPr>
          <w:rStyle w:val="Strong"/>
          <w:rFonts w:ascii="Verdana" w:hAnsi="Verdana"/>
          <w:b w:val="0"/>
          <w:i/>
          <w:color w:val="000000"/>
          <w:sz w:val="16"/>
          <w:szCs w:val="16"/>
          <w:shd w:val="clear" w:color="auto" w:fill="FFFFFF"/>
        </w:rPr>
        <w:t xml:space="preserve">Caso Trabajadores Cesados de Petroperú y otros Vs. Perú. Excepciones Preliminares, Fondo, Reparaciones y Costas. </w:t>
      </w:r>
      <w:r w:rsidR="009B5DB7" w:rsidRPr="0098694B">
        <w:rPr>
          <w:rStyle w:val="Strong"/>
          <w:rFonts w:ascii="Verdana" w:hAnsi="Verdana"/>
          <w:b w:val="0"/>
          <w:color w:val="000000"/>
          <w:sz w:val="16"/>
          <w:szCs w:val="16"/>
          <w:shd w:val="clear" w:color="auto" w:fill="FFFFFF"/>
        </w:rPr>
        <w:t>Se</w:t>
      </w:r>
      <w:r w:rsidR="0098694B" w:rsidRPr="0098694B">
        <w:rPr>
          <w:rStyle w:val="Strong"/>
          <w:rFonts w:ascii="Verdana" w:hAnsi="Verdana"/>
          <w:b w:val="0"/>
          <w:color w:val="000000"/>
          <w:sz w:val="16"/>
          <w:szCs w:val="16"/>
          <w:shd w:val="clear" w:color="auto" w:fill="FFFFFF"/>
        </w:rPr>
        <w:t>ntencia de 23 de noviembre 2017. Serie C No. 344</w:t>
      </w:r>
      <w:r w:rsidR="0098694B">
        <w:rPr>
          <w:rStyle w:val="Strong"/>
          <w:rFonts w:ascii="Verdana" w:hAnsi="Verdana"/>
          <w:b w:val="0"/>
          <w:i/>
          <w:color w:val="000000"/>
          <w:sz w:val="16"/>
          <w:szCs w:val="16"/>
          <w:shd w:val="clear" w:color="auto" w:fill="FFFFFF"/>
        </w:rPr>
        <w:t xml:space="preserve">; </w:t>
      </w:r>
      <w:r w:rsidR="009B5DB7" w:rsidRPr="0098694B">
        <w:rPr>
          <w:rStyle w:val="Strong"/>
          <w:rFonts w:ascii="Verdana" w:hAnsi="Verdana"/>
          <w:b w:val="0"/>
          <w:i/>
          <w:color w:val="000000"/>
          <w:sz w:val="16"/>
          <w:szCs w:val="16"/>
          <w:shd w:val="clear" w:color="auto" w:fill="FFFFFF"/>
        </w:rPr>
        <w:t>y</w:t>
      </w:r>
      <w:r w:rsidR="009B5DB7" w:rsidRPr="00954476">
        <w:rPr>
          <w:rStyle w:val="Strong"/>
          <w:rFonts w:ascii="Verdana" w:hAnsi="Verdana"/>
          <w:b w:val="0"/>
          <w:i/>
          <w:color w:val="000000"/>
          <w:sz w:val="16"/>
          <w:szCs w:val="16"/>
          <w:shd w:val="clear" w:color="auto" w:fill="FFFFFF"/>
        </w:rPr>
        <w:t xml:space="preserve"> </w:t>
      </w:r>
      <w:r w:rsidRPr="00954476">
        <w:rPr>
          <w:rFonts w:ascii="Verdana" w:hAnsi="Verdana"/>
          <w:i/>
          <w:sz w:val="16"/>
          <w:szCs w:val="16"/>
          <w:lang w:val="es-ES"/>
        </w:rPr>
        <w:t xml:space="preserve">Voto Parcialmente Disidente del Juez Eduardo Vio Grossi, Corte Interamericana de Derechos Humanos, </w:t>
      </w:r>
      <w:r w:rsidRPr="0098694B">
        <w:rPr>
          <w:rStyle w:val="Strong"/>
          <w:rFonts w:ascii="Verdana" w:hAnsi="Verdana"/>
          <w:b w:val="0"/>
          <w:i/>
          <w:color w:val="000000"/>
          <w:sz w:val="16"/>
          <w:szCs w:val="16"/>
          <w:shd w:val="clear" w:color="auto" w:fill="FFFFFF"/>
        </w:rPr>
        <w:t>Caso Lagos del Campo Vs. Perú</w:t>
      </w:r>
      <w:r w:rsidR="0098694B">
        <w:rPr>
          <w:rStyle w:val="Strong"/>
          <w:rFonts w:ascii="Verdana" w:hAnsi="Verdana"/>
          <w:b w:val="0"/>
          <w:i/>
          <w:color w:val="000000"/>
          <w:sz w:val="16"/>
          <w:szCs w:val="16"/>
          <w:shd w:val="clear" w:color="auto" w:fill="FFFFFF"/>
        </w:rPr>
        <w:t>.</w:t>
      </w:r>
      <w:r w:rsidR="0098694B" w:rsidRPr="0098694B">
        <w:rPr>
          <w:rFonts w:ascii="Verdana" w:hAnsi="Verdana"/>
          <w:i/>
          <w:sz w:val="16"/>
          <w:szCs w:val="16"/>
          <w:lang w:val="es-ES"/>
        </w:rPr>
        <w:t xml:space="preserve"> </w:t>
      </w:r>
      <w:r w:rsidR="0098694B" w:rsidRPr="00954476">
        <w:rPr>
          <w:rFonts w:ascii="Verdana" w:hAnsi="Verdana"/>
          <w:i/>
          <w:sz w:val="16"/>
          <w:szCs w:val="16"/>
          <w:lang w:val="es-ES"/>
        </w:rPr>
        <w:t>Excepciones Preliminares, Fondo, Reparaciones y Costas</w:t>
      </w:r>
      <w:r w:rsidR="0098694B">
        <w:rPr>
          <w:rStyle w:val="Strong"/>
          <w:rFonts w:ascii="Verdana" w:hAnsi="Verdana"/>
          <w:b w:val="0"/>
          <w:i/>
          <w:color w:val="000000"/>
          <w:sz w:val="16"/>
          <w:szCs w:val="16"/>
          <w:shd w:val="clear" w:color="auto" w:fill="FFFFFF"/>
        </w:rPr>
        <w:t>.</w:t>
      </w:r>
      <w:r w:rsidRPr="0098694B">
        <w:rPr>
          <w:rStyle w:val="Strong"/>
          <w:rFonts w:ascii="Verdana" w:hAnsi="Verdana"/>
          <w:b w:val="0"/>
          <w:i/>
          <w:color w:val="000000"/>
          <w:sz w:val="16"/>
          <w:szCs w:val="16"/>
          <w:shd w:val="clear" w:color="auto" w:fill="FFFFFF"/>
        </w:rPr>
        <w:t xml:space="preserve"> </w:t>
      </w:r>
      <w:r w:rsidR="0098694B" w:rsidRPr="0098694B">
        <w:rPr>
          <w:rStyle w:val="Strong"/>
          <w:rFonts w:ascii="Verdana" w:hAnsi="Verdana"/>
          <w:b w:val="0"/>
          <w:color w:val="000000"/>
          <w:sz w:val="16"/>
          <w:szCs w:val="16"/>
          <w:shd w:val="clear" w:color="auto" w:fill="FFFFFF"/>
        </w:rPr>
        <w:t>Sentencia de 31 de agosto de 2017. Serie C No. 340</w:t>
      </w:r>
      <w:r w:rsidR="0098694B">
        <w:rPr>
          <w:rStyle w:val="Strong"/>
          <w:rFonts w:ascii="Verdana" w:hAnsi="Verdana"/>
          <w:b w:val="0"/>
          <w:color w:val="000000"/>
          <w:sz w:val="16"/>
          <w:szCs w:val="16"/>
          <w:shd w:val="clear" w:color="auto" w:fill="FFFFFF"/>
        </w:rPr>
        <w:t>.</w:t>
      </w:r>
    </w:p>
  </w:footnote>
  <w:footnote w:id="6">
    <w:p w:rsidR="007C1861" w:rsidRPr="00954476" w:rsidRDefault="007C1861" w:rsidP="007026DC">
      <w:pPr>
        <w:pStyle w:val="FootnoteText"/>
        <w:spacing w:after="120"/>
        <w:jc w:val="both"/>
        <w:rPr>
          <w:rFonts w:ascii="Verdana" w:hAnsi="Verdana"/>
          <w:sz w:val="16"/>
          <w:szCs w:val="16"/>
          <w:lang w:val="es-CL"/>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r w:rsidRPr="00954476">
        <w:rPr>
          <w:rFonts w:ascii="Verdana" w:hAnsi="Verdana"/>
          <w:sz w:val="16"/>
          <w:szCs w:val="16"/>
          <w:lang w:val="es-CL"/>
        </w:rPr>
        <w:t>En adelante, la Corte.</w:t>
      </w:r>
    </w:p>
  </w:footnote>
  <w:footnote w:id="7">
    <w:p w:rsidR="007026DC" w:rsidRPr="007026DC" w:rsidRDefault="007026DC" w:rsidP="007026DC">
      <w:pPr>
        <w:pStyle w:val="FootnoteText"/>
        <w:spacing w:after="120"/>
        <w:rPr>
          <w:rFonts w:ascii="Verdana" w:hAnsi="Verdana"/>
          <w:sz w:val="16"/>
          <w:szCs w:val="16"/>
          <w:lang w:val="es-CL"/>
        </w:rPr>
      </w:pPr>
      <w:r w:rsidRPr="007026DC">
        <w:rPr>
          <w:rStyle w:val="FootnoteReference"/>
          <w:rFonts w:ascii="Verdana" w:hAnsi="Verdana"/>
          <w:sz w:val="16"/>
          <w:szCs w:val="16"/>
        </w:rPr>
        <w:footnoteRef/>
      </w:r>
      <w:r w:rsidRPr="007026DC">
        <w:rPr>
          <w:rFonts w:ascii="Verdana" w:hAnsi="Verdana"/>
          <w:sz w:val="16"/>
          <w:szCs w:val="16"/>
        </w:rPr>
        <w:t xml:space="preserve"> </w:t>
      </w:r>
      <w:r w:rsidR="00A763A1">
        <w:rPr>
          <w:rFonts w:ascii="Verdana" w:hAnsi="Verdana"/>
          <w:sz w:val="16"/>
          <w:szCs w:val="16"/>
        </w:rPr>
        <w:tab/>
      </w:r>
      <w:r w:rsidRPr="007026DC">
        <w:rPr>
          <w:rFonts w:ascii="Verdana" w:hAnsi="Verdana"/>
          <w:sz w:val="16"/>
          <w:szCs w:val="16"/>
          <w:lang w:val="es-CL"/>
        </w:rPr>
        <w:t>En adelante, el Estado.</w:t>
      </w:r>
    </w:p>
  </w:footnote>
  <w:footnote w:id="8">
    <w:p w:rsidR="00981095" w:rsidRPr="007026DC" w:rsidRDefault="00981095" w:rsidP="007026DC">
      <w:pPr>
        <w:spacing w:after="120" w:line="240" w:lineRule="auto"/>
        <w:jc w:val="both"/>
        <w:rPr>
          <w:rFonts w:ascii="Verdana" w:hAnsi="Verdana"/>
          <w:i/>
          <w:sz w:val="16"/>
          <w:szCs w:val="16"/>
          <w:lang w:val="es-ES"/>
        </w:rPr>
      </w:pPr>
      <w:r w:rsidRPr="00954476">
        <w:rPr>
          <w:rStyle w:val="FootnoteReference"/>
          <w:rFonts w:ascii="Verdana" w:hAnsi="Verdana"/>
          <w:sz w:val="16"/>
          <w:szCs w:val="16"/>
        </w:rPr>
        <w:footnoteRef/>
      </w:r>
      <w:r w:rsidR="00586214" w:rsidRPr="00954476">
        <w:rPr>
          <w:rFonts w:ascii="Verdana" w:hAnsi="Verdana"/>
          <w:sz w:val="16"/>
          <w:szCs w:val="16"/>
        </w:rPr>
        <w:t xml:space="preserve"> </w:t>
      </w:r>
      <w:r w:rsidR="00A763A1">
        <w:rPr>
          <w:rFonts w:ascii="Verdana" w:hAnsi="Verdana"/>
          <w:sz w:val="16"/>
          <w:szCs w:val="16"/>
        </w:rPr>
        <w:tab/>
      </w:r>
      <w:r w:rsidRPr="00954476">
        <w:rPr>
          <w:rFonts w:ascii="Verdana" w:hAnsi="Verdana"/>
          <w:sz w:val="16"/>
          <w:szCs w:val="16"/>
        </w:rPr>
        <w:t>Art. 26. “</w:t>
      </w:r>
      <w:r w:rsidRPr="007026DC">
        <w:rPr>
          <w:rFonts w:ascii="Verdana" w:hAnsi="Verdana"/>
          <w:i/>
          <w:sz w:val="16"/>
          <w:szCs w:val="16"/>
          <w:lang w:val="es-ES"/>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9">
    <w:p w:rsidR="002350BB" w:rsidRPr="00954476" w:rsidRDefault="002350BB" w:rsidP="007026DC">
      <w:pPr>
        <w:pStyle w:val="FootnoteText"/>
        <w:spacing w:after="120"/>
        <w:jc w:val="both"/>
        <w:rPr>
          <w:rFonts w:ascii="Verdana" w:hAnsi="Verdana"/>
          <w:sz w:val="16"/>
          <w:szCs w:val="16"/>
          <w:lang w:val="es-CL"/>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r w:rsidRPr="00954476">
        <w:rPr>
          <w:rFonts w:ascii="Verdana" w:hAnsi="Verdana"/>
          <w:i/>
          <w:sz w:val="16"/>
          <w:szCs w:val="16"/>
        </w:rPr>
        <w:t>Voto Individual del Juez Eduardo Vio Grossi, Corte Interamericana de Derechos Humanos,</w:t>
      </w:r>
      <w:r w:rsidRPr="00954476">
        <w:rPr>
          <w:rFonts w:ascii="Verdana" w:hAnsi="Verdana"/>
          <w:b/>
          <w:i/>
          <w:sz w:val="16"/>
          <w:szCs w:val="16"/>
        </w:rPr>
        <w:t xml:space="preserve"> </w:t>
      </w:r>
      <w:r w:rsidRPr="00954476">
        <w:rPr>
          <w:rStyle w:val="Strong"/>
          <w:rFonts w:ascii="Verdana" w:hAnsi="Verdana"/>
          <w:b w:val="0"/>
          <w:i/>
          <w:color w:val="000000"/>
          <w:sz w:val="16"/>
          <w:szCs w:val="16"/>
          <w:shd w:val="clear" w:color="auto" w:fill="FFFFFF"/>
        </w:rPr>
        <w:t>Caso Trabajadores Cesados de Petroperú y otros Vs. Perú, cit.</w:t>
      </w:r>
    </w:p>
  </w:footnote>
  <w:footnote w:id="10">
    <w:p w:rsidR="004D7521" w:rsidRPr="00954476" w:rsidRDefault="004D7521" w:rsidP="007026DC">
      <w:pPr>
        <w:spacing w:after="120" w:line="240" w:lineRule="auto"/>
        <w:jc w:val="both"/>
        <w:rPr>
          <w:rFonts w:ascii="Verdana" w:hAnsi="Verdana"/>
          <w:sz w:val="16"/>
          <w:szCs w:val="16"/>
          <w:lang w:val="es-ES"/>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r w:rsidR="00586214" w:rsidRPr="00954476">
        <w:rPr>
          <w:rFonts w:ascii="Verdana" w:hAnsi="Verdana"/>
          <w:sz w:val="16"/>
          <w:szCs w:val="16"/>
        </w:rPr>
        <w:t xml:space="preserve">Art.62.3 de la Convención: </w:t>
      </w:r>
      <w:r w:rsidR="00586214" w:rsidRPr="00954476">
        <w:rPr>
          <w:rFonts w:ascii="Verdana" w:hAnsi="Verdana"/>
          <w:i/>
          <w:sz w:val="16"/>
          <w:szCs w:val="16"/>
        </w:rPr>
        <w:t>“</w:t>
      </w:r>
      <w:r w:rsidRPr="00954476">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00586214" w:rsidRPr="00954476">
        <w:rPr>
          <w:rFonts w:ascii="Verdana" w:hAnsi="Verdana"/>
          <w:i/>
          <w:sz w:val="16"/>
          <w:szCs w:val="16"/>
          <w:lang w:val="es-ES"/>
        </w:rPr>
        <w:t>”</w:t>
      </w:r>
    </w:p>
  </w:footnote>
  <w:footnote w:id="11">
    <w:p w:rsidR="009C1BF0" w:rsidRPr="00653B07" w:rsidRDefault="009C1BF0" w:rsidP="007026DC">
      <w:pPr>
        <w:pStyle w:val="FootnoteText"/>
        <w:spacing w:after="120"/>
        <w:jc w:val="both"/>
        <w:rPr>
          <w:rFonts w:ascii="Verdana" w:hAnsi="Verdana"/>
          <w:sz w:val="16"/>
          <w:szCs w:val="16"/>
          <w:lang w:val="es-CL"/>
        </w:rPr>
      </w:pPr>
      <w:r w:rsidRPr="00954476">
        <w:rPr>
          <w:rStyle w:val="FootnoteReference"/>
          <w:rFonts w:ascii="Verdana" w:hAnsi="Verdana"/>
          <w:spacing w:val="-12"/>
          <w:sz w:val="16"/>
          <w:szCs w:val="16"/>
        </w:rPr>
        <w:footnoteRef/>
      </w:r>
      <w:r w:rsidRPr="00954476">
        <w:rPr>
          <w:rFonts w:ascii="Verdana" w:hAnsi="Verdana"/>
          <w:spacing w:val="-12"/>
          <w:sz w:val="16"/>
          <w:szCs w:val="16"/>
        </w:rPr>
        <w:t xml:space="preserve"> </w:t>
      </w:r>
      <w:r w:rsidR="00A763A1">
        <w:rPr>
          <w:rFonts w:ascii="Verdana" w:hAnsi="Verdana"/>
          <w:spacing w:val="-12"/>
          <w:sz w:val="16"/>
          <w:szCs w:val="16"/>
        </w:rPr>
        <w:tab/>
      </w:r>
      <w:r w:rsidR="00653B07" w:rsidRPr="00A763A1">
        <w:rPr>
          <w:rFonts w:ascii="Verdana" w:hAnsi="Verdana"/>
          <w:sz w:val="16"/>
          <w:szCs w:val="16"/>
        </w:rPr>
        <w:t>Párr.208. de la Sentencia.</w:t>
      </w:r>
      <w:r w:rsidR="00653B07" w:rsidRPr="00653B07">
        <w:rPr>
          <w:rFonts w:ascii="Verdana" w:hAnsi="Verdana"/>
          <w:sz w:val="16"/>
          <w:szCs w:val="16"/>
        </w:rPr>
        <w:t xml:space="preserve"> </w:t>
      </w:r>
      <w:r w:rsidR="00653B07">
        <w:rPr>
          <w:rFonts w:ascii="Verdana" w:hAnsi="Verdana"/>
          <w:sz w:val="16"/>
          <w:szCs w:val="16"/>
        </w:rPr>
        <w:t>En lo sucesivo, cada vez que se haga referencia a “párr.” se entenderá que lo es al párrafo correspondiente de la Sentencia.</w:t>
      </w:r>
    </w:p>
  </w:footnote>
  <w:footnote w:id="12">
    <w:p w:rsidR="00552EB2" w:rsidRPr="00954476" w:rsidRDefault="00552EB2" w:rsidP="007026DC">
      <w:pPr>
        <w:pStyle w:val="FootnoteText"/>
        <w:spacing w:after="120"/>
        <w:jc w:val="both"/>
        <w:rPr>
          <w:rFonts w:ascii="Verdana" w:hAnsi="Verdana"/>
          <w:sz w:val="16"/>
          <w:szCs w:val="16"/>
          <w:lang w:val="es-CL"/>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r w:rsidR="00653B07">
        <w:rPr>
          <w:rFonts w:ascii="Verdana" w:hAnsi="Verdana"/>
          <w:sz w:val="16"/>
          <w:szCs w:val="16"/>
        </w:rPr>
        <w:t>Párr. 210.</w:t>
      </w:r>
    </w:p>
  </w:footnote>
  <w:footnote w:id="13">
    <w:p w:rsidR="009A2F63" w:rsidRPr="00954476" w:rsidRDefault="009A2F63" w:rsidP="007026DC">
      <w:pPr>
        <w:pStyle w:val="FootnoteText"/>
        <w:spacing w:after="120"/>
        <w:jc w:val="both"/>
        <w:rPr>
          <w:rFonts w:ascii="Verdana" w:hAnsi="Verdana"/>
          <w:sz w:val="16"/>
          <w:szCs w:val="16"/>
          <w:lang w:val="es-CL"/>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r w:rsidR="00DB2078">
        <w:rPr>
          <w:rFonts w:ascii="Verdana" w:hAnsi="Verdana"/>
          <w:sz w:val="16"/>
          <w:szCs w:val="16"/>
          <w:lang w:val="es-CL"/>
        </w:rPr>
        <w:t>Párr.143</w:t>
      </w:r>
      <w:r w:rsidRPr="00954476">
        <w:rPr>
          <w:rFonts w:ascii="Verdana" w:hAnsi="Verdana"/>
          <w:sz w:val="16"/>
          <w:szCs w:val="16"/>
          <w:lang w:val="es-CL"/>
        </w:rPr>
        <w:t>.</w:t>
      </w:r>
    </w:p>
  </w:footnote>
  <w:footnote w:id="14">
    <w:p w:rsidR="001E429C" w:rsidRPr="001E429C" w:rsidRDefault="001E429C" w:rsidP="007026DC">
      <w:pPr>
        <w:pStyle w:val="FootnoteText"/>
        <w:spacing w:after="120"/>
        <w:rPr>
          <w:lang w:val="es-CL"/>
        </w:rPr>
      </w:pPr>
      <w:r>
        <w:rPr>
          <w:rStyle w:val="FootnoteReference"/>
        </w:rPr>
        <w:footnoteRef/>
      </w:r>
      <w:r>
        <w:t xml:space="preserve"> </w:t>
      </w:r>
      <w:r w:rsidR="00A763A1">
        <w:tab/>
      </w:r>
      <w:r w:rsidRPr="00A763A1">
        <w:rPr>
          <w:rFonts w:ascii="Verdana" w:hAnsi="Verdana"/>
          <w:sz w:val="16"/>
          <w:szCs w:val="16"/>
          <w:lang w:val="es-CL"/>
        </w:rPr>
        <w:t>Párr.146.</w:t>
      </w:r>
    </w:p>
  </w:footnote>
  <w:footnote w:id="15">
    <w:p w:rsidR="009A2F63" w:rsidRPr="00954476" w:rsidRDefault="009A2F63" w:rsidP="007026DC">
      <w:pPr>
        <w:pStyle w:val="FootnoteText"/>
        <w:spacing w:after="120"/>
        <w:jc w:val="both"/>
        <w:rPr>
          <w:rFonts w:ascii="Verdana" w:hAnsi="Verdana"/>
          <w:sz w:val="16"/>
          <w:szCs w:val="16"/>
          <w:lang w:val="es-CL"/>
        </w:rPr>
      </w:pPr>
      <w:r w:rsidRPr="00954476">
        <w:rPr>
          <w:rStyle w:val="FootnoteReference"/>
          <w:rFonts w:ascii="Verdana" w:hAnsi="Verdana"/>
          <w:sz w:val="16"/>
          <w:szCs w:val="16"/>
        </w:rPr>
        <w:footnoteRef/>
      </w:r>
      <w:r w:rsidRPr="00954476">
        <w:rPr>
          <w:rFonts w:ascii="Verdana" w:hAnsi="Verdana"/>
          <w:sz w:val="16"/>
          <w:szCs w:val="16"/>
        </w:rPr>
        <w:t xml:space="preserve"> </w:t>
      </w:r>
      <w:r w:rsidR="00A763A1">
        <w:rPr>
          <w:rFonts w:ascii="Verdana" w:hAnsi="Verdana"/>
          <w:sz w:val="16"/>
          <w:szCs w:val="16"/>
        </w:rPr>
        <w:tab/>
      </w:r>
      <w:proofErr w:type="spellStart"/>
      <w:r w:rsidR="00DB2078">
        <w:rPr>
          <w:rFonts w:ascii="Verdana" w:hAnsi="Verdana"/>
          <w:sz w:val="16"/>
          <w:szCs w:val="16"/>
          <w:lang w:val="es-CL"/>
        </w:rPr>
        <w:t>Párr</w:t>
      </w:r>
      <w:r w:rsidR="00A763A1">
        <w:rPr>
          <w:rFonts w:ascii="Verdana" w:hAnsi="Verdana"/>
          <w:sz w:val="16"/>
          <w:szCs w:val="16"/>
          <w:lang w:val="es-CL"/>
        </w:rPr>
        <w:t>s</w:t>
      </w:r>
      <w:proofErr w:type="spellEnd"/>
      <w:r w:rsidR="00DB2078">
        <w:rPr>
          <w:rFonts w:ascii="Verdana" w:hAnsi="Verdana"/>
          <w:sz w:val="16"/>
          <w:szCs w:val="16"/>
          <w:lang w:val="es-CL"/>
        </w:rPr>
        <w:t>.</w:t>
      </w:r>
      <w:r w:rsidR="00A763A1">
        <w:rPr>
          <w:rFonts w:ascii="Verdana" w:hAnsi="Verdana"/>
          <w:sz w:val="16"/>
          <w:szCs w:val="16"/>
          <w:lang w:val="es-CL"/>
        </w:rPr>
        <w:t xml:space="preserve"> 157 y </w:t>
      </w:r>
      <w:r w:rsidR="00DB2078">
        <w:rPr>
          <w:rFonts w:ascii="Verdana" w:hAnsi="Verdana"/>
          <w:sz w:val="16"/>
          <w:szCs w:val="16"/>
          <w:lang w:val="es-CL"/>
        </w:rPr>
        <w:t>158</w:t>
      </w:r>
      <w:r w:rsidRPr="00954476">
        <w:rPr>
          <w:rFonts w:ascii="Verdana" w:hAnsi="Verdana"/>
          <w:sz w:val="16"/>
          <w:szCs w:val="16"/>
          <w:lang w:val="es-CL"/>
        </w:rPr>
        <w:t>.</w:t>
      </w:r>
    </w:p>
  </w:footnote>
  <w:footnote w:id="16">
    <w:p w:rsidR="009C1BF0" w:rsidRPr="00954476" w:rsidRDefault="009C1BF0" w:rsidP="007026DC">
      <w:pPr>
        <w:pStyle w:val="FootnoteText"/>
        <w:spacing w:after="120"/>
        <w:jc w:val="both"/>
        <w:rPr>
          <w:rFonts w:ascii="Verdana" w:hAnsi="Verdana"/>
          <w:sz w:val="16"/>
          <w:szCs w:val="16"/>
        </w:rPr>
      </w:pPr>
      <w:r w:rsidRPr="00954476">
        <w:rPr>
          <w:rStyle w:val="FootnoteReference"/>
          <w:rFonts w:ascii="Verdana" w:hAnsi="Verdana"/>
          <w:sz w:val="16"/>
          <w:szCs w:val="16"/>
        </w:rPr>
        <w:footnoteRef/>
      </w:r>
      <w:r w:rsidR="00954476" w:rsidRPr="00954476">
        <w:rPr>
          <w:rFonts w:ascii="Verdana" w:hAnsi="Verdana"/>
          <w:sz w:val="16"/>
          <w:szCs w:val="16"/>
        </w:rPr>
        <w:t xml:space="preserve"> </w:t>
      </w:r>
      <w:r w:rsidR="00865A46">
        <w:rPr>
          <w:rFonts w:ascii="Verdana" w:hAnsi="Verdana"/>
          <w:sz w:val="16"/>
          <w:szCs w:val="16"/>
        </w:rPr>
        <w:tab/>
      </w:r>
      <w:r w:rsidR="00653B07" w:rsidRPr="00653B07">
        <w:rPr>
          <w:rFonts w:ascii="Verdana" w:hAnsi="Verdana"/>
          <w:spacing w:val="-12"/>
          <w:sz w:val="16"/>
          <w:szCs w:val="16"/>
          <w:lang w:val="es-VE"/>
        </w:rPr>
        <w:t>Párr. 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7B" w:rsidRDefault="00110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187887"/>
      <w:docPartObj>
        <w:docPartGallery w:val="Page Numbers (Top of Page)"/>
        <w:docPartUnique/>
      </w:docPartObj>
    </w:sdtPr>
    <w:sdtEndPr/>
    <w:sdtContent>
      <w:p w:rsidR="00552EB2" w:rsidRDefault="009F2B0B">
        <w:pPr>
          <w:pStyle w:val="Header"/>
        </w:pPr>
      </w:p>
    </w:sdtContent>
  </w:sdt>
  <w:p w:rsidR="00552EB2" w:rsidRDefault="00552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7B" w:rsidRDefault="0011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6DF"/>
    <w:multiLevelType w:val="hybridMultilevel"/>
    <w:tmpl w:val="C2BE9E72"/>
    <w:lvl w:ilvl="0" w:tplc="5330A7E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0626DB"/>
    <w:multiLevelType w:val="hybridMultilevel"/>
    <w:tmpl w:val="CC28AFB0"/>
    <w:lvl w:ilvl="0" w:tplc="C8CCB698">
      <w:start w:val="1"/>
      <w:numFmt w:val="decimal"/>
      <w:lvlText w:val="%1."/>
      <w:lvlJc w:val="left"/>
      <w:pPr>
        <w:ind w:left="720" w:hanging="360"/>
      </w:pPr>
      <w:rPr>
        <w:sz w:val="20"/>
        <w:szCs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F2209ED"/>
    <w:multiLevelType w:val="hybridMultilevel"/>
    <w:tmpl w:val="7AEAF58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3033731"/>
    <w:multiLevelType w:val="hybridMultilevel"/>
    <w:tmpl w:val="CADCD3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66D43"/>
    <w:multiLevelType w:val="hybridMultilevel"/>
    <w:tmpl w:val="D1BE0240"/>
    <w:lvl w:ilvl="0" w:tplc="E84A0D6E">
      <w:start w:val="1"/>
      <w:numFmt w:val="upperRoman"/>
      <w:pStyle w:val="Title"/>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A8C0434"/>
    <w:multiLevelType w:val="hybridMultilevel"/>
    <w:tmpl w:val="FA5E765A"/>
    <w:lvl w:ilvl="0" w:tplc="D9564908">
      <w:start w:val="1"/>
      <w:numFmt w:val="decimal"/>
      <w:lvlText w:val="%1."/>
      <w:lvlJc w:val="left"/>
      <w:pPr>
        <w:ind w:left="720" w:hanging="360"/>
      </w:pPr>
      <w:rPr>
        <w:rFonts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nsid w:val="7B7A5A46"/>
    <w:multiLevelType w:val="hybridMultilevel"/>
    <w:tmpl w:val="75F233F0"/>
    <w:lvl w:ilvl="0" w:tplc="01BAADA8">
      <w:start w:val="1"/>
      <w:numFmt w:val="upperRoman"/>
      <w:lvlText w:val="%1."/>
      <w:lvlJc w:val="left"/>
      <w:pPr>
        <w:ind w:left="1080" w:hanging="72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4"/>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DE"/>
    <w:rsid w:val="00002C0F"/>
    <w:rsid w:val="00040B77"/>
    <w:rsid w:val="0008377E"/>
    <w:rsid w:val="000C268E"/>
    <w:rsid w:val="0011077B"/>
    <w:rsid w:val="00110A5F"/>
    <w:rsid w:val="001E429C"/>
    <w:rsid w:val="00215375"/>
    <w:rsid w:val="002350BB"/>
    <w:rsid w:val="00252030"/>
    <w:rsid w:val="002620F2"/>
    <w:rsid w:val="003262DA"/>
    <w:rsid w:val="00387001"/>
    <w:rsid w:val="003F4131"/>
    <w:rsid w:val="00430DF3"/>
    <w:rsid w:val="0043578C"/>
    <w:rsid w:val="004638BA"/>
    <w:rsid w:val="004D7521"/>
    <w:rsid w:val="00522E82"/>
    <w:rsid w:val="00552EB2"/>
    <w:rsid w:val="00586214"/>
    <w:rsid w:val="00587692"/>
    <w:rsid w:val="0062012C"/>
    <w:rsid w:val="00635BAA"/>
    <w:rsid w:val="00653B07"/>
    <w:rsid w:val="006C2FA6"/>
    <w:rsid w:val="007026DC"/>
    <w:rsid w:val="0070704F"/>
    <w:rsid w:val="00731269"/>
    <w:rsid w:val="007C1861"/>
    <w:rsid w:val="008348E3"/>
    <w:rsid w:val="00846C91"/>
    <w:rsid w:val="00865A46"/>
    <w:rsid w:val="00954476"/>
    <w:rsid w:val="00981095"/>
    <w:rsid w:val="0098694B"/>
    <w:rsid w:val="009A2F63"/>
    <w:rsid w:val="009B5DB7"/>
    <w:rsid w:val="009C0347"/>
    <w:rsid w:val="009C1BF0"/>
    <w:rsid w:val="009F2B0B"/>
    <w:rsid w:val="00A317F9"/>
    <w:rsid w:val="00A32B38"/>
    <w:rsid w:val="00A763A1"/>
    <w:rsid w:val="00A81D0F"/>
    <w:rsid w:val="00B25735"/>
    <w:rsid w:val="00BE4A9C"/>
    <w:rsid w:val="00C4480F"/>
    <w:rsid w:val="00C8489F"/>
    <w:rsid w:val="00C947C5"/>
    <w:rsid w:val="00CE4CF3"/>
    <w:rsid w:val="00D07AF8"/>
    <w:rsid w:val="00D17339"/>
    <w:rsid w:val="00DB2078"/>
    <w:rsid w:val="00E261DE"/>
    <w:rsid w:val="00E30BE9"/>
    <w:rsid w:val="00E3416E"/>
    <w:rsid w:val="00EB3920"/>
    <w:rsid w:val="00F90B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DE"/>
    <w:pPr>
      <w:spacing w:after="200" w:line="276" w:lineRule="auto"/>
      <w:ind w:left="0"/>
      <w:jc w:val="left"/>
    </w:pPr>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1DE"/>
    <w:pPr>
      <w:numPr>
        <w:numId w:val="1"/>
      </w:numPr>
      <w:spacing w:after="0" w:line="240" w:lineRule="auto"/>
      <w:jc w:val="both"/>
    </w:pPr>
    <w:rPr>
      <w:rFonts w:ascii="Verdana" w:eastAsia="Times New Roman" w:hAnsi="Verdana" w:cs="Times New Roman"/>
      <w:b/>
      <w:sz w:val="20"/>
      <w:szCs w:val="20"/>
      <w:lang w:val="es-ES_tradnl" w:eastAsia="es-ES" w:bidi="en-US"/>
    </w:rPr>
  </w:style>
  <w:style w:type="character" w:customStyle="1" w:styleId="TitleChar">
    <w:name w:val="Title Char"/>
    <w:basedOn w:val="DefaultParagraphFont"/>
    <w:link w:val="Title"/>
    <w:rsid w:val="00E261DE"/>
    <w:rPr>
      <w:rFonts w:ascii="Verdana" w:eastAsia="Times New Roman" w:hAnsi="Verdana" w:cs="Times New Roman"/>
      <w:b/>
      <w:sz w:val="20"/>
      <w:szCs w:val="20"/>
      <w:lang w:val="es-ES_tradnl" w:eastAsia="es-ES" w:bidi="en-US"/>
    </w:rPr>
  </w:style>
  <w:style w:type="paragraph" w:styleId="FootnoteText">
    <w:name w:val="footnote text"/>
    <w:aliases w:val="Footnote Text Char Char Char Char Char,Footnote Text Char Char Char Char,footnote text,Footnote reference,FA Fu,Footnote Text Char Char Char,Footnote Text Cha,FA Fußnotentext,FA Fuﬂnotentext,Footnote Text Char Char,Ca,C"/>
    <w:basedOn w:val="Normal"/>
    <w:link w:val="FootnoteTextChar"/>
    <w:unhideWhenUsed/>
    <w:qFormat/>
    <w:rsid w:val="0021537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C Char"/>
    <w:basedOn w:val="DefaultParagraphFont"/>
    <w:link w:val="FootnoteText"/>
    <w:uiPriority w:val="99"/>
    <w:semiHidden/>
    <w:rsid w:val="00215375"/>
    <w:rPr>
      <w:sz w:val="20"/>
      <w:szCs w:val="20"/>
      <w:lang w:val="es-CR"/>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215375"/>
    <w:rPr>
      <w:vertAlign w:val="superscript"/>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basedOn w:val="DefaultParagraphFont"/>
    <w:qFormat/>
    <w:rsid w:val="00110A5F"/>
    <w:rPr>
      <w:rFonts w:ascii="Univers" w:eastAsia="Times New Roman" w:hAnsi="Univers" w:cs="Times New Roman"/>
      <w:sz w:val="20"/>
      <w:szCs w:val="20"/>
      <w:lang w:val="es-CO"/>
    </w:rPr>
  </w:style>
  <w:style w:type="character" w:styleId="Strong">
    <w:name w:val="Strong"/>
    <w:basedOn w:val="DefaultParagraphFont"/>
    <w:uiPriority w:val="22"/>
    <w:qFormat/>
    <w:rsid w:val="009B5DB7"/>
    <w:rPr>
      <w:b/>
      <w:bCs/>
    </w:rPr>
  </w:style>
  <w:style w:type="paragraph" w:styleId="ListParagraph">
    <w:name w:val="List Paragraph"/>
    <w:basedOn w:val="Normal"/>
    <w:uiPriority w:val="34"/>
    <w:qFormat/>
    <w:rsid w:val="00981095"/>
    <w:pPr>
      <w:ind w:left="720"/>
      <w:contextualSpacing/>
    </w:pPr>
    <w:rPr>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981095"/>
    <w:pPr>
      <w:spacing w:after="0" w:line="240" w:lineRule="auto"/>
      <w:jc w:val="both"/>
    </w:pPr>
    <w:rPr>
      <w:vertAlign w:val="superscript"/>
      <w:lang w:val="en-US"/>
    </w:rPr>
  </w:style>
  <w:style w:type="paragraph" w:styleId="Header">
    <w:name w:val="header"/>
    <w:basedOn w:val="Normal"/>
    <w:link w:val="HeaderChar"/>
    <w:uiPriority w:val="99"/>
    <w:unhideWhenUsed/>
    <w:rsid w:val="00552EB2"/>
    <w:pPr>
      <w:tabs>
        <w:tab w:val="center" w:pos="4419"/>
        <w:tab w:val="right" w:pos="8838"/>
      </w:tabs>
      <w:spacing w:after="0" w:line="240" w:lineRule="auto"/>
    </w:pPr>
  </w:style>
  <w:style w:type="character" w:customStyle="1" w:styleId="HeaderChar">
    <w:name w:val="Header Char"/>
    <w:basedOn w:val="DefaultParagraphFont"/>
    <w:link w:val="Header"/>
    <w:uiPriority w:val="99"/>
    <w:rsid w:val="00552EB2"/>
    <w:rPr>
      <w:lang w:val="es-CR"/>
    </w:rPr>
  </w:style>
  <w:style w:type="paragraph" w:styleId="Footer">
    <w:name w:val="footer"/>
    <w:basedOn w:val="Normal"/>
    <w:link w:val="FooterChar"/>
    <w:uiPriority w:val="99"/>
    <w:unhideWhenUsed/>
    <w:rsid w:val="00552EB2"/>
    <w:pPr>
      <w:tabs>
        <w:tab w:val="center" w:pos="4419"/>
        <w:tab w:val="right" w:pos="8838"/>
      </w:tabs>
      <w:spacing w:after="0" w:line="240" w:lineRule="auto"/>
    </w:pPr>
  </w:style>
  <w:style w:type="character" w:customStyle="1" w:styleId="FooterChar">
    <w:name w:val="Footer Char"/>
    <w:basedOn w:val="DefaultParagraphFont"/>
    <w:link w:val="Footer"/>
    <w:uiPriority w:val="99"/>
    <w:rsid w:val="00552EB2"/>
    <w:rPr>
      <w:lang w:val="es-CR"/>
    </w:rPr>
  </w:style>
  <w:style w:type="paragraph" w:styleId="BalloonText">
    <w:name w:val="Balloon Text"/>
    <w:basedOn w:val="Normal"/>
    <w:link w:val="BalloonTextChar"/>
    <w:uiPriority w:val="99"/>
    <w:semiHidden/>
    <w:unhideWhenUsed/>
    <w:rsid w:val="00C8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9F"/>
    <w:rPr>
      <w:rFonts w:ascii="Tahoma" w:hAnsi="Tahoma" w:cs="Tahoma"/>
      <w:sz w:val="16"/>
      <w:szCs w:val="16"/>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DE"/>
    <w:pPr>
      <w:spacing w:after="200" w:line="276" w:lineRule="auto"/>
      <w:ind w:left="0"/>
      <w:jc w:val="left"/>
    </w:pPr>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1DE"/>
    <w:pPr>
      <w:numPr>
        <w:numId w:val="1"/>
      </w:numPr>
      <w:spacing w:after="0" w:line="240" w:lineRule="auto"/>
      <w:jc w:val="both"/>
    </w:pPr>
    <w:rPr>
      <w:rFonts w:ascii="Verdana" w:eastAsia="Times New Roman" w:hAnsi="Verdana" w:cs="Times New Roman"/>
      <w:b/>
      <w:sz w:val="20"/>
      <w:szCs w:val="20"/>
      <w:lang w:val="es-ES_tradnl" w:eastAsia="es-ES" w:bidi="en-US"/>
    </w:rPr>
  </w:style>
  <w:style w:type="character" w:customStyle="1" w:styleId="TitleChar">
    <w:name w:val="Title Char"/>
    <w:basedOn w:val="DefaultParagraphFont"/>
    <w:link w:val="Title"/>
    <w:rsid w:val="00E261DE"/>
    <w:rPr>
      <w:rFonts w:ascii="Verdana" w:eastAsia="Times New Roman" w:hAnsi="Verdana" w:cs="Times New Roman"/>
      <w:b/>
      <w:sz w:val="20"/>
      <w:szCs w:val="20"/>
      <w:lang w:val="es-ES_tradnl" w:eastAsia="es-ES" w:bidi="en-US"/>
    </w:rPr>
  </w:style>
  <w:style w:type="paragraph" w:styleId="FootnoteText">
    <w:name w:val="footnote text"/>
    <w:aliases w:val="Footnote Text Char Char Char Char Char,Footnote Text Char Char Char Char,footnote text,Footnote reference,FA Fu,Footnote Text Char Char Char,Footnote Text Cha,FA Fußnotentext,FA Fuﬂnotentext,Footnote Text Char Char,Ca,C"/>
    <w:basedOn w:val="Normal"/>
    <w:link w:val="FootnoteTextChar"/>
    <w:unhideWhenUsed/>
    <w:qFormat/>
    <w:rsid w:val="0021537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C Char"/>
    <w:basedOn w:val="DefaultParagraphFont"/>
    <w:link w:val="FootnoteText"/>
    <w:uiPriority w:val="99"/>
    <w:semiHidden/>
    <w:rsid w:val="00215375"/>
    <w:rPr>
      <w:sz w:val="20"/>
      <w:szCs w:val="20"/>
      <w:lang w:val="es-CR"/>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215375"/>
    <w:rPr>
      <w:vertAlign w:val="superscript"/>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basedOn w:val="DefaultParagraphFont"/>
    <w:qFormat/>
    <w:rsid w:val="00110A5F"/>
    <w:rPr>
      <w:rFonts w:ascii="Univers" w:eastAsia="Times New Roman" w:hAnsi="Univers" w:cs="Times New Roman"/>
      <w:sz w:val="20"/>
      <w:szCs w:val="20"/>
      <w:lang w:val="es-CO"/>
    </w:rPr>
  </w:style>
  <w:style w:type="character" w:styleId="Strong">
    <w:name w:val="Strong"/>
    <w:basedOn w:val="DefaultParagraphFont"/>
    <w:uiPriority w:val="22"/>
    <w:qFormat/>
    <w:rsid w:val="009B5DB7"/>
    <w:rPr>
      <w:b/>
      <w:bCs/>
    </w:rPr>
  </w:style>
  <w:style w:type="paragraph" w:styleId="ListParagraph">
    <w:name w:val="List Paragraph"/>
    <w:basedOn w:val="Normal"/>
    <w:uiPriority w:val="34"/>
    <w:qFormat/>
    <w:rsid w:val="00981095"/>
    <w:pPr>
      <w:ind w:left="720"/>
      <w:contextualSpacing/>
    </w:pPr>
    <w:rPr>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981095"/>
    <w:pPr>
      <w:spacing w:after="0" w:line="240" w:lineRule="auto"/>
      <w:jc w:val="both"/>
    </w:pPr>
    <w:rPr>
      <w:vertAlign w:val="superscript"/>
      <w:lang w:val="en-US"/>
    </w:rPr>
  </w:style>
  <w:style w:type="paragraph" w:styleId="Header">
    <w:name w:val="header"/>
    <w:basedOn w:val="Normal"/>
    <w:link w:val="HeaderChar"/>
    <w:uiPriority w:val="99"/>
    <w:unhideWhenUsed/>
    <w:rsid w:val="00552EB2"/>
    <w:pPr>
      <w:tabs>
        <w:tab w:val="center" w:pos="4419"/>
        <w:tab w:val="right" w:pos="8838"/>
      </w:tabs>
      <w:spacing w:after="0" w:line="240" w:lineRule="auto"/>
    </w:pPr>
  </w:style>
  <w:style w:type="character" w:customStyle="1" w:styleId="HeaderChar">
    <w:name w:val="Header Char"/>
    <w:basedOn w:val="DefaultParagraphFont"/>
    <w:link w:val="Header"/>
    <w:uiPriority w:val="99"/>
    <w:rsid w:val="00552EB2"/>
    <w:rPr>
      <w:lang w:val="es-CR"/>
    </w:rPr>
  </w:style>
  <w:style w:type="paragraph" w:styleId="Footer">
    <w:name w:val="footer"/>
    <w:basedOn w:val="Normal"/>
    <w:link w:val="FooterChar"/>
    <w:uiPriority w:val="99"/>
    <w:unhideWhenUsed/>
    <w:rsid w:val="00552EB2"/>
    <w:pPr>
      <w:tabs>
        <w:tab w:val="center" w:pos="4419"/>
        <w:tab w:val="right" w:pos="8838"/>
      </w:tabs>
      <w:spacing w:after="0" w:line="240" w:lineRule="auto"/>
    </w:pPr>
  </w:style>
  <w:style w:type="character" w:customStyle="1" w:styleId="FooterChar">
    <w:name w:val="Footer Char"/>
    <w:basedOn w:val="DefaultParagraphFont"/>
    <w:link w:val="Footer"/>
    <w:uiPriority w:val="99"/>
    <w:rsid w:val="00552EB2"/>
    <w:rPr>
      <w:lang w:val="es-CR"/>
    </w:rPr>
  </w:style>
  <w:style w:type="paragraph" w:styleId="BalloonText">
    <w:name w:val="Balloon Text"/>
    <w:basedOn w:val="Normal"/>
    <w:link w:val="BalloonTextChar"/>
    <w:uiPriority w:val="99"/>
    <w:semiHidden/>
    <w:unhideWhenUsed/>
    <w:rsid w:val="00C8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9F"/>
    <w:rPr>
      <w:rFonts w:ascii="Tahoma" w:hAnsi="Tahoma" w:cs="Tahoma"/>
      <w:sz w:val="16"/>
      <w:szCs w:val="16"/>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13E8-ED2A-4C49-A509-6D9269DF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8458</Characters>
  <Application>Microsoft Office Word</Application>
  <DocSecurity>4</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2018-05-29T23:32:00Z</cp:lastPrinted>
  <dcterms:created xsi:type="dcterms:W3CDTF">2018-05-30T17:17:00Z</dcterms:created>
  <dcterms:modified xsi:type="dcterms:W3CDTF">2018-05-30T17:17:00Z</dcterms:modified>
</cp:coreProperties>
</file>