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6B" w:rsidRDefault="00707F6B" w:rsidP="007F0378">
      <w:pPr>
        <w:spacing w:after="0"/>
        <w:jc w:val="center"/>
        <w:rPr>
          <w:rFonts w:ascii="Verdana" w:hAnsi="Verdana"/>
          <w:b/>
          <w:spacing w:val="-4"/>
          <w:lang w:val="es-CR"/>
        </w:rPr>
      </w:pPr>
      <w:bookmarkStart w:id="0" w:name="_GoBack"/>
      <w:bookmarkEnd w:id="0"/>
    </w:p>
    <w:p w:rsidR="00707F6B" w:rsidRDefault="00707F6B" w:rsidP="007F0378">
      <w:pPr>
        <w:spacing w:after="0"/>
        <w:jc w:val="center"/>
        <w:rPr>
          <w:rFonts w:ascii="Verdana" w:hAnsi="Verdana"/>
          <w:b/>
          <w:spacing w:val="-4"/>
          <w:lang w:val="es-CR"/>
        </w:rPr>
      </w:pPr>
    </w:p>
    <w:p w:rsidR="00707F6B" w:rsidRDefault="00707F6B" w:rsidP="007F0378">
      <w:pPr>
        <w:spacing w:after="0"/>
        <w:jc w:val="center"/>
        <w:rPr>
          <w:rFonts w:ascii="Verdana" w:hAnsi="Verdana"/>
          <w:b/>
          <w:spacing w:val="-4"/>
          <w:lang w:val="es-CR"/>
        </w:rPr>
      </w:pPr>
    </w:p>
    <w:p w:rsidR="00707F6B" w:rsidRDefault="00707F6B" w:rsidP="007F0378">
      <w:pPr>
        <w:spacing w:after="0"/>
        <w:jc w:val="center"/>
        <w:rPr>
          <w:rFonts w:ascii="Verdana" w:hAnsi="Verdana"/>
          <w:b/>
          <w:spacing w:val="-4"/>
          <w:lang w:val="es-CR"/>
        </w:rPr>
      </w:pPr>
    </w:p>
    <w:p w:rsidR="00707F6B" w:rsidRDefault="00707F6B" w:rsidP="007F0378">
      <w:pPr>
        <w:spacing w:after="0"/>
        <w:jc w:val="center"/>
        <w:rPr>
          <w:rFonts w:ascii="Verdana" w:hAnsi="Verdana"/>
          <w:b/>
          <w:spacing w:val="-4"/>
          <w:lang w:val="es-CR"/>
        </w:rPr>
      </w:pPr>
    </w:p>
    <w:p w:rsidR="00707F6B" w:rsidRDefault="00707F6B" w:rsidP="007F0378">
      <w:pPr>
        <w:spacing w:after="0"/>
        <w:jc w:val="center"/>
        <w:rPr>
          <w:rFonts w:ascii="Verdana" w:hAnsi="Verdana"/>
          <w:b/>
          <w:spacing w:val="-4"/>
          <w:lang w:val="es-CR"/>
        </w:rPr>
      </w:pPr>
    </w:p>
    <w:p w:rsidR="007613D7" w:rsidRPr="007F0378" w:rsidRDefault="007613D7" w:rsidP="007F0378">
      <w:pPr>
        <w:spacing w:after="0"/>
        <w:jc w:val="center"/>
        <w:rPr>
          <w:rFonts w:ascii="Verdana" w:hAnsi="Verdana"/>
          <w:b/>
          <w:spacing w:val="-4"/>
          <w:lang w:val="es-CR"/>
        </w:rPr>
      </w:pPr>
      <w:r w:rsidRPr="007F0378">
        <w:rPr>
          <w:rFonts w:ascii="Verdana" w:hAnsi="Verdana"/>
          <w:b/>
          <w:spacing w:val="-4"/>
          <w:lang w:val="es-CR"/>
        </w:rPr>
        <w:t>VOTO CONCURRENTE DEL JUEZ EDUARDO VIO GROSSI,</w:t>
      </w:r>
    </w:p>
    <w:p w:rsidR="007613D7" w:rsidRPr="007F0378" w:rsidRDefault="007613D7" w:rsidP="007F0378">
      <w:pPr>
        <w:spacing w:after="0"/>
        <w:jc w:val="center"/>
        <w:rPr>
          <w:rFonts w:ascii="Verdana" w:hAnsi="Verdana"/>
        </w:rPr>
      </w:pPr>
      <w:r w:rsidRPr="007F0378">
        <w:rPr>
          <w:rFonts w:ascii="Verdana" w:hAnsi="Verdana"/>
          <w:b/>
          <w:spacing w:val="-4"/>
          <w:lang w:val="es-CR"/>
        </w:rPr>
        <w:t>CORTE INTERAMERICANA DE DERECHOS HUMANOS,</w:t>
      </w:r>
      <w:bookmarkStart w:id="1" w:name="_Toc424833991"/>
      <w:bookmarkStart w:id="2" w:name="_Toc424834592"/>
      <w:bookmarkStart w:id="3" w:name="_Toc424834675"/>
      <w:bookmarkStart w:id="4" w:name="_Toc424834742"/>
    </w:p>
    <w:p w:rsidR="007613D7" w:rsidRPr="007F0378" w:rsidRDefault="007613D7" w:rsidP="007F0378">
      <w:pPr>
        <w:spacing w:after="0"/>
        <w:jc w:val="center"/>
        <w:rPr>
          <w:rFonts w:ascii="Verdana" w:hAnsi="Verdana"/>
        </w:rPr>
      </w:pPr>
      <w:r w:rsidRPr="007F0378">
        <w:rPr>
          <w:rFonts w:ascii="Verdana" w:hAnsi="Verdana"/>
          <w:b/>
          <w:spacing w:val="-4"/>
          <w:lang w:val="es-CR"/>
        </w:rPr>
        <w:t xml:space="preserve">CASO </w:t>
      </w:r>
      <w:bookmarkEnd w:id="1"/>
      <w:bookmarkEnd w:id="2"/>
      <w:bookmarkEnd w:id="3"/>
      <w:bookmarkEnd w:id="4"/>
      <w:r w:rsidRPr="007F0378">
        <w:rPr>
          <w:rFonts w:ascii="Verdana" w:hAnsi="Verdana"/>
          <w:b/>
          <w:spacing w:val="-4"/>
          <w:lang w:val="es-CR"/>
        </w:rPr>
        <w:t>TERRONES SILVA Y OTROS VS. PERÚ,</w:t>
      </w:r>
    </w:p>
    <w:p w:rsidR="007613D7" w:rsidRPr="007F0378" w:rsidRDefault="007613D7" w:rsidP="007F0378">
      <w:pPr>
        <w:tabs>
          <w:tab w:val="left" w:pos="567"/>
        </w:tabs>
        <w:spacing w:after="0"/>
        <w:jc w:val="center"/>
        <w:rPr>
          <w:rFonts w:ascii="Verdana" w:hAnsi="Verdana"/>
          <w:b/>
          <w:spacing w:val="-4"/>
          <w:lang w:val="es-CR"/>
        </w:rPr>
      </w:pPr>
      <w:bookmarkStart w:id="5" w:name="_Toc424833992"/>
      <w:bookmarkStart w:id="6" w:name="_Toc424834593"/>
      <w:bookmarkStart w:id="7" w:name="_Toc424834676"/>
      <w:bookmarkStart w:id="8" w:name="_Toc424834743"/>
      <w:r w:rsidRPr="007F0378">
        <w:rPr>
          <w:rFonts w:ascii="Verdana" w:hAnsi="Verdana"/>
          <w:b/>
          <w:spacing w:val="-4"/>
          <w:lang w:val="es-CR"/>
        </w:rPr>
        <w:t xml:space="preserve">SENTENCIA DE </w:t>
      </w:r>
      <w:bookmarkEnd w:id="5"/>
      <w:bookmarkEnd w:id="6"/>
      <w:bookmarkEnd w:id="7"/>
      <w:bookmarkEnd w:id="8"/>
      <w:r w:rsidRPr="007F0378">
        <w:rPr>
          <w:rFonts w:ascii="Verdana" w:hAnsi="Verdana"/>
          <w:b/>
          <w:spacing w:val="-4"/>
          <w:lang w:val="es-CR"/>
        </w:rPr>
        <w:t>26 DE SEPTIEMBRE DE 2018,</w:t>
      </w:r>
    </w:p>
    <w:p w:rsidR="007613D7" w:rsidRPr="007F0378" w:rsidRDefault="007613D7" w:rsidP="007F0378">
      <w:pPr>
        <w:tabs>
          <w:tab w:val="left" w:pos="567"/>
        </w:tabs>
        <w:spacing w:after="0"/>
        <w:jc w:val="center"/>
        <w:rPr>
          <w:rFonts w:ascii="Verdana" w:hAnsi="Verdana"/>
          <w:b/>
          <w:spacing w:val="-4"/>
          <w:lang w:val="es-CR"/>
        </w:rPr>
      </w:pPr>
      <w:bookmarkStart w:id="9" w:name="_Toc424833993"/>
      <w:bookmarkStart w:id="10" w:name="_Toc424834594"/>
      <w:bookmarkStart w:id="11" w:name="_Toc424834677"/>
      <w:bookmarkStart w:id="12" w:name="_Toc424834744"/>
      <w:r w:rsidRPr="007F0378">
        <w:rPr>
          <w:rFonts w:ascii="Verdana" w:hAnsi="Verdana"/>
          <w:b/>
          <w:spacing w:val="-4"/>
          <w:lang w:val="es-CR"/>
        </w:rPr>
        <w:t>(</w:t>
      </w:r>
      <w:r w:rsidRPr="007F0378">
        <w:rPr>
          <w:rFonts w:ascii="Verdana" w:hAnsi="Verdana"/>
          <w:b/>
          <w:i/>
          <w:spacing w:val="-4"/>
          <w:lang w:val="es-CR"/>
        </w:rPr>
        <w:t>Excepciones Preliminares, Fondo, Reparaciones y Costas</w:t>
      </w:r>
      <w:r w:rsidRPr="007F0378">
        <w:rPr>
          <w:rFonts w:ascii="Verdana" w:hAnsi="Verdana"/>
          <w:b/>
          <w:spacing w:val="-4"/>
          <w:lang w:val="es-CR"/>
        </w:rPr>
        <w:t>)</w:t>
      </w:r>
      <w:bookmarkEnd w:id="9"/>
      <w:bookmarkEnd w:id="10"/>
      <w:bookmarkEnd w:id="11"/>
      <w:bookmarkEnd w:id="12"/>
      <w:r w:rsidRPr="007F0378">
        <w:rPr>
          <w:rFonts w:ascii="Verdana" w:hAnsi="Verdana"/>
          <w:b/>
          <w:spacing w:val="-4"/>
          <w:lang w:val="es-CR"/>
        </w:rPr>
        <w:t>.</w:t>
      </w:r>
    </w:p>
    <w:p w:rsidR="007613D7" w:rsidRPr="007F0378" w:rsidRDefault="007613D7" w:rsidP="007F0378">
      <w:pPr>
        <w:spacing w:after="0"/>
        <w:jc w:val="center"/>
        <w:rPr>
          <w:rFonts w:ascii="Verdana" w:hAnsi="Verdana" w:cstheme="minorHAnsi"/>
          <w:b/>
          <w:lang w:val="es-ES"/>
        </w:rPr>
      </w:pPr>
    </w:p>
    <w:p w:rsidR="007613D7" w:rsidRPr="007F0378" w:rsidRDefault="007613D7" w:rsidP="007F0378">
      <w:pPr>
        <w:spacing w:after="0"/>
        <w:jc w:val="both"/>
        <w:rPr>
          <w:rFonts w:ascii="Verdana" w:hAnsi="Verdana" w:cstheme="minorHAnsi"/>
          <w:lang w:val="es-ES"/>
        </w:rPr>
      </w:pPr>
      <w:r w:rsidRPr="007F0378">
        <w:rPr>
          <w:rFonts w:ascii="Verdana" w:hAnsi="Verdana" w:cstheme="minorHAnsi"/>
          <w:lang w:val="es-ES"/>
        </w:rPr>
        <w:t>Se expide el presente voto concurrente</w:t>
      </w:r>
      <w:r w:rsidRPr="007F0378">
        <w:rPr>
          <w:rStyle w:val="FootnoteReference"/>
          <w:rFonts w:ascii="Verdana" w:hAnsi="Verdana" w:cstheme="minorHAnsi"/>
          <w:lang w:val="es-ES"/>
        </w:rPr>
        <w:footnoteReference w:id="1"/>
      </w:r>
      <w:r w:rsidRPr="007F0378">
        <w:rPr>
          <w:rFonts w:ascii="Verdana" w:hAnsi="Verdana" w:cstheme="minorHAnsi"/>
          <w:lang w:val="es-ES"/>
        </w:rPr>
        <w:t xml:space="preserve"> </w:t>
      </w:r>
      <w:r w:rsidR="00012525" w:rsidRPr="007F0378">
        <w:rPr>
          <w:rFonts w:ascii="Verdana" w:hAnsi="Verdana" w:cstheme="minorHAnsi"/>
          <w:lang w:val="es-ES"/>
        </w:rPr>
        <w:t>respecto a lo resuelto en la sentencia del epígrafe</w:t>
      </w:r>
      <w:r w:rsidR="00012525" w:rsidRPr="007F0378">
        <w:rPr>
          <w:rStyle w:val="FootnoteReference"/>
          <w:rFonts w:ascii="Verdana" w:hAnsi="Verdana" w:cstheme="minorHAnsi"/>
          <w:lang w:val="es-ES"/>
        </w:rPr>
        <w:footnoteReference w:id="2"/>
      </w:r>
      <w:r w:rsidR="00012525" w:rsidRPr="007F0378">
        <w:rPr>
          <w:rFonts w:ascii="Verdana" w:hAnsi="Verdana" w:cstheme="minorHAnsi"/>
          <w:lang w:val="es-ES"/>
        </w:rPr>
        <w:t xml:space="preserve"> en cuanto a la excepción del previo agotamiento de los recursos internos</w:t>
      </w:r>
      <w:r w:rsidR="00012525" w:rsidRPr="007F0378">
        <w:rPr>
          <w:rStyle w:val="FootnoteReference"/>
          <w:rFonts w:ascii="Verdana" w:hAnsi="Verdana" w:cstheme="minorHAnsi"/>
          <w:lang w:val="es-ES"/>
        </w:rPr>
        <w:footnoteReference w:id="3"/>
      </w:r>
      <w:r w:rsidR="00012525" w:rsidRPr="007F0378">
        <w:rPr>
          <w:rFonts w:ascii="Verdana" w:hAnsi="Verdana" w:cstheme="minorHAnsi"/>
          <w:lang w:val="es-ES"/>
        </w:rPr>
        <w:t>.</w:t>
      </w:r>
    </w:p>
    <w:p w:rsidR="00012525" w:rsidRPr="007F0378" w:rsidRDefault="00012525" w:rsidP="007F0378">
      <w:pPr>
        <w:spacing w:after="0"/>
        <w:jc w:val="both"/>
        <w:rPr>
          <w:rFonts w:ascii="Verdana" w:hAnsi="Verdana" w:cstheme="minorHAnsi"/>
          <w:lang w:val="es-ES"/>
        </w:rPr>
      </w:pPr>
    </w:p>
    <w:p w:rsidR="007F0378" w:rsidRPr="007F0378" w:rsidRDefault="00012525" w:rsidP="007F0378">
      <w:pPr>
        <w:pStyle w:val="ListParagraph"/>
        <w:widowControl w:val="0"/>
        <w:tabs>
          <w:tab w:val="left" w:pos="0"/>
        </w:tabs>
        <w:adjustRightInd w:val="0"/>
        <w:spacing w:line="276" w:lineRule="auto"/>
        <w:ind w:left="0"/>
        <w:rPr>
          <w:sz w:val="22"/>
          <w:lang w:val="es-CR"/>
        </w:rPr>
      </w:pPr>
      <w:r w:rsidRPr="007F0378">
        <w:rPr>
          <w:rFonts w:cstheme="minorHAnsi"/>
          <w:sz w:val="22"/>
          <w:lang w:val="es-ES"/>
        </w:rPr>
        <w:t>Y se procede así en mérito de que</w:t>
      </w:r>
      <w:r w:rsidR="00B04EE9" w:rsidRPr="007F0378">
        <w:rPr>
          <w:rFonts w:cstheme="minorHAnsi"/>
          <w:sz w:val="22"/>
          <w:lang w:val="es-ES"/>
        </w:rPr>
        <w:t>,</w:t>
      </w:r>
      <w:r w:rsidRPr="007F0378">
        <w:rPr>
          <w:rFonts w:cstheme="minorHAnsi"/>
          <w:sz w:val="22"/>
          <w:lang w:val="es-ES"/>
        </w:rPr>
        <w:t xml:space="preserve"> si bien es cierto que la posición del suscrito, expuesta en varios votos individuales</w:t>
      </w:r>
      <w:r w:rsidR="00FE3968" w:rsidRPr="007F0378">
        <w:rPr>
          <w:rStyle w:val="FootnoteReference"/>
          <w:rFonts w:cstheme="minorHAnsi"/>
          <w:sz w:val="22"/>
          <w:lang w:val="es-ES"/>
        </w:rPr>
        <w:footnoteReference w:id="4"/>
      </w:r>
      <w:r w:rsidR="00D03C09" w:rsidRPr="007F0378">
        <w:rPr>
          <w:rFonts w:cstheme="minorHAnsi"/>
          <w:sz w:val="22"/>
          <w:lang w:val="es-ES"/>
        </w:rPr>
        <w:t xml:space="preserve">, es que los recursos internos deben </w:t>
      </w:r>
      <w:r w:rsidR="00D03C09" w:rsidRPr="007F0378">
        <w:rPr>
          <w:rFonts w:cstheme="minorHAnsi"/>
          <w:sz w:val="22"/>
          <w:lang w:val="es-ES"/>
        </w:rPr>
        <w:lastRenderedPageBreak/>
        <w:t>haberse agotado al momento en que se presenta</w:t>
      </w:r>
      <w:r w:rsidR="00B04EE9" w:rsidRPr="007F0378">
        <w:rPr>
          <w:rFonts w:cstheme="minorHAnsi"/>
          <w:sz w:val="22"/>
          <w:lang w:val="es-ES"/>
        </w:rPr>
        <w:t>, ante la Comisión Interamericana de Derechos Humanos</w:t>
      </w:r>
      <w:r w:rsidR="00FE3968" w:rsidRPr="007F0378">
        <w:rPr>
          <w:rStyle w:val="FootnoteReference"/>
          <w:rFonts w:cstheme="minorHAnsi"/>
          <w:sz w:val="22"/>
          <w:lang w:val="es-ES"/>
        </w:rPr>
        <w:footnoteReference w:id="5"/>
      </w:r>
      <w:r w:rsidR="00FE3968" w:rsidRPr="007F0378">
        <w:rPr>
          <w:rFonts w:cstheme="minorHAnsi"/>
          <w:sz w:val="22"/>
          <w:lang w:val="es-ES"/>
        </w:rPr>
        <w:t>,</w:t>
      </w:r>
      <w:r w:rsidR="00B04EE9" w:rsidRPr="007F0378">
        <w:rPr>
          <w:rFonts w:cstheme="minorHAnsi"/>
          <w:sz w:val="22"/>
          <w:lang w:val="es-ES"/>
        </w:rPr>
        <w:t xml:space="preserve"> la correspondiente petición que </w:t>
      </w:r>
      <w:r w:rsidR="00B04EE9" w:rsidRPr="007F0378">
        <w:rPr>
          <w:sz w:val="22"/>
          <w:lang w:val="es-ES"/>
        </w:rPr>
        <w:t xml:space="preserve"> contenga la denuncia o queja de violación, por un Estado parte, de la Convención Americana sobre Derechos Humanos</w:t>
      </w:r>
      <w:r w:rsidR="00FE3968" w:rsidRPr="007F0378">
        <w:rPr>
          <w:rStyle w:val="FootnoteReference"/>
          <w:sz w:val="22"/>
          <w:lang w:val="es-ES"/>
        </w:rPr>
        <w:footnoteReference w:id="6"/>
      </w:r>
      <w:r w:rsidR="00B04EE9" w:rsidRPr="007F0378">
        <w:rPr>
          <w:sz w:val="22"/>
          <w:lang w:val="es-ES"/>
        </w:rPr>
        <w:t xml:space="preserve"> y que, consecuentemente, es respecto de dicha solicitud que debe recaer la resolución de la Comisión sobre su admisibilidad y no sobre lo que haya acontecido con posterioridad, </w:t>
      </w:r>
      <w:r w:rsidR="00FE3968" w:rsidRPr="007F0378">
        <w:rPr>
          <w:sz w:val="22"/>
          <w:lang w:val="es-ES"/>
        </w:rPr>
        <w:t>no es menos cierto que, en esta oportunidad, en la Sentencia se expresa que “</w:t>
      </w:r>
      <w:r w:rsidR="00FE3968" w:rsidRPr="007F0378">
        <w:rPr>
          <w:i/>
          <w:sz w:val="22"/>
          <w:lang w:val="es-ES" w:eastAsia="es-ES" w:bidi="en-US"/>
        </w:rPr>
        <w:t xml:space="preserve">en ninguno de los cinco casos el Estado </w:t>
      </w:r>
      <w:r w:rsidR="00FE3968" w:rsidRPr="007F0378">
        <w:rPr>
          <w:i/>
          <w:sz w:val="22"/>
          <w:lang w:val="es-CR"/>
        </w:rPr>
        <w:t>alegó los recursos concretos que consideraba que no se habían agotado, ni señaló cuáles eran los recursos adecuados y efectivos, sólo se limitó a indicar que habían investigaciones en curso”</w:t>
      </w:r>
      <w:r w:rsidR="00FE3968" w:rsidRPr="007F0378">
        <w:rPr>
          <w:rStyle w:val="FootnoteReference"/>
          <w:i/>
          <w:sz w:val="22"/>
          <w:lang w:val="es-CR"/>
        </w:rPr>
        <w:footnoteReference w:id="7"/>
      </w:r>
      <w:r w:rsidR="00FE3968" w:rsidRPr="007F0378">
        <w:rPr>
          <w:i/>
          <w:sz w:val="22"/>
          <w:lang w:val="es-CR"/>
        </w:rPr>
        <w:t>,</w:t>
      </w:r>
      <w:r w:rsidR="00FE3968" w:rsidRPr="007F0378">
        <w:rPr>
          <w:sz w:val="22"/>
          <w:lang w:val="es-CR"/>
        </w:rPr>
        <w:t xml:space="preserve"> por lo que </w:t>
      </w:r>
      <w:r w:rsidR="007F0378" w:rsidRPr="007F0378">
        <w:rPr>
          <w:sz w:val="22"/>
          <w:lang w:val="es-CR"/>
        </w:rPr>
        <w:t xml:space="preserve">desestimó, por extemporánea la excepción del previo agotamiento de los recursos internos interpuesta por el Estado requerido. </w:t>
      </w:r>
    </w:p>
    <w:p w:rsidR="007F0378" w:rsidRPr="007F0378" w:rsidRDefault="007F0378" w:rsidP="007F0378">
      <w:pPr>
        <w:pStyle w:val="ListParagraph"/>
        <w:widowControl w:val="0"/>
        <w:tabs>
          <w:tab w:val="left" w:pos="0"/>
        </w:tabs>
        <w:adjustRightInd w:val="0"/>
        <w:spacing w:before="120" w:line="276" w:lineRule="auto"/>
        <w:ind w:left="0"/>
        <w:rPr>
          <w:sz w:val="22"/>
          <w:lang w:val="es-CR"/>
        </w:rPr>
      </w:pPr>
    </w:p>
    <w:p w:rsidR="00FE3968" w:rsidRPr="007F0378" w:rsidRDefault="007F0378" w:rsidP="007F0378">
      <w:pPr>
        <w:pStyle w:val="ListParagraph"/>
        <w:widowControl w:val="0"/>
        <w:tabs>
          <w:tab w:val="left" w:pos="0"/>
        </w:tabs>
        <w:adjustRightInd w:val="0"/>
        <w:spacing w:before="120" w:line="276" w:lineRule="auto"/>
        <w:ind w:left="0"/>
        <w:rPr>
          <w:sz w:val="22"/>
          <w:lang w:val="es-CR"/>
        </w:rPr>
      </w:pPr>
      <w:r w:rsidRPr="007F0378">
        <w:rPr>
          <w:sz w:val="22"/>
          <w:lang w:val="es-CR"/>
        </w:rPr>
        <w:t xml:space="preserve">En consecuencia, el suscrito considera que lo resuelto </w:t>
      </w:r>
      <w:r w:rsidR="00745ABD">
        <w:rPr>
          <w:sz w:val="22"/>
          <w:lang w:val="es-CR"/>
        </w:rPr>
        <w:t xml:space="preserve">en la Sentencia </w:t>
      </w:r>
      <w:r w:rsidRPr="007F0378">
        <w:rPr>
          <w:sz w:val="22"/>
          <w:lang w:val="es-CR"/>
        </w:rPr>
        <w:t>concuerda con lo que ha sostenido sobre la materia o, al menos, no lo contradice.</w:t>
      </w:r>
    </w:p>
    <w:p w:rsidR="007F0378" w:rsidRDefault="007F0378" w:rsidP="007F0378">
      <w:pPr>
        <w:pStyle w:val="ListParagraph"/>
        <w:widowControl w:val="0"/>
        <w:tabs>
          <w:tab w:val="left" w:pos="0"/>
        </w:tabs>
        <w:adjustRightInd w:val="0"/>
        <w:spacing w:before="120" w:line="276" w:lineRule="auto"/>
        <w:ind w:left="0"/>
        <w:rPr>
          <w:sz w:val="22"/>
          <w:lang w:val="es-CR"/>
        </w:rPr>
      </w:pPr>
    </w:p>
    <w:p w:rsidR="00707F6B" w:rsidRDefault="00707F6B" w:rsidP="007F0378">
      <w:pPr>
        <w:pStyle w:val="ListParagraph"/>
        <w:widowControl w:val="0"/>
        <w:tabs>
          <w:tab w:val="left" w:pos="0"/>
        </w:tabs>
        <w:adjustRightInd w:val="0"/>
        <w:spacing w:before="120" w:line="276" w:lineRule="auto"/>
        <w:ind w:left="0"/>
        <w:rPr>
          <w:sz w:val="22"/>
          <w:lang w:val="es-CR"/>
        </w:rPr>
      </w:pPr>
    </w:p>
    <w:p w:rsidR="00707F6B" w:rsidRDefault="00707F6B" w:rsidP="007F0378">
      <w:pPr>
        <w:pStyle w:val="ListParagraph"/>
        <w:widowControl w:val="0"/>
        <w:tabs>
          <w:tab w:val="left" w:pos="0"/>
        </w:tabs>
        <w:adjustRightInd w:val="0"/>
        <w:spacing w:before="120" w:line="276" w:lineRule="auto"/>
        <w:ind w:left="0"/>
        <w:rPr>
          <w:sz w:val="22"/>
          <w:lang w:val="es-CR"/>
        </w:rPr>
      </w:pPr>
    </w:p>
    <w:p w:rsidR="00707F6B" w:rsidRDefault="00707F6B" w:rsidP="007F0378">
      <w:pPr>
        <w:pStyle w:val="ListParagraph"/>
        <w:widowControl w:val="0"/>
        <w:tabs>
          <w:tab w:val="left" w:pos="0"/>
        </w:tabs>
        <w:adjustRightInd w:val="0"/>
        <w:spacing w:before="120" w:line="276" w:lineRule="auto"/>
        <w:ind w:left="0"/>
        <w:rPr>
          <w:sz w:val="22"/>
          <w:lang w:val="es-CR"/>
        </w:rPr>
      </w:pPr>
    </w:p>
    <w:p w:rsidR="00707F6B" w:rsidRDefault="00707F6B" w:rsidP="007F0378">
      <w:pPr>
        <w:pStyle w:val="ListParagraph"/>
        <w:widowControl w:val="0"/>
        <w:tabs>
          <w:tab w:val="left" w:pos="0"/>
        </w:tabs>
        <w:adjustRightInd w:val="0"/>
        <w:spacing w:before="120" w:line="276" w:lineRule="auto"/>
        <w:ind w:left="0"/>
        <w:rPr>
          <w:sz w:val="22"/>
          <w:lang w:val="es-CR"/>
        </w:rPr>
      </w:pPr>
    </w:p>
    <w:p w:rsidR="00707F6B" w:rsidRPr="007F0378" w:rsidRDefault="00707F6B" w:rsidP="007F0378">
      <w:pPr>
        <w:pStyle w:val="ListParagraph"/>
        <w:widowControl w:val="0"/>
        <w:tabs>
          <w:tab w:val="left" w:pos="0"/>
        </w:tabs>
        <w:adjustRightInd w:val="0"/>
        <w:spacing w:before="120" w:line="276" w:lineRule="auto"/>
        <w:ind w:left="0"/>
        <w:rPr>
          <w:sz w:val="22"/>
          <w:lang w:val="es-CR"/>
        </w:rPr>
      </w:pPr>
    </w:p>
    <w:p w:rsidR="007F0378" w:rsidRPr="007F0378" w:rsidRDefault="007F0378" w:rsidP="007F0378">
      <w:pPr>
        <w:pStyle w:val="ListParagraph"/>
        <w:widowControl w:val="0"/>
        <w:tabs>
          <w:tab w:val="left" w:pos="0"/>
        </w:tabs>
        <w:adjustRightInd w:val="0"/>
        <w:spacing w:before="120" w:line="276" w:lineRule="auto"/>
        <w:ind w:left="0"/>
        <w:jc w:val="right"/>
        <w:rPr>
          <w:sz w:val="22"/>
          <w:lang w:val="es-CR"/>
        </w:rPr>
      </w:pPr>
      <w:r w:rsidRPr="007F0378">
        <w:rPr>
          <w:sz w:val="22"/>
          <w:lang w:val="es-CR"/>
        </w:rPr>
        <w:t>Eduardo Vio Grossi</w:t>
      </w:r>
    </w:p>
    <w:p w:rsidR="007F0378" w:rsidRPr="007F0378" w:rsidRDefault="00707F6B" w:rsidP="00707F6B">
      <w:pPr>
        <w:pStyle w:val="ListParagraph"/>
        <w:widowControl w:val="0"/>
        <w:tabs>
          <w:tab w:val="left" w:pos="0"/>
        </w:tabs>
        <w:adjustRightInd w:val="0"/>
        <w:spacing w:before="120" w:line="276" w:lineRule="auto"/>
        <w:ind w:left="0"/>
        <w:jc w:val="center"/>
        <w:rPr>
          <w:sz w:val="22"/>
          <w:lang w:val="es-CR"/>
        </w:rPr>
      </w:pPr>
      <w:r>
        <w:rPr>
          <w:sz w:val="22"/>
          <w:lang w:val="es-CR"/>
        </w:rPr>
        <w:t xml:space="preserve">                                                                               </w:t>
      </w:r>
      <w:r w:rsidR="007F0378" w:rsidRPr="007F0378">
        <w:rPr>
          <w:sz w:val="22"/>
          <w:lang w:val="es-CR"/>
        </w:rPr>
        <w:t>Juez.</w:t>
      </w:r>
    </w:p>
    <w:p w:rsidR="007F0378" w:rsidRDefault="007F0378" w:rsidP="007F0378">
      <w:pPr>
        <w:pStyle w:val="ListParagraph"/>
        <w:widowControl w:val="0"/>
        <w:tabs>
          <w:tab w:val="left" w:pos="0"/>
        </w:tabs>
        <w:adjustRightInd w:val="0"/>
        <w:spacing w:before="120" w:line="276" w:lineRule="auto"/>
        <w:ind w:left="0"/>
        <w:rPr>
          <w:szCs w:val="20"/>
          <w:lang w:val="es-CR"/>
        </w:rPr>
      </w:pPr>
    </w:p>
    <w:p w:rsidR="007F0378" w:rsidRDefault="007F0378" w:rsidP="007F0378">
      <w:pPr>
        <w:pStyle w:val="ListParagraph"/>
        <w:widowControl w:val="0"/>
        <w:tabs>
          <w:tab w:val="left" w:pos="0"/>
        </w:tabs>
        <w:adjustRightInd w:val="0"/>
        <w:spacing w:before="120" w:line="276" w:lineRule="auto"/>
        <w:ind w:left="0"/>
        <w:rPr>
          <w:szCs w:val="20"/>
          <w:lang w:val="es-CR"/>
        </w:rPr>
      </w:pPr>
    </w:p>
    <w:p w:rsidR="007F0378" w:rsidRDefault="007F0378" w:rsidP="007F0378">
      <w:pPr>
        <w:pStyle w:val="ListParagraph"/>
        <w:widowControl w:val="0"/>
        <w:tabs>
          <w:tab w:val="left" w:pos="0"/>
        </w:tabs>
        <w:adjustRightInd w:val="0"/>
        <w:spacing w:before="120" w:line="276" w:lineRule="auto"/>
        <w:ind w:left="0"/>
        <w:rPr>
          <w:szCs w:val="20"/>
          <w:lang w:val="es-CR"/>
        </w:rPr>
      </w:pPr>
    </w:p>
    <w:p w:rsidR="00351572" w:rsidRDefault="00351572" w:rsidP="007F0378">
      <w:pPr>
        <w:pStyle w:val="ListParagraph"/>
        <w:widowControl w:val="0"/>
        <w:tabs>
          <w:tab w:val="left" w:pos="0"/>
        </w:tabs>
        <w:adjustRightInd w:val="0"/>
        <w:spacing w:before="120" w:line="276" w:lineRule="auto"/>
        <w:ind w:left="0"/>
        <w:rPr>
          <w:szCs w:val="20"/>
          <w:lang w:val="es-CR"/>
        </w:rPr>
      </w:pPr>
    </w:p>
    <w:p w:rsidR="00351572" w:rsidRDefault="00351572" w:rsidP="007F0378">
      <w:pPr>
        <w:pStyle w:val="ListParagraph"/>
        <w:widowControl w:val="0"/>
        <w:tabs>
          <w:tab w:val="left" w:pos="0"/>
        </w:tabs>
        <w:adjustRightInd w:val="0"/>
        <w:spacing w:before="120" w:line="276" w:lineRule="auto"/>
        <w:ind w:left="0"/>
        <w:rPr>
          <w:szCs w:val="20"/>
          <w:lang w:val="es-CR"/>
        </w:rPr>
      </w:pPr>
      <w:r>
        <w:rPr>
          <w:szCs w:val="20"/>
          <w:lang w:val="es-CR"/>
        </w:rPr>
        <w:t>Pablo Saavedra Alessandri</w:t>
      </w:r>
    </w:p>
    <w:p w:rsidR="00351572" w:rsidRDefault="00351572" w:rsidP="007F0378">
      <w:pPr>
        <w:pStyle w:val="ListParagraph"/>
        <w:widowControl w:val="0"/>
        <w:tabs>
          <w:tab w:val="left" w:pos="0"/>
        </w:tabs>
        <w:adjustRightInd w:val="0"/>
        <w:spacing w:before="120" w:line="276" w:lineRule="auto"/>
        <w:ind w:left="0"/>
        <w:rPr>
          <w:szCs w:val="20"/>
          <w:lang w:val="es-CR"/>
        </w:rPr>
      </w:pPr>
      <w:r>
        <w:rPr>
          <w:szCs w:val="20"/>
          <w:lang w:val="es-CR"/>
        </w:rPr>
        <w:t xml:space="preserve">           Secretario </w:t>
      </w:r>
    </w:p>
    <w:p w:rsidR="007F0378" w:rsidRPr="00B701DC" w:rsidRDefault="007F0378" w:rsidP="007F0378">
      <w:pPr>
        <w:pStyle w:val="ListParagraph"/>
        <w:widowControl w:val="0"/>
        <w:tabs>
          <w:tab w:val="left" w:pos="0"/>
        </w:tabs>
        <w:adjustRightInd w:val="0"/>
        <w:spacing w:line="276" w:lineRule="auto"/>
        <w:ind w:left="0"/>
        <w:rPr>
          <w:rFonts w:cs="Arial"/>
          <w:szCs w:val="20"/>
          <w:lang w:val="es-ES"/>
        </w:rPr>
      </w:pPr>
    </w:p>
    <w:p w:rsidR="00FE3968" w:rsidRPr="00B701DC" w:rsidRDefault="00FE3968" w:rsidP="007F0378">
      <w:pPr>
        <w:pStyle w:val="ListParagraph"/>
        <w:widowControl w:val="0"/>
        <w:tabs>
          <w:tab w:val="left" w:pos="0"/>
        </w:tabs>
        <w:adjustRightInd w:val="0"/>
        <w:spacing w:line="276" w:lineRule="auto"/>
        <w:ind w:left="0"/>
        <w:rPr>
          <w:rFonts w:cs="Arial"/>
          <w:szCs w:val="20"/>
          <w:lang w:val="es-ES"/>
        </w:rPr>
      </w:pPr>
    </w:p>
    <w:p w:rsidR="00B04EE9" w:rsidRPr="00B04EE9" w:rsidRDefault="00B04EE9" w:rsidP="007F0378">
      <w:pPr>
        <w:jc w:val="both"/>
        <w:rPr>
          <w:rFonts w:ascii="Verdana" w:hAnsi="Verdana"/>
          <w:lang w:val="es-ES"/>
        </w:rPr>
      </w:pPr>
    </w:p>
    <w:p w:rsidR="00012525" w:rsidRPr="007613D7" w:rsidRDefault="00D03C09" w:rsidP="007F0378">
      <w:pPr>
        <w:spacing w:after="0"/>
        <w:jc w:val="both"/>
        <w:rPr>
          <w:rFonts w:ascii="Verdana" w:hAnsi="Verdana" w:cstheme="minorHAnsi"/>
          <w:lang w:val="es-ES"/>
        </w:rPr>
      </w:pPr>
      <w:r>
        <w:rPr>
          <w:rFonts w:ascii="Verdana" w:hAnsi="Verdana" w:cstheme="minorHAnsi"/>
          <w:lang w:val="es-ES"/>
        </w:rPr>
        <w:t xml:space="preserve"> </w:t>
      </w:r>
    </w:p>
    <w:p w:rsidR="007613D7" w:rsidRDefault="007613D7" w:rsidP="007F0378">
      <w:pPr>
        <w:spacing w:after="0"/>
        <w:jc w:val="center"/>
        <w:rPr>
          <w:rFonts w:ascii="Verdana" w:hAnsi="Verdana" w:cstheme="minorHAnsi"/>
          <w:b/>
          <w:lang w:val="es-ES"/>
        </w:rPr>
      </w:pPr>
    </w:p>
    <w:p w:rsidR="007613D7" w:rsidRDefault="007613D7" w:rsidP="007F0378">
      <w:pPr>
        <w:spacing w:after="0"/>
        <w:jc w:val="center"/>
        <w:rPr>
          <w:rFonts w:ascii="Verdana" w:hAnsi="Verdana" w:cstheme="minorHAnsi"/>
          <w:b/>
          <w:lang w:val="es-ES"/>
        </w:rPr>
      </w:pPr>
    </w:p>
    <w:sectPr w:rsidR="007613D7" w:rsidSect="000C268E">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BB" w:rsidRDefault="00A134BB" w:rsidP="00033F34">
      <w:pPr>
        <w:spacing w:after="0" w:line="240" w:lineRule="auto"/>
      </w:pPr>
      <w:r>
        <w:separator/>
      </w:r>
    </w:p>
  </w:endnote>
  <w:endnote w:type="continuationSeparator" w:id="0">
    <w:p w:rsidR="00A134BB" w:rsidRDefault="00A134BB" w:rsidP="0003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49289"/>
      <w:docPartObj>
        <w:docPartGallery w:val="Page Numbers (Bottom of Page)"/>
        <w:docPartUnique/>
      </w:docPartObj>
    </w:sdtPr>
    <w:sdtEndPr/>
    <w:sdtContent>
      <w:p w:rsidR="007F0378" w:rsidRDefault="007F0378">
        <w:pPr>
          <w:pStyle w:val="Footer"/>
          <w:jc w:val="right"/>
        </w:pPr>
        <w:r>
          <w:fldChar w:fldCharType="begin"/>
        </w:r>
        <w:r>
          <w:instrText>PAGE   \* MERGEFORMAT</w:instrText>
        </w:r>
        <w:r>
          <w:fldChar w:fldCharType="separate"/>
        </w:r>
        <w:r w:rsidR="00B32A03" w:rsidRPr="00B32A03">
          <w:rPr>
            <w:noProof/>
            <w:lang w:val="es-ES"/>
          </w:rPr>
          <w:t>2</w:t>
        </w:r>
        <w:r>
          <w:fldChar w:fldCharType="end"/>
        </w:r>
      </w:p>
    </w:sdtContent>
  </w:sdt>
  <w:p w:rsidR="00033F34" w:rsidRDefault="0003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BB" w:rsidRDefault="00A134BB" w:rsidP="00033F34">
      <w:pPr>
        <w:spacing w:after="0" w:line="240" w:lineRule="auto"/>
      </w:pPr>
      <w:r>
        <w:separator/>
      </w:r>
    </w:p>
  </w:footnote>
  <w:footnote w:type="continuationSeparator" w:id="0">
    <w:p w:rsidR="00A134BB" w:rsidRDefault="00A134BB" w:rsidP="00033F34">
      <w:pPr>
        <w:spacing w:after="0" w:line="240" w:lineRule="auto"/>
      </w:pPr>
      <w:r>
        <w:continuationSeparator/>
      </w:r>
    </w:p>
  </w:footnote>
  <w:footnote w:id="1">
    <w:p w:rsidR="00012525" w:rsidRPr="00E7716E" w:rsidRDefault="007613D7" w:rsidP="00012525">
      <w:pPr>
        <w:spacing w:after="0" w:line="240" w:lineRule="auto"/>
        <w:jc w:val="both"/>
        <w:rPr>
          <w:rFonts w:ascii="Verdana" w:hAnsi="Verdana"/>
          <w:sz w:val="16"/>
          <w:szCs w:val="16"/>
          <w:lang w:val="es-ES"/>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00012525" w:rsidRPr="00E7716E">
        <w:rPr>
          <w:rFonts w:ascii="Verdana" w:hAnsi="Verdana"/>
          <w:sz w:val="16"/>
          <w:szCs w:val="16"/>
        </w:rPr>
        <w:t>Art.</w:t>
      </w:r>
      <w:r w:rsidR="00400B3E" w:rsidRPr="00E7716E">
        <w:rPr>
          <w:rFonts w:ascii="Verdana" w:hAnsi="Verdana"/>
          <w:sz w:val="16"/>
          <w:szCs w:val="16"/>
        </w:rPr>
        <w:t xml:space="preserve"> </w:t>
      </w:r>
      <w:r w:rsidR="00012525" w:rsidRPr="00E7716E">
        <w:rPr>
          <w:rFonts w:ascii="Verdana" w:hAnsi="Verdana"/>
          <w:sz w:val="16"/>
          <w:szCs w:val="16"/>
        </w:rPr>
        <w:t>6</w:t>
      </w:r>
      <w:r w:rsidR="00034E68" w:rsidRPr="00E7716E">
        <w:rPr>
          <w:rFonts w:ascii="Verdana" w:hAnsi="Verdana"/>
          <w:sz w:val="16"/>
          <w:szCs w:val="16"/>
        </w:rPr>
        <w:t>6</w:t>
      </w:r>
      <w:r w:rsidR="00012525" w:rsidRPr="00E7716E">
        <w:rPr>
          <w:rFonts w:ascii="Verdana" w:hAnsi="Verdana"/>
          <w:sz w:val="16"/>
          <w:szCs w:val="16"/>
        </w:rPr>
        <w:t>.2 de la Convención Americana sobre Derechos Humanos: “</w:t>
      </w:r>
      <w:r w:rsidR="00012525" w:rsidRPr="00E7716E">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00012525" w:rsidRPr="00E7716E">
        <w:rPr>
          <w:rFonts w:ascii="Verdana" w:hAnsi="Verdana"/>
          <w:sz w:val="16"/>
          <w:szCs w:val="16"/>
          <w:lang w:val="es-ES"/>
        </w:rPr>
        <w:t xml:space="preserve"> </w:t>
      </w:r>
    </w:p>
    <w:p w:rsidR="00012525" w:rsidRPr="00E7716E" w:rsidRDefault="00012525" w:rsidP="00E7716E">
      <w:pPr>
        <w:spacing w:after="0" w:line="240" w:lineRule="auto"/>
        <w:ind w:firstLine="708"/>
        <w:jc w:val="both"/>
        <w:rPr>
          <w:rFonts w:ascii="Verdana" w:hAnsi="Verdana"/>
          <w:color w:val="000000"/>
          <w:sz w:val="16"/>
          <w:szCs w:val="16"/>
          <w:shd w:val="clear" w:color="auto" w:fill="FFFFFF"/>
        </w:rPr>
      </w:pPr>
      <w:r w:rsidRPr="00E7716E">
        <w:rPr>
          <w:rFonts w:ascii="Verdana" w:hAnsi="Verdana"/>
          <w:color w:val="000000"/>
          <w:sz w:val="16"/>
          <w:szCs w:val="16"/>
          <w:shd w:val="clear" w:color="auto" w:fill="FFFFFF"/>
        </w:rPr>
        <w:t>Art. 24.</w:t>
      </w:r>
      <w:r w:rsidR="003832C3" w:rsidRPr="00E7716E">
        <w:rPr>
          <w:rFonts w:ascii="Verdana" w:hAnsi="Verdana"/>
          <w:color w:val="000000"/>
          <w:sz w:val="16"/>
          <w:szCs w:val="16"/>
          <w:shd w:val="clear" w:color="auto" w:fill="FFFFFF"/>
        </w:rPr>
        <w:t>3</w:t>
      </w:r>
      <w:r w:rsidRPr="00E7716E">
        <w:rPr>
          <w:rFonts w:ascii="Verdana" w:hAnsi="Verdana"/>
          <w:color w:val="000000"/>
          <w:sz w:val="16"/>
          <w:szCs w:val="16"/>
          <w:shd w:val="clear" w:color="auto" w:fill="FFFFFF"/>
        </w:rPr>
        <w:t xml:space="preserve"> </w:t>
      </w:r>
      <w:r w:rsidR="00A50F21" w:rsidRPr="00E7716E">
        <w:rPr>
          <w:rFonts w:ascii="Verdana" w:hAnsi="Verdana"/>
          <w:color w:val="000000"/>
          <w:sz w:val="16"/>
          <w:szCs w:val="16"/>
          <w:shd w:val="clear" w:color="auto" w:fill="FFFFFF"/>
        </w:rPr>
        <w:t xml:space="preserve">del </w:t>
      </w:r>
      <w:r w:rsidRPr="00E7716E">
        <w:rPr>
          <w:rFonts w:ascii="Verdana" w:hAnsi="Verdana"/>
          <w:color w:val="000000"/>
          <w:sz w:val="16"/>
          <w:szCs w:val="16"/>
          <w:shd w:val="clear" w:color="auto" w:fill="FFFFFF"/>
        </w:rPr>
        <w:t>Estatuto de la Corte Interamericana de Derechos Humanos: “</w:t>
      </w:r>
      <w:r w:rsidRPr="00E7716E">
        <w:rPr>
          <w:rFonts w:ascii="Verdana" w:hAnsi="Verdana"/>
          <w:i/>
          <w:color w:val="000000"/>
          <w:sz w:val="16"/>
          <w:szCs w:val="16"/>
          <w:shd w:val="clear" w:color="auto" w:fill="FFFFFF"/>
        </w:rPr>
        <w:t>Las decisiones, juicios y opiniones de la Corte se comunicarán en sesiones públicas y se notificarán por escrito a las partes. Además, se publicarán conjuntamente con</w:t>
      </w:r>
      <w:r w:rsidR="00A50F21" w:rsidRPr="00E7716E">
        <w:rPr>
          <w:rFonts w:ascii="Verdana" w:hAnsi="Verdana"/>
          <w:i/>
          <w:color w:val="000000"/>
          <w:sz w:val="16"/>
          <w:szCs w:val="16"/>
          <w:shd w:val="clear" w:color="auto" w:fill="FFFFFF"/>
        </w:rPr>
        <w:t xml:space="preserve"> </w:t>
      </w:r>
      <w:r w:rsidRPr="00E7716E">
        <w:rPr>
          <w:rFonts w:ascii="Verdana" w:hAnsi="Verdana"/>
          <w:i/>
          <w:color w:val="000000"/>
          <w:sz w:val="16"/>
          <w:szCs w:val="16"/>
          <w:shd w:val="clear" w:color="auto" w:fill="FFFFFF"/>
        </w:rPr>
        <w:t>los votos y opiniones separados de los jueces y con cualesquiera otros datos o antecedentes que la Corte considere conveniente</w:t>
      </w:r>
      <w:r w:rsidRPr="00E7716E">
        <w:rPr>
          <w:rFonts w:ascii="Verdana" w:hAnsi="Verdana"/>
          <w:color w:val="000000"/>
          <w:sz w:val="16"/>
          <w:szCs w:val="16"/>
          <w:shd w:val="clear" w:color="auto" w:fill="FFFFFF"/>
        </w:rPr>
        <w:t>.”</w:t>
      </w:r>
    </w:p>
    <w:p w:rsidR="007613D7" w:rsidRPr="00E7716E" w:rsidRDefault="00012525" w:rsidP="00E7716E">
      <w:pPr>
        <w:spacing w:after="120" w:line="240" w:lineRule="auto"/>
        <w:ind w:firstLine="708"/>
        <w:jc w:val="both"/>
        <w:rPr>
          <w:rFonts w:ascii="Verdana" w:hAnsi="Verdana"/>
          <w:i/>
          <w:sz w:val="16"/>
          <w:szCs w:val="16"/>
          <w:lang w:val="es-ES"/>
        </w:rPr>
      </w:pPr>
      <w:r w:rsidRPr="00E7716E">
        <w:rPr>
          <w:rFonts w:ascii="Verdana" w:hAnsi="Verdana"/>
          <w:color w:val="000000"/>
          <w:sz w:val="16"/>
          <w:szCs w:val="16"/>
          <w:shd w:val="clear" w:color="auto" w:fill="FFFFFF"/>
        </w:rPr>
        <w:t xml:space="preserve">Art.32.1.a del Reglamento de la Corte Interamericana de Derechos Humanos: </w:t>
      </w:r>
      <w:r w:rsidRPr="00E7716E">
        <w:rPr>
          <w:rFonts w:ascii="Verdana" w:hAnsi="Verdana"/>
          <w:i/>
          <w:color w:val="000000"/>
          <w:sz w:val="16"/>
          <w:szCs w:val="16"/>
          <w:shd w:val="clear" w:color="auto" w:fill="FFFFFF"/>
        </w:rPr>
        <w:t>“La Corte hará público</w:t>
      </w:r>
      <w:r w:rsidR="00A4408C" w:rsidRPr="00E7716E">
        <w:rPr>
          <w:rFonts w:ascii="Verdana" w:hAnsi="Verdana"/>
          <w:i/>
          <w:color w:val="000000"/>
          <w:sz w:val="16"/>
          <w:szCs w:val="16"/>
          <w:shd w:val="clear" w:color="auto" w:fill="FFFFFF"/>
        </w:rPr>
        <w:t xml:space="preserve"> […]  </w:t>
      </w:r>
      <w:r w:rsidRPr="00E7716E">
        <w:rPr>
          <w:rFonts w:ascii="Verdana" w:hAnsi="Verdana"/>
          <w:i/>
          <w:color w:val="000000"/>
          <w:sz w:val="16"/>
          <w:szCs w:val="16"/>
          <w:shd w:val="clear" w:color="auto" w:fill="FFFFFF"/>
        </w:rPr>
        <w:t>sus sentencias, resoluciones, opiniones y otras decisiones, incluyendo los votos concurrentes o disidentes, cuando cumplan los requisitos señalados en el artículo 65.2 del presente Reglamento</w:t>
      </w:r>
      <w:r w:rsidRPr="00E7716E">
        <w:rPr>
          <w:rFonts w:ascii="Verdana" w:hAnsi="Verdana"/>
          <w:color w:val="000000"/>
          <w:sz w:val="16"/>
          <w:szCs w:val="16"/>
          <w:shd w:val="clear" w:color="auto" w:fill="FFFFFF"/>
        </w:rPr>
        <w:t>”.</w:t>
      </w:r>
    </w:p>
  </w:footnote>
  <w:footnote w:id="2">
    <w:p w:rsidR="00012525" w:rsidRPr="00E7716E" w:rsidRDefault="00012525" w:rsidP="00012525">
      <w:pPr>
        <w:pStyle w:val="FootnoteText"/>
        <w:spacing w:after="120"/>
        <w:rPr>
          <w:rFonts w:ascii="Verdana" w:hAnsi="Verdana"/>
          <w:sz w:val="16"/>
          <w:szCs w:val="16"/>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Pr="00E7716E">
        <w:rPr>
          <w:rFonts w:ascii="Verdana" w:hAnsi="Verdana"/>
          <w:sz w:val="16"/>
          <w:szCs w:val="16"/>
        </w:rPr>
        <w:t>En adelante la sentencia.</w:t>
      </w:r>
    </w:p>
  </w:footnote>
  <w:footnote w:id="3">
    <w:p w:rsidR="00012525" w:rsidRPr="00E7716E" w:rsidRDefault="00012525" w:rsidP="00012525">
      <w:pPr>
        <w:pStyle w:val="FootnoteText"/>
        <w:spacing w:after="120"/>
        <w:rPr>
          <w:rFonts w:ascii="Verdana" w:hAnsi="Verdana"/>
          <w:sz w:val="16"/>
          <w:szCs w:val="16"/>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Pr="00E7716E">
        <w:rPr>
          <w:rFonts w:ascii="Verdana" w:hAnsi="Verdana"/>
          <w:sz w:val="16"/>
          <w:szCs w:val="16"/>
        </w:rPr>
        <w:t>Párrs. 20 a 23</w:t>
      </w:r>
      <w:r w:rsidR="00F56FA1" w:rsidRPr="00E7716E">
        <w:rPr>
          <w:rFonts w:ascii="Verdana" w:hAnsi="Verdana"/>
          <w:sz w:val="16"/>
          <w:szCs w:val="16"/>
        </w:rPr>
        <w:t xml:space="preserve"> de la Sentencia</w:t>
      </w:r>
      <w:r w:rsidRPr="00E7716E">
        <w:rPr>
          <w:rFonts w:ascii="Verdana" w:hAnsi="Verdana"/>
          <w:sz w:val="16"/>
          <w:szCs w:val="16"/>
        </w:rPr>
        <w:t>.</w:t>
      </w:r>
    </w:p>
  </w:footnote>
  <w:footnote w:id="4">
    <w:p w:rsidR="00FE3968" w:rsidRPr="00E7716E" w:rsidRDefault="00FE3968" w:rsidP="00FE3968">
      <w:pPr>
        <w:spacing w:after="0" w:line="240" w:lineRule="auto"/>
        <w:jc w:val="both"/>
        <w:rPr>
          <w:rFonts w:ascii="Verdana" w:hAnsi="Verdana" w:cstheme="minorHAnsi"/>
          <w:snapToGrid w:val="0"/>
          <w:sz w:val="16"/>
          <w:szCs w:val="16"/>
          <w:lang w:val="es-CR"/>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Pr="00E7716E">
        <w:rPr>
          <w:rFonts w:ascii="Verdana" w:hAnsi="Verdana" w:cstheme="minorHAnsi"/>
          <w:i/>
          <w:sz w:val="16"/>
          <w:szCs w:val="16"/>
          <w:lang w:val="es-ES"/>
        </w:rPr>
        <w:t>Voto Individual del Juez Eduardo Vio Grossi, Corte Interamericana de Derechos Humanos, Caso Amrhein y Otros Vs. Costa Rica,</w:t>
      </w:r>
      <w:r w:rsidRPr="00E7716E">
        <w:rPr>
          <w:rFonts w:ascii="Verdana" w:hAnsi="Verdana" w:cstheme="minorHAnsi"/>
          <w:sz w:val="16"/>
          <w:szCs w:val="16"/>
          <w:lang w:val="es-ES"/>
        </w:rPr>
        <w:t xml:space="preserve"> Sentencia de 25 de abril de 2018, </w:t>
      </w:r>
      <w:r w:rsidRPr="00E7716E">
        <w:rPr>
          <w:rFonts w:ascii="Verdana" w:hAnsi="Verdana" w:cstheme="minorHAnsi"/>
          <w:snapToGrid w:val="0"/>
          <w:sz w:val="16"/>
          <w:szCs w:val="16"/>
          <w:lang w:val="es-CR"/>
        </w:rPr>
        <w:t>(</w:t>
      </w:r>
      <w:r w:rsidRPr="00E7716E">
        <w:rPr>
          <w:rFonts w:ascii="Verdana" w:hAnsi="Verdana" w:cstheme="minorHAnsi"/>
          <w:i/>
          <w:snapToGrid w:val="0"/>
          <w:sz w:val="16"/>
          <w:szCs w:val="16"/>
          <w:lang w:val="es-CR"/>
        </w:rPr>
        <w:t xml:space="preserve">Excepciones Preliminares, Fondo, Reparaciones y Costas; </w:t>
      </w:r>
      <w:r w:rsidRPr="00E7716E">
        <w:rPr>
          <w:rFonts w:ascii="Verdana" w:hAnsi="Verdana"/>
          <w:i/>
          <w:sz w:val="16"/>
          <w:szCs w:val="16"/>
          <w:lang w:val="es-ES"/>
        </w:rPr>
        <w:t>Voto Individual Concurrente del Juez Eduardo Vio Grossi, Corte Interamericana de Derechos Humanos, Caso Yarce y Otras Vs. Colombia</w:t>
      </w:r>
      <w:r w:rsidRPr="00E7716E">
        <w:rPr>
          <w:rFonts w:ascii="Verdana" w:hAnsi="Verdana"/>
          <w:bCs/>
          <w:i/>
          <w:sz w:val="16"/>
          <w:szCs w:val="16"/>
          <w:lang w:val="pt-BR"/>
        </w:rPr>
        <w:t>. Excepción Preliminar, Fondo, Reparaciones y Costas</w:t>
      </w:r>
      <w:r w:rsidRPr="00E7716E">
        <w:rPr>
          <w:rFonts w:ascii="Verdana" w:hAnsi="Verdana"/>
          <w:i/>
          <w:sz w:val="16"/>
          <w:szCs w:val="16"/>
          <w:lang w:val="es-ES"/>
        </w:rPr>
        <w:t xml:space="preserve">. </w:t>
      </w:r>
      <w:r w:rsidRPr="00E7716E">
        <w:rPr>
          <w:rFonts w:ascii="Verdana" w:hAnsi="Verdana"/>
          <w:sz w:val="16"/>
          <w:szCs w:val="16"/>
          <w:lang w:val="es-ES"/>
        </w:rPr>
        <w:t xml:space="preserve">Sentencia de 22 de Noviembre de 2016. </w:t>
      </w:r>
      <w:r w:rsidRPr="00E7716E">
        <w:rPr>
          <w:rFonts w:ascii="Verdana" w:hAnsi="Verdana"/>
          <w:bCs/>
          <w:sz w:val="16"/>
          <w:szCs w:val="16"/>
          <w:lang w:val="pt-BR"/>
        </w:rPr>
        <w:t>Serie C No. 325</w:t>
      </w:r>
      <w:r w:rsidRPr="00E7716E">
        <w:rPr>
          <w:rFonts w:ascii="Verdana" w:hAnsi="Verdana"/>
          <w:i/>
          <w:sz w:val="16"/>
          <w:szCs w:val="16"/>
          <w:lang w:val="es-ES"/>
        </w:rPr>
        <w:t>;Voto Concurrente del Juez Eduardo Vio Grossi, Corte Interamericana de Derechos Humanos, Caso Herrera Espinoza y Otros Vs. Ecuador</w:t>
      </w:r>
      <w:r w:rsidRPr="00E7716E">
        <w:rPr>
          <w:rFonts w:ascii="Verdana" w:hAnsi="Verdana"/>
          <w:i/>
          <w:sz w:val="16"/>
          <w:szCs w:val="16"/>
          <w:lang w:val="pt-BR"/>
        </w:rPr>
        <w:t>. Excepciones Preliminares, Fondo, Reparaciones y Costas</w:t>
      </w:r>
      <w:r w:rsidRPr="00E7716E">
        <w:rPr>
          <w:rFonts w:ascii="Verdana" w:hAnsi="Verdana"/>
          <w:i/>
          <w:sz w:val="16"/>
          <w:szCs w:val="16"/>
          <w:lang w:val="es-ES"/>
        </w:rPr>
        <w:t>.</w:t>
      </w:r>
      <w:r w:rsidRPr="00E7716E">
        <w:rPr>
          <w:rFonts w:ascii="Verdana" w:hAnsi="Verdana"/>
          <w:sz w:val="16"/>
          <w:szCs w:val="16"/>
          <w:lang w:val="es-ES"/>
        </w:rPr>
        <w:t xml:space="preserve"> Sentencia de 1 de septiembre de 2016. Serie C No. 316</w:t>
      </w:r>
      <w:r w:rsidRPr="00E7716E">
        <w:rPr>
          <w:rFonts w:ascii="Verdana" w:hAnsi="Verdana"/>
          <w:i/>
          <w:sz w:val="16"/>
          <w:szCs w:val="16"/>
          <w:lang w:val="es-ES"/>
        </w:rPr>
        <w:t>; Voto Concurrente del Juez Eduardo Vio Grossi, Corte Interamericana de Derechos Humanos, Caso Velásquez Paiz y Otros Vs Guatemala</w:t>
      </w:r>
      <w:r w:rsidRPr="00E7716E">
        <w:rPr>
          <w:rFonts w:ascii="Verdana" w:hAnsi="Verdana"/>
          <w:i/>
          <w:sz w:val="16"/>
          <w:szCs w:val="16"/>
          <w:lang w:val="pt-BR"/>
        </w:rPr>
        <w:t xml:space="preserve">. Excepciones Preliminares, Fondo, Reparaciones y Costas. </w:t>
      </w:r>
      <w:r w:rsidRPr="00E7716E">
        <w:rPr>
          <w:rFonts w:ascii="Verdana" w:hAnsi="Verdana"/>
          <w:sz w:val="16"/>
          <w:szCs w:val="16"/>
          <w:lang w:val="es-ES"/>
        </w:rPr>
        <w:t>Sentencia del 19 de noviembre de 2015.</w:t>
      </w:r>
      <w:r w:rsidRPr="00E7716E">
        <w:rPr>
          <w:rFonts w:ascii="Verdana" w:hAnsi="Verdana"/>
          <w:i/>
          <w:sz w:val="16"/>
          <w:szCs w:val="16"/>
          <w:lang w:val="pt-BR"/>
        </w:rPr>
        <w:t xml:space="preserve"> </w:t>
      </w:r>
      <w:r w:rsidRPr="00E7716E">
        <w:rPr>
          <w:rFonts w:ascii="Verdana" w:hAnsi="Verdana"/>
          <w:sz w:val="16"/>
          <w:szCs w:val="16"/>
          <w:lang w:val="pt-BR"/>
        </w:rPr>
        <w:t>Serie C No. 307</w:t>
      </w:r>
      <w:r w:rsidRPr="00E7716E">
        <w:rPr>
          <w:rFonts w:ascii="Verdana" w:hAnsi="Verdana"/>
          <w:i/>
          <w:sz w:val="16"/>
          <w:szCs w:val="16"/>
          <w:lang w:val="es-ES"/>
        </w:rPr>
        <w:t xml:space="preserve">; Voto Disidente del Juez Eduardo Vio Grossi, Corte Interamericana de Derechos Humanos, Caso Comunidad Campesina Santa Bárbara Vs. Perú. </w:t>
      </w:r>
      <w:r w:rsidRPr="00E7716E">
        <w:rPr>
          <w:rFonts w:ascii="Verdana" w:hAnsi="Verdana"/>
          <w:i/>
          <w:sz w:val="16"/>
          <w:szCs w:val="16"/>
          <w:lang w:val="pt-BR"/>
        </w:rPr>
        <w:t>Excepciones Preliminares, Fondo, Reparaciones y Costas.</w:t>
      </w:r>
      <w:r w:rsidRPr="00E7716E">
        <w:rPr>
          <w:rFonts w:ascii="Verdana" w:hAnsi="Verdana"/>
          <w:i/>
          <w:sz w:val="16"/>
          <w:szCs w:val="16"/>
          <w:lang w:val="es-ES"/>
        </w:rPr>
        <w:t xml:space="preserve"> </w:t>
      </w:r>
      <w:r w:rsidRPr="00E7716E">
        <w:rPr>
          <w:rFonts w:ascii="Verdana" w:hAnsi="Verdana"/>
          <w:sz w:val="16"/>
          <w:szCs w:val="16"/>
          <w:lang w:val="es-ES"/>
        </w:rPr>
        <w:t>Sentencia de 1 de Septiembre de 2015</w:t>
      </w:r>
      <w:r w:rsidRPr="00E7716E">
        <w:rPr>
          <w:rFonts w:ascii="Verdana" w:hAnsi="Verdana"/>
          <w:i/>
          <w:sz w:val="16"/>
          <w:szCs w:val="16"/>
          <w:lang w:val="es-ES"/>
        </w:rPr>
        <w:t xml:space="preserve">. </w:t>
      </w:r>
      <w:r w:rsidRPr="00E7716E">
        <w:rPr>
          <w:rFonts w:ascii="Verdana" w:hAnsi="Verdana"/>
          <w:sz w:val="16"/>
          <w:szCs w:val="16"/>
          <w:lang w:val="pt-BR"/>
        </w:rPr>
        <w:t>Serie C No. 299</w:t>
      </w:r>
      <w:r w:rsidRPr="00E7716E">
        <w:rPr>
          <w:rFonts w:ascii="Verdana" w:hAnsi="Verdana"/>
          <w:i/>
          <w:sz w:val="16"/>
          <w:szCs w:val="16"/>
          <w:lang w:val="es-ES"/>
        </w:rPr>
        <w:t>; Voto Individual Disidente del Juez Eduardo Vio Grossi, Corte Interamericana de Derechos Humanos, Caso Wong Ho Wing Vs. Perú.</w:t>
      </w:r>
      <w:r w:rsidRPr="00E7716E">
        <w:rPr>
          <w:rFonts w:ascii="Verdana" w:hAnsi="Verdana"/>
          <w:i/>
          <w:sz w:val="16"/>
          <w:szCs w:val="16"/>
          <w:lang w:val="pt-BR"/>
        </w:rPr>
        <w:t xml:space="preserve"> Excepción Preliminar, Fondo, Reparaciones y Costas</w:t>
      </w:r>
      <w:r w:rsidRPr="00E7716E">
        <w:rPr>
          <w:rFonts w:ascii="Verdana" w:hAnsi="Verdana"/>
          <w:sz w:val="16"/>
          <w:szCs w:val="16"/>
          <w:lang w:val="pt-BR"/>
        </w:rPr>
        <w:t>. Sentencia de 30 de junio de 2015. Serie C No. 297</w:t>
      </w:r>
      <w:r w:rsidRPr="00E7716E">
        <w:rPr>
          <w:rFonts w:ascii="Verdana" w:hAnsi="Verdana"/>
          <w:i/>
          <w:sz w:val="16"/>
          <w:szCs w:val="16"/>
          <w:lang w:val="es-ES"/>
        </w:rPr>
        <w:t>; Voto Individual Disidente del Juez Eduardo Vio Grossi, Corte Interamericana de Derechos Humanos, Caso Cruz Sánchez y otros Vs. Perú</w:t>
      </w:r>
      <w:r w:rsidRPr="00E7716E">
        <w:rPr>
          <w:rFonts w:ascii="Verdana" w:hAnsi="Verdana"/>
          <w:i/>
          <w:sz w:val="16"/>
          <w:szCs w:val="16"/>
          <w:lang w:val="pt-BR"/>
        </w:rPr>
        <w:t xml:space="preserve">. Excepciones Preliminares, Fondo, Reparaciones y Costas. </w:t>
      </w:r>
      <w:r w:rsidRPr="00E7716E">
        <w:rPr>
          <w:rFonts w:ascii="Verdana" w:hAnsi="Verdana"/>
          <w:sz w:val="16"/>
          <w:szCs w:val="16"/>
          <w:lang w:val="pt-BR"/>
        </w:rPr>
        <w:t>Sentencia de 17 de abril de 2015. Serie C No. 292</w:t>
      </w:r>
      <w:r w:rsidRPr="00E7716E">
        <w:rPr>
          <w:rFonts w:ascii="Verdana" w:hAnsi="Verdana"/>
          <w:i/>
          <w:sz w:val="16"/>
          <w:szCs w:val="16"/>
          <w:lang w:val="es-ES"/>
        </w:rPr>
        <w:t>; Voto Individual Disidente del Juez Eduardo Vio Grossi, Corte Interamericana de Derechos Humanos, Caso Liakat Ali Alibux Vs. Suriname</w:t>
      </w:r>
      <w:r w:rsidRPr="00E7716E">
        <w:rPr>
          <w:rFonts w:ascii="Verdana" w:hAnsi="Verdana"/>
          <w:i/>
          <w:sz w:val="16"/>
          <w:szCs w:val="16"/>
          <w:lang w:val="pt-BR"/>
        </w:rPr>
        <w:t xml:space="preserve">. Excepciones Preliminares, Fondo, Reparaciones y Costas. </w:t>
      </w:r>
      <w:r w:rsidRPr="00E7716E">
        <w:rPr>
          <w:rFonts w:ascii="Verdana" w:hAnsi="Verdana"/>
          <w:sz w:val="16"/>
          <w:szCs w:val="16"/>
          <w:lang w:val="pt-BR"/>
        </w:rPr>
        <w:t>Sentencia de 30 de enero de 2014. Serie C No. 276</w:t>
      </w:r>
      <w:r w:rsidRPr="00E7716E">
        <w:rPr>
          <w:rFonts w:ascii="Verdana" w:hAnsi="Verdana"/>
          <w:i/>
          <w:sz w:val="16"/>
          <w:szCs w:val="16"/>
          <w:lang w:val="es-ES"/>
        </w:rPr>
        <w:t xml:space="preserve">, </w:t>
      </w:r>
      <w:r w:rsidRPr="00E7716E">
        <w:rPr>
          <w:rFonts w:ascii="Verdana" w:hAnsi="Verdana"/>
          <w:sz w:val="16"/>
          <w:szCs w:val="16"/>
          <w:lang w:val="es-ES"/>
        </w:rPr>
        <w:t>y</w:t>
      </w:r>
      <w:r w:rsidRPr="00E7716E">
        <w:rPr>
          <w:rFonts w:ascii="Verdana" w:hAnsi="Verdana"/>
          <w:i/>
          <w:sz w:val="16"/>
          <w:szCs w:val="16"/>
          <w:lang w:val="es-ES"/>
        </w:rPr>
        <w:t xml:space="preserve"> Voto Individual Disidente del Juez Eduardo Vio Grossi, Corte Interamericana de Derechos Humanos, Caso Díaz Peña Vs. Venezuela</w:t>
      </w:r>
      <w:r w:rsidRPr="00E7716E">
        <w:rPr>
          <w:rFonts w:ascii="Verdana" w:hAnsi="Verdana"/>
          <w:i/>
          <w:sz w:val="16"/>
          <w:szCs w:val="16"/>
          <w:lang w:val="pt-BR"/>
        </w:rPr>
        <w:t xml:space="preserve">. Excepción Preliminar, Fondo, Reparaciones y Costas. </w:t>
      </w:r>
      <w:r w:rsidRPr="00E7716E">
        <w:rPr>
          <w:rFonts w:ascii="Verdana" w:hAnsi="Verdana"/>
          <w:sz w:val="16"/>
          <w:szCs w:val="16"/>
          <w:lang w:val="pt-BR"/>
        </w:rPr>
        <w:t>Sentencia de 26 de junio de 2012. Serie C No. 244</w:t>
      </w:r>
      <w:r w:rsidRPr="00E7716E">
        <w:rPr>
          <w:rFonts w:ascii="Verdana" w:hAnsi="Verdana"/>
          <w:sz w:val="16"/>
          <w:szCs w:val="16"/>
          <w:lang w:val="es-ES"/>
        </w:rPr>
        <w:t>.</w:t>
      </w:r>
    </w:p>
    <w:p w:rsidR="00FE3968" w:rsidRPr="00E7716E" w:rsidRDefault="00FE3968">
      <w:pPr>
        <w:pStyle w:val="FootnoteText"/>
        <w:rPr>
          <w:rFonts w:ascii="Verdana" w:hAnsi="Verdana"/>
          <w:sz w:val="16"/>
          <w:szCs w:val="16"/>
        </w:rPr>
      </w:pPr>
    </w:p>
  </w:footnote>
  <w:footnote w:id="5">
    <w:p w:rsidR="00FE3968" w:rsidRPr="00E7716E" w:rsidRDefault="00FE3968">
      <w:pPr>
        <w:pStyle w:val="FootnoteText"/>
        <w:rPr>
          <w:rFonts w:ascii="Verdana" w:hAnsi="Verdana"/>
          <w:sz w:val="16"/>
          <w:szCs w:val="16"/>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Pr="00E7716E">
        <w:rPr>
          <w:rFonts w:ascii="Verdana" w:hAnsi="Verdana"/>
          <w:sz w:val="16"/>
          <w:szCs w:val="16"/>
        </w:rPr>
        <w:t>En adelante la Comisión.</w:t>
      </w:r>
    </w:p>
  </w:footnote>
  <w:footnote w:id="6">
    <w:p w:rsidR="00FE3968" w:rsidRPr="00E7716E" w:rsidRDefault="00FE3968" w:rsidP="00605F33">
      <w:pPr>
        <w:pStyle w:val="FootnoteText"/>
        <w:spacing w:before="120" w:line="360" w:lineRule="auto"/>
        <w:rPr>
          <w:rFonts w:ascii="Verdana" w:hAnsi="Verdana"/>
          <w:sz w:val="16"/>
          <w:szCs w:val="16"/>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Pr="00E7716E">
        <w:rPr>
          <w:rFonts w:ascii="Verdana" w:hAnsi="Verdana"/>
          <w:sz w:val="16"/>
          <w:szCs w:val="16"/>
        </w:rPr>
        <w:t>En adelante la Convención.</w:t>
      </w:r>
    </w:p>
  </w:footnote>
  <w:footnote w:id="7">
    <w:p w:rsidR="00FE3968" w:rsidRPr="00745ABD" w:rsidRDefault="00FE3968" w:rsidP="00605F33">
      <w:pPr>
        <w:pStyle w:val="FootnoteText"/>
        <w:spacing w:line="360" w:lineRule="auto"/>
        <w:rPr>
          <w:rFonts w:ascii="Verdana" w:hAnsi="Verdana"/>
          <w:sz w:val="16"/>
          <w:szCs w:val="16"/>
        </w:rPr>
      </w:pPr>
      <w:r w:rsidRPr="00E7716E">
        <w:rPr>
          <w:rStyle w:val="FootnoteReference"/>
          <w:rFonts w:ascii="Verdana" w:hAnsi="Verdana"/>
          <w:sz w:val="16"/>
          <w:szCs w:val="16"/>
        </w:rPr>
        <w:footnoteRef/>
      </w:r>
      <w:r w:rsidRPr="00E7716E">
        <w:rPr>
          <w:rFonts w:ascii="Verdana" w:hAnsi="Verdana"/>
          <w:sz w:val="16"/>
          <w:szCs w:val="16"/>
        </w:rPr>
        <w:t xml:space="preserve"> </w:t>
      </w:r>
      <w:r w:rsidR="00A4408C" w:rsidRPr="00E7716E">
        <w:rPr>
          <w:rFonts w:ascii="Verdana" w:hAnsi="Verdana"/>
          <w:sz w:val="16"/>
          <w:szCs w:val="16"/>
        </w:rPr>
        <w:tab/>
      </w:r>
      <w:r w:rsidRPr="00E7716E">
        <w:rPr>
          <w:rFonts w:ascii="Verdana" w:hAnsi="Verdana"/>
          <w:sz w:val="16"/>
          <w:szCs w:val="16"/>
        </w:rPr>
        <w:t>Párr.</w:t>
      </w:r>
      <w:r w:rsidR="00BA66F0" w:rsidRPr="00E7716E">
        <w:rPr>
          <w:rFonts w:ascii="Verdana" w:hAnsi="Verdana"/>
          <w:sz w:val="16"/>
          <w:szCs w:val="16"/>
        </w:rPr>
        <w:t xml:space="preserve"> </w:t>
      </w:r>
      <w:r w:rsidRPr="00E7716E">
        <w:rPr>
          <w:rFonts w:ascii="Verdana" w:hAnsi="Verdana"/>
          <w:sz w:val="16"/>
          <w:szCs w:val="16"/>
        </w:rPr>
        <w:t>22</w:t>
      </w:r>
      <w:r w:rsidR="00F56FA1" w:rsidRPr="00E7716E">
        <w:rPr>
          <w:rFonts w:ascii="Verdana" w:hAnsi="Verdana"/>
          <w:sz w:val="16"/>
          <w:szCs w:val="16"/>
        </w:rPr>
        <w:t xml:space="preserve"> de la Sentencia</w:t>
      </w:r>
      <w:r w:rsidRPr="00E7716E">
        <w:rPr>
          <w:rFonts w:ascii="Verdana" w:hAnsi="Verdan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5998"/>
    <w:multiLevelType w:val="hybridMultilevel"/>
    <w:tmpl w:val="26806568"/>
    <w:lvl w:ilvl="0" w:tplc="DC3CAB8A">
      <w:start w:val="1"/>
      <w:numFmt w:val="decimal"/>
      <w:lvlText w:val="%1."/>
      <w:lvlJc w:val="left"/>
      <w:pPr>
        <w:ind w:left="8190" w:hanging="360"/>
      </w:pPr>
      <w:rPr>
        <w:rFonts w:ascii="Verdana" w:hAnsi="Verdana" w:hint="default"/>
        <w:b w:val="0"/>
        <w:i w:val="0"/>
        <w:strike w:val="0"/>
        <w:sz w:val="20"/>
        <w:szCs w:val="20"/>
        <w:lang w:val="es-ES"/>
      </w:rPr>
    </w:lvl>
    <w:lvl w:ilvl="1" w:tplc="1D2CABE6">
      <w:start w:val="1"/>
      <w:numFmt w:val="lowerLetter"/>
      <w:lvlText w:val="%2)"/>
      <w:lvlJc w:val="left"/>
      <w:pPr>
        <w:ind w:left="1080" w:hanging="360"/>
      </w:pPr>
      <w:rPr>
        <w:rFonts w:ascii="Verdana" w:eastAsia="Calibri" w:hAnsi="Verdana" w:cs="Calibri"/>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CL"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4"/>
    <w:rsid w:val="00012525"/>
    <w:rsid w:val="00033F34"/>
    <w:rsid w:val="00034E68"/>
    <w:rsid w:val="000C268E"/>
    <w:rsid w:val="00146347"/>
    <w:rsid w:val="00153FBD"/>
    <w:rsid w:val="001F40D6"/>
    <w:rsid w:val="0026235E"/>
    <w:rsid w:val="0029276D"/>
    <w:rsid w:val="002E3BE1"/>
    <w:rsid w:val="00351572"/>
    <w:rsid w:val="003832C3"/>
    <w:rsid w:val="003F7207"/>
    <w:rsid w:val="00400B3E"/>
    <w:rsid w:val="005B4E11"/>
    <w:rsid w:val="005C07C2"/>
    <w:rsid w:val="00605F33"/>
    <w:rsid w:val="00670E95"/>
    <w:rsid w:val="006F3E15"/>
    <w:rsid w:val="0070136E"/>
    <w:rsid w:val="00707F6B"/>
    <w:rsid w:val="00745ABD"/>
    <w:rsid w:val="00755B64"/>
    <w:rsid w:val="007613D7"/>
    <w:rsid w:val="007F0378"/>
    <w:rsid w:val="008224BF"/>
    <w:rsid w:val="00836C52"/>
    <w:rsid w:val="00847239"/>
    <w:rsid w:val="008E0AED"/>
    <w:rsid w:val="0093453A"/>
    <w:rsid w:val="00A134BB"/>
    <w:rsid w:val="00A317F9"/>
    <w:rsid w:val="00A4408C"/>
    <w:rsid w:val="00A50F21"/>
    <w:rsid w:val="00AB5CA6"/>
    <w:rsid w:val="00B04EE9"/>
    <w:rsid w:val="00B05C2D"/>
    <w:rsid w:val="00B32A03"/>
    <w:rsid w:val="00B95133"/>
    <w:rsid w:val="00BA66F0"/>
    <w:rsid w:val="00BD1E7C"/>
    <w:rsid w:val="00BF1CB9"/>
    <w:rsid w:val="00C12EBE"/>
    <w:rsid w:val="00C25781"/>
    <w:rsid w:val="00CB33F4"/>
    <w:rsid w:val="00CC5B2D"/>
    <w:rsid w:val="00CC65AC"/>
    <w:rsid w:val="00D03C09"/>
    <w:rsid w:val="00E7716E"/>
    <w:rsid w:val="00E843BD"/>
    <w:rsid w:val="00F3112A"/>
    <w:rsid w:val="00F56FA1"/>
    <w:rsid w:val="00FB6EAB"/>
    <w:rsid w:val="00FE39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34"/>
    <w:pPr>
      <w:spacing w:after="200" w:line="276" w:lineRule="auto"/>
      <w:ind w:left="0"/>
      <w:jc w:val="left"/>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3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3F34"/>
    <w:rPr>
      <w:lang w:val="es-CL"/>
    </w:rPr>
  </w:style>
  <w:style w:type="paragraph" w:styleId="Footer">
    <w:name w:val="footer"/>
    <w:basedOn w:val="Normal"/>
    <w:link w:val="FooterChar"/>
    <w:uiPriority w:val="99"/>
    <w:unhideWhenUsed/>
    <w:rsid w:val="00033F3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3F34"/>
    <w:rPr>
      <w:lang w:val="es-CL"/>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
    <w:basedOn w:val="Normal"/>
    <w:link w:val="FootnoteTextChar"/>
    <w:uiPriority w:val="99"/>
    <w:unhideWhenUsed/>
    <w:qFormat/>
    <w:rsid w:val="007613D7"/>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basedOn w:val="DefaultParagraphFont"/>
    <w:link w:val="FootnoteText"/>
    <w:uiPriority w:val="99"/>
    <w:semiHidden/>
    <w:rsid w:val="007613D7"/>
    <w:rPr>
      <w:sz w:val="20"/>
      <w:szCs w:val="20"/>
      <w:lang w:val="es-C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7613D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E3968"/>
    <w:pPr>
      <w:spacing w:after="0" w:line="240" w:lineRule="auto"/>
      <w:jc w:val="both"/>
    </w:pPr>
    <w:rPr>
      <w:vertAlign w:val="superscript"/>
      <w:lang w:val="en-US"/>
    </w:rPr>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FE3968"/>
    <w:pPr>
      <w:spacing w:after="0" w:line="240" w:lineRule="auto"/>
      <w:ind w:left="720"/>
      <w:contextualSpacing/>
      <w:jc w:val="both"/>
    </w:pPr>
    <w:rPr>
      <w:rFonts w:ascii="Verdana" w:eastAsia="Calibri" w:hAnsi="Verdana" w:cs="Calibri"/>
      <w:sz w:val="20"/>
      <w:lang w:val="es-MX"/>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DefaultParagraphFont"/>
    <w:uiPriority w:val="99"/>
    <w:qFormat/>
    <w:rsid w:val="00FE3968"/>
    <w:rPr>
      <w:rFonts w:ascii="Verdana" w:eastAsia="Calibri" w:hAnsi="Verdana" w:cs="Calibri"/>
      <w:sz w:val="20"/>
      <w:szCs w:val="20"/>
      <w:lang w:val="es-MX"/>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FE3968"/>
    <w:rPr>
      <w:rFonts w:ascii="Verdana" w:eastAsia="Calibri" w:hAnsi="Verdana" w:cs="Calibri"/>
      <w:sz w:val="20"/>
      <w:lang w:val="es-MX"/>
    </w:rPr>
  </w:style>
  <w:style w:type="paragraph" w:styleId="BalloonText">
    <w:name w:val="Balloon Text"/>
    <w:basedOn w:val="Normal"/>
    <w:link w:val="BalloonTextChar"/>
    <w:uiPriority w:val="99"/>
    <w:semiHidden/>
    <w:unhideWhenUsed/>
    <w:rsid w:val="0003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68"/>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34"/>
    <w:pPr>
      <w:spacing w:after="200" w:line="276" w:lineRule="auto"/>
      <w:ind w:left="0"/>
      <w:jc w:val="left"/>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3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3F34"/>
    <w:rPr>
      <w:lang w:val="es-CL"/>
    </w:rPr>
  </w:style>
  <w:style w:type="paragraph" w:styleId="Footer">
    <w:name w:val="footer"/>
    <w:basedOn w:val="Normal"/>
    <w:link w:val="FooterChar"/>
    <w:uiPriority w:val="99"/>
    <w:unhideWhenUsed/>
    <w:rsid w:val="00033F3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33F34"/>
    <w:rPr>
      <w:lang w:val="es-CL"/>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
    <w:basedOn w:val="Normal"/>
    <w:link w:val="FootnoteTextChar"/>
    <w:uiPriority w:val="99"/>
    <w:unhideWhenUsed/>
    <w:qFormat/>
    <w:rsid w:val="007613D7"/>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A Fu Car Char,FA Fu Car Car Char,Footnote Text Cha Char,FA Fußnotentext Char"/>
    <w:basedOn w:val="DefaultParagraphFont"/>
    <w:link w:val="FootnoteText"/>
    <w:uiPriority w:val="99"/>
    <w:semiHidden/>
    <w:rsid w:val="007613D7"/>
    <w:rPr>
      <w:sz w:val="20"/>
      <w:szCs w:val="20"/>
      <w:lang w:val="es-C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7613D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E3968"/>
    <w:pPr>
      <w:spacing w:after="0" w:line="240" w:lineRule="auto"/>
      <w:jc w:val="both"/>
    </w:pPr>
    <w:rPr>
      <w:vertAlign w:val="superscript"/>
      <w:lang w:val="en-US"/>
    </w:rPr>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FE3968"/>
    <w:pPr>
      <w:spacing w:after="0" w:line="240" w:lineRule="auto"/>
      <w:ind w:left="720"/>
      <w:contextualSpacing/>
      <w:jc w:val="both"/>
    </w:pPr>
    <w:rPr>
      <w:rFonts w:ascii="Verdana" w:eastAsia="Calibri" w:hAnsi="Verdana" w:cs="Calibri"/>
      <w:sz w:val="20"/>
      <w:lang w:val="es-MX"/>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DefaultParagraphFont"/>
    <w:uiPriority w:val="99"/>
    <w:qFormat/>
    <w:rsid w:val="00FE3968"/>
    <w:rPr>
      <w:rFonts w:ascii="Verdana" w:eastAsia="Calibri" w:hAnsi="Verdana" w:cs="Calibri"/>
      <w:sz w:val="20"/>
      <w:szCs w:val="20"/>
      <w:lang w:val="es-MX"/>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FE3968"/>
    <w:rPr>
      <w:rFonts w:ascii="Verdana" w:eastAsia="Calibri" w:hAnsi="Verdana" w:cs="Calibri"/>
      <w:sz w:val="20"/>
      <w:lang w:val="es-MX"/>
    </w:rPr>
  </w:style>
  <w:style w:type="paragraph" w:styleId="BalloonText">
    <w:name w:val="Balloon Text"/>
    <w:basedOn w:val="Normal"/>
    <w:link w:val="BalloonTextChar"/>
    <w:uiPriority w:val="99"/>
    <w:semiHidden/>
    <w:unhideWhenUsed/>
    <w:rsid w:val="0003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6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BB1A9-CAD6-4C25-A368-27B22A5B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1494</Characters>
  <Application>Microsoft Office Word</Application>
  <DocSecurity>4</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dcterms:created xsi:type="dcterms:W3CDTF">2018-10-30T15:05:00Z</dcterms:created>
  <dcterms:modified xsi:type="dcterms:W3CDTF">2018-10-30T15:05:00Z</dcterms:modified>
</cp:coreProperties>
</file>