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917" w:rsidRDefault="00FE4278" w:rsidP="000978E9">
      <w:pPr>
        <w:spacing w:after="0" w:line="276" w:lineRule="auto"/>
        <w:ind w:left="0"/>
        <w:rPr>
          <w:rFonts w:ascii="Verdana" w:hAnsi="Verdana"/>
          <w:b/>
          <w:sz w:val="20"/>
          <w:szCs w:val="20"/>
        </w:rPr>
      </w:pPr>
      <w:bookmarkStart w:id="0" w:name="_GoBack"/>
      <w:bookmarkEnd w:id="0"/>
      <w:r>
        <w:rPr>
          <w:rFonts w:ascii="Verdana" w:hAnsi="Verdana"/>
          <w:b/>
          <w:sz w:val="20"/>
          <w:szCs w:val="20"/>
        </w:rPr>
        <w:t xml:space="preserve">       </w:t>
      </w:r>
    </w:p>
    <w:p w:rsidR="00191487" w:rsidRDefault="00191487" w:rsidP="000978E9">
      <w:pPr>
        <w:spacing w:after="0" w:line="276" w:lineRule="auto"/>
        <w:ind w:left="0"/>
        <w:rPr>
          <w:rFonts w:ascii="Verdana" w:hAnsi="Verdana"/>
          <w:b/>
          <w:sz w:val="20"/>
          <w:szCs w:val="20"/>
        </w:rPr>
      </w:pPr>
    </w:p>
    <w:p w:rsidR="00191487" w:rsidRDefault="00191487" w:rsidP="000978E9">
      <w:pPr>
        <w:spacing w:after="0" w:line="276" w:lineRule="auto"/>
        <w:ind w:left="0"/>
        <w:rPr>
          <w:rFonts w:ascii="Verdana" w:hAnsi="Verdana"/>
          <w:b/>
          <w:sz w:val="20"/>
          <w:szCs w:val="20"/>
        </w:rPr>
      </w:pPr>
    </w:p>
    <w:p w:rsidR="00191487" w:rsidRPr="00613F9A" w:rsidRDefault="00191487" w:rsidP="000978E9">
      <w:pPr>
        <w:spacing w:after="0" w:line="276" w:lineRule="auto"/>
        <w:ind w:left="0"/>
        <w:rPr>
          <w:rFonts w:ascii="Verdana" w:hAnsi="Verdana"/>
          <w:b/>
          <w:sz w:val="20"/>
          <w:szCs w:val="20"/>
        </w:rPr>
      </w:pPr>
    </w:p>
    <w:p w:rsidR="00C05917" w:rsidRPr="00613F9A" w:rsidRDefault="00C05917" w:rsidP="000978E9">
      <w:pPr>
        <w:spacing w:after="0" w:line="276" w:lineRule="auto"/>
        <w:ind w:left="0"/>
        <w:rPr>
          <w:rFonts w:ascii="Verdana" w:hAnsi="Verdana"/>
          <w:b/>
          <w:sz w:val="20"/>
          <w:szCs w:val="20"/>
          <w:lang w:val="es-ES"/>
        </w:rPr>
      </w:pPr>
    </w:p>
    <w:p w:rsidR="00C05917" w:rsidRPr="00613F9A" w:rsidRDefault="00C05917" w:rsidP="000978E9">
      <w:pPr>
        <w:spacing w:after="0" w:line="276" w:lineRule="auto"/>
        <w:ind w:left="0"/>
        <w:rPr>
          <w:rFonts w:ascii="Verdana" w:hAnsi="Verdana"/>
          <w:b/>
          <w:sz w:val="20"/>
          <w:szCs w:val="20"/>
          <w:lang w:val="es-ES"/>
        </w:rPr>
      </w:pPr>
    </w:p>
    <w:p w:rsidR="00C05917" w:rsidRPr="00613F9A" w:rsidRDefault="00C05917" w:rsidP="000978E9">
      <w:pPr>
        <w:spacing w:after="0" w:line="276" w:lineRule="auto"/>
        <w:ind w:left="0"/>
        <w:jc w:val="center"/>
        <w:rPr>
          <w:rFonts w:ascii="Verdana" w:hAnsi="Verdana"/>
          <w:b/>
          <w:sz w:val="20"/>
          <w:szCs w:val="20"/>
          <w:lang w:val="es-ES"/>
        </w:rPr>
      </w:pPr>
      <w:r w:rsidRPr="00613F9A">
        <w:rPr>
          <w:rFonts w:ascii="Verdana" w:hAnsi="Verdana"/>
          <w:b/>
          <w:sz w:val="20"/>
          <w:szCs w:val="20"/>
          <w:lang w:val="es-ES"/>
        </w:rPr>
        <w:t xml:space="preserve">VOTO </w:t>
      </w:r>
      <w:r w:rsidR="000978E9" w:rsidRPr="00613F9A">
        <w:rPr>
          <w:rFonts w:ascii="Verdana" w:hAnsi="Verdana"/>
          <w:b/>
          <w:sz w:val="20"/>
          <w:szCs w:val="20"/>
          <w:lang w:val="es-ES"/>
        </w:rPr>
        <w:t xml:space="preserve">PARCIALMENTE DISIDENTE DEL JUEZ </w:t>
      </w:r>
      <w:r w:rsidRPr="00613F9A">
        <w:rPr>
          <w:rFonts w:ascii="Verdana" w:hAnsi="Verdana"/>
          <w:b/>
          <w:sz w:val="20"/>
          <w:szCs w:val="20"/>
          <w:lang w:val="es-ES"/>
        </w:rPr>
        <w:t>EDUARDO VIO GROSSI,</w:t>
      </w:r>
    </w:p>
    <w:p w:rsidR="000978E9" w:rsidRPr="00613F9A" w:rsidRDefault="00C05917" w:rsidP="000978E9">
      <w:pPr>
        <w:spacing w:after="0" w:line="276" w:lineRule="auto"/>
        <w:ind w:left="0"/>
        <w:jc w:val="center"/>
        <w:rPr>
          <w:rFonts w:ascii="Verdana" w:hAnsi="Verdana"/>
          <w:b/>
          <w:sz w:val="20"/>
          <w:szCs w:val="20"/>
          <w:lang w:val="es-ES"/>
        </w:rPr>
      </w:pPr>
      <w:r w:rsidRPr="00613F9A">
        <w:rPr>
          <w:rFonts w:ascii="Verdana" w:hAnsi="Verdana"/>
          <w:b/>
          <w:sz w:val="20"/>
          <w:szCs w:val="20"/>
          <w:lang w:val="es-ES"/>
        </w:rPr>
        <w:t>CORTE INTE</w:t>
      </w:r>
      <w:r w:rsidR="000978E9" w:rsidRPr="00613F9A">
        <w:rPr>
          <w:rFonts w:ascii="Verdana" w:hAnsi="Verdana"/>
          <w:b/>
          <w:sz w:val="20"/>
          <w:szCs w:val="20"/>
          <w:lang w:val="es-ES"/>
        </w:rPr>
        <w:t xml:space="preserve">RAMERICANA DE DERECHOS HUMANOS, </w:t>
      </w:r>
    </w:p>
    <w:p w:rsidR="00C05917" w:rsidRPr="00613F9A" w:rsidRDefault="00C05917" w:rsidP="000978E9">
      <w:pPr>
        <w:spacing w:after="0" w:line="276" w:lineRule="auto"/>
        <w:ind w:left="0"/>
        <w:jc w:val="center"/>
        <w:rPr>
          <w:rFonts w:ascii="Verdana" w:hAnsi="Verdana"/>
          <w:b/>
          <w:sz w:val="20"/>
          <w:szCs w:val="20"/>
          <w:lang w:val="es-ES"/>
        </w:rPr>
      </w:pPr>
      <w:r w:rsidRPr="00613F9A">
        <w:rPr>
          <w:rFonts w:ascii="Verdana" w:hAnsi="Verdana"/>
          <w:b/>
          <w:sz w:val="20"/>
          <w:szCs w:val="20"/>
        </w:rPr>
        <w:t xml:space="preserve">CASO MUELLE FLORES </w:t>
      </w:r>
      <w:r w:rsidRPr="00613F9A">
        <w:rPr>
          <w:rFonts w:ascii="Verdana" w:hAnsi="Verdana"/>
          <w:b/>
          <w:i/>
          <w:sz w:val="20"/>
          <w:szCs w:val="20"/>
        </w:rPr>
        <w:t>VS</w:t>
      </w:r>
      <w:r w:rsidRPr="00613F9A">
        <w:rPr>
          <w:rFonts w:ascii="Verdana" w:hAnsi="Verdana"/>
          <w:b/>
          <w:sz w:val="20"/>
          <w:szCs w:val="20"/>
        </w:rPr>
        <w:t>.</w:t>
      </w:r>
      <w:r w:rsidRPr="00613F9A">
        <w:rPr>
          <w:rFonts w:ascii="Verdana" w:hAnsi="Verdana"/>
          <w:b/>
          <w:i/>
          <w:sz w:val="20"/>
          <w:szCs w:val="20"/>
        </w:rPr>
        <w:t xml:space="preserve"> </w:t>
      </w:r>
      <w:r w:rsidRPr="00613F9A">
        <w:rPr>
          <w:rFonts w:ascii="Verdana" w:hAnsi="Verdana"/>
          <w:b/>
          <w:sz w:val="20"/>
          <w:szCs w:val="20"/>
        </w:rPr>
        <w:t>PERÚ</w:t>
      </w:r>
      <w:r w:rsidR="000978E9" w:rsidRPr="00613F9A">
        <w:rPr>
          <w:rFonts w:ascii="Verdana" w:hAnsi="Verdana"/>
          <w:b/>
          <w:sz w:val="20"/>
          <w:szCs w:val="20"/>
        </w:rPr>
        <w:t>,</w:t>
      </w:r>
    </w:p>
    <w:p w:rsidR="000978E9" w:rsidRPr="00613F9A" w:rsidRDefault="000978E9" w:rsidP="000978E9">
      <w:pPr>
        <w:spacing w:after="0" w:line="276" w:lineRule="auto"/>
        <w:jc w:val="center"/>
        <w:rPr>
          <w:rFonts w:ascii="Verdana" w:hAnsi="Verdana"/>
          <w:b/>
          <w:sz w:val="20"/>
          <w:szCs w:val="20"/>
        </w:rPr>
      </w:pPr>
      <w:r w:rsidRPr="00613F9A">
        <w:rPr>
          <w:rFonts w:ascii="Verdana" w:hAnsi="Verdana"/>
          <w:b/>
          <w:sz w:val="20"/>
          <w:szCs w:val="20"/>
        </w:rPr>
        <w:t>SENTENCIA DE 06 DE MARZO DE 2019,</w:t>
      </w:r>
    </w:p>
    <w:p w:rsidR="000978E9" w:rsidRPr="00613F9A" w:rsidRDefault="000978E9" w:rsidP="000978E9">
      <w:pPr>
        <w:spacing w:after="0" w:line="276" w:lineRule="auto"/>
        <w:jc w:val="center"/>
        <w:rPr>
          <w:rFonts w:ascii="Verdana" w:hAnsi="Verdana"/>
          <w:b/>
          <w:sz w:val="20"/>
          <w:szCs w:val="20"/>
        </w:rPr>
      </w:pPr>
      <w:r w:rsidRPr="00613F9A">
        <w:rPr>
          <w:rFonts w:ascii="Verdana" w:hAnsi="Verdana"/>
          <w:b/>
          <w:i/>
          <w:sz w:val="20"/>
          <w:szCs w:val="20"/>
        </w:rPr>
        <w:t>(Excepciones Preliminares, Fondo, Reparaciones y Costas).</w:t>
      </w:r>
    </w:p>
    <w:p w:rsidR="00C05917" w:rsidRPr="00613F9A" w:rsidRDefault="005F54AB" w:rsidP="000978E9">
      <w:pPr>
        <w:spacing w:after="0" w:line="276" w:lineRule="auto"/>
        <w:ind w:left="0"/>
        <w:jc w:val="center"/>
        <w:rPr>
          <w:rFonts w:ascii="Verdana" w:hAnsi="Verdana"/>
          <w:b/>
          <w:sz w:val="20"/>
          <w:szCs w:val="20"/>
          <w:lang w:val="es-ES"/>
        </w:rPr>
      </w:pPr>
      <w:r w:rsidRPr="00613F9A">
        <w:rPr>
          <w:rFonts w:ascii="Verdana" w:hAnsi="Verdana"/>
          <w:b/>
          <w:sz w:val="20"/>
          <w:szCs w:val="20"/>
        </w:rPr>
        <w:t xml:space="preserve"> </w:t>
      </w:r>
    </w:p>
    <w:p w:rsidR="00C05917" w:rsidRPr="00613F9A" w:rsidRDefault="00C05917" w:rsidP="000978E9">
      <w:pPr>
        <w:spacing w:after="0" w:line="276" w:lineRule="auto"/>
        <w:ind w:left="0"/>
        <w:rPr>
          <w:rFonts w:ascii="Verdana" w:hAnsi="Verdana"/>
          <w:sz w:val="20"/>
          <w:szCs w:val="20"/>
          <w:lang w:val="es-ES"/>
        </w:rPr>
      </w:pPr>
    </w:p>
    <w:p w:rsidR="0053276F" w:rsidRPr="00613F9A" w:rsidRDefault="00C05917" w:rsidP="006F2613">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Se emite el presente voto parcialmente disidente</w:t>
      </w:r>
      <w:r w:rsidR="005F54AB" w:rsidRPr="00613F9A">
        <w:rPr>
          <w:rFonts w:ascii="Verdana" w:hAnsi="Verdana"/>
          <w:sz w:val="20"/>
          <w:szCs w:val="20"/>
          <w:lang w:val="es-ES"/>
        </w:rPr>
        <w:t xml:space="preserve"> </w:t>
      </w:r>
      <w:r w:rsidRPr="00613F9A">
        <w:rPr>
          <w:rFonts w:ascii="Verdana" w:hAnsi="Verdana"/>
          <w:sz w:val="20"/>
          <w:szCs w:val="20"/>
          <w:lang w:val="es-ES"/>
        </w:rPr>
        <w:t>respecto de la Sentencia del epígrafe</w:t>
      </w:r>
      <w:r w:rsidRPr="00613F9A">
        <w:rPr>
          <w:rFonts w:ascii="Verdana" w:hAnsi="Verdana"/>
          <w:sz w:val="20"/>
          <w:szCs w:val="20"/>
          <w:vertAlign w:val="superscript"/>
          <w:lang w:val="es-ES"/>
        </w:rPr>
        <w:footnoteReference w:id="1"/>
      </w:r>
      <w:r w:rsidRPr="00613F9A">
        <w:rPr>
          <w:rFonts w:ascii="Verdana" w:hAnsi="Verdana"/>
          <w:sz w:val="20"/>
          <w:szCs w:val="20"/>
          <w:lang w:val="es-ES"/>
        </w:rPr>
        <w:t>, por discrepar respecto de lo decidido en sus Puntos Resolutivos N° 2</w:t>
      </w:r>
      <w:r w:rsidRPr="00613F9A">
        <w:rPr>
          <w:rFonts w:ascii="Verdana" w:hAnsi="Verdana"/>
          <w:sz w:val="20"/>
          <w:szCs w:val="20"/>
          <w:vertAlign w:val="superscript"/>
          <w:lang w:val="es-ES"/>
        </w:rPr>
        <w:footnoteReference w:id="2"/>
      </w:r>
      <w:r w:rsidRPr="00613F9A">
        <w:rPr>
          <w:rFonts w:ascii="Verdana" w:hAnsi="Verdana"/>
          <w:sz w:val="20"/>
          <w:szCs w:val="20"/>
          <w:lang w:val="es-ES"/>
        </w:rPr>
        <w:t>, 5</w:t>
      </w:r>
      <w:r w:rsidRPr="00613F9A">
        <w:rPr>
          <w:rFonts w:ascii="Verdana" w:hAnsi="Verdana"/>
          <w:sz w:val="20"/>
          <w:szCs w:val="20"/>
          <w:vertAlign w:val="superscript"/>
          <w:lang w:val="es-ES"/>
        </w:rPr>
        <w:footnoteReference w:id="3"/>
      </w:r>
      <w:r w:rsidRPr="00613F9A">
        <w:rPr>
          <w:rFonts w:ascii="Verdana" w:hAnsi="Verdana"/>
          <w:sz w:val="20"/>
          <w:szCs w:val="20"/>
          <w:lang w:val="es-ES"/>
        </w:rPr>
        <w:t xml:space="preserve"> y 6</w:t>
      </w:r>
      <w:r w:rsidRPr="00613F9A">
        <w:rPr>
          <w:rFonts w:ascii="Verdana" w:hAnsi="Verdana"/>
          <w:sz w:val="20"/>
          <w:szCs w:val="20"/>
          <w:vertAlign w:val="superscript"/>
          <w:lang w:val="es-ES"/>
        </w:rPr>
        <w:footnoteReference w:id="4"/>
      </w:r>
      <w:r w:rsidRPr="00613F9A">
        <w:rPr>
          <w:rFonts w:ascii="Verdana" w:hAnsi="Verdana"/>
          <w:sz w:val="20"/>
          <w:szCs w:val="20"/>
          <w:lang w:val="es-ES"/>
        </w:rPr>
        <w:t>, en los qu</w:t>
      </w:r>
      <w:r w:rsidR="00D70323" w:rsidRPr="00613F9A">
        <w:rPr>
          <w:rFonts w:ascii="Verdana" w:hAnsi="Verdana"/>
          <w:sz w:val="20"/>
          <w:szCs w:val="20"/>
          <w:lang w:val="es-ES"/>
        </w:rPr>
        <w:t>e, sobre la base de lo prescrito</w:t>
      </w:r>
      <w:r w:rsidRPr="00613F9A">
        <w:rPr>
          <w:rFonts w:ascii="Verdana" w:hAnsi="Verdana"/>
          <w:sz w:val="20"/>
          <w:szCs w:val="20"/>
          <w:lang w:val="es-ES"/>
        </w:rPr>
        <w:t>, entre otras normas</w:t>
      </w:r>
      <w:r w:rsidRPr="00613F9A">
        <w:rPr>
          <w:rFonts w:ascii="Verdana" w:hAnsi="Verdana"/>
          <w:sz w:val="20"/>
          <w:szCs w:val="20"/>
          <w:vertAlign w:val="superscript"/>
          <w:lang w:val="es-ES"/>
        </w:rPr>
        <w:footnoteReference w:id="5"/>
      </w:r>
      <w:r w:rsidRPr="00613F9A">
        <w:rPr>
          <w:rFonts w:ascii="Verdana" w:hAnsi="Verdana"/>
          <w:sz w:val="20"/>
          <w:szCs w:val="20"/>
          <w:lang w:val="es-ES"/>
        </w:rPr>
        <w:t xml:space="preserve">, </w:t>
      </w:r>
      <w:r w:rsidRPr="00613F9A">
        <w:rPr>
          <w:rFonts w:ascii="Verdana" w:hAnsi="Verdana"/>
          <w:sz w:val="20"/>
          <w:szCs w:val="20"/>
        </w:rPr>
        <w:t>en el artículo</w:t>
      </w:r>
      <w:r w:rsidRPr="00613F9A">
        <w:rPr>
          <w:rFonts w:ascii="Verdana" w:hAnsi="Verdana"/>
          <w:sz w:val="20"/>
          <w:szCs w:val="20"/>
          <w:lang w:val="es-ES"/>
        </w:rPr>
        <w:t xml:space="preserve"> 26</w:t>
      </w:r>
      <w:r w:rsidRPr="00613F9A">
        <w:rPr>
          <w:rFonts w:ascii="Verdana" w:hAnsi="Verdana"/>
          <w:sz w:val="20"/>
          <w:szCs w:val="20"/>
          <w:vertAlign w:val="superscript"/>
          <w:lang w:val="es-ES"/>
        </w:rPr>
        <w:footnoteReference w:id="6"/>
      </w:r>
      <w:r w:rsidRPr="00613F9A">
        <w:rPr>
          <w:rFonts w:ascii="Verdana" w:hAnsi="Verdana"/>
          <w:sz w:val="20"/>
          <w:szCs w:val="20"/>
          <w:lang w:val="es-ES"/>
        </w:rPr>
        <w:t xml:space="preserve"> de la Convención Americana sobre Derechos Humanos</w:t>
      </w:r>
      <w:r w:rsidRPr="00613F9A">
        <w:rPr>
          <w:rFonts w:ascii="Verdana" w:hAnsi="Verdana"/>
          <w:sz w:val="20"/>
          <w:szCs w:val="20"/>
          <w:vertAlign w:val="superscript"/>
          <w:lang w:val="es-ES"/>
        </w:rPr>
        <w:footnoteReference w:id="7"/>
      </w:r>
      <w:r w:rsidRPr="00613F9A">
        <w:rPr>
          <w:rFonts w:ascii="Verdana" w:hAnsi="Verdana"/>
          <w:sz w:val="20"/>
          <w:szCs w:val="20"/>
          <w:lang w:val="es-ES"/>
        </w:rPr>
        <w:t xml:space="preserve">, </w:t>
      </w:r>
      <w:r w:rsidRPr="00613F9A">
        <w:rPr>
          <w:rFonts w:ascii="Verdana" w:hAnsi="Verdana"/>
          <w:sz w:val="20"/>
          <w:szCs w:val="20"/>
        </w:rPr>
        <w:t>desestima</w:t>
      </w:r>
      <w:r w:rsidRPr="00613F9A">
        <w:rPr>
          <w:rFonts w:ascii="Verdana" w:hAnsi="Verdana"/>
          <w:b/>
          <w:sz w:val="20"/>
          <w:szCs w:val="20"/>
        </w:rPr>
        <w:t xml:space="preserve"> </w:t>
      </w:r>
      <w:r w:rsidRPr="00613F9A">
        <w:rPr>
          <w:rFonts w:ascii="Verdana" w:hAnsi="Verdana"/>
          <w:sz w:val="20"/>
          <w:szCs w:val="20"/>
        </w:rPr>
        <w:t>la excepción preliminar interpuesta por la República del Perú</w:t>
      </w:r>
      <w:r w:rsidRPr="00613F9A">
        <w:rPr>
          <w:rFonts w:ascii="Verdana" w:hAnsi="Verdana"/>
          <w:sz w:val="20"/>
          <w:szCs w:val="20"/>
          <w:vertAlign w:val="superscript"/>
        </w:rPr>
        <w:footnoteReference w:id="8"/>
      </w:r>
      <w:r w:rsidRPr="00613F9A">
        <w:rPr>
          <w:rFonts w:ascii="Verdana" w:hAnsi="Verdana"/>
          <w:sz w:val="20"/>
          <w:szCs w:val="20"/>
        </w:rPr>
        <w:t xml:space="preserve"> respecto de la falta de competencia de la Corte Interamericana de Derechos Humanos</w:t>
      </w:r>
      <w:r w:rsidRPr="00613F9A">
        <w:rPr>
          <w:rFonts w:ascii="Verdana" w:hAnsi="Verdana"/>
          <w:sz w:val="20"/>
          <w:szCs w:val="20"/>
          <w:vertAlign w:val="superscript"/>
        </w:rPr>
        <w:footnoteReference w:id="9"/>
      </w:r>
      <w:r w:rsidRPr="00613F9A">
        <w:rPr>
          <w:rFonts w:ascii="Verdana" w:hAnsi="Verdana"/>
          <w:sz w:val="20"/>
          <w:szCs w:val="20"/>
          <w:lang w:val="es-ES"/>
        </w:rPr>
        <w:t xml:space="preserve"> y declara que </w:t>
      </w:r>
      <w:r w:rsidR="00845AC3" w:rsidRPr="00613F9A">
        <w:rPr>
          <w:rFonts w:ascii="Verdana" w:hAnsi="Verdana"/>
          <w:sz w:val="20"/>
          <w:szCs w:val="20"/>
          <w:lang w:val="es-ES"/>
        </w:rPr>
        <w:t xml:space="preserve">el Estado es responsable de la </w:t>
      </w:r>
      <w:r w:rsidRPr="00613F9A">
        <w:rPr>
          <w:rFonts w:ascii="Verdana" w:hAnsi="Verdana"/>
          <w:sz w:val="20"/>
          <w:szCs w:val="20"/>
          <w:lang w:val="es-ES"/>
        </w:rPr>
        <w:t>violación del derecho a la seguridad social y del derecho de propiedad.</w:t>
      </w:r>
    </w:p>
    <w:p w:rsidR="00DA20B0" w:rsidRPr="00613F9A" w:rsidRDefault="00DA20B0" w:rsidP="006F2613">
      <w:pPr>
        <w:pStyle w:val="Prrafodelista"/>
        <w:spacing w:after="0"/>
        <w:ind w:left="0"/>
        <w:jc w:val="both"/>
        <w:rPr>
          <w:rFonts w:ascii="Verdana" w:hAnsi="Verdana"/>
          <w:sz w:val="20"/>
          <w:szCs w:val="20"/>
          <w:lang w:val="es-ES"/>
        </w:rPr>
      </w:pPr>
    </w:p>
    <w:p w:rsidR="00C05917" w:rsidRPr="00613F9A" w:rsidRDefault="00C05917" w:rsidP="006F2613">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Ciertamente, atendida la relevancia de la señalada materia y en atención a las razones evocadas más adelante, en el presente voto se reitera y complementa lo ya manifestado en otras ocasiones</w:t>
      </w:r>
      <w:r w:rsidRPr="00613F9A">
        <w:rPr>
          <w:rFonts w:ascii="Verdana" w:hAnsi="Verdana"/>
          <w:sz w:val="20"/>
          <w:szCs w:val="20"/>
          <w:vertAlign w:val="superscript"/>
          <w:lang w:val="es-ES"/>
        </w:rPr>
        <w:footnoteReference w:id="10"/>
      </w:r>
      <w:r w:rsidRPr="00613F9A">
        <w:rPr>
          <w:rFonts w:ascii="Verdana" w:hAnsi="Verdana"/>
          <w:sz w:val="20"/>
          <w:szCs w:val="20"/>
          <w:lang w:val="es-ES"/>
        </w:rPr>
        <w:t xml:space="preserve">. Y así, luego de indicar algunas consideraciones previas relativas al presente voto, se </w:t>
      </w:r>
      <w:r w:rsidRPr="00613F9A">
        <w:rPr>
          <w:rFonts w:ascii="Verdana" w:hAnsi="Verdana"/>
          <w:sz w:val="20"/>
          <w:szCs w:val="20"/>
          <w:lang w:val="es-ES"/>
        </w:rPr>
        <w:lastRenderedPageBreak/>
        <w:t xml:space="preserve">abordarán las razones que lo explican atingentes a los métodos de interpretación de tratados, a la interpretación del citado artículo 26 y, finalmente, a otras argumentaciones esbozadas en la Sentencia. </w:t>
      </w:r>
    </w:p>
    <w:p w:rsidR="00C05917" w:rsidRPr="00613F9A" w:rsidRDefault="00C05917" w:rsidP="000978E9">
      <w:pPr>
        <w:spacing w:after="0" w:line="276" w:lineRule="auto"/>
        <w:ind w:left="0"/>
        <w:rPr>
          <w:rFonts w:ascii="Verdana" w:hAnsi="Verdana"/>
          <w:sz w:val="20"/>
          <w:szCs w:val="20"/>
          <w:lang w:val="es-ES"/>
        </w:rPr>
      </w:pPr>
    </w:p>
    <w:p w:rsidR="00C05917" w:rsidRPr="00613F9A" w:rsidRDefault="00C05917" w:rsidP="000978E9">
      <w:pPr>
        <w:pStyle w:val="Prrafodelista"/>
        <w:numPr>
          <w:ilvl w:val="0"/>
          <w:numId w:val="3"/>
        </w:numPr>
        <w:spacing w:after="0"/>
        <w:ind w:left="380"/>
        <w:jc w:val="both"/>
        <w:rPr>
          <w:rFonts w:ascii="Verdana" w:hAnsi="Verdana"/>
          <w:b/>
          <w:sz w:val="20"/>
          <w:szCs w:val="20"/>
          <w:lang w:val="es-ES"/>
        </w:rPr>
      </w:pPr>
      <w:r w:rsidRPr="00613F9A">
        <w:rPr>
          <w:rFonts w:ascii="Verdana" w:hAnsi="Verdana"/>
          <w:b/>
          <w:sz w:val="20"/>
          <w:szCs w:val="20"/>
          <w:lang w:val="es-ES"/>
        </w:rPr>
        <w:t>CONSIDERACIONES PREVIAS.</w:t>
      </w:r>
    </w:p>
    <w:p w:rsidR="00C05917" w:rsidRPr="00613F9A" w:rsidRDefault="00C05917" w:rsidP="000978E9">
      <w:pPr>
        <w:spacing w:after="0" w:line="276" w:lineRule="auto"/>
        <w:ind w:left="0"/>
        <w:rPr>
          <w:rFonts w:ascii="Verdana" w:hAnsi="Verdana"/>
          <w:b/>
          <w:sz w:val="20"/>
          <w:szCs w:val="20"/>
          <w:lang w:val="es-ES"/>
        </w:rPr>
      </w:pPr>
    </w:p>
    <w:p w:rsidR="00C05917" w:rsidRPr="00613F9A" w:rsidRDefault="00C05917" w:rsidP="00B24719">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Las consideraciones previas concernientes a la materia de autos, dicen relación con</w:t>
      </w:r>
      <w:r w:rsidR="00857FF5" w:rsidRPr="00613F9A">
        <w:rPr>
          <w:rFonts w:ascii="Verdana" w:hAnsi="Verdana"/>
          <w:sz w:val="20"/>
          <w:szCs w:val="20"/>
          <w:lang w:val="es-ES"/>
        </w:rPr>
        <w:t xml:space="preserve"> el rol del voto individual, </w:t>
      </w:r>
      <w:r w:rsidRPr="00613F9A">
        <w:rPr>
          <w:rFonts w:ascii="Verdana" w:hAnsi="Verdana"/>
          <w:sz w:val="20"/>
          <w:szCs w:val="20"/>
          <w:lang w:val="es-ES"/>
        </w:rPr>
        <w:t>la función de la Co</w:t>
      </w:r>
      <w:r w:rsidR="00857FF5" w:rsidRPr="00613F9A">
        <w:rPr>
          <w:rFonts w:ascii="Verdana" w:hAnsi="Verdana"/>
          <w:sz w:val="20"/>
          <w:szCs w:val="20"/>
          <w:lang w:val="es-ES"/>
        </w:rPr>
        <w:t xml:space="preserve">rte </w:t>
      </w:r>
      <w:r w:rsidRPr="00613F9A">
        <w:rPr>
          <w:rFonts w:ascii="Verdana" w:hAnsi="Verdana"/>
          <w:sz w:val="20"/>
          <w:szCs w:val="20"/>
          <w:lang w:val="es-ES"/>
        </w:rPr>
        <w:t xml:space="preserve">y la </w:t>
      </w:r>
      <w:r w:rsidR="00D70323" w:rsidRPr="00613F9A">
        <w:rPr>
          <w:rFonts w:ascii="Verdana" w:hAnsi="Verdana"/>
          <w:sz w:val="20"/>
          <w:szCs w:val="20"/>
          <w:lang w:val="es-ES"/>
        </w:rPr>
        <w:t>presente disidencia</w:t>
      </w:r>
      <w:r w:rsidRPr="00613F9A">
        <w:rPr>
          <w:rFonts w:ascii="Verdana" w:hAnsi="Verdana"/>
          <w:sz w:val="20"/>
          <w:szCs w:val="20"/>
          <w:lang w:val="es-ES"/>
        </w:rPr>
        <w:t>.</w:t>
      </w:r>
    </w:p>
    <w:p w:rsidR="00C05CE0" w:rsidRPr="00613F9A" w:rsidRDefault="00C05CE0" w:rsidP="000978E9">
      <w:pPr>
        <w:spacing w:after="0" w:line="276" w:lineRule="auto"/>
        <w:ind w:left="0"/>
        <w:rPr>
          <w:rFonts w:ascii="Verdana" w:hAnsi="Verdana"/>
          <w:b/>
          <w:sz w:val="20"/>
          <w:szCs w:val="20"/>
          <w:lang w:val="es-ES"/>
        </w:rPr>
      </w:pPr>
    </w:p>
    <w:p w:rsidR="00857FF5" w:rsidRPr="00613F9A" w:rsidRDefault="00857FF5" w:rsidP="00B24719">
      <w:pPr>
        <w:pStyle w:val="Prrafodelista"/>
        <w:numPr>
          <w:ilvl w:val="0"/>
          <w:numId w:val="13"/>
        </w:numPr>
        <w:spacing w:after="0"/>
        <w:jc w:val="both"/>
        <w:rPr>
          <w:rFonts w:ascii="Verdana" w:hAnsi="Verdana"/>
          <w:b/>
          <w:sz w:val="20"/>
          <w:szCs w:val="20"/>
          <w:lang w:val="es-ES"/>
        </w:rPr>
      </w:pPr>
      <w:r w:rsidRPr="00613F9A">
        <w:rPr>
          <w:rFonts w:ascii="Verdana" w:hAnsi="Verdana"/>
          <w:b/>
          <w:sz w:val="20"/>
          <w:szCs w:val="20"/>
          <w:lang w:val="es-ES"/>
        </w:rPr>
        <w:t>En lo que atañe al rol del voto individual.</w:t>
      </w:r>
    </w:p>
    <w:p w:rsidR="00857FF5" w:rsidRPr="00613F9A" w:rsidRDefault="00857FF5" w:rsidP="000978E9">
      <w:pPr>
        <w:spacing w:after="0" w:line="276" w:lineRule="auto"/>
        <w:ind w:left="0"/>
        <w:rPr>
          <w:rFonts w:ascii="Verdana" w:hAnsi="Verdana"/>
          <w:b/>
          <w:sz w:val="20"/>
          <w:szCs w:val="20"/>
          <w:lang w:val="es-ES"/>
        </w:rPr>
      </w:pPr>
    </w:p>
    <w:p w:rsidR="00857FF5" w:rsidRPr="00613F9A" w:rsidRDefault="00857FF5" w:rsidP="00B24719">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El presente voto parcialmente disidente</w:t>
      </w:r>
      <w:r w:rsidR="005F54AB" w:rsidRPr="00613F9A">
        <w:rPr>
          <w:rStyle w:val="Refdenotaalpie"/>
          <w:rFonts w:ascii="Verdana" w:hAnsi="Verdana"/>
          <w:sz w:val="20"/>
          <w:szCs w:val="20"/>
          <w:lang w:val="es-ES"/>
        </w:rPr>
        <w:footnoteReference w:id="11"/>
      </w:r>
      <w:r w:rsidRPr="00613F9A">
        <w:rPr>
          <w:rFonts w:ascii="Verdana" w:hAnsi="Verdana"/>
          <w:sz w:val="20"/>
          <w:szCs w:val="20"/>
          <w:lang w:val="es-ES"/>
        </w:rPr>
        <w:t xml:space="preserve"> se formula, entonces, como los anteriores del suscrito, con pleno y absoluto respeto de lo resuelto en autos por la Corte y que, por ende, debe ser acatado. Este escrito no puede, por tanto, ser interpretado, en modo alguno ni bajo ninguna circunstancia, como restando legitimidad a la decisión adoptada en la presente causa. </w:t>
      </w:r>
    </w:p>
    <w:p w:rsidR="00857FF5" w:rsidRPr="00613F9A" w:rsidRDefault="00857FF5" w:rsidP="000978E9">
      <w:pPr>
        <w:spacing w:after="0" w:line="276" w:lineRule="auto"/>
        <w:ind w:left="0"/>
        <w:rPr>
          <w:rFonts w:ascii="Verdana" w:hAnsi="Verdana"/>
          <w:b/>
          <w:sz w:val="20"/>
          <w:szCs w:val="20"/>
          <w:lang w:val="es-ES"/>
        </w:rPr>
      </w:pPr>
    </w:p>
    <w:p w:rsidR="009165C1" w:rsidRPr="00613F9A" w:rsidRDefault="00857FF5" w:rsidP="009165C1">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Por lo señalado, procede, asimismo, dejar expresa constancia de que, con lo que se sustenta en la presente opinión, no se persigue, bajo ningún supuesto, un debilitamiento o restricción de la vigencia de los derechos humanos, sino, precisamente, todo lo contrario. Efectivamente, lo que aquí se señala responde a la íntima certeza de que se logra el efectivo respeto de los derechos humanos si lo que se les exige a los Estados Partes de la Convención es lo que realmente ellos libre y soberanamente se comprometieron a cumplir. La seguridad jurídica tiene, a este respecto, un rol fundamental y, por ende, no puede ser entendida como una limitación o restricción al desarrollo de los derechos humanos, sino que más bien como el instrumento que mejor puede garantizar su efectivo respeto o, si han sido trasgredidos, su más pronto restablecimiento por parte del Estado correspondiente. De lo que se trata, entonces, no es sólo dictar sentencias sólidamente sustentadas y que desarrollen los derechos humanos, sino principalmente que, en el evento de que éstos hayan sido vulnerados, se restablezca su vigencia l</w:t>
      </w:r>
      <w:r w:rsidR="00D2731D" w:rsidRPr="00613F9A">
        <w:rPr>
          <w:rFonts w:ascii="Verdana" w:hAnsi="Verdana"/>
          <w:sz w:val="20"/>
          <w:szCs w:val="20"/>
          <w:lang w:val="es-ES"/>
        </w:rPr>
        <w:t>o más pronto posible por parte d</w:t>
      </w:r>
      <w:r w:rsidRPr="00613F9A">
        <w:rPr>
          <w:rFonts w:ascii="Verdana" w:hAnsi="Verdana"/>
          <w:sz w:val="20"/>
          <w:szCs w:val="20"/>
          <w:lang w:val="es-ES"/>
        </w:rPr>
        <w:t>el Estado concernido</w:t>
      </w:r>
      <w:r w:rsidRPr="00613F9A">
        <w:rPr>
          <w:rFonts w:ascii="Verdana" w:hAnsi="Verdana"/>
          <w:sz w:val="20"/>
          <w:szCs w:val="20"/>
          <w:vertAlign w:val="superscript"/>
          <w:lang w:val="es-ES"/>
        </w:rPr>
        <w:footnoteReference w:id="12"/>
      </w:r>
      <w:r w:rsidRPr="00613F9A">
        <w:rPr>
          <w:rFonts w:ascii="Verdana" w:hAnsi="Verdana"/>
          <w:sz w:val="20"/>
          <w:szCs w:val="20"/>
          <w:lang w:val="es-ES"/>
        </w:rPr>
        <w:t>.</w:t>
      </w:r>
    </w:p>
    <w:p w:rsidR="009165C1" w:rsidRPr="00613F9A" w:rsidRDefault="009165C1" w:rsidP="009165C1">
      <w:pPr>
        <w:pStyle w:val="Prrafodelista"/>
        <w:spacing w:after="0"/>
        <w:ind w:left="0"/>
        <w:jc w:val="both"/>
        <w:rPr>
          <w:rFonts w:ascii="Verdana" w:hAnsi="Verdana"/>
          <w:sz w:val="20"/>
          <w:szCs w:val="20"/>
          <w:lang w:val="es-ES"/>
        </w:rPr>
      </w:pPr>
    </w:p>
    <w:p w:rsidR="00857FF5" w:rsidRPr="00613F9A" w:rsidRDefault="009165C1" w:rsidP="009165C1">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Por otra parte, l</w:t>
      </w:r>
      <w:r w:rsidR="00857FF5" w:rsidRPr="00613F9A">
        <w:rPr>
          <w:rFonts w:ascii="Verdana" w:hAnsi="Verdana"/>
          <w:sz w:val="20"/>
          <w:szCs w:val="20"/>
          <w:lang w:val="es-ES"/>
        </w:rPr>
        <w:t xml:space="preserve">a emisión de votos individuales, además, no solo constituye el ejercicio de un derecho, sino fundamentalmente el cumplimiento de un deber, cual es, contribuir a la mejor comprensión de la sentencia a que se refiere. </w:t>
      </w:r>
    </w:p>
    <w:p w:rsidR="00857FF5" w:rsidRPr="00613F9A" w:rsidRDefault="00857FF5" w:rsidP="000978E9">
      <w:pPr>
        <w:spacing w:after="0" w:line="276" w:lineRule="auto"/>
        <w:ind w:left="0"/>
        <w:rPr>
          <w:rFonts w:ascii="Verdana" w:hAnsi="Verdana"/>
          <w:sz w:val="20"/>
          <w:szCs w:val="20"/>
          <w:lang w:val="es-ES"/>
        </w:rPr>
      </w:pPr>
    </w:p>
    <w:p w:rsidR="00857FF5" w:rsidRPr="00613F9A" w:rsidRDefault="00857FF5" w:rsidP="00B24719">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lastRenderedPageBreak/>
        <w:t>Es, por lo demás, por esta última razón que la institución del voto individual es también contemplada en las normas internacionales referidas a otros tribunales y, además, en tanto documento que debe ser publicado junto a la respectiva sentencia</w:t>
      </w:r>
      <w:r w:rsidRPr="00613F9A">
        <w:rPr>
          <w:rStyle w:val="Refdenotaalpie"/>
          <w:rFonts w:ascii="Verdana" w:hAnsi="Verdana"/>
          <w:sz w:val="20"/>
          <w:szCs w:val="20"/>
          <w:lang w:val="es-ES"/>
        </w:rPr>
        <w:footnoteReference w:id="13"/>
      </w:r>
      <w:r w:rsidRPr="00613F9A">
        <w:rPr>
          <w:rFonts w:ascii="Verdana" w:hAnsi="Verdana"/>
          <w:sz w:val="20"/>
          <w:szCs w:val="20"/>
          <w:lang w:val="es-ES"/>
        </w:rPr>
        <w:t>.</w:t>
      </w:r>
    </w:p>
    <w:p w:rsidR="00DA20B0" w:rsidRPr="00613F9A" w:rsidRDefault="00DA20B0" w:rsidP="00B24719">
      <w:pPr>
        <w:pStyle w:val="Prrafodelista"/>
        <w:rPr>
          <w:rFonts w:ascii="Verdana" w:hAnsi="Verdana"/>
          <w:sz w:val="20"/>
          <w:szCs w:val="20"/>
          <w:lang w:val="es-ES"/>
        </w:rPr>
      </w:pPr>
    </w:p>
    <w:p w:rsidR="00857FF5" w:rsidRPr="00613F9A" w:rsidRDefault="00857FF5" w:rsidP="00B24719">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En tal perspectiva, se debe resaltar que el presente voto, como los demás emitidos por los jueces en éste y otros procesos, son demostración evidente del diálogo y de la diversidad de pareceres que existe en la Corte, así como de la deferente consideración que se brindan sus integrantes, todo lo cual, sin duda, enriquece la delicada y trascendental labor que le ha sido encomendada a aquella.</w:t>
      </w:r>
    </w:p>
    <w:p w:rsidR="00DA20B0" w:rsidRPr="00613F9A" w:rsidRDefault="00DA20B0" w:rsidP="00B24719">
      <w:pPr>
        <w:pStyle w:val="Prrafodelista"/>
        <w:spacing w:after="0"/>
        <w:ind w:left="0"/>
        <w:jc w:val="both"/>
        <w:rPr>
          <w:rFonts w:ascii="Verdana" w:hAnsi="Verdana"/>
          <w:sz w:val="20"/>
          <w:szCs w:val="20"/>
          <w:lang w:val="es-ES"/>
        </w:rPr>
      </w:pPr>
    </w:p>
    <w:p w:rsidR="00857FF5" w:rsidRPr="00613F9A" w:rsidRDefault="00857FF5" w:rsidP="00B24719">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Este parecer se formula, entonces, abrigando la ilusión de que en el futuro se acoja, sea por la propia jurisprudencia</w:t>
      </w:r>
      <w:r w:rsidR="00844F2E" w:rsidRPr="00613F9A">
        <w:rPr>
          <w:rFonts w:ascii="Verdana" w:hAnsi="Verdana"/>
          <w:sz w:val="20"/>
          <w:szCs w:val="20"/>
          <w:lang w:val="es-ES"/>
        </w:rPr>
        <w:t>,</w:t>
      </w:r>
      <w:r w:rsidRPr="00613F9A">
        <w:rPr>
          <w:rFonts w:ascii="Verdana" w:hAnsi="Verdana"/>
          <w:sz w:val="20"/>
          <w:szCs w:val="20"/>
          <w:lang w:val="es-ES"/>
        </w:rPr>
        <w:t xml:space="preserve"> sea por una nueva norma de Derecho Internacional, lo que en él se expone. En cuanto a la primera, dado que, siendo el fallo de la Corte obligatorio únicamente para el Estado Parte del caso en el que se pronuncia</w:t>
      </w:r>
      <w:r w:rsidRPr="00613F9A">
        <w:rPr>
          <w:rFonts w:ascii="Verdana" w:hAnsi="Verdana"/>
          <w:sz w:val="20"/>
          <w:szCs w:val="20"/>
          <w:vertAlign w:val="superscript"/>
          <w:lang w:val="es-ES"/>
        </w:rPr>
        <w:footnoteReference w:id="14"/>
      </w:r>
      <w:r w:rsidRPr="00613F9A">
        <w:rPr>
          <w:rFonts w:ascii="Verdana" w:hAnsi="Verdana"/>
          <w:sz w:val="20"/>
          <w:szCs w:val="20"/>
          <w:lang w:val="es-ES"/>
        </w:rPr>
        <w:t>, ella, en tanto fuente auxiliar del Derecho Internacional y que, por ende, le corresponde “</w:t>
      </w:r>
      <w:r w:rsidRPr="00613F9A">
        <w:rPr>
          <w:rFonts w:ascii="Verdana" w:hAnsi="Verdana"/>
          <w:i/>
          <w:sz w:val="20"/>
          <w:szCs w:val="20"/>
          <w:lang w:val="es-ES"/>
        </w:rPr>
        <w:t>la determinación de las reglas de derecho</w:t>
      </w:r>
      <w:r w:rsidRPr="00613F9A">
        <w:rPr>
          <w:rFonts w:ascii="Verdana" w:hAnsi="Verdana"/>
          <w:sz w:val="20"/>
          <w:szCs w:val="20"/>
          <w:lang w:val="es-ES"/>
        </w:rPr>
        <w:t>” establecidas por una fuente autónoma del Derecho Internacional, es decir, por un tratado, la costumbre, un principio general de derecho o un acto jurídico unilateral,</w:t>
      </w:r>
      <w:r w:rsidRPr="00613F9A">
        <w:rPr>
          <w:rFonts w:ascii="Verdana" w:hAnsi="Verdana"/>
          <w:sz w:val="20"/>
          <w:szCs w:val="20"/>
          <w:vertAlign w:val="superscript"/>
          <w:lang w:val="es-ES"/>
        </w:rPr>
        <w:footnoteReference w:id="15"/>
      </w:r>
      <w:r w:rsidRPr="00613F9A">
        <w:rPr>
          <w:rFonts w:ascii="Verdana" w:hAnsi="Verdana"/>
          <w:sz w:val="20"/>
          <w:szCs w:val="20"/>
          <w:lang w:val="es-ES"/>
        </w:rPr>
        <w:t xml:space="preserve"> puede en el futuro variar al sentenciarse otro</w:t>
      </w:r>
      <w:r w:rsidR="00CE0196" w:rsidRPr="00613F9A">
        <w:rPr>
          <w:rFonts w:ascii="Verdana" w:hAnsi="Verdana"/>
          <w:sz w:val="20"/>
          <w:szCs w:val="20"/>
          <w:lang w:val="es-ES"/>
        </w:rPr>
        <w:t xml:space="preserve"> </w:t>
      </w:r>
      <w:r w:rsidRPr="00613F9A">
        <w:rPr>
          <w:rFonts w:ascii="Verdana" w:hAnsi="Verdana"/>
          <w:sz w:val="20"/>
          <w:szCs w:val="20"/>
          <w:lang w:val="es-ES"/>
        </w:rPr>
        <w:t xml:space="preserve">caso. Y respecto a la segunda, en virtud de que a quienes les compete la función normativa internacional </w:t>
      </w:r>
      <w:r w:rsidRPr="00613F9A">
        <w:rPr>
          <w:rFonts w:ascii="Verdana" w:hAnsi="Verdana"/>
          <w:sz w:val="20"/>
          <w:szCs w:val="20"/>
          <w:lang w:val="es-ES"/>
        </w:rPr>
        <w:lastRenderedPageBreak/>
        <w:t>es a los Estados y en el caso de la Convención, a sus Estados Partes</w:t>
      </w:r>
      <w:r w:rsidR="005F54AB" w:rsidRPr="00613F9A">
        <w:rPr>
          <w:rFonts w:ascii="Verdana" w:hAnsi="Verdana"/>
          <w:sz w:val="20"/>
          <w:szCs w:val="20"/>
          <w:lang w:val="es-ES"/>
        </w:rPr>
        <w:t>,</w:t>
      </w:r>
      <w:r w:rsidRPr="00613F9A">
        <w:rPr>
          <w:rFonts w:ascii="Verdana" w:hAnsi="Verdana"/>
          <w:sz w:val="20"/>
          <w:szCs w:val="20"/>
          <w:lang w:val="es-ES"/>
        </w:rPr>
        <w:t xml:space="preserve"> a través de enmiendas a esta última</w:t>
      </w:r>
      <w:r w:rsidRPr="00613F9A">
        <w:rPr>
          <w:rFonts w:ascii="Verdana" w:hAnsi="Verdana"/>
          <w:sz w:val="20"/>
          <w:szCs w:val="20"/>
          <w:vertAlign w:val="superscript"/>
          <w:lang w:val="es-ES"/>
        </w:rPr>
        <w:footnoteReference w:id="16"/>
      </w:r>
      <w:r w:rsidRPr="00613F9A">
        <w:rPr>
          <w:rFonts w:ascii="Verdana" w:hAnsi="Verdana"/>
          <w:sz w:val="20"/>
          <w:szCs w:val="20"/>
          <w:lang w:val="es-ES"/>
        </w:rPr>
        <w:t>.</w:t>
      </w:r>
      <w:r w:rsidR="00371353" w:rsidRPr="00613F9A">
        <w:rPr>
          <w:rFonts w:ascii="Verdana" w:hAnsi="Verdana"/>
          <w:b/>
          <w:sz w:val="20"/>
          <w:szCs w:val="20"/>
          <w:lang w:val="es-ES"/>
        </w:rPr>
        <w:t xml:space="preserve"> </w:t>
      </w:r>
    </w:p>
    <w:p w:rsidR="00857FF5" w:rsidRPr="00613F9A" w:rsidRDefault="00857FF5" w:rsidP="000978E9">
      <w:pPr>
        <w:pStyle w:val="Prrafodelista"/>
        <w:spacing w:after="0"/>
        <w:ind w:left="0"/>
        <w:jc w:val="both"/>
        <w:rPr>
          <w:rFonts w:ascii="Verdana" w:hAnsi="Verdana"/>
          <w:b/>
          <w:sz w:val="20"/>
          <w:szCs w:val="20"/>
          <w:lang w:val="es-ES"/>
        </w:rPr>
      </w:pPr>
    </w:p>
    <w:p w:rsidR="00C05917" w:rsidRPr="00613F9A" w:rsidRDefault="00C05917" w:rsidP="00B24719">
      <w:pPr>
        <w:pStyle w:val="Prrafodelista"/>
        <w:numPr>
          <w:ilvl w:val="0"/>
          <w:numId w:val="13"/>
        </w:numPr>
        <w:spacing w:after="0"/>
        <w:jc w:val="both"/>
        <w:rPr>
          <w:rFonts w:ascii="Verdana" w:hAnsi="Verdana"/>
          <w:b/>
          <w:sz w:val="20"/>
          <w:szCs w:val="20"/>
          <w:lang w:val="es-ES"/>
        </w:rPr>
      </w:pPr>
      <w:r w:rsidRPr="00613F9A">
        <w:rPr>
          <w:rFonts w:ascii="Verdana" w:hAnsi="Verdana"/>
          <w:b/>
          <w:sz w:val="20"/>
          <w:szCs w:val="20"/>
          <w:lang w:val="es-ES"/>
        </w:rPr>
        <w:t>En cuanto a la función de la Corte.</w:t>
      </w:r>
      <w:r w:rsidRPr="00613F9A">
        <w:rPr>
          <w:rFonts w:ascii="Verdana" w:hAnsi="Verdana"/>
          <w:sz w:val="20"/>
          <w:szCs w:val="20"/>
          <w:lang w:val="es-ES"/>
        </w:rPr>
        <w:t xml:space="preserve"> </w:t>
      </w:r>
    </w:p>
    <w:p w:rsidR="00C05917" w:rsidRPr="00613F9A" w:rsidRDefault="00C05917" w:rsidP="000978E9">
      <w:pPr>
        <w:spacing w:after="0" w:line="276" w:lineRule="auto"/>
        <w:ind w:left="0"/>
        <w:rPr>
          <w:rFonts w:ascii="Verdana" w:hAnsi="Verdana"/>
          <w:sz w:val="20"/>
          <w:szCs w:val="20"/>
          <w:lang w:val="es-ES"/>
        </w:rPr>
      </w:pPr>
    </w:p>
    <w:p w:rsidR="004D44BE" w:rsidRPr="00613F9A" w:rsidRDefault="0018733E" w:rsidP="00B24719">
      <w:pPr>
        <w:pStyle w:val="Prrafodelista"/>
        <w:numPr>
          <w:ilvl w:val="0"/>
          <w:numId w:val="2"/>
        </w:numPr>
        <w:spacing w:after="120"/>
        <w:ind w:left="0" w:firstLine="0"/>
        <w:jc w:val="both"/>
        <w:rPr>
          <w:rFonts w:ascii="Verdana" w:hAnsi="Verdana"/>
          <w:sz w:val="20"/>
          <w:szCs w:val="20"/>
          <w:lang w:val="es-ES"/>
        </w:rPr>
      </w:pPr>
      <w:r w:rsidRPr="00613F9A">
        <w:rPr>
          <w:rFonts w:ascii="Verdana" w:hAnsi="Verdana"/>
          <w:sz w:val="20"/>
          <w:szCs w:val="20"/>
          <w:lang w:val="es-ES"/>
        </w:rPr>
        <w:t>L</w:t>
      </w:r>
      <w:r w:rsidR="007E734D" w:rsidRPr="00613F9A">
        <w:rPr>
          <w:rFonts w:ascii="Verdana" w:hAnsi="Verdana"/>
          <w:sz w:val="20"/>
          <w:szCs w:val="20"/>
          <w:lang w:val="es-ES"/>
        </w:rPr>
        <w:t xml:space="preserve">o primero que habría que señalar </w:t>
      </w:r>
      <w:r w:rsidR="00C05917" w:rsidRPr="00613F9A">
        <w:rPr>
          <w:rFonts w:ascii="Verdana" w:hAnsi="Verdana"/>
          <w:sz w:val="20"/>
          <w:szCs w:val="20"/>
          <w:lang w:val="es-ES"/>
        </w:rPr>
        <w:t xml:space="preserve">sobre el particular, es que la Corte debe cumplir su cometido en el marco </w:t>
      </w:r>
      <w:r w:rsidR="004D44BE" w:rsidRPr="00613F9A">
        <w:rPr>
          <w:rFonts w:ascii="Verdana" w:hAnsi="Verdana"/>
          <w:sz w:val="20"/>
          <w:szCs w:val="20"/>
          <w:lang w:val="es-ES"/>
        </w:rPr>
        <w:t xml:space="preserve">jurídico institucional en que se inserta </w:t>
      </w:r>
      <w:r w:rsidR="00C05917" w:rsidRPr="00613F9A">
        <w:rPr>
          <w:rFonts w:ascii="Verdana" w:hAnsi="Verdana"/>
          <w:sz w:val="20"/>
          <w:szCs w:val="20"/>
          <w:lang w:val="es-ES"/>
        </w:rPr>
        <w:t>la Convención</w:t>
      </w:r>
      <w:r w:rsidR="00C05917" w:rsidRPr="00613F9A">
        <w:rPr>
          <w:rFonts w:ascii="Verdana" w:hAnsi="Verdana"/>
          <w:sz w:val="20"/>
          <w:szCs w:val="20"/>
          <w:vertAlign w:val="superscript"/>
          <w:lang w:val="es-ES"/>
        </w:rPr>
        <w:footnoteReference w:id="17"/>
      </w:r>
      <w:r w:rsidR="00C05917" w:rsidRPr="00613F9A">
        <w:rPr>
          <w:rFonts w:ascii="Verdana" w:hAnsi="Verdana"/>
          <w:sz w:val="20"/>
          <w:szCs w:val="20"/>
          <w:lang w:val="es-ES"/>
        </w:rPr>
        <w:t xml:space="preserve">. </w:t>
      </w:r>
      <w:r w:rsidR="004D44BE" w:rsidRPr="00613F9A">
        <w:rPr>
          <w:rFonts w:ascii="Verdana" w:hAnsi="Verdana"/>
          <w:sz w:val="20"/>
          <w:szCs w:val="20"/>
          <w:lang w:val="es-ES"/>
        </w:rPr>
        <w:t xml:space="preserve">Ello importa que, por ser esta última un instrumento propio del Derecho Internacional Público, es de conformidad a éste que </w:t>
      </w:r>
      <w:r w:rsidR="009165C1" w:rsidRPr="00613F9A">
        <w:rPr>
          <w:rFonts w:ascii="Verdana" w:hAnsi="Verdana"/>
          <w:sz w:val="20"/>
          <w:szCs w:val="20"/>
          <w:lang w:val="es-ES"/>
        </w:rPr>
        <w:t>aqu</w:t>
      </w:r>
      <w:r w:rsidR="004D44BE" w:rsidRPr="00613F9A">
        <w:rPr>
          <w:rFonts w:ascii="Verdana" w:hAnsi="Verdana"/>
          <w:sz w:val="20"/>
          <w:szCs w:val="20"/>
          <w:lang w:val="es-ES"/>
        </w:rPr>
        <w:t>ella debe</w:t>
      </w:r>
      <w:r w:rsidR="009D7351" w:rsidRPr="00613F9A">
        <w:rPr>
          <w:rFonts w:ascii="Verdana" w:hAnsi="Verdana"/>
          <w:sz w:val="20"/>
          <w:szCs w:val="20"/>
          <w:lang w:val="es-ES"/>
        </w:rPr>
        <w:t>, en el ejercicio de su competencia contenciosa,</w:t>
      </w:r>
      <w:r w:rsidR="004D44BE" w:rsidRPr="00613F9A">
        <w:rPr>
          <w:rFonts w:ascii="Verdana" w:hAnsi="Verdana"/>
          <w:sz w:val="20"/>
          <w:szCs w:val="20"/>
          <w:lang w:val="es-ES"/>
        </w:rPr>
        <w:t xml:space="preserve"> fallar</w:t>
      </w:r>
      <w:r w:rsidR="004D44BE" w:rsidRPr="00613F9A">
        <w:rPr>
          <w:rStyle w:val="Refdenotaalpie"/>
          <w:rFonts w:ascii="Verdana" w:hAnsi="Verdana"/>
          <w:sz w:val="20"/>
          <w:szCs w:val="20"/>
          <w:lang w:val="es-ES"/>
        </w:rPr>
        <w:footnoteReference w:id="18"/>
      </w:r>
      <w:r w:rsidR="004D44BE" w:rsidRPr="00613F9A">
        <w:rPr>
          <w:rFonts w:ascii="Verdana" w:hAnsi="Verdana"/>
          <w:sz w:val="20"/>
          <w:szCs w:val="20"/>
          <w:lang w:val="es-ES"/>
        </w:rPr>
        <w:t xml:space="preserve"> o </w:t>
      </w:r>
      <w:r w:rsidR="009D7351" w:rsidRPr="00613F9A">
        <w:rPr>
          <w:rFonts w:ascii="Verdana" w:hAnsi="Verdana"/>
          <w:sz w:val="20"/>
          <w:szCs w:val="20"/>
          <w:lang w:val="es-ES"/>
        </w:rPr>
        <w:t xml:space="preserve">en razón de su competencia consultiva o no contenciosa, </w:t>
      </w:r>
      <w:r w:rsidR="004D44BE" w:rsidRPr="00613F9A">
        <w:rPr>
          <w:rFonts w:ascii="Verdana" w:hAnsi="Verdana"/>
          <w:sz w:val="20"/>
          <w:szCs w:val="20"/>
          <w:lang w:val="es-ES"/>
        </w:rPr>
        <w:t>em</w:t>
      </w:r>
      <w:r w:rsidR="009D7351" w:rsidRPr="00613F9A">
        <w:rPr>
          <w:rFonts w:ascii="Verdana" w:hAnsi="Verdana"/>
          <w:sz w:val="20"/>
          <w:szCs w:val="20"/>
          <w:lang w:val="es-ES"/>
        </w:rPr>
        <w:t>itir sus opiniones</w:t>
      </w:r>
      <w:r w:rsidR="004D44BE" w:rsidRPr="00613F9A">
        <w:rPr>
          <w:rStyle w:val="Refdenotaalpie"/>
          <w:rFonts w:ascii="Verdana" w:hAnsi="Verdana"/>
          <w:sz w:val="20"/>
          <w:szCs w:val="20"/>
          <w:lang w:val="es-ES"/>
        </w:rPr>
        <w:footnoteReference w:id="19"/>
      </w:r>
      <w:r w:rsidR="0023483A" w:rsidRPr="00613F9A">
        <w:rPr>
          <w:rFonts w:ascii="Verdana" w:hAnsi="Verdana"/>
          <w:sz w:val="20"/>
          <w:szCs w:val="20"/>
          <w:lang w:val="es-ES"/>
        </w:rPr>
        <w:t xml:space="preserve">. Aunque pueda parecer obvio afirmarlo, a la Corte le está, en consecuencia, vedado </w:t>
      </w:r>
      <w:r w:rsidR="00A51ACC" w:rsidRPr="00613F9A">
        <w:rPr>
          <w:rFonts w:ascii="Verdana" w:hAnsi="Verdana"/>
          <w:sz w:val="20"/>
          <w:szCs w:val="20"/>
          <w:lang w:val="es-ES"/>
        </w:rPr>
        <w:t xml:space="preserve">fundamentar </w:t>
      </w:r>
      <w:r w:rsidRPr="00613F9A">
        <w:rPr>
          <w:rFonts w:ascii="Verdana" w:hAnsi="Verdana"/>
          <w:sz w:val="20"/>
          <w:szCs w:val="20"/>
          <w:lang w:val="es-ES"/>
        </w:rPr>
        <w:t>su mandato</w:t>
      </w:r>
      <w:r w:rsidR="00A51ACC" w:rsidRPr="00613F9A">
        <w:rPr>
          <w:rFonts w:ascii="Verdana" w:hAnsi="Verdana"/>
          <w:sz w:val="20"/>
          <w:szCs w:val="20"/>
          <w:lang w:val="es-ES"/>
        </w:rPr>
        <w:t xml:space="preserve"> en e</w:t>
      </w:r>
      <w:r w:rsidR="0023483A" w:rsidRPr="00613F9A">
        <w:rPr>
          <w:rFonts w:ascii="Verdana" w:hAnsi="Verdana"/>
          <w:sz w:val="20"/>
          <w:szCs w:val="20"/>
          <w:lang w:val="es-ES"/>
        </w:rPr>
        <w:t>l Derecho Nacional de los Estados</w:t>
      </w:r>
      <w:r w:rsidR="005F54AB" w:rsidRPr="00613F9A">
        <w:rPr>
          <w:rFonts w:ascii="Verdana" w:hAnsi="Verdana"/>
          <w:sz w:val="20"/>
          <w:szCs w:val="20"/>
          <w:lang w:val="es-ES"/>
        </w:rPr>
        <w:t>, ya que t</w:t>
      </w:r>
      <w:r w:rsidR="00A51ACC" w:rsidRPr="00613F9A">
        <w:rPr>
          <w:rFonts w:ascii="Verdana" w:hAnsi="Verdana"/>
          <w:sz w:val="20"/>
          <w:szCs w:val="20"/>
          <w:lang w:val="es-ES"/>
        </w:rPr>
        <w:t xml:space="preserve">ambién a su respecto </w:t>
      </w:r>
      <w:r w:rsidR="00176151" w:rsidRPr="00613F9A">
        <w:rPr>
          <w:rFonts w:ascii="Verdana" w:hAnsi="Verdana"/>
          <w:sz w:val="20"/>
          <w:szCs w:val="20"/>
          <w:lang w:val="es-ES"/>
        </w:rPr>
        <w:t xml:space="preserve">rige la norma convencional y consuetudinaria de que no se puede </w:t>
      </w:r>
      <w:r w:rsidR="004B43A2" w:rsidRPr="00613F9A">
        <w:rPr>
          <w:rFonts w:ascii="Verdana" w:hAnsi="Verdana"/>
          <w:sz w:val="20"/>
          <w:szCs w:val="20"/>
          <w:lang w:val="es-ES"/>
        </w:rPr>
        <w:t>inv</w:t>
      </w:r>
      <w:r w:rsidR="00DF356E" w:rsidRPr="00613F9A">
        <w:rPr>
          <w:rFonts w:ascii="Verdana" w:hAnsi="Verdana"/>
          <w:sz w:val="20"/>
          <w:szCs w:val="20"/>
          <w:lang w:val="es-ES"/>
        </w:rPr>
        <w:t xml:space="preserve">ocar el derecho interno </w:t>
      </w:r>
      <w:r w:rsidR="00A51ACC" w:rsidRPr="00613F9A">
        <w:rPr>
          <w:rFonts w:ascii="Verdana" w:hAnsi="Verdana"/>
          <w:sz w:val="20"/>
          <w:szCs w:val="20"/>
          <w:lang w:val="es-ES"/>
        </w:rPr>
        <w:t xml:space="preserve">del correspondiente </w:t>
      </w:r>
      <w:r w:rsidR="009165C1" w:rsidRPr="00613F9A">
        <w:rPr>
          <w:rFonts w:ascii="Verdana" w:hAnsi="Verdana"/>
          <w:sz w:val="20"/>
          <w:szCs w:val="20"/>
          <w:lang w:val="es-ES"/>
        </w:rPr>
        <w:t xml:space="preserve">Estado </w:t>
      </w:r>
      <w:r w:rsidR="00DF356E" w:rsidRPr="00613F9A">
        <w:rPr>
          <w:rFonts w:ascii="Verdana" w:hAnsi="Verdana"/>
          <w:sz w:val="20"/>
          <w:szCs w:val="20"/>
          <w:lang w:val="es-ES"/>
        </w:rPr>
        <w:t xml:space="preserve">para dejar de </w:t>
      </w:r>
      <w:r w:rsidR="004B43A2" w:rsidRPr="00613F9A">
        <w:rPr>
          <w:rFonts w:ascii="Verdana" w:hAnsi="Verdana"/>
          <w:sz w:val="20"/>
          <w:szCs w:val="20"/>
          <w:lang w:val="es-ES"/>
        </w:rPr>
        <w:t>cumplir una obligación internacional</w:t>
      </w:r>
      <w:r w:rsidR="00176151" w:rsidRPr="00613F9A">
        <w:rPr>
          <w:rStyle w:val="Refdenotaalpie"/>
          <w:rFonts w:ascii="Verdana" w:hAnsi="Verdana"/>
          <w:sz w:val="20"/>
          <w:szCs w:val="20"/>
          <w:lang w:val="es-ES"/>
        </w:rPr>
        <w:footnoteReference w:id="20"/>
      </w:r>
      <w:r w:rsidR="005A1D74" w:rsidRPr="00613F9A">
        <w:rPr>
          <w:rFonts w:ascii="Verdana" w:hAnsi="Verdana"/>
          <w:sz w:val="20"/>
          <w:szCs w:val="20"/>
          <w:lang w:val="es-ES"/>
        </w:rPr>
        <w:t xml:space="preserve"> </w:t>
      </w:r>
      <w:r w:rsidR="00D2731D" w:rsidRPr="00613F9A">
        <w:rPr>
          <w:rFonts w:ascii="Verdana" w:hAnsi="Verdana"/>
          <w:sz w:val="20"/>
          <w:szCs w:val="20"/>
          <w:vertAlign w:val="superscript"/>
          <w:lang w:val="es-ES"/>
        </w:rPr>
        <w:t>y</w:t>
      </w:r>
      <w:r w:rsidR="005A1D74" w:rsidRPr="00613F9A">
        <w:rPr>
          <w:rFonts w:ascii="Verdana" w:hAnsi="Verdana"/>
          <w:sz w:val="20"/>
          <w:szCs w:val="20"/>
          <w:lang w:val="es-ES"/>
        </w:rPr>
        <w:t xml:space="preserve"> </w:t>
      </w:r>
      <w:r w:rsidR="00D254F5" w:rsidRPr="00613F9A">
        <w:rPr>
          <w:rStyle w:val="Refdenotaalpie"/>
          <w:rFonts w:ascii="Verdana" w:hAnsi="Verdana"/>
          <w:sz w:val="20"/>
          <w:szCs w:val="20"/>
          <w:lang w:val="es-ES"/>
        </w:rPr>
        <w:footnoteReference w:id="21"/>
      </w:r>
      <w:r w:rsidR="007D79ED" w:rsidRPr="00613F9A">
        <w:rPr>
          <w:rFonts w:ascii="Verdana" w:hAnsi="Verdana"/>
          <w:sz w:val="20"/>
          <w:szCs w:val="20"/>
          <w:lang w:val="es-ES"/>
        </w:rPr>
        <w:t>. Ello salvo</w:t>
      </w:r>
      <w:r w:rsidR="0024765F" w:rsidRPr="00613F9A">
        <w:rPr>
          <w:rFonts w:ascii="Verdana" w:hAnsi="Verdana"/>
          <w:sz w:val="20"/>
          <w:szCs w:val="20"/>
          <w:lang w:val="es-ES"/>
        </w:rPr>
        <w:t xml:space="preserve"> </w:t>
      </w:r>
      <w:r w:rsidR="007D79ED" w:rsidRPr="00613F9A">
        <w:rPr>
          <w:rFonts w:ascii="Verdana" w:hAnsi="Verdana"/>
          <w:sz w:val="20"/>
          <w:szCs w:val="20"/>
          <w:lang w:val="es-ES"/>
        </w:rPr>
        <w:t xml:space="preserve">que varios ordenamientos jurídicos nacionales sean concordantes y formen </w:t>
      </w:r>
      <w:r w:rsidR="00DF356E" w:rsidRPr="00613F9A">
        <w:rPr>
          <w:rFonts w:ascii="Verdana" w:hAnsi="Verdana"/>
          <w:sz w:val="20"/>
          <w:szCs w:val="20"/>
          <w:lang w:val="es-ES"/>
        </w:rPr>
        <w:t xml:space="preserve">o expresen </w:t>
      </w:r>
      <w:r w:rsidR="007D79ED" w:rsidRPr="00613F9A">
        <w:rPr>
          <w:rFonts w:ascii="Verdana" w:hAnsi="Verdana"/>
          <w:sz w:val="20"/>
          <w:szCs w:val="20"/>
          <w:lang w:val="es-ES"/>
        </w:rPr>
        <w:t xml:space="preserve">así </w:t>
      </w:r>
      <w:r w:rsidR="009165C1" w:rsidRPr="00613F9A">
        <w:rPr>
          <w:rFonts w:ascii="Verdana" w:hAnsi="Verdana"/>
          <w:sz w:val="20"/>
          <w:szCs w:val="20"/>
          <w:lang w:val="es-ES"/>
        </w:rPr>
        <w:t>bien</w:t>
      </w:r>
      <w:r w:rsidR="00DF356E" w:rsidRPr="00613F9A">
        <w:rPr>
          <w:rFonts w:ascii="Verdana" w:hAnsi="Verdana"/>
          <w:sz w:val="20"/>
          <w:szCs w:val="20"/>
          <w:lang w:val="es-ES"/>
        </w:rPr>
        <w:t xml:space="preserve"> </w:t>
      </w:r>
      <w:r w:rsidR="004B43A2" w:rsidRPr="00613F9A">
        <w:rPr>
          <w:rFonts w:ascii="Verdana" w:hAnsi="Verdana"/>
          <w:sz w:val="20"/>
          <w:szCs w:val="20"/>
          <w:lang w:val="es-ES"/>
        </w:rPr>
        <w:t>una costu</w:t>
      </w:r>
      <w:r w:rsidR="007D79ED" w:rsidRPr="00613F9A">
        <w:rPr>
          <w:rFonts w:ascii="Verdana" w:hAnsi="Verdana"/>
          <w:sz w:val="20"/>
          <w:szCs w:val="20"/>
          <w:lang w:val="es-ES"/>
        </w:rPr>
        <w:t>mbre internacional, es decir, den cuenta de una práctica en un</w:t>
      </w:r>
      <w:r w:rsidR="00A51ACC" w:rsidRPr="00613F9A">
        <w:rPr>
          <w:rFonts w:ascii="Verdana" w:hAnsi="Verdana"/>
          <w:sz w:val="20"/>
          <w:szCs w:val="20"/>
          <w:lang w:val="es-ES"/>
        </w:rPr>
        <w:t xml:space="preserve"> mismo sentido, constante, </w:t>
      </w:r>
      <w:r w:rsidR="007D79ED" w:rsidRPr="00613F9A">
        <w:rPr>
          <w:rFonts w:ascii="Verdana" w:hAnsi="Verdana"/>
          <w:sz w:val="20"/>
          <w:szCs w:val="20"/>
          <w:lang w:val="es-ES"/>
        </w:rPr>
        <w:t>generalizada</w:t>
      </w:r>
      <w:r w:rsidR="00A51ACC" w:rsidRPr="00613F9A">
        <w:rPr>
          <w:rFonts w:ascii="Verdana" w:hAnsi="Verdana"/>
          <w:sz w:val="20"/>
          <w:szCs w:val="20"/>
          <w:lang w:val="es-ES"/>
        </w:rPr>
        <w:t xml:space="preserve"> y </w:t>
      </w:r>
      <w:r w:rsidR="007D79ED" w:rsidRPr="00613F9A">
        <w:rPr>
          <w:rFonts w:ascii="Verdana" w:hAnsi="Verdana"/>
          <w:sz w:val="20"/>
          <w:szCs w:val="20"/>
          <w:lang w:val="es-ES"/>
        </w:rPr>
        <w:t>seguida con la convicción de actuar conforma derecho</w:t>
      </w:r>
      <w:r w:rsidR="009165C1" w:rsidRPr="00613F9A">
        <w:rPr>
          <w:rFonts w:ascii="Verdana" w:hAnsi="Verdana"/>
          <w:sz w:val="20"/>
          <w:szCs w:val="20"/>
          <w:lang w:val="es-ES"/>
        </w:rPr>
        <w:t xml:space="preserve">, bien </w:t>
      </w:r>
      <w:r w:rsidR="00DF356E" w:rsidRPr="00613F9A">
        <w:rPr>
          <w:rFonts w:ascii="Verdana" w:hAnsi="Verdana"/>
          <w:sz w:val="20"/>
          <w:szCs w:val="20"/>
          <w:lang w:val="es-ES"/>
        </w:rPr>
        <w:t>un principio general de derecho común a todos ellos, esto es, reconocido como tal y aplicable en situaciones regidas por el Derecho Internacional.</w:t>
      </w:r>
      <w:r w:rsidR="004B43A2" w:rsidRPr="00613F9A">
        <w:rPr>
          <w:rFonts w:ascii="Verdana" w:hAnsi="Verdana"/>
          <w:sz w:val="20"/>
          <w:szCs w:val="20"/>
          <w:lang w:val="es-ES"/>
        </w:rPr>
        <w:t xml:space="preserve"> </w:t>
      </w:r>
      <w:r w:rsidR="009E679A" w:rsidRPr="00613F9A">
        <w:rPr>
          <w:rFonts w:ascii="Verdana" w:hAnsi="Verdana"/>
          <w:sz w:val="20"/>
          <w:szCs w:val="20"/>
          <w:lang w:val="es-ES"/>
        </w:rPr>
        <w:t>En tales hip</w:t>
      </w:r>
      <w:r w:rsidR="00DD2958" w:rsidRPr="00613F9A">
        <w:rPr>
          <w:rFonts w:ascii="Verdana" w:hAnsi="Verdana"/>
          <w:sz w:val="20"/>
          <w:szCs w:val="20"/>
          <w:lang w:val="es-ES"/>
        </w:rPr>
        <w:t xml:space="preserve">ótesis, </w:t>
      </w:r>
      <w:r w:rsidR="00A51ACC" w:rsidRPr="00613F9A">
        <w:rPr>
          <w:rFonts w:ascii="Verdana" w:hAnsi="Verdana"/>
          <w:sz w:val="20"/>
          <w:szCs w:val="20"/>
          <w:lang w:val="es-ES"/>
        </w:rPr>
        <w:t xml:space="preserve">el pronunciamiento de </w:t>
      </w:r>
      <w:r w:rsidR="00DD2958" w:rsidRPr="00613F9A">
        <w:rPr>
          <w:rFonts w:ascii="Verdana" w:hAnsi="Verdana"/>
          <w:sz w:val="20"/>
          <w:szCs w:val="20"/>
          <w:lang w:val="es-ES"/>
        </w:rPr>
        <w:t xml:space="preserve">la Corte no </w:t>
      </w:r>
      <w:r w:rsidR="00A51ACC" w:rsidRPr="00613F9A">
        <w:rPr>
          <w:rFonts w:ascii="Verdana" w:hAnsi="Verdana"/>
          <w:sz w:val="20"/>
          <w:szCs w:val="20"/>
          <w:lang w:val="es-ES"/>
        </w:rPr>
        <w:t xml:space="preserve">lo es o no lo sería </w:t>
      </w:r>
      <w:r w:rsidR="009E679A" w:rsidRPr="00613F9A">
        <w:rPr>
          <w:rFonts w:ascii="Verdana" w:hAnsi="Verdana"/>
          <w:sz w:val="20"/>
          <w:szCs w:val="20"/>
          <w:lang w:val="es-ES"/>
        </w:rPr>
        <w:t>de conformidad al Derecho Interno de los Estados, sino de ateniéndose a la costumbre o al principio general de derecho</w:t>
      </w:r>
      <w:r w:rsidR="009165C1" w:rsidRPr="00613F9A">
        <w:rPr>
          <w:rFonts w:ascii="Verdana" w:hAnsi="Verdana"/>
          <w:sz w:val="20"/>
          <w:szCs w:val="20"/>
          <w:lang w:val="es-ES"/>
        </w:rPr>
        <w:t xml:space="preserve">, es decir, en </w:t>
      </w:r>
      <w:r w:rsidR="009E679A" w:rsidRPr="00613F9A">
        <w:rPr>
          <w:rFonts w:ascii="Verdana" w:hAnsi="Verdana"/>
          <w:sz w:val="20"/>
          <w:szCs w:val="20"/>
          <w:lang w:val="es-ES"/>
        </w:rPr>
        <w:t>fuentes del Derecho Internacional</w:t>
      </w:r>
      <w:r w:rsidR="00A51ACC" w:rsidRPr="00613F9A">
        <w:rPr>
          <w:rFonts w:ascii="Verdana" w:hAnsi="Verdana"/>
          <w:sz w:val="20"/>
          <w:szCs w:val="20"/>
          <w:lang w:val="es-ES"/>
        </w:rPr>
        <w:t xml:space="preserve"> Público</w:t>
      </w:r>
      <w:r w:rsidR="009E679A" w:rsidRPr="00613F9A">
        <w:rPr>
          <w:rStyle w:val="Refdenotaalpie"/>
          <w:rFonts w:ascii="Verdana" w:hAnsi="Verdana"/>
          <w:sz w:val="20"/>
          <w:szCs w:val="20"/>
          <w:lang w:val="es-ES"/>
        </w:rPr>
        <w:footnoteReference w:id="22"/>
      </w:r>
      <w:r w:rsidR="009E679A" w:rsidRPr="00613F9A">
        <w:rPr>
          <w:rFonts w:ascii="Verdana" w:hAnsi="Verdana"/>
          <w:sz w:val="20"/>
          <w:szCs w:val="20"/>
          <w:lang w:val="es-ES"/>
        </w:rPr>
        <w:t>.</w:t>
      </w:r>
      <w:r w:rsidR="007E734D" w:rsidRPr="00613F9A">
        <w:rPr>
          <w:rFonts w:ascii="Verdana" w:hAnsi="Verdana"/>
          <w:sz w:val="20"/>
          <w:szCs w:val="20"/>
          <w:lang w:val="es-ES"/>
        </w:rPr>
        <w:t xml:space="preserve"> La utilización del Derecho Comparado ayuda en tal propósito</w:t>
      </w:r>
      <w:r w:rsidR="005A1D74" w:rsidRPr="00613F9A">
        <w:rPr>
          <w:rFonts w:ascii="Verdana" w:hAnsi="Verdana"/>
          <w:sz w:val="20"/>
          <w:szCs w:val="20"/>
          <w:lang w:val="es-ES"/>
        </w:rPr>
        <w:t>.</w:t>
      </w:r>
    </w:p>
    <w:p w:rsidR="004D44BE" w:rsidRPr="00613F9A" w:rsidRDefault="004D44BE" w:rsidP="000978E9">
      <w:pPr>
        <w:pStyle w:val="Prrafodelista"/>
        <w:rPr>
          <w:rFonts w:ascii="Verdana" w:hAnsi="Verdana"/>
          <w:sz w:val="20"/>
          <w:szCs w:val="20"/>
          <w:lang w:val="es-ES"/>
        </w:rPr>
      </w:pPr>
    </w:p>
    <w:p w:rsidR="00DF356E" w:rsidRPr="00613F9A" w:rsidRDefault="0024765F" w:rsidP="00B24719">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lastRenderedPageBreak/>
        <w:t xml:space="preserve">Indudablemente, lo referido no conlleva, sin embargo, que la Corte no </w:t>
      </w:r>
      <w:r w:rsidR="00A51ACC" w:rsidRPr="00613F9A">
        <w:rPr>
          <w:rFonts w:ascii="Verdana" w:hAnsi="Verdana"/>
          <w:sz w:val="20"/>
          <w:szCs w:val="20"/>
          <w:lang w:val="es-ES"/>
        </w:rPr>
        <w:t xml:space="preserve">analice o no </w:t>
      </w:r>
      <w:r w:rsidRPr="00613F9A">
        <w:rPr>
          <w:rFonts w:ascii="Verdana" w:hAnsi="Verdana"/>
          <w:sz w:val="20"/>
          <w:szCs w:val="20"/>
          <w:lang w:val="es-ES"/>
        </w:rPr>
        <w:t>pueda analizar lo que disponga el respectivo Derecho Interno del Estado de que se trate, a fin de determinar si, en tanto acto atribuible a este último, lo hace incurrir en responsabilidad internacional</w:t>
      </w:r>
      <w:r w:rsidRPr="00613F9A">
        <w:rPr>
          <w:rStyle w:val="Refdenotaalpie"/>
          <w:rFonts w:ascii="Verdana" w:hAnsi="Verdana"/>
          <w:sz w:val="20"/>
          <w:szCs w:val="20"/>
          <w:lang w:val="es-ES"/>
        </w:rPr>
        <w:footnoteReference w:id="23"/>
      </w:r>
      <w:r w:rsidR="007E734D" w:rsidRPr="00613F9A">
        <w:rPr>
          <w:rFonts w:ascii="Verdana" w:hAnsi="Verdana"/>
          <w:sz w:val="20"/>
          <w:szCs w:val="20"/>
          <w:lang w:val="es-ES"/>
        </w:rPr>
        <w:t>. En tal eventualidad</w:t>
      </w:r>
      <w:r w:rsidR="00024D50" w:rsidRPr="00613F9A">
        <w:rPr>
          <w:rFonts w:ascii="Verdana" w:hAnsi="Verdana"/>
          <w:sz w:val="20"/>
          <w:szCs w:val="20"/>
          <w:lang w:val="es-ES"/>
        </w:rPr>
        <w:t>, el respectivo Derecho Nacional</w:t>
      </w:r>
      <w:r w:rsidR="00A51ACC" w:rsidRPr="00613F9A">
        <w:rPr>
          <w:rFonts w:ascii="Verdana" w:hAnsi="Verdana"/>
          <w:sz w:val="20"/>
          <w:szCs w:val="20"/>
          <w:lang w:val="es-ES"/>
        </w:rPr>
        <w:t xml:space="preserve"> no es, a los efectos del respectivo pronunciamiento de la Corte, más que un “</w:t>
      </w:r>
      <w:r w:rsidR="00A51ACC" w:rsidRPr="00613F9A">
        <w:rPr>
          <w:rFonts w:ascii="Verdana" w:hAnsi="Verdana"/>
          <w:i/>
          <w:sz w:val="20"/>
          <w:szCs w:val="20"/>
          <w:lang w:val="es-ES"/>
        </w:rPr>
        <w:t>hecho</w:t>
      </w:r>
      <w:r w:rsidR="00A51ACC" w:rsidRPr="00613F9A">
        <w:rPr>
          <w:rFonts w:ascii="Verdana" w:hAnsi="Verdana"/>
          <w:sz w:val="20"/>
          <w:szCs w:val="20"/>
          <w:lang w:val="es-ES"/>
        </w:rPr>
        <w:t>” y más específica</w:t>
      </w:r>
      <w:r w:rsidR="005F54AB" w:rsidRPr="00613F9A">
        <w:rPr>
          <w:rFonts w:ascii="Verdana" w:hAnsi="Verdana"/>
          <w:sz w:val="20"/>
          <w:szCs w:val="20"/>
          <w:lang w:val="es-ES"/>
        </w:rPr>
        <w:t xml:space="preserve"> y general</w:t>
      </w:r>
      <w:r w:rsidR="00A51ACC" w:rsidRPr="00613F9A">
        <w:rPr>
          <w:rFonts w:ascii="Verdana" w:hAnsi="Verdana"/>
          <w:sz w:val="20"/>
          <w:szCs w:val="20"/>
          <w:lang w:val="es-ES"/>
        </w:rPr>
        <w:t>mente, un “</w:t>
      </w:r>
      <w:r w:rsidR="00A51ACC" w:rsidRPr="00613F9A">
        <w:rPr>
          <w:rFonts w:ascii="Verdana" w:hAnsi="Verdana"/>
          <w:i/>
          <w:sz w:val="20"/>
          <w:szCs w:val="20"/>
          <w:lang w:val="es-ES"/>
        </w:rPr>
        <w:t>acto</w:t>
      </w:r>
      <w:r w:rsidR="00A51ACC" w:rsidRPr="00613F9A">
        <w:rPr>
          <w:rFonts w:ascii="Verdana" w:hAnsi="Verdana"/>
          <w:sz w:val="20"/>
          <w:szCs w:val="20"/>
          <w:lang w:val="es-ES"/>
        </w:rPr>
        <w:t>”.</w:t>
      </w:r>
      <w:r w:rsidRPr="00613F9A">
        <w:rPr>
          <w:rFonts w:ascii="Verdana" w:hAnsi="Verdana"/>
          <w:sz w:val="20"/>
          <w:szCs w:val="20"/>
          <w:lang w:val="es-ES"/>
        </w:rPr>
        <w:t xml:space="preserve"> </w:t>
      </w:r>
      <w:r w:rsidR="00394211" w:rsidRPr="00613F9A">
        <w:rPr>
          <w:rFonts w:ascii="Verdana" w:hAnsi="Verdana"/>
          <w:sz w:val="20"/>
          <w:szCs w:val="20"/>
          <w:lang w:val="es-ES"/>
        </w:rPr>
        <w:t>Resulta relevante, por lo tanto, distinguir, en la interpretación de una norma jurídica internacional, entre esta situación y la abordada en el párrafo anterior.</w:t>
      </w:r>
    </w:p>
    <w:p w:rsidR="00DF356E" w:rsidRPr="00613F9A" w:rsidRDefault="00DF356E" w:rsidP="000978E9">
      <w:pPr>
        <w:pStyle w:val="Prrafodelista"/>
        <w:rPr>
          <w:rFonts w:ascii="Verdana" w:hAnsi="Verdana"/>
          <w:sz w:val="20"/>
          <w:szCs w:val="20"/>
          <w:lang w:val="es-ES"/>
        </w:rPr>
      </w:pPr>
    </w:p>
    <w:p w:rsidR="00FF3F1D" w:rsidRPr="00613F9A" w:rsidRDefault="007E734D" w:rsidP="00B24719">
      <w:pPr>
        <w:pStyle w:val="Prrafodelista"/>
        <w:numPr>
          <w:ilvl w:val="0"/>
          <w:numId w:val="2"/>
        </w:numPr>
        <w:spacing w:after="120"/>
        <w:ind w:left="0" w:firstLine="0"/>
        <w:jc w:val="both"/>
        <w:rPr>
          <w:rFonts w:ascii="Verdana" w:hAnsi="Verdana"/>
          <w:sz w:val="20"/>
          <w:szCs w:val="20"/>
          <w:lang w:val="es-ES"/>
        </w:rPr>
      </w:pPr>
      <w:r w:rsidRPr="00613F9A">
        <w:rPr>
          <w:rFonts w:ascii="Verdana" w:hAnsi="Verdana"/>
          <w:sz w:val="20"/>
          <w:szCs w:val="20"/>
          <w:lang w:val="es-ES"/>
        </w:rPr>
        <w:t xml:space="preserve">Lo expuesto </w:t>
      </w:r>
      <w:r w:rsidR="0018733E" w:rsidRPr="00613F9A">
        <w:rPr>
          <w:rFonts w:ascii="Verdana" w:hAnsi="Verdana"/>
          <w:sz w:val="20"/>
          <w:szCs w:val="20"/>
          <w:lang w:val="es-ES"/>
        </w:rPr>
        <w:t>se vinc</w:t>
      </w:r>
      <w:r w:rsidRPr="00613F9A">
        <w:rPr>
          <w:rFonts w:ascii="Verdana" w:hAnsi="Verdana"/>
          <w:sz w:val="20"/>
          <w:szCs w:val="20"/>
          <w:lang w:val="es-ES"/>
        </w:rPr>
        <w:t xml:space="preserve">ula </w:t>
      </w:r>
      <w:r w:rsidR="00394211" w:rsidRPr="00613F9A">
        <w:rPr>
          <w:rFonts w:ascii="Verdana" w:hAnsi="Verdana"/>
          <w:sz w:val="20"/>
          <w:szCs w:val="20"/>
          <w:lang w:val="es-ES"/>
        </w:rPr>
        <w:t xml:space="preserve">también </w:t>
      </w:r>
      <w:r w:rsidR="0018733E" w:rsidRPr="00613F9A">
        <w:rPr>
          <w:rFonts w:ascii="Verdana" w:hAnsi="Verdana"/>
          <w:sz w:val="20"/>
          <w:szCs w:val="20"/>
          <w:lang w:val="es-ES"/>
        </w:rPr>
        <w:t xml:space="preserve">con que </w:t>
      </w:r>
      <w:r w:rsidR="00A51ACC" w:rsidRPr="00613F9A">
        <w:rPr>
          <w:rFonts w:ascii="Verdana" w:hAnsi="Verdana"/>
          <w:sz w:val="20"/>
          <w:szCs w:val="20"/>
          <w:lang w:val="es-ES"/>
        </w:rPr>
        <w:t xml:space="preserve">el imperativo de </w:t>
      </w:r>
      <w:r w:rsidR="0018733E" w:rsidRPr="00613F9A">
        <w:rPr>
          <w:rFonts w:ascii="Verdana" w:hAnsi="Verdana"/>
          <w:sz w:val="20"/>
          <w:szCs w:val="20"/>
          <w:lang w:val="es-ES"/>
        </w:rPr>
        <w:t xml:space="preserve">la Corte de </w:t>
      </w:r>
      <w:r w:rsidR="00A51ACC" w:rsidRPr="00613F9A">
        <w:rPr>
          <w:rFonts w:ascii="Verdana" w:hAnsi="Verdana"/>
          <w:sz w:val="20"/>
          <w:szCs w:val="20"/>
          <w:lang w:val="es-ES"/>
        </w:rPr>
        <w:t>pronunciarse de acuerdo al Derecho Internacional Público significa que debe considerarlo según lo que establezca y no lo que se quiera que disponga.</w:t>
      </w:r>
      <w:r w:rsidR="00DE3EB2" w:rsidRPr="00613F9A">
        <w:rPr>
          <w:rFonts w:ascii="Verdana" w:hAnsi="Verdana"/>
          <w:sz w:val="20"/>
          <w:szCs w:val="20"/>
          <w:lang w:val="es-ES"/>
        </w:rPr>
        <w:t xml:space="preserve"> Ello importa tener presente</w:t>
      </w:r>
      <w:r w:rsidR="00852B4A" w:rsidRPr="00613F9A">
        <w:rPr>
          <w:rFonts w:ascii="Verdana" w:hAnsi="Verdana"/>
          <w:sz w:val="20"/>
          <w:szCs w:val="20"/>
          <w:lang w:val="es-ES"/>
        </w:rPr>
        <w:t>, entre otras peculiaridades</w:t>
      </w:r>
      <w:r w:rsidR="00DE3EB2" w:rsidRPr="00613F9A">
        <w:rPr>
          <w:rFonts w:ascii="Verdana" w:hAnsi="Verdana"/>
          <w:sz w:val="20"/>
          <w:szCs w:val="20"/>
          <w:lang w:val="es-ES"/>
        </w:rPr>
        <w:t xml:space="preserve"> de dicha rama del Derecho</w:t>
      </w:r>
      <w:r w:rsidR="00852B4A" w:rsidRPr="00613F9A">
        <w:rPr>
          <w:rFonts w:ascii="Verdana" w:hAnsi="Verdana"/>
          <w:sz w:val="20"/>
          <w:szCs w:val="20"/>
          <w:lang w:val="es-ES"/>
        </w:rPr>
        <w:t>, que básicamente rige relaciones interestatales, lo que, en lo concerniente a la Convención</w:t>
      </w:r>
      <w:r w:rsidR="00DE3EB2" w:rsidRPr="00613F9A">
        <w:rPr>
          <w:rFonts w:ascii="Verdana" w:hAnsi="Verdana"/>
          <w:sz w:val="20"/>
          <w:szCs w:val="20"/>
          <w:lang w:val="es-ES"/>
        </w:rPr>
        <w:t>,</w:t>
      </w:r>
      <w:r w:rsidR="00852B4A" w:rsidRPr="00613F9A">
        <w:rPr>
          <w:rFonts w:ascii="Verdana" w:hAnsi="Verdana"/>
          <w:sz w:val="20"/>
          <w:szCs w:val="20"/>
          <w:lang w:val="es-ES"/>
        </w:rPr>
        <w:t xml:space="preserve"> se manifiesta en que fueron los Estados que la suscribieron y ratificaron</w:t>
      </w:r>
      <w:r w:rsidR="00852B4A" w:rsidRPr="00613F9A">
        <w:rPr>
          <w:rStyle w:val="Refdenotaalpie"/>
          <w:rFonts w:ascii="Verdana" w:hAnsi="Verdana"/>
          <w:sz w:val="20"/>
          <w:szCs w:val="20"/>
          <w:lang w:val="es-ES"/>
        </w:rPr>
        <w:footnoteReference w:id="24"/>
      </w:r>
      <w:r w:rsidR="00852B4A" w:rsidRPr="00613F9A">
        <w:rPr>
          <w:rFonts w:ascii="Verdana" w:hAnsi="Verdana"/>
          <w:sz w:val="20"/>
          <w:szCs w:val="20"/>
          <w:lang w:val="es-ES"/>
        </w:rPr>
        <w:t xml:space="preserve">, que, en su virtud, </w:t>
      </w:r>
      <w:r w:rsidR="00FF3F1D" w:rsidRPr="00613F9A">
        <w:rPr>
          <w:rFonts w:ascii="Verdana" w:hAnsi="Verdana"/>
          <w:sz w:val="20"/>
          <w:szCs w:val="20"/>
          <w:lang w:val="es-ES"/>
        </w:rPr>
        <w:t>s</w:t>
      </w:r>
      <w:r w:rsidR="00852B4A" w:rsidRPr="00613F9A">
        <w:rPr>
          <w:rFonts w:ascii="Verdana" w:hAnsi="Verdana"/>
          <w:sz w:val="20"/>
          <w:szCs w:val="20"/>
          <w:lang w:val="es-ES"/>
        </w:rPr>
        <w:t>olo sus Estos Partes son los obligados a respetar y hacer respetar los derechos que reconoce</w:t>
      </w:r>
      <w:r w:rsidR="00852B4A" w:rsidRPr="00613F9A">
        <w:rPr>
          <w:rStyle w:val="Refdenotaalpie"/>
          <w:rFonts w:ascii="Verdana" w:hAnsi="Verdana"/>
          <w:sz w:val="20"/>
          <w:szCs w:val="20"/>
          <w:lang w:val="es-ES"/>
        </w:rPr>
        <w:footnoteReference w:id="25"/>
      </w:r>
      <w:r w:rsidR="00DE3EB2" w:rsidRPr="00613F9A">
        <w:rPr>
          <w:rFonts w:ascii="Verdana" w:hAnsi="Verdana"/>
          <w:sz w:val="20"/>
          <w:szCs w:val="20"/>
          <w:lang w:val="es-ES"/>
        </w:rPr>
        <w:t>, que únicamente los</w:t>
      </w:r>
      <w:r w:rsidR="00852B4A" w:rsidRPr="00613F9A">
        <w:rPr>
          <w:rFonts w:ascii="Verdana" w:hAnsi="Verdana"/>
          <w:sz w:val="20"/>
          <w:szCs w:val="20"/>
          <w:lang w:val="es-ES"/>
        </w:rPr>
        <w:t xml:space="preserve"> que han reconocido la competencia </w:t>
      </w:r>
      <w:r w:rsidR="009D7351" w:rsidRPr="00613F9A">
        <w:rPr>
          <w:rFonts w:ascii="Verdana" w:hAnsi="Verdana"/>
          <w:sz w:val="20"/>
          <w:szCs w:val="20"/>
          <w:lang w:val="es-ES"/>
        </w:rPr>
        <w:t xml:space="preserve">contenciosa </w:t>
      </w:r>
      <w:r w:rsidR="00852B4A" w:rsidRPr="00613F9A">
        <w:rPr>
          <w:rFonts w:ascii="Verdana" w:hAnsi="Verdana"/>
          <w:sz w:val="20"/>
          <w:szCs w:val="20"/>
          <w:lang w:val="es-ES"/>
        </w:rPr>
        <w:t>de la Corte y la Comisión Interamericana de Derechos Humanos</w:t>
      </w:r>
      <w:r w:rsidR="004D176A" w:rsidRPr="00613F9A">
        <w:rPr>
          <w:rStyle w:val="Refdenotaalpie"/>
          <w:rFonts w:ascii="Verdana" w:hAnsi="Verdana"/>
          <w:sz w:val="20"/>
          <w:szCs w:val="20"/>
          <w:lang w:val="es-ES"/>
        </w:rPr>
        <w:footnoteReference w:id="26"/>
      </w:r>
      <w:r w:rsidR="00852B4A" w:rsidRPr="00613F9A">
        <w:rPr>
          <w:rFonts w:ascii="Verdana" w:hAnsi="Verdana"/>
          <w:sz w:val="20"/>
          <w:szCs w:val="20"/>
          <w:lang w:val="es-ES"/>
        </w:rPr>
        <w:t xml:space="preserve"> pueden</w:t>
      </w:r>
      <w:r w:rsidR="008A0013" w:rsidRPr="00613F9A">
        <w:rPr>
          <w:rFonts w:ascii="Verdana" w:hAnsi="Verdana"/>
          <w:sz w:val="20"/>
          <w:szCs w:val="20"/>
          <w:lang w:val="es-ES"/>
        </w:rPr>
        <w:t xml:space="preserve"> someter un caso</w:t>
      </w:r>
      <w:r w:rsidR="00852B4A" w:rsidRPr="00613F9A">
        <w:rPr>
          <w:rFonts w:ascii="Verdana" w:hAnsi="Verdana"/>
          <w:sz w:val="20"/>
          <w:szCs w:val="20"/>
          <w:lang w:val="es-ES"/>
        </w:rPr>
        <w:t xml:space="preserve"> ante aquella</w:t>
      </w:r>
      <w:r w:rsidR="00852B4A" w:rsidRPr="00613F9A">
        <w:rPr>
          <w:rStyle w:val="Refdenotaalpie"/>
          <w:rFonts w:ascii="Verdana" w:hAnsi="Verdana"/>
          <w:sz w:val="20"/>
          <w:szCs w:val="20"/>
          <w:lang w:val="es-ES"/>
        </w:rPr>
        <w:footnoteReference w:id="27"/>
      </w:r>
      <w:r w:rsidR="00024D50" w:rsidRPr="00613F9A">
        <w:rPr>
          <w:rFonts w:ascii="Verdana" w:hAnsi="Verdana"/>
          <w:sz w:val="20"/>
          <w:szCs w:val="20"/>
          <w:lang w:val="es-ES"/>
        </w:rPr>
        <w:t xml:space="preserve">, </w:t>
      </w:r>
      <w:r w:rsidR="00852B4A" w:rsidRPr="00613F9A">
        <w:rPr>
          <w:rFonts w:ascii="Verdana" w:hAnsi="Verdana"/>
          <w:sz w:val="20"/>
          <w:szCs w:val="20"/>
          <w:lang w:val="es-ES"/>
        </w:rPr>
        <w:t>que la Comisión</w:t>
      </w:r>
      <w:r w:rsidR="004D176A" w:rsidRPr="00613F9A">
        <w:rPr>
          <w:rFonts w:ascii="Verdana" w:hAnsi="Verdana"/>
          <w:sz w:val="20"/>
          <w:szCs w:val="20"/>
          <w:lang w:val="es-ES"/>
        </w:rPr>
        <w:t xml:space="preserve"> </w:t>
      </w:r>
      <w:r w:rsidR="00852B4A" w:rsidRPr="00613F9A">
        <w:rPr>
          <w:rFonts w:ascii="Verdana" w:hAnsi="Verdana"/>
          <w:sz w:val="20"/>
          <w:szCs w:val="20"/>
          <w:lang w:val="es-ES"/>
        </w:rPr>
        <w:t>representa a todos los Estados</w:t>
      </w:r>
      <w:r w:rsidR="00852B4A" w:rsidRPr="00613F9A">
        <w:rPr>
          <w:rStyle w:val="Refdenotaalpie"/>
          <w:rFonts w:ascii="Verdana" w:hAnsi="Verdana"/>
          <w:sz w:val="20"/>
          <w:szCs w:val="20"/>
          <w:lang w:val="es-ES"/>
        </w:rPr>
        <w:footnoteReference w:id="28"/>
      </w:r>
      <w:r w:rsidR="00852B4A" w:rsidRPr="00613F9A">
        <w:rPr>
          <w:rFonts w:ascii="Verdana" w:hAnsi="Verdana"/>
          <w:sz w:val="20"/>
          <w:szCs w:val="20"/>
          <w:lang w:val="es-ES"/>
        </w:rPr>
        <w:t>, que los Estados</w:t>
      </w:r>
      <w:r w:rsidR="00DE3EB2" w:rsidRPr="00613F9A">
        <w:rPr>
          <w:rFonts w:ascii="Verdana" w:hAnsi="Verdana"/>
          <w:sz w:val="20"/>
          <w:szCs w:val="20"/>
          <w:lang w:val="es-ES"/>
        </w:rPr>
        <w:t xml:space="preserve"> Partes de la Convención que comparecen ante la Corte se comprometen a cumplir sus fallos</w:t>
      </w:r>
      <w:r w:rsidR="00852B4A" w:rsidRPr="00613F9A">
        <w:rPr>
          <w:rStyle w:val="Refdenotaalpie"/>
          <w:rFonts w:ascii="Verdana" w:hAnsi="Verdana"/>
          <w:sz w:val="20"/>
          <w:szCs w:val="20"/>
          <w:lang w:val="es-ES"/>
        </w:rPr>
        <w:footnoteReference w:id="29"/>
      </w:r>
      <w:r w:rsidR="00852B4A" w:rsidRPr="00613F9A">
        <w:rPr>
          <w:rFonts w:ascii="Verdana" w:hAnsi="Verdana"/>
          <w:sz w:val="20"/>
          <w:szCs w:val="20"/>
          <w:lang w:val="es-ES"/>
        </w:rPr>
        <w:t xml:space="preserve"> y que en caso de incumplimiento, se debe informar a la </w:t>
      </w:r>
      <w:r w:rsidR="00852B4A" w:rsidRPr="00613F9A">
        <w:rPr>
          <w:rFonts w:ascii="Verdana" w:hAnsi="Verdana"/>
          <w:sz w:val="20"/>
          <w:szCs w:val="20"/>
          <w:lang w:val="es-ES"/>
        </w:rPr>
        <w:lastRenderedPageBreak/>
        <w:t>Asamblea General de la Organización de los Estados Americanos</w:t>
      </w:r>
      <w:r w:rsidR="00852B4A" w:rsidRPr="00613F9A">
        <w:rPr>
          <w:rStyle w:val="Refdenotaalpie"/>
          <w:rFonts w:ascii="Verdana" w:hAnsi="Verdana"/>
          <w:sz w:val="20"/>
          <w:szCs w:val="20"/>
          <w:lang w:val="es-ES"/>
        </w:rPr>
        <w:footnoteReference w:id="30"/>
      </w:r>
      <w:r w:rsidR="00852B4A" w:rsidRPr="00613F9A">
        <w:rPr>
          <w:rFonts w:ascii="Verdana" w:hAnsi="Verdana"/>
          <w:sz w:val="20"/>
          <w:szCs w:val="20"/>
          <w:lang w:val="es-ES"/>
        </w:rPr>
        <w:t xml:space="preserve"> </w:t>
      </w:r>
      <w:r w:rsidR="00852B4A" w:rsidRPr="00613F9A">
        <w:rPr>
          <w:rFonts w:ascii="Verdana" w:hAnsi="Verdana"/>
          <w:sz w:val="20"/>
          <w:szCs w:val="20"/>
          <w:vertAlign w:val="superscript"/>
          <w:lang w:val="es-ES"/>
        </w:rPr>
        <w:t xml:space="preserve">y </w:t>
      </w:r>
      <w:r w:rsidR="00852B4A" w:rsidRPr="00613F9A">
        <w:rPr>
          <w:rStyle w:val="Refdenotaalpie"/>
          <w:rFonts w:ascii="Verdana" w:hAnsi="Verdana"/>
          <w:sz w:val="20"/>
          <w:szCs w:val="20"/>
          <w:lang w:val="es-ES"/>
        </w:rPr>
        <w:footnoteReference w:id="31"/>
      </w:r>
      <w:r w:rsidR="00852B4A" w:rsidRPr="00613F9A">
        <w:rPr>
          <w:rFonts w:ascii="Verdana" w:hAnsi="Verdana"/>
          <w:sz w:val="20"/>
          <w:szCs w:val="20"/>
          <w:lang w:val="es-ES"/>
        </w:rPr>
        <w:t>. Ciertamente, ello no es óbice para que la Convención disponga derechos de las personas, que ellas sean sus beneficiaras y que puedan incluso acceder ante la Corte en defensa de sus derechos</w:t>
      </w:r>
      <w:r w:rsidR="005F54AB" w:rsidRPr="00613F9A">
        <w:rPr>
          <w:rStyle w:val="Refdenotaalpie"/>
          <w:rFonts w:ascii="Verdana" w:hAnsi="Verdana"/>
          <w:sz w:val="20"/>
          <w:szCs w:val="20"/>
          <w:lang w:val="es-ES"/>
        </w:rPr>
        <w:footnoteReference w:id="32"/>
      </w:r>
      <w:r w:rsidR="00852B4A" w:rsidRPr="00613F9A">
        <w:rPr>
          <w:rFonts w:ascii="Verdana" w:hAnsi="Verdana"/>
          <w:sz w:val="20"/>
          <w:szCs w:val="20"/>
          <w:lang w:val="es-ES"/>
        </w:rPr>
        <w:t>. Más, no obstante ello, la Convención sigue siendo un tratado</w:t>
      </w:r>
      <w:r w:rsidR="00852B4A" w:rsidRPr="00613F9A">
        <w:rPr>
          <w:rStyle w:val="Refdenotaalpie"/>
          <w:rFonts w:ascii="Verdana" w:hAnsi="Verdana"/>
          <w:sz w:val="20"/>
          <w:szCs w:val="20"/>
          <w:lang w:val="es-ES"/>
        </w:rPr>
        <w:footnoteReference w:id="33"/>
      </w:r>
      <w:r w:rsidR="00852B4A" w:rsidRPr="00613F9A">
        <w:rPr>
          <w:rFonts w:ascii="Verdana" w:hAnsi="Verdana"/>
          <w:sz w:val="20"/>
          <w:szCs w:val="20"/>
          <w:lang w:val="es-ES"/>
        </w:rPr>
        <w:t xml:space="preserve">. </w:t>
      </w:r>
    </w:p>
    <w:p w:rsidR="00DA20B0" w:rsidRPr="00613F9A" w:rsidRDefault="00DA20B0" w:rsidP="00B24719">
      <w:pPr>
        <w:pStyle w:val="Prrafodelista"/>
        <w:spacing w:after="120"/>
        <w:ind w:left="0"/>
        <w:jc w:val="both"/>
        <w:rPr>
          <w:rFonts w:ascii="Verdana" w:hAnsi="Verdana"/>
          <w:sz w:val="20"/>
          <w:szCs w:val="20"/>
          <w:lang w:val="es-ES"/>
        </w:rPr>
      </w:pPr>
    </w:p>
    <w:p w:rsidR="00B30300" w:rsidRPr="00613F9A" w:rsidRDefault="007E734D" w:rsidP="00B24719">
      <w:pPr>
        <w:pStyle w:val="Prrafodelista"/>
        <w:numPr>
          <w:ilvl w:val="0"/>
          <w:numId w:val="2"/>
        </w:numPr>
        <w:spacing w:after="120"/>
        <w:ind w:left="0" w:firstLine="0"/>
        <w:jc w:val="both"/>
        <w:rPr>
          <w:rFonts w:ascii="Verdana" w:hAnsi="Verdana"/>
          <w:sz w:val="20"/>
          <w:szCs w:val="20"/>
          <w:lang w:val="es-ES"/>
        </w:rPr>
      </w:pPr>
      <w:r w:rsidRPr="00613F9A">
        <w:rPr>
          <w:rFonts w:ascii="Verdana" w:hAnsi="Verdana"/>
          <w:sz w:val="20"/>
          <w:szCs w:val="20"/>
          <w:lang w:val="es-ES"/>
        </w:rPr>
        <w:t>I</w:t>
      </w:r>
      <w:r w:rsidR="0018733E" w:rsidRPr="00613F9A">
        <w:rPr>
          <w:rFonts w:ascii="Verdana" w:hAnsi="Verdana"/>
          <w:sz w:val="20"/>
          <w:szCs w:val="20"/>
          <w:lang w:val="es-ES"/>
        </w:rPr>
        <w:t>gualmente</w:t>
      </w:r>
      <w:r w:rsidR="00DE3EB2" w:rsidRPr="00613F9A">
        <w:rPr>
          <w:rFonts w:ascii="Verdana" w:hAnsi="Verdana"/>
          <w:sz w:val="20"/>
          <w:szCs w:val="20"/>
          <w:lang w:val="es-ES"/>
        </w:rPr>
        <w:t>,</w:t>
      </w:r>
      <w:r w:rsidR="0018733E" w:rsidRPr="00613F9A">
        <w:rPr>
          <w:rFonts w:ascii="Verdana" w:hAnsi="Verdana"/>
          <w:sz w:val="20"/>
          <w:szCs w:val="20"/>
          <w:lang w:val="es-ES"/>
        </w:rPr>
        <w:t xml:space="preserve"> </w:t>
      </w:r>
      <w:r w:rsidRPr="00613F9A">
        <w:rPr>
          <w:rFonts w:ascii="Verdana" w:hAnsi="Verdana"/>
          <w:sz w:val="20"/>
          <w:szCs w:val="20"/>
          <w:lang w:val="es-ES"/>
        </w:rPr>
        <w:t>lo</w:t>
      </w:r>
      <w:r w:rsidR="00DE3EB2" w:rsidRPr="00613F9A">
        <w:rPr>
          <w:rFonts w:ascii="Verdana" w:hAnsi="Verdana"/>
          <w:sz w:val="20"/>
          <w:szCs w:val="20"/>
          <w:lang w:val="es-ES"/>
        </w:rPr>
        <w:t xml:space="preserve"> que se sostiene en el</w:t>
      </w:r>
      <w:r w:rsidRPr="00613F9A">
        <w:rPr>
          <w:rFonts w:ascii="Verdana" w:hAnsi="Verdana"/>
          <w:sz w:val="20"/>
          <w:szCs w:val="20"/>
          <w:lang w:val="es-ES"/>
        </w:rPr>
        <w:t xml:space="preserve"> </w:t>
      </w:r>
      <w:r w:rsidR="00DE3EB2" w:rsidRPr="00613F9A">
        <w:rPr>
          <w:rFonts w:ascii="Verdana" w:hAnsi="Verdana"/>
          <w:sz w:val="20"/>
          <w:szCs w:val="20"/>
          <w:lang w:val="es-ES"/>
        </w:rPr>
        <w:t>presente escrito</w:t>
      </w:r>
      <w:r w:rsidRPr="00613F9A">
        <w:rPr>
          <w:rFonts w:ascii="Verdana" w:hAnsi="Verdana"/>
          <w:sz w:val="20"/>
          <w:szCs w:val="20"/>
          <w:lang w:val="es-ES"/>
        </w:rPr>
        <w:t xml:space="preserve"> </w:t>
      </w:r>
      <w:r w:rsidR="0018733E" w:rsidRPr="00613F9A">
        <w:rPr>
          <w:rFonts w:ascii="Verdana" w:hAnsi="Verdana"/>
          <w:sz w:val="20"/>
          <w:szCs w:val="20"/>
          <w:lang w:val="es-ES"/>
        </w:rPr>
        <w:t xml:space="preserve">se relaciona con una de las </w:t>
      </w:r>
      <w:r w:rsidR="00FF3F1D" w:rsidRPr="00613F9A">
        <w:rPr>
          <w:rFonts w:ascii="Verdana" w:hAnsi="Verdana"/>
          <w:sz w:val="20"/>
          <w:szCs w:val="20"/>
          <w:lang w:val="es-ES"/>
        </w:rPr>
        <w:t>particularidades del Derecho Internacional P</w:t>
      </w:r>
      <w:r w:rsidR="00DE3EB2" w:rsidRPr="00613F9A">
        <w:rPr>
          <w:rFonts w:ascii="Verdana" w:hAnsi="Verdana"/>
          <w:sz w:val="20"/>
          <w:szCs w:val="20"/>
          <w:lang w:val="es-ES"/>
        </w:rPr>
        <w:t>úblico</w:t>
      </w:r>
      <w:r w:rsidR="0018733E" w:rsidRPr="00613F9A">
        <w:rPr>
          <w:rFonts w:ascii="Verdana" w:hAnsi="Verdana"/>
          <w:sz w:val="20"/>
          <w:szCs w:val="20"/>
          <w:lang w:val="es-ES"/>
        </w:rPr>
        <w:t xml:space="preserve"> </w:t>
      </w:r>
      <w:r w:rsidR="00FF3F1D" w:rsidRPr="00613F9A">
        <w:rPr>
          <w:rFonts w:ascii="Verdana" w:hAnsi="Verdana"/>
          <w:sz w:val="20"/>
          <w:szCs w:val="20"/>
          <w:lang w:val="es-ES"/>
        </w:rPr>
        <w:t>que aún existe, aunque en menor medida que antaño</w:t>
      </w:r>
      <w:r w:rsidR="0018733E" w:rsidRPr="00613F9A">
        <w:rPr>
          <w:rFonts w:ascii="Verdana" w:hAnsi="Verdana"/>
          <w:sz w:val="20"/>
          <w:szCs w:val="20"/>
          <w:lang w:val="es-ES"/>
        </w:rPr>
        <w:t xml:space="preserve">, pero, probablemente en mayor </w:t>
      </w:r>
      <w:r w:rsidR="00613F9A" w:rsidRPr="00613F9A">
        <w:rPr>
          <w:rFonts w:ascii="Verdana" w:hAnsi="Verdana"/>
          <w:sz w:val="20"/>
          <w:szCs w:val="20"/>
          <w:lang w:val="es-ES"/>
        </w:rPr>
        <w:t xml:space="preserve">de lo que se quisiera </w:t>
      </w:r>
      <w:r w:rsidR="00FF3F1D" w:rsidRPr="00613F9A">
        <w:rPr>
          <w:rFonts w:ascii="Verdana" w:hAnsi="Verdana"/>
          <w:sz w:val="20"/>
          <w:szCs w:val="20"/>
          <w:lang w:val="es-ES"/>
        </w:rPr>
        <w:t>desea</w:t>
      </w:r>
      <w:r w:rsidR="00613F9A" w:rsidRPr="00613F9A">
        <w:rPr>
          <w:rFonts w:ascii="Verdana" w:hAnsi="Verdana"/>
          <w:sz w:val="20"/>
          <w:szCs w:val="20"/>
          <w:lang w:val="es-ES"/>
        </w:rPr>
        <w:t>r</w:t>
      </w:r>
      <w:r w:rsidR="00FF3F1D" w:rsidRPr="00613F9A">
        <w:rPr>
          <w:rFonts w:ascii="Verdana" w:hAnsi="Verdana"/>
          <w:sz w:val="20"/>
          <w:szCs w:val="20"/>
          <w:lang w:val="es-ES"/>
        </w:rPr>
        <w:t xml:space="preserve">, </w:t>
      </w:r>
      <w:r w:rsidR="00DE3EB2" w:rsidRPr="00613F9A">
        <w:rPr>
          <w:rFonts w:ascii="Verdana" w:hAnsi="Verdana"/>
          <w:sz w:val="20"/>
          <w:szCs w:val="20"/>
          <w:lang w:val="es-ES"/>
        </w:rPr>
        <w:t xml:space="preserve">a saber, </w:t>
      </w:r>
      <w:r w:rsidR="00FF3F1D" w:rsidRPr="00613F9A">
        <w:rPr>
          <w:rFonts w:ascii="Verdana" w:hAnsi="Verdana"/>
          <w:sz w:val="20"/>
          <w:szCs w:val="20"/>
          <w:lang w:val="es-ES"/>
        </w:rPr>
        <w:t>el ámbito de la jurisdicción interna, doméstica o exclusiva de los Estados</w:t>
      </w:r>
      <w:r w:rsidR="00FF3F1D" w:rsidRPr="00613F9A">
        <w:rPr>
          <w:rFonts w:ascii="Verdana" w:hAnsi="Verdana"/>
          <w:sz w:val="20"/>
          <w:szCs w:val="20"/>
          <w:vertAlign w:val="superscript"/>
          <w:lang w:val="es-ES"/>
        </w:rPr>
        <w:footnoteReference w:id="34"/>
      </w:r>
      <w:r w:rsidR="00FF3F1D" w:rsidRPr="00613F9A">
        <w:rPr>
          <w:rFonts w:ascii="Verdana" w:hAnsi="Verdana"/>
          <w:sz w:val="20"/>
          <w:szCs w:val="20"/>
          <w:lang w:val="es-ES"/>
        </w:rPr>
        <w:t>, también denominado margen de apreciación</w:t>
      </w:r>
      <w:r w:rsidR="00FF3F1D" w:rsidRPr="00613F9A">
        <w:rPr>
          <w:rFonts w:ascii="Verdana" w:hAnsi="Verdana"/>
          <w:sz w:val="20"/>
          <w:szCs w:val="20"/>
          <w:vertAlign w:val="superscript"/>
          <w:lang w:val="es-ES"/>
        </w:rPr>
        <w:footnoteReference w:id="35"/>
      </w:r>
      <w:r w:rsidR="00FF3F1D" w:rsidRPr="00613F9A">
        <w:rPr>
          <w:rFonts w:ascii="Verdana" w:hAnsi="Verdana"/>
          <w:sz w:val="20"/>
          <w:szCs w:val="20"/>
          <w:lang w:val="es-ES"/>
        </w:rPr>
        <w:t xml:space="preserve"> y más normal</w:t>
      </w:r>
      <w:r w:rsidR="002203C1" w:rsidRPr="00613F9A">
        <w:rPr>
          <w:rFonts w:ascii="Verdana" w:hAnsi="Verdana"/>
          <w:sz w:val="20"/>
          <w:szCs w:val="20"/>
          <w:lang w:val="es-ES"/>
        </w:rPr>
        <w:t xml:space="preserve"> o sencilla</w:t>
      </w:r>
      <w:r w:rsidR="00FF3F1D" w:rsidRPr="00613F9A">
        <w:rPr>
          <w:rFonts w:ascii="Verdana" w:hAnsi="Verdana"/>
          <w:sz w:val="20"/>
          <w:szCs w:val="20"/>
          <w:lang w:val="es-ES"/>
        </w:rPr>
        <w:t>mente, soberanía, lo que evidencia o tiene como consecuencia que no todo lo regula el Derecho Internacional Público. Tal realidad no constituye, empero, un defecto o imperfección de dicho ordenamiento jurídico</w:t>
      </w:r>
      <w:r w:rsidR="0018733E" w:rsidRPr="00613F9A">
        <w:rPr>
          <w:rFonts w:ascii="Verdana" w:hAnsi="Verdana"/>
          <w:sz w:val="20"/>
          <w:szCs w:val="20"/>
          <w:lang w:val="es-ES"/>
        </w:rPr>
        <w:t xml:space="preserve"> internacional</w:t>
      </w:r>
      <w:r w:rsidR="00FF3F1D" w:rsidRPr="00613F9A">
        <w:rPr>
          <w:rFonts w:ascii="Verdana" w:hAnsi="Verdana"/>
          <w:sz w:val="20"/>
          <w:szCs w:val="20"/>
          <w:lang w:val="es-ES"/>
        </w:rPr>
        <w:t xml:space="preserve"> sino que responde al tipo de sociedad que regula</w:t>
      </w:r>
      <w:r w:rsidR="0018733E" w:rsidRPr="00613F9A">
        <w:rPr>
          <w:rFonts w:ascii="Verdana" w:hAnsi="Verdana"/>
          <w:sz w:val="20"/>
          <w:szCs w:val="20"/>
          <w:lang w:val="es-ES"/>
        </w:rPr>
        <w:t xml:space="preserve"> o pretende regular</w:t>
      </w:r>
      <w:r w:rsidR="00C620AB" w:rsidRPr="00613F9A">
        <w:rPr>
          <w:rFonts w:ascii="Verdana" w:hAnsi="Verdana"/>
          <w:sz w:val="20"/>
          <w:szCs w:val="20"/>
          <w:lang w:val="es-ES"/>
        </w:rPr>
        <w:t xml:space="preserve">. Es por ello </w:t>
      </w:r>
      <w:r w:rsidR="00CB29C6" w:rsidRPr="00613F9A">
        <w:rPr>
          <w:rFonts w:ascii="Verdana" w:hAnsi="Verdana"/>
          <w:sz w:val="20"/>
          <w:szCs w:val="20"/>
          <w:lang w:val="es-ES"/>
        </w:rPr>
        <w:t>que</w:t>
      </w:r>
      <w:r w:rsidR="00C620AB" w:rsidRPr="00613F9A">
        <w:rPr>
          <w:rFonts w:ascii="Verdana" w:hAnsi="Verdana"/>
          <w:sz w:val="20"/>
          <w:szCs w:val="20"/>
          <w:lang w:val="es-ES"/>
        </w:rPr>
        <w:t>,</w:t>
      </w:r>
      <w:r w:rsidR="00CB29C6" w:rsidRPr="00613F9A">
        <w:rPr>
          <w:rFonts w:ascii="Verdana" w:hAnsi="Verdana"/>
          <w:sz w:val="20"/>
          <w:szCs w:val="20"/>
          <w:lang w:val="es-ES"/>
        </w:rPr>
        <w:t xml:space="preserve"> </w:t>
      </w:r>
      <w:r w:rsidR="00024D50" w:rsidRPr="00613F9A">
        <w:rPr>
          <w:rFonts w:ascii="Verdana" w:hAnsi="Verdana"/>
          <w:sz w:val="20"/>
          <w:szCs w:val="20"/>
          <w:lang w:val="es-ES"/>
        </w:rPr>
        <w:t>p</w:t>
      </w:r>
      <w:r w:rsidR="0018733E" w:rsidRPr="00613F9A">
        <w:rPr>
          <w:rFonts w:ascii="Verdana" w:hAnsi="Verdana"/>
          <w:sz w:val="20"/>
          <w:szCs w:val="20"/>
          <w:lang w:val="es-ES"/>
        </w:rPr>
        <w:t>ara comprender el Derecho</w:t>
      </w:r>
      <w:r w:rsidR="00B30300" w:rsidRPr="00613F9A">
        <w:rPr>
          <w:rFonts w:ascii="Verdana" w:hAnsi="Verdana"/>
          <w:sz w:val="20"/>
          <w:szCs w:val="20"/>
          <w:lang w:val="es-ES"/>
        </w:rPr>
        <w:t xml:space="preserve"> Internacional Público</w:t>
      </w:r>
      <w:r w:rsidR="0029730D" w:rsidRPr="00613F9A">
        <w:rPr>
          <w:rFonts w:ascii="Verdana" w:hAnsi="Verdana"/>
          <w:sz w:val="20"/>
          <w:szCs w:val="20"/>
          <w:lang w:val="es-ES"/>
        </w:rPr>
        <w:t>, es indispensable considerar</w:t>
      </w:r>
      <w:r w:rsidR="0018733E" w:rsidRPr="00613F9A">
        <w:rPr>
          <w:rFonts w:ascii="Verdana" w:hAnsi="Verdana"/>
          <w:sz w:val="20"/>
          <w:szCs w:val="20"/>
          <w:lang w:val="es-ES"/>
        </w:rPr>
        <w:t>, aunq</w:t>
      </w:r>
      <w:r w:rsidR="00C620AB" w:rsidRPr="00613F9A">
        <w:rPr>
          <w:rFonts w:ascii="Verdana" w:hAnsi="Verdana"/>
          <w:sz w:val="20"/>
          <w:szCs w:val="20"/>
          <w:lang w:val="es-ES"/>
        </w:rPr>
        <w:t>ue sea en términos generales, el tipo de</w:t>
      </w:r>
      <w:r w:rsidR="0018733E" w:rsidRPr="00613F9A">
        <w:rPr>
          <w:rFonts w:ascii="Verdana" w:hAnsi="Verdana"/>
          <w:sz w:val="20"/>
          <w:szCs w:val="20"/>
          <w:lang w:val="es-ES"/>
        </w:rPr>
        <w:t xml:space="preserve"> sociedad </w:t>
      </w:r>
      <w:r w:rsidR="00394211" w:rsidRPr="00613F9A">
        <w:rPr>
          <w:rFonts w:ascii="Verdana" w:hAnsi="Verdana"/>
          <w:sz w:val="20"/>
          <w:szCs w:val="20"/>
          <w:lang w:val="es-ES"/>
        </w:rPr>
        <w:t>que pretende regir</w:t>
      </w:r>
      <w:r w:rsidR="00C620AB" w:rsidRPr="00613F9A">
        <w:rPr>
          <w:rFonts w:ascii="Verdana" w:hAnsi="Verdana"/>
          <w:sz w:val="20"/>
          <w:szCs w:val="20"/>
          <w:lang w:val="es-ES"/>
        </w:rPr>
        <w:t>, l</w:t>
      </w:r>
      <w:r w:rsidR="00CB29C6" w:rsidRPr="00613F9A">
        <w:rPr>
          <w:rFonts w:ascii="Verdana" w:hAnsi="Verdana"/>
          <w:sz w:val="20"/>
          <w:szCs w:val="20"/>
          <w:lang w:val="es-ES"/>
        </w:rPr>
        <w:t xml:space="preserve">a </w:t>
      </w:r>
      <w:r w:rsidR="00C620AB" w:rsidRPr="00613F9A">
        <w:rPr>
          <w:rFonts w:ascii="Verdana" w:hAnsi="Verdana"/>
          <w:sz w:val="20"/>
          <w:szCs w:val="20"/>
          <w:lang w:val="es-ES"/>
        </w:rPr>
        <w:t>que aún</w:t>
      </w:r>
      <w:r w:rsidR="00FF3F1D" w:rsidRPr="00613F9A">
        <w:rPr>
          <w:rFonts w:ascii="Verdana" w:hAnsi="Verdana"/>
          <w:sz w:val="20"/>
          <w:szCs w:val="20"/>
          <w:lang w:val="es-ES"/>
        </w:rPr>
        <w:t xml:space="preserve"> se caracteriza por estar formada básicamente por Estados que se reconocen </w:t>
      </w:r>
      <w:r w:rsidR="0029730D" w:rsidRPr="00613F9A">
        <w:rPr>
          <w:rFonts w:ascii="Verdana" w:hAnsi="Verdana"/>
          <w:sz w:val="20"/>
          <w:szCs w:val="20"/>
          <w:lang w:val="es-ES"/>
        </w:rPr>
        <w:t xml:space="preserve">entre sí </w:t>
      </w:r>
      <w:r w:rsidR="00FF3F1D" w:rsidRPr="00613F9A">
        <w:rPr>
          <w:rFonts w:ascii="Verdana" w:hAnsi="Verdana"/>
          <w:sz w:val="20"/>
          <w:szCs w:val="20"/>
          <w:lang w:val="es-ES"/>
        </w:rPr>
        <w:t>como soberanos y en la que, en consecuencia, no existen los poderes ejecutivos, legislativos y judiciales únicos, centralizados y jerarquizados</w:t>
      </w:r>
      <w:r w:rsidR="0029730D" w:rsidRPr="00613F9A">
        <w:rPr>
          <w:rFonts w:ascii="Verdana" w:hAnsi="Verdana"/>
          <w:sz w:val="20"/>
          <w:szCs w:val="20"/>
          <w:lang w:val="es-ES"/>
        </w:rPr>
        <w:t xml:space="preserve">, no se puede juzgar a los Estados sin su consentimiento, no existe el monopolio </w:t>
      </w:r>
      <w:r w:rsidR="00FF3F1D" w:rsidRPr="00613F9A">
        <w:rPr>
          <w:rFonts w:ascii="Verdana" w:hAnsi="Verdana"/>
          <w:sz w:val="20"/>
          <w:szCs w:val="20"/>
          <w:lang w:val="es-ES"/>
        </w:rPr>
        <w:t>el uso de la fu</w:t>
      </w:r>
      <w:r w:rsidR="0029730D" w:rsidRPr="00613F9A">
        <w:rPr>
          <w:rFonts w:ascii="Verdana" w:hAnsi="Verdana"/>
          <w:sz w:val="20"/>
          <w:szCs w:val="20"/>
          <w:lang w:val="es-ES"/>
        </w:rPr>
        <w:t xml:space="preserve">erza, la estructura de poder </w:t>
      </w:r>
      <w:r w:rsidR="002203C1" w:rsidRPr="00613F9A">
        <w:rPr>
          <w:rFonts w:ascii="Verdana" w:hAnsi="Verdana"/>
          <w:sz w:val="20"/>
          <w:szCs w:val="20"/>
          <w:lang w:val="es-ES"/>
        </w:rPr>
        <w:t xml:space="preserve">es de </w:t>
      </w:r>
      <w:r w:rsidR="002203C1" w:rsidRPr="00613F9A">
        <w:rPr>
          <w:rFonts w:ascii="Verdana" w:hAnsi="Verdana"/>
          <w:i/>
          <w:sz w:val="20"/>
          <w:szCs w:val="20"/>
          <w:lang w:val="es-ES"/>
        </w:rPr>
        <w:t>facto</w:t>
      </w:r>
      <w:r w:rsidR="009815DF" w:rsidRPr="00613F9A">
        <w:rPr>
          <w:rFonts w:ascii="Verdana" w:hAnsi="Verdana"/>
          <w:i/>
          <w:sz w:val="20"/>
          <w:szCs w:val="20"/>
          <w:lang w:val="es-ES"/>
        </w:rPr>
        <w:t xml:space="preserve"> </w:t>
      </w:r>
      <w:r w:rsidR="009815DF" w:rsidRPr="00613F9A">
        <w:rPr>
          <w:rFonts w:ascii="Verdana" w:hAnsi="Verdana"/>
          <w:sz w:val="20"/>
          <w:szCs w:val="20"/>
          <w:lang w:val="es-ES"/>
        </w:rPr>
        <w:t>y, por tanto, cambiante</w:t>
      </w:r>
      <w:r w:rsidR="0029730D" w:rsidRPr="00613F9A">
        <w:rPr>
          <w:rFonts w:ascii="Verdana" w:hAnsi="Verdana"/>
          <w:sz w:val="20"/>
          <w:szCs w:val="20"/>
          <w:lang w:val="es-ES"/>
        </w:rPr>
        <w:t xml:space="preserve"> de acuerdo sólo a factores políticos </w:t>
      </w:r>
      <w:r w:rsidR="002203C1" w:rsidRPr="00613F9A">
        <w:rPr>
          <w:rFonts w:ascii="Verdana" w:hAnsi="Verdana"/>
          <w:sz w:val="20"/>
          <w:szCs w:val="20"/>
          <w:lang w:val="es-ES"/>
        </w:rPr>
        <w:t>y no ha</w:t>
      </w:r>
      <w:r w:rsidR="00C620AB" w:rsidRPr="00613F9A">
        <w:rPr>
          <w:rFonts w:ascii="Verdana" w:hAnsi="Verdana"/>
          <w:sz w:val="20"/>
          <w:szCs w:val="20"/>
          <w:lang w:val="es-ES"/>
        </w:rPr>
        <w:t>y una jerarquía entre las normas</w:t>
      </w:r>
      <w:r w:rsidR="002203C1" w:rsidRPr="00613F9A">
        <w:rPr>
          <w:rFonts w:ascii="Verdana" w:hAnsi="Verdana"/>
          <w:sz w:val="20"/>
          <w:szCs w:val="20"/>
          <w:lang w:val="es-ES"/>
        </w:rPr>
        <w:t>, sino solo, a lo más, u</w:t>
      </w:r>
      <w:r w:rsidR="00B30300" w:rsidRPr="00613F9A">
        <w:rPr>
          <w:rFonts w:ascii="Verdana" w:hAnsi="Verdana"/>
          <w:sz w:val="20"/>
          <w:szCs w:val="20"/>
          <w:lang w:val="es-ES"/>
        </w:rPr>
        <w:t>na preferencia en su aplicación.</w:t>
      </w:r>
    </w:p>
    <w:p w:rsidR="00B30300" w:rsidRPr="00613F9A" w:rsidRDefault="00B30300" w:rsidP="000978E9">
      <w:pPr>
        <w:pStyle w:val="Prrafodelista"/>
        <w:spacing w:before="120" w:after="120"/>
        <w:ind w:left="0"/>
        <w:jc w:val="both"/>
        <w:rPr>
          <w:rFonts w:ascii="Verdana" w:hAnsi="Verdana"/>
          <w:sz w:val="20"/>
          <w:szCs w:val="20"/>
          <w:lang w:val="es-ES"/>
        </w:rPr>
      </w:pPr>
    </w:p>
    <w:p w:rsidR="00C05917" w:rsidRPr="00613F9A" w:rsidRDefault="007E734D" w:rsidP="00B24719">
      <w:pPr>
        <w:pStyle w:val="Prrafodelista"/>
        <w:numPr>
          <w:ilvl w:val="0"/>
          <w:numId w:val="2"/>
        </w:numPr>
        <w:spacing w:before="120" w:after="120"/>
        <w:ind w:left="0" w:firstLine="0"/>
        <w:jc w:val="both"/>
        <w:rPr>
          <w:rFonts w:ascii="Verdana" w:hAnsi="Verdana"/>
          <w:sz w:val="20"/>
          <w:szCs w:val="20"/>
          <w:lang w:val="es-ES"/>
        </w:rPr>
      </w:pPr>
      <w:r w:rsidRPr="00613F9A">
        <w:rPr>
          <w:rFonts w:ascii="Verdana" w:hAnsi="Verdana"/>
          <w:sz w:val="20"/>
          <w:szCs w:val="20"/>
          <w:lang w:val="es-ES"/>
        </w:rPr>
        <w:lastRenderedPageBreak/>
        <w:t>E</w:t>
      </w:r>
      <w:r w:rsidR="002203C1" w:rsidRPr="00613F9A">
        <w:rPr>
          <w:rFonts w:ascii="Verdana" w:hAnsi="Verdana"/>
          <w:sz w:val="20"/>
          <w:szCs w:val="20"/>
          <w:lang w:val="es-ES"/>
        </w:rPr>
        <w:t xml:space="preserve">s, entonces, </w:t>
      </w:r>
      <w:r w:rsidR="004D176A" w:rsidRPr="00613F9A">
        <w:rPr>
          <w:rFonts w:ascii="Verdana" w:hAnsi="Verdana"/>
          <w:sz w:val="20"/>
          <w:szCs w:val="20"/>
          <w:lang w:val="es-ES"/>
        </w:rPr>
        <w:t xml:space="preserve">en esa realidad </w:t>
      </w:r>
      <w:r w:rsidRPr="00613F9A">
        <w:rPr>
          <w:rFonts w:ascii="Verdana" w:hAnsi="Verdana"/>
          <w:sz w:val="20"/>
          <w:szCs w:val="20"/>
          <w:lang w:val="es-ES"/>
        </w:rPr>
        <w:t xml:space="preserve">que </w:t>
      </w:r>
      <w:r w:rsidR="002203C1" w:rsidRPr="00613F9A">
        <w:rPr>
          <w:rFonts w:ascii="Verdana" w:hAnsi="Verdana"/>
          <w:sz w:val="20"/>
          <w:szCs w:val="20"/>
          <w:lang w:val="es-ES"/>
        </w:rPr>
        <w:t>se ubica y debe entenderse el sistema interamericano de derechos humanos</w:t>
      </w:r>
      <w:r w:rsidR="004D176A" w:rsidRPr="00613F9A">
        <w:rPr>
          <w:rStyle w:val="Refdenotaalpie"/>
          <w:rFonts w:ascii="Verdana" w:hAnsi="Verdana"/>
          <w:sz w:val="20"/>
          <w:szCs w:val="20"/>
          <w:lang w:val="es-ES"/>
        </w:rPr>
        <w:footnoteReference w:id="36"/>
      </w:r>
      <w:r w:rsidR="008A4349" w:rsidRPr="00613F9A">
        <w:rPr>
          <w:rFonts w:ascii="Verdana" w:hAnsi="Verdana"/>
          <w:sz w:val="20"/>
          <w:szCs w:val="20"/>
          <w:lang w:val="es-ES"/>
        </w:rPr>
        <w:t xml:space="preserve"> </w:t>
      </w:r>
      <w:r w:rsidR="00C05917" w:rsidRPr="00613F9A">
        <w:rPr>
          <w:rFonts w:ascii="Verdana" w:hAnsi="Verdana"/>
          <w:sz w:val="20"/>
          <w:szCs w:val="20"/>
          <w:lang w:val="es-ES"/>
        </w:rPr>
        <w:t xml:space="preserve">Dicho </w:t>
      </w:r>
      <w:r w:rsidR="00BE4E73" w:rsidRPr="00613F9A">
        <w:rPr>
          <w:rFonts w:ascii="Verdana" w:hAnsi="Verdana"/>
          <w:sz w:val="20"/>
          <w:szCs w:val="20"/>
          <w:lang w:val="es-ES"/>
        </w:rPr>
        <w:t>sistema importa</w:t>
      </w:r>
      <w:r w:rsidR="00D254F5" w:rsidRPr="00613F9A">
        <w:rPr>
          <w:rFonts w:ascii="Verdana" w:hAnsi="Verdana"/>
          <w:sz w:val="20"/>
          <w:szCs w:val="20"/>
          <w:lang w:val="es-ES"/>
        </w:rPr>
        <w:t xml:space="preserve"> </w:t>
      </w:r>
      <w:r w:rsidR="00C05917" w:rsidRPr="00613F9A">
        <w:rPr>
          <w:rFonts w:ascii="Verdana" w:hAnsi="Verdana"/>
          <w:sz w:val="20"/>
          <w:szCs w:val="20"/>
          <w:lang w:val="es-ES"/>
        </w:rPr>
        <w:t xml:space="preserve">que </w:t>
      </w:r>
      <w:r w:rsidR="00B30300" w:rsidRPr="00613F9A">
        <w:rPr>
          <w:rFonts w:ascii="Verdana" w:hAnsi="Verdana"/>
          <w:sz w:val="20"/>
          <w:szCs w:val="20"/>
          <w:lang w:val="es-ES"/>
        </w:rPr>
        <w:t xml:space="preserve">mientras </w:t>
      </w:r>
      <w:r w:rsidR="00C05917" w:rsidRPr="00613F9A">
        <w:rPr>
          <w:rFonts w:ascii="Verdana" w:hAnsi="Verdana"/>
          <w:sz w:val="20"/>
          <w:szCs w:val="20"/>
          <w:lang w:val="es-ES"/>
        </w:rPr>
        <w:t>a la Comisión</w:t>
      </w:r>
      <w:r w:rsidR="004D176A" w:rsidRPr="00613F9A">
        <w:rPr>
          <w:rFonts w:ascii="Verdana" w:hAnsi="Verdana"/>
          <w:sz w:val="20"/>
          <w:szCs w:val="20"/>
          <w:lang w:val="es-ES"/>
        </w:rPr>
        <w:t xml:space="preserve"> </w:t>
      </w:r>
      <w:r w:rsidR="00B30300" w:rsidRPr="00613F9A">
        <w:rPr>
          <w:rFonts w:ascii="Verdana" w:hAnsi="Verdana"/>
          <w:sz w:val="20"/>
          <w:szCs w:val="20"/>
          <w:lang w:val="es-ES"/>
        </w:rPr>
        <w:t>le compete</w:t>
      </w:r>
      <w:r w:rsidR="00C05917" w:rsidRPr="00613F9A">
        <w:rPr>
          <w:rFonts w:ascii="Verdana" w:hAnsi="Verdana"/>
          <w:sz w:val="20"/>
          <w:szCs w:val="20"/>
          <w:lang w:val="es-ES"/>
        </w:rPr>
        <w:t>, “</w:t>
      </w:r>
      <w:r w:rsidR="00C05917" w:rsidRPr="00613F9A">
        <w:rPr>
          <w:rFonts w:ascii="Verdana" w:hAnsi="Verdana"/>
          <w:i/>
          <w:sz w:val="20"/>
          <w:szCs w:val="20"/>
          <w:lang w:val="es-ES"/>
        </w:rPr>
        <w:t>promover la observancia y la defensa de los derechos humanos”</w:t>
      </w:r>
      <w:r w:rsidR="00C05917" w:rsidRPr="00613F9A">
        <w:rPr>
          <w:rFonts w:ascii="Verdana" w:hAnsi="Verdana"/>
          <w:i/>
          <w:sz w:val="20"/>
          <w:szCs w:val="20"/>
          <w:vertAlign w:val="superscript"/>
          <w:lang w:val="es-ES"/>
        </w:rPr>
        <w:footnoteReference w:id="37"/>
      </w:r>
      <w:r w:rsidR="00B30300" w:rsidRPr="00613F9A">
        <w:rPr>
          <w:rFonts w:ascii="Verdana" w:hAnsi="Verdana"/>
          <w:sz w:val="20"/>
          <w:szCs w:val="20"/>
          <w:lang w:val="es-ES"/>
        </w:rPr>
        <w:t>, a la Corte le corresponde</w:t>
      </w:r>
      <w:r w:rsidR="00D254F5" w:rsidRPr="00613F9A">
        <w:rPr>
          <w:rFonts w:ascii="Verdana" w:hAnsi="Verdana"/>
          <w:sz w:val="20"/>
          <w:szCs w:val="20"/>
          <w:lang w:val="es-ES"/>
        </w:rPr>
        <w:t>, en lo que respecta su competencia contenciosa,</w:t>
      </w:r>
      <w:r w:rsidR="00C05917" w:rsidRPr="00613F9A">
        <w:rPr>
          <w:rFonts w:ascii="Verdana" w:hAnsi="Verdana"/>
          <w:sz w:val="20"/>
          <w:szCs w:val="20"/>
          <w:lang w:val="es-ES"/>
        </w:rPr>
        <w:t xml:space="preserve"> </w:t>
      </w:r>
      <w:r w:rsidR="00C05917" w:rsidRPr="00613F9A">
        <w:rPr>
          <w:rFonts w:ascii="Verdana" w:hAnsi="Verdana"/>
          <w:i/>
          <w:sz w:val="20"/>
          <w:szCs w:val="20"/>
          <w:lang w:val="es-ES"/>
        </w:rPr>
        <w:t>“la interpretación y aplicación</w:t>
      </w:r>
      <w:r w:rsidR="00C05917" w:rsidRPr="00613F9A">
        <w:rPr>
          <w:rFonts w:ascii="Verdana" w:hAnsi="Verdana"/>
          <w:sz w:val="20"/>
          <w:szCs w:val="20"/>
          <w:lang w:val="es-ES"/>
        </w:rPr>
        <w:t>” de la Convención</w:t>
      </w:r>
      <w:r w:rsidR="00C05917" w:rsidRPr="00613F9A">
        <w:rPr>
          <w:rFonts w:ascii="Verdana" w:hAnsi="Verdana"/>
          <w:sz w:val="20"/>
          <w:szCs w:val="20"/>
          <w:vertAlign w:val="superscript"/>
          <w:lang w:val="es-ES"/>
        </w:rPr>
        <w:footnoteReference w:id="38"/>
      </w:r>
      <w:r w:rsidR="009D7351" w:rsidRPr="00613F9A">
        <w:rPr>
          <w:rFonts w:ascii="Verdana" w:hAnsi="Verdana"/>
          <w:sz w:val="20"/>
          <w:szCs w:val="20"/>
          <w:lang w:val="es-ES"/>
        </w:rPr>
        <w:t xml:space="preserve"> y en lo pertinente a su competencia no contenciosa o consultiva, “</w:t>
      </w:r>
      <w:r w:rsidR="009D7351" w:rsidRPr="00613F9A">
        <w:rPr>
          <w:rFonts w:ascii="Verdana" w:hAnsi="Verdana"/>
          <w:i/>
          <w:sz w:val="20"/>
          <w:szCs w:val="20"/>
          <w:lang w:val="es-ES"/>
        </w:rPr>
        <w:t>interpretar</w:t>
      </w:r>
      <w:r w:rsidR="00BB4A65" w:rsidRPr="00613F9A">
        <w:rPr>
          <w:rFonts w:ascii="Verdana" w:hAnsi="Verdana"/>
          <w:sz w:val="20"/>
          <w:szCs w:val="20"/>
          <w:lang w:val="es-ES"/>
        </w:rPr>
        <w:t>” a aquella y “</w:t>
      </w:r>
      <w:r w:rsidR="00BB4A65" w:rsidRPr="00613F9A">
        <w:rPr>
          <w:rFonts w:ascii="Verdana" w:hAnsi="Verdana"/>
          <w:i/>
          <w:sz w:val="20"/>
          <w:szCs w:val="20"/>
          <w:lang w:val="es-ES"/>
        </w:rPr>
        <w:t>otros tratados concernientes a derechos humanos</w:t>
      </w:r>
      <w:r w:rsidR="00BB4A65" w:rsidRPr="00613F9A">
        <w:rPr>
          <w:rFonts w:ascii="Verdana" w:hAnsi="Verdana"/>
          <w:sz w:val="20"/>
          <w:szCs w:val="20"/>
          <w:lang w:val="es-ES"/>
        </w:rPr>
        <w:t>”</w:t>
      </w:r>
      <w:r w:rsidR="00BB4A65" w:rsidRPr="00613F9A">
        <w:rPr>
          <w:rFonts w:ascii="Verdana" w:hAnsi="Verdana"/>
          <w:i/>
          <w:sz w:val="20"/>
          <w:szCs w:val="20"/>
          <w:lang w:val="es-ES"/>
        </w:rPr>
        <w:t xml:space="preserve"> o bien dar “opiniones acerca de la compatibilidad entre cualquiera de sus leyes internas y los mencionados instrumentos internacionales”</w:t>
      </w:r>
      <w:r w:rsidR="00BB4A65" w:rsidRPr="00613F9A">
        <w:rPr>
          <w:rStyle w:val="Refdenotaalpie"/>
          <w:rFonts w:ascii="Verdana" w:hAnsi="Verdana"/>
          <w:i/>
          <w:sz w:val="20"/>
          <w:szCs w:val="20"/>
          <w:lang w:val="es-ES"/>
        </w:rPr>
        <w:footnoteReference w:id="39"/>
      </w:r>
      <w:r w:rsidR="00BB4A65" w:rsidRPr="00613F9A">
        <w:rPr>
          <w:rFonts w:ascii="Verdana" w:hAnsi="Verdana"/>
          <w:i/>
          <w:sz w:val="20"/>
          <w:szCs w:val="20"/>
          <w:lang w:val="es-ES"/>
        </w:rPr>
        <w:t xml:space="preserve">. </w:t>
      </w:r>
      <w:r w:rsidR="007E461D" w:rsidRPr="00613F9A">
        <w:rPr>
          <w:rFonts w:ascii="Verdana" w:hAnsi="Verdana"/>
          <w:sz w:val="20"/>
          <w:szCs w:val="20"/>
          <w:lang w:val="es-ES"/>
        </w:rPr>
        <w:t>Por su parte, a la Asamblea General de la OEA le corresponde adoptar las medidas que considere para hacer cumplir los fallos</w:t>
      </w:r>
      <w:r w:rsidR="007E461D" w:rsidRPr="00613F9A">
        <w:rPr>
          <w:rStyle w:val="Refdenotaalpie"/>
          <w:rFonts w:ascii="Verdana" w:hAnsi="Verdana"/>
          <w:sz w:val="20"/>
          <w:szCs w:val="20"/>
          <w:lang w:val="es-ES"/>
        </w:rPr>
        <w:footnoteReference w:id="40"/>
      </w:r>
      <w:r w:rsidR="000978E9" w:rsidRPr="00613F9A">
        <w:rPr>
          <w:rFonts w:ascii="Verdana" w:hAnsi="Verdana"/>
          <w:sz w:val="20"/>
          <w:szCs w:val="20"/>
          <w:lang w:val="es-ES"/>
        </w:rPr>
        <w:t xml:space="preserve">. </w:t>
      </w:r>
      <w:r w:rsidR="00C05917" w:rsidRPr="00613F9A">
        <w:rPr>
          <w:rFonts w:ascii="Verdana" w:hAnsi="Verdana"/>
          <w:sz w:val="20"/>
          <w:szCs w:val="20"/>
          <w:lang w:val="es-ES"/>
        </w:rPr>
        <w:t>La eficacia del sistema interamericano de derechos humanos depende, pues, de que cada uno de los citados órganos cumpla debidamente con su rol.</w:t>
      </w:r>
      <w:r w:rsidR="00AB7554" w:rsidRPr="00613F9A">
        <w:rPr>
          <w:rFonts w:ascii="Verdana" w:hAnsi="Verdana"/>
          <w:sz w:val="20"/>
          <w:szCs w:val="20"/>
          <w:lang w:val="es-ES"/>
        </w:rPr>
        <w:t xml:space="preserve"> </w:t>
      </w:r>
    </w:p>
    <w:p w:rsidR="00AB7554" w:rsidRPr="00613F9A" w:rsidRDefault="00AB7554" w:rsidP="000978E9">
      <w:pPr>
        <w:pStyle w:val="Prrafodelista"/>
        <w:spacing w:before="120" w:after="120"/>
        <w:ind w:left="0"/>
        <w:jc w:val="both"/>
        <w:rPr>
          <w:rFonts w:ascii="Verdana" w:hAnsi="Verdana"/>
          <w:sz w:val="20"/>
          <w:szCs w:val="20"/>
          <w:lang w:val="es-ES"/>
        </w:rPr>
      </w:pPr>
    </w:p>
    <w:p w:rsidR="00C05917" w:rsidRPr="00613F9A" w:rsidRDefault="00C05917" w:rsidP="00B24719">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De conformidad, por lo tanto</w:t>
      </w:r>
      <w:r w:rsidR="0029730D" w:rsidRPr="00613F9A">
        <w:rPr>
          <w:rFonts w:ascii="Verdana" w:hAnsi="Verdana"/>
          <w:sz w:val="20"/>
          <w:szCs w:val="20"/>
          <w:lang w:val="es-ES"/>
        </w:rPr>
        <w:t>,</w:t>
      </w:r>
      <w:r w:rsidRPr="00613F9A">
        <w:rPr>
          <w:rFonts w:ascii="Verdana" w:hAnsi="Verdana"/>
          <w:sz w:val="20"/>
          <w:szCs w:val="20"/>
          <w:lang w:val="es-ES"/>
        </w:rPr>
        <w:t xml:space="preserve"> a ese s</w:t>
      </w:r>
      <w:r w:rsidR="003C7A67" w:rsidRPr="00613F9A">
        <w:rPr>
          <w:rFonts w:ascii="Verdana" w:hAnsi="Verdana"/>
          <w:sz w:val="20"/>
          <w:szCs w:val="20"/>
          <w:lang w:val="es-ES"/>
        </w:rPr>
        <w:t>istema, a la Comisión puede</w:t>
      </w:r>
      <w:r w:rsidRPr="00613F9A">
        <w:rPr>
          <w:rFonts w:ascii="Verdana" w:hAnsi="Verdana"/>
          <w:sz w:val="20"/>
          <w:szCs w:val="20"/>
          <w:lang w:val="es-ES"/>
        </w:rPr>
        <w:t>, entre otras acciones, hacer recomendaciones a los Estados Partes de la Convención, atender sus consultas, asesorarlos, formularles recomendaciones y representar al conjunto de ellos en los juicios ante la Corte, para</w:t>
      </w:r>
      <w:r w:rsidR="0029730D" w:rsidRPr="00613F9A">
        <w:rPr>
          <w:rFonts w:ascii="Verdana" w:hAnsi="Verdana"/>
          <w:sz w:val="20"/>
          <w:szCs w:val="20"/>
          <w:lang w:val="es-ES"/>
        </w:rPr>
        <w:t xml:space="preserve"> todo</w:t>
      </w:r>
      <w:r w:rsidRPr="00613F9A">
        <w:rPr>
          <w:rFonts w:ascii="Verdana" w:hAnsi="Verdana"/>
          <w:sz w:val="20"/>
          <w:szCs w:val="20"/>
          <w:lang w:val="es-ES"/>
        </w:rPr>
        <w:t xml:space="preserve"> lo cual debe imperiosamente tomar partido, abanderizarse, comprometerse con un bando, ser parcial con una posición, que es la promoción de los derechos humanos y defenderla. Ese es su rol.</w:t>
      </w:r>
    </w:p>
    <w:p w:rsidR="00C05917" w:rsidRPr="00613F9A" w:rsidRDefault="00C05917" w:rsidP="000978E9">
      <w:pPr>
        <w:spacing w:after="0" w:line="276" w:lineRule="auto"/>
        <w:ind w:left="0"/>
        <w:rPr>
          <w:rFonts w:ascii="Verdana" w:hAnsi="Verdana"/>
          <w:sz w:val="20"/>
          <w:szCs w:val="20"/>
          <w:lang w:val="es-ES"/>
        </w:rPr>
      </w:pPr>
    </w:p>
    <w:p w:rsidR="007E734D" w:rsidRPr="00613F9A" w:rsidRDefault="00C05917" w:rsidP="00B24719">
      <w:pPr>
        <w:pStyle w:val="Prrafodelista"/>
        <w:numPr>
          <w:ilvl w:val="0"/>
          <w:numId w:val="2"/>
        </w:numPr>
        <w:spacing w:after="0"/>
        <w:ind w:left="0" w:firstLine="0"/>
        <w:jc w:val="both"/>
        <w:rPr>
          <w:rFonts w:ascii="Verdana" w:hAnsi="Verdana"/>
          <w:sz w:val="20"/>
          <w:szCs w:val="20"/>
        </w:rPr>
      </w:pPr>
      <w:r w:rsidRPr="00613F9A">
        <w:rPr>
          <w:rFonts w:ascii="Verdana" w:hAnsi="Verdana"/>
          <w:sz w:val="20"/>
          <w:szCs w:val="20"/>
          <w:lang w:val="es-ES"/>
        </w:rPr>
        <w:t>En cambio y conforme al mencionado sistema, a la Corte le corresponde impartir Justicia en materia de derechos humanos, y para ello debe, como lo ha expresado, “</w:t>
      </w:r>
      <w:r w:rsidRPr="00613F9A">
        <w:rPr>
          <w:rFonts w:ascii="Verdana" w:hAnsi="Verdana"/>
          <w:i/>
          <w:sz w:val="20"/>
          <w:szCs w:val="20"/>
          <w:lang w:val="es-ES"/>
        </w:rPr>
        <w:t>ser la intérprete última de la Convención</w:t>
      </w:r>
      <w:r w:rsidRPr="00613F9A">
        <w:rPr>
          <w:rFonts w:ascii="Verdana" w:hAnsi="Verdana"/>
          <w:sz w:val="20"/>
          <w:szCs w:val="20"/>
          <w:lang w:val="es-ES"/>
        </w:rPr>
        <w:t>”</w:t>
      </w:r>
      <w:r w:rsidRPr="00613F9A">
        <w:rPr>
          <w:rFonts w:ascii="Verdana" w:hAnsi="Verdana"/>
          <w:sz w:val="20"/>
          <w:szCs w:val="20"/>
          <w:vertAlign w:val="superscript"/>
          <w:lang w:val="es-ES"/>
        </w:rPr>
        <w:footnoteReference w:id="41"/>
      </w:r>
      <w:r w:rsidRPr="00613F9A">
        <w:rPr>
          <w:rFonts w:ascii="Verdana" w:hAnsi="Verdana"/>
          <w:sz w:val="20"/>
          <w:szCs w:val="20"/>
          <w:lang w:val="es-ES"/>
        </w:rPr>
        <w:t>. Por ende, en vista de res</w:t>
      </w:r>
      <w:r w:rsidR="00C7106F" w:rsidRPr="00613F9A">
        <w:rPr>
          <w:rFonts w:ascii="Verdana" w:hAnsi="Verdana"/>
          <w:sz w:val="20"/>
          <w:szCs w:val="20"/>
          <w:lang w:val="es-ES"/>
        </w:rPr>
        <w:t>ponder a esa calidad</w:t>
      </w:r>
      <w:r w:rsidRPr="00613F9A">
        <w:rPr>
          <w:rFonts w:ascii="Verdana" w:hAnsi="Verdana"/>
          <w:sz w:val="20"/>
          <w:szCs w:val="20"/>
          <w:lang w:val="es-ES"/>
        </w:rPr>
        <w:t>, debe resguardar estrictamente la independencia e imparcialidad que la caracteriza</w:t>
      </w:r>
      <w:r w:rsidRPr="00613F9A">
        <w:rPr>
          <w:rFonts w:ascii="Verdana" w:hAnsi="Verdana"/>
          <w:sz w:val="20"/>
          <w:szCs w:val="20"/>
          <w:vertAlign w:val="superscript"/>
          <w:lang w:val="es-ES"/>
        </w:rPr>
        <w:footnoteReference w:id="42"/>
      </w:r>
      <w:r w:rsidRPr="00613F9A">
        <w:rPr>
          <w:rFonts w:ascii="Verdana" w:hAnsi="Verdana"/>
          <w:sz w:val="20"/>
          <w:szCs w:val="20"/>
          <w:lang w:val="es-ES"/>
        </w:rPr>
        <w:t xml:space="preserve">, lo que importa que, </w:t>
      </w:r>
      <w:r w:rsidR="003C7A67" w:rsidRPr="00613F9A">
        <w:rPr>
          <w:rFonts w:ascii="Verdana" w:hAnsi="Verdana"/>
          <w:sz w:val="20"/>
          <w:szCs w:val="20"/>
          <w:lang w:val="es-ES"/>
        </w:rPr>
        <w:t xml:space="preserve">especialmente </w:t>
      </w:r>
      <w:r w:rsidRPr="00613F9A">
        <w:rPr>
          <w:rFonts w:ascii="Verdana" w:hAnsi="Verdana"/>
          <w:sz w:val="20"/>
          <w:szCs w:val="20"/>
          <w:lang w:val="es-ES"/>
        </w:rPr>
        <w:t xml:space="preserve">en los casos </w:t>
      </w:r>
      <w:r w:rsidR="009D7351" w:rsidRPr="00613F9A">
        <w:rPr>
          <w:rFonts w:ascii="Verdana" w:hAnsi="Verdana"/>
          <w:sz w:val="20"/>
          <w:szCs w:val="20"/>
          <w:lang w:val="es-ES"/>
        </w:rPr>
        <w:t xml:space="preserve">contenciosos </w:t>
      </w:r>
      <w:r w:rsidRPr="00613F9A">
        <w:rPr>
          <w:rFonts w:ascii="Verdana" w:hAnsi="Verdana"/>
          <w:sz w:val="20"/>
          <w:szCs w:val="20"/>
          <w:lang w:val="es-ES"/>
        </w:rPr>
        <w:t>que le son sometid</w:t>
      </w:r>
      <w:r w:rsidR="004B1914" w:rsidRPr="00613F9A">
        <w:rPr>
          <w:rFonts w:ascii="Verdana" w:hAnsi="Verdana"/>
          <w:sz w:val="20"/>
          <w:szCs w:val="20"/>
          <w:lang w:val="es-ES"/>
        </w:rPr>
        <w:t xml:space="preserve">os </w:t>
      </w:r>
      <w:r w:rsidRPr="00613F9A">
        <w:rPr>
          <w:rFonts w:ascii="Verdana" w:hAnsi="Verdana"/>
          <w:sz w:val="20"/>
          <w:szCs w:val="20"/>
          <w:lang w:val="es-ES"/>
        </w:rPr>
        <w:t xml:space="preserve">y en los que exista la razonable posibilidad que lo sean, </w:t>
      </w:r>
      <w:r w:rsidR="00D254F5" w:rsidRPr="00613F9A">
        <w:rPr>
          <w:rFonts w:ascii="Verdana" w:hAnsi="Verdana"/>
          <w:sz w:val="20"/>
          <w:szCs w:val="20"/>
          <w:lang w:val="es-ES"/>
        </w:rPr>
        <w:t xml:space="preserve">sus jueces </w:t>
      </w:r>
      <w:r w:rsidRPr="00613F9A">
        <w:rPr>
          <w:rFonts w:ascii="Verdana" w:hAnsi="Verdana"/>
          <w:sz w:val="20"/>
          <w:szCs w:val="20"/>
          <w:lang w:val="es-ES"/>
        </w:rPr>
        <w:t>no debe</w:t>
      </w:r>
      <w:r w:rsidR="00D254F5" w:rsidRPr="00613F9A">
        <w:rPr>
          <w:rFonts w:ascii="Verdana" w:hAnsi="Verdana"/>
          <w:sz w:val="20"/>
          <w:szCs w:val="20"/>
          <w:lang w:val="es-ES"/>
        </w:rPr>
        <w:t>n</w:t>
      </w:r>
      <w:r w:rsidRPr="00613F9A">
        <w:rPr>
          <w:rFonts w:ascii="Verdana" w:hAnsi="Verdana"/>
          <w:sz w:val="20"/>
          <w:szCs w:val="20"/>
          <w:lang w:val="es-ES"/>
        </w:rPr>
        <w:t>, consecuentemente, avanzar o adelantar opinión que pueda menoscabar esa privil</w:t>
      </w:r>
      <w:r w:rsidR="00BB4A65" w:rsidRPr="00613F9A">
        <w:rPr>
          <w:rFonts w:ascii="Verdana" w:hAnsi="Verdana"/>
          <w:sz w:val="20"/>
          <w:szCs w:val="20"/>
          <w:lang w:val="es-ES"/>
        </w:rPr>
        <w:t xml:space="preserve">egiada </w:t>
      </w:r>
      <w:r w:rsidR="00BB4A65" w:rsidRPr="00613F9A">
        <w:rPr>
          <w:rFonts w:ascii="Verdana" w:hAnsi="Verdana"/>
          <w:sz w:val="20"/>
          <w:szCs w:val="20"/>
          <w:lang w:val="es-ES"/>
        </w:rPr>
        <w:lastRenderedPageBreak/>
        <w:t>posición ni transformarla</w:t>
      </w:r>
      <w:r w:rsidRPr="00613F9A">
        <w:rPr>
          <w:rFonts w:ascii="Verdana" w:hAnsi="Verdana"/>
          <w:sz w:val="20"/>
          <w:szCs w:val="20"/>
          <w:lang w:val="es-ES"/>
        </w:rPr>
        <w:t xml:space="preserve"> en promotora y defensora de los derechos humanos, invadiendo, así, la competencia de la Comisión.</w:t>
      </w:r>
    </w:p>
    <w:p w:rsidR="007E734D" w:rsidRPr="00613F9A" w:rsidRDefault="007E734D" w:rsidP="000978E9">
      <w:pPr>
        <w:pStyle w:val="Prrafodelista"/>
        <w:rPr>
          <w:rFonts w:ascii="Verdana" w:hAnsi="Verdana"/>
          <w:sz w:val="20"/>
          <w:szCs w:val="20"/>
          <w:lang w:val="es-ES"/>
        </w:rPr>
      </w:pPr>
    </w:p>
    <w:p w:rsidR="0018733E" w:rsidRPr="00613F9A" w:rsidRDefault="007E734D" w:rsidP="00B24719">
      <w:pPr>
        <w:pStyle w:val="Prrafodelista"/>
        <w:numPr>
          <w:ilvl w:val="0"/>
          <w:numId w:val="2"/>
        </w:numPr>
        <w:spacing w:after="0"/>
        <w:ind w:left="0" w:firstLine="0"/>
        <w:jc w:val="both"/>
        <w:rPr>
          <w:rFonts w:ascii="Verdana" w:hAnsi="Verdana"/>
          <w:sz w:val="20"/>
          <w:szCs w:val="20"/>
        </w:rPr>
      </w:pPr>
      <w:r w:rsidRPr="00613F9A">
        <w:rPr>
          <w:rFonts w:ascii="Verdana" w:hAnsi="Verdana"/>
          <w:sz w:val="20"/>
          <w:szCs w:val="20"/>
          <w:lang w:val="es-ES"/>
        </w:rPr>
        <w:t>De allí, pues, que resulta procedente recordar</w:t>
      </w:r>
      <w:r w:rsidR="00BB4A65" w:rsidRPr="00613F9A">
        <w:rPr>
          <w:rFonts w:ascii="Verdana" w:hAnsi="Verdana"/>
          <w:sz w:val="20"/>
          <w:szCs w:val="20"/>
          <w:lang w:val="es-ES"/>
        </w:rPr>
        <w:t xml:space="preserve"> </w:t>
      </w:r>
      <w:r w:rsidR="0018733E" w:rsidRPr="00613F9A">
        <w:rPr>
          <w:rFonts w:ascii="Verdana" w:hAnsi="Verdana"/>
          <w:sz w:val="20"/>
          <w:szCs w:val="20"/>
          <w:lang w:val="es-ES"/>
        </w:rPr>
        <w:t>que este documento respond</w:t>
      </w:r>
      <w:r w:rsidR="00BB4A65" w:rsidRPr="00613F9A">
        <w:rPr>
          <w:rFonts w:ascii="Verdana" w:hAnsi="Verdana"/>
          <w:sz w:val="20"/>
          <w:szCs w:val="20"/>
          <w:lang w:val="es-ES"/>
        </w:rPr>
        <w:t>e a la circunstancia de que la Corte</w:t>
      </w:r>
      <w:r w:rsidR="0018733E" w:rsidRPr="00613F9A">
        <w:rPr>
          <w:rFonts w:ascii="Verdana" w:hAnsi="Verdana"/>
          <w:sz w:val="20"/>
          <w:szCs w:val="20"/>
          <w:lang w:val="es-ES"/>
        </w:rPr>
        <w:t>, en tanto órgano jurisdiccional, goza de la más</w:t>
      </w:r>
      <w:r w:rsidR="004D176A" w:rsidRPr="00613F9A">
        <w:rPr>
          <w:rFonts w:ascii="Verdana" w:hAnsi="Verdana"/>
          <w:sz w:val="20"/>
          <w:szCs w:val="20"/>
          <w:lang w:val="es-ES"/>
        </w:rPr>
        <w:t xml:space="preserve"> amplia autonomía</w:t>
      </w:r>
      <w:r w:rsidR="0018733E" w:rsidRPr="00613F9A">
        <w:rPr>
          <w:rStyle w:val="Refdenotaalpie"/>
          <w:rFonts w:ascii="Verdana" w:hAnsi="Verdana"/>
          <w:sz w:val="20"/>
          <w:szCs w:val="20"/>
          <w:lang w:val="es-ES"/>
        </w:rPr>
        <w:footnoteReference w:id="43"/>
      </w:r>
      <w:r w:rsidR="0018733E" w:rsidRPr="00613F9A">
        <w:rPr>
          <w:rFonts w:ascii="Verdana" w:hAnsi="Verdana"/>
          <w:sz w:val="20"/>
          <w:szCs w:val="20"/>
          <w:lang w:val="es-ES"/>
        </w:rPr>
        <w:t>, no existiendo entidad superior que pueda controlar su proceder, característica que le impone el imperativo de ser ella misma muy rigurosa en el ejercicio de su competencia, a los efectos de no desnaturalizarla y, consecuentemente, debilitar el sistema de protección interamericano de derechos humanos. Es por tal motivo que lo</w:t>
      </w:r>
      <w:r w:rsidR="00135FDF" w:rsidRPr="00613F9A">
        <w:rPr>
          <w:rFonts w:ascii="Verdana" w:hAnsi="Verdana"/>
          <w:sz w:val="20"/>
          <w:szCs w:val="20"/>
          <w:lang w:val="es-ES"/>
        </w:rPr>
        <w:t xml:space="preserve"> que</w:t>
      </w:r>
      <w:r w:rsidR="0018733E" w:rsidRPr="00613F9A">
        <w:rPr>
          <w:rFonts w:ascii="Verdana" w:hAnsi="Verdana"/>
          <w:sz w:val="20"/>
          <w:szCs w:val="20"/>
          <w:lang w:val="es-ES"/>
        </w:rPr>
        <w:t xml:space="preserve"> se expresa a continuación persigue el más amplio reconocimiento de la Corte por parte de todos los que comparecen ante ella y, consecuentemente, como la entidad de alcance continental más acabada que se ha logrado en resguardo de los derechos humanos, por lo que es menester, por lo tanto, persistir en su consolidación y perfeccionamiento, sin someterla a riesgos que puedan afectar negativamente dicho esfuerzo. </w:t>
      </w:r>
    </w:p>
    <w:p w:rsidR="004D176A" w:rsidRPr="00613F9A" w:rsidRDefault="004D176A" w:rsidP="000978E9">
      <w:pPr>
        <w:pStyle w:val="Prrafodelista"/>
        <w:rPr>
          <w:rFonts w:ascii="Verdana" w:hAnsi="Verdana"/>
          <w:sz w:val="20"/>
          <w:szCs w:val="20"/>
        </w:rPr>
      </w:pPr>
    </w:p>
    <w:p w:rsidR="00C05917" w:rsidRPr="00613F9A" w:rsidRDefault="007E734D" w:rsidP="00B24719">
      <w:pPr>
        <w:pStyle w:val="Prrafodelista"/>
        <w:numPr>
          <w:ilvl w:val="0"/>
          <w:numId w:val="2"/>
        </w:numPr>
        <w:spacing w:after="120"/>
        <w:ind w:left="0" w:firstLine="0"/>
        <w:jc w:val="both"/>
        <w:rPr>
          <w:rFonts w:ascii="Verdana" w:hAnsi="Verdana"/>
          <w:sz w:val="20"/>
          <w:szCs w:val="20"/>
        </w:rPr>
      </w:pPr>
      <w:r w:rsidRPr="00613F9A">
        <w:rPr>
          <w:rFonts w:ascii="Verdana" w:hAnsi="Verdana"/>
          <w:sz w:val="20"/>
          <w:szCs w:val="20"/>
          <w:lang w:val="es-ES"/>
        </w:rPr>
        <w:t>S</w:t>
      </w:r>
      <w:r w:rsidR="00C05917" w:rsidRPr="00613F9A">
        <w:rPr>
          <w:rFonts w:ascii="Verdana" w:hAnsi="Verdana"/>
          <w:sz w:val="20"/>
          <w:szCs w:val="20"/>
          <w:lang w:val="es-ES"/>
        </w:rPr>
        <w:t xml:space="preserve">in embargo, la Corte debe asumir esa prudencia teniendo en cuenta que </w:t>
      </w:r>
      <w:r w:rsidR="00FE6B3B" w:rsidRPr="00613F9A">
        <w:rPr>
          <w:rFonts w:ascii="Verdana" w:hAnsi="Verdana"/>
          <w:sz w:val="20"/>
          <w:szCs w:val="20"/>
          <w:lang w:val="es-ES"/>
        </w:rPr>
        <w:t>la razón de</w:t>
      </w:r>
      <w:r w:rsidR="00D037C6" w:rsidRPr="00613F9A">
        <w:rPr>
          <w:rFonts w:ascii="Verdana" w:hAnsi="Verdana"/>
          <w:sz w:val="20"/>
          <w:szCs w:val="20"/>
          <w:lang w:val="es-ES"/>
        </w:rPr>
        <w:t xml:space="preserve"> la Convención</w:t>
      </w:r>
      <w:r w:rsidR="00C05917" w:rsidRPr="00613F9A">
        <w:rPr>
          <w:rFonts w:ascii="Verdana" w:hAnsi="Verdana"/>
          <w:sz w:val="20"/>
          <w:szCs w:val="20"/>
          <w:vertAlign w:val="superscript"/>
          <w:lang w:val="es-ES"/>
        </w:rPr>
        <w:footnoteReference w:id="44"/>
      </w:r>
      <w:r w:rsidR="00D037C6" w:rsidRPr="00613F9A">
        <w:rPr>
          <w:rFonts w:ascii="Verdana" w:hAnsi="Verdana"/>
          <w:sz w:val="20"/>
          <w:szCs w:val="20"/>
          <w:lang w:val="es-ES"/>
        </w:rPr>
        <w:t xml:space="preserve"> es el respeto de los derechos humanos</w:t>
      </w:r>
      <w:r w:rsidR="00C05917" w:rsidRPr="00613F9A">
        <w:rPr>
          <w:rFonts w:ascii="Verdana" w:hAnsi="Verdana"/>
          <w:sz w:val="20"/>
          <w:szCs w:val="20"/>
          <w:vertAlign w:val="superscript"/>
          <w:lang w:val="es-ES"/>
        </w:rPr>
        <w:footnoteReference w:id="45"/>
      </w:r>
      <w:r w:rsidR="00E277D4" w:rsidRPr="00613F9A">
        <w:rPr>
          <w:rFonts w:ascii="Verdana" w:hAnsi="Verdana"/>
          <w:sz w:val="20"/>
          <w:szCs w:val="20"/>
          <w:lang w:val="es-ES"/>
        </w:rPr>
        <w:t xml:space="preserve"> y, en </w:t>
      </w:r>
      <w:r w:rsidR="00FE6B3B" w:rsidRPr="00613F9A">
        <w:rPr>
          <w:rFonts w:ascii="Verdana" w:hAnsi="Verdana"/>
          <w:sz w:val="20"/>
          <w:szCs w:val="20"/>
          <w:lang w:val="es-ES"/>
        </w:rPr>
        <w:t xml:space="preserve">particular, </w:t>
      </w:r>
      <w:r w:rsidR="00BE4E73" w:rsidRPr="00613F9A">
        <w:rPr>
          <w:rFonts w:ascii="Verdana" w:hAnsi="Verdana"/>
          <w:sz w:val="20"/>
          <w:szCs w:val="20"/>
          <w:lang w:val="es-ES"/>
        </w:rPr>
        <w:t xml:space="preserve">que la </w:t>
      </w:r>
      <w:r w:rsidR="00C37068" w:rsidRPr="00613F9A">
        <w:rPr>
          <w:rFonts w:ascii="Verdana" w:hAnsi="Verdana"/>
          <w:sz w:val="20"/>
          <w:szCs w:val="20"/>
          <w:lang w:val="es-ES"/>
        </w:rPr>
        <w:t xml:space="preserve">jurisdicción </w:t>
      </w:r>
      <w:r w:rsidR="00D7409F" w:rsidRPr="00613F9A">
        <w:rPr>
          <w:rFonts w:ascii="Verdana" w:hAnsi="Verdana"/>
          <w:sz w:val="20"/>
          <w:szCs w:val="20"/>
          <w:lang w:val="es-ES"/>
        </w:rPr>
        <w:t xml:space="preserve">interamericana </w:t>
      </w:r>
      <w:r w:rsidR="00BE4E73" w:rsidRPr="00613F9A">
        <w:rPr>
          <w:rFonts w:ascii="Verdana" w:hAnsi="Verdana"/>
          <w:sz w:val="20"/>
          <w:szCs w:val="20"/>
          <w:lang w:val="es-ES"/>
        </w:rPr>
        <w:t xml:space="preserve">es </w:t>
      </w:r>
      <w:r w:rsidR="00C37068" w:rsidRPr="00613F9A">
        <w:rPr>
          <w:rFonts w:ascii="Verdana" w:hAnsi="Verdana"/>
          <w:sz w:val="20"/>
          <w:szCs w:val="20"/>
          <w:lang w:val="es-ES"/>
        </w:rPr>
        <w:t>coadyuvante o complementaria de la protección que ofrece la jurisdicción nacional de los Estados americanos</w:t>
      </w:r>
      <w:r w:rsidR="00C37068" w:rsidRPr="00613F9A">
        <w:rPr>
          <w:rStyle w:val="Refdenotaalpie"/>
          <w:rFonts w:ascii="Verdana" w:hAnsi="Verdana"/>
          <w:sz w:val="20"/>
          <w:szCs w:val="20"/>
          <w:lang w:val="es-ES"/>
        </w:rPr>
        <w:footnoteReference w:id="46"/>
      </w:r>
      <w:r w:rsidR="00FE6B3B" w:rsidRPr="00613F9A">
        <w:rPr>
          <w:rFonts w:ascii="Verdana" w:hAnsi="Verdana"/>
          <w:sz w:val="20"/>
          <w:szCs w:val="20"/>
          <w:lang w:val="es-ES"/>
        </w:rPr>
        <w:t>. De allí</w:t>
      </w:r>
      <w:r w:rsidR="00D7409F" w:rsidRPr="00613F9A">
        <w:rPr>
          <w:rFonts w:ascii="Verdana" w:hAnsi="Verdana"/>
          <w:sz w:val="20"/>
          <w:szCs w:val="20"/>
          <w:lang w:val="es-ES"/>
        </w:rPr>
        <w:t xml:space="preserve">, en consecuencia, </w:t>
      </w:r>
      <w:r w:rsidR="00BE4E73" w:rsidRPr="00613F9A">
        <w:rPr>
          <w:rFonts w:ascii="Verdana" w:hAnsi="Verdana"/>
          <w:sz w:val="20"/>
          <w:szCs w:val="20"/>
          <w:lang w:val="es-ES"/>
        </w:rPr>
        <w:t xml:space="preserve">por una parte, </w:t>
      </w:r>
      <w:r w:rsidR="00FE6B3B" w:rsidRPr="00613F9A">
        <w:rPr>
          <w:rFonts w:ascii="Verdana" w:hAnsi="Verdana"/>
          <w:sz w:val="20"/>
          <w:szCs w:val="20"/>
          <w:lang w:val="es-ES"/>
        </w:rPr>
        <w:t xml:space="preserve">que </w:t>
      </w:r>
      <w:r w:rsidR="00C05917" w:rsidRPr="00613F9A">
        <w:rPr>
          <w:rFonts w:ascii="Verdana" w:hAnsi="Verdana"/>
          <w:sz w:val="20"/>
          <w:szCs w:val="20"/>
          <w:lang w:val="es-ES"/>
        </w:rPr>
        <w:t>la decisión que adopte en el ejercici</w:t>
      </w:r>
      <w:r w:rsidR="00C37068" w:rsidRPr="00613F9A">
        <w:rPr>
          <w:rFonts w:ascii="Verdana" w:hAnsi="Verdana"/>
          <w:sz w:val="20"/>
          <w:szCs w:val="20"/>
          <w:lang w:val="es-ES"/>
        </w:rPr>
        <w:t>o de su competencia contenciosa</w:t>
      </w:r>
      <w:r w:rsidR="00C05917" w:rsidRPr="00613F9A">
        <w:rPr>
          <w:rFonts w:ascii="Verdana" w:hAnsi="Verdana"/>
          <w:sz w:val="20"/>
          <w:szCs w:val="20"/>
          <w:lang w:val="es-ES"/>
        </w:rPr>
        <w:t xml:space="preserve"> debe tener por resultado el más efectivo respeto</w:t>
      </w:r>
      <w:r w:rsidR="00C7106F" w:rsidRPr="00613F9A">
        <w:rPr>
          <w:rFonts w:ascii="Verdana" w:hAnsi="Verdana"/>
          <w:sz w:val="20"/>
          <w:szCs w:val="20"/>
          <w:lang w:val="es-ES"/>
        </w:rPr>
        <w:t xml:space="preserve"> de aquellos</w:t>
      </w:r>
      <w:r w:rsidR="008D73A2" w:rsidRPr="00613F9A">
        <w:rPr>
          <w:rFonts w:ascii="Verdana" w:hAnsi="Verdana"/>
          <w:sz w:val="20"/>
          <w:szCs w:val="20"/>
          <w:lang w:val="es-ES"/>
        </w:rPr>
        <w:t xml:space="preserve"> por parte de los Estados o el </w:t>
      </w:r>
      <w:r w:rsidR="00C7106F" w:rsidRPr="00613F9A">
        <w:rPr>
          <w:rFonts w:ascii="Verdana" w:hAnsi="Verdana"/>
          <w:sz w:val="20"/>
          <w:szCs w:val="20"/>
          <w:lang w:val="es-ES"/>
        </w:rPr>
        <w:t>pronto restablecimiento de su vigencia</w:t>
      </w:r>
      <w:r w:rsidR="008D73A2" w:rsidRPr="00613F9A">
        <w:rPr>
          <w:rFonts w:ascii="Verdana" w:hAnsi="Verdana"/>
          <w:sz w:val="20"/>
          <w:szCs w:val="20"/>
          <w:lang w:val="es-ES"/>
        </w:rPr>
        <w:t xml:space="preserve"> en la eventualidad de que los hayan violados</w:t>
      </w:r>
      <w:r w:rsidR="00C05917" w:rsidRPr="00613F9A">
        <w:rPr>
          <w:rFonts w:ascii="Verdana" w:hAnsi="Verdana"/>
          <w:sz w:val="20"/>
          <w:szCs w:val="20"/>
          <w:vertAlign w:val="superscript"/>
          <w:lang w:val="es-ES"/>
        </w:rPr>
        <w:footnoteReference w:id="47"/>
      </w:r>
      <w:r w:rsidR="00C37068" w:rsidRPr="00613F9A">
        <w:rPr>
          <w:rFonts w:ascii="Verdana" w:hAnsi="Verdana"/>
          <w:sz w:val="20"/>
          <w:szCs w:val="20"/>
          <w:lang w:val="es-ES"/>
        </w:rPr>
        <w:t xml:space="preserve"> y</w:t>
      </w:r>
      <w:r w:rsidR="00BE4E73" w:rsidRPr="00613F9A">
        <w:rPr>
          <w:rFonts w:ascii="Verdana" w:hAnsi="Verdana"/>
          <w:sz w:val="20"/>
          <w:szCs w:val="20"/>
          <w:lang w:val="es-ES"/>
        </w:rPr>
        <w:t xml:space="preserve"> por la otra parte,</w:t>
      </w:r>
      <w:r w:rsidR="008A4349" w:rsidRPr="00613F9A">
        <w:rPr>
          <w:rFonts w:ascii="Verdana" w:hAnsi="Verdana"/>
          <w:sz w:val="20"/>
          <w:szCs w:val="20"/>
          <w:lang w:val="es-ES"/>
        </w:rPr>
        <w:t xml:space="preserve"> </w:t>
      </w:r>
      <w:r w:rsidR="00FE6B3B" w:rsidRPr="00613F9A">
        <w:rPr>
          <w:rFonts w:ascii="Verdana" w:hAnsi="Verdana"/>
          <w:sz w:val="20"/>
          <w:szCs w:val="20"/>
          <w:lang w:val="es-ES"/>
        </w:rPr>
        <w:t xml:space="preserve">que </w:t>
      </w:r>
      <w:r w:rsidR="00C05917" w:rsidRPr="00613F9A">
        <w:rPr>
          <w:rFonts w:ascii="Verdana" w:hAnsi="Verdana"/>
          <w:sz w:val="20"/>
          <w:szCs w:val="20"/>
          <w:lang w:val="es-ES"/>
        </w:rPr>
        <w:t xml:space="preserve">la opinión consultiva que emita en el ejercicio de la competencia no contenciosa o consultiva debe </w:t>
      </w:r>
      <w:r w:rsidR="00E277D4" w:rsidRPr="00613F9A">
        <w:rPr>
          <w:rFonts w:ascii="Verdana" w:hAnsi="Verdana"/>
          <w:sz w:val="20"/>
          <w:szCs w:val="20"/>
          <w:lang w:val="es-ES"/>
        </w:rPr>
        <w:t xml:space="preserve">efectivamente </w:t>
      </w:r>
      <w:r w:rsidR="00C37068" w:rsidRPr="00613F9A">
        <w:rPr>
          <w:rFonts w:ascii="Verdana" w:hAnsi="Verdana"/>
          <w:sz w:val="20"/>
          <w:szCs w:val="20"/>
          <w:lang w:val="es-ES"/>
        </w:rPr>
        <w:t>colaborar</w:t>
      </w:r>
      <w:r w:rsidR="00E277D4" w:rsidRPr="00613F9A">
        <w:rPr>
          <w:rFonts w:ascii="Verdana" w:hAnsi="Verdana"/>
          <w:sz w:val="20"/>
          <w:szCs w:val="20"/>
          <w:lang w:val="es-ES"/>
        </w:rPr>
        <w:t>, no obligar,</w:t>
      </w:r>
      <w:r w:rsidR="00C37068" w:rsidRPr="00613F9A">
        <w:rPr>
          <w:rFonts w:ascii="Verdana" w:hAnsi="Verdana"/>
          <w:sz w:val="20"/>
          <w:szCs w:val="20"/>
          <w:lang w:val="es-ES"/>
        </w:rPr>
        <w:t xml:space="preserve"> en vista de</w:t>
      </w:r>
      <w:r w:rsidR="00BE4E73" w:rsidRPr="00613F9A">
        <w:rPr>
          <w:rFonts w:ascii="Verdana" w:hAnsi="Verdana"/>
          <w:sz w:val="20"/>
          <w:szCs w:val="20"/>
          <w:lang w:val="es-ES"/>
        </w:rPr>
        <w:t xml:space="preserve"> que tales</w:t>
      </w:r>
      <w:r w:rsidR="00C7106F" w:rsidRPr="00613F9A">
        <w:rPr>
          <w:rFonts w:ascii="Verdana" w:hAnsi="Verdana"/>
          <w:sz w:val="20"/>
          <w:szCs w:val="20"/>
          <w:lang w:val="es-ES"/>
        </w:rPr>
        <w:t xml:space="preserve"> Estados o los órganos</w:t>
      </w:r>
      <w:r w:rsidR="00C37068" w:rsidRPr="00613F9A">
        <w:rPr>
          <w:rFonts w:ascii="Verdana" w:hAnsi="Verdana"/>
          <w:sz w:val="20"/>
          <w:szCs w:val="20"/>
          <w:lang w:val="es-ES"/>
        </w:rPr>
        <w:t xml:space="preserve"> que la requieran procedan acorde a lo dispuesto en la Convención y, consecuentemente, no inc</w:t>
      </w:r>
      <w:r w:rsidR="00BE4E73" w:rsidRPr="00613F9A">
        <w:rPr>
          <w:rFonts w:ascii="Verdana" w:hAnsi="Verdana"/>
          <w:sz w:val="20"/>
          <w:szCs w:val="20"/>
          <w:lang w:val="es-ES"/>
        </w:rPr>
        <w:t>urran en ilicitud internacional</w:t>
      </w:r>
      <w:r w:rsidR="00B30300" w:rsidRPr="00613F9A">
        <w:rPr>
          <w:rStyle w:val="Refdenotaalpie"/>
          <w:rFonts w:ascii="Verdana" w:hAnsi="Verdana"/>
          <w:sz w:val="20"/>
          <w:szCs w:val="20"/>
          <w:lang w:val="es-ES"/>
        </w:rPr>
        <w:footnoteReference w:id="48"/>
      </w:r>
      <w:r w:rsidR="00E277D4" w:rsidRPr="00613F9A">
        <w:rPr>
          <w:rFonts w:ascii="Verdana" w:hAnsi="Verdana"/>
          <w:sz w:val="20"/>
          <w:szCs w:val="20"/>
          <w:lang w:val="es-ES"/>
        </w:rPr>
        <w:t xml:space="preserve">. </w:t>
      </w:r>
      <w:r w:rsidR="00D7409F" w:rsidRPr="00613F9A">
        <w:rPr>
          <w:rFonts w:ascii="Verdana" w:hAnsi="Verdana"/>
          <w:sz w:val="20"/>
          <w:szCs w:val="20"/>
          <w:lang w:val="es-ES"/>
        </w:rPr>
        <w:t>El</w:t>
      </w:r>
      <w:r w:rsidR="00C05917" w:rsidRPr="00613F9A">
        <w:rPr>
          <w:rFonts w:ascii="Verdana" w:hAnsi="Verdana"/>
          <w:sz w:val="20"/>
          <w:szCs w:val="20"/>
          <w:lang w:val="es-ES"/>
        </w:rPr>
        <w:t xml:space="preserve"> cometido</w:t>
      </w:r>
      <w:r w:rsidR="00D7409F" w:rsidRPr="00613F9A">
        <w:rPr>
          <w:rFonts w:ascii="Verdana" w:hAnsi="Verdana"/>
          <w:sz w:val="20"/>
          <w:szCs w:val="20"/>
          <w:lang w:val="es-ES"/>
        </w:rPr>
        <w:t xml:space="preserve"> de la Corte</w:t>
      </w:r>
      <w:r w:rsidR="00C05917" w:rsidRPr="00613F9A">
        <w:rPr>
          <w:rFonts w:ascii="Verdana" w:hAnsi="Verdana"/>
          <w:sz w:val="20"/>
          <w:szCs w:val="20"/>
          <w:lang w:val="es-ES"/>
        </w:rPr>
        <w:t xml:space="preserve"> se asemejaría, entonces, a lo que acontece en el orden interno con los tribunales, por ejemplo, de familia, del trabajo </w:t>
      </w:r>
      <w:r w:rsidR="00C05917" w:rsidRPr="00613F9A">
        <w:rPr>
          <w:rFonts w:ascii="Verdana" w:hAnsi="Verdana"/>
          <w:sz w:val="20"/>
          <w:szCs w:val="20"/>
          <w:lang w:val="es-ES"/>
        </w:rPr>
        <w:lastRenderedPageBreak/>
        <w:t>o ambientales, los que deben resguardar los derechos de las niñas y los niños, de los trabajadores o los habitantes de las zonas protegidas, respectivamente, sin perjuicio de proceder con absoluta imparcialidad al respecto. La Corte debe, por ende, compatibilizar el interés especial que debe privilegiar con la imparcialidad con que lo debe llevar a la práctica.</w:t>
      </w:r>
    </w:p>
    <w:p w:rsidR="0037776A" w:rsidRPr="00613F9A" w:rsidRDefault="0037776A" w:rsidP="000978E9">
      <w:pPr>
        <w:pStyle w:val="Prrafodelista"/>
        <w:spacing w:after="120"/>
        <w:ind w:left="0"/>
        <w:jc w:val="both"/>
        <w:rPr>
          <w:rFonts w:ascii="Verdana" w:hAnsi="Verdana"/>
          <w:sz w:val="20"/>
          <w:szCs w:val="20"/>
        </w:rPr>
      </w:pPr>
    </w:p>
    <w:p w:rsidR="00C05917" w:rsidRPr="00613F9A" w:rsidRDefault="007E734D" w:rsidP="00B24719">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Ahora bien, en esa tarea, la Corte debe</w:t>
      </w:r>
      <w:r w:rsidR="00B30300" w:rsidRPr="00613F9A">
        <w:rPr>
          <w:rFonts w:ascii="Verdana" w:hAnsi="Verdana"/>
          <w:sz w:val="20"/>
          <w:szCs w:val="20"/>
          <w:lang w:val="es-ES"/>
        </w:rPr>
        <w:t xml:space="preserve"> </w:t>
      </w:r>
      <w:r w:rsidR="00C05917" w:rsidRPr="00613F9A">
        <w:rPr>
          <w:rFonts w:ascii="Verdana" w:hAnsi="Verdana"/>
          <w:sz w:val="20"/>
          <w:szCs w:val="20"/>
          <w:lang w:val="es-ES"/>
        </w:rPr>
        <w:t xml:space="preserve">señalar el sentido y alcance de sus disposiciones que, por ser en alguna medida percibidas como oscuras o dudosas, presenten varias posibilidades de aplicación. En este orden de ideas, es procedente tener en cuenta, en consecuencia, que con la interpretación de un tratado se intenta </w:t>
      </w:r>
      <w:r w:rsidR="00C05917" w:rsidRPr="00613F9A">
        <w:rPr>
          <w:rFonts w:ascii="Verdana" w:hAnsi="Verdana"/>
          <w:sz w:val="20"/>
          <w:szCs w:val="20"/>
        </w:rPr>
        <w:t>aclarar los aspectos oscuros o ambiguos que pueda contener, de lo que se colige que, en el caso de que lo previsto en él tenga sentido, no será necesario indagar más</w:t>
      </w:r>
      <w:r w:rsidR="00C05917" w:rsidRPr="00613F9A">
        <w:rPr>
          <w:rFonts w:ascii="Verdana" w:hAnsi="Verdana"/>
          <w:sz w:val="20"/>
          <w:szCs w:val="20"/>
          <w:vertAlign w:val="superscript"/>
        </w:rPr>
        <w:footnoteReference w:id="49"/>
      </w:r>
      <w:r w:rsidRPr="00613F9A">
        <w:rPr>
          <w:rFonts w:ascii="Verdana" w:hAnsi="Verdana"/>
          <w:sz w:val="20"/>
          <w:szCs w:val="20"/>
          <w:lang w:val="es-ES"/>
        </w:rPr>
        <w:t>. El desafío</w:t>
      </w:r>
      <w:r w:rsidR="00C05917" w:rsidRPr="00613F9A">
        <w:rPr>
          <w:rFonts w:ascii="Verdana" w:hAnsi="Verdana"/>
          <w:sz w:val="20"/>
          <w:szCs w:val="20"/>
          <w:lang w:val="es-ES"/>
        </w:rPr>
        <w:t xml:space="preserve"> de la interpretación consiste, por lo tanto, en desentrañar la voluntad que los Estados Partes de la Convención estamparon en ella al momento de suscribirla y, eventualmente, cómo esa expresión convencional debería ser entendida frente a nuevas situaciones. En este orden de ideas, resulta menester recordar que las sentencias</w:t>
      </w:r>
      <w:r w:rsidR="00B30300" w:rsidRPr="00613F9A">
        <w:rPr>
          <w:rFonts w:ascii="Verdana" w:hAnsi="Verdana"/>
          <w:sz w:val="20"/>
          <w:szCs w:val="20"/>
          <w:lang w:val="es-ES"/>
        </w:rPr>
        <w:t xml:space="preserve"> y opiniones consultivas</w:t>
      </w:r>
      <w:r w:rsidR="00C05917" w:rsidRPr="00613F9A">
        <w:rPr>
          <w:rFonts w:ascii="Verdana" w:hAnsi="Verdana"/>
          <w:sz w:val="20"/>
          <w:szCs w:val="20"/>
          <w:lang w:val="es-ES"/>
        </w:rPr>
        <w:t xml:space="preserve"> deben, por una parte, señalar únicamente lo que la Convención efectivamente dispone</w:t>
      </w:r>
      <w:r w:rsidR="00B30300" w:rsidRPr="00613F9A">
        <w:rPr>
          <w:rFonts w:ascii="Verdana" w:hAnsi="Verdana"/>
          <w:sz w:val="20"/>
          <w:szCs w:val="20"/>
          <w:lang w:val="es-ES"/>
        </w:rPr>
        <w:t xml:space="preserve">, incluyendo, sin duda alguna, el principio </w:t>
      </w:r>
      <w:r w:rsidR="00B30300" w:rsidRPr="00613F9A">
        <w:rPr>
          <w:rFonts w:ascii="Verdana" w:hAnsi="Verdana"/>
          <w:i/>
          <w:sz w:val="20"/>
          <w:szCs w:val="20"/>
          <w:lang w:val="es-ES"/>
        </w:rPr>
        <w:t>pro personae</w:t>
      </w:r>
      <w:r w:rsidR="00B30300" w:rsidRPr="00613F9A">
        <w:rPr>
          <w:rStyle w:val="Refdenotaalpie"/>
          <w:rFonts w:ascii="Verdana" w:hAnsi="Verdana"/>
          <w:i/>
          <w:sz w:val="20"/>
          <w:szCs w:val="20"/>
          <w:lang w:val="es-ES"/>
        </w:rPr>
        <w:footnoteReference w:id="50"/>
      </w:r>
      <w:r w:rsidR="00B30300" w:rsidRPr="00613F9A">
        <w:rPr>
          <w:rFonts w:ascii="Verdana" w:hAnsi="Verdana"/>
          <w:i/>
          <w:sz w:val="20"/>
          <w:szCs w:val="20"/>
          <w:lang w:val="es-ES"/>
        </w:rPr>
        <w:t>,</w:t>
      </w:r>
      <w:r w:rsidR="00C05917" w:rsidRPr="00613F9A">
        <w:rPr>
          <w:rFonts w:ascii="Verdana" w:hAnsi="Verdana"/>
          <w:sz w:val="20"/>
          <w:szCs w:val="20"/>
          <w:lang w:val="es-ES"/>
        </w:rPr>
        <w:t xml:space="preserve"> y no lo que desearía que estableciera</w:t>
      </w:r>
      <w:r w:rsidR="00B30300" w:rsidRPr="00613F9A">
        <w:rPr>
          <w:rFonts w:ascii="Verdana" w:hAnsi="Verdana"/>
          <w:sz w:val="20"/>
          <w:szCs w:val="20"/>
          <w:lang w:val="es-ES"/>
        </w:rPr>
        <w:t xml:space="preserve"> </w:t>
      </w:r>
      <w:r w:rsidR="00C05917" w:rsidRPr="00613F9A">
        <w:rPr>
          <w:rFonts w:ascii="Verdana" w:hAnsi="Verdana"/>
          <w:sz w:val="20"/>
          <w:szCs w:val="20"/>
          <w:lang w:val="es-ES"/>
        </w:rPr>
        <w:t>y por la otra, evitar modificarla.</w:t>
      </w:r>
    </w:p>
    <w:p w:rsidR="00C05917" w:rsidRPr="00613F9A" w:rsidRDefault="00C05917" w:rsidP="000978E9">
      <w:pPr>
        <w:spacing w:after="0" w:line="276" w:lineRule="auto"/>
        <w:ind w:left="0"/>
        <w:rPr>
          <w:rFonts w:ascii="Verdana" w:hAnsi="Verdana"/>
          <w:sz w:val="20"/>
          <w:szCs w:val="20"/>
          <w:lang w:val="es-ES"/>
        </w:rPr>
      </w:pPr>
    </w:p>
    <w:p w:rsidR="00903AE4" w:rsidRPr="00613F9A" w:rsidRDefault="007E734D" w:rsidP="00B24719">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 xml:space="preserve">Es, en consecuencia, por lo precedentemente indicado </w:t>
      </w:r>
      <w:r w:rsidR="00E277D4" w:rsidRPr="00613F9A">
        <w:rPr>
          <w:rFonts w:ascii="Verdana" w:hAnsi="Verdana"/>
          <w:sz w:val="20"/>
          <w:szCs w:val="20"/>
          <w:lang w:val="es-ES"/>
        </w:rPr>
        <w:t xml:space="preserve">que </w:t>
      </w:r>
      <w:r w:rsidR="00C05917" w:rsidRPr="00613F9A">
        <w:rPr>
          <w:rFonts w:ascii="Verdana" w:hAnsi="Verdana"/>
          <w:sz w:val="20"/>
          <w:szCs w:val="20"/>
          <w:lang w:val="es-ES"/>
        </w:rPr>
        <w:t xml:space="preserve">las sentencias </w:t>
      </w:r>
      <w:r w:rsidR="00E277D4" w:rsidRPr="00613F9A">
        <w:rPr>
          <w:rFonts w:ascii="Verdana" w:hAnsi="Verdana"/>
          <w:sz w:val="20"/>
          <w:szCs w:val="20"/>
          <w:lang w:val="es-ES"/>
        </w:rPr>
        <w:t xml:space="preserve">y las opiniones consultivas </w:t>
      </w:r>
      <w:r w:rsidR="00C05917" w:rsidRPr="00613F9A">
        <w:rPr>
          <w:rFonts w:ascii="Verdana" w:hAnsi="Verdana"/>
          <w:sz w:val="20"/>
          <w:szCs w:val="20"/>
          <w:lang w:val="es-ES"/>
        </w:rPr>
        <w:t>de la Corte debe</w:t>
      </w:r>
      <w:r w:rsidR="00FE6B3B" w:rsidRPr="00613F9A">
        <w:rPr>
          <w:rFonts w:ascii="Verdana" w:hAnsi="Verdana"/>
          <w:sz w:val="20"/>
          <w:szCs w:val="20"/>
          <w:lang w:val="es-ES"/>
        </w:rPr>
        <w:t>n recurrir</w:t>
      </w:r>
      <w:r w:rsidR="004B1914" w:rsidRPr="00613F9A">
        <w:rPr>
          <w:rFonts w:ascii="Verdana" w:hAnsi="Verdana"/>
          <w:sz w:val="20"/>
          <w:szCs w:val="20"/>
          <w:lang w:val="es-ES"/>
        </w:rPr>
        <w:t xml:space="preserve">, como afirma que </w:t>
      </w:r>
      <w:r w:rsidR="004B55EA" w:rsidRPr="00613F9A">
        <w:rPr>
          <w:rFonts w:ascii="Verdana" w:hAnsi="Verdana"/>
          <w:sz w:val="20"/>
          <w:szCs w:val="20"/>
          <w:lang w:val="es-ES"/>
        </w:rPr>
        <w:t>lo hace</w:t>
      </w:r>
      <w:r w:rsidR="00C05917" w:rsidRPr="00613F9A">
        <w:rPr>
          <w:rFonts w:ascii="Verdana" w:hAnsi="Verdana"/>
          <w:sz w:val="20"/>
          <w:szCs w:val="20"/>
          <w:vertAlign w:val="superscript"/>
          <w:lang w:val="es-ES"/>
        </w:rPr>
        <w:footnoteReference w:id="51"/>
      </w:r>
      <w:r w:rsidR="00BE4E73" w:rsidRPr="00613F9A">
        <w:rPr>
          <w:rFonts w:ascii="Verdana" w:hAnsi="Verdana"/>
          <w:sz w:val="20"/>
          <w:szCs w:val="20"/>
          <w:vertAlign w:val="superscript"/>
          <w:lang w:val="es-ES"/>
        </w:rPr>
        <w:t xml:space="preserve"> y </w:t>
      </w:r>
      <w:r w:rsidR="00BE4E73" w:rsidRPr="00613F9A">
        <w:rPr>
          <w:rStyle w:val="Refdenotaalpie"/>
          <w:rFonts w:ascii="Verdana" w:hAnsi="Verdana"/>
          <w:sz w:val="20"/>
          <w:szCs w:val="20"/>
          <w:lang w:val="es-ES"/>
        </w:rPr>
        <w:footnoteReference w:id="52"/>
      </w:r>
      <w:r w:rsidR="00C05917" w:rsidRPr="00613F9A">
        <w:rPr>
          <w:rFonts w:ascii="Verdana" w:hAnsi="Verdana"/>
          <w:sz w:val="20"/>
          <w:szCs w:val="20"/>
          <w:lang w:val="es-ES"/>
        </w:rPr>
        <w:t xml:space="preserve">, </w:t>
      </w:r>
      <w:r w:rsidR="00FE6B3B" w:rsidRPr="00613F9A">
        <w:rPr>
          <w:rFonts w:ascii="Verdana" w:hAnsi="Verdana"/>
          <w:sz w:val="20"/>
          <w:szCs w:val="20"/>
          <w:lang w:val="es-ES"/>
        </w:rPr>
        <w:t xml:space="preserve">a </w:t>
      </w:r>
      <w:r w:rsidR="00C05917" w:rsidRPr="00613F9A">
        <w:rPr>
          <w:rFonts w:ascii="Verdana" w:hAnsi="Verdana"/>
          <w:sz w:val="20"/>
          <w:szCs w:val="20"/>
          <w:lang w:val="es-ES"/>
        </w:rPr>
        <w:t>lo prescrito sobre la interpretación de los tratados por la</w:t>
      </w:r>
      <w:r w:rsidR="008A0013" w:rsidRPr="00613F9A">
        <w:rPr>
          <w:rFonts w:ascii="Verdana" w:hAnsi="Verdana"/>
          <w:sz w:val="20"/>
          <w:szCs w:val="20"/>
          <w:lang w:val="es-ES"/>
        </w:rPr>
        <w:t xml:space="preserve"> Convención de Viena</w:t>
      </w:r>
      <w:r w:rsidR="00C05917" w:rsidRPr="00613F9A">
        <w:rPr>
          <w:rFonts w:ascii="Verdana" w:hAnsi="Verdana"/>
          <w:sz w:val="20"/>
          <w:szCs w:val="20"/>
          <w:vertAlign w:val="superscript"/>
          <w:lang w:val="es-ES"/>
        </w:rPr>
        <w:footnoteReference w:id="53"/>
      </w:r>
      <w:r w:rsidR="00BE4E73" w:rsidRPr="00613F9A">
        <w:rPr>
          <w:rFonts w:ascii="Verdana" w:hAnsi="Verdana"/>
          <w:sz w:val="20"/>
          <w:szCs w:val="20"/>
          <w:lang w:val="es-ES"/>
        </w:rPr>
        <w:t>.</w:t>
      </w:r>
      <w:r w:rsidR="00C05917" w:rsidRPr="00613F9A">
        <w:rPr>
          <w:rFonts w:ascii="Verdana" w:hAnsi="Verdana"/>
          <w:sz w:val="20"/>
          <w:szCs w:val="20"/>
          <w:lang w:val="es-ES"/>
        </w:rPr>
        <w:t xml:space="preserve"> </w:t>
      </w:r>
    </w:p>
    <w:p w:rsidR="00903AE4" w:rsidRPr="00613F9A" w:rsidRDefault="00903AE4" w:rsidP="000978E9">
      <w:pPr>
        <w:spacing w:after="0" w:line="276" w:lineRule="auto"/>
        <w:ind w:left="0"/>
        <w:rPr>
          <w:rFonts w:ascii="Verdana" w:hAnsi="Verdana"/>
          <w:sz w:val="20"/>
          <w:szCs w:val="20"/>
          <w:lang w:val="es-ES"/>
        </w:rPr>
      </w:pPr>
    </w:p>
    <w:p w:rsidR="00903AE4" w:rsidRPr="00613F9A" w:rsidRDefault="00C05917" w:rsidP="00B24719">
      <w:pPr>
        <w:pStyle w:val="Prrafodelista"/>
        <w:numPr>
          <w:ilvl w:val="0"/>
          <w:numId w:val="2"/>
        </w:numPr>
        <w:spacing w:after="0"/>
        <w:ind w:left="0" w:firstLine="0"/>
        <w:jc w:val="both"/>
        <w:rPr>
          <w:rFonts w:ascii="Verdana" w:hAnsi="Verdana" w:cs="Courier New"/>
          <w:sz w:val="20"/>
          <w:szCs w:val="20"/>
          <w:shd w:val="clear" w:color="auto" w:fill="FFFFFF"/>
        </w:rPr>
      </w:pPr>
      <w:r w:rsidRPr="00613F9A">
        <w:rPr>
          <w:rFonts w:ascii="Verdana" w:hAnsi="Verdana"/>
          <w:sz w:val="20"/>
          <w:szCs w:val="20"/>
          <w:lang w:val="es-ES"/>
        </w:rPr>
        <w:t xml:space="preserve">Dichas normas </w:t>
      </w:r>
      <w:r w:rsidRPr="00613F9A">
        <w:rPr>
          <w:rFonts w:ascii="Verdana" w:hAnsi="Verdana" w:cs="Courier New"/>
          <w:sz w:val="20"/>
          <w:szCs w:val="20"/>
          <w:shd w:val="clear" w:color="auto" w:fill="FFFFFF"/>
        </w:rPr>
        <w:t>comprenden, por ende, tres métodos de interpretación.</w:t>
      </w:r>
      <w:r w:rsidR="008A4349" w:rsidRPr="00613F9A">
        <w:rPr>
          <w:rFonts w:ascii="Verdana" w:hAnsi="Verdana" w:cs="Courier New"/>
          <w:sz w:val="20"/>
          <w:szCs w:val="20"/>
          <w:shd w:val="clear" w:color="auto" w:fill="FFFFFF"/>
        </w:rPr>
        <w:t xml:space="preserve"> </w:t>
      </w:r>
      <w:r w:rsidRPr="00613F9A">
        <w:rPr>
          <w:rFonts w:ascii="Verdana" w:hAnsi="Verdana"/>
          <w:sz w:val="20"/>
          <w:szCs w:val="20"/>
        </w:rPr>
        <w:t>Uno, es el método textual o literal, que incide en el análisis del texto del tratado, en el vocabulario que emplea y en el sentido ordinario de sus términos. Otro, es el método subjetivo, que busca establecer la voluntad de las partes del tratado, analizando para ello, además, los trabajos preparatorios y la conducta ulterior de aquellas. Y el tercero, es el método funcional o teleológico, que pretende determinar el fin o función para el que fue celebrado el tratado, buscando cumplir su objeto y fin.</w:t>
      </w:r>
      <w:r w:rsidRPr="00613F9A">
        <w:rPr>
          <w:rFonts w:ascii="Verdana" w:hAnsi="Verdana" w:cs="Courier New"/>
          <w:sz w:val="20"/>
          <w:szCs w:val="20"/>
          <w:shd w:val="clear" w:color="auto" w:fill="FFFFFF"/>
        </w:rPr>
        <w:t xml:space="preserve"> </w:t>
      </w:r>
    </w:p>
    <w:p w:rsidR="00903AE4" w:rsidRPr="00613F9A" w:rsidRDefault="00903AE4" w:rsidP="000978E9">
      <w:pPr>
        <w:pStyle w:val="Prrafodelista"/>
        <w:ind w:left="0"/>
        <w:jc w:val="both"/>
        <w:rPr>
          <w:rFonts w:ascii="Verdana" w:hAnsi="Verdana" w:cs="Courier New"/>
          <w:sz w:val="20"/>
          <w:szCs w:val="20"/>
          <w:shd w:val="clear" w:color="auto" w:fill="FFFFFF"/>
        </w:rPr>
      </w:pPr>
    </w:p>
    <w:p w:rsidR="00903AE4" w:rsidRPr="00613F9A" w:rsidRDefault="00C05917" w:rsidP="00B24719">
      <w:pPr>
        <w:pStyle w:val="Prrafodelista"/>
        <w:numPr>
          <w:ilvl w:val="0"/>
          <w:numId w:val="2"/>
        </w:numPr>
        <w:spacing w:before="120" w:after="0"/>
        <w:ind w:left="0" w:firstLine="0"/>
        <w:jc w:val="both"/>
        <w:rPr>
          <w:rFonts w:ascii="Verdana" w:hAnsi="Verdana" w:cs="Courier New"/>
          <w:sz w:val="20"/>
          <w:szCs w:val="20"/>
          <w:shd w:val="clear" w:color="auto" w:fill="FFFFFF"/>
        </w:rPr>
      </w:pPr>
      <w:r w:rsidRPr="00613F9A">
        <w:rPr>
          <w:rFonts w:ascii="Verdana" w:hAnsi="Verdana" w:cs="Courier New"/>
          <w:sz w:val="20"/>
          <w:szCs w:val="20"/>
          <w:shd w:val="clear" w:color="auto" w:fill="FFFFFF"/>
        </w:rPr>
        <w:t>Ahora bien, los mencionados tres métodos se expresan en cuatro reglas, es decir, la bu</w:t>
      </w:r>
      <w:r w:rsidR="006D3E6B" w:rsidRPr="00613F9A">
        <w:rPr>
          <w:rFonts w:ascii="Verdana" w:hAnsi="Verdana" w:cs="Courier New"/>
          <w:sz w:val="20"/>
          <w:szCs w:val="20"/>
          <w:shd w:val="clear" w:color="auto" w:fill="FFFFFF"/>
        </w:rPr>
        <w:t>ena fe</w:t>
      </w:r>
      <w:r w:rsidRPr="00613F9A">
        <w:rPr>
          <w:rFonts w:ascii="Verdana" w:hAnsi="Verdana" w:cs="Courier New"/>
          <w:sz w:val="20"/>
          <w:szCs w:val="20"/>
          <w:shd w:val="clear" w:color="auto" w:fill="FFFFFF"/>
        </w:rPr>
        <w:t>, sus términos, el contexto de éstos y el objeto y fin perseguido, reglas que deben aplicarse simultánea y armoniosamente, sin omitir ninguna ni ta</w:t>
      </w:r>
      <w:r w:rsidR="001020A7" w:rsidRPr="00613F9A">
        <w:rPr>
          <w:rFonts w:ascii="Verdana" w:hAnsi="Verdana" w:cs="Courier New"/>
          <w:sz w:val="20"/>
          <w:szCs w:val="20"/>
          <w:shd w:val="clear" w:color="auto" w:fill="FFFFFF"/>
        </w:rPr>
        <w:t>mpoco privilegiar una sobre otra</w:t>
      </w:r>
      <w:r w:rsidR="006D3E6B" w:rsidRPr="00613F9A">
        <w:rPr>
          <w:rFonts w:ascii="Verdana" w:hAnsi="Verdana" w:cs="Courier New"/>
          <w:sz w:val="20"/>
          <w:szCs w:val="20"/>
          <w:shd w:val="clear" w:color="auto" w:fill="FFFFFF"/>
        </w:rPr>
        <w:t>.</w:t>
      </w:r>
    </w:p>
    <w:p w:rsidR="00903AE4" w:rsidRPr="00613F9A" w:rsidRDefault="00903AE4" w:rsidP="000978E9">
      <w:pPr>
        <w:spacing w:after="0" w:line="276" w:lineRule="auto"/>
        <w:ind w:left="0"/>
        <w:rPr>
          <w:rFonts w:ascii="Verdana" w:hAnsi="Verdana" w:cs="Courier New"/>
          <w:sz w:val="20"/>
          <w:szCs w:val="20"/>
          <w:shd w:val="clear" w:color="auto" w:fill="FFFFFF"/>
        </w:rPr>
      </w:pPr>
    </w:p>
    <w:p w:rsidR="00C05917" w:rsidRDefault="00E277D4" w:rsidP="00B24719">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 xml:space="preserve">En síntesis, </w:t>
      </w:r>
      <w:r w:rsidR="00C05917" w:rsidRPr="00613F9A">
        <w:rPr>
          <w:rFonts w:ascii="Verdana" w:hAnsi="Verdana"/>
          <w:sz w:val="20"/>
          <w:szCs w:val="20"/>
          <w:lang w:val="es-ES"/>
        </w:rPr>
        <w:t>la misión de la Corte de impartir Justicia</w:t>
      </w:r>
      <w:r w:rsidR="00FE6B3B" w:rsidRPr="00613F9A">
        <w:rPr>
          <w:rFonts w:ascii="Verdana" w:hAnsi="Verdana"/>
          <w:sz w:val="20"/>
          <w:szCs w:val="20"/>
          <w:lang w:val="es-ES"/>
        </w:rPr>
        <w:t xml:space="preserve"> en materia de derechos humanos, es</w:t>
      </w:r>
      <w:r w:rsidR="00C05917" w:rsidRPr="00613F9A">
        <w:rPr>
          <w:rFonts w:ascii="Verdana" w:hAnsi="Verdana"/>
          <w:sz w:val="20"/>
          <w:szCs w:val="20"/>
          <w:lang w:val="es-ES"/>
        </w:rPr>
        <w:t xml:space="preserve"> a través o por medio del Derecho y no promover los derechos humanos, al menos de manera exclusiva y directa, aunque uno de sus efectos sea en definitiva y precisamente ese. Consecuentemente, como órgano jurisdiccional, la Corte no cuenta con la facultad de juzgar al margen o con prescindencia de lo </w:t>
      </w:r>
      <w:r w:rsidR="002A256B" w:rsidRPr="00613F9A">
        <w:rPr>
          <w:rFonts w:ascii="Verdana" w:hAnsi="Verdana"/>
          <w:sz w:val="20"/>
          <w:szCs w:val="20"/>
          <w:lang w:val="es-ES"/>
        </w:rPr>
        <w:t xml:space="preserve">que </w:t>
      </w:r>
      <w:r w:rsidR="00C05917" w:rsidRPr="00613F9A">
        <w:rPr>
          <w:rFonts w:ascii="Verdana" w:hAnsi="Verdana"/>
          <w:sz w:val="20"/>
          <w:szCs w:val="20"/>
          <w:lang w:val="es-ES"/>
        </w:rPr>
        <w:t>disponga el Derecho, expresado, a su respecto, en la Convención. Al proceder ajustado a lo contemplado en esta última, la Corte</w:t>
      </w:r>
      <w:r w:rsidR="00E52211" w:rsidRPr="00613F9A">
        <w:rPr>
          <w:rFonts w:ascii="Verdana" w:hAnsi="Verdana"/>
          <w:sz w:val="20"/>
          <w:szCs w:val="20"/>
          <w:lang w:val="es-ES"/>
        </w:rPr>
        <w:t>, integrada por personas que, por tanto, pueden equivocarse,</w:t>
      </w:r>
      <w:r w:rsidR="00C05917" w:rsidRPr="00613F9A">
        <w:rPr>
          <w:rFonts w:ascii="Verdana" w:hAnsi="Verdana"/>
          <w:sz w:val="20"/>
          <w:szCs w:val="20"/>
          <w:lang w:val="es-ES"/>
        </w:rPr>
        <w:t xml:space="preserve"> garantiza </w:t>
      </w:r>
      <w:r w:rsidR="00E52211" w:rsidRPr="00613F9A">
        <w:rPr>
          <w:rFonts w:ascii="Verdana" w:hAnsi="Verdana"/>
          <w:sz w:val="20"/>
          <w:szCs w:val="20"/>
          <w:lang w:val="es-ES"/>
        </w:rPr>
        <w:t xml:space="preserve">tanto que el margen de error sea </w:t>
      </w:r>
      <w:r w:rsidR="00C34468" w:rsidRPr="00613F9A">
        <w:rPr>
          <w:rFonts w:ascii="Verdana" w:hAnsi="Verdana"/>
          <w:sz w:val="20"/>
          <w:szCs w:val="20"/>
          <w:lang w:val="es-ES"/>
        </w:rPr>
        <w:t xml:space="preserve">el </w:t>
      </w:r>
      <w:r w:rsidR="00E52211" w:rsidRPr="00613F9A">
        <w:rPr>
          <w:rFonts w:ascii="Verdana" w:hAnsi="Verdana"/>
          <w:sz w:val="20"/>
          <w:szCs w:val="20"/>
          <w:lang w:val="es-ES"/>
        </w:rPr>
        <w:t>menor</w:t>
      </w:r>
      <w:r w:rsidR="00C34468" w:rsidRPr="00613F9A">
        <w:rPr>
          <w:rFonts w:ascii="Verdana" w:hAnsi="Verdana"/>
          <w:sz w:val="20"/>
          <w:szCs w:val="20"/>
          <w:lang w:val="es-ES"/>
        </w:rPr>
        <w:t xml:space="preserve"> posible </w:t>
      </w:r>
      <w:r w:rsidR="00E52211" w:rsidRPr="00613F9A">
        <w:rPr>
          <w:rFonts w:ascii="Verdana" w:hAnsi="Verdana"/>
          <w:sz w:val="20"/>
          <w:szCs w:val="20"/>
          <w:lang w:val="es-ES"/>
        </w:rPr>
        <w:t xml:space="preserve">como la </w:t>
      </w:r>
      <w:r w:rsidR="00C05917" w:rsidRPr="00613F9A">
        <w:rPr>
          <w:rFonts w:ascii="Verdana" w:hAnsi="Verdana"/>
          <w:sz w:val="20"/>
          <w:szCs w:val="20"/>
          <w:lang w:val="es-ES"/>
        </w:rPr>
        <w:t>imparcialidad</w:t>
      </w:r>
      <w:r w:rsidR="007E734D" w:rsidRPr="00613F9A">
        <w:rPr>
          <w:rFonts w:ascii="Verdana" w:hAnsi="Verdana"/>
          <w:sz w:val="20"/>
          <w:szCs w:val="20"/>
          <w:lang w:val="es-ES"/>
        </w:rPr>
        <w:t xml:space="preserve"> de sus</w:t>
      </w:r>
      <w:r w:rsidR="00C34468" w:rsidRPr="00613F9A">
        <w:rPr>
          <w:rFonts w:ascii="Verdana" w:hAnsi="Verdana"/>
          <w:sz w:val="20"/>
          <w:szCs w:val="20"/>
          <w:lang w:val="es-ES"/>
        </w:rPr>
        <w:t xml:space="preserve"> jueces, </w:t>
      </w:r>
      <w:r w:rsidR="00C05917" w:rsidRPr="00613F9A">
        <w:rPr>
          <w:rFonts w:ascii="Verdana" w:hAnsi="Verdana"/>
          <w:sz w:val="20"/>
          <w:szCs w:val="20"/>
          <w:lang w:val="es-ES"/>
        </w:rPr>
        <w:t>proporciona</w:t>
      </w:r>
      <w:r w:rsidR="00C34468" w:rsidRPr="00613F9A">
        <w:rPr>
          <w:rFonts w:ascii="Verdana" w:hAnsi="Verdana"/>
          <w:sz w:val="20"/>
          <w:szCs w:val="20"/>
          <w:lang w:val="es-ES"/>
        </w:rPr>
        <w:t>ndo</w:t>
      </w:r>
      <w:r w:rsidR="00C05917" w:rsidRPr="00613F9A">
        <w:rPr>
          <w:rFonts w:ascii="Verdana" w:hAnsi="Verdana"/>
          <w:sz w:val="20"/>
          <w:szCs w:val="20"/>
          <w:lang w:val="es-ES"/>
        </w:rPr>
        <w:t xml:space="preserve"> a</w:t>
      </w:r>
      <w:r w:rsidR="00C34468" w:rsidRPr="00613F9A">
        <w:rPr>
          <w:rFonts w:ascii="Verdana" w:hAnsi="Verdana"/>
          <w:sz w:val="20"/>
          <w:szCs w:val="20"/>
          <w:lang w:val="es-ES"/>
        </w:rPr>
        <w:t xml:space="preserve">sí a </w:t>
      </w:r>
      <w:r w:rsidR="00C05917" w:rsidRPr="00613F9A">
        <w:rPr>
          <w:rFonts w:ascii="Verdana" w:hAnsi="Verdana"/>
          <w:sz w:val="20"/>
          <w:szCs w:val="20"/>
          <w:lang w:val="es-ES"/>
        </w:rPr>
        <w:t>sus fallos la necesaria y correspondiente seguridad jurídica.</w:t>
      </w:r>
    </w:p>
    <w:p w:rsidR="00613F9A" w:rsidRPr="00613F9A" w:rsidRDefault="00613F9A" w:rsidP="00613F9A">
      <w:pPr>
        <w:pStyle w:val="Prrafodelista"/>
        <w:rPr>
          <w:rFonts w:ascii="Verdana" w:hAnsi="Verdana"/>
          <w:sz w:val="20"/>
          <w:szCs w:val="20"/>
          <w:lang w:val="es-ES"/>
        </w:rPr>
      </w:pPr>
    </w:p>
    <w:p w:rsidR="00C05917" w:rsidRPr="00613F9A" w:rsidRDefault="00C05917" w:rsidP="00613F9A">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 xml:space="preserve">Lo que está subyacente a lo que se expone en estas líneas es, pues, que el Derecho es el medio para alcanzar la Justicia y ésta la paz y, por ende, dado que el Derecho Internacional de los Derechos Humanos forma parte del Derecho Internacional </w:t>
      </w:r>
      <w:r w:rsidR="007E734D" w:rsidRPr="00613F9A">
        <w:rPr>
          <w:rFonts w:ascii="Verdana" w:hAnsi="Verdana"/>
          <w:sz w:val="20"/>
          <w:szCs w:val="20"/>
          <w:lang w:val="es-ES"/>
        </w:rPr>
        <w:t xml:space="preserve">Público </w:t>
      </w:r>
      <w:r w:rsidRPr="00613F9A">
        <w:rPr>
          <w:rFonts w:ascii="Verdana" w:hAnsi="Verdana"/>
          <w:sz w:val="20"/>
          <w:szCs w:val="20"/>
          <w:lang w:val="es-ES"/>
        </w:rPr>
        <w:t xml:space="preserve">General, la interpretación y aplicación de aquél deben ser realizadas en concordancia con lo prescrito </w:t>
      </w:r>
      <w:r w:rsidR="00E52211" w:rsidRPr="00613F9A">
        <w:rPr>
          <w:rFonts w:ascii="Verdana" w:hAnsi="Verdana"/>
          <w:sz w:val="20"/>
          <w:szCs w:val="20"/>
          <w:lang w:val="es-ES"/>
        </w:rPr>
        <w:t xml:space="preserve">también </w:t>
      </w:r>
      <w:r w:rsidRPr="00613F9A">
        <w:rPr>
          <w:rFonts w:ascii="Verdana" w:hAnsi="Verdana"/>
          <w:sz w:val="20"/>
          <w:szCs w:val="20"/>
          <w:lang w:val="es-ES"/>
        </w:rPr>
        <w:t>en éste</w:t>
      </w:r>
      <w:r w:rsidRPr="00613F9A">
        <w:rPr>
          <w:rFonts w:ascii="Verdana" w:hAnsi="Verdana"/>
          <w:sz w:val="20"/>
          <w:szCs w:val="20"/>
          <w:vertAlign w:val="superscript"/>
          <w:lang w:val="es-ES"/>
        </w:rPr>
        <w:footnoteReference w:id="54"/>
      </w:r>
      <w:r w:rsidRPr="00613F9A">
        <w:rPr>
          <w:rFonts w:ascii="Verdana" w:hAnsi="Verdana"/>
          <w:sz w:val="20"/>
          <w:szCs w:val="20"/>
          <w:lang w:val="es-ES"/>
        </w:rPr>
        <w:t xml:space="preserve">. </w:t>
      </w:r>
    </w:p>
    <w:p w:rsidR="00C05917" w:rsidRPr="00613F9A" w:rsidRDefault="00C05917" w:rsidP="000978E9">
      <w:pPr>
        <w:spacing w:after="0" w:line="276" w:lineRule="auto"/>
        <w:ind w:left="0"/>
        <w:rPr>
          <w:rFonts w:ascii="Verdana" w:hAnsi="Verdana"/>
          <w:sz w:val="20"/>
          <w:szCs w:val="20"/>
          <w:lang w:val="es-ES"/>
        </w:rPr>
      </w:pPr>
    </w:p>
    <w:p w:rsidR="00C05917" w:rsidRPr="00613F9A" w:rsidRDefault="00C05917" w:rsidP="00B24719">
      <w:pPr>
        <w:pStyle w:val="Prrafodelista"/>
        <w:numPr>
          <w:ilvl w:val="0"/>
          <w:numId w:val="13"/>
        </w:numPr>
        <w:spacing w:after="0"/>
        <w:jc w:val="both"/>
        <w:rPr>
          <w:rFonts w:ascii="Verdana" w:hAnsi="Verdana"/>
          <w:b/>
          <w:sz w:val="20"/>
          <w:szCs w:val="20"/>
          <w:lang w:val="es-ES"/>
        </w:rPr>
      </w:pPr>
      <w:r w:rsidRPr="00613F9A">
        <w:rPr>
          <w:rFonts w:ascii="Verdana" w:hAnsi="Verdana"/>
          <w:b/>
          <w:sz w:val="20"/>
          <w:szCs w:val="20"/>
          <w:lang w:val="es-ES"/>
        </w:rPr>
        <w:t>En lo que respecta a la presente disidencia.</w:t>
      </w:r>
    </w:p>
    <w:p w:rsidR="00C05917" w:rsidRPr="00613F9A" w:rsidRDefault="00C05917" w:rsidP="000978E9">
      <w:pPr>
        <w:tabs>
          <w:tab w:val="left" w:pos="1032"/>
        </w:tabs>
        <w:spacing w:after="0" w:line="276" w:lineRule="auto"/>
        <w:ind w:left="0" w:firstLine="1035"/>
        <w:rPr>
          <w:rFonts w:ascii="Verdana" w:hAnsi="Verdana"/>
          <w:b/>
          <w:sz w:val="20"/>
          <w:szCs w:val="20"/>
          <w:lang w:val="es-ES"/>
        </w:rPr>
      </w:pPr>
    </w:p>
    <w:p w:rsidR="00C05917" w:rsidRPr="00613F9A" w:rsidRDefault="00C05917" w:rsidP="00B24719">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E</w:t>
      </w:r>
      <w:r w:rsidRPr="00613F9A">
        <w:rPr>
          <w:rFonts w:ascii="Verdana" w:hAnsi="Verdana"/>
          <w:sz w:val="20"/>
          <w:szCs w:val="20"/>
        </w:rPr>
        <w:t>l caso de autos se refería, en lo principal o substancial, a la “</w:t>
      </w:r>
      <w:r w:rsidRPr="00613F9A">
        <w:rPr>
          <w:rFonts w:ascii="Verdana" w:hAnsi="Verdana" w:cs="Arial"/>
          <w:i/>
          <w:sz w:val="20"/>
          <w:szCs w:val="20"/>
          <w:lang w:val="es-CR"/>
        </w:rPr>
        <w:t>violación del derecho a la tutela judicial efectiva</w:t>
      </w:r>
      <w:r w:rsidRPr="00613F9A">
        <w:rPr>
          <w:rFonts w:ascii="Verdana" w:hAnsi="Verdana" w:cs="Arial"/>
          <w:sz w:val="20"/>
          <w:szCs w:val="20"/>
          <w:lang w:val="es-CR"/>
        </w:rPr>
        <w:t>” por incumplimiento de una sentencia judicial que ordenó la reincorporación de la víctima al régimen pensionario vigente en el Estado</w:t>
      </w:r>
      <w:r w:rsidRPr="00613F9A">
        <w:rPr>
          <w:rFonts w:ascii="Verdana" w:hAnsi="Verdana"/>
          <w:sz w:val="20"/>
          <w:szCs w:val="20"/>
          <w:vertAlign w:val="superscript"/>
          <w:lang w:val="es-CR"/>
        </w:rPr>
        <w:footnoteReference w:id="55"/>
      </w:r>
      <w:r w:rsidRPr="00613F9A">
        <w:rPr>
          <w:rFonts w:ascii="Verdana" w:hAnsi="Verdana" w:cs="Arial"/>
          <w:i/>
          <w:sz w:val="20"/>
          <w:szCs w:val="20"/>
          <w:lang w:val="es-CR"/>
        </w:rPr>
        <w:t>.</w:t>
      </w:r>
      <w:r w:rsidRPr="00613F9A">
        <w:rPr>
          <w:rFonts w:ascii="Verdana" w:hAnsi="Verdana" w:cs="Arial"/>
          <w:sz w:val="20"/>
          <w:szCs w:val="20"/>
          <w:lang w:val="es-CR"/>
        </w:rPr>
        <w:t xml:space="preserve"> La controversia versaba, en consecuencia, sobre la violación de dicho derecho.</w:t>
      </w:r>
    </w:p>
    <w:p w:rsidR="00C05917" w:rsidRPr="00613F9A" w:rsidRDefault="00C05917" w:rsidP="000978E9">
      <w:pPr>
        <w:spacing w:after="0" w:line="276" w:lineRule="auto"/>
        <w:ind w:left="0"/>
        <w:rPr>
          <w:rFonts w:ascii="Verdana" w:hAnsi="Verdana"/>
          <w:sz w:val="20"/>
          <w:szCs w:val="20"/>
          <w:lang w:val="es-ES"/>
        </w:rPr>
      </w:pPr>
    </w:p>
    <w:p w:rsidR="00C05917" w:rsidRPr="00613F9A" w:rsidRDefault="00C05917" w:rsidP="00B24719">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lastRenderedPageBreak/>
        <w:t>Empero, la Sentencia resolvió, entre otras cosas, que el Estado violó el artículo 26 de la Convención dado que no respetó el derecho a la seguridad social de la víctima y, consecuentemente, también su derecho de propied</w:t>
      </w:r>
      <w:r w:rsidR="00D43E72" w:rsidRPr="00613F9A">
        <w:rPr>
          <w:rFonts w:ascii="Verdana" w:hAnsi="Verdana"/>
          <w:sz w:val="20"/>
          <w:szCs w:val="20"/>
          <w:lang w:val="es-ES"/>
        </w:rPr>
        <w:t>ad, añadiendo así nuevos elementos a</w:t>
      </w:r>
      <w:r w:rsidRPr="00613F9A">
        <w:rPr>
          <w:rFonts w:ascii="Verdana" w:hAnsi="Verdana"/>
          <w:sz w:val="20"/>
          <w:szCs w:val="20"/>
          <w:lang w:val="es-ES"/>
        </w:rPr>
        <w:t xml:space="preserve"> la controversia. Cabe recordar que la Comisión no planteó, al someter el caso a la Corte, la violación del mencionado artículo 26 en relación con el derecho a la seguridad social, lo que, en cambio, hicieron los peticionarios</w:t>
      </w:r>
      <w:r w:rsidRPr="00613F9A">
        <w:rPr>
          <w:rFonts w:ascii="Verdana" w:hAnsi="Verdana"/>
          <w:sz w:val="20"/>
          <w:szCs w:val="20"/>
          <w:vertAlign w:val="superscript"/>
          <w:lang w:val="es-ES"/>
        </w:rPr>
        <w:footnoteReference w:id="56"/>
      </w:r>
      <w:r w:rsidRPr="00613F9A">
        <w:rPr>
          <w:rFonts w:ascii="Verdana" w:hAnsi="Verdana"/>
          <w:sz w:val="20"/>
          <w:szCs w:val="20"/>
          <w:lang w:val="es-ES"/>
        </w:rPr>
        <w:t xml:space="preserve">. </w:t>
      </w:r>
    </w:p>
    <w:p w:rsidR="00C05917" w:rsidRPr="00613F9A" w:rsidRDefault="00C05917" w:rsidP="000978E9">
      <w:pPr>
        <w:spacing w:after="0" w:line="276" w:lineRule="auto"/>
        <w:ind w:left="0"/>
        <w:rPr>
          <w:rFonts w:ascii="Verdana" w:hAnsi="Verdana"/>
          <w:sz w:val="20"/>
          <w:szCs w:val="20"/>
          <w:lang w:val="es-ES"/>
        </w:rPr>
      </w:pPr>
    </w:p>
    <w:p w:rsidR="00C05917" w:rsidRPr="00613F9A" w:rsidRDefault="00C05917" w:rsidP="00B24719">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En tal orden de ideas, es de suma relevancia indicar, en consecuencia, que el presente escrito no se refiere a la existencia del derecho a la seguridad social ni menos aún a la del derecho de propiedad, como tampoco a la los demás derechos económicos, sociales y c</w:t>
      </w:r>
      <w:r w:rsidR="00AB7554" w:rsidRPr="00613F9A">
        <w:rPr>
          <w:rFonts w:ascii="Verdana" w:hAnsi="Verdana"/>
          <w:sz w:val="20"/>
          <w:szCs w:val="20"/>
          <w:lang w:val="es-ES"/>
        </w:rPr>
        <w:t>ulturales</w:t>
      </w:r>
      <w:r w:rsidRPr="00613F9A">
        <w:rPr>
          <w:rFonts w:ascii="Verdana" w:hAnsi="Verdana"/>
          <w:sz w:val="20"/>
          <w:szCs w:val="20"/>
          <w:lang w:val="es-ES"/>
        </w:rPr>
        <w:t xml:space="preserve">. </w:t>
      </w:r>
      <w:r w:rsidR="00AB7554" w:rsidRPr="00613F9A">
        <w:rPr>
          <w:rFonts w:ascii="Verdana" w:hAnsi="Verdana"/>
          <w:sz w:val="20"/>
          <w:szCs w:val="20"/>
          <w:lang w:val="es-ES"/>
        </w:rPr>
        <w:t>Únicamente aborda la cuestión acerca de la posibilidad de tales derechos de ser justiciables ante la Corte.</w:t>
      </w:r>
    </w:p>
    <w:p w:rsidR="00C05917" w:rsidRPr="00613F9A" w:rsidRDefault="00C05917" w:rsidP="000978E9">
      <w:pPr>
        <w:spacing w:after="0" w:line="276" w:lineRule="auto"/>
        <w:ind w:left="0"/>
        <w:rPr>
          <w:rFonts w:ascii="Verdana" w:hAnsi="Verdana"/>
          <w:sz w:val="20"/>
          <w:szCs w:val="20"/>
          <w:lang w:val="es-ES"/>
        </w:rPr>
      </w:pPr>
    </w:p>
    <w:p w:rsidR="00C05917" w:rsidRPr="00613F9A" w:rsidRDefault="00B14268" w:rsidP="00B24719">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R</w:t>
      </w:r>
      <w:r w:rsidR="00AB7554" w:rsidRPr="00613F9A">
        <w:rPr>
          <w:rFonts w:ascii="Verdana" w:hAnsi="Verdana"/>
          <w:sz w:val="20"/>
          <w:szCs w:val="20"/>
          <w:lang w:val="es-ES"/>
        </w:rPr>
        <w:t xml:space="preserve">especto </w:t>
      </w:r>
      <w:r w:rsidR="0040414A" w:rsidRPr="00613F9A">
        <w:rPr>
          <w:rFonts w:ascii="Verdana" w:hAnsi="Verdana"/>
          <w:sz w:val="20"/>
          <w:szCs w:val="20"/>
          <w:lang w:val="es-ES"/>
        </w:rPr>
        <w:t>del derecho a la propiedad</w:t>
      </w:r>
      <w:r w:rsidR="00AB7554" w:rsidRPr="00613F9A">
        <w:rPr>
          <w:rFonts w:ascii="Verdana" w:hAnsi="Verdana"/>
          <w:sz w:val="20"/>
          <w:szCs w:val="20"/>
          <w:lang w:val="es-ES"/>
        </w:rPr>
        <w:t>, baste con afirmar que el</w:t>
      </w:r>
      <w:r w:rsidR="00C05917" w:rsidRPr="00613F9A">
        <w:rPr>
          <w:rFonts w:ascii="Verdana" w:hAnsi="Verdana"/>
          <w:sz w:val="20"/>
          <w:szCs w:val="20"/>
          <w:lang w:val="es-ES"/>
        </w:rPr>
        <w:t xml:space="preserve"> fundamento</w:t>
      </w:r>
      <w:r w:rsidR="007B1BF5" w:rsidRPr="00613F9A">
        <w:rPr>
          <w:rFonts w:ascii="Verdana" w:hAnsi="Verdana"/>
          <w:sz w:val="20"/>
          <w:szCs w:val="20"/>
          <w:lang w:val="es-ES"/>
        </w:rPr>
        <w:t xml:space="preserve"> de su carácter</w:t>
      </w:r>
      <w:r w:rsidR="00AB7554" w:rsidRPr="00613F9A">
        <w:rPr>
          <w:rFonts w:ascii="Verdana" w:hAnsi="Verdana"/>
          <w:sz w:val="20"/>
          <w:szCs w:val="20"/>
          <w:lang w:val="es-ES"/>
        </w:rPr>
        <w:t xml:space="preserve"> de justiciable ante la Corte</w:t>
      </w:r>
      <w:r w:rsidR="00C05917" w:rsidRPr="00613F9A">
        <w:rPr>
          <w:rFonts w:ascii="Verdana" w:hAnsi="Verdana"/>
          <w:sz w:val="20"/>
          <w:szCs w:val="20"/>
          <w:lang w:val="es-ES"/>
        </w:rPr>
        <w:t xml:space="preserve"> no se encuentra en la Carta de la </w:t>
      </w:r>
      <w:r w:rsidR="00AB7554" w:rsidRPr="00613F9A">
        <w:rPr>
          <w:rFonts w:ascii="Verdana" w:hAnsi="Verdana"/>
          <w:sz w:val="20"/>
          <w:szCs w:val="20"/>
          <w:lang w:val="es-ES"/>
        </w:rPr>
        <w:t xml:space="preserve">OEA </w:t>
      </w:r>
      <w:r w:rsidR="00C05917" w:rsidRPr="00613F9A">
        <w:rPr>
          <w:rFonts w:ascii="Verdana" w:hAnsi="Verdana"/>
          <w:sz w:val="20"/>
          <w:szCs w:val="20"/>
          <w:lang w:val="es-ES"/>
        </w:rPr>
        <w:t>sino en la propia Convención</w:t>
      </w:r>
      <w:r w:rsidR="00C05917" w:rsidRPr="00613F9A">
        <w:rPr>
          <w:rFonts w:ascii="Verdana" w:hAnsi="Verdana"/>
          <w:sz w:val="20"/>
          <w:szCs w:val="20"/>
          <w:vertAlign w:val="superscript"/>
          <w:lang w:val="es-ES"/>
        </w:rPr>
        <w:footnoteReference w:id="57"/>
      </w:r>
      <w:r w:rsidR="00AB7554" w:rsidRPr="00613F9A">
        <w:rPr>
          <w:rFonts w:ascii="Verdana" w:hAnsi="Verdana"/>
          <w:sz w:val="20"/>
          <w:szCs w:val="20"/>
          <w:lang w:val="es-ES"/>
        </w:rPr>
        <w:t>, por lo que no es necesario que se invoque el artículo 26 de esta última para justificar tal particularidad</w:t>
      </w:r>
      <w:r w:rsidR="00C05917" w:rsidRPr="00613F9A">
        <w:rPr>
          <w:rFonts w:ascii="Verdana" w:hAnsi="Verdana"/>
          <w:sz w:val="20"/>
          <w:szCs w:val="20"/>
          <w:lang w:val="es-ES"/>
        </w:rPr>
        <w:t>.</w:t>
      </w:r>
    </w:p>
    <w:p w:rsidR="00C05917" w:rsidRPr="00613F9A" w:rsidRDefault="00C05917" w:rsidP="000978E9">
      <w:pPr>
        <w:spacing w:after="0" w:line="276" w:lineRule="auto"/>
        <w:ind w:left="0"/>
        <w:rPr>
          <w:rFonts w:ascii="Verdana" w:hAnsi="Verdana"/>
          <w:sz w:val="20"/>
          <w:szCs w:val="20"/>
          <w:lang w:val="es-ES"/>
        </w:rPr>
      </w:pPr>
    </w:p>
    <w:p w:rsidR="00C05917" w:rsidRPr="00613F9A" w:rsidRDefault="0040414A" w:rsidP="00B24719">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 xml:space="preserve">En cuanto al derecho a la seguridad social, lo que </w:t>
      </w:r>
      <w:r w:rsidR="00C05917" w:rsidRPr="00613F9A">
        <w:rPr>
          <w:rFonts w:ascii="Verdana" w:hAnsi="Verdana"/>
          <w:sz w:val="20"/>
          <w:szCs w:val="20"/>
          <w:lang w:val="es-ES"/>
        </w:rPr>
        <w:t>se sostiene en el presente voto es que</w:t>
      </w:r>
      <w:r w:rsidR="001927DA" w:rsidRPr="00613F9A">
        <w:rPr>
          <w:rFonts w:ascii="Verdana" w:hAnsi="Verdana"/>
          <w:sz w:val="20"/>
          <w:szCs w:val="20"/>
          <w:lang w:val="es-ES"/>
        </w:rPr>
        <w:t xml:space="preserve"> </w:t>
      </w:r>
      <w:r w:rsidRPr="00613F9A">
        <w:rPr>
          <w:rFonts w:ascii="Verdana" w:hAnsi="Verdana"/>
          <w:sz w:val="20"/>
          <w:szCs w:val="20"/>
          <w:lang w:val="es-ES"/>
        </w:rPr>
        <w:t>la Corte</w:t>
      </w:r>
      <w:r w:rsidR="00C05917" w:rsidRPr="00613F9A">
        <w:rPr>
          <w:rFonts w:ascii="Verdana" w:hAnsi="Verdana"/>
          <w:sz w:val="20"/>
          <w:szCs w:val="20"/>
          <w:lang w:val="es-ES"/>
        </w:rPr>
        <w:t xml:space="preserve">, contrariamente </w:t>
      </w:r>
      <w:r w:rsidRPr="00613F9A">
        <w:rPr>
          <w:rFonts w:ascii="Verdana" w:hAnsi="Verdana"/>
          <w:sz w:val="20"/>
          <w:szCs w:val="20"/>
          <w:lang w:val="es-ES"/>
        </w:rPr>
        <w:t>a lo indicado en la Sentencia</w:t>
      </w:r>
      <w:r w:rsidR="00C05917" w:rsidRPr="00613F9A">
        <w:rPr>
          <w:rFonts w:ascii="Verdana" w:hAnsi="Verdana"/>
          <w:sz w:val="20"/>
          <w:szCs w:val="20"/>
          <w:lang w:val="es-ES"/>
        </w:rPr>
        <w:t xml:space="preserve">, </w:t>
      </w:r>
      <w:r w:rsidRPr="00613F9A">
        <w:rPr>
          <w:rFonts w:ascii="Verdana" w:hAnsi="Verdana"/>
          <w:sz w:val="20"/>
          <w:szCs w:val="20"/>
          <w:lang w:val="es-ES"/>
        </w:rPr>
        <w:t>carec</w:t>
      </w:r>
      <w:r w:rsidR="001927DA" w:rsidRPr="00613F9A">
        <w:rPr>
          <w:rFonts w:ascii="Verdana" w:hAnsi="Verdana"/>
          <w:sz w:val="20"/>
          <w:szCs w:val="20"/>
          <w:lang w:val="es-ES"/>
        </w:rPr>
        <w:t>e de competencia para conocer de</w:t>
      </w:r>
      <w:r w:rsidRPr="00613F9A">
        <w:rPr>
          <w:rFonts w:ascii="Verdana" w:hAnsi="Verdana"/>
          <w:sz w:val="20"/>
          <w:szCs w:val="20"/>
          <w:lang w:val="es-ES"/>
        </w:rPr>
        <w:t xml:space="preserve"> su violación, esto es, que </w:t>
      </w:r>
      <w:r w:rsidR="001927DA" w:rsidRPr="00613F9A">
        <w:rPr>
          <w:rFonts w:ascii="Verdana" w:hAnsi="Verdana"/>
          <w:sz w:val="20"/>
          <w:szCs w:val="20"/>
          <w:lang w:val="es-ES"/>
        </w:rPr>
        <w:t xml:space="preserve">tal derecho </w:t>
      </w:r>
      <w:r w:rsidR="00C05917" w:rsidRPr="00613F9A">
        <w:rPr>
          <w:rFonts w:ascii="Verdana" w:hAnsi="Verdana"/>
          <w:sz w:val="20"/>
          <w:szCs w:val="20"/>
          <w:lang w:val="es-ES"/>
        </w:rPr>
        <w:t>no es susceptible de ser justiciable internacionalmente a</w:t>
      </w:r>
      <w:r w:rsidR="001927DA" w:rsidRPr="00613F9A">
        <w:rPr>
          <w:rFonts w:ascii="Verdana" w:hAnsi="Verdana"/>
          <w:sz w:val="20"/>
          <w:szCs w:val="20"/>
          <w:lang w:val="es-ES"/>
        </w:rPr>
        <w:t xml:space="preserve">nte </w:t>
      </w:r>
      <w:r w:rsidRPr="00613F9A">
        <w:rPr>
          <w:rFonts w:ascii="Verdana" w:hAnsi="Verdana"/>
          <w:sz w:val="20"/>
          <w:szCs w:val="20"/>
          <w:lang w:val="es-ES"/>
        </w:rPr>
        <w:t>ella</w:t>
      </w:r>
      <w:r w:rsidR="00C05917" w:rsidRPr="00613F9A">
        <w:rPr>
          <w:rFonts w:ascii="Verdana" w:hAnsi="Verdana"/>
          <w:sz w:val="20"/>
          <w:szCs w:val="20"/>
          <w:lang w:val="es-ES"/>
        </w:rPr>
        <w:t>.</w:t>
      </w:r>
      <w:r w:rsidR="00AB7554" w:rsidRPr="00613F9A">
        <w:rPr>
          <w:rFonts w:ascii="Verdana" w:hAnsi="Verdana"/>
          <w:sz w:val="20"/>
          <w:szCs w:val="20"/>
          <w:lang w:val="es-ES"/>
        </w:rPr>
        <w:t xml:space="preserve"> Es sobre esta materia que versa, en consecuencia, el presente voto.</w:t>
      </w:r>
    </w:p>
    <w:p w:rsidR="00C05917" w:rsidRPr="00613F9A" w:rsidRDefault="00C05917" w:rsidP="000978E9">
      <w:pPr>
        <w:spacing w:after="0" w:line="276" w:lineRule="auto"/>
        <w:ind w:left="0"/>
        <w:rPr>
          <w:rFonts w:ascii="Verdana" w:hAnsi="Verdana"/>
          <w:sz w:val="20"/>
          <w:szCs w:val="20"/>
          <w:lang w:val="es-ES"/>
        </w:rPr>
      </w:pPr>
    </w:p>
    <w:p w:rsidR="00C05917" w:rsidRPr="00613F9A" w:rsidRDefault="00C05917" w:rsidP="000978E9">
      <w:pPr>
        <w:pStyle w:val="Prrafodelista"/>
        <w:numPr>
          <w:ilvl w:val="0"/>
          <w:numId w:val="3"/>
        </w:numPr>
        <w:spacing w:after="0"/>
        <w:ind w:left="0"/>
        <w:jc w:val="both"/>
        <w:rPr>
          <w:rFonts w:ascii="Verdana" w:hAnsi="Verdana"/>
          <w:b/>
          <w:sz w:val="20"/>
          <w:szCs w:val="20"/>
          <w:lang w:val="es-ES"/>
        </w:rPr>
      </w:pPr>
      <w:r w:rsidRPr="00613F9A">
        <w:rPr>
          <w:rFonts w:ascii="Verdana" w:hAnsi="Verdana"/>
          <w:b/>
          <w:sz w:val="20"/>
          <w:szCs w:val="20"/>
          <w:lang w:val="es-ES"/>
        </w:rPr>
        <w:t>INTERPRETACIÓN DEL ARTÍCULO 26.</w:t>
      </w:r>
    </w:p>
    <w:p w:rsidR="00C05917" w:rsidRPr="00613F9A" w:rsidRDefault="00C05917" w:rsidP="000978E9">
      <w:pPr>
        <w:spacing w:after="0" w:line="276" w:lineRule="auto"/>
        <w:ind w:left="0"/>
        <w:rPr>
          <w:rFonts w:ascii="Verdana" w:hAnsi="Verdana"/>
          <w:b/>
          <w:sz w:val="20"/>
          <w:szCs w:val="20"/>
          <w:lang w:val="es-ES"/>
        </w:rPr>
      </w:pPr>
    </w:p>
    <w:p w:rsidR="00C05917" w:rsidRPr="00613F9A" w:rsidRDefault="00C05917" w:rsidP="00B24719">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Ahora bien, previamente a señalar las razones por las que se disiente de la Sentencia, y a los efectos de que ellas se comprendan en debida forma, se debe suministrar la interpretación del aludido artículo 26</w:t>
      </w:r>
      <w:r w:rsidR="00AB7554" w:rsidRPr="00613F9A">
        <w:rPr>
          <w:rStyle w:val="Refdenotaalpie"/>
          <w:rFonts w:ascii="Verdana" w:hAnsi="Verdana"/>
          <w:sz w:val="20"/>
          <w:szCs w:val="20"/>
          <w:lang w:val="es-ES"/>
        </w:rPr>
        <w:footnoteReference w:id="58"/>
      </w:r>
      <w:r w:rsidRPr="00613F9A">
        <w:rPr>
          <w:rFonts w:ascii="Verdana" w:hAnsi="Verdana"/>
          <w:sz w:val="20"/>
          <w:szCs w:val="20"/>
          <w:lang w:val="es-ES"/>
        </w:rPr>
        <w:t xml:space="preserve">, acorde a los métodos de interpretación de tratados previstos en la Convención de Viena. </w:t>
      </w:r>
    </w:p>
    <w:p w:rsidR="00C05917" w:rsidRPr="00613F9A" w:rsidRDefault="00C05917" w:rsidP="000978E9">
      <w:pPr>
        <w:spacing w:after="0" w:line="276" w:lineRule="auto"/>
        <w:ind w:left="0"/>
        <w:rPr>
          <w:rFonts w:ascii="Verdana" w:hAnsi="Verdana"/>
          <w:i/>
          <w:sz w:val="20"/>
          <w:szCs w:val="20"/>
          <w:lang w:val="es-ES"/>
        </w:rPr>
      </w:pPr>
    </w:p>
    <w:p w:rsidR="00C05917" w:rsidRPr="00613F9A" w:rsidRDefault="00C05917" w:rsidP="00B24719">
      <w:pPr>
        <w:pStyle w:val="Prrafodelista"/>
        <w:numPr>
          <w:ilvl w:val="0"/>
          <w:numId w:val="14"/>
        </w:numPr>
        <w:spacing w:after="0"/>
        <w:jc w:val="both"/>
        <w:rPr>
          <w:rFonts w:ascii="Verdana" w:hAnsi="Verdana"/>
          <w:sz w:val="20"/>
          <w:szCs w:val="20"/>
          <w:lang w:val="es-ES"/>
        </w:rPr>
      </w:pPr>
      <w:r w:rsidRPr="00613F9A">
        <w:rPr>
          <w:rFonts w:ascii="Verdana" w:hAnsi="Verdana"/>
          <w:b/>
          <w:sz w:val="20"/>
          <w:szCs w:val="20"/>
          <w:lang w:val="es-ES"/>
        </w:rPr>
        <w:t>Método textual o literal.</w:t>
      </w:r>
    </w:p>
    <w:p w:rsidR="00C05917" w:rsidRPr="00613F9A" w:rsidRDefault="00C05917" w:rsidP="000978E9">
      <w:pPr>
        <w:spacing w:after="0" w:line="276" w:lineRule="auto"/>
        <w:ind w:left="0"/>
        <w:rPr>
          <w:rFonts w:ascii="Verdana" w:hAnsi="Verdana"/>
          <w:sz w:val="20"/>
          <w:szCs w:val="20"/>
          <w:lang w:val="es-ES"/>
        </w:rPr>
      </w:pPr>
    </w:p>
    <w:p w:rsidR="00C05917" w:rsidRPr="00613F9A" w:rsidRDefault="00585F26" w:rsidP="00B24719">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 xml:space="preserve">Al </w:t>
      </w:r>
      <w:r w:rsidR="00C05917" w:rsidRPr="00613F9A">
        <w:rPr>
          <w:rFonts w:ascii="Verdana" w:hAnsi="Verdana"/>
          <w:sz w:val="20"/>
          <w:szCs w:val="20"/>
          <w:lang w:val="es-ES"/>
        </w:rPr>
        <w:t>interpretar el artículo en cuestión, se concluye que:</w:t>
      </w:r>
    </w:p>
    <w:p w:rsidR="00C05917" w:rsidRPr="00613F9A" w:rsidRDefault="00C05917" w:rsidP="000978E9">
      <w:pPr>
        <w:spacing w:after="0" w:line="276" w:lineRule="auto"/>
        <w:ind w:left="0"/>
        <w:rPr>
          <w:rFonts w:ascii="Verdana" w:hAnsi="Verdana"/>
          <w:sz w:val="20"/>
          <w:szCs w:val="20"/>
          <w:lang w:val="es-ES"/>
        </w:rPr>
      </w:pPr>
    </w:p>
    <w:p w:rsidR="00AB7554" w:rsidRPr="00613F9A" w:rsidRDefault="00C05917" w:rsidP="007855FF">
      <w:pPr>
        <w:numPr>
          <w:ilvl w:val="0"/>
          <w:numId w:val="6"/>
        </w:numPr>
        <w:spacing w:line="276" w:lineRule="auto"/>
        <w:ind w:left="360"/>
        <w:contextualSpacing/>
        <w:rPr>
          <w:rFonts w:ascii="Verdana" w:hAnsi="Verdana"/>
          <w:i/>
          <w:sz w:val="20"/>
          <w:szCs w:val="20"/>
          <w:lang w:val="es-CR"/>
        </w:rPr>
      </w:pPr>
      <w:r w:rsidRPr="00613F9A">
        <w:rPr>
          <w:rFonts w:ascii="Verdana" w:hAnsi="Verdana"/>
          <w:sz w:val="20"/>
          <w:szCs w:val="20"/>
          <w:lang w:val="es-ES"/>
        </w:rPr>
        <w:t xml:space="preserve">contempla una obligación </w:t>
      </w:r>
      <w:r w:rsidR="00AB7554" w:rsidRPr="00613F9A">
        <w:rPr>
          <w:rFonts w:ascii="Verdana" w:hAnsi="Verdana"/>
          <w:sz w:val="20"/>
          <w:szCs w:val="20"/>
          <w:lang w:val="es-ES"/>
        </w:rPr>
        <w:t>de hacer</w:t>
      </w:r>
      <w:r w:rsidR="008D73A2" w:rsidRPr="00613F9A">
        <w:rPr>
          <w:rFonts w:ascii="Verdana" w:hAnsi="Verdana"/>
          <w:sz w:val="20"/>
          <w:szCs w:val="20"/>
          <w:lang w:val="es-ES"/>
        </w:rPr>
        <w:t xml:space="preserve">, no de resultado, </w:t>
      </w:r>
      <w:r w:rsidRPr="00613F9A">
        <w:rPr>
          <w:rFonts w:ascii="Verdana" w:hAnsi="Verdana"/>
          <w:sz w:val="20"/>
          <w:szCs w:val="20"/>
          <w:lang w:val="es-ES"/>
        </w:rPr>
        <w:t>de los Estados Partes de la Convención, consistente en “</w:t>
      </w:r>
      <w:r w:rsidRPr="00613F9A">
        <w:rPr>
          <w:rFonts w:ascii="Verdana" w:hAnsi="Verdana"/>
          <w:i/>
          <w:sz w:val="20"/>
          <w:szCs w:val="20"/>
          <w:lang w:val="es-ES"/>
        </w:rPr>
        <w:t>adoptar providencias, tanto a nivel interno como mediante la cooperación internacional, especialmente económica y técnica, para lograr progresivamente la plena efectividad de los derechos”</w:t>
      </w:r>
      <w:r w:rsidRPr="00613F9A">
        <w:rPr>
          <w:rFonts w:ascii="Verdana" w:hAnsi="Verdana"/>
          <w:sz w:val="20"/>
          <w:szCs w:val="20"/>
          <w:lang w:val="es-ES"/>
        </w:rPr>
        <w:t xml:space="preserve"> que menciona</w:t>
      </w:r>
      <w:r w:rsidRPr="00613F9A">
        <w:rPr>
          <w:rFonts w:ascii="Verdana" w:hAnsi="Verdana"/>
          <w:i/>
          <w:sz w:val="20"/>
          <w:szCs w:val="20"/>
          <w:lang w:val="es-CR"/>
        </w:rPr>
        <w:t>;</w:t>
      </w:r>
    </w:p>
    <w:p w:rsidR="00B715AF" w:rsidRPr="00613F9A" w:rsidRDefault="00B715AF" w:rsidP="000978E9">
      <w:pPr>
        <w:spacing w:line="276" w:lineRule="auto"/>
        <w:ind w:left="0"/>
        <w:contextualSpacing/>
        <w:rPr>
          <w:rFonts w:ascii="Verdana" w:hAnsi="Verdana"/>
          <w:i/>
          <w:sz w:val="20"/>
          <w:szCs w:val="20"/>
          <w:lang w:val="es-CR"/>
        </w:rPr>
      </w:pPr>
    </w:p>
    <w:p w:rsidR="00C05917" w:rsidRPr="00613F9A" w:rsidRDefault="00AB7554" w:rsidP="007855FF">
      <w:pPr>
        <w:numPr>
          <w:ilvl w:val="0"/>
          <w:numId w:val="6"/>
        </w:numPr>
        <w:spacing w:after="0" w:line="276" w:lineRule="auto"/>
        <w:ind w:left="360"/>
        <w:contextualSpacing/>
        <w:rPr>
          <w:rFonts w:ascii="Verdana" w:hAnsi="Verdana"/>
          <w:sz w:val="20"/>
          <w:szCs w:val="20"/>
          <w:lang w:val="es-ES"/>
        </w:rPr>
      </w:pPr>
      <w:r w:rsidRPr="00613F9A">
        <w:rPr>
          <w:rFonts w:ascii="Verdana" w:hAnsi="Verdana"/>
          <w:sz w:val="20"/>
          <w:szCs w:val="20"/>
          <w:lang w:val="es-ES"/>
        </w:rPr>
        <w:t>efectivamente</w:t>
      </w:r>
      <w:r w:rsidR="00C27FEC" w:rsidRPr="00613F9A">
        <w:rPr>
          <w:rFonts w:ascii="Verdana" w:hAnsi="Verdana"/>
          <w:sz w:val="20"/>
          <w:szCs w:val="20"/>
          <w:lang w:val="es-ES"/>
        </w:rPr>
        <w:t xml:space="preserve"> y como lo indica el título de la disposición</w:t>
      </w:r>
      <w:r w:rsidRPr="00613F9A">
        <w:rPr>
          <w:rFonts w:ascii="Verdana" w:hAnsi="Verdana"/>
          <w:sz w:val="20"/>
          <w:szCs w:val="20"/>
          <w:lang w:val="es-ES"/>
        </w:rPr>
        <w:t xml:space="preserve">, </w:t>
      </w:r>
      <w:r w:rsidR="00C27FEC" w:rsidRPr="00613F9A">
        <w:rPr>
          <w:rFonts w:ascii="Verdana" w:hAnsi="Verdana"/>
          <w:sz w:val="20"/>
          <w:szCs w:val="20"/>
          <w:lang w:val="es-ES"/>
        </w:rPr>
        <w:t>a saber, “</w:t>
      </w:r>
      <w:r w:rsidR="00C27FEC" w:rsidRPr="00613F9A">
        <w:rPr>
          <w:rFonts w:ascii="Verdana" w:hAnsi="Verdana"/>
          <w:i/>
          <w:sz w:val="20"/>
          <w:szCs w:val="20"/>
          <w:lang w:val="es-ES"/>
        </w:rPr>
        <w:t>Desarrollo Progresivo</w:t>
      </w:r>
      <w:r w:rsidR="00C27FEC" w:rsidRPr="00613F9A">
        <w:rPr>
          <w:rFonts w:ascii="Verdana" w:hAnsi="Verdana"/>
          <w:sz w:val="20"/>
          <w:szCs w:val="20"/>
          <w:lang w:val="es-ES"/>
        </w:rPr>
        <w:t xml:space="preserve">”, </w:t>
      </w:r>
      <w:r w:rsidR="00C05917" w:rsidRPr="00613F9A">
        <w:rPr>
          <w:rFonts w:ascii="Verdana" w:hAnsi="Verdana"/>
          <w:sz w:val="20"/>
          <w:szCs w:val="20"/>
          <w:lang w:val="es-ES"/>
        </w:rPr>
        <w:t>esa obliga</w:t>
      </w:r>
      <w:r w:rsidR="00C27FEC" w:rsidRPr="00613F9A">
        <w:rPr>
          <w:rFonts w:ascii="Verdana" w:hAnsi="Verdana"/>
          <w:sz w:val="20"/>
          <w:szCs w:val="20"/>
          <w:lang w:val="es-ES"/>
        </w:rPr>
        <w:t xml:space="preserve">ción consiste, en perfeccionar </w:t>
      </w:r>
      <w:r w:rsidRPr="00613F9A">
        <w:rPr>
          <w:rFonts w:ascii="Verdana" w:hAnsi="Verdana"/>
          <w:sz w:val="20"/>
          <w:szCs w:val="20"/>
          <w:lang w:val="es-ES"/>
        </w:rPr>
        <w:t>paulatinamente</w:t>
      </w:r>
      <w:r w:rsidR="00C05917" w:rsidRPr="00613F9A">
        <w:rPr>
          <w:rFonts w:ascii="Verdana" w:hAnsi="Verdana"/>
          <w:sz w:val="20"/>
          <w:szCs w:val="20"/>
          <w:lang w:val="es-ES"/>
        </w:rPr>
        <w:t xml:space="preserve"> los derechos a que alude, precisamente por no ser plenamente efectivos; </w:t>
      </w:r>
    </w:p>
    <w:p w:rsidR="00B715AF" w:rsidRPr="00613F9A" w:rsidRDefault="00B715AF" w:rsidP="000978E9">
      <w:pPr>
        <w:spacing w:after="0" w:line="276" w:lineRule="auto"/>
        <w:ind w:left="0"/>
        <w:contextualSpacing/>
        <w:rPr>
          <w:rFonts w:ascii="Verdana" w:hAnsi="Verdana"/>
          <w:sz w:val="20"/>
          <w:szCs w:val="20"/>
          <w:lang w:val="es-ES"/>
        </w:rPr>
      </w:pPr>
    </w:p>
    <w:p w:rsidR="004C748E" w:rsidRPr="00613F9A" w:rsidRDefault="00C05917" w:rsidP="007855FF">
      <w:pPr>
        <w:numPr>
          <w:ilvl w:val="0"/>
          <w:numId w:val="6"/>
        </w:numPr>
        <w:spacing w:line="276" w:lineRule="auto"/>
        <w:ind w:left="360"/>
        <w:contextualSpacing/>
        <w:rPr>
          <w:rFonts w:ascii="Verdana" w:hAnsi="Verdana"/>
          <w:sz w:val="20"/>
          <w:szCs w:val="20"/>
          <w:lang w:val="es-ES"/>
        </w:rPr>
      </w:pPr>
      <w:r w:rsidRPr="00613F9A">
        <w:rPr>
          <w:rFonts w:ascii="Verdana" w:hAnsi="Verdana"/>
          <w:sz w:val="20"/>
          <w:szCs w:val="20"/>
          <w:lang w:val="es-ES"/>
        </w:rPr>
        <w:t>dicha disposición se refiere a “</w:t>
      </w:r>
      <w:r w:rsidRPr="00613F9A">
        <w:rPr>
          <w:rFonts w:ascii="Verdana" w:hAnsi="Verdana"/>
          <w:i/>
          <w:sz w:val="20"/>
          <w:szCs w:val="20"/>
          <w:lang w:val="es-ES"/>
        </w:rPr>
        <w:t>derechos que se derivan</w:t>
      </w:r>
      <w:r w:rsidRPr="00613F9A">
        <w:rPr>
          <w:rFonts w:ascii="Verdana" w:hAnsi="Verdana"/>
          <w:i/>
          <w:sz w:val="20"/>
          <w:szCs w:val="20"/>
          <w:vertAlign w:val="superscript"/>
          <w:lang w:val="es-ES"/>
        </w:rPr>
        <w:footnoteReference w:id="59"/>
      </w:r>
      <w:r w:rsidRPr="00613F9A">
        <w:rPr>
          <w:rFonts w:ascii="Verdana" w:hAnsi="Verdana"/>
          <w:i/>
          <w:sz w:val="20"/>
          <w:szCs w:val="20"/>
          <w:lang w:val="es-ES"/>
        </w:rPr>
        <w:t xml:space="preserve"> de las normas económicas, sociales y sobre educación, ciencia y cultura, contenidas en la Carta de la</w:t>
      </w:r>
      <w:r w:rsidRPr="00613F9A">
        <w:rPr>
          <w:rFonts w:ascii="Verdana" w:hAnsi="Verdana"/>
          <w:sz w:val="20"/>
          <w:szCs w:val="20"/>
          <w:lang w:val="es-ES"/>
        </w:rPr>
        <w:t>” OEA, vale decir, a derechos que se desprenden o se pueden inferir</w:t>
      </w:r>
      <w:r w:rsidRPr="00613F9A">
        <w:rPr>
          <w:rFonts w:ascii="Verdana" w:hAnsi="Verdana"/>
          <w:sz w:val="20"/>
          <w:szCs w:val="20"/>
          <w:vertAlign w:val="superscript"/>
          <w:lang w:val="es-ES"/>
        </w:rPr>
        <w:footnoteReference w:id="60"/>
      </w:r>
      <w:r w:rsidRPr="00613F9A">
        <w:rPr>
          <w:rFonts w:ascii="Verdana" w:hAnsi="Verdana"/>
          <w:sz w:val="20"/>
          <w:szCs w:val="20"/>
          <w:lang w:val="es-ES"/>
        </w:rPr>
        <w:t xml:space="preserve"> de disposiciones de esta última</w:t>
      </w:r>
      <w:r w:rsidR="00394211" w:rsidRPr="00613F9A">
        <w:rPr>
          <w:rFonts w:ascii="Verdana" w:hAnsi="Verdana"/>
          <w:sz w:val="20"/>
          <w:szCs w:val="20"/>
          <w:lang w:val="es-ES"/>
        </w:rPr>
        <w:t>, por lo que no los consagra</w:t>
      </w:r>
      <w:r w:rsidR="00E52211" w:rsidRPr="00613F9A">
        <w:rPr>
          <w:rFonts w:ascii="Verdana" w:hAnsi="Verdana"/>
          <w:sz w:val="20"/>
          <w:szCs w:val="20"/>
          <w:lang w:val="es-ES"/>
        </w:rPr>
        <w:t xml:space="preserve"> o contempla, dejando</w:t>
      </w:r>
      <w:r w:rsidR="00394211" w:rsidRPr="00613F9A">
        <w:rPr>
          <w:rFonts w:ascii="Verdana" w:hAnsi="Verdana"/>
          <w:sz w:val="20"/>
          <w:szCs w:val="20"/>
          <w:lang w:val="es-ES"/>
        </w:rPr>
        <w:t>, en cambio,</w:t>
      </w:r>
      <w:r w:rsidR="00E52211" w:rsidRPr="00613F9A">
        <w:rPr>
          <w:rFonts w:ascii="Verdana" w:hAnsi="Verdana"/>
          <w:sz w:val="20"/>
          <w:szCs w:val="20"/>
          <w:lang w:val="es-ES"/>
        </w:rPr>
        <w:t xml:space="preserve"> </w:t>
      </w:r>
      <w:r w:rsidR="001D2823" w:rsidRPr="00613F9A">
        <w:rPr>
          <w:rFonts w:ascii="Verdana" w:hAnsi="Verdana"/>
          <w:sz w:val="20"/>
          <w:szCs w:val="20"/>
          <w:lang w:val="es-ES"/>
        </w:rPr>
        <w:t>a la interpretación su precisión;</w:t>
      </w:r>
    </w:p>
    <w:p w:rsidR="004C748E" w:rsidRPr="00613F9A" w:rsidRDefault="004C748E" w:rsidP="000978E9">
      <w:pPr>
        <w:spacing w:line="276" w:lineRule="auto"/>
        <w:ind w:left="0"/>
        <w:contextualSpacing/>
        <w:rPr>
          <w:rFonts w:ascii="Verdana" w:hAnsi="Verdana"/>
          <w:sz w:val="20"/>
          <w:szCs w:val="20"/>
          <w:lang w:val="es-ES"/>
        </w:rPr>
      </w:pPr>
    </w:p>
    <w:p w:rsidR="004C748E" w:rsidRPr="00613F9A" w:rsidRDefault="004C748E" w:rsidP="007855FF">
      <w:pPr>
        <w:numPr>
          <w:ilvl w:val="0"/>
          <w:numId w:val="6"/>
        </w:numPr>
        <w:spacing w:after="0" w:line="276" w:lineRule="auto"/>
        <w:ind w:left="360"/>
        <w:contextualSpacing/>
        <w:rPr>
          <w:rFonts w:ascii="Verdana" w:hAnsi="Verdana"/>
          <w:sz w:val="20"/>
          <w:szCs w:val="20"/>
          <w:lang w:val="es-ES"/>
        </w:rPr>
      </w:pPr>
      <w:r w:rsidRPr="00613F9A">
        <w:rPr>
          <w:rFonts w:ascii="Verdana" w:hAnsi="Verdana"/>
          <w:sz w:val="20"/>
          <w:szCs w:val="20"/>
          <w:lang w:val="es-ES"/>
        </w:rPr>
        <w:t>dichos derechos no son, en consecuencia, “</w:t>
      </w:r>
      <w:r w:rsidRPr="00613F9A">
        <w:rPr>
          <w:rFonts w:ascii="Verdana" w:hAnsi="Verdana"/>
          <w:i/>
          <w:sz w:val="20"/>
          <w:szCs w:val="20"/>
          <w:lang w:val="es-ES"/>
        </w:rPr>
        <w:t>reconocidos</w:t>
      </w:r>
      <w:r w:rsidRPr="00613F9A">
        <w:rPr>
          <w:rFonts w:ascii="Verdana" w:hAnsi="Verdana"/>
          <w:sz w:val="20"/>
          <w:szCs w:val="20"/>
          <w:lang w:val="es-ES"/>
        </w:rPr>
        <w:t>” por la Convención</w:t>
      </w:r>
      <w:r w:rsidRPr="00613F9A">
        <w:rPr>
          <w:rStyle w:val="Refdenotaalpie"/>
          <w:rFonts w:ascii="Verdana" w:hAnsi="Verdana"/>
          <w:sz w:val="20"/>
          <w:szCs w:val="20"/>
          <w:lang w:val="es-ES"/>
        </w:rPr>
        <w:footnoteReference w:id="61"/>
      </w:r>
      <w:r w:rsidRPr="00613F9A">
        <w:rPr>
          <w:rFonts w:ascii="Verdana" w:hAnsi="Verdana"/>
          <w:sz w:val="20"/>
          <w:szCs w:val="20"/>
          <w:lang w:val="es-ES"/>
        </w:rPr>
        <w:t>;</w:t>
      </w:r>
    </w:p>
    <w:p w:rsidR="00B715AF" w:rsidRPr="00613F9A" w:rsidRDefault="00B715AF" w:rsidP="000978E9">
      <w:pPr>
        <w:spacing w:after="0" w:line="276" w:lineRule="auto"/>
        <w:ind w:left="0"/>
        <w:contextualSpacing/>
        <w:rPr>
          <w:rFonts w:ascii="Verdana" w:hAnsi="Verdana"/>
          <w:sz w:val="20"/>
          <w:szCs w:val="20"/>
          <w:lang w:val="es-ES"/>
        </w:rPr>
      </w:pPr>
    </w:p>
    <w:p w:rsidR="00C05917" w:rsidRPr="00613F9A" w:rsidRDefault="00C05917" w:rsidP="007855FF">
      <w:pPr>
        <w:numPr>
          <w:ilvl w:val="0"/>
          <w:numId w:val="6"/>
        </w:numPr>
        <w:spacing w:after="0" w:line="276" w:lineRule="auto"/>
        <w:ind w:left="360"/>
        <w:contextualSpacing/>
        <w:rPr>
          <w:rFonts w:ascii="Verdana" w:hAnsi="Verdana"/>
          <w:sz w:val="20"/>
          <w:szCs w:val="20"/>
          <w:lang w:val="es-ES"/>
        </w:rPr>
      </w:pPr>
      <w:r w:rsidRPr="00613F9A">
        <w:rPr>
          <w:rFonts w:ascii="Verdana" w:hAnsi="Verdana"/>
          <w:sz w:val="20"/>
          <w:szCs w:val="20"/>
          <w:lang w:val="es-ES"/>
        </w:rPr>
        <w:t>la norma en comento condiciona el cumplimiento de la mencionada obligación de hacer a “</w:t>
      </w:r>
      <w:r w:rsidRPr="00613F9A">
        <w:rPr>
          <w:rFonts w:ascii="Verdana" w:hAnsi="Verdana"/>
          <w:i/>
          <w:sz w:val="20"/>
          <w:szCs w:val="20"/>
          <w:lang w:val="es-ES"/>
        </w:rPr>
        <w:t>la medida de los recursos disponibles</w:t>
      </w:r>
      <w:r w:rsidRPr="00613F9A">
        <w:rPr>
          <w:rFonts w:ascii="Verdana" w:hAnsi="Verdana"/>
          <w:sz w:val="20"/>
          <w:szCs w:val="20"/>
          <w:lang w:val="es-ES"/>
        </w:rPr>
        <w:t>” y precisamente por ello que indica el o los medios para cumplirla, a saber, “</w:t>
      </w:r>
      <w:r w:rsidRPr="00613F9A">
        <w:rPr>
          <w:rFonts w:ascii="Verdana" w:hAnsi="Verdana"/>
          <w:i/>
          <w:sz w:val="20"/>
          <w:szCs w:val="20"/>
          <w:lang w:val="es-ES"/>
        </w:rPr>
        <w:t>por vía legislativa u otros medios apropi</w:t>
      </w:r>
      <w:r w:rsidR="00B715AF" w:rsidRPr="00613F9A">
        <w:rPr>
          <w:rFonts w:ascii="Verdana" w:hAnsi="Verdana"/>
          <w:sz w:val="20"/>
          <w:szCs w:val="20"/>
          <w:lang w:val="es-ES"/>
        </w:rPr>
        <w:t xml:space="preserve">ados”; </w:t>
      </w:r>
      <w:r w:rsidR="004C748E" w:rsidRPr="00613F9A">
        <w:rPr>
          <w:rFonts w:ascii="Verdana" w:hAnsi="Verdana"/>
          <w:sz w:val="20"/>
          <w:szCs w:val="20"/>
          <w:lang w:val="es-ES"/>
        </w:rPr>
        <w:t>y</w:t>
      </w:r>
    </w:p>
    <w:p w:rsidR="00B715AF" w:rsidRPr="00613F9A" w:rsidRDefault="00B715AF" w:rsidP="000978E9">
      <w:pPr>
        <w:spacing w:after="0" w:line="276" w:lineRule="auto"/>
        <w:ind w:left="0"/>
        <w:contextualSpacing/>
        <w:rPr>
          <w:rFonts w:ascii="Verdana" w:hAnsi="Verdana"/>
          <w:sz w:val="20"/>
          <w:szCs w:val="20"/>
          <w:lang w:val="es-ES"/>
        </w:rPr>
      </w:pPr>
    </w:p>
    <w:p w:rsidR="00785349" w:rsidRPr="00613F9A" w:rsidRDefault="00C05917" w:rsidP="007855FF">
      <w:pPr>
        <w:numPr>
          <w:ilvl w:val="0"/>
          <w:numId w:val="6"/>
        </w:numPr>
        <w:spacing w:after="0" w:line="276" w:lineRule="auto"/>
        <w:ind w:left="360"/>
        <w:contextualSpacing/>
        <w:rPr>
          <w:rFonts w:ascii="Verdana" w:hAnsi="Verdana"/>
          <w:sz w:val="20"/>
          <w:szCs w:val="20"/>
          <w:lang w:val="es-ES"/>
        </w:rPr>
      </w:pPr>
      <w:r w:rsidRPr="00613F9A">
        <w:rPr>
          <w:rFonts w:ascii="Verdana" w:hAnsi="Verdana"/>
          <w:sz w:val="20"/>
          <w:szCs w:val="20"/>
          <w:lang w:val="es-ES"/>
        </w:rPr>
        <w:t>podría reclamarse a los Estados Partes de la Convención, a</w:t>
      </w:r>
      <w:r w:rsidR="00585F26" w:rsidRPr="00613F9A">
        <w:rPr>
          <w:rFonts w:ascii="Verdana" w:hAnsi="Verdana"/>
          <w:sz w:val="20"/>
          <w:szCs w:val="20"/>
          <w:lang w:val="es-ES"/>
        </w:rPr>
        <w:t>l amparo de lo contemplado en el artículo en comento</w:t>
      </w:r>
      <w:r w:rsidR="00C27FEC" w:rsidRPr="00613F9A">
        <w:rPr>
          <w:rFonts w:ascii="Verdana" w:hAnsi="Verdana"/>
          <w:sz w:val="20"/>
          <w:szCs w:val="20"/>
          <w:lang w:val="es-ES"/>
        </w:rPr>
        <w:t xml:space="preserve">, no el respeto los derechos humanos ni que </w:t>
      </w:r>
      <w:r w:rsidRPr="00613F9A">
        <w:rPr>
          <w:rFonts w:ascii="Verdana" w:hAnsi="Verdana"/>
          <w:sz w:val="20"/>
          <w:szCs w:val="20"/>
          <w:lang w:val="es-ES"/>
        </w:rPr>
        <w:t>garanticen su respeto</w:t>
      </w:r>
      <w:r w:rsidR="00AB7554" w:rsidRPr="00613F9A">
        <w:rPr>
          <w:rStyle w:val="Refdenotaalpie"/>
          <w:rFonts w:ascii="Verdana" w:hAnsi="Verdana"/>
          <w:sz w:val="20"/>
          <w:szCs w:val="20"/>
          <w:lang w:val="es-ES"/>
        </w:rPr>
        <w:footnoteReference w:id="62"/>
      </w:r>
      <w:r w:rsidRPr="00613F9A">
        <w:rPr>
          <w:rFonts w:ascii="Verdana" w:hAnsi="Verdana"/>
          <w:sz w:val="20"/>
          <w:szCs w:val="20"/>
          <w:lang w:val="es-ES"/>
        </w:rPr>
        <w:t>, sino que adopten las “</w:t>
      </w:r>
      <w:r w:rsidRPr="00613F9A">
        <w:rPr>
          <w:rFonts w:ascii="Verdana" w:hAnsi="Verdana"/>
          <w:i/>
          <w:sz w:val="20"/>
          <w:szCs w:val="20"/>
          <w:lang w:val="es-ES"/>
        </w:rPr>
        <w:t xml:space="preserve">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w:t>
      </w:r>
      <w:r w:rsidR="004C748E" w:rsidRPr="00613F9A">
        <w:rPr>
          <w:rFonts w:ascii="Verdana" w:hAnsi="Verdana"/>
          <w:sz w:val="20"/>
          <w:szCs w:val="20"/>
          <w:lang w:val="es-ES"/>
        </w:rPr>
        <w:t>OEA.</w:t>
      </w:r>
    </w:p>
    <w:p w:rsidR="00785349" w:rsidRPr="00613F9A" w:rsidRDefault="00785349" w:rsidP="000978E9">
      <w:pPr>
        <w:spacing w:after="0" w:line="276" w:lineRule="auto"/>
        <w:ind w:left="0"/>
        <w:contextualSpacing/>
        <w:rPr>
          <w:rFonts w:ascii="Verdana" w:hAnsi="Verdana"/>
          <w:sz w:val="20"/>
          <w:szCs w:val="20"/>
          <w:lang w:val="es-ES"/>
        </w:rPr>
      </w:pPr>
    </w:p>
    <w:p w:rsidR="00C05917" w:rsidRPr="00613F9A" w:rsidRDefault="00C05917" w:rsidP="00C27FEC">
      <w:pPr>
        <w:pStyle w:val="Prrafodelista"/>
        <w:numPr>
          <w:ilvl w:val="0"/>
          <w:numId w:val="2"/>
        </w:numPr>
        <w:spacing w:after="120"/>
        <w:ind w:left="20" w:hanging="20"/>
        <w:jc w:val="both"/>
        <w:rPr>
          <w:rFonts w:ascii="Verdana" w:hAnsi="Verdana"/>
          <w:sz w:val="20"/>
          <w:szCs w:val="20"/>
          <w:lang w:val="es-ES"/>
        </w:rPr>
      </w:pPr>
      <w:r w:rsidRPr="00613F9A">
        <w:rPr>
          <w:rFonts w:ascii="Verdana" w:hAnsi="Verdana"/>
          <w:sz w:val="20"/>
          <w:szCs w:val="20"/>
          <w:lang w:val="es-ES"/>
        </w:rPr>
        <w:t>Se puede, en consecuencia, fundadamente sostener que, de acuer</w:t>
      </w:r>
      <w:r w:rsidR="00F26DB3" w:rsidRPr="00613F9A">
        <w:rPr>
          <w:rFonts w:ascii="Verdana" w:hAnsi="Verdana"/>
          <w:sz w:val="20"/>
          <w:szCs w:val="20"/>
          <w:lang w:val="es-ES"/>
        </w:rPr>
        <w:t xml:space="preserve">do a su tenor literal, </w:t>
      </w:r>
      <w:r w:rsidRPr="00613F9A">
        <w:rPr>
          <w:rFonts w:ascii="Verdana" w:hAnsi="Verdana"/>
          <w:sz w:val="20"/>
          <w:szCs w:val="20"/>
          <w:lang w:val="es-ES"/>
        </w:rPr>
        <w:t xml:space="preserve">el artículo 26 de la Convención, </w:t>
      </w:r>
      <w:r w:rsidR="00F26DB3" w:rsidRPr="00613F9A">
        <w:rPr>
          <w:rFonts w:ascii="Verdana" w:hAnsi="Verdana"/>
          <w:sz w:val="20"/>
          <w:szCs w:val="20"/>
          <w:lang w:val="es-ES"/>
        </w:rPr>
        <w:t xml:space="preserve">por una parte, </w:t>
      </w:r>
      <w:r w:rsidRPr="00613F9A">
        <w:rPr>
          <w:rFonts w:ascii="Verdana" w:hAnsi="Verdana"/>
          <w:sz w:val="20"/>
          <w:szCs w:val="20"/>
          <w:lang w:val="es-ES"/>
        </w:rPr>
        <w:t>no</w:t>
      </w:r>
      <w:r w:rsidR="00F26DB3" w:rsidRPr="00613F9A">
        <w:rPr>
          <w:rFonts w:ascii="Verdana" w:hAnsi="Verdana"/>
          <w:sz w:val="20"/>
          <w:szCs w:val="20"/>
          <w:lang w:val="es-ES"/>
        </w:rPr>
        <w:t xml:space="preserve"> plantea varias posibilidades de aplicación, esto es</w:t>
      </w:r>
      <w:r w:rsidR="00AB7554" w:rsidRPr="00613F9A">
        <w:rPr>
          <w:rFonts w:ascii="Verdana" w:hAnsi="Verdana"/>
          <w:sz w:val="20"/>
          <w:szCs w:val="20"/>
          <w:lang w:val="es-ES"/>
        </w:rPr>
        <w:t>,</w:t>
      </w:r>
      <w:r w:rsidR="00F26DB3" w:rsidRPr="00613F9A">
        <w:rPr>
          <w:rFonts w:ascii="Verdana" w:hAnsi="Verdana"/>
          <w:sz w:val="20"/>
          <w:szCs w:val="20"/>
          <w:lang w:val="es-ES"/>
        </w:rPr>
        <w:t xml:space="preserve"> dudas acerca de su sentido y alcance y por la otra, no</w:t>
      </w:r>
      <w:r w:rsidRPr="00613F9A">
        <w:rPr>
          <w:rFonts w:ascii="Verdana" w:hAnsi="Verdana"/>
          <w:sz w:val="20"/>
          <w:szCs w:val="20"/>
          <w:lang w:val="es-ES"/>
        </w:rPr>
        <w:t xml:space="preserve"> establece derecho humano alguno y menos aún, que pue</w:t>
      </w:r>
      <w:r w:rsidR="004C748E" w:rsidRPr="00613F9A">
        <w:rPr>
          <w:rFonts w:ascii="Verdana" w:hAnsi="Verdana"/>
          <w:sz w:val="20"/>
          <w:szCs w:val="20"/>
          <w:lang w:val="es-ES"/>
        </w:rPr>
        <w:t>dan ser exigibles ante la Corte</w:t>
      </w:r>
      <w:r w:rsidRPr="00613F9A">
        <w:rPr>
          <w:rFonts w:ascii="Verdana" w:hAnsi="Verdana"/>
          <w:sz w:val="20"/>
          <w:szCs w:val="20"/>
          <w:lang w:val="es-ES"/>
        </w:rPr>
        <w:t>, sino que alude a obligaciones de hacer, no de resultado, asumidas por lo</w:t>
      </w:r>
      <w:r w:rsidR="00A76975" w:rsidRPr="00613F9A">
        <w:rPr>
          <w:rFonts w:ascii="Verdana" w:hAnsi="Verdana"/>
          <w:sz w:val="20"/>
          <w:szCs w:val="20"/>
          <w:lang w:val="es-ES"/>
        </w:rPr>
        <w:t>s</w:t>
      </w:r>
      <w:r w:rsidRPr="00613F9A">
        <w:rPr>
          <w:rFonts w:ascii="Verdana" w:hAnsi="Verdana"/>
          <w:sz w:val="20"/>
          <w:szCs w:val="20"/>
          <w:lang w:val="es-ES"/>
        </w:rPr>
        <w:t xml:space="preserve"> Estados</w:t>
      </w:r>
      <w:r w:rsidR="00A76975" w:rsidRPr="00613F9A">
        <w:rPr>
          <w:rFonts w:ascii="Verdana" w:hAnsi="Verdana"/>
          <w:sz w:val="20"/>
          <w:szCs w:val="20"/>
          <w:lang w:val="es-ES"/>
        </w:rPr>
        <w:t xml:space="preserve"> Partes de la Convención</w:t>
      </w:r>
      <w:r w:rsidR="00AB7554" w:rsidRPr="00613F9A">
        <w:rPr>
          <w:rFonts w:ascii="Verdana" w:hAnsi="Verdana"/>
          <w:sz w:val="20"/>
          <w:szCs w:val="20"/>
          <w:lang w:val="es-ES"/>
        </w:rPr>
        <w:t>.</w:t>
      </w:r>
    </w:p>
    <w:p w:rsidR="00AB7554" w:rsidRPr="00613F9A" w:rsidRDefault="00AB7554" w:rsidP="000978E9">
      <w:pPr>
        <w:pStyle w:val="Prrafodelista"/>
        <w:spacing w:after="120"/>
        <w:ind w:left="20"/>
        <w:rPr>
          <w:rFonts w:ascii="Verdana" w:hAnsi="Verdana"/>
          <w:sz w:val="20"/>
          <w:szCs w:val="20"/>
          <w:lang w:val="es-ES"/>
        </w:rPr>
      </w:pPr>
    </w:p>
    <w:p w:rsidR="00C05917" w:rsidRPr="00613F9A" w:rsidRDefault="00C05917" w:rsidP="00B24719">
      <w:pPr>
        <w:pStyle w:val="Prrafodelista"/>
        <w:numPr>
          <w:ilvl w:val="0"/>
          <w:numId w:val="14"/>
        </w:numPr>
        <w:spacing w:after="0"/>
        <w:jc w:val="both"/>
        <w:rPr>
          <w:rFonts w:ascii="Verdana" w:hAnsi="Verdana"/>
          <w:b/>
          <w:sz w:val="20"/>
          <w:szCs w:val="20"/>
          <w:lang w:val="es-ES"/>
        </w:rPr>
      </w:pPr>
      <w:r w:rsidRPr="00613F9A">
        <w:rPr>
          <w:rFonts w:ascii="Verdana" w:hAnsi="Verdana"/>
          <w:b/>
          <w:sz w:val="20"/>
          <w:szCs w:val="20"/>
          <w:lang w:val="es-ES"/>
        </w:rPr>
        <w:t>Método subjetivo.</w:t>
      </w:r>
    </w:p>
    <w:p w:rsidR="00C05917" w:rsidRPr="00613F9A" w:rsidRDefault="00C05917" w:rsidP="000978E9">
      <w:pPr>
        <w:spacing w:after="0" w:line="276" w:lineRule="auto"/>
        <w:ind w:left="0"/>
        <w:rPr>
          <w:rFonts w:ascii="Verdana" w:hAnsi="Verdana"/>
          <w:b/>
          <w:sz w:val="20"/>
          <w:szCs w:val="20"/>
          <w:lang w:val="es-ES"/>
        </w:rPr>
      </w:pPr>
    </w:p>
    <w:p w:rsidR="00C05917" w:rsidRPr="00613F9A" w:rsidRDefault="00C05917" w:rsidP="00B24719">
      <w:pPr>
        <w:pStyle w:val="Prrafodelista"/>
        <w:numPr>
          <w:ilvl w:val="0"/>
          <w:numId w:val="2"/>
        </w:numPr>
        <w:ind w:left="0" w:firstLine="0"/>
        <w:jc w:val="both"/>
        <w:rPr>
          <w:rFonts w:ascii="Verdana" w:hAnsi="Verdana"/>
          <w:sz w:val="20"/>
          <w:szCs w:val="20"/>
          <w:lang w:val="es-ES"/>
        </w:rPr>
      </w:pPr>
      <w:r w:rsidRPr="00613F9A">
        <w:rPr>
          <w:rFonts w:ascii="Verdana" w:hAnsi="Verdana"/>
          <w:sz w:val="20"/>
          <w:szCs w:val="20"/>
          <w:lang w:val="es-ES"/>
        </w:rPr>
        <w:t>Al intentar desentrañar la voluntad de la Estados Partes de la Convención respecto de la norma en comento, resulta menester referirse, siempre conforme a lo previsto en la Convención de Viena, al contexto de los términos, por lo que se debe aludir al sistema consagrado en la Convención en el cual se inserta su artículo 26, lo que importa que:</w:t>
      </w:r>
    </w:p>
    <w:p w:rsidR="00585F26" w:rsidRPr="00613F9A" w:rsidRDefault="00585F26" w:rsidP="000978E9">
      <w:pPr>
        <w:pStyle w:val="Prrafodelista"/>
        <w:ind w:left="0"/>
        <w:jc w:val="both"/>
        <w:rPr>
          <w:rFonts w:ascii="Verdana" w:hAnsi="Verdana"/>
          <w:sz w:val="20"/>
          <w:szCs w:val="20"/>
          <w:lang w:val="es-ES"/>
        </w:rPr>
      </w:pPr>
    </w:p>
    <w:p w:rsidR="007855FF" w:rsidRPr="00613F9A" w:rsidRDefault="00C05917" w:rsidP="007855FF">
      <w:pPr>
        <w:pStyle w:val="Prrafodelista"/>
        <w:numPr>
          <w:ilvl w:val="0"/>
          <w:numId w:val="8"/>
        </w:numPr>
        <w:spacing w:after="120"/>
        <w:ind w:left="360"/>
        <w:jc w:val="both"/>
        <w:rPr>
          <w:rFonts w:ascii="Verdana" w:hAnsi="Verdana"/>
          <w:sz w:val="20"/>
          <w:szCs w:val="20"/>
          <w:lang w:val="es-ES"/>
        </w:rPr>
      </w:pPr>
      <w:r w:rsidRPr="00613F9A">
        <w:rPr>
          <w:rFonts w:ascii="Verdana" w:hAnsi="Verdana"/>
          <w:sz w:val="20"/>
          <w:szCs w:val="20"/>
          <w:lang w:val="es-ES"/>
        </w:rPr>
        <w:t>dicho sistema está con</w:t>
      </w:r>
      <w:r w:rsidR="001573C6" w:rsidRPr="00613F9A">
        <w:rPr>
          <w:rFonts w:ascii="Verdana" w:hAnsi="Verdana"/>
          <w:sz w:val="20"/>
          <w:szCs w:val="20"/>
          <w:lang w:val="es-ES"/>
        </w:rPr>
        <w:t>formado por los deberes y derechos</w:t>
      </w:r>
      <w:r w:rsidRPr="00613F9A">
        <w:rPr>
          <w:rFonts w:ascii="Verdana" w:hAnsi="Verdana"/>
          <w:sz w:val="20"/>
          <w:szCs w:val="20"/>
          <w:lang w:val="es-ES"/>
        </w:rPr>
        <w:t xml:space="preserve"> que dispone</w:t>
      </w:r>
      <w:r w:rsidRPr="00613F9A">
        <w:rPr>
          <w:rFonts w:ascii="Verdana" w:hAnsi="Verdana"/>
          <w:sz w:val="20"/>
          <w:szCs w:val="20"/>
          <w:vertAlign w:val="superscript"/>
          <w:lang w:val="es-ES"/>
        </w:rPr>
        <w:footnoteReference w:id="63"/>
      </w:r>
      <w:r w:rsidRPr="00613F9A">
        <w:rPr>
          <w:rFonts w:ascii="Verdana" w:hAnsi="Verdana"/>
          <w:sz w:val="20"/>
          <w:szCs w:val="20"/>
          <w:lang w:val="es-ES"/>
        </w:rPr>
        <w:t>, los órganos encargados de garantizar su respeto y exigir su cumplimiento, respectivamente</w:t>
      </w:r>
      <w:r w:rsidRPr="00613F9A">
        <w:rPr>
          <w:rFonts w:ascii="Verdana" w:hAnsi="Verdana"/>
          <w:sz w:val="20"/>
          <w:szCs w:val="20"/>
          <w:vertAlign w:val="superscript"/>
          <w:lang w:val="es-ES"/>
        </w:rPr>
        <w:footnoteReference w:id="64"/>
      </w:r>
      <w:r w:rsidRPr="00613F9A">
        <w:rPr>
          <w:rFonts w:ascii="Verdana" w:hAnsi="Verdana"/>
          <w:sz w:val="20"/>
          <w:szCs w:val="20"/>
          <w:lang w:val="es-ES"/>
        </w:rPr>
        <w:t xml:space="preserve"> y disposiciones concernientes a la Convención</w:t>
      </w:r>
      <w:r w:rsidRPr="00613F9A">
        <w:rPr>
          <w:rFonts w:ascii="Verdana" w:hAnsi="Verdana"/>
          <w:sz w:val="20"/>
          <w:szCs w:val="20"/>
          <w:vertAlign w:val="superscript"/>
          <w:lang w:val="es-ES"/>
        </w:rPr>
        <w:footnoteReference w:id="65"/>
      </w:r>
      <w:r w:rsidRPr="00613F9A">
        <w:rPr>
          <w:rFonts w:ascii="Verdana" w:hAnsi="Verdana"/>
          <w:sz w:val="20"/>
          <w:szCs w:val="20"/>
          <w:lang w:val="es-ES"/>
        </w:rPr>
        <w:t>;</w:t>
      </w:r>
    </w:p>
    <w:p w:rsidR="007855FF" w:rsidRPr="00613F9A" w:rsidRDefault="007855FF" w:rsidP="007855FF">
      <w:pPr>
        <w:pStyle w:val="Prrafodelista"/>
        <w:spacing w:after="120"/>
        <w:ind w:left="360"/>
        <w:jc w:val="both"/>
        <w:rPr>
          <w:rFonts w:ascii="Verdana" w:hAnsi="Verdana"/>
          <w:sz w:val="20"/>
          <w:szCs w:val="20"/>
          <w:lang w:val="es-ES"/>
        </w:rPr>
      </w:pPr>
    </w:p>
    <w:p w:rsidR="007855FF" w:rsidRPr="00613F9A" w:rsidRDefault="00C05917" w:rsidP="007855FF">
      <w:pPr>
        <w:pStyle w:val="Prrafodelista"/>
        <w:numPr>
          <w:ilvl w:val="0"/>
          <w:numId w:val="8"/>
        </w:numPr>
        <w:spacing w:after="120"/>
        <w:ind w:left="360"/>
        <w:jc w:val="both"/>
        <w:rPr>
          <w:rFonts w:ascii="Verdana" w:hAnsi="Verdana"/>
          <w:sz w:val="20"/>
          <w:szCs w:val="20"/>
          <w:lang w:val="es-ES"/>
        </w:rPr>
      </w:pPr>
      <w:r w:rsidRPr="00613F9A">
        <w:rPr>
          <w:rFonts w:ascii="Verdana" w:hAnsi="Verdana"/>
          <w:sz w:val="20"/>
          <w:szCs w:val="20"/>
          <w:lang w:val="es-ES"/>
        </w:rPr>
        <w:t>en lo relativo a los deberes, ellos son dos, a saber, la “</w:t>
      </w:r>
      <w:r w:rsidRPr="00613F9A">
        <w:rPr>
          <w:rFonts w:ascii="Verdana" w:hAnsi="Verdana"/>
          <w:i/>
          <w:sz w:val="20"/>
          <w:szCs w:val="20"/>
          <w:lang w:val="es-ES"/>
        </w:rPr>
        <w:t>Obligación de Respetar los Derechos</w:t>
      </w:r>
      <w:r w:rsidRPr="00613F9A">
        <w:rPr>
          <w:rFonts w:ascii="Verdana" w:hAnsi="Verdana"/>
          <w:sz w:val="20"/>
          <w:szCs w:val="20"/>
          <w:lang w:val="es-ES"/>
        </w:rPr>
        <w:t>”</w:t>
      </w:r>
      <w:r w:rsidRPr="00613F9A">
        <w:rPr>
          <w:rFonts w:ascii="Verdana" w:hAnsi="Verdana"/>
          <w:sz w:val="20"/>
          <w:szCs w:val="20"/>
          <w:vertAlign w:val="superscript"/>
          <w:lang w:val="es-ES"/>
        </w:rPr>
        <w:footnoteReference w:id="66"/>
      </w:r>
      <w:r w:rsidRPr="00613F9A">
        <w:rPr>
          <w:rFonts w:ascii="Verdana" w:hAnsi="Verdana"/>
          <w:sz w:val="20"/>
          <w:szCs w:val="20"/>
          <w:lang w:val="es-ES"/>
        </w:rPr>
        <w:t xml:space="preserve"> y el “</w:t>
      </w:r>
      <w:r w:rsidRPr="00613F9A">
        <w:rPr>
          <w:rFonts w:ascii="Verdana" w:hAnsi="Verdana"/>
          <w:i/>
          <w:sz w:val="20"/>
          <w:szCs w:val="20"/>
          <w:lang w:val="es-ES"/>
        </w:rPr>
        <w:t>Deber de Adoptar Disposiciones de Derecho Interno”</w:t>
      </w:r>
      <w:r w:rsidRPr="00613F9A">
        <w:rPr>
          <w:rFonts w:ascii="Verdana" w:hAnsi="Verdana"/>
          <w:sz w:val="20"/>
          <w:szCs w:val="20"/>
          <w:vertAlign w:val="superscript"/>
          <w:lang w:val="es-ES"/>
        </w:rPr>
        <w:footnoteReference w:id="67"/>
      </w:r>
      <w:r w:rsidRPr="00613F9A">
        <w:rPr>
          <w:rFonts w:ascii="Verdana" w:hAnsi="Verdana"/>
          <w:i/>
          <w:sz w:val="20"/>
          <w:szCs w:val="20"/>
          <w:lang w:val="es-ES"/>
        </w:rPr>
        <w:t xml:space="preserve"> y e</w:t>
      </w:r>
      <w:r w:rsidRPr="00613F9A">
        <w:rPr>
          <w:rFonts w:ascii="Verdana" w:hAnsi="Verdana"/>
          <w:sz w:val="20"/>
          <w:szCs w:val="20"/>
          <w:lang w:val="es-ES"/>
        </w:rPr>
        <w:t>n lo atinente a los derechos, ellos son los “</w:t>
      </w:r>
      <w:r w:rsidRPr="00613F9A">
        <w:rPr>
          <w:rFonts w:ascii="Verdana" w:hAnsi="Verdana"/>
          <w:i/>
          <w:sz w:val="20"/>
          <w:szCs w:val="20"/>
          <w:lang w:val="es-ES"/>
        </w:rPr>
        <w:t>Derechos Civiles y Políticos</w:t>
      </w:r>
      <w:r w:rsidRPr="00613F9A">
        <w:rPr>
          <w:rFonts w:ascii="Verdana" w:hAnsi="Verdana"/>
          <w:sz w:val="20"/>
          <w:szCs w:val="20"/>
          <w:lang w:val="es-ES"/>
        </w:rPr>
        <w:t>”</w:t>
      </w:r>
      <w:r w:rsidRPr="00613F9A">
        <w:rPr>
          <w:rFonts w:ascii="Verdana" w:hAnsi="Verdana"/>
          <w:sz w:val="20"/>
          <w:szCs w:val="20"/>
          <w:vertAlign w:val="superscript"/>
          <w:lang w:val="es-ES"/>
        </w:rPr>
        <w:footnoteReference w:id="68"/>
      </w:r>
      <w:r w:rsidRPr="00613F9A">
        <w:rPr>
          <w:rFonts w:ascii="Verdana" w:hAnsi="Verdana"/>
          <w:sz w:val="20"/>
          <w:szCs w:val="20"/>
          <w:lang w:val="es-ES"/>
        </w:rPr>
        <w:t xml:space="preserve"> y los “</w:t>
      </w:r>
      <w:r w:rsidRPr="00613F9A">
        <w:rPr>
          <w:rFonts w:ascii="Verdana" w:hAnsi="Verdana"/>
          <w:i/>
          <w:sz w:val="20"/>
          <w:szCs w:val="20"/>
          <w:lang w:val="es-ES"/>
        </w:rPr>
        <w:t>Derechos Económicos, Sociales y Culturales”</w:t>
      </w:r>
      <w:r w:rsidRPr="00613F9A">
        <w:rPr>
          <w:rFonts w:ascii="Verdana" w:hAnsi="Verdana"/>
          <w:sz w:val="20"/>
          <w:szCs w:val="20"/>
          <w:vertAlign w:val="superscript"/>
          <w:lang w:val="es-ES"/>
        </w:rPr>
        <w:footnoteReference w:id="69"/>
      </w:r>
      <w:r w:rsidRPr="00613F9A">
        <w:rPr>
          <w:rFonts w:ascii="Verdana" w:hAnsi="Verdana"/>
          <w:i/>
          <w:sz w:val="20"/>
          <w:szCs w:val="20"/>
          <w:lang w:val="es-ES"/>
        </w:rPr>
        <w:t>;</w:t>
      </w:r>
    </w:p>
    <w:p w:rsidR="007855FF" w:rsidRPr="00613F9A" w:rsidRDefault="007855FF" w:rsidP="007855FF">
      <w:pPr>
        <w:pStyle w:val="Prrafodelista"/>
        <w:rPr>
          <w:rFonts w:ascii="Verdana" w:hAnsi="Verdana"/>
          <w:sz w:val="20"/>
          <w:szCs w:val="20"/>
          <w:lang w:val="es-ES"/>
        </w:rPr>
      </w:pPr>
    </w:p>
    <w:p w:rsidR="007855FF" w:rsidRPr="00613F9A" w:rsidRDefault="00C05917" w:rsidP="007855FF">
      <w:pPr>
        <w:pStyle w:val="Prrafodelista"/>
        <w:numPr>
          <w:ilvl w:val="0"/>
          <w:numId w:val="8"/>
        </w:numPr>
        <w:spacing w:after="120"/>
        <w:ind w:left="360"/>
        <w:jc w:val="both"/>
        <w:rPr>
          <w:rFonts w:ascii="Verdana" w:hAnsi="Verdana"/>
          <w:sz w:val="20"/>
          <w:szCs w:val="20"/>
          <w:lang w:val="es-ES"/>
        </w:rPr>
      </w:pPr>
      <w:r w:rsidRPr="00613F9A">
        <w:rPr>
          <w:rFonts w:ascii="Verdana" w:hAnsi="Verdana"/>
          <w:sz w:val="20"/>
          <w:szCs w:val="20"/>
          <w:lang w:val="es-ES"/>
        </w:rPr>
        <w:t>en lo pertinente a los ó</w:t>
      </w:r>
      <w:r w:rsidR="00A47EA7" w:rsidRPr="00613F9A">
        <w:rPr>
          <w:rFonts w:ascii="Verdana" w:hAnsi="Verdana"/>
          <w:sz w:val="20"/>
          <w:szCs w:val="20"/>
          <w:lang w:val="es-ES"/>
        </w:rPr>
        <w:t xml:space="preserve">rganos, ellos son la Comisión, </w:t>
      </w:r>
      <w:r w:rsidRPr="00613F9A">
        <w:rPr>
          <w:rFonts w:ascii="Verdana" w:hAnsi="Verdana"/>
          <w:sz w:val="20"/>
          <w:szCs w:val="20"/>
          <w:lang w:val="es-ES"/>
        </w:rPr>
        <w:t>la Corte</w:t>
      </w:r>
      <w:r w:rsidR="00AF3AAF" w:rsidRPr="00613F9A">
        <w:rPr>
          <w:rStyle w:val="Refdenotaalpie"/>
          <w:rFonts w:ascii="Verdana" w:hAnsi="Verdana"/>
          <w:sz w:val="20"/>
          <w:szCs w:val="20"/>
          <w:lang w:val="es-ES"/>
        </w:rPr>
        <w:footnoteReference w:id="70"/>
      </w:r>
      <w:r w:rsidR="00A47EA7" w:rsidRPr="00613F9A">
        <w:rPr>
          <w:rFonts w:ascii="Verdana" w:hAnsi="Verdana"/>
          <w:sz w:val="20"/>
          <w:szCs w:val="20"/>
          <w:lang w:val="es-ES"/>
        </w:rPr>
        <w:t xml:space="preserve"> y la Asamblea General de la OEA</w:t>
      </w:r>
      <w:r w:rsidR="00A47EA7" w:rsidRPr="00613F9A">
        <w:rPr>
          <w:rStyle w:val="Refdenotaalpie"/>
          <w:rFonts w:ascii="Verdana" w:hAnsi="Verdana"/>
          <w:sz w:val="20"/>
          <w:szCs w:val="20"/>
          <w:lang w:val="es-ES"/>
        </w:rPr>
        <w:footnoteReference w:id="71"/>
      </w:r>
      <w:r w:rsidRPr="00613F9A">
        <w:rPr>
          <w:rFonts w:ascii="Verdana" w:hAnsi="Verdana"/>
          <w:sz w:val="20"/>
          <w:szCs w:val="20"/>
          <w:lang w:val="es-ES"/>
        </w:rPr>
        <w:t>, correspondiéndole a la primera la promoción y defensa de los derechos humanos</w:t>
      </w:r>
      <w:r w:rsidRPr="00613F9A">
        <w:rPr>
          <w:rFonts w:ascii="Verdana" w:hAnsi="Verdana"/>
          <w:sz w:val="20"/>
          <w:szCs w:val="20"/>
          <w:vertAlign w:val="superscript"/>
          <w:lang w:val="es-ES"/>
        </w:rPr>
        <w:footnoteReference w:id="72"/>
      </w:r>
      <w:r w:rsidR="00772D74" w:rsidRPr="00613F9A">
        <w:rPr>
          <w:rFonts w:ascii="Verdana" w:hAnsi="Verdana"/>
          <w:sz w:val="20"/>
          <w:szCs w:val="20"/>
          <w:lang w:val="es-ES"/>
        </w:rPr>
        <w:t xml:space="preserve">, </w:t>
      </w:r>
      <w:r w:rsidRPr="00613F9A">
        <w:rPr>
          <w:rFonts w:ascii="Verdana" w:hAnsi="Verdana"/>
          <w:sz w:val="20"/>
          <w:szCs w:val="20"/>
          <w:lang w:val="es-ES"/>
        </w:rPr>
        <w:t>a la segunda, interpretar y aplicar la Convención</w:t>
      </w:r>
      <w:r w:rsidRPr="00613F9A">
        <w:rPr>
          <w:rFonts w:ascii="Verdana" w:hAnsi="Verdana"/>
          <w:sz w:val="20"/>
          <w:szCs w:val="20"/>
          <w:vertAlign w:val="superscript"/>
          <w:lang w:val="es-ES"/>
        </w:rPr>
        <w:footnoteReference w:id="73"/>
      </w:r>
      <w:r w:rsidR="00772D74" w:rsidRPr="00613F9A">
        <w:rPr>
          <w:rFonts w:ascii="Verdana" w:hAnsi="Verdana"/>
          <w:sz w:val="20"/>
          <w:szCs w:val="20"/>
          <w:lang w:val="es-ES"/>
        </w:rPr>
        <w:t xml:space="preserve"> y a la tercera, adoptar las medidas que correspondan para hacer cumplir el fallo correspondiente</w:t>
      </w:r>
      <w:r w:rsidR="00772D74" w:rsidRPr="00613F9A">
        <w:rPr>
          <w:rStyle w:val="Refdenotaalpie"/>
          <w:rFonts w:ascii="Verdana" w:hAnsi="Verdana"/>
          <w:sz w:val="20"/>
          <w:szCs w:val="20"/>
          <w:lang w:val="es-ES"/>
        </w:rPr>
        <w:footnoteReference w:id="74"/>
      </w:r>
      <w:r w:rsidRPr="00613F9A">
        <w:rPr>
          <w:rFonts w:ascii="Verdana" w:hAnsi="Verdana"/>
          <w:sz w:val="20"/>
          <w:szCs w:val="20"/>
          <w:lang w:val="es-ES"/>
        </w:rPr>
        <w:t>;</w:t>
      </w:r>
    </w:p>
    <w:p w:rsidR="007855FF" w:rsidRPr="00613F9A" w:rsidRDefault="007855FF" w:rsidP="007855FF">
      <w:pPr>
        <w:pStyle w:val="Prrafodelista"/>
        <w:rPr>
          <w:rFonts w:ascii="Verdana" w:hAnsi="Verdana"/>
          <w:sz w:val="20"/>
          <w:szCs w:val="20"/>
          <w:lang w:val="es-ES"/>
        </w:rPr>
      </w:pPr>
    </w:p>
    <w:p w:rsidR="007855FF" w:rsidRPr="00613F9A" w:rsidRDefault="00C05917" w:rsidP="007855FF">
      <w:pPr>
        <w:pStyle w:val="Prrafodelista"/>
        <w:numPr>
          <w:ilvl w:val="0"/>
          <w:numId w:val="8"/>
        </w:numPr>
        <w:spacing w:after="120"/>
        <w:ind w:left="360"/>
        <w:jc w:val="both"/>
        <w:rPr>
          <w:rFonts w:ascii="Verdana" w:hAnsi="Verdana"/>
          <w:sz w:val="20"/>
          <w:szCs w:val="20"/>
          <w:lang w:val="es-ES"/>
        </w:rPr>
      </w:pPr>
      <w:r w:rsidRPr="00613F9A">
        <w:rPr>
          <w:rFonts w:ascii="Verdana" w:hAnsi="Verdana"/>
          <w:sz w:val="20"/>
          <w:szCs w:val="20"/>
          <w:lang w:val="es-ES"/>
        </w:rPr>
        <w:t>de la interpretación armónica de las normas correspondientes, se puede colegir que la Convención distingue, en cuanto a la</w:t>
      </w:r>
      <w:r w:rsidR="00FC320B" w:rsidRPr="00613F9A">
        <w:rPr>
          <w:rFonts w:ascii="Verdana" w:hAnsi="Verdana"/>
          <w:sz w:val="20"/>
          <w:szCs w:val="20"/>
          <w:lang w:val="es-ES"/>
        </w:rPr>
        <w:t xml:space="preserve"> competencia de la Corte de impa</w:t>
      </w:r>
      <w:r w:rsidRPr="00613F9A">
        <w:rPr>
          <w:rFonts w:ascii="Verdana" w:hAnsi="Verdana"/>
          <w:sz w:val="20"/>
          <w:szCs w:val="20"/>
          <w:lang w:val="es-ES"/>
        </w:rPr>
        <w:t xml:space="preserve">rtir Justicia en los casos que le son sometidos, entre dos tipos de derechos, unos son los derechos </w:t>
      </w:r>
      <w:r w:rsidRPr="00613F9A">
        <w:rPr>
          <w:rFonts w:ascii="Verdana" w:eastAsia="Times" w:hAnsi="Verdana" w:cs="Arial"/>
          <w:sz w:val="20"/>
          <w:szCs w:val="20"/>
          <w:lang w:val="es-MX"/>
        </w:rPr>
        <w:t>“</w:t>
      </w:r>
      <w:r w:rsidRPr="00613F9A">
        <w:rPr>
          <w:rFonts w:ascii="Verdana" w:eastAsia="Times" w:hAnsi="Verdana" w:cs="Arial"/>
          <w:i/>
          <w:sz w:val="20"/>
          <w:szCs w:val="20"/>
          <w:lang w:val="es-MX"/>
        </w:rPr>
        <w:t>reconocidos</w:t>
      </w:r>
      <w:r w:rsidRPr="00613F9A">
        <w:rPr>
          <w:rFonts w:ascii="Verdana" w:eastAsia="Times" w:hAnsi="Verdana" w:cs="Arial"/>
          <w:sz w:val="20"/>
          <w:szCs w:val="20"/>
          <w:lang w:val="es-MX"/>
        </w:rPr>
        <w:t>”</w:t>
      </w:r>
      <w:r w:rsidRPr="00613F9A">
        <w:rPr>
          <w:rFonts w:ascii="Verdana" w:eastAsia="Times" w:hAnsi="Verdana" w:cs="Arial"/>
          <w:sz w:val="20"/>
          <w:szCs w:val="20"/>
          <w:vertAlign w:val="superscript"/>
          <w:lang w:val="es-MX"/>
        </w:rPr>
        <w:footnoteReference w:id="75"/>
      </w:r>
      <w:r w:rsidR="00FC320B" w:rsidRPr="00613F9A">
        <w:rPr>
          <w:rFonts w:ascii="Verdana" w:eastAsia="Times" w:hAnsi="Verdana" w:cs="Arial"/>
          <w:sz w:val="20"/>
          <w:szCs w:val="20"/>
          <w:lang w:val="es-MX"/>
        </w:rPr>
        <w:t xml:space="preserve"> </w:t>
      </w:r>
      <w:r w:rsidR="00FC320B" w:rsidRPr="00613F9A">
        <w:rPr>
          <w:rFonts w:ascii="Verdana" w:eastAsia="Times" w:hAnsi="Verdana" w:cs="Arial"/>
          <w:sz w:val="20"/>
          <w:szCs w:val="20"/>
          <w:vertAlign w:val="superscript"/>
          <w:lang w:val="es-MX"/>
        </w:rPr>
        <w:t>y</w:t>
      </w:r>
      <w:r w:rsidR="00A1609F" w:rsidRPr="00613F9A">
        <w:rPr>
          <w:rFonts w:ascii="Verdana" w:eastAsia="Times" w:hAnsi="Verdana" w:cs="Arial"/>
          <w:sz w:val="20"/>
          <w:szCs w:val="20"/>
          <w:lang w:val="es-MX"/>
        </w:rPr>
        <w:t xml:space="preserve"> </w:t>
      </w:r>
      <w:r w:rsidR="00FC320B" w:rsidRPr="00613F9A">
        <w:rPr>
          <w:rStyle w:val="Refdenotaalpie"/>
          <w:rFonts w:ascii="Verdana" w:eastAsia="Times" w:hAnsi="Verdana" w:cs="Arial"/>
          <w:sz w:val="20"/>
          <w:szCs w:val="20"/>
          <w:lang w:val="es-MX"/>
        </w:rPr>
        <w:footnoteReference w:id="76"/>
      </w:r>
      <w:r w:rsidR="007E461D" w:rsidRPr="00613F9A">
        <w:rPr>
          <w:rFonts w:ascii="Verdana" w:eastAsia="Times" w:hAnsi="Verdana" w:cs="Arial"/>
          <w:sz w:val="20"/>
          <w:szCs w:val="20"/>
          <w:lang w:val="es-MX"/>
        </w:rPr>
        <w:t xml:space="preserve">, </w:t>
      </w:r>
      <w:r w:rsidR="007E461D" w:rsidRPr="00613F9A">
        <w:rPr>
          <w:rFonts w:ascii="Verdana" w:hAnsi="Verdana"/>
          <w:i/>
          <w:sz w:val="20"/>
          <w:szCs w:val="20"/>
          <w:lang w:val="es-ES"/>
        </w:rPr>
        <w:lastRenderedPageBreak/>
        <w:t>“</w:t>
      </w:r>
      <w:r w:rsidRPr="00613F9A">
        <w:rPr>
          <w:rFonts w:ascii="Verdana" w:hAnsi="Verdana"/>
          <w:i/>
          <w:sz w:val="20"/>
          <w:szCs w:val="20"/>
          <w:lang w:val="es-ES"/>
        </w:rPr>
        <w:t>establecidos</w:t>
      </w:r>
      <w:r w:rsidRPr="00613F9A">
        <w:rPr>
          <w:rFonts w:ascii="Verdana" w:hAnsi="Verdana"/>
          <w:sz w:val="20"/>
          <w:szCs w:val="20"/>
          <w:lang w:val="es-ES"/>
        </w:rPr>
        <w:t>”</w:t>
      </w:r>
      <w:r w:rsidRPr="00613F9A">
        <w:rPr>
          <w:rFonts w:ascii="Verdana" w:hAnsi="Verdana"/>
          <w:sz w:val="20"/>
          <w:szCs w:val="20"/>
          <w:vertAlign w:val="superscript"/>
          <w:lang w:val="es-ES"/>
        </w:rPr>
        <w:footnoteReference w:id="77"/>
      </w:r>
      <w:r w:rsidRPr="00613F9A">
        <w:rPr>
          <w:rFonts w:ascii="Verdana" w:hAnsi="Verdana"/>
          <w:sz w:val="20"/>
          <w:szCs w:val="20"/>
          <w:lang w:val="es-ES"/>
        </w:rPr>
        <w:t>, “</w:t>
      </w:r>
      <w:r w:rsidRPr="00613F9A">
        <w:rPr>
          <w:rFonts w:ascii="Verdana" w:hAnsi="Verdana"/>
          <w:i/>
          <w:sz w:val="20"/>
          <w:szCs w:val="20"/>
          <w:lang w:val="es-ES"/>
        </w:rPr>
        <w:t>garantizados</w:t>
      </w:r>
      <w:r w:rsidRPr="00613F9A">
        <w:rPr>
          <w:rFonts w:ascii="Verdana" w:hAnsi="Verdana"/>
          <w:sz w:val="20"/>
          <w:szCs w:val="20"/>
          <w:lang w:val="es-ES"/>
        </w:rPr>
        <w:t>”</w:t>
      </w:r>
      <w:r w:rsidRPr="00613F9A">
        <w:rPr>
          <w:rFonts w:ascii="Verdana" w:hAnsi="Verdana"/>
          <w:sz w:val="20"/>
          <w:szCs w:val="20"/>
          <w:vertAlign w:val="superscript"/>
          <w:lang w:val="es-ES"/>
        </w:rPr>
        <w:footnoteReference w:id="78"/>
      </w:r>
      <w:r w:rsidRPr="00613F9A">
        <w:rPr>
          <w:rFonts w:ascii="Verdana" w:hAnsi="Verdana"/>
          <w:sz w:val="20"/>
          <w:szCs w:val="20"/>
          <w:lang w:val="es-ES"/>
        </w:rPr>
        <w:t>, “</w:t>
      </w:r>
      <w:r w:rsidRPr="00613F9A">
        <w:rPr>
          <w:rFonts w:ascii="Verdana" w:hAnsi="Verdana"/>
          <w:i/>
          <w:sz w:val="20"/>
          <w:szCs w:val="20"/>
          <w:lang w:val="es-ES"/>
        </w:rPr>
        <w:t>consagrados</w:t>
      </w:r>
      <w:r w:rsidRPr="00613F9A">
        <w:rPr>
          <w:rFonts w:ascii="Verdana" w:hAnsi="Verdana"/>
          <w:sz w:val="20"/>
          <w:szCs w:val="20"/>
          <w:lang w:val="es-ES"/>
        </w:rPr>
        <w:t>”</w:t>
      </w:r>
      <w:r w:rsidRPr="00613F9A">
        <w:rPr>
          <w:rFonts w:ascii="Verdana" w:hAnsi="Verdana"/>
          <w:sz w:val="20"/>
          <w:szCs w:val="20"/>
          <w:vertAlign w:val="superscript"/>
          <w:lang w:val="es-ES"/>
        </w:rPr>
        <w:footnoteReference w:id="79"/>
      </w:r>
      <w:r w:rsidRPr="00613F9A">
        <w:rPr>
          <w:rFonts w:ascii="Verdana" w:hAnsi="Verdana"/>
          <w:sz w:val="20"/>
          <w:szCs w:val="20"/>
          <w:lang w:val="es-ES"/>
        </w:rPr>
        <w:t xml:space="preserve"> o “</w:t>
      </w:r>
      <w:r w:rsidRPr="00613F9A">
        <w:rPr>
          <w:rFonts w:ascii="Verdana" w:hAnsi="Verdana"/>
          <w:i/>
          <w:sz w:val="20"/>
          <w:szCs w:val="20"/>
          <w:lang w:val="es-ES"/>
        </w:rPr>
        <w:t>protegidos</w:t>
      </w:r>
      <w:r w:rsidRPr="00613F9A">
        <w:rPr>
          <w:rFonts w:ascii="Verdana" w:hAnsi="Verdana"/>
          <w:sz w:val="20"/>
          <w:szCs w:val="20"/>
          <w:lang w:val="es-ES"/>
        </w:rPr>
        <w:t>”</w:t>
      </w:r>
      <w:r w:rsidR="00FC320B" w:rsidRPr="00613F9A">
        <w:rPr>
          <w:rStyle w:val="Refdenotaalpie"/>
          <w:rFonts w:ascii="Verdana" w:hAnsi="Verdana"/>
          <w:sz w:val="20"/>
          <w:szCs w:val="20"/>
          <w:lang w:val="es-ES"/>
        </w:rPr>
        <w:footnoteReference w:id="80"/>
      </w:r>
      <w:r w:rsidRPr="00613F9A">
        <w:rPr>
          <w:rFonts w:ascii="Verdana" w:hAnsi="Verdana"/>
          <w:sz w:val="20"/>
          <w:szCs w:val="20"/>
          <w:lang w:val="es-ES"/>
        </w:rPr>
        <w:t xml:space="preserve"> por o en la Convención y los otros son los “</w:t>
      </w:r>
      <w:r w:rsidRPr="00613F9A">
        <w:rPr>
          <w:rFonts w:ascii="Verdana" w:hAnsi="Verdana"/>
          <w:i/>
          <w:sz w:val="20"/>
          <w:szCs w:val="20"/>
          <w:lang w:val="es-ES"/>
        </w:rPr>
        <w:t>que se derivan de las normas económicas, sociales y sobre educación, ciencia y</w:t>
      </w:r>
      <w:r w:rsidR="00A76975" w:rsidRPr="00613F9A">
        <w:rPr>
          <w:rFonts w:ascii="Verdana" w:hAnsi="Verdana"/>
          <w:i/>
          <w:sz w:val="20"/>
          <w:szCs w:val="20"/>
          <w:lang w:val="es-ES"/>
        </w:rPr>
        <w:t xml:space="preserve"> cultura, contenidas en la Cart</w:t>
      </w:r>
      <w:r w:rsidR="00AF3AAF" w:rsidRPr="00613F9A">
        <w:rPr>
          <w:rFonts w:ascii="Verdana" w:hAnsi="Verdana"/>
          <w:i/>
          <w:sz w:val="20"/>
          <w:szCs w:val="20"/>
          <w:lang w:val="es-ES"/>
        </w:rPr>
        <w:t>a</w:t>
      </w:r>
      <w:r w:rsidRPr="00613F9A">
        <w:rPr>
          <w:rFonts w:ascii="Verdana" w:hAnsi="Verdana"/>
          <w:i/>
          <w:sz w:val="20"/>
          <w:szCs w:val="20"/>
          <w:lang w:val="es-ES"/>
        </w:rPr>
        <w:t xml:space="preserve"> de la Organización de los Estados Americanos, reformada por el Protocolo de Buenos Aires</w:t>
      </w:r>
      <w:r w:rsidRPr="00613F9A">
        <w:rPr>
          <w:rFonts w:ascii="Verdana" w:hAnsi="Verdana"/>
          <w:sz w:val="20"/>
          <w:szCs w:val="20"/>
          <w:lang w:val="es-ES"/>
        </w:rPr>
        <w:t>”</w:t>
      </w:r>
      <w:r w:rsidRPr="00613F9A">
        <w:rPr>
          <w:rFonts w:ascii="Verdana" w:hAnsi="Verdana"/>
          <w:sz w:val="20"/>
          <w:szCs w:val="20"/>
          <w:vertAlign w:val="superscript"/>
          <w:lang w:val="es-ES"/>
        </w:rPr>
        <w:footnoteReference w:id="81"/>
      </w:r>
      <w:r w:rsidRPr="00613F9A">
        <w:rPr>
          <w:rFonts w:ascii="Verdana" w:hAnsi="Verdana"/>
          <w:sz w:val="20"/>
          <w:szCs w:val="20"/>
          <w:lang w:val="es-ES"/>
        </w:rPr>
        <w:t>;</w:t>
      </w:r>
      <w:r w:rsidR="008A4349" w:rsidRPr="00613F9A">
        <w:rPr>
          <w:rFonts w:ascii="Verdana" w:hAnsi="Verdana"/>
          <w:sz w:val="20"/>
          <w:szCs w:val="20"/>
          <w:lang w:val="es-ES"/>
        </w:rPr>
        <w:t xml:space="preserve"> </w:t>
      </w:r>
    </w:p>
    <w:p w:rsidR="007855FF" w:rsidRPr="00613F9A" w:rsidRDefault="007855FF" w:rsidP="007855FF">
      <w:pPr>
        <w:pStyle w:val="Prrafodelista"/>
        <w:rPr>
          <w:rFonts w:ascii="Verdana" w:hAnsi="Verdana"/>
          <w:sz w:val="20"/>
          <w:szCs w:val="20"/>
          <w:lang w:val="es-ES"/>
        </w:rPr>
      </w:pPr>
    </w:p>
    <w:p w:rsidR="007855FF" w:rsidRPr="00613F9A" w:rsidRDefault="00C05917" w:rsidP="007855FF">
      <w:pPr>
        <w:pStyle w:val="Prrafodelista"/>
        <w:numPr>
          <w:ilvl w:val="0"/>
          <w:numId w:val="8"/>
        </w:numPr>
        <w:spacing w:after="120"/>
        <w:ind w:left="360"/>
        <w:jc w:val="both"/>
        <w:rPr>
          <w:rFonts w:ascii="Verdana" w:hAnsi="Verdana"/>
          <w:sz w:val="20"/>
          <w:szCs w:val="20"/>
          <w:lang w:val="es-ES"/>
        </w:rPr>
      </w:pPr>
      <w:r w:rsidRPr="00613F9A">
        <w:rPr>
          <w:rFonts w:ascii="Verdana" w:hAnsi="Verdana"/>
          <w:sz w:val="20"/>
          <w:szCs w:val="20"/>
          <w:lang w:val="es-ES"/>
        </w:rPr>
        <w:t>respecto los primeros, son los que “</w:t>
      </w:r>
      <w:r w:rsidRPr="00613F9A">
        <w:rPr>
          <w:rFonts w:ascii="Verdana" w:hAnsi="Verdana"/>
          <w:i/>
          <w:sz w:val="20"/>
          <w:szCs w:val="20"/>
          <w:lang w:val="es-ES"/>
        </w:rPr>
        <w:t xml:space="preserve">la Corte tiene competencia para conocer de cualquier caso relativo a la interpretación y aplicación de las disposiciones de </w:t>
      </w:r>
      <w:r w:rsidRPr="00613F9A">
        <w:rPr>
          <w:rFonts w:ascii="Verdana" w:hAnsi="Verdana"/>
          <w:sz w:val="20"/>
          <w:szCs w:val="20"/>
          <w:lang w:val="es-ES"/>
        </w:rPr>
        <w:t>(la)</w:t>
      </w:r>
      <w:r w:rsidRPr="00613F9A">
        <w:rPr>
          <w:rFonts w:ascii="Verdana" w:hAnsi="Verdana"/>
          <w:i/>
          <w:sz w:val="20"/>
          <w:szCs w:val="20"/>
          <w:lang w:val="es-ES"/>
        </w:rPr>
        <w:t xml:space="preserve"> Convención que le sea sometido”</w:t>
      </w:r>
      <w:r w:rsidRPr="00613F9A">
        <w:rPr>
          <w:rFonts w:ascii="Verdana" w:hAnsi="Verdana"/>
          <w:sz w:val="20"/>
          <w:szCs w:val="20"/>
          <w:vertAlign w:val="superscript"/>
          <w:lang w:val="es-ES"/>
        </w:rPr>
        <w:t xml:space="preserve"> </w:t>
      </w:r>
      <w:r w:rsidRPr="00613F9A">
        <w:rPr>
          <w:rFonts w:ascii="Verdana" w:hAnsi="Verdana"/>
          <w:sz w:val="20"/>
          <w:szCs w:val="20"/>
          <w:vertAlign w:val="superscript"/>
          <w:lang w:val="es-ES"/>
        </w:rPr>
        <w:footnoteReference w:id="82"/>
      </w:r>
      <w:r w:rsidRPr="00613F9A">
        <w:rPr>
          <w:rFonts w:ascii="Verdana" w:hAnsi="Verdana"/>
          <w:sz w:val="20"/>
          <w:szCs w:val="20"/>
          <w:lang w:val="es-ES"/>
        </w:rPr>
        <w:t>;</w:t>
      </w:r>
    </w:p>
    <w:p w:rsidR="007855FF" w:rsidRPr="00613F9A" w:rsidRDefault="007855FF" w:rsidP="007855FF">
      <w:pPr>
        <w:pStyle w:val="Prrafodelista"/>
        <w:rPr>
          <w:rFonts w:ascii="Verdana" w:hAnsi="Verdana"/>
          <w:sz w:val="20"/>
          <w:szCs w:val="20"/>
          <w:lang w:val="es-ES"/>
        </w:rPr>
      </w:pPr>
    </w:p>
    <w:p w:rsidR="007855FF" w:rsidRPr="00613F9A" w:rsidRDefault="00C05917" w:rsidP="007855FF">
      <w:pPr>
        <w:pStyle w:val="Prrafodelista"/>
        <w:numPr>
          <w:ilvl w:val="0"/>
          <w:numId w:val="8"/>
        </w:numPr>
        <w:spacing w:after="120"/>
        <w:ind w:left="360"/>
        <w:jc w:val="both"/>
        <w:rPr>
          <w:rFonts w:ascii="Verdana" w:hAnsi="Verdana"/>
          <w:sz w:val="20"/>
          <w:szCs w:val="20"/>
          <w:lang w:val="es-ES"/>
        </w:rPr>
      </w:pPr>
      <w:r w:rsidRPr="00613F9A">
        <w:rPr>
          <w:rFonts w:ascii="Verdana" w:hAnsi="Verdana"/>
          <w:sz w:val="20"/>
          <w:szCs w:val="20"/>
          <w:lang w:val="es-ES"/>
        </w:rPr>
        <w:t>en consecuencia, a los Estados que han reconocido la competencia contenciosa de la Corte, sólo se les puede requerir ante ésta, en cuanto al caso que le ha sido sometido, el debido respeto de los derechos civiles y políticos que “</w:t>
      </w:r>
      <w:r w:rsidRPr="00613F9A">
        <w:rPr>
          <w:rFonts w:ascii="Verdana" w:hAnsi="Verdana"/>
          <w:i/>
          <w:sz w:val="20"/>
          <w:szCs w:val="20"/>
          <w:lang w:val="es-ES"/>
        </w:rPr>
        <w:t>reconoce</w:t>
      </w:r>
      <w:r w:rsidRPr="00613F9A">
        <w:rPr>
          <w:rFonts w:ascii="Verdana" w:hAnsi="Verdana"/>
          <w:sz w:val="20"/>
          <w:szCs w:val="20"/>
          <w:lang w:val="es-ES"/>
        </w:rPr>
        <w:t>” y “</w:t>
      </w:r>
      <w:r w:rsidRPr="00613F9A">
        <w:rPr>
          <w:rFonts w:ascii="Verdana" w:hAnsi="Verdana"/>
          <w:i/>
          <w:sz w:val="20"/>
          <w:szCs w:val="20"/>
          <w:lang w:val="es-ES"/>
        </w:rPr>
        <w:t>garantiza”</w:t>
      </w:r>
      <w:r w:rsidRPr="00613F9A">
        <w:rPr>
          <w:rFonts w:ascii="Verdana" w:hAnsi="Verdana"/>
          <w:sz w:val="20"/>
          <w:szCs w:val="20"/>
          <w:vertAlign w:val="superscript"/>
          <w:lang w:val="es-ES"/>
        </w:rPr>
        <w:footnoteReference w:id="83"/>
      </w:r>
      <w:r w:rsidRPr="00613F9A">
        <w:rPr>
          <w:rFonts w:ascii="Verdana" w:hAnsi="Verdana"/>
          <w:sz w:val="20"/>
          <w:szCs w:val="20"/>
          <w:lang w:val="es-ES"/>
        </w:rPr>
        <w:t>;</w:t>
      </w:r>
    </w:p>
    <w:p w:rsidR="007855FF" w:rsidRPr="00613F9A" w:rsidRDefault="007855FF" w:rsidP="007855FF">
      <w:pPr>
        <w:pStyle w:val="Prrafodelista"/>
        <w:rPr>
          <w:rFonts w:ascii="Verdana" w:hAnsi="Verdana"/>
          <w:sz w:val="20"/>
          <w:szCs w:val="20"/>
          <w:lang w:val="es-ES"/>
        </w:rPr>
      </w:pPr>
    </w:p>
    <w:p w:rsidR="00C05917" w:rsidRPr="00613F9A" w:rsidRDefault="00C05917" w:rsidP="007855FF">
      <w:pPr>
        <w:pStyle w:val="Prrafodelista"/>
        <w:numPr>
          <w:ilvl w:val="0"/>
          <w:numId w:val="8"/>
        </w:numPr>
        <w:spacing w:after="120"/>
        <w:ind w:left="360"/>
        <w:jc w:val="both"/>
        <w:rPr>
          <w:rFonts w:ascii="Verdana" w:hAnsi="Verdana"/>
          <w:sz w:val="20"/>
          <w:szCs w:val="20"/>
          <w:lang w:val="es-ES"/>
        </w:rPr>
      </w:pPr>
      <w:r w:rsidRPr="00613F9A">
        <w:rPr>
          <w:rFonts w:ascii="Verdana" w:hAnsi="Verdana"/>
          <w:sz w:val="20"/>
          <w:szCs w:val="20"/>
          <w:lang w:val="es-ES"/>
        </w:rPr>
        <w:t>y que, además, eventualmente sea menester la adopción, “</w:t>
      </w:r>
      <w:r w:rsidRPr="00613F9A">
        <w:rPr>
          <w:rFonts w:ascii="Verdana" w:hAnsi="Verdana"/>
          <w:i/>
          <w:sz w:val="20"/>
          <w:szCs w:val="20"/>
          <w:lang w:val="es-ES"/>
        </w:rPr>
        <w:t xml:space="preserve">con arreglo a </w:t>
      </w:r>
      <w:r w:rsidRPr="00613F9A">
        <w:rPr>
          <w:rFonts w:ascii="Verdana" w:hAnsi="Verdana"/>
          <w:sz w:val="20"/>
          <w:szCs w:val="20"/>
          <w:lang w:val="es-ES"/>
        </w:rPr>
        <w:t>(a los)</w:t>
      </w:r>
      <w:r w:rsidRPr="00613F9A">
        <w:rPr>
          <w:rFonts w:ascii="Verdana" w:hAnsi="Verdana"/>
          <w:i/>
          <w:sz w:val="20"/>
          <w:szCs w:val="20"/>
          <w:lang w:val="es-ES"/>
        </w:rPr>
        <w:t xml:space="preserve"> procedimientos constitucionales </w:t>
      </w:r>
      <w:r w:rsidRPr="00613F9A">
        <w:rPr>
          <w:rFonts w:ascii="Verdana" w:hAnsi="Verdana"/>
          <w:sz w:val="20"/>
          <w:szCs w:val="20"/>
          <w:lang w:val="es-ES"/>
        </w:rPr>
        <w:t>(del correspondiente Estado)</w:t>
      </w:r>
      <w:r w:rsidRPr="00613F9A">
        <w:rPr>
          <w:rFonts w:ascii="Verdana" w:hAnsi="Verdana"/>
          <w:i/>
          <w:sz w:val="20"/>
          <w:szCs w:val="20"/>
          <w:lang w:val="es-ES"/>
        </w:rPr>
        <w:t xml:space="preserve"> y a las disposiciones de esta Convención, las medidas legislativas o de otro carácter que fueren necesarias para hacer efectivos tales derechos y libertades</w:t>
      </w:r>
      <w:r w:rsidRPr="00613F9A">
        <w:rPr>
          <w:rFonts w:ascii="Verdana" w:hAnsi="Verdana"/>
          <w:sz w:val="20"/>
          <w:szCs w:val="20"/>
          <w:lang w:val="es-ES"/>
        </w:rPr>
        <w:t>”</w:t>
      </w:r>
      <w:r w:rsidRPr="00613F9A">
        <w:rPr>
          <w:rFonts w:ascii="Verdana" w:hAnsi="Verdana"/>
          <w:sz w:val="20"/>
          <w:szCs w:val="20"/>
          <w:vertAlign w:val="superscript"/>
          <w:lang w:val="es-ES"/>
        </w:rPr>
        <w:footnoteReference w:id="84"/>
      </w:r>
      <w:r w:rsidRPr="00613F9A">
        <w:rPr>
          <w:rFonts w:ascii="Verdana" w:hAnsi="Verdana"/>
          <w:sz w:val="20"/>
          <w:szCs w:val="20"/>
          <w:lang w:val="es-ES"/>
        </w:rPr>
        <w:t>;</w:t>
      </w:r>
    </w:p>
    <w:p w:rsidR="006E1A58" w:rsidRPr="00613F9A" w:rsidRDefault="006E1A58" w:rsidP="007855FF">
      <w:pPr>
        <w:pStyle w:val="Prrafodelista"/>
        <w:spacing w:before="120"/>
        <w:ind w:left="0"/>
        <w:jc w:val="both"/>
        <w:rPr>
          <w:rFonts w:ascii="Verdana" w:hAnsi="Verdana"/>
          <w:sz w:val="20"/>
          <w:szCs w:val="20"/>
          <w:lang w:val="es-ES"/>
        </w:rPr>
      </w:pPr>
    </w:p>
    <w:p w:rsidR="006E1A58" w:rsidRPr="00613F9A" w:rsidRDefault="00C05917" w:rsidP="007855FF">
      <w:pPr>
        <w:pStyle w:val="Prrafodelista"/>
        <w:numPr>
          <w:ilvl w:val="0"/>
          <w:numId w:val="8"/>
        </w:numPr>
        <w:spacing w:before="120"/>
        <w:ind w:left="360"/>
        <w:jc w:val="both"/>
        <w:rPr>
          <w:rFonts w:ascii="Verdana" w:hAnsi="Verdana"/>
          <w:sz w:val="20"/>
          <w:szCs w:val="20"/>
          <w:lang w:val="es-ES"/>
        </w:rPr>
      </w:pPr>
      <w:r w:rsidRPr="00613F9A">
        <w:rPr>
          <w:rFonts w:ascii="Verdana" w:hAnsi="Verdana"/>
          <w:sz w:val="20"/>
          <w:szCs w:val="20"/>
          <w:lang w:val="es-ES"/>
        </w:rPr>
        <w:t>en cambio, respecto de los “</w:t>
      </w:r>
      <w:r w:rsidRPr="00613F9A">
        <w:rPr>
          <w:rFonts w:ascii="Verdana" w:hAnsi="Verdana"/>
          <w:i/>
          <w:sz w:val="20"/>
          <w:szCs w:val="20"/>
          <w:lang w:val="es-ES"/>
        </w:rPr>
        <w:t>que se derivan de las normas económicas, sociales y sobre educación, ciencia y cultura, contenidas en la Carta de la Organización de los Estados Americanos, reformada por el Protocolo de Buenos Aires</w:t>
      </w:r>
      <w:r w:rsidRPr="00613F9A">
        <w:rPr>
          <w:rFonts w:ascii="Verdana" w:hAnsi="Verdana"/>
          <w:sz w:val="20"/>
          <w:szCs w:val="20"/>
          <w:lang w:val="es-ES"/>
        </w:rPr>
        <w:t>”, únicamente se les podría requerir a los Estados Partes de la Convención, la adopción “</w:t>
      </w:r>
      <w:r w:rsidRPr="00613F9A">
        <w:rPr>
          <w:rFonts w:ascii="Verdana" w:hAnsi="Verdana"/>
          <w:i/>
          <w:sz w:val="20"/>
          <w:szCs w:val="20"/>
          <w:lang w:val="es-ES"/>
        </w:rPr>
        <w:t>por vía legislativa u otros medios apropiados</w:t>
      </w:r>
      <w:r w:rsidRPr="00613F9A">
        <w:rPr>
          <w:rFonts w:ascii="Verdana" w:hAnsi="Verdana"/>
          <w:sz w:val="20"/>
          <w:szCs w:val="20"/>
          <w:lang w:val="es-ES"/>
        </w:rPr>
        <w:t>”, de “</w:t>
      </w:r>
      <w:r w:rsidRPr="00613F9A">
        <w:rPr>
          <w:rFonts w:ascii="Verdana" w:hAnsi="Verdana"/>
          <w:i/>
          <w:sz w:val="20"/>
          <w:szCs w:val="20"/>
          <w:lang w:val="es-ES"/>
        </w:rPr>
        <w:t xml:space="preserve">providencias, tanto a nivel interno como mediante la cooperación internacional, especialmente económica y técnica, para lograr progresivamente </w:t>
      </w:r>
      <w:r w:rsidRPr="00613F9A">
        <w:rPr>
          <w:rFonts w:ascii="Verdana" w:hAnsi="Verdana"/>
          <w:sz w:val="20"/>
          <w:szCs w:val="20"/>
          <w:lang w:val="es-ES"/>
        </w:rPr>
        <w:t>(su)</w:t>
      </w:r>
      <w:r w:rsidRPr="00613F9A">
        <w:rPr>
          <w:rFonts w:ascii="Verdana" w:hAnsi="Verdana"/>
          <w:i/>
          <w:sz w:val="20"/>
          <w:szCs w:val="20"/>
          <w:lang w:val="es-ES"/>
        </w:rPr>
        <w:t xml:space="preserve"> plena efectividad</w:t>
      </w:r>
      <w:r w:rsidRPr="00613F9A">
        <w:rPr>
          <w:rFonts w:ascii="Verdana" w:hAnsi="Verdana"/>
          <w:sz w:val="20"/>
          <w:szCs w:val="20"/>
          <w:lang w:val="es-ES"/>
        </w:rPr>
        <w:t>” y ello “</w:t>
      </w:r>
      <w:r w:rsidRPr="00613F9A">
        <w:rPr>
          <w:rFonts w:ascii="Verdana" w:hAnsi="Verdana"/>
          <w:i/>
          <w:sz w:val="20"/>
          <w:szCs w:val="20"/>
          <w:lang w:val="es-ES"/>
        </w:rPr>
        <w:t>en la medida de los recursos disponibles</w:t>
      </w:r>
      <w:r w:rsidRPr="00613F9A">
        <w:rPr>
          <w:rFonts w:ascii="Verdana" w:hAnsi="Verdana"/>
          <w:sz w:val="20"/>
          <w:szCs w:val="20"/>
          <w:lang w:val="es-ES"/>
        </w:rPr>
        <w:t>”;</w:t>
      </w:r>
    </w:p>
    <w:p w:rsidR="00A76975" w:rsidRPr="00613F9A" w:rsidRDefault="00A76975" w:rsidP="007855FF">
      <w:pPr>
        <w:pStyle w:val="Prrafodelista"/>
        <w:ind w:left="0"/>
        <w:rPr>
          <w:rFonts w:ascii="Verdana" w:hAnsi="Verdana"/>
          <w:sz w:val="20"/>
          <w:szCs w:val="20"/>
          <w:lang w:val="es-ES"/>
        </w:rPr>
      </w:pPr>
    </w:p>
    <w:p w:rsidR="006E1A58" w:rsidRPr="00613F9A" w:rsidRDefault="00C05917" w:rsidP="007855FF">
      <w:pPr>
        <w:pStyle w:val="Prrafodelista"/>
        <w:numPr>
          <w:ilvl w:val="0"/>
          <w:numId w:val="8"/>
        </w:numPr>
        <w:spacing w:before="120"/>
        <w:ind w:left="360"/>
        <w:jc w:val="both"/>
        <w:rPr>
          <w:rFonts w:ascii="Verdana" w:hAnsi="Verdana"/>
          <w:sz w:val="20"/>
          <w:szCs w:val="20"/>
          <w:lang w:val="es-ES"/>
        </w:rPr>
      </w:pPr>
      <w:r w:rsidRPr="00613F9A">
        <w:rPr>
          <w:rFonts w:ascii="Verdana" w:hAnsi="Verdana"/>
          <w:sz w:val="20"/>
          <w:szCs w:val="20"/>
          <w:lang w:val="es-ES"/>
        </w:rPr>
        <w:t xml:space="preserve">en lo concerniente a los medios complementarios de interpretación, ellos confirman que los Estados Partes de la Convención no tuvieron la voluntad de incluir a los derechos económicos, sociales y culturales en el régimen de protección que establece; </w:t>
      </w:r>
    </w:p>
    <w:p w:rsidR="006E1A58" w:rsidRPr="00613F9A" w:rsidRDefault="006E1A58" w:rsidP="007855FF">
      <w:pPr>
        <w:pStyle w:val="Prrafodelista"/>
        <w:ind w:left="0"/>
        <w:jc w:val="both"/>
        <w:rPr>
          <w:rFonts w:ascii="Verdana" w:hAnsi="Verdana"/>
          <w:sz w:val="20"/>
          <w:szCs w:val="20"/>
          <w:lang w:val="es-ES"/>
        </w:rPr>
      </w:pPr>
    </w:p>
    <w:p w:rsidR="007855FF" w:rsidRPr="00613F9A" w:rsidRDefault="00C05917" w:rsidP="007855FF">
      <w:pPr>
        <w:pStyle w:val="Prrafodelista"/>
        <w:numPr>
          <w:ilvl w:val="0"/>
          <w:numId w:val="8"/>
        </w:numPr>
        <w:ind w:left="360"/>
        <w:jc w:val="both"/>
        <w:rPr>
          <w:rFonts w:ascii="Verdana" w:hAnsi="Verdana"/>
          <w:sz w:val="20"/>
          <w:szCs w:val="20"/>
          <w:lang w:val="es-ES"/>
        </w:rPr>
      </w:pPr>
      <w:r w:rsidRPr="00613F9A">
        <w:rPr>
          <w:rFonts w:ascii="Verdana" w:hAnsi="Verdana"/>
          <w:sz w:val="20"/>
          <w:szCs w:val="20"/>
          <w:lang w:val="es-ES"/>
        </w:rPr>
        <w:lastRenderedPageBreak/>
        <w:t>efectivamente, en la Conferencia Especializada Interamericana sobre Derechos Humanos, en la que se adoptó el texto definitivo de la Convención, Colombia propuso detallar los derechos económicos, sociales y culturales a ser protegidos por el mecanismo dispuesto por aquella, mientras que México señaló que, a tal efecto, no debería incluirse ninguno de ellos, por lo que “(</w:t>
      </w:r>
      <w:r w:rsidRPr="00613F9A">
        <w:rPr>
          <w:rFonts w:ascii="Verdana" w:hAnsi="Verdana"/>
          <w:i/>
          <w:sz w:val="20"/>
          <w:szCs w:val="20"/>
          <w:lang w:val="es-ES"/>
        </w:rPr>
        <w:t>l)uego de algunos debates en los que se reiteraron algunas posiciones anteriores sin llegar a un consenso, y en ninguno de los cuales se propuso incluir a los derechos económicos, sociales y culturales en el régimen de protección previsto para los derechos civiles y políticos, se redactó un capítulo con dos artículos</w:t>
      </w:r>
      <w:r w:rsidRPr="00613F9A">
        <w:rPr>
          <w:rFonts w:ascii="Verdana" w:hAnsi="Verdana"/>
          <w:sz w:val="20"/>
          <w:szCs w:val="20"/>
          <w:lang w:val="es-ES"/>
        </w:rPr>
        <w:t>”</w:t>
      </w:r>
      <w:r w:rsidRPr="00613F9A">
        <w:rPr>
          <w:rFonts w:ascii="Verdana" w:hAnsi="Verdana"/>
          <w:sz w:val="20"/>
          <w:szCs w:val="20"/>
          <w:vertAlign w:val="superscript"/>
          <w:lang w:val="es-ES"/>
        </w:rPr>
        <w:footnoteReference w:id="85"/>
      </w:r>
      <w:r w:rsidRPr="00613F9A">
        <w:rPr>
          <w:rFonts w:ascii="Verdana" w:hAnsi="Verdana"/>
          <w:sz w:val="20"/>
          <w:szCs w:val="20"/>
          <w:lang w:val="es-ES"/>
        </w:rPr>
        <w:t>, el primero de los cuales, que había sido propuesto por Brasil como fórmula d</w:t>
      </w:r>
      <w:r w:rsidR="00FC320B" w:rsidRPr="00613F9A">
        <w:rPr>
          <w:rFonts w:ascii="Verdana" w:hAnsi="Verdana"/>
          <w:sz w:val="20"/>
          <w:szCs w:val="20"/>
          <w:lang w:val="es-ES"/>
        </w:rPr>
        <w:t>e conciliación, fue incluido, en virtud de</w:t>
      </w:r>
      <w:r w:rsidRPr="00613F9A">
        <w:rPr>
          <w:rFonts w:ascii="Verdana" w:hAnsi="Verdana"/>
          <w:sz w:val="20"/>
          <w:szCs w:val="20"/>
          <w:lang w:val="es-ES"/>
        </w:rPr>
        <w:t xml:space="preserve"> la correspondiente votación, en el texto definitivo de la Convención, como artículo 26.</w:t>
      </w:r>
    </w:p>
    <w:p w:rsidR="007855FF" w:rsidRPr="00613F9A" w:rsidRDefault="007855FF" w:rsidP="007855FF">
      <w:pPr>
        <w:pStyle w:val="Prrafodelista"/>
        <w:rPr>
          <w:rFonts w:ascii="Verdana" w:hAnsi="Verdana"/>
          <w:sz w:val="20"/>
          <w:szCs w:val="20"/>
          <w:lang w:val="es-ES"/>
        </w:rPr>
      </w:pPr>
    </w:p>
    <w:p w:rsidR="00A76975" w:rsidRPr="00613F9A" w:rsidRDefault="00D2731D" w:rsidP="007855FF">
      <w:pPr>
        <w:pStyle w:val="Prrafodelista"/>
        <w:numPr>
          <w:ilvl w:val="0"/>
          <w:numId w:val="8"/>
        </w:numPr>
        <w:ind w:left="360"/>
        <w:jc w:val="both"/>
        <w:rPr>
          <w:rFonts w:ascii="Verdana" w:hAnsi="Verdana"/>
          <w:sz w:val="20"/>
          <w:szCs w:val="20"/>
          <w:lang w:val="es-ES"/>
        </w:rPr>
      </w:pPr>
      <w:r w:rsidRPr="00613F9A">
        <w:rPr>
          <w:rFonts w:ascii="Verdana" w:hAnsi="Verdana"/>
          <w:sz w:val="20"/>
          <w:szCs w:val="20"/>
          <w:lang w:val="es-ES"/>
        </w:rPr>
        <w:t>p</w:t>
      </w:r>
      <w:r w:rsidR="00C05917" w:rsidRPr="00613F9A">
        <w:rPr>
          <w:rFonts w:ascii="Verdana" w:hAnsi="Verdana"/>
          <w:sz w:val="20"/>
          <w:szCs w:val="20"/>
          <w:lang w:val="es-ES"/>
        </w:rPr>
        <w:t>or su parte, el segundo artículo, que era el 27, establecía: “</w:t>
      </w:r>
      <w:r w:rsidR="00C05917" w:rsidRPr="00613F9A">
        <w:rPr>
          <w:rFonts w:ascii="Verdana" w:hAnsi="Verdana"/>
          <w:i/>
          <w:sz w:val="20"/>
          <w:szCs w:val="20"/>
          <w:lang w:val="es-ES"/>
        </w:rPr>
        <w:t>Control del Cumplimiento de las Obligaciones. Los Estados Partes deben remitir a la Comisión Interamericana de Derechos Humanos copia de los informes y estudios que en sus respectivos campos someten anualmente a las Comisiones Ejecutivas del Consejo Interamericano Económico y Social y del Consejo Interamericano para la Educación, la Ciencia y la Cultura, a fin de que aquella verifique si se están cumpliendo las obligaciones</w:t>
      </w:r>
      <w:r w:rsidR="00C05917" w:rsidRPr="00613F9A">
        <w:rPr>
          <w:rFonts w:ascii="Verdana" w:hAnsi="Verdana"/>
          <w:sz w:val="20"/>
          <w:szCs w:val="20"/>
          <w:lang w:val="es-ES"/>
        </w:rPr>
        <w:t xml:space="preserve"> </w:t>
      </w:r>
      <w:r w:rsidR="00C05917" w:rsidRPr="00613F9A">
        <w:rPr>
          <w:rFonts w:ascii="Verdana" w:hAnsi="Verdana"/>
          <w:i/>
          <w:sz w:val="20"/>
          <w:szCs w:val="20"/>
          <w:lang w:val="es-ES"/>
        </w:rPr>
        <w:t>antes determinadas, que son la sustentación indispensable para el ejercicio de los otros derechos consagrados en esta Convención</w:t>
      </w:r>
      <w:r w:rsidR="00817D48" w:rsidRPr="00613F9A">
        <w:rPr>
          <w:rFonts w:ascii="Verdana" w:hAnsi="Verdana"/>
          <w:sz w:val="20"/>
          <w:szCs w:val="20"/>
          <w:lang w:val="es-ES"/>
        </w:rPr>
        <w:t xml:space="preserve">”; </w:t>
      </w:r>
    </w:p>
    <w:p w:rsidR="00A76975" w:rsidRPr="00613F9A" w:rsidRDefault="00A76975" w:rsidP="007855FF">
      <w:pPr>
        <w:pStyle w:val="Prrafodelista"/>
        <w:ind w:left="0"/>
        <w:rPr>
          <w:rFonts w:ascii="Verdana" w:hAnsi="Verdana"/>
          <w:sz w:val="20"/>
          <w:szCs w:val="20"/>
          <w:lang w:val="es-ES"/>
        </w:rPr>
      </w:pPr>
    </w:p>
    <w:p w:rsidR="007855FF" w:rsidRPr="00613F9A" w:rsidRDefault="00C05917" w:rsidP="007855FF">
      <w:pPr>
        <w:pStyle w:val="Prrafodelista"/>
        <w:numPr>
          <w:ilvl w:val="0"/>
          <w:numId w:val="8"/>
        </w:numPr>
        <w:spacing w:after="0"/>
        <w:ind w:left="360"/>
        <w:jc w:val="both"/>
        <w:rPr>
          <w:rFonts w:ascii="Verdana" w:hAnsi="Verdana"/>
          <w:sz w:val="20"/>
          <w:szCs w:val="20"/>
          <w:lang w:val="es-ES"/>
        </w:rPr>
      </w:pPr>
      <w:r w:rsidRPr="00613F9A">
        <w:rPr>
          <w:rFonts w:ascii="Verdana" w:hAnsi="Verdana"/>
          <w:sz w:val="20"/>
          <w:szCs w:val="20"/>
          <w:lang w:val="es-ES"/>
        </w:rPr>
        <w:t xml:space="preserve">la proposición relativa al mencionado artículo 27 se refería a </w:t>
      </w:r>
      <w:r w:rsidRPr="00613F9A">
        <w:rPr>
          <w:rFonts w:ascii="Verdana" w:hAnsi="Verdana"/>
          <w:i/>
          <w:sz w:val="20"/>
          <w:szCs w:val="20"/>
          <w:lang w:val="es-ES"/>
        </w:rPr>
        <w:t xml:space="preserve">“informes y estudios” </w:t>
      </w:r>
      <w:r w:rsidRPr="00613F9A">
        <w:rPr>
          <w:rFonts w:ascii="Verdana" w:hAnsi="Verdana"/>
          <w:sz w:val="20"/>
          <w:szCs w:val="20"/>
          <w:lang w:val="es-ES"/>
        </w:rPr>
        <w:t>para que la Comisión verificara si se estaban cumpliendo las referidas obligaciones y distinguía, entonces, entre “</w:t>
      </w:r>
      <w:r w:rsidRPr="00613F9A">
        <w:rPr>
          <w:rFonts w:ascii="Verdana" w:hAnsi="Verdana"/>
          <w:i/>
          <w:sz w:val="20"/>
          <w:szCs w:val="20"/>
          <w:lang w:val="es-ES"/>
        </w:rPr>
        <w:t>las obligaciones antes determinadas</w:t>
      </w:r>
      <w:r w:rsidRPr="00613F9A">
        <w:rPr>
          <w:rFonts w:ascii="Verdana" w:hAnsi="Verdana"/>
          <w:sz w:val="20"/>
          <w:szCs w:val="20"/>
          <w:lang w:val="es-ES"/>
        </w:rPr>
        <w:t>”, obviamente en el artículo 26, y “</w:t>
      </w:r>
      <w:r w:rsidRPr="00613F9A">
        <w:rPr>
          <w:rFonts w:ascii="Verdana" w:hAnsi="Verdana"/>
          <w:i/>
          <w:sz w:val="20"/>
          <w:szCs w:val="20"/>
          <w:lang w:val="es-ES"/>
        </w:rPr>
        <w:t>los otros derechos consagrados en esta Convención</w:t>
      </w:r>
      <w:r w:rsidR="00817D48" w:rsidRPr="00613F9A">
        <w:rPr>
          <w:rFonts w:ascii="Verdana" w:hAnsi="Verdana"/>
          <w:sz w:val="20"/>
          <w:szCs w:val="20"/>
          <w:lang w:val="es-ES"/>
        </w:rPr>
        <w:t>”; y</w:t>
      </w:r>
    </w:p>
    <w:p w:rsidR="007855FF" w:rsidRPr="00613F9A" w:rsidRDefault="007855FF" w:rsidP="007855FF">
      <w:pPr>
        <w:pStyle w:val="Prrafodelista"/>
        <w:rPr>
          <w:rFonts w:ascii="Verdana" w:hAnsi="Verdana"/>
          <w:sz w:val="20"/>
          <w:szCs w:val="20"/>
          <w:lang w:val="es-ES"/>
        </w:rPr>
      </w:pPr>
    </w:p>
    <w:p w:rsidR="00C05917" w:rsidRPr="00613F9A" w:rsidRDefault="00817D48" w:rsidP="007855FF">
      <w:pPr>
        <w:pStyle w:val="Prrafodelista"/>
        <w:numPr>
          <w:ilvl w:val="0"/>
          <w:numId w:val="8"/>
        </w:numPr>
        <w:spacing w:after="0"/>
        <w:ind w:left="360"/>
        <w:jc w:val="both"/>
        <w:rPr>
          <w:rFonts w:ascii="Verdana" w:hAnsi="Verdana"/>
          <w:sz w:val="20"/>
          <w:szCs w:val="20"/>
          <w:lang w:val="es-ES"/>
        </w:rPr>
      </w:pPr>
      <w:r w:rsidRPr="00613F9A">
        <w:rPr>
          <w:rFonts w:ascii="Verdana" w:hAnsi="Verdana"/>
          <w:sz w:val="20"/>
          <w:szCs w:val="20"/>
          <w:lang w:val="es-ES"/>
        </w:rPr>
        <w:t>s</w:t>
      </w:r>
      <w:r w:rsidR="00C05917" w:rsidRPr="00613F9A">
        <w:rPr>
          <w:rFonts w:ascii="Verdana" w:hAnsi="Verdana"/>
          <w:sz w:val="20"/>
          <w:szCs w:val="20"/>
          <w:lang w:val="es-ES"/>
        </w:rPr>
        <w:t>e puede concluir, por lo tanto, que en momento alguno se incluyó a los derechos económicos, sociales y culturales que se “</w:t>
      </w:r>
      <w:r w:rsidR="00C05917" w:rsidRPr="00613F9A">
        <w:rPr>
          <w:rFonts w:ascii="Verdana" w:hAnsi="Verdana"/>
          <w:i/>
          <w:sz w:val="20"/>
          <w:szCs w:val="20"/>
          <w:lang w:val="es-ES"/>
        </w:rPr>
        <w:t>derivan</w:t>
      </w:r>
      <w:r w:rsidR="00C05917" w:rsidRPr="00613F9A">
        <w:rPr>
          <w:rFonts w:ascii="Verdana" w:hAnsi="Verdana"/>
          <w:sz w:val="20"/>
          <w:szCs w:val="20"/>
          <w:lang w:val="es-ES"/>
        </w:rPr>
        <w:t>” de las normas de la Carta de la OEA, entre ellos, el derecho a la seguridad social, en el régimen de protección de los derechos civiles y políticos “</w:t>
      </w:r>
      <w:r w:rsidR="00C05917" w:rsidRPr="00613F9A">
        <w:rPr>
          <w:rFonts w:ascii="Verdana" w:hAnsi="Verdana"/>
          <w:i/>
          <w:sz w:val="20"/>
          <w:szCs w:val="20"/>
          <w:lang w:val="es-ES"/>
        </w:rPr>
        <w:t xml:space="preserve">reconocidos” </w:t>
      </w:r>
      <w:r w:rsidR="00C05917" w:rsidRPr="00613F9A">
        <w:rPr>
          <w:rFonts w:ascii="Verdana" w:hAnsi="Verdana"/>
          <w:sz w:val="20"/>
          <w:szCs w:val="20"/>
          <w:lang w:val="es-ES"/>
        </w:rPr>
        <w:t xml:space="preserve">en la Convención. </w:t>
      </w:r>
    </w:p>
    <w:p w:rsidR="006E1A58" w:rsidRPr="00613F9A" w:rsidRDefault="006E1A58" w:rsidP="007855FF">
      <w:pPr>
        <w:spacing w:after="0" w:line="276" w:lineRule="auto"/>
        <w:ind w:left="0"/>
        <w:rPr>
          <w:rFonts w:ascii="Verdana" w:hAnsi="Verdana"/>
          <w:sz w:val="20"/>
          <w:szCs w:val="20"/>
          <w:lang w:val="es-ES"/>
        </w:rPr>
      </w:pPr>
    </w:p>
    <w:p w:rsidR="00C05917" w:rsidRPr="00613F9A" w:rsidRDefault="00C05917" w:rsidP="007855FF">
      <w:pPr>
        <w:pStyle w:val="Prrafodelista"/>
        <w:numPr>
          <w:ilvl w:val="0"/>
          <w:numId w:val="2"/>
        </w:numPr>
        <w:ind w:left="0" w:hanging="20"/>
        <w:jc w:val="both"/>
        <w:rPr>
          <w:rFonts w:ascii="Verdana" w:hAnsi="Verdana"/>
          <w:sz w:val="20"/>
          <w:szCs w:val="20"/>
          <w:lang w:val="es-ES"/>
        </w:rPr>
      </w:pPr>
      <w:r w:rsidRPr="00613F9A">
        <w:rPr>
          <w:rFonts w:ascii="Verdana" w:hAnsi="Verdana"/>
          <w:sz w:val="20"/>
          <w:szCs w:val="20"/>
          <w:lang w:val="es-ES"/>
        </w:rPr>
        <w:t xml:space="preserve">En síntesis, </w:t>
      </w:r>
      <w:r w:rsidR="00F26DB3" w:rsidRPr="00613F9A">
        <w:rPr>
          <w:rFonts w:ascii="Verdana" w:hAnsi="Verdana"/>
          <w:sz w:val="20"/>
          <w:szCs w:val="20"/>
          <w:lang w:val="es-ES"/>
        </w:rPr>
        <w:t xml:space="preserve">no cabe duda alguna que </w:t>
      </w:r>
      <w:r w:rsidRPr="00613F9A">
        <w:rPr>
          <w:rFonts w:ascii="Verdana" w:hAnsi="Verdana"/>
          <w:sz w:val="20"/>
          <w:szCs w:val="20"/>
          <w:lang w:val="es-ES"/>
        </w:rPr>
        <w:t>el citado artículo 26 fue adoptado de buena fe, esto es, para que efectivamente tuviera el efecto útil de aplicarse de manera distinta a lo previsto respecto de las disposiciones previas contenidas en el Capítulo II de la Parte I de la Convención</w:t>
      </w:r>
      <w:r w:rsidR="00F26DB3" w:rsidRPr="00613F9A">
        <w:rPr>
          <w:rFonts w:ascii="Verdana" w:hAnsi="Verdana"/>
          <w:sz w:val="20"/>
          <w:szCs w:val="20"/>
          <w:lang w:val="es-ES"/>
        </w:rPr>
        <w:t xml:space="preserve"> y lo que lo distingue</w:t>
      </w:r>
      <w:r w:rsidR="00817D48" w:rsidRPr="00613F9A">
        <w:rPr>
          <w:rFonts w:ascii="Verdana" w:hAnsi="Verdana"/>
          <w:sz w:val="20"/>
          <w:szCs w:val="20"/>
          <w:lang w:val="es-ES"/>
        </w:rPr>
        <w:t xml:space="preserve"> es, precisamente, </w:t>
      </w:r>
      <w:r w:rsidR="00F26DB3" w:rsidRPr="00613F9A">
        <w:rPr>
          <w:rFonts w:ascii="Verdana" w:hAnsi="Verdana"/>
          <w:sz w:val="20"/>
          <w:szCs w:val="20"/>
          <w:lang w:val="es-ES"/>
        </w:rPr>
        <w:t>que los derechos a los que menciona</w:t>
      </w:r>
      <w:r w:rsidR="00817D48" w:rsidRPr="00613F9A">
        <w:rPr>
          <w:rFonts w:ascii="Verdana" w:hAnsi="Verdana"/>
          <w:sz w:val="20"/>
          <w:szCs w:val="20"/>
          <w:lang w:val="es-ES"/>
        </w:rPr>
        <w:t>, por un lado,</w:t>
      </w:r>
      <w:r w:rsidR="00F26DB3" w:rsidRPr="00613F9A">
        <w:rPr>
          <w:rFonts w:ascii="Verdana" w:hAnsi="Verdana"/>
          <w:sz w:val="20"/>
          <w:szCs w:val="20"/>
          <w:lang w:val="es-ES"/>
        </w:rPr>
        <w:t xml:space="preserve"> no son “</w:t>
      </w:r>
      <w:r w:rsidR="00F26DB3" w:rsidRPr="00613F9A">
        <w:rPr>
          <w:rFonts w:ascii="Verdana" w:hAnsi="Verdana"/>
          <w:i/>
          <w:sz w:val="20"/>
          <w:szCs w:val="20"/>
          <w:lang w:val="es-ES"/>
        </w:rPr>
        <w:t>consagrados</w:t>
      </w:r>
      <w:r w:rsidR="00F26DB3" w:rsidRPr="00613F9A">
        <w:rPr>
          <w:rFonts w:ascii="Verdana" w:hAnsi="Verdana"/>
          <w:sz w:val="20"/>
          <w:szCs w:val="20"/>
          <w:lang w:val="es-ES"/>
        </w:rPr>
        <w:t>” por la Convención sino que “</w:t>
      </w:r>
      <w:r w:rsidR="00F26DB3" w:rsidRPr="00613F9A">
        <w:rPr>
          <w:rFonts w:ascii="Verdana" w:hAnsi="Verdana"/>
          <w:i/>
          <w:sz w:val="20"/>
          <w:szCs w:val="20"/>
          <w:lang w:val="es-ES"/>
        </w:rPr>
        <w:t>derivan</w:t>
      </w:r>
      <w:r w:rsidR="00F26DB3" w:rsidRPr="00613F9A">
        <w:rPr>
          <w:rFonts w:ascii="Verdana" w:hAnsi="Verdana"/>
          <w:sz w:val="20"/>
          <w:szCs w:val="20"/>
          <w:lang w:val="es-ES"/>
        </w:rPr>
        <w:t>” de lo previsto en la Ca</w:t>
      </w:r>
      <w:r w:rsidR="00817D48" w:rsidRPr="00613F9A">
        <w:rPr>
          <w:rFonts w:ascii="Verdana" w:hAnsi="Verdana"/>
          <w:sz w:val="20"/>
          <w:szCs w:val="20"/>
          <w:lang w:val="es-ES"/>
        </w:rPr>
        <w:t>rta de la OEA y por el otro, no son justiciables ante la Corte.</w:t>
      </w:r>
      <w:r w:rsidR="008A4349" w:rsidRPr="00613F9A">
        <w:rPr>
          <w:rFonts w:ascii="Verdana" w:hAnsi="Verdana"/>
          <w:sz w:val="20"/>
          <w:szCs w:val="20"/>
          <w:lang w:val="es-ES"/>
        </w:rPr>
        <w:t xml:space="preserve"> </w:t>
      </w:r>
      <w:r w:rsidRPr="00613F9A">
        <w:rPr>
          <w:rFonts w:ascii="Verdana" w:hAnsi="Verdana"/>
          <w:sz w:val="20"/>
          <w:szCs w:val="20"/>
          <w:lang w:val="es-ES"/>
        </w:rPr>
        <w:t>.</w:t>
      </w:r>
    </w:p>
    <w:p w:rsidR="006E1A58" w:rsidRPr="00613F9A" w:rsidRDefault="006E1A58" w:rsidP="007855FF">
      <w:pPr>
        <w:pStyle w:val="Prrafodelista"/>
        <w:ind w:left="0"/>
        <w:jc w:val="both"/>
        <w:rPr>
          <w:rFonts w:ascii="Verdana" w:hAnsi="Verdana"/>
          <w:b/>
          <w:sz w:val="20"/>
          <w:szCs w:val="20"/>
          <w:lang w:val="es-ES"/>
        </w:rPr>
      </w:pPr>
    </w:p>
    <w:p w:rsidR="00C05917" w:rsidRPr="00613F9A" w:rsidRDefault="00C05917" w:rsidP="00B24719">
      <w:pPr>
        <w:pStyle w:val="Prrafodelista"/>
        <w:numPr>
          <w:ilvl w:val="0"/>
          <w:numId w:val="14"/>
        </w:numPr>
        <w:jc w:val="both"/>
        <w:rPr>
          <w:rFonts w:ascii="Verdana" w:hAnsi="Verdana"/>
          <w:b/>
          <w:sz w:val="20"/>
          <w:szCs w:val="20"/>
          <w:lang w:val="es-ES"/>
        </w:rPr>
      </w:pPr>
      <w:r w:rsidRPr="00613F9A">
        <w:rPr>
          <w:rFonts w:ascii="Verdana" w:hAnsi="Verdana"/>
          <w:b/>
          <w:sz w:val="20"/>
          <w:szCs w:val="20"/>
          <w:lang w:val="es-ES"/>
        </w:rPr>
        <w:t>Método</w:t>
      </w:r>
      <w:r w:rsidRPr="00613F9A">
        <w:rPr>
          <w:rFonts w:ascii="Verdana" w:hAnsi="Verdana"/>
          <w:b/>
          <w:sz w:val="20"/>
          <w:szCs w:val="20"/>
        </w:rPr>
        <w:t xml:space="preserve"> funcional o teleológico.</w:t>
      </w:r>
    </w:p>
    <w:p w:rsidR="006E1A58" w:rsidRPr="00613F9A" w:rsidRDefault="006E1A58" w:rsidP="000978E9">
      <w:pPr>
        <w:pStyle w:val="Prrafodelista"/>
        <w:ind w:left="0"/>
        <w:jc w:val="both"/>
        <w:rPr>
          <w:rFonts w:ascii="Verdana" w:hAnsi="Verdana"/>
          <w:b/>
          <w:sz w:val="20"/>
          <w:szCs w:val="20"/>
          <w:lang w:val="es-ES"/>
        </w:rPr>
      </w:pPr>
    </w:p>
    <w:p w:rsidR="00C05917" w:rsidRPr="00613F9A" w:rsidRDefault="00C05917" w:rsidP="00B24719">
      <w:pPr>
        <w:pStyle w:val="Prrafodelista"/>
        <w:numPr>
          <w:ilvl w:val="0"/>
          <w:numId w:val="2"/>
        </w:numPr>
        <w:ind w:left="0" w:firstLine="0"/>
        <w:jc w:val="both"/>
        <w:rPr>
          <w:rFonts w:ascii="Verdana" w:hAnsi="Verdana"/>
          <w:sz w:val="20"/>
          <w:szCs w:val="20"/>
          <w:lang w:val="es-ES"/>
        </w:rPr>
      </w:pPr>
      <w:r w:rsidRPr="00613F9A">
        <w:rPr>
          <w:rFonts w:ascii="Verdana" w:hAnsi="Verdana"/>
          <w:sz w:val="20"/>
          <w:szCs w:val="20"/>
          <w:lang w:val="es-ES"/>
        </w:rPr>
        <w:t>Al tratar de precisar el objeto y fin de la disposición convencional que interesa, parece obvio que:</w:t>
      </w:r>
    </w:p>
    <w:p w:rsidR="00D7409F" w:rsidRPr="00613F9A" w:rsidRDefault="00D7409F" w:rsidP="007855FF">
      <w:pPr>
        <w:numPr>
          <w:ilvl w:val="0"/>
          <w:numId w:val="7"/>
        </w:numPr>
        <w:spacing w:after="200" w:line="276" w:lineRule="auto"/>
        <w:ind w:left="340"/>
        <w:contextualSpacing/>
        <w:rPr>
          <w:rFonts w:ascii="Verdana" w:hAnsi="Verdana"/>
          <w:sz w:val="20"/>
          <w:szCs w:val="20"/>
          <w:lang w:val="es-ES"/>
        </w:rPr>
      </w:pPr>
      <w:r w:rsidRPr="00613F9A">
        <w:rPr>
          <w:rFonts w:ascii="Verdana" w:hAnsi="Verdana"/>
          <w:sz w:val="20"/>
          <w:szCs w:val="20"/>
          <w:lang w:val="es-ES"/>
        </w:rPr>
        <w:lastRenderedPageBreak/>
        <w:t>el propósito de los Estados signatarios de la Convención</w:t>
      </w:r>
      <w:r w:rsidR="00C05917" w:rsidRPr="00613F9A">
        <w:rPr>
          <w:rFonts w:ascii="Verdana" w:hAnsi="Verdana"/>
          <w:sz w:val="20"/>
          <w:szCs w:val="20"/>
          <w:lang w:val="es-ES"/>
        </w:rPr>
        <w:t xml:space="preserve"> es </w:t>
      </w:r>
      <w:r w:rsidR="00C05917" w:rsidRPr="00613F9A">
        <w:rPr>
          <w:rFonts w:ascii="Verdana" w:hAnsi="Verdana"/>
          <w:i/>
          <w:sz w:val="20"/>
          <w:szCs w:val="20"/>
          <w:lang w:val="es-ES"/>
        </w:rPr>
        <w:t>“consolidar en este Continente, dentro del cuadro de las instituciones democráticas, un régimen de libertad personal y de justicia social, fundado en el respeto de los derechos esenciales del hombre</w:t>
      </w:r>
      <w:r w:rsidR="00C05917" w:rsidRPr="00613F9A">
        <w:rPr>
          <w:rFonts w:ascii="Verdana" w:hAnsi="Verdana"/>
          <w:sz w:val="20"/>
          <w:szCs w:val="20"/>
          <w:lang w:val="es-ES"/>
        </w:rPr>
        <w:t>”</w:t>
      </w:r>
      <w:r w:rsidR="00C05917" w:rsidRPr="00613F9A">
        <w:rPr>
          <w:rFonts w:ascii="Verdana" w:hAnsi="Verdana"/>
          <w:sz w:val="20"/>
          <w:szCs w:val="20"/>
          <w:vertAlign w:val="superscript"/>
          <w:lang w:val="es-ES"/>
        </w:rPr>
        <w:footnoteReference w:id="86"/>
      </w:r>
      <w:r w:rsidRPr="00613F9A">
        <w:rPr>
          <w:rFonts w:ascii="Verdana" w:hAnsi="Verdana"/>
          <w:sz w:val="20"/>
          <w:szCs w:val="20"/>
          <w:lang w:val="es-ES"/>
        </w:rPr>
        <w:t>;</w:t>
      </w:r>
      <w:r w:rsidR="00C05917" w:rsidRPr="00613F9A">
        <w:rPr>
          <w:rFonts w:ascii="Verdana" w:hAnsi="Verdana"/>
          <w:sz w:val="20"/>
          <w:szCs w:val="20"/>
          <w:lang w:val="es-ES"/>
        </w:rPr>
        <w:t xml:space="preserve"> </w:t>
      </w:r>
    </w:p>
    <w:p w:rsidR="00D7409F" w:rsidRPr="00613F9A" w:rsidRDefault="00D7409F" w:rsidP="007855FF">
      <w:pPr>
        <w:spacing w:after="200" w:line="276" w:lineRule="auto"/>
        <w:ind w:left="340"/>
        <w:contextualSpacing/>
        <w:rPr>
          <w:rFonts w:ascii="Verdana" w:hAnsi="Verdana"/>
          <w:sz w:val="20"/>
          <w:szCs w:val="20"/>
          <w:lang w:val="es-ES"/>
        </w:rPr>
      </w:pPr>
    </w:p>
    <w:p w:rsidR="00C05917" w:rsidRPr="00613F9A" w:rsidRDefault="00C56689" w:rsidP="007855FF">
      <w:pPr>
        <w:numPr>
          <w:ilvl w:val="0"/>
          <w:numId w:val="7"/>
        </w:numPr>
        <w:spacing w:after="200" w:line="276" w:lineRule="auto"/>
        <w:ind w:left="340"/>
        <w:contextualSpacing/>
        <w:rPr>
          <w:rFonts w:ascii="Verdana" w:hAnsi="Verdana"/>
          <w:sz w:val="20"/>
          <w:szCs w:val="20"/>
          <w:lang w:val="es-ES"/>
        </w:rPr>
      </w:pPr>
      <w:r w:rsidRPr="00613F9A">
        <w:rPr>
          <w:rFonts w:ascii="Verdana" w:hAnsi="Verdana"/>
          <w:sz w:val="20"/>
          <w:szCs w:val="20"/>
          <w:lang w:val="es-ES"/>
        </w:rPr>
        <w:t xml:space="preserve">en general y tal </w:t>
      </w:r>
      <w:r w:rsidR="00C05917" w:rsidRPr="00613F9A">
        <w:rPr>
          <w:rFonts w:ascii="Verdana" w:hAnsi="Verdana"/>
          <w:sz w:val="20"/>
          <w:szCs w:val="20"/>
          <w:lang w:val="es-ES"/>
        </w:rPr>
        <w:t>como ya lo ha expresado la Cor</w:t>
      </w:r>
      <w:r w:rsidR="00D7409F" w:rsidRPr="00613F9A">
        <w:rPr>
          <w:rFonts w:ascii="Verdana" w:hAnsi="Verdana"/>
          <w:sz w:val="20"/>
          <w:szCs w:val="20"/>
          <w:lang w:val="es-ES"/>
        </w:rPr>
        <w:t xml:space="preserve">te en varias oportunidades, </w:t>
      </w:r>
      <w:r w:rsidR="00C05917" w:rsidRPr="00613F9A">
        <w:rPr>
          <w:rFonts w:ascii="Verdana" w:eastAsia="Times" w:hAnsi="Verdana" w:cs="Arial"/>
          <w:i/>
          <w:sz w:val="20"/>
          <w:szCs w:val="20"/>
          <w:lang w:val="es-MX"/>
        </w:rPr>
        <w:t>“el objeto y fin de la Convención es la protección de los derechos fundamentales de los seres humanos”</w:t>
      </w:r>
      <w:r w:rsidR="00C05917" w:rsidRPr="00613F9A">
        <w:rPr>
          <w:rFonts w:ascii="Verdana" w:eastAsia="Times" w:hAnsi="Verdana" w:cs="Arial"/>
          <w:i/>
          <w:sz w:val="20"/>
          <w:szCs w:val="20"/>
          <w:vertAlign w:val="superscript"/>
          <w:lang w:val="es-MX"/>
        </w:rPr>
        <w:footnoteReference w:id="87"/>
      </w:r>
      <w:r w:rsidR="00C05917" w:rsidRPr="00613F9A">
        <w:rPr>
          <w:rFonts w:ascii="Verdana" w:eastAsia="Times" w:hAnsi="Verdana" w:cs="Arial"/>
          <w:i/>
          <w:sz w:val="20"/>
          <w:szCs w:val="20"/>
          <w:lang w:val="es-MX"/>
        </w:rPr>
        <w:t>;</w:t>
      </w:r>
    </w:p>
    <w:p w:rsidR="00C05917" w:rsidRPr="00613F9A" w:rsidRDefault="00C05917" w:rsidP="007855FF">
      <w:pPr>
        <w:spacing w:line="276" w:lineRule="auto"/>
        <w:ind w:left="340"/>
        <w:contextualSpacing/>
        <w:rPr>
          <w:rFonts w:ascii="Verdana" w:hAnsi="Verdana"/>
          <w:sz w:val="20"/>
          <w:szCs w:val="20"/>
          <w:lang w:val="es-ES"/>
        </w:rPr>
      </w:pPr>
    </w:p>
    <w:p w:rsidR="00C05917" w:rsidRPr="00613F9A" w:rsidRDefault="00D7409F" w:rsidP="007855FF">
      <w:pPr>
        <w:numPr>
          <w:ilvl w:val="0"/>
          <w:numId w:val="7"/>
        </w:numPr>
        <w:spacing w:after="200" w:line="276" w:lineRule="auto"/>
        <w:ind w:left="340"/>
        <w:contextualSpacing/>
        <w:rPr>
          <w:rFonts w:ascii="Verdana" w:hAnsi="Verdana"/>
          <w:sz w:val="20"/>
          <w:szCs w:val="20"/>
          <w:lang w:val="es-ES"/>
        </w:rPr>
      </w:pPr>
      <w:r w:rsidRPr="00613F9A">
        <w:rPr>
          <w:rFonts w:ascii="Verdana" w:eastAsia="Times" w:hAnsi="Verdana" w:cs="Arial"/>
          <w:sz w:val="20"/>
          <w:szCs w:val="20"/>
          <w:lang w:val="es-MX"/>
        </w:rPr>
        <w:t>sin embargo, su</w:t>
      </w:r>
      <w:r w:rsidR="00C05917" w:rsidRPr="00613F9A">
        <w:rPr>
          <w:rFonts w:ascii="Verdana" w:eastAsia="Times" w:hAnsi="Verdana" w:cs="Arial"/>
          <w:sz w:val="20"/>
          <w:szCs w:val="20"/>
          <w:lang w:val="es-MX"/>
        </w:rPr>
        <w:t xml:space="preserve"> objeto y fin</w:t>
      </w:r>
      <w:r w:rsidRPr="00613F9A">
        <w:rPr>
          <w:rFonts w:ascii="Verdana" w:eastAsia="Times" w:hAnsi="Verdana" w:cs="Arial"/>
          <w:sz w:val="20"/>
          <w:szCs w:val="20"/>
          <w:lang w:val="es-MX"/>
        </w:rPr>
        <w:t xml:space="preserve"> más específico</w:t>
      </w:r>
      <w:r w:rsidR="00C56689" w:rsidRPr="00613F9A">
        <w:rPr>
          <w:rFonts w:ascii="Verdana" w:eastAsia="Times" w:hAnsi="Verdana" w:cs="Arial"/>
          <w:sz w:val="20"/>
          <w:szCs w:val="20"/>
          <w:lang w:val="es-MX"/>
        </w:rPr>
        <w:t xml:space="preserve"> y explícitamente señalado en ella</w:t>
      </w:r>
      <w:r w:rsidRPr="00613F9A">
        <w:rPr>
          <w:rFonts w:ascii="Verdana" w:eastAsia="Times" w:hAnsi="Verdana" w:cs="Arial"/>
          <w:sz w:val="20"/>
          <w:szCs w:val="20"/>
          <w:lang w:val="es-MX"/>
        </w:rPr>
        <w:t>, es determinar</w:t>
      </w:r>
      <w:r w:rsidR="00C05917" w:rsidRPr="00613F9A">
        <w:rPr>
          <w:rFonts w:ascii="Verdana" w:hAnsi="Verdana"/>
          <w:i/>
          <w:sz w:val="20"/>
          <w:szCs w:val="20"/>
          <w:lang w:val="es-ES"/>
        </w:rPr>
        <w:t xml:space="preserve"> </w:t>
      </w:r>
      <w:r w:rsidRPr="00613F9A">
        <w:rPr>
          <w:rFonts w:ascii="Verdana" w:hAnsi="Verdana"/>
          <w:i/>
          <w:sz w:val="20"/>
          <w:szCs w:val="20"/>
          <w:lang w:val="es-ES"/>
        </w:rPr>
        <w:t>“</w:t>
      </w:r>
      <w:r w:rsidR="00C05917" w:rsidRPr="00613F9A">
        <w:rPr>
          <w:rFonts w:ascii="Verdana" w:hAnsi="Verdana"/>
          <w:i/>
          <w:sz w:val="20"/>
          <w:szCs w:val="20"/>
          <w:lang w:val="es-ES"/>
        </w:rPr>
        <w:t>la estructura, competencia y procedimiento de los órganos encargados de esa materia”</w:t>
      </w:r>
      <w:r w:rsidR="00C05917" w:rsidRPr="00613F9A">
        <w:rPr>
          <w:rFonts w:ascii="Verdana" w:hAnsi="Verdana"/>
          <w:i/>
          <w:sz w:val="20"/>
          <w:szCs w:val="20"/>
          <w:vertAlign w:val="superscript"/>
          <w:lang w:val="es-ES"/>
        </w:rPr>
        <w:footnoteReference w:id="88"/>
      </w:r>
      <w:r w:rsidR="00C05917" w:rsidRPr="00613F9A">
        <w:rPr>
          <w:rFonts w:ascii="Verdana" w:hAnsi="Verdana"/>
          <w:i/>
          <w:sz w:val="20"/>
          <w:szCs w:val="20"/>
          <w:lang w:val="es-ES"/>
        </w:rPr>
        <w:t xml:space="preserve">; </w:t>
      </w:r>
      <w:r w:rsidR="00A76975" w:rsidRPr="00613F9A">
        <w:rPr>
          <w:rFonts w:ascii="Verdana" w:hAnsi="Verdana"/>
          <w:sz w:val="20"/>
          <w:szCs w:val="20"/>
          <w:lang w:val="es-ES"/>
        </w:rPr>
        <w:t>y</w:t>
      </w:r>
    </w:p>
    <w:p w:rsidR="00C05917" w:rsidRPr="00613F9A" w:rsidRDefault="00C05917" w:rsidP="007855FF">
      <w:pPr>
        <w:spacing w:after="200" w:line="276" w:lineRule="auto"/>
        <w:ind w:left="340"/>
        <w:contextualSpacing/>
        <w:rPr>
          <w:rFonts w:ascii="Verdana" w:hAnsi="Verdana"/>
          <w:sz w:val="20"/>
          <w:szCs w:val="20"/>
          <w:lang w:val="es-ES"/>
        </w:rPr>
      </w:pPr>
    </w:p>
    <w:p w:rsidR="004C748E" w:rsidRPr="00613F9A" w:rsidRDefault="00C05917" w:rsidP="007855FF">
      <w:pPr>
        <w:numPr>
          <w:ilvl w:val="0"/>
          <w:numId w:val="7"/>
        </w:numPr>
        <w:spacing w:after="200" w:line="276" w:lineRule="auto"/>
        <w:ind w:left="340"/>
        <w:contextualSpacing/>
        <w:rPr>
          <w:rFonts w:ascii="Verdana" w:hAnsi="Verdana"/>
          <w:sz w:val="20"/>
          <w:szCs w:val="20"/>
          <w:lang w:val="es-ES"/>
        </w:rPr>
      </w:pPr>
      <w:r w:rsidRPr="00613F9A">
        <w:rPr>
          <w:rFonts w:ascii="Verdana" w:hAnsi="Verdana"/>
          <w:sz w:val="20"/>
          <w:szCs w:val="20"/>
          <w:lang w:val="es-ES"/>
        </w:rPr>
        <w:t xml:space="preserve">es </w:t>
      </w:r>
      <w:r w:rsidR="00A76975" w:rsidRPr="00613F9A">
        <w:rPr>
          <w:rFonts w:ascii="Verdana" w:hAnsi="Verdana"/>
          <w:sz w:val="20"/>
          <w:szCs w:val="20"/>
          <w:lang w:val="es-ES"/>
        </w:rPr>
        <w:t>evidente que</w:t>
      </w:r>
      <w:r w:rsidR="00C56689" w:rsidRPr="00613F9A">
        <w:rPr>
          <w:rFonts w:ascii="Verdana" w:hAnsi="Verdana"/>
          <w:sz w:val="20"/>
          <w:szCs w:val="20"/>
          <w:lang w:val="es-ES"/>
        </w:rPr>
        <w:t xml:space="preserve">, en ese marco estructural, el </w:t>
      </w:r>
      <w:r w:rsidRPr="00613F9A">
        <w:rPr>
          <w:rFonts w:ascii="Verdana" w:hAnsi="Verdana"/>
          <w:sz w:val="20"/>
          <w:szCs w:val="20"/>
          <w:lang w:val="es-ES"/>
        </w:rPr>
        <w:t>objeto</w:t>
      </w:r>
      <w:r w:rsidR="00C56689" w:rsidRPr="00613F9A">
        <w:rPr>
          <w:rFonts w:ascii="Verdana" w:hAnsi="Verdana"/>
          <w:sz w:val="20"/>
          <w:szCs w:val="20"/>
          <w:lang w:val="es-ES"/>
        </w:rPr>
        <w:t xml:space="preserve"> y fin específico d</w:t>
      </w:r>
      <w:r w:rsidRPr="00613F9A">
        <w:rPr>
          <w:rFonts w:ascii="Verdana" w:hAnsi="Verdana"/>
          <w:sz w:val="20"/>
          <w:szCs w:val="20"/>
          <w:lang w:val="es-ES"/>
        </w:rPr>
        <w:t xml:space="preserve">el artículo 26 de </w:t>
      </w:r>
      <w:r w:rsidR="00C56689" w:rsidRPr="00613F9A">
        <w:rPr>
          <w:rFonts w:ascii="Verdana" w:hAnsi="Verdana"/>
          <w:sz w:val="20"/>
          <w:szCs w:val="20"/>
          <w:lang w:val="es-ES"/>
        </w:rPr>
        <w:t>la Convención, es que sus Estados Partes adopten</w:t>
      </w:r>
      <w:r w:rsidRPr="00613F9A">
        <w:rPr>
          <w:rFonts w:ascii="Verdana" w:hAnsi="Verdana"/>
          <w:sz w:val="20"/>
          <w:szCs w:val="20"/>
          <w:lang w:val="es-ES"/>
        </w:rPr>
        <w:t xml:space="preserve"> “</w:t>
      </w:r>
      <w:r w:rsidRPr="00613F9A">
        <w:rPr>
          <w:rFonts w:ascii="Verdana" w:hAnsi="Verdana"/>
          <w:i/>
          <w:sz w:val="20"/>
          <w:szCs w:val="20"/>
          <w:lang w:val="es-ES"/>
        </w:rPr>
        <w:t>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r w:rsidR="00A76975" w:rsidRPr="00613F9A">
        <w:rPr>
          <w:rFonts w:ascii="Verdana" w:hAnsi="Verdana"/>
          <w:sz w:val="20"/>
          <w:szCs w:val="20"/>
          <w:lang w:val="es-ES"/>
        </w:rPr>
        <w:t>”.</w:t>
      </w:r>
    </w:p>
    <w:p w:rsidR="00C05917" w:rsidRPr="00613F9A" w:rsidRDefault="004C748E" w:rsidP="00772D74">
      <w:pPr>
        <w:pStyle w:val="Prrafodelista"/>
        <w:numPr>
          <w:ilvl w:val="0"/>
          <w:numId w:val="2"/>
        </w:numPr>
        <w:spacing w:before="120" w:after="120"/>
        <w:ind w:left="20" w:hanging="20"/>
        <w:jc w:val="both"/>
        <w:rPr>
          <w:rFonts w:ascii="Verdana" w:hAnsi="Verdana"/>
          <w:sz w:val="20"/>
          <w:szCs w:val="20"/>
          <w:lang w:val="es-ES"/>
        </w:rPr>
      </w:pPr>
      <w:r w:rsidRPr="00613F9A">
        <w:rPr>
          <w:rFonts w:ascii="Verdana" w:hAnsi="Verdana"/>
          <w:sz w:val="20"/>
          <w:szCs w:val="20"/>
          <w:lang w:val="es-ES"/>
        </w:rPr>
        <w:t>En definitiva</w:t>
      </w:r>
      <w:r w:rsidR="00C05917" w:rsidRPr="00613F9A">
        <w:rPr>
          <w:rFonts w:ascii="Verdana" w:hAnsi="Verdana"/>
          <w:sz w:val="20"/>
          <w:szCs w:val="20"/>
          <w:lang w:val="es-ES"/>
        </w:rPr>
        <w:t>, pues, la aplicación del método</w:t>
      </w:r>
      <w:r w:rsidR="00C05917" w:rsidRPr="00613F9A">
        <w:rPr>
          <w:rFonts w:ascii="Verdana" w:hAnsi="Verdana"/>
          <w:b/>
          <w:sz w:val="20"/>
          <w:szCs w:val="20"/>
        </w:rPr>
        <w:t xml:space="preserve"> </w:t>
      </w:r>
      <w:r w:rsidR="00C05917" w:rsidRPr="00613F9A">
        <w:rPr>
          <w:rFonts w:ascii="Verdana" w:hAnsi="Verdana"/>
          <w:sz w:val="20"/>
          <w:szCs w:val="20"/>
        </w:rPr>
        <w:t>funcional o teleológico de interpretación de tratados respecto del artículo 26 de la Convención, conduce a la misma conclusión a que se llega con la utilización de los demás método</w:t>
      </w:r>
      <w:r w:rsidR="00A15146" w:rsidRPr="00613F9A">
        <w:rPr>
          <w:rFonts w:ascii="Verdana" w:hAnsi="Verdana"/>
          <w:sz w:val="20"/>
          <w:szCs w:val="20"/>
        </w:rPr>
        <w:t>s de interpretación de tratados</w:t>
      </w:r>
      <w:r w:rsidR="00C05917" w:rsidRPr="00613F9A">
        <w:rPr>
          <w:rFonts w:ascii="Verdana" w:hAnsi="Verdana"/>
          <w:sz w:val="20"/>
          <w:szCs w:val="20"/>
        </w:rPr>
        <w:t xml:space="preserve">, es decir, que </w:t>
      </w:r>
      <w:r w:rsidR="00817D48" w:rsidRPr="00613F9A">
        <w:rPr>
          <w:rFonts w:ascii="Verdana" w:hAnsi="Verdana"/>
          <w:sz w:val="20"/>
          <w:szCs w:val="20"/>
        </w:rPr>
        <w:t xml:space="preserve">dicha disposición </w:t>
      </w:r>
      <w:r w:rsidR="00C05917" w:rsidRPr="00613F9A">
        <w:rPr>
          <w:rFonts w:ascii="Verdana" w:hAnsi="Verdana"/>
          <w:sz w:val="20"/>
          <w:szCs w:val="20"/>
        </w:rPr>
        <w:t>no tiene por finalidad establecer derecho humano alguno, sino únicamente consagrar el deber de los Estados Partes de aquella de adoptar medidas para hacer efectivos los derechos económicos, sociales y culturales que se “</w:t>
      </w:r>
      <w:r w:rsidR="00C05917" w:rsidRPr="00613F9A">
        <w:rPr>
          <w:rFonts w:ascii="Verdana" w:hAnsi="Verdana"/>
          <w:i/>
          <w:sz w:val="20"/>
          <w:szCs w:val="20"/>
        </w:rPr>
        <w:t>derivan</w:t>
      </w:r>
      <w:r w:rsidR="00C05917" w:rsidRPr="00613F9A">
        <w:rPr>
          <w:rFonts w:ascii="Verdana" w:hAnsi="Verdana"/>
          <w:sz w:val="20"/>
          <w:szCs w:val="20"/>
        </w:rPr>
        <w:t>” de la Carta de la OEA.</w:t>
      </w:r>
    </w:p>
    <w:p w:rsidR="006E1A58" w:rsidRPr="00613F9A" w:rsidRDefault="006E1A58" w:rsidP="000978E9">
      <w:pPr>
        <w:pStyle w:val="Prrafodelista"/>
        <w:ind w:left="0"/>
        <w:jc w:val="both"/>
        <w:rPr>
          <w:rFonts w:ascii="Verdana" w:hAnsi="Verdana"/>
          <w:sz w:val="20"/>
          <w:szCs w:val="20"/>
          <w:lang w:val="es-ES"/>
        </w:rPr>
      </w:pPr>
    </w:p>
    <w:p w:rsidR="00C05917" w:rsidRPr="00613F9A" w:rsidRDefault="00C05917" w:rsidP="000978E9">
      <w:pPr>
        <w:pStyle w:val="Prrafodelista"/>
        <w:numPr>
          <w:ilvl w:val="0"/>
          <w:numId w:val="3"/>
        </w:numPr>
        <w:spacing w:after="0"/>
        <w:ind w:left="380"/>
        <w:jc w:val="both"/>
        <w:rPr>
          <w:rFonts w:ascii="Verdana" w:hAnsi="Verdana"/>
          <w:b/>
          <w:sz w:val="20"/>
          <w:szCs w:val="20"/>
          <w:lang w:val="es-ES"/>
        </w:rPr>
      </w:pPr>
      <w:r w:rsidRPr="00613F9A">
        <w:rPr>
          <w:rFonts w:ascii="Verdana" w:hAnsi="Verdana"/>
          <w:b/>
          <w:sz w:val="20"/>
          <w:szCs w:val="20"/>
          <w:lang w:val="es-ES"/>
        </w:rPr>
        <w:t>DISCREPANCIA CON LA SENTENCIA.</w:t>
      </w:r>
    </w:p>
    <w:p w:rsidR="00C05917" w:rsidRPr="00613F9A" w:rsidRDefault="00C05917" w:rsidP="000978E9">
      <w:pPr>
        <w:spacing w:after="0" w:line="276" w:lineRule="auto"/>
        <w:ind w:left="0"/>
        <w:rPr>
          <w:rFonts w:ascii="Verdana" w:hAnsi="Verdana"/>
          <w:b/>
          <w:sz w:val="20"/>
          <w:szCs w:val="20"/>
          <w:lang w:val="es-ES"/>
        </w:rPr>
      </w:pPr>
    </w:p>
    <w:p w:rsidR="00B40638" w:rsidRPr="00613F9A" w:rsidRDefault="00C05917" w:rsidP="00B24719">
      <w:pPr>
        <w:pStyle w:val="Prrafodelista"/>
        <w:numPr>
          <w:ilvl w:val="0"/>
          <w:numId w:val="2"/>
        </w:numPr>
        <w:tabs>
          <w:tab w:val="left" w:pos="567"/>
        </w:tabs>
        <w:spacing w:after="0"/>
        <w:ind w:left="0" w:firstLine="0"/>
        <w:jc w:val="both"/>
        <w:rPr>
          <w:rFonts w:ascii="Verdana" w:hAnsi="Verdana" w:cs="Verdana"/>
          <w:i/>
          <w:sz w:val="20"/>
          <w:szCs w:val="20"/>
        </w:rPr>
      </w:pPr>
      <w:r w:rsidRPr="00613F9A">
        <w:rPr>
          <w:rFonts w:ascii="Verdana" w:hAnsi="Verdana"/>
          <w:sz w:val="20"/>
          <w:szCs w:val="20"/>
          <w:lang w:val="es-ES"/>
        </w:rPr>
        <w:t xml:space="preserve">Expuesto lo anterior, </w:t>
      </w:r>
      <w:r w:rsidR="0032648C" w:rsidRPr="00613F9A">
        <w:rPr>
          <w:rFonts w:ascii="Verdana" w:hAnsi="Verdana"/>
          <w:sz w:val="20"/>
          <w:szCs w:val="20"/>
          <w:lang w:val="es-ES"/>
        </w:rPr>
        <w:t>en donde queda en evidencia la diferencia en la interpretación del citado artículo 26 que hace la Sentencia con la que se manifiesta en el presente voto, parece</w:t>
      </w:r>
      <w:r w:rsidR="007321DA" w:rsidRPr="00613F9A">
        <w:rPr>
          <w:rFonts w:ascii="Verdana" w:hAnsi="Verdana"/>
          <w:sz w:val="20"/>
          <w:szCs w:val="20"/>
          <w:lang w:val="es-ES"/>
        </w:rPr>
        <w:t>, sin embargo,</w:t>
      </w:r>
      <w:r w:rsidR="0032648C" w:rsidRPr="00613F9A">
        <w:rPr>
          <w:rFonts w:ascii="Verdana" w:hAnsi="Verdana"/>
          <w:sz w:val="20"/>
          <w:szCs w:val="20"/>
          <w:lang w:val="es-ES"/>
        </w:rPr>
        <w:t xml:space="preserve"> necesario </w:t>
      </w:r>
      <w:r w:rsidR="007321DA" w:rsidRPr="00613F9A">
        <w:rPr>
          <w:rFonts w:ascii="Verdana" w:hAnsi="Verdana"/>
          <w:sz w:val="20"/>
          <w:szCs w:val="20"/>
          <w:lang w:val="es-ES"/>
        </w:rPr>
        <w:t xml:space="preserve">o útil </w:t>
      </w:r>
      <w:r w:rsidR="0032648C" w:rsidRPr="00613F9A">
        <w:rPr>
          <w:rFonts w:ascii="Verdana" w:hAnsi="Verdana"/>
          <w:sz w:val="20"/>
          <w:szCs w:val="20"/>
          <w:lang w:val="es-ES"/>
        </w:rPr>
        <w:t xml:space="preserve">explicitar con más detalles dicha discrepancia. Y, a tal propósito, </w:t>
      </w:r>
      <w:r w:rsidRPr="00613F9A">
        <w:rPr>
          <w:rFonts w:ascii="Verdana" w:hAnsi="Verdana"/>
          <w:sz w:val="20"/>
          <w:szCs w:val="20"/>
          <w:lang w:val="es-ES"/>
        </w:rPr>
        <w:t xml:space="preserve">se debe comenzar con indicar que </w:t>
      </w:r>
      <w:r w:rsidR="0032648C" w:rsidRPr="00613F9A">
        <w:rPr>
          <w:rFonts w:ascii="Verdana" w:hAnsi="Verdana"/>
          <w:sz w:val="20"/>
          <w:szCs w:val="20"/>
          <w:lang w:val="es-ES"/>
        </w:rPr>
        <w:t>aqu</w:t>
      </w:r>
      <w:r w:rsidRPr="00613F9A">
        <w:rPr>
          <w:rFonts w:ascii="Verdana" w:hAnsi="Verdana"/>
          <w:sz w:val="20"/>
          <w:szCs w:val="20"/>
          <w:lang w:val="es-ES"/>
        </w:rPr>
        <w:t>ella se remite, en lo concerniente a la interpretación del artículo 26 de la Convención, a lo que señaló en</w:t>
      </w:r>
      <w:r w:rsidR="006A024E" w:rsidRPr="00613F9A">
        <w:rPr>
          <w:rFonts w:ascii="Verdana" w:hAnsi="Verdana"/>
          <w:sz w:val="20"/>
          <w:szCs w:val="20"/>
          <w:lang w:val="es-ES"/>
        </w:rPr>
        <w:t xml:space="preserve"> las sentencias emitidas en</w:t>
      </w:r>
      <w:r w:rsidRPr="00613F9A">
        <w:rPr>
          <w:rFonts w:ascii="Verdana" w:hAnsi="Verdana"/>
          <w:sz w:val="20"/>
          <w:szCs w:val="20"/>
          <w:lang w:val="es-ES"/>
        </w:rPr>
        <w:t xml:space="preserve"> los casos</w:t>
      </w:r>
      <w:r w:rsidRPr="00613F9A">
        <w:rPr>
          <w:rFonts w:ascii="Verdana" w:hAnsi="Verdana"/>
          <w:i/>
          <w:sz w:val="20"/>
          <w:szCs w:val="20"/>
          <w:lang w:val="es-ES"/>
        </w:rPr>
        <w:t xml:space="preserve"> </w:t>
      </w:r>
      <w:r w:rsidR="006A024E" w:rsidRPr="00613F9A">
        <w:rPr>
          <w:rFonts w:ascii="Verdana" w:hAnsi="Verdana"/>
          <w:i/>
          <w:sz w:val="20"/>
          <w:szCs w:val="20"/>
          <w:lang w:val="es-ES"/>
        </w:rPr>
        <w:t>“</w:t>
      </w:r>
      <w:r w:rsidRPr="00613F9A">
        <w:rPr>
          <w:rFonts w:ascii="Verdana" w:hAnsi="Verdana"/>
          <w:i/>
          <w:sz w:val="20"/>
          <w:szCs w:val="20"/>
          <w:lang w:val="es-ES"/>
        </w:rPr>
        <w:t>Acevedo Buendía y otros (“Cesantes y Jubilados de la Contraloría”) Vs. Perú”</w:t>
      </w:r>
      <w:r w:rsidRPr="00613F9A">
        <w:rPr>
          <w:rFonts w:ascii="Verdana" w:hAnsi="Verdana"/>
          <w:i/>
          <w:sz w:val="20"/>
          <w:szCs w:val="20"/>
          <w:vertAlign w:val="superscript"/>
          <w:lang w:val="es-ES"/>
        </w:rPr>
        <w:footnoteReference w:id="89"/>
      </w:r>
      <w:r w:rsidRPr="00613F9A">
        <w:rPr>
          <w:rFonts w:ascii="Verdana" w:hAnsi="Verdana"/>
          <w:i/>
          <w:sz w:val="20"/>
          <w:szCs w:val="20"/>
          <w:lang w:val="es-ES"/>
        </w:rPr>
        <w:t>, “</w:t>
      </w:r>
      <w:r w:rsidRPr="00613F9A">
        <w:rPr>
          <w:rFonts w:ascii="Verdana" w:hAnsi="Verdana"/>
          <w:i/>
          <w:sz w:val="20"/>
          <w:szCs w:val="20"/>
        </w:rPr>
        <w:t>Lagos del Campo Vs. Perú</w:t>
      </w:r>
      <w:r w:rsidRPr="00613F9A">
        <w:rPr>
          <w:rFonts w:ascii="Verdana" w:hAnsi="Verdana"/>
          <w:sz w:val="20"/>
          <w:szCs w:val="20"/>
          <w:lang w:val="es-ES"/>
        </w:rPr>
        <w:t>”</w:t>
      </w:r>
      <w:r w:rsidRPr="00613F9A">
        <w:rPr>
          <w:rFonts w:ascii="Verdana" w:hAnsi="Verdana"/>
          <w:sz w:val="20"/>
          <w:szCs w:val="20"/>
          <w:vertAlign w:val="superscript"/>
          <w:lang w:val="es-ES"/>
        </w:rPr>
        <w:footnoteReference w:id="90"/>
      </w:r>
      <w:r w:rsidRPr="00613F9A">
        <w:rPr>
          <w:rFonts w:ascii="Verdana" w:hAnsi="Verdana"/>
          <w:sz w:val="20"/>
          <w:szCs w:val="20"/>
          <w:lang w:val="es-ES"/>
        </w:rPr>
        <w:t xml:space="preserve"> </w:t>
      </w:r>
      <w:r w:rsidRPr="00613F9A">
        <w:rPr>
          <w:rFonts w:ascii="Verdana" w:hAnsi="Verdana" w:cs="Verdana"/>
          <w:sz w:val="20"/>
          <w:szCs w:val="20"/>
        </w:rPr>
        <w:t xml:space="preserve">y especialmente, </w:t>
      </w:r>
      <w:r w:rsidRPr="00613F9A">
        <w:rPr>
          <w:rFonts w:ascii="Verdana" w:hAnsi="Verdana" w:cs="Verdana"/>
          <w:i/>
          <w:sz w:val="20"/>
          <w:szCs w:val="20"/>
        </w:rPr>
        <w:t>Cuscú” Pivaral y otros Vs. Guatemala”</w:t>
      </w:r>
      <w:r w:rsidRPr="00613F9A">
        <w:rPr>
          <w:rFonts w:ascii="Verdana" w:hAnsi="Verdana" w:cs="Verdana"/>
          <w:i/>
          <w:sz w:val="20"/>
          <w:szCs w:val="20"/>
          <w:vertAlign w:val="superscript"/>
        </w:rPr>
        <w:footnoteReference w:id="91"/>
      </w:r>
      <w:r w:rsidR="00AD1456" w:rsidRPr="00613F9A">
        <w:rPr>
          <w:rFonts w:ascii="Verdana" w:hAnsi="Verdana" w:cs="Verdana"/>
          <w:sz w:val="20"/>
          <w:szCs w:val="20"/>
        </w:rPr>
        <w:t>. Habida cuenta</w:t>
      </w:r>
      <w:r w:rsidR="00A76975" w:rsidRPr="00613F9A">
        <w:rPr>
          <w:rFonts w:ascii="Verdana" w:hAnsi="Verdana" w:cs="Verdana"/>
          <w:sz w:val="20"/>
          <w:szCs w:val="20"/>
        </w:rPr>
        <w:t>, por una parte, que en cuanto a las dos primeras sentencias se emitieron los correspondientes votos individuales</w:t>
      </w:r>
      <w:r w:rsidR="00A76975" w:rsidRPr="00613F9A">
        <w:rPr>
          <w:rStyle w:val="Refdenotaalpie"/>
          <w:rFonts w:ascii="Verdana" w:hAnsi="Verdana" w:cs="Verdana"/>
          <w:sz w:val="20"/>
          <w:szCs w:val="20"/>
        </w:rPr>
        <w:footnoteReference w:id="92"/>
      </w:r>
      <w:r w:rsidR="0007249F" w:rsidRPr="00613F9A">
        <w:rPr>
          <w:rFonts w:ascii="Verdana" w:hAnsi="Verdana" w:cs="Verdana"/>
          <w:sz w:val="20"/>
          <w:szCs w:val="20"/>
        </w:rPr>
        <w:t>, los que se ratifican, y por la otra parte,</w:t>
      </w:r>
      <w:r w:rsidRPr="00613F9A">
        <w:rPr>
          <w:rFonts w:ascii="Verdana" w:hAnsi="Verdana" w:cs="Verdana"/>
          <w:sz w:val="20"/>
          <w:szCs w:val="20"/>
        </w:rPr>
        <w:t xml:space="preserve"> que expresamente la Sentencia </w:t>
      </w:r>
      <w:r w:rsidR="00822918" w:rsidRPr="00613F9A">
        <w:rPr>
          <w:rFonts w:ascii="Verdana" w:hAnsi="Verdana" w:cs="Verdana"/>
          <w:sz w:val="20"/>
          <w:szCs w:val="20"/>
        </w:rPr>
        <w:t xml:space="preserve">formula particular </w:t>
      </w:r>
      <w:r w:rsidR="00822918" w:rsidRPr="00613F9A">
        <w:rPr>
          <w:rFonts w:ascii="Verdana" w:hAnsi="Verdana"/>
          <w:sz w:val="20"/>
          <w:szCs w:val="20"/>
        </w:rPr>
        <w:t xml:space="preserve">mención </w:t>
      </w:r>
      <w:r w:rsidR="008763AC" w:rsidRPr="00613F9A">
        <w:rPr>
          <w:rFonts w:ascii="Verdana" w:hAnsi="Verdana"/>
          <w:sz w:val="20"/>
          <w:szCs w:val="20"/>
        </w:rPr>
        <w:t>al</w:t>
      </w:r>
      <w:r w:rsidR="006A024E" w:rsidRPr="00613F9A">
        <w:rPr>
          <w:rFonts w:ascii="Verdana" w:hAnsi="Verdana"/>
          <w:sz w:val="20"/>
          <w:szCs w:val="20"/>
        </w:rPr>
        <w:t xml:space="preserve"> </w:t>
      </w:r>
      <w:r w:rsidR="008763AC" w:rsidRPr="00613F9A">
        <w:rPr>
          <w:rFonts w:ascii="Verdana" w:hAnsi="Verdana"/>
          <w:sz w:val="20"/>
          <w:szCs w:val="20"/>
        </w:rPr>
        <w:t>último</w:t>
      </w:r>
      <w:r w:rsidR="00AD1456" w:rsidRPr="00613F9A">
        <w:rPr>
          <w:rFonts w:ascii="Verdana" w:hAnsi="Verdana"/>
          <w:sz w:val="20"/>
          <w:szCs w:val="20"/>
        </w:rPr>
        <w:t xml:space="preserve"> de los fallos </w:t>
      </w:r>
      <w:r w:rsidR="00AD1456" w:rsidRPr="00613F9A">
        <w:rPr>
          <w:rFonts w:ascii="Verdana" w:hAnsi="Verdana"/>
          <w:sz w:val="20"/>
          <w:szCs w:val="20"/>
        </w:rPr>
        <w:lastRenderedPageBreak/>
        <w:t>citado</w:t>
      </w:r>
      <w:r w:rsidR="006A024E" w:rsidRPr="00613F9A">
        <w:rPr>
          <w:rFonts w:ascii="Verdana" w:hAnsi="Verdana"/>
          <w:sz w:val="20"/>
          <w:szCs w:val="20"/>
        </w:rPr>
        <w:t>s</w:t>
      </w:r>
      <w:r w:rsidR="00AD1456" w:rsidRPr="00613F9A">
        <w:rPr>
          <w:rFonts w:ascii="Verdana" w:hAnsi="Verdana"/>
          <w:sz w:val="20"/>
          <w:szCs w:val="20"/>
          <w:vertAlign w:val="superscript"/>
        </w:rPr>
        <w:footnoteReference w:id="93"/>
      </w:r>
      <w:r w:rsidR="00AD1456" w:rsidRPr="00613F9A">
        <w:rPr>
          <w:rFonts w:ascii="Verdana" w:hAnsi="Verdana"/>
          <w:sz w:val="20"/>
          <w:szCs w:val="20"/>
        </w:rPr>
        <w:t xml:space="preserve"> y en el </w:t>
      </w:r>
      <w:r w:rsidR="00AD1456" w:rsidRPr="00613F9A">
        <w:rPr>
          <w:rFonts w:ascii="Verdana" w:hAnsi="Verdana" w:cs="Verdana"/>
          <w:sz w:val="20"/>
          <w:szCs w:val="20"/>
        </w:rPr>
        <w:t>que el suscrito no participó</w:t>
      </w:r>
      <w:r w:rsidR="00AD1456" w:rsidRPr="00613F9A">
        <w:rPr>
          <w:rFonts w:ascii="Verdana" w:hAnsi="Verdana" w:cs="Verdana"/>
          <w:sz w:val="20"/>
          <w:szCs w:val="20"/>
          <w:vertAlign w:val="superscript"/>
        </w:rPr>
        <w:footnoteReference w:id="94"/>
      </w:r>
      <w:r w:rsidRPr="00613F9A">
        <w:rPr>
          <w:rFonts w:ascii="Verdana" w:hAnsi="Verdana"/>
          <w:sz w:val="20"/>
          <w:szCs w:val="20"/>
        </w:rPr>
        <w:t>,</w:t>
      </w:r>
      <w:r w:rsidRPr="00613F9A">
        <w:rPr>
          <w:rFonts w:ascii="Verdana" w:hAnsi="Verdana"/>
          <w:sz w:val="20"/>
          <w:szCs w:val="20"/>
          <w:lang w:val="es-CR"/>
        </w:rPr>
        <w:t xml:space="preserve"> resulta imperativo, para comprender cabalmente la disidencia de que da cuenta este voto, referirse a</w:t>
      </w:r>
      <w:r w:rsidR="008763AC" w:rsidRPr="00613F9A">
        <w:rPr>
          <w:rFonts w:ascii="Verdana" w:hAnsi="Verdana"/>
          <w:sz w:val="20"/>
          <w:szCs w:val="20"/>
          <w:lang w:val="es-CR"/>
        </w:rPr>
        <w:t xml:space="preserve"> él</w:t>
      </w:r>
      <w:r w:rsidRPr="00613F9A">
        <w:rPr>
          <w:rFonts w:ascii="Verdana" w:hAnsi="Verdana"/>
          <w:sz w:val="20"/>
          <w:szCs w:val="20"/>
          <w:vertAlign w:val="superscript"/>
          <w:lang w:val="es-CR"/>
        </w:rPr>
        <w:footnoteReference w:id="95"/>
      </w:r>
      <w:r w:rsidRPr="00613F9A">
        <w:rPr>
          <w:rFonts w:ascii="Verdana" w:hAnsi="Verdana"/>
          <w:sz w:val="20"/>
          <w:szCs w:val="20"/>
          <w:lang w:val="es-CR"/>
        </w:rPr>
        <w:t>.</w:t>
      </w:r>
      <w:r w:rsidR="008A4349" w:rsidRPr="00613F9A">
        <w:rPr>
          <w:rFonts w:ascii="Verdana" w:hAnsi="Verdana"/>
          <w:sz w:val="20"/>
          <w:szCs w:val="20"/>
          <w:lang w:val="es-CR"/>
        </w:rPr>
        <w:t xml:space="preserve"> </w:t>
      </w:r>
    </w:p>
    <w:p w:rsidR="00B40638" w:rsidRPr="00613F9A" w:rsidRDefault="00B40638" w:rsidP="000978E9">
      <w:pPr>
        <w:pStyle w:val="Prrafodelista"/>
        <w:tabs>
          <w:tab w:val="left" w:pos="567"/>
        </w:tabs>
        <w:spacing w:after="0"/>
        <w:ind w:left="0"/>
        <w:jc w:val="both"/>
        <w:rPr>
          <w:rFonts w:ascii="Verdana" w:hAnsi="Verdana" w:cs="Verdana"/>
          <w:i/>
          <w:sz w:val="20"/>
          <w:szCs w:val="20"/>
        </w:rPr>
      </w:pPr>
    </w:p>
    <w:p w:rsidR="002D37DA" w:rsidRPr="00613F9A" w:rsidRDefault="00B34B26" w:rsidP="00B24719">
      <w:pPr>
        <w:pStyle w:val="Prrafodelista"/>
        <w:numPr>
          <w:ilvl w:val="0"/>
          <w:numId w:val="2"/>
        </w:numPr>
        <w:tabs>
          <w:tab w:val="left" w:pos="567"/>
        </w:tabs>
        <w:spacing w:after="0"/>
        <w:ind w:left="20" w:hanging="20"/>
        <w:jc w:val="both"/>
        <w:rPr>
          <w:rFonts w:ascii="Verdana" w:hAnsi="Verdana" w:cs="Verdana"/>
          <w:i/>
          <w:sz w:val="20"/>
          <w:szCs w:val="20"/>
        </w:rPr>
      </w:pPr>
      <w:r w:rsidRPr="00613F9A">
        <w:rPr>
          <w:rFonts w:ascii="Verdana" w:hAnsi="Verdana" w:cs="Verdana"/>
          <w:sz w:val="20"/>
          <w:szCs w:val="20"/>
        </w:rPr>
        <w:t xml:space="preserve">Ahora bien, </w:t>
      </w:r>
      <w:r w:rsidR="00B40638" w:rsidRPr="00613F9A">
        <w:rPr>
          <w:rFonts w:ascii="Verdana" w:hAnsi="Verdana" w:cs="Verdana"/>
          <w:sz w:val="20"/>
          <w:szCs w:val="20"/>
        </w:rPr>
        <w:t>como cuestión previa,</w:t>
      </w:r>
      <w:r w:rsidR="002D37DA" w:rsidRPr="00613F9A">
        <w:rPr>
          <w:rFonts w:ascii="Verdana" w:hAnsi="Verdana" w:cs="Verdana"/>
          <w:sz w:val="20"/>
          <w:szCs w:val="20"/>
        </w:rPr>
        <w:t xml:space="preserve"> es de advertir</w:t>
      </w:r>
      <w:r w:rsidR="00B40638" w:rsidRPr="00613F9A">
        <w:rPr>
          <w:rFonts w:ascii="Verdana" w:hAnsi="Verdana" w:cs="Verdana"/>
          <w:sz w:val="20"/>
          <w:szCs w:val="20"/>
        </w:rPr>
        <w:t xml:space="preserve"> </w:t>
      </w:r>
      <w:r w:rsidR="002D37DA" w:rsidRPr="00613F9A">
        <w:rPr>
          <w:rFonts w:ascii="Verdana" w:hAnsi="Verdana"/>
          <w:sz w:val="20"/>
          <w:szCs w:val="20"/>
          <w:lang w:val="es-ES"/>
        </w:rPr>
        <w:t>que en otras sentencias de la Corte se alcanzó un resultado análogo al que se pretende en autos, aplicando únicamente disposiciones de la Convención referentes a derechos que ésta reconoce y lógicamente dentro de los límites de ellas, como las que protegen el derecho a la integridad personal, a la propiedad o a las garantías judiciales y la protección judicial, sin haber tenido necesidad de recurrir al mencionado artículo 26.</w:t>
      </w:r>
    </w:p>
    <w:p w:rsidR="002D37DA" w:rsidRPr="00613F9A" w:rsidRDefault="002D37DA" w:rsidP="000978E9">
      <w:pPr>
        <w:pStyle w:val="Prrafodelista"/>
        <w:rPr>
          <w:rFonts w:ascii="Verdana" w:hAnsi="Verdana" w:cs="Verdana"/>
          <w:i/>
          <w:sz w:val="20"/>
          <w:szCs w:val="20"/>
        </w:rPr>
      </w:pPr>
    </w:p>
    <w:p w:rsidR="007257E5" w:rsidRPr="00613F9A" w:rsidRDefault="002D37DA" w:rsidP="00B24719">
      <w:pPr>
        <w:pStyle w:val="Prrafodelista"/>
        <w:numPr>
          <w:ilvl w:val="0"/>
          <w:numId w:val="2"/>
        </w:numPr>
        <w:tabs>
          <w:tab w:val="left" w:pos="567"/>
        </w:tabs>
        <w:spacing w:after="0"/>
        <w:ind w:left="20" w:hanging="20"/>
        <w:jc w:val="both"/>
        <w:rPr>
          <w:rFonts w:ascii="Verdana" w:hAnsi="Verdana" w:cs="Verdana"/>
          <w:i/>
          <w:sz w:val="20"/>
          <w:szCs w:val="20"/>
        </w:rPr>
      </w:pPr>
      <w:r w:rsidRPr="00613F9A">
        <w:rPr>
          <w:rFonts w:ascii="Verdana" w:hAnsi="Verdana" w:cs="Verdana"/>
          <w:sz w:val="20"/>
          <w:szCs w:val="20"/>
        </w:rPr>
        <w:t xml:space="preserve">Y como segunda consideración preliminar, </w:t>
      </w:r>
      <w:r w:rsidR="00B40638" w:rsidRPr="00613F9A">
        <w:rPr>
          <w:rFonts w:ascii="Verdana" w:hAnsi="Verdana" w:cs="Verdana"/>
          <w:sz w:val="20"/>
          <w:szCs w:val="20"/>
        </w:rPr>
        <w:t xml:space="preserve">se llama la atención respecto de que </w:t>
      </w:r>
      <w:r w:rsidR="00C05917" w:rsidRPr="00613F9A">
        <w:rPr>
          <w:rFonts w:ascii="Verdana" w:eastAsia="Times" w:hAnsi="Verdana" w:cs="Arial"/>
          <w:sz w:val="20"/>
          <w:szCs w:val="20"/>
          <w:lang w:val="es-CR"/>
        </w:rPr>
        <w:t>l</w:t>
      </w:r>
      <w:r w:rsidR="00B40638" w:rsidRPr="00613F9A">
        <w:rPr>
          <w:rFonts w:ascii="Verdana" w:eastAsia="Times" w:hAnsi="Verdana" w:cs="Arial"/>
          <w:sz w:val="20"/>
          <w:szCs w:val="20"/>
          <w:lang w:val="es-CR"/>
        </w:rPr>
        <w:t xml:space="preserve">a Sentencia señala </w:t>
      </w:r>
      <w:r w:rsidR="00B34B26" w:rsidRPr="00613F9A">
        <w:rPr>
          <w:rFonts w:ascii="Verdana" w:eastAsia="Times" w:hAnsi="Verdana" w:cs="Arial"/>
          <w:sz w:val="20"/>
          <w:szCs w:val="20"/>
          <w:lang w:val="es-CR"/>
        </w:rPr>
        <w:t>que en el</w:t>
      </w:r>
      <w:r w:rsidR="00C05917" w:rsidRPr="00613F9A">
        <w:rPr>
          <w:rFonts w:ascii="Verdana" w:eastAsia="Times" w:hAnsi="Verdana" w:cs="Arial"/>
          <w:sz w:val="20"/>
          <w:szCs w:val="20"/>
          <w:lang w:val="es-CR"/>
        </w:rPr>
        <w:t xml:space="preserve"> Fallo </w:t>
      </w:r>
      <w:r w:rsidR="00B34B26" w:rsidRPr="00613F9A">
        <w:rPr>
          <w:rFonts w:ascii="Verdana" w:eastAsia="Times" w:hAnsi="Verdana" w:cs="Arial"/>
          <w:sz w:val="20"/>
          <w:szCs w:val="20"/>
          <w:lang w:val="es-CR"/>
        </w:rPr>
        <w:t>se efectuó una</w:t>
      </w:r>
      <w:r w:rsidR="00B34B26" w:rsidRPr="00613F9A">
        <w:rPr>
          <w:rFonts w:ascii="Verdana" w:hAnsi="Verdana" w:cs="Verdana"/>
          <w:sz w:val="20"/>
          <w:szCs w:val="20"/>
        </w:rPr>
        <w:t xml:space="preserve"> “</w:t>
      </w:r>
      <w:r w:rsidR="00B34B26" w:rsidRPr="00613F9A">
        <w:rPr>
          <w:rFonts w:ascii="Verdana" w:hAnsi="Verdana" w:cs="Verdana"/>
          <w:i/>
          <w:sz w:val="20"/>
          <w:szCs w:val="20"/>
        </w:rPr>
        <w:t xml:space="preserve">interpretación literal, </w:t>
      </w:r>
      <w:r w:rsidR="00B34B26" w:rsidRPr="00613F9A">
        <w:rPr>
          <w:rFonts w:ascii="Verdana" w:hAnsi="Verdana"/>
          <w:i/>
          <w:sz w:val="20"/>
          <w:szCs w:val="20"/>
        </w:rPr>
        <w:t xml:space="preserve">sistemática, teleológica y evolutiva </w:t>
      </w:r>
      <w:r w:rsidR="00B34B26" w:rsidRPr="00613F9A">
        <w:rPr>
          <w:rFonts w:ascii="Verdana" w:hAnsi="Verdana" w:cs="Verdana"/>
          <w:i/>
          <w:sz w:val="20"/>
          <w:szCs w:val="20"/>
        </w:rPr>
        <w:t>respecto al alcance de</w:t>
      </w:r>
      <w:r w:rsidR="00B34B26" w:rsidRPr="00613F9A">
        <w:rPr>
          <w:rFonts w:ascii="Verdana" w:hAnsi="Verdana" w:cs="Verdana"/>
          <w:sz w:val="20"/>
          <w:szCs w:val="20"/>
        </w:rPr>
        <w:t xml:space="preserve"> (la) </w:t>
      </w:r>
      <w:r w:rsidR="00B34B26" w:rsidRPr="00613F9A">
        <w:rPr>
          <w:rFonts w:ascii="Verdana" w:hAnsi="Verdana" w:cs="Verdana"/>
          <w:i/>
          <w:sz w:val="20"/>
          <w:szCs w:val="20"/>
        </w:rPr>
        <w:t>competencia</w:t>
      </w:r>
      <w:r w:rsidR="00B34B26" w:rsidRPr="00613F9A">
        <w:rPr>
          <w:rFonts w:ascii="Verdana" w:hAnsi="Verdana" w:cs="Verdana"/>
          <w:sz w:val="20"/>
          <w:szCs w:val="20"/>
        </w:rPr>
        <w:t xml:space="preserve"> (de la Corte) </w:t>
      </w:r>
      <w:r w:rsidR="00B34B26" w:rsidRPr="00613F9A">
        <w:rPr>
          <w:rFonts w:ascii="Verdana" w:hAnsi="Verdana" w:cs="Verdana"/>
          <w:i/>
          <w:sz w:val="20"/>
          <w:szCs w:val="20"/>
        </w:rPr>
        <w:t>sobre el artículo 26 de la Convención</w:t>
      </w:r>
      <w:r w:rsidR="00B40638" w:rsidRPr="00613F9A">
        <w:rPr>
          <w:rFonts w:ascii="Verdana" w:hAnsi="Verdana" w:cs="Verdana"/>
          <w:sz w:val="20"/>
          <w:szCs w:val="20"/>
        </w:rPr>
        <w:t>”</w:t>
      </w:r>
      <w:r w:rsidR="00B40638" w:rsidRPr="00613F9A">
        <w:rPr>
          <w:rFonts w:ascii="Verdana" w:hAnsi="Verdana"/>
          <w:sz w:val="20"/>
          <w:szCs w:val="20"/>
          <w:shd w:val="clear" w:color="auto" w:fill="FFFFFF"/>
          <w:vertAlign w:val="superscript"/>
        </w:rPr>
        <w:footnoteReference w:id="96"/>
      </w:r>
      <w:r w:rsidR="00B40638" w:rsidRPr="00613F9A">
        <w:rPr>
          <w:rFonts w:ascii="Verdana" w:hAnsi="Verdana" w:cs="Courier New"/>
          <w:sz w:val="20"/>
          <w:szCs w:val="20"/>
          <w:shd w:val="clear" w:color="auto" w:fill="FFFFFF"/>
        </w:rPr>
        <w:t>, lo que, sin embargo, no aconteció</w:t>
      </w:r>
      <w:r w:rsidRPr="00613F9A">
        <w:rPr>
          <w:rFonts w:ascii="Verdana" w:hAnsi="Verdana" w:cs="Courier New"/>
          <w:sz w:val="20"/>
          <w:szCs w:val="20"/>
          <w:shd w:val="clear" w:color="auto" w:fill="FFFFFF"/>
        </w:rPr>
        <w:t xml:space="preserve"> del todo</w:t>
      </w:r>
      <w:r w:rsidR="00B40638" w:rsidRPr="00613F9A">
        <w:rPr>
          <w:rFonts w:ascii="Verdana" w:hAnsi="Verdana" w:cs="Courier New"/>
          <w:sz w:val="20"/>
          <w:szCs w:val="20"/>
          <w:shd w:val="clear" w:color="auto" w:fill="FFFFFF"/>
        </w:rPr>
        <w:t xml:space="preserve">. La que recurre a la interpretación evolutiva es la propia Sentencia y lo hace recordando </w:t>
      </w:r>
      <w:r w:rsidR="007257E5" w:rsidRPr="00613F9A">
        <w:rPr>
          <w:rFonts w:ascii="Verdana" w:hAnsi="Verdana" w:cs="Courier New"/>
          <w:sz w:val="20"/>
          <w:szCs w:val="20"/>
          <w:shd w:val="clear" w:color="auto" w:fill="FFFFFF"/>
        </w:rPr>
        <w:t xml:space="preserve">que </w:t>
      </w:r>
      <w:r w:rsidR="00B40638" w:rsidRPr="00613F9A">
        <w:rPr>
          <w:rFonts w:ascii="Verdana" w:hAnsi="Verdana" w:cs="Courier New"/>
          <w:sz w:val="20"/>
          <w:szCs w:val="20"/>
          <w:shd w:val="clear" w:color="auto" w:fill="FFFFFF"/>
        </w:rPr>
        <w:t>se encuentra previsto en</w:t>
      </w:r>
      <w:r w:rsidR="007257E5" w:rsidRPr="00613F9A">
        <w:rPr>
          <w:rFonts w:ascii="Verdana" w:hAnsi="Verdana" w:cs="Courier New"/>
          <w:sz w:val="20"/>
          <w:szCs w:val="20"/>
          <w:shd w:val="clear" w:color="auto" w:fill="FFFFFF"/>
        </w:rPr>
        <w:t xml:space="preserve"> el artículo 31 de</w:t>
      </w:r>
      <w:r w:rsidR="00B40638" w:rsidRPr="00613F9A">
        <w:rPr>
          <w:rFonts w:ascii="Verdana" w:hAnsi="Verdana" w:cs="Courier New"/>
          <w:sz w:val="20"/>
          <w:szCs w:val="20"/>
          <w:shd w:val="clear" w:color="auto" w:fill="FFFFFF"/>
        </w:rPr>
        <w:t xml:space="preserve"> la Convención de Viena</w:t>
      </w:r>
      <w:r w:rsidR="007257E5" w:rsidRPr="00613F9A">
        <w:rPr>
          <w:rStyle w:val="Refdenotaalpie"/>
          <w:rFonts w:ascii="Verdana" w:hAnsi="Verdana" w:cs="Courier New"/>
          <w:sz w:val="20"/>
          <w:szCs w:val="20"/>
          <w:shd w:val="clear" w:color="auto" w:fill="FFFFFF"/>
        </w:rPr>
        <w:footnoteReference w:id="97"/>
      </w:r>
      <w:r w:rsidR="007257E5" w:rsidRPr="00613F9A">
        <w:rPr>
          <w:rFonts w:ascii="Verdana" w:hAnsi="Verdana" w:cs="Courier New"/>
          <w:sz w:val="20"/>
          <w:szCs w:val="20"/>
          <w:shd w:val="clear" w:color="auto" w:fill="FFFFFF"/>
        </w:rPr>
        <w:t>, procediendo</w:t>
      </w:r>
      <w:r w:rsidR="00B40638" w:rsidRPr="00613F9A">
        <w:rPr>
          <w:rFonts w:ascii="Verdana" w:hAnsi="Verdana" w:cs="Courier New"/>
          <w:sz w:val="20"/>
          <w:szCs w:val="20"/>
          <w:shd w:val="clear" w:color="auto" w:fill="FFFFFF"/>
        </w:rPr>
        <w:t xml:space="preserve"> a aplicar</w:t>
      </w:r>
      <w:r w:rsidR="007257E5" w:rsidRPr="00613F9A">
        <w:rPr>
          <w:rFonts w:ascii="Verdana" w:hAnsi="Verdana" w:cs="Courier New"/>
          <w:sz w:val="20"/>
          <w:szCs w:val="20"/>
          <w:shd w:val="clear" w:color="auto" w:fill="FFFFFF"/>
        </w:rPr>
        <w:t xml:space="preserve"> tal disposición </w:t>
      </w:r>
      <w:r w:rsidR="00B40638" w:rsidRPr="00613F9A">
        <w:rPr>
          <w:rFonts w:ascii="Verdana" w:hAnsi="Verdana" w:cs="Courier New"/>
          <w:sz w:val="20"/>
          <w:szCs w:val="20"/>
          <w:shd w:val="clear" w:color="auto" w:fill="FFFFFF"/>
        </w:rPr>
        <w:t>para determinar el alcance y contenido del derecho a la seguridad social, lo que ciertamente, escapa al objeto del presente voto parcialmente disidente, restringido a lo pertinente a la judicialización ante la Corte de dicho derecho.</w:t>
      </w:r>
    </w:p>
    <w:p w:rsidR="007257E5" w:rsidRPr="00613F9A" w:rsidRDefault="007257E5" w:rsidP="000978E9">
      <w:pPr>
        <w:pStyle w:val="Prrafodelista"/>
        <w:rPr>
          <w:rFonts w:ascii="Verdana" w:hAnsi="Verdana" w:cs="Verdana"/>
          <w:sz w:val="20"/>
          <w:szCs w:val="20"/>
        </w:rPr>
      </w:pPr>
    </w:p>
    <w:p w:rsidR="00C05917" w:rsidRPr="00613F9A" w:rsidRDefault="007257E5" w:rsidP="00B24719">
      <w:pPr>
        <w:pStyle w:val="Prrafodelista"/>
        <w:numPr>
          <w:ilvl w:val="0"/>
          <w:numId w:val="2"/>
        </w:numPr>
        <w:tabs>
          <w:tab w:val="left" w:pos="567"/>
        </w:tabs>
        <w:spacing w:after="0"/>
        <w:ind w:left="0" w:firstLine="0"/>
        <w:jc w:val="both"/>
        <w:rPr>
          <w:rFonts w:ascii="Verdana" w:hAnsi="Verdana" w:cs="Verdana"/>
          <w:i/>
          <w:sz w:val="20"/>
          <w:szCs w:val="20"/>
        </w:rPr>
      </w:pPr>
      <w:r w:rsidRPr="00613F9A">
        <w:rPr>
          <w:rFonts w:ascii="Verdana" w:hAnsi="Verdana" w:cs="Verdana"/>
          <w:sz w:val="20"/>
          <w:szCs w:val="20"/>
        </w:rPr>
        <w:t xml:space="preserve">Pues bien, el Fallo </w:t>
      </w:r>
      <w:r w:rsidR="00B34B26" w:rsidRPr="00613F9A">
        <w:rPr>
          <w:rFonts w:ascii="Verdana" w:hAnsi="Verdana" w:cs="Verdana"/>
          <w:sz w:val="20"/>
          <w:szCs w:val="20"/>
        </w:rPr>
        <w:t>sigue</w:t>
      </w:r>
      <w:r w:rsidRPr="00613F9A">
        <w:rPr>
          <w:rFonts w:ascii="Verdana" w:hAnsi="Verdana" w:cs="Verdana"/>
          <w:sz w:val="20"/>
          <w:szCs w:val="20"/>
        </w:rPr>
        <w:t xml:space="preserve"> en realidad</w:t>
      </w:r>
      <w:r w:rsidR="002D37DA" w:rsidRPr="00613F9A">
        <w:rPr>
          <w:rFonts w:ascii="Verdana" w:hAnsi="Verdana" w:cs="Verdana"/>
          <w:sz w:val="20"/>
          <w:szCs w:val="20"/>
        </w:rPr>
        <w:t xml:space="preserve"> un</w:t>
      </w:r>
      <w:r w:rsidR="00B34B26" w:rsidRPr="00613F9A">
        <w:rPr>
          <w:rFonts w:ascii="Verdana" w:hAnsi="Verdana" w:cs="Verdana"/>
          <w:sz w:val="20"/>
          <w:szCs w:val="20"/>
        </w:rPr>
        <w:t xml:space="preserve"> esquema integrado por </w:t>
      </w:r>
      <w:r w:rsidR="00C05917" w:rsidRPr="00613F9A">
        <w:rPr>
          <w:rFonts w:ascii="Verdana" w:eastAsia="Verdana" w:hAnsi="Verdana"/>
          <w:bCs/>
          <w:sz w:val="20"/>
          <w:szCs w:val="20"/>
          <w:lang w:val="es-CR" w:eastAsia="x-none"/>
        </w:rPr>
        <w:t xml:space="preserve">interpretación literal, </w:t>
      </w:r>
      <w:r w:rsidR="007855FF" w:rsidRPr="00613F9A">
        <w:rPr>
          <w:rFonts w:ascii="Verdana" w:eastAsia="Times" w:hAnsi="Verdana" w:cs="Arial"/>
          <w:sz w:val="20"/>
          <w:szCs w:val="20"/>
          <w:lang w:val="es-MX"/>
        </w:rPr>
        <w:t>contexto interno–</w:t>
      </w:r>
      <w:r w:rsidR="00C05917" w:rsidRPr="00613F9A">
        <w:rPr>
          <w:rFonts w:ascii="Verdana" w:eastAsia="Times" w:hAnsi="Verdana" w:cs="Arial"/>
          <w:sz w:val="20"/>
          <w:szCs w:val="20"/>
          <w:lang w:val="es-MX"/>
        </w:rPr>
        <w:t xml:space="preserve">interpretación sistemática, </w:t>
      </w:r>
      <w:r w:rsidR="00C05917" w:rsidRPr="00613F9A">
        <w:rPr>
          <w:rFonts w:ascii="Verdana" w:eastAsia="Verdana" w:hAnsi="Verdana"/>
          <w:bCs/>
          <w:sz w:val="20"/>
          <w:szCs w:val="20"/>
          <w:lang w:val="es-CR" w:eastAsia="x-none"/>
        </w:rPr>
        <w:t xml:space="preserve">interpretación teleológica y </w:t>
      </w:r>
      <w:r w:rsidR="00C05917" w:rsidRPr="00613F9A">
        <w:rPr>
          <w:rFonts w:ascii="Verdana" w:eastAsia="Times" w:hAnsi="Verdana" w:cs="Arial"/>
          <w:sz w:val="20"/>
          <w:szCs w:val="20"/>
          <w:lang w:val="es-MX"/>
        </w:rPr>
        <w:t>métodos complementarios de interpretación</w:t>
      </w:r>
      <w:r w:rsidR="002D37DA" w:rsidRPr="00613F9A">
        <w:rPr>
          <w:rFonts w:ascii="Verdana" w:eastAsia="Times" w:hAnsi="Verdana" w:cs="Arial"/>
          <w:sz w:val="20"/>
          <w:szCs w:val="20"/>
          <w:lang w:val="es-MX"/>
        </w:rPr>
        <w:t>, orden que se seguirá para analizar a aquél</w:t>
      </w:r>
      <w:r w:rsidR="00C05917" w:rsidRPr="00613F9A">
        <w:rPr>
          <w:rFonts w:ascii="Verdana" w:eastAsia="Times" w:hAnsi="Verdana" w:cs="Arial"/>
          <w:sz w:val="20"/>
          <w:szCs w:val="20"/>
          <w:lang w:val="es-MX"/>
        </w:rPr>
        <w:t xml:space="preserve">. </w:t>
      </w:r>
    </w:p>
    <w:p w:rsidR="00C05917" w:rsidRPr="00613F9A" w:rsidRDefault="00C05917" w:rsidP="000978E9">
      <w:pPr>
        <w:tabs>
          <w:tab w:val="left" w:pos="567"/>
          <w:tab w:val="num" w:pos="12305"/>
        </w:tabs>
        <w:spacing w:after="0" w:line="276" w:lineRule="auto"/>
        <w:ind w:left="0"/>
        <w:rPr>
          <w:rFonts w:ascii="Verdana" w:eastAsia="Times" w:hAnsi="Verdana" w:cs="Arial"/>
          <w:b/>
          <w:sz w:val="20"/>
          <w:szCs w:val="20"/>
          <w:lang w:val="es-MX"/>
        </w:rPr>
      </w:pPr>
    </w:p>
    <w:p w:rsidR="00C05917" w:rsidRPr="00613F9A" w:rsidRDefault="00C05917" w:rsidP="00B24719">
      <w:pPr>
        <w:pStyle w:val="Prrafodelista"/>
        <w:numPr>
          <w:ilvl w:val="0"/>
          <w:numId w:val="15"/>
        </w:numPr>
        <w:tabs>
          <w:tab w:val="left" w:pos="567"/>
        </w:tabs>
        <w:spacing w:after="0"/>
        <w:jc w:val="both"/>
        <w:rPr>
          <w:rFonts w:ascii="Verdana" w:eastAsia="Times" w:hAnsi="Verdana" w:cs="Arial"/>
          <w:b/>
          <w:sz w:val="20"/>
          <w:szCs w:val="20"/>
          <w:lang w:val="es-CR"/>
        </w:rPr>
      </w:pPr>
      <w:r w:rsidRPr="00613F9A">
        <w:rPr>
          <w:rFonts w:ascii="Verdana" w:eastAsia="Times" w:hAnsi="Verdana" w:cs="Arial"/>
          <w:b/>
          <w:sz w:val="20"/>
          <w:szCs w:val="20"/>
          <w:lang w:val="es-CR"/>
        </w:rPr>
        <w:t>Interpretación literal.</w:t>
      </w:r>
    </w:p>
    <w:p w:rsidR="00C05917" w:rsidRPr="00613F9A" w:rsidRDefault="00C05917" w:rsidP="000978E9">
      <w:pPr>
        <w:tabs>
          <w:tab w:val="left" w:pos="567"/>
          <w:tab w:val="num" w:pos="12305"/>
        </w:tabs>
        <w:spacing w:after="0" w:line="276" w:lineRule="auto"/>
        <w:ind w:left="0"/>
        <w:rPr>
          <w:rFonts w:ascii="Verdana" w:eastAsia="Times" w:hAnsi="Verdana" w:cs="Arial"/>
          <w:sz w:val="20"/>
          <w:szCs w:val="20"/>
          <w:lang w:val="es-CR"/>
        </w:rPr>
      </w:pPr>
    </w:p>
    <w:p w:rsidR="002A4042" w:rsidRPr="00613F9A" w:rsidRDefault="00C05917" w:rsidP="00B24719">
      <w:pPr>
        <w:pStyle w:val="Prrafodelista"/>
        <w:numPr>
          <w:ilvl w:val="0"/>
          <w:numId w:val="2"/>
        </w:numPr>
        <w:spacing w:after="0"/>
        <w:ind w:left="0" w:firstLine="0"/>
        <w:jc w:val="both"/>
        <w:rPr>
          <w:rFonts w:ascii="Verdana" w:hAnsi="Verdana" w:cs="Verdana"/>
          <w:sz w:val="20"/>
          <w:szCs w:val="20"/>
        </w:rPr>
      </w:pPr>
      <w:r w:rsidRPr="00613F9A">
        <w:rPr>
          <w:rFonts w:ascii="Verdana" w:hAnsi="Verdana"/>
          <w:sz w:val="20"/>
          <w:szCs w:val="20"/>
          <w:lang w:val="es-ES"/>
        </w:rPr>
        <w:t>No obstante que el Fallo indica que aplica el método de interpretación literal o textual de interpretación de tratados, ello no parece en realidad acontecer</w:t>
      </w:r>
      <w:r w:rsidRPr="00613F9A">
        <w:rPr>
          <w:rFonts w:ascii="Verdana" w:hAnsi="Verdana" w:cs="Verdana"/>
          <w:sz w:val="20"/>
          <w:szCs w:val="20"/>
        </w:rPr>
        <w:t xml:space="preserve">. </w:t>
      </w:r>
    </w:p>
    <w:p w:rsidR="002A4042" w:rsidRPr="00613F9A" w:rsidRDefault="002A4042" w:rsidP="000978E9">
      <w:pPr>
        <w:pStyle w:val="Prrafodelista"/>
        <w:spacing w:after="0"/>
        <w:ind w:left="0"/>
        <w:jc w:val="both"/>
        <w:rPr>
          <w:rFonts w:ascii="Verdana" w:hAnsi="Verdana" w:cs="Verdana"/>
          <w:sz w:val="20"/>
          <w:szCs w:val="20"/>
        </w:rPr>
      </w:pPr>
    </w:p>
    <w:p w:rsidR="00AB1AAD" w:rsidRPr="00613F9A" w:rsidRDefault="0007249F" w:rsidP="00AB1AAD">
      <w:pPr>
        <w:pStyle w:val="Prrafodelista"/>
        <w:numPr>
          <w:ilvl w:val="0"/>
          <w:numId w:val="2"/>
        </w:numPr>
        <w:spacing w:after="0"/>
        <w:ind w:left="0" w:firstLine="0"/>
        <w:jc w:val="both"/>
        <w:rPr>
          <w:rFonts w:ascii="Verdana" w:hAnsi="Verdana" w:cs="Verdana"/>
          <w:sz w:val="20"/>
          <w:szCs w:val="20"/>
        </w:rPr>
      </w:pPr>
      <w:r w:rsidRPr="00613F9A">
        <w:rPr>
          <w:rFonts w:ascii="Verdana" w:hAnsi="Verdana"/>
          <w:sz w:val="20"/>
          <w:szCs w:val="20"/>
        </w:rPr>
        <w:t xml:space="preserve">Efectivamente, </w:t>
      </w:r>
      <w:r w:rsidR="002A4042" w:rsidRPr="00613F9A">
        <w:rPr>
          <w:rFonts w:ascii="Verdana" w:hAnsi="Verdana"/>
          <w:sz w:val="20"/>
          <w:szCs w:val="20"/>
        </w:rPr>
        <w:t xml:space="preserve">por una parte, </w:t>
      </w:r>
      <w:r w:rsidR="006328A6" w:rsidRPr="00613F9A">
        <w:rPr>
          <w:rFonts w:ascii="Verdana" w:hAnsi="Verdana"/>
          <w:sz w:val="20"/>
          <w:szCs w:val="20"/>
        </w:rPr>
        <w:t xml:space="preserve">la interpretación literal que invoca </w:t>
      </w:r>
      <w:r w:rsidR="002A4042" w:rsidRPr="00613F9A">
        <w:rPr>
          <w:rFonts w:ascii="Verdana" w:hAnsi="Verdana"/>
          <w:sz w:val="20"/>
          <w:szCs w:val="20"/>
        </w:rPr>
        <w:t>el Fallo</w:t>
      </w:r>
      <w:r w:rsidR="006328A6" w:rsidRPr="00613F9A">
        <w:rPr>
          <w:rStyle w:val="Refdenotaalpie"/>
          <w:rFonts w:ascii="Verdana" w:hAnsi="Verdana"/>
          <w:sz w:val="20"/>
          <w:szCs w:val="20"/>
        </w:rPr>
        <w:footnoteReference w:id="98"/>
      </w:r>
      <w:r w:rsidR="002E7B60" w:rsidRPr="00613F9A">
        <w:rPr>
          <w:rFonts w:ascii="Verdana" w:hAnsi="Verdana"/>
          <w:sz w:val="20"/>
          <w:szCs w:val="20"/>
        </w:rPr>
        <w:t xml:space="preserve"> se</w:t>
      </w:r>
      <w:r w:rsidR="006328A6" w:rsidRPr="00613F9A">
        <w:rPr>
          <w:rFonts w:ascii="Verdana" w:hAnsi="Verdana"/>
          <w:sz w:val="20"/>
          <w:szCs w:val="20"/>
        </w:rPr>
        <w:t xml:space="preserve"> </w:t>
      </w:r>
      <w:r w:rsidR="006328A6" w:rsidRPr="00613F9A">
        <w:rPr>
          <w:rFonts w:ascii="Verdana" w:hAnsi="Verdana" w:cs="Verdana"/>
          <w:sz w:val="20"/>
          <w:szCs w:val="20"/>
        </w:rPr>
        <w:t>confunde</w:t>
      </w:r>
      <w:r w:rsidR="006328A6" w:rsidRPr="00613F9A">
        <w:rPr>
          <w:rFonts w:ascii="Verdana" w:eastAsia="Times" w:hAnsi="Verdana" w:cs="Arial"/>
          <w:sz w:val="20"/>
          <w:szCs w:val="20"/>
          <w:lang w:val="es-MX"/>
        </w:rPr>
        <w:t xml:space="preserve"> </w:t>
      </w:r>
      <w:r w:rsidR="00DC7030" w:rsidRPr="00613F9A">
        <w:rPr>
          <w:rFonts w:ascii="Verdana" w:eastAsia="Times" w:hAnsi="Verdana" w:cs="Arial"/>
          <w:sz w:val="20"/>
          <w:szCs w:val="20"/>
          <w:lang w:val="es-MX"/>
        </w:rPr>
        <w:t xml:space="preserve">con el método </w:t>
      </w:r>
      <w:r w:rsidR="006D4530" w:rsidRPr="00613F9A">
        <w:rPr>
          <w:rFonts w:ascii="Verdana" w:hAnsi="Verdana"/>
          <w:sz w:val="20"/>
          <w:szCs w:val="20"/>
        </w:rPr>
        <w:t>teleológico</w:t>
      </w:r>
      <w:r w:rsidR="006D4530" w:rsidRPr="00613F9A">
        <w:rPr>
          <w:rFonts w:ascii="Verdana" w:eastAsia="Times" w:hAnsi="Verdana" w:cs="Arial"/>
          <w:sz w:val="20"/>
          <w:szCs w:val="20"/>
          <w:lang w:val="es-MX"/>
        </w:rPr>
        <w:t xml:space="preserve"> de interpretación</w:t>
      </w:r>
      <w:r w:rsidR="00DC7030" w:rsidRPr="00613F9A">
        <w:rPr>
          <w:rFonts w:ascii="Verdana" w:eastAsia="Times" w:hAnsi="Verdana" w:cs="Arial"/>
          <w:sz w:val="20"/>
          <w:szCs w:val="20"/>
          <w:lang w:val="es-MX"/>
        </w:rPr>
        <w:t xml:space="preserve"> o, al menos, ha</w:t>
      </w:r>
      <w:r w:rsidR="006328A6" w:rsidRPr="00613F9A">
        <w:rPr>
          <w:rFonts w:ascii="Verdana" w:eastAsia="Times" w:hAnsi="Verdana" w:cs="Arial"/>
          <w:sz w:val="20"/>
          <w:szCs w:val="20"/>
          <w:lang w:val="es-MX"/>
        </w:rPr>
        <w:t>ce prevalecer éste sobre aquél, en la medida que sostiene que</w:t>
      </w:r>
      <w:r w:rsidR="006460FE" w:rsidRPr="00613F9A">
        <w:rPr>
          <w:rFonts w:ascii="Verdana" w:hAnsi="Verdana"/>
          <w:sz w:val="20"/>
          <w:szCs w:val="20"/>
        </w:rPr>
        <w:t>“</w:t>
      </w:r>
      <w:r w:rsidR="006460FE" w:rsidRPr="00613F9A">
        <w:rPr>
          <w:rFonts w:ascii="Verdana" w:eastAsia="Times" w:hAnsi="Verdana" w:cs="Arial"/>
          <w:i/>
          <w:sz w:val="20"/>
          <w:szCs w:val="20"/>
          <w:lang w:val="es-MX"/>
        </w:rPr>
        <w:t xml:space="preserve">la Corte considera que el sentido corriente que ha de atribuirse a la norma prevista en el artículo 26 de la Convención es que los Estados se comprometieron </w:t>
      </w:r>
      <w:r w:rsidR="006460FE" w:rsidRPr="00613F9A">
        <w:rPr>
          <w:rFonts w:ascii="Verdana" w:hAnsi="Verdana" w:cs="Verdana"/>
          <w:i/>
          <w:sz w:val="20"/>
          <w:szCs w:val="20"/>
        </w:rPr>
        <w:t>“</w:t>
      </w:r>
      <w:r w:rsidR="006460FE" w:rsidRPr="00613F9A">
        <w:rPr>
          <w:rFonts w:ascii="Verdana" w:eastAsia="Times" w:hAnsi="Verdana" w:cs="Arial"/>
          <w:i/>
          <w:sz w:val="20"/>
          <w:szCs w:val="20"/>
          <w:lang w:val="es-MX"/>
        </w:rPr>
        <w:t xml:space="preserve">a hacer efectivos “derechos” que derivan de las normas económicas, sociales y sobre educación, ciencia y cultura contenidas en la Carta” de la OEA , por lo que “(e)l texto de la norma debe ser interpretado de forma tal que sus términos adquieran sentido y un significado específico, lo que” “implica entender que los Estados acordaron adoptar medidas con el objetivo de dar plena efectividad a los “derechos” </w:t>
      </w:r>
      <w:r w:rsidR="006460FE" w:rsidRPr="00613F9A">
        <w:rPr>
          <w:rFonts w:ascii="Verdana" w:eastAsia="Times" w:hAnsi="Verdana" w:cs="Arial"/>
          <w:i/>
          <w:sz w:val="20"/>
          <w:szCs w:val="20"/>
          <w:lang w:val="es-MX"/>
        </w:rPr>
        <w:lastRenderedPageBreak/>
        <w:t>reconocidos en la Carta de la OEA”</w:t>
      </w:r>
      <w:r w:rsidR="006460FE" w:rsidRPr="00613F9A">
        <w:rPr>
          <w:rFonts w:ascii="Verdana" w:eastAsia="Times" w:hAnsi="Verdana" w:cs="Arial"/>
          <w:i/>
          <w:sz w:val="20"/>
          <w:szCs w:val="20"/>
          <w:vertAlign w:val="superscript"/>
          <w:lang w:val="es-MX"/>
        </w:rPr>
        <w:footnoteReference w:id="99"/>
      </w:r>
      <w:r w:rsidR="006460FE" w:rsidRPr="00613F9A">
        <w:rPr>
          <w:rFonts w:ascii="Verdana" w:eastAsia="Times" w:hAnsi="Verdana" w:cs="Arial"/>
          <w:i/>
          <w:sz w:val="20"/>
          <w:szCs w:val="20"/>
          <w:lang w:val="es-MX"/>
        </w:rPr>
        <w:t>.</w:t>
      </w:r>
      <w:r w:rsidR="006328A6" w:rsidRPr="00613F9A">
        <w:rPr>
          <w:rFonts w:ascii="Verdana" w:eastAsia="Times" w:hAnsi="Verdana" w:cs="Arial"/>
          <w:sz w:val="20"/>
          <w:szCs w:val="20"/>
          <w:lang w:val="es-MX"/>
        </w:rPr>
        <w:t xml:space="preserve"> </w:t>
      </w:r>
      <w:r w:rsidR="002E7B60" w:rsidRPr="00613F9A">
        <w:rPr>
          <w:rFonts w:ascii="Verdana" w:eastAsia="Times" w:hAnsi="Verdana" w:cs="Arial"/>
          <w:sz w:val="20"/>
          <w:szCs w:val="20"/>
          <w:lang w:val="es-MX"/>
        </w:rPr>
        <w:t xml:space="preserve">Es decir, </w:t>
      </w:r>
      <w:r w:rsidR="006D4530" w:rsidRPr="00613F9A">
        <w:rPr>
          <w:rFonts w:ascii="Verdana" w:eastAsia="Times" w:hAnsi="Verdana" w:cs="Arial"/>
          <w:sz w:val="20"/>
          <w:szCs w:val="20"/>
          <w:lang w:val="es-MX"/>
        </w:rPr>
        <w:t>hace prevalecer lo que estima o podría considerarse que es el objeto y fin de la norma por sobre sus términos.</w:t>
      </w:r>
    </w:p>
    <w:p w:rsidR="00AB1AAD" w:rsidRPr="00613F9A" w:rsidRDefault="00AB1AAD" w:rsidP="00AB1AAD">
      <w:pPr>
        <w:pStyle w:val="Prrafodelista"/>
        <w:rPr>
          <w:rFonts w:ascii="Verdana" w:eastAsia="Times" w:hAnsi="Verdana" w:cs="Arial"/>
          <w:sz w:val="20"/>
          <w:szCs w:val="20"/>
          <w:lang w:val="es-MX"/>
        </w:rPr>
      </w:pPr>
    </w:p>
    <w:p w:rsidR="00C05917" w:rsidRPr="00613F9A" w:rsidRDefault="00AB1AAD" w:rsidP="00AB1AAD">
      <w:pPr>
        <w:pStyle w:val="Prrafodelista"/>
        <w:numPr>
          <w:ilvl w:val="0"/>
          <w:numId w:val="2"/>
        </w:numPr>
        <w:spacing w:after="0"/>
        <w:ind w:left="0" w:firstLine="0"/>
        <w:jc w:val="both"/>
        <w:rPr>
          <w:rFonts w:ascii="Verdana" w:hAnsi="Verdana" w:cs="Verdana"/>
          <w:sz w:val="20"/>
          <w:szCs w:val="20"/>
        </w:rPr>
      </w:pPr>
      <w:r w:rsidRPr="00613F9A">
        <w:rPr>
          <w:rFonts w:ascii="Verdana" w:eastAsia="Times" w:hAnsi="Verdana" w:cs="Arial"/>
          <w:sz w:val="20"/>
          <w:szCs w:val="20"/>
          <w:lang w:val="es-MX"/>
        </w:rPr>
        <w:t xml:space="preserve">En efecto, </w:t>
      </w:r>
      <w:r w:rsidRPr="00613F9A">
        <w:rPr>
          <w:rFonts w:ascii="Verdana" w:hAnsi="Verdana"/>
          <w:sz w:val="20"/>
          <w:szCs w:val="20"/>
          <w:lang w:val="es-ES"/>
        </w:rPr>
        <w:t>a lo que los Estados Partes de la Convención se comprometen en razón del artículo 26 en comento, es</w:t>
      </w:r>
      <w:r w:rsidRPr="00613F9A">
        <w:rPr>
          <w:rFonts w:ascii="Verdana" w:hAnsi="Verdana"/>
          <w:i/>
          <w:sz w:val="20"/>
          <w:szCs w:val="20"/>
          <w:lang w:val="es-ES"/>
        </w:rPr>
        <w:t xml:space="preserve"> “a adoptar providencias”</w:t>
      </w:r>
      <w:r w:rsidRPr="00613F9A">
        <w:rPr>
          <w:rFonts w:ascii="Verdana" w:hAnsi="Verdana"/>
          <w:sz w:val="20"/>
          <w:szCs w:val="20"/>
          <w:lang w:val="es-ES"/>
        </w:rPr>
        <w:t xml:space="preserve"> con el objetivo o fin de</w:t>
      </w:r>
      <w:r w:rsidRPr="00613F9A">
        <w:rPr>
          <w:rFonts w:ascii="Verdana" w:hAnsi="Verdana"/>
          <w:i/>
          <w:sz w:val="20"/>
          <w:szCs w:val="20"/>
          <w:lang w:val="es-ES"/>
        </w:rPr>
        <w:t xml:space="preserve"> “lograr progresivamente la plena efectividad de los derechos que se derivan” </w:t>
      </w:r>
      <w:r w:rsidRPr="00613F9A">
        <w:rPr>
          <w:rFonts w:ascii="Verdana" w:hAnsi="Verdana"/>
          <w:sz w:val="20"/>
          <w:szCs w:val="20"/>
          <w:lang w:val="es-ES"/>
        </w:rPr>
        <w:t>de la Carta de la OEA</w:t>
      </w:r>
      <w:r w:rsidRPr="00613F9A">
        <w:rPr>
          <w:rFonts w:ascii="Verdana" w:eastAsia="Times" w:hAnsi="Verdana" w:cs="Arial"/>
          <w:sz w:val="20"/>
          <w:szCs w:val="20"/>
          <w:lang w:val="es-MX"/>
        </w:rPr>
        <w:t>. No se obligan, por ende, a hacer efectivos tales derechos sino a adoptar las medidas para lograrlo.</w:t>
      </w:r>
      <w:r w:rsidRPr="00613F9A">
        <w:rPr>
          <w:rFonts w:ascii="Verdana" w:hAnsi="Verdana" w:cs="Verdana"/>
          <w:sz w:val="20"/>
          <w:szCs w:val="20"/>
        </w:rPr>
        <w:t xml:space="preserve"> </w:t>
      </w:r>
      <w:r w:rsidRPr="00613F9A">
        <w:rPr>
          <w:rFonts w:ascii="Verdana" w:eastAsia="Times" w:hAnsi="Verdana" w:cs="Arial"/>
          <w:sz w:val="20"/>
          <w:szCs w:val="20"/>
          <w:lang w:val="es-MX"/>
        </w:rPr>
        <w:t xml:space="preserve">Y así </w:t>
      </w:r>
      <w:r w:rsidR="006460FE" w:rsidRPr="00613F9A">
        <w:rPr>
          <w:rFonts w:ascii="Verdana" w:eastAsia="Times" w:hAnsi="Verdana" w:cs="Arial"/>
          <w:sz w:val="20"/>
          <w:szCs w:val="20"/>
          <w:lang w:val="es-MX"/>
        </w:rPr>
        <w:t xml:space="preserve">el Fallo </w:t>
      </w:r>
      <w:r w:rsidR="00DC7030" w:rsidRPr="00613F9A">
        <w:rPr>
          <w:rFonts w:ascii="Verdana" w:eastAsia="Times" w:hAnsi="Verdana" w:cs="Arial"/>
          <w:sz w:val="20"/>
          <w:szCs w:val="20"/>
          <w:lang w:val="es-MX"/>
        </w:rPr>
        <w:t>explícitamente</w:t>
      </w:r>
      <w:r w:rsidR="00A36A5F" w:rsidRPr="00613F9A">
        <w:rPr>
          <w:rFonts w:ascii="Verdana" w:eastAsia="Times" w:hAnsi="Verdana" w:cs="Arial"/>
          <w:sz w:val="20"/>
          <w:szCs w:val="20"/>
          <w:lang w:val="es-MX"/>
        </w:rPr>
        <w:t xml:space="preserve"> reconoce </w:t>
      </w:r>
      <w:r w:rsidR="00C05917" w:rsidRPr="00613F9A">
        <w:rPr>
          <w:rFonts w:ascii="Verdana" w:eastAsia="Times" w:hAnsi="Verdana" w:cs="Arial"/>
          <w:sz w:val="20"/>
          <w:szCs w:val="20"/>
          <w:lang w:val="es-MX"/>
        </w:rPr>
        <w:t xml:space="preserve">que los derechos a que se refiere el artículo 26, </w:t>
      </w:r>
      <w:r w:rsidR="00A36A5F" w:rsidRPr="00613F9A">
        <w:rPr>
          <w:rFonts w:ascii="Verdana" w:eastAsia="Times" w:hAnsi="Verdana" w:cs="Arial"/>
          <w:sz w:val="20"/>
          <w:szCs w:val="20"/>
          <w:lang w:val="es-MX"/>
        </w:rPr>
        <w:t xml:space="preserve">por un lado, </w:t>
      </w:r>
      <w:r w:rsidR="00C05917" w:rsidRPr="00613F9A">
        <w:rPr>
          <w:rFonts w:ascii="Verdana" w:eastAsia="Times" w:hAnsi="Verdana" w:cs="Arial"/>
          <w:sz w:val="20"/>
          <w:szCs w:val="20"/>
          <w:lang w:val="es-MX"/>
        </w:rPr>
        <w:t>no son en realidad “</w:t>
      </w:r>
      <w:r w:rsidR="00C05917" w:rsidRPr="00613F9A">
        <w:rPr>
          <w:rFonts w:ascii="Verdana" w:eastAsia="Times" w:hAnsi="Verdana" w:cs="Arial"/>
          <w:i/>
          <w:sz w:val="20"/>
          <w:szCs w:val="20"/>
          <w:lang w:val="es-MX"/>
        </w:rPr>
        <w:t>efectivos</w:t>
      </w:r>
      <w:r w:rsidR="00C05917" w:rsidRPr="00613F9A">
        <w:rPr>
          <w:rFonts w:ascii="Verdana" w:eastAsia="Times" w:hAnsi="Verdana" w:cs="Arial"/>
          <w:sz w:val="20"/>
          <w:szCs w:val="20"/>
          <w:lang w:val="es-MX"/>
        </w:rPr>
        <w:t xml:space="preserve">”, </w:t>
      </w:r>
      <w:r w:rsidR="006D4530" w:rsidRPr="00613F9A">
        <w:rPr>
          <w:rFonts w:ascii="Verdana" w:eastAsia="Times" w:hAnsi="Verdana" w:cs="Arial"/>
          <w:sz w:val="20"/>
          <w:szCs w:val="20"/>
          <w:lang w:val="es-MX"/>
        </w:rPr>
        <w:t>es decir, “</w:t>
      </w:r>
      <w:r w:rsidR="006D4530" w:rsidRPr="00613F9A">
        <w:rPr>
          <w:rFonts w:ascii="Verdana" w:eastAsia="Times" w:hAnsi="Verdana" w:cs="Arial"/>
          <w:i/>
          <w:sz w:val="20"/>
          <w:szCs w:val="20"/>
          <w:lang w:val="es-MX"/>
        </w:rPr>
        <w:t>reales o verdaderos</w:t>
      </w:r>
      <w:r w:rsidR="006D4530" w:rsidRPr="00613F9A">
        <w:rPr>
          <w:rFonts w:ascii="Verdana" w:eastAsia="Times" w:hAnsi="Verdana" w:cs="Arial"/>
          <w:sz w:val="20"/>
          <w:szCs w:val="20"/>
          <w:lang w:val="es-MX"/>
        </w:rPr>
        <w:t>”</w:t>
      </w:r>
      <w:r w:rsidR="006D4530" w:rsidRPr="00613F9A">
        <w:rPr>
          <w:rStyle w:val="Refdenotaalpie"/>
          <w:rFonts w:ascii="Verdana" w:eastAsia="Times" w:hAnsi="Verdana" w:cs="Arial"/>
          <w:sz w:val="20"/>
          <w:szCs w:val="20"/>
          <w:lang w:val="es-MX"/>
        </w:rPr>
        <w:footnoteReference w:id="100"/>
      </w:r>
      <w:r w:rsidR="006D4530" w:rsidRPr="00613F9A">
        <w:rPr>
          <w:rFonts w:ascii="Verdana" w:eastAsia="Times" w:hAnsi="Verdana" w:cs="Arial"/>
          <w:sz w:val="20"/>
          <w:szCs w:val="20"/>
          <w:lang w:val="es-MX"/>
        </w:rPr>
        <w:t xml:space="preserve">, </w:t>
      </w:r>
      <w:r w:rsidR="00C05917" w:rsidRPr="00613F9A">
        <w:rPr>
          <w:rFonts w:ascii="Verdana" w:eastAsia="Times" w:hAnsi="Verdana" w:cs="Arial"/>
          <w:sz w:val="20"/>
          <w:szCs w:val="20"/>
          <w:lang w:val="es-MX"/>
        </w:rPr>
        <w:t>razón por la cual “</w:t>
      </w:r>
      <w:r w:rsidR="00C05917" w:rsidRPr="00613F9A">
        <w:rPr>
          <w:rFonts w:ascii="Verdana" w:eastAsia="Times" w:hAnsi="Verdana" w:cs="Arial"/>
          <w:i/>
          <w:sz w:val="20"/>
          <w:szCs w:val="20"/>
          <w:lang w:val="es-MX"/>
        </w:rPr>
        <w:t>los Estados acordaron adoptar medidas con el objetivo de dar</w:t>
      </w:r>
      <w:r w:rsidR="00C05917" w:rsidRPr="00613F9A">
        <w:rPr>
          <w:rFonts w:ascii="Verdana" w:eastAsia="Times" w:hAnsi="Verdana" w:cs="Arial"/>
          <w:sz w:val="20"/>
          <w:szCs w:val="20"/>
          <w:lang w:val="es-MX"/>
        </w:rPr>
        <w:t>(es)</w:t>
      </w:r>
      <w:r w:rsidR="00C05917" w:rsidRPr="00613F9A">
        <w:rPr>
          <w:rFonts w:ascii="Verdana" w:eastAsia="Times" w:hAnsi="Verdana" w:cs="Arial"/>
          <w:i/>
          <w:sz w:val="20"/>
          <w:szCs w:val="20"/>
          <w:lang w:val="es-MX"/>
        </w:rPr>
        <w:t xml:space="preserve"> plena efectividad”</w:t>
      </w:r>
      <w:r w:rsidR="00C05917" w:rsidRPr="00613F9A">
        <w:rPr>
          <w:rFonts w:ascii="Verdana" w:eastAsia="Times" w:hAnsi="Verdana" w:cs="Arial"/>
          <w:sz w:val="20"/>
          <w:szCs w:val="20"/>
          <w:lang w:val="es-MX"/>
        </w:rPr>
        <w:t xml:space="preserve"> y por otro lado, que no son “</w:t>
      </w:r>
      <w:r w:rsidR="00C05917" w:rsidRPr="00613F9A">
        <w:rPr>
          <w:rFonts w:ascii="Verdana" w:eastAsia="Times" w:hAnsi="Verdana" w:cs="Arial"/>
          <w:i/>
          <w:sz w:val="20"/>
          <w:szCs w:val="20"/>
          <w:lang w:val="es-MX"/>
        </w:rPr>
        <w:t>reconocidos</w:t>
      </w:r>
      <w:r w:rsidR="0007249F" w:rsidRPr="00613F9A">
        <w:rPr>
          <w:rFonts w:ascii="Verdana" w:eastAsia="Times" w:hAnsi="Verdana" w:cs="Arial"/>
          <w:sz w:val="20"/>
          <w:szCs w:val="20"/>
          <w:lang w:val="es-MX"/>
        </w:rPr>
        <w:t>” por la Convención, sino “</w:t>
      </w:r>
      <w:r w:rsidR="0007249F" w:rsidRPr="00613F9A">
        <w:rPr>
          <w:rFonts w:ascii="Verdana" w:eastAsia="Times" w:hAnsi="Verdana" w:cs="Arial"/>
          <w:i/>
          <w:sz w:val="20"/>
          <w:szCs w:val="20"/>
          <w:lang w:val="es-MX"/>
        </w:rPr>
        <w:t xml:space="preserve">en </w:t>
      </w:r>
      <w:r w:rsidR="00C05917" w:rsidRPr="00613F9A">
        <w:rPr>
          <w:rFonts w:ascii="Verdana" w:eastAsia="Times" w:hAnsi="Verdana" w:cs="Arial"/>
          <w:i/>
          <w:sz w:val="20"/>
          <w:szCs w:val="20"/>
          <w:lang w:val="es-MX"/>
        </w:rPr>
        <w:t xml:space="preserve">la Carta” </w:t>
      </w:r>
      <w:r w:rsidR="00C05917" w:rsidRPr="00613F9A">
        <w:rPr>
          <w:rFonts w:ascii="Verdana" w:eastAsia="Times" w:hAnsi="Verdana" w:cs="Arial"/>
          <w:sz w:val="20"/>
          <w:szCs w:val="20"/>
          <w:lang w:val="es-MX"/>
        </w:rPr>
        <w:t>de la OEA</w:t>
      </w:r>
      <w:r w:rsidRPr="00613F9A">
        <w:rPr>
          <w:rFonts w:ascii="Verdana" w:eastAsia="Times" w:hAnsi="Verdana" w:cs="Arial"/>
          <w:sz w:val="20"/>
          <w:szCs w:val="20"/>
          <w:lang w:val="es-MX"/>
        </w:rPr>
        <w:t>, apartándose</w:t>
      </w:r>
      <w:r w:rsidR="006460FE" w:rsidRPr="00613F9A">
        <w:rPr>
          <w:rFonts w:ascii="Verdana" w:eastAsia="Times" w:hAnsi="Verdana" w:cs="Arial"/>
          <w:sz w:val="20"/>
          <w:szCs w:val="20"/>
          <w:lang w:val="es-MX"/>
        </w:rPr>
        <w:t xml:space="preserve"> del todo del tenor literal de dicha norma en cuanto desconoce lo </w:t>
      </w:r>
      <w:r w:rsidR="0068451B" w:rsidRPr="00613F9A">
        <w:rPr>
          <w:rFonts w:ascii="Verdana" w:eastAsia="Times" w:hAnsi="Verdana" w:cs="Arial"/>
          <w:sz w:val="20"/>
          <w:szCs w:val="20"/>
          <w:lang w:val="es-MX"/>
        </w:rPr>
        <w:t xml:space="preserve">que establece. </w:t>
      </w:r>
    </w:p>
    <w:p w:rsidR="0068451B" w:rsidRPr="00613F9A" w:rsidRDefault="0068451B" w:rsidP="000978E9">
      <w:pPr>
        <w:pStyle w:val="Prrafodelista"/>
        <w:rPr>
          <w:rFonts w:ascii="Verdana" w:hAnsi="Verdana" w:cs="Verdana"/>
          <w:sz w:val="20"/>
          <w:szCs w:val="20"/>
        </w:rPr>
      </w:pPr>
    </w:p>
    <w:p w:rsidR="0068451B" w:rsidRPr="00613F9A" w:rsidRDefault="0068451B" w:rsidP="00B24719">
      <w:pPr>
        <w:pStyle w:val="Prrafodelista"/>
        <w:numPr>
          <w:ilvl w:val="0"/>
          <w:numId w:val="2"/>
        </w:numPr>
        <w:spacing w:after="0"/>
        <w:ind w:left="0" w:firstLine="0"/>
        <w:jc w:val="both"/>
        <w:rPr>
          <w:rFonts w:ascii="Verdana" w:hAnsi="Verdana" w:cs="Verdana"/>
          <w:sz w:val="20"/>
          <w:szCs w:val="20"/>
        </w:rPr>
      </w:pPr>
      <w:r w:rsidRPr="00613F9A">
        <w:rPr>
          <w:rFonts w:ascii="Verdana" w:hAnsi="Verdana" w:cs="Verdana"/>
          <w:sz w:val="20"/>
          <w:szCs w:val="20"/>
        </w:rPr>
        <w:t xml:space="preserve">Por otra parte, es del caso recordar que el método de interpretación literal </w:t>
      </w:r>
      <w:r w:rsidR="00B1019A" w:rsidRPr="00613F9A">
        <w:rPr>
          <w:rFonts w:ascii="Verdana" w:hAnsi="Verdana" w:cs="Verdana"/>
          <w:sz w:val="20"/>
          <w:szCs w:val="20"/>
        </w:rPr>
        <w:t xml:space="preserve">no </w:t>
      </w:r>
      <w:r w:rsidR="005678E6" w:rsidRPr="00613F9A">
        <w:rPr>
          <w:rFonts w:ascii="Verdana" w:hAnsi="Verdana" w:cs="Verdana"/>
          <w:sz w:val="20"/>
          <w:szCs w:val="20"/>
        </w:rPr>
        <w:t>implica</w:t>
      </w:r>
      <w:r w:rsidR="00B1019A" w:rsidRPr="00613F9A">
        <w:rPr>
          <w:rFonts w:ascii="Verdana" w:hAnsi="Verdana" w:cs="Verdana"/>
          <w:sz w:val="20"/>
          <w:szCs w:val="20"/>
        </w:rPr>
        <w:t xml:space="preserve"> atribuir el sentido corriente a una </w:t>
      </w:r>
      <w:r w:rsidR="006D4530" w:rsidRPr="00613F9A">
        <w:rPr>
          <w:rFonts w:ascii="Verdana" w:hAnsi="Verdana" w:cs="Verdana"/>
          <w:sz w:val="20"/>
          <w:szCs w:val="20"/>
        </w:rPr>
        <w:t>“</w:t>
      </w:r>
      <w:r w:rsidR="00B1019A" w:rsidRPr="00613F9A">
        <w:rPr>
          <w:rFonts w:ascii="Verdana" w:hAnsi="Verdana" w:cs="Verdana"/>
          <w:i/>
          <w:sz w:val="20"/>
          <w:szCs w:val="20"/>
        </w:rPr>
        <w:t>norma</w:t>
      </w:r>
      <w:r w:rsidR="006D4530" w:rsidRPr="00613F9A">
        <w:rPr>
          <w:rFonts w:ascii="Verdana" w:hAnsi="Verdana" w:cs="Verdana"/>
          <w:sz w:val="20"/>
          <w:szCs w:val="20"/>
        </w:rPr>
        <w:t>”</w:t>
      </w:r>
      <w:r w:rsidR="00B1019A" w:rsidRPr="00613F9A">
        <w:rPr>
          <w:rFonts w:ascii="Verdana" w:hAnsi="Verdana" w:cs="Verdana"/>
          <w:sz w:val="20"/>
          <w:szCs w:val="20"/>
        </w:rPr>
        <w:t>, como lo hace el Fallo</w:t>
      </w:r>
      <w:r w:rsidR="005678E6" w:rsidRPr="00613F9A">
        <w:rPr>
          <w:rStyle w:val="Refdenotaalpie"/>
          <w:rFonts w:ascii="Verdana" w:hAnsi="Verdana" w:cs="Verdana"/>
          <w:sz w:val="20"/>
          <w:szCs w:val="20"/>
        </w:rPr>
        <w:footnoteReference w:id="101"/>
      </w:r>
      <w:r w:rsidR="00A36A5F" w:rsidRPr="00613F9A">
        <w:rPr>
          <w:rFonts w:ascii="Verdana" w:hAnsi="Verdana" w:cs="Verdana"/>
          <w:sz w:val="20"/>
          <w:szCs w:val="20"/>
        </w:rPr>
        <w:t xml:space="preserve">, sino a </w:t>
      </w:r>
      <w:r w:rsidR="006D4530" w:rsidRPr="00613F9A">
        <w:rPr>
          <w:rFonts w:ascii="Verdana" w:hAnsi="Verdana" w:cs="Verdana"/>
          <w:sz w:val="20"/>
          <w:szCs w:val="20"/>
        </w:rPr>
        <w:t>“</w:t>
      </w:r>
      <w:r w:rsidR="00B1019A" w:rsidRPr="00613F9A">
        <w:rPr>
          <w:rFonts w:ascii="Verdana" w:hAnsi="Verdana" w:cs="Verdana"/>
          <w:i/>
          <w:sz w:val="20"/>
          <w:szCs w:val="20"/>
        </w:rPr>
        <w:t>término</w:t>
      </w:r>
      <w:r w:rsidR="00A36A5F" w:rsidRPr="00613F9A">
        <w:rPr>
          <w:rFonts w:ascii="Verdana" w:hAnsi="Verdana" w:cs="Verdana"/>
          <w:i/>
          <w:sz w:val="20"/>
          <w:szCs w:val="20"/>
        </w:rPr>
        <w:t>s</w:t>
      </w:r>
      <w:r w:rsidR="006D4530" w:rsidRPr="00613F9A">
        <w:rPr>
          <w:rFonts w:ascii="Verdana" w:hAnsi="Verdana" w:cs="Verdana"/>
          <w:sz w:val="20"/>
          <w:szCs w:val="20"/>
        </w:rPr>
        <w:t>”</w:t>
      </w:r>
      <w:r w:rsidR="00A36A5F" w:rsidRPr="00613F9A">
        <w:rPr>
          <w:rStyle w:val="Refdenotaalpie"/>
          <w:rFonts w:ascii="Verdana" w:hAnsi="Verdana" w:cs="Verdana"/>
          <w:sz w:val="20"/>
          <w:szCs w:val="20"/>
        </w:rPr>
        <w:footnoteReference w:id="102"/>
      </w:r>
      <w:r w:rsidR="005678E6" w:rsidRPr="00613F9A">
        <w:rPr>
          <w:rFonts w:ascii="Verdana" w:hAnsi="Verdana" w:cs="Verdana"/>
          <w:sz w:val="20"/>
          <w:szCs w:val="20"/>
        </w:rPr>
        <w:t xml:space="preserve">, vale decir, a una </w:t>
      </w:r>
      <w:r w:rsidR="006D4530" w:rsidRPr="00613F9A">
        <w:rPr>
          <w:rFonts w:ascii="Verdana" w:hAnsi="Verdana" w:cs="Verdana"/>
          <w:sz w:val="20"/>
          <w:szCs w:val="20"/>
        </w:rPr>
        <w:t>“</w:t>
      </w:r>
      <w:r w:rsidR="005678E6" w:rsidRPr="00613F9A">
        <w:rPr>
          <w:rFonts w:ascii="Verdana" w:hAnsi="Verdana" w:cs="Verdana"/>
          <w:i/>
          <w:sz w:val="20"/>
          <w:szCs w:val="20"/>
        </w:rPr>
        <w:t>palabra</w:t>
      </w:r>
      <w:r w:rsidR="00A36A5F" w:rsidRPr="00613F9A">
        <w:rPr>
          <w:rFonts w:ascii="Verdana" w:hAnsi="Verdana" w:cs="Verdana"/>
          <w:sz w:val="20"/>
          <w:szCs w:val="20"/>
        </w:rPr>
        <w:t>(s)</w:t>
      </w:r>
      <w:r w:rsidR="006D4530" w:rsidRPr="00613F9A">
        <w:rPr>
          <w:rFonts w:ascii="Verdana" w:hAnsi="Verdana" w:cs="Verdana"/>
          <w:sz w:val="20"/>
          <w:szCs w:val="20"/>
        </w:rPr>
        <w:t>”</w:t>
      </w:r>
      <w:r w:rsidR="005678E6" w:rsidRPr="00613F9A">
        <w:rPr>
          <w:rStyle w:val="Refdenotaalpie"/>
          <w:rFonts w:ascii="Verdana" w:hAnsi="Verdana" w:cs="Verdana"/>
          <w:sz w:val="20"/>
          <w:szCs w:val="20"/>
        </w:rPr>
        <w:footnoteReference w:id="103"/>
      </w:r>
      <w:r w:rsidR="005678E6" w:rsidRPr="00613F9A">
        <w:rPr>
          <w:rFonts w:ascii="Verdana" w:hAnsi="Verdana" w:cs="Verdana"/>
          <w:sz w:val="20"/>
          <w:szCs w:val="20"/>
        </w:rPr>
        <w:t>, lo que se confirma al tener presente lo dispuesto en la Convención de Viena en orden a que “</w:t>
      </w:r>
      <w:r w:rsidR="005678E6" w:rsidRPr="00613F9A">
        <w:rPr>
          <w:rFonts w:ascii="Verdana" w:hAnsi="Verdana"/>
          <w:i/>
          <w:sz w:val="20"/>
          <w:szCs w:val="20"/>
          <w:lang w:val="es-ES"/>
        </w:rPr>
        <w:t>(s)e dará a un término un sentido especial si consta que tal fue la intención de las partes”</w:t>
      </w:r>
      <w:r w:rsidRPr="00613F9A">
        <w:rPr>
          <w:rFonts w:ascii="Verdana" w:hAnsi="Verdana" w:cs="Verdana"/>
          <w:sz w:val="20"/>
          <w:szCs w:val="20"/>
        </w:rPr>
        <w:t xml:space="preserve"> </w:t>
      </w:r>
      <w:r w:rsidR="006D4530" w:rsidRPr="00613F9A">
        <w:rPr>
          <w:rStyle w:val="Refdenotaalpie"/>
          <w:rFonts w:ascii="Verdana" w:hAnsi="Verdana" w:cs="Verdana"/>
          <w:sz w:val="20"/>
          <w:szCs w:val="20"/>
        </w:rPr>
        <w:footnoteReference w:id="104"/>
      </w:r>
      <w:r w:rsidR="00AB1AAD" w:rsidRPr="00613F9A">
        <w:rPr>
          <w:rFonts w:ascii="Verdana" w:hAnsi="Verdana" w:cs="Verdana"/>
          <w:sz w:val="20"/>
          <w:szCs w:val="20"/>
        </w:rPr>
        <w:t>.</w:t>
      </w:r>
    </w:p>
    <w:p w:rsidR="00C05917" w:rsidRPr="00613F9A" w:rsidRDefault="00C05917" w:rsidP="000978E9">
      <w:pPr>
        <w:spacing w:after="0" w:line="276" w:lineRule="auto"/>
        <w:ind w:left="0"/>
        <w:rPr>
          <w:rFonts w:ascii="Verdana" w:eastAsia="Times" w:hAnsi="Verdana" w:cs="Arial"/>
          <w:sz w:val="20"/>
          <w:szCs w:val="20"/>
          <w:lang w:val="es-MX"/>
        </w:rPr>
      </w:pPr>
    </w:p>
    <w:p w:rsidR="00C05917" w:rsidRPr="00613F9A" w:rsidRDefault="00C05917" w:rsidP="00B24719">
      <w:pPr>
        <w:pStyle w:val="Prrafodelista"/>
        <w:numPr>
          <w:ilvl w:val="0"/>
          <w:numId w:val="2"/>
        </w:numPr>
        <w:ind w:left="0" w:firstLine="0"/>
        <w:jc w:val="both"/>
        <w:rPr>
          <w:rFonts w:ascii="Verdana" w:hAnsi="Verdana"/>
          <w:sz w:val="20"/>
          <w:szCs w:val="20"/>
          <w:lang w:val="es-ES"/>
        </w:rPr>
      </w:pPr>
      <w:r w:rsidRPr="00613F9A">
        <w:rPr>
          <w:rFonts w:ascii="Verdana" w:eastAsia="Times" w:hAnsi="Verdana" w:cs="Arial"/>
          <w:sz w:val="20"/>
          <w:szCs w:val="20"/>
          <w:lang w:val="es-MX"/>
        </w:rPr>
        <w:t>A todo lo afirmado, habría que agregar que el Fallo no pondera la circunstan</w:t>
      </w:r>
      <w:r w:rsidR="00C3063B" w:rsidRPr="00613F9A">
        <w:rPr>
          <w:rFonts w:ascii="Verdana" w:eastAsia="Times" w:hAnsi="Verdana" w:cs="Arial"/>
          <w:sz w:val="20"/>
          <w:szCs w:val="20"/>
          <w:lang w:val="es-MX"/>
        </w:rPr>
        <w:t>c</w:t>
      </w:r>
      <w:r w:rsidR="006D4530" w:rsidRPr="00613F9A">
        <w:rPr>
          <w:rFonts w:ascii="Verdana" w:eastAsia="Times" w:hAnsi="Verdana" w:cs="Arial"/>
          <w:sz w:val="20"/>
          <w:szCs w:val="20"/>
          <w:lang w:val="es-MX"/>
        </w:rPr>
        <w:t xml:space="preserve">ia de que la Convención </w:t>
      </w:r>
      <w:r w:rsidRPr="00613F9A">
        <w:rPr>
          <w:rFonts w:ascii="Verdana" w:eastAsia="Times" w:hAnsi="Verdana" w:cs="Arial"/>
          <w:sz w:val="20"/>
          <w:szCs w:val="20"/>
          <w:lang w:val="es-MX"/>
        </w:rPr>
        <w:t>utiliza</w:t>
      </w:r>
      <w:r w:rsidR="00A36A5F" w:rsidRPr="00613F9A">
        <w:rPr>
          <w:rFonts w:ascii="Verdana" w:eastAsia="Times" w:hAnsi="Verdana" w:cs="Arial"/>
          <w:sz w:val="20"/>
          <w:szCs w:val="20"/>
          <w:lang w:val="es-MX"/>
        </w:rPr>
        <w:t>, como ya se expresó</w:t>
      </w:r>
      <w:r w:rsidR="00A36A5F" w:rsidRPr="00613F9A">
        <w:rPr>
          <w:rStyle w:val="Refdenotaalpie"/>
          <w:rFonts w:ascii="Verdana" w:eastAsia="Times" w:hAnsi="Verdana" w:cs="Arial"/>
          <w:sz w:val="20"/>
          <w:szCs w:val="20"/>
          <w:lang w:val="es-MX"/>
        </w:rPr>
        <w:footnoteReference w:id="105"/>
      </w:r>
      <w:r w:rsidRPr="00613F9A">
        <w:rPr>
          <w:rFonts w:ascii="Verdana" w:eastAsia="Times" w:hAnsi="Verdana" w:cs="Arial"/>
          <w:sz w:val="20"/>
          <w:szCs w:val="20"/>
          <w:lang w:val="es-MX"/>
        </w:rPr>
        <w:t xml:space="preserve"> los términos </w:t>
      </w:r>
      <w:r w:rsidR="007E461D" w:rsidRPr="00613F9A">
        <w:rPr>
          <w:rFonts w:ascii="Verdana" w:eastAsia="Times" w:hAnsi="Verdana" w:cs="Arial"/>
          <w:sz w:val="20"/>
          <w:szCs w:val="20"/>
          <w:lang w:val="es-MX"/>
        </w:rPr>
        <w:t>“</w:t>
      </w:r>
      <w:r w:rsidR="007E461D" w:rsidRPr="00613F9A">
        <w:rPr>
          <w:rFonts w:ascii="Verdana" w:eastAsia="Times" w:hAnsi="Verdana" w:cs="Arial"/>
          <w:i/>
          <w:sz w:val="20"/>
          <w:szCs w:val="20"/>
          <w:lang w:val="es-MX"/>
        </w:rPr>
        <w:t>reconocidos</w:t>
      </w:r>
      <w:r w:rsidR="007E461D" w:rsidRPr="00613F9A">
        <w:rPr>
          <w:rFonts w:ascii="Verdana" w:eastAsia="Times" w:hAnsi="Verdana" w:cs="Arial"/>
          <w:sz w:val="20"/>
          <w:szCs w:val="20"/>
          <w:lang w:val="es-MX"/>
        </w:rPr>
        <w:t>”, “</w:t>
      </w:r>
      <w:r w:rsidR="007E461D" w:rsidRPr="00613F9A">
        <w:rPr>
          <w:rFonts w:ascii="Verdana" w:hAnsi="Verdana"/>
          <w:i/>
          <w:sz w:val="20"/>
          <w:szCs w:val="20"/>
          <w:lang w:val="es-ES"/>
        </w:rPr>
        <w:t>derechos establecidos</w:t>
      </w:r>
      <w:r w:rsidR="007E461D" w:rsidRPr="00613F9A">
        <w:rPr>
          <w:rFonts w:ascii="Verdana" w:hAnsi="Verdana"/>
          <w:sz w:val="20"/>
          <w:szCs w:val="20"/>
          <w:lang w:val="es-ES"/>
        </w:rPr>
        <w:t>”, “</w:t>
      </w:r>
      <w:r w:rsidR="007E461D" w:rsidRPr="00613F9A">
        <w:rPr>
          <w:rFonts w:ascii="Verdana" w:hAnsi="Verdana"/>
          <w:i/>
          <w:sz w:val="20"/>
          <w:szCs w:val="20"/>
          <w:lang w:val="es-ES"/>
        </w:rPr>
        <w:t>garantizados</w:t>
      </w:r>
      <w:r w:rsidR="007E461D" w:rsidRPr="00613F9A">
        <w:rPr>
          <w:rFonts w:ascii="Verdana" w:hAnsi="Verdana"/>
          <w:sz w:val="20"/>
          <w:szCs w:val="20"/>
          <w:lang w:val="es-ES"/>
        </w:rPr>
        <w:t>, “</w:t>
      </w:r>
      <w:r w:rsidR="007E461D" w:rsidRPr="00613F9A">
        <w:rPr>
          <w:rFonts w:ascii="Verdana" w:hAnsi="Verdana"/>
          <w:i/>
          <w:sz w:val="20"/>
          <w:szCs w:val="20"/>
          <w:lang w:val="es-ES"/>
        </w:rPr>
        <w:t>consagrados</w:t>
      </w:r>
      <w:r w:rsidR="007E461D" w:rsidRPr="00613F9A">
        <w:rPr>
          <w:rFonts w:ascii="Verdana" w:hAnsi="Verdana"/>
          <w:sz w:val="20"/>
          <w:szCs w:val="20"/>
          <w:lang w:val="es-ES"/>
        </w:rPr>
        <w:t>” o “</w:t>
      </w:r>
      <w:r w:rsidR="007E461D" w:rsidRPr="00613F9A">
        <w:rPr>
          <w:rFonts w:ascii="Verdana" w:hAnsi="Verdana"/>
          <w:i/>
          <w:sz w:val="20"/>
          <w:szCs w:val="20"/>
          <w:lang w:val="es-ES"/>
        </w:rPr>
        <w:t>protegidos</w:t>
      </w:r>
      <w:r w:rsidR="007E461D" w:rsidRPr="00613F9A">
        <w:rPr>
          <w:rFonts w:ascii="Verdana" w:hAnsi="Verdana"/>
          <w:sz w:val="20"/>
          <w:szCs w:val="20"/>
          <w:lang w:val="es-ES"/>
        </w:rPr>
        <w:t xml:space="preserve">” </w:t>
      </w:r>
      <w:r w:rsidR="006D4530" w:rsidRPr="00613F9A">
        <w:rPr>
          <w:rFonts w:ascii="Verdana" w:hAnsi="Verdana"/>
          <w:sz w:val="20"/>
          <w:szCs w:val="20"/>
          <w:lang w:val="es-ES"/>
        </w:rPr>
        <w:t xml:space="preserve">por o en la Convención y que también </w:t>
      </w:r>
      <w:r w:rsidRPr="00613F9A">
        <w:rPr>
          <w:rFonts w:ascii="Verdana" w:hAnsi="Verdana"/>
          <w:sz w:val="20"/>
          <w:szCs w:val="20"/>
          <w:lang w:val="es-ES"/>
        </w:rPr>
        <w:t>alude a otros derechos, a saber, los “</w:t>
      </w:r>
      <w:r w:rsidRPr="00613F9A">
        <w:rPr>
          <w:rFonts w:ascii="Verdana" w:hAnsi="Verdana"/>
          <w:i/>
          <w:sz w:val="20"/>
          <w:szCs w:val="20"/>
          <w:lang w:val="es-ES"/>
        </w:rPr>
        <w:t>derechos económicos, sociales y culturales</w:t>
      </w:r>
      <w:r w:rsidRPr="00613F9A">
        <w:rPr>
          <w:rFonts w:ascii="Verdana" w:hAnsi="Verdana"/>
          <w:sz w:val="20"/>
          <w:szCs w:val="20"/>
          <w:lang w:val="es-ES"/>
        </w:rPr>
        <w:t>”; los que “</w:t>
      </w:r>
      <w:r w:rsidRPr="00613F9A">
        <w:rPr>
          <w:rFonts w:ascii="Verdana" w:hAnsi="Verdana"/>
          <w:i/>
          <w:sz w:val="20"/>
          <w:szCs w:val="20"/>
          <w:lang w:val="es-ES"/>
        </w:rPr>
        <w:t>derivan</w:t>
      </w:r>
      <w:r w:rsidRPr="00613F9A">
        <w:rPr>
          <w:rFonts w:ascii="Verdana" w:hAnsi="Verdana"/>
          <w:sz w:val="20"/>
          <w:szCs w:val="20"/>
          <w:lang w:val="es-ES"/>
        </w:rPr>
        <w:t>”</w:t>
      </w:r>
      <w:r w:rsidR="00A36A5F" w:rsidRPr="00613F9A">
        <w:rPr>
          <w:rFonts w:ascii="Verdana" w:hAnsi="Verdana"/>
          <w:sz w:val="20"/>
          <w:szCs w:val="20"/>
          <w:lang w:val="es-ES"/>
        </w:rPr>
        <w:t xml:space="preserve"> de normas de la Carta de la OEA</w:t>
      </w:r>
      <w:r w:rsidRPr="00613F9A">
        <w:rPr>
          <w:rFonts w:ascii="Verdana" w:hAnsi="Verdana"/>
          <w:sz w:val="20"/>
          <w:szCs w:val="20"/>
          <w:lang w:val="es-ES"/>
        </w:rPr>
        <w:t>; los “</w:t>
      </w:r>
      <w:r w:rsidRPr="00613F9A">
        <w:rPr>
          <w:rFonts w:ascii="Verdana" w:hAnsi="Verdana"/>
          <w:i/>
          <w:sz w:val="20"/>
          <w:szCs w:val="20"/>
          <w:lang w:val="es-ES"/>
        </w:rPr>
        <w:t>reconocidos</w:t>
      </w:r>
      <w:r w:rsidRPr="00613F9A">
        <w:rPr>
          <w:rFonts w:ascii="Verdana" w:hAnsi="Verdana"/>
          <w:sz w:val="20"/>
          <w:szCs w:val="20"/>
          <w:lang w:val="es-ES"/>
        </w:rPr>
        <w:t>” por leyes de los Estados u otras convenciones y a los “</w:t>
      </w:r>
      <w:r w:rsidRPr="00613F9A">
        <w:rPr>
          <w:rFonts w:ascii="Verdana" w:hAnsi="Verdana"/>
          <w:i/>
          <w:sz w:val="20"/>
          <w:szCs w:val="20"/>
          <w:lang w:val="es-ES"/>
        </w:rPr>
        <w:t>inherentes al ser humano o que se derivan de la forma democrática representativa de gobierno</w:t>
      </w:r>
      <w:r w:rsidRPr="00613F9A">
        <w:rPr>
          <w:rFonts w:ascii="Verdana" w:hAnsi="Verdana"/>
          <w:sz w:val="20"/>
          <w:szCs w:val="20"/>
          <w:lang w:val="es-ES"/>
        </w:rPr>
        <w:t>”</w:t>
      </w:r>
      <w:r w:rsidR="00AB1AAD" w:rsidRPr="00613F9A">
        <w:rPr>
          <w:rStyle w:val="Refdenotaalpie"/>
          <w:rFonts w:ascii="Verdana" w:hAnsi="Verdana"/>
          <w:sz w:val="20"/>
          <w:szCs w:val="20"/>
          <w:lang w:val="es-ES"/>
        </w:rPr>
        <w:footnoteReference w:id="106"/>
      </w:r>
      <w:r w:rsidRPr="00613F9A">
        <w:rPr>
          <w:rFonts w:ascii="Verdana" w:hAnsi="Verdana"/>
          <w:sz w:val="20"/>
          <w:szCs w:val="20"/>
          <w:lang w:val="es-ES"/>
        </w:rPr>
        <w:t>.</w:t>
      </w:r>
      <w:r w:rsidR="008A4349" w:rsidRPr="00613F9A">
        <w:rPr>
          <w:rFonts w:ascii="Verdana" w:hAnsi="Verdana"/>
          <w:sz w:val="20"/>
          <w:szCs w:val="20"/>
          <w:lang w:val="es-ES"/>
        </w:rPr>
        <w:t xml:space="preserve"> </w:t>
      </w:r>
    </w:p>
    <w:p w:rsidR="00320645" w:rsidRPr="00613F9A" w:rsidRDefault="00320645" w:rsidP="000978E9">
      <w:pPr>
        <w:pStyle w:val="Prrafodelista"/>
        <w:ind w:left="0"/>
        <w:jc w:val="both"/>
        <w:rPr>
          <w:rFonts w:ascii="Verdana" w:hAnsi="Verdana"/>
          <w:sz w:val="20"/>
          <w:szCs w:val="20"/>
          <w:lang w:val="es-ES"/>
        </w:rPr>
      </w:pPr>
    </w:p>
    <w:p w:rsidR="00C05917" w:rsidRPr="00613F9A" w:rsidRDefault="00C3063B" w:rsidP="00B24719">
      <w:pPr>
        <w:pStyle w:val="Prrafodelista"/>
        <w:numPr>
          <w:ilvl w:val="0"/>
          <w:numId w:val="2"/>
        </w:numPr>
        <w:ind w:left="0" w:firstLine="0"/>
        <w:jc w:val="both"/>
        <w:rPr>
          <w:rFonts w:ascii="Verdana" w:hAnsi="Verdana"/>
          <w:sz w:val="20"/>
          <w:szCs w:val="20"/>
          <w:lang w:val="es-ES"/>
        </w:rPr>
      </w:pPr>
      <w:r w:rsidRPr="00613F9A">
        <w:rPr>
          <w:rFonts w:ascii="Verdana" w:hAnsi="Verdana"/>
          <w:sz w:val="20"/>
          <w:szCs w:val="20"/>
          <w:lang w:val="es-ES"/>
        </w:rPr>
        <w:t>En otras palabras,</w:t>
      </w:r>
      <w:r w:rsidR="00C05917" w:rsidRPr="00613F9A">
        <w:rPr>
          <w:rFonts w:ascii="Verdana" w:hAnsi="Verdana"/>
          <w:sz w:val="20"/>
          <w:szCs w:val="20"/>
          <w:lang w:val="es-ES"/>
        </w:rPr>
        <w:t xml:space="preserve"> es del caso llamar la atención acerca de que el Fallo no sólo no considera todos los términos transcritos en</w:t>
      </w:r>
      <w:r w:rsidR="00C05917" w:rsidRPr="00613F9A">
        <w:rPr>
          <w:rFonts w:ascii="Verdana" w:hAnsi="Verdana"/>
          <w:i/>
          <w:sz w:val="20"/>
          <w:szCs w:val="20"/>
          <w:lang w:val="es-ES"/>
        </w:rPr>
        <w:t xml:space="preserve"> el “sentido corriente que haya de atribuirse</w:t>
      </w:r>
      <w:r w:rsidR="00C05917" w:rsidRPr="00613F9A">
        <w:rPr>
          <w:rFonts w:ascii="Verdana" w:hAnsi="Verdana"/>
          <w:sz w:val="20"/>
          <w:szCs w:val="20"/>
          <w:lang w:val="es-ES"/>
        </w:rPr>
        <w:t>(les)</w:t>
      </w:r>
      <w:r w:rsidR="00C05917" w:rsidRPr="00613F9A">
        <w:rPr>
          <w:rFonts w:ascii="Verdana" w:hAnsi="Verdana"/>
          <w:i/>
          <w:sz w:val="20"/>
          <w:szCs w:val="20"/>
          <w:lang w:val="es-ES"/>
        </w:rPr>
        <w:t>”</w:t>
      </w:r>
      <w:r w:rsidR="00C05917" w:rsidRPr="00613F9A">
        <w:rPr>
          <w:rFonts w:ascii="Verdana" w:hAnsi="Verdana"/>
          <w:sz w:val="20"/>
          <w:szCs w:val="20"/>
          <w:lang w:val="es-ES"/>
        </w:rPr>
        <w:t xml:space="preserve">, sino más bien omite referirse a ellos, esto es, falla como si no fuesen utilizados por la Convención. </w:t>
      </w:r>
    </w:p>
    <w:p w:rsidR="00320645" w:rsidRPr="00613F9A" w:rsidRDefault="00320645" w:rsidP="000978E9">
      <w:pPr>
        <w:pStyle w:val="Prrafodelista"/>
        <w:spacing w:after="0"/>
        <w:ind w:left="0"/>
        <w:jc w:val="both"/>
        <w:rPr>
          <w:rFonts w:ascii="Verdana" w:hAnsi="Verdana"/>
          <w:sz w:val="20"/>
          <w:szCs w:val="20"/>
        </w:rPr>
      </w:pPr>
    </w:p>
    <w:p w:rsidR="00C05917" w:rsidRPr="00613F9A" w:rsidRDefault="00C05917" w:rsidP="00B24719">
      <w:pPr>
        <w:pStyle w:val="Prrafodelista"/>
        <w:numPr>
          <w:ilvl w:val="0"/>
          <w:numId w:val="2"/>
        </w:numPr>
        <w:spacing w:after="0"/>
        <w:ind w:left="0" w:firstLine="0"/>
        <w:jc w:val="both"/>
        <w:rPr>
          <w:rFonts w:ascii="Verdana" w:hAnsi="Verdana"/>
          <w:sz w:val="20"/>
          <w:szCs w:val="20"/>
        </w:rPr>
      </w:pPr>
      <w:r w:rsidRPr="00613F9A">
        <w:rPr>
          <w:rFonts w:ascii="Verdana" w:hAnsi="Verdana"/>
          <w:sz w:val="20"/>
          <w:szCs w:val="20"/>
          <w:lang w:val="es-ES"/>
        </w:rPr>
        <w:t xml:space="preserve">En mérito de lo expuesto, se puede sostener, por lo tanto, que el Fallo, no sigue, sobre este particular y a pesar que manifieste lo contrario, el método literal o textual ni, por tanto, la regla de interpretación de tratados concerniente a los términos de ellos, sino que, </w:t>
      </w:r>
      <w:r w:rsidRPr="00613F9A">
        <w:rPr>
          <w:rFonts w:ascii="Verdana" w:eastAsia="Times" w:hAnsi="Verdana" w:cs="Arial"/>
          <w:sz w:val="20"/>
          <w:szCs w:val="20"/>
          <w:lang w:val="es-MX"/>
        </w:rPr>
        <w:t xml:space="preserve">en definitiva, privilegia </w:t>
      </w:r>
      <w:r w:rsidRPr="00613F9A">
        <w:rPr>
          <w:rFonts w:ascii="Verdana" w:hAnsi="Verdana"/>
          <w:sz w:val="20"/>
          <w:szCs w:val="20"/>
        </w:rPr>
        <w:t>el método funcional o teleológico por sobre el método literal o textual, ambos de interpretación de tratados y, por cierto, ello la conduce a interpretar erróneamente el artículo 26 de la Convención.</w:t>
      </w:r>
    </w:p>
    <w:p w:rsidR="00C05917" w:rsidRPr="00613F9A" w:rsidRDefault="00C05917" w:rsidP="000978E9">
      <w:pPr>
        <w:spacing w:after="0" w:line="276" w:lineRule="auto"/>
        <w:ind w:left="0"/>
        <w:rPr>
          <w:rFonts w:ascii="Verdana" w:hAnsi="Verdana"/>
          <w:sz w:val="20"/>
          <w:szCs w:val="20"/>
        </w:rPr>
      </w:pPr>
    </w:p>
    <w:p w:rsidR="00C05917" w:rsidRPr="00613F9A" w:rsidRDefault="00C05917" w:rsidP="00B24719">
      <w:pPr>
        <w:pStyle w:val="Prrafodelista"/>
        <w:numPr>
          <w:ilvl w:val="0"/>
          <w:numId w:val="15"/>
        </w:numPr>
        <w:spacing w:after="0"/>
        <w:jc w:val="both"/>
        <w:rPr>
          <w:rFonts w:ascii="Verdana" w:hAnsi="Verdana"/>
          <w:b/>
          <w:sz w:val="20"/>
          <w:szCs w:val="20"/>
        </w:rPr>
      </w:pPr>
      <w:r w:rsidRPr="00613F9A">
        <w:rPr>
          <w:rFonts w:ascii="Verdana" w:eastAsia="Times" w:hAnsi="Verdana" w:cs="Arial"/>
          <w:b/>
          <w:sz w:val="20"/>
          <w:szCs w:val="20"/>
          <w:lang w:val="es-MX"/>
        </w:rPr>
        <w:t>Contexto interno – interpretación sistemática.</w:t>
      </w:r>
    </w:p>
    <w:p w:rsidR="00C05917" w:rsidRPr="00613F9A" w:rsidRDefault="00C05917" w:rsidP="000978E9">
      <w:pPr>
        <w:spacing w:after="0" w:line="276" w:lineRule="auto"/>
        <w:ind w:left="0"/>
        <w:rPr>
          <w:rFonts w:ascii="Verdana" w:hAnsi="Verdana"/>
          <w:sz w:val="20"/>
          <w:szCs w:val="20"/>
          <w:lang w:val="es-ES"/>
        </w:rPr>
      </w:pPr>
    </w:p>
    <w:p w:rsidR="00C05917" w:rsidRPr="00613F9A" w:rsidRDefault="00C05917" w:rsidP="006F2613">
      <w:pPr>
        <w:pStyle w:val="Prrafodelista"/>
        <w:numPr>
          <w:ilvl w:val="0"/>
          <w:numId w:val="2"/>
        </w:numPr>
        <w:spacing w:after="0"/>
        <w:ind w:left="0" w:firstLine="0"/>
        <w:jc w:val="both"/>
        <w:rPr>
          <w:rFonts w:ascii="Verdana" w:hAnsi="Verdana" w:cs="Verdana"/>
          <w:sz w:val="20"/>
          <w:szCs w:val="20"/>
        </w:rPr>
      </w:pPr>
      <w:r w:rsidRPr="00613F9A">
        <w:rPr>
          <w:rFonts w:ascii="Verdana" w:hAnsi="Verdana"/>
          <w:sz w:val="20"/>
          <w:szCs w:val="20"/>
          <w:lang w:val="es-ES"/>
        </w:rPr>
        <w:t xml:space="preserve">En lo concerniente a lo que el Fallo </w:t>
      </w:r>
      <w:r w:rsidRPr="00613F9A">
        <w:rPr>
          <w:rFonts w:ascii="Verdana" w:hAnsi="Verdana" w:cs="Verdana"/>
          <w:sz w:val="20"/>
          <w:szCs w:val="20"/>
        </w:rPr>
        <w:t>denomina “</w:t>
      </w:r>
      <w:r w:rsidRPr="00613F9A">
        <w:rPr>
          <w:rFonts w:ascii="Verdana" w:hAnsi="Verdana" w:cs="Verdana"/>
          <w:i/>
          <w:sz w:val="20"/>
          <w:szCs w:val="20"/>
        </w:rPr>
        <w:t>Contexto interno-interpretación sistémica</w:t>
      </w:r>
      <w:r w:rsidRPr="00613F9A">
        <w:rPr>
          <w:rFonts w:ascii="Verdana" w:hAnsi="Verdana" w:cs="Verdana"/>
          <w:sz w:val="20"/>
          <w:szCs w:val="20"/>
        </w:rPr>
        <w:t>”, en realidad parecería que se refiere al método subjetivo de interpretación de tratados, contemplado en el artículo 31.2 de la Convención de Viena.</w:t>
      </w:r>
    </w:p>
    <w:p w:rsidR="00C05917" w:rsidRPr="00613F9A" w:rsidRDefault="00C05917" w:rsidP="006F2613">
      <w:pPr>
        <w:spacing w:after="0" w:line="276" w:lineRule="auto"/>
        <w:ind w:left="0"/>
        <w:rPr>
          <w:rFonts w:ascii="Verdana" w:hAnsi="Verdana" w:cs="Verdana"/>
          <w:sz w:val="20"/>
          <w:szCs w:val="20"/>
        </w:rPr>
      </w:pPr>
    </w:p>
    <w:p w:rsidR="00C05917" w:rsidRPr="00613F9A" w:rsidRDefault="00C05917" w:rsidP="006F2613">
      <w:pPr>
        <w:pStyle w:val="Prrafodelista"/>
        <w:numPr>
          <w:ilvl w:val="0"/>
          <w:numId w:val="2"/>
        </w:numPr>
        <w:spacing w:after="0"/>
        <w:ind w:left="0" w:firstLine="0"/>
        <w:jc w:val="both"/>
        <w:rPr>
          <w:rFonts w:ascii="Verdana" w:hAnsi="Verdana" w:cs="Verdana"/>
          <w:sz w:val="20"/>
          <w:szCs w:val="20"/>
        </w:rPr>
      </w:pPr>
      <w:r w:rsidRPr="00613F9A">
        <w:rPr>
          <w:rFonts w:ascii="Verdana" w:hAnsi="Verdana" w:cs="Verdana"/>
          <w:sz w:val="20"/>
          <w:szCs w:val="20"/>
        </w:rPr>
        <w:t>Efectivamente, en el Fa</w:t>
      </w:r>
      <w:r w:rsidR="00AC76FE" w:rsidRPr="00613F9A">
        <w:rPr>
          <w:rFonts w:ascii="Verdana" w:hAnsi="Verdana" w:cs="Verdana"/>
          <w:sz w:val="20"/>
          <w:szCs w:val="20"/>
        </w:rPr>
        <w:t>llo se expresa</w:t>
      </w:r>
      <w:r w:rsidR="00AC76FE" w:rsidRPr="00613F9A">
        <w:rPr>
          <w:rFonts w:ascii="Verdana" w:hAnsi="Verdana"/>
          <w:sz w:val="20"/>
          <w:szCs w:val="20"/>
          <w:lang w:val="es-CR"/>
        </w:rPr>
        <w:t xml:space="preserve"> </w:t>
      </w:r>
      <w:r w:rsidRPr="00613F9A">
        <w:rPr>
          <w:rFonts w:ascii="Verdana" w:hAnsi="Verdana"/>
          <w:sz w:val="20"/>
          <w:szCs w:val="20"/>
          <w:lang w:val="es-CR"/>
        </w:rPr>
        <w:t>“</w:t>
      </w:r>
      <w:r w:rsidRPr="00613F9A">
        <w:rPr>
          <w:rFonts w:ascii="Verdana" w:hAnsi="Verdana"/>
          <w:i/>
          <w:sz w:val="20"/>
          <w:szCs w:val="20"/>
          <w:lang w:val="es-CR"/>
        </w:rPr>
        <w:t>que las obligaciones generales de “respeto” y “garantía”, conjuntamente con la obligación de “adecuación” del artículo 2 de la propia Convención, aplican a todos los derechos, sean civiles, políticos, económicos, sociales, culturales y ambientales”</w:t>
      </w:r>
      <w:r w:rsidRPr="00613F9A">
        <w:rPr>
          <w:rFonts w:ascii="Verdana" w:hAnsi="Verdana"/>
          <w:sz w:val="20"/>
          <w:szCs w:val="20"/>
          <w:vertAlign w:val="superscript"/>
          <w:lang w:val="es-CR"/>
        </w:rPr>
        <w:footnoteReference w:id="107"/>
      </w:r>
      <w:r w:rsidR="00AC76FE" w:rsidRPr="00613F9A">
        <w:rPr>
          <w:rFonts w:ascii="Verdana" w:hAnsi="Verdana"/>
          <w:i/>
          <w:sz w:val="20"/>
          <w:szCs w:val="20"/>
          <w:lang w:val="es-CR"/>
        </w:rPr>
        <w:t xml:space="preserve"> </w:t>
      </w:r>
      <w:r w:rsidR="00AC76FE" w:rsidRPr="00613F9A">
        <w:rPr>
          <w:rFonts w:ascii="Verdana" w:hAnsi="Verdana"/>
          <w:sz w:val="20"/>
          <w:szCs w:val="20"/>
          <w:lang w:val="es-CR"/>
        </w:rPr>
        <w:t>y que, en consecuencia</w:t>
      </w:r>
      <w:r w:rsidR="00AC76FE" w:rsidRPr="00613F9A">
        <w:rPr>
          <w:rFonts w:ascii="Verdana" w:hAnsi="Verdana"/>
          <w:i/>
          <w:sz w:val="20"/>
          <w:szCs w:val="20"/>
          <w:lang w:val="es-CR"/>
        </w:rPr>
        <w:t xml:space="preserve">, </w:t>
      </w:r>
      <w:r w:rsidRPr="00613F9A">
        <w:rPr>
          <w:rFonts w:ascii="Verdana" w:hAnsi="Verdana"/>
          <w:sz w:val="20"/>
          <w:szCs w:val="20"/>
          <w:lang w:val="es-CR"/>
        </w:rPr>
        <w:t>“</w:t>
      </w:r>
      <w:r w:rsidRPr="00613F9A">
        <w:rPr>
          <w:rFonts w:ascii="Verdana" w:eastAsia="Times" w:hAnsi="Verdana" w:cs="Arial"/>
          <w:i/>
          <w:sz w:val="20"/>
          <w:szCs w:val="20"/>
          <w:lang w:val="es-MX"/>
        </w:rPr>
        <w:t>al existir una obligación de los Estados de respetar y garantizar los derechos contemplados por el artículo 26, en los términos del artículo 1.1 de la Convención, la Corte tiene competencia para calificar si existió una violación a un derecho derivado del artículo 26 en los términos previstos por los artículos 62 y 63 de la Convención”</w:t>
      </w:r>
      <w:r w:rsidRPr="00613F9A">
        <w:rPr>
          <w:rFonts w:ascii="Verdana" w:hAnsi="Verdana"/>
          <w:sz w:val="20"/>
          <w:szCs w:val="20"/>
          <w:vertAlign w:val="superscript"/>
          <w:lang w:val="es-MX"/>
        </w:rPr>
        <w:footnoteReference w:id="108"/>
      </w:r>
      <w:r w:rsidRPr="00613F9A">
        <w:rPr>
          <w:rFonts w:ascii="Verdana" w:eastAsia="Times" w:hAnsi="Verdana" w:cs="Arial"/>
          <w:i/>
          <w:sz w:val="20"/>
          <w:szCs w:val="20"/>
          <w:lang w:val="es-MX"/>
        </w:rPr>
        <w:t>.</w:t>
      </w:r>
    </w:p>
    <w:p w:rsidR="00C05917" w:rsidRPr="00613F9A" w:rsidRDefault="00C05917" w:rsidP="000978E9">
      <w:pPr>
        <w:spacing w:after="0" w:line="276" w:lineRule="auto"/>
        <w:ind w:left="0"/>
        <w:rPr>
          <w:rFonts w:ascii="Verdana" w:eastAsia="Times" w:hAnsi="Verdana" w:cs="Arial"/>
          <w:i/>
          <w:sz w:val="20"/>
          <w:szCs w:val="20"/>
          <w:lang w:val="es-MX"/>
        </w:rPr>
      </w:pPr>
    </w:p>
    <w:p w:rsidR="00C05917" w:rsidRPr="00613F9A" w:rsidRDefault="00C05917" w:rsidP="006F2613">
      <w:pPr>
        <w:pStyle w:val="Prrafodelista"/>
        <w:numPr>
          <w:ilvl w:val="0"/>
          <w:numId w:val="2"/>
        </w:numPr>
        <w:spacing w:after="0"/>
        <w:ind w:left="0" w:firstLine="0"/>
        <w:jc w:val="both"/>
        <w:rPr>
          <w:rFonts w:ascii="Verdana" w:eastAsia="Times" w:hAnsi="Verdana" w:cs="Arial"/>
          <w:sz w:val="20"/>
          <w:szCs w:val="20"/>
          <w:lang w:val="es-MX"/>
        </w:rPr>
      </w:pPr>
      <w:r w:rsidRPr="00613F9A">
        <w:rPr>
          <w:rFonts w:ascii="Verdana" w:eastAsia="Times" w:hAnsi="Verdana" w:cs="Arial"/>
          <w:sz w:val="20"/>
          <w:szCs w:val="20"/>
          <w:lang w:val="es-MX"/>
        </w:rPr>
        <w:t xml:space="preserve">Igualmente, </w:t>
      </w:r>
      <w:r w:rsidR="00AC76FE" w:rsidRPr="00613F9A">
        <w:rPr>
          <w:rFonts w:ascii="Verdana" w:eastAsia="Times" w:hAnsi="Verdana" w:cs="Arial"/>
          <w:sz w:val="20"/>
          <w:szCs w:val="20"/>
          <w:lang w:val="es-MX"/>
        </w:rPr>
        <w:t>el Fallo agrega que ello “</w:t>
      </w:r>
      <w:r w:rsidRPr="00613F9A">
        <w:rPr>
          <w:rFonts w:ascii="Verdana" w:eastAsia="Times" w:hAnsi="Verdana" w:cs="Arial"/>
          <w:i/>
          <w:sz w:val="20"/>
          <w:szCs w:val="20"/>
          <w:lang w:val="es-MX"/>
        </w:rPr>
        <w:t>no sólo es resultado de cuestiones formales, sino que resulta de la interdependencia e indivisibilidad recíproca existente entre los derechos civiles y políticos y los económicos</w:t>
      </w:r>
      <w:r w:rsidR="00C3063B" w:rsidRPr="00613F9A">
        <w:rPr>
          <w:rFonts w:ascii="Verdana" w:eastAsia="Times" w:hAnsi="Verdana" w:cs="Arial"/>
          <w:i/>
          <w:sz w:val="20"/>
          <w:szCs w:val="20"/>
          <w:lang w:val="es-MX"/>
        </w:rPr>
        <w:t xml:space="preserve">, </w:t>
      </w:r>
      <w:r w:rsidRPr="00613F9A">
        <w:rPr>
          <w:rFonts w:ascii="Verdana" w:eastAsia="Times" w:hAnsi="Verdana" w:cs="Arial"/>
          <w:i/>
          <w:sz w:val="20"/>
          <w:szCs w:val="20"/>
          <w:lang w:val="es-MX"/>
        </w:rPr>
        <w:t>sociales, culturales y ambientales”</w:t>
      </w:r>
      <w:r w:rsidRPr="00613F9A">
        <w:rPr>
          <w:rFonts w:ascii="Verdana" w:hAnsi="Verdana"/>
          <w:sz w:val="20"/>
          <w:szCs w:val="20"/>
          <w:vertAlign w:val="superscript"/>
          <w:lang w:val="es-MX"/>
        </w:rPr>
        <w:footnoteReference w:id="109"/>
      </w:r>
      <w:r w:rsidRPr="00613F9A">
        <w:rPr>
          <w:rFonts w:ascii="Verdana" w:eastAsia="Times" w:hAnsi="Verdana" w:cs="Arial"/>
          <w:i/>
          <w:sz w:val="20"/>
          <w:szCs w:val="20"/>
          <w:lang w:val="es-MX"/>
        </w:rPr>
        <w:t xml:space="preserve"> y que “la interdependencia e indivisibilidad de los derechos reconocidos por la Convención Americana niega cualquier separación, categorización o jerarquía entre derechos para efectos de su respeto, protección y garantía”</w:t>
      </w:r>
      <w:r w:rsidRPr="00613F9A">
        <w:rPr>
          <w:rFonts w:ascii="Verdana" w:hAnsi="Verdana"/>
          <w:sz w:val="20"/>
          <w:szCs w:val="20"/>
          <w:vertAlign w:val="superscript"/>
          <w:lang w:val="es-MX"/>
        </w:rPr>
        <w:footnoteReference w:id="110"/>
      </w:r>
      <w:r w:rsidRPr="00613F9A">
        <w:rPr>
          <w:rFonts w:ascii="Verdana" w:eastAsia="Times" w:hAnsi="Verdana" w:cs="Arial"/>
          <w:i/>
          <w:sz w:val="20"/>
          <w:szCs w:val="20"/>
          <w:lang w:val="es-MX"/>
        </w:rPr>
        <w:t>.</w:t>
      </w:r>
    </w:p>
    <w:p w:rsidR="00C05917" w:rsidRPr="00613F9A" w:rsidRDefault="00C05917" w:rsidP="006F2613">
      <w:pPr>
        <w:spacing w:after="0" w:line="276" w:lineRule="auto"/>
        <w:ind w:left="0"/>
        <w:rPr>
          <w:rFonts w:ascii="Verdana" w:eastAsia="Times" w:hAnsi="Verdana" w:cs="Arial"/>
          <w:i/>
          <w:sz w:val="20"/>
          <w:szCs w:val="20"/>
          <w:lang w:val="es-MX"/>
        </w:rPr>
      </w:pPr>
    </w:p>
    <w:p w:rsidR="00C05917" w:rsidRPr="00613F9A" w:rsidRDefault="00E12B0E" w:rsidP="006F2613">
      <w:pPr>
        <w:pStyle w:val="Prrafodelista"/>
        <w:numPr>
          <w:ilvl w:val="0"/>
          <w:numId w:val="2"/>
        </w:numPr>
        <w:tabs>
          <w:tab w:val="left" w:pos="567"/>
        </w:tabs>
        <w:spacing w:after="0"/>
        <w:ind w:left="0" w:firstLine="0"/>
        <w:jc w:val="both"/>
        <w:rPr>
          <w:rFonts w:ascii="Verdana" w:hAnsi="Verdana"/>
          <w:sz w:val="20"/>
          <w:szCs w:val="20"/>
          <w:lang w:val="es-ES"/>
        </w:rPr>
      </w:pPr>
      <w:r w:rsidRPr="00613F9A">
        <w:rPr>
          <w:rFonts w:ascii="Verdana" w:eastAsia="Times" w:hAnsi="Verdana" w:cs="Arial"/>
          <w:sz w:val="20"/>
          <w:szCs w:val="20"/>
          <w:lang w:val="es-MX"/>
        </w:rPr>
        <w:t>A</w:t>
      </w:r>
      <w:r w:rsidR="00C05917" w:rsidRPr="00613F9A">
        <w:rPr>
          <w:rFonts w:ascii="Verdana" w:eastAsia="Times" w:hAnsi="Verdana" w:cs="Arial"/>
          <w:sz w:val="20"/>
          <w:szCs w:val="20"/>
          <w:lang w:val="es-MX"/>
        </w:rPr>
        <w:t>l sostener tal posición, el Fallo omite</w:t>
      </w:r>
      <w:r w:rsidRPr="00613F9A">
        <w:rPr>
          <w:rFonts w:ascii="Verdana" w:eastAsia="Times" w:hAnsi="Verdana" w:cs="Arial"/>
          <w:sz w:val="20"/>
          <w:szCs w:val="20"/>
          <w:lang w:val="es-MX"/>
        </w:rPr>
        <w:t>, entonces,</w:t>
      </w:r>
      <w:r w:rsidR="00C05917" w:rsidRPr="00613F9A">
        <w:rPr>
          <w:rFonts w:ascii="Verdana" w:eastAsia="Times" w:hAnsi="Verdana" w:cs="Arial"/>
          <w:sz w:val="20"/>
          <w:szCs w:val="20"/>
          <w:lang w:val="es-MX"/>
        </w:rPr>
        <w:t xml:space="preserve"> </w:t>
      </w:r>
      <w:r w:rsidR="00C05917" w:rsidRPr="00613F9A">
        <w:rPr>
          <w:rFonts w:ascii="Verdana" w:hAnsi="Verdana"/>
          <w:sz w:val="20"/>
          <w:szCs w:val="20"/>
          <w:lang w:val="es-ES"/>
        </w:rPr>
        <w:t>que el artículo 1.1 de la Convención dispone que sus Estado Partes se comprometen a respetar y a garantizar el libre ejercicio de los derechos “</w:t>
      </w:r>
      <w:r w:rsidR="00C05917" w:rsidRPr="00613F9A">
        <w:rPr>
          <w:rFonts w:ascii="Verdana" w:hAnsi="Verdana"/>
          <w:i/>
          <w:sz w:val="20"/>
          <w:szCs w:val="20"/>
          <w:lang w:val="es-ES"/>
        </w:rPr>
        <w:t>reconocidos en ella</w:t>
      </w:r>
      <w:r w:rsidR="00C05917" w:rsidRPr="00613F9A">
        <w:rPr>
          <w:rFonts w:ascii="Verdana" w:hAnsi="Verdana"/>
          <w:sz w:val="20"/>
          <w:szCs w:val="20"/>
          <w:lang w:val="es-ES"/>
        </w:rPr>
        <w:t xml:space="preserve">” y </w:t>
      </w:r>
      <w:r w:rsidR="00AC76FE" w:rsidRPr="00613F9A">
        <w:rPr>
          <w:rFonts w:ascii="Verdana" w:hAnsi="Verdana"/>
          <w:sz w:val="20"/>
          <w:szCs w:val="20"/>
          <w:lang w:val="es-ES"/>
        </w:rPr>
        <w:t xml:space="preserve">que, </w:t>
      </w:r>
      <w:r w:rsidR="00C05917" w:rsidRPr="00613F9A">
        <w:rPr>
          <w:rFonts w:ascii="Verdana" w:hAnsi="Verdana"/>
          <w:sz w:val="20"/>
          <w:szCs w:val="20"/>
          <w:lang w:val="es-ES"/>
        </w:rPr>
        <w:t>por su parte, el artículo 29.a) de del mismo texto, relativo al principio “</w:t>
      </w:r>
      <w:r w:rsidR="00C05917" w:rsidRPr="00613F9A">
        <w:rPr>
          <w:rFonts w:ascii="Verdana" w:hAnsi="Verdana"/>
          <w:i/>
          <w:sz w:val="20"/>
          <w:szCs w:val="20"/>
          <w:lang w:val="es-ES"/>
        </w:rPr>
        <w:t>pro personae”</w:t>
      </w:r>
      <w:r w:rsidR="00C05917" w:rsidRPr="00613F9A">
        <w:rPr>
          <w:rFonts w:ascii="Verdana" w:hAnsi="Verdana"/>
          <w:sz w:val="20"/>
          <w:szCs w:val="20"/>
          <w:lang w:val="es-ES"/>
        </w:rPr>
        <w:t>, emplea la misma fórmula</w:t>
      </w:r>
      <w:r w:rsidR="007E461D" w:rsidRPr="00613F9A">
        <w:rPr>
          <w:rStyle w:val="Refdenotaalpie"/>
          <w:rFonts w:ascii="Verdana" w:hAnsi="Verdana"/>
          <w:sz w:val="20"/>
          <w:szCs w:val="20"/>
          <w:lang w:val="es-ES"/>
        </w:rPr>
        <w:footnoteReference w:id="111"/>
      </w:r>
      <w:r w:rsidR="00AC76FE" w:rsidRPr="00613F9A">
        <w:rPr>
          <w:rFonts w:ascii="Verdana" w:hAnsi="Verdana"/>
          <w:sz w:val="20"/>
          <w:szCs w:val="20"/>
          <w:lang w:val="es-ES"/>
        </w:rPr>
        <w:t>. Tampoco hace referencia</w:t>
      </w:r>
      <w:r w:rsidR="00745FCB" w:rsidRPr="00613F9A">
        <w:rPr>
          <w:rFonts w:ascii="Verdana" w:hAnsi="Verdana"/>
          <w:sz w:val="20"/>
          <w:szCs w:val="20"/>
          <w:lang w:val="es-ES"/>
        </w:rPr>
        <w:t>, como ya se subrayó,</w:t>
      </w:r>
      <w:r w:rsidR="00AC76FE" w:rsidRPr="00613F9A">
        <w:rPr>
          <w:rFonts w:ascii="Verdana" w:hAnsi="Verdana"/>
          <w:sz w:val="20"/>
          <w:szCs w:val="20"/>
          <w:lang w:val="es-ES"/>
        </w:rPr>
        <w:t xml:space="preserve"> a otras disposiciones de la Convención </w:t>
      </w:r>
      <w:r w:rsidRPr="00613F9A">
        <w:rPr>
          <w:rFonts w:ascii="Verdana" w:hAnsi="Verdana"/>
          <w:sz w:val="20"/>
          <w:szCs w:val="20"/>
          <w:lang w:val="es-ES"/>
        </w:rPr>
        <w:t xml:space="preserve">que </w:t>
      </w:r>
      <w:r w:rsidR="00AC76FE" w:rsidRPr="00613F9A">
        <w:rPr>
          <w:rFonts w:ascii="Verdana" w:hAnsi="Verdana"/>
          <w:sz w:val="20"/>
          <w:szCs w:val="20"/>
          <w:lang w:val="es-ES"/>
        </w:rPr>
        <w:t xml:space="preserve">aluden </w:t>
      </w:r>
      <w:r w:rsidR="00C05917" w:rsidRPr="00613F9A">
        <w:rPr>
          <w:rFonts w:ascii="Verdana" w:hAnsi="Verdana"/>
          <w:sz w:val="20"/>
          <w:szCs w:val="20"/>
          <w:lang w:val="es-ES"/>
        </w:rPr>
        <w:t>a “</w:t>
      </w:r>
      <w:r w:rsidR="00C05917" w:rsidRPr="00613F9A">
        <w:rPr>
          <w:rFonts w:ascii="Verdana" w:hAnsi="Verdana"/>
          <w:i/>
          <w:sz w:val="20"/>
          <w:szCs w:val="20"/>
          <w:lang w:val="es-ES"/>
        </w:rPr>
        <w:t>los derechos establecidos</w:t>
      </w:r>
      <w:r w:rsidR="00C05917" w:rsidRPr="00613F9A">
        <w:rPr>
          <w:rFonts w:ascii="Verdana" w:hAnsi="Verdana"/>
          <w:sz w:val="20"/>
          <w:szCs w:val="20"/>
          <w:lang w:val="es-ES"/>
        </w:rPr>
        <w:t>”, “</w:t>
      </w:r>
      <w:r w:rsidR="00C05917" w:rsidRPr="00613F9A">
        <w:rPr>
          <w:rFonts w:ascii="Verdana" w:hAnsi="Verdana"/>
          <w:i/>
          <w:sz w:val="20"/>
          <w:szCs w:val="20"/>
          <w:lang w:val="es-ES"/>
        </w:rPr>
        <w:t>garantizados</w:t>
      </w:r>
      <w:r w:rsidR="00C05917" w:rsidRPr="00613F9A">
        <w:rPr>
          <w:rFonts w:ascii="Verdana" w:hAnsi="Verdana"/>
          <w:sz w:val="20"/>
          <w:szCs w:val="20"/>
          <w:lang w:val="es-ES"/>
        </w:rPr>
        <w:t>”, “</w:t>
      </w:r>
      <w:r w:rsidR="00C05917" w:rsidRPr="00613F9A">
        <w:rPr>
          <w:rFonts w:ascii="Verdana" w:hAnsi="Verdana"/>
          <w:i/>
          <w:sz w:val="20"/>
          <w:szCs w:val="20"/>
          <w:lang w:val="es-ES"/>
        </w:rPr>
        <w:t>consagrados</w:t>
      </w:r>
      <w:r w:rsidR="00C05917" w:rsidRPr="00613F9A">
        <w:rPr>
          <w:rFonts w:ascii="Verdana" w:hAnsi="Verdana"/>
          <w:sz w:val="20"/>
          <w:szCs w:val="20"/>
          <w:lang w:val="es-ES"/>
        </w:rPr>
        <w:t>” o “</w:t>
      </w:r>
      <w:r w:rsidR="00C05917" w:rsidRPr="00613F9A">
        <w:rPr>
          <w:rFonts w:ascii="Verdana" w:hAnsi="Verdana"/>
          <w:i/>
          <w:sz w:val="20"/>
          <w:szCs w:val="20"/>
          <w:lang w:val="es-ES"/>
        </w:rPr>
        <w:t>protegidos</w:t>
      </w:r>
      <w:r w:rsidR="00C05917" w:rsidRPr="00613F9A">
        <w:rPr>
          <w:rFonts w:ascii="Verdana" w:hAnsi="Verdana"/>
          <w:sz w:val="20"/>
          <w:szCs w:val="20"/>
          <w:lang w:val="es-ES"/>
        </w:rPr>
        <w:t>”</w:t>
      </w:r>
      <w:r w:rsidR="00AB1AAD" w:rsidRPr="00613F9A">
        <w:rPr>
          <w:rStyle w:val="Refdenotaalpie"/>
          <w:rFonts w:ascii="Verdana" w:hAnsi="Verdana"/>
          <w:sz w:val="20"/>
          <w:szCs w:val="20"/>
          <w:lang w:val="es-ES"/>
        </w:rPr>
        <w:footnoteReference w:id="112"/>
      </w:r>
      <w:r w:rsidR="00745FCB" w:rsidRPr="00613F9A">
        <w:rPr>
          <w:rFonts w:ascii="Verdana" w:hAnsi="Verdana"/>
          <w:sz w:val="20"/>
          <w:szCs w:val="20"/>
          <w:lang w:val="es-ES"/>
        </w:rPr>
        <w:t xml:space="preserve">, </w:t>
      </w:r>
      <w:r w:rsidR="00C05917" w:rsidRPr="00613F9A">
        <w:rPr>
          <w:rFonts w:ascii="Verdana" w:hAnsi="Verdana"/>
          <w:sz w:val="20"/>
          <w:szCs w:val="20"/>
          <w:lang w:val="es-ES"/>
        </w:rPr>
        <w:t>lo</w:t>
      </w:r>
      <w:r w:rsidR="00745FCB" w:rsidRPr="00613F9A">
        <w:rPr>
          <w:rFonts w:ascii="Verdana" w:hAnsi="Verdana"/>
          <w:sz w:val="20"/>
          <w:szCs w:val="20"/>
          <w:lang w:val="es-ES"/>
        </w:rPr>
        <w:t>s</w:t>
      </w:r>
      <w:r w:rsidR="00C05917" w:rsidRPr="00613F9A">
        <w:rPr>
          <w:rFonts w:ascii="Verdana" w:hAnsi="Verdana"/>
          <w:sz w:val="20"/>
          <w:szCs w:val="20"/>
          <w:lang w:val="es-ES"/>
        </w:rPr>
        <w:t xml:space="preserve"> que, lógicamente, se debe</w:t>
      </w:r>
      <w:r w:rsidR="00745FCB" w:rsidRPr="00613F9A">
        <w:rPr>
          <w:rFonts w:ascii="Verdana" w:hAnsi="Verdana"/>
          <w:sz w:val="20"/>
          <w:szCs w:val="20"/>
          <w:lang w:val="es-ES"/>
        </w:rPr>
        <w:t>n</w:t>
      </w:r>
      <w:r w:rsidR="00C05917" w:rsidRPr="00613F9A">
        <w:rPr>
          <w:rFonts w:ascii="Verdana" w:hAnsi="Verdana"/>
          <w:sz w:val="20"/>
          <w:szCs w:val="20"/>
          <w:lang w:val="es-ES"/>
        </w:rPr>
        <w:t xml:space="preserve"> entender que se trata de los derechos que han “</w:t>
      </w:r>
      <w:r w:rsidR="00C05917" w:rsidRPr="00613F9A">
        <w:rPr>
          <w:rFonts w:ascii="Verdana" w:hAnsi="Verdana"/>
          <w:i/>
          <w:sz w:val="20"/>
          <w:szCs w:val="20"/>
          <w:lang w:val="es-ES"/>
        </w:rPr>
        <w:t xml:space="preserve">reconocidos” </w:t>
      </w:r>
      <w:r w:rsidR="00C05917" w:rsidRPr="00613F9A">
        <w:rPr>
          <w:rFonts w:ascii="Verdana" w:hAnsi="Verdana"/>
          <w:sz w:val="20"/>
          <w:szCs w:val="20"/>
          <w:lang w:val="es-ES"/>
        </w:rPr>
        <w:t>por la misma</w:t>
      </w:r>
      <w:r w:rsidR="00C05917" w:rsidRPr="00613F9A">
        <w:rPr>
          <w:rFonts w:ascii="Verdana" w:hAnsi="Verdana"/>
          <w:sz w:val="20"/>
          <w:szCs w:val="20"/>
          <w:vertAlign w:val="superscript"/>
          <w:lang w:val="es-ES"/>
        </w:rPr>
        <w:footnoteReference w:id="113"/>
      </w:r>
      <w:r w:rsidR="00C05917" w:rsidRPr="00613F9A">
        <w:rPr>
          <w:rFonts w:ascii="Verdana" w:hAnsi="Verdana"/>
          <w:sz w:val="20"/>
          <w:szCs w:val="20"/>
          <w:lang w:val="es-ES"/>
        </w:rPr>
        <w:t xml:space="preserve">. </w:t>
      </w:r>
    </w:p>
    <w:p w:rsidR="00C05917" w:rsidRPr="00613F9A" w:rsidRDefault="00C05917" w:rsidP="006F2613">
      <w:pPr>
        <w:spacing w:after="0" w:line="276" w:lineRule="auto"/>
        <w:ind w:left="0"/>
        <w:rPr>
          <w:rFonts w:ascii="Verdana" w:eastAsia="Times" w:hAnsi="Verdana" w:cs="Arial"/>
          <w:sz w:val="20"/>
          <w:szCs w:val="20"/>
          <w:lang w:val="es-MX"/>
        </w:rPr>
      </w:pPr>
    </w:p>
    <w:p w:rsidR="00C05917" w:rsidRPr="00613F9A" w:rsidRDefault="00E12B0E" w:rsidP="006F2613">
      <w:pPr>
        <w:pStyle w:val="Prrafodelista"/>
        <w:numPr>
          <w:ilvl w:val="0"/>
          <w:numId w:val="2"/>
        </w:numPr>
        <w:spacing w:after="0"/>
        <w:ind w:left="0" w:firstLine="0"/>
        <w:jc w:val="both"/>
        <w:rPr>
          <w:rFonts w:ascii="Verdana" w:hAnsi="Verdana"/>
          <w:sz w:val="20"/>
          <w:szCs w:val="20"/>
          <w:lang w:val="es-ES"/>
        </w:rPr>
      </w:pPr>
      <w:r w:rsidRPr="00613F9A">
        <w:rPr>
          <w:rFonts w:ascii="Verdana" w:eastAsia="Times" w:hAnsi="Verdana" w:cs="Arial"/>
          <w:sz w:val="20"/>
          <w:szCs w:val="20"/>
          <w:lang w:val="es-MX"/>
        </w:rPr>
        <w:t xml:space="preserve">Tampoco el Fallo </w:t>
      </w:r>
      <w:r w:rsidR="00C05917" w:rsidRPr="00613F9A">
        <w:rPr>
          <w:rFonts w:ascii="Verdana" w:eastAsia="Times" w:hAnsi="Verdana" w:cs="Arial"/>
          <w:sz w:val="20"/>
          <w:szCs w:val="20"/>
          <w:lang w:val="es-MX"/>
        </w:rPr>
        <w:t xml:space="preserve">da debida cuenta de los acuerdos e instrumentos </w:t>
      </w:r>
      <w:r w:rsidRPr="00613F9A">
        <w:rPr>
          <w:rFonts w:ascii="Verdana" w:eastAsia="Times" w:hAnsi="Verdana" w:cs="Arial"/>
          <w:sz w:val="20"/>
          <w:szCs w:val="20"/>
          <w:lang w:val="es-MX"/>
        </w:rPr>
        <w:t>celebrados con motivo de la Convención</w:t>
      </w:r>
      <w:r w:rsidR="00C05917" w:rsidRPr="00613F9A">
        <w:rPr>
          <w:rFonts w:ascii="Verdana" w:eastAsia="Times" w:hAnsi="Verdana" w:cs="Arial"/>
          <w:sz w:val="20"/>
          <w:szCs w:val="20"/>
          <w:lang w:val="es-MX"/>
        </w:rPr>
        <w:t xml:space="preserve"> o concernientes a su interpretación ni de la práctica de los </w:t>
      </w:r>
      <w:r w:rsidRPr="00613F9A">
        <w:rPr>
          <w:rFonts w:ascii="Verdana" w:eastAsia="Times" w:hAnsi="Verdana" w:cs="Arial"/>
          <w:sz w:val="20"/>
          <w:szCs w:val="20"/>
          <w:lang w:val="es-MX"/>
        </w:rPr>
        <w:t>Estados Partes pertinente a ella</w:t>
      </w:r>
      <w:r w:rsidR="00C05917" w:rsidRPr="00613F9A">
        <w:rPr>
          <w:rFonts w:ascii="Verdana" w:eastAsia="Times" w:hAnsi="Verdana" w:cs="Arial"/>
          <w:sz w:val="20"/>
          <w:szCs w:val="20"/>
          <w:lang w:val="es-MX"/>
        </w:rPr>
        <w:t xml:space="preserve">. Se limita, sobre este particular, a </w:t>
      </w:r>
      <w:r w:rsidR="00C05917" w:rsidRPr="00613F9A">
        <w:rPr>
          <w:rFonts w:ascii="Verdana" w:hAnsi="Verdana"/>
          <w:sz w:val="20"/>
          <w:szCs w:val="20"/>
          <w:lang w:val="es-ES"/>
        </w:rPr>
        <w:t>evocar de manera genérica la vinculación entre los derechos civiles y políticos y los derechos económicos, sociales y culturales</w:t>
      </w:r>
      <w:r w:rsidR="00C05917" w:rsidRPr="00613F9A">
        <w:rPr>
          <w:rFonts w:ascii="Verdana" w:hAnsi="Verdana"/>
          <w:sz w:val="20"/>
          <w:szCs w:val="20"/>
          <w:vertAlign w:val="superscript"/>
          <w:lang w:val="es-ES"/>
        </w:rPr>
        <w:footnoteReference w:id="114"/>
      </w:r>
      <w:r w:rsidR="00C05917" w:rsidRPr="00613F9A">
        <w:rPr>
          <w:rFonts w:ascii="Verdana" w:hAnsi="Verdana"/>
          <w:sz w:val="20"/>
          <w:szCs w:val="20"/>
          <w:lang w:val="es-ES"/>
        </w:rPr>
        <w:t xml:space="preserve">, pero sin aportar datos sobre </w:t>
      </w:r>
      <w:r w:rsidR="00C05917" w:rsidRPr="00613F9A">
        <w:rPr>
          <w:rFonts w:ascii="Verdana" w:hAnsi="Verdana"/>
          <w:sz w:val="20"/>
          <w:szCs w:val="20"/>
          <w:lang w:val="es-ES"/>
        </w:rPr>
        <w:lastRenderedPageBreak/>
        <w:t xml:space="preserve">acuerdos posteriores a la celebración de la Convención que reflejen la interpretación que sus Estados Partes hacen de ella. El Fallo en cuestión, en cambio, únicamente hace mención al Protocolo de San Salvador, al que, por lo demás, le resta toda relevancia al no ponderar el hecho de que dispone que sólo se puede recurrir a la Corte en dos situaciones </w:t>
      </w:r>
      <w:r w:rsidR="00AC76FE" w:rsidRPr="00613F9A">
        <w:rPr>
          <w:rFonts w:ascii="Verdana" w:hAnsi="Verdana"/>
          <w:sz w:val="20"/>
          <w:szCs w:val="20"/>
          <w:lang w:val="es-ES"/>
        </w:rPr>
        <w:t xml:space="preserve">muy </w:t>
      </w:r>
      <w:r w:rsidR="00C05917" w:rsidRPr="00613F9A">
        <w:rPr>
          <w:rFonts w:ascii="Verdana" w:hAnsi="Verdana"/>
          <w:sz w:val="20"/>
          <w:szCs w:val="20"/>
          <w:lang w:val="es-ES"/>
        </w:rPr>
        <w:t>específicas que contempla y con ello en última instancia pone en duda el objeto y la necesidad de aquél</w:t>
      </w:r>
      <w:r w:rsidR="00C05917" w:rsidRPr="00613F9A">
        <w:rPr>
          <w:rFonts w:ascii="Verdana" w:hAnsi="Verdana"/>
          <w:sz w:val="20"/>
          <w:szCs w:val="20"/>
          <w:vertAlign w:val="superscript"/>
          <w:lang w:val="es-ES"/>
        </w:rPr>
        <w:footnoteReference w:id="115"/>
      </w:r>
      <w:r w:rsidR="00C05917" w:rsidRPr="00613F9A">
        <w:rPr>
          <w:rFonts w:ascii="Verdana" w:hAnsi="Verdana"/>
          <w:sz w:val="20"/>
          <w:szCs w:val="20"/>
          <w:lang w:val="es-ES"/>
        </w:rPr>
        <w:t>.</w:t>
      </w:r>
    </w:p>
    <w:p w:rsidR="00C05917" w:rsidRPr="00613F9A" w:rsidRDefault="00C05917" w:rsidP="000978E9">
      <w:pPr>
        <w:spacing w:after="0" w:line="276" w:lineRule="auto"/>
        <w:ind w:left="0"/>
        <w:rPr>
          <w:rFonts w:ascii="Verdana" w:hAnsi="Verdana"/>
          <w:sz w:val="20"/>
          <w:szCs w:val="20"/>
          <w:lang w:val="es-ES"/>
        </w:rPr>
      </w:pPr>
    </w:p>
    <w:p w:rsidR="00C05917" w:rsidRPr="00613F9A" w:rsidRDefault="00C05917" w:rsidP="00B24719">
      <w:pPr>
        <w:pStyle w:val="Prrafodelista"/>
        <w:numPr>
          <w:ilvl w:val="0"/>
          <w:numId w:val="2"/>
        </w:numPr>
        <w:ind w:left="0" w:firstLine="0"/>
        <w:jc w:val="both"/>
        <w:rPr>
          <w:rFonts w:ascii="Verdana" w:hAnsi="Verdana"/>
          <w:sz w:val="20"/>
          <w:szCs w:val="20"/>
          <w:lang w:val="es-ES"/>
        </w:rPr>
      </w:pPr>
      <w:r w:rsidRPr="00613F9A">
        <w:rPr>
          <w:rFonts w:ascii="Verdana" w:hAnsi="Verdana"/>
          <w:sz w:val="20"/>
          <w:szCs w:val="20"/>
          <w:lang w:val="es-ES"/>
        </w:rPr>
        <w:t xml:space="preserve">Por otra parte, el Fallo parece confundir la naturaleza de los acuerdos que los Estados Partes de la Convención celebren o hayan celebrado con posterioridad a ella. Efectivamente, señala que </w:t>
      </w:r>
      <w:r w:rsidRPr="00613F9A">
        <w:rPr>
          <w:rFonts w:ascii="Verdana" w:hAnsi="Verdana"/>
          <w:i/>
          <w:sz w:val="20"/>
          <w:szCs w:val="20"/>
          <w:lang w:val="es-ES"/>
        </w:rPr>
        <w:t>“el Tribunal</w:t>
      </w:r>
      <w:r w:rsidRPr="00613F9A">
        <w:rPr>
          <w:rFonts w:ascii="Verdana" w:eastAsia="Times" w:hAnsi="Verdana" w:cs="Arial"/>
          <w:i/>
          <w:sz w:val="20"/>
          <w:szCs w:val="20"/>
          <w:lang w:val="es-MX"/>
        </w:rPr>
        <w:t xml:space="preserve"> recuerda que la propia Convención Americana prevé en su artículo 76 un procedimiento específico para realizar enmiendas a la misma, el cual requiere una aprobación de dos terceras partes de los Estados parte de la Convención” </w:t>
      </w:r>
      <w:r w:rsidRPr="00613F9A">
        <w:rPr>
          <w:rFonts w:ascii="Verdana" w:eastAsia="Times" w:hAnsi="Verdana" w:cs="Arial"/>
          <w:sz w:val="20"/>
          <w:szCs w:val="20"/>
          <w:lang w:val="es-MX"/>
        </w:rPr>
        <w:t xml:space="preserve">y que </w:t>
      </w:r>
      <w:r w:rsidRPr="00613F9A">
        <w:rPr>
          <w:rFonts w:ascii="Verdana" w:eastAsia="Times" w:hAnsi="Verdana" w:cs="Arial"/>
          <w:i/>
          <w:sz w:val="20"/>
          <w:szCs w:val="20"/>
          <w:lang w:val="es-MX"/>
        </w:rPr>
        <w:t>“(d)e esta forma, sería contradictorio considerar que la adopción de un Protocolo adicional, que no requiere un margen de aceptación tan elevado como una enmienda a la Convención Americana, puede modificar el contenido y alcance de los efectos de la misma”</w:t>
      </w:r>
      <w:r w:rsidRPr="00613F9A">
        <w:rPr>
          <w:rFonts w:ascii="Verdana" w:eastAsia="Times" w:hAnsi="Verdana" w:cs="Arial"/>
          <w:i/>
          <w:sz w:val="20"/>
          <w:szCs w:val="20"/>
          <w:vertAlign w:val="superscript"/>
          <w:lang w:val="es-MX"/>
        </w:rPr>
        <w:footnoteReference w:id="116"/>
      </w:r>
      <w:r w:rsidRPr="00613F9A">
        <w:rPr>
          <w:rFonts w:ascii="Verdana" w:eastAsia="Times" w:hAnsi="Verdana" w:cs="Arial"/>
          <w:i/>
          <w:sz w:val="20"/>
          <w:szCs w:val="20"/>
          <w:lang w:val="es-MX"/>
        </w:rPr>
        <w:t xml:space="preserve">. </w:t>
      </w:r>
      <w:r w:rsidRPr="00613F9A">
        <w:rPr>
          <w:rFonts w:ascii="Verdana" w:eastAsia="Times" w:hAnsi="Verdana" w:cs="Arial"/>
          <w:sz w:val="20"/>
          <w:szCs w:val="20"/>
          <w:lang w:val="es-MX"/>
        </w:rPr>
        <w:t>Así, el Fallo parecería no considerar que</w:t>
      </w:r>
      <w:r w:rsidRPr="00613F9A">
        <w:rPr>
          <w:rFonts w:ascii="Verdana" w:hAnsi="Verdana"/>
          <w:sz w:val="20"/>
          <w:szCs w:val="20"/>
          <w:lang w:val="es-ES"/>
        </w:rPr>
        <w:t xml:space="preserve">, </w:t>
      </w:r>
      <w:r w:rsidR="0039149D" w:rsidRPr="00613F9A">
        <w:rPr>
          <w:rFonts w:ascii="Verdana" w:hAnsi="Verdana"/>
          <w:sz w:val="20"/>
          <w:szCs w:val="20"/>
          <w:lang w:val="es-ES"/>
        </w:rPr>
        <w:t>en lo pertinente a la enmienda y modificación de tratados</w:t>
      </w:r>
      <w:r w:rsidR="003C58D8" w:rsidRPr="00613F9A">
        <w:rPr>
          <w:rFonts w:ascii="Verdana" w:hAnsi="Verdana"/>
          <w:sz w:val="20"/>
          <w:szCs w:val="20"/>
          <w:lang w:val="es-ES"/>
        </w:rPr>
        <w:t>,</w:t>
      </w:r>
      <w:r w:rsidR="0039149D" w:rsidRPr="00613F9A">
        <w:rPr>
          <w:rFonts w:ascii="Verdana" w:hAnsi="Verdana"/>
          <w:sz w:val="20"/>
          <w:szCs w:val="20"/>
          <w:lang w:val="es-ES"/>
        </w:rPr>
        <w:t xml:space="preserve"> prevalece</w:t>
      </w:r>
      <w:r w:rsidR="003C58D8" w:rsidRPr="00613F9A">
        <w:rPr>
          <w:rFonts w:ascii="Verdana" w:hAnsi="Verdana"/>
          <w:sz w:val="20"/>
          <w:szCs w:val="20"/>
          <w:lang w:val="es-ES"/>
        </w:rPr>
        <w:t>, según la Convención de Viena,</w:t>
      </w:r>
      <w:r w:rsidR="0039149D" w:rsidRPr="00613F9A">
        <w:rPr>
          <w:rFonts w:ascii="Verdana" w:hAnsi="Verdana"/>
          <w:sz w:val="20"/>
          <w:szCs w:val="20"/>
          <w:lang w:val="es-ES"/>
        </w:rPr>
        <w:t xml:space="preserve"> el principio de la</w:t>
      </w:r>
      <w:r w:rsidR="003C58D8" w:rsidRPr="00613F9A">
        <w:rPr>
          <w:rFonts w:ascii="Verdana" w:hAnsi="Verdana"/>
          <w:sz w:val="20"/>
          <w:szCs w:val="20"/>
          <w:lang w:val="es-ES"/>
        </w:rPr>
        <w:t xml:space="preserve"> voluntad de las Partes y que el</w:t>
      </w:r>
      <w:r w:rsidR="0039149D" w:rsidRPr="00613F9A">
        <w:rPr>
          <w:rFonts w:ascii="Verdana" w:hAnsi="Verdana"/>
          <w:sz w:val="20"/>
          <w:szCs w:val="20"/>
          <w:lang w:val="es-ES"/>
        </w:rPr>
        <w:t xml:space="preserve"> cambio</w:t>
      </w:r>
      <w:r w:rsidR="003C58D8" w:rsidRPr="00613F9A">
        <w:rPr>
          <w:rFonts w:ascii="Verdana" w:hAnsi="Verdana"/>
          <w:sz w:val="20"/>
          <w:szCs w:val="20"/>
          <w:lang w:val="es-ES"/>
        </w:rPr>
        <w:t xml:space="preserve"> de aquellos</w:t>
      </w:r>
      <w:r w:rsidR="0039149D" w:rsidRPr="00613F9A">
        <w:rPr>
          <w:rFonts w:ascii="Verdana" w:hAnsi="Verdana"/>
          <w:sz w:val="20"/>
          <w:szCs w:val="20"/>
          <w:lang w:val="es-ES"/>
        </w:rPr>
        <w:t xml:space="preserve"> </w:t>
      </w:r>
      <w:r w:rsidR="00AB1AAD" w:rsidRPr="00613F9A">
        <w:rPr>
          <w:rFonts w:ascii="Verdana" w:hAnsi="Verdana"/>
          <w:sz w:val="20"/>
          <w:szCs w:val="20"/>
          <w:lang w:val="es-ES"/>
        </w:rPr>
        <w:t xml:space="preserve">que resulte </w:t>
      </w:r>
      <w:r w:rsidRPr="00613F9A">
        <w:rPr>
          <w:rFonts w:ascii="Verdana" w:hAnsi="Verdana"/>
          <w:sz w:val="20"/>
          <w:szCs w:val="20"/>
          <w:lang w:val="es-ES"/>
        </w:rPr>
        <w:t>respe</w:t>
      </w:r>
      <w:r w:rsidR="0039149D" w:rsidRPr="00613F9A">
        <w:rPr>
          <w:rFonts w:ascii="Verdana" w:hAnsi="Verdana"/>
          <w:sz w:val="20"/>
          <w:szCs w:val="20"/>
          <w:lang w:val="es-ES"/>
        </w:rPr>
        <w:t>c</w:t>
      </w:r>
      <w:r w:rsidRPr="00613F9A">
        <w:rPr>
          <w:rFonts w:ascii="Verdana" w:hAnsi="Verdana"/>
          <w:sz w:val="20"/>
          <w:szCs w:val="20"/>
          <w:lang w:val="es-ES"/>
        </w:rPr>
        <w:t>to de t</w:t>
      </w:r>
      <w:r w:rsidR="0039149D" w:rsidRPr="00613F9A">
        <w:rPr>
          <w:rFonts w:ascii="Verdana" w:hAnsi="Verdana"/>
          <w:sz w:val="20"/>
          <w:szCs w:val="20"/>
          <w:lang w:val="es-ES"/>
        </w:rPr>
        <w:t xml:space="preserve">odos sus Estados Partes, </w:t>
      </w:r>
      <w:r w:rsidRPr="00613F9A">
        <w:rPr>
          <w:rFonts w:ascii="Verdana" w:hAnsi="Verdana"/>
          <w:sz w:val="20"/>
          <w:szCs w:val="20"/>
          <w:lang w:val="es-ES"/>
        </w:rPr>
        <w:t xml:space="preserve">se denomina enmienda, </w:t>
      </w:r>
      <w:r w:rsidR="0039149D" w:rsidRPr="00613F9A">
        <w:rPr>
          <w:rFonts w:ascii="Verdana" w:hAnsi="Verdana"/>
          <w:sz w:val="20"/>
          <w:szCs w:val="20"/>
          <w:lang w:val="es-ES"/>
        </w:rPr>
        <w:t xml:space="preserve">mientras que el relativo </w:t>
      </w:r>
      <w:r w:rsidRPr="00613F9A">
        <w:rPr>
          <w:rFonts w:ascii="Verdana" w:hAnsi="Verdana"/>
          <w:sz w:val="20"/>
          <w:szCs w:val="20"/>
          <w:lang w:val="es-ES"/>
        </w:rPr>
        <w:t>únicamente en cuanto a algunos en sus relacio</w:t>
      </w:r>
      <w:r w:rsidR="0039149D" w:rsidRPr="00613F9A">
        <w:rPr>
          <w:rFonts w:ascii="Verdana" w:hAnsi="Verdana"/>
          <w:sz w:val="20"/>
          <w:szCs w:val="20"/>
          <w:lang w:val="es-ES"/>
        </w:rPr>
        <w:t>nes recíprocas, se le llama</w:t>
      </w:r>
      <w:r w:rsidRPr="00613F9A">
        <w:rPr>
          <w:rFonts w:ascii="Verdana" w:hAnsi="Verdana"/>
          <w:sz w:val="20"/>
          <w:szCs w:val="20"/>
          <w:lang w:val="es-ES"/>
        </w:rPr>
        <w:t xml:space="preserve"> modificación</w:t>
      </w:r>
      <w:r w:rsidRPr="00613F9A">
        <w:rPr>
          <w:rFonts w:ascii="Verdana" w:hAnsi="Verdana"/>
          <w:sz w:val="20"/>
          <w:szCs w:val="20"/>
          <w:vertAlign w:val="superscript"/>
          <w:lang w:val="es-ES"/>
        </w:rPr>
        <w:footnoteReference w:id="117"/>
      </w:r>
      <w:r w:rsidR="003C58D8" w:rsidRPr="00613F9A">
        <w:rPr>
          <w:rFonts w:ascii="Verdana" w:hAnsi="Verdana"/>
          <w:sz w:val="20"/>
          <w:szCs w:val="20"/>
          <w:lang w:val="es-ES"/>
        </w:rPr>
        <w:t>.</w:t>
      </w:r>
      <w:r w:rsidR="008A4349" w:rsidRPr="00613F9A">
        <w:rPr>
          <w:rFonts w:ascii="Verdana" w:hAnsi="Verdana"/>
          <w:sz w:val="20"/>
          <w:szCs w:val="20"/>
          <w:lang w:val="es-ES"/>
        </w:rPr>
        <w:t xml:space="preserve"> </w:t>
      </w:r>
      <w:r w:rsidR="003C58D8" w:rsidRPr="00613F9A">
        <w:rPr>
          <w:rFonts w:ascii="Verdana" w:hAnsi="Verdana"/>
          <w:sz w:val="20"/>
          <w:szCs w:val="20"/>
          <w:lang w:val="es-ES"/>
        </w:rPr>
        <w:t>Tampoco parecería tener en cuenta que, a</w:t>
      </w:r>
      <w:r w:rsidR="008A4349" w:rsidRPr="00613F9A">
        <w:rPr>
          <w:rFonts w:ascii="Verdana" w:hAnsi="Verdana"/>
          <w:sz w:val="20"/>
          <w:szCs w:val="20"/>
          <w:lang w:val="es-ES"/>
        </w:rPr>
        <w:t xml:space="preserve"> </w:t>
      </w:r>
      <w:r w:rsidRPr="00613F9A">
        <w:rPr>
          <w:rFonts w:ascii="Verdana" w:hAnsi="Verdana"/>
          <w:sz w:val="20"/>
          <w:szCs w:val="20"/>
          <w:lang w:val="es-ES"/>
        </w:rPr>
        <w:t>su turno, la Convención también hace una distinción sobre la materia, entre las propuestas de enmiendas, regidas por su artículo 76</w:t>
      </w:r>
      <w:r w:rsidRPr="00613F9A">
        <w:rPr>
          <w:rFonts w:ascii="Verdana" w:hAnsi="Verdana"/>
          <w:sz w:val="20"/>
          <w:szCs w:val="20"/>
          <w:vertAlign w:val="superscript"/>
          <w:lang w:val="es-ES"/>
        </w:rPr>
        <w:footnoteReference w:id="118"/>
      </w:r>
      <w:r w:rsidRPr="00613F9A">
        <w:rPr>
          <w:rFonts w:ascii="Verdana" w:hAnsi="Verdana"/>
          <w:sz w:val="20"/>
          <w:szCs w:val="20"/>
          <w:lang w:val="es-ES"/>
        </w:rPr>
        <w:t xml:space="preserve">, y </w:t>
      </w:r>
      <w:r w:rsidRPr="00613F9A">
        <w:rPr>
          <w:rFonts w:ascii="Verdana" w:hAnsi="Verdana"/>
          <w:sz w:val="20"/>
          <w:szCs w:val="20"/>
          <w:lang w:val="es-ES"/>
        </w:rPr>
        <w:lastRenderedPageBreak/>
        <w:t>los proyectos de protocolos adicionales a la Convención, con la finalidad de incluir progresivamente en el régimen de protección de la misma otros derechos y libertades, regulados por su artículo 77</w:t>
      </w:r>
      <w:r w:rsidRPr="00613F9A">
        <w:rPr>
          <w:rFonts w:ascii="Verdana" w:hAnsi="Verdana"/>
          <w:sz w:val="20"/>
          <w:szCs w:val="20"/>
          <w:vertAlign w:val="superscript"/>
          <w:lang w:val="es-ES"/>
        </w:rPr>
        <w:footnoteReference w:id="119"/>
      </w:r>
      <w:r w:rsidR="003C58D8" w:rsidRPr="00613F9A">
        <w:rPr>
          <w:rFonts w:ascii="Verdana" w:hAnsi="Verdana"/>
          <w:sz w:val="20"/>
          <w:szCs w:val="20"/>
          <w:lang w:val="es-ES"/>
        </w:rPr>
        <w:t>, por lo que d</w:t>
      </w:r>
      <w:r w:rsidRPr="00613F9A">
        <w:rPr>
          <w:rFonts w:ascii="Verdana" w:hAnsi="Verdana"/>
          <w:sz w:val="20"/>
          <w:szCs w:val="20"/>
          <w:lang w:val="es-ES"/>
        </w:rPr>
        <w:t>ichos protocolos no cons</w:t>
      </w:r>
      <w:r w:rsidR="0039149D" w:rsidRPr="00613F9A">
        <w:rPr>
          <w:rFonts w:ascii="Verdana" w:hAnsi="Verdana"/>
          <w:sz w:val="20"/>
          <w:szCs w:val="20"/>
          <w:lang w:val="es-ES"/>
        </w:rPr>
        <w:t>tituyen, por tanto, un cambio</w:t>
      </w:r>
      <w:r w:rsidRPr="00613F9A">
        <w:rPr>
          <w:rFonts w:ascii="Verdana" w:hAnsi="Verdana"/>
          <w:sz w:val="20"/>
          <w:szCs w:val="20"/>
          <w:lang w:val="es-ES"/>
        </w:rPr>
        <w:t xml:space="preserve"> a la Convención propiamente tal, sino que tienen por finalidad agregar otros derechos no contemplados en ella, al sistema de protección que prevé. </w:t>
      </w:r>
    </w:p>
    <w:p w:rsidR="007F78F6" w:rsidRPr="00613F9A" w:rsidRDefault="007F78F6" w:rsidP="000978E9">
      <w:pPr>
        <w:pStyle w:val="Prrafodelista"/>
        <w:ind w:left="0"/>
        <w:jc w:val="both"/>
        <w:rPr>
          <w:rFonts w:ascii="Verdana" w:hAnsi="Verdana"/>
          <w:sz w:val="20"/>
          <w:szCs w:val="20"/>
          <w:lang w:val="es-ES"/>
        </w:rPr>
      </w:pPr>
    </w:p>
    <w:p w:rsidR="00C05917" w:rsidRPr="00613F9A" w:rsidRDefault="00C05917" w:rsidP="00B24719">
      <w:pPr>
        <w:pStyle w:val="Prrafodelista"/>
        <w:numPr>
          <w:ilvl w:val="0"/>
          <w:numId w:val="2"/>
        </w:numPr>
        <w:ind w:left="0" w:firstLine="0"/>
        <w:jc w:val="both"/>
        <w:rPr>
          <w:rFonts w:ascii="Verdana" w:hAnsi="Verdana"/>
          <w:sz w:val="20"/>
          <w:szCs w:val="20"/>
          <w:lang w:val="es-ES"/>
        </w:rPr>
      </w:pPr>
      <w:r w:rsidRPr="00613F9A">
        <w:rPr>
          <w:rFonts w:ascii="Verdana" w:hAnsi="Verdana"/>
          <w:sz w:val="20"/>
          <w:szCs w:val="20"/>
          <w:lang w:val="es-ES"/>
        </w:rPr>
        <w:t>Del mismo modo, debe indicarse que el Fallo, amparándose en la disposición de la Convención de Viena según la cual “</w:t>
      </w:r>
      <w:r w:rsidRPr="00613F9A">
        <w:rPr>
          <w:rFonts w:ascii="Verdana" w:hAnsi="Verdana"/>
          <w:i/>
          <w:sz w:val="20"/>
          <w:szCs w:val="20"/>
          <w:lang w:val="es-ES"/>
        </w:rPr>
        <w:t xml:space="preserve">toda norma pertinente de derecho internacional aplicable en las relaciones entre las partes”, </w:t>
      </w:r>
      <w:r w:rsidRPr="00613F9A">
        <w:rPr>
          <w:rFonts w:ascii="Verdana" w:hAnsi="Verdana"/>
          <w:sz w:val="20"/>
          <w:szCs w:val="20"/>
          <w:lang w:val="es-ES"/>
        </w:rPr>
        <w:t xml:space="preserve">alude, por lo demás, de manera muy genérica, únicamente a la </w:t>
      </w:r>
      <w:r w:rsidRPr="00613F9A">
        <w:rPr>
          <w:rFonts w:ascii="Verdana" w:hAnsi="Verdana"/>
          <w:sz w:val="20"/>
          <w:szCs w:val="20"/>
          <w:lang w:val="es-CR"/>
        </w:rPr>
        <w:t>Declaración Americana de los Derechos y Deberes del Hombre</w:t>
      </w:r>
      <w:r w:rsidRPr="00613F9A">
        <w:rPr>
          <w:rFonts w:ascii="Verdana" w:hAnsi="Verdana"/>
          <w:sz w:val="20"/>
          <w:szCs w:val="20"/>
          <w:vertAlign w:val="superscript"/>
          <w:lang w:val="es-CR"/>
        </w:rPr>
        <w:footnoteReference w:id="120"/>
      </w:r>
      <w:r w:rsidRPr="00613F9A">
        <w:rPr>
          <w:rFonts w:ascii="Verdana" w:hAnsi="Verdana"/>
          <w:sz w:val="20"/>
          <w:szCs w:val="20"/>
          <w:lang w:val="es-CR"/>
        </w:rPr>
        <w:t xml:space="preserve"> sin advertir, </w:t>
      </w:r>
      <w:r w:rsidR="003164AD" w:rsidRPr="00613F9A">
        <w:rPr>
          <w:rFonts w:ascii="Verdana" w:hAnsi="Verdana"/>
          <w:sz w:val="20"/>
          <w:szCs w:val="20"/>
          <w:lang w:val="es-CR"/>
        </w:rPr>
        <w:t>empero, que</w:t>
      </w:r>
      <w:r w:rsidR="007E461D" w:rsidRPr="00613F9A">
        <w:rPr>
          <w:rFonts w:ascii="Verdana" w:hAnsi="Verdana"/>
          <w:sz w:val="20"/>
          <w:szCs w:val="20"/>
          <w:lang w:val="es-CR"/>
        </w:rPr>
        <w:t>, por ser anterior a la Convención,</w:t>
      </w:r>
      <w:r w:rsidR="003164AD" w:rsidRPr="00613F9A">
        <w:rPr>
          <w:rFonts w:ascii="Verdana" w:hAnsi="Verdana"/>
          <w:sz w:val="20"/>
          <w:szCs w:val="20"/>
          <w:lang w:val="es-CR"/>
        </w:rPr>
        <w:t xml:space="preserve"> se trata de </w:t>
      </w:r>
      <w:r w:rsidRPr="00613F9A">
        <w:rPr>
          <w:rFonts w:ascii="Verdana" w:hAnsi="Verdana"/>
          <w:sz w:val="20"/>
          <w:szCs w:val="20"/>
          <w:lang w:val="es-CR"/>
        </w:rPr>
        <w:t xml:space="preserve">una resolución </w:t>
      </w:r>
      <w:r w:rsidR="002A4042" w:rsidRPr="00613F9A">
        <w:rPr>
          <w:rFonts w:ascii="Verdana" w:hAnsi="Verdana"/>
          <w:sz w:val="20"/>
          <w:szCs w:val="20"/>
          <w:lang w:val="es-CR"/>
        </w:rPr>
        <w:t xml:space="preserve">que en sus inicios fue </w:t>
      </w:r>
      <w:r w:rsidRPr="00613F9A">
        <w:rPr>
          <w:rFonts w:ascii="Verdana" w:hAnsi="Verdana"/>
          <w:sz w:val="20"/>
          <w:szCs w:val="20"/>
          <w:lang w:val="es-CR"/>
        </w:rPr>
        <w:t>declarativa o interpretativa de</w:t>
      </w:r>
      <w:r w:rsidR="002A4042" w:rsidRPr="00613F9A">
        <w:rPr>
          <w:rFonts w:ascii="Verdana" w:hAnsi="Verdana"/>
          <w:sz w:val="20"/>
          <w:szCs w:val="20"/>
          <w:lang w:val="es-CR"/>
        </w:rPr>
        <w:t xml:space="preserve"> un principio general de d</w:t>
      </w:r>
      <w:r w:rsidR="00910491" w:rsidRPr="00613F9A">
        <w:rPr>
          <w:rFonts w:ascii="Verdana" w:hAnsi="Verdana"/>
          <w:sz w:val="20"/>
          <w:szCs w:val="20"/>
          <w:lang w:val="es-CR"/>
        </w:rPr>
        <w:t>erecho y que luego</w:t>
      </w:r>
      <w:r w:rsidR="007E461D" w:rsidRPr="00613F9A">
        <w:rPr>
          <w:rFonts w:ascii="Verdana" w:hAnsi="Verdana"/>
          <w:sz w:val="20"/>
          <w:szCs w:val="20"/>
          <w:lang w:val="es-CR"/>
        </w:rPr>
        <w:t>, en razón de lo prescrito en el artículo 29, d) de aquella</w:t>
      </w:r>
      <w:r w:rsidR="007E461D" w:rsidRPr="00613F9A">
        <w:rPr>
          <w:rStyle w:val="Refdenotaalpie"/>
          <w:rFonts w:ascii="Verdana" w:hAnsi="Verdana"/>
          <w:sz w:val="20"/>
          <w:szCs w:val="20"/>
          <w:lang w:val="es-CR"/>
        </w:rPr>
        <w:footnoteReference w:id="121"/>
      </w:r>
      <w:r w:rsidR="007E461D" w:rsidRPr="00613F9A">
        <w:rPr>
          <w:rFonts w:ascii="Verdana" w:hAnsi="Verdana"/>
          <w:sz w:val="20"/>
          <w:szCs w:val="20"/>
          <w:lang w:val="es-CR"/>
        </w:rPr>
        <w:t>, se le debe considerar a sus efectos interpretativos de la Convención, pero no que la interpreta</w:t>
      </w:r>
      <w:r w:rsidRPr="00613F9A">
        <w:rPr>
          <w:rFonts w:ascii="Verdana" w:hAnsi="Verdana"/>
          <w:sz w:val="20"/>
          <w:szCs w:val="20"/>
          <w:lang w:val="es-ES"/>
        </w:rPr>
        <w:t xml:space="preserve">. </w:t>
      </w:r>
    </w:p>
    <w:p w:rsidR="007F78F6" w:rsidRPr="00613F9A" w:rsidRDefault="007F78F6" w:rsidP="000978E9">
      <w:pPr>
        <w:pStyle w:val="Prrafodelista"/>
        <w:ind w:left="0"/>
        <w:jc w:val="both"/>
        <w:rPr>
          <w:rFonts w:ascii="Verdana" w:hAnsi="Verdana"/>
          <w:sz w:val="20"/>
          <w:szCs w:val="20"/>
          <w:lang w:val="es-ES"/>
        </w:rPr>
      </w:pPr>
    </w:p>
    <w:p w:rsidR="0046445B" w:rsidRPr="00613F9A" w:rsidRDefault="00C05917" w:rsidP="00B24719">
      <w:pPr>
        <w:pStyle w:val="Prrafodelista"/>
        <w:numPr>
          <w:ilvl w:val="0"/>
          <w:numId w:val="2"/>
        </w:numPr>
        <w:ind w:left="0" w:firstLine="0"/>
        <w:jc w:val="both"/>
        <w:rPr>
          <w:rFonts w:ascii="Verdana" w:hAnsi="Verdana"/>
          <w:sz w:val="20"/>
          <w:szCs w:val="20"/>
          <w:lang w:val="es-ES"/>
        </w:rPr>
      </w:pPr>
      <w:r w:rsidRPr="00613F9A">
        <w:rPr>
          <w:rFonts w:ascii="Verdana" w:eastAsia="Times" w:hAnsi="Verdana" w:cs="Arial"/>
          <w:sz w:val="20"/>
          <w:szCs w:val="20"/>
          <w:lang w:val="es-MX"/>
        </w:rPr>
        <w:t>Por otra parte, el Fallo nada afirma sobre el sistema de protección contemplado en la Convención, como parte del contexto. Como ya se expresó</w:t>
      </w:r>
      <w:r w:rsidRPr="00613F9A">
        <w:rPr>
          <w:rFonts w:ascii="Verdana" w:hAnsi="Verdana"/>
          <w:sz w:val="20"/>
          <w:szCs w:val="20"/>
          <w:vertAlign w:val="superscript"/>
          <w:lang w:val="es-MX"/>
        </w:rPr>
        <w:footnoteReference w:id="122"/>
      </w:r>
      <w:r w:rsidR="00404CDC" w:rsidRPr="00613F9A">
        <w:rPr>
          <w:rFonts w:ascii="Verdana" w:eastAsia="Times" w:hAnsi="Verdana" w:cs="Arial"/>
          <w:sz w:val="20"/>
          <w:szCs w:val="20"/>
          <w:lang w:val="es-MX"/>
        </w:rPr>
        <w:t xml:space="preserve"> e</w:t>
      </w:r>
      <w:r w:rsidRPr="00613F9A">
        <w:rPr>
          <w:rFonts w:ascii="Verdana" w:eastAsia="Times" w:hAnsi="Verdana" w:cs="Arial"/>
          <w:sz w:val="20"/>
          <w:szCs w:val="20"/>
          <w:lang w:val="es-MX"/>
        </w:rPr>
        <w:t xml:space="preserve">l </w:t>
      </w:r>
      <w:r w:rsidR="00404CDC" w:rsidRPr="00613F9A">
        <w:rPr>
          <w:rFonts w:ascii="Verdana" w:eastAsia="Times" w:hAnsi="Verdana" w:cs="Arial"/>
          <w:sz w:val="20"/>
          <w:szCs w:val="20"/>
          <w:lang w:val="es-MX"/>
        </w:rPr>
        <w:t xml:space="preserve">citado </w:t>
      </w:r>
      <w:r w:rsidRPr="00613F9A">
        <w:rPr>
          <w:rFonts w:ascii="Verdana" w:eastAsia="Times" w:hAnsi="Verdana" w:cs="Arial"/>
          <w:sz w:val="20"/>
          <w:szCs w:val="20"/>
          <w:lang w:val="es-MX"/>
        </w:rPr>
        <w:t xml:space="preserve">sistema </w:t>
      </w:r>
      <w:r w:rsidRPr="00613F9A">
        <w:rPr>
          <w:rFonts w:ascii="Verdana" w:hAnsi="Verdana"/>
          <w:sz w:val="20"/>
          <w:szCs w:val="20"/>
          <w:lang w:val="es-ES"/>
        </w:rPr>
        <w:t>está previsto en la Parte II de la Convención, titulada como “</w:t>
      </w:r>
      <w:r w:rsidRPr="00613F9A">
        <w:rPr>
          <w:rFonts w:ascii="Verdana" w:hAnsi="Verdana"/>
          <w:i/>
          <w:sz w:val="20"/>
          <w:szCs w:val="20"/>
          <w:lang w:val="es-ES"/>
        </w:rPr>
        <w:t>Medios de la Protección</w:t>
      </w:r>
      <w:r w:rsidRPr="00613F9A">
        <w:rPr>
          <w:rFonts w:ascii="Verdana" w:hAnsi="Verdana"/>
          <w:sz w:val="20"/>
          <w:szCs w:val="20"/>
          <w:lang w:val="es-ES"/>
        </w:rPr>
        <w:t>” Nótese sobre este particular, que en el Fallo no se da explicación o razón alguna o, al m</w:t>
      </w:r>
      <w:r w:rsidR="00404CDC" w:rsidRPr="00613F9A">
        <w:rPr>
          <w:rFonts w:ascii="Verdana" w:hAnsi="Verdana"/>
          <w:sz w:val="20"/>
          <w:szCs w:val="20"/>
          <w:lang w:val="es-ES"/>
        </w:rPr>
        <w:t>enos, suficiente, por la que el tantas veces citado artículo 26</w:t>
      </w:r>
      <w:r w:rsidR="008A4349" w:rsidRPr="00613F9A">
        <w:rPr>
          <w:rFonts w:ascii="Verdana" w:hAnsi="Verdana"/>
          <w:sz w:val="20"/>
          <w:szCs w:val="20"/>
          <w:lang w:val="es-ES"/>
        </w:rPr>
        <w:t xml:space="preserve"> </w:t>
      </w:r>
      <w:r w:rsidRPr="00613F9A">
        <w:rPr>
          <w:rFonts w:ascii="Verdana" w:hAnsi="Verdana"/>
          <w:sz w:val="20"/>
          <w:szCs w:val="20"/>
          <w:lang w:val="es-ES"/>
        </w:rPr>
        <w:t>se inc</w:t>
      </w:r>
      <w:r w:rsidR="00404CDC" w:rsidRPr="00613F9A">
        <w:rPr>
          <w:rFonts w:ascii="Verdana" w:hAnsi="Verdana"/>
          <w:sz w:val="20"/>
          <w:szCs w:val="20"/>
          <w:lang w:val="es-ES"/>
        </w:rPr>
        <w:t>luyó en forma separada y como el único</w:t>
      </w:r>
      <w:r w:rsidRPr="00613F9A">
        <w:rPr>
          <w:rFonts w:ascii="Verdana" w:hAnsi="Verdana"/>
          <w:sz w:val="20"/>
          <w:szCs w:val="20"/>
          <w:lang w:val="es-ES"/>
        </w:rPr>
        <w:t xml:space="preserve"> del Capítulo III de la Convención, denominado “</w:t>
      </w:r>
      <w:r w:rsidRPr="00613F9A">
        <w:rPr>
          <w:rFonts w:ascii="Verdana" w:hAnsi="Verdana"/>
          <w:i/>
          <w:sz w:val="20"/>
          <w:szCs w:val="20"/>
          <w:lang w:val="es-ES"/>
        </w:rPr>
        <w:t>Derechos Económicos, Sociales y Culturales</w:t>
      </w:r>
      <w:r w:rsidRPr="00613F9A">
        <w:rPr>
          <w:rFonts w:ascii="Verdana" w:hAnsi="Verdana"/>
          <w:sz w:val="20"/>
          <w:szCs w:val="20"/>
          <w:lang w:val="es-ES"/>
        </w:rPr>
        <w:t>” ni por qué no se incluyó en el Capítulo II de la I Parte de la Convención, titulada “</w:t>
      </w:r>
      <w:r w:rsidRPr="00613F9A">
        <w:rPr>
          <w:rFonts w:ascii="Verdana" w:hAnsi="Verdana"/>
          <w:i/>
          <w:sz w:val="20"/>
          <w:szCs w:val="20"/>
          <w:lang w:val="es-ES"/>
        </w:rPr>
        <w:t>Deberes de los Estados y Derechos Protegidos</w:t>
      </w:r>
      <w:r w:rsidR="00404CDC" w:rsidRPr="00613F9A">
        <w:rPr>
          <w:rFonts w:ascii="Verdana" w:hAnsi="Verdana"/>
          <w:sz w:val="20"/>
          <w:szCs w:val="20"/>
          <w:lang w:val="es-ES"/>
        </w:rPr>
        <w:t xml:space="preserve">”. Tampoco nada señala </w:t>
      </w:r>
      <w:r w:rsidRPr="00613F9A">
        <w:rPr>
          <w:rFonts w:ascii="Verdana" w:hAnsi="Verdana"/>
          <w:sz w:val="20"/>
          <w:szCs w:val="20"/>
          <w:lang w:val="es-ES"/>
        </w:rPr>
        <w:t xml:space="preserve">ese Capítulo </w:t>
      </w:r>
      <w:r w:rsidR="00404CDC" w:rsidRPr="00613F9A">
        <w:rPr>
          <w:rFonts w:ascii="Verdana" w:hAnsi="Verdana"/>
          <w:sz w:val="20"/>
          <w:szCs w:val="20"/>
          <w:lang w:val="es-ES"/>
        </w:rPr>
        <w:t xml:space="preserve">del por qué </w:t>
      </w:r>
      <w:r w:rsidRPr="00613F9A">
        <w:rPr>
          <w:rFonts w:ascii="Verdana" w:hAnsi="Verdana"/>
          <w:sz w:val="20"/>
          <w:szCs w:val="20"/>
          <w:lang w:val="es-ES"/>
        </w:rPr>
        <w:t>no se tituló sencillamente como “</w:t>
      </w:r>
      <w:r w:rsidRPr="00613F9A">
        <w:rPr>
          <w:rFonts w:ascii="Verdana" w:hAnsi="Verdana"/>
          <w:i/>
          <w:sz w:val="20"/>
          <w:szCs w:val="20"/>
          <w:lang w:val="es-ES"/>
        </w:rPr>
        <w:t>Derechos</w:t>
      </w:r>
      <w:r w:rsidRPr="00613F9A">
        <w:rPr>
          <w:rFonts w:ascii="Verdana" w:hAnsi="Verdana"/>
          <w:sz w:val="20"/>
          <w:szCs w:val="20"/>
          <w:lang w:val="es-ES"/>
        </w:rPr>
        <w:t xml:space="preserve">”. </w:t>
      </w:r>
    </w:p>
    <w:p w:rsidR="0046445B" w:rsidRPr="00613F9A" w:rsidRDefault="0046445B" w:rsidP="000978E9">
      <w:pPr>
        <w:pStyle w:val="Prrafodelista"/>
        <w:rPr>
          <w:rFonts w:ascii="Verdana" w:hAnsi="Verdana"/>
          <w:sz w:val="20"/>
          <w:szCs w:val="20"/>
          <w:lang w:val="es-ES"/>
        </w:rPr>
      </w:pPr>
    </w:p>
    <w:p w:rsidR="00C05917" w:rsidRPr="00613F9A" w:rsidRDefault="00C05917" w:rsidP="00B24719">
      <w:pPr>
        <w:pStyle w:val="Prrafodelista"/>
        <w:numPr>
          <w:ilvl w:val="0"/>
          <w:numId w:val="2"/>
        </w:numPr>
        <w:ind w:left="0" w:firstLine="0"/>
        <w:jc w:val="both"/>
        <w:rPr>
          <w:rFonts w:ascii="Verdana" w:hAnsi="Verdana"/>
          <w:sz w:val="20"/>
          <w:szCs w:val="20"/>
          <w:lang w:val="es-ES"/>
        </w:rPr>
      </w:pPr>
      <w:r w:rsidRPr="00613F9A">
        <w:rPr>
          <w:rFonts w:ascii="Verdana" w:hAnsi="Verdana"/>
          <w:sz w:val="20"/>
          <w:szCs w:val="20"/>
          <w:lang w:val="es-ES"/>
        </w:rPr>
        <w:t xml:space="preserve">En suma, el Fallo no suministra explicación razonable que permita comprender la diferencia entre ambos Capítulos de la Parte I de la Convención. </w:t>
      </w:r>
      <w:r w:rsidR="00E02DDD" w:rsidRPr="00613F9A">
        <w:rPr>
          <w:rFonts w:ascii="Verdana" w:hAnsi="Verdana"/>
          <w:sz w:val="20"/>
          <w:szCs w:val="20"/>
          <w:lang w:val="es-ES"/>
        </w:rPr>
        <w:t xml:space="preserve">No proporciona, pues, una razón que justifique la diferencia entre la regulación convencional de los derechos civiles y políticos y los derechos económicos, sociales y culturales. </w:t>
      </w:r>
      <w:r w:rsidRPr="00613F9A">
        <w:rPr>
          <w:rFonts w:ascii="Verdana" w:hAnsi="Verdana"/>
          <w:sz w:val="20"/>
          <w:szCs w:val="20"/>
          <w:lang w:val="es-ES"/>
        </w:rPr>
        <w:t>Obvia y lógicamente, el fundamento de ell</w:t>
      </w:r>
      <w:r w:rsidR="00E02DDD" w:rsidRPr="00613F9A">
        <w:rPr>
          <w:rFonts w:ascii="Verdana" w:hAnsi="Verdana"/>
          <w:sz w:val="20"/>
          <w:szCs w:val="20"/>
          <w:lang w:val="es-ES"/>
        </w:rPr>
        <w:t>o no puede ser</w:t>
      </w:r>
      <w:r w:rsidR="00404CDC" w:rsidRPr="00613F9A">
        <w:rPr>
          <w:rFonts w:ascii="Verdana" w:hAnsi="Verdana"/>
          <w:sz w:val="20"/>
          <w:szCs w:val="20"/>
          <w:lang w:val="es-ES"/>
        </w:rPr>
        <w:t xml:space="preserve"> otro que el </w:t>
      </w:r>
      <w:r w:rsidRPr="00613F9A">
        <w:rPr>
          <w:rFonts w:ascii="Verdana" w:hAnsi="Verdana"/>
          <w:sz w:val="20"/>
          <w:szCs w:val="20"/>
          <w:lang w:val="es-ES"/>
        </w:rPr>
        <w:t>artículo 26 no establece un derecho humano y que, consecuentemente,</w:t>
      </w:r>
      <w:r w:rsidR="00E02DDD" w:rsidRPr="00613F9A">
        <w:rPr>
          <w:rFonts w:ascii="Verdana" w:hAnsi="Verdana"/>
          <w:sz w:val="20"/>
          <w:szCs w:val="20"/>
          <w:lang w:val="es-ES"/>
        </w:rPr>
        <w:t xml:space="preserve"> </w:t>
      </w:r>
      <w:r w:rsidRPr="00613F9A">
        <w:rPr>
          <w:rFonts w:ascii="Verdana" w:hAnsi="Verdana"/>
          <w:sz w:val="20"/>
          <w:szCs w:val="20"/>
          <w:lang w:val="es-ES"/>
        </w:rPr>
        <w:t>a las personas no les asiste</w:t>
      </w:r>
      <w:r w:rsidR="00E02DDD" w:rsidRPr="00613F9A">
        <w:rPr>
          <w:rFonts w:ascii="Verdana" w:hAnsi="Verdana"/>
          <w:sz w:val="20"/>
          <w:szCs w:val="20"/>
          <w:lang w:val="es-ES"/>
        </w:rPr>
        <w:t>, a su amparo,</w:t>
      </w:r>
      <w:r w:rsidRPr="00613F9A">
        <w:rPr>
          <w:rFonts w:ascii="Verdana" w:hAnsi="Verdana"/>
          <w:sz w:val="20"/>
          <w:szCs w:val="20"/>
          <w:lang w:val="es-ES"/>
        </w:rPr>
        <w:t xml:space="preserve"> el derecho de reclamación</w:t>
      </w:r>
      <w:r w:rsidR="00404CDC" w:rsidRPr="00613F9A">
        <w:rPr>
          <w:rFonts w:ascii="Verdana" w:hAnsi="Verdana"/>
          <w:sz w:val="20"/>
          <w:szCs w:val="20"/>
          <w:lang w:val="es-ES"/>
        </w:rPr>
        <w:t xml:space="preserve"> ante la Corte por violación de algún derecho humano</w:t>
      </w:r>
      <w:r w:rsidR="007F78F6" w:rsidRPr="00613F9A">
        <w:rPr>
          <w:rFonts w:ascii="Verdana" w:hAnsi="Verdana"/>
          <w:sz w:val="20"/>
          <w:szCs w:val="20"/>
          <w:lang w:val="es-ES"/>
        </w:rPr>
        <w:t>.</w:t>
      </w:r>
    </w:p>
    <w:p w:rsidR="007F78F6" w:rsidRPr="00613F9A" w:rsidRDefault="007F78F6" w:rsidP="000978E9">
      <w:pPr>
        <w:pStyle w:val="Prrafodelista"/>
        <w:ind w:left="0"/>
        <w:jc w:val="both"/>
        <w:rPr>
          <w:rFonts w:ascii="Verdana" w:hAnsi="Verdana"/>
          <w:sz w:val="20"/>
          <w:szCs w:val="20"/>
          <w:lang w:val="es-ES"/>
        </w:rPr>
      </w:pPr>
    </w:p>
    <w:p w:rsidR="007F78F6" w:rsidRPr="00613F9A" w:rsidRDefault="00C05917" w:rsidP="006F2613">
      <w:pPr>
        <w:pStyle w:val="Prrafodelista"/>
        <w:numPr>
          <w:ilvl w:val="0"/>
          <w:numId w:val="2"/>
        </w:numPr>
        <w:ind w:left="0" w:firstLine="0"/>
        <w:jc w:val="both"/>
        <w:rPr>
          <w:rFonts w:ascii="Verdana" w:hAnsi="Verdana"/>
          <w:sz w:val="20"/>
          <w:szCs w:val="20"/>
          <w:lang w:val="es-ES"/>
        </w:rPr>
      </w:pPr>
      <w:r w:rsidRPr="00613F9A">
        <w:rPr>
          <w:rFonts w:ascii="Verdana" w:hAnsi="Verdana"/>
          <w:sz w:val="20"/>
          <w:szCs w:val="20"/>
          <w:lang w:val="es-ES"/>
        </w:rPr>
        <w:t>Por último, parece procedente estacar que el Fallo se fundamenta, en cuanto a lo de interpretación sistémica, sólo en la jurisprudencia de la propia Corte</w:t>
      </w:r>
      <w:r w:rsidRPr="00613F9A">
        <w:rPr>
          <w:rFonts w:ascii="Verdana" w:hAnsi="Verdana"/>
          <w:sz w:val="20"/>
          <w:szCs w:val="20"/>
          <w:vertAlign w:val="superscript"/>
          <w:lang w:val="es-ES"/>
        </w:rPr>
        <w:footnoteReference w:id="123"/>
      </w:r>
      <w:r w:rsidRPr="00613F9A">
        <w:rPr>
          <w:rFonts w:ascii="Verdana" w:hAnsi="Verdana"/>
          <w:sz w:val="20"/>
          <w:szCs w:val="20"/>
          <w:lang w:val="es-ES"/>
        </w:rPr>
        <w:t>, es decir, en su propio parecer, llegando incluso a recurrir a la institución de “</w:t>
      </w:r>
      <w:r w:rsidRPr="00613F9A">
        <w:rPr>
          <w:rFonts w:ascii="Verdana" w:hAnsi="Verdana"/>
          <w:i/>
          <w:sz w:val="20"/>
          <w:szCs w:val="20"/>
          <w:lang w:val="es-ES"/>
        </w:rPr>
        <w:t xml:space="preserve">la </w:t>
      </w:r>
      <w:r w:rsidRPr="00613F9A">
        <w:rPr>
          <w:rFonts w:ascii="Verdana" w:eastAsia="Times" w:hAnsi="Verdana" w:cs="Arial"/>
          <w:i/>
          <w:sz w:val="20"/>
          <w:szCs w:val="20"/>
          <w:lang w:val="es-MX"/>
        </w:rPr>
        <w:t>compétence de la compétence</w:t>
      </w:r>
      <w:r w:rsidRPr="00613F9A">
        <w:rPr>
          <w:rFonts w:ascii="Verdana" w:eastAsia="Times" w:hAnsi="Verdana" w:cs="Arial"/>
          <w:sz w:val="20"/>
          <w:szCs w:val="20"/>
          <w:lang w:val="es-MX"/>
        </w:rPr>
        <w:t>” a fin de afirmar que “</w:t>
      </w:r>
      <w:r w:rsidRPr="00613F9A">
        <w:rPr>
          <w:rFonts w:ascii="Verdana" w:eastAsia="Times" w:hAnsi="Verdana" w:cs="Arial"/>
          <w:i/>
          <w:sz w:val="20"/>
          <w:szCs w:val="20"/>
          <w:lang w:val="es-MX"/>
        </w:rPr>
        <w:t>tiene el poder inherente de determinar el alcance de su propia competencia</w:t>
      </w:r>
      <w:r w:rsidRPr="00613F9A">
        <w:rPr>
          <w:rFonts w:ascii="Verdana" w:eastAsia="Times" w:hAnsi="Verdana" w:cs="Arial"/>
          <w:sz w:val="20"/>
          <w:szCs w:val="20"/>
          <w:lang w:val="es-MX"/>
        </w:rPr>
        <w:t>”</w:t>
      </w:r>
      <w:r w:rsidRPr="00613F9A">
        <w:rPr>
          <w:rFonts w:ascii="Verdana" w:eastAsia="Times" w:hAnsi="Verdana" w:cs="Arial"/>
          <w:sz w:val="20"/>
          <w:szCs w:val="20"/>
          <w:vertAlign w:val="superscript"/>
          <w:lang w:val="es-MX"/>
        </w:rPr>
        <w:footnoteReference w:id="124"/>
      </w:r>
      <w:r w:rsidRPr="00613F9A">
        <w:rPr>
          <w:rFonts w:ascii="Verdana" w:eastAsia="Times" w:hAnsi="Verdana" w:cs="Arial"/>
          <w:sz w:val="20"/>
          <w:szCs w:val="20"/>
          <w:lang w:val="es-MX"/>
        </w:rPr>
        <w:t>.</w:t>
      </w:r>
      <w:r w:rsidR="00E02DDD" w:rsidRPr="00613F9A">
        <w:rPr>
          <w:rFonts w:ascii="Verdana" w:eastAsia="Times" w:hAnsi="Verdana" w:cs="Arial"/>
          <w:sz w:val="20"/>
          <w:szCs w:val="20"/>
          <w:lang w:val="es-MX"/>
        </w:rPr>
        <w:t xml:space="preserve"> Evidentemente, este argumento resulta insuficiente para sustentar su posición.</w:t>
      </w:r>
    </w:p>
    <w:p w:rsidR="007F78F6" w:rsidRPr="00613F9A" w:rsidRDefault="007F78F6" w:rsidP="006F2613">
      <w:pPr>
        <w:pStyle w:val="Prrafodelista"/>
        <w:ind w:left="0"/>
        <w:jc w:val="both"/>
        <w:rPr>
          <w:rFonts w:ascii="Verdana" w:hAnsi="Verdana"/>
          <w:sz w:val="20"/>
          <w:szCs w:val="20"/>
          <w:lang w:val="es-ES"/>
        </w:rPr>
      </w:pPr>
    </w:p>
    <w:p w:rsidR="00404CDC" w:rsidRPr="00613F9A" w:rsidRDefault="00C05917" w:rsidP="006F2613">
      <w:pPr>
        <w:pStyle w:val="Prrafodelista"/>
        <w:numPr>
          <w:ilvl w:val="0"/>
          <w:numId w:val="2"/>
        </w:numPr>
        <w:ind w:left="0" w:firstLine="0"/>
        <w:jc w:val="both"/>
        <w:rPr>
          <w:rFonts w:ascii="Verdana" w:hAnsi="Verdana"/>
          <w:sz w:val="20"/>
          <w:szCs w:val="20"/>
          <w:lang w:val="es-ES"/>
        </w:rPr>
      </w:pPr>
      <w:r w:rsidRPr="00613F9A">
        <w:rPr>
          <w:rFonts w:ascii="Verdana" w:hAnsi="Verdana"/>
          <w:sz w:val="20"/>
          <w:szCs w:val="20"/>
          <w:lang w:val="es-ES"/>
        </w:rPr>
        <w:lastRenderedPageBreak/>
        <w:t>En síntesis, se debe concluir que el Fallo no realiza, en rigor, una interpretación sistémica o subjetiva propiamente tal, esto es, como está prevista en la Convención de Viena, vale decir, no efectúa una interpretación armónica entre las diferentes disposiciones de la Convención, lo que, al igual que acontece con la aplicación incorrecta del método de interpretación</w:t>
      </w:r>
      <w:r w:rsidR="00404CDC" w:rsidRPr="00613F9A">
        <w:rPr>
          <w:rFonts w:ascii="Verdana" w:hAnsi="Verdana"/>
          <w:sz w:val="20"/>
          <w:szCs w:val="20"/>
          <w:lang w:val="es-ES"/>
        </w:rPr>
        <w:t xml:space="preserve"> literal</w:t>
      </w:r>
      <w:r w:rsidRPr="00613F9A">
        <w:rPr>
          <w:rFonts w:ascii="Verdana" w:hAnsi="Verdana"/>
          <w:sz w:val="20"/>
          <w:szCs w:val="20"/>
          <w:lang w:val="es-ES"/>
        </w:rPr>
        <w:t xml:space="preserve">, lo conduce a una conclusión inexacta. </w:t>
      </w:r>
    </w:p>
    <w:p w:rsidR="00404CDC" w:rsidRPr="00613F9A" w:rsidRDefault="00404CDC" w:rsidP="006F2613">
      <w:pPr>
        <w:pStyle w:val="Prrafodelista"/>
        <w:rPr>
          <w:rFonts w:ascii="Verdana" w:hAnsi="Verdana"/>
          <w:b/>
          <w:sz w:val="20"/>
          <w:szCs w:val="20"/>
          <w:lang w:val="es-ES"/>
        </w:rPr>
      </w:pPr>
    </w:p>
    <w:p w:rsidR="00C05917" w:rsidRPr="00613F9A" w:rsidRDefault="00C05917" w:rsidP="00B24719">
      <w:pPr>
        <w:pStyle w:val="Prrafodelista"/>
        <w:numPr>
          <w:ilvl w:val="0"/>
          <w:numId w:val="15"/>
        </w:numPr>
        <w:spacing w:after="120"/>
        <w:jc w:val="both"/>
        <w:rPr>
          <w:rFonts w:ascii="Verdana" w:hAnsi="Verdana"/>
          <w:sz w:val="20"/>
          <w:szCs w:val="20"/>
          <w:lang w:val="es-ES"/>
        </w:rPr>
      </w:pPr>
      <w:r w:rsidRPr="00613F9A">
        <w:rPr>
          <w:rFonts w:ascii="Verdana" w:hAnsi="Verdana"/>
          <w:b/>
          <w:sz w:val="20"/>
          <w:szCs w:val="20"/>
          <w:lang w:val="es-ES"/>
        </w:rPr>
        <w:t xml:space="preserve">Interpretación </w:t>
      </w:r>
      <w:r w:rsidRPr="00613F9A">
        <w:rPr>
          <w:rFonts w:ascii="Verdana" w:eastAsia="Verdana" w:hAnsi="Verdana"/>
          <w:b/>
          <w:bCs/>
          <w:sz w:val="20"/>
          <w:szCs w:val="20"/>
          <w:lang w:val="es-CR" w:eastAsia="x-none"/>
        </w:rPr>
        <w:t>teleológica o</w:t>
      </w:r>
      <w:r w:rsidRPr="00613F9A">
        <w:rPr>
          <w:rFonts w:ascii="Verdana" w:hAnsi="Verdana"/>
          <w:b/>
          <w:sz w:val="20"/>
          <w:szCs w:val="20"/>
        </w:rPr>
        <w:t xml:space="preserve"> funcional</w:t>
      </w:r>
      <w:r w:rsidRPr="00613F9A">
        <w:rPr>
          <w:rFonts w:ascii="Verdana" w:hAnsi="Verdana"/>
          <w:b/>
          <w:sz w:val="20"/>
          <w:szCs w:val="20"/>
          <w:lang w:val="es-ES"/>
        </w:rPr>
        <w:t>.</w:t>
      </w:r>
    </w:p>
    <w:p w:rsidR="00E02DDD" w:rsidRPr="00613F9A" w:rsidRDefault="00E02DDD" w:rsidP="000978E9">
      <w:pPr>
        <w:pStyle w:val="Prrafodelista"/>
        <w:spacing w:after="120"/>
        <w:ind w:left="20"/>
        <w:jc w:val="both"/>
        <w:rPr>
          <w:rFonts w:ascii="Verdana" w:hAnsi="Verdana"/>
          <w:sz w:val="20"/>
          <w:szCs w:val="20"/>
          <w:lang w:val="es-ES"/>
        </w:rPr>
      </w:pPr>
    </w:p>
    <w:p w:rsidR="00024F83" w:rsidRPr="00613F9A" w:rsidRDefault="00C05917" w:rsidP="006F2613">
      <w:pPr>
        <w:pStyle w:val="Prrafodelista"/>
        <w:numPr>
          <w:ilvl w:val="0"/>
          <w:numId w:val="2"/>
        </w:numPr>
        <w:spacing w:after="120"/>
        <w:ind w:left="20" w:hanging="20"/>
        <w:jc w:val="both"/>
        <w:rPr>
          <w:rFonts w:ascii="Verdana" w:hAnsi="Verdana"/>
          <w:i/>
          <w:sz w:val="20"/>
          <w:szCs w:val="20"/>
          <w:lang w:val="es-ES"/>
        </w:rPr>
      </w:pPr>
      <w:r w:rsidRPr="00613F9A">
        <w:rPr>
          <w:rFonts w:ascii="Verdana" w:hAnsi="Verdana"/>
          <w:sz w:val="20"/>
          <w:szCs w:val="20"/>
          <w:lang w:val="es-ES"/>
        </w:rPr>
        <w:t>En lo pertinente al método de interpretación teleológica de la Convenció</w:t>
      </w:r>
      <w:r w:rsidR="006F01F8" w:rsidRPr="00613F9A">
        <w:rPr>
          <w:rFonts w:ascii="Verdana" w:hAnsi="Verdana"/>
          <w:sz w:val="20"/>
          <w:szCs w:val="20"/>
          <w:lang w:val="es-ES"/>
        </w:rPr>
        <w:t>n, si bien es verdad que</w:t>
      </w:r>
      <w:r w:rsidR="006F01F8" w:rsidRPr="00613F9A">
        <w:rPr>
          <w:rFonts w:ascii="Verdana" w:eastAsia="Times" w:hAnsi="Verdana" w:cs="Arial"/>
          <w:sz w:val="20"/>
          <w:szCs w:val="20"/>
          <w:lang w:val="es-MX"/>
        </w:rPr>
        <w:t xml:space="preserve"> </w:t>
      </w:r>
      <w:r w:rsidR="00AB1AAD" w:rsidRPr="00613F9A">
        <w:rPr>
          <w:rFonts w:ascii="Verdana" w:eastAsia="Times" w:hAnsi="Verdana" w:cs="Arial"/>
          <w:sz w:val="20"/>
          <w:szCs w:val="20"/>
          <w:lang w:val="es-MX"/>
        </w:rPr>
        <w:t xml:space="preserve">el Fallo </w:t>
      </w:r>
      <w:r w:rsidRPr="00613F9A">
        <w:rPr>
          <w:rFonts w:ascii="Verdana" w:eastAsia="Times" w:hAnsi="Verdana" w:cs="Arial"/>
          <w:sz w:val="20"/>
          <w:szCs w:val="20"/>
          <w:lang w:val="es-MX"/>
        </w:rPr>
        <w:t xml:space="preserve">recurre al Preámbulo de </w:t>
      </w:r>
      <w:r w:rsidR="002A4042" w:rsidRPr="00613F9A">
        <w:rPr>
          <w:rFonts w:ascii="Verdana" w:eastAsia="Times" w:hAnsi="Verdana" w:cs="Arial"/>
          <w:sz w:val="20"/>
          <w:szCs w:val="20"/>
          <w:lang w:val="es-MX"/>
        </w:rPr>
        <w:t>la Convención, también es cierto</w:t>
      </w:r>
      <w:r w:rsidRPr="00613F9A">
        <w:rPr>
          <w:rFonts w:ascii="Verdana" w:eastAsia="Times" w:hAnsi="Verdana" w:cs="Arial"/>
          <w:sz w:val="20"/>
          <w:szCs w:val="20"/>
          <w:lang w:val="es-MX"/>
        </w:rPr>
        <w:t xml:space="preserve"> que únicamente uno de los párrafos de este último indica cual es el objeto y fin de ella, puesto que el resto son consideraciones acerca de los motivos por los que se suscribe</w:t>
      </w:r>
      <w:r w:rsidRPr="00613F9A">
        <w:rPr>
          <w:rFonts w:ascii="Verdana" w:eastAsia="Times" w:hAnsi="Verdana" w:cs="Arial"/>
          <w:sz w:val="20"/>
          <w:szCs w:val="20"/>
          <w:vertAlign w:val="superscript"/>
          <w:lang w:val="es-MX"/>
        </w:rPr>
        <w:footnoteReference w:id="125"/>
      </w:r>
      <w:r w:rsidR="006F01F8" w:rsidRPr="00613F9A">
        <w:rPr>
          <w:rFonts w:ascii="Verdana" w:eastAsia="Times" w:hAnsi="Verdana" w:cs="Arial"/>
          <w:sz w:val="20"/>
          <w:szCs w:val="20"/>
          <w:lang w:val="es-MX"/>
        </w:rPr>
        <w:t>. En términos de ese último párrafo</w:t>
      </w:r>
      <w:r w:rsidRPr="00613F9A">
        <w:rPr>
          <w:rFonts w:ascii="Verdana" w:eastAsia="Times" w:hAnsi="Verdana" w:cs="Arial"/>
          <w:sz w:val="20"/>
          <w:szCs w:val="20"/>
          <w:lang w:val="es-MX"/>
        </w:rPr>
        <w:t xml:space="preserve">, el objeto y fin de la Convención es </w:t>
      </w:r>
      <w:r w:rsidRPr="00613F9A">
        <w:rPr>
          <w:rFonts w:ascii="Verdana" w:eastAsia="Times" w:hAnsi="Verdana" w:cs="Arial"/>
          <w:i/>
          <w:sz w:val="20"/>
          <w:szCs w:val="20"/>
          <w:lang w:val="es-MX"/>
        </w:rPr>
        <w:t>“</w:t>
      </w:r>
      <w:r w:rsidRPr="00613F9A">
        <w:rPr>
          <w:rFonts w:ascii="Verdana" w:hAnsi="Verdana"/>
          <w:i/>
          <w:sz w:val="20"/>
          <w:szCs w:val="20"/>
          <w:lang w:val="es-ES"/>
        </w:rPr>
        <w:t>la incorporación a la propia Carta de la Organización de normas más amplias sobre derechos económicos, sociales y educacionales”</w:t>
      </w:r>
      <w:r w:rsidRPr="00613F9A">
        <w:rPr>
          <w:rFonts w:ascii="Verdana" w:hAnsi="Verdana"/>
          <w:sz w:val="20"/>
          <w:szCs w:val="20"/>
          <w:lang w:val="es-ES"/>
        </w:rPr>
        <w:t xml:space="preserve"> y que “</w:t>
      </w:r>
      <w:r w:rsidRPr="00613F9A">
        <w:rPr>
          <w:rFonts w:ascii="Verdana" w:hAnsi="Verdana"/>
          <w:i/>
          <w:sz w:val="20"/>
          <w:szCs w:val="20"/>
          <w:lang w:val="es-ES"/>
        </w:rPr>
        <w:t>una convención interamericana sobre derechos humanos determinara la estructura, competencia y procedimiento de los órganos encargados de esa materia”</w:t>
      </w:r>
      <w:r w:rsidR="007E461D" w:rsidRPr="00613F9A">
        <w:rPr>
          <w:rFonts w:ascii="Verdana" w:hAnsi="Verdana"/>
          <w:i/>
          <w:sz w:val="20"/>
          <w:szCs w:val="20"/>
          <w:vertAlign w:val="superscript"/>
          <w:lang w:val="es-ES"/>
        </w:rPr>
        <w:t>.</w:t>
      </w:r>
    </w:p>
    <w:p w:rsidR="00024F83" w:rsidRPr="00613F9A" w:rsidRDefault="00024F83" w:rsidP="006F2613">
      <w:pPr>
        <w:pStyle w:val="Prrafodelista"/>
        <w:spacing w:after="120"/>
        <w:ind w:left="20" w:hanging="20"/>
        <w:jc w:val="both"/>
        <w:rPr>
          <w:rFonts w:ascii="Verdana" w:hAnsi="Verdana"/>
          <w:i/>
          <w:sz w:val="20"/>
          <w:szCs w:val="20"/>
          <w:lang w:val="es-ES"/>
        </w:rPr>
      </w:pPr>
    </w:p>
    <w:p w:rsidR="00024F83" w:rsidRPr="00613F9A" w:rsidRDefault="00024F83" w:rsidP="006F2613">
      <w:pPr>
        <w:pStyle w:val="Prrafodelista"/>
        <w:numPr>
          <w:ilvl w:val="0"/>
          <w:numId w:val="2"/>
        </w:numPr>
        <w:spacing w:after="0"/>
        <w:ind w:left="20" w:hanging="20"/>
        <w:jc w:val="both"/>
        <w:rPr>
          <w:rFonts w:ascii="Verdana" w:eastAsia="Times" w:hAnsi="Verdana" w:cs="Arial"/>
          <w:sz w:val="20"/>
          <w:szCs w:val="20"/>
          <w:lang w:val="es-MX"/>
        </w:rPr>
      </w:pPr>
      <w:r w:rsidRPr="00613F9A">
        <w:rPr>
          <w:rFonts w:ascii="Verdana" w:hAnsi="Verdana"/>
          <w:sz w:val="20"/>
          <w:szCs w:val="20"/>
          <w:lang w:val="es-ES"/>
        </w:rPr>
        <w:t>De manera, pues, que siendo cierto que “</w:t>
      </w:r>
      <w:r w:rsidRPr="00613F9A">
        <w:rPr>
          <w:rFonts w:ascii="Verdana" w:eastAsia="Times" w:hAnsi="Verdana" w:cs="Arial"/>
          <w:i/>
          <w:sz w:val="20"/>
          <w:szCs w:val="20"/>
          <w:lang w:val="es-MX"/>
        </w:rPr>
        <w:t>la Corte ha afirmado que el objeto y fin de la Convención es la protección de los derechos fundamentales de los seres humanos</w:t>
      </w:r>
      <w:r w:rsidRPr="00613F9A">
        <w:rPr>
          <w:rFonts w:ascii="Verdana" w:eastAsia="Times" w:hAnsi="Verdana" w:cs="Arial"/>
          <w:sz w:val="20"/>
          <w:szCs w:val="20"/>
          <w:lang w:val="es-MX"/>
        </w:rPr>
        <w:t>”</w:t>
      </w:r>
      <w:r w:rsidRPr="00613F9A">
        <w:rPr>
          <w:rFonts w:ascii="Verdana" w:hAnsi="Verdana"/>
          <w:sz w:val="20"/>
          <w:szCs w:val="20"/>
          <w:vertAlign w:val="superscript"/>
          <w:lang w:val="es-MX"/>
        </w:rPr>
        <w:footnoteReference w:id="126"/>
      </w:r>
      <w:r w:rsidRPr="00613F9A">
        <w:rPr>
          <w:rFonts w:ascii="Verdana" w:eastAsia="Times" w:hAnsi="Verdana" w:cs="Arial"/>
          <w:sz w:val="20"/>
          <w:szCs w:val="20"/>
          <w:lang w:val="es-MX"/>
        </w:rPr>
        <w:t>, objeto que, por lo demás, sería compartido por todas las normas de derechos humanos, en estricto sentido el objeto de la Convención es establecer los deberes y derechos que protege (Parte I) y los medios de protección de que dispone para ello (Parte II), a lo que hay que añadir las disposiciones generales y transitorias pertinentes a la Convención misma (Parte III).</w:t>
      </w:r>
    </w:p>
    <w:p w:rsidR="00024F83" w:rsidRPr="00613F9A" w:rsidRDefault="00024F83" w:rsidP="006F2613">
      <w:pPr>
        <w:pStyle w:val="Prrafodelista"/>
        <w:ind w:hanging="20"/>
        <w:rPr>
          <w:rFonts w:ascii="Verdana" w:eastAsia="Times" w:hAnsi="Verdana" w:cs="Arial"/>
          <w:sz w:val="20"/>
          <w:szCs w:val="20"/>
          <w:lang w:val="es-MX"/>
        </w:rPr>
      </w:pPr>
    </w:p>
    <w:p w:rsidR="00C05917" w:rsidRPr="00613F9A" w:rsidRDefault="00C9142C" w:rsidP="006F2613">
      <w:pPr>
        <w:pStyle w:val="Prrafodelista"/>
        <w:numPr>
          <w:ilvl w:val="0"/>
          <w:numId w:val="2"/>
        </w:numPr>
        <w:spacing w:after="120"/>
        <w:ind w:left="20" w:hanging="20"/>
        <w:jc w:val="both"/>
        <w:rPr>
          <w:rFonts w:ascii="Verdana" w:hAnsi="Verdana"/>
          <w:i/>
          <w:sz w:val="20"/>
          <w:szCs w:val="20"/>
          <w:lang w:val="es-ES"/>
        </w:rPr>
      </w:pPr>
      <w:r w:rsidRPr="00613F9A">
        <w:rPr>
          <w:rFonts w:ascii="Verdana" w:eastAsia="Times" w:hAnsi="Verdana" w:cs="Arial"/>
          <w:sz w:val="20"/>
          <w:szCs w:val="20"/>
          <w:lang w:val="es-MX"/>
        </w:rPr>
        <w:t>También hay que tener presente que cada una de las normas de la Convención tiene su</w:t>
      </w:r>
      <w:r w:rsidR="00024F83" w:rsidRPr="00613F9A">
        <w:rPr>
          <w:rFonts w:ascii="Verdana" w:eastAsia="Times" w:hAnsi="Verdana" w:cs="Arial"/>
          <w:sz w:val="20"/>
          <w:szCs w:val="20"/>
          <w:lang w:val="es-MX"/>
        </w:rPr>
        <w:t xml:space="preserve"> propio o específico </w:t>
      </w:r>
      <w:r w:rsidRPr="00613F9A">
        <w:rPr>
          <w:rFonts w:ascii="Verdana" w:eastAsia="Times" w:hAnsi="Verdana" w:cs="Arial"/>
          <w:sz w:val="20"/>
          <w:szCs w:val="20"/>
          <w:lang w:val="es-MX"/>
        </w:rPr>
        <w:t xml:space="preserve">objeto y fin, en concordancia con el </w:t>
      </w:r>
      <w:r w:rsidR="00024F83" w:rsidRPr="00613F9A">
        <w:rPr>
          <w:rFonts w:ascii="Verdana" w:eastAsia="Times" w:hAnsi="Verdana" w:cs="Arial"/>
          <w:sz w:val="20"/>
          <w:szCs w:val="20"/>
          <w:lang w:val="es-MX"/>
        </w:rPr>
        <w:t xml:space="preserve">de ella. Y así, el </w:t>
      </w:r>
      <w:r w:rsidRPr="00613F9A">
        <w:rPr>
          <w:rFonts w:ascii="Verdana" w:eastAsia="Times" w:hAnsi="Verdana" w:cs="Arial"/>
          <w:sz w:val="20"/>
          <w:szCs w:val="20"/>
          <w:lang w:val="es-MX"/>
        </w:rPr>
        <w:t xml:space="preserve">del artículo 26 de la Convención no es, como ya se ha afirmado, el de establecer un derecho humano, sino fundamental establecer un deber de los Estados concerniente al desarrollo progresivo del Derecho en cuanto a los derechos económicos sociales y culturales. </w:t>
      </w:r>
    </w:p>
    <w:p w:rsidR="00024F83" w:rsidRPr="00613F9A" w:rsidRDefault="00024F83" w:rsidP="006F2613">
      <w:pPr>
        <w:pStyle w:val="Prrafodelista"/>
        <w:spacing w:after="120"/>
        <w:ind w:left="20" w:hanging="20"/>
        <w:jc w:val="both"/>
        <w:rPr>
          <w:rFonts w:ascii="Verdana" w:hAnsi="Verdana"/>
          <w:i/>
          <w:sz w:val="20"/>
          <w:szCs w:val="20"/>
          <w:lang w:val="es-ES"/>
        </w:rPr>
      </w:pPr>
    </w:p>
    <w:p w:rsidR="00C9142C" w:rsidRPr="00613F9A" w:rsidRDefault="00C9142C" w:rsidP="006F2613">
      <w:pPr>
        <w:pStyle w:val="Prrafodelista"/>
        <w:numPr>
          <w:ilvl w:val="0"/>
          <w:numId w:val="2"/>
        </w:numPr>
        <w:spacing w:after="0"/>
        <w:ind w:left="0" w:hanging="20"/>
        <w:jc w:val="both"/>
        <w:rPr>
          <w:rFonts w:ascii="Verdana" w:eastAsia="Times" w:hAnsi="Verdana" w:cs="Arial"/>
          <w:sz w:val="20"/>
          <w:szCs w:val="20"/>
          <w:lang w:val="es-MX"/>
        </w:rPr>
      </w:pPr>
      <w:r w:rsidRPr="00613F9A">
        <w:rPr>
          <w:rFonts w:ascii="Verdana" w:hAnsi="Verdana"/>
          <w:sz w:val="20"/>
          <w:szCs w:val="20"/>
          <w:lang w:val="es-CR"/>
        </w:rPr>
        <w:t>Y</w:t>
      </w:r>
      <w:r w:rsidR="00024F83" w:rsidRPr="00613F9A">
        <w:rPr>
          <w:rFonts w:ascii="Verdana" w:hAnsi="Verdana"/>
          <w:sz w:val="20"/>
          <w:szCs w:val="20"/>
          <w:lang w:val="es-CR"/>
        </w:rPr>
        <w:t xml:space="preserve"> e</w:t>
      </w:r>
      <w:r w:rsidR="00C334E6" w:rsidRPr="00613F9A">
        <w:rPr>
          <w:rFonts w:ascii="Verdana" w:hAnsi="Verdana"/>
          <w:sz w:val="20"/>
          <w:szCs w:val="20"/>
          <w:lang w:val="es-CR"/>
        </w:rPr>
        <w:t xml:space="preserve">s en ese aspecto que el Fallo se equivoca </w:t>
      </w:r>
      <w:r w:rsidR="00024F83" w:rsidRPr="00613F9A">
        <w:rPr>
          <w:rFonts w:ascii="Verdana" w:hAnsi="Verdana"/>
          <w:sz w:val="20"/>
          <w:szCs w:val="20"/>
          <w:lang w:val="es-CR"/>
        </w:rPr>
        <w:t>al</w:t>
      </w:r>
      <w:r w:rsidR="00C334E6" w:rsidRPr="00613F9A">
        <w:rPr>
          <w:rFonts w:ascii="Verdana" w:hAnsi="Verdana"/>
          <w:sz w:val="20"/>
          <w:szCs w:val="20"/>
          <w:lang w:val="es-CR"/>
        </w:rPr>
        <w:t xml:space="preserve"> aplicar e</w:t>
      </w:r>
      <w:r w:rsidRPr="00613F9A">
        <w:rPr>
          <w:rFonts w:ascii="Verdana" w:hAnsi="Verdana"/>
          <w:sz w:val="20"/>
          <w:szCs w:val="20"/>
          <w:lang w:val="es-CR"/>
        </w:rPr>
        <w:t xml:space="preserve">l método de interpretación </w:t>
      </w:r>
      <w:r w:rsidR="00A150C3" w:rsidRPr="00613F9A">
        <w:rPr>
          <w:rFonts w:ascii="Verdana" w:hAnsi="Verdana"/>
          <w:sz w:val="20"/>
          <w:szCs w:val="20"/>
          <w:lang w:val="es-CR"/>
        </w:rPr>
        <w:t>teleológica</w:t>
      </w:r>
      <w:r w:rsidR="00C334E6" w:rsidRPr="00613F9A">
        <w:rPr>
          <w:rFonts w:ascii="Verdana" w:hAnsi="Verdana"/>
          <w:sz w:val="20"/>
          <w:szCs w:val="20"/>
          <w:lang w:val="es-CR"/>
        </w:rPr>
        <w:t xml:space="preserve"> o funcional</w:t>
      </w:r>
      <w:r w:rsidRPr="00613F9A">
        <w:rPr>
          <w:rFonts w:ascii="Verdana" w:hAnsi="Verdana"/>
          <w:sz w:val="20"/>
          <w:szCs w:val="20"/>
          <w:lang w:val="es-CR"/>
        </w:rPr>
        <w:t>. Así, señala que</w:t>
      </w:r>
      <w:r w:rsidR="00C334E6" w:rsidRPr="00613F9A">
        <w:rPr>
          <w:rFonts w:ascii="Verdana" w:hAnsi="Verdana"/>
          <w:sz w:val="20"/>
          <w:szCs w:val="20"/>
          <w:lang w:val="es-CR"/>
        </w:rPr>
        <w:t xml:space="preserve"> la interpretación que surge de ese método</w:t>
      </w:r>
      <w:r w:rsidRPr="00613F9A">
        <w:rPr>
          <w:rFonts w:ascii="Verdana" w:hAnsi="Verdana"/>
          <w:sz w:val="20"/>
          <w:szCs w:val="20"/>
          <w:lang w:val="es-CR"/>
        </w:rPr>
        <w:t xml:space="preserve"> </w:t>
      </w:r>
      <w:r w:rsidRPr="00613F9A">
        <w:rPr>
          <w:rFonts w:ascii="Verdana" w:hAnsi="Verdana"/>
          <w:i/>
          <w:sz w:val="20"/>
          <w:szCs w:val="20"/>
          <w:lang w:val="es-CR"/>
        </w:rPr>
        <w:t>“sería conforme con la conclusión a la cual se arribó por medio de la interpretación literal y sistemática, en el sentido que el artículo 26 reconoce la existencia de “derechos” que deben ser garantizados por el Estado a todas las personas sujetas a su jurisdicción en los términos previstos por la Convención Americana</w:t>
      </w:r>
      <w:r w:rsidRPr="00613F9A">
        <w:rPr>
          <w:rFonts w:ascii="Verdana" w:hAnsi="Verdana"/>
          <w:sz w:val="20"/>
          <w:szCs w:val="20"/>
          <w:lang w:val="es-CR"/>
        </w:rPr>
        <w:t>.”</w:t>
      </w:r>
      <w:r w:rsidR="00AB1AAD" w:rsidRPr="00613F9A">
        <w:rPr>
          <w:rFonts w:ascii="Verdana" w:hAnsi="Verdana"/>
          <w:sz w:val="20"/>
          <w:szCs w:val="20"/>
          <w:lang w:val="es-CR"/>
        </w:rPr>
        <w:t xml:space="preserve"> Empero, es del todo evidente que la n</w:t>
      </w:r>
      <w:r w:rsidR="007E461D" w:rsidRPr="00613F9A">
        <w:rPr>
          <w:rFonts w:ascii="Verdana" w:hAnsi="Verdana"/>
          <w:sz w:val="20"/>
          <w:szCs w:val="20"/>
          <w:lang w:val="es-CR"/>
        </w:rPr>
        <w:t>orma en cuestión no “</w:t>
      </w:r>
      <w:r w:rsidR="007E461D" w:rsidRPr="00613F9A">
        <w:rPr>
          <w:rFonts w:ascii="Verdana" w:hAnsi="Verdana"/>
          <w:i/>
          <w:sz w:val="20"/>
          <w:szCs w:val="20"/>
          <w:lang w:val="es-CR"/>
        </w:rPr>
        <w:t>reconoce</w:t>
      </w:r>
      <w:r w:rsidR="007E461D" w:rsidRPr="00613F9A">
        <w:rPr>
          <w:rFonts w:ascii="Verdana" w:hAnsi="Verdana"/>
          <w:sz w:val="20"/>
          <w:szCs w:val="20"/>
          <w:lang w:val="es-CR"/>
        </w:rPr>
        <w:t>” derecho</w:t>
      </w:r>
      <w:r w:rsidR="00AB1AAD" w:rsidRPr="00613F9A">
        <w:rPr>
          <w:rFonts w:ascii="Verdana" w:hAnsi="Verdana"/>
          <w:sz w:val="20"/>
          <w:szCs w:val="20"/>
          <w:lang w:val="es-CR"/>
        </w:rPr>
        <w:t>s sino que</w:t>
      </w:r>
      <w:r w:rsidR="007E461D" w:rsidRPr="00613F9A">
        <w:rPr>
          <w:rFonts w:ascii="Verdana" w:hAnsi="Verdana"/>
          <w:sz w:val="20"/>
          <w:szCs w:val="20"/>
          <w:lang w:val="es-CR"/>
        </w:rPr>
        <w:t xml:space="preserve"> tan solo señala que ellos “</w:t>
      </w:r>
      <w:r w:rsidR="007E461D" w:rsidRPr="00613F9A">
        <w:rPr>
          <w:rFonts w:ascii="Verdana" w:hAnsi="Verdana"/>
          <w:i/>
          <w:sz w:val="20"/>
          <w:szCs w:val="20"/>
          <w:lang w:val="es-CR"/>
        </w:rPr>
        <w:t>derivan</w:t>
      </w:r>
      <w:r w:rsidR="007E461D" w:rsidRPr="00613F9A">
        <w:rPr>
          <w:rFonts w:ascii="Verdana" w:hAnsi="Verdana"/>
          <w:sz w:val="20"/>
          <w:szCs w:val="20"/>
          <w:lang w:val="es-CR"/>
        </w:rPr>
        <w:t xml:space="preserve">” de la Carta de la OEA, sin indicar o precisar, empero, </w:t>
      </w:r>
      <w:r w:rsidR="00A150C3" w:rsidRPr="00613F9A">
        <w:rPr>
          <w:rFonts w:ascii="Verdana" w:hAnsi="Verdana"/>
          <w:sz w:val="20"/>
          <w:szCs w:val="20"/>
          <w:lang w:val="es-CR"/>
        </w:rPr>
        <w:t>cuáles</w:t>
      </w:r>
      <w:r w:rsidR="007E461D" w:rsidRPr="00613F9A">
        <w:rPr>
          <w:rFonts w:ascii="Verdana" w:hAnsi="Verdana"/>
          <w:sz w:val="20"/>
          <w:szCs w:val="20"/>
          <w:lang w:val="es-CR"/>
        </w:rPr>
        <w:t xml:space="preserve"> son esos derechos.</w:t>
      </w:r>
    </w:p>
    <w:p w:rsidR="00C334E6" w:rsidRPr="00613F9A" w:rsidRDefault="00C334E6" w:rsidP="000978E9">
      <w:pPr>
        <w:pStyle w:val="Prrafodelista"/>
        <w:rPr>
          <w:rFonts w:ascii="Verdana" w:eastAsia="Times" w:hAnsi="Verdana" w:cs="Arial"/>
          <w:sz w:val="20"/>
          <w:szCs w:val="20"/>
          <w:lang w:val="es-MX"/>
        </w:rPr>
      </w:pPr>
    </w:p>
    <w:p w:rsidR="00C334E6" w:rsidRPr="00613F9A" w:rsidRDefault="002A1DAD" w:rsidP="00B24719">
      <w:pPr>
        <w:pStyle w:val="Prrafodelista"/>
        <w:numPr>
          <w:ilvl w:val="0"/>
          <w:numId w:val="2"/>
        </w:numPr>
        <w:spacing w:after="0"/>
        <w:ind w:left="0" w:firstLine="0"/>
        <w:jc w:val="both"/>
        <w:rPr>
          <w:rFonts w:ascii="Verdana" w:eastAsia="Times" w:hAnsi="Verdana" w:cs="Arial"/>
          <w:sz w:val="20"/>
          <w:szCs w:val="20"/>
          <w:lang w:val="es-MX"/>
        </w:rPr>
      </w:pPr>
      <w:r w:rsidRPr="00613F9A">
        <w:rPr>
          <w:rFonts w:ascii="Verdana" w:eastAsia="Times" w:hAnsi="Verdana" w:cs="Arial"/>
          <w:sz w:val="20"/>
          <w:szCs w:val="20"/>
          <w:lang w:val="es-MX"/>
        </w:rPr>
        <w:t>De ese modo</w:t>
      </w:r>
      <w:r w:rsidR="00C334E6" w:rsidRPr="00613F9A">
        <w:rPr>
          <w:rFonts w:ascii="Verdana" w:eastAsia="Times" w:hAnsi="Verdana" w:cs="Arial"/>
          <w:sz w:val="20"/>
          <w:szCs w:val="20"/>
          <w:lang w:val="es-MX"/>
        </w:rPr>
        <w:t xml:space="preserve"> el Fallo no sólo hace prevalecer el método</w:t>
      </w:r>
      <w:r w:rsidR="00C334E6" w:rsidRPr="00613F9A">
        <w:rPr>
          <w:rFonts w:ascii="Verdana" w:hAnsi="Verdana"/>
          <w:sz w:val="20"/>
          <w:szCs w:val="20"/>
          <w:lang w:val="es-CR"/>
        </w:rPr>
        <w:t xml:space="preserve"> de interpretación </w:t>
      </w:r>
      <w:r w:rsidR="00A150C3" w:rsidRPr="00613F9A">
        <w:rPr>
          <w:rFonts w:ascii="Verdana" w:hAnsi="Verdana"/>
          <w:sz w:val="20"/>
          <w:szCs w:val="20"/>
          <w:lang w:val="es-CR"/>
        </w:rPr>
        <w:t>teleológica</w:t>
      </w:r>
      <w:r w:rsidR="00C334E6" w:rsidRPr="00613F9A">
        <w:rPr>
          <w:rFonts w:ascii="Verdana" w:hAnsi="Verdana"/>
          <w:sz w:val="20"/>
          <w:szCs w:val="20"/>
          <w:lang w:val="es-CR"/>
        </w:rPr>
        <w:t xml:space="preserve"> o funcional por sobre los otros métodos, sino que, además, le concede al objeto y fin que inspira a todo el sistema interamericano de derechos humanos, cual es, se reitera, “</w:t>
      </w:r>
      <w:r w:rsidR="00C334E6" w:rsidRPr="00613F9A">
        <w:rPr>
          <w:rFonts w:ascii="Verdana" w:eastAsia="Times" w:hAnsi="Verdana" w:cs="Arial"/>
          <w:i/>
          <w:sz w:val="20"/>
          <w:szCs w:val="20"/>
          <w:lang w:val="es-MX"/>
        </w:rPr>
        <w:t xml:space="preserve">la protección de los </w:t>
      </w:r>
      <w:r w:rsidR="00C334E6" w:rsidRPr="00613F9A">
        <w:rPr>
          <w:rFonts w:ascii="Verdana" w:eastAsia="Times" w:hAnsi="Verdana" w:cs="Arial"/>
          <w:i/>
          <w:sz w:val="20"/>
          <w:szCs w:val="20"/>
          <w:lang w:val="es-MX"/>
        </w:rPr>
        <w:lastRenderedPageBreak/>
        <w:t>derechos fundamentales de los seres humanos”,</w:t>
      </w:r>
      <w:r w:rsidR="00CF71FA" w:rsidRPr="00613F9A">
        <w:rPr>
          <w:rFonts w:ascii="Verdana" w:eastAsia="Times" w:hAnsi="Verdana" w:cs="Arial"/>
          <w:sz w:val="20"/>
          <w:szCs w:val="20"/>
          <w:lang w:val="es-MX"/>
        </w:rPr>
        <w:t xml:space="preserve"> el atributo de justificar cualquier interpretación de la Convención al margen o con prescindencia de la buena fe con que fue suscita, los términos que emplea y el contexto de los mismos y aún del objeto y fin </w:t>
      </w:r>
      <w:r w:rsidR="0046445B" w:rsidRPr="00613F9A">
        <w:rPr>
          <w:rFonts w:ascii="Verdana" w:eastAsia="Times" w:hAnsi="Verdana" w:cs="Arial"/>
          <w:sz w:val="20"/>
          <w:szCs w:val="20"/>
          <w:lang w:val="es-MX"/>
        </w:rPr>
        <w:t xml:space="preserve">específicos </w:t>
      </w:r>
      <w:r w:rsidR="00CF71FA" w:rsidRPr="00613F9A">
        <w:rPr>
          <w:rFonts w:ascii="Verdana" w:eastAsia="Times" w:hAnsi="Verdana" w:cs="Arial"/>
          <w:sz w:val="20"/>
          <w:szCs w:val="20"/>
          <w:lang w:val="es-MX"/>
        </w:rPr>
        <w:t xml:space="preserve">de la disposición que se interpreta. </w:t>
      </w:r>
    </w:p>
    <w:p w:rsidR="00C05917" w:rsidRPr="00613F9A" w:rsidRDefault="00C05917" w:rsidP="000978E9">
      <w:pPr>
        <w:spacing w:after="0" w:line="276" w:lineRule="auto"/>
        <w:ind w:left="0"/>
        <w:rPr>
          <w:rFonts w:ascii="Verdana" w:eastAsia="Times" w:hAnsi="Verdana" w:cs="Arial"/>
          <w:sz w:val="20"/>
          <w:szCs w:val="20"/>
          <w:lang w:val="es-MX"/>
        </w:rPr>
      </w:pPr>
    </w:p>
    <w:p w:rsidR="00C05917" w:rsidRPr="00613F9A" w:rsidRDefault="00C05917" w:rsidP="00B24719">
      <w:pPr>
        <w:pStyle w:val="Prrafodelista"/>
        <w:numPr>
          <w:ilvl w:val="0"/>
          <w:numId w:val="2"/>
        </w:numPr>
        <w:spacing w:after="0"/>
        <w:ind w:left="0" w:firstLine="0"/>
        <w:jc w:val="both"/>
        <w:rPr>
          <w:rFonts w:ascii="Verdana" w:eastAsia="Times" w:hAnsi="Verdana" w:cs="Arial"/>
          <w:sz w:val="20"/>
          <w:szCs w:val="20"/>
          <w:lang w:val="es-MX"/>
        </w:rPr>
      </w:pPr>
      <w:r w:rsidRPr="00613F9A">
        <w:rPr>
          <w:rFonts w:ascii="Verdana" w:eastAsia="Times" w:hAnsi="Verdana" w:cs="Arial"/>
          <w:sz w:val="20"/>
          <w:szCs w:val="20"/>
          <w:lang w:val="es-MX"/>
        </w:rPr>
        <w:t xml:space="preserve">De allí, entonces, que se pueda arribar a la conclusión </w:t>
      </w:r>
      <w:r w:rsidR="002A4042" w:rsidRPr="00613F9A">
        <w:rPr>
          <w:rFonts w:ascii="Verdana" w:eastAsia="Times" w:hAnsi="Verdana" w:cs="Arial"/>
          <w:sz w:val="20"/>
          <w:szCs w:val="20"/>
          <w:lang w:val="es-MX"/>
        </w:rPr>
        <w:t xml:space="preserve">de </w:t>
      </w:r>
      <w:r w:rsidRPr="00613F9A">
        <w:rPr>
          <w:rFonts w:ascii="Verdana" w:eastAsia="Times" w:hAnsi="Verdana" w:cs="Arial"/>
          <w:sz w:val="20"/>
          <w:szCs w:val="20"/>
          <w:lang w:val="es-MX"/>
        </w:rPr>
        <w:t xml:space="preserve">que el Fallo tampoco emplea el método de </w:t>
      </w:r>
      <w:r w:rsidRPr="00613F9A">
        <w:rPr>
          <w:rFonts w:ascii="Verdana" w:hAnsi="Verdana"/>
          <w:sz w:val="20"/>
          <w:szCs w:val="20"/>
          <w:lang w:val="es-ES"/>
        </w:rPr>
        <w:t xml:space="preserve">interpretación funcional o </w:t>
      </w:r>
      <w:r w:rsidR="002A4042" w:rsidRPr="00613F9A">
        <w:rPr>
          <w:rFonts w:ascii="Verdana" w:eastAsia="Verdana" w:hAnsi="Verdana"/>
          <w:bCs/>
          <w:sz w:val="20"/>
          <w:szCs w:val="20"/>
          <w:lang w:val="es-CR" w:eastAsia="x-none"/>
        </w:rPr>
        <w:t xml:space="preserve">teleológica de la Convención o, </w:t>
      </w:r>
      <w:r w:rsidRPr="00613F9A">
        <w:rPr>
          <w:rFonts w:ascii="Verdana" w:eastAsia="Verdana" w:hAnsi="Verdana"/>
          <w:bCs/>
          <w:sz w:val="20"/>
          <w:szCs w:val="20"/>
          <w:lang w:val="es-CR" w:eastAsia="x-none"/>
        </w:rPr>
        <w:t>al menos, en términos adecuados, lo que, obviamente, afecta de manera negativa la c</w:t>
      </w:r>
      <w:r w:rsidR="002A4042" w:rsidRPr="00613F9A">
        <w:rPr>
          <w:rFonts w:ascii="Verdana" w:eastAsia="Verdana" w:hAnsi="Verdana"/>
          <w:bCs/>
          <w:sz w:val="20"/>
          <w:szCs w:val="20"/>
          <w:lang w:val="es-CR" w:eastAsia="x-none"/>
        </w:rPr>
        <w:t>onclusión a que arriba</w:t>
      </w:r>
      <w:r w:rsidRPr="00613F9A">
        <w:rPr>
          <w:rFonts w:ascii="Verdana" w:eastAsia="Verdana" w:hAnsi="Verdana"/>
          <w:bCs/>
          <w:sz w:val="20"/>
          <w:szCs w:val="20"/>
          <w:lang w:val="es-CR" w:eastAsia="x-none"/>
        </w:rPr>
        <w:t>.</w:t>
      </w:r>
    </w:p>
    <w:p w:rsidR="00AE364B" w:rsidRPr="00613F9A" w:rsidRDefault="00AE364B" w:rsidP="000978E9">
      <w:pPr>
        <w:spacing w:after="0" w:line="276" w:lineRule="auto"/>
        <w:ind w:left="0" w:firstLine="68"/>
        <w:rPr>
          <w:rFonts w:ascii="Verdana" w:hAnsi="Verdana"/>
          <w:b/>
          <w:sz w:val="20"/>
          <w:szCs w:val="20"/>
          <w:lang w:val="es-ES"/>
        </w:rPr>
      </w:pPr>
    </w:p>
    <w:p w:rsidR="00C05917" w:rsidRPr="00613F9A" w:rsidRDefault="00C05917" w:rsidP="00B24719">
      <w:pPr>
        <w:pStyle w:val="Prrafodelista"/>
        <w:numPr>
          <w:ilvl w:val="0"/>
          <w:numId w:val="15"/>
        </w:numPr>
        <w:spacing w:after="0"/>
        <w:jc w:val="both"/>
        <w:rPr>
          <w:rFonts w:ascii="Verdana" w:hAnsi="Verdana"/>
          <w:b/>
          <w:sz w:val="20"/>
          <w:szCs w:val="20"/>
          <w:lang w:val="es-ES"/>
        </w:rPr>
      </w:pPr>
      <w:r w:rsidRPr="00613F9A">
        <w:rPr>
          <w:rFonts w:ascii="Verdana" w:eastAsia="Times" w:hAnsi="Verdana" w:cs="Arial"/>
          <w:b/>
          <w:sz w:val="20"/>
          <w:szCs w:val="20"/>
          <w:lang w:val="es-MX"/>
        </w:rPr>
        <w:t>Métodos complementarios de interpretación.</w:t>
      </w:r>
    </w:p>
    <w:p w:rsidR="00C05917" w:rsidRPr="00613F9A" w:rsidRDefault="00C05917" w:rsidP="000978E9">
      <w:pPr>
        <w:spacing w:after="0" w:line="276" w:lineRule="auto"/>
        <w:ind w:left="0"/>
        <w:rPr>
          <w:rFonts w:ascii="Verdana" w:hAnsi="Verdana"/>
          <w:b/>
          <w:sz w:val="20"/>
          <w:szCs w:val="20"/>
          <w:lang w:val="es-ES"/>
        </w:rPr>
      </w:pPr>
    </w:p>
    <w:p w:rsidR="00C05917" w:rsidRPr="00613F9A" w:rsidRDefault="00C05917" w:rsidP="006F2613">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Finalmente, en lo correspondiente a los métodos complementarios de interpretación, cabe subrayar, primeramente, que el Fallo no los considera como parte del método subjetivo de interpretación de tratados, tal como lo prevé el artículo 3</w:t>
      </w:r>
      <w:r w:rsidR="009C293C" w:rsidRPr="00613F9A">
        <w:rPr>
          <w:rFonts w:ascii="Verdana" w:hAnsi="Verdana"/>
          <w:sz w:val="20"/>
          <w:szCs w:val="20"/>
          <w:lang w:val="es-ES"/>
        </w:rPr>
        <w:t>2</w:t>
      </w:r>
      <w:r w:rsidRPr="00613F9A">
        <w:rPr>
          <w:rFonts w:ascii="Verdana" w:hAnsi="Verdana"/>
          <w:sz w:val="20"/>
          <w:szCs w:val="20"/>
          <w:lang w:val="es-ES"/>
        </w:rPr>
        <w:t xml:space="preserve"> de la Convención de Viena, sino como un método o regla de interpretación separada.</w:t>
      </w:r>
    </w:p>
    <w:p w:rsidR="00C05917" w:rsidRPr="00613F9A" w:rsidRDefault="00C05917" w:rsidP="006F2613">
      <w:pPr>
        <w:spacing w:after="0" w:line="276" w:lineRule="auto"/>
        <w:ind w:left="0"/>
        <w:rPr>
          <w:rFonts w:ascii="Verdana" w:hAnsi="Verdana"/>
          <w:sz w:val="20"/>
          <w:szCs w:val="20"/>
          <w:lang w:val="es-ES"/>
        </w:rPr>
      </w:pPr>
    </w:p>
    <w:p w:rsidR="00C05917" w:rsidRPr="00613F9A" w:rsidRDefault="00C05917" w:rsidP="006F2613">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En segundo</w:t>
      </w:r>
      <w:r w:rsidR="00AB1174" w:rsidRPr="00613F9A">
        <w:rPr>
          <w:rFonts w:ascii="Verdana" w:hAnsi="Verdana"/>
          <w:sz w:val="20"/>
          <w:szCs w:val="20"/>
          <w:lang w:val="es-ES"/>
        </w:rPr>
        <w:t xml:space="preserve"> lugar, procede insistir </w:t>
      </w:r>
      <w:r w:rsidR="007E461D" w:rsidRPr="00613F9A">
        <w:rPr>
          <w:rFonts w:ascii="Verdana" w:hAnsi="Verdana"/>
          <w:sz w:val="20"/>
          <w:szCs w:val="20"/>
          <w:lang w:val="es-ES"/>
        </w:rPr>
        <w:t xml:space="preserve">en lo que ya se señaló </w:t>
      </w:r>
      <w:r w:rsidR="00AB1174" w:rsidRPr="00613F9A">
        <w:rPr>
          <w:rFonts w:ascii="Verdana" w:hAnsi="Verdana"/>
          <w:sz w:val="20"/>
          <w:szCs w:val="20"/>
          <w:lang w:val="es-ES"/>
        </w:rPr>
        <w:t>en</w:t>
      </w:r>
      <w:r w:rsidRPr="00613F9A">
        <w:rPr>
          <w:rFonts w:ascii="Verdana" w:hAnsi="Verdana"/>
          <w:sz w:val="20"/>
          <w:szCs w:val="20"/>
          <w:lang w:val="es-ES"/>
        </w:rPr>
        <w:t xml:space="preserve"> que el Fallo no recoge clara y expresamente lo que aconteció en la Conferencia Especializada Interamericana sobre Derechos Humanos, en la que se adoptó el texto definitivo de la Convención</w:t>
      </w:r>
      <w:r w:rsidRPr="00613F9A">
        <w:rPr>
          <w:rFonts w:ascii="Verdana" w:hAnsi="Verdana"/>
          <w:sz w:val="20"/>
          <w:szCs w:val="20"/>
          <w:vertAlign w:val="superscript"/>
          <w:lang w:val="es-ES"/>
        </w:rPr>
        <w:footnoteReference w:id="127"/>
      </w:r>
      <w:r w:rsidRPr="00613F9A">
        <w:rPr>
          <w:rFonts w:ascii="Verdana" w:hAnsi="Verdana"/>
          <w:sz w:val="20"/>
          <w:szCs w:val="20"/>
          <w:lang w:val="es-ES"/>
        </w:rPr>
        <w:t xml:space="preserve">. </w:t>
      </w:r>
    </w:p>
    <w:p w:rsidR="00C05917" w:rsidRPr="00613F9A" w:rsidRDefault="00C05917" w:rsidP="006F2613">
      <w:pPr>
        <w:spacing w:after="0" w:line="276" w:lineRule="auto"/>
        <w:ind w:left="0"/>
        <w:rPr>
          <w:rFonts w:ascii="Verdana" w:hAnsi="Verdana"/>
          <w:sz w:val="20"/>
          <w:szCs w:val="20"/>
          <w:lang w:val="es-ES"/>
        </w:rPr>
      </w:pPr>
    </w:p>
    <w:p w:rsidR="00C05917" w:rsidRPr="00613F9A" w:rsidRDefault="00C05917" w:rsidP="006F2613">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Se puede concluir, por lo tanto, que en momento alguno se incluyó</w:t>
      </w:r>
      <w:r w:rsidR="00AB1174" w:rsidRPr="00613F9A">
        <w:rPr>
          <w:rFonts w:ascii="Verdana" w:hAnsi="Verdana"/>
          <w:sz w:val="20"/>
          <w:szCs w:val="20"/>
          <w:lang w:val="es-ES"/>
        </w:rPr>
        <w:t>, en los trabajos preparatorios de la Convención,</w:t>
      </w:r>
      <w:r w:rsidRPr="00613F9A">
        <w:rPr>
          <w:rFonts w:ascii="Verdana" w:hAnsi="Verdana"/>
          <w:sz w:val="20"/>
          <w:szCs w:val="20"/>
          <w:lang w:val="es-ES"/>
        </w:rPr>
        <w:t xml:space="preserve"> a los derechos económicos, sociales y culturales que se “</w:t>
      </w:r>
      <w:r w:rsidRPr="00613F9A">
        <w:rPr>
          <w:rFonts w:ascii="Verdana" w:hAnsi="Verdana"/>
          <w:i/>
          <w:sz w:val="20"/>
          <w:szCs w:val="20"/>
          <w:lang w:val="es-ES"/>
        </w:rPr>
        <w:t>derivan</w:t>
      </w:r>
      <w:r w:rsidRPr="00613F9A">
        <w:rPr>
          <w:rFonts w:ascii="Verdana" w:hAnsi="Verdana"/>
          <w:sz w:val="20"/>
          <w:szCs w:val="20"/>
          <w:lang w:val="es-ES"/>
        </w:rPr>
        <w:t xml:space="preserve">” de las normas de la Carta de la OEA, entre ellos, el derecho a la seguridad social, en el régimen de protección </w:t>
      </w:r>
      <w:r w:rsidR="00AB1174" w:rsidRPr="00613F9A">
        <w:rPr>
          <w:rFonts w:ascii="Verdana" w:hAnsi="Verdana"/>
          <w:sz w:val="20"/>
          <w:szCs w:val="20"/>
          <w:lang w:val="es-ES"/>
        </w:rPr>
        <w:t xml:space="preserve">que dispone, el que, por ende, solo dice relación con </w:t>
      </w:r>
      <w:r w:rsidRPr="00613F9A">
        <w:rPr>
          <w:rFonts w:ascii="Verdana" w:hAnsi="Verdana"/>
          <w:sz w:val="20"/>
          <w:szCs w:val="20"/>
          <w:lang w:val="es-ES"/>
        </w:rPr>
        <w:t>los derechos civiles y políticos “</w:t>
      </w:r>
      <w:r w:rsidRPr="00613F9A">
        <w:rPr>
          <w:rFonts w:ascii="Verdana" w:hAnsi="Verdana"/>
          <w:i/>
          <w:sz w:val="20"/>
          <w:szCs w:val="20"/>
          <w:lang w:val="es-ES"/>
        </w:rPr>
        <w:t xml:space="preserve">reconocidos” </w:t>
      </w:r>
      <w:r w:rsidRPr="00613F9A">
        <w:rPr>
          <w:rFonts w:ascii="Verdana" w:hAnsi="Verdana"/>
          <w:sz w:val="20"/>
          <w:szCs w:val="20"/>
          <w:lang w:val="es-ES"/>
        </w:rPr>
        <w:t xml:space="preserve">en la Convención. </w:t>
      </w:r>
    </w:p>
    <w:p w:rsidR="00C05917" w:rsidRPr="00613F9A" w:rsidRDefault="00C05917" w:rsidP="000978E9">
      <w:pPr>
        <w:spacing w:after="0" w:line="276" w:lineRule="auto"/>
        <w:ind w:left="0"/>
        <w:rPr>
          <w:rFonts w:ascii="Verdana" w:hAnsi="Verdana" w:cs="Verdana"/>
          <w:sz w:val="20"/>
          <w:szCs w:val="20"/>
        </w:rPr>
      </w:pPr>
    </w:p>
    <w:p w:rsidR="00C05917" w:rsidRPr="00613F9A" w:rsidRDefault="00C05917" w:rsidP="000978E9">
      <w:pPr>
        <w:pStyle w:val="Prrafodelista"/>
        <w:numPr>
          <w:ilvl w:val="0"/>
          <w:numId w:val="3"/>
        </w:numPr>
        <w:spacing w:after="0"/>
        <w:ind w:left="0"/>
        <w:jc w:val="both"/>
        <w:rPr>
          <w:rFonts w:ascii="Verdana" w:hAnsi="Verdana"/>
          <w:b/>
          <w:sz w:val="20"/>
          <w:szCs w:val="20"/>
          <w:lang w:val="es-ES"/>
        </w:rPr>
      </w:pPr>
      <w:r w:rsidRPr="00613F9A">
        <w:rPr>
          <w:rFonts w:ascii="Verdana" w:hAnsi="Verdana"/>
          <w:b/>
          <w:sz w:val="20"/>
          <w:szCs w:val="20"/>
          <w:lang w:val="es-ES"/>
        </w:rPr>
        <w:t>CONSIDERACIONES ADICIONALES.</w:t>
      </w:r>
    </w:p>
    <w:p w:rsidR="00C05917" w:rsidRPr="00613F9A" w:rsidRDefault="00C05917" w:rsidP="000978E9">
      <w:pPr>
        <w:spacing w:after="0" w:line="276" w:lineRule="auto"/>
        <w:ind w:left="0"/>
        <w:rPr>
          <w:rFonts w:ascii="Verdana" w:hAnsi="Verdana"/>
          <w:b/>
          <w:sz w:val="20"/>
          <w:szCs w:val="20"/>
          <w:lang w:val="es-ES"/>
        </w:rPr>
      </w:pPr>
    </w:p>
    <w:p w:rsidR="00C05917" w:rsidRPr="00613F9A" w:rsidRDefault="00C05917" w:rsidP="006F2613">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Pero, adicionalmente a lo expuesto, hay también otras af</w:t>
      </w:r>
      <w:r w:rsidR="00A16781" w:rsidRPr="00613F9A">
        <w:rPr>
          <w:rFonts w:ascii="Verdana" w:hAnsi="Verdana"/>
          <w:sz w:val="20"/>
          <w:szCs w:val="20"/>
          <w:lang w:val="es-ES"/>
        </w:rPr>
        <w:t xml:space="preserve">irmaciones, sea de la Sentencia </w:t>
      </w:r>
      <w:r w:rsidRPr="00613F9A">
        <w:rPr>
          <w:rFonts w:ascii="Verdana" w:hAnsi="Verdana"/>
          <w:sz w:val="20"/>
          <w:szCs w:val="20"/>
          <w:lang w:val="es-ES"/>
        </w:rPr>
        <w:t>sea del Fallo</w:t>
      </w:r>
      <w:r w:rsidR="00A16781" w:rsidRPr="00613F9A">
        <w:rPr>
          <w:rFonts w:ascii="Verdana" w:hAnsi="Verdana"/>
          <w:sz w:val="20"/>
          <w:szCs w:val="20"/>
          <w:lang w:val="es-ES"/>
        </w:rPr>
        <w:t>,</w:t>
      </w:r>
      <w:r w:rsidRPr="00613F9A">
        <w:rPr>
          <w:rFonts w:ascii="Verdana" w:hAnsi="Verdana"/>
          <w:sz w:val="20"/>
          <w:szCs w:val="20"/>
          <w:lang w:val="es-ES"/>
        </w:rPr>
        <w:t xml:space="preserve"> que no se comparten y respecto de las que es conveniente insistir en las razones de las discrepancias.</w:t>
      </w:r>
    </w:p>
    <w:p w:rsidR="00C05917" w:rsidRPr="00613F9A" w:rsidRDefault="00C05917" w:rsidP="006F2613">
      <w:pPr>
        <w:spacing w:after="0" w:line="276" w:lineRule="auto"/>
        <w:ind w:left="0"/>
        <w:rPr>
          <w:rFonts w:ascii="Verdana" w:hAnsi="Verdana"/>
          <w:sz w:val="20"/>
          <w:szCs w:val="20"/>
          <w:lang w:val="es-ES"/>
        </w:rPr>
      </w:pPr>
    </w:p>
    <w:p w:rsidR="00C05917" w:rsidRPr="00613F9A" w:rsidRDefault="00C05917" w:rsidP="006F2613">
      <w:pPr>
        <w:numPr>
          <w:ilvl w:val="0"/>
          <w:numId w:val="2"/>
        </w:numPr>
        <w:spacing w:after="0" w:line="276" w:lineRule="auto"/>
        <w:ind w:left="0" w:firstLine="0"/>
        <w:contextualSpacing/>
        <w:rPr>
          <w:rFonts w:ascii="Verdana" w:hAnsi="Verdana"/>
          <w:sz w:val="20"/>
          <w:szCs w:val="20"/>
          <w:lang w:val="es-ES"/>
        </w:rPr>
      </w:pPr>
      <w:r w:rsidRPr="00613F9A">
        <w:rPr>
          <w:rFonts w:ascii="Verdana" w:hAnsi="Verdana"/>
          <w:sz w:val="20"/>
          <w:szCs w:val="20"/>
          <w:lang w:val="es-ES"/>
        </w:rPr>
        <w:t>Así, por de pronto, la afirmación del Fallo</w:t>
      </w:r>
      <w:r w:rsidRPr="00613F9A">
        <w:rPr>
          <w:rFonts w:ascii="Verdana" w:hAnsi="Verdana"/>
          <w:sz w:val="20"/>
          <w:szCs w:val="20"/>
          <w:vertAlign w:val="superscript"/>
          <w:lang w:val="es-ES"/>
        </w:rPr>
        <w:footnoteReference w:id="128"/>
      </w:r>
      <w:r w:rsidRPr="00613F9A">
        <w:rPr>
          <w:rFonts w:ascii="Verdana" w:hAnsi="Verdana"/>
          <w:sz w:val="20"/>
          <w:szCs w:val="20"/>
          <w:lang w:val="es-ES"/>
        </w:rPr>
        <w:t xml:space="preserve"> y reiterado en la Sentencia</w:t>
      </w:r>
      <w:r w:rsidR="00DC7030" w:rsidRPr="00613F9A">
        <w:rPr>
          <w:rFonts w:ascii="Verdana" w:hAnsi="Verdana"/>
          <w:sz w:val="20"/>
          <w:szCs w:val="20"/>
          <w:lang w:val="es-ES"/>
        </w:rPr>
        <w:t>,</w:t>
      </w:r>
      <w:r w:rsidRPr="00613F9A">
        <w:rPr>
          <w:rFonts w:ascii="Verdana" w:hAnsi="Verdana"/>
          <w:sz w:val="20"/>
          <w:szCs w:val="20"/>
          <w:lang w:val="es-ES"/>
        </w:rPr>
        <w:t xml:space="preserve"> concerniente a</w:t>
      </w:r>
      <w:r w:rsidRPr="00613F9A">
        <w:rPr>
          <w:rFonts w:ascii="Verdana" w:eastAsia="Times" w:hAnsi="Verdana" w:cs="Arial"/>
          <w:sz w:val="20"/>
          <w:szCs w:val="20"/>
          <w:lang w:val="es-CR"/>
        </w:rPr>
        <w:t xml:space="preserve"> que la conclusión a que llega se “</w:t>
      </w:r>
      <w:r w:rsidRPr="00613F9A">
        <w:rPr>
          <w:rFonts w:ascii="Verdana" w:eastAsia="Times" w:hAnsi="Verdana" w:cs="Arial"/>
          <w:i/>
          <w:sz w:val="20"/>
          <w:szCs w:val="20"/>
          <w:lang w:val="es-CR"/>
        </w:rPr>
        <w:t>fundamenta no sólo en cuestiones formales, sino que resulta de la interdependencia e indivisibilidad de los derechos civiles y políticos y los derechos económicos, sociales, culturales y ambientales, así como de su compatibilidad con el objeto y fin de la Convención”</w:t>
      </w:r>
      <w:r w:rsidRPr="00613F9A">
        <w:rPr>
          <w:rFonts w:ascii="Verdana" w:eastAsia="Times" w:hAnsi="Verdana" w:cs="Arial"/>
          <w:i/>
          <w:sz w:val="20"/>
          <w:szCs w:val="20"/>
          <w:vertAlign w:val="superscript"/>
          <w:lang w:val="es-CR"/>
        </w:rPr>
        <w:footnoteReference w:id="129"/>
      </w:r>
      <w:r w:rsidRPr="00613F9A">
        <w:rPr>
          <w:rFonts w:ascii="Verdana" w:eastAsia="Times" w:hAnsi="Verdana" w:cs="Arial"/>
          <w:sz w:val="20"/>
          <w:szCs w:val="20"/>
          <w:lang w:val="es-CR"/>
        </w:rPr>
        <w:t xml:space="preserve">, </w:t>
      </w:r>
      <w:r w:rsidRPr="00613F9A">
        <w:rPr>
          <w:rFonts w:ascii="Verdana" w:hAnsi="Verdana"/>
          <w:sz w:val="20"/>
          <w:szCs w:val="20"/>
          <w:lang w:val="es-ES"/>
        </w:rPr>
        <w:t xml:space="preserve">no implica necesariamente que la violación de ambos tipos de derechos puedan ser invocados ante la Corte. Lo sostenido por la Sentencia se podría compartir en la medida en que se entienda que si bien el goce de todos los derechos humanos, incluidos los económicos, sociales y culturales, deben ser respetados y que, consecuentemente, todos pueden ser exigibles ante las autoridades competentes, de ello no se desprende necesaria y exclusivamente que estas últimas </w:t>
      </w:r>
      <w:r w:rsidRPr="00613F9A">
        <w:rPr>
          <w:rFonts w:ascii="Verdana" w:hAnsi="Verdana"/>
          <w:sz w:val="20"/>
          <w:szCs w:val="20"/>
          <w:lang w:val="es-ES"/>
        </w:rPr>
        <w:lastRenderedPageBreak/>
        <w:t>sean, siempre y en toda circunstancia y en cuanto a todos los derechos humanos, los tribunales internacionales y, eventualmente, la Corte</w:t>
      </w:r>
      <w:r w:rsidR="00A16781" w:rsidRPr="00613F9A">
        <w:rPr>
          <w:rFonts w:ascii="Verdana" w:hAnsi="Verdana"/>
          <w:sz w:val="20"/>
          <w:szCs w:val="20"/>
          <w:lang w:val="es-ES"/>
        </w:rPr>
        <w:t>, máxime cuando se tiene presente que la jurisdicción interamericana es coadyuvante o complementaria de</w:t>
      </w:r>
      <w:r w:rsidR="008775C6" w:rsidRPr="00613F9A">
        <w:rPr>
          <w:rFonts w:ascii="Verdana" w:hAnsi="Verdana"/>
          <w:sz w:val="20"/>
          <w:szCs w:val="20"/>
          <w:lang w:val="es-ES"/>
        </w:rPr>
        <w:t xml:space="preserve"> la que proporciona en derecho interno del Estado concernido</w:t>
      </w:r>
      <w:r w:rsidR="008775C6" w:rsidRPr="00613F9A">
        <w:rPr>
          <w:rStyle w:val="Refdenotaalpie"/>
          <w:rFonts w:ascii="Verdana" w:hAnsi="Verdana"/>
          <w:sz w:val="20"/>
          <w:szCs w:val="20"/>
          <w:lang w:val="es-ES"/>
        </w:rPr>
        <w:footnoteReference w:id="130"/>
      </w:r>
      <w:r w:rsidRPr="00613F9A">
        <w:rPr>
          <w:rFonts w:ascii="Verdana" w:hAnsi="Verdana"/>
          <w:sz w:val="20"/>
          <w:szCs w:val="20"/>
          <w:lang w:val="es-ES"/>
        </w:rPr>
        <w:t>. Efectivamente, aquí no se discute que las presuntas violaciones de cualquier derecho humano pueden y aún deben ser reclamadas ante los tribunales nacionales competentes</w:t>
      </w:r>
      <w:r w:rsidRPr="00613F9A">
        <w:rPr>
          <w:rFonts w:ascii="Verdana" w:hAnsi="Verdana"/>
          <w:sz w:val="20"/>
          <w:szCs w:val="20"/>
          <w:vertAlign w:val="superscript"/>
          <w:lang w:val="es-ES"/>
        </w:rPr>
        <w:footnoteReference w:id="131"/>
      </w:r>
      <w:r w:rsidRPr="00613F9A">
        <w:rPr>
          <w:rFonts w:ascii="Verdana" w:hAnsi="Verdana"/>
          <w:sz w:val="20"/>
          <w:szCs w:val="20"/>
          <w:lang w:val="es-ES"/>
        </w:rPr>
        <w:t xml:space="preserve">, pero, lo que se sostiene es que únicamente algunas de las violaciones de los derechos económicos, sociales y culturales, pueden ser sometidas a conocimiento y resolución de la Corte, entre los que no se encuentra el derecho a la seguridad social. </w:t>
      </w:r>
    </w:p>
    <w:p w:rsidR="00C05917" w:rsidRPr="00613F9A" w:rsidRDefault="00C05917" w:rsidP="000978E9">
      <w:pPr>
        <w:spacing w:after="200" w:line="276" w:lineRule="auto"/>
        <w:ind w:left="0"/>
        <w:contextualSpacing/>
        <w:rPr>
          <w:rFonts w:ascii="Verdana" w:hAnsi="Verdana"/>
          <w:sz w:val="20"/>
          <w:szCs w:val="20"/>
          <w:lang w:val="es-ES"/>
        </w:rPr>
      </w:pPr>
    </w:p>
    <w:p w:rsidR="00F5584F" w:rsidRPr="00613F9A" w:rsidRDefault="00B011DE" w:rsidP="006F2613">
      <w:pPr>
        <w:numPr>
          <w:ilvl w:val="0"/>
          <w:numId w:val="2"/>
        </w:numPr>
        <w:spacing w:before="120" w:line="276" w:lineRule="auto"/>
        <w:ind w:left="0" w:firstLine="0"/>
        <w:contextualSpacing/>
        <w:rPr>
          <w:rFonts w:ascii="Verdana" w:hAnsi="Verdana"/>
          <w:sz w:val="20"/>
          <w:szCs w:val="20"/>
          <w:lang w:val="es-ES"/>
        </w:rPr>
      </w:pPr>
      <w:r w:rsidRPr="00613F9A">
        <w:rPr>
          <w:rFonts w:ascii="Verdana" w:hAnsi="Verdana"/>
          <w:sz w:val="20"/>
          <w:szCs w:val="20"/>
          <w:lang w:val="es-ES"/>
        </w:rPr>
        <w:t>La segunda razón de la discrepancia en la que sería necesario insistir, es que p</w:t>
      </w:r>
      <w:r w:rsidR="00C05917" w:rsidRPr="00613F9A">
        <w:rPr>
          <w:rFonts w:ascii="Verdana" w:hAnsi="Verdana"/>
          <w:sz w:val="20"/>
          <w:szCs w:val="20"/>
          <w:lang w:val="es-ES"/>
        </w:rPr>
        <w:t>ara que el derecho a la seguridad social pudiese ser reclamado ante la Corte, sería indispensable que así lo permitiera una nueva norma</w:t>
      </w:r>
      <w:r w:rsidR="00AB1AAD" w:rsidRPr="00613F9A">
        <w:rPr>
          <w:rFonts w:ascii="Verdana" w:hAnsi="Verdana"/>
          <w:sz w:val="20"/>
          <w:szCs w:val="20"/>
          <w:lang w:val="es-ES"/>
        </w:rPr>
        <w:t xml:space="preserve"> convencional. Efectivamente, los</w:t>
      </w:r>
      <w:r w:rsidR="00C05917" w:rsidRPr="00613F9A">
        <w:rPr>
          <w:rFonts w:ascii="Verdana" w:hAnsi="Verdana"/>
          <w:sz w:val="20"/>
          <w:szCs w:val="20"/>
          <w:lang w:val="es-ES"/>
        </w:rPr>
        <w:t xml:space="preserve"> artículo</w:t>
      </w:r>
      <w:r w:rsidR="00AB1AAD" w:rsidRPr="00613F9A">
        <w:rPr>
          <w:rFonts w:ascii="Verdana" w:hAnsi="Verdana"/>
          <w:sz w:val="20"/>
          <w:szCs w:val="20"/>
          <w:lang w:val="es-ES"/>
        </w:rPr>
        <w:t>s</w:t>
      </w:r>
      <w:r w:rsidR="00C05917" w:rsidRPr="00613F9A">
        <w:rPr>
          <w:rFonts w:ascii="Verdana" w:hAnsi="Verdana"/>
          <w:sz w:val="20"/>
          <w:szCs w:val="20"/>
          <w:lang w:val="es-ES"/>
        </w:rPr>
        <w:t xml:space="preserve"> 31 </w:t>
      </w:r>
      <w:r w:rsidR="00AB1AAD" w:rsidRPr="00613F9A">
        <w:rPr>
          <w:rFonts w:ascii="Verdana" w:hAnsi="Verdana"/>
          <w:sz w:val="20"/>
          <w:szCs w:val="20"/>
          <w:lang w:val="es-ES"/>
        </w:rPr>
        <w:t>76.1 y 77.1, de la Convención</w:t>
      </w:r>
      <w:r w:rsidR="00AB1AAD" w:rsidRPr="00613F9A">
        <w:rPr>
          <w:rStyle w:val="Refdenotaalpie"/>
          <w:rFonts w:ascii="Verdana" w:hAnsi="Verdana"/>
          <w:sz w:val="20"/>
          <w:szCs w:val="20"/>
          <w:lang w:val="es-ES"/>
        </w:rPr>
        <w:footnoteReference w:id="132"/>
      </w:r>
      <w:r w:rsidR="00C05917" w:rsidRPr="00613F9A">
        <w:rPr>
          <w:rFonts w:ascii="Verdana" w:hAnsi="Verdana"/>
          <w:sz w:val="20"/>
          <w:szCs w:val="20"/>
          <w:lang w:val="es-ES"/>
        </w:rPr>
        <w:t>, expresamente dispone</w:t>
      </w:r>
      <w:r w:rsidR="00AB1AAD" w:rsidRPr="00613F9A">
        <w:rPr>
          <w:rFonts w:ascii="Verdana" w:hAnsi="Verdana"/>
          <w:sz w:val="20"/>
          <w:szCs w:val="20"/>
          <w:lang w:val="es-ES"/>
        </w:rPr>
        <w:t>n</w:t>
      </w:r>
      <w:r w:rsidR="00C05917" w:rsidRPr="00613F9A">
        <w:rPr>
          <w:rFonts w:ascii="Verdana" w:hAnsi="Verdana"/>
          <w:sz w:val="20"/>
          <w:szCs w:val="20"/>
          <w:lang w:val="es-ES"/>
        </w:rPr>
        <w:t xml:space="preserve"> que la función normativa relativa a la Convención y muy especialmente a los efectos de “</w:t>
      </w:r>
      <w:r w:rsidR="00C05917" w:rsidRPr="00613F9A">
        <w:rPr>
          <w:rFonts w:ascii="Verdana" w:hAnsi="Verdana"/>
          <w:i/>
          <w:sz w:val="20"/>
          <w:szCs w:val="20"/>
          <w:lang w:val="es-ES"/>
        </w:rPr>
        <w:t>incluir progresivamente en el régimen de protección de la misma otros derechos</w:t>
      </w:r>
      <w:r w:rsidR="00C05917" w:rsidRPr="00613F9A">
        <w:rPr>
          <w:rFonts w:ascii="Verdana" w:hAnsi="Verdana"/>
          <w:sz w:val="20"/>
          <w:szCs w:val="20"/>
          <w:lang w:val="es-ES"/>
        </w:rPr>
        <w:t xml:space="preserve">”, la ejercerán sus Estados Partes, por lo que esa área está implícitamente vedada a la Corte, la que, por tanto, no puede incluir al citado derecho entre los susceptibles de judicializar ante ella. </w:t>
      </w:r>
    </w:p>
    <w:p w:rsidR="00F5584F" w:rsidRPr="00613F9A" w:rsidRDefault="00F5584F" w:rsidP="006F2613">
      <w:pPr>
        <w:spacing w:before="120" w:line="276" w:lineRule="auto"/>
        <w:ind w:left="0"/>
        <w:contextualSpacing/>
        <w:rPr>
          <w:rFonts w:ascii="Verdana" w:hAnsi="Verdana"/>
          <w:sz w:val="20"/>
          <w:szCs w:val="20"/>
          <w:lang w:val="es-ES"/>
        </w:rPr>
      </w:pPr>
    </w:p>
    <w:p w:rsidR="00C05917" w:rsidRPr="00613F9A" w:rsidRDefault="00A150C3" w:rsidP="006F2613">
      <w:pPr>
        <w:numPr>
          <w:ilvl w:val="0"/>
          <w:numId w:val="2"/>
        </w:numPr>
        <w:spacing w:before="120" w:after="200" w:line="276" w:lineRule="auto"/>
        <w:ind w:left="0" w:firstLine="0"/>
        <w:contextualSpacing/>
        <w:rPr>
          <w:rFonts w:ascii="Verdana" w:hAnsi="Verdana"/>
          <w:sz w:val="20"/>
          <w:szCs w:val="20"/>
          <w:lang w:val="es-ES"/>
        </w:rPr>
      </w:pPr>
      <w:r w:rsidRPr="00613F9A">
        <w:rPr>
          <w:rFonts w:ascii="Verdana" w:hAnsi="Verdana"/>
          <w:sz w:val="20"/>
          <w:szCs w:val="20"/>
          <w:lang w:val="es-ES"/>
        </w:rPr>
        <w:t xml:space="preserve">Efectivamente y a </w:t>
      </w:r>
      <w:r w:rsidR="00C05917" w:rsidRPr="00613F9A">
        <w:rPr>
          <w:rFonts w:ascii="Verdana" w:hAnsi="Verdana"/>
          <w:sz w:val="20"/>
          <w:szCs w:val="20"/>
          <w:lang w:val="es-ES"/>
        </w:rPr>
        <w:t>contrario de lo que parece desprenderse de la Sentencia</w:t>
      </w:r>
      <w:r w:rsidR="00C05917" w:rsidRPr="00613F9A">
        <w:rPr>
          <w:rFonts w:ascii="Verdana" w:hAnsi="Verdana"/>
          <w:sz w:val="20"/>
          <w:szCs w:val="20"/>
          <w:vertAlign w:val="superscript"/>
          <w:lang w:val="es-ES"/>
        </w:rPr>
        <w:footnoteReference w:id="133"/>
      </w:r>
      <w:r w:rsidR="00C05917" w:rsidRPr="00613F9A">
        <w:rPr>
          <w:rFonts w:ascii="Verdana" w:hAnsi="Verdana"/>
          <w:sz w:val="20"/>
          <w:szCs w:val="20"/>
          <w:lang w:val="es-ES"/>
        </w:rPr>
        <w:t>, la facultad de determinar su propia competencia, acorde al principio de la competencia de la competencia,</w:t>
      </w:r>
      <w:r w:rsidR="00AB1AAD" w:rsidRPr="00613F9A">
        <w:rPr>
          <w:rFonts w:ascii="Verdana" w:hAnsi="Verdana"/>
          <w:sz w:val="20"/>
          <w:szCs w:val="20"/>
          <w:lang w:val="es-ES"/>
        </w:rPr>
        <w:t xml:space="preserve"> </w:t>
      </w:r>
      <w:r w:rsidR="00C05917" w:rsidRPr="00613F9A">
        <w:rPr>
          <w:rFonts w:ascii="Verdana" w:hAnsi="Verdana"/>
          <w:sz w:val="20"/>
          <w:szCs w:val="20"/>
          <w:lang w:val="es-ES"/>
        </w:rPr>
        <w:t>“</w:t>
      </w:r>
      <w:r w:rsidR="00C05917" w:rsidRPr="00613F9A">
        <w:rPr>
          <w:rFonts w:ascii="Verdana" w:hAnsi="Verdana"/>
          <w:i/>
          <w:sz w:val="20"/>
          <w:szCs w:val="20"/>
          <w:lang w:val="es-ES"/>
        </w:rPr>
        <w:t>kompetenz-kompetenz</w:t>
      </w:r>
      <w:r w:rsidR="00C05917" w:rsidRPr="00613F9A">
        <w:rPr>
          <w:rFonts w:ascii="Verdana" w:hAnsi="Verdana"/>
          <w:sz w:val="20"/>
          <w:szCs w:val="20"/>
          <w:lang w:val="es-ES"/>
        </w:rPr>
        <w:t>” no la habilita para vulnerar el principio de derecho público de que solo puede hacer lo que la norma dispone. Obviamente, la circunstancia de que un derecho no sea “</w:t>
      </w:r>
      <w:r w:rsidR="00C05917" w:rsidRPr="00613F9A">
        <w:rPr>
          <w:rFonts w:ascii="Verdana" w:hAnsi="Verdana"/>
          <w:i/>
          <w:sz w:val="20"/>
          <w:szCs w:val="20"/>
          <w:lang w:val="es-ES"/>
        </w:rPr>
        <w:t>reconocido</w:t>
      </w:r>
      <w:r w:rsidR="00C05917" w:rsidRPr="00613F9A">
        <w:rPr>
          <w:rFonts w:ascii="Verdana" w:hAnsi="Verdana"/>
          <w:sz w:val="20"/>
          <w:szCs w:val="20"/>
          <w:lang w:val="es-ES"/>
        </w:rPr>
        <w:t>” en la Convención no impide que en el futuro pueda en ser incluido entre los derechos que podrían ser invocados ante la Corte</w:t>
      </w:r>
      <w:r w:rsidR="00910491" w:rsidRPr="00613F9A">
        <w:rPr>
          <w:rFonts w:ascii="Verdana" w:hAnsi="Verdana"/>
          <w:sz w:val="20"/>
          <w:szCs w:val="20"/>
          <w:lang w:val="es-ES"/>
        </w:rPr>
        <w:t xml:space="preserve"> o que se desarrolle uno ya existente</w:t>
      </w:r>
      <w:r w:rsidR="00C05917" w:rsidRPr="00613F9A">
        <w:rPr>
          <w:rFonts w:ascii="Verdana" w:hAnsi="Verdana"/>
          <w:sz w:val="20"/>
          <w:szCs w:val="20"/>
          <w:vertAlign w:val="superscript"/>
          <w:lang w:val="es-ES"/>
        </w:rPr>
        <w:footnoteReference w:id="134"/>
      </w:r>
      <w:r w:rsidR="00C05917" w:rsidRPr="00613F9A">
        <w:rPr>
          <w:rFonts w:ascii="Verdana" w:hAnsi="Verdana"/>
          <w:sz w:val="20"/>
          <w:szCs w:val="20"/>
          <w:lang w:val="es-ES"/>
        </w:rPr>
        <w:t xml:space="preserve">. </w:t>
      </w:r>
    </w:p>
    <w:p w:rsidR="00E424D1" w:rsidRPr="00613F9A" w:rsidRDefault="00E424D1" w:rsidP="006F2613">
      <w:pPr>
        <w:pStyle w:val="Prrafodelista"/>
        <w:numPr>
          <w:ilvl w:val="0"/>
          <w:numId w:val="2"/>
        </w:numPr>
        <w:spacing w:after="0"/>
        <w:ind w:left="20" w:hanging="20"/>
        <w:jc w:val="both"/>
        <w:rPr>
          <w:rFonts w:ascii="Verdana" w:hAnsi="Verdana"/>
          <w:sz w:val="20"/>
          <w:szCs w:val="20"/>
          <w:lang w:val="es-ES"/>
        </w:rPr>
      </w:pPr>
      <w:r w:rsidRPr="00613F9A">
        <w:rPr>
          <w:rFonts w:ascii="Verdana" w:hAnsi="Verdana"/>
          <w:sz w:val="20"/>
          <w:szCs w:val="20"/>
          <w:lang w:val="es-ES"/>
        </w:rPr>
        <w:lastRenderedPageBreak/>
        <w:t>Por otra parte, de aceptarse lo señalado en la Sentencia en lo que dice relación con el citado artículo 26, haría</w:t>
      </w:r>
      <w:r w:rsidR="00F5584F" w:rsidRPr="00613F9A">
        <w:rPr>
          <w:rFonts w:ascii="Verdana" w:hAnsi="Verdana"/>
          <w:sz w:val="20"/>
          <w:szCs w:val="20"/>
          <w:lang w:val="es-ES"/>
        </w:rPr>
        <w:t xml:space="preserve"> en cierta medida</w:t>
      </w:r>
      <w:r w:rsidRPr="00613F9A">
        <w:rPr>
          <w:rFonts w:ascii="Verdana" w:hAnsi="Verdana"/>
          <w:sz w:val="20"/>
          <w:szCs w:val="20"/>
          <w:lang w:val="es-ES"/>
        </w:rPr>
        <w:t xml:space="preserve"> innecesario e inútil lo previsto en los</w:t>
      </w:r>
      <w:r w:rsidR="00F5584F" w:rsidRPr="00613F9A">
        <w:rPr>
          <w:rFonts w:ascii="Verdana" w:hAnsi="Verdana"/>
          <w:sz w:val="20"/>
          <w:szCs w:val="20"/>
          <w:lang w:val="es-ES"/>
        </w:rPr>
        <w:t xml:space="preserve"> recién</w:t>
      </w:r>
      <w:r w:rsidRPr="00613F9A">
        <w:rPr>
          <w:rFonts w:ascii="Verdana" w:hAnsi="Verdana"/>
          <w:sz w:val="20"/>
          <w:szCs w:val="20"/>
          <w:lang w:val="es-ES"/>
        </w:rPr>
        <w:t xml:space="preserve"> </w:t>
      </w:r>
      <w:r w:rsidR="00F5584F" w:rsidRPr="00613F9A">
        <w:rPr>
          <w:rFonts w:ascii="Verdana" w:hAnsi="Verdana"/>
          <w:sz w:val="20"/>
          <w:szCs w:val="20"/>
          <w:lang w:val="es-ES"/>
        </w:rPr>
        <w:t xml:space="preserve">citados </w:t>
      </w:r>
      <w:r w:rsidRPr="00613F9A">
        <w:rPr>
          <w:rFonts w:ascii="Verdana" w:hAnsi="Verdana"/>
          <w:sz w:val="20"/>
          <w:szCs w:val="20"/>
          <w:lang w:val="es-ES"/>
        </w:rPr>
        <w:t>artículos 31, 76.1 y 77.1</w:t>
      </w:r>
      <w:r w:rsidR="00F5584F" w:rsidRPr="00613F9A">
        <w:rPr>
          <w:rFonts w:ascii="Verdana" w:hAnsi="Verdana"/>
          <w:sz w:val="20"/>
          <w:szCs w:val="20"/>
          <w:vertAlign w:val="superscript"/>
          <w:lang w:val="es-ES"/>
        </w:rPr>
        <w:t xml:space="preserve"> </w:t>
      </w:r>
      <w:r w:rsidRPr="00613F9A">
        <w:rPr>
          <w:rFonts w:ascii="Verdana" w:hAnsi="Verdana"/>
          <w:sz w:val="20"/>
          <w:szCs w:val="20"/>
          <w:lang w:val="es-ES"/>
        </w:rPr>
        <w:t>de la Convención, esto es, la suscripción de protocolos adicionales a fin de reconocer otros derechos diferentes a los que lo son en la Convención e incluirlos en el régimen de protección que contempla, dado que para ello bastaría l</w:t>
      </w:r>
      <w:r w:rsidR="00F5584F" w:rsidRPr="00613F9A">
        <w:rPr>
          <w:rFonts w:ascii="Verdana" w:hAnsi="Verdana"/>
          <w:sz w:val="20"/>
          <w:szCs w:val="20"/>
          <w:lang w:val="es-ES"/>
        </w:rPr>
        <w:t>a aplicación del indicado artículo 26</w:t>
      </w:r>
      <w:r w:rsidRPr="00613F9A">
        <w:rPr>
          <w:rFonts w:ascii="Verdana" w:hAnsi="Verdana"/>
          <w:sz w:val="20"/>
          <w:szCs w:val="20"/>
          <w:lang w:val="es-ES"/>
        </w:rPr>
        <w:t>.</w:t>
      </w:r>
    </w:p>
    <w:p w:rsidR="00E424D1" w:rsidRPr="00613F9A" w:rsidRDefault="00E424D1" w:rsidP="006F2613">
      <w:pPr>
        <w:spacing w:after="0" w:line="276" w:lineRule="auto"/>
        <w:ind w:left="0" w:hanging="20"/>
        <w:rPr>
          <w:rFonts w:ascii="Verdana" w:hAnsi="Verdana"/>
          <w:sz w:val="20"/>
          <w:szCs w:val="20"/>
          <w:lang w:val="es-ES"/>
        </w:rPr>
      </w:pPr>
    </w:p>
    <w:p w:rsidR="00E424D1" w:rsidRPr="00613F9A" w:rsidRDefault="00E424D1" w:rsidP="006F2613">
      <w:pPr>
        <w:numPr>
          <w:ilvl w:val="0"/>
          <w:numId w:val="2"/>
        </w:numPr>
        <w:spacing w:after="0" w:line="276" w:lineRule="auto"/>
        <w:ind w:left="0" w:hanging="20"/>
        <w:contextualSpacing/>
        <w:rPr>
          <w:rFonts w:ascii="Verdana" w:hAnsi="Verdana"/>
          <w:sz w:val="20"/>
          <w:szCs w:val="20"/>
          <w:lang w:val="es-ES"/>
        </w:rPr>
      </w:pPr>
      <w:r w:rsidRPr="00613F9A">
        <w:rPr>
          <w:rFonts w:ascii="Verdana" w:hAnsi="Verdana"/>
          <w:sz w:val="20"/>
          <w:szCs w:val="20"/>
          <w:lang w:val="es-ES"/>
        </w:rPr>
        <w:t>En otras palabras, sobre la base del principio de que "</w:t>
      </w:r>
      <w:r w:rsidRPr="00613F9A">
        <w:rPr>
          <w:rFonts w:ascii="Verdana" w:hAnsi="Verdana"/>
          <w:i/>
          <w:sz w:val="20"/>
          <w:szCs w:val="20"/>
          <w:lang w:val="es-ES"/>
        </w:rPr>
        <w:t>donde hay la misma razón legal debe existir igual disposición de derecho"</w:t>
      </w:r>
      <w:r w:rsidRPr="00613F9A">
        <w:rPr>
          <w:rFonts w:ascii="Verdana" w:hAnsi="Verdana"/>
          <w:sz w:val="20"/>
          <w:szCs w:val="20"/>
          <w:lang w:val="es-ES"/>
        </w:rPr>
        <w:t xml:space="preserve"> o “</w:t>
      </w:r>
      <w:r w:rsidRPr="00613F9A">
        <w:rPr>
          <w:rFonts w:ascii="Verdana" w:hAnsi="Verdana"/>
          <w:i/>
          <w:sz w:val="20"/>
          <w:szCs w:val="20"/>
          <w:lang w:val="es-ES"/>
        </w:rPr>
        <w:t>donde existe la misma razón debe existir la misma disposición</w:t>
      </w:r>
      <w:r w:rsidRPr="00613F9A">
        <w:rPr>
          <w:rFonts w:ascii="Verdana" w:hAnsi="Verdana"/>
          <w:sz w:val="20"/>
          <w:szCs w:val="20"/>
          <w:lang w:val="es-ES"/>
        </w:rPr>
        <w:t xml:space="preserve">”, de seguirse el criterio adoptado por la Sentencia y llevándolo a su extremo, no se vislumbraría el motivo por el que no podrían ser también invocadas ante la Corte las presuntas violaciones a los derechos humanos que las normas </w:t>
      </w:r>
      <w:r w:rsidR="00764B45" w:rsidRPr="00613F9A">
        <w:rPr>
          <w:rFonts w:ascii="Verdana" w:hAnsi="Verdana"/>
          <w:sz w:val="20"/>
          <w:szCs w:val="20"/>
          <w:lang w:val="es-ES"/>
        </w:rPr>
        <w:t xml:space="preserve">que actualmente se encuentran en </w:t>
      </w:r>
      <w:r w:rsidRPr="00613F9A">
        <w:rPr>
          <w:rFonts w:ascii="Verdana" w:hAnsi="Verdana"/>
          <w:sz w:val="20"/>
          <w:szCs w:val="20"/>
          <w:lang w:val="es-ES"/>
        </w:rPr>
        <w:t>todo el Capítulo VII de la Carta de la OEA</w:t>
      </w:r>
      <w:r w:rsidR="00764B45" w:rsidRPr="00613F9A">
        <w:rPr>
          <w:rFonts w:ascii="Verdana" w:hAnsi="Verdana"/>
          <w:sz w:val="20"/>
          <w:szCs w:val="20"/>
          <w:lang w:val="es-ES"/>
        </w:rPr>
        <w:t>,</w:t>
      </w:r>
      <w:r w:rsidRPr="00613F9A">
        <w:rPr>
          <w:rFonts w:ascii="Verdana" w:hAnsi="Verdana"/>
          <w:sz w:val="20"/>
          <w:szCs w:val="20"/>
          <w:lang w:val="es-ES"/>
        </w:rPr>
        <w:t xml:space="preserve"> implicarían</w:t>
      </w:r>
      <w:r w:rsidRPr="00613F9A">
        <w:rPr>
          <w:rFonts w:ascii="Verdana" w:hAnsi="Verdana"/>
          <w:sz w:val="20"/>
          <w:szCs w:val="20"/>
          <w:vertAlign w:val="superscript"/>
          <w:lang w:val="es-ES"/>
        </w:rPr>
        <w:footnoteReference w:id="135"/>
      </w:r>
      <w:r w:rsidR="00910491" w:rsidRPr="00613F9A">
        <w:rPr>
          <w:rFonts w:ascii="Verdana" w:hAnsi="Verdana"/>
          <w:sz w:val="20"/>
          <w:szCs w:val="20"/>
          <w:lang w:val="es-ES"/>
        </w:rPr>
        <w:t xml:space="preserve">, lo que, </w:t>
      </w:r>
      <w:r w:rsidRPr="00613F9A">
        <w:rPr>
          <w:rFonts w:ascii="Verdana" w:hAnsi="Verdana"/>
          <w:sz w:val="20"/>
          <w:szCs w:val="20"/>
          <w:lang w:val="es-ES"/>
        </w:rPr>
        <w:t xml:space="preserve">evidentemente, </w:t>
      </w:r>
      <w:r w:rsidR="000978E9" w:rsidRPr="00613F9A">
        <w:rPr>
          <w:rFonts w:ascii="Verdana" w:hAnsi="Verdana"/>
          <w:sz w:val="20"/>
          <w:szCs w:val="20"/>
          <w:lang w:val="es-ES"/>
        </w:rPr>
        <w:t xml:space="preserve">conduciría a la inseguridad </w:t>
      </w:r>
      <w:r w:rsidR="000978E9" w:rsidRPr="00613F9A">
        <w:rPr>
          <w:rFonts w:ascii="Verdana" w:hAnsi="Verdana"/>
          <w:sz w:val="20"/>
          <w:szCs w:val="20"/>
          <w:lang w:val="es-ES"/>
        </w:rPr>
        <w:lastRenderedPageBreak/>
        <w:t xml:space="preserve">jurídica </w:t>
      </w:r>
      <w:r w:rsidRPr="00613F9A">
        <w:rPr>
          <w:rFonts w:ascii="Verdana" w:hAnsi="Verdana"/>
          <w:sz w:val="20"/>
          <w:szCs w:val="20"/>
          <w:lang w:val="es-ES"/>
        </w:rPr>
        <w:t xml:space="preserve">por la forma tan amplia y vaga en que </w:t>
      </w:r>
      <w:r w:rsidR="00AE364B" w:rsidRPr="00613F9A">
        <w:rPr>
          <w:rFonts w:ascii="Verdana" w:hAnsi="Verdana"/>
          <w:sz w:val="20"/>
          <w:szCs w:val="20"/>
          <w:lang w:val="es-ES"/>
        </w:rPr>
        <w:t>están</w:t>
      </w:r>
      <w:r w:rsidRPr="00613F9A">
        <w:rPr>
          <w:rFonts w:ascii="Verdana" w:hAnsi="Verdana"/>
          <w:sz w:val="20"/>
          <w:szCs w:val="20"/>
          <w:lang w:val="es-ES"/>
        </w:rPr>
        <w:t xml:space="preserve"> previstos, lo que, por lo demás no podría ser de otra manera en vista de que se trata de “</w:t>
      </w:r>
      <w:r w:rsidRPr="00613F9A">
        <w:rPr>
          <w:rFonts w:ascii="Verdana" w:hAnsi="Verdana"/>
          <w:i/>
          <w:sz w:val="20"/>
          <w:szCs w:val="20"/>
          <w:lang w:val="es-ES"/>
        </w:rPr>
        <w:t>objetivos básicos</w:t>
      </w:r>
      <w:r w:rsidRPr="00613F9A">
        <w:rPr>
          <w:rFonts w:ascii="Verdana" w:hAnsi="Verdana"/>
          <w:sz w:val="20"/>
          <w:szCs w:val="20"/>
          <w:lang w:val="es-ES"/>
        </w:rPr>
        <w:t>” o “</w:t>
      </w:r>
      <w:r w:rsidRPr="00613F9A">
        <w:rPr>
          <w:rFonts w:ascii="Verdana" w:hAnsi="Verdana"/>
          <w:i/>
          <w:sz w:val="20"/>
          <w:szCs w:val="20"/>
          <w:lang w:val="es-ES"/>
        </w:rPr>
        <w:t>metas</w:t>
      </w:r>
      <w:r w:rsidR="000978E9" w:rsidRPr="00613F9A">
        <w:rPr>
          <w:rFonts w:ascii="Verdana" w:hAnsi="Verdana"/>
          <w:sz w:val="20"/>
          <w:szCs w:val="20"/>
          <w:lang w:val="es-ES"/>
        </w:rPr>
        <w:t>”</w:t>
      </w:r>
      <w:r w:rsidRPr="00613F9A">
        <w:rPr>
          <w:rFonts w:ascii="Verdana" w:hAnsi="Verdana"/>
          <w:sz w:val="20"/>
          <w:szCs w:val="20"/>
          <w:lang w:val="es-ES"/>
        </w:rPr>
        <w:t xml:space="preserve">. </w:t>
      </w:r>
    </w:p>
    <w:p w:rsidR="00E424D1" w:rsidRPr="00613F9A" w:rsidRDefault="00E424D1" w:rsidP="000978E9">
      <w:pPr>
        <w:spacing w:after="0" w:line="276" w:lineRule="auto"/>
        <w:ind w:left="0"/>
        <w:rPr>
          <w:rFonts w:ascii="Verdana" w:hAnsi="Verdana"/>
          <w:sz w:val="20"/>
          <w:szCs w:val="20"/>
          <w:lang w:val="es-ES"/>
        </w:rPr>
      </w:pPr>
    </w:p>
    <w:p w:rsidR="00E424D1" w:rsidRPr="00613F9A" w:rsidRDefault="00E424D1" w:rsidP="006F2613">
      <w:pPr>
        <w:numPr>
          <w:ilvl w:val="0"/>
          <w:numId w:val="2"/>
        </w:numPr>
        <w:spacing w:line="276" w:lineRule="auto"/>
        <w:ind w:left="0" w:firstLine="0"/>
        <w:contextualSpacing/>
        <w:rPr>
          <w:rFonts w:ascii="Verdana" w:hAnsi="Verdana"/>
          <w:sz w:val="20"/>
          <w:szCs w:val="20"/>
          <w:lang w:val="es-ES"/>
        </w:rPr>
      </w:pPr>
      <w:r w:rsidRPr="00613F9A">
        <w:rPr>
          <w:rFonts w:ascii="Verdana" w:hAnsi="Verdana"/>
          <w:sz w:val="20"/>
          <w:szCs w:val="20"/>
          <w:lang w:val="es-ES"/>
        </w:rPr>
        <w:t xml:space="preserve">Pero, además, </w:t>
      </w:r>
      <w:r w:rsidR="007E461D" w:rsidRPr="00613F9A">
        <w:rPr>
          <w:rFonts w:ascii="Verdana" w:hAnsi="Verdana"/>
          <w:sz w:val="20"/>
          <w:szCs w:val="20"/>
          <w:lang w:val="es-ES"/>
        </w:rPr>
        <w:t xml:space="preserve">de aceptarse que </w:t>
      </w:r>
      <w:r w:rsidRPr="00613F9A">
        <w:rPr>
          <w:rFonts w:ascii="Verdana" w:hAnsi="Verdana"/>
          <w:sz w:val="20"/>
          <w:szCs w:val="20"/>
          <w:lang w:val="es-ES"/>
        </w:rPr>
        <w:t>los derechos que “</w:t>
      </w:r>
      <w:r w:rsidRPr="00613F9A">
        <w:rPr>
          <w:rFonts w:ascii="Verdana" w:hAnsi="Verdana"/>
          <w:i/>
          <w:sz w:val="20"/>
          <w:szCs w:val="20"/>
          <w:lang w:val="es-ES"/>
        </w:rPr>
        <w:t>derivan</w:t>
      </w:r>
      <w:r w:rsidRPr="00613F9A">
        <w:rPr>
          <w:rFonts w:ascii="Verdana" w:hAnsi="Verdana"/>
          <w:sz w:val="20"/>
          <w:szCs w:val="20"/>
          <w:lang w:val="es-ES"/>
        </w:rPr>
        <w:t>” de la Carta de la OEA podrían judicializarse ante la Corte, ello conllevaría a que todos los Estados Partes de la Convención y que han aceptado su jurisdicción, eventualmente podrían ser llevados ante la Corte por ser sencillamente subdesarrollados o en vías de desarrollo, es decir, por no alcanzar plenamente el desarrollo integral o algunas de sus facetas, lo que a tod</w:t>
      </w:r>
      <w:r w:rsidR="005B072E" w:rsidRPr="00613F9A">
        <w:rPr>
          <w:rFonts w:ascii="Verdana" w:hAnsi="Verdana"/>
          <w:sz w:val="20"/>
          <w:szCs w:val="20"/>
          <w:lang w:val="es-ES"/>
        </w:rPr>
        <w:t xml:space="preserve">as luces parecería alejado de la lógica de la Convención y, </w:t>
      </w:r>
      <w:r w:rsidRPr="00613F9A">
        <w:rPr>
          <w:rFonts w:ascii="Verdana" w:hAnsi="Verdana"/>
          <w:sz w:val="20"/>
          <w:szCs w:val="20"/>
          <w:lang w:val="es-ES"/>
        </w:rPr>
        <w:t>en especial, por la forma en que está redactado el mencionado Capítulo VII</w:t>
      </w:r>
      <w:r w:rsidR="005B072E" w:rsidRPr="00613F9A">
        <w:rPr>
          <w:rFonts w:ascii="Verdana" w:hAnsi="Verdana"/>
          <w:sz w:val="20"/>
          <w:szCs w:val="20"/>
          <w:lang w:val="es-ES"/>
        </w:rPr>
        <w:t xml:space="preserve">, todo lo cual conduciría, además, </w:t>
      </w:r>
      <w:r w:rsidR="00B7711C" w:rsidRPr="00613F9A">
        <w:rPr>
          <w:rFonts w:ascii="Verdana" w:hAnsi="Verdana"/>
          <w:sz w:val="20"/>
          <w:szCs w:val="20"/>
          <w:lang w:val="es-ES"/>
        </w:rPr>
        <w:t xml:space="preserve">no sólo </w:t>
      </w:r>
      <w:r w:rsidR="005B072E" w:rsidRPr="00613F9A">
        <w:rPr>
          <w:rFonts w:ascii="Verdana" w:hAnsi="Verdana"/>
          <w:sz w:val="20"/>
          <w:szCs w:val="20"/>
          <w:lang w:val="es-ES"/>
        </w:rPr>
        <w:t>a un resultado evidentemente absurdo</w:t>
      </w:r>
      <w:r w:rsidR="00B7711C" w:rsidRPr="00613F9A">
        <w:rPr>
          <w:rFonts w:ascii="Verdana" w:hAnsi="Verdana"/>
          <w:sz w:val="20"/>
          <w:szCs w:val="20"/>
          <w:lang w:val="es-ES"/>
        </w:rPr>
        <w:t>, lo que, a no dudarlo, en definitiva terminaría por perjudicar el efectivo respeto de los dere</w:t>
      </w:r>
      <w:r w:rsidR="004E3B85" w:rsidRPr="00613F9A">
        <w:rPr>
          <w:rFonts w:ascii="Verdana" w:hAnsi="Verdana"/>
          <w:sz w:val="20"/>
          <w:szCs w:val="20"/>
          <w:lang w:val="es-ES"/>
        </w:rPr>
        <w:t>chos humanos o su pronto restablecimiento en el evento en que hayan sido violados</w:t>
      </w:r>
      <w:r w:rsidRPr="00613F9A">
        <w:rPr>
          <w:rFonts w:ascii="Verdana" w:hAnsi="Verdana"/>
          <w:sz w:val="20"/>
          <w:szCs w:val="20"/>
          <w:lang w:val="es-ES"/>
        </w:rPr>
        <w:t>.</w:t>
      </w:r>
    </w:p>
    <w:p w:rsidR="00E424D1" w:rsidRPr="00613F9A" w:rsidRDefault="00E424D1" w:rsidP="006F2613">
      <w:pPr>
        <w:spacing w:line="276" w:lineRule="auto"/>
        <w:ind w:left="0"/>
        <w:contextualSpacing/>
        <w:rPr>
          <w:rFonts w:ascii="Verdana" w:hAnsi="Verdana"/>
          <w:sz w:val="20"/>
          <w:szCs w:val="20"/>
          <w:lang w:val="es-ES"/>
        </w:rPr>
      </w:pPr>
    </w:p>
    <w:p w:rsidR="00C05917" w:rsidRPr="00613F9A" w:rsidRDefault="00E424D1" w:rsidP="006F2613">
      <w:pPr>
        <w:numPr>
          <w:ilvl w:val="0"/>
          <w:numId w:val="2"/>
        </w:numPr>
        <w:spacing w:line="276" w:lineRule="auto"/>
        <w:ind w:left="0" w:firstLine="0"/>
        <w:contextualSpacing/>
        <w:rPr>
          <w:rFonts w:ascii="Verdana" w:hAnsi="Verdana"/>
          <w:sz w:val="20"/>
          <w:szCs w:val="20"/>
          <w:lang w:val="es-ES"/>
        </w:rPr>
      </w:pPr>
      <w:r w:rsidRPr="00613F9A">
        <w:rPr>
          <w:rFonts w:ascii="Verdana" w:hAnsi="Verdana"/>
          <w:sz w:val="20"/>
          <w:szCs w:val="20"/>
          <w:lang w:val="es-ES"/>
        </w:rPr>
        <w:t>Con relación a este particular</w:t>
      </w:r>
      <w:r w:rsidR="00C05917" w:rsidRPr="00613F9A">
        <w:rPr>
          <w:rFonts w:ascii="Verdana" w:hAnsi="Verdana"/>
          <w:sz w:val="20"/>
          <w:szCs w:val="20"/>
          <w:lang w:val="es-ES"/>
        </w:rPr>
        <w:t>, procede referirse</w:t>
      </w:r>
      <w:r w:rsidRPr="00613F9A">
        <w:rPr>
          <w:rFonts w:ascii="Verdana" w:hAnsi="Verdana"/>
          <w:sz w:val="20"/>
          <w:szCs w:val="20"/>
          <w:lang w:val="es-ES"/>
        </w:rPr>
        <w:t xml:space="preserve"> asimismo</w:t>
      </w:r>
      <w:r w:rsidR="00C05917" w:rsidRPr="00613F9A">
        <w:rPr>
          <w:rFonts w:ascii="Verdana" w:hAnsi="Verdana"/>
          <w:sz w:val="20"/>
          <w:szCs w:val="20"/>
          <w:lang w:val="es-ES"/>
        </w:rPr>
        <w:t xml:space="preserve"> a lo que la Sentencia indica sobre la fuente del derecho a la seguridad social en tanto derecho autónomo derivado de las normas económicas, sociales y sobre educación, ciencia y cultura, contenidas en la Carta de la OEA, y, por ende, justiciable ante la Corte.</w:t>
      </w:r>
      <w:r w:rsidR="00C05917" w:rsidRPr="00613F9A">
        <w:rPr>
          <w:rFonts w:ascii="Verdana" w:eastAsia="Calibri" w:hAnsi="Verdana" w:cs="Times New Roman"/>
          <w:sz w:val="20"/>
          <w:szCs w:val="20"/>
          <w:lang w:val="es-PE" w:eastAsia="es-CR"/>
        </w:rPr>
        <w:t xml:space="preserve"> Al respecto, señala</w:t>
      </w:r>
      <w:r w:rsidR="00644BE5" w:rsidRPr="00613F9A">
        <w:rPr>
          <w:rFonts w:ascii="Verdana" w:eastAsia="Calibri" w:hAnsi="Verdana" w:cs="Times New Roman"/>
          <w:sz w:val="20"/>
          <w:szCs w:val="20"/>
          <w:lang w:val="es-PE" w:eastAsia="es-CR"/>
        </w:rPr>
        <w:t xml:space="preserve"> como fuentes de ello</w:t>
      </w:r>
      <w:r w:rsidR="00907944" w:rsidRPr="00613F9A">
        <w:rPr>
          <w:rStyle w:val="Refdenotaalpie"/>
          <w:rFonts w:ascii="Verdana" w:eastAsia="Calibri" w:hAnsi="Verdana" w:cs="Times New Roman"/>
          <w:sz w:val="20"/>
          <w:szCs w:val="20"/>
          <w:lang w:val="es-PE" w:eastAsia="es-CR"/>
        </w:rPr>
        <w:footnoteReference w:id="136"/>
      </w:r>
      <w:r w:rsidR="00644BE5" w:rsidRPr="00613F9A">
        <w:rPr>
          <w:rFonts w:ascii="Verdana" w:eastAsia="Calibri" w:hAnsi="Verdana" w:cs="Times New Roman"/>
          <w:sz w:val="20"/>
          <w:szCs w:val="20"/>
          <w:lang w:val="es-PE" w:eastAsia="es-CR"/>
        </w:rPr>
        <w:t xml:space="preserve"> los artículos 3.j)</w:t>
      </w:r>
      <w:r w:rsidR="00644BE5" w:rsidRPr="00613F9A">
        <w:rPr>
          <w:rFonts w:ascii="Verdana" w:eastAsia="Times" w:hAnsi="Verdana" w:cs="Times New Roman"/>
          <w:sz w:val="20"/>
          <w:szCs w:val="20"/>
          <w:vertAlign w:val="superscript"/>
          <w:lang w:val="es-MX" w:eastAsia="es-CR"/>
        </w:rPr>
        <w:footnoteReference w:id="137"/>
      </w:r>
      <w:r w:rsidR="00644BE5" w:rsidRPr="00613F9A">
        <w:rPr>
          <w:rFonts w:ascii="Verdana" w:eastAsia="Calibri" w:hAnsi="Verdana" w:cs="Times New Roman"/>
          <w:sz w:val="20"/>
          <w:szCs w:val="20"/>
          <w:lang w:val="es-PE" w:eastAsia="es-CR"/>
        </w:rPr>
        <w:t>, 45.b)</w:t>
      </w:r>
      <w:r w:rsidR="00644BE5" w:rsidRPr="00613F9A">
        <w:rPr>
          <w:rFonts w:ascii="Verdana" w:eastAsia="Calibri" w:hAnsi="Verdana" w:cs="Times New Roman"/>
          <w:i/>
          <w:sz w:val="20"/>
          <w:szCs w:val="20"/>
          <w:vertAlign w:val="superscript"/>
          <w:lang w:val="es-CR" w:eastAsia="es-CR"/>
        </w:rPr>
        <w:t xml:space="preserve"> </w:t>
      </w:r>
      <w:r w:rsidR="00644BE5" w:rsidRPr="00613F9A">
        <w:rPr>
          <w:rFonts w:ascii="Verdana" w:eastAsia="Calibri" w:hAnsi="Verdana" w:cs="Times New Roman"/>
          <w:sz w:val="20"/>
          <w:szCs w:val="20"/>
          <w:vertAlign w:val="superscript"/>
          <w:lang w:val="es-CR" w:eastAsia="es-CR"/>
        </w:rPr>
        <w:footnoteReference w:id="138"/>
      </w:r>
      <w:r w:rsidR="00644BE5" w:rsidRPr="00613F9A">
        <w:rPr>
          <w:rFonts w:ascii="Verdana" w:eastAsia="Calibri" w:hAnsi="Verdana" w:cs="Times New Roman"/>
          <w:sz w:val="20"/>
          <w:szCs w:val="20"/>
          <w:lang w:val="es-PE" w:eastAsia="es-CR"/>
        </w:rPr>
        <w:t>, 45.h)</w:t>
      </w:r>
      <w:r w:rsidR="00644BE5" w:rsidRPr="00613F9A">
        <w:rPr>
          <w:rFonts w:ascii="Verdana" w:eastAsia="Calibri" w:hAnsi="Verdana" w:cs="Times New Roman"/>
          <w:sz w:val="20"/>
          <w:szCs w:val="20"/>
          <w:vertAlign w:val="superscript"/>
          <w:lang w:val="es-CR" w:eastAsia="es-CR"/>
        </w:rPr>
        <w:t xml:space="preserve"> </w:t>
      </w:r>
      <w:r w:rsidR="00644BE5" w:rsidRPr="00613F9A">
        <w:rPr>
          <w:rFonts w:ascii="Verdana" w:eastAsia="Calibri" w:hAnsi="Verdana" w:cs="Times New Roman"/>
          <w:sz w:val="20"/>
          <w:szCs w:val="20"/>
          <w:vertAlign w:val="superscript"/>
          <w:lang w:val="es-CR" w:eastAsia="es-CR"/>
        </w:rPr>
        <w:footnoteReference w:id="139"/>
      </w:r>
      <w:r w:rsidR="00644BE5" w:rsidRPr="00613F9A">
        <w:rPr>
          <w:rFonts w:ascii="Verdana" w:eastAsia="Calibri" w:hAnsi="Verdana" w:cs="Times New Roman"/>
          <w:sz w:val="20"/>
          <w:szCs w:val="20"/>
          <w:lang w:val="es-PE" w:eastAsia="es-CR"/>
        </w:rPr>
        <w:t xml:space="preserve"> y 46</w:t>
      </w:r>
      <w:r w:rsidR="00644BE5" w:rsidRPr="00613F9A">
        <w:rPr>
          <w:rFonts w:ascii="Verdana" w:eastAsia="Calibri" w:hAnsi="Verdana" w:cs="Tahoma"/>
          <w:sz w:val="20"/>
          <w:szCs w:val="20"/>
          <w:vertAlign w:val="superscript"/>
          <w:lang w:val="es-ES" w:eastAsia="es-CR"/>
        </w:rPr>
        <w:footnoteReference w:id="140"/>
      </w:r>
      <w:r w:rsidR="00644BE5" w:rsidRPr="00613F9A">
        <w:rPr>
          <w:rFonts w:ascii="Verdana" w:eastAsia="Calibri" w:hAnsi="Verdana" w:cs="Times New Roman"/>
          <w:sz w:val="20"/>
          <w:szCs w:val="20"/>
          <w:lang w:val="es-PE" w:eastAsia="es-CR"/>
        </w:rPr>
        <w:t xml:space="preserve"> de la Carta de la OEA.</w:t>
      </w:r>
      <w:r w:rsidR="008A4349" w:rsidRPr="00613F9A">
        <w:rPr>
          <w:rFonts w:ascii="Verdana" w:eastAsia="Calibri" w:hAnsi="Verdana" w:cs="Times New Roman"/>
          <w:sz w:val="20"/>
          <w:szCs w:val="20"/>
          <w:lang w:val="es-PE" w:eastAsia="es-CR"/>
        </w:rPr>
        <w:t xml:space="preserve"> </w:t>
      </w:r>
    </w:p>
    <w:p w:rsidR="00C05917" w:rsidRPr="00613F9A" w:rsidRDefault="00C05917" w:rsidP="000978E9">
      <w:pPr>
        <w:widowControl w:val="0"/>
        <w:adjustRightInd w:val="0"/>
        <w:spacing w:after="0" w:line="276" w:lineRule="auto"/>
        <w:ind w:left="0"/>
        <w:contextualSpacing/>
        <w:textAlignment w:val="baseline"/>
        <w:rPr>
          <w:rFonts w:ascii="Verdana" w:eastAsia="Calibri" w:hAnsi="Verdana" w:cs="Times New Roman"/>
          <w:sz w:val="20"/>
          <w:szCs w:val="20"/>
          <w:lang w:val="es-CR" w:eastAsia="es-CR"/>
        </w:rPr>
      </w:pPr>
    </w:p>
    <w:p w:rsidR="00C05917" w:rsidRPr="00613F9A" w:rsidRDefault="00C05917" w:rsidP="006F2613">
      <w:pPr>
        <w:numPr>
          <w:ilvl w:val="0"/>
          <w:numId w:val="2"/>
        </w:numPr>
        <w:spacing w:after="0" w:line="276" w:lineRule="auto"/>
        <w:ind w:left="0" w:firstLine="0"/>
        <w:contextualSpacing/>
        <w:rPr>
          <w:rFonts w:ascii="Verdana" w:hAnsi="Verdana"/>
          <w:sz w:val="20"/>
          <w:szCs w:val="20"/>
          <w:lang w:val="es-ES"/>
        </w:rPr>
      </w:pPr>
      <w:r w:rsidRPr="00613F9A">
        <w:rPr>
          <w:rFonts w:ascii="Verdana" w:hAnsi="Verdana"/>
          <w:sz w:val="20"/>
          <w:szCs w:val="20"/>
          <w:lang w:val="es-ES"/>
        </w:rPr>
        <w:t>Como puede fácilmente deducirse de tales disposiciones, ellas no establecen, en rigor, propiamente tal</w:t>
      </w:r>
      <w:r w:rsidR="00E424D1" w:rsidRPr="00613F9A">
        <w:rPr>
          <w:rFonts w:ascii="Verdana" w:hAnsi="Verdana"/>
          <w:sz w:val="20"/>
          <w:szCs w:val="20"/>
          <w:lang w:val="es-ES"/>
        </w:rPr>
        <w:t>,</w:t>
      </w:r>
      <w:r w:rsidRPr="00613F9A">
        <w:rPr>
          <w:rFonts w:ascii="Verdana" w:hAnsi="Verdana"/>
          <w:sz w:val="20"/>
          <w:szCs w:val="20"/>
          <w:lang w:val="es-ES"/>
        </w:rPr>
        <w:t xml:space="preserve"> el derecho a la seguridad social, sino la obligación del correspondiente Estado de realizar los “</w:t>
      </w:r>
      <w:r w:rsidRPr="00613F9A">
        <w:rPr>
          <w:rFonts w:ascii="Verdana" w:hAnsi="Verdana"/>
          <w:i/>
          <w:sz w:val="20"/>
          <w:szCs w:val="20"/>
          <w:lang w:val="es-ES"/>
        </w:rPr>
        <w:t>máximos esfuerzos</w:t>
      </w:r>
      <w:r w:rsidRPr="00613F9A">
        <w:rPr>
          <w:rFonts w:ascii="Verdana" w:hAnsi="Verdana"/>
          <w:sz w:val="20"/>
          <w:szCs w:val="20"/>
          <w:lang w:val="es-ES"/>
        </w:rPr>
        <w:t>” para “</w:t>
      </w:r>
      <w:r w:rsidRPr="00613F9A">
        <w:rPr>
          <w:rFonts w:ascii="Verdana" w:hAnsi="Verdana"/>
          <w:i/>
          <w:sz w:val="20"/>
          <w:szCs w:val="20"/>
          <w:lang w:val="es-ES"/>
        </w:rPr>
        <w:t>aplicar</w:t>
      </w:r>
      <w:r w:rsidRPr="00613F9A">
        <w:rPr>
          <w:rFonts w:ascii="Verdana" w:hAnsi="Verdana"/>
          <w:sz w:val="20"/>
          <w:szCs w:val="20"/>
          <w:lang w:val="es-ES"/>
        </w:rPr>
        <w:t>” los referidos “</w:t>
      </w:r>
      <w:r w:rsidRPr="00613F9A">
        <w:rPr>
          <w:rFonts w:ascii="Verdana" w:hAnsi="Verdana"/>
          <w:i/>
          <w:sz w:val="20"/>
          <w:szCs w:val="20"/>
          <w:lang w:val="es-ES"/>
        </w:rPr>
        <w:t>principios</w:t>
      </w:r>
      <w:r w:rsidRPr="00613F9A">
        <w:rPr>
          <w:rFonts w:ascii="Verdana" w:hAnsi="Verdana"/>
          <w:sz w:val="20"/>
          <w:szCs w:val="20"/>
          <w:lang w:val="es-ES"/>
        </w:rPr>
        <w:t xml:space="preserve"> y “</w:t>
      </w:r>
      <w:r w:rsidRPr="00613F9A">
        <w:rPr>
          <w:rFonts w:ascii="Verdana" w:hAnsi="Verdana"/>
          <w:i/>
          <w:sz w:val="20"/>
          <w:szCs w:val="20"/>
          <w:lang w:val="es-ES"/>
        </w:rPr>
        <w:t>mecanismos</w:t>
      </w:r>
      <w:r w:rsidRPr="00613F9A">
        <w:rPr>
          <w:rFonts w:ascii="Verdana" w:hAnsi="Verdana"/>
          <w:sz w:val="20"/>
          <w:szCs w:val="20"/>
          <w:lang w:val="es-ES"/>
        </w:rPr>
        <w:t>”. De allí, pues “</w:t>
      </w:r>
      <w:r w:rsidRPr="00613F9A">
        <w:rPr>
          <w:rFonts w:ascii="Verdana" w:hAnsi="Verdana"/>
          <w:i/>
          <w:sz w:val="20"/>
          <w:szCs w:val="20"/>
          <w:lang w:val="es-ES"/>
        </w:rPr>
        <w:t>derivaría</w:t>
      </w:r>
      <w:r w:rsidRPr="00613F9A">
        <w:rPr>
          <w:rFonts w:ascii="Verdana" w:hAnsi="Verdana"/>
          <w:sz w:val="20"/>
          <w:szCs w:val="20"/>
          <w:lang w:val="es-ES"/>
        </w:rPr>
        <w:t>” el citado derecho a la seguridad social, el que, por tanto, no sería “</w:t>
      </w:r>
      <w:r w:rsidRPr="00613F9A">
        <w:rPr>
          <w:rFonts w:ascii="Verdana" w:hAnsi="Verdana"/>
          <w:i/>
          <w:sz w:val="20"/>
          <w:szCs w:val="20"/>
          <w:lang w:val="es-ES"/>
        </w:rPr>
        <w:t>reconocido</w:t>
      </w:r>
      <w:r w:rsidRPr="00613F9A">
        <w:rPr>
          <w:rFonts w:ascii="Verdana" w:hAnsi="Verdana"/>
          <w:sz w:val="20"/>
          <w:szCs w:val="20"/>
          <w:lang w:val="es-ES"/>
        </w:rPr>
        <w:t>” o “</w:t>
      </w:r>
      <w:r w:rsidRPr="00613F9A">
        <w:rPr>
          <w:rFonts w:ascii="Verdana" w:hAnsi="Verdana"/>
          <w:i/>
          <w:sz w:val="20"/>
          <w:szCs w:val="20"/>
          <w:lang w:val="es-ES"/>
        </w:rPr>
        <w:t>consagrado</w:t>
      </w:r>
      <w:r w:rsidRPr="00613F9A">
        <w:rPr>
          <w:rFonts w:ascii="Verdana" w:hAnsi="Verdana"/>
          <w:sz w:val="20"/>
          <w:szCs w:val="20"/>
          <w:lang w:val="es-ES"/>
        </w:rPr>
        <w:t xml:space="preserve">” por la Carta de la OEA ni, menos aún, por la Convención. </w:t>
      </w:r>
    </w:p>
    <w:p w:rsidR="00C05917" w:rsidRPr="00613F9A" w:rsidRDefault="00C05917" w:rsidP="006F2613">
      <w:pPr>
        <w:spacing w:after="200" w:line="276" w:lineRule="auto"/>
        <w:ind w:left="0"/>
        <w:contextualSpacing/>
        <w:rPr>
          <w:rFonts w:ascii="Verdana" w:hAnsi="Verdana"/>
          <w:sz w:val="20"/>
          <w:szCs w:val="20"/>
          <w:lang w:val="es-ES"/>
        </w:rPr>
      </w:pPr>
    </w:p>
    <w:p w:rsidR="00C05917" w:rsidRPr="00613F9A" w:rsidRDefault="00C05917" w:rsidP="006F2613">
      <w:pPr>
        <w:numPr>
          <w:ilvl w:val="0"/>
          <w:numId w:val="2"/>
        </w:numPr>
        <w:spacing w:after="0" w:line="276" w:lineRule="auto"/>
        <w:ind w:left="0" w:firstLine="0"/>
        <w:contextualSpacing/>
        <w:rPr>
          <w:rFonts w:ascii="Verdana" w:hAnsi="Verdana"/>
          <w:sz w:val="20"/>
          <w:szCs w:val="20"/>
          <w:lang w:val="es-ES"/>
        </w:rPr>
      </w:pPr>
      <w:r w:rsidRPr="00613F9A">
        <w:rPr>
          <w:rFonts w:ascii="Verdana" w:hAnsi="Verdana"/>
          <w:sz w:val="20"/>
          <w:szCs w:val="20"/>
          <w:lang w:val="es-ES"/>
        </w:rPr>
        <w:t xml:space="preserve">A mayor abundamiento, cabe resaltar la circunstancia de que las normas de la Carta de la OEA citadas por la Sentencia, se ubican en el Capítulo VII de dicho instrumento jurídico internacional, </w:t>
      </w:r>
      <w:r w:rsidRPr="00613F9A">
        <w:rPr>
          <w:rFonts w:ascii="Verdana" w:hAnsi="Verdana"/>
          <w:sz w:val="20"/>
          <w:szCs w:val="20"/>
          <w:lang w:val="es-ES"/>
        </w:rPr>
        <w:lastRenderedPageBreak/>
        <w:t>denominado “</w:t>
      </w:r>
      <w:r w:rsidRPr="00613F9A">
        <w:rPr>
          <w:rFonts w:ascii="Verdana" w:hAnsi="Verdana"/>
          <w:i/>
          <w:sz w:val="20"/>
          <w:szCs w:val="20"/>
          <w:lang w:val="es-ES"/>
        </w:rPr>
        <w:t>Desarrollo Integral</w:t>
      </w:r>
      <w:r w:rsidRPr="00613F9A">
        <w:rPr>
          <w:rFonts w:ascii="Verdana" w:hAnsi="Verdana"/>
          <w:sz w:val="20"/>
          <w:szCs w:val="20"/>
          <w:lang w:val="es-ES"/>
        </w:rPr>
        <w:t>”, y que el artículo 30</w:t>
      </w:r>
      <w:r w:rsidRPr="00613F9A">
        <w:rPr>
          <w:rFonts w:ascii="Verdana" w:hAnsi="Verdana"/>
          <w:sz w:val="20"/>
          <w:szCs w:val="20"/>
          <w:vertAlign w:val="superscript"/>
          <w:lang w:val="es-ES"/>
        </w:rPr>
        <w:footnoteReference w:id="141"/>
      </w:r>
      <w:r w:rsidRPr="00613F9A">
        <w:rPr>
          <w:rFonts w:ascii="Verdana" w:hAnsi="Verdana"/>
          <w:sz w:val="20"/>
          <w:szCs w:val="20"/>
          <w:lang w:val="es-ES"/>
        </w:rPr>
        <w:t>, el primero del mismo, considera a dicho desarrollo como el objetivo a lograr por medio del cumplimiento de las normas que le siguen. Igualmente, debe señalarse que las demás disposiciones del referido Capítulo, reafirman la concepción de que se trata de “</w:t>
      </w:r>
      <w:r w:rsidRPr="00613F9A">
        <w:rPr>
          <w:rFonts w:ascii="Verdana" w:hAnsi="Verdana"/>
          <w:i/>
          <w:sz w:val="20"/>
          <w:szCs w:val="20"/>
          <w:lang w:val="es-ES"/>
        </w:rPr>
        <w:t>propósitos</w:t>
      </w:r>
      <w:r w:rsidRPr="00613F9A">
        <w:rPr>
          <w:rFonts w:ascii="Verdana" w:hAnsi="Verdana"/>
          <w:sz w:val="20"/>
          <w:szCs w:val="20"/>
          <w:lang w:val="es-ES"/>
        </w:rPr>
        <w:t>” que los Estados se comprometen a alcanzar y no de derechos susceptibles de judicializar internacionalmente.</w:t>
      </w:r>
    </w:p>
    <w:p w:rsidR="00C05917" w:rsidRPr="00613F9A" w:rsidRDefault="00C05917" w:rsidP="006F2613">
      <w:pPr>
        <w:spacing w:after="200" w:line="276" w:lineRule="auto"/>
        <w:ind w:left="0"/>
        <w:contextualSpacing/>
        <w:rPr>
          <w:rFonts w:ascii="Verdana" w:hAnsi="Verdana"/>
          <w:sz w:val="20"/>
          <w:szCs w:val="20"/>
          <w:lang w:val="es-ES"/>
        </w:rPr>
      </w:pPr>
    </w:p>
    <w:p w:rsidR="00C05917" w:rsidRPr="00613F9A" w:rsidRDefault="00C05917" w:rsidP="006F2613">
      <w:pPr>
        <w:numPr>
          <w:ilvl w:val="0"/>
          <w:numId w:val="2"/>
        </w:numPr>
        <w:spacing w:line="276" w:lineRule="auto"/>
        <w:ind w:left="0" w:firstLine="0"/>
        <w:contextualSpacing/>
        <w:rPr>
          <w:rFonts w:ascii="Verdana" w:hAnsi="Verdana"/>
          <w:sz w:val="20"/>
          <w:szCs w:val="20"/>
          <w:lang w:val="es-ES"/>
        </w:rPr>
      </w:pPr>
      <w:r w:rsidRPr="00613F9A">
        <w:rPr>
          <w:rFonts w:ascii="Verdana" w:hAnsi="Verdana"/>
          <w:sz w:val="20"/>
          <w:szCs w:val="20"/>
          <w:lang w:val="es-ES"/>
        </w:rPr>
        <w:t>Por ende, atendido lo señalado, no se podría concluir que de lo dispuesto tanto en el artículo 26 de la Convención como en la Carta de la OEA, se colegiría que el derecho a la seguridad social serí</w:t>
      </w:r>
      <w:r w:rsidR="005F1EB3" w:rsidRPr="00613F9A">
        <w:rPr>
          <w:rFonts w:ascii="Verdana" w:hAnsi="Verdana"/>
          <w:sz w:val="20"/>
          <w:szCs w:val="20"/>
          <w:lang w:val="es-ES"/>
        </w:rPr>
        <w:t>a susceptible de ser justiciable</w:t>
      </w:r>
      <w:r w:rsidRPr="00613F9A">
        <w:rPr>
          <w:rFonts w:ascii="Verdana" w:hAnsi="Verdana"/>
          <w:sz w:val="20"/>
          <w:szCs w:val="20"/>
          <w:lang w:val="es-ES"/>
        </w:rPr>
        <w:t xml:space="preserve"> internacionalmente ante la Corte. </w:t>
      </w:r>
    </w:p>
    <w:p w:rsidR="00BE0B6A" w:rsidRPr="00613F9A" w:rsidRDefault="00BE0B6A" w:rsidP="000978E9">
      <w:pPr>
        <w:spacing w:line="276" w:lineRule="auto"/>
        <w:ind w:left="0"/>
        <w:contextualSpacing/>
        <w:rPr>
          <w:rFonts w:ascii="Verdana" w:hAnsi="Verdana"/>
          <w:sz w:val="20"/>
          <w:szCs w:val="20"/>
          <w:lang w:val="es-ES"/>
        </w:rPr>
      </w:pPr>
    </w:p>
    <w:p w:rsidR="00C05917" w:rsidRPr="00613F9A" w:rsidRDefault="00C05917" w:rsidP="000978E9">
      <w:pPr>
        <w:spacing w:after="0" w:line="276" w:lineRule="auto"/>
        <w:ind w:left="0"/>
        <w:rPr>
          <w:rFonts w:ascii="Verdana" w:hAnsi="Verdana"/>
          <w:b/>
          <w:sz w:val="20"/>
          <w:szCs w:val="20"/>
          <w:lang w:val="es-ES"/>
        </w:rPr>
      </w:pPr>
      <w:r w:rsidRPr="00613F9A">
        <w:rPr>
          <w:rFonts w:ascii="Verdana" w:hAnsi="Verdana"/>
          <w:b/>
          <w:sz w:val="20"/>
          <w:szCs w:val="20"/>
          <w:lang w:val="es-ES"/>
        </w:rPr>
        <w:t>CONCLUSIÓN.</w:t>
      </w:r>
    </w:p>
    <w:p w:rsidR="00AB1174" w:rsidRPr="00613F9A" w:rsidRDefault="00AB1174" w:rsidP="000978E9">
      <w:pPr>
        <w:spacing w:after="0" w:line="276" w:lineRule="auto"/>
        <w:ind w:left="0"/>
        <w:rPr>
          <w:rFonts w:ascii="Verdana" w:hAnsi="Verdana"/>
          <w:sz w:val="20"/>
          <w:szCs w:val="20"/>
          <w:lang w:val="es-ES"/>
        </w:rPr>
      </w:pPr>
    </w:p>
    <w:p w:rsidR="00566978" w:rsidRPr="00613F9A" w:rsidRDefault="00B7711C" w:rsidP="006F2613">
      <w:pPr>
        <w:pStyle w:val="Prrafodelista"/>
        <w:numPr>
          <w:ilvl w:val="0"/>
          <w:numId w:val="2"/>
        </w:numPr>
        <w:spacing w:after="0"/>
        <w:ind w:left="20" w:hanging="20"/>
        <w:jc w:val="both"/>
        <w:rPr>
          <w:rFonts w:ascii="Verdana" w:hAnsi="Verdana"/>
          <w:b/>
          <w:sz w:val="20"/>
          <w:szCs w:val="20"/>
          <w:lang w:val="es-ES"/>
        </w:rPr>
      </w:pPr>
      <w:r w:rsidRPr="00613F9A">
        <w:rPr>
          <w:rFonts w:ascii="Verdana" w:hAnsi="Verdana"/>
          <w:sz w:val="20"/>
          <w:szCs w:val="20"/>
          <w:lang w:val="es-ES"/>
        </w:rPr>
        <w:t>Como se puede colegir de</w:t>
      </w:r>
      <w:r w:rsidR="008C1541" w:rsidRPr="00613F9A">
        <w:rPr>
          <w:rFonts w:ascii="Verdana" w:hAnsi="Verdana"/>
          <w:sz w:val="20"/>
          <w:szCs w:val="20"/>
          <w:lang w:val="es-ES"/>
        </w:rPr>
        <w:t xml:space="preserve"> lo todo lo expuesto acerca de la interpretación que el Fallo realiza del artículo 26 de la Convención, ella se aparta ostensiblemente de la que resulta de la debida aplicación de las normas de interpretación de tratados previstas en la Convención de Viena y, por ende, conduce a un resultado jamás deseado ni previsto en la Convención</w:t>
      </w:r>
    </w:p>
    <w:p w:rsidR="00C05917" w:rsidRPr="00613F9A" w:rsidRDefault="00C05917" w:rsidP="006F2613">
      <w:pPr>
        <w:spacing w:after="0" w:line="276" w:lineRule="auto"/>
        <w:ind w:left="0" w:hanging="20"/>
        <w:rPr>
          <w:rFonts w:ascii="Verdana" w:hAnsi="Verdana"/>
          <w:b/>
          <w:sz w:val="20"/>
          <w:szCs w:val="20"/>
          <w:lang w:val="es-ES"/>
        </w:rPr>
      </w:pPr>
    </w:p>
    <w:p w:rsidR="00C05917" w:rsidRPr="00613F9A" w:rsidRDefault="001D2823" w:rsidP="006F2613">
      <w:pPr>
        <w:pStyle w:val="Prrafodelista"/>
        <w:numPr>
          <w:ilvl w:val="0"/>
          <w:numId w:val="2"/>
        </w:numPr>
        <w:spacing w:after="0"/>
        <w:ind w:left="0" w:hanging="20"/>
        <w:jc w:val="both"/>
        <w:rPr>
          <w:rFonts w:ascii="Verdana" w:hAnsi="Verdana"/>
          <w:sz w:val="20"/>
          <w:szCs w:val="20"/>
          <w:lang w:val="es-ES"/>
        </w:rPr>
      </w:pPr>
      <w:r w:rsidRPr="00613F9A">
        <w:rPr>
          <w:rFonts w:ascii="Verdana" w:hAnsi="Verdana"/>
          <w:sz w:val="20"/>
          <w:szCs w:val="20"/>
          <w:lang w:val="es-ES"/>
        </w:rPr>
        <w:t xml:space="preserve">Se discrepa, entonces, </w:t>
      </w:r>
      <w:r w:rsidR="00C05917" w:rsidRPr="00613F9A">
        <w:rPr>
          <w:rFonts w:ascii="Verdana" w:hAnsi="Verdana"/>
          <w:sz w:val="20"/>
          <w:szCs w:val="20"/>
          <w:lang w:val="es-ES"/>
        </w:rPr>
        <w:t>de lo resuelto en la Sentencia habida cuenta que, haciendo la Convención una clara distinción entre los derechos políticos y civiles y los derechos económicos, sociales y culturales, el derecho a la seguridad social no es un derecho “</w:t>
      </w:r>
      <w:r w:rsidR="00C05917" w:rsidRPr="00613F9A">
        <w:rPr>
          <w:rFonts w:ascii="Verdana" w:hAnsi="Verdana"/>
          <w:i/>
          <w:sz w:val="20"/>
          <w:szCs w:val="20"/>
          <w:lang w:val="es-ES"/>
        </w:rPr>
        <w:t>reconocido</w:t>
      </w:r>
      <w:r w:rsidR="00C05917" w:rsidRPr="00613F9A">
        <w:rPr>
          <w:rFonts w:ascii="Verdana" w:hAnsi="Verdana"/>
          <w:sz w:val="20"/>
          <w:szCs w:val="20"/>
          <w:lang w:val="es-ES"/>
        </w:rPr>
        <w:t xml:space="preserve">” en la Convención y no se encuentra, consecuentemente, al amparo del sistema de protección previsto en ella únicamente para el primer tipo de derechos señalados. Para que los derechos económicos sociales y culturales se pudieran judicializar ante la Corte, sería menester la suscripción de un protocolo complementario, lo que no ha acontecido en cuanto al derecho a la seguridad social. </w:t>
      </w:r>
    </w:p>
    <w:p w:rsidR="00C05917" w:rsidRPr="00613F9A" w:rsidRDefault="00C05917" w:rsidP="006F2613">
      <w:pPr>
        <w:spacing w:after="0" w:line="276" w:lineRule="auto"/>
        <w:ind w:left="0" w:hanging="20"/>
        <w:rPr>
          <w:rFonts w:ascii="Verdana" w:hAnsi="Verdana"/>
          <w:sz w:val="20"/>
          <w:szCs w:val="20"/>
          <w:lang w:val="es-ES"/>
        </w:rPr>
      </w:pPr>
    </w:p>
    <w:p w:rsidR="006328A6" w:rsidRPr="00613F9A" w:rsidRDefault="00C05917" w:rsidP="006F2613">
      <w:pPr>
        <w:pStyle w:val="Prrafodelista"/>
        <w:numPr>
          <w:ilvl w:val="0"/>
          <w:numId w:val="2"/>
        </w:numPr>
        <w:spacing w:after="0"/>
        <w:ind w:left="0" w:hanging="20"/>
        <w:jc w:val="both"/>
        <w:rPr>
          <w:rFonts w:ascii="Verdana" w:hAnsi="Verdana"/>
          <w:sz w:val="20"/>
          <w:szCs w:val="20"/>
          <w:lang w:val="es-ES"/>
        </w:rPr>
      </w:pPr>
      <w:r w:rsidRPr="00613F9A">
        <w:rPr>
          <w:rFonts w:ascii="Verdana" w:hAnsi="Verdana"/>
          <w:sz w:val="20"/>
          <w:szCs w:val="20"/>
          <w:lang w:val="es-ES"/>
        </w:rPr>
        <w:t>Se disiente también en mérito de que lo que establece el artículo 26 de la Convención son obligaciones de comportamiento de los Estados, no reconocimiento de derechos de los seres humanos, norma que, por lo demás, se remite a la Carta de la OEA, la que, a su vez, tampoco lo hace, sino más bien estipula “</w:t>
      </w:r>
      <w:r w:rsidRPr="00613F9A">
        <w:rPr>
          <w:rFonts w:ascii="Verdana" w:hAnsi="Verdana"/>
          <w:i/>
          <w:sz w:val="20"/>
          <w:szCs w:val="20"/>
          <w:lang w:val="es-ES"/>
        </w:rPr>
        <w:t>metas</w:t>
      </w:r>
      <w:r w:rsidRPr="00613F9A">
        <w:rPr>
          <w:rFonts w:ascii="Verdana" w:hAnsi="Verdana"/>
          <w:sz w:val="20"/>
          <w:szCs w:val="20"/>
          <w:lang w:val="es-ES"/>
        </w:rPr>
        <w:t>” o “</w:t>
      </w:r>
      <w:r w:rsidRPr="00613F9A">
        <w:rPr>
          <w:rFonts w:ascii="Verdana" w:hAnsi="Verdana"/>
          <w:i/>
          <w:sz w:val="20"/>
          <w:szCs w:val="20"/>
          <w:lang w:val="es-ES"/>
        </w:rPr>
        <w:t>finalidades</w:t>
      </w:r>
      <w:r w:rsidRPr="00613F9A">
        <w:rPr>
          <w:rFonts w:ascii="Verdana" w:hAnsi="Verdana"/>
          <w:sz w:val="20"/>
          <w:szCs w:val="20"/>
          <w:lang w:val="es-ES"/>
        </w:rPr>
        <w:t>” o “</w:t>
      </w:r>
      <w:r w:rsidRPr="00613F9A">
        <w:rPr>
          <w:rFonts w:ascii="Verdana" w:hAnsi="Verdana"/>
          <w:i/>
          <w:sz w:val="20"/>
          <w:szCs w:val="20"/>
          <w:lang w:val="es-ES"/>
        </w:rPr>
        <w:t>principios y mecanismos”</w:t>
      </w:r>
      <w:r w:rsidRPr="00613F9A">
        <w:rPr>
          <w:rFonts w:ascii="Verdana" w:hAnsi="Verdana"/>
          <w:sz w:val="20"/>
          <w:szCs w:val="20"/>
          <w:lang w:val="es-ES"/>
        </w:rPr>
        <w:t xml:space="preserve"> que los Estados se comprometen a alcanzar o a implementar, según corresponda. </w:t>
      </w:r>
    </w:p>
    <w:p w:rsidR="006328A6" w:rsidRPr="00613F9A" w:rsidRDefault="006328A6" w:rsidP="000978E9">
      <w:pPr>
        <w:pStyle w:val="Prrafodelista"/>
        <w:rPr>
          <w:rFonts w:ascii="Verdana" w:hAnsi="Verdana"/>
          <w:sz w:val="20"/>
          <w:szCs w:val="20"/>
          <w:lang w:val="es-ES"/>
        </w:rPr>
      </w:pPr>
    </w:p>
    <w:p w:rsidR="00C05917" w:rsidRPr="00613F9A" w:rsidRDefault="00C05917" w:rsidP="006F2613">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Adicionalmente, no se comparte lo decidido puesto que, al permitir que lo previsto en el artículo 26 citado se pueda judicializar ante la Corte, no solo deja</w:t>
      </w:r>
      <w:r w:rsidR="005E4ADB" w:rsidRPr="00613F9A">
        <w:rPr>
          <w:rFonts w:ascii="Verdana" w:hAnsi="Verdana"/>
          <w:sz w:val="20"/>
          <w:szCs w:val="20"/>
          <w:lang w:val="es-ES"/>
        </w:rPr>
        <w:t xml:space="preserve"> en gran medida</w:t>
      </w:r>
      <w:r w:rsidRPr="00613F9A">
        <w:rPr>
          <w:rFonts w:ascii="Verdana" w:hAnsi="Verdana"/>
          <w:sz w:val="20"/>
          <w:szCs w:val="20"/>
          <w:lang w:val="es-ES"/>
        </w:rPr>
        <w:t xml:space="preserve"> sin sentido lo dispuesto tanto en los artículos 31, 76.1 y 77.1 de la Convención, sino que permitiría que todos los derechos que se </w:t>
      </w:r>
      <w:r w:rsidR="001D2823" w:rsidRPr="00613F9A">
        <w:rPr>
          <w:rFonts w:ascii="Verdana" w:hAnsi="Verdana"/>
          <w:sz w:val="20"/>
          <w:szCs w:val="20"/>
          <w:lang w:val="es-ES"/>
        </w:rPr>
        <w:t>“</w:t>
      </w:r>
      <w:r w:rsidRPr="00613F9A">
        <w:rPr>
          <w:rFonts w:ascii="Verdana" w:hAnsi="Verdana"/>
          <w:i/>
          <w:sz w:val="20"/>
          <w:szCs w:val="20"/>
          <w:lang w:val="es-ES"/>
        </w:rPr>
        <w:t>derivan</w:t>
      </w:r>
      <w:r w:rsidR="001D2823" w:rsidRPr="00613F9A">
        <w:rPr>
          <w:rFonts w:ascii="Verdana" w:hAnsi="Verdana"/>
          <w:sz w:val="20"/>
          <w:szCs w:val="20"/>
          <w:lang w:val="es-ES"/>
        </w:rPr>
        <w:t>”</w:t>
      </w:r>
      <w:r w:rsidRPr="00613F9A">
        <w:rPr>
          <w:rFonts w:ascii="Verdana" w:hAnsi="Verdana"/>
          <w:sz w:val="20"/>
          <w:szCs w:val="20"/>
          <w:lang w:val="es-ES"/>
        </w:rPr>
        <w:t xml:space="preserve"> de la Carta de la OEA lo sean, eventualidad evidentemente del todo alejada de lo convenido</w:t>
      </w:r>
      <w:r w:rsidR="001D2823" w:rsidRPr="00613F9A">
        <w:rPr>
          <w:rFonts w:ascii="Verdana" w:hAnsi="Verdana"/>
          <w:sz w:val="20"/>
          <w:szCs w:val="20"/>
          <w:lang w:val="es-ES"/>
        </w:rPr>
        <w:t xml:space="preserve"> y que, sin duda, de seguirse en esa dirección, acarrearía insospechadas consecuencias, no del todo beneficiosas</w:t>
      </w:r>
      <w:r w:rsidR="000978E9" w:rsidRPr="00613F9A">
        <w:rPr>
          <w:rFonts w:ascii="Verdana" w:hAnsi="Verdana"/>
          <w:sz w:val="20"/>
          <w:szCs w:val="20"/>
          <w:lang w:val="es-ES"/>
        </w:rPr>
        <w:t>,</w:t>
      </w:r>
      <w:r w:rsidR="001D2823" w:rsidRPr="00613F9A">
        <w:rPr>
          <w:rFonts w:ascii="Verdana" w:hAnsi="Verdana"/>
          <w:sz w:val="20"/>
          <w:szCs w:val="20"/>
          <w:lang w:val="es-ES"/>
        </w:rPr>
        <w:t xml:space="preserve"> para el efectivo respeto de los derechos humanos</w:t>
      </w:r>
      <w:r w:rsidRPr="00613F9A">
        <w:rPr>
          <w:rFonts w:ascii="Verdana" w:hAnsi="Verdana"/>
          <w:sz w:val="20"/>
          <w:szCs w:val="20"/>
          <w:lang w:val="es-ES"/>
        </w:rPr>
        <w:t>.</w:t>
      </w:r>
      <w:r w:rsidR="008A4349" w:rsidRPr="00613F9A">
        <w:rPr>
          <w:rFonts w:ascii="Verdana" w:hAnsi="Verdana"/>
          <w:sz w:val="20"/>
          <w:szCs w:val="20"/>
          <w:lang w:val="es-ES"/>
        </w:rPr>
        <w:t xml:space="preserve"> </w:t>
      </w:r>
    </w:p>
    <w:p w:rsidR="00C05917" w:rsidRPr="00613F9A" w:rsidRDefault="00C05917" w:rsidP="006F2613">
      <w:pPr>
        <w:spacing w:after="0" w:line="276" w:lineRule="auto"/>
        <w:ind w:left="0"/>
        <w:rPr>
          <w:rFonts w:ascii="Verdana" w:hAnsi="Verdana"/>
          <w:sz w:val="20"/>
          <w:szCs w:val="20"/>
          <w:lang w:val="es-ES"/>
        </w:rPr>
      </w:pPr>
    </w:p>
    <w:p w:rsidR="00C05917" w:rsidRPr="00613F9A" w:rsidRDefault="00C05917" w:rsidP="006F2613">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 xml:space="preserve">Con lo anterior, se reitera </w:t>
      </w:r>
      <w:r w:rsidR="00E424D1" w:rsidRPr="00613F9A">
        <w:rPr>
          <w:rFonts w:ascii="Verdana" w:hAnsi="Verdana"/>
          <w:sz w:val="20"/>
          <w:szCs w:val="20"/>
          <w:lang w:val="es-ES"/>
        </w:rPr>
        <w:t>una vez más</w:t>
      </w:r>
      <w:r w:rsidR="00AB1174" w:rsidRPr="00613F9A">
        <w:rPr>
          <w:rFonts w:ascii="Verdana" w:hAnsi="Verdana"/>
          <w:sz w:val="20"/>
          <w:szCs w:val="20"/>
          <w:lang w:val="es-ES"/>
        </w:rPr>
        <w:t>,</w:t>
      </w:r>
      <w:r w:rsidR="00E424D1" w:rsidRPr="00613F9A">
        <w:rPr>
          <w:rFonts w:ascii="Verdana" w:hAnsi="Verdana"/>
          <w:sz w:val="20"/>
          <w:szCs w:val="20"/>
          <w:lang w:val="es-ES"/>
        </w:rPr>
        <w:t xml:space="preserve"> que </w:t>
      </w:r>
      <w:r w:rsidRPr="00613F9A">
        <w:rPr>
          <w:rFonts w:ascii="Verdana" w:hAnsi="Verdana"/>
          <w:sz w:val="20"/>
          <w:szCs w:val="20"/>
          <w:lang w:val="es-ES"/>
        </w:rPr>
        <w:t xml:space="preserve">no se está negando la existencia del derecho a la seguridad social, el que, por lo demás, no figura en esos términos en la Carta de la OEA de cuyas </w:t>
      </w:r>
      <w:r w:rsidRPr="00613F9A">
        <w:rPr>
          <w:rFonts w:ascii="Verdana" w:hAnsi="Verdana"/>
          <w:sz w:val="20"/>
          <w:szCs w:val="20"/>
          <w:lang w:val="es-ES"/>
        </w:rPr>
        <w:lastRenderedPageBreak/>
        <w:t>normas, según el artículo 26 de la Convención, derivaría. Únicamente se sostiene que su eventual violación no puede ser sometida al conocimiento y resolu</w:t>
      </w:r>
      <w:r w:rsidR="00E52211" w:rsidRPr="00613F9A">
        <w:rPr>
          <w:rFonts w:ascii="Verdana" w:hAnsi="Verdana"/>
          <w:sz w:val="20"/>
          <w:szCs w:val="20"/>
          <w:lang w:val="es-ES"/>
        </w:rPr>
        <w:t>ción de la Corte.</w:t>
      </w:r>
      <w:r w:rsidRPr="00613F9A">
        <w:rPr>
          <w:rFonts w:ascii="Verdana" w:hAnsi="Verdana"/>
          <w:sz w:val="20"/>
          <w:szCs w:val="20"/>
          <w:lang w:val="es-ES"/>
        </w:rPr>
        <w:t xml:space="preserve"> </w:t>
      </w:r>
    </w:p>
    <w:p w:rsidR="00C05917" w:rsidRPr="00613F9A" w:rsidRDefault="00C05917" w:rsidP="006F2613">
      <w:pPr>
        <w:spacing w:after="0" w:line="276" w:lineRule="auto"/>
        <w:ind w:left="0"/>
        <w:rPr>
          <w:rFonts w:ascii="Verdana" w:hAnsi="Verdana"/>
          <w:sz w:val="20"/>
          <w:szCs w:val="20"/>
          <w:lang w:val="es-ES"/>
        </w:rPr>
      </w:pPr>
    </w:p>
    <w:p w:rsidR="00C05917" w:rsidRPr="00613F9A" w:rsidRDefault="00C05917" w:rsidP="006F2613">
      <w:pPr>
        <w:pStyle w:val="Prrafodelista"/>
        <w:numPr>
          <w:ilvl w:val="0"/>
          <w:numId w:val="2"/>
        </w:numPr>
        <w:spacing w:after="0"/>
        <w:ind w:left="0" w:firstLine="0"/>
        <w:jc w:val="both"/>
        <w:rPr>
          <w:rFonts w:ascii="Verdana" w:hAnsi="Verdana"/>
          <w:sz w:val="20"/>
          <w:szCs w:val="20"/>
          <w:lang w:val="es-ES"/>
        </w:rPr>
      </w:pPr>
      <w:r w:rsidRPr="00613F9A">
        <w:rPr>
          <w:rFonts w:ascii="Verdana" w:hAnsi="Verdana"/>
          <w:sz w:val="20"/>
          <w:szCs w:val="20"/>
          <w:lang w:val="es-ES"/>
        </w:rPr>
        <w:t>Tampoco el presente voto debe ser entendido</w:t>
      </w:r>
      <w:r w:rsidR="00E52211" w:rsidRPr="00613F9A">
        <w:rPr>
          <w:rFonts w:ascii="Verdana" w:hAnsi="Verdana"/>
          <w:sz w:val="20"/>
          <w:szCs w:val="20"/>
          <w:lang w:val="es-ES"/>
        </w:rPr>
        <w:t xml:space="preserve"> </w:t>
      </w:r>
      <w:r w:rsidRPr="00613F9A">
        <w:rPr>
          <w:rFonts w:ascii="Verdana" w:hAnsi="Verdana"/>
          <w:sz w:val="20"/>
          <w:szCs w:val="20"/>
          <w:lang w:val="es-ES"/>
        </w:rPr>
        <w:t>en orden a que eventualmente no se esté a favor de judicializar internacionalmente</w:t>
      </w:r>
      <w:r w:rsidR="005E4ADB" w:rsidRPr="00613F9A">
        <w:rPr>
          <w:rFonts w:ascii="Verdana" w:hAnsi="Verdana"/>
          <w:sz w:val="20"/>
          <w:szCs w:val="20"/>
          <w:lang w:val="es-ES"/>
        </w:rPr>
        <w:t xml:space="preserve"> ante la Corte</w:t>
      </w:r>
      <w:r w:rsidRPr="00613F9A">
        <w:rPr>
          <w:rFonts w:ascii="Verdana" w:hAnsi="Verdana"/>
          <w:sz w:val="20"/>
          <w:szCs w:val="20"/>
          <w:lang w:val="es-ES"/>
        </w:rPr>
        <w:t xml:space="preserve"> los derechos económicos, sociales y culturales. Lo que se considera sobre el particular es que, si se procede a ello, debe hacerse por quién detenta la titularidad de la función normativa internacional, esto es, los Estados a través de tratados, costumbre internacional, principios generales de derecho o de actos jurídicos unilaterales. No parece conveniente que el órgano al que le compete la función judicial interamericana asuma la función normativa internacional, máxime cuando los Estados Partes de la Convención son democráticos y a su respecto rige la Carta Democrática Interamericana que prevé la separación de poderes y la participación ciudadana en los asuntos públicos</w:t>
      </w:r>
      <w:r w:rsidRPr="00613F9A">
        <w:rPr>
          <w:rFonts w:ascii="Verdana" w:hAnsi="Verdana"/>
          <w:sz w:val="20"/>
          <w:szCs w:val="20"/>
          <w:vertAlign w:val="superscript"/>
          <w:lang w:val="es-ES"/>
        </w:rPr>
        <w:footnoteReference w:id="142"/>
      </w:r>
      <w:r w:rsidRPr="00613F9A">
        <w:rPr>
          <w:rFonts w:ascii="Verdana" w:hAnsi="Verdana"/>
          <w:sz w:val="20"/>
          <w:szCs w:val="20"/>
          <w:lang w:val="es-ES"/>
        </w:rPr>
        <w:t>, lo que parecería que también debería reflejarse en lo atinente a la función normativa internacional, particularmente de aquellas normas que les conciernen</w:t>
      </w:r>
      <w:r w:rsidR="00613F9A" w:rsidRPr="00613F9A">
        <w:rPr>
          <w:rFonts w:ascii="Verdana" w:hAnsi="Verdana"/>
          <w:sz w:val="20"/>
          <w:szCs w:val="20"/>
          <w:lang w:val="es-ES"/>
        </w:rPr>
        <w:t xml:space="preserve"> </w:t>
      </w:r>
      <w:r w:rsidRPr="00613F9A">
        <w:rPr>
          <w:rFonts w:ascii="Verdana" w:hAnsi="Verdana"/>
          <w:sz w:val="20"/>
          <w:szCs w:val="20"/>
          <w:lang w:val="es-ES"/>
        </w:rPr>
        <w:t>más directamente</w:t>
      </w:r>
      <w:r w:rsidR="007855FF" w:rsidRPr="00613F9A">
        <w:rPr>
          <w:rFonts w:ascii="Verdana" w:hAnsi="Verdana"/>
          <w:sz w:val="20"/>
          <w:szCs w:val="20"/>
          <w:lang w:val="es-ES"/>
        </w:rPr>
        <w:t xml:space="preserve"> a la ciudadanía</w:t>
      </w:r>
      <w:r w:rsidRPr="00613F9A">
        <w:rPr>
          <w:rFonts w:ascii="Verdana" w:hAnsi="Verdana"/>
          <w:sz w:val="20"/>
          <w:szCs w:val="20"/>
          <w:lang w:val="es-ES"/>
        </w:rPr>
        <w:t>.</w:t>
      </w:r>
    </w:p>
    <w:p w:rsidR="00C05917" w:rsidRPr="00613F9A" w:rsidRDefault="00C05917" w:rsidP="000978E9">
      <w:pPr>
        <w:spacing w:after="0" w:line="276" w:lineRule="auto"/>
        <w:ind w:left="0"/>
        <w:rPr>
          <w:rFonts w:ascii="Verdana" w:hAnsi="Verdana"/>
          <w:sz w:val="20"/>
          <w:szCs w:val="20"/>
          <w:lang w:val="es-ES"/>
        </w:rPr>
      </w:pPr>
    </w:p>
    <w:p w:rsidR="00C05917" w:rsidRDefault="00C05917" w:rsidP="000978E9">
      <w:pPr>
        <w:spacing w:after="0" w:line="276" w:lineRule="auto"/>
        <w:ind w:left="0"/>
        <w:rPr>
          <w:rFonts w:ascii="Verdana" w:hAnsi="Verdana"/>
          <w:sz w:val="20"/>
          <w:szCs w:val="20"/>
          <w:lang w:val="es-ES"/>
        </w:rPr>
      </w:pPr>
    </w:p>
    <w:p w:rsidR="00191487" w:rsidRDefault="00191487" w:rsidP="000978E9">
      <w:pPr>
        <w:spacing w:after="0" w:line="276" w:lineRule="auto"/>
        <w:ind w:left="0"/>
        <w:rPr>
          <w:rFonts w:ascii="Verdana" w:hAnsi="Verdana"/>
          <w:sz w:val="20"/>
          <w:szCs w:val="20"/>
          <w:lang w:val="es-ES"/>
        </w:rPr>
      </w:pPr>
    </w:p>
    <w:p w:rsidR="00191487" w:rsidRPr="00613F9A" w:rsidRDefault="00191487" w:rsidP="000978E9">
      <w:pPr>
        <w:spacing w:after="0" w:line="276" w:lineRule="auto"/>
        <w:ind w:left="0"/>
        <w:rPr>
          <w:rFonts w:ascii="Verdana" w:hAnsi="Verdana"/>
          <w:sz w:val="20"/>
          <w:szCs w:val="20"/>
          <w:lang w:val="es-ES"/>
        </w:rPr>
      </w:pPr>
    </w:p>
    <w:p w:rsidR="00C05917" w:rsidRPr="00613F9A" w:rsidRDefault="00C05917" w:rsidP="000978E9">
      <w:pPr>
        <w:spacing w:after="0" w:line="276" w:lineRule="auto"/>
        <w:ind w:left="0"/>
        <w:rPr>
          <w:rFonts w:ascii="Verdana" w:hAnsi="Verdana"/>
          <w:sz w:val="20"/>
          <w:szCs w:val="20"/>
          <w:lang w:val="es-ES"/>
        </w:rPr>
      </w:pPr>
    </w:p>
    <w:p w:rsidR="00C05917" w:rsidRPr="00613F9A" w:rsidRDefault="00C05917" w:rsidP="002B6E34">
      <w:pPr>
        <w:spacing w:after="0" w:line="276" w:lineRule="auto"/>
        <w:ind w:left="0" w:right="18"/>
        <w:jc w:val="right"/>
        <w:rPr>
          <w:rFonts w:ascii="Verdana" w:hAnsi="Verdana"/>
          <w:sz w:val="20"/>
          <w:szCs w:val="20"/>
          <w:lang w:val="es-ES"/>
        </w:rPr>
      </w:pPr>
      <w:r w:rsidRPr="00613F9A">
        <w:rPr>
          <w:rFonts w:ascii="Verdana" w:hAnsi="Verdana"/>
          <w:sz w:val="20"/>
          <w:szCs w:val="20"/>
          <w:lang w:val="es-ES"/>
        </w:rPr>
        <w:t>Eduardo Vio Grossi</w:t>
      </w:r>
    </w:p>
    <w:p w:rsidR="00C05917" w:rsidRDefault="00C05917" w:rsidP="002B6E34">
      <w:pPr>
        <w:spacing w:after="0" w:line="276" w:lineRule="auto"/>
        <w:ind w:left="-360" w:right="738"/>
        <w:jc w:val="right"/>
        <w:rPr>
          <w:rFonts w:ascii="Verdana" w:hAnsi="Verdana"/>
          <w:sz w:val="20"/>
          <w:szCs w:val="20"/>
          <w:lang w:val="es-ES"/>
        </w:rPr>
      </w:pPr>
      <w:r w:rsidRPr="00613F9A">
        <w:rPr>
          <w:rFonts w:ascii="Verdana" w:hAnsi="Verdana"/>
          <w:sz w:val="20"/>
          <w:szCs w:val="20"/>
          <w:lang w:val="es-ES"/>
        </w:rPr>
        <w:t>Juez</w:t>
      </w:r>
    </w:p>
    <w:p w:rsidR="00191487" w:rsidRDefault="00191487" w:rsidP="002B6E34">
      <w:pPr>
        <w:spacing w:after="0" w:line="276" w:lineRule="auto"/>
        <w:ind w:left="-360" w:right="738"/>
        <w:jc w:val="right"/>
        <w:rPr>
          <w:rFonts w:ascii="Verdana" w:hAnsi="Verdana"/>
          <w:sz w:val="20"/>
          <w:szCs w:val="20"/>
          <w:lang w:val="es-ES"/>
        </w:rPr>
      </w:pPr>
    </w:p>
    <w:p w:rsidR="00191487" w:rsidRDefault="00191487" w:rsidP="002B6E34">
      <w:pPr>
        <w:spacing w:after="0" w:line="276" w:lineRule="auto"/>
        <w:ind w:left="-360" w:right="738"/>
        <w:jc w:val="right"/>
        <w:rPr>
          <w:rFonts w:ascii="Verdana" w:hAnsi="Verdana"/>
          <w:sz w:val="20"/>
          <w:szCs w:val="20"/>
          <w:lang w:val="es-ES"/>
        </w:rPr>
      </w:pPr>
    </w:p>
    <w:p w:rsidR="00191487" w:rsidRPr="00613F9A" w:rsidRDefault="00191487" w:rsidP="002B6E34">
      <w:pPr>
        <w:spacing w:after="0" w:line="276" w:lineRule="auto"/>
        <w:ind w:left="-360" w:right="738"/>
        <w:jc w:val="right"/>
        <w:rPr>
          <w:rFonts w:ascii="Verdana" w:hAnsi="Verdana"/>
          <w:sz w:val="20"/>
          <w:szCs w:val="20"/>
        </w:rPr>
      </w:pPr>
    </w:p>
    <w:p w:rsidR="00A317F9" w:rsidRDefault="00191487" w:rsidP="00191487">
      <w:pPr>
        <w:spacing w:after="0" w:line="276" w:lineRule="auto"/>
        <w:ind w:left="708" w:firstLine="708"/>
        <w:rPr>
          <w:rFonts w:ascii="Verdana" w:hAnsi="Verdana"/>
          <w:sz w:val="20"/>
          <w:szCs w:val="20"/>
        </w:rPr>
      </w:pPr>
      <w:r>
        <w:rPr>
          <w:rFonts w:ascii="Verdana" w:hAnsi="Verdana"/>
          <w:sz w:val="20"/>
          <w:szCs w:val="20"/>
        </w:rPr>
        <w:t xml:space="preserve">Pablo Saavedra Alessandri </w:t>
      </w:r>
    </w:p>
    <w:p w:rsidR="00191487" w:rsidRPr="00613F9A" w:rsidRDefault="00191487" w:rsidP="00191487">
      <w:pPr>
        <w:spacing w:after="0" w:line="276" w:lineRule="auto"/>
        <w:ind w:left="0"/>
        <w:rPr>
          <w:rFonts w:ascii="Verdana" w:hAnsi="Verdana"/>
          <w:sz w:val="20"/>
          <w:szCs w:val="20"/>
        </w:rPr>
      </w:pPr>
      <w:r>
        <w:rPr>
          <w:rFonts w:ascii="Verdana" w:hAnsi="Verdana"/>
          <w:sz w:val="20"/>
          <w:szCs w:val="20"/>
        </w:rPr>
        <w:t xml:space="preserve">           </w:t>
      </w:r>
      <w:r>
        <w:rPr>
          <w:rFonts w:ascii="Verdana" w:hAnsi="Verdana"/>
          <w:sz w:val="20"/>
          <w:szCs w:val="20"/>
        </w:rPr>
        <w:tab/>
      </w:r>
      <w:r>
        <w:rPr>
          <w:rFonts w:ascii="Verdana" w:hAnsi="Verdana"/>
          <w:sz w:val="20"/>
          <w:szCs w:val="20"/>
        </w:rPr>
        <w:tab/>
        <w:t>Secretario</w:t>
      </w:r>
    </w:p>
    <w:sectPr w:rsidR="00191487" w:rsidRPr="00613F9A" w:rsidSect="00F5584F">
      <w:footerReference w:type="default" r:id="rId8"/>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5FA" w:rsidRDefault="00F435FA" w:rsidP="00C05917">
      <w:pPr>
        <w:spacing w:after="0" w:line="240" w:lineRule="auto"/>
      </w:pPr>
      <w:r>
        <w:separator/>
      </w:r>
    </w:p>
  </w:endnote>
  <w:endnote w:type="continuationSeparator" w:id="0">
    <w:p w:rsidR="00F435FA" w:rsidRDefault="00F435FA" w:rsidP="00C0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Verdana Bold">
    <w:altName w:val="Times New Roman"/>
    <w:charset w:val="00"/>
    <w:family w:val="auto"/>
    <w:pitch w:val="variable"/>
    <w:sig w:usb0="00000001"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081360"/>
      <w:docPartObj>
        <w:docPartGallery w:val="Page Numbers (Bottom of Page)"/>
        <w:docPartUnique/>
      </w:docPartObj>
    </w:sdtPr>
    <w:sdtEndPr/>
    <w:sdtContent>
      <w:p w:rsidR="001A65FF" w:rsidRDefault="001A65FF">
        <w:pPr>
          <w:pStyle w:val="Piedepgina"/>
          <w:jc w:val="right"/>
        </w:pPr>
        <w:r>
          <w:fldChar w:fldCharType="begin"/>
        </w:r>
        <w:r>
          <w:instrText>PAGE   \* MERGEFORMAT</w:instrText>
        </w:r>
        <w:r>
          <w:fldChar w:fldCharType="separate"/>
        </w:r>
        <w:r w:rsidR="00B27B06" w:rsidRPr="00B27B06">
          <w:rPr>
            <w:noProof/>
            <w:lang w:val="es-ES"/>
          </w:rPr>
          <w:t>28</w:t>
        </w:r>
        <w:r>
          <w:fldChar w:fldCharType="end"/>
        </w:r>
      </w:p>
    </w:sdtContent>
  </w:sdt>
  <w:p w:rsidR="001A65FF" w:rsidRPr="00AC22FC" w:rsidRDefault="001A65FF" w:rsidP="00903AE4">
    <w:pPr>
      <w:pStyle w:val="Piedepgina"/>
      <w:jc w:val="cen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5FA" w:rsidRDefault="00F435FA" w:rsidP="00C05917">
      <w:pPr>
        <w:spacing w:after="0" w:line="240" w:lineRule="auto"/>
      </w:pPr>
      <w:r>
        <w:separator/>
      </w:r>
    </w:p>
  </w:footnote>
  <w:footnote w:type="continuationSeparator" w:id="0">
    <w:p w:rsidR="00F435FA" w:rsidRDefault="00F435FA" w:rsidP="00C05917">
      <w:pPr>
        <w:spacing w:after="0" w:line="240" w:lineRule="auto"/>
      </w:pPr>
      <w:r>
        <w:continuationSeparator/>
      </w:r>
    </w:p>
  </w:footnote>
  <w:footnote w:id="1">
    <w:p w:rsidR="001A65FF" w:rsidRPr="00DA20B0" w:rsidRDefault="001A65FF" w:rsidP="00DA20B0">
      <w:pPr>
        <w:pStyle w:val="Textonotapie"/>
        <w:jc w:val="both"/>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lang w:val="es-ES"/>
        </w:rPr>
        <w:t xml:space="preserve"> </w:t>
      </w:r>
      <w:r w:rsidRPr="00DA20B0">
        <w:rPr>
          <w:rFonts w:ascii="Verdana" w:hAnsi="Verdana"/>
          <w:sz w:val="16"/>
          <w:szCs w:val="16"/>
          <w:lang w:val="es-ES"/>
        </w:rPr>
        <w:tab/>
        <w:t>En adelante, la Sentencia.</w:t>
      </w:r>
    </w:p>
    <w:p w:rsidR="001A65FF" w:rsidRPr="006F2613" w:rsidRDefault="001A65FF" w:rsidP="006F2613">
      <w:pPr>
        <w:pStyle w:val="Textonotapie"/>
        <w:jc w:val="both"/>
        <w:rPr>
          <w:rFonts w:ascii="Verdana" w:hAnsi="Verdana"/>
          <w:sz w:val="16"/>
          <w:szCs w:val="16"/>
          <w:lang w:val="es-ES"/>
        </w:rPr>
      </w:pPr>
    </w:p>
  </w:footnote>
  <w:footnote w:id="2">
    <w:p w:rsidR="001A65FF" w:rsidRPr="006F2613" w:rsidRDefault="001A65FF" w:rsidP="006F2613">
      <w:pPr>
        <w:pStyle w:val="Default"/>
        <w:tabs>
          <w:tab w:val="left" w:pos="567"/>
        </w:tabs>
        <w:jc w:val="both"/>
        <w:rPr>
          <w:rFonts w:ascii="Verdana" w:hAnsi="Verdana"/>
          <w:color w:val="auto"/>
          <w:spacing w:val="-4"/>
          <w:sz w:val="16"/>
          <w:szCs w:val="16"/>
          <w:lang w:val="es-AR"/>
        </w:rPr>
      </w:pPr>
      <w:r w:rsidRPr="00DA20B0">
        <w:rPr>
          <w:rStyle w:val="Refdenotaalpie"/>
          <w:rFonts w:ascii="Verdana" w:hAnsi="Verdana"/>
          <w:color w:val="auto"/>
          <w:sz w:val="16"/>
          <w:szCs w:val="16"/>
        </w:rPr>
        <w:footnoteRef/>
      </w:r>
      <w:r w:rsidRPr="00DA20B0">
        <w:rPr>
          <w:rFonts w:ascii="Verdana" w:hAnsi="Verdana"/>
          <w:color w:val="auto"/>
          <w:sz w:val="16"/>
          <w:szCs w:val="16"/>
        </w:rPr>
        <w:t xml:space="preserve"> </w:t>
      </w:r>
      <w:r w:rsidRPr="00DA20B0">
        <w:rPr>
          <w:rFonts w:ascii="Verdana" w:hAnsi="Verdana"/>
          <w:color w:val="auto"/>
          <w:sz w:val="16"/>
          <w:szCs w:val="16"/>
        </w:rPr>
        <w:tab/>
      </w:r>
      <w:r w:rsidRPr="00DA20B0">
        <w:rPr>
          <w:rFonts w:ascii="Verdana" w:hAnsi="Verdana"/>
          <w:bCs/>
          <w:color w:val="auto"/>
          <w:spacing w:val="-4"/>
          <w:sz w:val="16"/>
          <w:szCs w:val="16"/>
          <w:lang w:val="es-AR"/>
        </w:rPr>
        <w:t>“</w:t>
      </w:r>
      <w:r w:rsidRPr="00DA20B0">
        <w:rPr>
          <w:rFonts w:ascii="Verdana" w:hAnsi="Verdana"/>
          <w:i/>
          <w:color w:val="auto"/>
          <w:sz w:val="16"/>
          <w:szCs w:val="16"/>
        </w:rPr>
        <w:t>Desestimar la excepción preliminar interpuesta por el Estado sobre la alegada falta de competencia en razón de la materia y justiciabilidad directa del artículo 26 de la Convención en los términos de los párrafos 33 a 37 de esta Sente</w:t>
      </w:r>
      <w:r w:rsidRPr="006F2613">
        <w:rPr>
          <w:rFonts w:ascii="Verdana" w:hAnsi="Verdana"/>
          <w:i/>
          <w:color w:val="auto"/>
          <w:sz w:val="16"/>
          <w:szCs w:val="16"/>
        </w:rPr>
        <w:t>ncia</w:t>
      </w:r>
      <w:r w:rsidRPr="006F2613">
        <w:rPr>
          <w:rFonts w:ascii="Verdana" w:eastAsia="Calibri" w:hAnsi="Verdana"/>
          <w:i/>
          <w:color w:val="auto"/>
          <w:sz w:val="16"/>
          <w:szCs w:val="16"/>
          <w:lang w:val="es-ES_tradnl"/>
        </w:rPr>
        <w:t>.”</w:t>
      </w:r>
      <w:r w:rsidRPr="006F2613">
        <w:rPr>
          <w:rFonts w:ascii="Verdana" w:eastAsia="Calibri" w:hAnsi="Verdana"/>
          <w:color w:val="auto"/>
          <w:sz w:val="16"/>
          <w:szCs w:val="16"/>
          <w:lang w:val="es-ES_tradnl"/>
        </w:rPr>
        <w:t xml:space="preserve"> </w:t>
      </w:r>
    </w:p>
    <w:p w:rsidR="001A65FF" w:rsidRPr="006F2613" w:rsidRDefault="001A65FF" w:rsidP="006F2613">
      <w:pPr>
        <w:pStyle w:val="Textonotapie"/>
        <w:jc w:val="both"/>
        <w:rPr>
          <w:rFonts w:ascii="Verdana" w:hAnsi="Verdana"/>
          <w:sz w:val="16"/>
          <w:szCs w:val="16"/>
        </w:rPr>
      </w:pPr>
    </w:p>
  </w:footnote>
  <w:footnote w:id="3">
    <w:p w:rsidR="001A65FF" w:rsidRPr="006F2613" w:rsidRDefault="001A65FF" w:rsidP="006F2613">
      <w:pPr>
        <w:pStyle w:val="Textonotapie"/>
        <w:jc w:val="both"/>
        <w:rPr>
          <w:rFonts w:ascii="Verdana" w:hAnsi="Verdana"/>
          <w:i/>
          <w:sz w:val="16"/>
          <w:szCs w:val="16"/>
        </w:rPr>
      </w:pPr>
      <w:r w:rsidRPr="00DA20B0">
        <w:rPr>
          <w:rStyle w:val="Refdenotaalpie"/>
          <w:rFonts w:ascii="Verdana" w:hAnsi="Verdana"/>
          <w:i/>
          <w:sz w:val="16"/>
          <w:szCs w:val="16"/>
        </w:rPr>
        <w:footnoteRef/>
      </w:r>
      <w:r w:rsidRPr="00DA20B0">
        <w:rPr>
          <w:rFonts w:ascii="Verdana" w:hAnsi="Verdana"/>
          <w:i/>
          <w:sz w:val="16"/>
          <w:szCs w:val="16"/>
        </w:rPr>
        <w:t xml:space="preserve"> </w:t>
      </w:r>
      <w:r w:rsidRPr="00DA20B0">
        <w:rPr>
          <w:rFonts w:ascii="Verdana" w:hAnsi="Verdana"/>
          <w:i/>
          <w:sz w:val="16"/>
          <w:szCs w:val="16"/>
        </w:rPr>
        <w:tab/>
        <w:t xml:space="preserve">“El Estado es responsable por la violación del derecho a la seguridad social, de conformidad con el artículo 26 de la Convención Americana, </w:t>
      </w:r>
      <w:r w:rsidRPr="006F2613">
        <w:rPr>
          <w:rFonts w:ascii="Verdana" w:hAnsi="Verdana"/>
          <w:i/>
          <w:sz w:val="16"/>
          <w:szCs w:val="16"/>
          <w:lang w:val="es-CR"/>
        </w:rPr>
        <w:t xml:space="preserve">en relación con los artículos 5, 8.1, 11.1, 25.1, 25.2.c) y 1.1 del mismo instrumento, </w:t>
      </w:r>
      <w:r w:rsidRPr="006F2613">
        <w:rPr>
          <w:rFonts w:ascii="Verdana" w:hAnsi="Verdana"/>
          <w:i/>
          <w:sz w:val="16"/>
          <w:szCs w:val="16"/>
        </w:rPr>
        <w:t>así como del artículo 2 de la Convención Americana, en perjuicio del señor Oscar Muelle Flores, de conformidad con lo expuesto en los párrafos 17</w:t>
      </w:r>
      <w:r w:rsidRPr="00B24719">
        <w:rPr>
          <w:rFonts w:ascii="Verdana" w:hAnsi="Verdana"/>
          <w:i/>
          <w:sz w:val="16"/>
          <w:szCs w:val="16"/>
        </w:rPr>
        <w:t>0</w:t>
      </w:r>
      <w:r w:rsidRPr="006F2613">
        <w:rPr>
          <w:rFonts w:ascii="Verdana" w:hAnsi="Verdana"/>
          <w:i/>
          <w:sz w:val="16"/>
          <w:szCs w:val="16"/>
        </w:rPr>
        <w:t xml:space="preserve"> a 208 de la presente Sentencia.”</w:t>
      </w:r>
    </w:p>
    <w:p w:rsidR="001A65FF" w:rsidRPr="006F2613" w:rsidRDefault="001A65FF" w:rsidP="006F2613">
      <w:pPr>
        <w:pStyle w:val="Textonotapie"/>
        <w:jc w:val="both"/>
        <w:rPr>
          <w:rFonts w:ascii="Verdana" w:hAnsi="Verdana"/>
          <w:i/>
          <w:sz w:val="16"/>
          <w:szCs w:val="16"/>
        </w:rPr>
      </w:pPr>
    </w:p>
  </w:footnote>
  <w:footnote w:id="4">
    <w:p w:rsidR="001A65FF" w:rsidRPr="00B24719" w:rsidRDefault="001A65FF" w:rsidP="006F2613">
      <w:pPr>
        <w:pStyle w:val="Prrafodelista"/>
        <w:widowControl w:val="0"/>
        <w:tabs>
          <w:tab w:val="left" w:pos="567"/>
        </w:tabs>
        <w:autoSpaceDE w:val="0"/>
        <w:autoSpaceDN w:val="0"/>
        <w:adjustRightInd w:val="0"/>
        <w:spacing w:after="0" w:line="240" w:lineRule="auto"/>
        <w:ind w:left="0"/>
        <w:contextualSpacing w:val="0"/>
        <w:jc w:val="both"/>
        <w:rPr>
          <w:rFonts w:ascii="Verdana" w:hAnsi="Verdana"/>
          <w:i/>
          <w:kern w:val="2"/>
          <w:sz w:val="16"/>
          <w:szCs w:val="16"/>
          <w:lang w:val="es-ES"/>
        </w:rPr>
      </w:pPr>
      <w:r w:rsidRPr="00DA20B0">
        <w:rPr>
          <w:rStyle w:val="Refdenotaalpie"/>
          <w:rFonts w:ascii="Verdana" w:hAnsi="Verdana"/>
          <w:i/>
          <w:sz w:val="16"/>
          <w:szCs w:val="16"/>
        </w:rPr>
        <w:footnoteRef/>
      </w:r>
      <w:r w:rsidRPr="00DA20B0">
        <w:rPr>
          <w:rFonts w:ascii="Verdana" w:hAnsi="Verdana"/>
          <w:i/>
          <w:sz w:val="16"/>
          <w:szCs w:val="16"/>
        </w:rPr>
        <w:t xml:space="preserve"> </w:t>
      </w:r>
      <w:r w:rsidRPr="00DA20B0">
        <w:rPr>
          <w:rFonts w:ascii="Verdana" w:hAnsi="Verdana"/>
          <w:i/>
          <w:sz w:val="16"/>
          <w:szCs w:val="16"/>
        </w:rPr>
        <w:tab/>
        <w:t>“</w:t>
      </w:r>
      <w:r w:rsidRPr="00DA20B0">
        <w:rPr>
          <w:rFonts w:ascii="Verdana" w:hAnsi="Verdana"/>
          <w:i/>
          <w:sz w:val="16"/>
          <w:szCs w:val="16"/>
          <w:lang w:val="es-AR"/>
        </w:rPr>
        <w:t xml:space="preserve">El Estado </w:t>
      </w:r>
      <w:r w:rsidRPr="00DA20B0">
        <w:rPr>
          <w:rFonts w:ascii="Verdana" w:hAnsi="Verdana"/>
          <w:i/>
          <w:sz w:val="16"/>
          <w:szCs w:val="16"/>
        </w:rPr>
        <w:t>es</w:t>
      </w:r>
      <w:r w:rsidRPr="00DA20B0">
        <w:rPr>
          <w:rFonts w:ascii="Verdana" w:hAnsi="Verdana"/>
          <w:i/>
          <w:kern w:val="2"/>
          <w:sz w:val="16"/>
          <w:szCs w:val="16"/>
          <w:lang w:val="es-ES"/>
        </w:rPr>
        <w:t xml:space="preserve"> responsable por la violación </w:t>
      </w:r>
      <w:r w:rsidRPr="00DA20B0">
        <w:rPr>
          <w:rFonts w:ascii="Verdana" w:hAnsi="Verdana"/>
          <w:i/>
          <w:sz w:val="16"/>
          <w:szCs w:val="16"/>
          <w:lang w:val="es-CR"/>
        </w:rPr>
        <w:t xml:space="preserve">del derecho a la propiedad privada reconocido en el artículo 21.1 y 21.2, en relación con los artículos 25.1, 25.2.c), 26 y 1.1 de la Convención Americana, </w:t>
      </w:r>
      <w:r w:rsidRPr="006F2613">
        <w:rPr>
          <w:rFonts w:ascii="Verdana" w:hAnsi="Verdana"/>
          <w:i/>
          <w:kern w:val="2"/>
          <w:sz w:val="16"/>
          <w:szCs w:val="16"/>
          <w:lang w:val="es-ES"/>
        </w:rPr>
        <w:t xml:space="preserve">en perjuicio de Oscar Muelle Flores, </w:t>
      </w:r>
      <w:r w:rsidRPr="006F2613">
        <w:rPr>
          <w:rFonts w:ascii="Verdana" w:hAnsi="Verdana"/>
          <w:i/>
          <w:sz w:val="16"/>
          <w:szCs w:val="16"/>
          <w:lang w:val="es-AR"/>
        </w:rPr>
        <w:t>de conformidad con lo expuesto en los párrafos 212 a 21</w:t>
      </w:r>
      <w:r w:rsidRPr="00B24719">
        <w:rPr>
          <w:rFonts w:ascii="Verdana" w:hAnsi="Verdana"/>
          <w:i/>
          <w:sz w:val="16"/>
          <w:szCs w:val="16"/>
          <w:lang w:val="es-AR"/>
        </w:rPr>
        <w:t xml:space="preserve">8 de la presente Sentencia.” </w:t>
      </w:r>
    </w:p>
    <w:p w:rsidR="001A65FF" w:rsidRPr="00B24719" w:rsidRDefault="001A65FF" w:rsidP="006F2613">
      <w:pPr>
        <w:pStyle w:val="Textonotapie"/>
        <w:jc w:val="both"/>
        <w:rPr>
          <w:rFonts w:ascii="Verdana" w:hAnsi="Verdana"/>
          <w:sz w:val="16"/>
          <w:szCs w:val="16"/>
        </w:rPr>
      </w:pPr>
    </w:p>
  </w:footnote>
  <w:footnote w:id="5">
    <w:p w:rsidR="001A65FF" w:rsidRPr="00DA20B0" w:rsidRDefault="001A65FF" w:rsidP="00B24719">
      <w:pPr>
        <w:pStyle w:val="Textonotapie"/>
        <w:jc w:val="both"/>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r>
      <w:r w:rsidRPr="00DA20B0">
        <w:rPr>
          <w:rFonts w:ascii="Verdana" w:hAnsi="Verdana"/>
          <w:sz w:val="16"/>
          <w:szCs w:val="16"/>
          <w:lang w:val="es-ES"/>
        </w:rPr>
        <w:t>En lo sucesivo, cada vez que se cite una disposición sin indicar a cual instrumento jurídico corresponde, se entenderá que es de la Convención Americana sobre Derechos Humanos.</w:t>
      </w:r>
    </w:p>
    <w:p w:rsidR="001A65FF" w:rsidRPr="006F2613" w:rsidRDefault="001A65FF" w:rsidP="00B24719">
      <w:pPr>
        <w:pStyle w:val="Textonotapie"/>
        <w:jc w:val="both"/>
        <w:rPr>
          <w:rFonts w:ascii="Verdana" w:hAnsi="Verdana"/>
          <w:sz w:val="16"/>
          <w:szCs w:val="16"/>
        </w:rPr>
      </w:pPr>
    </w:p>
  </w:footnote>
  <w:footnote w:id="6">
    <w:p w:rsidR="001A65FF" w:rsidRPr="006F2613" w:rsidRDefault="001A65FF" w:rsidP="00B24719">
      <w:pPr>
        <w:pStyle w:val="Textonotapie"/>
        <w:jc w:val="both"/>
        <w:rPr>
          <w:rFonts w:ascii="Verdana" w:hAnsi="Verdana"/>
          <w:i/>
          <w:sz w:val="16"/>
          <w:szCs w:val="16"/>
          <w:lang w:val="es-ES"/>
        </w:rPr>
      </w:pPr>
      <w:r w:rsidRPr="00DA20B0">
        <w:rPr>
          <w:rStyle w:val="Refdenotaalpie"/>
          <w:rFonts w:ascii="Verdana" w:hAnsi="Verdana"/>
          <w:sz w:val="16"/>
          <w:szCs w:val="16"/>
        </w:rPr>
        <w:footnoteRef/>
      </w:r>
      <w:r w:rsidRPr="00DA20B0">
        <w:rPr>
          <w:rFonts w:ascii="Verdana" w:hAnsi="Verdana"/>
          <w:sz w:val="16"/>
          <w:szCs w:val="16"/>
          <w:lang w:val="es-ES"/>
        </w:rPr>
        <w:t xml:space="preserve"> </w:t>
      </w:r>
      <w:r w:rsidRPr="00DA20B0">
        <w:rPr>
          <w:rFonts w:ascii="Verdana" w:hAnsi="Verdana"/>
          <w:sz w:val="16"/>
          <w:szCs w:val="16"/>
          <w:lang w:val="es-ES"/>
        </w:rPr>
        <w:tab/>
      </w:r>
      <w:r w:rsidRPr="00DA20B0">
        <w:rPr>
          <w:rFonts w:ascii="Verdana" w:hAnsi="Verdana"/>
          <w:i/>
          <w:sz w:val="16"/>
          <w:szCs w:val="16"/>
          <w:lang w:val="es-ES"/>
        </w:rPr>
        <w:t>“Desarrollo Progresivo.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w:t>
      </w:r>
      <w:r w:rsidRPr="006F2613">
        <w:rPr>
          <w:rFonts w:ascii="Verdana" w:hAnsi="Verdana"/>
          <w:i/>
          <w:sz w:val="16"/>
          <w:szCs w:val="16"/>
          <w:lang w:val="es-ES"/>
        </w:rPr>
        <w:t xml:space="preserve">das en la Carta de la Organización de los Estados Americanos, reformada por el Protocolo de Buenos Aires, en la medida de los recursos disponibles, por vía legislativa u otros medios apropiados.” </w:t>
      </w:r>
    </w:p>
    <w:p w:rsidR="001A65FF" w:rsidRPr="006F2613" w:rsidRDefault="001A65FF" w:rsidP="00B24719">
      <w:pPr>
        <w:pStyle w:val="Textonotapie"/>
        <w:jc w:val="both"/>
        <w:rPr>
          <w:rFonts w:ascii="Verdana" w:hAnsi="Verdana"/>
          <w:sz w:val="16"/>
          <w:szCs w:val="16"/>
          <w:lang w:val="es-ES"/>
        </w:rPr>
      </w:pPr>
    </w:p>
  </w:footnote>
  <w:footnote w:id="7">
    <w:p w:rsidR="001A65FF" w:rsidRPr="00DA20B0" w:rsidRDefault="001A65FF" w:rsidP="00B24719">
      <w:pPr>
        <w:pStyle w:val="Textonotapie"/>
        <w:jc w:val="both"/>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lang w:val="es-ES"/>
        </w:rPr>
        <w:t xml:space="preserve"> </w:t>
      </w:r>
      <w:r w:rsidRPr="00DA20B0">
        <w:rPr>
          <w:rFonts w:ascii="Verdana" w:hAnsi="Verdana"/>
          <w:sz w:val="16"/>
          <w:szCs w:val="16"/>
          <w:lang w:val="es-ES"/>
        </w:rPr>
        <w:tab/>
        <w:t xml:space="preserve">En adelante, la Convención. </w:t>
      </w:r>
    </w:p>
    <w:p w:rsidR="001A65FF" w:rsidRPr="006F2613" w:rsidRDefault="001A65FF" w:rsidP="00B24719">
      <w:pPr>
        <w:pStyle w:val="Textonotapie"/>
        <w:jc w:val="both"/>
        <w:rPr>
          <w:rFonts w:ascii="Verdana" w:hAnsi="Verdana"/>
          <w:sz w:val="16"/>
          <w:szCs w:val="16"/>
          <w:lang w:val="es-ES"/>
        </w:rPr>
      </w:pPr>
    </w:p>
  </w:footnote>
  <w:footnote w:id="8">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En adelante, el Estado.</w:t>
      </w:r>
    </w:p>
    <w:p w:rsidR="001A65FF" w:rsidRPr="006F2613" w:rsidRDefault="001A65FF" w:rsidP="00B24719">
      <w:pPr>
        <w:pStyle w:val="Textonotapie"/>
        <w:jc w:val="both"/>
        <w:rPr>
          <w:rFonts w:ascii="Verdana" w:hAnsi="Verdana"/>
          <w:sz w:val="16"/>
          <w:szCs w:val="16"/>
        </w:rPr>
      </w:pPr>
    </w:p>
  </w:footnote>
  <w:footnote w:id="9">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En adelante, la Corte.</w:t>
      </w:r>
    </w:p>
    <w:p w:rsidR="001A65FF" w:rsidRPr="006F2613" w:rsidRDefault="001A65FF" w:rsidP="00B24719">
      <w:pPr>
        <w:pStyle w:val="Textonotapie"/>
        <w:jc w:val="both"/>
        <w:rPr>
          <w:rFonts w:ascii="Verdana" w:hAnsi="Verdana"/>
          <w:sz w:val="16"/>
          <w:szCs w:val="16"/>
        </w:rPr>
      </w:pPr>
    </w:p>
  </w:footnote>
  <w:footnote w:id="10">
    <w:p w:rsidR="001A65FF" w:rsidRPr="006F2613" w:rsidRDefault="001A65FF" w:rsidP="00B24719">
      <w:pPr>
        <w:pStyle w:val="Prrafodelista"/>
        <w:spacing w:after="0" w:line="240" w:lineRule="auto"/>
        <w:ind w:left="0" w:right="-4"/>
        <w:jc w:val="both"/>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r>
      <w:r w:rsidRPr="00B24719">
        <w:rPr>
          <w:rFonts w:ascii="Verdana" w:hAnsi="Verdana"/>
          <w:i/>
          <w:sz w:val="16"/>
          <w:szCs w:val="16"/>
        </w:rPr>
        <w:t>Cfr.</w:t>
      </w:r>
      <w:r w:rsidRPr="00DA20B0">
        <w:rPr>
          <w:rFonts w:ascii="Verdana" w:hAnsi="Verdana"/>
          <w:sz w:val="16"/>
          <w:szCs w:val="16"/>
        </w:rPr>
        <w:t xml:space="preserve"> </w:t>
      </w:r>
      <w:r w:rsidRPr="00DA20B0">
        <w:rPr>
          <w:rFonts w:ascii="Verdana" w:hAnsi="Verdana"/>
          <w:i/>
          <w:sz w:val="16"/>
          <w:szCs w:val="16"/>
        </w:rPr>
        <w:t>Caso Trabajadores Cesados de Petroperú, Vs. Perú</w:t>
      </w:r>
      <w:r w:rsidRPr="00DA20B0">
        <w:rPr>
          <w:rFonts w:ascii="Verdana" w:hAnsi="Verdana"/>
          <w:sz w:val="16"/>
          <w:szCs w:val="16"/>
        </w:rPr>
        <w:t>, Sentencia de 23 de noviembre de 2017, Voto Individual del Juez Eduardo Vio Grossi y</w:t>
      </w:r>
      <w:r w:rsidRPr="006F2613">
        <w:rPr>
          <w:rFonts w:ascii="Verdana" w:hAnsi="Verdana"/>
          <w:b/>
          <w:sz w:val="16"/>
          <w:szCs w:val="16"/>
        </w:rPr>
        <w:t xml:space="preserve"> </w:t>
      </w:r>
      <w:r w:rsidRPr="006F2613">
        <w:rPr>
          <w:rStyle w:val="Textoennegrita"/>
          <w:rFonts w:ascii="Verdana" w:hAnsi="Verdana"/>
          <w:b w:val="0"/>
          <w:i/>
          <w:sz w:val="16"/>
          <w:szCs w:val="16"/>
          <w:shd w:val="clear" w:color="auto" w:fill="FFFFFF"/>
          <w:lang w:val="es-CR"/>
        </w:rPr>
        <w:t xml:space="preserve">Caso Lagos del Campo Vs. Perú, </w:t>
      </w:r>
      <w:r w:rsidRPr="006F2613">
        <w:rPr>
          <w:rStyle w:val="Textoennegrita"/>
          <w:rFonts w:ascii="Verdana" w:hAnsi="Verdana"/>
          <w:b w:val="0"/>
          <w:sz w:val="16"/>
          <w:szCs w:val="16"/>
          <w:shd w:val="clear" w:color="auto" w:fill="FFFFFF"/>
          <w:lang w:val="es-CR"/>
        </w:rPr>
        <w:t>Sentencia de 31 de agosto de 2017, Voto parcialmente disidente del Juez Eduardo Vio Grossi.</w:t>
      </w:r>
    </w:p>
    <w:p w:rsidR="001A65FF" w:rsidRPr="006F2613" w:rsidRDefault="001A65FF" w:rsidP="00B24719">
      <w:pPr>
        <w:pStyle w:val="Textonotapie"/>
        <w:jc w:val="both"/>
        <w:rPr>
          <w:rFonts w:ascii="Verdana" w:hAnsi="Verdana"/>
          <w:sz w:val="16"/>
          <w:szCs w:val="16"/>
        </w:rPr>
      </w:pPr>
    </w:p>
  </w:footnote>
  <w:footnote w:id="11">
    <w:p w:rsidR="001A65FF" w:rsidRPr="00DA20B0" w:rsidRDefault="001A65FF" w:rsidP="00B24719">
      <w:pPr>
        <w:pStyle w:val="Textonotapie"/>
        <w:jc w:val="both"/>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r>
      <w:r w:rsidRPr="00DA20B0">
        <w:rPr>
          <w:rFonts w:ascii="Verdana" w:hAnsi="Verdana"/>
          <w:sz w:val="16"/>
          <w:szCs w:val="16"/>
          <w:lang w:val="es-ES"/>
        </w:rPr>
        <w:t>Artículo. 66.2: “</w:t>
      </w:r>
      <w:r w:rsidRPr="00B24719">
        <w:rPr>
          <w:rFonts w:ascii="Verdana" w:hAnsi="Verdana" w:cs="Tahoma"/>
          <w:i/>
          <w:color w:val="000000"/>
          <w:sz w:val="16"/>
          <w:szCs w:val="16"/>
        </w:rPr>
        <w:t>Si el fallo no expresare en todo o en parte la opinión unánime de los jueces, cualquiera de éstos tendrá derecho a que se agregue al fallo su opinión disidente o individual</w:t>
      </w:r>
      <w:r w:rsidRPr="00B24719">
        <w:rPr>
          <w:rFonts w:ascii="Verdana" w:hAnsi="Verdana"/>
          <w:i/>
          <w:sz w:val="16"/>
          <w:szCs w:val="16"/>
          <w:lang w:val="es-ES"/>
        </w:rPr>
        <w:t>.”</w:t>
      </w:r>
      <w:r w:rsidRPr="00DA20B0">
        <w:rPr>
          <w:rFonts w:ascii="Verdana" w:hAnsi="Verdana"/>
          <w:sz w:val="16"/>
          <w:szCs w:val="16"/>
          <w:lang w:val="es-ES"/>
        </w:rPr>
        <w:t xml:space="preserve"> </w:t>
      </w:r>
    </w:p>
    <w:p w:rsidR="001A65FF" w:rsidRPr="00DA20B0" w:rsidRDefault="001A65FF" w:rsidP="00B24719">
      <w:pPr>
        <w:pStyle w:val="Textonotapie"/>
        <w:jc w:val="both"/>
        <w:rPr>
          <w:rFonts w:ascii="Verdana" w:hAnsi="Verdana"/>
          <w:i/>
          <w:color w:val="000000"/>
          <w:sz w:val="16"/>
          <w:szCs w:val="16"/>
          <w:shd w:val="clear" w:color="auto" w:fill="FFFFFF"/>
        </w:rPr>
      </w:pPr>
      <w:r w:rsidRPr="00DA20B0">
        <w:rPr>
          <w:rFonts w:ascii="Verdana" w:hAnsi="Verdana"/>
          <w:sz w:val="16"/>
          <w:szCs w:val="16"/>
          <w:lang w:val="es-ES"/>
        </w:rPr>
        <w:t>Artículo 24.3 del Estatuto de la Corte Interamericana de Derechos Humanos: “</w:t>
      </w:r>
      <w:r w:rsidRPr="00B24719">
        <w:rPr>
          <w:rFonts w:ascii="Verdana" w:hAnsi="Verdana"/>
          <w:i/>
          <w:color w:val="000000"/>
          <w:sz w:val="16"/>
          <w:szCs w:val="16"/>
          <w:shd w:val="clear" w:color="auto" w:fill="FFFFFF"/>
        </w:rPr>
        <w:t>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w:t>
      </w:r>
    </w:p>
    <w:p w:rsidR="001A65FF" w:rsidRPr="006F2613" w:rsidRDefault="001A65FF" w:rsidP="00B24719">
      <w:pPr>
        <w:pStyle w:val="Textonotapie"/>
        <w:jc w:val="both"/>
        <w:rPr>
          <w:rFonts w:ascii="Verdana" w:hAnsi="Verdana"/>
          <w:i/>
          <w:sz w:val="16"/>
          <w:szCs w:val="16"/>
          <w:lang w:val="es-ES"/>
        </w:rPr>
      </w:pPr>
      <w:r w:rsidRPr="00DA20B0">
        <w:rPr>
          <w:rFonts w:ascii="Verdana" w:hAnsi="Verdana"/>
          <w:sz w:val="16"/>
          <w:szCs w:val="16"/>
          <w:lang w:val="es-ES"/>
        </w:rPr>
        <w:t>Art.65.2 del Reglamento de la Corte: “</w:t>
      </w:r>
      <w:r w:rsidRPr="00DA20B0">
        <w:rPr>
          <w:rFonts w:ascii="Verdana" w:hAnsi="Verdana"/>
          <w:i/>
          <w:sz w:val="16"/>
          <w:szCs w:val="16"/>
          <w:lang w:val="es-ES"/>
        </w:rPr>
        <w:t>Todo Juez que haya participado en el examen de un caso tiene derecho a unir a la sentencia su voto con</w:t>
      </w:r>
      <w:r w:rsidRPr="006F2613">
        <w:rPr>
          <w:rFonts w:ascii="Verdana" w:hAnsi="Verdana"/>
          <w:i/>
          <w:sz w:val="16"/>
          <w:szCs w:val="16"/>
          <w:lang w:val="es-ES"/>
        </w:rPr>
        <w:t>currente o disidente que deberá ser razonado. Estos votos deberán ser presentados dentro del plazo fijado por la Presidencia, de modo que puedan ser conocidos por los Jueces antes de la notificación de la sentencia. Dichos</w:t>
      </w:r>
    </w:p>
    <w:p w:rsidR="001A65FF" w:rsidRPr="006F2613" w:rsidRDefault="001A65FF" w:rsidP="00DA20B0">
      <w:pPr>
        <w:pStyle w:val="Textonotapie"/>
        <w:jc w:val="both"/>
        <w:rPr>
          <w:rFonts w:ascii="Verdana" w:hAnsi="Verdana"/>
          <w:i/>
          <w:sz w:val="16"/>
          <w:szCs w:val="16"/>
          <w:lang w:val="es-ES"/>
        </w:rPr>
      </w:pPr>
      <w:r w:rsidRPr="006F2613">
        <w:rPr>
          <w:rFonts w:ascii="Verdana" w:hAnsi="Verdana"/>
          <w:i/>
          <w:sz w:val="16"/>
          <w:szCs w:val="16"/>
          <w:lang w:val="es-ES"/>
        </w:rPr>
        <w:t>votos sólo podrán referirse a lo tratado en las sentencias”.</w:t>
      </w:r>
    </w:p>
    <w:p w:rsidR="001A65FF" w:rsidRPr="006F2613" w:rsidRDefault="001A65FF" w:rsidP="00B24719">
      <w:pPr>
        <w:pStyle w:val="Textonotapie"/>
        <w:jc w:val="both"/>
        <w:rPr>
          <w:rFonts w:ascii="Verdana" w:hAnsi="Verdana"/>
          <w:sz w:val="16"/>
          <w:szCs w:val="16"/>
        </w:rPr>
      </w:pPr>
    </w:p>
  </w:footnote>
  <w:footnote w:id="12">
    <w:p w:rsidR="001A65FF" w:rsidRPr="006F2613" w:rsidRDefault="001A65FF" w:rsidP="00DA20B0">
      <w:pPr>
        <w:pStyle w:val="Textonotapie"/>
        <w:jc w:val="both"/>
        <w:rPr>
          <w:rFonts w:ascii="Verdana" w:hAnsi="Verdana"/>
          <w:i/>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Art.62.3:”</w:t>
      </w:r>
      <w:r w:rsidRPr="00B24719">
        <w:rPr>
          <w:rFonts w:ascii="Verdana" w:hAnsi="Verdana"/>
          <w:sz w:val="16"/>
          <w:szCs w:val="16"/>
        </w:rPr>
        <w:t xml:space="preserve"> </w:t>
      </w:r>
      <w:r w:rsidRPr="00DA20B0">
        <w:rPr>
          <w:rFonts w:ascii="Verdana" w:hAnsi="Verdana"/>
          <w:i/>
          <w:sz w:val="16"/>
          <w:szCs w:val="16"/>
          <w:lang w:val="es-ES"/>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w:t>
      </w:r>
      <w:r w:rsidRPr="006F2613">
        <w:rPr>
          <w:rFonts w:ascii="Verdana" w:hAnsi="Verdana"/>
          <w:i/>
          <w:sz w:val="16"/>
          <w:szCs w:val="16"/>
          <w:lang w:val="es-ES"/>
        </w:rPr>
        <w:t>n especial”</w:t>
      </w:r>
    </w:p>
    <w:p w:rsidR="001A65FF" w:rsidRPr="006F2613" w:rsidRDefault="001A65FF" w:rsidP="006F2613">
      <w:pPr>
        <w:pStyle w:val="Textonotapie"/>
        <w:jc w:val="both"/>
        <w:rPr>
          <w:rFonts w:ascii="Verdana" w:hAnsi="Verdana"/>
          <w:i/>
          <w:sz w:val="16"/>
          <w:szCs w:val="16"/>
          <w:lang w:val="es-ES"/>
        </w:rPr>
      </w:pPr>
    </w:p>
  </w:footnote>
  <w:footnote w:id="13">
    <w:p w:rsidR="001A65FF" w:rsidRPr="00B24719" w:rsidRDefault="001A65FF" w:rsidP="006F2613">
      <w:pPr>
        <w:pStyle w:val="Textonotapie"/>
        <w:jc w:val="both"/>
        <w:rPr>
          <w:rFonts w:ascii="Verdana" w:hAnsi="Verdana"/>
          <w:sz w:val="16"/>
          <w:szCs w:val="16"/>
          <w:lang w:val="fr-FR"/>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 xml:space="preserve">Tribunal Europeo de Derechos Humanos. </w:t>
      </w:r>
      <w:r w:rsidRPr="00B24719">
        <w:rPr>
          <w:rFonts w:ascii="Verdana" w:hAnsi="Verdana"/>
          <w:sz w:val="16"/>
          <w:szCs w:val="16"/>
          <w:lang w:val="fr-FR"/>
        </w:rPr>
        <w:t xml:space="preserve">Art.74.2. del Reglamento de Procedimiento: </w:t>
      </w:r>
      <w:r w:rsidRPr="00B24719">
        <w:rPr>
          <w:rFonts w:ascii="Verdana" w:hAnsi="Verdana"/>
          <w:i/>
          <w:sz w:val="16"/>
          <w:szCs w:val="16"/>
          <w:lang w:val="fr-FR"/>
        </w:rPr>
        <w:t>”Tout juge qui a pris part à l’examen de l’affaire par une chambre ou par la Grande Chambre a le droit de joindre à l’arrêt soit l’exposé de son opinion séparée, concordante ou dissidente, soit une simple déclaration de dissentiment.</w:t>
      </w:r>
      <w:r w:rsidRPr="00B24719">
        <w:rPr>
          <w:rFonts w:ascii="Verdana" w:hAnsi="Verdana"/>
          <w:sz w:val="16"/>
          <w:szCs w:val="16"/>
          <w:lang w:val="fr-FR"/>
        </w:rPr>
        <w:t>”.</w:t>
      </w:r>
    </w:p>
    <w:p w:rsidR="001A65FF" w:rsidRPr="00B24719" w:rsidRDefault="001A65FF" w:rsidP="006F2613">
      <w:pPr>
        <w:pStyle w:val="Textonotapie"/>
        <w:jc w:val="both"/>
        <w:rPr>
          <w:rFonts w:ascii="Verdana" w:hAnsi="Verdana"/>
          <w:i/>
          <w:sz w:val="16"/>
          <w:szCs w:val="16"/>
          <w:lang w:val="fr-FR"/>
        </w:rPr>
      </w:pPr>
      <w:r w:rsidRPr="00DA20B0">
        <w:rPr>
          <w:rFonts w:ascii="Verdana" w:hAnsi="Verdana"/>
          <w:sz w:val="16"/>
          <w:szCs w:val="16"/>
        </w:rPr>
        <w:t xml:space="preserve">Corte Africana de Justicia y Derechos Humanos. </w:t>
      </w:r>
      <w:r w:rsidRPr="00B24719">
        <w:rPr>
          <w:rFonts w:ascii="Verdana" w:hAnsi="Verdana"/>
          <w:sz w:val="16"/>
          <w:szCs w:val="16"/>
          <w:lang w:val="fr-FR"/>
        </w:rPr>
        <w:t>Artículo 44 de su Estatuto:</w:t>
      </w:r>
      <w:r w:rsidRPr="00B24719">
        <w:rPr>
          <w:rFonts w:ascii="Verdana" w:hAnsi="Verdana"/>
          <w:i/>
          <w:sz w:val="16"/>
          <w:szCs w:val="16"/>
          <w:lang w:val="fr-FR"/>
        </w:rPr>
        <w:t xml:space="preserve"> “Opinions individuelles Si l’arrêt n’exprime pas en tout ou en partie l’opinion unanime des juges, tout juge aura le droit d’y joindre l’exposé de son opinion individuelle ou dissidente.”</w:t>
      </w:r>
    </w:p>
    <w:p w:rsidR="001A65FF" w:rsidRPr="00DA20B0" w:rsidRDefault="001A65FF" w:rsidP="006F2613">
      <w:pPr>
        <w:pStyle w:val="Textonotapie"/>
        <w:jc w:val="both"/>
        <w:rPr>
          <w:rFonts w:ascii="Verdana" w:hAnsi="Verdana"/>
          <w:i/>
          <w:sz w:val="16"/>
          <w:szCs w:val="16"/>
        </w:rPr>
      </w:pPr>
      <w:r w:rsidRPr="00DA20B0">
        <w:rPr>
          <w:rFonts w:ascii="Verdana" w:hAnsi="Verdana"/>
          <w:sz w:val="16"/>
          <w:szCs w:val="16"/>
        </w:rPr>
        <w:t>Corte Internacional de Justicia</w:t>
      </w:r>
      <w:r w:rsidRPr="00DA20B0">
        <w:rPr>
          <w:rFonts w:ascii="Verdana" w:hAnsi="Verdana"/>
          <w:i/>
          <w:sz w:val="16"/>
          <w:szCs w:val="16"/>
        </w:rPr>
        <w:t xml:space="preserve">. </w:t>
      </w:r>
      <w:r w:rsidRPr="00DA20B0">
        <w:rPr>
          <w:rFonts w:ascii="Verdana" w:hAnsi="Verdana"/>
          <w:sz w:val="16"/>
          <w:szCs w:val="16"/>
        </w:rPr>
        <w:t>Art. 57 del Estatuto: “</w:t>
      </w:r>
      <w:r w:rsidRPr="00DA20B0">
        <w:rPr>
          <w:rFonts w:ascii="Verdana" w:hAnsi="Verdana"/>
          <w:i/>
          <w:sz w:val="16"/>
          <w:szCs w:val="16"/>
        </w:rPr>
        <w:t>Si el·fallo no expresare en todo o en parte la opinión unánime de los magistrados, cualquiera de éstos tendrá derecho a que se agregue al fallo su opinión disidente.”</w:t>
      </w:r>
    </w:p>
    <w:p w:rsidR="001A65FF" w:rsidRPr="006F2613" w:rsidRDefault="001A65FF" w:rsidP="006F2613">
      <w:pPr>
        <w:spacing w:after="0" w:line="240" w:lineRule="auto"/>
        <w:ind w:left="0"/>
        <w:rPr>
          <w:rFonts w:ascii="Verdana" w:hAnsi="Verdana"/>
          <w:i/>
          <w:sz w:val="16"/>
          <w:szCs w:val="16"/>
          <w:shd w:val="clear" w:color="auto" w:fill="FFFFFF"/>
        </w:rPr>
      </w:pPr>
      <w:r w:rsidRPr="006F2613">
        <w:rPr>
          <w:rFonts w:ascii="Verdana" w:hAnsi="Verdana"/>
          <w:sz w:val="16"/>
          <w:szCs w:val="16"/>
        </w:rPr>
        <w:t xml:space="preserve">Corte Penal Internacional .Art 74.5 del Estatuto: </w:t>
      </w:r>
      <w:r w:rsidRPr="006F2613">
        <w:rPr>
          <w:rFonts w:ascii="Verdana" w:hAnsi="Verdana"/>
          <w:i/>
          <w:sz w:val="16"/>
          <w:szCs w:val="16"/>
        </w:rPr>
        <w:t>“</w:t>
      </w:r>
      <w:r w:rsidRPr="006F2613">
        <w:rPr>
          <w:rFonts w:ascii="Verdana" w:hAnsi="Verdana"/>
          <w:i/>
          <w:sz w:val="16"/>
          <w:szCs w:val="16"/>
          <w:shd w:val="clear" w:color="auto" w:fill="FFFFFF"/>
        </w:rPr>
        <w:t>El fallo constará por escrito e incluirá una exposición fundada y completa de la evaluación de las pruebas y las conclusiones. La Sala de Primera Instancia dictará un fallo. Cuando no haya unanimidad, el fallo de la Sala de Primera Instancia incluirá las opiniones de la mayoría y de la minoría. La lectura del fallo o de un resumen de éste se hará en sesión pública.”</w:t>
      </w:r>
    </w:p>
    <w:p w:rsidR="001A65FF" w:rsidRPr="00B24719" w:rsidRDefault="001A65FF" w:rsidP="006F2613">
      <w:pPr>
        <w:pStyle w:val="Textonotapie"/>
        <w:jc w:val="both"/>
        <w:rPr>
          <w:rFonts w:ascii="Verdana" w:hAnsi="Verdana"/>
          <w:i/>
          <w:sz w:val="16"/>
          <w:szCs w:val="16"/>
        </w:rPr>
      </w:pPr>
      <w:r w:rsidRPr="006F2613">
        <w:rPr>
          <w:rFonts w:ascii="Verdana" w:hAnsi="Verdana"/>
          <w:sz w:val="16"/>
          <w:szCs w:val="16"/>
        </w:rPr>
        <w:t>Tribunal del Mar. Art.30.3 del Estatuto:</w:t>
      </w:r>
      <w:r w:rsidRPr="006F2613">
        <w:rPr>
          <w:rFonts w:ascii="Verdana" w:hAnsi="Verdana"/>
          <w:i/>
          <w:sz w:val="16"/>
          <w:szCs w:val="16"/>
        </w:rPr>
        <w:t xml:space="preserve"> “Si el fallo no expresa en todo o en parte la opinión unánime de los miembros del Tribunal, cualquiera de éstos tendrá derecho a que se agregue al fallo su op</w:t>
      </w:r>
      <w:r w:rsidRPr="00B24719">
        <w:rPr>
          <w:rFonts w:ascii="Verdana" w:hAnsi="Verdana"/>
          <w:i/>
          <w:sz w:val="16"/>
          <w:szCs w:val="16"/>
        </w:rPr>
        <w:t>inión separada o disidente.”</w:t>
      </w:r>
    </w:p>
    <w:p w:rsidR="001A65FF" w:rsidRPr="00B24719" w:rsidRDefault="001A65FF" w:rsidP="006F2613">
      <w:pPr>
        <w:pStyle w:val="Textonotapie"/>
        <w:jc w:val="both"/>
        <w:rPr>
          <w:rFonts w:ascii="Verdana" w:hAnsi="Verdana"/>
          <w:sz w:val="16"/>
          <w:szCs w:val="16"/>
        </w:rPr>
      </w:pPr>
    </w:p>
  </w:footnote>
  <w:footnote w:id="14">
    <w:p w:rsidR="001A65FF" w:rsidRPr="006F2613" w:rsidRDefault="001A65FF" w:rsidP="00B24719">
      <w:pPr>
        <w:pStyle w:val="Textonotapie"/>
        <w:jc w:val="both"/>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lang w:val="es-ES"/>
        </w:rPr>
        <w:t xml:space="preserve"> </w:t>
      </w:r>
      <w:r w:rsidRPr="00DA20B0">
        <w:rPr>
          <w:rFonts w:ascii="Verdana" w:hAnsi="Verdana"/>
          <w:sz w:val="16"/>
          <w:szCs w:val="16"/>
          <w:lang w:val="es-ES"/>
        </w:rPr>
        <w:tab/>
        <w:t>Art.68.1: “</w:t>
      </w:r>
      <w:r w:rsidRPr="00DA20B0">
        <w:rPr>
          <w:rFonts w:ascii="Verdana" w:hAnsi="Verdana"/>
          <w:i/>
          <w:sz w:val="16"/>
          <w:szCs w:val="16"/>
          <w:lang w:val="es-ES"/>
        </w:rPr>
        <w:t>Los Estados Partes en la Convención se comprometen a cumplir la decisión de la Corte en todo caso en que sean partes</w:t>
      </w:r>
      <w:r w:rsidRPr="006F2613">
        <w:rPr>
          <w:rFonts w:ascii="Verdana" w:hAnsi="Verdana"/>
          <w:sz w:val="16"/>
          <w:szCs w:val="16"/>
          <w:lang w:val="es-ES"/>
        </w:rPr>
        <w:t>.”</w:t>
      </w:r>
    </w:p>
    <w:p w:rsidR="001A65FF" w:rsidRPr="00B24719" w:rsidRDefault="001A65FF" w:rsidP="00B24719">
      <w:pPr>
        <w:pStyle w:val="Textonotapie"/>
        <w:jc w:val="both"/>
        <w:rPr>
          <w:rFonts w:ascii="Verdana" w:hAnsi="Verdana"/>
          <w:sz w:val="16"/>
          <w:szCs w:val="16"/>
          <w:lang w:val="fr-FR"/>
        </w:rPr>
      </w:pPr>
      <w:r w:rsidRPr="00B24719">
        <w:rPr>
          <w:rFonts w:ascii="Verdana" w:hAnsi="Verdana"/>
          <w:sz w:val="16"/>
          <w:szCs w:val="16"/>
          <w:lang w:val="fr-FR"/>
        </w:rPr>
        <w:t>Art. 46.1 de la Convention Européenne des Droit de l’Homme: “</w:t>
      </w:r>
      <w:r w:rsidRPr="00B24719">
        <w:rPr>
          <w:rFonts w:ascii="Verdana" w:hAnsi="Verdana"/>
          <w:i/>
          <w:sz w:val="16"/>
          <w:szCs w:val="16"/>
          <w:lang w:val="fr-FR"/>
        </w:rPr>
        <w:t>Les Hautes Parties contractantes s’engagent à se conformer aux arrêts définitifs de la Cour dans les litiges auxquels elles sont parties</w:t>
      </w:r>
      <w:r w:rsidRPr="00B24719">
        <w:rPr>
          <w:rFonts w:ascii="Verdana" w:hAnsi="Verdana"/>
          <w:sz w:val="16"/>
          <w:szCs w:val="16"/>
          <w:lang w:val="fr-FR"/>
        </w:rPr>
        <w:t>.”</w:t>
      </w:r>
    </w:p>
    <w:p w:rsidR="001A65FF" w:rsidRPr="00B24719" w:rsidRDefault="001A65FF" w:rsidP="00B24719">
      <w:pPr>
        <w:pStyle w:val="Textonotapie"/>
        <w:jc w:val="both"/>
        <w:rPr>
          <w:rFonts w:ascii="Verdana" w:hAnsi="Verdana"/>
          <w:sz w:val="16"/>
          <w:szCs w:val="16"/>
          <w:lang w:val="fr-FR"/>
        </w:rPr>
      </w:pPr>
      <w:r w:rsidRPr="00B24719">
        <w:rPr>
          <w:rFonts w:ascii="Verdana" w:hAnsi="Verdana"/>
          <w:sz w:val="16"/>
          <w:szCs w:val="16"/>
          <w:lang w:val="fr-FR"/>
        </w:rPr>
        <w:t>Art. 46. y 3 du Statut de la Cour Africaine de Justice y des Droits de l´Homme: “</w:t>
      </w:r>
      <w:r w:rsidRPr="00B24719">
        <w:rPr>
          <w:rFonts w:ascii="Verdana" w:hAnsi="Verdana"/>
          <w:i/>
          <w:sz w:val="16"/>
          <w:szCs w:val="16"/>
          <w:lang w:val="fr-FR"/>
        </w:rPr>
        <w:t>Force obligatoire et exécution des décisions. 1. La décision de la Cour n'est obligatoire que pour les parties en litige. ... 3. Les parties doivent se conformer aux décisions rendues par la Cour dans tout litige auquel elles sont parties, et en assurer l’exécution dans le délai fixé par la Cour.”</w:t>
      </w:r>
    </w:p>
    <w:p w:rsidR="001A65FF" w:rsidRPr="006F2613" w:rsidRDefault="001A65FF" w:rsidP="00B24719">
      <w:pPr>
        <w:pStyle w:val="Textonotapie"/>
        <w:jc w:val="both"/>
        <w:rPr>
          <w:rFonts w:ascii="Verdana" w:hAnsi="Verdana"/>
          <w:sz w:val="16"/>
          <w:szCs w:val="16"/>
          <w:lang w:val="es-ES"/>
        </w:rPr>
      </w:pPr>
      <w:r w:rsidRPr="00DA20B0">
        <w:rPr>
          <w:rFonts w:ascii="Verdana" w:hAnsi="Verdana"/>
          <w:sz w:val="16"/>
          <w:szCs w:val="16"/>
          <w:lang w:val="es-ES"/>
        </w:rPr>
        <w:t>Art. 59 del Estatuto de la Corte Internacional de Justicia: “</w:t>
      </w:r>
      <w:r w:rsidRPr="00DA20B0">
        <w:rPr>
          <w:rFonts w:ascii="Verdana" w:hAnsi="Verdana"/>
          <w:i/>
          <w:sz w:val="16"/>
          <w:szCs w:val="16"/>
          <w:lang w:val="es-ES"/>
        </w:rPr>
        <w:t>La decisión de la Corte no es obligatoria sino para las partes en litigio y respecto del caso que ha sido decidido</w:t>
      </w:r>
      <w:r w:rsidRPr="006F2613">
        <w:rPr>
          <w:rFonts w:ascii="Verdana" w:hAnsi="Verdana"/>
          <w:sz w:val="16"/>
          <w:szCs w:val="16"/>
          <w:lang w:val="es-ES"/>
        </w:rPr>
        <w:t>.”</w:t>
      </w:r>
    </w:p>
    <w:p w:rsidR="001A65FF" w:rsidRPr="006F2613" w:rsidRDefault="001A65FF" w:rsidP="00B24719">
      <w:pPr>
        <w:pStyle w:val="Textonotapie"/>
        <w:jc w:val="both"/>
        <w:rPr>
          <w:rFonts w:ascii="Verdana" w:hAnsi="Verdana"/>
          <w:sz w:val="16"/>
          <w:szCs w:val="16"/>
          <w:lang w:val="es-ES"/>
        </w:rPr>
      </w:pPr>
    </w:p>
  </w:footnote>
  <w:footnote w:id="15">
    <w:p w:rsidR="001A65FF" w:rsidRPr="00DA20B0" w:rsidRDefault="001A65FF" w:rsidP="00B24719">
      <w:pPr>
        <w:pStyle w:val="Textonotapie"/>
        <w:jc w:val="both"/>
        <w:rPr>
          <w:rFonts w:ascii="Verdana" w:hAnsi="Verdana"/>
          <w:i/>
          <w:sz w:val="16"/>
          <w:szCs w:val="16"/>
          <w:lang w:val="es-ES"/>
        </w:rPr>
      </w:pPr>
      <w:r w:rsidRPr="00DA20B0">
        <w:rPr>
          <w:rStyle w:val="Refdenotaalpie"/>
          <w:rFonts w:ascii="Verdana" w:hAnsi="Verdana"/>
          <w:sz w:val="16"/>
          <w:szCs w:val="16"/>
        </w:rPr>
        <w:footnoteRef/>
      </w:r>
      <w:r w:rsidRPr="00DA20B0">
        <w:rPr>
          <w:rFonts w:ascii="Verdana" w:hAnsi="Verdana"/>
          <w:sz w:val="16"/>
          <w:szCs w:val="16"/>
          <w:lang w:val="es-ES"/>
        </w:rPr>
        <w:t xml:space="preserve"> </w:t>
      </w:r>
      <w:r w:rsidRPr="00DA20B0">
        <w:rPr>
          <w:rFonts w:ascii="Verdana" w:hAnsi="Verdana"/>
          <w:sz w:val="16"/>
          <w:szCs w:val="16"/>
          <w:lang w:val="es-ES"/>
        </w:rPr>
        <w:tab/>
        <w:t xml:space="preserve">Art.38 del Estatuto de la Corte Internacional de Justicia: </w:t>
      </w:r>
      <w:r w:rsidRPr="00DA20B0">
        <w:rPr>
          <w:rFonts w:ascii="Verdana" w:hAnsi="Verdana"/>
          <w:i/>
          <w:sz w:val="16"/>
          <w:szCs w:val="16"/>
          <w:lang w:val="es-ES"/>
        </w:rPr>
        <w:t>“1. La Corte, cuya función es decidir conforme al derecho internacional las controversias que le sean sometidas, deberá aplicar:</w:t>
      </w:r>
    </w:p>
    <w:p w:rsidR="001A65FF" w:rsidRPr="006F2613" w:rsidRDefault="001A65FF" w:rsidP="00B24719">
      <w:pPr>
        <w:pStyle w:val="Textonotapie"/>
        <w:jc w:val="both"/>
        <w:rPr>
          <w:rFonts w:ascii="Verdana" w:hAnsi="Verdana"/>
          <w:i/>
          <w:sz w:val="16"/>
          <w:szCs w:val="16"/>
          <w:lang w:val="es-ES"/>
        </w:rPr>
      </w:pPr>
      <w:r w:rsidRPr="006F2613">
        <w:rPr>
          <w:rFonts w:ascii="Verdana" w:hAnsi="Verdana"/>
          <w:i/>
          <w:sz w:val="16"/>
          <w:szCs w:val="16"/>
          <w:lang w:val="es-ES"/>
        </w:rPr>
        <w:t>a. las convenciones internacionales, sean generales o particulares, que establecen reglas expresamente reconocidas por los Estados litigantes;</w:t>
      </w:r>
    </w:p>
    <w:p w:rsidR="001A65FF" w:rsidRPr="006F2613" w:rsidRDefault="001A65FF" w:rsidP="00B24719">
      <w:pPr>
        <w:pStyle w:val="Textonotapie"/>
        <w:jc w:val="both"/>
        <w:rPr>
          <w:rFonts w:ascii="Verdana" w:hAnsi="Verdana"/>
          <w:i/>
          <w:sz w:val="16"/>
          <w:szCs w:val="16"/>
          <w:lang w:val="es-ES"/>
        </w:rPr>
      </w:pPr>
      <w:r w:rsidRPr="006F2613">
        <w:rPr>
          <w:rFonts w:ascii="Verdana" w:hAnsi="Verdana"/>
          <w:i/>
          <w:sz w:val="16"/>
          <w:szCs w:val="16"/>
          <w:lang w:val="es-ES"/>
        </w:rPr>
        <w:t>b. la costumbre internacional como prueba de una práctica generalmente aceptada como derecho;</w:t>
      </w:r>
    </w:p>
    <w:p w:rsidR="001A65FF" w:rsidRPr="006F2613" w:rsidRDefault="001A65FF" w:rsidP="00B24719">
      <w:pPr>
        <w:pStyle w:val="Textonotapie"/>
        <w:jc w:val="both"/>
        <w:rPr>
          <w:rFonts w:ascii="Verdana" w:hAnsi="Verdana"/>
          <w:i/>
          <w:sz w:val="16"/>
          <w:szCs w:val="16"/>
          <w:lang w:val="es-ES"/>
        </w:rPr>
      </w:pPr>
      <w:r w:rsidRPr="006F2613">
        <w:rPr>
          <w:rFonts w:ascii="Verdana" w:hAnsi="Verdana"/>
          <w:i/>
          <w:sz w:val="16"/>
          <w:szCs w:val="16"/>
          <w:lang w:val="es-ES"/>
        </w:rPr>
        <w:t>c. los principios generales de derecho reconocidos por las naciones civilizadas;</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d. las decisiones judiciales y las doctrinas de los publicistas de mayor competencia de las distintas naciones, como medio auxiliar para la determinación de las reglas de derecho, sin perjuicio de lo dispuesto en el Artículo 59.</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2. La presente disposición no restringe la facultad de la Corte para decidir un litigio ex aequo et bono, si las partes así lo convinieren.”</w:t>
      </w:r>
    </w:p>
    <w:p w:rsidR="001A65FF" w:rsidRPr="00B24719" w:rsidRDefault="001A65FF" w:rsidP="00B24719">
      <w:pPr>
        <w:pStyle w:val="Textonotapie"/>
        <w:jc w:val="both"/>
        <w:rPr>
          <w:rFonts w:ascii="Verdana" w:hAnsi="Verdana"/>
          <w:sz w:val="16"/>
          <w:szCs w:val="16"/>
          <w:lang w:val="es-ES"/>
        </w:rPr>
      </w:pPr>
    </w:p>
  </w:footnote>
  <w:footnote w:id="16">
    <w:p w:rsidR="001A65FF" w:rsidRPr="00DA20B0" w:rsidRDefault="001A65FF" w:rsidP="00B24719">
      <w:pPr>
        <w:spacing w:after="0" w:line="240" w:lineRule="auto"/>
        <w:ind w:left="0"/>
        <w:rPr>
          <w:rFonts w:ascii="Verdana" w:hAnsi="Verdana"/>
          <w:i/>
          <w:sz w:val="16"/>
          <w:szCs w:val="16"/>
          <w:lang w:val="es-ES"/>
        </w:rPr>
      </w:pPr>
      <w:r w:rsidRPr="00DA20B0">
        <w:rPr>
          <w:rStyle w:val="Refdenotaalpie"/>
          <w:rFonts w:ascii="Verdana" w:hAnsi="Verdana"/>
          <w:i/>
          <w:sz w:val="16"/>
          <w:szCs w:val="16"/>
        </w:rPr>
        <w:footnoteRef/>
      </w:r>
      <w:r w:rsidRPr="00DA20B0">
        <w:rPr>
          <w:rFonts w:ascii="Verdana" w:hAnsi="Verdana"/>
          <w:i/>
          <w:sz w:val="16"/>
          <w:szCs w:val="16"/>
          <w:lang w:val="es-ES"/>
        </w:rPr>
        <w:t xml:space="preserve"> </w:t>
      </w:r>
      <w:r w:rsidRPr="00DA20B0">
        <w:rPr>
          <w:rFonts w:ascii="Verdana" w:hAnsi="Verdana"/>
          <w:i/>
          <w:sz w:val="16"/>
          <w:szCs w:val="16"/>
          <w:lang w:val="es-ES"/>
        </w:rPr>
        <w:tab/>
        <w:t>Art. 31: “Reconocimiento de Otros Derechos. Podrán ser incluidos en el régimen de protección de esta Convención otros derechos y libertades que sean reconocidos de acuerdo con los procedimientos establecidos en los artículos 76 y 77.”</w:t>
      </w:r>
    </w:p>
    <w:p w:rsidR="001A65FF" w:rsidRPr="006F2613" w:rsidRDefault="001A65FF" w:rsidP="00B24719">
      <w:pPr>
        <w:pStyle w:val="Textonotapie"/>
        <w:jc w:val="both"/>
        <w:rPr>
          <w:rFonts w:ascii="Verdana" w:hAnsi="Verdana"/>
          <w:sz w:val="16"/>
          <w:szCs w:val="16"/>
          <w:lang w:val="es-ES"/>
        </w:rPr>
      </w:pPr>
      <w:r w:rsidRPr="006F2613">
        <w:rPr>
          <w:rFonts w:ascii="Verdana" w:hAnsi="Verdana"/>
          <w:sz w:val="16"/>
          <w:szCs w:val="16"/>
          <w:lang w:val="es-ES"/>
        </w:rPr>
        <w:t>Art. 76.1</w:t>
      </w:r>
      <w:r w:rsidRPr="006F2613">
        <w:rPr>
          <w:rFonts w:ascii="Verdana" w:hAnsi="Verdana"/>
          <w:i/>
          <w:sz w:val="16"/>
          <w:szCs w:val="16"/>
          <w:lang w:val="es-ES"/>
        </w:rPr>
        <w:t>:” Cualquier Estado parte directamente y la Comisión o la Corte por conducto del Secretario General, pueden someter a la Asamblea General, para lo que estime conveniente, una propuesta de enmienda a esta Convención.”</w:t>
      </w:r>
    </w:p>
    <w:p w:rsidR="001A65FF" w:rsidRPr="00B24719" w:rsidRDefault="001A65FF" w:rsidP="00B24719">
      <w:pPr>
        <w:pStyle w:val="Textonotapie"/>
        <w:jc w:val="both"/>
        <w:rPr>
          <w:rFonts w:ascii="Verdana" w:hAnsi="Verdana"/>
          <w:i/>
          <w:sz w:val="16"/>
          <w:szCs w:val="16"/>
          <w:lang w:val="es-ES"/>
        </w:rPr>
      </w:pPr>
      <w:r w:rsidRPr="006F2613">
        <w:rPr>
          <w:rFonts w:ascii="Verdana" w:hAnsi="Verdana"/>
          <w:sz w:val="16"/>
          <w:szCs w:val="16"/>
          <w:lang w:val="es-ES"/>
        </w:rPr>
        <w:t>Art.77.1</w:t>
      </w:r>
      <w:r w:rsidRPr="006F2613">
        <w:rPr>
          <w:rFonts w:ascii="Verdana" w:hAnsi="Verdana"/>
          <w:i/>
          <w:sz w:val="16"/>
          <w:szCs w:val="16"/>
          <w:lang w:val="es-ES"/>
        </w:rPr>
        <w:t>:“De acuerdo con la facultad e</w:t>
      </w:r>
      <w:r w:rsidRPr="00B24719">
        <w:rPr>
          <w:rFonts w:ascii="Verdana" w:hAnsi="Verdana"/>
          <w:i/>
          <w:sz w:val="16"/>
          <w:szCs w:val="16"/>
          <w:lang w:val="es-ES"/>
        </w:rPr>
        <w:t>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p w:rsidR="001A65FF" w:rsidRPr="00B24719" w:rsidRDefault="001A65FF" w:rsidP="00B24719">
      <w:pPr>
        <w:pStyle w:val="Textonotapie"/>
        <w:jc w:val="both"/>
        <w:rPr>
          <w:rFonts w:ascii="Verdana" w:hAnsi="Verdana"/>
          <w:sz w:val="16"/>
          <w:szCs w:val="16"/>
          <w:lang w:val="es-ES"/>
        </w:rPr>
      </w:pPr>
    </w:p>
  </w:footnote>
  <w:footnote w:id="17">
    <w:p w:rsidR="001A65FF" w:rsidRPr="006F2613" w:rsidRDefault="001A65FF" w:rsidP="00B24719">
      <w:pPr>
        <w:spacing w:after="0" w:line="240" w:lineRule="auto"/>
        <w:ind w:left="0"/>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r>
      <w:r w:rsidRPr="00DA20B0">
        <w:rPr>
          <w:rFonts w:ascii="Verdana" w:hAnsi="Verdana"/>
          <w:sz w:val="16"/>
          <w:szCs w:val="16"/>
          <w:lang w:val="es-ES"/>
        </w:rPr>
        <w:t xml:space="preserve">Art. 33: </w:t>
      </w:r>
      <w:r w:rsidRPr="00DA20B0">
        <w:rPr>
          <w:rFonts w:ascii="Verdana" w:hAnsi="Verdana"/>
          <w:i/>
          <w:sz w:val="16"/>
          <w:szCs w:val="16"/>
          <w:lang w:val="es-ES"/>
        </w:rPr>
        <w:t>“Son competentes para conocer de los asuntos relacionados con el cumplimiento de los compromisos contraídos por los Estados Partes en esta Convención:</w:t>
      </w:r>
    </w:p>
    <w:p w:rsidR="001A65FF" w:rsidRPr="006F2613" w:rsidRDefault="001A65FF" w:rsidP="00B24719">
      <w:pPr>
        <w:spacing w:after="0" w:line="240" w:lineRule="auto"/>
        <w:ind w:left="0"/>
        <w:rPr>
          <w:rFonts w:ascii="Verdana" w:hAnsi="Verdana"/>
          <w:sz w:val="16"/>
          <w:szCs w:val="16"/>
          <w:lang w:val="es-ES"/>
        </w:rPr>
      </w:pPr>
      <w:r w:rsidRPr="006F2613">
        <w:rPr>
          <w:rFonts w:ascii="Verdana" w:hAnsi="Verdana"/>
          <w:i/>
          <w:sz w:val="16"/>
          <w:szCs w:val="16"/>
          <w:lang w:val="es-ES"/>
        </w:rPr>
        <w:t xml:space="preserve"> a) la Comisión Interamericana de Derechos Humanos, llamada en adelante la Comisión, y</w:t>
      </w:r>
    </w:p>
    <w:p w:rsidR="001A65FF" w:rsidRPr="00B24719" w:rsidRDefault="001A65FF" w:rsidP="00B24719">
      <w:pPr>
        <w:spacing w:after="0" w:line="240" w:lineRule="auto"/>
        <w:ind w:left="0"/>
        <w:rPr>
          <w:rFonts w:ascii="Verdana" w:hAnsi="Verdana"/>
          <w:sz w:val="16"/>
          <w:szCs w:val="16"/>
          <w:lang w:val="es-ES"/>
        </w:rPr>
      </w:pPr>
      <w:r w:rsidRPr="00B24719">
        <w:rPr>
          <w:rFonts w:ascii="Verdana" w:hAnsi="Verdana"/>
          <w:i/>
          <w:sz w:val="16"/>
          <w:szCs w:val="16"/>
          <w:lang w:val="es-ES"/>
        </w:rPr>
        <w:t xml:space="preserve"> b) la Corte Interamericana de Derechos Humanos, llamada en adelante la Corte</w:t>
      </w:r>
      <w:r w:rsidRPr="00B24719">
        <w:rPr>
          <w:rFonts w:ascii="Verdana" w:hAnsi="Verdana"/>
          <w:sz w:val="16"/>
          <w:szCs w:val="16"/>
          <w:lang w:val="es-ES"/>
        </w:rPr>
        <w:t>.”</w:t>
      </w:r>
    </w:p>
    <w:p w:rsidR="001A65FF" w:rsidRPr="00B24719" w:rsidRDefault="001A65FF" w:rsidP="00B24719">
      <w:pPr>
        <w:spacing w:after="0" w:line="240" w:lineRule="auto"/>
        <w:ind w:left="0"/>
        <w:rPr>
          <w:rFonts w:ascii="Verdana" w:hAnsi="Verdana"/>
          <w:sz w:val="16"/>
          <w:szCs w:val="16"/>
          <w:lang w:val="es-ES"/>
        </w:rPr>
      </w:pPr>
      <w:r w:rsidRPr="00B24719">
        <w:rPr>
          <w:rFonts w:ascii="Verdana" w:hAnsi="Verdana"/>
          <w:sz w:val="16"/>
          <w:szCs w:val="16"/>
          <w:lang w:val="es-ES"/>
        </w:rPr>
        <w:t>Art.65</w:t>
      </w:r>
      <w:r w:rsidRPr="00B24719">
        <w:rPr>
          <w:rFonts w:ascii="Verdana" w:hAnsi="Verdana" w:cstheme="minorHAnsi"/>
          <w:i/>
          <w:sz w:val="16"/>
          <w:szCs w:val="16"/>
          <w:lang w:val="es-ES"/>
        </w:rPr>
        <w:t>: “La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p w:rsidR="001A65FF" w:rsidRPr="00B24719" w:rsidRDefault="001A65FF" w:rsidP="00B24719">
      <w:pPr>
        <w:pStyle w:val="Textonotapie"/>
        <w:jc w:val="both"/>
        <w:rPr>
          <w:rFonts w:ascii="Verdana" w:hAnsi="Verdana"/>
          <w:sz w:val="16"/>
          <w:szCs w:val="16"/>
        </w:rPr>
      </w:pPr>
    </w:p>
  </w:footnote>
  <w:footnote w:id="18">
    <w:p w:rsidR="001A65FF" w:rsidRPr="00DA20B0" w:rsidRDefault="001A65FF" w:rsidP="00B24719">
      <w:pPr>
        <w:spacing w:after="0" w:line="240" w:lineRule="auto"/>
        <w:ind w:left="0"/>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 xml:space="preserve">Nota 12. </w:t>
      </w:r>
    </w:p>
    <w:p w:rsidR="001A65FF" w:rsidRPr="00DA20B0" w:rsidRDefault="001A65FF" w:rsidP="00B24719">
      <w:pPr>
        <w:pStyle w:val="Textonotapie"/>
        <w:jc w:val="both"/>
        <w:rPr>
          <w:rFonts w:ascii="Verdana" w:hAnsi="Verdana"/>
          <w:sz w:val="16"/>
          <w:szCs w:val="16"/>
        </w:rPr>
      </w:pPr>
    </w:p>
  </w:footnote>
  <w:footnote w:id="19">
    <w:p w:rsidR="001A65FF" w:rsidRPr="006F2613" w:rsidRDefault="001A65FF" w:rsidP="00DA20B0">
      <w:pPr>
        <w:spacing w:after="0" w:line="240" w:lineRule="auto"/>
        <w:ind w:left="0"/>
        <w:rPr>
          <w:rFonts w:ascii="Verdana" w:hAnsi="Verdana"/>
          <w:i/>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r>
      <w:r w:rsidRPr="00DA20B0">
        <w:rPr>
          <w:rFonts w:ascii="Verdana" w:hAnsi="Verdana"/>
          <w:sz w:val="16"/>
          <w:szCs w:val="16"/>
          <w:lang w:val="es-ES"/>
        </w:rPr>
        <w:t>Art. 64.</w:t>
      </w:r>
      <w:r w:rsidRPr="00DA20B0">
        <w:rPr>
          <w:rFonts w:ascii="Verdana" w:hAnsi="Verdana"/>
          <w:i/>
          <w:sz w:val="16"/>
          <w:szCs w:val="16"/>
          <w:lang w:val="es-ES"/>
        </w:rPr>
        <w:t xml:space="preserve">1.:“Los Estados miembros de la Organización podrán consultar a la Corte acerca de la interpretación de esta Convención o de otros tratados concernientes a la protección de los derechos humanos en los Estados americanos. </w:t>
      </w:r>
      <w:r w:rsidRPr="006F2613">
        <w:rPr>
          <w:rFonts w:ascii="Verdana" w:hAnsi="Verdana"/>
          <w:i/>
          <w:sz w:val="16"/>
          <w:szCs w:val="16"/>
          <w:lang w:val="es-ES"/>
        </w:rPr>
        <w:t>Asimismo, podrán consultarla, en lo que les compete, los órganos enumerados en el capítulo X de la Carta de la Organización de los Estados Americanos, reformada por el Protocolo de Buenos Aires.</w:t>
      </w:r>
    </w:p>
    <w:p w:rsidR="001A65FF" w:rsidRPr="006F2613" w:rsidRDefault="001A65FF" w:rsidP="006F2613">
      <w:pPr>
        <w:pStyle w:val="Textonotapie"/>
        <w:jc w:val="both"/>
        <w:rPr>
          <w:rFonts w:ascii="Verdana" w:hAnsi="Verdana"/>
          <w:i/>
          <w:sz w:val="16"/>
          <w:szCs w:val="16"/>
          <w:lang w:val="es-ES"/>
        </w:rPr>
      </w:pPr>
      <w:r w:rsidRPr="006F2613">
        <w:rPr>
          <w:rFonts w:ascii="Verdana" w:hAnsi="Verdana"/>
          <w:i/>
          <w:sz w:val="16"/>
          <w:szCs w:val="16"/>
          <w:lang w:val="es-ES"/>
        </w:rPr>
        <w:t xml:space="preserve"> 2. La Corte, a solicitud de un Estado miembro de la Organización, podrá darle opiniones acerca de la compatibilidad entre cualquiera de sus leyes internas y los mencionados instrumentos internacionales.”</w:t>
      </w:r>
    </w:p>
    <w:p w:rsidR="001A65FF" w:rsidRPr="006F2613" w:rsidRDefault="001A65FF" w:rsidP="00B24719">
      <w:pPr>
        <w:pStyle w:val="Textonotapie"/>
        <w:jc w:val="both"/>
        <w:rPr>
          <w:rFonts w:ascii="Verdana" w:hAnsi="Verdana"/>
          <w:sz w:val="16"/>
          <w:szCs w:val="16"/>
        </w:rPr>
      </w:pPr>
    </w:p>
  </w:footnote>
  <w:footnote w:id="20">
    <w:p w:rsidR="001A65FF" w:rsidRPr="006F2613" w:rsidRDefault="001A65FF" w:rsidP="00DA20B0">
      <w:pPr>
        <w:autoSpaceDE w:val="0"/>
        <w:autoSpaceDN w:val="0"/>
        <w:adjustRightInd w:val="0"/>
        <w:spacing w:after="0" w:line="240" w:lineRule="auto"/>
        <w:ind w:left="0"/>
        <w:rPr>
          <w:rFonts w:ascii="Verdana" w:hAnsi="Verdana" w:cs="Times New Roman"/>
          <w:i/>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 xml:space="preserve">Art. </w:t>
      </w:r>
      <w:r w:rsidRPr="00DA20B0">
        <w:rPr>
          <w:rFonts w:ascii="Verdana" w:hAnsi="Verdana" w:cs="Times New Roman"/>
          <w:sz w:val="16"/>
          <w:szCs w:val="16"/>
        </w:rPr>
        <w:t>27 de la Convención de Viena sobre el Derecho de los tratados: “</w:t>
      </w:r>
      <w:r w:rsidRPr="00DA20B0">
        <w:rPr>
          <w:rFonts w:ascii="Verdana" w:hAnsi="Verdana" w:cs="Times New Roman"/>
          <w:bCs/>
          <w:i/>
          <w:sz w:val="16"/>
          <w:szCs w:val="16"/>
        </w:rPr>
        <w:t xml:space="preserve">El derecho interno y la observancia de los tratados. </w:t>
      </w:r>
      <w:r w:rsidRPr="006F2613">
        <w:rPr>
          <w:rFonts w:ascii="Verdana" w:hAnsi="Verdana" w:cs="Times New Roman"/>
          <w:i/>
          <w:sz w:val="16"/>
          <w:szCs w:val="16"/>
        </w:rPr>
        <w:t>Una parte no podrá invocar las disposiciones de su derecho interno como justificación del incumplimiento de un tratado. Esta norma se entenderá sin perjuicio de lo dispuesto en el artículo 46.”</w:t>
      </w:r>
    </w:p>
    <w:p w:rsidR="001A65FF" w:rsidRPr="006F2613" w:rsidRDefault="001A65FF" w:rsidP="006F2613">
      <w:pPr>
        <w:autoSpaceDE w:val="0"/>
        <w:autoSpaceDN w:val="0"/>
        <w:adjustRightInd w:val="0"/>
        <w:spacing w:after="0" w:line="240" w:lineRule="auto"/>
        <w:ind w:left="0"/>
        <w:rPr>
          <w:rFonts w:ascii="Verdana" w:hAnsi="Verdana" w:cs="Times New Roman"/>
          <w:i/>
          <w:sz w:val="16"/>
          <w:szCs w:val="16"/>
        </w:rPr>
      </w:pPr>
    </w:p>
  </w:footnote>
  <w:footnote w:id="21">
    <w:p w:rsidR="001A65FF" w:rsidRPr="00DA20B0" w:rsidRDefault="001A65FF" w:rsidP="00B24719">
      <w:pPr>
        <w:pStyle w:val="Textonotapie"/>
        <w:spacing w:after="120"/>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En adelante, la Convención de Viena.</w:t>
      </w:r>
    </w:p>
  </w:footnote>
  <w:footnote w:id="22">
    <w:p w:rsidR="001A65FF" w:rsidRPr="00DA20B0" w:rsidRDefault="001A65FF" w:rsidP="00DA20B0">
      <w:pPr>
        <w:autoSpaceDE w:val="0"/>
        <w:autoSpaceDN w:val="0"/>
        <w:adjustRightInd w:val="0"/>
        <w:spacing w:after="0" w:line="240" w:lineRule="auto"/>
        <w:ind w:left="0"/>
        <w:rPr>
          <w:rFonts w:ascii="Verdana" w:hAnsi="Verdana" w:cs="Arial"/>
          <w:i/>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 xml:space="preserve">Nota 15. </w:t>
      </w:r>
    </w:p>
    <w:p w:rsidR="001A65FF" w:rsidRPr="00DA20B0" w:rsidRDefault="001A65FF" w:rsidP="00B24719">
      <w:pPr>
        <w:pStyle w:val="Textonotapie"/>
        <w:jc w:val="both"/>
        <w:rPr>
          <w:rFonts w:ascii="Verdana" w:hAnsi="Verdana"/>
          <w:sz w:val="16"/>
          <w:szCs w:val="16"/>
        </w:rPr>
      </w:pPr>
    </w:p>
  </w:footnote>
  <w:footnote w:id="23">
    <w:p w:rsidR="001A65FF" w:rsidRPr="006F2613" w:rsidRDefault="001A65FF" w:rsidP="00DA20B0">
      <w:pPr>
        <w:pStyle w:val="Default"/>
        <w:jc w:val="both"/>
        <w:rPr>
          <w:rFonts w:ascii="Verdana" w:eastAsiaTheme="minorHAnsi" w:hAnsi="Verdana"/>
          <w:color w:val="auto"/>
          <w:sz w:val="16"/>
          <w:szCs w:val="16"/>
          <w:lang w:val="es-CL" w:eastAsia="en-US"/>
        </w:rPr>
      </w:pPr>
      <w:r w:rsidRPr="00DA20B0">
        <w:rPr>
          <w:rStyle w:val="Refdenotaalpie"/>
          <w:rFonts w:ascii="Verdana" w:hAnsi="Verdana"/>
          <w:i/>
          <w:color w:val="auto"/>
          <w:sz w:val="16"/>
          <w:szCs w:val="16"/>
        </w:rPr>
        <w:footnoteRef/>
      </w:r>
      <w:r w:rsidRPr="00DA20B0">
        <w:rPr>
          <w:rFonts w:ascii="Verdana" w:hAnsi="Verdana"/>
          <w:i/>
          <w:color w:val="auto"/>
          <w:sz w:val="16"/>
          <w:szCs w:val="16"/>
        </w:rPr>
        <w:t xml:space="preserve"> </w:t>
      </w:r>
      <w:r w:rsidRPr="00DA20B0">
        <w:rPr>
          <w:rFonts w:ascii="Verdana" w:hAnsi="Verdana"/>
          <w:i/>
          <w:color w:val="auto"/>
          <w:sz w:val="16"/>
          <w:szCs w:val="16"/>
        </w:rPr>
        <w:tab/>
      </w:r>
      <w:r w:rsidRPr="00DA20B0">
        <w:rPr>
          <w:rFonts w:ascii="Verdana" w:eastAsiaTheme="minorHAnsi" w:hAnsi="Verdana"/>
          <w:bCs/>
          <w:color w:val="auto"/>
          <w:sz w:val="16"/>
          <w:szCs w:val="16"/>
          <w:lang w:val="es-CL" w:eastAsia="en-US"/>
        </w:rPr>
        <w:t xml:space="preserve">Proyecto de Artículos sobre Responsabilidad del Estado por Hechos Internacionalmente Ilícitos, adoptado por la CDI en su 53º período de sesiones (A/56/10) y anexado por la AG en su Resolución 56/83, de 12 de diciembre de 2001. </w:t>
      </w:r>
      <w:r w:rsidRPr="006F2613">
        <w:rPr>
          <w:rFonts w:ascii="Verdana" w:hAnsi="Verdana"/>
          <w:color w:val="auto"/>
          <w:sz w:val="16"/>
          <w:szCs w:val="16"/>
        </w:rPr>
        <w:t>Art. 1: “</w:t>
      </w:r>
      <w:r w:rsidRPr="006F2613">
        <w:rPr>
          <w:rFonts w:ascii="Verdana" w:hAnsi="Verdana"/>
          <w:i/>
          <w:color w:val="auto"/>
          <w:sz w:val="16"/>
          <w:szCs w:val="16"/>
        </w:rPr>
        <w:t xml:space="preserve">Responsabilidad del Estado por sus hechos internacionalmente ilícitos. Todo hecho internacionalmente ilícito del Estado genera su responsabilidad internacional.” </w:t>
      </w:r>
    </w:p>
    <w:p w:rsidR="001A65FF" w:rsidRPr="00B24719" w:rsidRDefault="001A65FF" w:rsidP="006F2613">
      <w:pPr>
        <w:autoSpaceDE w:val="0"/>
        <w:autoSpaceDN w:val="0"/>
        <w:adjustRightInd w:val="0"/>
        <w:spacing w:after="0" w:line="240" w:lineRule="auto"/>
        <w:ind w:left="0"/>
        <w:rPr>
          <w:rFonts w:ascii="Verdana" w:hAnsi="Verdana" w:cs="Times New Roman"/>
          <w:i/>
          <w:sz w:val="16"/>
          <w:szCs w:val="16"/>
        </w:rPr>
      </w:pPr>
      <w:r w:rsidRPr="00B24719">
        <w:rPr>
          <w:rFonts w:ascii="Verdana" w:hAnsi="Verdana" w:cs="Times New Roman"/>
          <w:i/>
          <w:sz w:val="16"/>
          <w:szCs w:val="16"/>
        </w:rPr>
        <w:t xml:space="preserve">Art.2: “Elementos del hecho internacionalmente ilícito del Estado. Hay hecho internacionalmente ilícito del Estado cuando un comportamiento consistente en una acción u omisión: </w:t>
      </w:r>
    </w:p>
    <w:p w:rsidR="001A65FF" w:rsidRPr="00B24719" w:rsidRDefault="001A65FF" w:rsidP="006F2613">
      <w:pPr>
        <w:autoSpaceDE w:val="0"/>
        <w:autoSpaceDN w:val="0"/>
        <w:adjustRightInd w:val="0"/>
        <w:spacing w:after="0" w:line="240" w:lineRule="auto"/>
        <w:ind w:left="0"/>
        <w:rPr>
          <w:rFonts w:ascii="Verdana" w:hAnsi="Verdana" w:cs="Times New Roman"/>
          <w:i/>
          <w:sz w:val="16"/>
          <w:szCs w:val="16"/>
        </w:rPr>
      </w:pPr>
      <w:r w:rsidRPr="00B24719">
        <w:rPr>
          <w:rFonts w:ascii="Verdana" w:hAnsi="Verdana" w:cs="Times New Roman"/>
          <w:i/>
          <w:sz w:val="16"/>
          <w:szCs w:val="16"/>
        </w:rPr>
        <w:t xml:space="preserve">a) Es atribuible al Estado según el derecho internacional; y </w:t>
      </w:r>
    </w:p>
    <w:p w:rsidR="001A65FF" w:rsidRPr="00B24719" w:rsidRDefault="001A65FF" w:rsidP="006F2613">
      <w:pPr>
        <w:autoSpaceDE w:val="0"/>
        <w:autoSpaceDN w:val="0"/>
        <w:adjustRightInd w:val="0"/>
        <w:spacing w:after="0" w:line="240" w:lineRule="auto"/>
        <w:ind w:left="0"/>
        <w:rPr>
          <w:rFonts w:ascii="Verdana" w:hAnsi="Verdana" w:cs="Times New Roman"/>
          <w:i/>
          <w:sz w:val="16"/>
          <w:szCs w:val="16"/>
        </w:rPr>
      </w:pPr>
      <w:r w:rsidRPr="00B24719">
        <w:rPr>
          <w:rFonts w:ascii="Verdana" w:hAnsi="Verdana" w:cs="Times New Roman"/>
          <w:i/>
          <w:sz w:val="16"/>
          <w:szCs w:val="16"/>
        </w:rPr>
        <w:t xml:space="preserve">b) Constituye una violación de una obligación internacional del Estado.” </w:t>
      </w:r>
    </w:p>
    <w:p w:rsidR="001A65FF" w:rsidRPr="00B24719" w:rsidRDefault="001A65FF" w:rsidP="006F2613">
      <w:pPr>
        <w:autoSpaceDE w:val="0"/>
        <w:autoSpaceDN w:val="0"/>
        <w:adjustRightInd w:val="0"/>
        <w:spacing w:after="0" w:line="240" w:lineRule="auto"/>
        <w:ind w:left="0"/>
        <w:rPr>
          <w:rFonts w:ascii="Verdana" w:hAnsi="Verdana" w:cs="Times New Roman"/>
          <w:i/>
          <w:sz w:val="16"/>
          <w:szCs w:val="16"/>
        </w:rPr>
      </w:pPr>
      <w:r w:rsidRPr="00B24719">
        <w:rPr>
          <w:rFonts w:ascii="Verdana" w:hAnsi="Verdana" w:cs="Times New Roman"/>
          <w:sz w:val="16"/>
          <w:szCs w:val="16"/>
        </w:rPr>
        <w:t>Art.3</w:t>
      </w:r>
      <w:r w:rsidRPr="00B24719">
        <w:rPr>
          <w:rFonts w:ascii="Verdana" w:hAnsi="Verdana" w:cs="Times New Roman"/>
          <w:i/>
          <w:sz w:val="16"/>
          <w:szCs w:val="16"/>
        </w:rPr>
        <w:t xml:space="preserve">:”Calificación del hecho del Estado como internacionalmente ilícito. La calificación del hecho del Estado como internacionalmente ilícito se rige por el derecho internacional. Tal calificación no es afectada por la calificación del mismo hecho como lícito por el derecho interno.” </w:t>
      </w:r>
    </w:p>
    <w:p w:rsidR="001A65FF" w:rsidRPr="00B24719" w:rsidRDefault="001A65FF" w:rsidP="00B24719">
      <w:pPr>
        <w:autoSpaceDE w:val="0"/>
        <w:autoSpaceDN w:val="0"/>
        <w:adjustRightInd w:val="0"/>
        <w:spacing w:after="0" w:line="240" w:lineRule="auto"/>
        <w:ind w:left="0"/>
        <w:rPr>
          <w:rFonts w:ascii="Verdana" w:hAnsi="Verdana" w:cs="Times New Roman"/>
          <w:i/>
          <w:sz w:val="16"/>
          <w:szCs w:val="16"/>
        </w:rPr>
      </w:pPr>
      <w:r w:rsidRPr="00B24719">
        <w:rPr>
          <w:rFonts w:ascii="Verdana" w:hAnsi="Verdana" w:cs="Times New Roman"/>
          <w:sz w:val="16"/>
          <w:szCs w:val="16"/>
        </w:rPr>
        <w:t>Art.4:</w:t>
      </w:r>
      <w:r w:rsidRPr="00B24719">
        <w:rPr>
          <w:rFonts w:ascii="Verdana" w:hAnsi="Verdana" w:cs="Times New Roman"/>
          <w:i/>
          <w:sz w:val="16"/>
          <w:szCs w:val="16"/>
        </w:rPr>
        <w:t xml:space="preserve">”Comportamiento de los órganos del Estado.1. Se considerará hecho del Estado según el derecho internacional el comportamiento de todo órgano del Estado, ya sea que ejerza funciones legislativas, ejecutivas, judiciales o de otra índole, cualquiera que sea su posición en la organización del Estado y tanto si pertenece al gobierno central como a una división territorial del Estado. </w:t>
      </w:r>
    </w:p>
    <w:p w:rsidR="001A65FF" w:rsidRPr="00B24719" w:rsidRDefault="001A65FF" w:rsidP="00B24719">
      <w:pPr>
        <w:pStyle w:val="Textonotapie"/>
        <w:jc w:val="both"/>
        <w:rPr>
          <w:rFonts w:ascii="Verdana" w:hAnsi="Verdana" w:cs="Times New Roman"/>
          <w:i/>
          <w:sz w:val="16"/>
          <w:szCs w:val="16"/>
        </w:rPr>
      </w:pPr>
      <w:r w:rsidRPr="00B24719">
        <w:rPr>
          <w:rFonts w:ascii="Verdana" w:hAnsi="Verdana" w:cs="Times New Roman"/>
          <w:i/>
          <w:sz w:val="16"/>
          <w:szCs w:val="16"/>
        </w:rPr>
        <w:t>2. Se entenderá que órgano incluye toda persona o entidad que tenga esa condición según el derecho interno del Estado.”</w:t>
      </w:r>
    </w:p>
    <w:p w:rsidR="001A65FF" w:rsidRPr="00B24719" w:rsidRDefault="001A65FF" w:rsidP="00B24719">
      <w:pPr>
        <w:pStyle w:val="Textonotapie"/>
        <w:jc w:val="both"/>
        <w:rPr>
          <w:rFonts w:ascii="Verdana" w:hAnsi="Verdana"/>
          <w:i/>
          <w:sz w:val="16"/>
          <w:szCs w:val="16"/>
        </w:rPr>
      </w:pPr>
    </w:p>
  </w:footnote>
  <w:footnote w:id="24">
    <w:p w:rsidR="001A65FF" w:rsidRPr="00DA20B0" w:rsidRDefault="001A65FF" w:rsidP="00B24719">
      <w:pPr>
        <w:pStyle w:val="Textonotapie"/>
        <w:jc w:val="both"/>
        <w:rPr>
          <w:rFonts w:ascii="Verdana" w:hAnsi="Verdana"/>
          <w:i/>
          <w:sz w:val="16"/>
          <w:szCs w:val="16"/>
          <w:lang w:val="es-ES"/>
        </w:rPr>
      </w:pPr>
      <w:r w:rsidRPr="00DA20B0">
        <w:rPr>
          <w:rStyle w:val="Refdenotaalpie"/>
          <w:rFonts w:ascii="Verdana" w:hAnsi="Verdana"/>
          <w:sz w:val="16"/>
          <w:szCs w:val="16"/>
        </w:rPr>
        <w:footnoteRef/>
      </w:r>
      <w:r w:rsidRPr="00DA20B0">
        <w:rPr>
          <w:rFonts w:ascii="Verdana" w:hAnsi="Verdana"/>
          <w:sz w:val="16"/>
          <w:szCs w:val="16"/>
          <w:lang w:val="es-ES"/>
        </w:rPr>
        <w:t xml:space="preserve"> </w:t>
      </w:r>
      <w:r w:rsidRPr="00DA20B0">
        <w:rPr>
          <w:rFonts w:ascii="Verdana" w:hAnsi="Verdana"/>
          <w:sz w:val="16"/>
          <w:szCs w:val="16"/>
          <w:lang w:val="es-ES"/>
        </w:rPr>
        <w:tab/>
        <w:t xml:space="preserve">Preámbulo de la Convención, primera frase: </w:t>
      </w:r>
      <w:r w:rsidRPr="00DA20B0">
        <w:rPr>
          <w:rFonts w:ascii="Verdana" w:hAnsi="Verdana"/>
          <w:i/>
          <w:sz w:val="16"/>
          <w:szCs w:val="16"/>
          <w:lang w:val="es-ES"/>
        </w:rPr>
        <w:t>“Los Estados Americanos signatarios de la presente Convención,”.</w:t>
      </w:r>
    </w:p>
    <w:p w:rsidR="001A65FF" w:rsidRPr="006F2613" w:rsidRDefault="001A65FF" w:rsidP="00B24719">
      <w:pPr>
        <w:pStyle w:val="Textonotapie"/>
        <w:jc w:val="both"/>
        <w:rPr>
          <w:rFonts w:ascii="Verdana" w:hAnsi="Verdana"/>
          <w:sz w:val="16"/>
          <w:szCs w:val="16"/>
        </w:rPr>
      </w:pPr>
    </w:p>
  </w:footnote>
  <w:footnote w:id="25">
    <w:p w:rsidR="001A65FF" w:rsidRPr="006F2613" w:rsidRDefault="001A65FF" w:rsidP="00DA20B0">
      <w:pPr>
        <w:tabs>
          <w:tab w:val="left" w:pos="142"/>
        </w:tabs>
        <w:spacing w:after="0" w:line="240" w:lineRule="auto"/>
        <w:ind w:left="0"/>
        <w:rPr>
          <w:rFonts w:ascii="Verdana" w:hAnsi="Verdana"/>
          <w:i/>
          <w:sz w:val="16"/>
          <w:szCs w:val="16"/>
          <w:lang w:val="es-ES"/>
        </w:rPr>
      </w:pPr>
      <w:r w:rsidRPr="00DA20B0">
        <w:rPr>
          <w:rStyle w:val="Refdenotaalpie"/>
          <w:rFonts w:ascii="Verdana" w:hAnsi="Verdana"/>
          <w:i/>
          <w:sz w:val="16"/>
          <w:szCs w:val="16"/>
        </w:rPr>
        <w:footnoteRef/>
      </w:r>
      <w:r w:rsidRPr="00DA20B0">
        <w:rPr>
          <w:rFonts w:ascii="Verdana" w:hAnsi="Verdana"/>
          <w:i/>
          <w:sz w:val="16"/>
          <w:szCs w:val="16"/>
        </w:rPr>
        <w:t xml:space="preserve"> </w:t>
      </w:r>
      <w:r w:rsidRPr="00DA20B0">
        <w:rPr>
          <w:rFonts w:ascii="Verdana" w:hAnsi="Verdana"/>
          <w:i/>
          <w:sz w:val="16"/>
          <w:szCs w:val="16"/>
        </w:rPr>
        <w:tab/>
        <w:t xml:space="preserve">Art.1: </w:t>
      </w:r>
      <w:r w:rsidRPr="00DA20B0">
        <w:rPr>
          <w:rFonts w:ascii="Verdana" w:hAnsi="Verdana"/>
          <w:i/>
          <w:sz w:val="16"/>
          <w:szCs w:val="16"/>
          <w:lang w:val="es-ES"/>
        </w:rPr>
        <w:t>1. Los Estados Partes en esta Convención se comprometen a respetar los derechos y libertades reconocidos en ella y a garantizar su libre y pleno ejercicio a toda persona que esté sujeta a su jurisdicc</w:t>
      </w:r>
      <w:r w:rsidRPr="006F2613">
        <w:rPr>
          <w:rFonts w:ascii="Verdana" w:hAnsi="Verdana"/>
          <w:i/>
          <w:sz w:val="16"/>
          <w:szCs w:val="16"/>
          <w:lang w:val="es-ES"/>
        </w:rPr>
        <w:t>ión, sin discriminación alguna por motivos de raza, color, sexo, idioma, religión, opiniones políticas o de cualquier otra índole, origen nacional o social, posición económica, nacimiento o cualquier otra condición social.</w:t>
      </w:r>
    </w:p>
    <w:p w:rsidR="001A65FF" w:rsidRPr="006F2613" w:rsidRDefault="001A65FF" w:rsidP="006F2613">
      <w:pPr>
        <w:tabs>
          <w:tab w:val="left" w:pos="142"/>
        </w:tabs>
        <w:spacing w:after="0" w:line="240" w:lineRule="auto"/>
        <w:ind w:left="0"/>
        <w:rPr>
          <w:rFonts w:ascii="Verdana" w:hAnsi="Verdana"/>
          <w:i/>
          <w:sz w:val="16"/>
          <w:szCs w:val="16"/>
          <w:lang w:val="es-ES"/>
        </w:rPr>
      </w:pPr>
      <w:r w:rsidRPr="006F2613">
        <w:rPr>
          <w:rFonts w:ascii="Verdana" w:hAnsi="Verdana"/>
          <w:i/>
          <w:sz w:val="16"/>
          <w:szCs w:val="16"/>
          <w:lang w:val="es-ES"/>
        </w:rPr>
        <w:t>2. Para los efectos de esta Convención, persona es todo ser humano.</w:t>
      </w:r>
    </w:p>
    <w:p w:rsidR="001A65FF" w:rsidRPr="006F2613" w:rsidRDefault="001A65FF" w:rsidP="00B24719">
      <w:pPr>
        <w:pStyle w:val="Textonotapie"/>
        <w:jc w:val="both"/>
        <w:rPr>
          <w:rFonts w:ascii="Verdana" w:hAnsi="Verdana"/>
          <w:sz w:val="16"/>
          <w:szCs w:val="16"/>
        </w:rPr>
      </w:pPr>
    </w:p>
  </w:footnote>
  <w:footnote w:id="26">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En adelante, la Comisión.</w:t>
      </w:r>
    </w:p>
    <w:p w:rsidR="001A65FF" w:rsidRPr="006F2613" w:rsidRDefault="001A65FF" w:rsidP="00B24719">
      <w:pPr>
        <w:pStyle w:val="Textonotapie"/>
        <w:jc w:val="both"/>
        <w:rPr>
          <w:rFonts w:ascii="Verdana" w:hAnsi="Verdana"/>
          <w:sz w:val="16"/>
          <w:szCs w:val="16"/>
        </w:rPr>
      </w:pPr>
    </w:p>
  </w:footnote>
  <w:footnote w:id="27">
    <w:p w:rsidR="001A65FF" w:rsidRPr="00DA20B0" w:rsidRDefault="001A65FF" w:rsidP="00B24719">
      <w:pPr>
        <w:pStyle w:val="Textonotapie"/>
        <w:jc w:val="both"/>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r>
      <w:r w:rsidRPr="00DA20B0">
        <w:rPr>
          <w:rFonts w:ascii="Verdana" w:hAnsi="Verdana"/>
          <w:sz w:val="16"/>
          <w:szCs w:val="16"/>
          <w:lang w:val="es-ES"/>
        </w:rPr>
        <w:t>Art. 61.1; “</w:t>
      </w:r>
      <w:r w:rsidRPr="00DA20B0">
        <w:rPr>
          <w:rFonts w:ascii="Verdana" w:hAnsi="Verdana"/>
          <w:i/>
          <w:sz w:val="16"/>
          <w:szCs w:val="16"/>
          <w:lang w:val="es-ES"/>
        </w:rPr>
        <w:t>Sólo los Estados Partes y la Comisión tienen derecho a someter un caso a la decisión de la Corte.</w:t>
      </w:r>
      <w:r w:rsidRPr="00DA20B0">
        <w:rPr>
          <w:rFonts w:ascii="Verdana" w:hAnsi="Verdana"/>
          <w:sz w:val="16"/>
          <w:szCs w:val="16"/>
          <w:lang w:val="es-ES"/>
        </w:rPr>
        <w:t>”</w:t>
      </w:r>
    </w:p>
    <w:p w:rsidR="001A65FF" w:rsidRPr="006F2613" w:rsidRDefault="001A65FF" w:rsidP="00B24719">
      <w:pPr>
        <w:pStyle w:val="Textonotapie"/>
        <w:jc w:val="both"/>
        <w:rPr>
          <w:rFonts w:ascii="Verdana" w:hAnsi="Verdana"/>
          <w:sz w:val="16"/>
          <w:szCs w:val="16"/>
        </w:rPr>
      </w:pPr>
    </w:p>
  </w:footnote>
  <w:footnote w:id="28">
    <w:p w:rsidR="001A65FF" w:rsidRPr="00DA20B0" w:rsidRDefault="001A65FF" w:rsidP="00DA20B0">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r>
      <w:r w:rsidRPr="00DA20B0">
        <w:rPr>
          <w:rFonts w:ascii="Verdana" w:hAnsi="Verdana"/>
          <w:sz w:val="16"/>
          <w:szCs w:val="16"/>
          <w:lang w:val="es-ES"/>
        </w:rPr>
        <w:t>Art.35: “</w:t>
      </w:r>
      <w:r w:rsidRPr="00DA20B0">
        <w:rPr>
          <w:rFonts w:ascii="Verdana" w:hAnsi="Verdana"/>
          <w:i/>
          <w:sz w:val="16"/>
          <w:szCs w:val="16"/>
          <w:lang w:val="es-ES"/>
        </w:rPr>
        <w:t>La Comisión representa a todos los miembros que integran la Organización de los Estados Americanos.</w:t>
      </w:r>
      <w:r w:rsidRPr="00DA20B0">
        <w:rPr>
          <w:rFonts w:ascii="Verdana" w:hAnsi="Verdana"/>
          <w:sz w:val="16"/>
          <w:szCs w:val="16"/>
          <w:lang w:val="es-ES"/>
        </w:rPr>
        <w:t>”</w:t>
      </w:r>
    </w:p>
    <w:p w:rsidR="001A65FF" w:rsidRPr="00DA20B0" w:rsidRDefault="001A65FF" w:rsidP="00B24719">
      <w:pPr>
        <w:pStyle w:val="Textonotapie"/>
        <w:jc w:val="both"/>
        <w:rPr>
          <w:rFonts w:ascii="Verdana" w:hAnsi="Verdana"/>
          <w:sz w:val="16"/>
          <w:szCs w:val="16"/>
        </w:rPr>
      </w:pPr>
    </w:p>
  </w:footnote>
  <w:footnote w:id="29">
    <w:p w:rsidR="001A65FF" w:rsidRPr="006F2613" w:rsidRDefault="001A65FF" w:rsidP="00DA20B0">
      <w:pPr>
        <w:spacing w:after="0" w:line="240" w:lineRule="auto"/>
        <w:ind w:left="0"/>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Art.</w:t>
      </w:r>
      <w:r w:rsidRPr="00DA20B0">
        <w:rPr>
          <w:rFonts w:ascii="Verdana" w:hAnsi="Verdana"/>
          <w:sz w:val="16"/>
          <w:szCs w:val="16"/>
          <w:lang w:val="es-ES"/>
        </w:rPr>
        <w:t>68: “</w:t>
      </w:r>
      <w:r w:rsidRPr="00DA20B0">
        <w:rPr>
          <w:rFonts w:ascii="Verdana" w:hAnsi="Verdana"/>
          <w:i/>
          <w:sz w:val="16"/>
          <w:szCs w:val="16"/>
          <w:lang w:val="es-ES"/>
        </w:rPr>
        <w:t>1. Los Estados Partes en la Convención se comprometen a cumplir la decisión de la Corte en todo caso en que sean partes.</w:t>
      </w:r>
    </w:p>
    <w:p w:rsidR="001A65FF" w:rsidRPr="006F2613" w:rsidRDefault="001A65FF" w:rsidP="006F2613">
      <w:pPr>
        <w:spacing w:after="0" w:line="240" w:lineRule="auto"/>
        <w:ind w:left="0"/>
        <w:rPr>
          <w:rFonts w:ascii="Verdana" w:hAnsi="Verdana"/>
          <w:sz w:val="16"/>
          <w:szCs w:val="16"/>
          <w:lang w:val="es-ES"/>
        </w:rPr>
      </w:pPr>
      <w:r w:rsidRPr="006F2613">
        <w:rPr>
          <w:rFonts w:ascii="Verdana" w:hAnsi="Verdana"/>
          <w:i/>
          <w:sz w:val="16"/>
          <w:szCs w:val="16"/>
          <w:lang w:val="es-ES"/>
        </w:rPr>
        <w:t>2. La parte del fallo que disponga indemnización compensatoria se podrá ejecutar en el respectivo país por el procedimiento interno vigente para la ejecución de sentencias contra el Estado</w:t>
      </w:r>
      <w:r w:rsidRPr="006F2613">
        <w:rPr>
          <w:rFonts w:ascii="Verdana" w:hAnsi="Verdana"/>
          <w:sz w:val="16"/>
          <w:szCs w:val="16"/>
          <w:lang w:val="es-ES"/>
        </w:rPr>
        <w:t>.”</w:t>
      </w:r>
    </w:p>
    <w:p w:rsidR="001A65FF" w:rsidRPr="006F2613" w:rsidRDefault="001A65FF" w:rsidP="006F2613">
      <w:pPr>
        <w:pStyle w:val="Textonotapie"/>
        <w:jc w:val="both"/>
        <w:rPr>
          <w:rFonts w:ascii="Verdana" w:hAnsi="Verdana"/>
          <w:i/>
          <w:sz w:val="16"/>
          <w:szCs w:val="16"/>
        </w:rPr>
      </w:pPr>
    </w:p>
  </w:footnote>
  <w:footnote w:id="30">
    <w:p w:rsidR="001A65FF" w:rsidRPr="00DA20B0" w:rsidRDefault="001A65FF" w:rsidP="006F2613">
      <w:pPr>
        <w:spacing w:line="240" w:lineRule="auto"/>
        <w:ind w:left="0"/>
        <w:rPr>
          <w:rFonts w:ascii="Verdana" w:hAnsi="Verdana"/>
          <w:sz w:val="16"/>
          <w:szCs w:val="16"/>
          <w:lang w:val="es-ES"/>
        </w:rPr>
      </w:pPr>
      <w:r w:rsidRPr="00DA20B0">
        <w:rPr>
          <w:rStyle w:val="Refdenotaalpie"/>
          <w:rFonts w:ascii="Verdana" w:hAnsi="Verdana"/>
          <w:i/>
          <w:sz w:val="16"/>
          <w:szCs w:val="16"/>
        </w:rPr>
        <w:footnoteRef/>
      </w:r>
      <w:r w:rsidRPr="00DA20B0">
        <w:rPr>
          <w:rFonts w:ascii="Verdana" w:hAnsi="Verdana"/>
          <w:sz w:val="16"/>
          <w:szCs w:val="16"/>
          <w:lang w:val="es-ES"/>
        </w:rPr>
        <w:t xml:space="preserve"> </w:t>
      </w:r>
      <w:r w:rsidRPr="00DA20B0">
        <w:rPr>
          <w:rFonts w:ascii="Verdana" w:hAnsi="Verdana"/>
          <w:sz w:val="16"/>
          <w:szCs w:val="16"/>
          <w:lang w:val="es-ES"/>
        </w:rPr>
        <w:tab/>
      </w:r>
      <w:r w:rsidRPr="009F220C">
        <w:rPr>
          <w:rFonts w:ascii="Verdana" w:hAnsi="Verdana"/>
          <w:sz w:val="16"/>
          <w:szCs w:val="16"/>
          <w:lang w:val="es-ES"/>
        </w:rPr>
        <w:t>Art. 65: “</w:t>
      </w:r>
      <w:r w:rsidRPr="009F220C">
        <w:rPr>
          <w:rFonts w:ascii="Verdana" w:hAnsi="Verdana"/>
          <w:i/>
          <w:sz w:val="16"/>
          <w:szCs w:val="16"/>
          <w:lang w:val="es-ES"/>
        </w:rP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r w:rsidRPr="009F220C">
        <w:rPr>
          <w:rFonts w:ascii="Verdana" w:hAnsi="Verdana"/>
          <w:sz w:val="16"/>
          <w:szCs w:val="16"/>
          <w:lang w:val="es-ES"/>
        </w:rPr>
        <w:t>.”</w:t>
      </w:r>
    </w:p>
  </w:footnote>
  <w:footnote w:id="31">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En adelante, la OEA.</w:t>
      </w:r>
    </w:p>
    <w:p w:rsidR="001A65FF" w:rsidRPr="006F2613" w:rsidRDefault="001A65FF" w:rsidP="00B24719">
      <w:pPr>
        <w:pStyle w:val="Textonotapie"/>
        <w:jc w:val="both"/>
        <w:rPr>
          <w:rFonts w:ascii="Verdana" w:hAnsi="Verdana"/>
          <w:sz w:val="16"/>
          <w:szCs w:val="16"/>
        </w:rPr>
      </w:pPr>
    </w:p>
  </w:footnote>
  <w:footnote w:id="32">
    <w:p w:rsidR="001A65FF" w:rsidRPr="00B24719" w:rsidRDefault="001A65FF" w:rsidP="00DA20B0">
      <w:pPr>
        <w:autoSpaceDE w:val="0"/>
        <w:autoSpaceDN w:val="0"/>
        <w:adjustRightInd w:val="0"/>
        <w:spacing w:after="0" w:line="240" w:lineRule="auto"/>
        <w:ind w:left="0"/>
        <w:rPr>
          <w:rFonts w:ascii="Verdana" w:hAnsi="Verdana" w:cs="Verdana"/>
          <w:bCs/>
          <w:i/>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 xml:space="preserve">Art. </w:t>
      </w:r>
      <w:r w:rsidRPr="00DA20B0">
        <w:rPr>
          <w:rFonts w:ascii="Verdana" w:hAnsi="Verdana" w:cs="Verdana"/>
          <w:bCs/>
          <w:sz w:val="16"/>
          <w:szCs w:val="16"/>
        </w:rPr>
        <w:t>40 del Reglamento de la Corte</w:t>
      </w:r>
      <w:r w:rsidRPr="00DA20B0">
        <w:rPr>
          <w:rFonts w:ascii="Verdana" w:hAnsi="Verdana" w:cs="Verdana"/>
          <w:bCs/>
          <w:i/>
          <w:sz w:val="16"/>
          <w:szCs w:val="16"/>
        </w:rPr>
        <w:t xml:space="preserve">: “Escrito de solicitudes, argumentos y pruebas. </w:t>
      </w:r>
      <w:r w:rsidRPr="00DA20B0">
        <w:rPr>
          <w:rFonts w:ascii="Verdana" w:hAnsi="Verdana" w:cs="Verdana"/>
          <w:i/>
          <w:sz w:val="16"/>
          <w:szCs w:val="16"/>
        </w:rPr>
        <w:t>1. Notificada la presentación del caso a la presunta víctima o sus</w:t>
      </w:r>
      <w:r w:rsidRPr="006F2613">
        <w:rPr>
          <w:rFonts w:ascii="Verdana" w:hAnsi="Verdana" w:cs="Verdana"/>
          <w:bCs/>
          <w:i/>
          <w:sz w:val="16"/>
          <w:szCs w:val="16"/>
        </w:rPr>
        <w:t xml:space="preserve"> </w:t>
      </w:r>
      <w:r w:rsidRPr="006F2613">
        <w:rPr>
          <w:rFonts w:ascii="Verdana" w:hAnsi="Verdana" w:cs="Verdana"/>
          <w:i/>
          <w:sz w:val="16"/>
          <w:szCs w:val="16"/>
        </w:rPr>
        <w:t>representantes, éstos dispondrán de un plazo improrrogable de dos meses, contado</w:t>
      </w:r>
      <w:r w:rsidRPr="006F2613">
        <w:rPr>
          <w:rFonts w:ascii="Verdana" w:hAnsi="Verdana" w:cs="Verdana"/>
          <w:bCs/>
          <w:i/>
          <w:sz w:val="16"/>
          <w:szCs w:val="16"/>
        </w:rPr>
        <w:t xml:space="preserve"> </w:t>
      </w:r>
      <w:r w:rsidRPr="006F2613">
        <w:rPr>
          <w:rFonts w:ascii="Verdana" w:hAnsi="Verdana" w:cs="Verdana"/>
          <w:i/>
          <w:sz w:val="16"/>
          <w:szCs w:val="16"/>
        </w:rPr>
        <w:t>a partir de la recepción de este escrito y sus anexos, para presentar autónomamente</w:t>
      </w:r>
      <w:r w:rsidRPr="006F2613">
        <w:rPr>
          <w:rFonts w:ascii="Verdana" w:hAnsi="Verdana" w:cs="Verdana"/>
          <w:bCs/>
          <w:i/>
          <w:sz w:val="16"/>
          <w:szCs w:val="16"/>
        </w:rPr>
        <w:t xml:space="preserve"> </w:t>
      </w:r>
      <w:r w:rsidRPr="006F2613">
        <w:rPr>
          <w:rFonts w:ascii="Verdana" w:hAnsi="Verdana" w:cs="Verdana"/>
          <w:i/>
          <w:sz w:val="16"/>
          <w:szCs w:val="16"/>
        </w:rPr>
        <w:t>a la Corte su escrito de solicitudes, argumentos y pruebas.</w:t>
      </w:r>
    </w:p>
    <w:p w:rsidR="001A65FF" w:rsidRPr="00B24719" w:rsidRDefault="001A65FF" w:rsidP="006F2613">
      <w:pPr>
        <w:autoSpaceDE w:val="0"/>
        <w:autoSpaceDN w:val="0"/>
        <w:adjustRightInd w:val="0"/>
        <w:spacing w:after="0" w:line="240" w:lineRule="auto"/>
        <w:ind w:left="0"/>
        <w:rPr>
          <w:rFonts w:ascii="Verdana" w:hAnsi="Verdana" w:cs="Verdana"/>
          <w:i/>
          <w:sz w:val="16"/>
          <w:szCs w:val="16"/>
        </w:rPr>
      </w:pPr>
      <w:r w:rsidRPr="00B24719">
        <w:rPr>
          <w:rFonts w:ascii="Verdana" w:hAnsi="Verdana" w:cs="Verdana"/>
          <w:i/>
          <w:sz w:val="16"/>
          <w:szCs w:val="16"/>
        </w:rPr>
        <w:t>2. El escrito de solicitudes, argumentos y pruebas deberá contener:</w:t>
      </w:r>
    </w:p>
    <w:p w:rsidR="001A65FF" w:rsidRPr="00B24719" w:rsidRDefault="001A65FF" w:rsidP="006F2613">
      <w:pPr>
        <w:autoSpaceDE w:val="0"/>
        <w:autoSpaceDN w:val="0"/>
        <w:adjustRightInd w:val="0"/>
        <w:spacing w:after="0" w:line="240" w:lineRule="auto"/>
        <w:ind w:left="0"/>
        <w:rPr>
          <w:rFonts w:ascii="Verdana" w:hAnsi="Verdana" w:cs="Verdana"/>
          <w:i/>
          <w:sz w:val="16"/>
          <w:szCs w:val="16"/>
        </w:rPr>
      </w:pPr>
      <w:r w:rsidRPr="00B24719">
        <w:rPr>
          <w:rFonts w:ascii="Verdana" w:hAnsi="Verdana" w:cs="Verdana"/>
          <w:i/>
          <w:sz w:val="16"/>
          <w:szCs w:val="16"/>
        </w:rPr>
        <w:t>a. descripción de los hechos dentro del marco fáctico fijado en la presentación del caso por la Comisión;</w:t>
      </w:r>
    </w:p>
    <w:p w:rsidR="001A65FF" w:rsidRPr="00B24719" w:rsidRDefault="001A65FF" w:rsidP="006F2613">
      <w:pPr>
        <w:autoSpaceDE w:val="0"/>
        <w:autoSpaceDN w:val="0"/>
        <w:adjustRightInd w:val="0"/>
        <w:spacing w:after="0" w:line="240" w:lineRule="auto"/>
        <w:ind w:left="0"/>
        <w:rPr>
          <w:rFonts w:ascii="Verdana" w:hAnsi="Verdana" w:cs="Verdana"/>
          <w:i/>
          <w:sz w:val="16"/>
          <w:szCs w:val="16"/>
        </w:rPr>
      </w:pPr>
      <w:r w:rsidRPr="00B24719">
        <w:rPr>
          <w:rFonts w:ascii="Verdana" w:hAnsi="Verdana" w:cs="Verdana"/>
          <w:i/>
          <w:sz w:val="16"/>
          <w:szCs w:val="16"/>
        </w:rPr>
        <w:t>b. la pruebas ofrecidas debidamente ordenadas, con indicación de los hechos y argumentos sobre los cuales versan;</w:t>
      </w:r>
    </w:p>
    <w:p w:rsidR="001A65FF" w:rsidRPr="00B24719" w:rsidRDefault="001A65FF" w:rsidP="006F2613">
      <w:pPr>
        <w:autoSpaceDE w:val="0"/>
        <w:autoSpaceDN w:val="0"/>
        <w:adjustRightInd w:val="0"/>
        <w:spacing w:after="0" w:line="240" w:lineRule="auto"/>
        <w:ind w:left="0"/>
        <w:rPr>
          <w:rFonts w:ascii="Verdana" w:hAnsi="Verdana" w:cs="Verdana"/>
          <w:i/>
          <w:sz w:val="16"/>
          <w:szCs w:val="16"/>
        </w:rPr>
      </w:pPr>
      <w:r w:rsidRPr="00B24719">
        <w:rPr>
          <w:rFonts w:ascii="Verdana" w:hAnsi="Verdana" w:cs="Verdana"/>
          <w:i/>
          <w:sz w:val="16"/>
          <w:szCs w:val="16"/>
        </w:rPr>
        <w:t>c. la individualización de declarantes y el objeto de su declaración. En el caso de los peritos, deberán además remitir su hoja de vida y sus datos de contacto;</w:t>
      </w:r>
    </w:p>
    <w:p w:rsidR="001A65FF" w:rsidRPr="00B24719" w:rsidRDefault="001A65FF" w:rsidP="00B24719">
      <w:pPr>
        <w:pStyle w:val="Textonotapie"/>
        <w:jc w:val="both"/>
        <w:rPr>
          <w:rFonts w:ascii="Verdana" w:hAnsi="Verdana" w:cs="Verdana"/>
          <w:i/>
          <w:sz w:val="16"/>
          <w:szCs w:val="16"/>
        </w:rPr>
      </w:pPr>
      <w:r w:rsidRPr="00B24719">
        <w:rPr>
          <w:rFonts w:ascii="Verdana" w:hAnsi="Verdana" w:cs="Verdana"/>
          <w:i/>
          <w:sz w:val="16"/>
          <w:szCs w:val="16"/>
        </w:rPr>
        <w:t>d. las pretensiones, incluidas las referidas a reparaciones y costas.”</w:t>
      </w:r>
    </w:p>
    <w:p w:rsidR="001A65FF" w:rsidRPr="00B24719" w:rsidRDefault="001A65FF" w:rsidP="00B24719">
      <w:pPr>
        <w:pStyle w:val="Textonotapie"/>
        <w:jc w:val="both"/>
        <w:rPr>
          <w:rFonts w:ascii="Verdana" w:hAnsi="Verdana"/>
          <w:sz w:val="16"/>
          <w:szCs w:val="16"/>
        </w:rPr>
      </w:pPr>
    </w:p>
  </w:footnote>
  <w:footnote w:id="33">
    <w:p w:rsidR="001A65FF" w:rsidRPr="006F2613" w:rsidRDefault="001A65FF" w:rsidP="00B24719">
      <w:pPr>
        <w:autoSpaceDE w:val="0"/>
        <w:autoSpaceDN w:val="0"/>
        <w:adjustRightInd w:val="0"/>
        <w:spacing w:after="0" w:line="240" w:lineRule="auto"/>
        <w:ind w:left="0"/>
        <w:rPr>
          <w:rFonts w:ascii="Verdana" w:hAnsi="Verdana" w:cs="Times New Roman"/>
          <w:i/>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Art.</w:t>
      </w:r>
      <w:r w:rsidRPr="00DA20B0">
        <w:rPr>
          <w:rFonts w:ascii="Verdana" w:hAnsi="Verdana" w:cs="Times New Roman"/>
          <w:bCs/>
          <w:sz w:val="16"/>
          <w:szCs w:val="16"/>
        </w:rPr>
        <w:t>2,a) de la Convención de Viena</w:t>
      </w:r>
      <w:r w:rsidRPr="00DA20B0">
        <w:rPr>
          <w:rFonts w:ascii="Verdana" w:hAnsi="Verdana" w:cs="Times New Roman"/>
          <w:bCs/>
          <w:i/>
          <w:sz w:val="16"/>
          <w:szCs w:val="16"/>
        </w:rPr>
        <w:t xml:space="preserve">: “Términos empleados. </w:t>
      </w:r>
      <w:r w:rsidRPr="00DA20B0">
        <w:rPr>
          <w:rFonts w:ascii="Verdana" w:hAnsi="Verdana" w:cs="Times New Roman"/>
          <w:i/>
          <w:sz w:val="16"/>
          <w:szCs w:val="16"/>
        </w:rPr>
        <w:t>1. Para los efectos de la presente Convención: se entiende por "tratado" un acuerdo internacional celebrado por escrito entre Estados y regido por el derecho internacional, y</w:t>
      </w:r>
      <w:r w:rsidRPr="006F2613">
        <w:rPr>
          <w:rFonts w:ascii="Verdana" w:hAnsi="Verdana" w:cs="Times New Roman"/>
          <w:i/>
          <w:sz w:val="16"/>
          <w:szCs w:val="16"/>
        </w:rPr>
        <w:t>a conste en un instrumento único o en dos o más instrumentos conexos y cualquiera que sea su denominación particular;”.</w:t>
      </w:r>
    </w:p>
    <w:p w:rsidR="001A65FF" w:rsidRPr="006F2613" w:rsidRDefault="001A65FF" w:rsidP="00B24719">
      <w:pPr>
        <w:pStyle w:val="Prrafodelista"/>
        <w:autoSpaceDE w:val="0"/>
        <w:autoSpaceDN w:val="0"/>
        <w:adjustRightInd w:val="0"/>
        <w:spacing w:after="0" w:line="240" w:lineRule="auto"/>
        <w:jc w:val="both"/>
        <w:rPr>
          <w:rFonts w:ascii="Verdana" w:hAnsi="Verdana" w:cs="Times New Roman"/>
          <w:i/>
          <w:sz w:val="16"/>
          <w:szCs w:val="16"/>
        </w:rPr>
      </w:pPr>
    </w:p>
  </w:footnote>
  <w:footnote w:id="34">
    <w:p w:rsidR="001A65FF" w:rsidRPr="006F2613" w:rsidRDefault="001A65FF" w:rsidP="00DA20B0">
      <w:pPr>
        <w:pStyle w:val="Textonotapie"/>
        <w:jc w:val="both"/>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lang w:val="es-ES"/>
        </w:rPr>
        <w:tab/>
        <w:t>“</w:t>
      </w:r>
      <w:r w:rsidRPr="00DA20B0">
        <w:rPr>
          <w:rFonts w:ascii="Verdana" w:hAnsi="Verdana"/>
          <w:i/>
          <w:sz w:val="16"/>
          <w:szCs w:val="16"/>
          <w:lang w:val="es-ES"/>
        </w:rPr>
        <w:t>La cuestión de si un asunto determinado corresponde o no a la jurisdicción exclusiva del Estado, es una cuestión esencialmente relat</w:t>
      </w:r>
      <w:r w:rsidRPr="006F2613">
        <w:rPr>
          <w:rFonts w:ascii="Verdana" w:hAnsi="Verdana"/>
          <w:i/>
          <w:sz w:val="16"/>
          <w:szCs w:val="16"/>
          <w:lang w:val="es-ES"/>
        </w:rPr>
        <w:t>iva, la que depende del desarrollo de las relaciones internacionales. En el estado actual del desarrollo del derecho internacional, la Corte es de opinión que los asuntos relativos a la nacionalidad pertenecen, en principio, a ese dominio reservado</w:t>
      </w:r>
      <w:r w:rsidRPr="006F2613">
        <w:rPr>
          <w:rFonts w:ascii="Verdana" w:hAnsi="Verdana"/>
          <w:sz w:val="16"/>
          <w:szCs w:val="16"/>
          <w:lang w:val="es-ES"/>
        </w:rPr>
        <w:t>”. Corte Permanente de Justicia Internacional, Opinión Consultiva sobre ciertos decretos de nacionalidad dictados en la zona francesa de Túnez y Marruecos, Serie B Nº 4 Pág. 24.</w:t>
      </w:r>
    </w:p>
    <w:p w:rsidR="001A65FF" w:rsidRPr="006F2613" w:rsidRDefault="001A65FF" w:rsidP="006F2613">
      <w:pPr>
        <w:pStyle w:val="Textonotapie"/>
        <w:jc w:val="both"/>
        <w:rPr>
          <w:rFonts w:ascii="Verdana" w:hAnsi="Verdana"/>
          <w:sz w:val="16"/>
          <w:szCs w:val="16"/>
          <w:lang w:val="es-ES"/>
        </w:rPr>
      </w:pPr>
    </w:p>
  </w:footnote>
  <w:footnote w:id="35">
    <w:p w:rsidR="001A65FF" w:rsidRPr="00B24719" w:rsidRDefault="001A65FF" w:rsidP="006F2613">
      <w:pPr>
        <w:pStyle w:val="Textonotapie"/>
        <w:jc w:val="both"/>
        <w:rPr>
          <w:rFonts w:ascii="Verdana" w:hAnsi="Verdana"/>
          <w:sz w:val="16"/>
          <w:szCs w:val="16"/>
          <w:lang w:val="fr-FR"/>
        </w:rPr>
      </w:pPr>
      <w:r w:rsidRPr="00DA20B0">
        <w:rPr>
          <w:rStyle w:val="Refdenotaalpie"/>
          <w:rFonts w:ascii="Verdana" w:hAnsi="Verdana"/>
          <w:sz w:val="16"/>
          <w:szCs w:val="16"/>
        </w:rPr>
        <w:footnoteRef/>
      </w:r>
      <w:r w:rsidRPr="00B24719">
        <w:rPr>
          <w:rFonts w:ascii="Verdana" w:hAnsi="Verdana"/>
          <w:sz w:val="16"/>
          <w:szCs w:val="16"/>
          <w:lang w:val="fr-FR"/>
        </w:rPr>
        <w:t xml:space="preserve"> </w:t>
      </w:r>
      <w:r w:rsidRPr="00B24719">
        <w:rPr>
          <w:rFonts w:ascii="Verdana" w:hAnsi="Verdana"/>
          <w:sz w:val="16"/>
          <w:szCs w:val="16"/>
          <w:lang w:val="fr-FR"/>
        </w:rPr>
        <w:tab/>
        <w:t>Protocole n° 15 portant amendement à la Convention de sauvegarde des Droits de l’Homme et des Libertés fondamentales, art.1: “</w:t>
      </w:r>
      <w:r w:rsidRPr="00B24719">
        <w:rPr>
          <w:rFonts w:ascii="Verdana" w:hAnsi="Verdana"/>
          <w:i/>
          <w:sz w:val="16"/>
          <w:szCs w:val="16"/>
          <w:lang w:val="fr-FR"/>
        </w:rPr>
        <w:t>A la fin du préambule de la Convention, un nouveau considérant est ajouté et se lit comme suit</w:t>
      </w:r>
      <w:r w:rsidRPr="00B24719">
        <w:rPr>
          <w:rFonts w:ascii="Verdana" w:hAnsi="Verdana"/>
          <w:sz w:val="16"/>
          <w:szCs w:val="16"/>
          <w:lang w:val="fr-FR"/>
        </w:rPr>
        <w:t xml:space="preserve">: </w:t>
      </w:r>
      <w:r w:rsidRPr="00B24719">
        <w:rPr>
          <w:rFonts w:ascii="Verdana" w:hAnsi="Verdana"/>
          <w:i/>
          <w:sz w:val="16"/>
          <w:szCs w:val="16"/>
          <w:lang w:val="fr-FR"/>
        </w:rPr>
        <w:t>Affirmant qu’il incombe au premier chef aux Hautes Parties contractantes, conformément au principe de subsidiarité, de garantir le respect des droits et libertés définis dans la présente Convention et ses protocoles, et que, ce faisant, elles jouissent d’une marge d’appréciation, sous le contrôle de la Cour européenne des Droits de l’Homme instituée par la présente Convention.”</w:t>
      </w:r>
    </w:p>
    <w:p w:rsidR="001A65FF" w:rsidRPr="00B24719" w:rsidRDefault="001A65FF" w:rsidP="006F2613">
      <w:pPr>
        <w:pStyle w:val="Textonotapie"/>
        <w:jc w:val="both"/>
        <w:rPr>
          <w:rFonts w:ascii="Verdana" w:hAnsi="Verdana"/>
          <w:sz w:val="16"/>
          <w:szCs w:val="16"/>
          <w:lang w:val="fr-FR"/>
        </w:rPr>
      </w:pPr>
    </w:p>
  </w:footnote>
  <w:footnote w:id="36">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Nota 17.</w:t>
      </w:r>
    </w:p>
    <w:p w:rsidR="001A65FF" w:rsidRPr="006F2613" w:rsidRDefault="001A65FF" w:rsidP="00B24719">
      <w:pPr>
        <w:pStyle w:val="Textonotapie"/>
        <w:jc w:val="both"/>
        <w:rPr>
          <w:rFonts w:ascii="Verdana" w:hAnsi="Verdana"/>
          <w:sz w:val="16"/>
          <w:szCs w:val="16"/>
        </w:rPr>
      </w:pPr>
    </w:p>
  </w:footnote>
  <w:footnote w:id="37">
    <w:p w:rsidR="001A65FF" w:rsidRPr="006F2613" w:rsidRDefault="001A65FF" w:rsidP="00DA20B0">
      <w:pPr>
        <w:spacing w:after="0" w:line="240" w:lineRule="auto"/>
        <w:ind w:left="0"/>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r>
      <w:r w:rsidRPr="00DA20B0">
        <w:rPr>
          <w:rFonts w:ascii="Verdana" w:hAnsi="Verdana"/>
          <w:sz w:val="16"/>
          <w:szCs w:val="16"/>
          <w:lang w:val="es-ES"/>
        </w:rPr>
        <w:t xml:space="preserve">Art.41: </w:t>
      </w:r>
      <w:r w:rsidRPr="00DA20B0">
        <w:rPr>
          <w:rFonts w:ascii="Verdana" w:hAnsi="Verdana"/>
          <w:i/>
          <w:sz w:val="16"/>
          <w:szCs w:val="16"/>
          <w:lang w:val="es-ES"/>
        </w:rPr>
        <w:t>“ La Comisión tiene la función principal de promover la observancia y la defensa de los derechos humanos, y en el ejercicio de su mandato tiene las siguientes funciones y atribuciones:</w:t>
      </w:r>
    </w:p>
    <w:p w:rsidR="001A65FF" w:rsidRPr="006F2613" w:rsidRDefault="001A65FF" w:rsidP="006F2613">
      <w:pPr>
        <w:spacing w:after="0" w:line="240" w:lineRule="auto"/>
        <w:ind w:left="0"/>
        <w:rPr>
          <w:rFonts w:ascii="Verdana" w:hAnsi="Verdana"/>
          <w:sz w:val="16"/>
          <w:szCs w:val="16"/>
          <w:lang w:val="es-ES"/>
        </w:rPr>
      </w:pPr>
      <w:r w:rsidRPr="006F2613">
        <w:rPr>
          <w:rFonts w:ascii="Verdana" w:hAnsi="Verdana"/>
          <w:i/>
          <w:sz w:val="16"/>
          <w:szCs w:val="16"/>
          <w:lang w:val="es-ES"/>
        </w:rPr>
        <w:t xml:space="preserve"> a) estimular la conciencia de los derechos humanos en los pueblos de América;</w:t>
      </w:r>
    </w:p>
    <w:p w:rsidR="001A65FF" w:rsidRPr="00B24719" w:rsidRDefault="001A65FF" w:rsidP="006F2613">
      <w:pPr>
        <w:spacing w:after="0" w:line="240" w:lineRule="auto"/>
        <w:ind w:left="0"/>
        <w:rPr>
          <w:rFonts w:ascii="Verdana" w:hAnsi="Verdana"/>
          <w:i/>
          <w:sz w:val="16"/>
          <w:szCs w:val="16"/>
          <w:lang w:val="es-ES"/>
        </w:rPr>
      </w:pPr>
      <w:r w:rsidRPr="006F2613">
        <w:rPr>
          <w:rFonts w:ascii="Verdana" w:hAnsi="Verdana"/>
          <w:i/>
          <w:sz w:val="16"/>
          <w:szCs w:val="16"/>
          <w:lang w:val="es-ES"/>
        </w:rPr>
        <w:t xml:space="preserve"> b) formular recomendaciones, cuando lo estime conveniente, a los gobiernos de los Estados miembros para que adopten medidas progresivas en favor de los derechos humanos dentro del marco de sus leyes internas y sus</w:t>
      </w:r>
      <w:r w:rsidRPr="00B24719">
        <w:rPr>
          <w:rFonts w:ascii="Verdana" w:hAnsi="Verdana"/>
          <w:i/>
          <w:sz w:val="16"/>
          <w:szCs w:val="16"/>
          <w:lang w:val="es-ES"/>
        </w:rPr>
        <w:t xml:space="preserve"> preceptos constitucionales, al igual que disposiciones apropiadas para fomentar el debido respeto a esos derechos;</w:t>
      </w:r>
    </w:p>
    <w:p w:rsidR="001A65FF" w:rsidRPr="00B24719" w:rsidRDefault="001A65FF" w:rsidP="006F2613">
      <w:pPr>
        <w:spacing w:after="0" w:line="240" w:lineRule="auto"/>
        <w:ind w:left="0"/>
        <w:rPr>
          <w:rFonts w:ascii="Verdana" w:hAnsi="Verdana"/>
          <w:i/>
          <w:sz w:val="16"/>
          <w:szCs w:val="16"/>
          <w:lang w:val="es-ES"/>
        </w:rPr>
      </w:pPr>
      <w:r w:rsidRPr="00B24719">
        <w:rPr>
          <w:rFonts w:ascii="Verdana" w:hAnsi="Verdana"/>
          <w:i/>
          <w:sz w:val="16"/>
          <w:szCs w:val="16"/>
          <w:lang w:val="es-ES"/>
        </w:rPr>
        <w:t xml:space="preserve"> c) preparar los estudios e informes que considere convenientes para el desempeño de sus funciones;</w:t>
      </w:r>
    </w:p>
    <w:p w:rsidR="001A65FF" w:rsidRPr="00B24719" w:rsidRDefault="001A65FF" w:rsidP="006F2613">
      <w:pPr>
        <w:spacing w:after="0" w:line="240" w:lineRule="auto"/>
        <w:ind w:left="0"/>
        <w:rPr>
          <w:rFonts w:ascii="Verdana" w:hAnsi="Verdana"/>
          <w:i/>
          <w:sz w:val="16"/>
          <w:szCs w:val="16"/>
          <w:lang w:val="es-ES"/>
        </w:rPr>
      </w:pPr>
      <w:r w:rsidRPr="00B24719">
        <w:rPr>
          <w:rFonts w:ascii="Verdana" w:hAnsi="Verdana"/>
          <w:i/>
          <w:sz w:val="16"/>
          <w:szCs w:val="16"/>
          <w:lang w:val="es-ES"/>
        </w:rPr>
        <w:t xml:space="preserve"> d) solicitar de los gobiernos de los Estados miembros que le proporcionen informes sobre las medidas que adopten en materia de derechos humanos;</w:t>
      </w:r>
    </w:p>
    <w:p w:rsidR="001A65FF" w:rsidRPr="00B24719" w:rsidRDefault="001A65FF" w:rsidP="00B24719">
      <w:pPr>
        <w:spacing w:after="0" w:line="240" w:lineRule="auto"/>
        <w:ind w:left="0"/>
        <w:rPr>
          <w:rFonts w:ascii="Verdana" w:hAnsi="Verdana"/>
          <w:i/>
          <w:sz w:val="16"/>
          <w:szCs w:val="16"/>
          <w:lang w:val="es-ES"/>
        </w:rPr>
      </w:pPr>
      <w:r w:rsidRPr="00B24719">
        <w:rPr>
          <w:rFonts w:ascii="Verdana" w:hAnsi="Verdana"/>
          <w:i/>
          <w:sz w:val="16"/>
          <w:szCs w:val="16"/>
          <w:lang w:val="es-ES"/>
        </w:rPr>
        <w:t xml:space="preserve"> e) atender las consultas que, por medio de la Secretaría General de la Organización de los Estados Americanos, le formulen los Estados miembros en cuestiones relacionadas con los derechos humanos y, dentro de sus posibilidades, les prestará el asesoramiento que éstos le soliciten;</w:t>
      </w:r>
    </w:p>
    <w:p w:rsidR="001A65FF" w:rsidRPr="00B24719" w:rsidRDefault="001A65FF" w:rsidP="00B24719">
      <w:pPr>
        <w:spacing w:after="0" w:line="240" w:lineRule="auto"/>
        <w:ind w:left="0"/>
        <w:rPr>
          <w:rFonts w:ascii="Verdana" w:hAnsi="Verdana"/>
          <w:i/>
          <w:sz w:val="16"/>
          <w:szCs w:val="16"/>
          <w:lang w:val="es-ES"/>
        </w:rPr>
      </w:pPr>
      <w:r w:rsidRPr="00B24719">
        <w:rPr>
          <w:rFonts w:ascii="Verdana" w:hAnsi="Verdana"/>
          <w:i/>
          <w:sz w:val="16"/>
          <w:szCs w:val="16"/>
          <w:lang w:val="es-ES"/>
        </w:rPr>
        <w:t xml:space="preserve"> f) actuar respecto de las peticiones y otras comunicaciones en ejercicio de su autoridad de conformidad con lo dispuesto en los artículos 44 al 51 de esta Convención, y</w:t>
      </w:r>
    </w:p>
    <w:p w:rsidR="001A65FF" w:rsidRPr="00B24719" w:rsidRDefault="001A65FF" w:rsidP="00B24719">
      <w:pPr>
        <w:spacing w:after="0" w:line="240" w:lineRule="auto"/>
        <w:ind w:left="0"/>
        <w:rPr>
          <w:rFonts w:ascii="Verdana" w:hAnsi="Verdana"/>
          <w:i/>
          <w:sz w:val="16"/>
          <w:szCs w:val="16"/>
          <w:lang w:val="es-ES"/>
        </w:rPr>
      </w:pPr>
      <w:r w:rsidRPr="00B24719">
        <w:rPr>
          <w:rFonts w:ascii="Verdana" w:hAnsi="Verdana"/>
          <w:i/>
          <w:sz w:val="16"/>
          <w:szCs w:val="16"/>
          <w:lang w:val="es-ES"/>
        </w:rPr>
        <w:t xml:space="preserve"> g) rendir un informe anual a la Asamblea General de la Organización de los Estados Americanos.”</w:t>
      </w:r>
    </w:p>
    <w:p w:rsidR="001A65FF" w:rsidRPr="00B24719" w:rsidRDefault="001A65FF" w:rsidP="00B24719">
      <w:pPr>
        <w:pStyle w:val="Textonotapie"/>
        <w:jc w:val="both"/>
        <w:rPr>
          <w:rFonts w:ascii="Verdana" w:hAnsi="Verdana"/>
          <w:sz w:val="16"/>
          <w:szCs w:val="16"/>
        </w:rPr>
      </w:pPr>
    </w:p>
  </w:footnote>
  <w:footnote w:id="38">
    <w:p w:rsidR="001A65FF" w:rsidRPr="00DA20B0" w:rsidRDefault="001A65FF" w:rsidP="00B24719">
      <w:pPr>
        <w:spacing w:after="0" w:line="240" w:lineRule="auto"/>
        <w:ind w:left="0"/>
        <w:rPr>
          <w:rFonts w:ascii="Verdana" w:hAnsi="Verdana"/>
          <w:i/>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Nota 12.</w:t>
      </w:r>
    </w:p>
    <w:p w:rsidR="001A65FF" w:rsidRPr="006F2613" w:rsidRDefault="001A65FF" w:rsidP="00B24719">
      <w:pPr>
        <w:pStyle w:val="Textonotapie"/>
        <w:jc w:val="both"/>
        <w:rPr>
          <w:rFonts w:ascii="Verdana" w:hAnsi="Verdana"/>
          <w:sz w:val="16"/>
          <w:szCs w:val="16"/>
        </w:rPr>
      </w:pPr>
    </w:p>
  </w:footnote>
  <w:footnote w:id="39">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Nota, 19.</w:t>
      </w:r>
    </w:p>
    <w:p w:rsidR="001A65FF" w:rsidRPr="006F2613" w:rsidRDefault="001A65FF" w:rsidP="00B24719">
      <w:pPr>
        <w:pStyle w:val="Textonotapie"/>
        <w:jc w:val="both"/>
        <w:rPr>
          <w:rFonts w:ascii="Verdana" w:hAnsi="Verdana"/>
          <w:sz w:val="16"/>
          <w:szCs w:val="16"/>
        </w:rPr>
      </w:pPr>
    </w:p>
  </w:footnote>
  <w:footnote w:id="40">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Nota 17.</w:t>
      </w:r>
    </w:p>
    <w:p w:rsidR="001A65FF" w:rsidRPr="006F2613" w:rsidRDefault="001A65FF" w:rsidP="00B24719">
      <w:pPr>
        <w:pStyle w:val="Textonotapie"/>
        <w:jc w:val="both"/>
        <w:rPr>
          <w:rFonts w:ascii="Verdana" w:hAnsi="Verdana"/>
          <w:sz w:val="16"/>
          <w:szCs w:val="16"/>
        </w:rPr>
      </w:pPr>
    </w:p>
  </w:footnote>
  <w:footnote w:id="41">
    <w:p w:rsidR="001A65FF" w:rsidRPr="006F2613" w:rsidRDefault="001A65FF" w:rsidP="00B24719">
      <w:pPr>
        <w:ind w:left="0"/>
        <w:rPr>
          <w:rFonts w:ascii="Verdana" w:hAnsi="Verdana"/>
          <w:b/>
          <w:sz w:val="16"/>
          <w:szCs w:val="16"/>
          <w:lang w:val="es-CR"/>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r>
      <w:r w:rsidRPr="00B24719">
        <w:rPr>
          <w:rFonts w:ascii="Verdana" w:hAnsi="Verdana"/>
          <w:i/>
          <w:sz w:val="16"/>
          <w:szCs w:val="16"/>
        </w:rPr>
        <w:t>Cfr.</w:t>
      </w:r>
      <w:r w:rsidRPr="00DA20B0">
        <w:rPr>
          <w:rFonts w:ascii="Verdana" w:hAnsi="Verdana"/>
          <w:sz w:val="16"/>
          <w:szCs w:val="16"/>
        </w:rPr>
        <w:t xml:space="preserve"> </w:t>
      </w:r>
      <w:r w:rsidRPr="00DA20B0">
        <w:rPr>
          <w:rFonts w:ascii="Verdana" w:hAnsi="Verdana"/>
          <w:i/>
          <w:sz w:val="16"/>
          <w:szCs w:val="16"/>
        </w:rPr>
        <w:t xml:space="preserve">Caso Colindres Schonenberg Vs. El Salvador. </w:t>
      </w:r>
      <w:r w:rsidRPr="00DA20B0">
        <w:rPr>
          <w:rFonts w:ascii="Verdana" w:hAnsi="Verdana"/>
          <w:sz w:val="16"/>
          <w:szCs w:val="16"/>
        </w:rPr>
        <w:t>Sentencia de 4 de febrero de 2019 (Fondo, Reparaciones y Costas), Párr.129.</w:t>
      </w:r>
    </w:p>
  </w:footnote>
  <w:footnote w:id="42">
    <w:p w:rsidR="001A65FF" w:rsidRPr="006F2613" w:rsidRDefault="001A65FF" w:rsidP="00DA20B0">
      <w:pPr>
        <w:pStyle w:val="Textonotapie"/>
        <w:jc w:val="both"/>
        <w:rPr>
          <w:rFonts w:ascii="Verdana" w:hAnsi="Verdana"/>
          <w:sz w:val="16"/>
          <w:szCs w:val="16"/>
          <w:shd w:val="clear" w:color="auto" w:fill="FFFFFF"/>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r>
      <w:r w:rsidRPr="00DA20B0">
        <w:rPr>
          <w:rFonts w:ascii="Verdana" w:hAnsi="Verdana"/>
          <w:sz w:val="16"/>
          <w:szCs w:val="16"/>
          <w:shd w:val="clear" w:color="auto" w:fill="FFFFFF"/>
        </w:rPr>
        <w:t>Art.11.1 de su Estatuto:</w:t>
      </w:r>
      <w:r w:rsidRPr="00DA20B0">
        <w:rPr>
          <w:rFonts w:ascii="Verdana" w:hAnsi="Verdana"/>
          <w:sz w:val="16"/>
          <w:szCs w:val="16"/>
        </w:rPr>
        <w:t xml:space="preserve"> </w:t>
      </w:r>
      <w:r w:rsidRPr="00DA20B0">
        <w:rPr>
          <w:rFonts w:ascii="Verdana" w:hAnsi="Verdana"/>
          <w:i/>
          <w:sz w:val="16"/>
          <w:szCs w:val="16"/>
          <w:shd w:val="clear" w:color="auto" w:fill="FFFFFF"/>
        </w:rPr>
        <w:t>“Al tomar posesión de su cargo, los jueces rendirán el siguiente juramento o declaración solemne: "Juro (o declaro solemnemente) que ejerceré mis funciones de juez con honr</w:t>
      </w:r>
      <w:r w:rsidRPr="006F2613">
        <w:rPr>
          <w:rFonts w:ascii="Verdana" w:hAnsi="Verdana"/>
          <w:i/>
          <w:sz w:val="16"/>
          <w:szCs w:val="16"/>
          <w:shd w:val="clear" w:color="auto" w:fill="FFFFFF"/>
        </w:rPr>
        <w:t>adez, independencia e imparcialidad y que guardaré secreto de todas las deliberaciones”.</w:t>
      </w:r>
    </w:p>
    <w:p w:rsidR="001A65FF" w:rsidRPr="00B24719" w:rsidRDefault="001A65FF" w:rsidP="006F2613">
      <w:pPr>
        <w:pStyle w:val="Textonotapie"/>
        <w:jc w:val="both"/>
        <w:rPr>
          <w:rFonts w:ascii="Verdana" w:hAnsi="Verdana"/>
          <w:sz w:val="16"/>
          <w:szCs w:val="16"/>
          <w:shd w:val="clear" w:color="auto" w:fill="FFFFFF"/>
        </w:rPr>
      </w:pPr>
    </w:p>
  </w:footnote>
  <w:footnote w:id="43">
    <w:p w:rsidR="001A65FF" w:rsidRPr="006F2613" w:rsidRDefault="001A65FF" w:rsidP="006F2613">
      <w:pPr>
        <w:pStyle w:val="Textonotapie"/>
        <w:jc w:val="both"/>
        <w:rPr>
          <w:rFonts w:ascii="Verdana" w:hAnsi="Verdana"/>
          <w:sz w:val="16"/>
          <w:szCs w:val="16"/>
          <w:shd w:val="clear" w:color="auto" w:fill="FFFFFF"/>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 xml:space="preserve">Art.1 de su Estatuto: </w:t>
      </w:r>
      <w:r w:rsidRPr="00DA20B0">
        <w:rPr>
          <w:rFonts w:ascii="Verdana" w:hAnsi="Verdana"/>
          <w:i/>
          <w:sz w:val="16"/>
          <w:szCs w:val="16"/>
        </w:rPr>
        <w:t>“</w:t>
      </w:r>
      <w:r w:rsidRPr="00DA20B0">
        <w:rPr>
          <w:rFonts w:ascii="Verdana" w:hAnsi="Verdana"/>
          <w:i/>
          <w:sz w:val="16"/>
          <w:szCs w:val="16"/>
          <w:shd w:val="clear" w:color="auto" w:fill="FFFFFF"/>
        </w:rPr>
        <w:t>La Corte Interamericana de Derechos Humanos es una institución judicial autónoma cuyo objetivo es la aplicación e interpretación de la Conv</w:t>
      </w:r>
      <w:r w:rsidRPr="006F2613">
        <w:rPr>
          <w:rFonts w:ascii="Verdana" w:hAnsi="Verdana"/>
          <w:i/>
          <w:sz w:val="16"/>
          <w:szCs w:val="16"/>
          <w:shd w:val="clear" w:color="auto" w:fill="FFFFFF"/>
        </w:rPr>
        <w:t>ención Americana sobre Derechos Humanos. La Corte ejerce sus funciones de conformidad con las disposiciones de la citada Convención y del presente Estatuto</w:t>
      </w:r>
      <w:r w:rsidRPr="006F2613">
        <w:rPr>
          <w:rFonts w:ascii="Verdana" w:hAnsi="Verdana"/>
          <w:sz w:val="16"/>
          <w:szCs w:val="16"/>
          <w:shd w:val="clear" w:color="auto" w:fill="FFFFFF"/>
        </w:rPr>
        <w:t>.”</w:t>
      </w:r>
    </w:p>
    <w:p w:rsidR="001A65FF" w:rsidRPr="006F2613" w:rsidRDefault="001A65FF" w:rsidP="006F2613">
      <w:pPr>
        <w:pStyle w:val="Textonotapie"/>
        <w:jc w:val="both"/>
        <w:rPr>
          <w:rFonts w:ascii="Verdana" w:hAnsi="Verdana"/>
          <w:sz w:val="16"/>
          <w:szCs w:val="16"/>
        </w:rPr>
      </w:pPr>
    </w:p>
  </w:footnote>
  <w:footnote w:id="44">
    <w:p w:rsidR="001A65FF" w:rsidRPr="00DA20B0" w:rsidRDefault="001A65FF" w:rsidP="006F2613">
      <w:pPr>
        <w:spacing w:after="0" w:line="240" w:lineRule="auto"/>
        <w:ind w:left="0"/>
        <w:rPr>
          <w:rFonts w:ascii="Verdana" w:hAnsi="Verdana"/>
          <w:i/>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Preámbulo de la Convención: “</w:t>
      </w:r>
      <w:r w:rsidRPr="00DA20B0">
        <w:rPr>
          <w:rFonts w:ascii="Verdana" w:hAnsi="Verdana"/>
          <w:i/>
          <w:sz w:val="16"/>
          <w:szCs w:val="16"/>
          <w:lang w:val="es-ES"/>
        </w:rPr>
        <w:t>Reafirmando su propósito de consolidar en este Continente, dentro del cuadro de las instituciones democráticas, un régimen de libertad personal y de justicia social, fundado en el respeto de los derechos esenciales del hombre;</w:t>
      </w:r>
    </w:p>
    <w:p w:rsidR="001A65FF" w:rsidRPr="006F2613" w:rsidRDefault="001A65FF" w:rsidP="006F2613">
      <w:pPr>
        <w:spacing w:after="0" w:line="240" w:lineRule="auto"/>
        <w:ind w:left="0"/>
        <w:rPr>
          <w:rFonts w:ascii="Verdana" w:hAnsi="Verdana"/>
          <w:i/>
          <w:sz w:val="16"/>
          <w:szCs w:val="16"/>
          <w:lang w:val="es-ES"/>
        </w:rPr>
      </w:pPr>
      <w:r w:rsidRPr="006F2613">
        <w:rPr>
          <w:rFonts w:ascii="Verdana" w:hAnsi="Verdana"/>
          <w:i/>
          <w:sz w:val="16"/>
          <w:szCs w:val="16"/>
          <w:lang w:val="es-ES"/>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p w:rsidR="001A65FF" w:rsidRPr="006F2613" w:rsidRDefault="001A65FF" w:rsidP="00B24719">
      <w:pPr>
        <w:spacing w:after="0" w:line="240" w:lineRule="auto"/>
        <w:ind w:left="0"/>
        <w:rPr>
          <w:rFonts w:ascii="Verdana" w:hAnsi="Verdana"/>
          <w:i/>
          <w:sz w:val="16"/>
          <w:szCs w:val="16"/>
          <w:lang w:val="es-ES"/>
        </w:rPr>
      </w:pPr>
      <w:r w:rsidRPr="006F2613">
        <w:rPr>
          <w:rFonts w:ascii="Verdana" w:hAnsi="Verdana"/>
          <w:i/>
          <w:sz w:val="16"/>
          <w:szCs w:val="16"/>
          <w:lang w:val="es-ES"/>
        </w:rPr>
        <w:t>Considerando que estos principios han sido consagrados en la Carta de la Organización de los Estados Americanos, en la</w:t>
      </w:r>
    </w:p>
    <w:p w:rsidR="001A65FF" w:rsidRPr="00B24719" w:rsidRDefault="001A65FF" w:rsidP="00B24719">
      <w:pPr>
        <w:spacing w:after="0" w:line="240" w:lineRule="auto"/>
        <w:ind w:left="0"/>
        <w:rPr>
          <w:rFonts w:ascii="Verdana" w:hAnsi="Verdana"/>
          <w:i/>
          <w:sz w:val="16"/>
          <w:szCs w:val="16"/>
          <w:lang w:val="es-ES"/>
        </w:rPr>
      </w:pPr>
      <w:r w:rsidRPr="006F2613">
        <w:rPr>
          <w:rFonts w:ascii="Verdana" w:hAnsi="Verdana"/>
          <w:i/>
          <w:sz w:val="16"/>
          <w:szCs w:val="16"/>
          <w:lang w:val="es-ES"/>
        </w:rPr>
        <w:t>Declaración Americana de los Derechos y Deberes del Hombre y en la Declaración Universal de los Derechos Humanos que han sido reafi</w:t>
      </w:r>
      <w:r w:rsidRPr="00B24719">
        <w:rPr>
          <w:rFonts w:ascii="Verdana" w:hAnsi="Verdana"/>
          <w:i/>
          <w:sz w:val="16"/>
          <w:szCs w:val="16"/>
          <w:lang w:val="es-ES"/>
        </w:rPr>
        <w:t>rmados y desarrollados en otros instrumentos internacionales, tanto de ámbito universal como regional;</w:t>
      </w:r>
    </w:p>
    <w:p w:rsidR="001A65FF" w:rsidRPr="00B24719" w:rsidRDefault="001A65FF" w:rsidP="00B24719">
      <w:pPr>
        <w:spacing w:after="0" w:line="240" w:lineRule="auto"/>
        <w:ind w:left="0"/>
        <w:rPr>
          <w:rFonts w:ascii="Verdana" w:hAnsi="Verdana"/>
          <w:i/>
          <w:sz w:val="16"/>
          <w:szCs w:val="16"/>
          <w:lang w:val="es-ES"/>
        </w:rPr>
      </w:pPr>
      <w:r w:rsidRPr="00B24719">
        <w:rPr>
          <w:rFonts w:ascii="Verdana" w:hAnsi="Verdana"/>
          <w:i/>
          <w:sz w:val="16"/>
          <w:szCs w:val="16"/>
          <w:lang w:val="es-ES"/>
        </w:rPr>
        <w:t>Reiterando que, con arreglo a la Declaración Universal de los Derechos Humanos, sólo puede realizarse el ideal del ser humano libre, exento del temor y de la miseria, si se crean condiciones que permitan a cada persona gozar de sus derechos económicos, sociales y culturales, tanto como de sus derechos civiles y políticos, y</w:t>
      </w:r>
    </w:p>
    <w:p w:rsidR="001A65FF" w:rsidRPr="00B24719" w:rsidRDefault="001A65FF" w:rsidP="00B24719">
      <w:pPr>
        <w:spacing w:after="0" w:line="240" w:lineRule="auto"/>
        <w:ind w:left="0"/>
        <w:rPr>
          <w:rFonts w:ascii="Verdana" w:hAnsi="Verdana"/>
          <w:i/>
          <w:sz w:val="16"/>
          <w:szCs w:val="16"/>
          <w:lang w:val="es-ES"/>
        </w:rPr>
      </w:pPr>
      <w:r w:rsidRPr="00B24719">
        <w:rPr>
          <w:rFonts w:ascii="Verdana" w:hAnsi="Verdana"/>
          <w:i/>
          <w:sz w:val="16"/>
          <w:szCs w:val="16"/>
          <w:lang w:val="es-ES"/>
        </w:rPr>
        <w:t>Considerando que la Tercera Conferencia Interamericana Extraordinaria (Buenos Aires, 1967) aprobó la incorporación a la propia Carta de la Organización de normas más amplias sobre derechos económicos, sociales y educacionales y resolvió que una convención interamericana sobre derechos humanos determinara la estructura, competencia y procedimiento de los órganos encargados de esa materia,”</w:t>
      </w:r>
    </w:p>
    <w:p w:rsidR="001A65FF" w:rsidRPr="00B24719" w:rsidRDefault="001A65FF" w:rsidP="00B24719">
      <w:pPr>
        <w:pStyle w:val="Textonotapie"/>
        <w:jc w:val="both"/>
        <w:rPr>
          <w:rFonts w:ascii="Verdana" w:hAnsi="Verdana"/>
          <w:sz w:val="16"/>
          <w:szCs w:val="16"/>
        </w:rPr>
      </w:pPr>
    </w:p>
  </w:footnote>
  <w:footnote w:id="45">
    <w:p w:rsidR="001A65FF" w:rsidRPr="00DA20B0" w:rsidRDefault="001A65FF" w:rsidP="00B24719">
      <w:pPr>
        <w:pStyle w:val="Textonotapie"/>
        <w:jc w:val="both"/>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 xml:space="preserve">Nota 12. </w:t>
      </w:r>
    </w:p>
    <w:p w:rsidR="001A65FF" w:rsidRPr="006F2613" w:rsidRDefault="001A65FF" w:rsidP="00B24719">
      <w:pPr>
        <w:pStyle w:val="Textonotapie"/>
        <w:jc w:val="both"/>
        <w:rPr>
          <w:rFonts w:ascii="Verdana" w:hAnsi="Verdana"/>
          <w:sz w:val="16"/>
          <w:szCs w:val="16"/>
        </w:rPr>
      </w:pPr>
    </w:p>
  </w:footnote>
  <w:footnote w:id="46">
    <w:p w:rsidR="001A65FF" w:rsidRPr="00DA20B0" w:rsidRDefault="001A65FF" w:rsidP="00B24719">
      <w:pPr>
        <w:spacing w:after="0" w:line="240" w:lineRule="auto"/>
        <w:ind w:left="0"/>
        <w:rPr>
          <w:rFonts w:ascii="Verdana" w:hAnsi="Verdana"/>
          <w:i/>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Nota 44.</w:t>
      </w:r>
    </w:p>
    <w:p w:rsidR="001A65FF" w:rsidRPr="006F2613" w:rsidRDefault="001A65FF" w:rsidP="00B24719">
      <w:pPr>
        <w:pStyle w:val="Textonotapie"/>
        <w:tabs>
          <w:tab w:val="left" w:pos="1105"/>
        </w:tabs>
        <w:jc w:val="both"/>
        <w:rPr>
          <w:rFonts w:ascii="Verdana" w:hAnsi="Verdana"/>
          <w:sz w:val="16"/>
          <w:szCs w:val="16"/>
        </w:rPr>
      </w:pPr>
      <w:r w:rsidRPr="006F2613">
        <w:rPr>
          <w:rFonts w:ascii="Verdana" w:hAnsi="Verdana"/>
          <w:sz w:val="16"/>
          <w:szCs w:val="16"/>
        </w:rPr>
        <w:tab/>
      </w:r>
    </w:p>
  </w:footnote>
  <w:footnote w:id="47">
    <w:p w:rsidR="001A65FF" w:rsidRPr="00DA20B0" w:rsidRDefault="001A65FF" w:rsidP="00B24719">
      <w:pPr>
        <w:spacing w:line="240" w:lineRule="auto"/>
        <w:ind w:left="0"/>
        <w:rPr>
          <w:rFonts w:ascii="Verdana" w:hAnsi="Verdana"/>
          <w:i/>
          <w:sz w:val="16"/>
          <w:szCs w:val="16"/>
          <w:lang w:val="es-ES"/>
        </w:rPr>
      </w:pPr>
      <w:r w:rsidRPr="00DA20B0">
        <w:rPr>
          <w:rStyle w:val="Refdenotaalpie"/>
          <w:rFonts w:ascii="Verdana" w:hAnsi="Verdana"/>
          <w:i/>
          <w:sz w:val="16"/>
          <w:szCs w:val="16"/>
        </w:rPr>
        <w:footnoteRef/>
      </w:r>
      <w:r w:rsidRPr="00DA20B0">
        <w:rPr>
          <w:rFonts w:ascii="Verdana" w:hAnsi="Verdana"/>
          <w:i/>
          <w:sz w:val="16"/>
          <w:szCs w:val="16"/>
        </w:rPr>
        <w:t xml:space="preserve"> </w:t>
      </w:r>
      <w:r w:rsidRPr="00DA20B0">
        <w:rPr>
          <w:rFonts w:ascii="Verdana" w:hAnsi="Verdana"/>
          <w:i/>
          <w:sz w:val="16"/>
          <w:szCs w:val="16"/>
        </w:rPr>
        <w:tab/>
      </w:r>
      <w:r w:rsidRPr="00DA20B0">
        <w:rPr>
          <w:rFonts w:ascii="Verdana" w:hAnsi="Verdana"/>
          <w:sz w:val="16"/>
          <w:szCs w:val="16"/>
          <w:lang w:val="es-ES"/>
        </w:rPr>
        <w:t>Nota 12.</w:t>
      </w:r>
    </w:p>
  </w:footnote>
  <w:footnote w:id="48">
    <w:p w:rsidR="001A65FF" w:rsidRPr="00DA20B0" w:rsidRDefault="001A65FF" w:rsidP="00B24719">
      <w:pPr>
        <w:pStyle w:val="Textonotapie"/>
        <w:spacing w:after="120"/>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Nota 19.</w:t>
      </w:r>
    </w:p>
  </w:footnote>
  <w:footnote w:id="49">
    <w:p w:rsidR="001A65FF" w:rsidRPr="006F2613" w:rsidRDefault="001A65FF" w:rsidP="00DA20B0">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w:t>
      </w:r>
      <w:r w:rsidRPr="00DA20B0">
        <w:rPr>
          <w:rFonts w:ascii="Verdana" w:hAnsi="Verdana"/>
          <w:i/>
          <w:sz w:val="16"/>
          <w:szCs w:val="16"/>
        </w:rPr>
        <w:t>La Corte cree necesario decir que el primer deber de un Tribunal llamado a interpretar y aplicar las disposiciones de un tratado, es esforzarse</w:t>
      </w:r>
      <w:r w:rsidRPr="006F2613">
        <w:rPr>
          <w:rFonts w:ascii="Verdana" w:hAnsi="Verdana"/>
          <w:i/>
          <w:sz w:val="16"/>
          <w:szCs w:val="16"/>
        </w:rPr>
        <w:t xml:space="preserve"> para dar efecto, según su sentido natural y ordinario a estas disposiciones. Si las palabras pertinentes, cuando se les atribuye su sentido natural y corriente, tienen sentido en su contexto, no hay que investigar más</w:t>
      </w:r>
      <w:r w:rsidRPr="006F2613">
        <w:rPr>
          <w:rFonts w:ascii="Verdana" w:hAnsi="Verdana"/>
          <w:sz w:val="16"/>
          <w:szCs w:val="16"/>
        </w:rPr>
        <w:t>”. Corte Internacional de Justicia. “Opinión Consultiva sobre el asunto de la Competencia de la Asamblea General para la Admisión de un Estado en las Naciones Unidas”. 1950. p. 8.</w:t>
      </w:r>
    </w:p>
    <w:p w:rsidR="001A65FF" w:rsidRPr="006F2613" w:rsidRDefault="001A65FF" w:rsidP="006F2613">
      <w:pPr>
        <w:pStyle w:val="Textonotapie"/>
        <w:jc w:val="both"/>
        <w:rPr>
          <w:rFonts w:ascii="Verdana" w:hAnsi="Verdana"/>
          <w:sz w:val="16"/>
          <w:szCs w:val="16"/>
        </w:rPr>
      </w:pPr>
    </w:p>
  </w:footnote>
  <w:footnote w:id="50">
    <w:p w:rsidR="001A65FF" w:rsidRPr="00DA20B0" w:rsidRDefault="001A65FF" w:rsidP="006F2613">
      <w:pPr>
        <w:spacing w:after="0" w:line="240" w:lineRule="auto"/>
        <w:ind w:left="0"/>
        <w:rPr>
          <w:rFonts w:ascii="Verdana" w:hAnsi="Verdana"/>
          <w:i/>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r>
      <w:r w:rsidRPr="00DA20B0">
        <w:rPr>
          <w:rFonts w:ascii="Verdana" w:hAnsi="Verdana"/>
          <w:sz w:val="16"/>
          <w:szCs w:val="16"/>
          <w:lang w:val="es-ES"/>
        </w:rPr>
        <w:t>Art. 29: “</w:t>
      </w:r>
      <w:r w:rsidRPr="00DA20B0">
        <w:rPr>
          <w:rFonts w:ascii="Verdana" w:hAnsi="Verdana"/>
          <w:i/>
          <w:sz w:val="16"/>
          <w:szCs w:val="16"/>
          <w:lang w:val="es-ES"/>
        </w:rPr>
        <w:t>Normas de Interpretación. Ninguna disposición de la presente Convención puede ser interpretada en el sentido de: a) permitir a alguno de los Estados Partes, grupo o persona, suprimir el goce y ejercicio de los derechos y libertades reconocidos en la Convención o limitarlos en mayor medida que la prevista en ella;</w:t>
      </w:r>
    </w:p>
    <w:p w:rsidR="001A65FF" w:rsidRPr="006F2613" w:rsidRDefault="001A65FF" w:rsidP="006F2613">
      <w:pPr>
        <w:spacing w:after="0" w:line="240" w:lineRule="auto"/>
        <w:ind w:left="0"/>
        <w:rPr>
          <w:rFonts w:ascii="Verdana" w:hAnsi="Verdana"/>
          <w:i/>
          <w:sz w:val="16"/>
          <w:szCs w:val="16"/>
          <w:lang w:val="es-ES"/>
        </w:rPr>
      </w:pPr>
      <w:r w:rsidRPr="006F2613">
        <w:rPr>
          <w:rFonts w:ascii="Verdana" w:hAnsi="Verdana"/>
          <w:i/>
          <w:sz w:val="16"/>
          <w:szCs w:val="16"/>
          <w:lang w:val="es-ES"/>
        </w:rPr>
        <w:t xml:space="preserve"> b) limitar el goce y ejercicio de cualquier derecho o libertad que pueda estar reconocido de acuerdo con las leyes de cualquiera de los Estados Partes o de acuerdo con otra convención en que sea parte uno de dichos Estados;</w:t>
      </w:r>
    </w:p>
    <w:p w:rsidR="001A65FF" w:rsidRPr="006F2613" w:rsidRDefault="001A65FF" w:rsidP="006F2613">
      <w:pPr>
        <w:spacing w:after="0" w:line="240" w:lineRule="auto"/>
        <w:ind w:left="0"/>
        <w:rPr>
          <w:rFonts w:ascii="Verdana" w:hAnsi="Verdana"/>
          <w:i/>
          <w:sz w:val="16"/>
          <w:szCs w:val="16"/>
          <w:lang w:val="es-ES"/>
        </w:rPr>
      </w:pPr>
      <w:r w:rsidRPr="006F2613">
        <w:rPr>
          <w:rFonts w:ascii="Verdana" w:hAnsi="Verdana"/>
          <w:i/>
          <w:sz w:val="16"/>
          <w:szCs w:val="16"/>
          <w:lang w:val="es-ES"/>
        </w:rPr>
        <w:t xml:space="preserve"> c) excluir otros derechos y garantías que son inherentes al ser humano o que se derivan de la forma democrática representativa de gobierno, y</w:t>
      </w:r>
    </w:p>
    <w:p w:rsidR="001A65FF" w:rsidRPr="00B24719" w:rsidRDefault="001A65FF" w:rsidP="006F2613">
      <w:pPr>
        <w:spacing w:after="0" w:line="240" w:lineRule="auto"/>
        <w:ind w:left="0"/>
        <w:rPr>
          <w:rFonts w:ascii="Verdana" w:hAnsi="Verdana"/>
          <w:sz w:val="16"/>
          <w:szCs w:val="16"/>
          <w:lang w:val="es-ES"/>
        </w:rPr>
      </w:pPr>
      <w:r w:rsidRPr="006F2613">
        <w:rPr>
          <w:rFonts w:ascii="Verdana" w:hAnsi="Verdana"/>
          <w:i/>
          <w:sz w:val="16"/>
          <w:szCs w:val="16"/>
          <w:lang w:val="es-ES"/>
        </w:rPr>
        <w:t xml:space="preserve"> d) excluir o limitar el efecto que puedan producir la Declaración Americana de Derechos y Deberes del Hombre y otros actos internacionales de la misma naturaleza</w:t>
      </w:r>
      <w:r w:rsidRPr="00B24719">
        <w:rPr>
          <w:rFonts w:ascii="Verdana" w:hAnsi="Verdana"/>
          <w:sz w:val="16"/>
          <w:szCs w:val="16"/>
          <w:lang w:val="es-ES"/>
        </w:rPr>
        <w:t>.</w:t>
      </w:r>
    </w:p>
    <w:p w:rsidR="001A65FF" w:rsidRPr="00B24719" w:rsidRDefault="001A65FF" w:rsidP="00B24719">
      <w:pPr>
        <w:pStyle w:val="Textonotapie"/>
        <w:jc w:val="both"/>
        <w:rPr>
          <w:rFonts w:ascii="Verdana" w:hAnsi="Verdana"/>
          <w:sz w:val="16"/>
          <w:szCs w:val="16"/>
        </w:rPr>
      </w:pPr>
    </w:p>
  </w:footnote>
  <w:footnote w:id="51">
    <w:p w:rsidR="001A65FF" w:rsidRPr="00DA20B0" w:rsidRDefault="001A65FF" w:rsidP="00DA20B0">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 xml:space="preserve">Párrafo 36 de la Sentencia. </w:t>
      </w:r>
    </w:p>
    <w:p w:rsidR="001A65FF" w:rsidRPr="006F2613" w:rsidRDefault="001A65FF" w:rsidP="006F2613">
      <w:pPr>
        <w:pStyle w:val="Textonotapie"/>
        <w:jc w:val="both"/>
        <w:rPr>
          <w:rFonts w:ascii="Verdana" w:hAnsi="Verdana"/>
          <w:sz w:val="16"/>
          <w:szCs w:val="16"/>
        </w:rPr>
      </w:pPr>
    </w:p>
  </w:footnote>
  <w:footnote w:id="52">
    <w:p w:rsidR="001A65FF" w:rsidRPr="00DA20B0" w:rsidRDefault="001A65FF" w:rsidP="006F2613">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En adelante, cada vez que se haga referencia a “</w:t>
      </w:r>
      <w:r w:rsidRPr="00DA20B0">
        <w:rPr>
          <w:rFonts w:ascii="Verdana" w:hAnsi="Verdana"/>
          <w:i/>
          <w:sz w:val="16"/>
          <w:szCs w:val="16"/>
        </w:rPr>
        <w:t xml:space="preserve">Párr. </w:t>
      </w:r>
      <w:r w:rsidRPr="00DA20B0">
        <w:rPr>
          <w:rFonts w:ascii="Verdana" w:hAnsi="Verdana"/>
          <w:sz w:val="16"/>
          <w:szCs w:val="16"/>
        </w:rPr>
        <w:t>” o “Párrs.”, se entenderá que lo es al párrafo pertinente o a los párrafos que correspondan, de la Sentencia.</w:t>
      </w:r>
    </w:p>
    <w:p w:rsidR="001A65FF" w:rsidRPr="006F2613" w:rsidRDefault="001A65FF" w:rsidP="006F2613">
      <w:pPr>
        <w:pStyle w:val="Textonotapie"/>
        <w:jc w:val="both"/>
        <w:rPr>
          <w:rFonts w:ascii="Verdana" w:hAnsi="Verdana"/>
          <w:sz w:val="16"/>
          <w:szCs w:val="16"/>
        </w:rPr>
      </w:pPr>
    </w:p>
  </w:footnote>
  <w:footnote w:id="53">
    <w:p w:rsidR="001A65FF" w:rsidRPr="00DA20B0" w:rsidRDefault="001A65FF" w:rsidP="006F2613">
      <w:pPr>
        <w:spacing w:after="0" w:line="240" w:lineRule="auto"/>
        <w:ind w:left="0"/>
        <w:rPr>
          <w:rFonts w:ascii="Verdana" w:hAnsi="Verdana"/>
          <w:i/>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r>
      <w:r w:rsidRPr="00DA20B0">
        <w:rPr>
          <w:rFonts w:ascii="Verdana" w:hAnsi="Verdana"/>
          <w:sz w:val="16"/>
          <w:szCs w:val="16"/>
          <w:lang w:val="es-ES"/>
        </w:rPr>
        <w:t>Art. 31.</w:t>
      </w:r>
      <w:r w:rsidRPr="00DA20B0">
        <w:rPr>
          <w:rFonts w:ascii="Verdana" w:hAnsi="Verdana"/>
          <w:i/>
          <w:sz w:val="16"/>
          <w:szCs w:val="16"/>
          <w:lang w:val="es-ES"/>
        </w:rPr>
        <w:t xml:space="preserve"> “Regla general de interpretación. I. Un tratado deberá interpretarse de buena fe conforme al sentido corriente que haya de atribuirse a los términos del tratado en el contexto de estos y teniendo en cuenta su objeto y fin. </w:t>
      </w:r>
    </w:p>
    <w:p w:rsidR="001A65FF" w:rsidRPr="006F2613" w:rsidRDefault="001A65FF" w:rsidP="00B24719">
      <w:pPr>
        <w:spacing w:after="0" w:line="240" w:lineRule="auto"/>
        <w:ind w:left="0"/>
        <w:rPr>
          <w:rFonts w:ascii="Verdana" w:hAnsi="Verdana"/>
          <w:i/>
          <w:sz w:val="16"/>
          <w:szCs w:val="16"/>
          <w:lang w:val="es-ES"/>
        </w:rPr>
      </w:pPr>
      <w:r w:rsidRPr="006F2613">
        <w:rPr>
          <w:rFonts w:ascii="Verdana" w:hAnsi="Verdana"/>
          <w:i/>
          <w:sz w:val="16"/>
          <w:szCs w:val="16"/>
          <w:lang w:val="es-ES"/>
        </w:rPr>
        <w:t xml:space="preserve">2. Para los efectos de la interpretación de un tratado. el contexto comprenderá, además del texto, incluidos su preámbulo y anexos: </w:t>
      </w:r>
    </w:p>
    <w:p w:rsidR="001A65FF" w:rsidRPr="00B24719" w:rsidRDefault="001A65FF" w:rsidP="00B24719">
      <w:pPr>
        <w:spacing w:after="0" w:line="240" w:lineRule="auto"/>
        <w:ind w:left="0"/>
        <w:rPr>
          <w:rFonts w:ascii="Verdana" w:hAnsi="Verdana"/>
          <w:i/>
          <w:sz w:val="16"/>
          <w:szCs w:val="16"/>
          <w:lang w:val="es-ES"/>
        </w:rPr>
      </w:pPr>
      <w:r w:rsidRPr="006F2613">
        <w:rPr>
          <w:rFonts w:ascii="Verdana" w:hAnsi="Verdana"/>
          <w:i/>
          <w:sz w:val="16"/>
          <w:szCs w:val="16"/>
          <w:lang w:val="es-ES"/>
        </w:rPr>
        <w:t xml:space="preserve">a) todo acuerdo que se refiera al tratado y haya sido concertado entre todas las partes con motivo de la celebración del tratado: </w:t>
      </w:r>
    </w:p>
    <w:p w:rsidR="001A65FF" w:rsidRPr="00B24719" w:rsidRDefault="001A65FF" w:rsidP="00B24719">
      <w:pPr>
        <w:spacing w:after="0" w:line="240" w:lineRule="auto"/>
        <w:ind w:left="0"/>
        <w:rPr>
          <w:rFonts w:ascii="Verdana" w:hAnsi="Verdana"/>
          <w:i/>
          <w:sz w:val="16"/>
          <w:szCs w:val="16"/>
          <w:lang w:val="es-ES"/>
        </w:rPr>
      </w:pPr>
      <w:r w:rsidRPr="00B24719">
        <w:rPr>
          <w:rFonts w:ascii="Verdana" w:hAnsi="Verdana"/>
          <w:i/>
          <w:sz w:val="16"/>
          <w:szCs w:val="16"/>
          <w:lang w:val="es-ES"/>
        </w:rPr>
        <w:t xml:space="preserve">b) todo instrumento formulado por una o más partes con motivo de la celebración del tratado y aceptado por las demás como instrumento referente al tratado; </w:t>
      </w:r>
    </w:p>
    <w:p w:rsidR="001A65FF" w:rsidRPr="00B24719" w:rsidRDefault="001A65FF" w:rsidP="00B24719">
      <w:pPr>
        <w:spacing w:after="0" w:line="240" w:lineRule="auto"/>
        <w:ind w:left="0"/>
        <w:rPr>
          <w:rFonts w:ascii="Verdana" w:hAnsi="Verdana"/>
          <w:i/>
          <w:sz w:val="16"/>
          <w:szCs w:val="16"/>
          <w:lang w:val="es-ES"/>
        </w:rPr>
      </w:pPr>
      <w:r w:rsidRPr="00B24719">
        <w:rPr>
          <w:rFonts w:ascii="Verdana" w:hAnsi="Verdana"/>
          <w:i/>
          <w:sz w:val="16"/>
          <w:szCs w:val="16"/>
          <w:lang w:val="es-ES"/>
        </w:rPr>
        <w:t xml:space="preserve">3. Juntamente con el contexto, habrá de tenerse en cuenta: </w:t>
      </w:r>
    </w:p>
    <w:p w:rsidR="001A65FF" w:rsidRPr="00B24719" w:rsidRDefault="001A65FF" w:rsidP="00B24719">
      <w:pPr>
        <w:spacing w:after="0" w:line="240" w:lineRule="auto"/>
        <w:ind w:left="0"/>
        <w:rPr>
          <w:rFonts w:ascii="Verdana" w:hAnsi="Verdana"/>
          <w:i/>
          <w:sz w:val="16"/>
          <w:szCs w:val="16"/>
          <w:lang w:val="es-ES"/>
        </w:rPr>
      </w:pPr>
      <w:r w:rsidRPr="00B24719">
        <w:rPr>
          <w:rFonts w:ascii="Verdana" w:hAnsi="Verdana"/>
          <w:i/>
          <w:sz w:val="16"/>
          <w:szCs w:val="16"/>
          <w:lang w:val="es-ES"/>
        </w:rPr>
        <w:t xml:space="preserve">a) todo acuerdo ulterior entre las partes acerca de la interpretación del tratado o de la aplicación de sus disposiciones: </w:t>
      </w:r>
    </w:p>
    <w:p w:rsidR="001A65FF" w:rsidRPr="00B24719" w:rsidRDefault="001A65FF" w:rsidP="00B24719">
      <w:pPr>
        <w:spacing w:after="0" w:line="240" w:lineRule="auto"/>
        <w:ind w:left="0"/>
        <w:rPr>
          <w:rFonts w:ascii="Verdana" w:hAnsi="Verdana"/>
          <w:i/>
          <w:sz w:val="16"/>
          <w:szCs w:val="16"/>
          <w:lang w:val="es-ES"/>
        </w:rPr>
      </w:pPr>
      <w:r w:rsidRPr="00B24719">
        <w:rPr>
          <w:rFonts w:ascii="Verdana" w:hAnsi="Verdana"/>
          <w:i/>
          <w:sz w:val="16"/>
          <w:szCs w:val="16"/>
          <w:lang w:val="es-ES"/>
        </w:rPr>
        <w:t xml:space="preserve">b) toda práctica ulteriormente seguida en la aplicación del tratado por la cual conste el acuerdo de las partes acerca de la interpretación del tratado: </w:t>
      </w:r>
    </w:p>
    <w:p w:rsidR="001A65FF" w:rsidRPr="00B24719" w:rsidRDefault="001A65FF" w:rsidP="00B24719">
      <w:pPr>
        <w:spacing w:after="0" w:line="240" w:lineRule="auto"/>
        <w:ind w:left="0"/>
        <w:rPr>
          <w:rFonts w:ascii="Verdana" w:hAnsi="Verdana"/>
          <w:i/>
          <w:sz w:val="16"/>
          <w:szCs w:val="16"/>
          <w:lang w:val="es-ES"/>
        </w:rPr>
      </w:pPr>
      <w:r w:rsidRPr="00B24719">
        <w:rPr>
          <w:rFonts w:ascii="Verdana" w:hAnsi="Verdana"/>
          <w:i/>
          <w:sz w:val="16"/>
          <w:szCs w:val="16"/>
          <w:lang w:val="es-ES"/>
        </w:rPr>
        <w:t xml:space="preserve">c) toda norma pertinente de derecho internacional aplicable en las relaciones entre las partes. </w:t>
      </w:r>
    </w:p>
    <w:p w:rsidR="001A65FF" w:rsidRPr="00B24719" w:rsidRDefault="001A65FF" w:rsidP="00B24719">
      <w:pPr>
        <w:spacing w:after="0" w:line="240" w:lineRule="auto"/>
        <w:ind w:left="0"/>
        <w:rPr>
          <w:rFonts w:ascii="Verdana" w:hAnsi="Verdana"/>
          <w:i/>
          <w:sz w:val="16"/>
          <w:szCs w:val="16"/>
          <w:lang w:val="es-ES"/>
        </w:rPr>
      </w:pPr>
      <w:r w:rsidRPr="00B24719">
        <w:rPr>
          <w:rFonts w:ascii="Verdana" w:hAnsi="Verdana"/>
          <w:i/>
          <w:sz w:val="16"/>
          <w:szCs w:val="16"/>
          <w:lang w:val="es-ES"/>
        </w:rPr>
        <w:t>4. Se dará a un término un sentido especial si consta que tal fue la intención de las partes.</w:t>
      </w:r>
    </w:p>
    <w:p w:rsidR="001A65FF" w:rsidRPr="00B24719" w:rsidRDefault="001A65FF" w:rsidP="00B24719">
      <w:pPr>
        <w:spacing w:after="0" w:line="240" w:lineRule="auto"/>
        <w:ind w:left="0"/>
        <w:rPr>
          <w:rFonts w:ascii="Verdana" w:hAnsi="Verdana"/>
          <w:i/>
          <w:sz w:val="16"/>
          <w:szCs w:val="16"/>
          <w:lang w:val="es-ES"/>
        </w:rPr>
      </w:pPr>
      <w:r w:rsidRPr="00B24719">
        <w:rPr>
          <w:rFonts w:ascii="Verdana" w:hAnsi="Verdana" w:cs="Times New Roman"/>
          <w:bCs/>
          <w:i/>
          <w:sz w:val="16"/>
          <w:szCs w:val="16"/>
        </w:rPr>
        <w:t xml:space="preserve">Artículo 32. “Medios de interpretación complementarios. </w:t>
      </w:r>
      <w:r w:rsidRPr="00B24719">
        <w:rPr>
          <w:rFonts w:ascii="Verdana" w:hAnsi="Verdana" w:cs="Times New Roman"/>
          <w:i/>
          <w:sz w:val="16"/>
          <w:szCs w:val="16"/>
        </w:rPr>
        <w:t>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 conformidad con el artículo 31:</w:t>
      </w:r>
    </w:p>
    <w:p w:rsidR="001A65FF" w:rsidRPr="00B24719" w:rsidRDefault="001A65FF" w:rsidP="00B24719">
      <w:pPr>
        <w:autoSpaceDE w:val="0"/>
        <w:autoSpaceDN w:val="0"/>
        <w:adjustRightInd w:val="0"/>
        <w:spacing w:after="0" w:line="240" w:lineRule="auto"/>
        <w:ind w:left="0"/>
        <w:rPr>
          <w:rFonts w:ascii="Verdana" w:hAnsi="Verdana" w:cs="Times New Roman"/>
          <w:i/>
          <w:sz w:val="16"/>
          <w:szCs w:val="16"/>
        </w:rPr>
      </w:pPr>
      <w:r w:rsidRPr="00B24719">
        <w:rPr>
          <w:rFonts w:ascii="Verdana" w:hAnsi="Verdana" w:cs="Times New Roman"/>
          <w:i/>
          <w:sz w:val="16"/>
          <w:szCs w:val="16"/>
        </w:rPr>
        <w:t>a) deje ambiguo u oscuro el sentido; o</w:t>
      </w:r>
    </w:p>
    <w:p w:rsidR="001A65FF" w:rsidRPr="00B24719" w:rsidRDefault="001A65FF" w:rsidP="00B24719">
      <w:pPr>
        <w:spacing w:after="0" w:line="240" w:lineRule="auto"/>
        <w:ind w:left="0"/>
        <w:rPr>
          <w:rFonts w:ascii="Verdana" w:hAnsi="Verdana" w:cs="Times New Roman"/>
          <w:i/>
          <w:sz w:val="16"/>
          <w:szCs w:val="16"/>
        </w:rPr>
      </w:pPr>
      <w:r w:rsidRPr="00B24719">
        <w:rPr>
          <w:rFonts w:ascii="Verdana" w:hAnsi="Verdana" w:cs="Times New Roman"/>
          <w:i/>
          <w:sz w:val="16"/>
          <w:szCs w:val="16"/>
        </w:rPr>
        <w:t>b) conduzca a un resultado manifiestamente absurdo o irrazonable.”</w:t>
      </w:r>
    </w:p>
    <w:p w:rsidR="001A65FF" w:rsidRPr="00B24719" w:rsidRDefault="001A65FF" w:rsidP="00B24719">
      <w:pPr>
        <w:spacing w:after="0" w:line="240" w:lineRule="auto"/>
        <w:ind w:left="0"/>
        <w:rPr>
          <w:rFonts w:ascii="Verdana" w:hAnsi="Verdana"/>
          <w:i/>
          <w:sz w:val="16"/>
          <w:szCs w:val="16"/>
          <w:lang w:val="es-ES"/>
        </w:rPr>
      </w:pPr>
    </w:p>
  </w:footnote>
  <w:footnote w:id="54">
    <w:p w:rsidR="001A65FF" w:rsidRPr="00DA20B0" w:rsidRDefault="001A65FF" w:rsidP="00B24719">
      <w:pPr>
        <w:pStyle w:val="Textonotapie"/>
        <w:jc w:val="both"/>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lang w:val="es-ES"/>
        </w:rPr>
        <w:t xml:space="preserve"> </w:t>
      </w:r>
      <w:r w:rsidRPr="00DA20B0">
        <w:rPr>
          <w:rFonts w:ascii="Verdana" w:hAnsi="Verdana"/>
          <w:sz w:val="16"/>
          <w:szCs w:val="16"/>
          <w:lang w:val="es-ES"/>
        </w:rPr>
        <w:tab/>
        <w:t>Nota 53.</w:t>
      </w:r>
    </w:p>
    <w:p w:rsidR="001A65FF" w:rsidRPr="006F2613" w:rsidRDefault="001A65FF" w:rsidP="00B24719">
      <w:pPr>
        <w:pStyle w:val="Textonotapie"/>
        <w:jc w:val="both"/>
        <w:rPr>
          <w:rFonts w:ascii="Verdana" w:hAnsi="Verdana"/>
          <w:i/>
          <w:sz w:val="16"/>
          <w:szCs w:val="16"/>
          <w:lang w:val="es-ES"/>
        </w:rPr>
      </w:pPr>
    </w:p>
  </w:footnote>
  <w:footnote w:id="55">
    <w:p w:rsidR="001A65FF" w:rsidRPr="00B24719" w:rsidRDefault="001A65FF" w:rsidP="00B24719">
      <w:pPr>
        <w:spacing w:line="240" w:lineRule="auto"/>
        <w:ind w:left="0"/>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Párr.1. “</w:t>
      </w:r>
      <w:r w:rsidRPr="00DA20B0">
        <w:rPr>
          <w:rFonts w:ascii="Verdana" w:hAnsi="Verdana"/>
          <w:i/>
          <w:sz w:val="16"/>
          <w:szCs w:val="16"/>
        </w:rPr>
        <w:t xml:space="preserve">De acuerdo con la Comisión, el caso se relaciona con </w:t>
      </w:r>
      <w:r w:rsidRPr="00DA20B0">
        <w:rPr>
          <w:rFonts w:ascii="Verdana" w:hAnsi="Verdana" w:cs="Arial"/>
          <w:i/>
          <w:sz w:val="16"/>
          <w:szCs w:val="16"/>
          <w:lang w:val="es-CR"/>
        </w:rPr>
        <w:t>la alegada violación del derecho a la tutela judicial efectiva como consecuencia del incumpl</w:t>
      </w:r>
      <w:r w:rsidRPr="006F2613">
        <w:rPr>
          <w:rFonts w:ascii="Verdana" w:hAnsi="Verdana" w:cs="Arial"/>
          <w:i/>
          <w:sz w:val="16"/>
          <w:szCs w:val="16"/>
          <w:lang w:val="es-CR"/>
        </w:rPr>
        <w:t xml:space="preserve">imiento, durante </w:t>
      </w:r>
      <w:r w:rsidRPr="006F2613">
        <w:rPr>
          <w:rFonts w:ascii="Verdana" w:hAnsi="Verdana"/>
          <w:i/>
          <w:sz w:val="16"/>
          <w:szCs w:val="16"/>
          <w:lang w:val="es-CR"/>
        </w:rPr>
        <w:t xml:space="preserve">24 </w:t>
      </w:r>
      <w:r w:rsidRPr="006F2613">
        <w:rPr>
          <w:rFonts w:ascii="Verdana" w:hAnsi="Verdana" w:cs="Arial"/>
          <w:i/>
          <w:sz w:val="16"/>
          <w:szCs w:val="16"/>
          <w:lang w:val="es-CR"/>
        </w:rPr>
        <w:t xml:space="preserve">años, de una sentencia judicial a favor del señor Muelle Flores en el marco de un recurso de amparo en el que se ordenó su reincorporación al régimen pensionario del Decreto Ley </w:t>
      </w:r>
      <w:r w:rsidRPr="006F2613">
        <w:rPr>
          <w:rFonts w:ascii="Verdana" w:hAnsi="Verdana"/>
          <w:i/>
          <w:sz w:val="16"/>
          <w:szCs w:val="16"/>
          <w:lang w:val="es-CR"/>
        </w:rPr>
        <w:t xml:space="preserve">N° 20530. </w:t>
      </w:r>
      <w:r w:rsidRPr="006F2613">
        <w:rPr>
          <w:rFonts w:ascii="Verdana" w:hAnsi="Verdana" w:cs="Arial"/>
          <w:i/>
          <w:sz w:val="16"/>
          <w:szCs w:val="16"/>
          <w:lang w:val="es-CR"/>
        </w:rPr>
        <w:t xml:space="preserve">La Comisión determinó que el Estado peruano incurrió en responsabilidad internacional, en primer lugar, debido a que sus propias autoridades incumplieron el fallo judicial favorable al señor Muelle y, en segundo lugar, debido a la inefectividad de los mecanismos judiciales activados posteriormente para </w:t>
      </w:r>
      <w:r w:rsidRPr="00B24719">
        <w:rPr>
          <w:rFonts w:ascii="Verdana" w:hAnsi="Verdana" w:cs="Arial"/>
          <w:i/>
          <w:sz w:val="16"/>
          <w:szCs w:val="16"/>
          <w:lang w:val="es-CR"/>
        </w:rPr>
        <w:t>lograr dicho cumplimiento. Asimismo, la Comisión declaró que los hechos del presente caso constituyeron una violación a la garantía de plazo razonable y al derecho a la propiedad privada, pues las pensiones niveladas conforme al Decreto referido, entraron al patrimonio del señor Muelle Flores mediante la decisión judicial que le fue favorable, pero no ha podido ejercer tal derecho</w:t>
      </w:r>
      <w:r w:rsidRPr="00B24719">
        <w:rPr>
          <w:rFonts w:ascii="Verdana" w:hAnsi="Verdana" w:cs="Arial"/>
          <w:sz w:val="16"/>
          <w:szCs w:val="16"/>
          <w:lang w:val="es-CR"/>
        </w:rPr>
        <w:t>”.</w:t>
      </w:r>
    </w:p>
  </w:footnote>
  <w:footnote w:id="56">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Párr.7.</w:t>
      </w:r>
    </w:p>
    <w:p w:rsidR="001A65FF" w:rsidRPr="006F2613" w:rsidRDefault="001A65FF" w:rsidP="00B24719">
      <w:pPr>
        <w:pStyle w:val="Textonotapie"/>
        <w:jc w:val="both"/>
        <w:rPr>
          <w:rFonts w:ascii="Verdana" w:hAnsi="Verdana"/>
          <w:sz w:val="16"/>
          <w:szCs w:val="16"/>
        </w:rPr>
      </w:pPr>
    </w:p>
  </w:footnote>
  <w:footnote w:id="57">
    <w:p w:rsidR="001A65FF" w:rsidRPr="00DA20B0" w:rsidRDefault="001A65FF" w:rsidP="00B24719">
      <w:pPr>
        <w:spacing w:after="0" w:line="240" w:lineRule="auto"/>
        <w:ind w:left="0"/>
        <w:rPr>
          <w:rFonts w:ascii="Verdana" w:hAnsi="Verdana"/>
          <w:i/>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Art.21:”</w:t>
      </w:r>
      <w:r w:rsidRPr="00DA20B0">
        <w:rPr>
          <w:rFonts w:ascii="Verdana" w:hAnsi="Verdana"/>
          <w:i/>
          <w:sz w:val="16"/>
          <w:szCs w:val="16"/>
          <w:lang w:val="es-ES"/>
        </w:rPr>
        <w:t xml:space="preserve"> Derecho a la Propiedad Privada.1. Toda persona tiene derecho al uso y goce de sus bienes. La ley puede subordinar tal uso y goce al interés social.</w:t>
      </w:r>
    </w:p>
    <w:p w:rsidR="001A65FF" w:rsidRPr="006F2613" w:rsidRDefault="001A65FF" w:rsidP="00B24719">
      <w:pPr>
        <w:spacing w:after="0" w:line="240" w:lineRule="auto"/>
        <w:ind w:left="0"/>
        <w:rPr>
          <w:rFonts w:ascii="Verdana" w:hAnsi="Verdana"/>
          <w:i/>
          <w:sz w:val="16"/>
          <w:szCs w:val="16"/>
          <w:lang w:val="es-ES"/>
        </w:rPr>
      </w:pPr>
      <w:r w:rsidRPr="006F2613">
        <w:rPr>
          <w:rFonts w:ascii="Verdana" w:hAnsi="Verdana"/>
          <w:i/>
          <w:sz w:val="16"/>
          <w:szCs w:val="16"/>
          <w:lang w:val="es-ES"/>
        </w:rPr>
        <w:t>2. Ninguna persona puede ser privada de sus bienes, excepto mediante el pago de indemnización justa, por razones de utilidad pública o de interés social y en los casos y según las formas establecidas por la ley.</w:t>
      </w:r>
    </w:p>
    <w:p w:rsidR="001A65FF" w:rsidRPr="006F2613" w:rsidRDefault="001A65FF" w:rsidP="00B24719">
      <w:pPr>
        <w:spacing w:after="0" w:line="240" w:lineRule="auto"/>
        <w:ind w:left="0"/>
        <w:rPr>
          <w:rFonts w:ascii="Verdana" w:hAnsi="Verdana"/>
          <w:i/>
          <w:sz w:val="16"/>
          <w:szCs w:val="16"/>
          <w:lang w:val="es-ES"/>
        </w:rPr>
      </w:pPr>
      <w:r w:rsidRPr="006F2613">
        <w:rPr>
          <w:rFonts w:ascii="Verdana" w:hAnsi="Verdana"/>
          <w:i/>
          <w:sz w:val="16"/>
          <w:szCs w:val="16"/>
          <w:lang w:val="es-ES"/>
        </w:rPr>
        <w:t>3. Tanto la usura como cualquier otra forma de explotación del hombre por el hombre, deben ser prohibidas por la ley.”</w:t>
      </w:r>
    </w:p>
    <w:p w:rsidR="001A65FF" w:rsidRPr="006F2613" w:rsidRDefault="001A65FF" w:rsidP="00B24719">
      <w:pPr>
        <w:pStyle w:val="Textonotapie"/>
        <w:jc w:val="both"/>
        <w:rPr>
          <w:rFonts w:ascii="Verdana" w:hAnsi="Verdana"/>
          <w:sz w:val="16"/>
          <w:szCs w:val="16"/>
        </w:rPr>
      </w:pPr>
    </w:p>
  </w:footnote>
  <w:footnote w:id="58">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Nota 6.</w:t>
      </w:r>
    </w:p>
    <w:p w:rsidR="001A65FF" w:rsidRPr="006F2613" w:rsidRDefault="001A65FF" w:rsidP="00B24719">
      <w:pPr>
        <w:pStyle w:val="Textonotapie"/>
        <w:jc w:val="both"/>
        <w:rPr>
          <w:rFonts w:ascii="Verdana" w:hAnsi="Verdana"/>
          <w:sz w:val="16"/>
          <w:szCs w:val="16"/>
        </w:rPr>
      </w:pPr>
    </w:p>
  </w:footnote>
  <w:footnote w:id="59">
    <w:p w:rsidR="001A65FF" w:rsidRPr="00DA20B0" w:rsidRDefault="001A65FF" w:rsidP="00DA20B0">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w:t>
      </w:r>
      <w:r w:rsidRPr="00DA20B0">
        <w:rPr>
          <w:rFonts w:ascii="Verdana" w:hAnsi="Verdana"/>
          <w:i/>
          <w:sz w:val="16"/>
          <w:szCs w:val="16"/>
        </w:rPr>
        <w:t>Derivar: Dicho de una cosa: Traer su origen de otra.”</w:t>
      </w:r>
      <w:r w:rsidRPr="00DA20B0">
        <w:rPr>
          <w:rFonts w:ascii="Verdana" w:hAnsi="Verdana"/>
          <w:sz w:val="16"/>
          <w:szCs w:val="16"/>
        </w:rPr>
        <w:t xml:space="preserve"> Diccionario de la Lengua Española, Real Academia Española, 2018</w:t>
      </w:r>
    </w:p>
    <w:p w:rsidR="001A65FF" w:rsidRPr="006F2613" w:rsidRDefault="001A65FF" w:rsidP="006F2613">
      <w:pPr>
        <w:pStyle w:val="Textonotapie"/>
        <w:jc w:val="both"/>
        <w:rPr>
          <w:rFonts w:ascii="Verdana" w:hAnsi="Verdana"/>
          <w:sz w:val="16"/>
          <w:szCs w:val="16"/>
        </w:rPr>
      </w:pPr>
    </w:p>
  </w:footnote>
  <w:footnote w:id="60">
    <w:p w:rsidR="001A65FF" w:rsidRPr="006F2613" w:rsidRDefault="001A65FF" w:rsidP="006F2613">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w:t>
      </w:r>
      <w:r w:rsidRPr="00DA20B0">
        <w:rPr>
          <w:rFonts w:ascii="Verdana" w:hAnsi="Verdana"/>
          <w:i/>
          <w:sz w:val="16"/>
          <w:szCs w:val="16"/>
        </w:rPr>
        <w:t>Inferir: Deducir</w:t>
      </w:r>
      <w:r>
        <w:rPr>
          <w:rFonts w:ascii="Verdana" w:eastAsia="Arial Unicode MS" w:hAnsi="Verdana" w:cs="Arial Unicode MS"/>
          <w:i/>
          <w:spacing w:val="4"/>
          <w:sz w:val="16"/>
          <w:szCs w:val="16"/>
          <w:shd w:val="clear" w:color="auto" w:fill="FFFFFF"/>
        </w:rPr>
        <w:t xml:space="preserve"> </w:t>
      </w:r>
      <w:r w:rsidRPr="00DA20B0">
        <w:rPr>
          <w:rFonts w:ascii="Verdana" w:hAnsi="Verdana"/>
          <w:i/>
          <w:sz w:val="16"/>
          <w:szCs w:val="16"/>
        </w:rPr>
        <w:t>algo</w:t>
      </w:r>
      <w:r>
        <w:rPr>
          <w:rFonts w:ascii="Verdana" w:eastAsia="Arial Unicode MS" w:hAnsi="Verdana" w:cs="Arial Unicode MS"/>
          <w:i/>
          <w:spacing w:val="4"/>
          <w:sz w:val="16"/>
          <w:szCs w:val="16"/>
          <w:shd w:val="clear" w:color="auto" w:fill="FFFFFF"/>
        </w:rPr>
        <w:t xml:space="preserve"> </w:t>
      </w:r>
      <w:r w:rsidRPr="00DA20B0">
        <w:rPr>
          <w:rFonts w:ascii="Verdana" w:hAnsi="Verdana"/>
          <w:i/>
          <w:sz w:val="16"/>
          <w:szCs w:val="16"/>
        </w:rPr>
        <w:t>o</w:t>
      </w:r>
      <w:r>
        <w:rPr>
          <w:rFonts w:ascii="Verdana" w:eastAsia="Arial Unicode MS" w:hAnsi="Verdana" w:cs="Arial Unicode MS"/>
          <w:i/>
          <w:spacing w:val="4"/>
          <w:sz w:val="16"/>
          <w:szCs w:val="16"/>
          <w:shd w:val="clear" w:color="auto" w:fill="FFFFFF"/>
        </w:rPr>
        <w:t xml:space="preserve"> </w:t>
      </w:r>
      <w:r w:rsidRPr="00DA20B0">
        <w:rPr>
          <w:rFonts w:ascii="Verdana" w:hAnsi="Verdana"/>
          <w:i/>
          <w:sz w:val="16"/>
          <w:szCs w:val="16"/>
        </w:rPr>
        <w:t>sacarlo</w:t>
      </w:r>
      <w:r>
        <w:rPr>
          <w:rFonts w:ascii="Verdana" w:eastAsia="Arial Unicode MS" w:hAnsi="Verdana" w:cs="Arial Unicode MS"/>
          <w:i/>
          <w:spacing w:val="4"/>
          <w:sz w:val="16"/>
          <w:szCs w:val="16"/>
          <w:shd w:val="clear" w:color="auto" w:fill="FFFFFF"/>
        </w:rPr>
        <w:t xml:space="preserve"> </w:t>
      </w:r>
      <w:r w:rsidRPr="00DA20B0">
        <w:rPr>
          <w:rFonts w:ascii="Verdana" w:hAnsi="Verdana"/>
          <w:i/>
          <w:sz w:val="16"/>
          <w:szCs w:val="16"/>
        </w:rPr>
        <w:t>como</w:t>
      </w:r>
      <w:r>
        <w:rPr>
          <w:rFonts w:ascii="Verdana" w:eastAsia="Arial Unicode MS" w:hAnsi="Verdana" w:cs="Arial Unicode MS"/>
          <w:i/>
          <w:spacing w:val="4"/>
          <w:sz w:val="16"/>
          <w:szCs w:val="16"/>
          <w:shd w:val="clear" w:color="auto" w:fill="FFFFFF"/>
        </w:rPr>
        <w:t xml:space="preserve"> </w:t>
      </w:r>
      <w:r w:rsidRPr="006F2613">
        <w:rPr>
          <w:rFonts w:ascii="Verdana" w:hAnsi="Verdana"/>
          <w:i/>
          <w:sz w:val="16"/>
          <w:szCs w:val="16"/>
        </w:rPr>
        <w:t>conclusión</w:t>
      </w:r>
      <w:r>
        <w:rPr>
          <w:rFonts w:ascii="Verdana" w:eastAsia="Arial Unicode MS" w:hAnsi="Verdana" w:cs="Arial Unicode MS"/>
          <w:i/>
          <w:spacing w:val="4"/>
          <w:sz w:val="16"/>
          <w:szCs w:val="16"/>
          <w:shd w:val="clear" w:color="auto" w:fill="FFFFFF"/>
        </w:rPr>
        <w:t xml:space="preserve"> </w:t>
      </w:r>
      <w:r w:rsidRPr="006F2613">
        <w:rPr>
          <w:rFonts w:ascii="Verdana" w:hAnsi="Verdana"/>
          <w:i/>
          <w:sz w:val="16"/>
          <w:szCs w:val="16"/>
        </w:rPr>
        <w:t>de</w:t>
      </w:r>
      <w:r>
        <w:rPr>
          <w:rFonts w:ascii="Verdana" w:eastAsia="Arial Unicode MS" w:hAnsi="Verdana" w:cs="Arial Unicode MS"/>
          <w:i/>
          <w:spacing w:val="4"/>
          <w:sz w:val="16"/>
          <w:szCs w:val="16"/>
          <w:shd w:val="clear" w:color="auto" w:fill="FFFFFF"/>
        </w:rPr>
        <w:t xml:space="preserve"> </w:t>
      </w:r>
      <w:r w:rsidRPr="006F2613">
        <w:rPr>
          <w:rFonts w:ascii="Verdana" w:hAnsi="Verdana"/>
          <w:i/>
          <w:sz w:val="16"/>
          <w:szCs w:val="16"/>
        </w:rPr>
        <w:t>otra</w:t>
      </w:r>
      <w:r>
        <w:rPr>
          <w:rFonts w:ascii="Verdana" w:eastAsia="Arial Unicode MS" w:hAnsi="Verdana" w:cs="Arial Unicode MS"/>
          <w:i/>
          <w:spacing w:val="4"/>
          <w:sz w:val="16"/>
          <w:szCs w:val="16"/>
          <w:shd w:val="clear" w:color="auto" w:fill="FFFFFF"/>
        </w:rPr>
        <w:t xml:space="preserve"> </w:t>
      </w:r>
      <w:r w:rsidRPr="006F2613">
        <w:rPr>
          <w:rFonts w:ascii="Verdana" w:hAnsi="Verdana"/>
          <w:i/>
          <w:sz w:val="16"/>
          <w:szCs w:val="16"/>
        </w:rPr>
        <w:t>cosa</w:t>
      </w:r>
      <w:r w:rsidRPr="006F2613">
        <w:rPr>
          <w:rFonts w:ascii="Verdana" w:hAnsi="Verdana"/>
          <w:sz w:val="16"/>
          <w:szCs w:val="16"/>
        </w:rPr>
        <w:t xml:space="preserve">”, </w:t>
      </w:r>
      <w:r w:rsidRPr="006F2613">
        <w:rPr>
          <w:rFonts w:ascii="Verdana" w:hAnsi="Verdana"/>
          <w:i/>
          <w:sz w:val="16"/>
          <w:szCs w:val="16"/>
        </w:rPr>
        <w:t>Idem</w:t>
      </w:r>
      <w:r w:rsidRPr="006F2613">
        <w:rPr>
          <w:rFonts w:ascii="Verdana" w:hAnsi="Verdana"/>
          <w:sz w:val="16"/>
          <w:szCs w:val="16"/>
        </w:rPr>
        <w:t>.</w:t>
      </w:r>
    </w:p>
    <w:p w:rsidR="001A65FF" w:rsidRPr="006F2613" w:rsidRDefault="001A65FF" w:rsidP="006F2613">
      <w:pPr>
        <w:pStyle w:val="Textonotapie"/>
        <w:jc w:val="both"/>
        <w:rPr>
          <w:rFonts w:ascii="Verdana" w:hAnsi="Verdana"/>
          <w:sz w:val="16"/>
          <w:szCs w:val="16"/>
        </w:rPr>
      </w:pPr>
    </w:p>
  </w:footnote>
  <w:footnote w:id="61">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Nota 25.</w:t>
      </w:r>
    </w:p>
    <w:p w:rsidR="001A65FF" w:rsidRPr="006F2613" w:rsidRDefault="001A65FF" w:rsidP="00B24719">
      <w:pPr>
        <w:pStyle w:val="Textonotapie"/>
        <w:jc w:val="both"/>
        <w:rPr>
          <w:rFonts w:ascii="Verdana" w:hAnsi="Verdana"/>
          <w:sz w:val="16"/>
          <w:szCs w:val="16"/>
        </w:rPr>
      </w:pPr>
    </w:p>
  </w:footnote>
  <w:footnote w:id="62">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Nota 6.</w:t>
      </w:r>
    </w:p>
    <w:p w:rsidR="001A65FF" w:rsidRPr="006F2613" w:rsidRDefault="001A65FF" w:rsidP="00B24719">
      <w:pPr>
        <w:pStyle w:val="Textonotapie"/>
        <w:jc w:val="both"/>
        <w:rPr>
          <w:rFonts w:ascii="Verdana" w:hAnsi="Verdana"/>
          <w:sz w:val="16"/>
          <w:szCs w:val="16"/>
        </w:rPr>
      </w:pPr>
    </w:p>
  </w:footnote>
  <w:footnote w:id="63">
    <w:p w:rsidR="001A65FF" w:rsidRPr="00DA20B0" w:rsidRDefault="001A65FF" w:rsidP="00DA20B0">
      <w:pPr>
        <w:spacing w:line="240" w:lineRule="auto"/>
        <w:ind w:left="0"/>
        <w:rPr>
          <w:rFonts w:ascii="Verdana" w:hAnsi="Verdana"/>
          <w:i/>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r>
      <w:r w:rsidRPr="00DA20B0">
        <w:rPr>
          <w:rFonts w:ascii="Verdana" w:hAnsi="Verdana"/>
          <w:i/>
          <w:sz w:val="16"/>
          <w:szCs w:val="16"/>
        </w:rPr>
        <w:t>“Parte I, “Deberes de los Estados y Derechos protegidos”.</w:t>
      </w:r>
      <w:r w:rsidRPr="00DA20B0">
        <w:rPr>
          <w:rFonts w:ascii="Verdana" w:hAnsi="Verdana"/>
          <w:i/>
          <w:sz w:val="16"/>
          <w:szCs w:val="16"/>
          <w:lang w:val="es-ES"/>
        </w:rPr>
        <w:t xml:space="preserve"> </w:t>
      </w:r>
    </w:p>
  </w:footnote>
  <w:footnote w:id="64">
    <w:p w:rsidR="001A65FF" w:rsidRPr="00DA20B0" w:rsidRDefault="001A65FF" w:rsidP="00DA20B0">
      <w:pPr>
        <w:pStyle w:val="Textonotapie"/>
        <w:spacing w:after="120"/>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w:t>
      </w:r>
      <w:r w:rsidRPr="00DA20B0">
        <w:rPr>
          <w:rFonts w:ascii="Verdana" w:hAnsi="Verdana"/>
          <w:i/>
          <w:sz w:val="16"/>
          <w:szCs w:val="16"/>
        </w:rPr>
        <w:t>Parte II Medios de Protección.”</w:t>
      </w:r>
    </w:p>
  </w:footnote>
  <w:footnote w:id="65">
    <w:p w:rsidR="001A65FF" w:rsidRPr="00DA20B0" w:rsidRDefault="001A65FF" w:rsidP="00DA20B0">
      <w:pPr>
        <w:pStyle w:val="Textonotapie"/>
        <w:spacing w:after="120"/>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w:t>
      </w:r>
      <w:r w:rsidRPr="00DA20B0">
        <w:rPr>
          <w:rFonts w:ascii="Verdana" w:hAnsi="Verdana"/>
          <w:i/>
          <w:sz w:val="16"/>
          <w:szCs w:val="16"/>
        </w:rPr>
        <w:t>Parte III, “Disposiciones generales y transitorias</w:t>
      </w:r>
      <w:r w:rsidRPr="00DA20B0">
        <w:rPr>
          <w:rFonts w:ascii="Verdana" w:hAnsi="Verdana"/>
          <w:sz w:val="16"/>
          <w:szCs w:val="16"/>
        </w:rPr>
        <w:t>”.</w:t>
      </w:r>
    </w:p>
  </w:footnote>
  <w:footnote w:id="66">
    <w:p w:rsidR="001A65FF" w:rsidRPr="00DA20B0" w:rsidRDefault="001A65FF" w:rsidP="00DA20B0">
      <w:pPr>
        <w:spacing w:after="0" w:line="240" w:lineRule="auto"/>
        <w:ind w:left="0"/>
        <w:rPr>
          <w:rFonts w:ascii="Verdana" w:hAnsi="Verdana"/>
          <w:i/>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r>
      <w:r w:rsidRPr="00DA20B0">
        <w:rPr>
          <w:rFonts w:ascii="Verdana" w:hAnsi="Verdana"/>
          <w:i/>
          <w:sz w:val="16"/>
          <w:szCs w:val="16"/>
        </w:rPr>
        <w:t>Supra</w:t>
      </w:r>
      <w:r w:rsidRPr="00DA20B0">
        <w:rPr>
          <w:rFonts w:ascii="Verdana" w:hAnsi="Verdana"/>
          <w:sz w:val="16"/>
          <w:szCs w:val="16"/>
        </w:rPr>
        <w:t>, Nota 25.</w:t>
      </w:r>
    </w:p>
    <w:p w:rsidR="001A65FF" w:rsidRPr="006F2613" w:rsidRDefault="001A65FF" w:rsidP="006F2613">
      <w:pPr>
        <w:spacing w:after="0" w:line="240" w:lineRule="auto"/>
        <w:ind w:left="0"/>
        <w:rPr>
          <w:rFonts w:ascii="Verdana" w:hAnsi="Verdana"/>
          <w:sz w:val="16"/>
          <w:szCs w:val="16"/>
          <w:lang w:val="es-ES"/>
        </w:rPr>
      </w:pPr>
    </w:p>
  </w:footnote>
  <w:footnote w:id="67">
    <w:p w:rsidR="001A65FF" w:rsidRPr="006F2613" w:rsidRDefault="001A65FF" w:rsidP="006F2613">
      <w:pPr>
        <w:spacing w:after="0" w:line="240" w:lineRule="auto"/>
        <w:ind w:left="0"/>
        <w:rPr>
          <w:rFonts w:ascii="Verdana" w:hAnsi="Verdana"/>
          <w:i/>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r>
      <w:r w:rsidRPr="009F220C">
        <w:rPr>
          <w:rFonts w:ascii="Verdana" w:hAnsi="Verdana"/>
          <w:sz w:val="16"/>
          <w:szCs w:val="16"/>
          <w:lang w:val="es-ES"/>
        </w:rPr>
        <w:t>Art.2.</w:t>
      </w:r>
      <w:r w:rsidRPr="00DA20B0">
        <w:rPr>
          <w:rFonts w:ascii="Verdana" w:hAnsi="Verdana"/>
          <w:i/>
          <w:sz w:val="16"/>
          <w:szCs w:val="16"/>
          <w:lang w:val="es-ES"/>
        </w:rPr>
        <w:t xml:space="preserve"> </w:t>
      </w:r>
      <w:r>
        <w:rPr>
          <w:rFonts w:ascii="Verdana" w:hAnsi="Verdana"/>
          <w:i/>
          <w:sz w:val="16"/>
          <w:szCs w:val="16"/>
          <w:lang w:val="es-ES"/>
        </w:rPr>
        <w:t>“</w:t>
      </w:r>
      <w:r w:rsidRPr="00DA20B0">
        <w:rPr>
          <w:rFonts w:ascii="Verdana" w:hAnsi="Verdana"/>
          <w:i/>
          <w:sz w:val="16"/>
          <w:szCs w:val="16"/>
          <w:lang w:val="es-ES"/>
        </w:rPr>
        <w:t>Deber de Adoptar Disposiciones de Derecho Interno. Si el ejercicio de los derechos y libertades mencionados en el artículo 1 no estuviere ya garantizado por disposiciones legislativas o de otro carácter, los Estad</w:t>
      </w:r>
      <w:r w:rsidRPr="006F2613">
        <w:rPr>
          <w:rFonts w:ascii="Verdana" w:hAnsi="Verdana"/>
          <w:i/>
          <w:sz w:val="16"/>
          <w:szCs w:val="16"/>
          <w:lang w:val="es-ES"/>
        </w:rPr>
        <w:t>os Partes se comprometen a adoptar, con arreglo a sus procedimientos constitucionales y a las disposiciones de esta Convención, las medidas legislativas o de otro carácter que fueren necesarias para hacer efectivos tales derechos y libertades.</w:t>
      </w:r>
    </w:p>
    <w:p w:rsidR="001A65FF" w:rsidRPr="006F2613" w:rsidRDefault="001A65FF" w:rsidP="006F2613">
      <w:pPr>
        <w:pStyle w:val="Textonotapie"/>
        <w:jc w:val="both"/>
        <w:rPr>
          <w:rFonts w:ascii="Verdana" w:hAnsi="Verdana"/>
          <w:sz w:val="16"/>
          <w:szCs w:val="16"/>
        </w:rPr>
      </w:pPr>
    </w:p>
  </w:footnote>
  <w:footnote w:id="68">
    <w:p w:rsidR="001A65FF" w:rsidRPr="00B24719" w:rsidRDefault="001A65FF" w:rsidP="006F2613">
      <w:pPr>
        <w:pStyle w:val="Textonotapie"/>
        <w:jc w:val="both"/>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 xml:space="preserve">Parte I, Capítulo II, arts.3 a 25. </w:t>
      </w:r>
      <w:r w:rsidRPr="00DA20B0">
        <w:rPr>
          <w:rFonts w:ascii="Verdana" w:hAnsi="Verdana"/>
          <w:sz w:val="16"/>
          <w:szCs w:val="16"/>
          <w:lang w:val="es-ES"/>
        </w:rPr>
        <w:t>Derecho al reconocimiento de la personalidad jurídica (art.3), Derecho a la vida (art.4), Derecho a la integridad personal (art.5), Prohibición de la esclavitud y la servidumbre (art.6), Derecho a la libertad personal (art.7), Ga</w:t>
      </w:r>
      <w:r w:rsidRPr="006F2613">
        <w:rPr>
          <w:rFonts w:ascii="Verdana" w:hAnsi="Verdana"/>
          <w:sz w:val="16"/>
          <w:szCs w:val="16"/>
          <w:lang w:val="es-ES"/>
        </w:rPr>
        <w:t>rantías judiciales (art.8), Principio de legalidad y retroactividad (art.9), Derecho a indemnización (art.10), Protección de la honra y la dignidad (art.11), Libertad de conciencia y de religión (art.12),Libertad de pensamiento y de expresión (art.13), Derecho de rectificación o respuesta (art.14), Derecho de reunión (art.15), Libertad de asociación (art.16), Protección a la familia (art.17), Derecho al nombre (art.18), Derechos del niño (art.19), Derecho a la nacionalidad (art.20), Derecho a la propiedad p</w:t>
      </w:r>
      <w:r w:rsidRPr="00B24719">
        <w:rPr>
          <w:rFonts w:ascii="Verdana" w:hAnsi="Verdana"/>
          <w:sz w:val="16"/>
          <w:szCs w:val="16"/>
          <w:lang w:val="es-ES"/>
        </w:rPr>
        <w:t>rivada (art.21), Derecho de circulación y de residencia (art.22), Derechos políticos (art.23), Igualdad ante la ley (art.24) y Protección judicial (art.25).</w:t>
      </w:r>
    </w:p>
    <w:p w:rsidR="001A65FF" w:rsidRPr="00B24719" w:rsidRDefault="001A65FF" w:rsidP="00B24719">
      <w:pPr>
        <w:pStyle w:val="Textonotapie"/>
        <w:jc w:val="both"/>
        <w:rPr>
          <w:rFonts w:ascii="Verdana" w:hAnsi="Verdana"/>
          <w:sz w:val="16"/>
          <w:szCs w:val="16"/>
        </w:rPr>
      </w:pPr>
    </w:p>
  </w:footnote>
  <w:footnote w:id="69">
    <w:p w:rsidR="001A65FF" w:rsidRPr="00DA20B0" w:rsidRDefault="001A65FF" w:rsidP="00B24719">
      <w:pPr>
        <w:spacing w:after="0" w:line="240" w:lineRule="auto"/>
        <w:ind w:left="0"/>
        <w:rPr>
          <w:rFonts w:ascii="Verdana" w:hAnsi="Verdana"/>
          <w:i/>
          <w:sz w:val="16"/>
          <w:szCs w:val="16"/>
          <w:lang w:val="es-ES"/>
        </w:rPr>
      </w:pPr>
      <w:r w:rsidRPr="00DA20B0">
        <w:rPr>
          <w:rStyle w:val="Refdenotaalpie"/>
          <w:rFonts w:ascii="Verdana" w:hAnsi="Verdana"/>
          <w:sz w:val="16"/>
          <w:szCs w:val="16"/>
        </w:rPr>
        <w:footnoteRef/>
      </w:r>
      <w:r w:rsidRPr="00DA20B0">
        <w:rPr>
          <w:rFonts w:ascii="Verdana" w:hAnsi="Verdana"/>
          <w:sz w:val="16"/>
          <w:szCs w:val="16"/>
          <w:vertAlign w:val="superscript"/>
        </w:rPr>
        <w:t xml:space="preserve"> </w:t>
      </w:r>
      <w:r w:rsidRPr="00DA20B0">
        <w:rPr>
          <w:rFonts w:ascii="Verdana" w:hAnsi="Verdana"/>
          <w:sz w:val="16"/>
          <w:szCs w:val="16"/>
          <w:vertAlign w:val="superscript"/>
        </w:rPr>
        <w:tab/>
      </w:r>
      <w:r w:rsidRPr="00DA20B0">
        <w:rPr>
          <w:rFonts w:ascii="Verdana" w:hAnsi="Verdana"/>
          <w:sz w:val="16"/>
          <w:szCs w:val="16"/>
        </w:rPr>
        <w:t>Nota 6.</w:t>
      </w:r>
    </w:p>
    <w:p w:rsidR="001A65FF" w:rsidRPr="006F2613" w:rsidRDefault="001A65FF" w:rsidP="00B24719">
      <w:pPr>
        <w:pStyle w:val="Textonotapie"/>
        <w:jc w:val="both"/>
        <w:rPr>
          <w:rFonts w:ascii="Verdana" w:hAnsi="Verdana"/>
          <w:i/>
          <w:sz w:val="16"/>
          <w:szCs w:val="16"/>
        </w:rPr>
      </w:pPr>
    </w:p>
  </w:footnote>
  <w:footnote w:id="70">
    <w:p w:rsidR="001A65FF" w:rsidRPr="00DA20B0" w:rsidRDefault="001A65FF" w:rsidP="00B24719">
      <w:pPr>
        <w:pStyle w:val="Textonotapie"/>
        <w:spacing w:after="120"/>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Nota 17.</w:t>
      </w:r>
    </w:p>
  </w:footnote>
  <w:footnote w:id="71">
    <w:p w:rsidR="001A65FF" w:rsidRPr="00A47EA7" w:rsidRDefault="001A65FF" w:rsidP="00A47EA7">
      <w:pPr>
        <w:pStyle w:val="Textonotapie"/>
        <w:spacing w:after="120"/>
        <w:rPr>
          <w:rFonts w:ascii="Verdana" w:hAnsi="Verdana"/>
          <w:sz w:val="16"/>
          <w:szCs w:val="16"/>
        </w:rPr>
      </w:pPr>
      <w:r w:rsidRPr="00A47EA7">
        <w:rPr>
          <w:rStyle w:val="Refdenotaalpie"/>
          <w:rFonts w:ascii="Verdana" w:hAnsi="Verdana"/>
          <w:sz w:val="16"/>
          <w:szCs w:val="16"/>
        </w:rPr>
        <w:footnoteRef/>
      </w:r>
      <w:r w:rsidRPr="00A47EA7">
        <w:rPr>
          <w:rFonts w:ascii="Verdana" w:hAnsi="Verdana"/>
          <w:sz w:val="16"/>
          <w:szCs w:val="16"/>
        </w:rPr>
        <w:t xml:space="preserve"> </w:t>
      </w:r>
      <w:r>
        <w:rPr>
          <w:rFonts w:ascii="Verdana" w:hAnsi="Verdana"/>
          <w:sz w:val="16"/>
          <w:szCs w:val="16"/>
        </w:rPr>
        <w:t xml:space="preserve">          </w:t>
      </w:r>
      <w:r w:rsidRPr="00A47EA7">
        <w:rPr>
          <w:rFonts w:ascii="Verdana" w:hAnsi="Verdana"/>
          <w:sz w:val="16"/>
          <w:szCs w:val="16"/>
        </w:rPr>
        <w:t>Nota 30.</w:t>
      </w:r>
    </w:p>
  </w:footnote>
  <w:footnote w:id="72">
    <w:p w:rsidR="001A65FF" w:rsidRPr="00DA20B0" w:rsidRDefault="001A65FF" w:rsidP="00B24719">
      <w:pPr>
        <w:pStyle w:val="Textonotapie"/>
        <w:jc w:val="both"/>
        <w:rPr>
          <w:rFonts w:ascii="Verdana" w:hAnsi="Verdana"/>
          <w:i/>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Nota 37.</w:t>
      </w:r>
    </w:p>
    <w:p w:rsidR="001A65FF" w:rsidRPr="006F2613" w:rsidRDefault="001A65FF" w:rsidP="00B24719">
      <w:pPr>
        <w:pStyle w:val="Textonotapie"/>
        <w:jc w:val="both"/>
        <w:rPr>
          <w:rFonts w:ascii="Verdana" w:hAnsi="Verdana"/>
          <w:sz w:val="16"/>
          <w:szCs w:val="16"/>
        </w:rPr>
      </w:pPr>
    </w:p>
  </w:footnote>
  <w:footnote w:id="73">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Nota 12.</w:t>
      </w:r>
    </w:p>
    <w:p w:rsidR="001A65FF" w:rsidRPr="006F2613" w:rsidRDefault="001A65FF" w:rsidP="00B24719">
      <w:pPr>
        <w:pStyle w:val="Textonotapie"/>
        <w:jc w:val="both"/>
        <w:rPr>
          <w:rFonts w:ascii="Verdana" w:hAnsi="Verdana"/>
          <w:sz w:val="16"/>
          <w:szCs w:val="16"/>
        </w:rPr>
      </w:pPr>
    </w:p>
  </w:footnote>
  <w:footnote w:id="74">
    <w:p w:rsidR="001A65FF" w:rsidRDefault="001A65FF">
      <w:pPr>
        <w:pStyle w:val="Textonotapie"/>
        <w:rPr>
          <w:rFonts w:ascii="Verdana" w:hAnsi="Verdana"/>
          <w:sz w:val="16"/>
          <w:szCs w:val="16"/>
        </w:rPr>
      </w:pPr>
      <w:r w:rsidRPr="00772D74">
        <w:rPr>
          <w:rStyle w:val="Refdenotaalpie"/>
          <w:rFonts w:ascii="Verdana" w:hAnsi="Verdana"/>
          <w:sz w:val="16"/>
          <w:szCs w:val="16"/>
        </w:rPr>
        <w:footnoteRef/>
      </w:r>
      <w:r w:rsidRPr="00772D74">
        <w:rPr>
          <w:rFonts w:ascii="Verdana" w:hAnsi="Verdana"/>
          <w:sz w:val="16"/>
          <w:szCs w:val="16"/>
        </w:rPr>
        <w:t xml:space="preserve"> </w:t>
      </w:r>
      <w:r>
        <w:rPr>
          <w:rFonts w:ascii="Verdana" w:hAnsi="Verdana"/>
          <w:sz w:val="16"/>
          <w:szCs w:val="16"/>
        </w:rPr>
        <w:t xml:space="preserve">         </w:t>
      </w:r>
      <w:r w:rsidRPr="00772D74">
        <w:rPr>
          <w:rFonts w:ascii="Verdana" w:hAnsi="Verdana"/>
          <w:sz w:val="16"/>
          <w:szCs w:val="16"/>
        </w:rPr>
        <w:t>Nota 30.</w:t>
      </w:r>
    </w:p>
    <w:p w:rsidR="001A65FF" w:rsidRPr="00772D74" w:rsidRDefault="001A65FF">
      <w:pPr>
        <w:pStyle w:val="Textonotapie"/>
        <w:rPr>
          <w:rFonts w:ascii="Verdana" w:hAnsi="Verdana"/>
          <w:sz w:val="16"/>
          <w:szCs w:val="16"/>
        </w:rPr>
      </w:pPr>
    </w:p>
  </w:footnote>
  <w:footnote w:id="75">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Nota 47.</w:t>
      </w:r>
    </w:p>
    <w:p w:rsidR="001A65FF" w:rsidRPr="006F2613" w:rsidRDefault="001A65FF" w:rsidP="00B24719">
      <w:pPr>
        <w:pStyle w:val="Textonotapie"/>
        <w:jc w:val="both"/>
        <w:rPr>
          <w:rFonts w:ascii="Verdana" w:hAnsi="Verdana"/>
          <w:sz w:val="16"/>
          <w:szCs w:val="16"/>
        </w:rPr>
      </w:pPr>
    </w:p>
  </w:footnote>
  <w:footnote w:id="76">
    <w:p w:rsidR="001A65FF" w:rsidRPr="00DA20B0" w:rsidRDefault="001A65FF" w:rsidP="00B24719">
      <w:pPr>
        <w:spacing w:after="0" w:line="240" w:lineRule="auto"/>
        <w:ind w:left="0"/>
        <w:rPr>
          <w:rFonts w:ascii="Verdana" w:hAnsi="Verdana"/>
          <w:i/>
          <w:sz w:val="16"/>
          <w:szCs w:val="16"/>
          <w:lang w:val="es-ES"/>
        </w:rPr>
      </w:pPr>
      <w:r w:rsidRPr="00DA20B0">
        <w:rPr>
          <w:rStyle w:val="Refdenotaalpie"/>
          <w:rFonts w:ascii="Verdana" w:hAnsi="Verdana"/>
          <w:i/>
          <w:sz w:val="16"/>
          <w:szCs w:val="16"/>
        </w:rPr>
        <w:footnoteRef/>
      </w:r>
      <w:r w:rsidRPr="00DA20B0">
        <w:rPr>
          <w:rFonts w:ascii="Verdana" w:hAnsi="Verdana"/>
          <w:i/>
          <w:sz w:val="16"/>
          <w:szCs w:val="16"/>
        </w:rPr>
        <w:t xml:space="preserve"> </w:t>
      </w:r>
      <w:r w:rsidRPr="00DA20B0">
        <w:rPr>
          <w:rFonts w:ascii="Verdana" w:hAnsi="Verdana"/>
          <w:i/>
          <w:sz w:val="16"/>
          <w:szCs w:val="16"/>
        </w:rPr>
        <w:tab/>
      </w:r>
      <w:r w:rsidRPr="00DA20B0">
        <w:rPr>
          <w:rFonts w:ascii="Verdana" w:hAnsi="Verdana"/>
          <w:sz w:val="16"/>
          <w:szCs w:val="16"/>
        </w:rPr>
        <w:t>Art.48.1.f):</w:t>
      </w:r>
      <w:r w:rsidRPr="00DA20B0">
        <w:rPr>
          <w:rFonts w:ascii="Verdana" w:hAnsi="Verdana"/>
          <w:i/>
          <w:sz w:val="16"/>
          <w:szCs w:val="16"/>
        </w:rPr>
        <w:t xml:space="preserve"> “</w:t>
      </w:r>
      <w:r w:rsidRPr="00DA20B0">
        <w:rPr>
          <w:rFonts w:ascii="Verdana" w:hAnsi="Verdana"/>
          <w:i/>
          <w:sz w:val="16"/>
          <w:szCs w:val="16"/>
          <w:lang w:val="es-ES"/>
        </w:rPr>
        <w:t>1. La Comisión, al recibir una petición o comunicación en la que se alegue la violación de cualquiera de los derechos que consagra esta Convención, procederá en los siguientes términos:…</w:t>
      </w:r>
    </w:p>
    <w:p w:rsidR="001A65FF" w:rsidRPr="006F2613" w:rsidRDefault="001A65FF" w:rsidP="00B24719">
      <w:pPr>
        <w:pStyle w:val="Textonotapie"/>
        <w:jc w:val="both"/>
        <w:rPr>
          <w:rFonts w:ascii="Verdana" w:hAnsi="Verdana"/>
          <w:sz w:val="16"/>
          <w:szCs w:val="16"/>
          <w:lang w:val="es-ES"/>
        </w:rPr>
      </w:pPr>
      <w:r w:rsidRPr="00DA20B0">
        <w:rPr>
          <w:rFonts w:ascii="Verdana" w:hAnsi="Verdana"/>
          <w:i/>
          <w:sz w:val="16"/>
          <w:szCs w:val="16"/>
          <w:lang w:val="es-ES"/>
        </w:rPr>
        <w:t>se pondrá a disposición de las partes interesadas, a fin de llegar a una solución amistosa del asunto fundada en el respeto a los derechos humanos reconocidos en esta Convención</w:t>
      </w:r>
      <w:r w:rsidRPr="006F2613">
        <w:rPr>
          <w:rFonts w:ascii="Verdana" w:hAnsi="Verdana"/>
          <w:sz w:val="16"/>
          <w:szCs w:val="16"/>
          <w:lang w:val="es-ES"/>
        </w:rPr>
        <w:t>.”</w:t>
      </w:r>
    </w:p>
    <w:p w:rsidR="001A65FF" w:rsidRPr="006F2613" w:rsidRDefault="001A65FF" w:rsidP="00B24719">
      <w:pPr>
        <w:pStyle w:val="Textonotapie"/>
        <w:jc w:val="both"/>
        <w:rPr>
          <w:rFonts w:ascii="Verdana" w:hAnsi="Verdana"/>
          <w:sz w:val="16"/>
          <w:szCs w:val="16"/>
        </w:rPr>
      </w:pPr>
    </w:p>
  </w:footnote>
  <w:footnote w:id="77">
    <w:p w:rsidR="001A65FF" w:rsidRPr="006F2613" w:rsidRDefault="001A65FF" w:rsidP="00DA20B0">
      <w:pPr>
        <w:pStyle w:val="Textonotapie"/>
        <w:jc w:val="both"/>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lang w:val="es-ES"/>
        </w:rPr>
        <w:t xml:space="preserve"> </w:t>
      </w:r>
      <w:r w:rsidRPr="00DA20B0">
        <w:rPr>
          <w:rFonts w:ascii="Verdana" w:hAnsi="Verdana"/>
          <w:sz w:val="16"/>
          <w:szCs w:val="16"/>
          <w:lang w:val="es-ES"/>
        </w:rPr>
        <w:tab/>
        <w:t>Art 45.1: “</w:t>
      </w:r>
      <w:r w:rsidRPr="00DA20B0">
        <w:rPr>
          <w:rFonts w:ascii="Verdana" w:hAnsi="Verdana"/>
          <w:i/>
          <w:sz w:val="16"/>
          <w:szCs w:val="16"/>
          <w:lang w:val="es-ES"/>
        </w:rPr>
        <w:t>Todo Estado parte puede, en el momento del depósito de su instrumento de ratificación o adhesión de esta Convención, o en cualquier momento posterior</w:t>
      </w:r>
      <w:r w:rsidRPr="006F2613">
        <w:rPr>
          <w:rFonts w:ascii="Verdana" w:hAnsi="Verdana"/>
          <w:i/>
          <w:sz w:val="16"/>
          <w:szCs w:val="16"/>
          <w:lang w:val="es-ES"/>
        </w:rPr>
        <w:t>, declarar que reconoce la competencia de la Comisión para recibir y examinar las comunicaciones en que un Estado parte alegue que otro Estado parte ha incurrido en violaciones de los derechos humanos establecidos en esta Convención.</w:t>
      </w:r>
      <w:r w:rsidRPr="006F2613">
        <w:rPr>
          <w:rFonts w:ascii="Verdana" w:hAnsi="Verdana"/>
          <w:sz w:val="16"/>
          <w:szCs w:val="16"/>
          <w:lang w:val="es-ES"/>
        </w:rPr>
        <w:t>”</w:t>
      </w:r>
    </w:p>
    <w:p w:rsidR="001A65FF" w:rsidRPr="006F2613" w:rsidRDefault="001A65FF" w:rsidP="006F2613">
      <w:pPr>
        <w:pStyle w:val="Textonotapie"/>
        <w:jc w:val="both"/>
        <w:rPr>
          <w:rFonts w:ascii="Verdana" w:hAnsi="Verdana"/>
          <w:sz w:val="16"/>
          <w:szCs w:val="16"/>
          <w:lang w:val="es-ES"/>
        </w:rPr>
      </w:pPr>
    </w:p>
  </w:footnote>
  <w:footnote w:id="78">
    <w:p w:rsidR="001A65FF" w:rsidRPr="006F2613" w:rsidRDefault="001A65FF" w:rsidP="006F2613">
      <w:pPr>
        <w:pStyle w:val="Textonotapie"/>
        <w:jc w:val="both"/>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lang w:val="es-ES"/>
        </w:rPr>
        <w:t xml:space="preserve"> </w:t>
      </w:r>
      <w:r w:rsidRPr="00DA20B0">
        <w:rPr>
          <w:rFonts w:ascii="Verdana" w:hAnsi="Verdana"/>
          <w:sz w:val="16"/>
          <w:szCs w:val="16"/>
          <w:lang w:val="es-ES"/>
        </w:rPr>
        <w:tab/>
        <w:t>Art 47.b: “</w:t>
      </w:r>
      <w:r w:rsidRPr="00DA20B0">
        <w:rPr>
          <w:rFonts w:ascii="Verdana" w:hAnsi="Verdana"/>
          <w:i/>
          <w:sz w:val="16"/>
          <w:szCs w:val="16"/>
          <w:lang w:val="es-ES"/>
        </w:rPr>
        <w:t>La Comisión declarará inadmisible toda petición o comunicación presentada de acuerdo con los artículos 44 ó 45 cuando: ... no exponga hechos que caractericen una violación de los derechos garantizados por esta Convención</w:t>
      </w:r>
      <w:r w:rsidRPr="006F2613">
        <w:rPr>
          <w:rFonts w:ascii="Verdana" w:hAnsi="Verdana"/>
          <w:sz w:val="16"/>
          <w:szCs w:val="16"/>
          <w:lang w:val="es-ES"/>
        </w:rPr>
        <w:t>;”</w:t>
      </w:r>
    </w:p>
    <w:p w:rsidR="001A65FF" w:rsidRPr="006F2613" w:rsidRDefault="001A65FF" w:rsidP="006F2613">
      <w:pPr>
        <w:pStyle w:val="Textonotapie"/>
        <w:jc w:val="both"/>
        <w:rPr>
          <w:rFonts w:ascii="Verdana" w:hAnsi="Verdana"/>
          <w:sz w:val="16"/>
          <w:szCs w:val="16"/>
          <w:lang w:val="es-ES"/>
        </w:rPr>
      </w:pPr>
    </w:p>
  </w:footnote>
  <w:footnote w:id="79">
    <w:p w:rsidR="001A65FF" w:rsidRPr="00DA20B0" w:rsidRDefault="001A65FF" w:rsidP="006F2613">
      <w:pPr>
        <w:pStyle w:val="Textonotapie"/>
        <w:jc w:val="both"/>
        <w:rPr>
          <w:rFonts w:ascii="Verdana" w:hAnsi="Verdana"/>
          <w:i/>
          <w:sz w:val="16"/>
          <w:szCs w:val="16"/>
          <w:lang w:val="es-ES"/>
        </w:rPr>
      </w:pPr>
      <w:r w:rsidRPr="00DA20B0">
        <w:rPr>
          <w:rStyle w:val="Refdenotaalpie"/>
          <w:rFonts w:ascii="Verdana" w:hAnsi="Verdana"/>
          <w:sz w:val="16"/>
          <w:szCs w:val="16"/>
        </w:rPr>
        <w:footnoteRef/>
      </w:r>
      <w:r w:rsidRPr="00DA20B0">
        <w:rPr>
          <w:rFonts w:ascii="Verdana" w:hAnsi="Verdana"/>
          <w:sz w:val="16"/>
          <w:szCs w:val="16"/>
          <w:lang w:val="es-ES"/>
        </w:rPr>
        <w:t xml:space="preserve"> </w:t>
      </w:r>
      <w:r w:rsidRPr="00DA20B0">
        <w:rPr>
          <w:rFonts w:ascii="Verdana" w:hAnsi="Verdana"/>
          <w:sz w:val="16"/>
          <w:szCs w:val="16"/>
          <w:lang w:val="es-ES"/>
        </w:rPr>
        <w:tab/>
        <w:t>Art.48.1: “</w:t>
      </w:r>
      <w:r w:rsidRPr="00DA20B0">
        <w:rPr>
          <w:rFonts w:ascii="Verdana" w:hAnsi="Verdana"/>
          <w:i/>
          <w:sz w:val="16"/>
          <w:szCs w:val="16"/>
          <w:lang w:val="es-ES"/>
        </w:rPr>
        <w:t>La Comisión, al recibir una petición o comunicación en la que se alegue la violación de cualquiera de los derechos que consagra esta Convención, procederá en los siguientes términos: ...”</w:t>
      </w:r>
    </w:p>
    <w:p w:rsidR="001A65FF" w:rsidRPr="006F2613" w:rsidRDefault="001A65FF" w:rsidP="00B24719">
      <w:pPr>
        <w:pStyle w:val="Textonotapie"/>
        <w:jc w:val="both"/>
        <w:rPr>
          <w:rFonts w:ascii="Verdana" w:hAnsi="Verdana"/>
          <w:sz w:val="16"/>
          <w:szCs w:val="16"/>
          <w:lang w:val="es-ES"/>
        </w:rPr>
      </w:pPr>
    </w:p>
  </w:footnote>
  <w:footnote w:id="80">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Nota 12.</w:t>
      </w:r>
    </w:p>
    <w:p w:rsidR="001A65FF" w:rsidRPr="006F2613" w:rsidRDefault="001A65FF" w:rsidP="00B24719">
      <w:pPr>
        <w:pStyle w:val="Textonotapie"/>
        <w:jc w:val="both"/>
        <w:rPr>
          <w:rFonts w:ascii="Verdana" w:hAnsi="Verdana"/>
          <w:sz w:val="16"/>
          <w:szCs w:val="16"/>
        </w:rPr>
      </w:pPr>
    </w:p>
  </w:footnote>
  <w:footnote w:id="81">
    <w:p w:rsidR="001A65FF" w:rsidRPr="00DA20B0" w:rsidRDefault="001A65FF" w:rsidP="00DA20B0">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Nota 6.</w:t>
      </w:r>
    </w:p>
    <w:p w:rsidR="001A65FF" w:rsidRPr="006F2613" w:rsidRDefault="001A65FF" w:rsidP="006F2613">
      <w:pPr>
        <w:pStyle w:val="Textonotapie"/>
        <w:jc w:val="both"/>
        <w:rPr>
          <w:rFonts w:ascii="Verdana" w:hAnsi="Verdana"/>
          <w:sz w:val="16"/>
          <w:szCs w:val="16"/>
        </w:rPr>
      </w:pPr>
    </w:p>
  </w:footnote>
  <w:footnote w:id="82">
    <w:p w:rsidR="001A65FF" w:rsidRPr="00DA20B0" w:rsidRDefault="001A65FF" w:rsidP="006F2613">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Nota 12.</w:t>
      </w:r>
    </w:p>
    <w:p w:rsidR="001A65FF" w:rsidRPr="006F2613" w:rsidRDefault="001A65FF" w:rsidP="006F2613">
      <w:pPr>
        <w:pStyle w:val="Textonotapie"/>
        <w:jc w:val="both"/>
        <w:rPr>
          <w:rFonts w:ascii="Verdana" w:hAnsi="Verdana"/>
          <w:sz w:val="16"/>
          <w:szCs w:val="16"/>
        </w:rPr>
      </w:pPr>
      <w:r w:rsidRPr="006F2613">
        <w:rPr>
          <w:rFonts w:ascii="Verdana" w:hAnsi="Verdana"/>
          <w:sz w:val="16"/>
          <w:szCs w:val="16"/>
        </w:rPr>
        <w:t>.</w:t>
      </w:r>
    </w:p>
  </w:footnote>
  <w:footnote w:id="83">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 xml:space="preserve">Nota 25. </w:t>
      </w:r>
    </w:p>
    <w:p w:rsidR="001A65FF" w:rsidRPr="006F2613" w:rsidRDefault="001A65FF" w:rsidP="00B24719">
      <w:pPr>
        <w:pStyle w:val="Textonotapie"/>
        <w:jc w:val="both"/>
        <w:rPr>
          <w:rFonts w:ascii="Verdana" w:hAnsi="Verdana"/>
          <w:sz w:val="16"/>
          <w:szCs w:val="16"/>
        </w:rPr>
      </w:pPr>
    </w:p>
  </w:footnote>
  <w:footnote w:id="84">
    <w:p w:rsidR="001A65FF" w:rsidRPr="00B24719" w:rsidRDefault="001A65FF" w:rsidP="00B24719">
      <w:pPr>
        <w:spacing w:after="0" w:line="240" w:lineRule="auto"/>
        <w:ind w:left="0"/>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r>
      <w:r>
        <w:rPr>
          <w:rFonts w:ascii="Verdana" w:hAnsi="Verdana"/>
          <w:sz w:val="16"/>
          <w:szCs w:val="16"/>
        </w:rPr>
        <w:t xml:space="preserve">Nota 67. </w:t>
      </w:r>
    </w:p>
    <w:p w:rsidR="001A65FF" w:rsidRPr="00DA20B0" w:rsidRDefault="001A65FF" w:rsidP="00B24719">
      <w:pPr>
        <w:pStyle w:val="Textonotapie"/>
        <w:jc w:val="both"/>
        <w:rPr>
          <w:rFonts w:ascii="Verdana" w:hAnsi="Verdana"/>
          <w:sz w:val="16"/>
          <w:szCs w:val="16"/>
        </w:rPr>
      </w:pPr>
    </w:p>
  </w:footnote>
  <w:footnote w:id="85">
    <w:p w:rsidR="001A65FF" w:rsidRPr="00DA20B0" w:rsidRDefault="001A65FF" w:rsidP="00B24719">
      <w:pPr>
        <w:pStyle w:val="Textonotapie"/>
        <w:jc w:val="both"/>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lang w:val="es-ES"/>
        </w:rPr>
        <w:t xml:space="preserve"> </w:t>
      </w:r>
      <w:r w:rsidRPr="00DA20B0">
        <w:rPr>
          <w:rFonts w:ascii="Verdana" w:hAnsi="Verdana"/>
          <w:sz w:val="16"/>
          <w:szCs w:val="16"/>
          <w:lang w:val="es-ES"/>
        </w:rPr>
        <w:tab/>
        <w:t xml:space="preserve">Voto concurrente del Juez Alberto Pérez Pérez, </w:t>
      </w:r>
      <w:r w:rsidRPr="00DA20B0">
        <w:rPr>
          <w:rFonts w:ascii="Verdana" w:hAnsi="Verdana"/>
          <w:i/>
          <w:sz w:val="16"/>
          <w:szCs w:val="16"/>
          <w:lang w:val="es-ES"/>
        </w:rPr>
        <w:t>Caso Gonzales Lluy y Otros Vs. Ecuador,</w:t>
      </w:r>
      <w:r w:rsidRPr="00DA20B0">
        <w:rPr>
          <w:rFonts w:ascii="Verdana" w:hAnsi="Verdana"/>
          <w:sz w:val="16"/>
          <w:szCs w:val="16"/>
          <w:lang w:val="es-ES"/>
        </w:rPr>
        <w:t xml:space="preserve"> Sentencia de 1 de septiembre de 2015, (Excepciones Preliminares, Fondo, Reparaciones y Costas).</w:t>
      </w:r>
    </w:p>
    <w:p w:rsidR="001A65FF" w:rsidRPr="006F2613" w:rsidRDefault="001A65FF" w:rsidP="00B24719">
      <w:pPr>
        <w:pStyle w:val="Textonotapie"/>
        <w:jc w:val="both"/>
        <w:rPr>
          <w:rFonts w:ascii="Verdana" w:hAnsi="Verdana"/>
          <w:i/>
          <w:sz w:val="16"/>
          <w:szCs w:val="16"/>
          <w:lang w:val="es-ES"/>
        </w:rPr>
      </w:pPr>
    </w:p>
  </w:footnote>
  <w:footnote w:id="86">
    <w:p w:rsidR="001A65FF" w:rsidRPr="00DA20B0" w:rsidRDefault="001A65FF" w:rsidP="00B24719">
      <w:pPr>
        <w:pStyle w:val="Textonotapie"/>
        <w:spacing w:after="120"/>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Nota 44.</w:t>
      </w:r>
    </w:p>
  </w:footnote>
  <w:footnote w:id="87">
    <w:p w:rsidR="001A65FF" w:rsidRPr="00DA20B0" w:rsidRDefault="001A65FF" w:rsidP="00B24719">
      <w:pPr>
        <w:pStyle w:val="Textonotapie"/>
        <w:spacing w:after="120"/>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Párr.37.</w:t>
      </w:r>
    </w:p>
  </w:footnote>
  <w:footnote w:id="88">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Nota 44.</w:t>
      </w:r>
    </w:p>
    <w:p w:rsidR="001A65FF" w:rsidRPr="006F2613" w:rsidRDefault="001A65FF" w:rsidP="00B24719">
      <w:pPr>
        <w:pStyle w:val="Textonotapie"/>
        <w:jc w:val="both"/>
        <w:rPr>
          <w:rFonts w:ascii="Verdana" w:hAnsi="Verdana"/>
          <w:sz w:val="16"/>
          <w:szCs w:val="16"/>
        </w:rPr>
      </w:pPr>
    </w:p>
  </w:footnote>
  <w:footnote w:id="89">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Párr.34.</w:t>
      </w:r>
    </w:p>
    <w:p w:rsidR="001A65FF" w:rsidRPr="006F2613" w:rsidRDefault="001A65FF" w:rsidP="00B24719">
      <w:pPr>
        <w:pStyle w:val="Textonotapie"/>
        <w:jc w:val="both"/>
        <w:rPr>
          <w:rFonts w:ascii="Verdana" w:hAnsi="Verdana"/>
          <w:sz w:val="16"/>
          <w:szCs w:val="16"/>
        </w:rPr>
      </w:pPr>
    </w:p>
  </w:footnote>
  <w:footnote w:id="90">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Párr.146.</w:t>
      </w:r>
    </w:p>
    <w:p w:rsidR="001A65FF" w:rsidRPr="006F2613" w:rsidRDefault="001A65FF" w:rsidP="00B24719">
      <w:pPr>
        <w:pStyle w:val="Textonotapie"/>
        <w:jc w:val="both"/>
        <w:rPr>
          <w:rFonts w:ascii="Verdana" w:hAnsi="Verdana"/>
          <w:sz w:val="16"/>
          <w:szCs w:val="16"/>
        </w:rPr>
      </w:pPr>
    </w:p>
  </w:footnote>
  <w:footnote w:id="91">
    <w:p w:rsidR="001A65FF" w:rsidRPr="006F2613"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Párr.143.</w:t>
      </w:r>
      <w:r w:rsidRPr="006F2613">
        <w:rPr>
          <w:rFonts w:ascii="Verdana" w:hAnsi="Verdana"/>
          <w:sz w:val="16"/>
          <w:szCs w:val="16"/>
        </w:rPr>
        <w:t xml:space="preserve"> </w:t>
      </w:r>
    </w:p>
    <w:p w:rsidR="001A65FF" w:rsidRPr="006F2613" w:rsidRDefault="001A65FF" w:rsidP="00B24719">
      <w:pPr>
        <w:pStyle w:val="Textonotapie"/>
        <w:jc w:val="both"/>
        <w:rPr>
          <w:rFonts w:ascii="Verdana" w:hAnsi="Verdana"/>
          <w:sz w:val="16"/>
          <w:szCs w:val="16"/>
        </w:rPr>
      </w:pPr>
    </w:p>
  </w:footnote>
  <w:footnote w:id="92">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Nota 10.</w:t>
      </w:r>
    </w:p>
    <w:p w:rsidR="001A65FF" w:rsidRPr="006F2613" w:rsidRDefault="001A65FF" w:rsidP="00B24719">
      <w:pPr>
        <w:pStyle w:val="Textonotapie"/>
        <w:jc w:val="both"/>
        <w:rPr>
          <w:rFonts w:ascii="Verdana" w:hAnsi="Verdana"/>
          <w:sz w:val="16"/>
          <w:szCs w:val="16"/>
        </w:rPr>
      </w:pPr>
    </w:p>
  </w:footnote>
  <w:footnote w:id="93">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Párr.36.</w:t>
      </w:r>
    </w:p>
    <w:p w:rsidR="001A65FF" w:rsidRPr="006F2613" w:rsidRDefault="001A65FF" w:rsidP="00B24719">
      <w:pPr>
        <w:pStyle w:val="Textonotapie"/>
        <w:jc w:val="both"/>
        <w:rPr>
          <w:rFonts w:ascii="Verdana" w:hAnsi="Verdana"/>
          <w:sz w:val="16"/>
          <w:szCs w:val="16"/>
        </w:rPr>
      </w:pPr>
    </w:p>
  </w:footnote>
  <w:footnote w:id="94">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Nota 1 del mencionado Fallo.</w:t>
      </w:r>
    </w:p>
    <w:p w:rsidR="001A65FF" w:rsidRPr="006F2613" w:rsidRDefault="001A65FF" w:rsidP="00B24719">
      <w:pPr>
        <w:pStyle w:val="Textonotapie"/>
        <w:jc w:val="both"/>
        <w:rPr>
          <w:rFonts w:ascii="Verdana" w:hAnsi="Verdana"/>
          <w:sz w:val="16"/>
          <w:szCs w:val="16"/>
        </w:rPr>
      </w:pPr>
    </w:p>
  </w:footnote>
  <w:footnote w:id="95">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En adelante, el Fallo.</w:t>
      </w:r>
    </w:p>
    <w:p w:rsidR="001A65FF" w:rsidRPr="006F2613" w:rsidRDefault="001A65FF" w:rsidP="00B24719">
      <w:pPr>
        <w:pStyle w:val="Textonotapie"/>
        <w:jc w:val="both"/>
        <w:rPr>
          <w:rFonts w:ascii="Verdana" w:hAnsi="Verdana"/>
          <w:sz w:val="16"/>
          <w:szCs w:val="16"/>
        </w:rPr>
      </w:pPr>
    </w:p>
  </w:footnote>
  <w:footnote w:id="96">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Párr.36.</w:t>
      </w:r>
    </w:p>
    <w:p w:rsidR="001A65FF" w:rsidRPr="006F2613" w:rsidRDefault="001A65FF" w:rsidP="00B24719">
      <w:pPr>
        <w:pStyle w:val="Textonotapie"/>
        <w:jc w:val="both"/>
        <w:rPr>
          <w:rFonts w:ascii="Verdana" w:hAnsi="Verdana"/>
          <w:sz w:val="16"/>
          <w:szCs w:val="16"/>
        </w:rPr>
      </w:pPr>
    </w:p>
  </w:footnote>
  <w:footnote w:id="97">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Nota 53.</w:t>
      </w:r>
    </w:p>
    <w:p w:rsidR="001A65FF" w:rsidRPr="006F2613" w:rsidRDefault="001A65FF" w:rsidP="00B24719">
      <w:pPr>
        <w:pStyle w:val="Textonotapie"/>
        <w:jc w:val="both"/>
        <w:rPr>
          <w:rFonts w:ascii="Verdana" w:hAnsi="Verdana"/>
          <w:sz w:val="16"/>
          <w:szCs w:val="16"/>
        </w:rPr>
      </w:pPr>
    </w:p>
  </w:footnote>
  <w:footnote w:id="98">
    <w:p w:rsidR="001A65FF" w:rsidRPr="00DA20B0" w:rsidRDefault="001A65FF" w:rsidP="00DA20B0">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Párr.78 del Fallo.</w:t>
      </w:r>
    </w:p>
    <w:p w:rsidR="001A65FF" w:rsidRPr="006F2613" w:rsidRDefault="001A65FF" w:rsidP="006F2613">
      <w:pPr>
        <w:pStyle w:val="Textonotapie"/>
        <w:jc w:val="both"/>
        <w:rPr>
          <w:rFonts w:ascii="Verdana" w:hAnsi="Verdana"/>
          <w:sz w:val="16"/>
          <w:szCs w:val="16"/>
        </w:rPr>
      </w:pPr>
    </w:p>
  </w:footnote>
  <w:footnote w:id="99">
    <w:p w:rsidR="001A65FF" w:rsidRPr="00DA20B0" w:rsidRDefault="001A65FF" w:rsidP="006F2613">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Párr.78 del Fallo.</w:t>
      </w:r>
    </w:p>
    <w:p w:rsidR="001A65FF" w:rsidRPr="006F2613" w:rsidRDefault="001A65FF" w:rsidP="006F2613">
      <w:pPr>
        <w:pStyle w:val="Textonotapie"/>
        <w:jc w:val="both"/>
        <w:rPr>
          <w:rFonts w:ascii="Verdana" w:hAnsi="Verdana"/>
          <w:sz w:val="16"/>
          <w:szCs w:val="16"/>
        </w:rPr>
      </w:pPr>
    </w:p>
  </w:footnote>
  <w:footnote w:id="100">
    <w:p w:rsidR="001A65FF" w:rsidRPr="00DA20B0" w:rsidRDefault="001A65FF" w:rsidP="006F2613">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Diccionario de la Lengua Española, Real Academia Española, 2018.</w:t>
      </w:r>
    </w:p>
    <w:p w:rsidR="001A65FF" w:rsidRPr="006F2613" w:rsidRDefault="001A65FF" w:rsidP="00B24719">
      <w:pPr>
        <w:pStyle w:val="Textonotapie"/>
        <w:jc w:val="both"/>
        <w:rPr>
          <w:rFonts w:ascii="Verdana" w:hAnsi="Verdana"/>
          <w:sz w:val="16"/>
          <w:szCs w:val="16"/>
        </w:rPr>
      </w:pPr>
    </w:p>
  </w:footnote>
  <w:footnote w:id="101">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Párr.79 Fallo.</w:t>
      </w:r>
    </w:p>
    <w:p w:rsidR="001A65FF" w:rsidRPr="006F2613" w:rsidRDefault="001A65FF" w:rsidP="00B24719">
      <w:pPr>
        <w:pStyle w:val="Textonotapie"/>
        <w:jc w:val="both"/>
        <w:rPr>
          <w:rFonts w:ascii="Verdana" w:hAnsi="Verdana"/>
          <w:sz w:val="16"/>
          <w:szCs w:val="16"/>
        </w:rPr>
      </w:pPr>
    </w:p>
  </w:footnote>
  <w:footnote w:id="102">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Nota 53</w:t>
      </w:r>
      <w:r w:rsidRPr="00DA20B0">
        <w:rPr>
          <w:rFonts w:ascii="Verdana" w:hAnsi="Verdana"/>
          <w:sz w:val="16"/>
          <w:szCs w:val="16"/>
        </w:rPr>
        <w:t>.</w:t>
      </w:r>
    </w:p>
    <w:p w:rsidR="001A65FF" w:rsidRPr="006F2613" w:rsidRDefault="001A65FF" w:rsidP="00B24719">
      <w:pPr>
        <w:pStyle w:val="Textonotapie"/>
        <w:jc w:val="both"/>
        <w:rPr>
          <w:rFonts w:ascii="Verdana" w:hAnsi="Verdana"/>
          <w:sz w:val="16"/>
          <w:szCs w:val="16"/>
        </w:rPr>
      </w:pPr>
    </w:p>
  </w:footnote>
  <w:footnote w:id="103">
    <w:p w:rsidR="001A65FF" w:rsidRPr="00DA20B0" w:rsidRDefault="001A65FF" w:rsidP="00DA20B0">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Diccionario de la Lengua Española, Diccionario de la Lengua Española, 2018.</w:t>
      </w:r>
    </w:p>
    <w:p w:rsidR="001A65FF" w:rsidRPr="006F2613" w:rsidRDefault="001A65FF" w:rsidP="006F2613">
      <w:pPr>
        <w:pStyle w:val="Textonotapie"/>
        <w:jc w:val="both"/>
        <w:rPr>
          <w:rFonts w:ascii="Verdana" w:hAnsi="Verdana"/>
          <w:sz w:val="16"/>
          <w:szCs w:val="16"/>
        </w:rPr>
      </w:pPr>
    </w:p>
  </w:footnote>
  <w:footnote w:id="104">
    <w:p w:rsidR="001A65FF" w:rsidRPr="00DA20B0" w:rsidRDefault="001A65FF" w:rsidP="006F2613">
      <w:pPr>
        <w:pStyle w:val="Textonotapie"/>
        <w:jc w:val="both"/>
        <w:rPr>
          <w:rFonts w:ascii="Verdana" w:hAnsi="Verdana"/>
          <w:sz w:val="16"/>
          <w:szCs w:val="16"/>
        </w:rPr>
      </w:pPr>
      <w:r w:rsidRPr="00DA20B0">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Nota 53</w:t>
      </w:r>
      <w:r w:rsidRPr="00DA20B0">
        <w:rPr>
          <w:rFonts w:ascii="Verdana" w:hAnsi="Verdana"/>
          <w:sz w:val="16"/>
          <w:szCs w:val="16"/>
        </w:rPr>
        <w:t>.</w:t>
      </w:r>
    </w:p>
    <w:p w:rsidR="001A65FF" w:rsidRPr="006F2613" w:rsidRDefault="001A65FF" w:rsidP="006F2613">
      <w:pPr>
        <w:pStyle w:val="Textonotapie"/>
        <w:jc w:val="both"/>
        <w:rPr>
          <w:rFonts w:ascii="Verdana" w:hAnsi="Verdana"/>
          <w:sz w:val="16"/>
          <w:szCs w:val="16"/>
        </w:rPr>
      </w:pPr>
    </w:p>
  </w:footnote>
  <w:footnote w:id="105">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Párr.33, d)</w:t>
      </w:r>
      <w:r w:rsidRPr="00DA20B0">
        <w:rPr>
          <w:rFonts w:ascii="Verdana" w:hAnsi="Verdana"/>
          <w:sz w:val="16"/>
          <w:szCs w:val="16"/>
        </w:rPr>
        <w:t>.</w:t>
      </w:r>
    </w:p>
    <w:p w:rsidR="001A65FF" w:rsidRPr="006F2613" w:rsidRDefault="001A65FF" w:rsidP="00B24719">
      <w:pPr>
        <w:pStyle w:val="Textonotapie"/>
        <w:jc w:val="both"/>
        <w:rPr>
          <w:rFonts w:ascii="Verdana" w:hAnsi="Verdana"/>
          <w:sz w:val="16"/>
          <w:szCs w:val="16"/>
        </w:rPr>
      </w:pPr>
      <w:r w:rsidRPr="006F2613">
        <w:rPr>
          <w:rFonts w:ascii="Verdana" w:hAnsi="Verdana"/>
          <w:sz w:val="16"/>
          <w:szCs w:val="16"/>
        </w:rPr>
        <w:t xml:space="preserve"> </w:t>
      </w:r>
    </w:p>
  </w:footnote>
  <w:footnote w:id="106">
    <w:p w:rsidR="001A65FF" w:rsidRDefault="001A65FF">
      <w:pPr>
        <w:pStyle w:val="Textonotapie"/>
        <w:rPr>
          <w:rFonts w:ascii="Verdana" w:hAnsi="Verdana"/>
          <w:sz w:val="16"/>
          <w:szCs w:val="16"/>
        </w:rPr>
      </w:pPr>
      <w:r w:rsidRPr="00AB1AAD">
        <w:rPr>
          <w:rStyle w:val="Refdenotaalpie"/>
          <w:rFonts w:ascii="Verdana" w:hAnsi="Verdana"/>
          <w:sz w:val="16"/>
          <w:szCs w:val="16"/>
        </w:rPr>
        <w:footnoteRef/>
      </w:r>
      <w:r w:rsidRPr="00AB1AAD">
        <w:rPr>
          <w:rFonts w:ascii="Verdana" w:hAnsi="Verdana"/>
          <w:sz w:val="16"/>
          <w:szCs w:val="16"/>
        </w:rPr>
        <w:t xml:space="preserve"> </w:t>
      </w:r>
      <w:r>
        <w:rPr>
          <w:rFonts w:ascii="Verdana" w:hAnsi="Verdana"/>
          <w:sz w:val="16"/>
          <w:szCs w:val="16"/>
        </w:rPr>
        <w:t xml:space="preserve">        </w:t>
      </w:r>
      <w:r w:rsidRPr="00AB1AAD">
        <w:rPr>
          <w:rFonts w:ascii="Verdana" w:hAnsi="Verdana"/>
          <w:i/>
          <w:sz w:val="16"/>
          <w:szCs w:val="16"/>
        </w:rPr>
        <w:t>Idem</w:t>
      </w:r>
      <w:r>
        <w:rPr>
          <w:rFonts w:ascii="Verdana" w:hAnsi="Verdana"/>
          <w:sz w:val="16"/>
          <w:szCs w:val="16"/>
        </w:rPr>
        <w:t>.</w:t>
      </w:r>
    </w:p>
    <w:p w:rsidR="001A65FF" w:rsidRPr="00AB1AAD" w:rsidRDefault="001A65FF">
      <w:pPr>
        <w:pStyle w:val="Textonotapie"/>
        <w:rPr>
          <w:rFonts w:ascii="Verdana" w:hAnsi="Verdana"/>
          <w:sz w:val="16"/>
          <w:szCs w:val="16"/>
        </w:rPr>
      </w:pPr>
    </w:p>
  </w:footnote>
  <w:footnote w:id="107">
    <w:p w:rsidR="001A65FF" w:rsidRPr="00DA20B0" w:rsidRDefault="001A65FF" w:rsidP="00DA20B0">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Párr.83 del Fallo.</w:t>
      </w:r>
    </w:p>
    <w:p w:rsidR="001A65FF" w:rsidRPr="006F2613" w:rsidRDefault="001A65FF" w:rsidP="006F2613">
      <w:pPr>
        <w:pStyle w:val="Textonotapie"/>
        <w:jc w:val="both"/>
        <w:rPr>
          <w:rFonts w:ascii="Verdana" w:hAnsi="Verdana"/>
          <w:sz w:val="16"/>
          <w:szCs w:val="16"/>
        </w:rPr>
      </w:pPr>
    </w:p>
  </w:footnote>
  <w:footnote w:id="108">
    <w:p w:rsidR="001A65FF" w:rsidRPr="00DA20B0" w:rsidRDefault="001A65FF" w:rsidP="006F2613">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 84 del Fallo.</w:t>
      </w:r>
    </w:p>
    <w:p w:rsidR="001A65FF" w:rsidRPr="006F2613" w:rsidRDefault="001A65FF" w:rsidP="006F2613">
      <w:pPr>
        <w:pStyle w:val="Textonotapie"/>
        <w:jc w:val="both"/>
        <w:rPr>
          <w:rFonts w:ascii="Verdana" w:hAnsi="Verdana"/>
          <w:sz w:val="16"/>
          <w:szCs w:val="16"/>
        </w:rPr>
      </w:pPr>
    </w:p>
  </w:footnote>
  <w:footnote w:id="109">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 85 del Fallo.</w:t>
      </w:r>
    </w:p>
    <w:p w:rsidR="001A65FF" w:rsidRPr="006F2613" w:rsidRDefault="001A65FF" w:rsidP="00B24719">
      <w:pPr>
        <w:pStyle w:val="Textonotapie"/>
        <w:jc w:val="both"/>
        <w:rPr>
          <w:rFonts w:ascii="Verdana" w:hAnsi="Verdana"/>
          <w:sz w:val="16"/>
          <w:szCs w:val="16"/>
        </w:rPr>
      </w:pPr>
    </w:p>
  </w:footnote>
  <w:footnote w:id="110">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Párr.86 del Fallo.</w:t>
      </w:r>
    </w:p>
    <w:p w:rsidR="001A65FF" w:rsidRPr="006F2613" w:rsidRDefault="001A65FF" w:rsidP="00B24719">
      <w:pPr>
        <w:pStyle w:val="Textonotapie"/>
        <w:jc w:val="both"/>
        <w:rPr>
          <w:rFonts w:ascii="Verdana" w:hAnsi="Verdana"/>
          <w:sz w:val="16"/>
          <w:szCs w:val="16"/>
        </w:rPr>
      </w:pPr>
    </w:p>
  </w:footnote>
  <w:footnote w:id="111">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Nota 50.</w:t>
      </w:r>
    </w:p>
    <w:p w:rsidR="001A65FF" w:rsidRPr="006F2613" w:rsidRDefault="001A65FF" w:rsidP="00B24719">
      <w:pPr>
        <w:pStyle w:val="Textonotapie"/>
        <w:jc w:val="both"/>
        <w:rPr>
          <w:rFonts w:ascii="Verdana" w:hAnsi="Verdana"/>
          <w:sz w:val="16"/>
          <w:szCs w:val="16"/>
        </w:rPr>
      </w:pPr>
    </w:p>
  </w:footnote>
  <w:footnote w:id="112">
    <w:p w:rsidR="001A65FF" w:rsidRPr="00AB1AAD" w:rsidRDefault="001A65FF">
      <w:pPr>
        <w:pStyle w:val="Textonotapie"/>
        <w:rPr>
          <w:rFonts w:ascii="Verdana" w:hAnsi="Verdana"/>
          <w:sz w:val="16"/>
          <w:szCs w:val="16"/>
        </w:rPr>
      </w:pPr>
      <w:r w:rsidRPr="00AB1AAD">
        <w:rPr>
          <w:rStyle w:val="Refdenotaalpie"/>
          <w:rFonts w:ascii="Verdana" w:hAnsi="Verdana"/>
          <w:sz w:val="16"/>
          <w:szCs w:val="16"/>
        </w:rPr>
        <w:footnoteRef/>
      </w:r>
      <w:r w:rsidRPr="00AB1AAD">
        <w:rPr>
          <w:rFonts w:ascii="Verdana" w:hAnsi="Verdana"/>
          <w:sz w:val="16"/>
          <w:szCs w:val="16"/>
        </w:rPr>
        <w:t xml:space="preserve"> </w:t>
      </w:r>
      <w:r>
        <w:rPr>
          <w:rFonts w:ascii="Verdana" w:hAnsi="Verdana"/>
          <w:sz w:val="16"/>
          <w:szCs w:val="16"/>
        </w:rPr>
        <w:t xml:space="preserve">        Párr 33, d).</w:t>
      </w:r>
    </w:p>
    <w:p w:rsidR="001A65FF" w:rsidRDefault="001A65FF">
      <w:pPr>
        <w:pStyle w:val="Textonotapie"/>
      </w:pPr>
    </w:p>
  </w:footnote>
  <w:footnote w:id="113">
    <w:p w:rsidR="001A65FF" w:rsidRPr="00B24719" w:rsidRDefault="001A65FF" w:rsidP="00DA20B0">
      <w:pPr>
        <w:pStyle w:val="Textonotapie"/>
        <w:jc w:val="both"/>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lang w:val="es-ES"/>
        </w:rPr>
        <w:t xml:space="preserve"> </w:t>
      </w:r>
      <w:r w:rsidRPr="00DA20B0">
        <w:rPr>
          <w:rFonts w:ascii="Verdana" w:hAnsi="Verdana"/>
          <w:sz w:val="16"/>
          <w:szCs w:val="16"/>
          <w:lang w:val="es-ES"/>
        </w:rPr>
        <w:tab/>
        <w:t>En lo sucesivo, cada vez que se haga referencia a los derechos “</w:t>
      </w:r>
      <w:r w:rsidRPr="00DA20B0">
        <w:rPr>
          <w:rFonts w:ascii="Verdana" w:hAnsi="Verdana"/>
          <w:i/>
          <w:sz w:val="16"/>
          <w:szCs w:val="16"/>
          <w:lang w:val="es-ES"/>
        </w:rPr>
        <w:t>reconocidos</w:t>
      </w:r>
      <w:r w:rsidRPr="00DA20B0">
        <w:rPr>
          <w:rFonts w:ascii="Verdana" w:hAnsi="Verdana"/>
          <w:sz w:val="16"/>
          <w:szCs w:val="16"/>
          <w:lang w:val="es-ES"/>
        </w:rPr>
        <w:t>” en la Convención, se deberá entender que se incluyen también a los “</w:t>
      </w:r>
      <w:r w:rsidRPr="006F2613">
        <w:rPr>
          <w:rFonts w:ascii="Verdana" w:hAnsi="Verdana"/>
          <w:i/>
          <w:sz w:val="16"/>
          <w:szCs w:val="16"/>
          <w:lang w:val="es-ES"/>
        </w:rPr>
        <w:t>establecidos</w:t>
      </w:r>
      <w:r w:rsidRPr="006F2613">
        <w:rPr>
          <w:rFonts w:ascii="Verdana" w:hAnsi="Verdana"/>
          <w:sz w:val="16"/>
          <w:szCs w:val="16"/>
          <w:lang w:val="es-ES"/>
        </w:rPr>
        <w:t>”, “</w:t>
      </w:r>
      <w:r w:rsidRPr="006F2613">
        <w:rPr>
          <w:rFonts w:ascii="Verdana" w:hAnsi="Verdana"/>
          <w:i/>
          <w:sz w:val="16"/>
          <w:szCs w:val="16"/>
          <w:lang w:val="es-ES"/>
        </w:rPr>
        <w:t>garantizados</w:t>
      </w:r>
      <w:r w:rsidRPr="006F2613">
        <w:rPr>
          <w:rFonts w:ascii="Verdana" w:hAnsi="Verdana"/>
          <w:sz w:val="16"/>
          <w:szCs w:val="16"/>
          <w:lang w:val="es-ES"/>
        </w:rPr>
        <w:t>”, “</w:t>
      </w:r>
      <w:r w:rsidRPr="00B24719">
        <w:rPr>
          <w:rFonts w:ascii="Verdana" w:hAnsi="Verdana"/>
          <w:i/>
          <w:sz w:val="16"/>
          <w:szCs w:val="16"/>
          <w:lang w:val="es-ES"/>
        </w:rPr>
        <w:t>consagrados</w:t>
      </w:r>
      <w:r w:rsidRPr="00B24719">
        <w:rPr>
          <w:rFonts w:ascii="Verdana" w:hAnsi="Verdana"/>
          <w:sz w:val="16"/>
          <w:szCs w:val="16"/>
          <w:lang w:val="es-ES"/>
        </w:rPr>
        <w:t>” o “</w:t>
      </w:r>
      <w:r w:rsidRPr="00B24719">
        <w:rPr>
          <w:rFonts w:ascii="Verdana" w:hAnsi="Verdana"/>
          <w:i/>
          <w:sz w:val="16"/>
          <w:szCs w:val="16"/>
          <w:lang w:val="es-ES"/>
        </w:rPr>
        <w:t>protegidos”</w:t>
      </w:r>
      <w:r w:rsidRPr="00B24719">
        <w:rPr>
          <w:rFonts w:ascii="Verdana" w:hAnsi="Verdana"/>
          <w:sz w:val="16"/>
          <w:szCs w:val="16"/>
          <w:lang w:val="es-ES"/>
        </w:rPr>
        <w:t xml:space="preserve"> en ella.</w:t>
      </w:r>
    </w:p>
    <w:p w:rsidR="001A65FF" w:rsidRPr="00B24719" w:rsidRDefault="001A65FF" w:rsidP="006F2613">
      <w:pPr>
        <w:pStyle w:val="Textonotapie"/>
        <w:jc w:val="both"/>
        <w:rPr>
          <w:rFonts w:ascii="Verdana" w:hAnsi="Verdana"/>
          <w:sz w:val="16"/>
          <w:szCs w:val="16"/>
          <w:lang w:val="es-ES"/>
        </w:rPr>
      </w:pPr>
    </w:p>
  </w:footnote>
  <w:footnote w:id="114">
    <w:p w:rsidR="001A65FF" w:rsidRPr="00DA20B0" w:rsidRDefault="001A65FF" w:rsidP="006F2613">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Párr.85 del Fallo.</w:t>
      </w:r>
    </w:p>
    <w:p w:rsidR="001A65FF" w:rsidRPr="006F2613" w:rsidRDefault="001A65FF" w:rsidP="006F2613">
      <w:pPr>
        <w:pStyle w:val="Textonotapie"/>
        <w:jc w:val="both"/>
        <w:rPr>
          <w:rFonts w:ascii="Verdana" w:hAnsi="Verdana"/>
          <w:sz w:val="16"/>
          <w:szCs w:val="16"/>
        </w:rPr>
      </w:pPr>
    </w:p>
  </w:footnote>
  <w:footnote w:id="115">
    <w:p w:rsidR="001A65FF" w:rsidRPr="00DA20B0" w:rsidRDefault="001A65FF" w:rsidP="006F2613">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Párrs. 88 y 89 del Fallo.</w:t>
      </w:r>
    </w:p>
    <w:p w:rsidR="001A65FF" w:rsidRPr="006F2613" w:rsidRDefault="001A65FF" w:rsidP="00B24719">
      <w:pPr>
        <w:pStyle w:val="Textonotapie"/>
        <w:jc w:val="both"/>
        <w:rPr>
          <w:rFonts w:ascii="Verdana" w:hAnsi="Verdana"/>
          <w:sz w:val="16"/>
          <w:szCs w:val="16"/>
        </w:rPr>
      </w:pPr>
    </w:p>
  </w:footnote>
  <w:footnote w:id="116">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 xml:space="preserve">Párr.89 del Fallo. </w:t>
      </w:r>
    </w:p>
    <w:p w:rsidR="001A65FF" w:rsidRPr="006F2613" w:rsidRDefault="001A65FF" w:rsidP="00B24719">
      <w:pPr>
        <w:pStyle w:val="Textonotapie"/>
        <w:jc w:val="both"/>
        <w:rPr>
          <w:rFonts w:ascii="Verdana" w:hAnsi="Verdana"/>
          <w:sz w:val="16"/>
          <w:szCs w:val="16"/>
        </w:rPr>
      </w:pPr>
    </w:p>
  </w:footnote>
  <w:footnote w:id="117">
    <w:p w:rsidR="001A65FF" w:rsidRPr="006F2613" w:rsidRDefault="001A65FF" w:rsidP="00B24719">
      <w:pPr>
        <w:autoSpaceDE w:val="0"/>
        <w:autoSpaceDN w:val="0"/>
        <w:adjustRightInd w:val="0"/>
        <w:spacing w:after="0" w:line="240" w:lineRule="auto"/>
        <w:ind w:left="0"/>
        <w:rPr>
          <w:rFonts w:ascii="Verdana" w:hAnsi="Verdana" w:cs="Times New Roman"/>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Art.</w:t>
      </w:r>
      <w:r w:rsidRPr="00DA20B0">
        <w:rPr>
          <w:rFonts w:ascii="Verdana" w:hAnsi="Verdana" w:cs="Times New Roman"/>
          <w:bCs/>
          <w:sz w:val="16"/>
          <w:szCs w:val="16"/>
        </w:rPr>
        <w:t xml:space="preserve">39: </w:t>
      </w:r>
      <w:r w:rsidRPr="00DA20B0">
        <w:rPr>
          <w:rFonts w:ascii="Verdana" w:hAnsi="Verdana" w:cs="Times New Roman"/>
          <w:bCs/>
          <w:i/>
          <w:sz w:val="16"/>
          <w:szCs w:val="16"/>
        </w:rPr>
        <w:t xml:space="preserve">“Norma general concerniente a la enmienda de los tratados. </w:t>
      </w:r>
      <w:r w:rsidRPr="00DA20B0">
        <w:rPr>
          <w:rFonts w:ascii="Verdana" w:hAnsi="Verdana" w:cs="Times New Roman"/>
          <w:i/>
          <w:sz w:val="16"/>
          <w:szCs w:val="16"/>
        </w:rPr>
        <w:t>Un tratado podrá ser</w:t>
      </w:r>
      <w:r w:rsidRPr="00DA20B0">
        <w:rPr>
          <w:rFonts w:ascii="Verdana" w:hAnsi="Verdana" w:cs="Times New Roman"/>
          <w:bCs/>
          <w:i/>
          <w:sz w:val="16"/>
          <w:szCs w:val="16"/>
        </w:rPr>
        <w:t xml:space="preserve"> </w:t>
      </w:r>
      <w:r w:rsidRPr="006F2613">
        <w:rPr>
          <w:rFonts w:ascii="Verdana" w:hAnsi="Verdana" w:cs="Times New Roman"/>
          <w:i/>
          <w:sz w:val="16"/>
          <w:szCs w:val="16"/>
        </w:rPr>
        <w:t>enmendado por acuerdo entre las partes. Se aplicarán a tal acuerdo las normas enunciadas en la Parte II, salvo en la medida en que el tratado disponga otra cosa</w:t>
      </w:r>
      <w:r w:rsidRPr="006F2613">
        <w:rPr>
          <w:rFonts w:ascii="Verdana" w:hAnsi="Verdana" w:cs="Times New Roman"/>
          <w:sz w:val="16"/>
          <w:szCs w:val="16"/>
        </w:rPr>
        <w:t>.”</w:t>
      </w:r>
    </w:p>
    <w:p w:rsidR="001A65FF" w:rsidRPr="00B24719" w:rsidRDefault="001A65FF" w:rsidP="00B24719">
      <w:pPr>
        <w:autoSpaceDE w:val="0"/>
        <w:autoSpaceDN w:val="0"/>
        <w:adjustRightInd w:val="0"/>
        <w:spacing w:after="0" w:line="240" w:lineRule="auto"/>
        <w:ind w:left="0"/>
        <w:rPr>
          <w:rFonts w:ascii="Verdana" w:hAnsi="Verdana" w:cs="Times New Roman"/>
          <w:i/>
          <w:sz w:val="16"/>
          <w:szCs w:val="16"/>
        </w:rPr>
      </w:pPr>
      <w:r w:rsidRPr="006F2613">
        <w:rPr>
          <w:rFonts w:ascii="Verdana" w:hAnsi="Verdana" w:cs="Times New Roman"/>
          <w:bCs/>
          <w:sz w:val="16"/>
          <w:szCs w:val="16"/>
        </w:rPr>
        <w:t xml:space="preserve">Art.40: </w:t>
      </w:r>
      <w:r w:rsidRPr="006F2613">
        <w:rPr>
          <w:rFonts w:ascii="Verdana" w:hAnsi="Verdana" w:cs="Times New Roman"/>
          <w:bCs/>
          <w:i/>
          <w:sz w:val="16"/>
          <w:szCs w:val="16"/>
        </w:rPr>
        <w:t xml:space="preserve">“Enmienda </w:t>
      </w:r>
      <w:r w:rsidRPr="00B24719">
        <w:rPr>
          <w:rFonts w:ascii="Verdana" w:hAnsi="Verdana" w:cs="Times New Roman"/>
          <w:bCs/>
          <w:i/>
          <w:sz w:val="16"/>
          <w:szCs w:val="16"/>
        </w:rPr>
        <w:t xml:space="preserve">de los tratados multilaterales. </w:t>
      </w:r>
      <w:r w:rsidRPr="00B24719">
        <w:rPr>
          <w:rFonts w:ascii="Verdana" w:hAnsi="Verdana" w:cs="Times New Roman"/>
          <w:i/>
          <w:sz w:val="16"/>
          <w:szCs w:val="16"/>
        </w:rPr>
        <w:t>1. Salvo que el tratado disponga otra cosa, la enmienda de los tratados multilaterales se regirá por los párrafos siguientes.</w:t>
      </w:r>
    </w:p>
    <w:p w:rsidR="001A65FF" w:rsidRPr="00B24719" w:rsidRDefault="001A65FF" w:rsidP="00B24719">
      <w:pPr>
        <w:autoSpaceDE w:val="0"/>
        <w:autoSpaceDN w:val="0"/>
        <w:adjustRightInd w:val="0"/>
        <w:spacing w:after="0" w:line="240" w:lineRule="auto"/>
        <w:ind w:left="0"/>
        <w:rPr>
          <w:rFonts w:ascii="Verdana" w:hAnsi="Verdana" w:cs="Times New Roman"/>
          <w:i/>
          <w:sz w:val="16"/>
          <w:szCs w:val="16"/>
        </w:rPr>
      </w:pPr>
      <w:r w:rsidRPr="00B24719">
        <w:rPr>
          <w:rFonts w:ascii="Verdana" w:hAnsi="Verdana" w:cs="Times New Roman"/>
          <w:i/>
          <w:sz w:val="16"/>
          <w:szCs w:val="16"/>
        </w:rPr>
        <w:t>2. Toda propuesta de enmienda de un tratado multilateral en las relaciones entre todas las partes habrá de ser notificada a todos los Estados contratantes, cada uno de los cuales tendrá derecho a participar:</w:t>
      </w:r>
    </w:p>
    <w:p w:rsidR="001A65FF" w:rsidRPr="00B24719" w:rsidRDefault="001A65FF" w:rsidP="00B24719">
      <w:pPr>
        <w:autoSpaceDE w:val="0"/>
        <w:autoSpaceDN w:val="0"/>
        <w:adjustRightInd w:val="0"/>
        <w:spacing w:after="0" w:line="240" w:lineRule="auto"/>
        <w:ind w:left="0"/>
        <w:rPr>
          <w:rFonts w:ascii="Verdana" w:hAnsi="Verdana" w:cs="Times New Roman"/>
          <w:i/>
          <w:sz w:val="16"/>
          <w:szCs w:val="16"/>
        </w:rPr>
      </w:pPr>
      <w:r w:rsidRPr="00B24719">
        <w:rPr>
          <w:rFonts w:ascii="Verdana" w:hAnsi="Verdana" w:cs="Times New Roman"/>
          <w:i/>
          <w:sz w:val="16"/>
          <w:szCs w:val="16"/>
        </w:rPr>
        <w:t>a) en la decisión sobre las medidas que haya que adoptar con relación a tal propuesta:</w:t>
      </w:r>
    </w:p>
    <w:p w:rsidR="001A65FF" w:rsidRPr="00B24719" w:rsidRDefault="001A65FF" w:rsidP="00B24719">
      <w:pPr>
        <w:autoSpaceDE w:val="0"/>
        <w:autoSpaceDN w:val="0"/>
        <w:adjustRightInd w:val="0"/>
        <w:spacing w:after="0" w:line="240" w:lineRule="auto"/>
        <w:ind w:left="0"/>
        <w:rPr>
          <w:rFonts w:ascii="Verdana" w:hAnsi="Verdana" w:cs="Times New Roman"/>
          <w:i/>
          <w:sz w:val="16"/>
          <w:szCs w:val="16"/>
        </w:rPr>
      </w:pPr>
      <w:r w:rsidRPr="00B24719">
        <w:rPr>
          <w:rFonts w:ascii="Verdana" w:hAnsi="Verdana" w:cs="Times New Roman"/>
          <w:i/>
          <w:sz w:val="16"/>
          <w:szCs w:val="16"/>
        </w:rPr>
        <w:t>b) en la negociación y la celebración de cualquier acuerdo que tenga por objeto enmendar el tratado.</w:t>
      </w:r>
    </w:p>
    <w:p w:rsidR="001A65FF" w:rsidRPr="00B24719" w:rsidRDefault="001A65FF" w:rsidP="00B24719">
      <w:pPr>
        <w:autoSpaceDE w:val="0"/>
        <w:autoSpaceDN w:val="0"/>
        <w:adjustRightInd w:val="0"/>
        <w:spacing w:after="0" w:line="240" w:lineRule="auto"/>
        <w:ind w:left="0"/>
        <w:rPr>
          <w:rFonts w:ascii="Verdana" w:hAnsi="Verdana" w:cs="Times New Roman"/>
          <w:i/>
          <w:sz w:val="16"/>
          <w:szCs w:val="16"/>
        </w:rPr>
      </w:pPr>
      <w:r w:rsidRPr="00B24719">
        <w:rPr>
          <w:rFonts w:ascii="Verdana" w:hAnsi="Verdana" w:cs="Times New Roman"/>
          <w:i/>
          <w:sz w:val="16"/>
          <w:szCs w:val="16"/>
        </w:rPr>
        <w:t>3. Todo Estado facultado para llegar a ser parte en el tratado estará también facultado para llegar a ser parte en el tratado en su forma enmendada.</w:t>
      </w:r>
    </w:p>
    <w:p w:rsidR="001A65FF" w:rsidRPr="00B24719" w:rsidRDefault="001A65FF" w:rsidP="00B24719">
      <w:pPr>
        <w:autoSpaceDE w:val="0"/>
        <w:autoSpaceDN w:val="0"/>
        <w:adjustRightInd w:val="0"/>
        <w:spacing w:after="0" w:line="240" w:lineRule="auto"/>
        <w:ind w:left="0"/>
        <w:rPr>
          <w:rFonts w:ascii="Verdana" w:hAnsi="Verdana" w:cs="Times New Roman"/>
          <w:i/>
          <w:sz w:val="16"/>
          <w:szCs w:val="16"/>
        </w:rPr>
      </w:pPr>
      <w:r w:rsidRPr="00B24719">
        <w:rPr>
          <w:rFonts w:ascii="Verdana" w:hAnsi="Verdana" w:cs="Times New Roman"/>
          <w:i/>
          <w:sz w:val="16"/>
          <w:szCs w:val="16"/>
        </w:rPr>
        <w:t>4. El acuerdo en virtud del cual se enmiende el tratado no obligará a ningún Estado que sea ya parte en el tratado que no llegue a serlo en ese acuerdo, con respecto a tal Estado se aplicará el apartado b) del párrafo 4 del artículo 30.</w:t>
      </w:r>
    </w:p>
    <w:p w:rsidR="001A65FF" w:rsidRPr="00B24719" w:rsidRDefault="001A65FF" w:rsidP="00B24719">
      <w:pPr>
        <w:autoSpaceDE w:val="0"/>
        <w:autoSpaceDN w:val="0"/>
        <w:adjustRightInd w:val="0"/>
        <w:spacing w:after="0" w:line="240" w:lineRule="auto"/>
        <w:ind w:left="0"/>
        <w:rPr>
          <w:rFonts w:ascii="Verdana" w:hAnsi="Verdana" w:cs="Times New Roman"/>
          <w:i/>
          <w:sz w:val="16"/>
          <w:szCs w:val="16"/>
        </w:rPr>
      </w:pPr>
      <w:r w:rsidRPr="00B24719">
        <w:rPr>
          <w:rFonts w:ascii="Verdana" w:hAnsi="Verdana" w:cs="Times New Roman"/>
          <w:i/>
          <w:sz w:val="16"/>
          <w:szCs w:val="16"/>
        </w:rPr>
        <w:t>5. Todo Estado que llegue a ser parte en el tratado después de la entrada en vigor del acuerdo en virtud del cual se enmiende el tratado será considerado, de no haber manifestado ese Estado una intención diferente:</w:t>
      </w:r>
    </w:p>
    <w:p w:rsidR="001A65FF" w:rsidRPr="00B24719" w:rsidRDefault="001A65FF" w:rsidP="00B24719">
      <w:pPr>
        <w:autoSpaceDE w:val="0"/>
        <w:autoSpaceDN w:val="0"/>
        <w:adjustRightInd w:val="0"/>
        <w:spacing w:after="0" w:line="240" w:lineRule="auto"/>
        <w:ind w:left="0"/>
        <w:rPr>
          <w:rFonts w:ascii="Verdana" w:hAnsi="Verdana" w:cs="Times New Roman"/>
          <w:i/>
          <w:sz w:val="16"/>
          <w:szCs w:val="16"/>
        </w:rPr>
      </w:pPr>
      <w:r w:rsidRPr="00B24719">
        <w:rPr>
          <w:rFonts w:ascii="Verdana" w:hAnsi="Verdana" w:cs="Times New Roman"/>
          <w:i/>
          <w:sz w:val="16"/>
          <w:szCs w:val="16"/>
        </w:rPr>
        <w:t>a) parte en el tratado en su forma enmendada; y</w:t>
      </w:r>
    </w:p>
    <w:p w:rsidR="001A65FF" w:rsidRPr="00B24719" w:rsidRDefault="001A65FF" w:rsidP="00B24719">
      <w:pPr>
        <w:autoSpaceDE w:val="0"/>
        <w:autoSpaceDN w:val="0"/>
        <w:adjustRightInd w:val="0"/>
        <w:spacing w:after="0" w:line="240" w:lineRule="auto"/>
        <w:ind w:left="0"/>
        <w:rPr>
          <w:rFonts w:ascii="Verdana" w:hAnsi="Verdana" w:cs="Times New Roman"/>
          <w:i/>
          <w:sz w:val="16"/>
          <w:szCs w:val="16"/>
        </w:rPr>
      </w:pPr>
      <w:r w:rsidRPr="00B24719">
        <w:rPr>
          <w:rFonts w:ascii="Verdana" w:hAnsi="Verdana" w:cs="Times New Roman"/>
          <w:i/>
          <w:sz w:val="16"/>
          <w:szCs w:val="16"/>
        </w:rPr>
        <w:t>b) parte en el tratado no enmendado con respecto a toda parte en el tratado que no esté obligada por el acuerdo en virtud del cual se enmiende el tratado</w:t>
      </w:r>
      <w:r w:rsidRPr="00B24719">
        <w:rPr>
          <w:rFonts w:ascii="Verdana" w:hAnsi="Verdana" w:cs="Times New Roman"/>
          <w:sz w:val="16"/>
          <w:szCs w:val="16"/>
        </w:rPr>
        <w:t>.”</w:t>
      </w:r>
    </w:p>
    <w:p w:rsidR="001A65FF" w:rsidRPr="00B24719" w:rsidRDefault="001A65FF" w:rsidP="00B24719">
      <w:pPr>
        <w:autoSpaceDE w:val="0"/>
        <w:autoSpaceDN w:val="0"/>
        <w:adjustRightInd w:val="0"/>
        <w:spacing w:after="0" w:line="240" w:lineRule="auto"/>
        <w:ind w:left="0"/>
        <w:rPr>
          <w:rFonts w:ascii="Verdana" w:hAnsi="Verdana" w:cs="Times New Roman"/>
          <w:bCs/>
          <w:i/>
          <w:sz w:val="16"/>
          <w:szCs w:val="16"/>
        </w:rPr>
      </w:pPr>
      <w:r w:rsidRPr="00B24719">
        <w:rPr>
          <w:rFonts w:ascii="Verdana" w:hAnsi="Verdana" w:cs="Times New Roman"/>
          <w:bCs/>
          <w:sz w:val="16"/>
          <w:szCs w:val="16"/>
        </w:rPr>
        <w:t>Art. 41: “</w:t>
      </w:r>
      <w:r w:rsidRPr="00B24719">
        <w:rPr>
          <w:rFonts w:ascii="Verdana" w:hAnsi="Verdana" w:cs="Times New Roman"/>
          <w:bCs/>
          <w:i/>
          <w:sz w:val="16"/>
          <w:szCs w:val="16"/>
        </w:rPr>
        <w:t>1.</w:t>
      </w:r>
      <w:r w:rsidRPr="00B24719">
        <w:rPr>
          <w:rFonts w:ascii="Verdana" w:hAnsi="Verdana" w:cs="Times New Roman"/>
          <w:bCs/>
          <w:sz w:val="16"/>
          <w:szCs w:val="16"/>
        </w:rPr>
        <w:t xml:space="preserve"> </w:t>
      </w:r>
      <w:r w:rsidRPr="00B24719">
        <w:rPr>
          <w:rFonts w:ascii="Verdana" w:hAnsi="Verdana" w:cs="Times New Roman"/>
          <w:bCs/>
          <w:i/>
          <w:sz w:val="16"/>
          <w:szCs w:val="16"/>
        </w:rPr>
        <w:t xml:space="preserve">Acuerdos para modificar tratados multilaterales entre algunas de las partes únicamente. </w:t>
      </w:r>
      <w:r w:rsidRPr="00B24719">
        <w:rPr>
          <w:rFonts w:ascii="Verdana" w:hAnsi="Verdana" w:cs="Times New Roman"/>
          <w:i/>
          <w:sz w:val="16"/>
          <w:szCs w:val="16"/>
        </w:rPr>
        <w:t>1. Dos o más partes en un tratado multilateral podrán celebrar un acuerdo que tenga por objeto modificar el tratado únicamente en sus relaciones mutuas:</w:t>
      </w:r>
    </w:p>
    <w:p w:rsidR="001A65FF" w:rsidRPr="00B24719" w:rsidRDefault="001A65FF" w:rsidP="00B24719">
      <w:pPr>
        <w:autoSpaceDE w:val="0"/>
        <w:autoSpaceDN w:val="0"/>
        <w:adjustRightInd w:val="0"/>
        <w:spacing w:after="0" w:line="240" w:lineRule="auto"/>
        <w:ind w:left="0"/>
        <w:rPr>
          <w:rFonts w:ascii="Verdana" w:hAnsi="Verdana" w:cs="Times New Roman"/>
          <w:i/>
          <w:sz w:val="16"/>
          <w:szCs w:val="16"/>
        </w:rPr>
      </w:pPr>
      <w:r w:rsidRPr="00B24719">
        <w:rPr>
          <w:rFonts w:ascii="Verdana" w:hAnsi="Verdana" w:cs="Times New Roman"/>
          <w:i/>
          <w:sz w:val="16"/>
          <w:szCs w:val="16"/>
        </w:rPr>
        <w:t>a) si la posibilidad de tal modificación esta prevista por el tratado: o</w:t>
      </w:r>
    </w:p>
    <w:p w:rsidR="001A65FF" w:rsidRPr="00B24719" w:rsidRDefault="001A65FF" w:rsidP="00B24719">
      <w:pPr>
        <w:autoSpaceDE w:val="0"/>
        <w:autoSpaceDN w:val="0"/>
        <w:adjustRightInd w:val="0"/>
        <w:spacing w:after="0" w:line="240" w:lineRule="auto"/>
        <w:ind w:left="0"/>
        <w:rPr>
          <w:rFonts w:ascii="Verdana" w:hAnsi="Verdana" w:cs="Times New Roman"/>
          <w:i/>
          <w:sz w:val="16"/>
          <w:szCs w:val="16"/>
        </w:rPr>
      </w:pPr>
      <w:r w:rsidRPr="00B24719">
        <w:rPr>
          <w:rFonts w:ascii="Verdana" w:hAnsi="Verdana" w:cs="Times New Roman"/>
          <w:i/>
          <w:sz w:val="16"/>
          <w:szCs w:val="16"/>
        </w:rPr>
        <w:t>b) si tal modificación no está prohibida por el tratado. a condición de que:</w:t>
      </w:r>
    </w:p>
    <w:p w:rsidR="001A65FF" w:rsidRPr="00B24719" w:rsidRDefault="001A65FF" w:rsidP="00B24719">
      <w:pPr>
        <w:autoSpaceDE w:val="0"/>
        <w:autoSpaceDN w:val="0"/>
        <w:adjustRightInd w:val="0"/>
        <w:spacing w:after="0" w:line="240" w:lineRule="auto"/>
        <w:ind w:left="0"/>
        <w:rPr>
          <w:rFonts w:ascii="Verdana" w:hAnsi="Verdana" w:cs="Times New Roman"/>
          <w:i/>
          <w:sz w:val="16"/>
          <w:szCs w:val="16"/>
        </w:rPr>
      </w:pPr>
      <w:r w:rsidRPr="00B24719">
        <w:rPr>
          <w:rFonts w:ascii="Verdana" w:hAnsi="Verdana" w:cs="Times New Roman"/>
          <w:i/>
          <w:sz w:val="16"/>
          <w:szCs w:val="16"/>
        </w:rPr>
        <w:t>i) no afecte al disfrute de los derechos que a las demás partes correspondan en virtud del tratado ni al cumplimiento de sus obligaciones: y</w:t>
      </w:r>
    </w:p>
    <w:p w:rsidR="001A65FF" w:rsidRPr="00B24719" w:rsidRDefault="001A65FF" w:rsidP="00B24719">
      <w:pPr>
        <w:autoSpaceDE w:val="0"/>
        <w:autoSpaceDN w:val="0"/>
        <w:adjustRightInd w:val="0"/>
        <w:spacing w:after="0" w:line="240" w:lineRule="auto"/>
        <w:ind w:left="0"/>
        <w:rPr>
          <w:rFonts w:ascii="Verdana" w:hAnsi="Verdana" w:cs="Times New Roman"/>
          <w:i/>
          <w:sz w:val="16"/>
          <w:szCs w:val="16"/>
        </w:rPr>
      </w:pPr>
      <w:r w:rsidRPr="00B24719">
        <w:rPr>
          <w:rFonts w:ascii="Verdana" w:hAnsi="Verdana" w:cs="Times New Roman"/>
          <w:i/>
          <w:sz w:val="16"/>
          <w:szCs w:val="16"/>
        </w:rPr>
        <w:t>ii) no se refiera a ninguna disposición cuya modificación sea incompatible con la consecución efectiva del objeto y del fin del tratado en su conjunto.</w:t>
      </w:r>
    </w:p>
    <w:p w:rsidR="001A65FF" w:rsidRPr="00B24719" w:rsidRDefault="001A65FF" w:rsidP="00B24719">
      <w:pPr>
        <w:autoSpaceDE w:val="0"/>
        <w:autoSpaceDN w:val="0"/>
        <w:adjustRightInd w:val="0"/>
        <w:spacing w:after="0" w:line="240" w:lineRule="auto"/>
        <w:ind w:left="0"/>
        <w:rPr>
          <w:rFonts w:ascii="Verdana" w:hAnsi="Verdana" w:cs="Times New Roman"/>
          <w:i/>
          <w:sz w:val="16"/>
          <w:szCs w:val="16"/>
        </w:rPr>
      </w:pPr>
      <w:r w:rsidRPr="00B24719">
        <w:rPr>
          <w:rFonts w:ascii="Verdana" w:hAnsi="Verdana" w:cs="Times New Roman"/>
          <w:i/>
          <w:sz w:val="16"/>
          <w:szCs w:val="16"/>
        </w:rPr>
        <w:t>2. Salvo que en el caso previsto en el apartado a) del párrafo 1 el tratado disponga otra cosa, las partes interesadas deberán notificar a las demás partes su intención de celebrar el acuerdo y la modificación del tratado que en ese acuerdo se disponga.”</w:t>
      </w:r>
    </w:p>
    <w:p w:rsidR="001A65FF" w:rsidRPr="00B24719" w:rsidRDefault="001A65FF" w:rsidP="00B24719">
      <w:pPr>
        <w:autoSpaceDE w:val="0"/>
        <w:autoSpaceDN w:val="0"/>
        <w:adjustRightInd w:val="0"/>
        <w:spacing w:after="0" w:line="240" w:lineRule="auto"/>
        <w:ind w:left="0"/>
        <w:rPr>
          <w:rFonts w:ascii="Verdana" w:hAnsi="Verdana" w:cs="Times New Roman"/>
          <w:i/>
          <w:sz w:val="16"/>
          <w:szCs w:val="16"/>
        </w:rPr>
      </w:pPr>
    </w:p>
  </w:footnote>
  <w:footnote w:id="118">
    <w:p w:rsidR="001A65FF" w:rsidRPr="006F2613" w:rsidRDefault="001A65FF" w:rsidP="009F220C">
      <w:pPr>
        <w:spacing w:after="0" w:line="240" w:lineRule="auto"/>
        <w:ind w:left="0"/>
        <w:rPr>
          <w:rFonts w:ascii="Verdana" w:hAnsi="Verdana"/>
          <w:i/>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r>
      <w:r>
        <w:rPr>
          <w:rFonts w:ascii="Verdana" w:hAnsi="Verdana"/>
          <w:sz w:val="16"/>
          <w:szCs w:val="16"/>
        </w:rPr>
        <w:t>Nota 16</w:t>
      </w:r>
    </w:p>
    <w:p w:rsidR="001A65FF" w:rsidRPr="006F2613" w:rsidRDefault="001A65FF" w:rsidP="00B24719">
      <w:pPr>
        <w:spacing w:line="240" w:lineRule="auto"/>
        <w:ind w:left="0"/>
        <w:rPr>
          <w:rFonts w:ascii="Verdana" w:hAnsi="Verdana"/>
          <w:i/>
          <w:sz w:val="16"/>
          <w:szCs w:val="16"/>
          <w:lang w:val="es-ES"/>
        </w:rPr>
      </w:pPr>
    </w:p>
  </w:footnote>
  <w:footnote w:id="119">
    <w:p w:rsidR="001A65FF" w:rsidRPr="006F2613" w:rsidRDefault="001A65FF" w:rsidP="009F220C">
      <w:pPr>
        <w:spacing w:after="0" w:line="240" w:lineRule="auto"/>
        <w:ind w:left="0"/>
        <w:rPr>
          <w:rFonts w:ascii="Verdana" w:hAnsi="Verdana"/>
          <w:i/>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r>
      <w:r w:rsidRPr="009F220C">
        <w:rPr>
          <w:rFonts w:ascii="Verdana" w:hAnsi="Verdana"/>
          <w:i/>
          <w:sz w:val="16"/>
          <w:szCs w:val="16"/>
        </w:rPr>
        <w:t>Idem.</w:t>
      </w:r>
      <w:r>
        <w:rPr>
          <w:rFonts w:ascii="Verdana" w:hAnsi="Verdana"/>
          <w:sz w:val="16"/>
          <w:szCs w:val="16"/>
        </w:rPr>
        <w:t xml:space="preserve"> </w:t>
      </w:r>
    </w:p>
    <w:p w:rsidR="001A65FF" w:rsidRPr="00B24719" w:rsidRDefault="001A65FF" w:rsidP="00B24719">
      <w:pPr>
        <w:pStyle w:val="Textonotapie"/>
        <w:jc w:val="both"/>
        <w:rPr>
          <w:rFonts w:ascii="Verdana" w:hAnsi="Verdana"/>
          <w:sz w:val="16"/>
          <w:szCs w:val="16"/>
        </w:rPr>
      </w:pPr>
    </w:p>
  </w:footnote>
  <w:footnote w:id="120">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Párrs. 82 y 85 del Fallo.</w:t>
      </w:r>
    </w:p>
    <w:p w:rsidR="001A65FF" w:rsidRPr="006F2613" w:rsidRDefault="001A65FF" w:rsidP="00B24719">
      <w:pPr>
        <w:pStyle w:val="Textonotapie"/>
        <w:jc w:val="both"/>
        <w:rPr>
          <w:rFonts w:ascii="Verdana" w:hAnsi="Verdana"/>
          <w:sz w:val="16"/>
          <w:szCs w:val="16"/>
        </w:rPr>
      </w:pPr>
    </w:p>
  </w:footnote>
  <w:footnote w:id="121">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Nota 50.</w:t>
      </w:r>
    </w:p>
    <w:p w:rsidR="001A65FF" w:rsidRPr="006F2613" w:rsidRDefault="001A65FF" w:rsidP="00B24719">
      <w:pPr>
        <w:pStyle w:val="Textonotapie"/>
        <w:jc w:val="both"/>
        <w:rPr>
          <w:rFonts w:ascii="Verdana" w:hAnsi="Verdana"/>
          <w:sz w:val="16"/>
          <w:szCs w:val="16"/>
        </w:rPr>
      </w:pPr>
    </w:p>
  </w:footnote>
  <w:footnote w:id="122">
    <w:p w:rsidR="001A65FF" w:rsidRPr="00DA20B0" w:rsidRDefault="001A65FF" w:rsidP="00DA20B0">
      <w:pPr>
        <w:spacing w:after="0" w:line="240" w:lineRule="auto"/>
        <w:ind w:left="0"/>
        <w:rPr>
          <w:rFonts w:ascii="Verdana" w:hAnsi="Verdana" w:cstheme="minorHAnsi"/>
          <w:i/>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Párr.17.</w:t>
      </w:r>
    </w:p>
    <w:p w:rsidR="001A65FF" w:rsidRPr="006F2613" w:rsidRDefault="001A65FF" w:rsidP="006F2613">
      <w:pPr>
        <w:pStyle w:val="Textonotapie"/>
        <w:jc w:val="both"/>
        <w:rPr>
          <w:rFonts w:ascii="Verdana" w:hAnsi="Verdana"/>
          <w:sz w:val="16"/>
          <w:szCs w:val="16"/>
        </w:rPr>
      </w:pPr>
    </w:p>
  </w:footnote>
  <w:footnote w:id="123">
    <w:p w:rsidR="001A65FF" w:rsidRPr="00DA20B0" w:rsidRDefault="001A65FF" w:rsidP="006F2613">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Párrs. 83 a 86 del Fallo.</w:t>
      </w:r>
    </w:p>
    <w:p w:rsidR="001A65FF" w:rsidRPr="006F2613" w:rsidRDefault="001A65FF" w:rsidP="006F2613">
      <w:pPr>
        <w:pStyle w:val="Textonotapie"/>
        <w:jc w:val="both"/>
        <w:rPr>
          <w:rFonts w:ascii="Verdana" w:hAnsi="Verdana"/>
          <w:sz w:val="16"/>
          <w:szCs w:val="16"/>
        </w:rPr>
      </w:pPr>
    </w:p>
  </w:footnote>
  <w:footnote w:id="124">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 86 del Fallo.</w:t>
      </w:r>
    </w:p>
    <w:p w:rsidR="001A65FF" w:rsidRPr="006F2613" w:rsidRDefault="001A65FF" w:rsidP="00B24719">
      <w:pPr>
        <w:pStyle w:val="Textonotapie"/>
        <w:jc w:val="both"/>
        <w:rPr>
          <w:rFonts w:ascii="Verdana" w:hAnsi="Verdana"/>
          <w:sz w:val="16"/>
          <w:szCs w:val="16"/>
        </w:rPr>
      </w:pPr>
    </w:p>
  </w:footnote>
  <w:footnote w:id="125">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Nota 44</w:t>
      </w:r>
      <w:r w:rsidRPr="00DA20B0">
        <w:rPr>
          <w:rFonts w:ascii="Verdana" w:hAnsi="Verdana"/>
          <w:sz w:val="16"/>
          <w:szCs w:val="16"/>
        </w:rPr>
        <w:t>.</w:t>
      </w:r>
    </w:p>
    <w:p w:rsidR="001A65FF" w:rsidRPr="006F2613" w:rsidRDefault="001A65FF" w:rsidP="00B24719">
      <w:pPr>
        <w:pStyle w:val="Textonotapie"/>
        <w:jc w:val="both"/>
        <w:rPr>
          <w:rFonts w:ascii="Verdana" w:hAnsi="Verdana"/>
          <w:sz w:val="16"/>
          <w:szCs w:val="16"/>
        </w:rPr>
      </w:pPr>
    </w:p>
  </w:footnote>
  <w:footnote w:id="126">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Párrs.92 y 97 de Fallo.</w:t>
      </w:r>
    </w:p>
    <w:p w:rsidR="001A65FF" w:rsidRPr="006F2613" w:rsidRDefault="001A65FF" w:rsidP="00B24719">
      <w:pPr>
        <w:pStyle w:val="Textonotapie"/>
        <w:jc w:val="both"/>
        <w:rPr>
          <w:rFonts w:ascii="Verdana" w:hAnsi="Verdana"/>
          <w:sz w:val="16"/>
          <w:szCs w:val="16"/>
        </w:rPr>
      </w:pPr>
    </w:p>
  </w:footnote>
  <w:footnote w:id="127">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Párr.32, i) a m).</w:t>
      </w:r>
    </w:p>
    <w:p w:rsidR="001A65FF" w:rsidRPr="006F2613" w:rsidRDefault="001A65FF" w:rsidP="00B24719">
      <w:pPr>
        <w:pStyle w:val="Textonotapie"/>
        <w:jc w:val="both"/>
        <w:rPr>
          <w:rFonts w:ascii="Verdana" w:hAnsi="Verdana"/>
          <w:sz w:val="16"/>
          <w:szCs w:val="16"/>
        </w:rPr>
      </w:pPr>
    </w:p>
  </w:footnote>
  <w:footnote w:id="128">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 85 del Fallo.</w:t>
      </w:r>
    </w:p>
    <w:p w:rsidR="001A65FF" w:rsidRPr="006F2613" w:rsidRDefault="001A65FF" w:rsidP="00B24719">
      <w:pPr>
        <w:pStyle w:val="Textonotapie"/>
        <w:jc w:val="both"/>
        <w:rPr>
          <w:rFonts w:ascii="Verdana" w:hAnsi="Verdana"/>
          <w:sz w:val="16"/>
          <w:szCs w:val="16"/>
        </w:rPr>
      </w:pPr>
    </w:p>
  </w:footnote>
  <w:footnote w:id="129">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t>Párr.36.</w:t>
      </w:r>
    </w:p>
    <w:p w:rsidR="001A65FF" w:rsidRPr="006F2613" w:rsidRDefault="001A65FF" w:rsidP="00B24719">
      <w:pPr>
        <w:pStyle w:val="Textonotapie"/>
        <w:jc w:val="both"/>
        <w:rPr>
          <w:rFonts w:ascii="Verdana" w:hAnsi="Verdana"/>
          <w:sz w:val="16"/>
          <w:szCs w:val="16"/>
        </w:rPr>
      </w:pPr>
    </w:p>
  </w:footnote>
  <w:footnote w:id="130">
    <w:p w:rsidR="001A65FF" w:rsidRPr="00DA20B0" w:rsidRDefault="001A65FF" w:rsidP="00B24719">
      <w:pPr>
        <w:pStyle w:val="Textonotapie"/>
        <w:jc w:val="both"/>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r>
      <w:r>
        <w:rPr>
          <w:rFonts w:ascii="Verdana" w:hAnsi="Verdana"/>
          <w:sz w:val="16"/>
          <w:szCs w:val="16"/>
          <w:lang w:val="es-ES"/>
        </w:rPr>
        <w:t>Nota 44</w:t>
      </w:r>
      <w:r w:rsidRPr="00DA20B0">
        <w:rPr>
          <w:rFonts w:ascii="Verdana" w:hAnsi="Verdana"/>
          <w:sz w:val="16"/>
          <w:szCs w:val="16"/>
          <w:lang w:val="es-ES"/>
        </w:rPr>
        <w:t xml:space="preserve">. </w:t>
      </w:r>
    </w:p>
    <w:p w:rsidR="001A65FF" w:rsidRPr="006F2613" w:rsidRDefault="001A65FF" w:rsidP="00B24719">
      <w:pPr>
        <w:pStyle w:val="Textonotapie"/>
        <w:jc w:val="both"/>
        <w:rPr>
          <w:rFonts w:ascii="Verdana" w:hAnsi="Verdana"/>
          <w:sz w:val="16"/>
          <w:szCs w:val="16"/>
        </w:rPr>
      </w:pPr>
    </w:p>
  </w:footnote>
  <w:footnote w:id="131">
    <w:p w:rsidR="001A65FF" w:rsidRPr="00DA20B0" w:rsidRDefault="001A65FF" w:rsidP="00B24719">
      <w:pPr>
        <w:pStyle w:val="Textonotapie"/>
        <w:jc w:val="both"/>
        <w:rPr>
          <w:rFonts w:ascii="Verdana" w:hAnsi="Verdana"/>
          <w:i/>
          <w:sz w:val="16"/>
          <w:szCs w:val="16"/>
          <w:lang w:val="es-ES"/>
        </w:rPr>
      </w:pPr>
      <w:r w:rsidRPr="00DA20B0">
        <w:rPr>
          <w:rStyle w:val="Refdenotaalpie"/>
          <w:rFonts w:ascii="Verdana" w:hAnsi="Verdana"/>
          <w:sz w:val="16"/>
          <w:szCs w:val="16"/>
        </w:rPr>
        <w:footnoteRef/>
      </w:r>
      <w:r w:rsidRPr="00DA20B0">
        <w:rPr>
          <w:rFonts w:ascii="Verdana" w:hAnsi="Verdana"/>
          <w:sz w:val="16"/>
          <w:szCs w:val="16"/>
          <w:lang w:val="es-ES"/>
        </w:rPr>
        <w:t xml:space="preserve"> </w:t>
      </w:r>
      <w:r w:rsidRPr="00DA20B0">
        <w:rPr>
          <w:rFonts w:ascii="Verdana" w:hAnsi="Verdana"/>
          <w:sz w:val="16"/>
          <w:szCs w:val="16"/>
          <w:lang w:val="es-ES"/>
        </w:rPr>
        <w:tab/>
        <w:t>Art. 46: “</w:t>
      </w:r>
      <w:r w:rsidRPr="00DA20B0">
        <w:rPr>
          <w:rFonts w:ascii="Verdana" w:hAnsi="Verdana"/>
          <w:i/>
          <w:sz w:val="16"/>
          <w:szCs w:val="16"/>
          <w:lang w:val="es-ES"/>
        </w:rPr>
        <w:t>1. Para que una petición o comunicación presentada conforme a los artículos 44 ó 45 sea admitida por la Comisión, se requerirá:</w:t>
      </w:r>
    </w:p>
    <w:p w:rsidR="001A65FF" w:rsidRPr="006F2613" w:rsidRDefault="001A65FF" w:rsidP="00B24719">
      <w:pPr>
        <w:pStyle w:val="Textonotapie"/>
        <w:jc w:val="both"/>
        <w:rPr>
          <w:rFonts w:ascii="Verdana" w:hAnsi="Verdana"/>
          <w:i/>
          <w:sz w:val="16"/>
          <w:szCs w:val="16"/>
          <w:lang w:val="es-ES"/>
        </w:rPr>
      </w:pPr>
      <w:r w:rsidRPr="006F2613">
        <w:rPr>
          <w:rFonts w:ascii="Verdana" w:hAnsi="Verdana"/>
          <w:i/>
          <w:sz w:val="16"/>
          <w:szCs w:val="16"/>
          <w:lang w:val="es-ES"/>
        </w:rPr>
        <w:t xml:space="preserve"> a) que se hayan interpuesto y agotado los recursos de jurisdicción interna, conforme a los principios del Derecho Internacional generalmente reconocidos;</w:t>
      </w:r>
    </w:p>
    <w:p w:rsidR="001A65FF" w:rsidRPr="00B24719" w:rsidRDefault="001A65FF" w:rsidP="00B24719">
      <w:pPr>
        <w:pStyle w:val="Textonotapie"/>
        <w:jc w:val="both"/>
        <w:rPr>
          <w:rFonts w:ascii="Verdana" w:hAnsi="Verdana"/>
          <w:i/>
          <w:sz w:val="16"/>
          <w:szCs w:val="16"/>
          <w:lang w:val="es-ES"/>
        </w:rPr>
      </w:pPr>
      <w:r w:rsidRPr="006F2613">
        <w:rPr>
          <w:rFonts w:ascii="Verdana" w:hAnsi="Verdana"/>
          <w:i/>
          <w:sz w:val="16"/>
          <w:szCs w:val="16"/>
          <w:lang w:val="es-ES"/>
        </w:rPr>
        <w:t xml:space="preserve"> b) que sea presentada dentro del plazo de seis meses, a partir de la fecha en que el presunto lesionado en sus derechos haya sido notificado de la decis</w:t>
      </w:r>
      <w:r w:rsidRPr="00B24719">
        <w:rPr>
          <w:rFonts w:ascii="Verdana" w:hAnsi="Verdana"/>
          <w:i/>
          <w:sz w:val="16"/>
          <w:szCs w:val="16"/>
          <w:lang w:val="es-ES"/>
        </w:rPr>
        <w:t>ión definitiva;</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 xml:space="preserve"> c) que la materia de la petición o comunicación no esté pendiente de otro procedimiento de arreglo internacional, y</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 xml:space="preserve"> d) que en el caso del artículo 44 la petición contenga el nombre, la nacionalidad, la profesión, el domicilio y la firma de la persona o personas o del representante legal de la entidad que somete la petición.</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 xml:space="preserve"> 2. Las disposiciones de los incisos 1.a. y 1.b. del presente artículo no se aplicarán cuando:</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 xml:space="preserve"> a) no exista en la legislación interna del Estado de que se trata el debido proceso legal para la protección del derecho o derechos que se alega han sido violados;</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 xml:space="preserve"> b) no se haya permitido al presunto lesionado en sus derechos el acceso a los recursos de la jurisdicción interna, o haya sido impedido de agotarlos, y</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 xml:space="preserve"> c) haya retardo injustificado en la decisión sobre los mencionados recursos.”</w:t>
      </w:r>
    </w:p>
    <w:p w:rsidR="001A65FF" w:rsidRPr="00B24719" w:rsidRDefault="001A65FF" w:rsidP="00B24719">
      <w:pPr>
        <w:pStyle w:val="Textonotapie"/>
        <w:jc w:val="both"/>
        <w:rPr>
          <w:rFonts w:ascii="Verdana" w:hAnsi="Verdana"/>
          <w:i/>
          <w:sz w:val="16"/>
          <w:szCs w:val="16"/>
          <w:lang w:val="es-ES"/>
        </w:rPr>
      </w:pPr>
      <w:r w:rsidRPr="00B24719">
        <w:rPr>
          <w:rFonts w:ascii="Verdana" w:hAnsi="Verdana"/>
          <w:sz w:val="16"/>
          <w:szCs w:val="16"/>
          <w:lang w:val="es-ES"/>
        </w:rPr>
        <w:t xml:space="preserve">Art.61:” </w:t>
      </w:r>
      <w:r w:rsidRPr="00B24719">
        <w:rPr>
          <w:rFonts w:ascii="Verdana" w:hAnsi="Verdana"/>
          <w:i/>
          <w:sz w:val="16"/>
          <w:szCs w:val="16"/>
          <w:lang w:val="es-ES"/>
        </w:rPr>
        <w:t>1. Sólo los Estados Partes y la Comisión tienen derecho a someter un caso a la decisión de la Corte.</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 xml:space="preserve"> 2. Para que la Corte pueda conocer de cualquier caso, es necesario que sean agotados los procedimientos previstos en los artículos 48 a 50.”</w:t>
      </w:r>
    </w:p>
    <w:p w:rsidR="001A65FF" w:rsidRPr="00B24719" w:rsidRDefault="001A65FF" w:rsidP="00B24719">
      <w:pPr>
        <w:pStyle w:val="Textonotapie"/>
        <w:jc w:val="both"/>
        <w:rPr>
          <w:rFonts w:ascii="Verdana" w:hAnsi="Verdana"/>
          <w:sz w:val="16"/>
          <w:szCs w:val="16"/>
          <w:lang w:val="es-ES"/>
        </w:rPr>
      </w:pPr>
    </w:p>
  </w:footnote>
  <w:footnote w:id="132">
    <w:p w:rsidR="001A65FF" w:rsidRDefault="001A65FF">
      <w:pPr>
        <w:pStyle w:val="Textonotapie"/>
        <w:rPr>
          <w:rFonts w:ascii="Verdana" w:hAnsi="Verdana"/>
          <w:sz w:val="16"/>
          <w:szCs w:val="16"/>
        </w:rPr>
      </w:pPr>
      <w:r>
        <w:rPr>
          <w:rStyle w:val="Refdenotaalpie"/>
        </w:rPr>
        <w:footnoteRef/>
      </w:r>
      <w:r>
        <w:t xml:space="preserve">           </w:t>
      </w:r>
      <w:r w:rsidRPr="00DA20B0">
        <w:rPr>
          <w:rFonts w:ascii="Verdana" w:hAnsi="Verdana"/>
          <w:sz w:val="16"/>
          <w:szCs w:val="16"/>
        </w:rPr>
        <w:t>Nota 16.</w:t>
      </w:r>
    </w:p>
    <w:p w:rsidR="001A65FF" w:rsidRDefault="001A65FF">
      <w:pPr>
        <w:pStyle w:val="Textonotapie"/>
      </w:pPr>
    </w:p>
  </w:footnote>
  <w:footnote w:id="133">
    <w:p w:rsidR="001A65FF" w:rsidRPr="00DA20B0" w:rsidRDefault="001A65FF" w:rsidP="00DA20B0">
      <w:pPr>
        <w:pStyle w:val="Textonotapie"/>
        <w:jc w:val="both"/>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lang w:val="es-ES"/>
        </w:rPr>
        <w:t xml:space="preserve"> </w:t>
      </w:r>
      <w:r w:rsidRPr="00DA20B0">
        <w:rPr>
          <w:rFonts w:ascii="Verdana" w:hAnsi="Verdana"/>
          <w:sz w:val="16"/>
          <w:szCs w:val="16"/>
          <w:lang w:val="es-ES"/>
        </w:rPr>
        <w:tab/>
        <w:t xml:space="preserve">Párr. 142. </w:t>
      </w:r>
    </w:p>
    <w:p w:rsidR="001A65FF" w:rsidRPr="006F2613" w:rsidRDefault="001A65FF" w:rsidP="006F2613">
      <w:pPr>
        <w:pStyle w:val="Textonotapie"/>
        <w:jc w:val="both"/>
        <w:rPr>
          <w:rFonts w:ascii="Verdana" w:hAnsi="Verdana"/>
          <w:sz w:val="16"/>
          <w:szCs w:val="16"/>
          <w:lang w:val="es-ES"/>
        </w:rPr>
      </w:pPr>
    </w:p>
  </w:footnote>
  <w:footnote w:id="134">
    <w:p w:rsidR="001A65FF" w:rsidRPr="00B24719" w:rsidRDefault="001A65FF" w:rsidP="006F2613">
      <w:pPr>
        <w:pStyle w:val="Textonotapie"/>
        <w:jc w:val="both"/>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lang w:val="es-ES"/>
        </w:rPr>
        <w:t xml:space="preserve"> </w:t>
      </w:r>
      <w:r w:rsidRPr="00DA20B0">
        <w:rPr>
          <w:rFonts w:ascii="Verdana" w:hAnsi="Verdana"/>
          <w:sz w:val="16"/>
          <w:szCs w:val="16"/>
          <w:lang w:val="es-ES"/>
        </w:rPr>
        <w:tab/>
        <w:t xml:space="preserve">Existe la posibilidad de que se suscriban protocolos que no impliquen incorporación de derechos al sistema de protección. Así, por ejemplo, el </w:t>
      </w:r>
      <w:r w:rsidRPr="006F2613">
        <w:rPr>
          <w:rFonts w:ascii="Verdana" w:hAnsi="Verdana"/>
          <w:i/>
          <w:sz w:val="16"/>
          <w:szCs w:val="16"/>
          <w:lang w:val="es-ES"/>
        </w:rPr>
        <w:t>Protocolo a la Convención Americana sobre Derechos Humanos Relativo a la Abolición de la Pena de Muerte</w:t>
      </w:r>
      <w:r w:rsidRPr="006F2613">
        <w:rPr>
          <w:rFonts w:ascii="Verdana" w:hAnsi="Verdana"/>
          <w:sz w:val="16"/>
          <w:szCs w:val="16"/>
          <w:lang w:val="es-ES"/>
        </w:rPr>
        <w:t>, de 1990, se adopta en vista de que, según el párrafo 6º de su Preámbulo, “</w:t>
      </w:r>
      <w:r w:rsidRPr="006F2613">
        <w:rPr>
          <w:rFonts w:ascii="Verdana" w:hAnsi="Verdana"/>
          <w:i/>
          <w:sz w:val="16"/>
          <w:szCs w:val="16"/>
          <w:lang w:val="es-ES"/>
        </w:rPr>
        <w:t>es necesario alcanzar un acuerdo internacional que signifique un desarrollo progresivo de la</w:t>
      </w:r>
      <w:r w:rsidRPr="00B24719">
        <w:rPr>
          <w:rFonts w:ascii="Verdana" w:hAnsi="Verdana"/>
          <w:i/>
          <w:sz w:val="16"/>
          <w:szCs w:val="16"/>
          <w:lang w:val="es-ES"/>
        </w:rPr>
        <w:t xml:space="preserve"> Convención Americana sobre Derechos Humanos</w:t>
      </w:r>
      <w:r w:rsidRPr="00B24719">
        <w:rPr>
          <w:rFonts w:ascii="Verdana" w:hAnsi="Verdana"/>
          <w:sz w:val="16"/>
          <w:szCs w:val="16"/>
          <w:lang w:val="es-ES"/>
        </w:rPr>
        <w:t>”.</w:t>
      </w:r>
    </w:p>
    <w:p w:rsidR="001A65FF" w:rsidRPr="00B24719" w:rsidRDefault="001A65FF" w:rsidP="006F2613">
      <w:pPr>
        <w:pStyle w:val="Textonotapie"/>
        <w:jc w:val="both"/>
        <w:rPr>
          <w:rFonts w:ascii="Verdana" w:hAnsi="Verdana"/>
          <w:sz w:val="16"/>
          <w:szCs w:val="16"/>
          <w:lang w:val="es-ES"/>
        </w:rPr>
      </w:pPr>
    </w:p>
  </w:footnote>
  <w:footnote w:id="135">
    <w:p w:rsidR="001A65FF" w:rsidRPr="006F2613" w:rsidRDefault="001A65FF" w:rsidP="004E3B85">
      <w:pPr>
        <w:pStyle w:val="Textonotapie"/>
        <w:jc w:val="both"/>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lang w:val="es-ES"/>
        </w:rPr>
        <w:t xml:space="preserve"> </w:t>
      </w:r>
      <w:r w:rsidRPr="00DA20B0">
        <w:rPr>
          <w:rFonts w:ascii="Verdana" w:hAnsi="Verdana"/>
          <w:sz w:val="16"/>
          <w:szCs w:val="16"/>
          <w:lang w:val="es-ES"/>
        </w:rPr>
        <w:tab/>
        <w:t>Art. 34 :“</w:t>
      </w:r>
      <w:r w:rsidRPr="00DA20B0">
        <w:rPr>
          <w:rFonts w:ascii="Verdana" w:hAnsi="Verdana"/>
          <w:i/>
          <w:sz w:val="16"/>
          <w:szCs w:val="16"/>
          <w:lang w:val="es-ES"/>
        </w:rPr>
        <w:t xml:space="preserve">Los Estados miembros convienen en que la igualdad de oportunidades, la eliminación de la pobreza crítica y la distribución equitativa de la riqueza y del ingreso, así como la plena participación </w:t>
      </w:r>
      <w:r w:rsidRPr="006F2613">
        <w:rPr>
          <w:rFonts w:ascii="Verdana" w:hAnsi="Verdana"/>
          <w:i/>
          <w:sz w:val="16"/>
          <w:szCs w:val="16"/>
          <w:lang w:val="es-ES"/>
        </w:rPr>
        <w:t>de sus pueblos en las decisiones relativas a su propio desarrollo, son, entre otros, objetivos básicos del desarrollo integral. Para lograrlos, convienen asimismo en dedicar sus máximos esfuerzos a la consecución de las siguientes metas básicas:</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 xml:space="preserve">a) Incremento sustancial y autosostenido del producto nacional per cápita; </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b) Distribución equitativa del ingreso nacional;</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c) Sistemas impositivos adecuados y equitativos;</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d) Modernización de la vida rural y reformas que conduzcan a regímenes equitativos y eficaces de tenencia de la tierra, mayor productividad agrícola, expansión del uso de la tierra, diversificación de la producción y mejores sistemas para la industrialización y comercialización de productos agrícolas, y fortalecimiento y ampliación de los medios para alcanzar estos fines;</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e) Industrialización acelerada y diversificada, especialmente de bienes de capital e intermedios;</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f) Estabilidad del nivel de precios internos en armonía con el desarrollo económico sostenido y el logro de la justicia social;</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g) Salarios justos, oportunidades de empleo y condiciones de trabajo aceptables para todos;</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h) Erradicación rápida del analfabetismo y ampliación, para todos, de las oportunidades en el campo de la educación;</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i) Defensa del potencial humano mediante la extensión y aplicación de los modernos conocimientos de la ciencia médica;</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j) Nutrición adecuada, particularmente por medio de la aceleración de los esfuerzos nacionales para incrementar la producción y disponibilidad de alimentos;</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k) Vivienda adecuada para todos los sectores de la población;</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l) Condiciones urbanas que hagan posible una vida sana, productiva y digna;</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m) Promoción de la iniciativa y la inversión privadas en armonía con la acción del sector público, y</w:t>
      </w:r>
    </w:p>
    <w:p w:rsidR="001A65FF" w:rsidRPr="00B24719" w:rsidRDefault="001A65FF" w:rsidP="00B24719">
      <w:pPr>
        <w:pStyle w:val="Textonotapie"/>
        <w:jc w:val="both"/>
        <w:rPr>
          <w:rFonts w:ascii="Verdana" w:hAnsi="Verdana"/>
          <w:sz w:val="16"/>
          <w:szCs w:val="16"/>
          <w:lang w:val="es-ES"/>
        </w:rPr>
      </w:pPr>
      <w:r w:rsidRPr="00B24719">
        <w:rPr>
          <w:rFonts w:ascii="Verdana" w:hAnsi="Verdana"/>
          <w:i/>
          <w:sz w:val="16"/>
          <w:szCs w:val="16"/>
          <w:lang w:val="es-ES"/>
        </w:rPr>
        <w:t>n) Expansión y diversificación de las exportaciones</w:t>
      </w:r>
      <w:r w:rsidRPr="00B24719">
        <w:rPr>
          <w:rFonts w:ascii="Verdana" w:hAnsi="Verdana"/>
          <w:sz w:val="16"/>
          <w:szCs w:val="16"/>
          <w:lang w:val="es-ES"/>
        </w:rPr>
        <w:t>.”</w:t>
      </w:r>
    </w:p>
    <w:p w:rsidR="001A65FF" w:rsidRPr="00B24719" w:rsidRDefault="001A65FF" w:rsidP="00B24719">
      <w:pPr>
        <w:pStyle w:val="Textonotapie"/>
        <w:jc w:val="both"/>
        <w:rPr>
          <w:rFonts w:ascii="Verdana" w:hAnsi="Verdana"/>
          <w:i/>
          <w:sz w:val="16"/>
          <w:szCs w:val="16"/>
          <w:lang w:val="es-ES"/>
        </w:rPr>
      </w:pPr>
      <w:r w:rsidRPr="00B24719">
        <w:rPr>
          <w:rFonts w:ascii="Verdana" w:hAnsi="Verdana"/>
          <w:sz w:val="16"/>
          <w:szCs w:val="16"/>
          <w:lang w:val="es-ES"/>
        </w:rPr>
        <w:t>Art.45: “</w:t>
      </w:r>
      <w:r w:rsidRPr="00B24719">
        <w:rPr>
          <w:rFonts w:ascii="Verdana" w:hAnsi="Verdana"/>
          <w:i/>
          <w:sz w:val="16"/>
          <w:szCs w:val="16"/>
          <w:lang w:val="es-ES"/>
        </w:rPr>
        <w:t>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a) Todos los seres humanos, sin distinción de raza, sexo, nacionalidad, credo o condición social, tienen derecho al bienestar material y a su desarrollo espiritual, en condiciones de libertad, dignidad, igualdad de oportunidades y seguridad económica;</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b) El trabajo es un derecho y un deber social, otorga dignidad a quien lo realiza y debe prestarse en condiciones que, incluyendo un régimen de salarios justos, aseguren la vida, la salud y un nivel económico decoroso para el trabajador y su familia, tanto en sus años de trabajo como en su vejez, o cuando cualquier circunstancia lo prive de la posibilidad de trabajar;</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c) Los empleadores y los trabajadores, tanto rurales como urbanos, tienen el derecho de asociarse libremente para la defensa y promoción de sus intereses, incluyendo el derecho de negociación colectiva y el de huelga por parte de los trabajadores, el reconocimiento de la personería jurídica de las asociaciones y la protección de su libertad e independencia, todo de conformidad con la legislación respectiva;</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d) Justos y eficientes sistemas y procedimientos de consulta y colaboración entre los sectores de la producción, tomando en cuenta la protección de los intereses de toda la sociedad;</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e) El funcionamiento de los sistemas de administración pública, banca y crédito, empresa, distribución y ventas, en forma que, en armonía con el sector privado, responda a los requerimientos e intereses de la comunidad;</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f) La incorporación y creciente participación de los sectores marginales de la población, tanto del campo como de la ciudad, en la vida económica, social, cívica, cultural y política de la nación, a fin de lograr la plena integración de la comunidad nacional, el aceleramiento del proceso de movilidad social y la consolidación del régimen democrático. El estímulo a todo esfuerzo de promoción y cooperación populares que tenga por fin el desarrollo y progreso de la comunidad;</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g) El reconocimiento de la importancia de la contribución de las organizaciones, tales como los sindicatos, las cooperativas y asociaciones culturales, profesionales, de negocios, vecinales y comunales, a la vida de la sociedad y al proceso de desarrollo;</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 xml:space="preserve">h) Desarrollo de una política eficiente de seguridad social, e </w:t>
      </w:r>
    </w:p>
    <w:p w:rsidR="001A65FF" w:rsidRPr="00B24719" w:rsidRDefault="001A65FF" w:rsidP="00B24719">
      <w:pPr>
        <w:pStyle w:val="Textonotapie"/>
        <w:jc w:val="both"/>
        <w:rPr>
          <w:rFonts w:ascii="Verdana" w:hAnsi="Verdana"/>
          <w:sz w:val="16"/>
          <w:szCs w:val="16"/>
          <w:lang w:val="es-ES"/>
        </w:rPr>
      </w:pPr>
      <w:r w:rsidRPr="00B24719">
        <w:rPr>
          <w:rFonts w:ascii="Verdana" w:hAnsi="Verdana"/>
          <w:i/>
          <w:sz w:val="16"/>
          <w:szCs w:val="16"/>
          <w:lang w:val="es-ES"/>
        </w:rPr>
        <w:t>i) Disposiciones adecuadas para que todas las personas tengan la debida asistencia legal para hacer valer sus derechos</w:t>
      </w:r>
      <w:r w:rsidRPr="00B24719">
        <w:rPr>
          <w:rFonts w:ascii="Verdana" w:hAnsi="Verdana"/>
          <w:sz w:val="16"/>
          <w:szCs w:val="16"/>
          <w:lang w:val="es-ES"/>
        </w:rPr>
        <w:t>.”</w:t>
      </w:r>
    </w:p>
    <w:p w:rsidR="001A65FF" w:rsidRPr="00B24719" w:rsidRDefault="001A65FF" w:rsidP="00B24719">
      <w:pPr>
        <w:pStyle w:val="Textonotapie"/>
        <w:jc w:val="both"/>
        <w:rPr>
          <w:rFonts w:ascii="Verdana" w:hAnsi="Verdana"/>
          <w:i/>
          <w:sz w:val="16"/>
          <w:szCs w:val="16"/>
          <w:lang w:val="es-ES"/>
        </w:rPr>
      </w:pPr>
      <w:r w:rsidRPr="00B24719">
        <w:rPr>
          <w:rFonts w:ascii="Verdana" w:hAnsi="Verdana"/>
          <w:sz w:val="16"/>
          <w:szCs w:val="16"/>
          <w:lang w:val="es-ES"/>
        </w:rPr>
        <w:t xml:space="preserve">Art.46:” </w:t>
      </w:r>
      <w:r w:rsidRPr="00B24719">
        <w:rPr>
          <w:rFonts w:ascii="Verdana" w:hAnsi="Verdana"/>
          <w:i/>
          <w:sz w:val="16"/>
          <w:szCs w:val="16"/>
          <w:lang w:val="es-ES"/>
        </w:rPr>
        <w:t>Los Estados miembros reconocen que, para facilitar el proceso de la integración regional</w:t>
      </w:r>
    </w:p>
    <w:p w:rsidR="001A65FF" w:rsidRPr="00B24719" w:rsidRDefault="001A65FF" w:rsidP="00B24719">
      <w:pPr>
        <w:pStyle w:val="Textonotapie"/>
        <w:jc w:val="both"/>
        <w:rPr>
          <w:rFonts w:ascii="Verdana" w:hAnsi="Verdana"/>
          <w:i/>
          <w:sz w:val="16"/>
          <w:szCs w:val="16"/>
          <w:lang w:val="es-ES"/>
        </w:rPr>
      </w:pPr>
      <w:r w:rsidRPr="00B24719">
        <w:rPr>
          <w:rFonts w:ascii="Verdana" w:hAnsi="Verdana"/>
          <w:i/>
          <w:sz w:val="16"/>
          <w:szCs w:val="16"/>
          <w:lang w:val="es-ES"/>
        </w:rPr>
        <w:t>latinoamericana, es necesario armonizar la legislación social de los países en desarrollo, especialmente en el campo laboral y de la seguridad social, a fin de que los derechos de los trabajadores sean igualmente protegidos, y convienen en realizar los máximos esfuerzos para alcanzar esta finalidad</w:t>
      </w:r>
      <w:r w:rsidRPr="00B24719">
        <w:rPr>
          <w:rFonts w:ascii="Verdana" w:hAnsi="Verdana"/>
          <w:sz w:val="16"/>
          <w:szCs w:val="16"/>
          <w:lang w:val="es-ES"/>
        </w:rPr>
        <w:t>”.</w:t>
      </w:r>
    </w:p>
    <w:p w:rsidR="001A65FF" w:rsidRPr="00B24719" w:rsidRDefault="001A65FF" w:rsidP="00B24719">
      <w:pPr>
        <w:pStyle w:val="Textonotapie"/>
        <w:jc w:val="both"/>
        <w:rPr>
          <w:rFonts w:ascii="Verdana" w:hAnsi="Verdana"/>
          <w:sz w:val="16"/>
          <w:szCs w:val="16"/>
          <w:lang w:val="es-ES"/>
        </w:rPr>
      </w:pPr>
    </w:p>
  </w:footnote>
  <w:footnote w:id="136">
    <w:p w:rsidR="001A65FF" w:rsidRPr="004E3B85" w:rsidRDefault="001A65FF" w:rsidP="004E3B85">
      <w:pPr>
        <w:pStyle w:val="Textonotapie"/>
        <w:jc w:val="both"/>
        <w:rPr>
          <w:rFonts w:ascii="Verdana" w:hAnsi="Verdana"/>
          <w:sz w:val="16"/>
          <w:szCs w:val="16"/>
        </w:rPr>
      </w:pPr>
      <w:r w:rsidRPr="004E3B85">
        <w:rPr>
          <w:rStyle w:val="Refdenotaalpie"/>
          <w:rFonts w:ascii="Verdana" w:hAnsi="Verdana"/>
          <w:sz w:val="16"/>
          <w:szCs w:val="16"/>
        </w:rPr>
        <w:footnoteRef/>
      </w:r>
      <w:r w:rsidRPr="004E3B85">
        <w:rPr>
          <w:rFonts w:ascii="Verdana" w:hAnsi="Verdana"/>
          <w:sz w:val="16"/>
          <w:szCs w:val="16"/>
        </w:rPr>
        <w:t xml:space="preserve">  </w:t>
      </w:r>
      <w:r>
        <w:t xml:space="preserve">           </w:t>
      </w:r>
      <w:r w:rsidRPr="004E3B85">
        <w:rPr>
          <w:rFonts w:ascii="Verdana" w:hAnsi="Verdana"/>
          <w:sz w:val="16"/>
          <w:szCs w:val="16"/>
        </w:rPr>
        <w:t>Párr.172.</w:t>
      </w:r>
    </w:p>
    <w:p w:rsidR="001A65FF" w:rsidRDefault="001A65FF">
      <w:pPr>
        <w:pStyle w:val="Textonotapie"/>
      </w:pPr>
    </w:p>
  </w:footnote>
  <w:footnote w:id="137">
    <w:p w:rsidR="001A65FF" w:rsidRDefault="001A65FF" w:rsidP="00B24719">
      <w:pPr>
        <w:pStyle w:val="Textonotapie"/>
        <w:jc w:val="both"/>
        <w:rPr>
          <w:rFonts w:ascii="Verdana" w:hAnsi="Verdana" w:cs="Tahoma"/>
          <w:sz w:val="16"/>
          <w:szCs w:val="16"/>
          <w:shd w:val="clear" w:color="auto" w:fill="FFFFFF"/>
          <w:lang w:val="es-PE"/>
        </w:rPr>
      </w:pPr>
      <w:r w:rsidRPr="00DA20B0">
        <w:rPr>
          <w:rStyle w:val="Refdenotaalpie"/>
          <w:rFonts w:ascii="Verdana" w:hAnsi="Verdana"/>
          <w:sz w:val="16"/>
          <w:szCs w:val="16"/>
        </w:rPr>
        <w:footnoteRef/>
      </w:r>
      <w:r>
        <w:rPr>
          <w:rFonts w:ascii="Verdana" w:hAnsi="Verdana"/>
          <w:sz w:val="16"/>
          <w:szCs w:val="16"/>
          <w:lang w:val="es-PE"/>
        </w:rPr>
        <w:t xml:space="preserve"> </w:t>
      </w:r>
      <w:r>
        <w:rPr>
          <w:rFonts w:ascii="Verdana" w:hAnsi="Verdana"/>
          <w:sz w:val="16"/>
          <w:szCs w:val="16"/>
          <w:lang w:val="es-PE"/>
        </w:rPr>
        <w:tab/>
      </w:r>
      <w:r w:rsidRPr="00E17921">
        <w:rPr>
          <w:rFonts w:ascii="Verdana" w:hAnsi="Verdana"/>
          <w:sz w:val="16"/>
          <w:szCs w:val="16"/>
          <w:lang w:val="es-PE"/>
        </w:rPr>
        <w:t>“</w:t>
      </w:r>
      <w:r>
        <w:rPr>
          <w:rFonts w:ascii="Verdana" w:hAnsi="Verdana"/>
          <w:i/>
          <w:sz w:val="16"/>
          <w:szCs w:val="16"/>
          <w:lang w:val="es-PE"/>
        </w:rPr>
        <w:t>Los</w:t>
      </w:r>
      <w:r w:rsidRPr="00DA20B0">
        <w:rPr>
          <w:rFonts w:ascii="Verdana" w:hAnsi="Verdana"/>
          <w:i/>
          <w:sz w:val="16"/>
          <w:szCs w:val="16"/>
          <w:lang w:val="es-PE"/>
        </w:rPr>
        <w:t xml:space="preserve"> Estados americanos reafirman los siguientes principios: </w:t>
      </w:r>
      <w:r w:rsidRPr="00DA20B0">
        <w:rPr>
          <w:rFonts w:ascii="Verdana" w:hAnsi="Verdana" w:cs="Tahoma"/>
          <w:i/>
          <w:sz w:val="16"/>
          <w:szCs w:val="16"/>
          <w:shd w:val="clear" w:color="auto" w:fill="FFFFFF"/>
          <w:lang w:val="es-PE"/>
        </w:rPr>
        <w:t>j) [l]a justicia y la seguridad sociales son bases de una paz duradera</w:t>
      </w:r>
      <w:r w:rsidRPr="006F2613">
        <w:rPr>
          <w:rFonts w:ascii="Verdana" w:hAnsi="Verdana" w:cs="Tahoma"/>
          <w:sz w:val="16"/>
          <w:szCs w:val="16"/>
          <w:shd w:val="clear" w:color="auto" w:fill="FFFFFF"/>
          <w:lang w:val="es-PE"/>
        </w:rPr>
        <w:t>”.</w:t>
      </w:r>
    </w:p>
    <w:p w:rsidR="001A65FF" w:rsidRPr="006F2613" w:rsidRDefault="001A65FF" w:rsidP="00B24719">
      <w:pPr>
        <w:pStyle w:val="Textonotapie"/>
        <w:jc w:val="both"/>
        <w:rPr>
          <w:rFonts w:ascii="Verdana" w:hAnsi="Verdana"/>
          <w:sz w:val="16"/>
          <w:szCs w:val="16"/>
          <w:lang w:val="es-PE"/>
        </w:rPr>
      </w:pPr>
    </w:p>
  </w:footnote>
  <w:footnote w:id="138">
    <w:p w:rsidR="001A65FF" w:rsidRDefault="001A65FF" w:rsidP="00B24719">
      <w:pPr>
        <w:pStyle w:val="style1"/>
        <w:shd w:val="clear" w:color="auto" w:fill="FFFFFF"/>
        <w:spacing w:before="0" w:beforeAutospacing="0" w:after="0" w:afterAutospacing="0"/>
        <w:jc w:val="both"/>
        <w:rPr>
          <w:rFonts w:ascii="Verdana" w:hAnsi="Verdana" w:cs="Tahoma"/>
          <w:sz w:val="16"/>
          <w:szCs w:val="16"/>
          <w:lang w:val="es-ES"/>
        </w:rPr>
      </w:pPr>
      <w:r w:rsidRPr="00DA20B0">
        <w:rPr>
          <w:rStyle w:val="Refdenotaalpie"/>
          <w:rFonts w:ascii="Verdana" w:eastAsia="Batang" w:hAnsi="Verdana"/>
          <w:sz w:val="16"/>
          <w:szCs w:val="16"/>
          <w:lang w:val="es-CR"/>
        </w:rPr>
        <w:footnoteRef/>
      </w:r>
      <w:r>
        <w:rPr>
          <w:rFonts w:ascii="Verdana" w:hAnsi="Verdana"/>
          <w:sz w:val="16"/>
          <w:szCs w:val="16"/>
          <w:lang w:val="es-CR"/>
        </w:rPr>
        <w:t xml:space="preserve"> </w:t>
      </w:r>
      <w:r>
        <w:rPr>
          <w:rFonts w:ascii="Verdana" w:hAnsi="Verdana"/>
          <w:sz w:val="16"/>
          <w:szCs w:val="16"/>
          <w:lang w:val="es-CR"/>
        </w:rPr>
        <w:tab/>
      </w:r>
      <w:r w:rsidRPr="00DA20B0">
        <w:rPr>
          <w:rFonts w:ascii="Verdana" w:hAnsi="Verdana"/>
          <w:sz w:val="16"/>
          <w:szCs w:val="16"/>
          <w:lang w:val="es-CR"/>
        </w:rPr>
        <w:t>“</w:t>
      </w:r>
      <w:r w:rsidRPr="00907944">
        <w:rPr>
          <w:rFonts w:ascii="Verdana" w:hAnsi="Verdana"/>
          <w:i/>
          <w:sz w:val="16"/>
          <w:szCs w:val="16"/>
          <w:lang w:val="es-CR"/>
        </w:rPr>
        <w:t xml:space="preserve">Los </w:t>
      </w:r>
      <w:r w:rsidRPr="00DA20B0">
        <w:rPr>
          <w:rFonts w:ascii="Verdana" w:hAnsi="Verdana"/>
          <w:i/>
          <w:sz w:val="16"/>
          <w:szCs w:val="16"/>
          <w:lang w:val="es-CR"/>
        </w:rPr>
        <w:t>Estados miembros, convencidos de que el hombre sólo puede alcanzar la plena realización de sus aspiraciones dentro de un orden social justo, acompañado de desarrollo económico y verdadera paz, convienen en dedicar sus máximos esfuerzos a la aplica</w:t>
      </w:r>
      <w:r w:rsidRPr="006F2613">
        <w:rPr>
          <w:rFonts w:ascii="Verdana" w:hAnsi="Verdana"/>
          <w:i/>
          <w:sz w:val="16"/>
          <w:szCs w:val="16"/>
          <w:lang w:val="es-CR"/>
        </w:rPr>
        <w:t xml:space="preserve">ción de los siguientes principios y mecanismos: </w:t>
      </w:r>
      <w:r>
        <w:rPr>
          <w:rFonts w:ascii="Verdana" w:hAnsi="Verdana"/>
          <w:i/>
          <w:sz w:val="16"/>
          <w:szCs w:val="16"/>
          <w:lang w:val="es-CR"/>
        </w:rPr>
        <w:t>…</w:t>
      </w:r>
      <w:r w:rsidRPr="006F2613">
        <w:rPr>
          <w:rFonts w:ascii="Verdana" w:hAnsi="Verdana" w:cs="Tahoma"/>
          <w:i/>
          <w:sz w:val="16"/>
          <w:szCs w:val="16"/>
          <w:lang w:val="es-ES"/>
        </w:rPr>
        <w:t>b) [e]l trabajo es un derecho y un deber social, otorga dignidad a quien lo realiza y debe prestarse en condiciones que, incluyendo un régimen de salarios justos, aseguren la vida, la salud y un nivel económico decoroso para el trabajador y su familia, tanto en sus años de trabajo como en su vejez, o cuando cualquier circunstancia lo prive de la posibilidad de trabajar</w:t>
      </w:r>
      <w:r w:rsidRPr="00B24719">
        <w:rPr>
          <w:rFonts w:ascii="Verdana" w:hAnsi="Verdana" w:cs="Tahoma"/>
          <w:sz w:val="16"/>
          <w:szCs w:val="16"/>
          <w:lang w:val="es-ES"/>
        </w:rPr>
        <w:t>”.</w:t>
      </w:r>
    </w:p>
    <w:p w:rsidR="001A65FF" w:rsidRPr="00B24719" w:rsidRDefault="001A65FF" w:rsidP="00B24719">
      <w:pPr>
        <w:pStyle w:val="style1"/>
        <w:shd w:val="clear" w:color="auto" w:fill="FFFFFF"/>
        <w:spacing w:before="0" w:beforeAutospacing="0" w:after="0" w:afterAutospacing="0"/>
        <w:jc w:val="both"/>
        <w:rPr>
          <w:rFonts w:ascii="Verdana" w:hAnsi="Verdana" w:cs="Tahoma"/>
          <w:sz w:val="16"/>
          <w:szCs w:val="16"/>
          <w:lang w:val="es-PE"/>
        </w:rPr>
      </w:pPr>
    </w:p>
  </w:footnote>
  <w:footnote w:id="139">
    <w:p w:rsidR="001A65FF" w:rsidRPr="006F2613" w:rsidRDefault="001A65FF" w:rsidP="00B24719">
      <w:pPr>
        <w:pStyle w:val="Textonotapie"/>
        <w:jc w:val="both"/>
        <w:rPr>
          <w:rFonts w:ascii="Verdana" w:hAnsi="Verdana"/>
          <w:i/>
          <w:sz w:val="16"/>
          <w:szCs w:val="16"/>
          <w:lang w:val="es-PE"/>
        </w:rPr>
      </w:pPr>
      <w:r w:rsidRPr="00DA20B0">
        <w:rPr>
          <w:rStyle w:val="Refdenotaalpie"/>
          <w:rFonts w:ascii="Verdana" w:hAnsi="Verdana"/>
          <w:sz w:val="16"/>
          <w:szCs w:val="16"/>
          <w:lang w:val="es-CR"/>
        </w:rPr>
        <w:footnoteRef/>
      </w:r>
      <w:r>
        <w:rPr>
          <w:rFonts w:ascii="Verdana" w:hAnsi="Verdana"/>
          <w:sz w:val="16"/>
          <w:szCs w:val="16"/>
          <w:lang w:val="es-PE"/>
        </w:rPr>
        <w:t xml:space="preserve"> </w:t>
      </w:r>
      <w:r>
        <w:rPr>
          <w:rFonts w:ascii="Verdana" w:hAnsi="Verdana"/>
          <w:sz w:val="16"/>
          <w:szCs w:val="16"/>
          <w:lang w:val="es-PE"/>
        </w:rPr>
        <w:tab/>
        <w:t>“</w:t>
      </w:r>
      <w:r w:rsidRPr="00907944">
        <w:rPr>
          <w:rFonts w:ascii="Verdana" w:hAnsi="Verdana"/>
          <w:i/>
          <w:sz w:val="16"/>
          <w:szCs w:val="16"/>
          <w:lang w:val="es-PE"/>
        </w:rPr>
        <w:t>Los</w:t>
      </w:r>
      <w:r w:rsidRPr="00DA20B0">
        <w:rPr>
          <w:rFonts w:ascii="Verdana" w:hAnsi="Verdana"/>
          <w:i/>
          <w:sz w:val="16"/>
          <w:szCs w:val="16"/>
          <w:lang w:val="es-PE"/>
        </w:rPr>
        <w:t xml:space="preserve">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w:t>
      </w:r>
      <w:r w:rsidRPr="006F2613">
        <w:rPr>
          <w:rFonts w:ascii="Verdana" w:hAnsi="Verdana"/>
          <w:i/>
          <w:sz w:val="16"/>
          <w:szCs w:val="16"/>
          <w:lang w:val="es-PE"/>
        </w:rPr>
        <w:t>canismos: h) [d]esarrollo de una política eficiente de seguridad social”.</w:t>
      </w:r>
    </w:p>
    <w:p w:rsidR="001A65FF" w:rsidRPr="006F2613" w:rsidRDefault="001A65FF" w:rsidP="00B24719">
      <w:pPr>
        <w:pStyle w:val="Textonotapie"/>
        <w:jc w:val="both"/>
        <w:rPr>
          <w:rFonts w:ascii="Verdana" w:hAnsi="Verdana"/>
          <w:i/>
          <w:sz w:val="16"/>
          <w:szCs w:val="16"/>
          <w:lang w:val="es-PE"/>
        </w:rPr>
      </w:pPr>
    </w:p>
  </w:footnote>
  <w:footnote w:id="140">
    <w:p w:rsidR="001A65FF" w:rsidRPr="00DA20B0" w:rsidRDefault="001A65FF" w:rsidP="00B24719">
      <w:pPr>
        <w:pStyle w:val="Textonotapie"/>
        <w:jc w:val="both"/>
        <w:rPr>
          <w:rFonts w:ascii="Verdana" w:hAnsi="Verdana"/>
          <w:sz w:val="16"/>
          <w:szCs w:val="16"/>
        </w:rPr>
      </w:pPr>
      <w:r w:rsidRPr="00DA20B0">
        <w:rPr>
          <w:rStyle w:val="Refdenotaalpie"/>
          <w:rFonts w:ascii="Verdana" w:hAnsi="Verdana"/>
          <w:sz w:val="16"/>
          <w:szCs w:val="16"/>
        </w:rPr>
        <w:footnoteRef/>
      </w:r>
      <w:r w:rsidRPr="00DA20B0">
        <w:rPr>
          <w:rFonts w:ascii="Verdana" w:hAnsi="Verdana"/>
          <w:sz w:val="16"/>
          <w:szCs w:val="16"/>
        </w:rPr>
        <w:t xml:space="preserve"> </w:t>
      </w:r>
      <w:r w:rsidRPr="00DA20B0">
        <w:rPr>
          <w:rFonts w:ascii="Verdana" w:hAnsi="Verdana"/>
          <w:sz w:val="16"/>
          <w:szCs w:val="16"/>
        </w:rPr>
        <w:tab/>
      </w:r>
      <w:r>
        <w:rPr>
          <w:rFonts w:ascii="Verdana" w:hAnsi="Verdana"/>
          <w:sz w:val="16"/>
          <w:szCs w:val="16"/>
        </w:rPr>
        <w:t>“</w:t>
      </w:r>
      <w:r w:rsidRPr="00AE377B">
        <w:rPr>
          <w:rFonts w:ascii="Verdana" w:hAnsi="Verdana" w:cs="Tahoma"/>
          <w:i/>
          <w:color w:val="000000"/>
          <w:sz w:val="16"/>
          <w:szCs w:val="16"/>
          <w:shd w:val="clear" w:color="auto" w:fill="FFFFFF"/>
        </w:rPr>
        <w:t>Los Estados miembros reconocen que, para facilitar el proceso de la integración regional latinoamericana, es necesario armonizar la legislación social de los países en desarrollo, especialmente en el campo laboral y de la seguridad social, a fin de que los derechos de los trabajadores sean igualmente protegidos, y convienen en realizar los máximos esfuerzos para alcanzar esta finalidad</w:t>
      </w:r>
      <w:r>
        <w:rPr>
          <w:rFonts w:ascii="Verdana" w:hAnsi="Verdana" w:cs="Tahoma"/>
          <w:color w:val="000000"/>
          <w:sz w:val="16"/>
          <w:szCs w:val="16"/>
          <w:shd w:val="clear" w:color="auto" w:fill="FFFFFF"/>
        </w:rPr>
        <w:t>”</w:t>
      </w:r>
      <w:r w:rsidRPr="00DA20B0" w:rsidDel="00AE364B">
        <w:rPr>
          <w:rFonts w:ascii="Verdana" w:hAnsi="Verdana"/>
          <w:sz w:val="16"/>
          <w:szCs w:val="16"/>
        </w:rPr>
        <w:t xml:space="preserve"> </w:t>
      </w:r>
    </w:p>
    <w:p w:rsidR="001A65FF" w:rsidRPr="006F2613" w:rsidRDefault="001A65FF" w:rsidP="00B24719">
      <w:pPr>
        <w:pStyle w:val="Textonotapie"/>
        <w:jc w:val="both"/>
        <w:rPr>
          <w:rFonts w:ascii="Verdana" w:hAnsi="Verdana"/>
          <w:sz w:val="16"/>
          <w:szCs w:val="16"/>
        </w:rPr>
      </w:pPr>
    </w:p>
  </w:footnote>
  <w:footnote w:id="141">
    <w:p w:rsidR="001A65FF" w:rsidRPr="006F2613" w:rsidRDefault="001A65FF" w:rsidP="00B24719">
      <w:pPr>
        <w:pStyle w:val="Textonotapie"/>
        <w:jc w:val="both"/>
        <w:rPr>
          <w:rFonts w:ascii="Verdana" w:hAnsi="Verdana"/>
          <w:i/>
          <w:sz w:val="16"/>
          <w:szCs w:val="16"/>
          <w:lang w:val="es-ES"/>
        </w:rPr>
      </w:pPr>
      <w:r w:rsidRPr="00B24719">
        <w:rPr>
          <w:rStyle w:val="Refdenotaalpie"/>
          <w:rFonts w:ascii="Verdana" w:hAnsi="Verdana"/>
          <w:sz w:val="16"/>
          <w:szCs w:val="16"/>
        </w:rPr>
        <w:footnoteRef/>
      </w:r>
      <w:r w:rsidRPr="00DA20B0">
        <w:rPr>
          <w:rFonts w:ascii="Verdana" w:hAnsi="Verdana"/>
          <w:i/>
          <w:sz w:val="16"/>
          <w:szCs w:val="16"/>
          <w:lang w:val="es-ES"/>
        </w:rPr>
        <w:tab/>
        <w:t>“Los Estados miembros, inspirados en los principios de solidaridad y cooperación interamericanas, se comprometen a aunar esfuerzos para lograr que impere la justicia</w:t>
      </w:r>
      <w:r w:rsidRPr="006F2613">
        <w:rPr>
          <w:rFonts w:ascii="Verdana" w:hAnsi="Verdana"/>
          <w:i/>
          <w:sz w:val="16"/>
          <w:szCs w:val="16"/>
          <w:lang w:val="es-ES"/>
        </w:rPr>
        <w:t xml:space="preserve"> social internacional en sus relaciones y para que sus pueblos alcancen un desarrollo integral, condiciones indispensables para la paz y la seguridad. El desarrollo integral abarca los campos económico, social, educacional, cultural, científico y tecnológico, en los cuales deben obtenerse las metas que cada país defina para lograrlo.”</w:t>
      </w:r>
    </w:p>
    <w:p w:rsidR="001A65FF" w:rsidRPr="006F2613" w:rsidRDefault="001A65FF" w:rsidP="00B24719">
      <w:pPr>
        <w:pStyle w:val="Textonotapie"/>
        <w:jc w:val="both"/>
        <w:rPr>
          <w:rFonts w:ascii="Verdana" w:hAnsi="Verdana"/>
          <w:i/>
          <w:sz w:val="16"/>
          <w:szCs w:val="16"/>
          <w:lang w:val="es-ES"/>
        </w:rPr>
      </w:pPr>
    </w:p>
  </w:footnote>
  <w:footnote w:id="142">
    <w:p w:rsidR="001A65FF" w:rsidRPr="00DA20B0" w:rsidRDefault="001A65FF" w:rsidP="00B24719">
      <w:pPr>
        <w:pStyle w:val="Textonotapie"/>
        <w:jc w:val="both"/>
        <w:rPr>
          <w:rFonts w:ascii="Verdana" w:hAnsi="Verdana"/>
          <w:sz w:val="16"/>
          <w:szCs w:val="16"/>
          <w:lang w:val="es-ES"/>
        </w:rPr>
      </w:pPr>
      <w:r w:rsidRPr="00DA20B0">
        <w:rPr>
          <w:rStyle w:val="Refdenotaalpie"/>
          <w:rFonts w:ascii="Verdana" w:hAnsi="Verdana"/>
          <w:sz w:val="16"/>
          <w:szCs w:val="16"/>
        </w:rPr>
        <w:footnoteRef/>
      </w:r>
      <w:r w:rsidRPr="00DA20B0">
        <w:rPr>
          <w:rFonts w:ascii="Verdana" w:hAnsi="Verdana"/>
          <w:sz w:val="16"/>
          <w:szCs w:val="16"/>
          <w:lang w:val="es-ES"/>
        </w:rPr>
        <w:t xml:space="preserve"> </w:t>
      </w:r>
      <w:r w:rsidRPr="00DA20B0">
        <w:rPr>
          <w:rFonts w:ascii="Verdana" w:hAnsi="Verdana"/>
          <w:sz w:val="16"/>
          <w:szCs w:val="16"/>
          <w:lang w:val="es-ES"/>
        </w:rPr>
        <w:tab/>
        <w:t xml:space="preserve">Adoptada en el Vigésimo Octavo Período Extraordinario de Sesiones de la Asamblea General de la OEA, 11 de septiembre de 2001, Lima, Perú. </w:t>
      </w:r>
    </w:p>
    <w:p w:rsidR="001A65FF" w:rsidRPr="00B24719" w:rsidRDefault="001A65FF" w:rsidP="00B24719">
      <w:pPr>
        <w:pStyle w:val="Textonotapie"/>
        <w:jc w:val="both"/>
        <w:rPr>
          <w:rFonts w:ascii="Verdana" w:hAnsi="Verdana"/>
          <w:sz w:val="16"/>
          <w:szCs w:val="16"/>
          <w:lang w:val="es-ES"/>
        </w:rPr>
      </w:pPr>
      <w:r w:rsidRPr="006F2613">
        <w:rPr>
          <w:rFonts w:ascii="Verdana" w:hAnsi="Verdana"/>
          <w:sz w:val="16"/>
          <w:szCs w:val="16"/>
          <w:lang w:val="es-ES"/>
        </w:rPr>
        <w:t>Art. 3: “</w:t>
      </w:r>
      <w:r w:rsidRPr="006F2613">
        <w:rPr>
          <w:rFonts w:ascii="Verdana" w:hAnsi="Verdana"/>
          <w:i/>
          <w:sz w:val="16"/>
          <w:szCs w:val="16"/>
          <w:lang w:val="es-ES"/>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w:t>
      </w:r>
      <w:r w:rsidRPr="00B24719">
        <w:rPr>
          <w:rFonts w:ascii="Verdana" w:hAnsi="Verdana"/>
          <w:i/>
          <w:sz w:val="16"/>
          <w:szCs w:val="16"/>
          <w:lang w:val="es-ES"/>
        </w:rPr>
        <w:t>ufragio universal y secreto como expresión de la soberanía del pueblo; el régimen plural de partidos y organizaciones políticas; y la separación e independencia de los poderes públicos</w:t>
      </w:r>
      <w:r w:rsidRPr="00B24719">
        <w:rPr>
          <w:rFonts w:ascii="Verdana" w:hAnsi="Verdana"/>
          <w:sz w:val="16"/>
          <w:szCs w:val="16"/>
          <w:lang w:val="es-ES"/>
        </w:rPr>
        <w:t>.”</w:t>
      </w:r>
    </w:p>
    <w:p w:rsidR="001A65FF" w:rsidRPr="00B24719" w:rsidRDefault="001A65FF" w:rsidP="00B24719">
      <w:pPr>
        <w:pStyle w:val="Textonotapie"/>
        <w:jc w:val="both"/>
        <w:rPr>
          <w:rFonts w:ascii="Verdana" w:hAnsi="Verdana"/>
          <w:sz w:val="16"/>
          <w:szCs w:val="16"/>
          <w:lang w:val="es-ES"/>
        </w:rPr>
      </w:pPr>
      <w:r w:rsidRPr="00B24719">
        <w:rPr>
          <w:rFonts w:ascii="Verdana" w:hAnsi="Verdana"/>
          <w:sz w:val="16"/>
          <w:szCs w:val="16"/>
          <w:lang w:val="es-ES"/>
        </w:rPr>
        <w:t>Art. 6: “</w:t>
      </w:r>
      <w:r w:rsidRPr="00B24719">
        <w:rPr>
          <w:rFonts w:ascii="Verdana" w:hAnsi="Verdana"/>
          <w:i/>
          <w:sz w:val="16"/>
          <w:szCs w:val="16"/>
          <w:lang w:val="es-ES"/>
        </w:rPr>
        <w:t>La participación de la ciudadanía en las decisiones relativas a su propio desarrollo es un derecho y una responsabilidad. Es también una condición necesaria para el pleno y efectivo ejercicio de la democracia. Promover y fomentar diversas formas de participación fortalece la democracia</w:t>
      </w:r>
      <w:r w:rsidRPr="00B24719">
        <w:rPr>
          <w:rFonts w:ascii="Verdana" w:hAnsi="Verdana"/>
          <w:sz w:val="16"/>
          <w:szCs w:val="16"/>
          <w:lang w:val="es-ES"/>
        </w:rPr>
        <w:t>.”</w:t>
      </w:r>
    </w:p>
    <w:p w:rsidR="001A65FF" w:rsidRPr="00B24719" w:rsidRDefault="001A65FF" w:rsidP="00B24719">
      <w:pPr>
        <w:pStyle w:val="Textonotapie"/>
        <w:jc w:val="both"/>
        <w:rPr>
          <w:rFonts w:ascii="Verdana" w:hAnsi="Verdana"/>
          <w:sz w:val="16"/>
          <w:szCs w:val="16"/>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D83"/>
    <w:multiLevelType w:val="hybridMultilevel"/>
    <w:tmpl w:val="ECF034F4"/>
    <w:lvl w:ilvl="0" w:tplc="56AA1A3C">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071859"/>
    <w:multiLevelType w:val="hybridMultilevel"/>
    <w:tmpl w:val="7336481A"/>
    <w:lvl w:ilvl="0" w:tplc="340A0001">
      <w:start w:val="1"/>
      <w:numFmt w:val="bullet"/>
      <w:lvlText w:val=""/>
      <w:lvlJc w:val="left"/>
      <w:pPr>
        <w:ind w:left="720" w:hanging="360"/>
      </w:pPr>
      <w:rPr>
        <w:rFonts w:ascii="Symbol" w:hAnsi="Symbol" w:hint="default"/>
        <w:b w:val="0"/>
        <w:i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30319FA"/>
    <w:multiLevelType w:val="hybridMultilevel"/>
    <w:tmpl w:val="D90C25AA"/>
    <w:lvl w:ilvl="0" w:tplc="657CC770">
      <w:start w:val="1"/>
      <w:numFmt w:val="upperLetter"/>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35A7C47"/>
    <w:multiLevelType w:val="hybridMultilevel"/>
    <w:tmpl w:val="F2A8C792"/>
    <w:lvl w:ilvl="0" w:tplc="2898A83C">
      <w:start w:val="1"/>
      <w:numFmt w:val="decimal"/>
      <w:lvlText w:val="%1."/>
      <w:lvlJc w:val="left"/>
      <w:pPr>
        <w:ind w:left="4680" w:hanging="360"/>
      </w:pPr>
      <w:rPr>
        <w:b w:val="0"/>
        <w:i w:val="0"/>
      </w:rPr>
    </w:lvl>
    <w:lvl w:ilvl="1" w:tplc="340A0019">
      <w:start w:val="1"/>
      <w:numFmt w:val="lowerLetter"/>
      <w:lvlText w:val="%2."/>
      <w:lvlJc w:val="left"/>
      <w:pPr>
        <w:ind w:left="5400" w:hanging="360"/>
      </w:pPr>
    </w:lvl>
    <w:lvl w:ilvl="2" w:tplc="340A001B" w:tentative="1">
      <w:start w:val="1"/>
      <w:numFmt w:val="lowerRoman"/>
      <w:lvlText w:val="%3."/>
      <w:lvlJc w:val="right"/>
      <w:pPr>
        <w:ind w:left="6120" w:hanging="180"/>
      </w:pPr>
    </w:lvl>
    <w:lvl w:ilvl="3" w:tplc="340A000F" w:tentative="1">
      <w:start w:val="1"/>
      <w:numFmt w:val="decimal"/>
      <w:lvlText w:val="%4."/>
      <w:lvlJc w:val="left"/>
      <w:pPr>
        <w:ind w:left="6840" w:hanging="360"/>
      </w:pPr>
    </w:lvl>
    <w:lvl w:ilvl="4" w:tplc="340A0019" w:tentative="1">
      <w:start w:val="1"/>
      <w:numFmt w:val="lowerLetter"/>
      <w:lvlText w:val="%5."/>
      <w:lvlJc w:val="left"/>
      <w:pPr>
        <w:ind w:left="7560" w:hanging="360"/>
      </w:pPr>
    </w:lvl>
    <w:lvl w:ilvl="5" w:tplc="340A001B" w:tentative="1">
      <w:start w:val="1"/>
      <w:numFmt w:val="lowerRoman"/>
      <w:lvlText w:val="%6."/>
      <w:lvlJc w:val="right"/>
      <w:pPr>
        <w:ind w:left="8280" w:hanging="180"/>
      </w:pPr>
    </w:lvl>
    <w:lvl w:ilvl="6" w:tplc="340A000F" w:tentative="1">
      <w:start w:val="1"/>
      <w:numFmt w:val="decimal"/>
      <w:lvlText w:val="%7."/>
      <w:lvlJc w:val="left"/>
      <w:pPr>
        <w:ind w:left="9000" w:hanging="360"/>
      </w:pPr>
    </w:lvl>
    <w:lvl w:ilvl="7" w:tplc="340A0019" w:tentative="1">
      <w:start w:val="1"/>
      <w:numFmt w:val="lowerLetter"/>
      <w:lvlText w:val="%8."/>
      <w:lvlJc w:val="left"/>
      <w:pPr>
        <w:ind w:left="9720" w:hanging="360"/>
      </w:pPr>
    </w:lvl>
    <w:lvl w:ilvl="8" w:tplc="340A001B" w:tentative="1">
      <w:start w:val="1"/>
      <w:numFmt w:val="lowerRoman"/>
      <w:lvlText w:val="%9."/>
      <w:lvlJc w:val="right"/>
      <w:pPr>
        <w:ind w:left="10440" w:hanging="180"/>
      </w:pPr>
    </w:lvl>
  </w:abstractNum>
  <w:abstractNum w:abstractNumId="4" w15:restartNumberingAfterBreak="0">
    <w:nsid w:val="252374D3"/>
    <w:multiLevelType w:val="hybridMultilevel"/>
    <w:tmpl w:val="2D8C9D6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1E71C3F"/>
    <w:multiLevelType w:val="hybridMultilevel"/>
    <w:tmpl w:val="D9A08756"/>
    <w:lvl w:ilvl="0" w:tplc="340A0015">
      <w:start w:val="1"/>
      <w:numFmt w:val="upp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6C71BE2"/>
    <w:multiLevelType w:val="hybridMultilevel"/>
    <w:tmpl w:val="659EC4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AE31E6A"/>
    <w:multiLevelType w:val="hybridMultilevel"/>
    <w:tmpl w:val="5F9425BC"/>
    <w:lvl w:ilvl="0" w:tplc="28F82016">
      <w:start w:val="1"/>
      <w:numFmt w:val="upperLetter"/>
      <w:pStyle w:val="Ttulo2"/>
      <w:lvlText w:val="%1."/>
      <w:lvlJc w:val="left"/>
      <w:pPr>
        <w:ind w:left="360" w:hanging="360"/>
      </w:pPr>
      <w:rPr>
        <w:b/>
        <w:i w:val="0"/>
      </w:rPr>
    </w:lvl>
    <w:lvl w:ilvl="1" w:tplc="8A068718">
      <w:start w:val="1"/>
      <w:numFmt w:val="lowerLetter"/>
      <w:lvlText w:val="%2."/>
      <w:lvlJc w:val="left"/>
      <w:pPr>
        <w:ind w:left="645" w:hanging="360"/>
      </w:pPr>
      <w:rPr>
        <w:rFonts w:hint="default"/>
        <w:i w:val="0"/>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55FF6FE2"/>
    <w:multiLevelType w:val="hybridMultilevel"/>
    <w:tmpl w:val="C0C8571A"/>
    <w:lvl w:ilvl="0" w:tplc="D40EB75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F4C2233"/>
    <w:multiLevelType w:val="hybridMultilevel"/>
    <w:tmpl w:val="7EA8578E"/>
    <w:lvl w:ilvl="0" w:tplc="6E46E8B0">
      <w:start w:val="1"/>
      <w:numFmt w:val="lowerLetter"/>
      <w:lvlText w:val="%1)"/>
      <w:lvlJc w:val="left"/>
      <w:pPr>
        <w:ind w:left="720" w:hanging="360"/>
      </w:pPr>
      <w:rPr>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2966BAF"/>
    <w:multiLevelType w:val="hybridMultilevel"/>
    <w:tmpl w:val="BBC89D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9942C6B"/>
    <w:multiLevelType w:val="hybridMultilevel"/>
    <w:tmpl w:val="35824AC4"/>
    <w:lvl w:ilvl="0" w:tplc="B328AD26">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B8176AB"/>
    <w:multiLevelType w:val="hybridMultilevel"/>
    <w:tmpl w:val="B2060984"/>
    <w:lvl w:ilvl="0" w:tplc="340A0017">
      <w:start w:val="38"/>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3960AA6"/>
    <w:multiLevelType w:val="hybridMultilevel"/>
    <w:tmpl w:val="BFEAE6C0"/>
    <w:lvl w:ilvl="0" w:tplc="050867BA">
      <w:start w:val="1"/>
      <w:numFmt w:val="upperLetter"/>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FBA44E2"/>
    <w:multiLevelType w:val="hybridMultilevel"/>
    <w:tmpl w:val="C2F48ED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5"/>
  </w:num>
  <w:num w:numId="5">
    <w:abstractNumId w:val="13"/>
  </w:num>
  <w:num w:numId="6">
    <w:abstractNumId w:val="4"/>
  </w:num>
  <w:num w:numId="7">
    <w:abstractNumId w:val="10"/>
  </w:num>
  <w:num w:numId="8">
    <w:abstractNumId w:val="9"/>
  </w:num>
  <w:num w:numId="9">
    <w:abstractNumId w:val="12"/>
  </w:num>
  <w:num w:numId="10">
    <w:abstractNumId w:val="2"/>
  </w:num>
  <w:num w:numId="11">
    <w:abstractNumId w:val="1"/>
  </w:num>
  <w:num w:numId="12">
    <w:abstractNumId w:val="6"/>
  </w:num>
  <w:num w:numId="13">
    <w:abstractNumId w:val="14"/>
  </w:num>
  <w:num w:numId="14">
    <w:abstractNumId w:val="0"/>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17"/>
    <w:rsid w:val="00003995"/>
    <w:rsid w:val="00004714"/>
    <w:rsid w:val="00015B0E"/>
    <w:rsid w:val="00024D50"/>
    <w:rsid w:val="00024F83"/>
    <w:rsid w:val="00062CD8"/>
    <w:rsid w:val="0007249F"/>
    <w:rsid w:val="000819FC"/>
    <w:rsid w:val="00087AA8"/>
    <w:rsid w:val="000978E9"/>
    <w:rsid w:val="000A360F"/>
    <w:rsid w:val="000C268E"/>
    <w:rsid w:val="000C2F83"/>
    <w:rsid w:val="001020A7"/>
    <w:rsid w:val="001332C8"/>
    <w:rsid w:val="00135FDF"/>
    <w:rsid w:val="00142E66"/>
    <w:rsid w:val="00151C3E"/>
    <w:rsid w:val="001573C6"/>
    <w:rsid w:val="00157DE0"/>
    <w:rsid w:val="00166E1F"/>
    <w:rsid w:val="00176151"/>
    <w:rsid w:val="00180D46"/>
    <w:rsid w:val="0018733E"/>
    <w:rsid w:val="00191487"/>
    <w:rsid w:val="001927DA"/>
    <w:rsid w:val="001A65FF"/>
    <w:rsid w:val="001D2823"/>
    <w:rsid w:val="001E32C4"/>
    <w:rsid w:val="0021096F"/>
    <w:rsid w:val="002203C1"/>
    <w:rsid w:val="0022364A"/>
    <w:rsid w:val="0023483A"/>
    <w:rsid w:val="0024656E"/>
    <w:rsid w:val="0024765F"/>
    <w:rsid w:val="00250CAF"/>
    <w:rsid w:val="0028270E"/>
    <w:rsid w:val="00287A39"/>
    <w:rsid w:val="0029155B"/>
    <w:rsid w:val="00294174"/>
    <w:rsid w:val="0029730D"/>
    <w:rsid w:val="002A1DAD"/>
    <w:rsid w:val="002A256B"/>
    <w:rsid w:val="002A30FC"/>
    <w:rsid w:val="002A4042"/>
    <w:rsid w:val="002A64F0"/>
    <w:rsid w:val="002B3DCF"/>
    <w:rsid w:val="002B6E34"/>
    <w:rsid w:val="002D37DA"/>
    <w:rsid w:val="002E7B60"/>
    <w:rsid w:val="00310C2C"/>
    <w:rsid w:val="00310E86"/>
    <w:rsid w:val="003164AD"/>
    <w:rsid w:val="00320645"/>
    <w:rsid w:val="0032648C"/>
    <w:rsid w:val="00351466"/>
    <w:rsid w:val="00363341"/>
    <w:rsid w:val="003712C3"/>
    <w:rsid w:val="00371353"/>
    <w:rsid w:val="0037776A"/>
    <w:rsid w:val="003907A9"/>
    <w:rsid w:val="0039149D"/>
    <w:rsid w:val="00393451"/>
    <w:rsid w:val="00394211"/>
    <w:rsid w:val="003C2A4D"/>
    <w:rsid w:val="003C58D8"/>
    <w:rsid w:val="003C7A67"/>
    <w:rsid w:val="003D7BF6"/>
    <w:rsid w:val="003E4554"/>
    <w:rsid w:val="003E4E1A"/>
    <w:rsid w:val="003F1FDA"/>
    <w:rsid w:val="0040414A"/>
    <w:rsid w:val="00404CDC"/>
    <w:rsid w:val="00414D93"/>
    <w:rsid w:val="0046445B"/>
    <w:rsid w:val="00464DBD"/>
    <w:rsid w:val="004B1914"/>
    <w:rsid w:val="004B43A2"/>
    <w:rsid w:val="004B55EA"/>
    <w:rsid w:val="004C2629"/>
    <w:rsid w:val="004C748E"/>
    <w:rsid w:val="004D176A"/>
    <w:rsid w:val="004D44BE"/>
    <w:rsid w:val="004E3B85"/>
    <w:rsid w:val="0053276F"/>
    <w:rsid w:val="00533826"/>
    <w:rsid w:val="005357CF"/>
    <w:rsid w:val="00544579"/>
    <w:rsid w:val="00566978"/>
    <w:rsid w:val="005678E6"/>
    <w:rsid w:val="005729BC"/>
    <w:rsid w:val="00585F26"/>
    <w:rsid w:val="005A1D74"/>
    <w:rsid w:val="005A7D08"/>
    <w:rsid w:val="005B072E"/>
    <w:rsid w:val="005D3372"/>
    <w:rsid w:val="005E4ADB"/>
    <w:rsid w:val="005F1EB3"/>
    <w:rsid w:val="005F3D52"/>
    <w:rsid w:val="005F54AB"/>
    <w:rsid w:val="00613F9A"/>
    <w:rsid w:val="006328A6"/>
    <w:rsid w:val="00644BE5"/>
    <w:rsid w:val="006460FE"/>
    <w:rsid w:val="00661A92"/>
    <w:rsid w:val="006731F6"/>
    <w:rsid w:val="0067604B"/>
    <w:rsid w:val="0068451B"/>
    <w:rsid w:val="006A024E"/>
    <w:rsid w:val="006C141C"/>
    <w:rsid w:val="006C482D"/>
    <w:rsid w:val="006D3E6B"/>
    <w:rsid w:val="006D4530"/>
    <w:rsid w:val="006E1A58"/>
    <w:rsid w:val="006F01F8"/>
    <w:rsid w:val="006F2613"/>
    <w:rsid w:val="00716FAE"/>
    <w:rsid w:val="007257E5"/>
    <w:rsid w:val="007321DA"/>
    <w:rsid w:val="00745FCB"/>
    <w:rsid w:val="0076369D"/>
    <w:rsid w:val="00764B45"/>
    <w:rsid w:val="00772D74"/>
    <w:rsid w:val="00785349"/>
    <w:rsid w:val="007855FF"/>
    <w:rsid w:val="0079628F"/>
    <w:rsid w:val="007B1BF5"/>
    <w:rsid w:val="007B3B53"/>
    <w:rsid w:val="007D79ED"/>
    <w:rsid w:val="007E461D"/>
    <w:rsid w:val="007E4D8F"/>
    <w:rsid w:val="007E734D"/>
    <w:rsid w:val="007F78F6"/>
    <w:rsid w:val="00817D48"/>
    <w:rsid w:val="00822918"/>
    <w:rsid w:val="00822F69"/>
    <w:rsid w:val="00841E55"/>
    <w:rsid w:val="00844F2E"/>
    <w:rsid w:val="00845AC3"/>
    <w:rsid w:val="00852B4A"/>
    <w:rsid w:val="00857FF5"/>
    <w:rsid w:val="0087436C"/>
    <w:rsid w:val="008763AC"/>
    <w:rsid w:val="008775C6"/>
    <w:rsid w:val="008A0013"/>
    <w:rsid w:val="008A4349"/>
    <w:rsid w:val="008C1541"/>
    <w:rsid w:val="008D73A2"/>
    <w:rsid w:val="008E4E54"/>
    <w:rsid w:val="00903AE4"/>
    <w:rsid w:val="00907944"/>
    <w:rsid w:val="00910491"/>
    <w:rsid w:val="009165C1"/>
    <w:rsid w:val="009709DE"/>
    <w:rsid w:val="00975FAB"/>
    <w:rsid w:val="009815DF"/>
    <w:rsid w:val="00991FDE"/>
    <w:rsid w:val="00992BC1"/>
    <w:rsid w:val="009C293C"/>
    <w:rsid w:val="009D7351"/>
    <w:rsid w:val="009E1E26"/>
    <w:rsid w:val="009E679A"/>
    <w:rsid w:val="009F220C"/>
    <w:rsid w:val="00A000FC"/>
    <w:rsid w:val="00A02662"/>
    <w:rsid w:val="00A039A8"/>
    <w:rsid w:val="00A13ACB"/>
    <w:rsid w:val="00A150C3"/>
    <w:rsid w:val="00A15146"/>
    <w:rsid w:val="00A1609F"/>
    <w:rsid w:val="00A16781"/>
    <w:rsid w:val="00A233C9"/>
    <w:rsid w:val="00A23B33"/>
    <w:rsid w:val="00A317F9"/>
    <w:rsid w:val="00A36A5F"/>
    <w:rsid w:val="00A42627"/>
    <w:rsid w:val="00A46CA0"/>
    <w:rsid w:val="00A47EA7"/>
    <w:rsid w:val="00A51ACC"/>
    <w:rsid w:val="00A6023D"/>
    <w:rsid w:val="00A76975"/>
    <w:rsid w:val="00A77338"/>
    <w:rsid w:val="00A813E0"/>
    <w:rsid w:val="00AB1174"/>
    <w:rsid w:val="00AB1AAD"/>
    <w:rsid w:val="00AB2BCE"/>
    <w:rsid w:val="00AB7554"/>
    <w:rsid w:val="00AC76FE"/>
    <w:rsid w:val="00AD1456"/>
    <w:rsid w:val="00AE364B"/>
    <w:rsid w:val="00AE377B"/>
    <w:rsid w:val="00AF2E66"/>
    <w:rsid w:val="00AF3AAF"/>
    <w:rsid w:val="00AF6436"/>
    <w:rsid w:val="00B011DE"/>
    <w:rsid w:val="00B040E2"/>
    <w:rsid w:val="00B1019A"/>
    <w:rsid w:val="00B11FF2"/>
    <w:rsid w:val="00B14268"/>
    <w:rsid w:val="00B24719"/>
    <w:rsid w:val="00B27B06"/>
    <w:rsid w:val="00B30300"/>
    <w:rsid w:val="00B34B26"/>
    <w:rsid w:val="00B361CB"/>
    <w:rsid w:val="00B40638"/>
    <w:rsid w:val="00B4085E"/>
    <w:rsid w:val="00B6328B"/>
    <w:rsid w:val="00B715AF"/>
    <w:rsid w:val="00B7711C"/>
    <w:rsid w:val="00B81335"/>
    <w:rsid w:val="00BA3200"/>
    <w:rsid w:val="00BB4A65"/>
    <w:rsid w:val="00BC6A24"/>
    <w:rsid w:val="00BC7F3C"/>
    <w:rsid w:val="00BE0B6A"/>
    <w:rsid w:val="00BE3CF6"/>
    <w:rsid w:val="00BE4E73"/>
    <w:rsid w:val="00C05917"/>
    <w:rsid w:val="00C05CE0"/>
    <w:rsid w:val="00C2460E"/>
    <w:rsid w:val="00C27FEC"/>
    <w:rsid w:val="00C3063B"/>
    <w:rsid w:val="00C334E6"/>
    <w:rsid w:val="00C34468"/>
    <w:rsid w:val="00C37068"/>
    <w:rsid w:val="00C524D3"/>
    <w:rsid w:val="00C56689"/>
    <w:rsid w:val="00C620AB"/>
    <w:rsid w:val="00C64DCE"/>
    <w:rsid w:val="00C70DA3"/>
    <w:rsid w:val="00C7106F"/>
    <w:rsid w:val="00C9142C"/>
    <w:rsid w:val="00CA2F70"/>
    <w:rsid w:val="00CB29C6"/>
    <w:rsid w:val="00CB3DC8"/>
    <w:rsid w:val="00CE0196"/>
    <w:rsid w:val="00CF71FA"/>
    <w:rsid w:val="00D037C6"/>
    <w:rsid w:val="00D13004"/>
    <w:rsid w:val="00D134B5"/>
    <w:rsid w:val="00D214DF"/>
    <w:rsid w:val="00D254F5"/>
    <w:rsid w:val="00D2731D"/>
    <w:rsid w:val="00D42A6D"/>
    <w:rsid w:val="00D43E72"/>
    <w:rsid w:val="00D538AE"/>
    <w:rsid w:val="00D6471B"/>
    <w:rsid w:val="00D70323"/>
    <w:rsid w:val="00D7409F"/>
    <w:rsid w:val="00D95702"/>
    <w:rsid w:val="00D9690C"/>
    <w:rsid w:val="00DA20B0"/>
    <w:rsid w:val="00DC0146"/>
    <w:rsid w:val="00DC7030"/>
    <w:rsid w:val="00DD2958"/>
    <w:rsid w:val="00DE3EB2"/>
    <w:rsid w:val="00DE5211"/>
    <w:rsid w:val="00DF17BD"/>
    <w:rsid w:val="00DF356E"/>
    <w:rsid w:val="00E02DDD"/>
    <w:rsid w:val="00E0395E"/>
    <w:rsid w:val="00E06045"/>
    <w:rsid w:val="00E12B0E"/>
    <w:rsid w:val="00E16854"/>
    <w:rsid w:val="00E17921"/>
    <w:rsid w:val="00E21FD5"/>
    <w:rsid w:val="00E277D4"/>
    <w:rsid w:val="00E31C9C"/>
    <w:rsid w:val="00E424D1"/>
    <w:rsid w:val="00E426C7"/>
    <w:rsid w:val="00E52211"/>
    <w:rsid w:val="00E55823"/>
    <w:rsid w:val="00E72566"/>
    <w:rsid w:val="00E85ACE"/>
    <w:rsid w:val="00EA4771"/>
    <w:rsid w:val="00EE0510"/>
    <w:rsid w:val="00F12E30"/>
    <w:rsid w:val="00F26DB3"/>
    <w:rsid w:val="00F35514"/>
    <w:rsid w:val="00F37106"/>
    <w:rsid w:val="00F435FA"/>
    <w:rsid w:val="00F5584F"/>
    <w:rsid w:val="00F63231"/>
    <w:rsid w:val="00F83161"/>
    <w:rsid w:val="00F94F2E"/>
    <w:rsid w:val="00FA2FED"/>
    <w:rsid w:val="00FC320B"/>
    <w:rsid w:val="00FD0C3A"/>
    <w:rsid w:val="00FD7004"/>
    <w:rsid w:val="00FE0AF0"/>
    <w:rsid w:val="00FE4278"/>
    <w:rsid w:val="00FE4DF2"/>
    <w:rsid w:val="00FE6B3B"/>
    <w:rsid w:val="00FF3F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BE029-93DD-48CC-B105-E78CDF48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300" w:lineRule="auto"/>
        <w:ind w:left="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paragraph" w:styleId="Ttulo2">
    <w:name w:val="heading 2"/>
    <w:basedOn w:val="Normal"/>
    <w:next w:val="Normal"/>
    <w:link w:val="Ttulo2Car"/>
    <w:unhideWhenUsed/>
    <w:qFormat/>
    <w:rsid w:val="00C05917"/>
    <w:pPr>
      <w:keepNext/>
      <w:numPr>
        <w:numId w:val="1"/>
      </w:numPr>
      <w:autoSpaceDE w:val="0"/>
      <w:autoSpaceDN w:val="0"/>
      <w:adjustRightInd w:val="0"/>
      <w:spacing w:before="200" w:after="200" w:line="240" w:lineRule="auto"/>
      <w:ind w:left="357" w:hanging="357"/>
      <w:outlineLvl w:val="1"/>
    </w:pPr>
    <w:rPr>
      <w:rFonts w:ascii="Verdana" w:hAnsi="Verdana" w:cs="Arial"/>
      <w:b/>
      <w:sz w:val="20"/>
      <w:szCs w:val="20"/>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05917"/>
    <w:rPr>
      <w:rFonts w:ascii="Verdana" w:hAnsi="Verdana" w:cs="Arial"/>
      <w:b/>
      <w:sz w:val="20"/>
      <w:szCs w:val="20"/>
      <w:lang w:val="es-CR"/>
    </w:rPr>
  </w:style>
  <w:style w:type="numbering" w:customStyle="1" w:styleId="Sinlista1">
    <w:name w:val="Sin lista1"/>
    <w:next w:val="Sinlista"/>
    <w:uiPriority w:val="99"/>
    <w:semiHidden/>
    <w:unhideWhenUsed/>
    <w:rsid w:val="00C05917"/>
  </w:style>
  <w:style w:type="paragraph" w:styleId="Encabezado">
    <w:name w:val="header"/>
    <w:basedOn w:val="Normal"/>
    <w:link w:val="EncabezadoCar"/>
    <w:uiPriority w:val="99"/>
    <w:unhideWhenUsed/>
    <w:rsid w:val="00C05917"/>
    <w:pPr>
      <w:tabs>
        <w:tab w:val="center" w:pos="4419"/>
        <w:tab w:val="right" w:pos="8838"/>
      </w:tabs>
      <w:spacing w:after="0" w:line="240" w:lineRule="auto"/>
      <w:ind w:left="0"/>
      <w:jc w:val="left"/>
    </w:pPr>
  </w:style>
  <w:style w:type="character" w:customStyle="1" w:styleId="EncabezadoCar">
    <w:name w:val="Encabezado Car"/>
    <w:basedOn w:val="Fuentedeprrafopredeter"/>
    <w:link w:val="Encabezado"/>
    <w:uiPriority w:val="99"/>
    <w:rsid w:val="00C05917"/>
    <w:rPr>
      <w:lang w:val="es-CL"/>
    </w:rPr>
  </w:style>
  <w:style w:type="paragraph" w:styleId="Piedepgina">
    <w:name w:val="footer"/>
    <w:basedOn w:val="Normal"/>
    <w:link w:val="PiedepginaCar"/>
    <w:uiPriority w:val="99"/>
    <w:unhideWhenUsed/>
    <w:rsid w:val="00C05917"/>
    <w:pPr>
      <w:tabs>
        <w:tab w:val="center" w:pos="4419"/>
        <w:tab w:val="right" w:pos="8838"/>
      </w:tabs>
      <w:spacing w:after="0" w:line="240" w:lineRule="auto"/>
      <w:ind w:left="0"/>
      <w:jc w:val="left"/>
    </w:pPr>
  </w:style>
  <w:style w:type="character" w:customStyle="1" w:styleId="PiedepginaCar">
    <w:name w:val="Pie de página Car"/>
    <w:basedOn w:val="Fuentedeprrafopredeter"/>
    <w:link w:val="Piedepgina"/>
    <w:uiPriority w:val="99"/>
    <w:rsid w:val="00C05917"/>
    <w:rPr>
      <w:lang w:val="es-CL"/>
    </w:rPr>
  </w:style>
  <w:style w:type="paragraph" w:styleId="Textonotapie">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TextonotapieCar"/>
    <w:uiPriority w:val="99"/>
    <w:unhideWhenUsed/>
    <w:qFormat/>
    <w:rsid w:val="00C05917"/>
    <w:pPr>
      <w:spacing w:after="0" w:line="240" w:lineRule="auto"/>
      <w:ind w:left="0"/>
      <w:jc w:val="left"/>
    </w:pPr>
    <w:rPr>
      <w:sz w:val="20"/>
      <w:szCs w:val="20"/>
    </w:rPr>
  </w:style>
  <w:style w:type="character" w:customStyle="1" w:styleId="TextonotapieCar">
    <w:name w:val="Texto nota pie Car"/>
    <w:aliases w:val="2. Footnote Text Car,Footnote Tesina Car,Footnote Text Char Char Char Char Char Car,Footnote Text Char Char Char Char Car,Footnote reference Car,FA Fu Car,Footnote Text Char Char Char Car,Footnote Text Cha Car,FA Fußnotentext Car"/>
    <w:basedOn w:val="Fuentedeprrafopredeter"/>
    <w:link w:val="Textonotapie"/>
    <w:uiPriority w:val="99"/>
    <w:qFormat/>
    <w:rsid w:val="00C05917"/>
    <w:rPr>
      <w:sz w:val="20"/>
      <w:szCs w:val="20"/>
      <w:lang w:val="es-CL"/>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unhideWhenUsed/>
    <w:qFormat/>
    <w:rsid w:val="00C05917"/>
    <w:rPr>
      <w:vertAlign w:val="superscript"/>
    </w:rPr>
  </w:style>
  <w:style w:type="paragraph" w:styleId="Prrafodelista">
    <w:name w:val="List Paragraph"/>
    <w:aliases w:val="Párrafo de lista1,Footnote,List Paragraph2,List Paragraph1,Colorful List - Accent 11,Lista vistosa - Énfasis 11,Subtle Emphasis1,Footnote1"/>
    <w:basedOn w:val="Normal"/>
    <w:link w:val="PrrafodelistaCar"/>
    <w:uiPriority w:val="34"/>
    <w:qFormat/>
    <w:rsid w:val="00C05917"/>
    <w:pPr>
      <w:spacing w:after="200" w:line="276" w:lineRule="auto"/>
      <w:ind w:left="720"/>
      <w:contextualSpacing/>
      <w:jc w:val="left"/>
    </w:pPr>
  </w:style>
  <w:style w:type="paragraph" w:styleId="Textodeglobo">
    <w:name w:val="Balloon Text"/>
    <w:basedOn w:val="Normal"/>
    <w:link w:val="TextodegloboCar"/>
    <w:uiPriority w:val="99"/>
    <w:semiHidden/>
    <w:unhideWhenUsed/>
    <w:rsid w:val="00C05917"/>
    <w:pPr>
      <w:spacing w:after="0" w:line="240" w:lineRule="auto"/>
      <w:ind w:left="0"/>
      <w:jc w:val="left"/>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5917"/>
    <w:rPr>
      <w:rFonts w:ascii="Tahoma" w:hAnsi="Tahoma" w:cs="Tahoma"/>
      <w:sz w:val="16"/>
      <w:szCs w:val="16"/>
      <w:lang w:val="es-CL"/>
    </w:rPr>
  </w:style>
  <w:style w:type="character" w:styleId="Textoennegrita">
    <w:name w:val="Strong"/>
    <w:basedOn w:val="Fuentedeprrafopredeter"/>
    <w:uiPriority w:val="22"/>
    <w:qFormat/>
    <w:rsid w:val="00C05917"/>
    <w:rPr>
      <w:b/>
      <w:bCs/>
    </w:rPr>
  </w:style>
  <w:style w:type="paragraph" w:customStyle="1" w:styleId="Default">
    <w:name w:val="Default"/>
    <w:link w:val="DefaultChar"/>
    <w:rsid w:val="00C05917"/>
    <w:pPr>
      <w:autoSpaceDE w:val="0"/>
      <w:autoSpaceDN w:val="0"/>
      <w:adjustRightInd w:val="0"/>
      <w:spacing w:after="0" w:line="240" w:lineRule="auto"/>
      <w:ind w:left="0"/>
      <w:jc w:val="left"/>
    </w:pPr>
    <w:rPr>
      <w:rFonts w:ascii="Times New Roman" w:eastAsia="Times New Roman" w:hAnsi="Times New Roman" w:cs="Times New Roman"/>
      <w:color w:val="000000"/>
      <w:sz w:val="24"/>
      <w:szCs w:val="24"/>
      <w:lang w:val="es-CR" w:eastAsia="es-CR"/>
    </w:rPr>
  </w:style>
  <w:style w:type="character" w:customStyle="1" w:styleId="DefaultChar">
    <w:name w:val="Default Char"/>
    <w:link w:val="Default"/>
    <w:locked/>
    <w:rsid w:val="00C05917"/>
    <w:rPr>
      <w:rFonts w:ascii="Times New Roman" w:eastAsia="Times New Roman" w:hAnsi="Times New Roman" w:cs="Times New Roman"/>
      <w:color w:val="000000"/>
      <w:sz w:val="24"/>
      <w:szCs w:val="24"/>
      <w:lang w:val="es-CR" w:eastAsia="es-CR"/>
    </w:rPr>
  </w:style>
  <w:style w:type="character" w:customStyle="1" w:styleId="PrrafodelistaCar">
    <w:name w:val="Párrafo de lista Car"/>
    <w:aliases w:val="Párrafo de lista1 Car,Footnote Car,List Paragraph2 Car,List Paragraph1 Car,Colorful List - Accent 11 Car,Lista vistosa - Énfasis 11 Car,Subtle Emphasis1 Car,Footnote1 Car"/>
    <w:basedOn w:val="Fuentedeprrafopredeter"/>
    <w:link w:val="Prrafodelista"/>
    <w:uiPriority w:val="34"/>
    <w:locked/>
    <w:rsid w:val="00C05917"/>
    <w:rPr>
      <w:lang w:val="es-C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05917"/>
    <w:pPr>
      <w:widowControl w:val="0"/>
      <w:adjustRightInd w:val="0"/>
      <w:spacing w:after="0" w:line="240" w:lineRule="auto"/>
      <w:ind w:left="0"/>
      <w:textAlignment w:val="baseline"/>
    </w:pPr>
    <w:rPr>
      <w:vertAlign w:val="superscript"/>
      <w:lang w:val="en-US"/>
    </w:rPr>
  </w:style>
  <w:style w:type="character" w:customStyle="1" w:styleId="Estilo1Car">
    <w:name w:val="Estilo1 Car"/>
    <w:basedOn w:val="Fuentedeprrafopredeter"/>
    <w:link w:val="Estilo1"/>
    <w:locked/>
    <w:rsid w:val="00C05917"/>
    <w:rPr>
      <w:rFonts w:ascii="Verdana" w:eastAsia="Batang" w:hAnsi="Verdana" w:cs="Times"/>
      <w:i/>
      <w:sz w:val="20"/>
      <w:szCs w:val="24"/>
      <w:lang w:val="es-ES_tradnl"/>
    </w:rPr>
  </w:style>
  <w:style w:type="paragraph" w:customStyle="1" w:styleId="Estilo1">
    <w:name w:val="Estilo1"/>
    <w:basedOn w:val="Normal"/>
    <w:link w:val="Estilo1Car"/>
    <w:qFormat/>
    <w:rsid w:val="00C05917"/>
    <w:pPr>
      <w:spacing w:line="240" w:lineRule="auto"/>
      <w:ind w:left="2018" w:right="6" w:hanging="180"/>
    </w:pPr>
    <w:rPr>
      <w:rFonts w:ascii="Verdana" w:eastAsia="Batang" w:hAnsi="Verdana" w:cs="Times"/>
      <w:i/>
      <w:sz w:val="20"/>
      <w:szCs w:val="24"/>
      <w:lang w:val="es-ES_tradnl"/>
    </w:rPr>
  </w:style>
  <w:style w:type="paragraph" w:styleId="TDC1">
    <w:name w:val="toc 1"/>
    <w:basedOn w:val="Normal"/>
    <w:next w:val="Normal"/>
    <w:autoRedefine/>
    <w:uiPriority w:val="39"/>
    <w:unhideWhenUsed/>
    <w:qFormat/>
    <w:rsid w:val="00C05917"/>
    <w:pPr>
      <w:tabs>
        <w:tab w:val="right" w:leader="dot" w:pos="9356"/>
      </w:tabs>
      <w:spacing w:after="0" w:line="240" w:lineRule="auto"/>
      <w:ind w:left="0"/>
    </w:pPr>
    <w:rPr>
      <w:rFonts w:ascii="Verdana Bold" w:eastAsia="Batang" w:hAnsi="Verdana Bold" w:cs="Times"/>
      <w:b/>
      <w:caps/>
      <w:noProof/>
      <w:sz w:val="18"/>
      <w:szCs w:val="24"/>
      <w:lang w:val="x-none"/>
    </w:rPr>
  </w:style>
  <w:style w:type="paragraph" w:customStyle="1" w:styleId="style1">
    <w:name w:val="style1"/>
    <w:basedOn w:val="Normal"/>
    <w:rsid w:val="00C05917"/>
    <w:pPr>
      <w:spacing w:before="100" w:beforeAutospacing="1" w:after="100" w:afterAutospacing="1" w:line="240" w:lineRule="auto"/>
      <w:ind w:left="0"/>
      <w:jc w:val="left"/>
    </w:pPr>
    <w:rPr>
      <w:rFonts w:ascii="Times New Roman" w:eastAsia="Times New Roman" w:hAnsi="Times New Roman" w:cs="Times New Roman"/>
      <w:sz w:val="24"/>
      <w:szCs w:val="24"/>
      <w:lang w:val="en-US"/>
    </w:rPr>
  </w:style>
  <w:style w:type="paragraph" w:customStyle="1" w:styleId="1">
    <w:name w:val="1"/>
    <w:basedOn w:val="Normal"/>
    <w:rsid w:val="00A15146"/>
    <w:pPr>
      <w:spacing w:after="160" w:line="240" w:lineRule="exact"/>
      <w:ind w:left="0"/>
      <w:jc w:val="left"/>
    </w:pPr>
    <w:rPr>
      <w:rFonts w:ascii="Verdana" w:eastAsia="Times New Roman" w:hAnsi="Verdana" w:cs="Times New Roman"/>
      <w:sz w:val="16"/>
      <w:vertAlign w:val="superscript"/>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B9916-48D0-4FCE-B0F4-C633BAD7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8973</Words>
  <Characters>49356</Characters>
  <Application>Microsoft Office Word</Application>
  <DocSecurity>0</DocSecurity>
  <Lines>411</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Francella Hernandez</cp:lastModifiedBy>
  <cp:revision>2</cp:revision>
  <dcterms:created xsi:type="dcterms:W3CDTF">2019-05-03T00:23:00Z</dcterms:created>
  <dcterms:modified xsi:type="dcterms:W3CDTF">2019-05-03T00:23:00Z</dcterms:modified>
</cp:coreProperties>
</file>