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CE3B6" w14:textId="5A847B1E" w:rsidR="00E9106E" w:rsidRPr="00E757D1" w:rsidRDefault="00E9106E" w:rsidP="00DA5A31">
      <w:pPr>
        <w:spacing w:line="276" w:lineRule="auto"/>
        <w:ind w:left="-270" w:right="-162"/>
        <w:jc w:val="center"/>
        <w:rPr>
          <w:rFonts w:ascii="Verdana" w:hAnsi="Verdana"/>
          <w:b/>
          <w:sz w:val="20"/>
          <w:szCs w:val="20"/>
          <w:lang w:val="es-ES"/>
        </w:rPr>
      </w:pPr>
      <w:r w:rsidRPr="00E757D1">
        <w:rPr>
          <w:rFonts w:ascii="Verdana" w:hAnsi="Verdana"/>
          <w:b/>
          <w:sz w:val="20"/>
          <w:szCs w:val="20"/>
          <w:lang w:val="es-ES"/>
        </w:rPr>
        <w:t>VOTO PARCIALMENTE DISIDENTE DEL JUEZ EDUARDO VIO GROSSI</w:t>
      </w:r>
    </w:p>
    <w:p w14:paraId="3D1EDCAB" w14:textId="77777777" w:rsidR="005D1373" w:rsidRPr="00E757D1" w:rsidRDefault="005D1373" w:rsidP="00DA5A31">
      <w:pPr>
        <w:spacing w:line="276" w:lineRule="auto"/>
        <w:ind w:left="-270" w:right="-162"/>
        <w:jc w:val="center"/>
        <w:rPr>
          <w:rFonts w:ascii="Verdana" w:hAnsi="Verdana"/>
          <w:b/>
          <w:sz w:val="20"/>
          <w:szCs w:val="20"/>
          <w:lang w:val="es-ES"/>
        </w:rPr>
      </w:pPr>
    </w:p>
    <w:p w14:paraId="6167B38A" w14:textId="27740F28" w:rsidR="001717B6" w:rsidRPr="00E757D1" w:rsidRDefault="001717B6" w:rsidP="00DA5A31">
      <w:pPr>
        <w:spacing w:line="276" w:lineRule="auto"/>
        <w:ind w:left="-270" w:right="-162"/>
        <w:jc w:val="center"/>
        <w:rPr>
          <w:rFonts w:ascii="Verdana" w:hAnsi="Verdana"/>
          <w:b/>
          <w:sz w:val="20"/>
          <w:szCs w:val="20"/>
          <w:lang w:val="es-ES"/>
        </w:rPr>
      </w:pPr>
      <w:r w:rsidRPr="00E757D1">
        <w:rPr>
          <w:rFonts w:ascii="Verdana" w:hAnsi="Verdana"/>
          <w:b/>
          <w:sz w:val="20"/>
          <w:szCs w:val="20"/>
          <w:lang w:val="es-ES"/>
        </w:rPr>
        <w:t>CORTE INTERAMERICANA DE DERECHOS HUMANOS</w:t>
      </w:r>
    </w:p>
    <w:p w14:paraId="0528B0E8" w14:textId="6DA3D2C4" w:rsidR="001717B6" w:rsidRPr="00E757D1" w:rsidRDefault="001717B6" w:rsidP="00DA5A31">
      <w:pPr>
        <w:spacing w:line="276" w:lineRule="auto"/>
        <w:ind w:left="-270" w:right="-162"/>
        <w:jc w:val="center"/>
        <w:rPr>
          <w:rFonts w:ascii="Verdana" w:hAnsi="Verdana"/>
          <w:b/>
          <w:sz w:val="20"/>
          <w:szCs w:val="20"/>
          <w:lang w:val="es-ES"/>
        </w:rPr>
      </w:pPr>
      <w:r w:rsidRPr="00E757D1">
        <w:rPr>
          <w:rFonts w:ascii="Verdana" w:hAnsi="Verdana"/>
          <w:b/>
          <w:sz w:val="20"/>
          <w:szCs w:val="20"/>
          <w:lang w:val="es-ES"/>
        </w:rPr>
        <w:t>CASO EMPLEADOS DE LA FÁBRICA DE FUEGOS EN SANTO ANTÔNIO DE JESUS</w:t>
      </w:r>
    </w:p>
    <w:p w14:paraId="14D6177B" w14:textId="2A764288" w:rsidR="001717B6" w:rsidRPr="00E757D1" w:rsidRDefault="001717B6" w:rsidP="00DA5A31">
      <w:pPr>
        <w:spacing w:line="276" w:lineRule="auto"/>
        <w:ind w:left="-270" w:right="-162"/>
        <w:jc w:val="center"/>
        <w:rPr>
          <w:rFonts w:ascii="Verdana" w:hAnsi="Verdana"/>
          <w:b/>
          <w:sz w:val="20"/>
          <w:szCs w:val="20"/>
          <w:lang w:val="es-ES"/>
        </w:rPr>
      </w:pPr>
      <w:r w:rsidRPr="00E757D1">
        <w:rPr>
          <w:rFonts w:ascii="Verdana" w:hAnsi="Verdana"/>
          <w:b/>
          <w:sz w:val="20"/>
          <w:szCs w:val="20"/>
          <w:lang w:val="es-ES"/>
        </w:rPr>
        <w:t>Y SUS FAMILIARES VS. BRASIL</w:t>
      </w:r>
    </w:p>
    <w:p w14:paraId="189756BB" w14:textId="77777777" w:rsidR="005D1373" w:rsidRPr="00E757D1" w:rsidRDefault="005D1373" w:rsidP="00DA5A31">
      <w:pPr>
        <w:spacing w:line="276" w:lineRule="auto"/>
        <w:ind w:left="-270" w:right="-162"/>
        <w:jc w:val="center"/>
        <w:rPr>
          <w:rFonts w:ascii="Verdana" w:hAnsi="Verdana"/>
          <w:b/>
          <w:sz w:val="20"/>
          <w:szCs w:val="20"/>
          <w:lang w:val="es-ES"/>
        </w:rPr>
      </w:pPr>
    </w:p>
    <w:p w14:paraId="2314A8F7" w14:textId="051765AA" w:rsidR="001717B6" w:rsidRPr="00E757D1" w:rsidRDefault="001717B6" w:rsidP="00DA5A31">
      <w:pPr>
        <w:spacing w:line="276" w:lineRule="auto"/>
        <w:ind w:left="-270" w:right="-162"/>
        <w:jc w:val="center"/>
        <w:rPr>
          <w:rFonts w:ascii="Verdana" w:hAnsi="Verdana"/>
          <w:b/>
          <w:sz w:val="20"/>
          <w:szCs w:val="20"/>
          <w:lang w:val="es-ES"/>
        </w:rPr>
      </w:pPr>
      <w:r w:rsidRPr="00E757D1">
        <w:rPr>
          <w:rFonts w:ascii="Verdana" w:hAnsi="Verdana"/>
          <w:b/>
          <w:sz w:val="20"/>
          <w:szCs w:val="20"/>
          <w:lang w:val="es-ES"/>
        </w:rPr>
        <w:t>SENTENCIA DE 15 DE JULIO DE 2020</w:t>
      </w:r>
    </w:p>
    <w:p w14:paraId="4555F13E" w14:textId="1BACCAAD" w:rsidR="001717B6" w:rsidRPr="00E757D1" w:rsidRDefault="001717B6" w:rsidP="00DA5A31">
      <w:pPr>
        <w:spacing w:line="276" w:lineRule="auto"/>
        <w:ind w:left="-270" w:right="-162"/>
        <w:jc w:val="center"/>
        <w:rPr>
          <w:rFonts w:ascii="Verdana" w:hAnsi="Verdana"/>
          <w:b/>
          <w:sz w:val="20"/>
          <w:szCs w:val="20"/>
          <w:lang w:val="es-ES"/>
        </w:rPr>
      </w:pPr>
      <w:r w:rsidRPr="00E757D1">
        <w:rPr>
          <w:rFonts w:ascii="Verdana" w:hAnsi="Verdana"/>
          <w:b/>
          <w:sz w:val="20"/>
          <w:szCs w:val="20"/>
          <w:lang w:val="es-ES"/>
        </w:rPr>
        <w:t>(Excepciones Preliminares, Fondo, Reparaciones y Costas).</w:t>
      </w:r>
    </w:p>
    <w:p w14:paraId="54578D44" w14:textId="0473639D" w:rsidR="00E9106E" w:rsidRPr="00E757D1" w:rsidRDefault="00E9106E" w:rsidP="00DA5A31">
      <w:pPr>
        <w:spacing w:line="276" w:lineRule="auto"/>
        <w:ind w:left="-270" w:right="-162"/>
        <w:rPr>
          <w:rFonts w:ascii="Verdana" w:hAnsi="Verdana"/>
          <w:sz w:val="20"/>
          <w:szCs w:val="20"/>
          <w:lang w:val="es-ES"/>
        </w:rPr>
      </w:pPr>
    </w:p>
    <w:p w14:paraId="59C1272B" w14:textId="77777777" w:rsidR="0082598B" w:rsidRPr="00E757D1" w:rsidRDefault="0082598B" w:rsidP="00DA5A31">
      <w:pPr>
        <w:spacing w:line="276" w:lineRule="auto"/>
        <w:ind w:left="-270" w:right="-162"/>
        <w:rPr>
          <w:rFonts w:ascii="Verdana" w:hAnsi="Verdana"/>
          <w:sz w:val="20"/>
          <w:szCs w:val="20"/>
          <w:lang w:val="es-ES"/>
        </w:rPr>
      </w:pPr>
    </w:p>
    <w:p w14:paraId="3DD356CD" w14:textId="0F174B96" w:rsidR="00E9106E" w:rsidRPr="00E757D1" w:rsidRDefault="00E9106E" w:rsidP="00DA5A31">
      <w:pPr>
        <w:pStyle w:val="Prrafodelista"/>
        <w:numPr>
          <w:ilvl w:val="0"/>
          <w:numId w:val="12"/>
        </w:numPr>
        <w:spacing w:line="276" w:lineRule="auto"/>
        <w:ind w:left="-270" w:right="-162" w:firstLine="0"/>
        <w:rPr>
          <w:rFonts w:ascii="Verdana" w:hAnsi="Verdana"/>
          <w:b/>
          <w:sz w:val="20"/>
          <w:szCs w:val="20"/>
          <w:lang w:val="es-ES"/>
        </w:rPr>
      </w:pPr>
      <w:r w:rsidRPr="00E757D1">
        <w:rPr>
          <w:rFonts w:ascii="Verdana" w:hAnsi="Verdana"/>
          <w:b/>
          <w:sz w:val="20"/>
          <w:szCs w:val="20"/>
          <w:lang w:val="es-ES"/>
        </w:rPr>
        <w:t>INTRODUCCIÓN.</w:t>
      </w:r>
    </w:p>
    <w:p w14:paraId="6FB5BBEE" w14:textId="77777777" w:rsidR="00E9106E" w:rsidRPr="00E757D1" w:rsidRDefault="00E9106E" w:rsidP="00DA5A31">
      <w:pPr>
        <w:spacing w:line="276" w:lineRule="auto"/>
        <w:ind w:left="-270" w:right="-162"/>
        <w:rPr>
          <w:rFonts w:ascii="Verdana" w:hAnsi="Verdana"/>
          <w:b/>
          <w:sz w:val="20"/>
          <w:szCs w:val="20"/>
          <w:lang w:val="es-ES"/>
        </w:rPr>
      </w:pPr>
    </w:p>
    <w:p w14:paraId="017C7B45" w14:textId="6946065A" w:rsidR="008123F0" w:rsidRPr="00E757D1" w:rsidRDefault="007A210D" w:rsidP="00DA5A31">
      <w:pPr>
        <w:numPr>
          <w:ilvl w:val="0"/>
          <w:numId w:val="5"/>
        </w:numPr>
        <w:spacing w:line="276" w:lineRule="auto"/>
        <w:ind w:left="-270" w:right="-162" w:firstLine="0"/>
        <w:contextualSpacing/>
        <w:rPr>
          <w:rFonts w:ascii="Verdana" w:hAnsi="Verdana"/>
          <w:sz w:val="20"/>
          <w:szCs w:val="20"/>
          <w:lang w:val="es-ES"/>
        </w:rPr>
      </w:pPr>
      <w:r>
        <w:rPr>
          <w:rFonts w:ascii="Verdana" w:hAnsi="Verdana"/>
          <w:sz w:val="20"/>
          <w:szCs w:val="20"/>
          <w:lang w:val="es-ES"/>
        </w:rPr>
        <w:t xml:space="preserve">          </w:t>
      </w:r>
      <w:r w:rsidR="00E9106E" w:rsidRPr="00E757D1">
        <w:rPr>
          <w:rFonts w:ascii="Verdana" w:hAnsi="Verdana"/>
          <w:sz w:val="20"/>
          <w:szCs w:val="20"/>
          <w:lang w:val="es-ES"/>
        </w:rPr>
        <w:t>Se expide el presente voto parcialmente disidente</w:t>
      </w:r>
      <w:r w:rsidR="00E9106E" w:rsidRPr="00E757D1">
        <w:rPr>
          <w:rFonts w:ascii="Verdana" w:hAnsi="Verdana"/>
          <w:sz w:val="20"/>
          <w:szCs w:val="20"/>
          <w:vertAlign w:val="superscript"/>
          <w:lang w:val="es-ES"/>
        </w:rPr>
        <w:footnoteReference w:id="1"/>
      </w:r>
      <w:r w:rsidR="00E9106E" w:rsidRPr="00E757D1">
        <w:rPr>
          <w:rFonts w:ascii="Verdana" w:hAnsi="Verdana"/>
          <w:sz w:val="20"/>
          <w:szCs w:val="20"/>
          <w:lang w:val="es-ES"/>
        </w:rPr>
        <w:t xml:space="preserve"> con relación a la Sentencia del rótulo</w:t>
      </w:r>
      <w:r w:rsidR="00E9106E" w:rsidRPr="00E757D1">
        <w:rPr>
          <w:rFonts w:ascii="Verdana" w:hAnsi="Verdana"/>
          <w:sz w:val="20"/>
          <w:szCs w:val="20"/>
          <w:vertAlign w:val="superscript"/>
          <w:lang w:val="es-ES"/>
        </w:rPr>
        <w:footnoteReference w:id="2"/>
      </w:r>
      <w:r w:rsidR="00E9106E" w:rsidRPr="00E757D1">
        <w:rPr>
          <w:rFonts w:ascii="Verdana" w:hAnsi="Verdana"/>
          <w:sz w:val="20"/>
          <w:szCs w:val="20"/>
          <w:lang w:val="es-ES"/>
        </w:rPr>
        <w:t>, a los efectos de dar cuenta de las razones por las que se discrepa</w:t>
      </w:r>
      <w:r w:rsidR="008123F0" w:rsidRPr="00E757D1">
        <w:rPr>
          <w:rFonts w:ascii="Verdana" w:hAnsi="Verdana"/>
          <w:sz w:val="20"/>
          <w:szCs w:val="20"/>
          <w:lang w:val="es-ES"/>
        </w:rPr>
        <w:t>, por de pron</w:t>
      </w:r>
      <w:r w:rsidR="00F023E1" w:rsidRPr="00E757D1">
        <w:rPr>
          <w:rFonts w:ascii="Verdana" w:hAnsi="Verdana"/>
          <w:sz w:val="20"/>
          <w:szCs w:val="20"/>
          <w:lang w:val="es-ES"/>
        </w:rPr>
        <w:t>t</w:t>
      </w:r>
      <w:r w:rsidR="008123F0" w:rsidRPr="00E757D1">
        <w:rPr>
          <w:rFonts w:ascii="Verdana" w:hAnsi="Verdana"/>
          <w:sz w:val="20"/>
          <w:szCs w:val="20"/>
          <w:lang w:val="es-ES"/>
        </w:rPr>
        <w:t>o,</w:t>
      </w:r>
      <w:r w:rsidR="00E9106E" w:rsidRPr="00E757D1">
        <w:rPr>
          <w:rFonts w:ascii="Verdana" w:hAnsi="Verdana"/>
          <w:sz w:val="20"/>
          <w:szCs w:val="20"/>
          <w:lang w:val="es-ES"/>
        </w:rPr>
        <w:t xml:space="preserve"> de lo dispuesto en los </w:t>
      </w:r>
      <w:r w:rsidR="008123F0" w:rsidRPr="00E757D1">
        <w:rPr>
          <w:rFonts w:ascii="Verdana" w:hAnsi="Verdana"/>
          <w:sz w:val="20"/>
          <w:szCs w:val="20"/>
          <w:lang w:val="es-ES"/>
        </w:rPr>
        <w:t>R</w:t>
      </w:r>
      <w:r w:rsidR="00E9106E" w:rsidRPr="00E757D1">
        <w:rPr>
          <w:rFonts w:ascii="Verdana" w:hAnsi="Verdana"/>
          <w:sz w:val="20"/>
          <w:szCs w:val="20"/>
          <w:lang w:val="es-ES"/>
        </w:rPr>
        <w:t xml:space="preserve">esolutivos N° </w:t>
      </w:r>
      <w:r w:rsidR="003C1526" w:rsidRPr="00E757D1">
        <w:rPr>
          <w:rFonts w:ascii="Verdana" w:hAnsi="Verdana"/>
          <w:sz w:val="20"/>
          <w:szCs w:val="20"/>
          <w:lang w:val="es-ES"/>
        </w:rPr>
        <w:t>2</w:t>
      </w:r>
      <w:r w:rsidR="004C6A87" w:rsidRPr="00E757D1">
        <w:rPr>
          <w:rStyle w:val="Refdenotaalpie"/>
          <w:rFonts w:ascii="Verdana" w:hAnsi="Verdana"/>
          <w:sz w:val="20"/>
          <w:szCs w:val="20"/>
          <w:lang w:val="es-ES"/>
        </w:rPr>
        <w:footnoteReference w:id="3"/>
      </w:r>
      <w:r w:rsidR="00776293" w:rsidRPr="00E757D1">
        <w:rPr>
          <w:rFonts w:ascii="Verdana" w:hAnsi="Verdana"/>
          <w:sz w:val="20"/>
          <w:szCs w:val="20"/>
          <w:lang w:val="es-ES"/>
        </w:rPr>
        <w:t xml:space="preserve"> y </w:t>
      </w:r>
      <w:r w:rsidR="003C1526" w:rsidRPr="00E757D1">
        <w:rPr>
          <w:rFonts w:ascii="Verdana" w:hAnsi="Verdana"/>
          <w:sz w:val="20"/>
          <w:szCs w:val="20"/>
          <w:lang w:val="es-ES"/>
        </w:rPr>
        <w:t>6</w:t>
      </w:r>
      <w:r w:rsidR="00776293" w:rsidRPr="00E757D1">
        <w:rPr>
          <w:rStyle w:val="Refdenotaalpie"/>
          <w:rFonts w:ascii="Verdana" w:hAnsi="Verdana"/>
          <w:sz w:val="20"/>
          <w:szCs w:val="20"/>
          <w:lang w:val="es-ES"/>
        </w:rPr>
        <w:footnoteReference w:id="4"/>
      </w:r>
      <w:r w:rsidR="00E9106E" w:rsidRPr="00E757D1">
        <w:rPr>
          <w:rFonts w:ascii="Verdana" w:hAnsi="Verdana"/>
          <w:sz w:val="20"/>
          <w:szCs w:val="20"/>
          <w:lang w:val="es-ES"/>
        </w:rPr>
        <w:t xml:space="preserve"> de aquella, los que, sobre la base de lo prescrito en el artículo 26 de la Convención Americana sobre Derechos Humanos</w:t>
      </w:r>
      <w:r w:rsidR="00E9106E" w:rsidRPr="00E757D1">
        <w:rPr>
          <w:rFonts w:ascii="Verdana" w:hAnsi="Verdana"/>
          <w:sz w:val="20"/>
          <w:szCs w:val="20"/>
          <w:vertAlign w:val="superscript"/>
          <w:lang w:val="es-ES"/>
        </w:rPr>
        <w:footnoteReference w:id="5"/>
      </w:r>
      <w:r w:rsidR="00E9106E" w:rsidRPr="00E757D1">
        <w:rPr>
          <w:rFonts w:ascii="Verdana" w:hAnsi="Verdana"/>
          <w:sz w:val="20"/>
          <w:szCs w:val="20"/>
          <w:lang w:val="es-ES"/>
        </w:rPr>
        <w:t>, de</w:t>
      </w:r>
      <w:r w:rsidR="00776293" w:rsidRPr="00E757D1">
        <w:rPr>
          <w:rFonts w:ascii="Verdana" w:hAnsi="Verdana"/>
          <w:sz w:val="20"/>
          <w:szCs w:val="20"/>
          <w:lang w:val="es-ES"/>
        </w:rPr>
        <w:t>sestima</w:t>
      </w:r>
      <w:r w:rsidR="00E9106E" w:rsidRPr="00E757D1">
        <w:rPr>
          <w:rFonts w:ascii="Verdana" w:hAnsi="Verdana"/>
          <w:sz w:val="20"/>
          <w:szCs w:val="20"/>
          <w:lang w:val="es-ES"/>
        </w:rPr>
        <w:t>, en el primero, la</w:t>
      </w:r>
      <w:r w:rsidR="00776293" w:rsidRPr="00E757D1">
        <w:rPr>
          <w:rFonts w:ascii="Verdana" w:hAnsi="Verdana"/>
          <w:sz w:val="20"/>
          <w:szCs w:val="20"/>
          <w:lang w:val="es-ES"/>
        </w:rPr>
        <w:t xml:space="preserve"> excepción</w:t>
      </w:r>
      <w:r w:rsidR="00843233">
        <w:rPr>
          <w:rFonts w:ascii="Verdana" w:hAnsi="Verdana"/>
          <w:sz w:val="20"/>
          <w:szCs w:val="20"/>
          <w:lang w:val="es-ES"/>
        </w:rPr>
        <w:t xml:space="preserve">, presentada por el Estado, </w:t>
      </w:r>
      <w:r w:rsidR="00776293" w:rsidRPr="00E757D1">
        <w:rPr>
          <w:rFonts w:ascii="Verdana" w:hAnsi="Verdana"/>
          <w:sz w:val="20"/>
          <w:szCs w:val="20"/>
          <w:lang w:val="es-ES"/>
        </w:rPr>
        <w:t>de incompetencia de la Corte Interamericana de Derechos Humanos</w:t>
      </w:r>
      <w:r w:rsidR="00776293" w:rsidRPr="00E757D1">
        <w:rPr>
          <w:rStyle w:val="Refdenotaalpie"/>
          <w:rFonts w:ascii="Verdana" w:hAnsi="Verdana"/>
          <w:sz w:val="20"/>
          <w:szCs w:val="20"/>
          <w:lang w:val="es-ES"/>
        </w:rPr>
        <w:footnoteReference w:id="6"/>
      </w:r>
      <w:r w:rsidR="00776293" w:rsidRPr="00E757D1">
        <w:rPr>
          <w:rFonts w:ascii="Verdana" w:hAnsi="Verdana"/>
          <w:sz w:val="20"/>
          <w:szCs w:val="20"/>
          <w:lang w:val="es-ES"/>
        </w:rPr>
        <w:t xml:space="preserve"> para conocer violaciones a los derechos en dicha disposición aludidos</w:t>
      </w:r>
      <w:r w:rsidR="00843233">
        <w:rPr>
          <w:rFonts w:ascii="Verdana" w:hAnsi="Verdana"/>
          <w:sz w:val="20"/>
          <w:szCs w:val="20"/>
          <w:lang w:val="es-ES"/>
        </w:rPr>
        <w:t xml:space="preserve"> </w:t>
      </w:r>
      <w:r w:rsidR="00776293" w:rsidRPr="00E757D1">
        <w:rPr>
          <w:rFonts w:ascii="Verdana" w:hAnsi="Verdana"/>
          <w:sz w:val="20"/>
          <w:szCs w:val="20"/>
          <w:lang w:val="es-ES"/>
        </w:rPr>
        <w:t>y declara, en el segundo</w:t>
      </w:r>
      <w:r w:rsidR="0077483C" w:rsidRPr="00E757D1">
        <w:rPr>
          <w:rFonts w:ascii="Verdana" w:hAnsi="Verdana"/>
          <w:sz w:val="20"/>
          <w:szCs w:val="20"/>
          <w:lang w:val="es-ES"/>
        </w:rPr>
        <w:t>,</w:t>
      </w:r>
      <w:r w:rsidR="00776293" w:rsidRPr="00E757D1">
        <w:rPr>
          <w:rFonts w:ascii="Verdana" w:hAnsi="Verdana"/>
          <w:sz w:val="20"/>
          <w:szCs w:val="20"/>
          <w:lang w:val="es-ES"/>
        </w:rPr>
        <w:t xml:space="preserve"> la violación</w:t>
      </w:r>
      <w:r w:rsidR="00E9106E" w:rsidRPr="00E757D1">
        <w:rPr>
          <w:rFonts w:ascii="Verdana" w:hAnsi="Verdana"/>
          <w:sz w:val="20"/>
          <w:szCs w:val="20"/>
          <w:lang w:val="es-ES"/>
        </w:rPr>
        <w:t xml:space="preserve"> </w:t>
      </w:r>
      <w:r w:rsidR="00776293" w:rsidRPr="00E757D1">
        <w:rPr>
          <w:rFonts w:ascii="Verdana" w:hAnsi="Verdana"/>
          <w:sz w:val="20"/>
          <w:szCs w:val="20"/>
          <w:lang w:val="es-ES"/>
        </w:rPr>
        <w:t>de tales derechos</w:t>
      </w:r>
      <w:r w:rsidR="0077483C" w:rsidRPr="00E757D1">
        <w:rPr>
          <w:rFonts w:ascii="Verdana" w:hAnsi="Verdana"/>
          <w:sz w:val="20"/>
          <w:szCs w:val="20"/>
          <w:lang w:val="es-ES"/>
        </w:rPr>
        <w:t xml:space="preserve">, </w:t>
      </w:r>
      <w:r w:rsidR="00E9106E" w:rsidRPr="00E757D1">
        <w:rPr>
          <w:rFonts w:ascii="Verdana" w:hAnsi="Verdana"/>
          <w:sz w:val="20"/>
          <w:szCs w:val="20"/>
          <w:lang w:val="es-ES"/>
        </w:rPr>
        <w:t xml:space="preserve">con </w:t>
      </w:r>
      <w:r w:rsidR="0077483C" w:rsidRPr="00E757D1">
        <w:rPr>
          <w:rFonts w:ascii="Verdana" w:hAnsi="Verdana"/>
          <w:sz w:val="20"/>
          <w:szCs w:val="20"/>
          <w:lang w:val="es-ES"/>
        </w:rPr>
        <w:t>l</w:t>
      </w:r>
      <w:r w:rsidR="00E9106E" w:rsidRPr="00E757D1">
        <w:rPr>
          <w:rFonts w:ascii="Verdana" w:hAnsi="Verdana"/>
          <w:sz w:val="20"/>
          <w:szCs w:val="20"/>
          <w:lang w:val="es-ES"/>
        </w:rPr>
        <w:t xml:space="preserve">o cual hace </w:t>
      </w:r>
      <w:r w:rsidR="0077483C" w:rsidRPr="00E757D1">
        <w:rPr>
          <w:rFonts w:ascii="Verdana" w:hAnsi="Verdana"/>
          <w:sz w:val="20"/>
          <w:szCs w:val="20"/>
          <w:lang w:val="es-ES"/>
        </w:rPr>
        <w:t xml:space="preserve">a </w:t>
      </w:r>
      <w:r w:rsidR="00E9106E" w:rsidRPr="00E757D1">
        <w:rPr>
          <w:rFonts w:ascii="Verdana" w:hAnsi="Verdana"/>
          <w:sz w:val="20"/>
          <w:szCs w:val="20"/>
          <w:lang w:val="es-ES"/>
        </w:rPr>
        <w:t xml:space="preserve">ésta justiciable ante </w:t>
      </w:r>
      <w:r w:rsidR="0077483C" w:rsidRPr="00E757D1">
        <w:rPr>
          <w:rFonts w:ascii="Verdana" w:hAnsi="Verdana"/>
          <w:sz w:val="20"/>
          <w:szCs w:val="20"/>
          <w:lang w:val="es-ES"/>
        </w:rPr>
        <w:t>aquella</w:t>
      </w:r>
      <w:r w:rsidR="00E9106E" w:rsidRPr="00E757D1">
        <w:rPr>
          <w:rFonts w:ascii="Verdana" w:hAnsi="Verdana"/>
          <w:sz w:val="20"/>
          <w:szCs w:val="20"/>
          <w:lang w:val="es-ES"/>
        </w:rPr>
        <w:t xml:space="preserve">. </w:t>
      </w:r>
      <w:r w:rsidR="008123F0" w:rsidRPr="00E757D1">
        <w:rPr>
          <w:rFonts w:ascii="Verdana" w:hAnsi="Verdana"/>
          <w:sz w:val="20"/>
          <w:szCs w:val="20"/>
          <w:lang w:val="es-ES"/>
        </w:rPr>
        <w:t xml:space="preserve">Pero, este texto </w:t>
      </w:r>
      <w:r w:rsidR="009B728F" w:rsidRPr="00E757D1">
        <w:rPr>
          <w:rFonts w:ascii="Verdana" w:hAnsi="Verdana"/>
          <w:sz w:val="20"/>
          <w:szCs w:val="20"/>
          <w:lang w:val="es-ES"/>
        </w:rPr>
        <w:t xml:space="preserve">también </w:t>
      </w:r>
      <w:r w:rsidR="008123F0" w:rsidRPr="00E757D1">
        <w:rPr>
          <w:rFonts w:ascii="Verdana" w:hAnsi="Verdana"/>
          <w:sz w:val="20"/>
          <w:szCs w:val="20"/>
          <w:lang w:val="es-ES"/>
        </w:rPr>
        <w:t xml:space="preserve">se emite porque se disiente de lo indicado en el </w:t>
      </w:r>
      <w:r w:rsidR="003C66A5" w:rsidRPr="00E757D1">
        <w:rPr>
          <w:rFonts w:ascii="Verdana" w:hAnsi="Verdana"/>
          <w:sz w:val="20"/>
          <w:szCs w:val="20"/>
          <w:lang w:val="es-ES"/>
        </w:rPr>
        <w:t xml:space="preserve">citado </w:t>
      </w:r>
      <w:r w:rsidR="008123F0" w:rsidRPr="00E757D1">
        <w:rPr>
          <w:rFonts w:ascii="Verdana" w:hAnsi="Verdana"/>
          <w:sz w:val="20"/>
          <w:szCs w:val="20"/>
          <w:lang w:val="es-ES"/>
        </w:rPr>
        <w:t xml:space="preserve">Resolutivo N° </w:t>
      </w:r>
      <w:r w:rsidR="00D60DF3" w:rsidRPr="00E757D1">
        <w:rPr>
          <w:rFonts w:ascii="Verdana" w:hAnsi="Verdana"/>
          <w:sz w:val="20"/>
          <w:szCs w:val="20"/>
          <w:lang w:val="es-ES"/>
        </w:rPr>
        <w:t>6</w:t>
      </w:r>
      <w:r w:rsidR="003C66A5" w:rsidRPr="00E757D1">
        <w:rPr>
          <w:rFonts w:ascii="Verdana" w:hAnsi="Verdana"/>
          <w:sz w:val="20"/>
          <w:szCs w:val="20"/>
          <w:lang w:val="es-ES"/>
        </w:rPr>
        <w:t xml:space="preserve"> por la referencia que hace </w:t>
      </w:r>
      <w:r w:rsidR="008123F0" w:rsidRPr="00E757D1">
        <w:rPr>
          <w:rFonts w:ascii="Verdana" w:hAnsi="Verdana"/>
          <w:sz w:val="20"/>
          <w:szCs w:val="20"/>
          <w:lang w:val="es-ES"/>
        </w:rPr>
        <w:t>al artículo 24 de la Convención, concerniente a la igualdad ante la ley.</w:t>
      </w:r>
    </w:p>
    <w:p w14:paraId="173FA994" w14:textId="77777777" w:rsidR="00E9106E" w:rsidRPr="00E757D1" w:rsidRDefault="00E9106E" w:rsidP="00DA5A31">
      <w:pPr>
        <w:spacing w:line="276" w:lineRule="auto"/>
        <w:ind w:left="-270" w:right="-162"/>
        <w:contextualSpacing/>
        <w:rPr>
          <w:rFonts w:ascii="Verdana" w:hAnsi="Verdana"/>
          <w:sz w:val="20"/>
          <w:szCs w:val="20"/>
          <w:lang w:val="es-ES"/>
        </w:rPr>
      </w:pPr>
    </w:p>
    <w:p w14:paraId="14DFCEEE" w14:textId="743635DD" w:rsidR="00196439" w:rsidRPr="00E757D1" w:rsidRDefault="007A210D" w:rsidP="00DA5A31">
      <w:pPr>
        <w:numPr>
          <w:ilvl w:val="0"/>
          <w:numId w:val="5"/>
        </w:numPr>
        <w:spacing w:line="276" w:lineRule="auto"/>
        <w:ind w:left="-270" w:right="-162" w:firstLine="0"/>
        <w:contextualSpacing/>
        <w:rPr>
          <w:rFonts w:ascii="Verdana" w:hAnsi="Verdana"/>
          <w:sz w:val="20"/>
          <w:szCs w:val="20"/>
          <w:lang w:val="es-ES"/>
        </w:rPr>
      </w:pPr>
      <w:r>
        <w:rPr>
          <w:rFonts w:ascii="Verdana" w:hAnsi="Verdana"/>
          <w:sz w:val="20"/>
          <w:szCs w:val="20"/>
          <w:lang w:val="es-ES"/>
        </w:rPr>
        <w:t xml:space="preserve">          </w:t>
      </w:r>
      <w:r w:rsidR="00196439" w:rsidRPr="00E757D1">
        <w:rPr>
          <w:rFonts w:ascii="Verdana" w:hAnsi="Verdana"/>
          <w:sz w:val="20"/>
          <w:szCs w:val="20"/>
          <w:lang w:val="es-ES"/>
        </w:rPr>
        <w:t xml:space="preserve">Ahora bien, </w:t>
      </w:r>
      <w:r w:rsidR="004608EF" w:rsidRPr="00E757D1">
        <w:rPr>
          <w:rFonts w:ascii="Verdana" w:hAnsi="Verdana"/>
          <w:sz w:val="20"/>
          <w:szCs w:val="20"/>
          <w:lang w:val="es-ES"/>
        </w:rPr>
        <w:t xml:space="preserve">a los efectos de exponer adecuadamente la posición que se sustenta en este escrito, resulta necesario </w:t>
      </w:r>
      <w:r w:rsidR="008123F0" w:rsidRPr="00E757D1">
        <w:rPr>
          <w:rFonts w:ascii="Verdana" w:hAnsi="Verdana"/>
          <w:sz w:val="20"/>
          <w:szCs w:val="20"/>
          <w:lang w:val="es-ES"/>
        </w:rPr>
        <w:t xml:space="preserve">primeramente </w:t>
      </w:r>
      <w:r w:rsidR="00D60DF3" w:rsidRPr="00E757D1">
        <w:rPr>
          <w:rFonts w:ascii="Verdana" w:hAnsi="Verdana"/>
          <w:sz w:val="20"/>
          <w:szCs w:val="20"/>
          <w:lang w:val="es-ES"/>
        </w:rPr>
        <w:t xml:space="preserve">reiterar </w:t>
      </w:r>
      <w:r w:rsidR="008123F0" w:rsidRPr="00E757D1">
        <w:rPr>
          <w:rFonts w:ascii="Verdana" w:hAnsi="Verdana"/>
          <w:sz w:val="20"/>
          <w:szCs w:val="20"/>
          <w:lang w:val="es-ES"/>
        </w:rPr>
        <w:t xml:space="preserve">algunas consideraciones generales </w:t>
      </w:r>
      <w:r w:rsidR="00196439" w:rsidRPr="00E757D1">
        <w:rPr>
          <w:rFonts w:ascii="Verdana" w:hAnsi="Verdana"/>
          <w:sz w:val="20"/>
          <w:szCs w:val="20"/>
          <w:lang w:val="es-ES"/>
        </w:rPr>
        <w:t>previas</w:t>
      </w:r>
      <w:r w:rsidR="005410FB" w:rsidRPr="00E757D1">
        <w:rPr>
          <w:rFonts w:ascii="Verdana" w:hAnsi="Verdana"/>
          <w:sz w:val="20"/>
          <w:szCs w:val="20"/>
          <w:lang w:val="es-ES"/>
        </w:rPr>
        <w:t xml:space="preserve"> en las que se inserta esta opinión</w:t>
      </w:r>
      <w:r w:rsidR="00196439" w:rsidRPr="00E757D1">
        <w:rPr>
          <w:rFonts w:ascii="Verdana" w:hAnsi="Verdana"/>
          <w:sz w:val="20"/>
          <w:szCs w:val="20"/>
          <w:lang w:val="es-ES"/>
        </w:rPr>
        <w:t>,</w:t>
      </w:r>
      <w:r w:rsidR="004608EF" w:rsidRPr="00E757D1">
        <w:rPr>
          <w:rFonts w:ascii="Verdana" w:hAnsi="Verdana"/>
          <w:sz w:val="20"/>
          <w:szCs w:val="20"/>
          <w:lang w:val="es-ES"/>
        </w:rPr>
        <w:t xml:space="preserve"> </w:t>
      </w:r>
      <w:r w:rsidR="008123F0" w:rsidRPr="00E757D1">
        <w:rPr>
          <w:rFonts w:ascii="Verdana" w:hAnsi="Verdana"/>
          <w:sz w:val="20"/>
          <w:szCs w:val="20"/>
          <w:lang w:val="es-ES"/>
        </w:rPr>
        <w:t>para luego aludir a los señalados artículos 2</w:t>
      </w:r>
      <w:r w:rsidR="00F023E1" w:rsidRPr="00E757D1">
        <w:rPr>
          <w:rFonts w:ascii="Verdana" w:hAnsi="Verdana"/>
          <w:sz w:val="20"/>
          <w:szCs w:val="20"/>
          <w:lang w:val="es-ES"/>
        </w:rPr>
        <w:t>6 y 24, además</w:t>
      </w:r>
      <w:r w:rsidR="009B728F" w:rsidRPr="00E757D1">
        <w:rPr>
          <w:rFonts w:ascii="Verdana" w:hAnsi="Verdana"/>
          <w:sz w:val="20"/>
          <w:szCs w:val="20"/>
          <w:lang w:val="es-ES"/>
        </w:rPr>
        <w:t xml:space="preserve"> </w:t>
      </w:r>
      <w:r w:rsidR="00F023E1" w:rsidRPr="00E757D1">
        <w:rPr>
          <w:rFonts w:ascii="Verdana" w:hAnsi="Verdana"/>
          <w:sz w:val="20"/>
          <w:szCs w:val="20"/>
          <w:lang w:val="es-ES"/>
        </w:rPr>
        <w:t xml:space="preserve">de dejar constancia de una consideración atingente al Resolutivo N° </w:t>
      </w:r>
      <w:r w:rsidR="00865C38" w:rsidRPr="00E757D1">
        <w:rPr>
          <w:rFonts w:ascii="Verdana" w:hAnsi="Verdana"/>
          <w:sz w:val="20"/>
          <w:szCs w:val="20"/>
          <w:lang w:val="es-ES"/>
        </w:rPr>
        <w:t>4</w:t>
      </w:r>
      <w:r w:rsidR="00F023E1" w:rsidRPr="00E757D1">
        <w:rPr>
          <w:rFonts w:ascii="Verdana" w:hAnsi="Verdana"/>
          <w:sz w:val="20"/>
          <w:szCs w:val="20"/>
          <w:lang w:val="es-ES"/>
        </w:rPr>
        <w:t xml:space="preserve"> del fallo, relativo al derecho a la vida</w:t>
      </w:r>
      <w:r w:rsidR="00F023E1" w:rsidRPr="00E757D1">
        <w:rPr>
          <w:rStyle w:val="Refdenotaalpie"/>
          <w:rFonts w:ascii="Verdana" w:hAnsi="Verdana"/>
          <w:sz w:val="20"/>
          <w:szCs w:val="20"/>
          <w:lang w:val="es-ES"/>
        </w:rPr>
        <w:footnoteReference w:id="7"/>
      </w:r>
      <w:r w:rsidR="00F023E1" w:rsidRPr="00E757D1">
        <w:rPr>
          <w:rFonts w:ascii="Verdana" w:hAnsi="Verdana"/>
          <w:sz w:val="20"/>
          <w:szCs w:val="20"/>
          <w:lang w:val="es-ES"/>
        </w:rPr>
        <w:t>.</w:t>
      </w:r>
    </w:p>
    <w:p w14:paraId="2E198333" w14:textId="174B7372" w:rsidR="00196439" w:rsidRPr="00E757D1" w:rsidRDefault="00196439" w:rsidP="00DA5A31">
      <w:pPr>
        <w:pStyle w:val="Prrafodelista"/>
        <w:numPr>
          <w:ilvl w:val="0"/>
          <w:numId w:val="12"/>
        </w:numPr>
        <w:spacing w:line="276" w:lineRule="auto"/>
        <w:ind w:left="-270" w:right="-162" w:firstLine="0"/>
        <w:rPr>
          <w:rFonts w:ascii="Verdana" w:eastAsiaTheme="minorEastAsia" w:hAnsi="Verdana"/>
          <w:b/>
          <w:bCs/>
          <w:sz w:val="20"/>
          <w:szCs w:val="20"/>
          <w:lang w:val="es-ES"/>
        </w:rPr>
      </w:pPr>
      <w:r w:rsidRPr="00E757D1">
        <w:rPr>
          <w:rFonts w:ascii="Verdana" w:eastAsiaTheme="minorEastAsia" w:hAnsi="Verdana"/>
          <w:b/>
          <w:bCs/>
          <w:sz w:val="20"/>
          <w:szCs w:val="20"/>
          <w:lang w:val="es-ES"/>
        </w:rPr>
        <w:lastRenderedPageBreak/>
        <w:t>CONSIDERA</w:t>
      </w:r>
      <w:r w:rsidR="00191E7B" w:rsidRPr="00E757D1">
        <w:rPr>
          <w:rFonts w:ascii="Verdana" w:eastAsiaTheme="minorEastAsia" w:hAnsi="Verdana"/>
          <w:b/>
          <w:bCs/>
          <w:sz w:val="20"/>
          <w:szCs w:val="20"/>
          <w:lang w:val="es-ES"/>
        </w:rPr>
        <w:t>C</w:t>
      </w:r>
      <w:r w:rsidRPr="00E757D1">
        <w:rPr>
          <w:rFonts w:ascii="Verdana" w:eastAsiaTheme="minorEastAsia" w:hAnsi="Verdana"/>
          <w:b/>
          <w:bCs/>
          <w:sz w:val="20"/>
          <w:szCs w:val="20"/>
          <w:lang w:val="es-ES"/>
        </w:rPr>
        <w:t>IONES GENERALES PREVIAS.</w:t>
      </w:r>
    </w:p>
    <w:p w14:paraId="3C5925C7" w14:textId="77777777" w:rsidR="00893E31" w:rsidRPr="00E757D1" w:rsidRDefault="00893E31" w:rsidP="00DA5A31">
      <w:pPr>
        <w:spacing w:line="276" w:lineRule="auto"/>
        <w:ind w:left="-270" w:right="-162"/>
        <w:rPr>
          <w:rFonts w:ascii="Verdana" w:hAnsi="Verdana"/>
          <w:sz w:val="20"/>
          <w:szCs w:val="20"/>
          <w:lang w:val="es-ES"/>
        </w:rPr>
      </w:pPr>
      <w:bookmarkStart w:id="1" w:name="_Hlk40525695"/>
    </w:p>
    <w:p w14:paraId="1CCA3540" w14:textId="53F7FBFD" w:rsidR="009929B5" w:rsidRPr="00E757D1" w:rsidRDefault="007A210D" w:rsidP="00DA5A31">
      <w:pPr>
        <w:pStyle w:val="Prrafodelista"/>
        <w:numPr>
          <w:ilvl w:val="0"/>
          <w:numId w:val="5"/>
        </w:numPr>
        <w:spacing w:line="276" w:lineRule="auto"/>
        <w:ind w:left="-270" w:right="-162" w:firstLine="0"/>
        <w:rPr>
          <w:rFonts w:ascii="Verdana" w:hAnsi="Verdana"/>
          <w:sz w:val="20"/>
          <w:szCs w:val="20"/>
          <w:lang w:val="es-ES"/>
        </w:rPr>
      </w:pPr>
      <w:r>
        <w:rPr>
          <w:rFonts w:ascii="Verdana" w:hAnsi="Verdana"/>
          <w:sz w:val="20"/>
          <w:szCs w:val="20"/>
          <w:lang w:val="es-ES"/>
        </w:rPr>
        <w:t xml:space="preserve">          </w:t>
      </w:r>
      <w:r w:rsidR="000F54C3" w:rsidRPr="00E757D1">
        <w:rPr>
          <w:rFonts w:ascii="Verdana" w:hAnsi="Verdana"/>
          <w:sz w:val="20"/>
          <w:szCs w:val="20"/>
          <w:lang w:val="es-ES"/>
        </w:rPr>
        <w:t>Evidentemente</w:t>
      </w:r>
      <w:r w:rsidR="00196439" w:rsidRPr="00E757D1">
        <w:rPr>
          <w:rFonts w:ascii="Verdana" w:hAnsi="Verdana"/>
          <w:sz w:val="20"/>
          <w:szCs w:val="20"/>
          <w:lang w:val="es-ES"/>
        </w:rPr>
        <w:t>, e</w:t>
      </w:r>
      <w:r w:rsidR="000F54C3" w:rsidRPr="00E757D1">
        <w:rPr>
          <w:rFonts w:ascii="Verdana" w:hAnsi="Verdana"/>
          <w:sz w:val="20"/>
          <w:szCs w:val="20"/>
          <w:lang w:val="es-ES"/>
        </w:rPr>
        <w:t xml:space="preserve">ste </w:t>
      </w:r>
      <w:r w:rsidR="00196439" w:rsidRPr="00E757D1">
        <w:rPr>
          <w:rFonts w:ascii="Verdana" w:hAnsi="Verdana"/>
          <w:sz w:val="20"/>
          <w:szCs w:val="20"/>
          <w:lang w:val="es-ES"/>
        </w:rPr>
        <w:t xml:space="preserve">escrito se emite </w:t>
      </w:r>
      <w:r w:rsidR="000F54C3" w:rsidRPr="00E757D1">
        <w:rPr>
          <w:rFonts w:ascii="Verdana" w:hAnsi="Verdana"/>
          <w:sz w:val="20"/>
          <w:szCs w:val="20"/>
          <w:lang w:val="es-ES"/>
        </w:rPr>
        <w:t>respetando lo resuelto en autos</w:t>
      </w:r>
      <w:r w:rsidR="00196439" w:rsidRPr="00E757D1">
        <w:rPr>
          <w:rFonts w:ascii="Verdana" w:hAnsi="Verdana"/>
          <w:sz w:val="20"/>
          <w:szCs w:val="20"/>
          <w:lang w:val="es-ES"/>
        </w:rPr>
        <w:t>.</w:t>
      </w:r>
    </w:p>
    <w:p w14:paraId="582D596A" w14:textId="77777777" w:rsidR="00403AB6" w:rsidRPr="00E757D1" w:rsidRDefault="00403AB6" w:rsidP="00DA5A31">
      <w:pPr>
        <w:ind w:left="-270" w:right="-162"/>
        <w:rPr>
          <w:rFonts w:ascii="Verdana" w:hAnsi="Verdana"/>
          <w:sz w:val="20"/>
          <w:szCs w:val="20"/>
          <w:lang w:val="es-ES"/>
        </w:rPr>
      </w:pPr>
    </w:p>
    <w:p w14:paraId="0DE6EF3C" w14:textId="7CB10AC9" w:rsidR="009929B5" w:rsidRPr="00E757D1" w:rsidRDefault="007A210D" w:rsidP="00DA5A31">
      <w:pPr>
        <w:pStyle w:val="Prrafodelista"/>
        <w:numPr>
          <w:ilvl w:val="0"/>
          <w:numId w:val="5"/>
        </w:numPr>
        <w:spacing w:line="276" w:lineRule="auto"/>
        <w:ind w:left="-270" w:right="-162" w:firstLine="0"/>
        <w:rPr>
          <w:rFonts w:ascii="Verdana" w:hAnsi="Verdana"/>
          <w:sz w:val="20"/>
          <w:szCs w:val="20"/>
          <w:lang w:val="es-ES"/>
        </w:rPr>
      </w:pPr>
      <w:r>
        <w:rPr>
          <w:rFonts w:ascii="Verdana" w:hAnsi="Verdana"/>
          <w:sz w:val="20"/>
          <w:szCs w:val="20"/>
          <w:lang w:val="es-ES"/>
        </w:rPr>
        <w:t xml:space="preserve">          </w:t>
      </w:r>
      <w:r w:rsidR="00196439" w:rsidRPr="00E757D1">
        <w:rPr>
          <w:rFonts w:ascii="Verdana" w:hAnsi="Verdana"/>
          <w:sz w:val="20"/>
          <w:szCs w:val="20"/>
          <w:lang w:val="es-ES"/>
        </w:rPr>
        <w:t>Ahora bien, este voto se fundamenta en el principio de Derecho Público, ámbito al que pertenece el Derecho Internacional Público y, por ende</w:t>
      </w:r>
      <w:r w:rsidR="000F54C3" w:rsidRPr="00E757D1">
        <w:rPr>
          <w:rFonts w:ascii="Verdana" w:hAnsi="Verdana"/>
          <w:sz w:val="20"/>
          <w:szCs w:val="20"/>
          <w:lang w:val="es-ES"/>
        </w:rPr>
        <w:t xml:space="preserve">, </w:t>
      </w:r>
      <w:r w:rsidR="00196439" w:rsidRPr="00E757D1">
        <w:rPr>
          <w:rFonts w:ascii="Verdana" w:hAnsi="Verdana"/>
          <w:sz w:val="20"/>
          <w:szCs w:val="20"/>
          <w:lang w:val="es-ES"/>
        </w:rPr>
        <w:t>como integrante de esta último, también el Derecho Internacional de los Derechos Humanos, en virtud del cual, solo se puede hacer lo que la norma permite, por lo que lo no regulado se inserta en la jurisdicción interna, doméstica o exclusiva de los Estados</w:t>
      </w:r>
      <w:r w:rsidR="00196439" w:rsidRPr="00E757D1">
        <w:rPr>
          <w:rFonts w:ascii="Verdana" w:hAnsi="Verdana"/>
          <w:sz w:val="20"/>
          <w:szCs w:val="20"/>
          <w:vertAlign w:val="superscript"/>
          <w:lang w:val="es-ES"/>
        </w:rPr>
        <w:footnoteReference w:id="8"/>
      </w:r>
      <w:r w:rsidR="00196439" w:rsidRPr="00E757D1">
        <w:rPr>
          <w:rFonts w:ascii="Verdana" w:hAnsi="Verdana"/>
          <w:sz w:val="20"/>
          <w:szCs w:val="20"/>
          <w:lang w:val="es-ES"/>
        </w:rPr>
        <w:t>. Dicho principio difiere, entonces, del imperante en Derecho Privado, a saber, que se puede hacer todo lo que la norma no prohíbe.</w:t>
      </w:r>
    </w:p>
    <w:p w14:paraId="6F7485C5" w14:textId="77777777" w:rsidR="009929B5" w:rsidRPr="00E757D1" w:rsidRDefault="009929B5" w:rsidP="00DA5A31">
      <w:pPr>
        <w:pStyle w:val="Prrafodelista"/>
        <w:ind w:left="-270" w:right="-162"/>
        <w:rPr>
          <w:rFonts w:ascii="Verdana" w:hAnsi="Verdana"/>
          <w:sz w:val="20"/>
          <w:szCs w:val="20"/>
          <w:lang w:val="es-ES"/>
        </w:rPr>
      </w:pPr>
    </w:p>
    <w:p w14:paraId="5465AD76" w14:textId="3FA47D91" w:rsidR="009929B5" w:rsidRPr="00E757D1" w:rsidRDefault="007A210D" w:rsidP="00DA5A31">
      <w:pPr>
        <w:pStyle w:val="Prrafodelista"/>
        <w:numPr>
          <w:ilvl w:val="0"/>
          <w:numId w:val="5"/>
        </w:numPr>
        <w:spacing w:line="276" w:lineRule="auto"/>
        <w:ind w:left="-270" w:right="-162" w:firstLine="0"/>
        <w:rPr>
          <w:rFonts w:ascii="Verdana" w:hAnsi="Verdana"/>
          <w:sz w:val="20"/>
          <w:szCs w:val="20"/>
          <w:lang w:val="es-ES"/>
        </w:rPr>
      </w:pPr>
      <w:r>
        <w:rPr>
          <w:rFonts w:ascii="Verdana" w:hAnsi="Verdana"/>
          <w:sz w:val="20"/>
          <w:szCs w:val="20"/>
          <w:lang w:val="es-ES"/>
        </w:rPr>
        <w:t xml:space="preserve">          </w:t>
      </w:r>
      <w:r w:rsidR="00196439" w:rsidRPr="00E757D1">
        <w:rPr>
          <w:rFonts w:ascii="Verdana" w:hAnsi="Verdana"/>
          <w:sz w:val="20"/>
          <w:szCs w:val="20"/>
          <w:lang w:val="es-ES"/>
        </w:rPr>
        <w:t xml:space="preserve">También este texto se basa en el valor del Derecho, incluyendo en él a sus normas procesales, que, especialmente en el área de los derechos humanos, son tan esenciales como las sustantivas, puesto que su respeto permite que estas últimas realmente puedan ser efectivas. </w:t>
      </w:r>
      <w:r w:rsidR="00196439" w:rsidRPr="00E757D1">
        <w:rPr>
          <w:rFonts w:ascii="Verdana" w:hAnsi="Verdana" w:cs="Arial"/>
          <w:sz w:val="20"/>
          <w:szCs w:val="20"/>
          <w:shd w:val="clear" w:color="auto" w:fill="FFFFFF"/>
          <w:lang w:val="es-ES"/>
        </w:rPr>
        <w:t xml:space="preserve">Así, la forma es indisolublemente ligada al fondo. </w:t>
      </w:r>
      <w:r w:rsidR="00196439" w:rsidRPr="00E757D1">
        <w:rPr>
          <w:rFonts w:ascii="Verdana" w:hAnsi="Verdana"/>
          <w:sz w:val="20"/>
          <w:szCs w:val="20"/>
          <w:lang w:val="es-ES"/>
        </w:rPr>
        <w:t>Y es que, en gran medida, las normas procesales, estimadas a veces como meras formalidades y, por ende, susceptibles de no considerarse a fin de privilegiar a las sustantivas, condicionan la aplicabilidad de éstas. Por ende, en el evento de subestimarse, por parte de una instancia judicial internacional, a las normas procesales</w:t>
      </w:r>
      <w:bookmarkStart w:id="2" w:name="_Hlk40690821"/>
      <w:r w:rsidR="00196439" w:rsidRPr="00E757D1">
        <w:rPr>
          <w:rFonts w:ascii="Verdana" w:hAnsi="Verdana"/>
          <w:sz w:val="20"/>
          <w:szCs w:val="20"/>
          <w:lang w:val="es-ES"/>
        </w:rPr>
        <w:t xml:space="preserve">, </w:t>
      </w:r>
      <w:bookmarkEnd w:id="2"/>
      <w:r w:rsidR="00196439" w:rsidRPr="00E757D1">
        <w:rPr>
          <w:rFonts w:ascii="Verdana" w:hAnsi="Verdana"/>
          <w:sz w:val="20"/>
          <w:szCs w:val="20"/>
          <w:lang w:val="es-ES"/>
        </w:rPr>
        <w:t>se podría estar alentando al conjunto de la sociedad internacional y</w:t>
      </w:r>
      <w:r w:rsidR="00DF4B39" w:rsidRPr="00E757D1">
        <w:rPr>
          <w:rFonts w:ascii="Verdana" w:hAnsi="Verdana"/>
          <w:sz w:val="20"/>
          <w:szCs w:val="20"/>
          <w:lang w:val="es-ES"/>
        </w:rPr>
        <w:t>,</w:t>
      </w:r>
      <w:r w:rsidR="00196439" w:rsidRPr="00E757D1">
        <w:rPr>
          <w:rFonts w:ascii="Verdana" w:hAnsi="Verdana"/>
          <w:sz w:val="20"/>
          <w:szCs w:val="20"/>
          <w:lang w:val="es-ES"/>
        </w:rPr>
        <w:t xml:space="preserve"> aún, a las sociedades nacionales, a actuar del mismo modo, lo que podría provocar un efecto devastador en lo que respecta a la efectiva vigencia del Derecho Internacional de los Derechos Humanos. </w:t>
      </w:r>
    </w:p>
    <w:p w14:paraId="5BBC7AF5" w14:textId="77777777" w:rsidR="009929B5" w:rsidRPr="00E757D1" w:rsidRDefault="009929B5" w:rsidP="00DA5A31">
      <w:pPr>
        <w:pStyle w:val="Prrafodelista"/>
        <w:ind w:left="-270" w:right="-162"/>
        <w:rPr>
          <w:rFonts w:ascii="Verdana" w:hAnsi="Verdana"/>
          <w:sz w:val="20"/>
          <w:szCs w:val="20"/>
          <w:lang w:val="es-ES"/>
        </w:rPr>
      </w:pPr>
    </w:p>
    <w:p w14:paraId="07A0C631" w14:textId="5A5D15DC" w:rsidR="009929B5" w:rsidRPr="00E757D1" w:rsidRDefault="007A210D" w:rsidP="00DA5A31">
      <w:pPr>
        <w:pStyle w:val="Prrafodelista"/>
        <w:numPr>
          <w:ilvl w:val="0"/>
          <w:numId w:val="5"/>
        </w:numPr>
        <w:spacing w:line="276" w:lineRule="auto"/>
        <w:ind w:left="-270" w:right="-162" w:firstLine="0"/>
        <w:rPr>
          <w:rFonts w:ascii="Verdana" w:hAnsi="Verdana"/>
          <w:sz w:val="20"/>
          <w:szCs w:val="20"/>
          <w:lang w:val="es-ES"/>
        </w:rPr>
      </w:pPr>
      <w:r>
        <w:rPr>
          <w:rFonts w:ascii="Verdana" w:hAnsi="Verdana"/>
          <w:sz w:val="20"/>
          <w:szCs w:val="20"/>
          <w:lang w:val="es-ES"/>
        </w:rPr>
        <w:t xml:space="preserve">          </w:t>
      </w:r>
      <w:r w:rsidR="00196439" w:rsidRPr="00E757D1">
        <w:rPr>
          <w:rFonts w:ascii="Verdana" w:hAnsi="Verdana"/>
          <w:sz w:val="20"/>
          <w:szCs w:val="20"/>
          <w:lang w:val="es-ES"/>
        </w:rPr>
        <w:t>En tal orden de ideas, se considera que indudablemente las normas jurídicas son el resultado de acuerdos entre sus autores, los legisladores en la escena nacional y los Estados en la internacional, los que arriban a aquellos conciliando posiciones adoptadas en vista de llevar a la práctica principios, doctrinas e ideologías, resguardar intereses propios o de terceros, consolidar o acrecentar posiciones de poder, obtener beneficios económicos, etc. P</w:t>
      </w:r>
      <w:r w:rsidR="000F54C3" w:rsidRPr="00E757D1">
        <w:rPr>
          <w:rFonts w:ascii="Verdana" w:hAnsi="Verdana"/>
          <w:sz w:val="20"/>
          <w:szCs w:val="20"/>
          <w:lang w:val="es-ES"/>
        </w:rPr>
        <w:t>or ello</w:t>
      </w:r>
      <w:r w:rsidR="00196439" w:rsidRPr="00E757D1">
        <w:rPr>
          <w:rFonts w:ascii="Verdana" w:hAnsi="Verdana"/>
          <w:sz w:val="20"/>
          <w:szCs w:val="20"/>
          <w:lang w:val="es-ES"/>
        </w:rPr>
        <w:t xml:space="preserve">, igualmente se tiene en cuenta que, por lo general, el referido consenso no lo es tanto sobre los fundamentos de la </w:t>
      </w:r>
      <w:r w:rsidR="005605F3" w:rsidRPr="00E757D1">
        <w:rPr>
          <w:rFonts w:ascii="Verdana" w:hAnsi="Verdana"/>
          <w:sz w:val="20"/>
          <w:szCs w:val="20"/>
          <w:lang w:val="es-ES"/>
        </w:rPr>
        <w:t xml:space="preserve">respectiva </w:t>
      </w:r>
      <w:r w:rsidR="00196439" w:rsidRPr="00E757D1">
        <w:rPr>
          <w:rFonts w:ascii="Verdana" w:hAnsi="Verdana"/>
          <w:sz w:val="20"/>
          <w:szCs w:val="20"/>
          <w:lang w:val="es-ES"/>
        </w:rPr>
        <w:t xml:space="preserve">norma como en lo que ella expresa. </w:t>
      </w:r>
    </w:p>
    <w:p w14:paraId="3DDFEE6A" w14:textId="77777777" w:rsidR="009929B5" w:rsidRPr="00E757D1" w:rsidRDefault="009929B5" w:rsidP="00DA5A31">
      <w:pPr>
        <w:pStyle w:val="Prrafodelista"/>
        <w:ind w:left="-270" w:right="-162"/>
        <w:rPr>
          <w:rFonts w:ascii="Verdana" w:hAnsi="Verdana"/>
          <w:sz w:val="20"/>
          <w:szCs w:val="20"/>
          <w:lang w:val="es-ES"/>
        </w:rPr>
      </w:pPr>
    </w:p>
    <w:p w14:paraId="6307AC4F" w14:textId="204B502C" w:rsidR="00C60092" w:rsidRPr="00E757D1" w:rsidRDefault="007A210D" w:rsidP="00DA5A31">
      <w:pPr>
        <w:pStyle w:val="Prrafodelista"/>
        <w:numPr>
          <w:ilvl w:val="0"/>
          <w:numId w:val="5"/>
        </w:numPr>
        <w:spacing w:line="276" w:lineRule="auto"/>
        <w:ind w:left="-270" w:right="-162" w:firstLine="0"/>
        <w:rPr>
          <w:rFonts w:ascii="Verdana" w:hAnsi="Verdana"/>
          <w:sz w:val="20"/>
          <w:szCs w:val="20"/>
          <w:lang w:val="es-ES"/>
        </w:rPr>
      </w:pPr>
      <w:r>
        <w:rPr>
          <w:rFonts w:ascii="Verdana" w:hAnsi="Verdana"/>
          <w:sz w:val="20"/>
          <w:szCs w:val="20"/>
          <w:lang w:val="es-ES"/>
        </w:rPr>
        <w:t xml:space="preserve">          </w:t>
      </w:r>
      <w:r w:rsidR="00196439" w:rsidRPr="00E757D1">
        <w:rPr>
          <w:rFonts w:ascii="Verdana" w:hAnsi="Verdana"/>
          <w:sz w:val="20"/>
          <w:szCs w:val="20"/>
          <w:lang w:val="es-ES"/>
        </w:rPr>
        <w:t>En lo que respecta a la materia en cuestión, tal consenso constituye más bien, siguiendo lo que se expresó a propósito de la Declaración Universal de Derechos Humanos, un acuerdo práctico de lo que se convenía</w:t>
      </w:r>
      <w:r w:rsidR="009B728F" w:rsidRPr="00E757D1">
        <w:rPr>
          <w:rFonts w:ascii="Verdana" w:hAnsi="Verdana"/>
          <w:sz w:val="20"/>
          <w:szCs w:val="20"/>
          <w:lang w:val="es-ES"/>
        </w:rPr>
        <w:t>, más</w:t>
      </w:r>
      <w:r w:rsidR="00196439" w:rsidRPr="00E757D1">
        <w:rPr>
          <w:rFonts w:ascii="Verdana" w:hAnsi="Verdana"/>
          <w:sz w:val="20"/>
          <w:szCs w:val="20"/>
          <w:lang w:val="es-ES"/>
        </w:rPr>
        <w:t xml:space="preserve"> no sobre los fundamentos de ello. Dada la estructura</w:t>
      </w:r>
      <w:r w:rsidR="008A7773" w:rsidRPr="00E757D1">
        <w:rPr>
          <w:rFonts w:ascii="Verdana" w:hAnsi="Verdana"/>
          <w:sz w:val="20"/>
          <w:szCs w:val="20"/>
          <w:lang w:val="es-ES"/>
        </w:rPr>
        <w:t xml:space="preserve"> </w:t>
      </w:r>
      <w:r w:rsidR="00196439" w:rsidRPr="00E757D1">
        <w:rPr>
          <w:rFonts w:ascii="Verdana" w:hAnsi="Verdana"/>
          <w:sz w:val="20"/>
          <w:szCs w:val="20"/>
          <w:lang w:val="es-ES"/>
        </w:rPr>
        <w:t xml:space="preserve">societaria internacional, </w:t>
      </w:r>
      <w:r w:rsidR="00843233">
        <w:rPr>
          <w:rFonts w:ascii="Verdana" w:hAnsi="Verdana"/>
          <w:sz w:val="20"/>
          <w:szCs w:val="20"/>
          <w:lang w:val="es-ES"/>
        </w:rPr>
        <w:t xml:space="preserve">básicamente aún formada por Estados soberanos, </w:t>
      </w:r>
      <w:r w:rsidR="00196439" w:rsidRPr="00E757D1">
        <w:rPr>
          <w:rFonts w:ascii="Verdana" w:hAnsi="Verdana"/>
          <w:sz w:val="20"/>
          <w:szCs w:val="20"/>
          <w:lang w:val="es-ES"/>
        </w:rPr>
        <w:t xml:space="preserve">este </w:t>
      </w:r>
      <w:r w:rsidR="00196439" w:rsidRPr="00E757D1">
        <w:rPr>
          <w:rFonts w:ascii="Verdana" w:hAnsi="Verdana"/>
          <w:sz w:val="20"/>
          <w:szCs w:val="20"/>
          <w:lang w:val="es-ES"/>
        </w:rPr>
        <w:lastRenderedPageBreak/>
        <w:t>método ha sido el que ha permitido avances en materia de derechos humanos, aunque, sin duda, dispares según el continente y países de que se trate.</w:t>
      </w:r>
    </w:p>
    <w:p w14:paraId="386A2E1D" w14:textId="77777777" w:rsidR="00C60092" w:rsidRPr="00E757D1" w:rsidRDefault="00C60092" w:rsidP="00DA5A31">
      <w:pPr>
        <w:pStyle w:val="Prrafodelista"/>
        <w:ind w:left="-270" w:right="-162"/>
        <w:rPr>
          <w:rFonts w:ascii="Verdana" w:hAnsi="Verdana"/>
          <w:sz w:val="20"/>
          <w:szCs w:val="20"/>
          <w:lang w:val="es-ES"/>
        </w:rPr>
      </w:pPr>
    </w:p>
    <w:p w14:paraId="7EF18CF8" w14:textId="40D17D95" w:rsidR="00C60092" w:rsidRPr="00E757D1" w:rsidRDefault="007A210D" w:rsidP="00DA5A31">
      <w:pPr>
        <w:pStyle w:val="Prrafodelista"/>
        <w:numPr>
          <w:ilvl w:val="0"/>
          <w:numId w:val="5"/>
        </w:numPr>
        <w:spacing w:line="276" w:lineRule="auto"/>
        <w:ind w:left="-270" w:right="-162" w:firstLine="0"/>
        <w:rPr>
          <w:rFonts w:ascii="Verdana" w:hAnsi="Verdana"/>
          <w:sz w:val="20"/>
          <w:szCs w:val="20"/>
          <w:lang w:val="es-ES"/>
        </w:rPr>
      </w:pPr>
      <w:r>
        <w:rPr>
          <w:rFonts w:ascii="Verdana" w:hAnsi="Verdana"/>
          <w:sz w:val="20"/>
          <w:szCs w:val="20"/>
          <w:lang w:val="es-ES"/>
        </w:rPr>
        <w:t xml:space="preserve">          </w:t>
      </w:r>
      <w:r w:rsidR="00196439" w:rsidRPr="00E757D1">
        <w:rPr>
          <w:rFonts w:ascii="Verdana" w:hAnsi="Verdana"/>
          <w:sz w:val="20"/>
          <w:szCs w:val="20"/>
          <w:lang w:val="es-ES"/>
        </w:rPr>
        <w:t>Por otra parte, asimismo se tiene presente en este escrito que el Derecho es el único instrumento del que puede disponer la persona humana ante el inmenso y avasallador poder que detenta el Estado, particularmente en la escena internacional. La relación entre ambos es abismantemente desequilibrada. En la situación que nos ocupa, sin el apoyo del Derecho Interamericano de los Derechos Humanos y de las instituciones que contempla, el ser humano estaría, en el ámbito internacional, prácticamente en la indefensión o, al menos, en una situación francamente de desigualdad o de precariedad.</w:t>
      </w:r>
    </w:p>
    <w:p w14:paraId="13B9F1C5" w14:textId="77777777" w:rsidR="00C60092" w:rsidRPr="00E757D1" w:rsidRDefault="00C60092" w:rsidP="00DA5A31">
      <w:pPr>
        <w:pStyle w:val="Prrafodelista"/>
        <w:ind w:left="-270" w:right="-162"/>
        <w:rPr>
          <w:rFonts w:ascii="Verdana" w:hAnsi="Verdana"/>
          <w:sz w:val="20"/>
          <w:szCs w:val="20"/>
          <w:lang w:val="es-ES"/>
        </w:rPr>
      </w:pPr>
    </w:p>
    <w:p w14:paraId="1BFE7AF5" w14:textId="3877D698" w:rsidR="00126461" w:rsidRPr="00E757D1" w:rsidRDefault="007A210D" w:rsidP="00126461">
      <w:pPr>
        <w:pStyle w:val="Prrafodelista"/>
        <w:numPr>
          <w:ilvl w:val="0"/>
          <w:numId w:val="5"/>
        </w:numPr>
        <w:spacing w:line="276" w:lineRule="auto"/>
        <w:ind w:left="-270" w:right="-162" w:firstLine="0"/>
        <w:rPr>
          <w:rFonts w:ascii="Verdana" w:hAnsi="Verdana"/>
          <w:sz w:val="20"/>
          <w:szCs w:val="20"/>
          <w:lang w:val="es-ES"/>
        </w:rPr>
      </w:pPr>
      <w:r>
        <w:rPr>
          <w:rFonts w:ascii="Verdana" w:hAnsi="Verdana"/>
          <w:sz w:val="20"/>
          <w:szCs w:val="20"/>
          <w:lang w:val="es-ES"/>
        </w:rPr>
        <w:t xml:space="preserve">          </w:t>
      </w:r>
      <w:r w:rsidR="00196439" w:rsidRPr="00E757D1">
        <w:rPr>
          <w:rFonts w:ascii="Verdana" w:hAnsi="Verdana"/>
          <w:sz w:val="20"/>
          <w:szCs w:val="20"/>
          <w:lang w:val="es-ES"/>
        </w:rPr>
        <w:t>Igualmente, cabe añadir que este voto se apoya en la función que le cabe a la Corte en tanto entidad judicial, cual es, aplicar e interpretar la Convención</w:t>
      </w:r>
      <w:r w:rsidR="003C1526" w:rsidRPr="00E757D1">
        <w:rPr>
          <w:rStyle w:val="Refdenotaalpie"/>
          <w:rFonts w:ascii="Verdana" w:hAnsi="Verdana"/>
          <w:sz w:val="20"/>
          <w:szCs w:val="20"/>
          <w:lang w:val="es-ES"/>
        </w:rPr>
        <w:footnoteReference w:id="9"/>
      </w:r>
      <w:r w:rsidR="00196439" w:rsidRPr="00E757D1">
        <w:rPr>
          <w:rFonts w:ascii="Verdana" w:hAnsi="Verdana"/>
          <w:sz w:val="20"/>
          <w:szCs w:val="20"/>
          <w:lang w:val="es-ES"/>
        </w:rPr>
        <w:t>, acorde a las reglas de interpretación previstas en la Convención de Viena sobre el Derecho de los Tratados</w:t>
      </w:r>
      <w:r w:rsidR="00196439" w:rsidRPr="00E757D1">
        <w:rPr>
          <w:rFonts w:ascii="Verdana" w:hAnsi="Verdana"/>
          <w:sz w:val="20"/>
          <w:szCs w:val="20"/>
          <w:vertAlign w:val="superscript"/>
          <w:lang w:val="es-ES"/>
        </w:rPr>
        <w:footnoteReference w:id="10"/>
      </w:r>
      <w:r w:rsidR="00196439" w:rsidRPr="00E757D1">
        <w:rPr>
          <w:rFonts w:ascii="Verdana" w:hAnsi="Verdana"/>
          <w:sz w:val="20"/>
          <w:szCs w:val="20"/>
          <w:lang w:val="es-ES"/>
        </w:rPr>
        <w:t>, que están dirigidas a</w:t>
      </w:r>
      <w:r w:rsidR="0062568A" w:rsidRPr="00E757D1">
        <w:rPr>
          <w:rFonts w:ascii="Verdana" w:hAnsi="Verdana"/>
          <w:sz w:val="20"/>
          <w:szCs w:val="20"/>
          <w:lang w:val="es-ES"/>
        </w:rPr>
        <w:t xml:space="preserve"> determinar el sentido y alcance de</w:t>
      </w:r>
      <w:r w:rsidR="00196439" w:rsidRPr="00E757D1">
        <w:rPr>
          <w:rFonts w:ascii="Verdana" w:hAnsi="Verdana"/>
          <w:sz w:val="20"/>
          <w:szCs w:val="20"/>
          <w:lang w:val="es-ES"/>
        </w:rPr>
        <w:t xml:space="preserve"> lo que </w:t>
      </w:r>
      <w:r w:rsidR="00675B0D" w:rsidRPr="00E757D1">
        <w:rPr>
          <w:rFonts w:ascii="Verdana" w:hAnsi="Verdana"/>
          <w:sz w:val="20"/>
          <w:szCs w:val="20"/>
          <w:lang w:val="es-ES"/>
        </w:rPr>
        <w:t>aquella</w:t>
      </w:r>
      <w:r w:rsidR="00196439" w:rsidRPr="00E757D1">
        <w:rPr>
          <w:rFonts w:ascii="Verdana" w:hAnsi="Verdana"/>
          <w:sz w:val="20"/>
          <w:szCs w:val="20"/>
          <w:lang w:val="es-ES"/>
        </w:rPr>
        <w:t xml:space="preserve"> dispone</w:t>
      </w:r>
      <w:r w:rsidR="002612DE" w:rsidRPr="00E757D1">
        <w:rPr>
          <w:rFonts w:ascii="Verdana" w:hAnsi="Verdana"/>
          <w:sz w:val="20"/>
          <w:szCs w:val="20"/>
          <w:lang w:val="es-ES"/>
        </w:rPr>
        <w:t>,</w:t>
      </w:r>
      <w:r w:rsidR="00196439" w:rsidRPr="00E757D1">
        <w:rPr>
          <w:rFonts w:ascii="Verdana" w:hAnsi="Verdana"/>
          <w:sz w:val="20"/>
          <w:szCs w:val="20"/>
          <w:lang w:val="es-ES"/>
        </w:rPr>
        <w:t xml:space="preserve"> y no en buscar en ella lo que el intérprete quiera que exprese</w:t>
      </w:r>
      <w:r w:rsidR="00196439" w:rsidRPr="00E757D1">
        <w:rPr>
          <w:rFonts w:ascii="Verdana" w:hAnsi="Verdana"/>
          <w:sz w:val="20"/>
          <w:szCs w:val="20"/>
          <w:vertAlign w:val="superscript"/>
          <w:lang w:val="es-ES"/>
        </w:rPr>
        <w:footnoteReference w:id="11"/>
      </w:r>
      <w:r w:rsidR="00196439" w:rsidRPr="00E757D1">
        <w:rPr>
          <w:rFonts w:ascii="Verdana" w:hAnsi="Verdana"/>
          <w:sz w:val="20"/>
          <w:szCs w:val="20"/>
          <w:lang w:val="es-ES"/>
        </w:rPr>
        <w:t>.</w:t>
      </w:r>
    </w:p>
    <w:p w14:paraId="0CBFC5C7" w14:textId="77777777" w:rsidR="00126461" w:rsidRPr="00E757D1" w:rsidRDefault="00126461" w:rsidP="00126461">
      <w:pPr>
        <w:pStyle w:val="Prrafodelista"/>
        <w:rPr>
          <w:rFonts w:ascii="Verdana" w:hAnsi="Verdana"/>
          <w:sz w:val="20"/>
          <w:szCs w:val="20"/>
          <w:lang w:val="es-ES"/>
        </w:rPr>
      </w:pPr>
    </w:p>
    <w:p w14:paraId="7401A22B" w14:textId="01FE8344" w:rsidR="00A86BA9" w:rsidRPr="00E757D1" w:rsidRDefault="00196439" w:rsidP="0012646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La aplicación e interpretación de la Convención importa, consecuentemente, que lo que compete a la Corte es impartir Justicia en materia de Derechos Humanos a través del Derecho y más específicamente aún, según lo que aquella dispone, función diferente a la asignada a la Comisión</w:t>
      </w:r>
      <w:r w:rsidR="0062568A" w:rsidRPr="00E757D1">
        <w:rPr>
          <w:rFonts w:ascii="Verdana" w:hAnsi="Verdana"/>
          <w:sz w:val="20"/>
          <w:szCs w:val="20"/>
          <w:lang w:val="es-ES"/>
        </w:rPr>
        <w:t xml:space="preserve"> Interamericana de Derechos Humanos</w:t>
      </w:r>
      <w:r w:rsidR="0062568A" w:rsidRPr="00E757D1">
        <w:rPr>
          <w:rStyle w:val="Refdenotaalpie"/>
          <w:rFonts w:ascii="Verdana" w:hAnsi="Verdana"/>
          <w:sz w:val="20"/>
          <w:szCs w:val="20"/>
          <w:lang w:val="es-ES"/>
        </w:rPr>
        <w:footnoteReference w:id="12"/>
      </w:r>
      <w:r w:rsidRPr="00E757D1">
        <w:rPr>
          <w:rFonts w:ascii="Verdana" w:hAnsi="Verdana"/>
          <w:sz w:val="20"/>
          <w:szCs w:val="20"/>
          <w:lang w:val="es-ES"/>
        </w:rPr>
        <w:t>, consistente en</w:t>
      </w:r>
      <w:r w:rsidRPr="00E757D1">
        <w:rPr>
          <w:rFonts w:ascii="Verdana" w:hAnsi="Verdana" w:cs="Tahoma"/>
          <w:sz w:val="20"/>
          <w:szCs w:val="20"/>
          <w:lang w:val="es-ES"/>
        </w:rPr>
        <w:t xml:space="preserve"> promover la observancia y la defensa de los derechos humanos, incluso ante ella</w:t>
      </w:r>
      <w:r w:rsidRPr="00E757D1">
        <w:rPr>
          <w:rFonts w:cs="Tahoma"/>
          <w:vertAlign w:val="superscript"/>
          <w:lang w:val="es-ES"/>
        </w:rPr>
        <w:footnoteReference w:id="13"/>
      </w:r>
      <w:r w:rsidRPr="00E757D1">
        <w:rPr>
          <w:rFonts w:ascii="Verdana" w:hAnsi="Verdana" w:cs="Tahoma"/>
          <w:sz w:val="20"/>
          <w:szCs w:val="20"/>
          <w:lang w:val="es-ES"/>
        </w:rPr>
        <w:t>.</w:t>
      </w:r>
      <w:r w:rsidRPr="00E757D1">
        <w:rPr>
          <w:rFonts w:ascii="Verdana" w:hAnsi="Verdana"/>
          <w:sz w:val="20"/>
          <w:szCs w:val="20"/>
          <w:lang w:val="es-ES"/>
        </w:rPr>
        <w:t xml:space="preserve"> </w:t>
      </w:r>
    </w:p>
    <w:p w14:paraId="435F82D8" w14:textId="5D0FFF56" w:rsidR="00196439" w:rsidRPr="00E757D1" w:rsidRDefault="00196439"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lastRenderedPageBreak/>
        <w:t xml:space="preserve">La función jurisdiccional de la Corte le impone, por lo tanto, proceder acorde a la dignidad que emana de la circunstancia de ser un tribunal y, adicionalmente, autónomo, sin que, en el ejercicio de sus prerrogativas, pueda ser fiscalizado o controlado por entidad alguna, pero, al mismo tiempo, sin ninguna capacidad de hacer cumplir sus fallos por el empleo de medidas coercitivas. La majestad propia de la magistratura que le ha sido confiada a la Corte conlleva, consecuentemente, proceder con pleno apego a los límites que se le han establecido a sus facultades privativas, de suerte que sus decisiones sean acatadas principalmente por considerarse justas en razón, entre otras, de su autoridad moral y su estricto apego a lo efectivamente pactado por los Estados en la Convención. </w:t>
      </w:r>
    </w:p>
    <w:bookmarkEnd w:id="1"/>
    <w:p w14:paraId="10D5D798" w14:textId="77777777" w:rsidR="00196439" w:rsidRPr="00E757D1" w:rsidRDefault="00196439" w:rsidP="00DA5A31">
      <w:pPr>
        <w:spacing w:line="276" w:lineRule="auto"/>
        <w:ind w:left="-270" w:right="-162"/>
        <w:contextualSpacing/>
        <w:rPr>
          <w:rFonts w:ascii="Verdana" w:hAnsi="Verdana"/>
          <w:sz w:val="20"/>
          <w:szCs w:val="20"/>
          <w:lang w:val="es-ES"/>
        </w:rPr>
      </w:pPr>
    </w:p>
    <w:p w14:paraId="37491273" w14:textId="29749174" w:rsidR="00F023E1" w:rsidRPr="00E757D1" w:rsidRDefault="00F023E1" w:rsidP="00DA5A31">
      <w:pPr>
        <w:pStyle w:val="Prrafodelista"/>
        <w:numPr>
          <w:ilvl w:val="0"/>
          <w:numId w:val="12"/>
        </w:numPr>
        <w:spacing w:line="276" w:lineRule="auto"/>
        <w:ind w:left="-270" w:right="-162" w:firstLine="0"/>
        <w:rPr>
          <w:rFonts w:ascii="Verdana" w:hAnsi="Verdana"/>
          <w:b/>
          <w:bCs/>
          <w:sz w:val="20"/>
          <w:szCs w:val="20"/>
          <w:lang w:val="es-ES"/>
        </w:rPr>
      </w:pPr>
      <w:r w:rsidRPr="00E757D1">
        <w:rPr>
          <w:rFonts w:ascii="Verdana" w:hAnsi="Verdana"/>
          <w:b/>
          <w:bCs/>
          <w:sz w:val="20"/>
          <w:szCs w:val="20"/>
          <w:lang w:val="es-ES"/>
        </w:rPr>
        <w:t>ARTÍCULO 26.</w:t>
      </w:r>
    </w:p>
    <w:p w14:paraId="77FCD98B" w14:textId="00E822A7" w:rsidR="000D47DD" w:rsidRPr="00E757D1" w:rsidRDefault="000D47DD" w:rsidP="00DA5A31">
      <w:pPr>
        <w:pStyle w:val="Prrafodelista"/>
        <w:spacing w:line="276" w:lineRule="auto"/>
        <w:ind w:left="-270" w:right="-162"/>
        <w:rPr>
          <w:rFonts w:ascii="Verdana" w:hAnsi="Verdana"/>
          <w:b/>
          <w:bCs/>
          <w:sz w:val="20"/>
          <w:szCs w:val="20"/>
          <w:lang w:val="es-ES"/>
        </w:rPr>
      </w:pPr>
    </w:p>
    <w:p w14:paraId="648618F0" w14:textId="6E262E33" w:rsidR="000D47DD" w:rsidRPr="00E757D1" w:rsidRDefault="000D47DD"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Para una mejor exposición de lo que se sostiene en cuanto al artículo 26 de la Convención, es indispensable formular las consideraciones previas específicamente concernientes a esa disposición, para luego aludir</w:t>
      </w:r>
      <w:r w:rsidR="0037239C" w:rsidRPr="00E757D1">
        <w:rPr>
          <w:rFonts w:ascii="Verdana" w:hAnsi="Verdana"/>
          <w:sz w:val="20"/>
          <w:szCs w:val="20"/>
          <w:lang w:val="es-ES"/>
        </w:rPr>
        <w:t xml:space="preserve"> </w:t>
      </w:r>
      <w:r w:rsidRPr="00E757D1">
        <w:rPr>
          <w:rFonts w:ascii="Verdana" w:hAnsi="Verdana"/>
          <w:sz w:val="20"/>
          <w:szCs w:val="20"/>
          <w:lang w:val="es-ES"/>
        </w:rPr>
        <w:t>a la interpretación</w:t>
      </w:r>
      <w:r w:rsidR="0037239C" w:rsidRPr="00E757D1">
        <w:rPr>
          <w:rFonts w:ascii="Verdana" w:hAnsi="Verdana"/>
          <w:sz w:val="20"/>
          <w:szCs w:val="20"/>
          <w:lang w:val="es-ES"/>
        </w:rPr>
        <w:t xml:space="preserve"> tanto </w:t>
      </w:r>
      <w:r w:rsidRPr="00E757D1">
        <w:rPr>
          <w:rFonts w:ascii="Verdana" w:hAnsi="Verdana"/>
          <w:sz w:val="20"/>
          <w:szCs w:val="20"/>
          <w:lang w:val="es-ES"/>
        </w:rPr>
        <w:t>de ta</w:t>
      </w:r>
      <w:r w:rsidR="0037239C" w:rsidRPr="00E757D1">
        <w:rPr>
          <w:rFonts w:ascii="Verdana" w:hAnsi="Verdana"/>
          <w:sz w:val="20"/>
          <w:szCs w:val="20"/>
          <w:lang w:val="es-ES"/>
        </w:rPr>
        <w:t>l</w:t>
      </w:r>
      <w:r w:rsidRPr="00E757D1">
        <w:rPr>
          <w:rFonts w:ascii="Verdana" w:hAnsi="Verdana"/>
          <w:sz w:val="20"/>
          <w:szCs w:val="20"/>
          <w:lang w:val="es-ES"/>
        </w:rPr>
        <w:t xml:space="preserve"> norma convencional, </w:t>
      </w:r>
      <w:r w:rsidR="0037239C" w:rsidRPr="00E757D1">
        <w:rPr>
          <w:rFonts w:ascii="Verdana" w:hAnsi="Verdana"/>
          <w:sz w:val="20"/>
          <w:szCs w:val="20"/>
          <w:lang w:val="es-ES"/>
        </w:rPr>
        <w:t xml:space="preserve">como a </w:t>
      </w:r>
      <w:r w:rsidRPr="00E757D1">
        <w:rPr>
          <w:rFonts w:ascii="Verdana" w:hAnsi="Verdana"/>
          <w:sz w:val="20"/>
          <w:szCs w:val="20"/>
          <w:lang w:val="es-ES"/>
        </w:rPr>
        <w:t>la Carta de la Organización de los Estados Americanos</w:t>
      </w:r>
      <w:r w:rsidRPr="00E757D1">
        <w:rPr>
          <w:rStyle w:val="Refdenotaalpie"/>
          <w:rFonts w:ascii="Verdana" w:hAnsi="Verdana"/>
          <w:sz w:val="20"/>
          <w:szCs w:val="20"/>
          <w:lang w:val="es-ES"/>
        </w:rPr>
        <w:footnoteReference w:id="14"/>
      </w:r>
      <w:r w:rsidR="0037239C" w:rsidRPr="00E757D1">
        <w:rPr>
          <w:rFonts w:ascii="Verdana" w:hAnsi="Verdana"/>
          <w:sz w:val="20"/>
          <w:szCs w:val="20"/>
          <w:lang w:val="es-ES"/>
        </w:rPr>
        <w:t xml:space="preserve"> </w:t>
      </w:r>
      <w:r w:rsidRPr="00E757D1">
        <w:rPr>
          <w:rFonts w:ascii="Verdana" w:hAnsi="Verdana"/>
          <w:sz w:val="20"/>
          <w:szCs w:val="20"/>
          <w:lang w:val="es-ES"/>
        </w:rPr>
        <w:t>a que hace referencia dicha disposición</w:t>
      </w:r>
      <w:r w:rsidR="0037239C" w:rsidRPr="00E757D1">
        <w:rPr>
          <w:rFonts w:ascii="Verdana" w:hAnsi="Verdana"/>
          <w:sz w:val="20"/>
          <w:szCs w:val="20"/>
          <w:lang w:val="es-ES"/>
        </w:rPr>
        <w:t xml:space="preserve"> y al </w:t>
      </w:r>
      <w:r w:rsidRPr="00E757D1">
        <w:rPr>
          <w:rFonts w:ascii="Verdana" w:hAnsi="Verdana"/>
          <w:sz w:val="20"/>
          <w:szCs w:val="20"/>
          <w:lang w:val="es-ES"/>
        </w:rPr>
        <w:t>Pacto de San Salvador que corrobora lo que se expone en este escrito</w:t>
      </w:r>
      <w:r w:rsidR="00C74994" w:rsidRPr="00E757D1">
        <w:rPr>
          <w:rFonts w:ascii="Verdana" w:hAnsi="Verdana"/>
          <w:sz w:val="20"/>
          <w:szCs w:val="20"/>
          <w:lang w:val="es-ES"/>
        </w:rPr>
        <w:t>.</w:t>
      </w:r>
    </w:p>
    <w:p w14:paraId="41049379" w14:textId="77777777" w:rsidR="000D47DD" w:rsidRPr="00E757D1" w:rsidRDefault="000D47DD" w:rsidP="00DA5A31">
      <w:pPr>
        <w:pStyle w:val="Prrafodelista"/>
        <w:spacing w:line="276" w:lineRule="auto"/>
        <w:ind w:left="-270" w:right="-162"/>
        <w:rPr>
          <w:rFonts w:ascii="Verdana" w:hAnsi="Verdana"/>
          <w:b/>
          <w:bCs/>
          <w:sz w:val="20"/>
          <w:szCs w:val="20"/>
          <w:lang w:val="es-ES"/>
        </w:rPr>
      </w:pPr>
    </w:p>
    <w:p w14:paraId="054309D7" w14:textId="1833502C" w:rsidR="00191E7B" w:rsidRPr="00E757D1" w:rsidRDefault="00191E7B" w:rsidP="00DA5A31">
      <w:pPr>
        <w:pStyle w:val="Prrafodelista"/>
        <w:numPr>
          <w:ilvl w:val="0"/>
          <w:numId w:val="13"/>
        </w:numPr>
        <w:spacing w:line="276" w:lineRule="auto"/>
        <w:ind w:left="-270" w:right="-162" w:firstLine="0"/>
        <w:rPr>
          <w:rFonts w:ascii="Verdana" w:hAnsi="Verdana"/>
          <w:b/>
          <w:bCs/>
          <w:sz w:val="20"/>
          <w:szCs w:val="20"/>
          <w:lang w:val="es-ES"/>
        </w:rPr>
      </w:pPr>
      <w:r w:rsidRPr="00E757D1">
        <w:rPr>
          <w:rFonts w:ascii="Verdana" w:hAnsi="Verdana"/>
          <w:b/>
          <w:bCs/>
          <w:sz w:val="20"/>
          <w:szCs w:val="20"/>
          <w:lang w:val="es-ES"/>
        </w:rPr>
        <w:t>C</w:t>
      </w:r>
      <w:r w:rsidR="0037239C" w:rsidRPr="00E757D1">
        <w:rPr>
          <w:rFonts w:ascii="Verdana" w:hAnsi="Verdana"/>
          <w:b/>
          <w:bCs/>
          <w:sz w:val="20"/>
          <w:szCs w:val="20"/>
          <w:lang w:val="es-ES"/>
        </w:rPr>
        <w:t>onsideraciones previas específicas referidas al artículo 26.</w:t>
      </w:r>
    </w:p>
    <w:p w14:paraId="7F99A6E1" w14:textId="446C9240" w:rsidR="000D47DD" w:rsidRPr="00E757D1" w:rsidRDefault="000D47DD" w:rsidP="00DA5A31">
      <w:pPr>
        <w:spacing w:line="276" w:lineRule="auto"/>
        <w:ind w:left="-270" w:right="-162"/>
        <w:rPr>
          <w:rFonts w:ascii="Verdana" w:hAnsi="Verdana"/>
          <w:b/>
          <w:bCs/>
          <w:sz w:val="20"/>
          <w:szCs w:val="20"/>
          <w:lang w:val="es-ES"/>
        </w:rPr>
      </w:pPr>
    </w:p>
    <w:p w14:paraId="6AD99A10" w14:textId="77777777" w:rsidR="00A86BA9"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eastAsiaTheme="minorEastAsia" w:hAnsi="Verdana"/>
          <w:sz w:val="20"/>
          <w:szCs w:val="20"/>
          <w:lang w:val="es-ES"/>
        </w:rPr>
        <w:t>A</w:t>
      </w:r>
      <w:r w:rsidR="0037239C" w:rsidRPr="00E757D1">
        <w:rPr>
          <w:rFonts w:ascii="Verdana" w:eastAsiaTheme="minorEastAsia" w:hAnsi="Verdana"/>
          <w:sz w:val="20"/>
          <w:szCs w:val="20"/>
          <w:lang w:val="es-ES"/>
        </w:rPr>
        <w:t>l</w:t>
      </w:r>
      <w:r w:rsidRPr="00E757D1">
        <w:rPr>
          <w:rFonts w:ascii="Verdana" w:eastAsiaTheme="minorEastAsia" w:hAnsi="Verdana"/>
          <w:sz w:val="20"/>
          <w:szCs w:val="20"/>
          <w:lang w:val="es-ES"/>
        </w:rPr>
        <w:t xml:space="preserve"> respecto, es menester señalar, previamente, </w:t>
      </w:r>
      <w:r w:rsidRPr="00E757D1">
        <w:rPr>
          <w:rFonts w:ascii="Verdana" w:hAnsi="Verdana"/>
          <w:sz w:val="20"/>
          <w:szCs w:val="20"/>
          <w:lang w:val="es-ES"/>
        </w:rPr>
        <w:t>que se reitera lo expresado en los votos individuales emitidos por el suscrito</w:t>
      </w:r>
      <w:r w:rsidRPr="00E757D1">
        <w:rPr>
          <w:rFonts w:ascii="Verdana" w:hAnsi="Verdana"/>
          <w:sz w:val="20"/>
          <w:szCs w:val="20"/>
          <w:vertAlign w:val="superscript"/>
          <w:lang w:val="es-ES"/>
        </w:rPr>
        <w:footnoteReference w:id="15"/>
      </w:r>
      <w:r w:rsidRPr="00E757D1">
        <w:rPr>
          <w:rFonts w:ascii="Verdana" w:hAnsi="Verdana"/>
          <w:sz w:val="20"/>
          <w:szCs w:val="20"/>
          <w:lang w:val="es-ES"/>
        </w:rPr>
        <w:t xml:space="preserve"> acerca de la invocación que en las correspondientes Sentencias se hacen a la mencionada disposición convencional, incluyendo las consideraciones generales y previas realizadas en algunos de ellos.</w:t>
      </w:r>
    </w:p>
    <w:p w14:paraId="2A0AA690" w14:textId="77777777" w:rsidR="00A86BA9" w:rsidRPr="00E757D1" w:rsidRDefault="00A86BA9" w:rsidP="00DA5A31">
      <w:pPr>
        <w:pStyle w:val="Prrafodelista"/>
        <w:spacing w:line="276" w:lineRule="auto"/>
        <w:ind w:left="-270" w:right="-162"/>
        <w:rPr>
          <w:rFonts w:ascii="Verdana" w:hAnsi="Verdana"/>
          <w:sz w:val="20"/>
          <w:szCs w:val="20"/>
          <w:lang w:val="es-ES"/>
        </w:rPr>
      </w:pPr>
    </w:p>
    <w:p w14:paraId="7898857F" w14:textId="43C18553" w:rsidR="00470495"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Es, asimismo, de suma relevancia desde ya indicar que este texto no se refiere a la existencia d</w:t>
      </w:r>
      <w:r w:rsidR="00417ED0" w:rsidRPr="00E757D1">
        <w:rPr>
          <w:rFonts w:ascii="Verdana" w:hAnsi="Verdana"/>
          <w:sz w:val="20"/>
          <w:szCs w:val="20"/>
          <w:lang w:val="es-ES"/>
        </w:rPr>
        <w:t xml:space="preserve">el </w:t>
      </w:r>
      <w:bookmarkStart w:id="3" w:name="_Hlk45719474"/>
      <w:r w:rsidR="007A5C8E" w:rsidRPr="00E757D1">
        <w:rPr>
          <w:rFonts w:ascii="Verdana" w:hAnsi="Verdana"/>
          <w:sz w:val="20"/>
          <w:szCs w:val="20"/>
          <w:lang w:val="es-ES"/>
        </w:rPr>
        <w:t>d</w:t>
      </w:r>
      <w:r w:rsidR="00417ED0" w:rsidRPr="00E757D1">
        <w:rPr>
          <w:rFonts w:ascii="Verdana" w:hAnsi="Verdana"/>
          <w:sz w:val="20"/>
          <w:szCs w:val="20"/>
          <w:lang w:val="es-ES"/>
        </w:rPr>
        <w:t xml:space="preserve">erecho a condiciones equitativas y satisfactorias que garanticen la </w:t>
      </w:r>
      <w:r w:rsidR="00417ED0" w:rsidRPr="00E757D1">
        <w:rPr>
          <w:rFonts w:ascii="Verdana" w:hAnsi="Verdana"/>
          <w:sz w:val="20"/>
          <w:szCs w:val="20"/>
          <w:lang w:val="es-ES"/>
        </w:rPr>
        <w:lastRenderedPageBreak/>
        <w:t>seguridad</w:t>
      </w:r>
      <w:r w:rsidR="007A5C8E" w:rsidRPr="00E757D1">
        <w:rPr>
          <w:rFonts w:ascii="Verdana" w:hAnsi="Verdana"/>
          <w:sz w:val="20"/>
          <w:szCs w:val="20"/>
          <w:lang w:val="es-ES"/>
        </w:rPr>
        <w:t>, la salud</w:t>
      </w:r>
      <w:r w:rsidR="00417ED0" w:rsidRPr="00E757D1">
        <w:rPr>
          <w:rFonts w:ascii="Verdana" w:hAnsi="Verdana"/>
          <w:sz w:val="20"/>
          <w:szCs w:val="20"/>
          <w:lang w:val="es-ES"/>
        </w:rPr>
        <w:t xml:space="preserve"> y la higiene </w:t>
      </w:r>
      <w:r w:rsidR="00447002" w:rsidRPr="00E757D1">
        <w:rPr>
          <w:rFonts w:ascii="Verdana" w:hAnsi="Verdana"/>
          <w:sz w:val="20"/>
          <w:szCs w:val="20"/>
          <w:lang w:val="es-ES"/>
        </w:rPr>
        <w:t xml:space="preserve">en </w:t>
      </w:r>
      <w:r w:rsidR="00417ED0" w:rsidRPr="00E757D1">
        <w:rPr>
          <w:rFonts w:ascii="Verdana" w:hAnsi="Verdana"/>
          <w:sz w:val="20"/>
          <w:szCs w:val="20"/>
          <w:lang w:val="es-ES"/>
        </w:rPr>
        <w:t>el trabajo</w:t>
      </w:r>
      <w:bookmarkEnd w:id="3"/>
      <w:r w:rsidR="00417ED0" w:rsidRPr="00E757D1">
        <w:rPr>
          <w:rFonts w:ascii="Verdana" w:hAnsi="Verdana"/>
          <w:sz w:val="20"/>
          <w:szCs w:val="20"/>
          <w:lang w:val="es-ES"/>
        </w:rPr>
        <w:t xml:space="preserve"> </w:t>
      </w:r>
      <w:r w:rsidRPr="00E757D1">
        <w:rPr>
          <w:rFonts w:ascii="Verdana" w:hAnsi="Verdana"/>
          <w:sz w:val="20"/>
          <w:szCs w:val="20"/>
          <w:lang w:val="es-ES"/>
        </w:rPr>
        <w:t>como tampoco a la de los demás derechos económicos, sociales y culturales. La existencia de tales derechos no es objeto del presente escrito. Lo que, en cambio, se sostiene aquí es únicamente que la Corte, contrariamente a lo indicado en la Sentencia, carece de competencia para conocer, al amparo de lo previsto en el artículo 26 de la Convención</w:t>
      </w:r>
      <w:r w:rsidRPr="00E757D1">
        <w:rPr>
          <w:rFonts w:ascii="Verdana" w:hAnsi="Verdana"/>
          <w:sz w:val="20"/>
          <w:szCs w:val="20"/>
          <w:vertAlign w:val="superscript"/>
          <w:lang w:val="es-ES"/>
        </w:rPr>
        <w:footnoteReference w:id="16"/>
      </w:r>
      <w:r w:rsidRPr="00E757D1">
        <w:rPr>
          <w:rFonts w:ascii="Verdana" w:hAnsi="Verdana"/>
          <w:sz w:val="20"/>
          <w:szCs w:val="20"/>
          <w:lang w:val="es-ES"/>
        </w:rPr>
        <w:t>, de las violaciones de aquellos, esto es, que las presuntas vulneraciones de esos derechos no son susceptibles de ser justiciables ante ella.</w:t>
      </w:r>
    </w:p>
    <w:p w14:paraId="0E465A64" w14:textId="77777777" w:rsidR="00470495" w:rsidRPr="00E757D1" w:rsidRDefault="00470495" w:rsidP="00DA5A31">
      <w:pPr>
        <w:pStyle w:val="Prrafodelista"/>
        <w:ind w:left="-270" w:right="-162"/>
        <w:rPr>
          <w:rFonts w:ascii="Verdana" w:hAnsi="Verdana"/>
          <w:sz w:val="20"/>
          <w:szCs w:val="20"/>
          <w:lang w:val="es-ES"/>
        </w:rPr>
      </w:pPr>
    </w:p>
    <w:p w14:paraId="425308D2" w14:textId="77777777" w:rsidR="00470495"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Lo anterior no implica, por ende, que las violaciones de dichos derechos no puedan ser justiciables ante las jurisdicciones nacionales correspondientes. Ello dependerá de lo que dispongan los respectivos ordenamientos internos, materia que escapa, en todo caso, al objeto del presente documento y que se inserta en la jurisdicción interna, doméstica o exclusiva de los Estados Partes de la Convención</w:t>
      </w:r>
      <w:r w:rsidRPr="00E757D1">
        <w:rPr>
          <w:rFonts w:ascii="Verdana" w:hAnsi="Verdana"/>
          <w:sz w:val="20"/>
          <w:szCs w:val="20"/>
          <w:vertAlign w:val="superscript"/>
          <w:lang w:val="es-ES"/>
        </w:rPr>
        <w:footnoteReference w:id="17"/>
      </w:r>
      <w:r w:rsidRPr="00E757D1">
        <w:rPr>
          <w:rFonts w:ascii="Verdana" w:hAnsi="Verdana"/>
          <w:sz w:val="20"/>
          <w:szCs w:val="20"/>
          <w:lang w:val="es-ES"/>
        </w:rPr>
        <w:t xml:space="preserve">. </w:t>
      </w:r>
    </w:p>
    <w:p w14:paraId="068632F0" w14:textId="77777777" w:rsidR="00470495" w:rsidRPr="00E757D1" w:rsidRDefault="00470495" w:rsidP="00DA5A31">
      <w:pPr>
        <w:pStyle w:val="Prrafodelista"/>
        <w:ind w:left="-270" w:right="-162"/>
        <w:rPr>
          <w:rFonts w:ascii="Verdana" w:hAnsi="Verdana"/>
          <w:sz w:val="20"/>
          <w:szCs w:val="20"/>
          <w:lang w:val="es-ES"/>
        </w:rPr>
      </w:pPr>
    </w:p>
    <w:p w14:paraId="6EC53DEB" w14:textId="77777777" w:rsidR="00470495"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 xml:space="preserve">Lo que se sostiene en este voto supone que se debe distinguir entre los derechos humanos en general, que, en toda circunstancia, deben ser respetados en virtud de lo prescrito en el Derecho Internacional y aquellos que, además, pueden ser justiciables ante una jurisdicción internacional. A este respecto, cabe llamar la atención de que solo existen tres tribunales internacionales en materia de derechos humanos, a saber, la Corte, el Tribunal Europeo de Derechos Humanos y la Corte Africana de Derechos Humanos y de los Pueblos. Pues bien, no todos los Estados de las respectivas regiones, han aceptado la jurisdicción del tribunal correspondiente. Por otra parte, no todas las regiones del mundo disponen de una jurisdicción internacional en materia de derechos humanos. Tampoco se ha creado un tribunal universal de derechos humanos. </w:t>
      </w:r>
    </w:p>
    <w:p w14:paraId="1FE55077" w14:textId="77777777" w:rsidR="00470495" w:rsidRPr="00E757D1" w:rsidRDefault="00470495" w:rsidP="00DA5A31">
      <w:pPr>
        <w:pStyle w:val="Prrafodelista"/>
        <w:ind w:left="-270" w:right="-162"/>
        <w:rPr>
          <w:rFonts w:ascii="Verdana" w:hAnsi="Verdana"/>
          <w:sz w:val="20"/>
          <w:szCs w:val="20"/>
          <w:lang w:val="es-ES"/>
        </w:rPr>
      </w:pPr>
    </w:p>
    <w:p w14:paraId="1980C76E" w14:textId="1D73FB5F" w:rsidR="00E9106E"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La circunstancia, pues, de que un Estado no haya aceptado ser sometido a una instancia jurisdiccional internacional en materia de derechos humanos, no significa que éstos no existan y que no pueda</w:t>
      </w:r>
      <w:r w:rsidR="00417F41" w:rsidRPr="00E757D1">
        <w:rPr>
          <w:rFonts w:ascii="Verdana" w:hAnsi="Verdana"/>
          <w:sz w:val="20"/>
          <w:szCs w:val="20"/>
          <w:lang w:val="es-ES"/>
        </w:rPr>
        <w:t>n</w:t>
      </w:r>
      <w:r w:rsidRPr="00E757D1">
        <w:rPr>
          <w:rFonts w:ascii="Verdana" w:hAnsi="Verdana"/>
          <w:sz w:val="20"/>
          <w:szCs w:val="20"/>
          <w:lang w:val="es-ES"/>
        </w:rPr>
        <w:t xml:space="preserve"> eventualmente violar</w:t>
      </w:r>
      <w:r w:rsidR="00417F41" w:rsidRPr="00E757D1">
        <w:rPr>
          <w:rFonts w:ascii="Verdana" w:hAnsi="Verdana"/>
          <w:sz w:val="20"/>
          <w:szCs w:val="20"/>
          <w:lang w:val="es-ES"/>
        </w:rPr>
        <w:t>se</w:t>
      </w:r>
      <w:r w:rsidRPr="00E757D1">
        <w:rPr>
          <w:rFonts w:ascii="Verdana" w:hAnsi="Verdana"/>
          <w:sz w:val="20"/>
          <w:szCs w:val="20"/>
          <w:lang w:val="es-ES"/>
        </w:rPr>
        <w:t>. El Estado los debe, de todas maneras, respetar, aunque no exista un tribunal internacional al que se pueda concurrir en el evento de que los vulnere y ello máxime si son consagrados en un tratado del que es Estado Parte. En tal eventualidad, la sociedad internacional podrá emplear medios netamente diplomáticos o políticos para lograr el restablecimiento del respeto de los derechos en comento. Entonces, un asunto es la consagración internacional de éstos</w:t>
      </w:r>
      <w:r w:rsidR="008625A9" w:rsidRPr="00E757D1">
        <w:rPr>
          <w:rFonts w:ascii="Verdana" w:hAnsi="Verdana"/>
          <w:sz w:val="20"/>
          <w:szCs w:val="20"/>
          <w:lang w:val="es-ES"/>
        </w:rPr>
        <w:t>,</w:t>
      </w:r>
      <w:r w:rsidRPr="00E757D1">
        <w:rPr>
          <w:rFonts w:ascii="Verdana" w:hAnsi="Verdana"/>
          <w:sz w:val="20"/>
          <w:szCs w:val="20"/>
          <w:lang w:val="es-ES"/>
        </w:rPr>
        <w:t xml:space="preserve"> y otro, el instrumento internacional que se emplee para lograr que se restablezca su vigencia en las situaciones en que sean violados.  </w:t>
      </w:r>
    </w:p>
    <w:p w14:paraId="1785BDE9" w14:textId="77777777" w:rsidR="003A32AD" w:rsidRPr="00E757D1" w:rsidRDefault="003A32AD" w:rsidP="00DA5A31">
      <w:pPr>
        <w:pStyle w:val="Prrafodelista"/>
        <w:ind w:left="-270" w:right="-162"/>
        <w:rPr>
          <w:rFonts w:ascii="Verdana" w:hAnsi="Verdana"/>
          <w:sz w:val="20"/>
          <w:szCs w:val="20"/>
          <w:lang w:val="es-ES"/>
        </w:rPr>
      </w:pPr>
    </w:p>
    <w:p w14:paraId="6E3E3AD3" w14:textId="77777777" w:rsidR="00D61D96" w:rsidRPr="00E757D1" w:rsidRDefault="00741A3A" w:rsidP="00DA5A31">
      <w:pPr>
        <w:pStyle w:val="Prrafodelista"/>
        <w:numPr>
          <w:ilvl w:val="0"/>
          <w:numId w:val="13"/>
        </w:numPr>
        <w:spacing w:line="276" w:lineRule="auto"/>
        <w:ind w:left="-270" w:right="-162" w:firstLine="0"/>
        <w:rPr>
          <w:rFonts w:ascii="Verdana" w:hAnsi="Verdana"/>
          <w:sz w:val="20"/>
          <w:szCs w:val="20"/>
          <w:lang w:val="es-ES"/>
        </w:rPr>
      </w:pPr>
      <w:r w:rsidRPr="00E757D1">
        <w:rPr>
          <w:rFonts w:ascii="Verdana" w:hAnsi="Verdana"/>
          <w:b/>
          <w:sz w:val="20"/>
          <w:szCs w:val="20"/>
          <w:lang w:val="es-ES"/>
        </w:rPr>
        <w:t xml:space="preserve">La interpretación del </w:t>
      </w:r>
      <w:r w:rsidR="0037239C" w:rsidRPr="00E757D1">
        <w:rPr>
          <w:rFonts w:ascii="Verdana" w:hAnsi="Verdana"/>
          <w:b/>
          <w:sz w:val="20"/>
          <w:szCs w:val="20"/>
          <w:lang w:val="es-ES"/>
        </w:rPr>
        <w:t>artículo 26.</w:t>
      </w:r>
    </w:p>
    <w:p w14:paraId="5C657742" w14:textId="77777777" w:rsidR="00D61D96" w:rsidRPr="00E757D1" w:rsidRDefault="00D61D96" w:rsidP="00DA5A31">
      <w:pPr>
        <w:pStyle w:val="Prrafodelista"/>
        <w:spacing w:line="276" w:lineRule="auto"/>
        <w:ind w:left="-270" w:right="-162"/>
        <w:rPr>
          <w:rFonts w:ascii="Verdana" w:hAnsi="Verdana"/>
          <w:sz w:val="20"/>
          <w:szCs w:val="20"/>
          <w:lang w:val="es-ES"/>
        </w:rPr>
      </w:pPr>
    </w:p>
    <w:p w14:paraId="1EAD326E" w14:textId="7A4D30A3" w:rsidR="00D61D96"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En vista de que la Convención es un tratado entre Estados y, por ende, regida por el Derecho Internacional Público</w:t>
      </w:r>
      <w:r w:rsidRPr="00E757D1">
        <w:rPr>
          <w:rFonts w:ascii="Verdana" w:hAnsi="Verdana"/>
          <w:sz w:val="20"/>
          <w:szCs w:val="20"/>
          <w:vertAlign w:val="superscript"/>
          <w:lang w:val="es-ES"/>
        </w:rPr>
        <w:footnoteReference w:id="18"/>
      </w:r>
      <w:r w:rsidRPr="00E757D1">
        <w:rPr>
          <w:rFonts w:ascii="Verdana" w:hAnsi="Verdana"/>
          <w:sz w:val="20"/>
          <w:szCs w:val="20"/>
          <w:lang w:val="es-ES"/>
        </w:rPr>
        <w:t>, las razones que sustentan este disenso se encuentran, principalmente, en la interpretación que, acorde a los métodos de interpretación de los tratados previstos en la Convención de Viena, se debe hacer del artículo 26. Dichos métodos</w:t>
      </w:r>
      <w:r w:rsidR="000321BA" w:rsidRPr="00E757D1">
        <w:rPr>
          <w:rFonts w:ascii="Verdana" w:hAnsi="Verdana"/>
          <w:sz w:val="20"/>
          <w:szCs w:val="20"/>
          <w:lang w:val="es-ES"/>
        </w:rPr>
        <w:t>, que deben ser concordantes o en armonía entre sí, sin que ningun</w:t>
      </w:r>
      <w:r w:rsidR="00AC7D61" w:rsidRPr="00E757D1">
        <w:rPr>
          <w:rFonts w:ascii="Verdana" w:hAnsi="Verdana"/>
          <w:sz w:val="20"/>
          <w:szCs w:val="20"/>
          <w:lang w:val="es-ES"/>
        </w:rPr>
        <w:t>o</w:t>
      </w:r>
      <w:r w:rsidR="000321BA" w:rsidRPr="00E757D1">
        <w:rPr>
          <w:rFonts w:ascii="Verdana" w:hAnsi="Verdana"/>
          <w:sz w:val="20"/>
          <w:szCs w:val="20"/>
          <w:lang w:val="es-ES"/>
        </w:rPr>
        <w:t xml:space="preserve"> prevalezca sobre los </w:t>
      </w:r>
      <w:r w:rsidR="000321BA" w:rsidRPr="00E757D1">
        <w:rPr>
          <w:rFonts w:ascii="Verdana" w:hAnsi="Verdana"/>
          <w:sz w:val="20"/>
          <w:szCs w:val="20"/>
          <w:lang w:val="es-ES"/>
        </w:rPr>
        <w:lastRenderedPageBreak/>
        <w:t>otros,</w:t>
      </w:r>
      <w:r w:rsidRPr="00E757D1">
        <w:rPr>
          <w:rFonts w:ascii="Verdana" w:hAnsi="Verdana"/>
          <w:sz w:val="20"/>
          <w:szCs w:val="20"/>
          <w:lang w:val="es-ES"/>
        </w:rPr>
        <w:t xml:space="preserve"> dicen relación con la buena fe, el tenor literal de los términos del tratado, el contexto de ellos y el objeto y fin de aquél</w:t>
      </w:r>
      <w:r w:rsidRPr="00E757D1">
        <w:rPr>
          <w:rFonts w:ascii="Verdana" w:hAnsi="Verdana"/>
          <w:sz w:val="20"/>
          <w:szCs w:val="20"/>
          <w:vertAlign w:val="superscript"/>
          <w:lang w:val="es-ES"/>
        </w:rPr>
        <w:footnoteReference w:id="19"/>
      </w:r>
      <w:r w:rsidRPr="00E757D1">
        <w:rPr>
          <w:rFonts w:ascii="Verdana" w:hAnsi="Verdana"/>
          <w:sz w:val="20"/>
          <w:szCs w:val="20"/>
          <w:lang w:val="es-ES"/>
        </w:rPr>
        <w:t>.</w:t>
      </w:r>
    </w:p>
    <w:p w14:paraId="71FE37EB" w14:textId="757460B4" w:rsidR="00E9106E"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De lo que se trata, entonces, es interpretar, según esos métodos, el artículo 26, el que establece:</w:t>
      </w:r>
    </w:p>
    <w:p w14:paraId="40B41640" w14:textId="77777777" w:rsidR="00E9106E" w:rsidRPr="00E757D1" w:rsidRDefault="00E9106E" w:rsidP="00DA5A31">
      <w:pPr>
        <w:tabs>
          <w:tab w:val="left" w:pos="709"/>
        </w:tabs>
        <w:spacing w:line="276" w:lineRule="auto"/>
        <w:ind w:left="-270" w:right="-162"/>
        <w:rPr>
          <w:rFonts w:ascii="Verdana" w:hAnsi="Verdana"/>
          <w:sz w:val="20"/>
          <w:szCs w:val="20"/>
          <w:lang w:val="es-ES"/>
        </w:rPr>
      </w:pPr>
    </w:p>
    <w:p w14:paraId="57C67408" w14:textId="77777777" w:rsidR="00E9106E" w:rsidRPr="00612664" w:rsidRDefault="00E9106E" w:rsidP="007A210D">
      <w:pPr>
        <w:spacing w:line="276" w:lineRule="auto"/>
        <w:ind w:left="720" w:right="-162"/>
        <w:rPr>
          <w:rFonts w:ascii="Verdana" w:eastAsia="Batang" w:hAnsi="Verdana"/>
          <w:i/>
          <w:sz w:val="18"/>
          <w:szCs w:val="18"/>
          <w:lang w:val="es-ES"/>
        </w:rPr>
      </w:pPr>
      <w:r w:rsidRPr="00612664">
        <w:rPr>
          <w:rFonts w:ascii="Verdana" w:hAnsi="Verdana"/>
          <w:i/>
          <w:sz w:val="18"/>
          <w:szCs w:val="18"/>
          <w:lang w:val="es-ES"/>
        </w:rPr>
        <w:t>“</w:t>
      </w:r>
      <w:r w:rsidRPr="00612664">
        <w:rPr>
          <w:rFonts w:ascii="Verdana" w:eastAsia="Batang" w:hAnsi="Verdana"/>
          <w:i/>
          <w:sz w:val="18"/>
          <w:szCs w:val="18"/>
          <w:lang w:val="es-ES"/>
        </w:rPr>
        <w:t>Desarrollo Progresivo</w:t>
      </w:r>
      <w:bookmarkStart w:id="4" w:name="_Hlk31442955"/>
      <w:r w:rsidRPr="00612664">
        <w:rPr>
          <w:rFonts w:ascii="Verdana" w:eastAsia="Batang" w:hAnsi="Verdana"/>
          <w:i/>
          <w:sz w:val="18"/>
          <w:szCs w:val="18"/>
          <w:lang w:val="es-ES"/>
        </w:rPr>
        <w:t xml:space="preserve">. Los Estados Partes se comprometen a adoptar providencias, tanto a nivel interno como mediante la cooperación internacional, especialmente económica y técnica, para lograr progresivamente la </w:t>
      </w:r>
      <w:bookmarkStart w:id="5" w:name="_Hlk32477899"/>
      <w:r w:rsidRPr="00612664">
        <w:rPr>
          <w:rFonts w:ascii="Verdana" w:eastAsia="Batang" w:hAnsi="Verdana"/>
          <w:i/>
          <w:sz w:val="18"/>
          <w:szCs w:val="18"/>
          <w:lang w:val="es-ES"/>
        </w:rPr>
        <w:t xml:space="preserve">plena efectividad de los derechos que </w:t>
      </w:r>
      <w:bookmarkStart w:id="6" w:name="_Hlk34848115"/>
      <w:r w:rsidRPr="00612664">
        <w:rPr>
          <w:rFonts w:ascii="Verdana" w:eastAsia="Batang" w:hAnsi="Verdana"/>
          <w:i/>
          <w:sz w:val="18"/>
          <w:szCs w:val="18"/>
          <w:lang w:val="es-ES"/>
        </w:rPr>
        <w:t xml:space="preserve">se derivan </w:t>
      </w:r>
      <w:bookmarkStart w:id="7" w:name="_Hlk32246182"/>
      <w:r w:rsidRPr="00612664">
        <w:rPr>
          <w:rFonts w:ascii="Verdana" w:eastAsia="Batang" w:hAnsi="Verdana"/>
          <w:i/>
          <w:sz w:val="18"/>
          <w:szCs w:val="18"/>
          <w:lang w:val="es-ES"/>
        </w:rPr>
        <w:t xml:space="preserve">de las normas económicas, sociales y sobre educación, ciencia y cultura, contenidas en la Carta </w:t>
      </w:r>
      <w:bookmarkEnd w:id="6"/>
      <w:r w:rsidRPr="00612664">
        <w:rPr>
          <w:rFonts w:ascii="Verdana" w:eastAsia="Batang" w:hAnsi="Verdana"/>
          <w:i/>
          <w:sz w:val="18"/>
          <w:szCs w:val="18"/>
          <w:lang w:val="es-ES"/>
        </w:rPr>
        <w:t xml:space="preserve">de la Organización de los Estados Americanos, reformada por el Protocolo de Buenos Aires, </w:t>
      </w:r>
      <w:bookmarkEnd w:id="7"/>
      <w:r w:rsidRPr="00612664">
        <w:rPr>
          <w:rFonts w:ascii="Verdana" w:eastAsia="Batang" w:hAnsi="Verdana"/>
          <w:i/>
          <w:sz w:val="18"/>
          <w:szCs w:val="18"/>
          <w:lang w:val="es-ES"/>
        </w:rPr>
        <w:t xml:space="preserve">en la medida de los recursos disponibles, </w:t>
      </w:r>
      <w:bookmarkEnd w:id="5"/>
      <w:r w:rsidRPr="00612664">
        <w:rPr>
          <w:rFonts w:ascii="Verdana" w:eastAsia="Batang" w:hAnsi="Verdana"/>
          <w:i/>
          <w:sz w:val="18"/>
          <w:szCs w:val="18"/>
          <w:lang w:val="es-ES"/>
        </w:rPr>
        <w:t>por vía legislativa u otros medios apropiados</w:t>
      </w:r>
      <w:bookmarkEnd w:id="4"/>
      <w:r w:rsidRPr="00612664">
        <w:rPr>
          <w:rFonts w:ascii="Verdana" w:eastAsia="Batang" w:hAnsi="Verdana"/>
          <w:i/>
          <w:sz w:val="18"/>
          <w:szCs w:val="18"/>
          <w:lang w:val="es-ES"/>
        </w:rPr>
        <w:t>.”</w:t>
      </w:r>
    </w:p>
    <w:p w14:paraId="735E4E7D" w14:textId="77777777" w:rsidR="00E9106E" w:rsidRPr="00E757D1" w:rsidRDefault="00E9106E" w:rsidP="00F32577">
      <w:pPr>
        <w:spacing w:line="276" w:lineRule="auto"/>
        <w:ind w:left="720" w:right="-162"/>
        <w:contextualSpacing/>
        <w:rPr>
          <w:rFonts w:ascii="Verdana" w:hAnsi="Verdana"/>
          <w:sz w:val="20"/>
          <w:szCs w:val="20"/>
          <w:lang w:val="es-ES"/>
        </w:rPr>
      </w:pPr>
      <w:r w:rsidRPr="00E757D1">
        <w:rPr>
          <w:rFonts w:ascii="Verdana" w:hAnsi="Verdana"/>
          <w:sz w:val="20"/>
          <w:szCs w:val="20"/>
          <w:lang w:val="es-ES"/>
        </w:rPr>
        <w:t xml:space="preserve">  </w:t>
      </w:r>
    </w:p>
    <w:p w14:paraId="03F60DB8" w14:textId="17D1C7A0" w:rsidR="00E9106E" w:rsidRPr="00E757D1" w:rsidRDefault="00E9106E" w:rsidP="00DA5A31">
      <w:pPr>
        <w:pStyle w:val="Prrafodelista"/>
        <w:numPr>
          <w:ilvl w:val="0"/>
          <w:numId w:val="14"/>
        </w:numPr>
        <w:spacing w:line="276" w:lineRule="auto"/>
        <w:ind w:left="-270" w:right="-162" w:firstLine="0"/>
        <w:rPr>
          <w:rFonts w:ascii="Verdana" w:hAnsi="Verdana"/>
          <w:b/>
          <w:sz w:val="20"/>
          <w:szCs w:val="20"/>
          <w:lang w:val="es-ES"/>
        </w:rPr>
      </w:pPr>
      <w:r w:rsidRPr="00E757D1">
        <w:rPr>
          <w:rFonts w:ascii="Verdana" w:hAnsi="Verdana"/>
          <w:b/>
          <w:sz w:val="20"/>
          <w:szCs w:val="20"/>
          <w:lang w:val="es-ES"/>
        </w:rPr>
        <w:t>Buena fe.</w:t>
      </w:r>
    </w:p>
    <w:p w14:paraId="11790C83" w14:textId="77777777" w:rsidR="00E9106E" w:rsidRPr="00E757D1" w:rsidRDefault="00E9106E" w:rsidP="00DA5A31">
      <w:pPr>
        <w:spacing w:line="276" w:lineRule="auto"/>
        <w:ind w:left="-270" w:right="-162"/>
        <w:contextualSpacing/>
        <w:rPr>
          <w:rFonts w:ascii="Verdana" w:hAnsi="Verdana"/>
          <w:b/>
          <w:sz w:val="20"/>
          <w:szCs w:val="20"/>
          <w:lang w:val="es-ES"/>
        </w:rPr>
      </w:pPr>
    </w:p>
    <w:p w14:paraId="05A5F8D4" w14:textId="2C380D7F" w:rsidR="003A32AD" w:rsidRPr="00E757D1" w:rsidRDefault="00E9106E" w:rsidP="00DA5A31">
      <w:pPr>
        <w:pStyle w:val="Prrafodelista"/>
        <w:numPr>
          <w:ilvl w:val="0"/>
          <w:numId w:val="5"/>
        </w:numPr>
        <w:autoSpaceDE w:val="0"/>
        <w:autoSpaceDN w:val="0"/>
        <w:adjustRightInd w:val="0"/>
        <w:spacing w:line="276" w:lineRule="auto"/>
        <w:ind w:left="-270" w:right="-162" w:firstLine="0"/>
        <w:rPr>
          <w:rFonts w:ascii="Verdana" w:hAnsi="Verdana" w:cs="Times New Roman"/>
          <w:i/>
          <w:sz w:val="20"/>
          <w:szCs w:val="20"/>
          <w:lang w:val="es-ES"/>
        </w:rPr>
      </w:pPr>
      <w:r w:rsidRPr="00E757D1">
        <w:rPr>
          <w:rFonts w:ascii="Verdana" w:eastAsiaTheme="minorEastAsia" w:hAnsi="Verdana"/>
          <w:sz w:val="20"/>
          <w:szCs w:val="20"/>
          <w:lang w:val="es-ES"/>
        </w:rPr>
        <w:t>El método sustentado en la buena fe implica que lo pactado por los Estados Partes del tratado de que se trate debe entenderse a partir de que efectivamente ellos tuvieron la voluntad de concordarlo, de suerte de que realmente se aplicara o tuviera un efecto útil. En este sentido, la buena fe se vincula estrechamente al principio “</w:t>
      </w:r>
      <w:r w:rsidRPr="00E757D1">
        <w:rPr>
          <w:rFonts w:ascii="Verdana" w:eastAsiaTheme="minorEastAsia" w:hAnsi="Verdana"/>
          <w:i/>
          <w:sz w:val="20"/>
          <w:szCs w:val="20"/>
          <w:lang w:val="es-ES"/>
        </w:rPr>
        <w:t xml:space="preserve">pacta sunt </w:t>
      </w:r>
      <w:proofErr w:type="spellStart"/>
      <w:r w:rsidRPr="00E757D1">
        <w:rPr>
          <w:rFonts w:ascii="Verdana" w:eastAsiaTheme="minorEastAsia" w:hAnsi="Verdana"/>
          <w:i/>
          <w:sz w:val="20"/>
          <w:szCs w:val="20"/>
          <w:lang w:val="es-ES"/>
        </w:rPr>
        <w:t>servanda</w:t>
      </w:r>
      <w:proofErr w:type="spellEnd"/>
      <w:r w:rsidRPr="00E757D1">
        <w:rPr>
          <w:rFonts w:ascii="Verdana" w:eastAsiaTheme="minorEastAsia" w:hAnsi="Verdana"/>
          <w:sz w:val="20"/>
          <w:szCs w:val="20"/>
          <w:lang w:val="es-ES"/>
        </w:rPr>
        <w:t>” contemplado en el artículo</w:t>
      </w:r>
      <w:r w:rsidRPr="00E757D1">
        <w:rPr>
          <w:rFonts w:ascii="Verdana" w:hAnsi="Verdana" w:cs="Times New Roman"/>
          <w:b/>
          <w:bCs/>
          <w:sz w:val="20"/>
          <w:szCs w:val="20"/>
          <w:lang w:val="es-ES"/>
        </w:rPr>
        <w:t xml:space="preserve"> </w:t>
      </w:r>
      <w:r w:rsidRPr="00E757D1">
        <w:rPr>
          <w:rFonts w:ascii="Verdana" w:hAnsi="Verdana" w:cs="Times New Roman"/>
          <w:bCs/>
          <w:sz w:val="20"/>
          <w:szCs w:val="20"/>
          <w:lang w:val="es-ES"/>
        </w:rPr>
        <w:t>26 de la Convención de Viena</w:t>
      </w:r>
      <w:r w:rsidRPr="00E757D1">
        <w:rPr>
          <w:rFonts w:ascii="Verdana" w:hAnsi="Verdana" w:cs="Times New Roman"/>
          <w:bCs/>
          <w:sz w:val="20"/>
          <w:szCs w:val="20"/>
          <w:vertAlign w:val="superscript"/>
          <w:lang w:val="es-ES"/>
        </w:rPr>
        <w:footnoteReference w:id="20"/>
      </w:r>
      <w:bookmarkStart w:id="8" w:name="_Hlk34994137"/>
      <w:r w:rsidR="000C3213" w:rsidRPr="00E757D1">
        <w:rPr>
          <w:rFonts w:ascii="Verdana" w:hAnsi="Verdana" w:cs="Times New Roman"/>
          <w:bCs/>
          <w:sz w:val="20"/>
          <w:szCs w:val="20"/>
          <w:lang w:val="es-ES"/>
        </w:rPr>
        <w:t>.</w:t>
      </w:r>
    </w:p>
    <w:p w14:paraId="7D6A8864" w14:textId="77777777" w:rsidR="00AF6C0D" w:rsidRPr="00E757D1" w:rsidRDefault="00AF6C0D" w:rsidP="00DA5A31">
      <w:pPr>
        <w:pStyle w:val="Prrafodelista"/>
        <w:autoSpaceDE w:val="0"/>
        <w:autoSpaceDN w:val="0"/>
        <w:adjustRightInd w:val="0"/>
        <w:spacing w:line="276" w:lineRule="auto"/>
        <w:ind w:left="-270" w:right="-162"/>
        <w:rPr>
          <w:rFonts w:ascii="Verdana" w:hAnsi="Verdana" w:cs="Times New Roman"/>
          <w:i/>
          <w:sz w:val="20"/>
          <w:szCs w:val="20"/>
          <w:lang w:val="es-ES"/>
        </w:rPr>
      </w:pPr>
    </w:p>
    <w:p w14:paraId="01723FD8" w14:textId="67DB9AF8" w:rsidR="005344DD" w:rsidRPr="00E757D1" w:rsidRDefault="00E9106E" w:rsidP="00DA5A31">
      <w:pPr>
        <w:pStyle w:val="Prrafodelista"/>
        <w:numPr>
          <w:ilvl w:val="0"/>
          <w:numId w:val="5"/>
        </w:numPr>
        <w:autoSpaceDE w:val="0"/>
        <w:autoSpaceDN w:val="0"/>
        <w:adjustRightInd w:val="0"/>
        <w:spacing w:line="276" w:lineRule="auto"/>
        <w:ind w:left="-270" w:right="-162" w:firstLine="0"/>
        <w:rPr>
          <w:rFonts w:ascii="Verdana" w:hAnsi="Verdana" w:cs="Times New Roman"/>
          <w:i/>
          <w:sz w:val="20"/>
          <w:szCs w:val="20"/>
          <w:lang w:val="es-ES"/>
        </w:rPr>
      </w:pPr>
      <w:r w:rsidRPr="00E757D1">
        <w:rPr>
          <w:rFonts w:ascii="Verdana" w:hAnsi="Verdana"/>
          <w:bCs/>
          <w:sz w:val="20"/>
          <w:szCs w:val="20"/>
          <w:lang w:val="es-ES"/>
        </w:rPr>
        <w:t>En esta perspectiva, es más que evidente que el efecto útil de esa norma es que los Estados Partes de la Convención realmente adopten las providencias</w:t>
      </w:r>
      <w:r w:rsidRPr="00E757D1">
        <w:rPr>
          <w:rFonts w:ascii="Verdana" w:eastAsia="Batang" w:hAnsi="Verdana"/>
          <w:sz w:val="20"/>
          <w:szCs w:val="20"/>
          <w:lang w:val="es-ES"/>
        </w:rPr>
        <w:t xml:space="preserve"> en vista de lograr</w:t>
      </w:r>
      <w:r w:rsidRPr="00E757D1">
        <w:rPr>
          <w:rFonts w:ascii="Verdana" w:eastAsia="Batang" w:hAnsi="Verdana"/>
          <w:i/>
          <w:sz w:val="20"/>
          <w:szCs w:val="20"/>
          <w:lang w:val="es-ES"/>
        </w:rPr>
        <w:t xml:space="preserve"> </w:t>
      </w:r>
      <w:r w:rsidRPr="00E757D1">
        <w:rPr>
          <w:rFonts w:ascii="Verdana" w:eastAsia="Batang" w:hAnsi="Verdana"/>
          <w:iCs/>
          <w:sz w:val="20"/>
          <w:szCs w:val="20"/>
          <w:lang w:val="es-ES"/>
        </w:rPr>
        <w:t xml:space="preserve">progresivamente la plena efectividad de </w:t>
      </w:r>
      <w:bookmarkStart w:id="9" w:name="_Hlk31450962"/>
      <w:r w:rsidRPr="00E757D1">
        <w:rPr>
          <w:rFonts w:ascii="Verdana" w:eastAsia="Batang" w:hAnsi="Verdana"/>
          <w:iCs/>
          <w:sz w:val="20"/>
          <w:szCs w:val="20"/>
          <w:lang w:val="es-ES"/>
        </w:rPr>
        <w:t>los derechos que se derivan de las normas de la OEA</w:t>
      </w:r>
      <w:r w:rsidR="004D6F39" w:rsidRPr="00E757D1">
        <w:rPr>
          <w:rFonts w:ascii="Verdana" w:eastAsia="Batang" w:hAnsi="Verdana"/>
          <w:iCs/>
          <w:sz w:val="20"/>
          <w:szCs w:val="20"/>
          <w:lang w:val="es-ES"/>
        </w:rPr>
        <w:t>,</w:t>
      </w:r>
      <w:r w:rsidRPr="00E757D1">
        <w:rPr>
          <w:rFonts w:ascii="Verdana" w:eastAsia="Batang" w:hAnsi="Verdana"/>
          <w:iCs/>
          <w:sz w:val="20"/>
          <w:szCs w:val="20"/>
          <w:lang w:val="es-ES"/>
        </w:rPr>
        <w:t xml:space="preserve"> y todo ello según los recursos disponibles</w:t>
      </w:r>
      <w:bookmarkEnd w:id="9"/>
      <w:r w:rsidRPr="00E757D1">
        <w:rPr>
          <w:rFonts w:ascii="Verdana" w:eastAsia="Batang" w:hAnsi="Verdana"/>
          <w:i/>
          <w:sz w:val="20"/>
          <w:szCs w:val="20"/>
          <w:lang w:val="es-ES"/>
        </w:rPr>
        <w:t xml:space="preserve">. </w:t>
      </w:r>
      <w:r w:rsidR="00007E4F" w:rsidRPr="00E757D1">
        <w:rPr>
          <w:rFonts w:ascii="Verdana" w:eastAsia="Batang" w:hAnsi="Verdana"/>
          <w:iCs/>
          <w:sz w:val="20"/>
          <w:szCs w:val="20"/>
          <w:lang w:val="es-ES"/>
        </w:rPr>
        <w:t xml:space="preserve">La obligación de los Estados </w:t>
      </w:r>
      <w:r w:rsidR="00875669" w:rsidRPr="00E757D1">
        <w:rPr>
          <w:rFonts w:ascii="Verdana" w:eastAsia="Batang" w:hAnsi="Verdana"/>
          <w:iCs/>
          <w:sz w:val="20"/>
          <w:szCs w:val="20"/>
          <w:lang w:val="es-ES"/>
        </w:rPr>
        <w:t xml:space="preserve">prevista en el artículo 26 </w:t>
      </w:r>
      <w:r w:rsidR="00007E4F" w:rsidRPr="00E757D1">
        <w:rPr>
          <w:rFonts w:ascii="Verdana" w:eastAsia="Batang" w:hAnsi="Verdana"/>
          <w:iCs/>
          <w:sz w:val="20"/>
          <w:szCs w:val="20"/>
          <w:lang w:val="es-ES"/>
        </w:rPr>
        <w:t xml:space="preserve">es, entonces, </w:t>
      </w:r>
      <w:r w:rsidR="00875669" w:rsidRPr="00E757D1">
        <w:rPr>
          <w:rFonts w:ascii="Verdana" w:eastAsia="Batang" w:hAnsi="Verdana"/>
          <w:iCs/>
          <w:sz w:val="20"/>
          <w:szCs w:val="20"/>
          <w:lang w:val="es-ES"/>
        </w:rPr>
        <w:t>l</w:t>
      </w:r>
      <w:r w:rsidR="00007E4F" w:rsidRPr="00E757D1">
        <w:rPr>
          <w:rFonts w:ascii="Verdana" w:eastAsia="Batang" w:hAnsi="Verdana"/>
          <w:iCs/>
          <w:sz w:val="20"/>
          <w:szCs w:val="20"/>
          <w:lang w:val="es-ES"/>
        </w:rPr>
        <w:t xml:space="preserve">a </w:t>
      </w:r>
      <w:r w:rsidR="00875669" w:rsidRPr="00E757D1">
        <w:rPr>
          <w:rFonts w:ascii="Verdana" w:eastAsia="Batang" w:hAnsi="Verdana"/>
          <w:iCs/>
          <w:sz w:val="20"/>
          <w:szCs w:val="20"/>
          <w:lang w:val="es-ES"/>
        </w:rPr>
        <w:t xml:space="preserve">de </w:t>
      </w:r>
      <w:r w:rsidR="00007E4F" w:rsidRPr="00E757D1">
        <w:rPr>
          <w:rFonts w:ascii="Verdana" w:eastAsia="Batang" w:hAnsi="Verdana"/>
          <w:iCs/>
          <w:sz w:val="20"/>
          <w:szCs w:val="20"/>
          <w:lang w:val="es-ES"/>
        </w:rPr>
        <w:t>adoptar las medidas para ser efectivos los señalados derechos y no a que éstos realmente lo sean. La obligación es de comportamiento, no de resultado.</w:t>
      </w:r>
      <w:bookmarkEnd w:id="8"/>
    </w:p>
    <w:p w14:paraId="1707FFD0" w14:textId="77777777" w:rsidR="005344DD" w:rsidRPr="00E757D1" w:rsidRDefault="005344DD" w:rsidP="00DA5A31">
      <w:pPr>
        <w:pStyle w:val="Prrafodelista"/>
        <w:ind w:left="-270" w:right="-162"/>
        <w:rPr>
          <w:rFonts w:ascii="Verdana" w:hAnsi="Verdana"/>
          <w:bCs/>
          <w:sz w:val="20"/>
          <w:szCs w:val="20"/>
          <w:lang w:val="es-ES"/>
        </w:rPr>
      </w:pPr>
    </w:p>
    <w:p w14:paraId="15FBD6FF" w14:textId="77777777" w:rsidR="005344DD" w:rsidRPr="00E757D1" w:rsidRDefault="00E9106E" w:rsidP="00DA5A31">
      <w:pPr>
        <w:pStyle w:val="Prrafodelista"/>
        <w:numPr>
          <w:ilvl w:val="0"/>
          <w:numId w:val="5"/>
        </w:numPr>
        <w:autoSpaceDE w:val="0"/>
        <w:autoSpaceDN w:val="0"/>
        <w:adjustRightInd w:val="0"/>
        <w:spacing w:line="276" w:lineRule="auto"/>
        <w:ind w:left="-270" w:right="-162" w:firstLine="0"/>
        <w:rPr>
          <w:rFonts w:ascii="Verdana" w:hAnsi="Verdana" w:cs="Times New Roman"/>
          <w:i/>
          <w:sz w:val="20"/>
          <w:szCs w:val="20"/>
          <w:lang w:val="es-ES"/>
        </w:rPr>
      </w:pPr>
      <w:r w:rsidRPr="00E757D1">
        <w:rPr>
          <w:rFonts w:ascii="Verdana" w:hAnsi="Verdana"/>
          <w:bCs/>
          <w:sz w:val="20"/>
          <w:szCs w:val="20"/>
          <w:lang w:val="es-ES"/>
        </w:rPr>
        <w:t xml:space="preserve">En esa misma dirección, </w:t>
      </w:r>
      <w:r w:rsidRPr="00E757D1">
        <w:rPr>
          <w:rFonts w:ascii="Verdana" w:hAnsi="Verdana"/>
          <w:sz w:val="20"/>
          <w:szCs w:val="20"/>
          <w:lang w:val="es-ES"/>
        </w:rPr>
        <w:t>es necesario llamar la atención acerca de que lo que establece el artículo 26 es semejante a lo previsto en el artículo 2 de la Convención, esto es, que los Estados se obligan a adoptar, en el primero, medidas si el ejercicio de los derechos consagrados en el artículo 1.2 de la Convención no estuviere garantizado</w:t>
      </w:r>
      <w:r w:rsidRPr="00E757D1">
        <w:rPr>
          <w:rFonts w:ascii="Verdana" w:hAnsi="Verdana"/>
          <w:sz w:val="20"/>
          <w:szCs w:val="20"/>
          <w:vertAlign w:val="superscript"/>
          <w:lang w:val="es-ES"/>
        </w:rPr>
        <w:footnoteReference w:id="21"/>
      </w:r>
      <w:r w:rsidRPr="00E757D1">
        <w:rPr>
          <w:rFonts w:ascii="Verdana" w:hAnsi="Verdana"/>
          <w:sz w:val="20"/>
          <w:szCs w:val="20"/>
          <w:lang w:val="es-ES"/>
        </w:rPr>
        <w:t xml:space="preserve"> y en segundo, providencias en</w:t>
      </w:r>
      <w:r w:rsidRPr="00E757D1">
        <w:rPr>
          <w:rFonts w:ascii="Verdana" w:eastAsia="Batang" w:hAnsi="Verdana"/>
          <w:sz w:val="20"/>
          <w:szCs w:val="20"/>
          <w:lang w:val="es-ES"/>
        </w:rPr>
        <w:t xml:space="preserve"> vista de lograr</w:t>
      </w:r>
      <w:r w:rsidRPr="00E757D1">
        <w:rPr>
          <w:rFonts w:ascii="Verdana" w:eastAsia="Batang" w:hAnsi="Verdana"/>
          <w:i/>
          <w:sz w:val="20"/>
          <w:szCs w:val="20"/>
          <w:lang w:val="es-ES"/>
        </w:rPr>
        <w:t xml:space="preserve"> </w:t>
      </w:r>
      <w:r w:rsidRPr="00E757D1">
        <w:rPr>
          <w:rFonts w:ascii="Verdana" w:eastAsia="Batang" w:hAnsi="Verdana"/>
          <w:iCs/>
          <w:sz w:val="20"/>
          <w:szCs w:val="20"/>
          <w:lang w:val="es-ES"/>
        </w:rPr>
        <w:t xml:space="preserve">progresivamente la plena efectividad de los derechos que se derivan de las normas de la OEA que alude, aunque ambas disposiciones difieren en que esta última condiciona el cumplimiento de lo que establece a la disponibilidad de los correspondientes recursos. </w:t>
      </w:r>
    </w:p>
    <w:p w14:paraId="7973B90B" w14:textId="77777777" w:rsidR="005344DD" w:rsidRPr="00E757D1" w:rsidRDefault="005344DD" w:rsidP="00DA5A31">
      <w:pPr>
        <w:pStyle w:val="Prrafodelista"/>
        <w:ind w:left="-270" w:right="-162"/>
        <w:rPr>
          <w:rFonts w:ascii="Verdana" w:hAnsi="Verdana"/>
          <w:bCs/>
          <w:sz w:val="20"/>
          <w:szCs w:val="20"/>
          <w:lang w:val="es-ES"/>
        </w:rPr>
      </w:pPr>
    </w:p>
    <w:p w14:paraId="68A493ED" w14:textId="77777777" w:rsidR="00B32626" w:rsidRPr="00E757D1" w:rsidRDefault="00E9106E" w:rsidP="00DA5A31">
      <w:pPr>
        <w:pStyle w:val="Prrafodelista"/>
        <w:numPr>
          <w:ilvl w:val="0"/>
          <w:numId w:val="5"/>
        </w:numPr>
        <w:autoSpaceDE w:val="0"/>
        <w:autoSpaceDN w:val="0"/>
        <w:adjustRightInd w:val="0"/>
        <w:spacing w:line="276" w:lineRule="auto"/>
        <w:ind w:left="-270" w:right="-162" w:firstLine="0"/>
        <w:rPr>
          <w:rFonts w:ascii="Verdana" w:hAnsi="Verdana" w:cs="Times New Roman"/>
          <w:i/>
          <w:sz w:val="20"/>
          <w:szCs w:val="20"/>
          <w:lang w:val="es-ES"/>
        </w:rPr>
      </w:pPr>
      <w:r w:rsidRPr="00E757D1">
        <w:rPr>
          <w:rFonts w:ascii="Verdana" w:hAnsi="Verdana"/>
          <w:bCs/>
          <w:sz w:val="20"/>
          <w:szCs w:val="20"/>
          <w:lang w:val="es-ES"/>
        </w:rPr>
        <w:t xml:space="preserve">Considerando lo precedente, </w:t>
      </w:r>
      <w:r w:rsidRPr="00E757D1">
        <w:rPr>
          <w:rFonts w:ascii="Verdana" w:eastAsiaTheme="minorEastAsia" w:hAnsi="Verdana"/>
          <w:sz w:val="20"/>
          <w:szCs w:val="20"/>
          <w:lang w:val="es-ES"/>
        </w:rPr>
        <w:t xml:space="preserve">importa interrogarse, en consecuencia, respecto la razón por la que se convino el artículo 26 y, por tanto, por qué no se abordaron los derechos a que se remite de la misma forma en que se hizo en cuanto a los </w:t>
      </w:r>
      <w:r w:rsidRPr="00E757D1">
        <w:rPr>
          <w:rFonts w:ascii="Verdana" w:eastAsiaTheme="minorEastAsia" w:hAnsi="Verdana"/>
          <w:iCs/>
          <w:sz w:val="20"/>
          <w:szCs w:val="20"/>
          <w:lang w:val="es-ES"/>
        </w:rPr>
        <w:t xml:space="preserve">derechos civiles y políticos. </w:t>
      </w:r>
      <w:r w:rsidRPr="00E757D1">
        <w:rPr>
          <w:rFonts w:ascii="Verdana" w:hAnsi="Verdana"/>
          <w:sz w:val="20"/>
          <w:szCs w:val="20"/>
          <w:lang w:val="es-ES"/>
        </w:rPr>
        <w:t xml:space="preserve">La respuesta sustentada en la buena fe no puede ser otra que la Convención contempló que ambos tipos de derechos humanos, si bien están estrechamente vinculados entre sí en razón </w:t>
      </w:r>
      <w:r w:rsidRPr="00E757D1">
        <w:rPr>
          <w:rFonts w:ascii="Verdana" w:hAnsi="Verdana"/>
          <w:sz w:val="20"/>
          <w:szCs w:val="20"/>
          <w:lang w:val="es-ES"/>
        </w:rPr>
        <w:lastRenderedPageBreak/>
        <w:t>del ideal al que se aspira, cual es, según su Preámbulo, el de crear las condiciones que permitan su “</w:t>
      </w:r>
      <w:r w:rsidRPr="00E757D1">
        <w:rPr>
          <w:rFonts w:ascii="Verdana" w:hAnsi="Verdana"/>
          <w:i/>
          <w:iCs/>
          <w:sz w:val="20"/>
          <w:szCs w:val="20"/>
          <w:lang w:val="es-ES"/>
        </w:rPr>
        <w:t>goce</w:t>
      </w:r>
      <w:r w:rsidRPr="00E757D1">
        <w:rPr>
          <w:rFonts w:ascii="Verdana" w:hAnsi="Verdana"/>
          <w:sz w:val="20"/>
          <w:szCs w:val="20"/>
          <w:lang w:val="es-ES"/>
        </w:rPr>
        <w:t>”</w:t>
      </w:r>
      <w:r w:rsidRPr="00E757D1">
        <w:rPr>
          <w:rFonts w:ascii="Verdana" w:hAnsi="Verdana"/>
          <w:sz w:val="20"/>
          <w:szCs w:val="20"/>
          <w:vertAlign w:val="superscript"/>
          <w:lang w:val="es-ES"/>
        </w:rPr>
        <w:footnoteReference w:id="22"/>
      </w:r>
      <w:r w:rsidRPr="00E757D1">
        <w:rPr>
          <w:rFonts w:ascii="Verdana" w:hAnsi="Verdana"/>
          <w:sz w:val="20"/>
          <w:szCs w:val="20"/>
          <w:lang w:val="es-ES"/>
        </w:rPr>
        <w:t>, son</w:t>
      </w:r>
      <w:r w:rsidR="00417ED0" w:rsidRPr="00E757D1">
        <w:rPr>
          <w:rFonts w:ascii="Verdana" w:hAnsi="Verdana"/>
          <w:sz w:val="20"/>
          <w:szCs w:val="20"/>
          <w:lang w:val="es-ES"/>
        </w:rPr>
        <w:t>, empero,</w:t>
      </w:r>
      <w:r w:rsidRPr="00E757D1">
        <w:rPr>
          <w:rFonts w:ascii="Verdana" w:hAnsi="Verdana"/>
          <w:sz w:val="20"/>
          <w:szCs w:val="20"/>
          <w:lang w:val="es-ES"/>
        </w:rPr>
        <w:t xml:space="preserve"> distintos y particularmente, de desigual desarrollo en el ámbito del Derecho Internacional Público, por lo que deben tener un tratamiento diferenciado, que es precisamente lo que aquella hace en vista de lo que también indica su Preámbulo</w:t>
      </w:r>
      <w:r w:rsidRPr="00E757D1">
        <w:rPr>
          <w:rFonts w:ascii="Verdana" w:hAnsi="Verdana"/>
          <w:sz w:val="20"/>
          <w:szCs w:val="20"/>
          <w:vertAlign w:val="superscript"/>
          <w:lang w:val="es-ES"/>
        </w:rPr>
        <w:footnoteReference w:id="23"/>
      </w:r>
      <w:r w:rsidRPr="00E757D1">
        <w:rPr>
          <w:rFonts w:ascii="Verdana" w:hAnsi="Verdana"/>
          <w:sz w:val="20"/>
          <w:szCs w:val="20"/>
          <w:lang w:val="es-ES"/>
        </w:rPr>
        <w:t>.</w:t>
      </w:r>
    </w:p>
    <w:p w14:paraId="0CCBD74C" w14:textId="77777777" w:rsidR="00B32626" w:rsidRPr="00E757D1" w:rsidRDefault="00B32626" w:rsidP="00DA5A31">
      <w:pPr>
        <w:pStyle w:val="Prrafodelista"/>
        <w:ind w:left="-270" w:right="-162"/>
        <w:rPr>
          <w:rFonts w:ascii="Verdana" w:eastAsia="Batang" w:hAnsi="Verdana"/>
          <w:iCs/>
          <w:sz w:val="20"/>
          <w:szCs w:val="20"/>
          <w:lang w:val="es-ES"/>
        </w:rPr>
      </w:pPr>
    </w:p>
    <w:p w14:paraId="4BCF63FB" w14:textId="36943E00" w:rsidR="00B32626" w:rsidRPr="00E757D1" w:rsidRDefault="00B32626" w:rsidP="00DA5A31">
      <w:pPr>
        <w:pStyle w:val="Prrafodelista"/>
        <w:numPr>
          <w:ilvl w:val="0"/>
          <w:numId w:val="5"/>
        </w:numPr>
        <w:autoSpaceDE w:val="0"/>
        <w:autoSpaceDN w:val="0"/>
        <w:adjustRightInd w:val="0"/>
        <w:spacing w:line="276" w:lineRule="auto"/>
        <w:ind w:left="-270" w:right="-162" w:firstLine="0"/>
        <w:rPr>
          <w:rFonts w:ascii="Verdana" w:hAnsi="Verdana" w:cs="Times New Roman"/>
          <w:i/>
          <w:sz w:val="20"/>
          <w:szCs w:val="20"/>
          <w:lang w:val="es-ES"/>
        </w:rPr>
      </w:pPr>
      <w:r w:rsidRPr="00E757D1">
        <w:rPr>
          <w:rFonts w:ascii="Verdana" w:eastAsia="Batang" w:hAnsi="Verdana"/>
          <w:iCs/>
          <w:sz w:val="20"/>
          <w:szCs w:val="20"/>
          <w:lang w:val="es-ES"/>
        </w:rPr>
        <w:t>Entonces y al amparo del principio de buena fe, procede subrayar que</w:t>
      </w:r>
      <w:r w:rsidR="00AF78C9" w:rsidRPr="00E757D1">
        <w:rPr>
          <w:rFonts w:ascii="Verdana" w:eastAsia="Batang" w:hAnsi="Verdana"/>
          <w:iCs/>
          <w:sz w:val="20"/>
          <w:szCs w:val="20"/>
          <w:lang w:val="es-ES"/>
        </w:rPr>
        <w:t>,</w:t>
      </w:r>
      <w:r w:rsidRPr="00E757D1">
        <w:rPr>
          <w:rFonts w:ascii="Verdana" w:eastAsia="Batang" w:hAnsi="Verdana"/>
          <w:iCs/>
          <w:sz w:val="20"/>
          <w:szCs w:val="20"/>
          <w:lang w:val="es-ES"/>
        </w:rPr>
        <w:t xml:space="preserve"> de la circunstancia de que en el Preámbulo de la Convención se afirme que la persona debe gozar</w:t>
      </w:r>
      <w:r w:rsidRPr="00E757D1">
        <w:rPr>
          <w:rFonts w:ascii="Verdana" w:hAnsi="Verdana"/>
          <w:sz w:val="20"/>
          <w:szCs w:val="20"/>
          <w:lang w:val="es-ES"/>
        </w:rPr>
        <w:t xml:space="preserve"> de sus derechos económicos, sociales y culturales, tanto como de sus derechos civiles y políticos, no se colige, como lo hace la Sentencia, que el efecto útil del artículo 26 sea que la violación de los derechos a que alude son justiciables ante la Corte, sino que los Estados adopten las providencias pertinentes para hacer progresivamente efectivos dichos derechos. </w:t>
      </w:r>
    </w:p>
    <w:p w14:paraId="2E4445A2" w14:textId="77777777" w:rsidR="00B32626" w:rsidRPr="00E757D1" w:rsidRDefault="00B32626" w:rsidP="00DA5A31">
      <w:pPr>
        <w:ind w:left="-270" w:right="-162"/>
        <w:rPr>
          <w:rFonts w:ascii="Verdana" w:hAnsi="Verdana"/>
          <w:sz w:val="20"/>
          <w:szCs w:val="20"/>
          <w:lang w:val="es-ES"/>
        </w:rPr>
      </w:pPr>
    </w:p>
    <w:p w14:paraId="67940C4D" w14:textId="1F509F97" w:rsidR="00B32626"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Como una acotación adicional, resulta imperioso expresar que es sorprendente que la Sentencia no se haya referido, en parte alguna, a la buena fe como elemento tan esencial como los otros que contempla el art.</w:t>
      </w:r>
      <w:r w:rsidR="00AF78C9" w:rsidRPr="00E757D1">
        <w:rPr>
          <w:rFonts w:ascii="Verdana" w:hAnsi="Verdana"/>
          <w:sz w:val="20"/>
          <w:szCs w:val="20"/>
          <w:lang w:val="es-ES"/>
        </w:rPr>
        <w:t xml:space="preserve"> </w:t>
      </w:r>
      <w:r w:rsidRPr="00E757D1">
        <w:rPr>
          <w:rFonts w:ascii="Verdana" w:hAnsi="Verdana"/>
          <w:sz w:val="20"/>
          <w:szCs w:val="20"/>
          <w:lang w:val="es-ES"/>
        </w:rPr>
        <w:t>31.1</w:t>
      </w:r>
      <w:r w:rsidR="00AF6C0D" w:rsidRPr="00E757D1">
        <w:rPr>
          <w:rFonts w:ascii="Verdana" w:hAnsi="Verdana"/>
          <w:sz w:val="20"/>
          <w:szCs w:val="20"/>
          <w:lang w:val="es-ES"/>
        </w:rPr>
        <w:t xml:space="preserve"> </w:t>
      </w:r>
      <w:r w:rsidRPr="00E757D1">
        <w:rPr>
          <w:rFonts w:ascii="Verdana" w:hAnsi="Verdana"/>
          <w:sz w:val="20"/>
          <w:szCs w:val="20"/>
          <w:lang w:val="es-ES"/>
        </w:rPr>
        <w:t>de la Convención de Viena para la interpretación de los tratados, todos los cuales deben ser empleados simultánea y armoniosamente, sin privilegiar o desmerecer a uno u otro. En el mismo sentido, es también insólito que no suministre ninguna explicación acerca de la inclusión del artículo 26 en un capítulo separado de los derechos políticos y civiles y, en particular, de cuál sería su razón de ser y su efecto útil. La Sentencia no da respuesta alguna en lo que dice relación al motivo o razón de la existencia del artículo 26 en tanto norma diferente a las previstas en cuanto a los derechos civiles y políticos</w:t>
      </w:r>
      <w:r w:rsidR="00B32626" w:rsidRPr="00E757D1">
        <w:rPr>
          <w:rFonts w:ascii="Verdana" w:hAnsi="Verdana"/>
          <w:sz w:val="20"/>
          <w:szCs w:val="20"/>
          <w:lang w:val="es-ES"/>
        </w:rPr>
        <w:t>.</w:t>
      </w:r>
    </w:p>
    <w:p w14:paraId="35A8D757" w14:textId="77777777" w:rsidR="00B32626" w:rsidRPr="00E757D1" w:rsidRDefault="00B32626" w:rsidP="00DA5A31">
      <w:pPr>
        <w:pStyle w:val="Prrafodelista"/>
        <w:ind w:left="-270" w:right="-162"/>
        <w:rPr>
          <w:rFonts w:ascii="Verdana" w:hAnsi="Verdana"/>
          <w:sz w:val="20"/>
          <w:szCs w:val="20"/>
          <w:lang w:val="es-ES"/>
        </w:rPr>
      </w:pPr>
    </w:p>
    <w:p w14:paraId="6BAB79DC" w14:textId="62EBA069" w:rsidR="00447002" w:rsidRPr="00E757D1" w:rsidRDefault="00B32626"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En suma, entonces, la</w:t>
      </w:r>
      <w:r w:rsidR="00447002" w:rsidRPr="00E757D1">
        <w:rPr>
          <w:rFonts w:ascii="Verdana" w:hAnsi="Verdana"/>
          <w:sz w:val="20"/>
          <w:szCs w:val="20"/>
          <w:lang w:val="es-ES"/>
        </w:rPr>
        <w:t xml:space="preserve"> buena fe conduce</w:t>
      </w:r>
      <w:r w:rsidRPr="00E757D1">
        <w:rPr>
          <w:rFonts w:ascii="Verdana" w:hAnsi="Verdana"/>
          <w:sz w:val="20"/>
          <w:szCs w:val="20"/>
          <w:lang w:val="es-ES"/>
        </w:rPr>
        <w:t xml:space="preserve"> </w:t>
      </w:r>
      <w:r w:rsidR="00447002" w:rsidRPr="00E757D1">
        <w:rPr>
          <w:rFonts w:ascii="Verdana" w:hAnsi="Verdana"/>
          <w:sz w:val="20"/>
          <w:szCs w:val="20"/>
          <w:lang w:val="es-ES"/>
        </w:rPr>
        <w:t>a estimar al artículo 26 en su propio mérito, lo que implica que debe ser interpretado, no como reconociendo derechos que no enumera ni desarrolla,</w:t>
      </w:r>
      <w:r w:rsidRPr="00E757D1">
        <w:rPr>
          <w:rFonts w:ascii="Verdana" w:hAnsi="Verdana"/>
          <w:sz w:val="20"/>
          <w:szCs w:val="20"/>
          <w:lang w:val="es-ES"/>
        </w:rPr>
        <w:t xml:space="preserve"> como se hace en autos,</w:t>
      </w:r>
      <w:r w:rsidR="00447002" w:rsidRPr="00E757D1">
        <w:rPr>
          <w:rFonts w:ascii="Verdana" w:hAnsi="Verdana"/>
          <w:sz w:val="20"/>
          <w:szCs w:val="20"/>
          <w:lang w:val="es-ES"/>
        </w:rPr>
        <w:t xml:space="preserve"> sino como remitiendo, para conocerlos, a normas distintas a las de la Convención, como son las de la Carta de la OEA y que, por ende, su efecto útil propio o particular, es, se reitera, que los Estados Partes de la Convención adopten providencias para hacer progresivamente efectivos</w:t>
      </w:r>
      <w:r w:rsidR="00447002" w:rsidRPr="00E757D1">
        <w:rPr>
          <w:rFonts w:ascii="Verdana" w:eastAsia="Batang" w:hAnsi="Verdana"/>
          <w:iCs/>
          <w:sz w:val="20"/>
          <w:szCs w:val="20"/>
          <w:lang w:val="es-ES"/>
        </w:rPr>
        <w:t xml:space="preserve"> los derechos que se derivan de aquellas normas y todo ello según los recursos disponibles</w:t>
      </w:r>
      <w:r w:rsidR="007D04F2" w:rsidRPr="00E757D1">
        <w:rPr>
          <w:rFonts w:ascii="Verdana" w:eastAsia="Batang" w:hAnsi="Verdana"/>
          <w:iCs/>
          <w:sz w:val="20"/>
          <w:szCs w:val="20"/>
          <w:lang w:val="es-ES"/>
        </w:rPr>
        <w:t>.</w:t>
      </w:r>
    </w:p>
    <w:p w14:paraId="14971F79" w14:textId="11DEF470" w:rsidR="00E9106E" w:rsidRPr="00E757D1" w:rsidRDefault="00E9106E" w:rsidP="00DA5A31">
      <w:pPr>
        <w:spacing w:line="276" w:lineRule="auto"/>
        <w:ind w:left="-270" w:right="-162"/>
        <w:rPr>
          <w:rFonts w:ascii="Verdana" w:hAnsi="Verdana"/>
          <w:sz w:val="20"/>
          <w:szCs w:val="20"/>
          <w:lang w:val="es-ES"/>
        </w:rPr>
      </w:pPr>
    </w:p>
    <w:p w14:paraId="315434B2" w14:textId="014985CA" w:rsidR="008313AC" w:rsidRPr="00E757D1" w:rsidRDefault="008313AC" w:rsidP="00DA5A31">
      <w:pPr>
        <w:pStyle w:val="Prrafodelista"/>
        <w:numPr>
          <w:ilvl w:val="0"/>
          <w:numId w:val="14"/>
        </w:numPr>
        <w:spacing w:line="276" w:lineRule="auto"/>
        <w:ind w:left="-270" w:right="-162" w:firstLine="0"/>
        <w:rPr>
          <w:rFonts w:ascii="Verdana" w:hAnsi="Verdana"/>
          <w:b/>
          <w:bCs/>
          <w:sz w:val="20"/>
          <w:szCs w:val="20"/>
          <w:lang w:val="es-ES"/>
        </w:rPr>
      </w:pPr>
      <w:r w:rsidRPr="00E757D1">
        <w:rPr>
          <w:rFonts w:ascii="Verdana" w:hAnsi="Verdana"/>
          <w:b/>
          <w:bCs/>
          <w:sz w:val="20"/>
          <w:szCs w:val="20"/>
          <w:lang w:val="es-ES"/>
        </w:rPr>
        <w:t xml:space="preserve">Tenor </w:t>
      </w:r>
      <w:r w:rsidR="00D56E83" w:rsidRPr="00E757D1">
        <w:rPr>
          <w:rFonts w:ascii="Verdana" w:hAnsi="Verdana"/>
          <w:b/>
          <w:bCs/>
          <w:sz w:val="20"/>
          <w:szCs w:val="20"/>
          <w:lang w:val="es-ES"/>
        </w:rPr>
        <w:t>literal</w:t>
      </w:r>
      <w:r w:rsidR="00651EC0" w:rsidRPr="00E757D1">
        <w:rPr>
          <w:rFonts w:ascii="Verdana" w:hAnsi="Verdana"/>
          <w:b/>
          <w:bCs/>
          <w:sz w:val="20"/>
          <w:szCs w:val="20"/>
          <w:lang w:val="es-ES"/>
        </w:rPr>
        <w:t>.</w:t>
      </w:r>
    </w:p>
    <w:p w14:paraId="5B93F632" w14:textId="77777777" w:rsidR="008313AC" w:rsidRPr="00E757D1" w:rsidRDefault="008313AC" w:rsidP="00DA5A31">
      <w:pPr>
        <w:pStyle w:val="Prrafodelista"/>
        <w:spacing w:line="276" w:lineRule="auto"/>
        <w:ind w:left="-270" w:right="-162"/>
        <w:rPr>
          <w:rFonts w:ascii="Verdana" w:hAnsi="Verdana"/>
          <w:b/>
          <w:bCs/>
          <w:sz w:val="20"/>
          <w:szCs w:val="20"/>
          <w:lang w:val="es-ES"/>
        </w:rPr>
      </w:pPr>
    </w:p>
    <w:p w14:paraId="584F9B78" w14:textId="590AB176" w:rsidR="00EB0985"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Al interpretar el artículo 26 a la luz</w:t>
      </w:r>
      <w:r w:rsidR="00036658" w:rsidRPr="00E757D1">
        <w:rPr>
          <w:rFonts w:ascii="Verdana" w:hAnsi="Verdana"/>
          <w:sz w:val="20"/>
          <w:szCs w:val="20"/>
          <w:lang w:val="es-ES"/>
        </w:rPr>
        <w:t xml:space="preserve"> de su tenor</w:t>
      </w:r>
      <w:r w:rsidRPr="00E757D1">
        <w:rPr>
          <w:rFonts w:ascii="Verdana" w:hAnsi="Verdana"/>
          <w:sz w:val="20"/>
          <w:szCs w:val="20"/>
          <w:lang w:val="es-ES"/>
        </w:rPr>
        <w:t xml:space="preserve"> literal</w:t>
      </w:r>
      <w:r w:rsidR="00D56E83" w:rsidRPr="00E757D1">
        <w:rPr>
          <w:rFonts w:ascii="Verdana" w:hAnsi="Verdana"/>
          <w:sz w:val="20"/>
          <w:szCs w:val="20"/>
          <w:lang w:val="es-ES"/>
        </w:rPr>
        <w:t xml:space="preserve"> o corriente</w:t>
      </w:r>
      <w:r w:rsidRPr="00E757D1">
        <w:rPr>
          <w:rFonts w:ascii="Verdana" w:hAnsi="Verdana"/>
          <w:sz w:val="20"/>
          <w:szCs w:val="20"/>
          <w:lang w:val="es-ES"/>
        </w:rPr>
        <w:t>, se puede concluir en que dicha norma:</w:t>
      </w:r>
    </w:p>
    <w:p w14:paraId="010C3AC4" w14:textId="77777777" w:rsidR="00EB0985" w:rsidRPr="00E757D1" w:rsidRDefault="00EB0985" w:rsidP="00DA5A31">
      <w:pPr>
        <w:pStyle w:val="Prrafodelista"/>
        <w:ind w:left="-270" w:right="-162"/>
        <w:rPr>
          <w:rFonts w:ascii="Verdana" w:eastAsia="Batang" w:hAnsi="Verdana"/>
          <w:sz w:val="20"/>
          <w:szCs w:val="20"/>
          <w:lang w:val="es-ES"/>
        </w:rPr>
      </w:pPr>
    </w:p>
    <w:p w14:paraId="0B340F47" w14:textId="08A2BBAB" w:rsidR="002E1B45" w:rsidRPr="00E757D1" w:rsidRDefault="00EB0985" w:rsidP="00612664">
      <w:pPr>
        <w:pStyle w:val="Prrafodelista"/>
        <w:numPr>
          <w:ilvl w:val="0"/>
          <w:numId w:val="23"/>
        </w:numPr>
        <w:spacing w:line="276" w:lineRule="auto"/>
        <w:ind w:left="270" w:right="-162" w:hanging="270"/>
        <w:rPr>
          <w:rFonts w:ascii="Verdana" w:hAnsi="Verdana"/>
          <w:sz w:val="20"/>
          <w:szCs w:val="20"/>
          <w:lang w:val="es-ES"/>
        </w:rPr>
      </w:pPr>
      <w:r w:rsidRPr="00E757D1">
        <w:rPr>
          <w:rFonts w:ascii="Verdana" w:eastAsia="Batang" w:hAnsi="Verdana"/>
          <w:sz w:val="20"/>
          <w:szCs w:val="20"/>
          <w:lang w:val="es-ES"/>
        </w:rPr>
        <w:lastRenderedPageBreak/>
        <w:t xml:space="preserve">se encuentra, como única </w:t>
      </w:r>
      <w:r w:rsidR="008313AC" w:rsidRPr="00E757D1">
        <w:rPr>
          <w:rFonts w:ascii="Verdana" w:eastAsia="Batang" w:hAnsi="Verdana"/>
          <w:sz w:val="20"/>
          <w:szCs w:val="20"/>
          <w:lang w:val="es-ES"/>
        </w:rPr>
        <w:t>disposición</w:t>
      </w:r>
      <w:r w:rsidRPr="00E757D1">
        <w:rPr>
          <w:rFonts w:ascii="Verdana" w:eastAsia="Batang" w:hAnsi="Verdana"/>
          <w:sz w:val="20"/>
          <w:szCs w:val="20"/>
          <w:lang w:val="es-ES"/>
        </w:rPr>
        <w:t>, en el Capítulo III, denominado “Derechos Económicos, Sociales y Culturales”</w:t>
      </w:r>
      <w:r w:rsidRPr="00E757D1">
        <w:rPr>
          <w:rFonts w:ascii="Verdana" w:hAnsi="Verdana"/>
          <w:sz w:val="20"/>
          <w:szCs w:val="20"/>
          <w:vertAlign w:val="superscript"/>
          <w:lang w:val="es-ES"/>
        </w:rPr>
        <w:footnoteReference w:id="24"/>
      </w:r>
      <w:r w:rsidRPr="00E757D1">
        <w:rPr>
          <w:rFonts w:ascii="Verdana" w:eastAsia="Batang" w:hAnsi="Verdana"/>
          <w:sz w:val="20"/>
          <w:szCs w:val="20"/>
          <w:lang w:val="es-ES"/>
        </w:rPr>
        <w:t>, de la Parte I, titulada, “</w:t>
      </w:r>
      <w:r w:rsidRPr="00E757D1">
        <w:rPr>
          <w:rFonts w:ascii="Verdana" w:eastAsia="Batang" w:hAnsi="Verdana"/>
          <w:i/>
          <w:iCs/>
          <w:sz w:val="20"/>
          <w:szCs w:val="20"/>
          <w:lang w:val="es-ES"/>
        </w:rPr>
        <w:t>Deberes de los Estados y Derechos Protegidos”</w:t>
      </w:r>
      <w:r w:rsidRPr="00E757D1">
        <w:rPr>
          <w:rFonts w:ascii="Verdana" w:eastAsia="Batang" w:hAnsi="Verdana"/>
          <w:sz w:val="20"/>
          <w:szCs w:val="20"/>
          <w:lang w:val="es-ES"/>
        </w:rPr>
        <w:t>, la que también comprende al Capítulo I “</w:t>
      </w:r>
      <w:r w:rsidRPr="00E757D1">
        <w:rPr>
          <w:rFonts w:ascii="Verdana" w:eastAsia="Batang" w:hAnsi="Verdana"/>
          <w:i/>
          <w:iCs/>
          <w:sz w:val="20"/>
          <w:szCs w:val="20"/>
          <w:lang w:val="es-ES"/>
        </w:rPr>
        <w:t>Enumeración de Deberes</w:t>
      </w:r>
      <w:r w:rsidRPr="00E757D1">
        <w:rPr>
          <w:rFonts w:ascii="Verdana" w:eastAsia="Batang" w:hAnsi="Verdana"/>
          <w:sz w:val="20"/>
          <w:szCs w:val="20"/>
          <w:lang w:val="es-ES"/>
        </w:rPr>
        <w:t>”, su Capítulo II “</w:t>
      </w:r>
      <w:r w:rsidRPr="00E757D1">
        <w:rPr>
          <w:rFonts w:ascii="Verdana" w:eastAsia="Batang" w:hAnsi="Verdana"/>
          <w:i/>
          <w:iCs/>
          <w:sz w:val="20"/>
          <w:szCs w:val="20"/>
          <w:lang w:val="es-ES"/>
        </w:rPr>
        <w:t>Derechos Civiles y Políticos</w:t>
      </w:r>
      <w:r w:rsidRPr="00E757D1">
        <w:rPr>
          <w:rFonts w:ascii="Verdana" w:eastAsia="Batang" w:hAnsi="Verdana"/>
          <w:sz w:val="20"/>
          <w:szCs w:val="20"/>
          <w:lang w:val="es-ES"/>
        </w:rPr>
        <w:t>”</w:t>
      </w:r>
      <w:r w:rsidR="008313AC" w:rsidRPr="00E757D1">
        <w:rPr>
          <w:rFonts w:ascii="Verdana" w:eastAsia="Batang" w:hAnsi="Verdana"/>
          <w:sz w:val="20"/>
          <w:szCs w:val="20"/>
          <w:lang w:val="es-ES"/>
        </w:rPr>
        <w:t xml:space="preserve">; por lo que, en consecuencia, </w:t>
      </w:r>
      <w:r w:rsidRPr="00E757D1">
        <w:rPr>
          <w:rFonts w:ascii="Verdana" w:eastAsia="Batang" w:hAnsi="Verdana"/>
          <w:sz w:val="20"/>
          <w:szCs w:val="20"/>
          <w:lang w:val="es-ES"/>
        </w:rPr>
        <w:t xml:space="preserve">se puede desprender de lo expuesto que es el propio instrumento convencional el que hace una nítida distinción entre los derechos </w:t>
      </w:r>
      <w:bookmarkStart w:id="12" w:name="_Hlk45640573"/>
      <w:r w:rsidR="008313AC" w:rsidRPr="00E757D1">
        <w:rPr>
          <w:rFonts w:ascii="Verdana" w:eastAsia="Batang" w:hAnsi="Verdana"/>
          <w:sz w:val="20"/>
          <w:szCs w:val="20"/>
          <w:lang w:val="es-ES"/>
        </w:rPr>
        <w:t>civiles y políticos y los derechos económicos, sociales y culturales</w:t>
      </w:r>
      <w:r w:rsidRPr="00E757D1">
        <w:rPr>
          <w:rFonts w:ascii="Verdana" w:eastAsia="Batang" w:hAnsi="Verdana"/>
          <w:sz w:val="20"/>
          <w:szCs w:val="20"/>
          <w:lang w:val="es-ES"/>
        </w:rPr>
        <w:t>,</w:t>
      </w:r>
      <w:bookmarkEnd w:id="12"/>
      <w:r w:rsidRPr="00E757D1">
        <w:rPr>
          <w:rFonts w:ascii="Verdana" w:eastAsia="Batang" w:hAnsi="Verdana"/>
          <w:sz w:val="20"/>
          <w:szCs w:val="20"/>
          <w:lang w:val="es-ES"/>
        </w:rPr>
        <w:t xml:space="preserve"> dándoles así a cada una de estas dos últimas categorías de derechos una consideración especial y diferente</w:t>
      </w:r>
      <w:r w:rsidR="008313AC" w:rsidRPr="00E757D1">
        <w:rPr>
          <w:rFonts w:ascii="Verdana" w:eastAsia="Batang" w:hAnsi="Verdana"/>
          <w:sz w:val="20"/>
          <w:szCs w:val="20"/>
          <w:lang w:val="es-ES"/>
        </w:rPr>
        <w:t>;</w:t>
      </w:r>
    </w:p>
    <w:p w14:paraId="585FA8DB" w14:textId="77777777" w:rsidR="002E1B45" w:rsidRPr="00E757D1" w:rsidRDefault="002E1B45" w:rsidP="00612664">
      <w:pPr>
        <w:pStyle w:val="Prrafodelista"/>
        <w:spacing w:line="276" w:lineRule="auto"/>
        <w:ind w:left="270" w:right="-162" w:hanging="270"/>
        <w:rPr>
          <w:rFonts w:ascii="Verdana" w:hAnsi="Verdana"/>
          <w:sz w:val="20"/>
          <w:szCs w:val="20"/>
          <w:lang w:val="es-ES"/>
        </w:rPr>
      </w:pPr>
    </w:p>
    <w:p w14:paraId="729654FF" w14:textId="263F453F" w:rsidR="002E1B45" w:rsidRPr="00E757D1" w:rsidRDefault="00E9106E" w:rsidP="00612664">
      <w:pPr>
        <w:pStyle w:val="Prrafodelista"/>
        <w:numPr>
          <w:ilvl w:val="0"/>
          <w:numId w:val="23"/>
        </w:numPr>
        <w:spacing w:line="276" w:lineRule="auto"/>
        <w:ind w:left="270" w:right="-162" w:hanging="270"/>
        <w:rPr>
          <w:rFonts w:ascii="Verdana" w:hAnsi="Verdana"/>
          <w:sz w:val="20"/>
          <w:szCs w:val="20"/>
          <w:lang w:val="es-ES"/>
        </w:rPr>
      </w:pPr>
      <w:r w:rsidRPr="00E757D1">
        <w:rPr>
          <w:rFonts w:ascii="Verdana" w:eastAsia="Batang" w:hAnsi="Verdana"/>
          <w:sz w:val="20"/>
          <w:szCs w:val="20"/>
          <w:lang w:val="es-ES"/>
        </w:rPr>
        <w:t>no enumera ni detalla o especifica los derechos que alude, tan solo los identifica como los “</w:t>
      </w:r>
      <w:r w:rsidRPr="00E757D1">
        <w:rPr>
          <w:rFonts w:ascii="Verdana" w:eastAsia="Batang" w:hAnsi="Verdana"/>
          <w:i/>
          <w:iCs/>
          <w:sz w:val="20"/>
          <w:szCs w:val="20"/>
          <w:lang w:val="es-ES"/>
        </w:rPr>
        <w:t>que se derivan</w:t>
      </w:r>
      <w:r w:rsidRPr="00E757D1">
        <w:rPr>
          <w:rFonts w:ascii="Verdana" w:hAnsi="Verdana"/>
          <w:i/>
          <w:iCs/>
          <w:sz w:val="20"/>
          <w:szCs w:val="20"/>
          <w:vertAlign w:val="superscript"/>
          <w:lang w:val="es-ES"/>
        </w:rPr>
        <w:footnoteReference w:id="25"/>
      </w:r>
      <w:r w:rsidRPr="00E757D1">
        <w:rPr>
          <w:rFonts w:ascii="Verdana" w:eastAsia="Batang" w:hAnsi="Verdana"/>
          <w:i/>
          <w:iCs/>
          <w:sz w:val="20"/>
          <w:szCs w:val="20"/>
          <w:lang w:val="es-ES"/>
        </w:rPr>
        <w:t xml:space="preserve"> de las normas económicas, sociales y sobre educación, ciencia y cultura, contenidas en la Carta de la</w:t>
      </w:r>
      <w:r w:rsidRPr="00E757D1">
        <w:rPr>
          <w:rFonts w:ascii="Verdana" w:eastAsia="Batang" w:hAnsi="Verdana"/>
          <w:sz w:val="20"/>
          <w:szCs w:val="20"/>
          <w:lang w:val="es-ES"/>
        </w:rPr>
        <w:t>” OEA, vale decir, derechos que se desprenden o se pueden inferir</w:t>
      </w:r>
      <w:r w:rsidRPr="00E757D1">
        <w:rPr>
          <w:rFonts w:ascii="Verdana" w:hAnsi="Verdana"/>
          <w:sz w:val="20"/>
          <w:szCs w:val="20"/>
          <w:vertAlign w:val="superscript"/>
          <w:lang w:val="es-ES"/>
        </w:rPr>
        <w:footnoteReference w:id="26"/>
      </w:r>
      <w:r w:rsidRPr="00E757D1">
        <w:rPr>
          <w:rFonts w:ascii="Verdana" w:eastAsia="Batang" w:hAnsi="Verdana"/>
          <w:sz w:val="20"/>
          <w:szCs w:val="20"/>
          <w:lang w:val="es-ES"/>
        </w:rPr>
        <w:t xml:space="preserve"> de disposiciones de esta última;</w:t>
      </w:r>
    </w:p>
    <w:p w14:paraId="0C47B79F" w14:textId="77777777" w:rsidR="002E1B45" w:rsidRPr="00E757D1" w:rsidRDefault="002E1B45" w:rsidP="00612664">
      <w:pPr>
        <w:pStyle w:val="Prrafodelista"/>
        <w:ind w:left="270" w:right="-162" w:hanging="270"/>
        <w:rPr>
          <w:rFonts w:ascii="Verdana" w:eastAsia="Batang" w:hAnsi="Verdana"/>
          <w:sz w:val="20"/>
          <w:szCs w:val="20"/>
          <w:lang w:val="es-ES"/>
        </w:rPr>
      </w:pPr>
    </w:p>
    <w:p w14:paraId="1870B122" w14:textId="509A4728" w:rsidR="002E1B45" w:rsidRPr="00E757D1" w:rsidRDefault="00E9106E" w:rsidP="00612664">
      <w:pPr>
        <w:pStyle w:val="Prrafodelista"/>
        <w:numPr>
          <w:ilvl w:val="0"/>
          <w:numId w:val="23"/>
        </w:numPr>
        <w:spacing w:line="276" w:lineRule="auto"/>
        <w:ind w:left="270" w:right="-162" w:hanging="270"/>
        <w:rPr>
          <w:rFonts w:ascii="Verdana" w:hAnsi="Verdana"/>
          <w:sz w:val="20"/>
          <w:szCs w:val="20"/>
          <w:lang w:val="es-ES"/>
        </w:rPr>
      </w:pPr>
      <w:r w:rsidRPr="00E757D1">
        <w:rPr>
          <w:rFonts w:ascii="Verdana" w:eastAsia="Batang" w:hAnsi="Verdana"/>
          <w:sz w:val="20"/>
          <w:szCs w:val="20"/>
          <w:lang w:val="es-ES"/>
        </w:rPr>
        <w:t xml:space="preserve">no prescribe el respeto </w:t>
      </w:r>
      <w:r w:rsidR="008313AC" w:rsidRPr="00E757D1">
        <w:rPr>
          <w:rFonts w:ascii="Verdana" w:eastAsia="Batang" w:hAnsi="Verdana"/>
          <w:sz w:val="20"/>
          <w:szCs w:val="20"/>
          <w:lang w:val="es-ES"/>
        </w:rPr>
        <w:t xml:space="preserve">de los derechos a que se refiere ni que se </w:t>
      </w:r>
      <w:r w:rsidRPr="00E757D1">
        <w:rPr>
          <w:rFonts w:ascii="Verdana" w:eastAsia="Batang" w:hAnsi="Verdana"/>
          <w:sz w:val="20"/>
          <w:szCs w:val="20"/>
          <w:lang w:val="es-ES"/>
        </w:rPr>
        <w:t>garantice su respeto</w:t>
      </w:r>
      <w:r w:rsidR="008313AC" w:rsidRPr="00E757D1">
        <w:rPr>
          <w:rFonts w:ascii="Verdana" w:eastAsia="Batang" w:hAnsi="Verdana"/>
          <w:sz w:val="20"/>
          <w:szCs w:val="20"/>
          <w:lang w:val="es-ES"/>
        </w:rPr>
        <w:t>, tampoco los consagra o contempla</w:t>
      </w:r>
      <w:r w:rsidRPr="00E757D1">
        <w:rPr>
          <w:rFonts w:ascii="Verdana" w:eastAsia="Batang" w:hAnsi="Verdana"/>
          <w:sz w:val="20"/>
          <w:szCs w:val="20"/>
          <w:lang w:val="es-ES"/>
        </w:rPr>
        <w:t>;</w:t>
      </w:r>
    </w:p>
    <w:p w14:paraId="364811A3" w14:textId="77777777" w:rsidR="002E1B45" w:rsidRPr="00E757D1" w:rsidRDefault="002E1B45" w:rsidP="00612664">
      <w:pPr>
        <w:pStyle w:val="Prrafodelista"/>
        <w:ind w:left="270" w:right="-162" w:hanging="270"/>
        <w:rPr>
          <w:rFonts w:ascii="Verdana" w:hAnsi="Verdana"/>
          <w:iCs/>
          <w:sz w:val="20"/>
          <w:szCs w:val="20"/>
          <w:lang w:val="es-ES"/>
        </w:rPr>
      </w:pPr>
    </w:p>
    <w:p w14:paraId="44275083" w14:textId="4B17EE97" w:rsidR="002E1B45" w:rsidRPr="00E757D1" w:rsidRDefault="00E9106E" w:rsidP="00612664">
      <w:pPr>
        <w:pStyle w:val="Prrafodelista"/>
        <w:numPr>
          <w:ilvl w:val="0"/>
          <w:numId w:val="23"/>
        </w:numPr>
        <w:spacing w:line="276" w:lineRule="auto"/>
        <w:ind w:left="270" w:right="-162" w:hanging="270"/>
        <w:rPr>
          <w:rFonts w:ascii="Verdana" w:hAnsi="Verdana"/>
          <w:sz w:val="20"/>
          <w:szCs w:val="20"/>
          <w:lang w:val="es-ES"/>
        </w:rPr>
      </w:pPr>
      <w:r w:rsidRPr="00E757D1">
        <w:rPr>
          <w:rFonts w:ascii="Verdana" w:hAnsi="Verdana"/>
          <w:iCs/>
          <w:sz w:val="20"/>
          <w:szCs w:val="20"/>
          <w:lang w:val="es-ES"/>
        </w:rPr>
        <w:t>no hace efectivos o exigibles tales derechos, pues si así lo hubiera querido, lo habría expresado derechamente y sin ambigüedad alguna</w:t>
      </w:r>
      <w:r w:rsidR="002E1B45" w:rsidRPr="00E757D1">
        <w:rPr>
          <w:rFonts w:ascii="Verdana" w:hAnsi="Verdana"/>
          <w:iCs/>
          <w:sz w:val="20"/>
          <w:szCs w:val="20"/>
          <w:lang w:val="es-ES"/>
        </w:rPr>
        <w:t xml:space="preserve">, </w:t>
      </w:r>
      <w:r w:rsidR="009D23A1" w:rsidRPr="00E757D1">
        <w:rPr>
          <w:rFonts w:ascii="Verdana" w:hAnsi="Verdana"/>
          <w:sz w:val="20"/>
          <w:szCs w:val="20"/>
          <w:lang w:val="es-ES"/>
        </w:rPr>
        <w:t>es decir, a contrario de lo que señala la Sentencia, no “</w:t>
      </w:r>
      <w:r w:rsidR="009D23A1" w:rsidRPr="00E757D1">
        <w:rPr>
          <w:rFonts w:ascii="Verdana" w:hAnsi="Verdana"/>
          <w:i/>
          <w:iCs/>
          <w:sz w:val="20"/>
          <w:szCs w:val="20"/>
          <w:lang w:val="es-ES"/>
        </w:rPr>
        <w:t>realiza una remisión directa a las normas económicas, sociales y sobre educación, ciencia y cultura contenidas en la Carta de la OEA</w:t>
      </w:r>
      <w:r w:rsidR="009D23A1" w:rsidRPr="00E757D1">
        <w:rPr>
          <w:rFonts w:ascii="Verdana" w:hAnsi="Verdana"/>
          <w:sz w:val="20"/>
          <w:szCs w:val="20"/>
          <w:lang w:val="es-ES"/>
        </w:rPr>
        <w:t>”</w:t>
      </w:r>
      <w:r w:rsidR="0008754D" w:rsidRPr="00E757D1">
        <w:rPr>
          <w:rStyle w:val="Refdenotaalpie"/>
          <w:rFonts w:ascii="Verdana" w:hAnsi="Verdana"/>
          <w:sz w:val="20"/>
          <w:szCs w:val="20"/>
          <w:lang w:val="es-ES"/>
        </w:rPr>
        <w:footnoteReference w:id="27"/>
      </w:r>
      <w:r w:rsidR="009D23A1" w:rsidRPr="00E757D1">
        <w:rPr>
          <w:rFonts w:ascii="Verdana" w:hAnsi="Verdana"/>
          <w:sz w:val="20"/>
          <w:szCs w:val="20"/>
          <w:lang w:val="es-ES"/>
        </w:rPr>
        <w:t xml:space="preserve">, sino más bien, </w:t>
      </w:r>
      <w:r w:rsidR="00DD022B" w:rsidRPr="00E757D1">
        <w:rPr>
          <w:rFonts w:ascii="Verdana" w:hAnsi="Verdana"/>
          <w:sz w:val="20"/>
          <w:szCs w:val="20"/>
          <w:lang w:val="es-ES"/>
        </w:rPr>
        <w:t>tan solo contempla</w:t>
      </w:r>
      <w:r w:rsidR="009C5D2D" w:rsidRPr="00E757D1">
        <w:rPr>
          <w:rFonts w:ascii="Verdana" w:hAnsi="Verdana"/>
          <w:sz w:val="20"/>
          <w:szCs w:val="20"/>
          <w:lang w:val="es-ES"/>
        </w:rPr>
        <w:t xml:space="preserve">, </w:t>
      </w:r>
      <w:r w:rsidR="00CE3BB1">
        <w:rPr>
          <w:rFonts w:ascii="Verdana" w:hAnsi="Verdana"/>
          <w:sz w:val="20"/>
          <w:szCs w:val="20"/>
          <w:lang w:val="es-ES"/>
        </w:rPr>
        <w:t xml:space="preserve">según los </w:t>
      </w:r>
      <w:r w:rsidR="009C5D2D" w:rsidRPr="00E757D1">
        <w:rPr>
          <w:rFonts w:ascii="Verdana" w:hAnsi="Verdana"/>
          <w:sz w:val="20"/>
          <w:szCs w:val="20"/>
          <w:lang w:val="es-ES"/>
        </w:rPr>
        <w:t>propios términos</w:t>
      </w:r>
      <w:r w:rsidR="00CE3BB1">
        <w:rPr>
          <w:rFonts w:ascii="Verdana" w:hAnsi="Verdana"/>
          <w:sz w:val="20"/>
          <w:szCs w:val="20"/>
          <w:lang w:val="es-ES"/>
        </w:rPr>
        <w:t xml:space="preserve"> de aquella</w:t>
      </w:r>
      <w:r w:rsidR="009C5D2D" w:rsidRPr="00E757D1">
        <w:rPr>
          <w:rFonts w:ascii="Verdana" w:hAnsi="Verdana"/>
          <w:sz w:val="20"/>
          <w:szCs w:val="20"/>
          <w:lang w:val="es-ES"/>
        </w:rPr>
        <w:t>,</w:t>
      </w:r>
      <w:r w:rsidR="00DD022B" w:rsidRPr="00E757D1">
        <w:rPr>
          <w:rFonts w:ascii="Verdana" w:hAnsi="Verdana"/>
          <w:sz w:val="20"/>
          <w:szCs w:val="20"/>
          <w:lang w:val="es-ES"/>
        </w:rPr>
        <w:t xml:space="preserve"> un “</w:t>
      </w:r>
      <w:r w:rsidR="009D23A1" w:rsidRPr="00E757D1">
        <w:rPr>
          <w:rFonts w:ascii="Verdana" w:hAnsi="Verdana"/>
          <w:i/>
          <w:iCs/>
          <w:sz w:val="20"/>
          <w:szCs w:val="20"/>
          <w:lang w:val="es-ES"/>
        </w:rPr>
        <w:t>reconocimiento implícito en</w:t>
      </w:r>
      <w:r w:rsidR="00DD022B" w:rsidRPr="00E757D1">
        <w:rPr>
          <w:rFonts w:ascii="Verdana" w:hAnsi="Verdana"/>
          <w:sz w:val="20"/>
          <w:szCs w:val="20"/>
          <w:lang w:val="es-ES"/>
        </w:rPr>
        <w:t xml:space="preserve">” </w:t>
      </w:r>
      <w:r w:rsidR="00CE3BB1">
        <w:rPr>
          <w:rFonts w:ascii="Verdana" w:hAnsi="Verdana"/>
          <w:sz w:val="20"/>
          <w:szCs w:val="20"/>
          <w:lang w:val="es-ES"/>
        </w:rPr>
        <w:t>e</w:t>
      </w:r>
      <w:r w:rsidR="00DD022B" w:rsidRPr="00E757D1">
        <w:rPr>
          <w:rFonts w:ascii="Verdana" w:hAnsi="Verdana"/>
          <w:sz w:val="20"/>
          <w:szCs w:val="20"/>
          <w:lang w:val="es-ES"/>
        </w:rPr>
        <w:t>sta</w:t>
      </w:r>
      <w:r w:rsidR="00CE3BB1">
        <w:rPr>
          <w:rFonts w:ascii="Verdana" w:hAnsi="Verdana"/>
          <w:sz w:val="20"/>
          <w:szCs w:val="20"/>
          <w:lang w:val="es-ES"/>
        </w:rPr>
        <w:t xml:space="preserve"> última</w:t>
      </w:r>
      <w:r w:rsidR="00DD022B" w:rsidRPr="00E757D1">
        <w:rPr>
          <w:rStyle w:val="Refdenotaalpie"/>
          <w:rFonts w:ascii="Verdana" w:hAnsi="Verdana"/>
          <w:sz w:val="20"/>
          <w:szCs w:val="20"/>
          <w:lang w:val="es-ES"/>
        </w:rPr>
        <w:footnoteReference w:id="28"/>
      </w:r>
      <w:r w:rsidR="00DD022B" w:rsidRPr="00E757D1">
        <w:rPr>
          <w:rFonts w:ascii="Verdana" w:hAnsi="Verdana"/>
          <w:sz w:val="20"/>
          <w:szCs w:val="20"/>
          <w:lang w:val="es-ES"/>
        </w:rPr>
        <w:t>.</w:t>
      </w:r>
    </w:p>
    <w:p w14:paraId="33488E6D" w14:textId="77777777" w:rsidR="002E1B45" w:rsidRPr="00E757D1" w:rsidRDefault="002E1B45" w:rsidP="00612664">
      <w:pPr>
        <w:pStyle w:val="Prrafodelista"/>
        <w:ind w:left="270" w:right="-162" w:hanging="270"/>
        <w:rPr>
          <w:rFonts w:ascii="Verdana" w:hAnsi="Verdana"/>
          <w:sz w:val="20"/>
          <w:szCs w:val="20"/>
          <w:lang w:val="es-ES"/>
        </w:rPr>
      </w:pPr>
    </w:p>
    <w:p w14:paraId="1EDF0273" w14:textId="10FE45C6" w:rsidR="002E1B45" w:rsidRPr="00E757D1" w:rsidRDefault="00E9106E" w:rsidP="00612664">
      <w:pPr>
        <w:pStyle w:val="Prrafodelista"/>
        <w:numPr>
          <w:ilvl w:val="0"/>
          <w:numId w:val="23"/>
        </w:numPr>
        <w:spacing w:line="276" w:lineRule="auto"/>
        <w:ind w:left="270" w:right="-162" w:hanging="270"/>
        <w:rPr>
          <w:rFonts w:ascii="Verdana" w:hAnsi="Verdana"/>
          <w:sz w:val="20"/>
          <w:szCs w:val="20"/>
          <w:lang w:val="es-ES"/>
        </w:rPr>
      </w:pPr>
      <w:r w:rsidRPr="00E757D1">
        <w:rPr>
          <w:rFonts w:ascii="Verdana" w:hAnsi="Verdana"/>
          <w:sz w:val="20"/>
          <w:szCs w:val="20"/>
          <w:lang w:val="es-ES"/>
        </w:rPr>
        <w:t>dispone, en cambio, una obligación de hacer, no de resultado, consistente en que los Estados Partes de la Convención deben “</w:t>
      </w:r>
      <w:r w:rsidRPr="00E757D1">
        <w:rPr>
          <w:rFonts w:ascii="Verdana" w:hAnsi="Verdana"/>
          <w:i/>
          <w:iCs/>
          <w:sz w:val="20"/>
          <w:szCs w:val="20"/>
          <w:lang w:val="es-ES"/>
        </w:rPr>
        <w:t>adoptar providencias, tanto a nivel interno como mediante la cooperación internacional, especialmente económica y técnica, para lograr progresivamente la plena efectividad de los derechos</w:t>
      </w:r>
      <w:r w:rsidRPr="00E757D1">
        <w:rPr>
          <w:rFonts w:ascii="Verdana" w:hAnsi="Verdana"/>
          <w:sz w:val="20"/>
          <w:szCs w:val="20"/>
          <w:lang w:val="es-ES"/>
        </w:rPr>
        <w:t xml:space="preserve">” a que </w:t>
      </w:r>
      <w:r w:rsidR="008313AC" w:rsidRPr="00E757D1">
        <w:rPr>
          <w:rFonts w:ascii="Verdana" w:hAnsi="Verdana"/>
          <w:sz w:val="20"/>
          <w:szCs w:val="20"/>
          <w:lang w:val="es-ES"/>
        </w:rPr>
        <w:t>alude</w:t>
      </w:r>
      <w:r w:rsidRPr="00E757D1">
        <w:rPr>
          <w:rFonts w:ascii="Verdana" w:hAnsi="Verdana"/>
          <w:i/>
          <w:sz w:val="20"/>
          <w:szCs w:val="20"/>
          <w:lang w:val="es-ES"/>
        </w:rPr>
        <w:t>;</w:t>
      </w:r>
    </w:p>
    <w:p w14:paraId="6C6DC353" w14:textId="77777777" w:rsidR="002E1B45" w:rsidRPr="00E757D1" w:rsidRDefault="002E1B45" w:rsidP="00612664">
      <w:pPr>
        <w:pStyle w:val="Prrafodelista"/>
        <w:ind w:left="270" w:right="-162" w:hanging="270"/>
        <w:rPr>
          <w:rFonts w:ascii="Verdana" w:hAnsi="Verdana"/>
          <w:sz w:val="20"/>
          <w:szCs w:val="20"/>
          <w:lang w:val="es-ES"/>
        </w:rPr>
      </w:pPr>
    </w:p>
    <w:p w14:paraId="6154B2D5" w14:textId="74BCFB36" w:rsidR="002E1B45" w:rsidRPr="00E757D1" w:rsidRDefault="00E9106E" w:rsidP="00612664">
      <w:pPr>
        <w:pStyle w:val="Prrafodelista"/>
        <w:numPr>
          <w:ilvl w:val="0"/>
          <w:numId w:val="23"/>
        </w:numPr>
        <w:spacing w:line="276" w:lineRule="auto"/>
        <w:ind w:left="270" w:right="-162" w:hanging="270"/>
        <w:rPr>
          <w:rFonts w:ascii="Verdana" w:hAnsi="Verdana"/>
          <w:sz w:val="20"/>
          <w:szCs w:val="20"/>
          <w:lang w:val="es-ES"/>
        </w:rPr>
      </w:pPr>
      <w:r w:rsidRPr="00E757D1">
        <w:rPr>
          <w:rFonts w:ascii="Verdana" w:hAnsi="Verdana"/>
          <w:sz w:val="20"/>
          <w:szCs w:val="20"/>
          <w:lang w:val="es-ES"/>
        </w:rPr>
        <w:t xml:space="preserve">indica que la obligación de comportamiento que establece se cumple </w:t>
      </w:r>
      <w:r w:rsidRPr="00E757D1">
        <w:rPr>
          <w:rFonts w:ascii="Verdana" w:eastAsia="Batang" w:hAnsi="Verdana"/>
          <w:iCs/>
          <w:sz w:val="20"/>
          <w:szCs w:val="20"/>
          <w:lang w:val="es-ES"/>
        </w:rPr>
        <w:t>“</w:t>
      </w:r>
      <w:r w:rsidRPr="00E757D1">
        <w:rPr>
          <w:rFonts w:ascii="Verdana" w:eastAsia="Batang" w:hAnsi="Verdana"/>
          <w:i/>
          <w:sz w:val="20"/>
          <w:szCs w:val="20"/>
          <w:lang w:val="es-ES"/>
        </w:rPr>
        <w:t>en la medida de los recursos disponibles</w:t>
      </w:r>
      <w:r w:rsidRPr="00E757D1">
        <w:rPr>
          <w:rFonts w:ascii="Verdana" w:hAnsi="Verdana"/>
          <w:i/>
          <w:sz w:val="20"/>
          <w:szCs w:val="20"/>
          <w:lang w:val="es-ES"/>
        </w:rPr>
        <w:t xml:space="preserve">, </w:t>
      </w:r>
      <w:r w:rsidRPr="00E757D1">
        <w:rPr>
          <w:rFonts w:ascii="Verdana" w:eastAsia="Batang" w:hAnsi="Verdana"/>
          <w:i/>
          <w:sz w:val="20"/>
          <w:szCs w:val="20"/>
          <w:lang w:val="es-ES"/>
        </w:rPr>
        <w:t>por vía legislativa u otros medios apropiados</w:t>
      </w:r>
      <w:r w:rsidRPr="00E757D1">
        <w:rPr>
          <w:rFonts w:ascii="Verdana" w:eastAsia="Batang" w:hAnsi="Verdana"/>
          <w:iCs/>
          <w:sz w:val="20"/>
          <w:szCs w:val="20"/>
          <w:lang w:val="es-ES"/>
        </w:rPr>
        <w:t>”</w:t>
      </w:r>
      <w:r w:rsidRPr="00E757D1">
        <w:rPr>
          <w:rFonts w:ascii="Verdana" w:hAnsi="Verdana"/>
          <w:sz w:val="20"/>
          <w:szCs w:val="20"/>
          <w:lang w:val="es-ES"/>
        </w:rPr>
        <w:t xml:space="preserve">, con lo que no sólo refuerza la falta de efectividad de tales derechos, sino que condiciona la posibilidad de cumplir aquella a la existencia de los recursos de que el pertinente Estado disponga para ello; </w:t>
      </w:r>
      <w:bookmarkStart w:id="13" w:name="_Hlk32489506"/>
      <w:r w:rsidRPr="00E757D1">
        <w:rPr>
          <w:rFonts w:ascii="Verdana" w:hAnsi="Verdana"/>
          <w:sz w:val="20"/>
          <w:szCs w:val="20"/>
          <w:lang w:val="es-ES"/>
        </w:rPr>
        <w:t>y</w:t>
      </w:r>
      <w:bookmarkEnd w:id="13"/>
    </w:p>
    <w:p w14:paraId="095D87FC" w14:textId="77777777" w:rsidR="002E1B45" w:rsidRPr="00E757D1" w:rsidRDefault="002E1B45" w:rsidP="00612664">
      <w:pPr>
        <w:pStyle w:val="Prrafodelista"/>
        <w:ind w:left="270" w:right="-162" w:hanging="270"/>
        <w:rPr>
          <w:rFonts w:ascii="Verdana" w:hAnsi="Verdana"/>
          <w:sz w:val="20"/>
          <w:szCs w:val="20"/>
          <w:lang w:val="es-ES"/>
        </w:rPr>
      </w:pPr>
    </w:p>
    <w:p w14:paraId="681040BA" w14:textId="6450398E" w:rsidR="006D484D" w:rsidRPr="00E757D1" w:rsidRDefault="00E9106E" w:rsidP="00612664">
      <w:pPr>
        <w:pStyle w:val="Prrafodelista"/>
        <w:numPr>
          <w:ilvl w:val="0"/>
          <w:numId w:val="23"/>
        </w:numPr>
        <w:spacing w:line="276" w:lineRule="auto"/>
        <w:ind w:left="270" w:right="-162" w:hanging="270"/>
        <w:rPr>
          <w:rFonts w:ascii="Verdana" w:hAnsi="Verdana"/>
          <w:sz w:val="20"/>
          <w:szCs w:val="20"/>
          <w:lang w:val="es-ES"/>
        </w:rPr>
      </w:pPr>
      <w:r w:rsidRPr="00E757D1">
        <w:rPr>
          <w:rFonts w:ascii="Verdana" w:hAnsi="Verdana"/>
          <w:sz w:val="20"/>
          <w:szCs w:val="20"/>
          <w:lang w:val="es-ES"/>
        </w:rPr>
        <w:t>hace depender la adopción de las medidas de que se trata, no sólo de la voluntad unilateral del correspondiente Estado, sino de los acuerdos que él pueda llegar con otros Estados, también soberanos, y con organizaciones internacionales de cooperación.</w:t>
      </w:r>
    </w:p>
    <w:p w14:paraId="3A71810B" w14:textId="1ECE9D62" w:rsidR="00AF2E4B" w:rsidRPr="00E757D1" w:rsidRDefault="000F3317"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eastAsia="Batang" w:hAnsi="Verdana"/>
          <w:sz w:val="20"/>
          <w:szCs w:val="20"/>
          <w:lang w:val="es-ES"/>
        </w:rPr>
        <w:lastRenderedPageBreak/>
        <w:t>I</w:t>
      </w:r>
      <w:r w:rsidR="00E9106E" w:rsidRPr="00E757D1">
        <w:rPr>
          <w:rFonts w:ascii="Verdana" w:eastAsia="Batang" w:hAnsi="Verdana"/>
          <w:sz w:val="20"/>
          <w:szCs w:val="20"/>
          <w:lang w:val="es-ES"/>
        </w:rPr>
        <w:t xml:space="preserve">gualmente se puede concluir en que los derechos en cuestión no son, en términos empleados por la Convención, </w:t>
      </w:r>
      <w:bookmarkStart w:id="14" w:name="_Hlk46311586"/>
      <w:r w:rsidR="00E9106E" w:rsidRPr="00E757D1">
        <w:rPr>
          <w:rFonts w:ascii="Verdana" w:eastAsia="Times" w:hAnsi="Verdana" w:cs="Arial"/>
          <w:sz w:val="20"/>
          <w:szCs w:val="20"/>
          <w:lang w:val="es-ES"/>
        </w:rPr>
        <w:t>“</w:t>
      </w:r>
      <w:r w:rsidR="00E9106E" w:rsidRPr="00E757D1">
        <w:rPr>
          <w:rFonts w:ascii="Verdana" w:eastAsia="Times" w:hAnsi="Verdana" w:cs="Arial"/>
          <w:i/>
          <w:iCs/>
          <w:sz w:val="20"/>
          <w:szCs w:val="20"/>
          <w:lang w:val="es-ES"/>
        </w:rPr>
        <w:t>reconocidos</w:t>
      </w:r>
      <w:r w:rsidR="00E9106E" w:rsidRPr="00E757D1">
        <w:rPr>
          <w:rFonts w:ascii="Verdana" w:eastAsia="Times" w:hAnsi="Verdana" w:cs="Arial"/>
          <w:sz w:val="20"/>
          <w:szCs w:val="20"/>
          <w:lang w:val="es-ES"/>
        </w:rPr>
        <w:t>”</w:t>
      </w:r>
      <w:r w:rsidR="00E9106E" w:rsidRPr="00E757D1">
        <w:rPr>
          <w:rFonts w:ascii="Verdana" w:eastAsia="Times" w:hAnsi="Verdana" w:cs="Arial"/>
          <w:sz w:val="20"/>
          <w:szCs w:val="20"/>
          <w:vertAlign w:val="superscript"/>
          <w:lang w:val="es-ES"/>
        </w:rPr>
        <w:footnoteReference w:id="29"/>
      </w:r>
      <w:r w:rsidR="00E9106E" w:rsidRPr="00E757D1">
        <w:rPr>
          <w:rFonts w:ascii="Verdana" w:eastAsia="Times" w:hAnsi="Verdana" w:cs="Arial"/>
          <w:sz w:val="20"/>
          <w:szCs w:val="20"/>
          <w:lang w:val="es-ES"/>
        </w:rPr>
        <w:t xml:space="preserve">, </w:t>
      </w:r>
      <w:r w:rsidR="00E9106E" w:rsidRPr="00E757D1">
        <w:rPr>
          <w:rFonts w:ascii="Verdana" w:eastAsia="Batang" w:hAnsi="Verdana"/>
          <w:sz w:val="20"/>
          <w:szCs w:val="20"/>
          <w:lang w:val="es-ES"/>
        </w:rPr>
        <w:t>“</w:t>
      </w:r>
      <w:r w:rsidR="00E9106E" w:rsidRPr="00E757D1">
        <w:rPr>
          <w:rFonts w:ascii="Verdana" w:eastAsia="Batang" w:hAnsi="Verdana"/>
          <w:i/>
          <w:iCs/>
          <w:sz w:val="20"/>
          <w:szCs w:val="20"/>
          <w:lang w:val="es-ES"/>
        </w:rPr>
        <w:t>establecidos</w:t>
      </w:r>
      <w:r w:rsidR="00E9106E" w:rsidRPr="00E757D1">
        <w:rPr>
          <w:rFonts w:ascii="Verdana" w:eastAsia="Batang" w:hAnsi="Verdana"/>
          <w:sz w:val="20"/>
          <w:szCs w:val="20"/>
          <w:lang w:val="es-ES"/>
        </w:rPr>
        <w:t>”</w:t>
      </w:r>
      <w:r w:rsidR="00E9106E" w:rsidRPr="00E757D1">
        <w:rPr>
          <w:rFonts w:ascii="Verdana" w:hAnsi="Verdana"/>
          <w:sz w:val="20"/>
          <w:szCs w:val="20"/>
          <w:vertAlign w:val="superscript"/>
          <w:lang w:val="es-ES"/>
        </w:rPr>
        <w:footnoteReference w:id="30"/>
      </w:r>
      <w:r w:rsidR="00E9106E" w:rsidRPr="00E757D1">
        <w:rPr>
          <w:rFonts w:ascii="Verdana" w:eastAsia="Batang" w:hAnsi="Verdana"/>
          <w:sz w:val="20"/>
          <w:szCs w:val="20"/>
          <w:lang w:val="es-ES"/>
        </w:rPr>
        <w:t>, “</w:t>
      </w:r>
      <w:r w:rsidR="00E9106E" w:rsidRPr="00E757D1">
        <w:rPr>
          <w:rFonts w:ascii="Verdana" w:eastAsia="Batang" w:hAnsi="Verdana"/>
          <w:i/>
          <w:iCs/>
          <w:sz w:val="20"/>
          <w:szCs w:val="20"/>
          <w:lang w:val="es-ES"/>
        </w:rPr>
        <w:t>garantizados</w:t>
      </w:r>
      <w:r w:rsidR="00E9106E" w:rsidRPr="00E757D1">
        <w:rPr>
          <w:rFonts w:ascii="Verdana" w:eastAsia="Batang" w:hAnsi="Verdana"/>
          <w:sz w:val="20"/>
          <w:szCs w:val="20"/>
          <w:lang w:val="es-ES"/>
        </w:rPr>
        <w:t>”</w:t>
      </w:r>
      <w:r w:rsidR="00E9106E" w:rsidRPr="00E757D1">
        <w:rPr>
          <w:rFonts w:ascii="Verdana" w:hAnsi="Verdana"/>
          <w:sz w:val="20"/>
          <w:szCs w:val="20"/>
          <w:vertAlign w:val="superscript"/>
          <w:lang w:val="es-ES"/>
        </w:rPr>
        <w:footnoteReference w:id="31"/>
      </w:r>
      <w:r w:rsidR="00E9106E" w:rsidRPr="00E757D1">
        <w:rPr>
          <w:rFonts w:ascii="Verdana" w:eastAsia="Batang" w:hAnsi="Verdana"/>
          <w:sz w:val="20"/>
          <w:szCs w:val="20"/>
          <w:lang w:val="es-ES"/>
        </w:rPr>
        <w:t>, “</w:t>
      </w:r>
      <w:r w:rsidR="00E9106E" w:rsidRPr="00E757D1">
        <w:rPr>
          <w:rFonts w:ascii="Verdana" w:eastAsia="Batang" w:hAnsi="Verdana"/>
          <w:i/>
          <w:iCs/>
          <w:sz w:val="20"/>
          <w:szCs w:val="20"/>
          <w:lang w:val="es-ES"/>
        </w:rPr>
        <w:t>consagrados</w:t>
      </w:r>
      <w:r w:rsidR="00E9106E" w:rsidRPr="00E757D1">
        <w:rPr>
          <w:rFonts w:ascii="Verdana" w:eastAsia="Batang" w:hAnsi="Verdana"/>
          <w:sz w:val="20"/>
          <w:szCs w:val="20"/>
          <w:lang w:val="es-ES"/>
        </w:rPr>
        <w:t>”</w:t>
      </w:r>
      <w:r w:rsidR="00E9106E" w:rsidRPr="00E757D1">
        <w:rPr>
          <w:rFonts w:ascii="Verdana" w:hAnsi="Verdana"/>
          <w:sz w:val="20"/>
          <w:szCs w:val="20"/>
          <w:vertAlign w:val="superscript"/>
          <w:lang w:val="es-ES"/>
        </w:rPr>
        <w:footnoteReference w:id="32"/>
      </w:r>
      <w:r w:rsidR="00E9106E" w:rsidRPr="00E757D1">
        <w:rPr>
          <w:rFonts w:ascii="Verdana" w:eastAsia="Batang" w:hAnsi="Verdana"/>
          <w:sz w:val="20"/>
          <w:szCs w:val="20"/>
          <w:lang w:val="es-ES"/>
        </w:rPr>
        <w:t xml:space="preserve"> o “</w:t>
      </w:r>
      <w:r w:rsidR="00E9106E" w:rsidRPr="00E757D1">
        <w:rPr>
          <w:rFonts w:ascii="Verdana" w:eastAsia="Batang" w:hAnsi="Verdana"/>
          <w:i/>
          <w:iCs/>
          <w:sz w:val="20"/>
          <w:szCs w:val="20"/>
          <w:lang w:val="es-ES"/>
        </w:rPr>
        <w:t>protegidos</w:t>
      </w:r>
      <w:r w:rsidR="00E9106E" w:rsidRPr="00E757D1">
        <w:rPr>
          <w:rFonts w:ascii="Verdana" w:eastAsia="Batang" w:hAnsi="Verdana"/>
          <w:sz w:val="20"/>
          <w:szCs w:val="20"/>
          <w:lang w:val="es-ES"/>
        </w:rPr>
        <w:t>”</w:t>
      </w:r>
      <w:r w:rsidR="00E9106E" w:rsidRPr="00E757D1">
        <w:rPr>
          <w:rFonts w:ascii="Verdana" w:hAnsi="Verdana"/>
          <w:sz w:val="20"/>
          <w:szCs w:val="20"/>
          <w:vertAlign w:val="superscript"/>
          <w:lang w:val="es-ES"/>
        </w:rPr>
        <w:footnoteReference w:id="33"/>
      </w:r>
      <w:r w:rsidR="00E9106E" w:rsidRPr="00E757D1">
        <w:rPr>
          <w:rFonts w:ascii="Verdana" w:eastAsia="Batang" w:hAnsi="Verdana"/>
          <w:sz w:val="20"/>
          <w:szCs w:val="20"/>
          <w:lang w:val="es-ES"/>
        </w:rPr>
        <w:t xml:space="preserve"> en o por ella </w:t>
      </w:r>
      <w:bookmarkEnd w:id="14"/>
      <w:r w:rsidR="00E9106E" w:rsidRPr="00E757D1">
        <w:rPr>
          <w:rFonts w:ascii="Verdana" w:eastAsia="Batang" w:hAnsi="Verdana"/>
          <w:sz w:val="20"/>
          <w:szCs w:val="20"/>
          <w:lang w:val="es-ES"/>
        </w:rPr>
        <w:t>y</w:t>
      </w:r>
      <w:r w:rsidR="008441BE" w:rsidRPr="00E757D1">
        <w:rPr>
          <w:rFonts w:ascii="Verdana" w:eastAsia="Batang" w:hAnsi="Verdana"/>
          <w:sz w:val="20"/>
          <w:szCs w:val="20"/>
          <w:lang w:val="es-ES"/>
        </w:rPr>
        <w:t xml:space="preserve"> en relación al </w:t>
      </w:r>
      <w:r w:rsidR="008441BE" w:rsidRPr="00E757D1">
        <w:rPr>
          <w:rFonts w:ascii="Verdana" w:hAnsi="Verdana"/>
          <w:sz w:val="20"/>
          <w:szCs w:val="20"/>
          <w:lang w:val="es-ES"/>
        </w:rPr>
        <w:t>derecho</w:t>
      </w:r>
      <w:r w:rsidR="00DD022B" w:rsidRPr="00E757D1">
        <w:rPr>
          <w:rFonts w:ascii="Verdana" w:hAnsi="Verdana"/>
          <w:sz w:val="20"/>
          <w:szCs w:val="20"/>
          <w:lang w:val="es-ES"/>
        </w:rPr>
        <w:t xml:space="preserve"> a condiciones equitativas y satisfactorias que aseguren la seguridad e higiene </w:t>
      </w:r>
      <w:r w:rsidR="00CE3BB1">
        <w:rPr>
          <w:rFonts w:ascii="Verdana" w:hAnsi="Verdana"/>
          <w:sz w:val="20"/>
          <w:szCs w:val="20"/>
          <w:lang w:val="es-ES"/>
        </w:rPr>
        <w:t xml:space="preserve">en </w:t>
      </w:r>
      <w:r w:rsidR="00DD022B" w:rsidRPr="00E757D1">
        <w:rPr>
          <w:rFonts w:ascii="Verdana" w:hAnsi="Verdana"/>
          <w:sz w:val="20"/>
          <w:szCs w:val="20"/>
          <w:lang w:val="es-ES"/>
        </w:rPr>
        <w:t xml:space="preserve">el trabajo, </w:t>
      </w:r>
      <w:r w:rsidR="008441BE" w:rsidRPr="00E757D1">
        <w:rPr>
          <w:rFonts w:ascii="Verdana" w:hAnsi="Verdana"/>
          <w:sz w:val="20"/>
          <w:szCs w:val="20"/>
          <w:lang w:val="es-ES"/>
        </w:rPr>
        <w:t xml:space="preserve">tampoco </w:t>
      </w:r>
      <w:r w:rsidR="00DD022B" w:rsidRPr="00E757D1">
        <w:rPr>
          <w:rFonts w:ascii="Verdana" w:hAnsi="Verdana"/>
          <w:sz w:val="20"/>
          <w:szCs w:val="20"/>
          <w:lang w:val="es-ES"/>
        </w:rPr>
        <w:t>es</w:t>
      </w:r>
      <w:r w:rsidR="008441BE" w:rsidRPr="00E757D1">
        <w:rPr>
          <w:rFonts w:ascii="Verdana" w:hAnsi="Verdana"/>
          <w:sz w:val="20"/>
          <w:szCs w:val="20"/>
          <w:lang w:val="es-ES"/>
        </w:rPr>
        <w:t>, como lo indica la Sentencia,</w:t>
      </w:r>
      <w:r w:rsidR="008441BE" w:rsidRPr="00E757D1">
        <w:rPr>
          <w:rFonts w:ascii="Verdana" w:hAnsi="Verdana"/>
          <w:i/>
          <w:iCs/>
          <w:sz w:val="20"/>
          <w:szCs w:val="20"/>
          <w:lang w:val="es-ES"/>
        </w:rPr>
        <w:t xml:space="preserve"> “</w:t>
      </w:r>
      <w:r w:rsidR="00DD022B" w:rsidRPr="00E757D1">
        <w:rPr>
          <w:rFonts w:ascii="Verdana" w:hAnsi="Verdana"/>
          <w:i/>
          <w:iCs/>
          <w:sz w:val="20"/>
          <w:szCs w:val="20"/>
          <w:lang w:val="es-ES"/>
        </w:rPr>
        <w:t>un derecho protegido por el artículo 26 de la Convención</w:t>
      </w:r>
      <w:r w:rsidR="00E9106E" w:rsidRPr="00E757D1">
        <w:rPr>
          <w:rFonts w:ascii="Verdana" w:eastAsia="Batang" w:hAnsi="Verdana"/>
          <w:sz w:val="20"/>
          <w:szCs w:val="20"/>
          <w:lang w:val="es-ES"/>
        </w:rPr>
        <w:t>”</w:t>
      </w:r>
      <w:r w:rsidR="00E9106E" w:rsidRPr="00E757D1">
        <w:rPr>
          <w:rFonts w:ascii="Verdana" w:hAnsi="Verdana"/>
          <w:sz w:val="20"/>
          <w:szCs w:val="20"/>
          <w:vertAlign w:val="superscript"/>
          <w:lang w:val="es-ES"/>
        </w:rPr>
        <w:footnoteReference w:id="34"/>
      </w:r>
      <w:r w:rsidR="00495782" w:rsidRPr="00E757D1">
        <w:rPr>
          <w:rFonts w:ascii="Verdana" w:eastAsia="Batang" w:hAnsi="Verdana"/>
          <w:sz w:val="20"/>
          <w:szCs w:val="20"/>
          <w:lang w:val="es-ES"/>
        </w:rPr>
        <w:t xml:space="preserve"> o “</w:t>
      </w:r>
      <w:r w:rsidR="00495782" w:rsidRPr="00E757D1">
        <w:rPr>
          <w:rFonts w:ascii="Verdana" w:eastAsia="Batang" w:hAnsi="Verdana"/>
          <w:i/>
          <w:iCs/>
          <w:sz w:val="20"/>
          <w:szCs w:val="20"/>
          <w:lang w:val="es-ES"/>
        </w:rPr>
        <w:t>un derecho reconocido</w:t>
      </w:r>
      <w:r w:rsidR="00495782" w:rsidRPr="00E757D1">
        <w:rPr>
          <w:rFonts w:ascii="Verdana" w:eastAsia="Batang" w:hAnsi="Verdana"/>
          <w:sz w:val="20"/>
          <w:szCs w:val="20"/>
          <w:lang w:val="es-ES"/>
        </w:rPr>
        <w:t xml:space="preserve">” </w:t>
      </w:r>
      <w:r w:rsidR="00DA2183" w:rsidRPr="00E757D1">
        <w:rPr>
          <w:rFonts w:ascii="Verdana" w:eastAsia="Batang" w:hAnsi="Verdana"/>
          <w:sz w:val="20"/>
          <w:szCs w:val="20"/>
          <w:lang w:val="es-ES"/>
        </w:rPr>
        <w:t>por “</w:t>
      </w:r>
      <w:r w:rsidR="00495782" w:rsidRPr="00E757D1">
        <w:rPr>
          <w:rFonts w:ascii="Verdana" w:eastAsia="Batang" w:hAnsi="Verdana"/>
          <w:i/>
          <w:iCs/>
          <w:sz w:val="20"/>
          <w:szCs w:val="20"/>
          <w:lang w:val="es-ES"/>
        </w:rPr>
        <w:t>el artículo 26</w:t>
      </w:r>
      <w:r w:rsidR="00495782" w:rsidRPr="00E757D1">
        <w:rPr>
          <w:rFonts w:ascii="Verdana" w:eastAsia="Batang" w:hAnsi="Verdana"/>
          <w:sz w:val="20"/>
          <w:szCs w:val="20"/>
          <w:lang w:val="es-ES"/>
        </w:rPr>
        <w:t>”</w:t>
      </w:r>
      <w:r w:rsidR="00495782" w:rsidRPr="00E757D1">
        <w:rPr>
          <w:rStyle w:val="Refdenotaalpie"/>
          <w:rFonts w:ascii="Verdana" w:eastAsia="Batang" w:hAnsi="Verdana"/>
          <w:sz w:val="20"/>
          <w:szCs w:val="20"/>
          <w:lang w:val="es-ES"/>
        </w:rPr>
        <w:footnoteReference w:id="35"/>
      </w:r>
      <w:r w:rsidR="00E9106E" w:rsidRPr="00E757D1">
        <w:rPr>
          <w:rFonts w:ascii="Verdana" w:eastAsia="Batang" w:hAnsi="Verdana"/>
          <w:sz w:val="20"/>
          <w:szCs w:val="20"/>
          <w:lang w:val="es-ES"/>
        </w:rPr>
        <w:t xml:space="preserve">, sino que </w:t>
      </w:r>
      <w:r w:rsidR="008441BE" w:rsidRPr="00E757D1">
        <w:rPr>
          <w:rFonts w:ascii="Verdana" w:eastAsia="Batang" w:hAnsi="Verdana"/>
          <w:sz w:val="20"/>
          <w:szCs w:val="20"/>
          <w:lang w:val="es-ES"/>
        </w:rPr>
        <w:t>es un</w:t>
      </w:r>
      <w:r w:rsidR="00E9106E" w:rsidRPr="00E757D1">
        <w:rPr>
          <w:rFonts w:ascii="Verdana" w:eastAsia="Batang" w:hAnsi="Verdana"/>
          <w:sz w:val="20"/>
          <w:szCs w:val="20"/>
          <w:lang w:val="es-ES"/>
        </w:rPr>
        <w:t xml:space="preserve"> derecho que se </w:t>
      </w:r>
      <w:r w:rsidR="00E9106E" w:rsidRPr="00E757D1">
        <w:rPr>
          <w:rFonts w:ascii="Verdana" w:eastAsia="Batang" w:hAnsi="Verdana"/>
          <w:i/>
          <w:iCs/>
          <w:sz w:val="20"/>
          <w:szCs w:val="20"/>
          <w:lang w:val="es-ES"/>
        </w:rPr>
        <w:t>deriva de las normas económicas, sociales y sobre educación, ciencia y cultura, contenidas en la Carta de la</w:t>
      </w:r>
      <w:r w:rsidR="00E9106E" w:rsidRPr="00E757D1">
        <w:rPr>
          <w:rFonts w:ascii="Verdana" w:eastAsia="Batang" w:hAnsi="Verdana"/>
          <w:sz w:val="20"/>
          <w:szCs w:val="20"/>
          <w:lang w:val="es-ES"/>
        </w:rPr>
        <w:t xml:space="preserve"> OEA, es decir, </w:t>
      </w:r>
      <w:r w:rsidR="008441BE" w:rsidRPr="00E757D1">
        <w:rPr>
          <w:rFonts w:ascii="Verdana" w:eastAsia="Batang" w:hAnsi="Verdana"/>
          <w:sz w:val="20"/>
          <w:szCs w:val="20"/>
          <w:lang w:val="es-ES"/>
        </w:rPr>
        <w:t>es un</w:t>
      </w:r>
      <w:r w:rsidR="00E9106E" w:rsidRPr="00E757D1">
        <w:rPr>
          <w:rFonts w:ascii="Verdana" w:eastAsia="Batang" w:hAnsi="Verdana"/>
          <w:sz w:val="20"/>
          <w:szCs w:val="20"/>
          <w:lang w:val="es-ES"/>
        </w:rPr>
        <w:t xml:space="preserve"> derecho que tiene su origen esta última y no en la Convención.</w:t>
      </w:r>
    </w:p>
    <w:p w14:paraId="62408F4C" w14:textId="77777777" w:rsidR="00AF2E4B" w:rsidRPr="00E757D1" w:rsidRDefault="00AF2E4B" w:rsidP="00DA5A31">
      <w:pPr>
        <w:pStyle w:val="Prrafodelista"/>
        <w:spacing w:line="276" w:lineRule="auto"/>
        <w:ind w:left="-270" w:right="-162"/>
        <w:rPr>
          <w:rFonts w:ascii="Verdana" w:hAnsi="Verdana"/>
          <w:sz w:val="20"/>
          <w:szCs w:val="20"/>
          <w:lang w:val="es-ES"/>
        </w:rPr>
      </w:pPr>
    </w:p>
    <w:p w14:paraId="7EBAAB20" w14:textId="0EBF5513" w:rsidR="002E4094" w:rsidRPr="00E757D1" w:rsidRDefault="003E05D4"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En síntesis, la Convención no “</w:t>
      </w:r>
      <w:r w:rsidRPr="00E757D1">
        <w:rPr>
          <w:rFonts w:ascii="Verdana" w:hAnsi="Verdana"/>
          <w:i/>
          <w:iCs/>
          <w:sz w:val="20"/>
          <w:szCs w:val="20"/>
          <w:lang w:val="es-ES"/>
        </w:rPr>
        <w:t>realiza</w:t>
      </w:r>
      <w:r w:rsidRPr="00E757D1">
        <w:rPr>
          <w:rFonts w:ascii="Verdana" w:hAnsi="Verdana"/>
          <w:sz w:val="20"/>
          <w:szCs w:val="20"/>
          <w:lang w:val="es-ES"/>
        </w:rPr>
        <w:t>”, como lo afirma la Sentencia, “</w:t>
      </w:r>
      <w:r w:rsidRPr="00E757D1">
        <w:rPr>
          <w:rFonts w:ascii="Verdana" w:hAnsi="Verdana"/>
          <w:i/>
          <w:iCs/>
          <w:sz w:val="20"/>
          <w:szCs w:val="20"/>
          <w:lang w:val="es-ES"/>
        </w:rPr>
        <w:t>una remisión directa a las normas económicas, sociales y sobre educación, ciencia y cultura contenidas en la Carta de la OEA</w:t>
      </w:r>
      <w:r w:rsidRPr="00E757D1">
        <w:rPr>
          <w:rFonts w:ascii="Verdana" w:hAnsi="Verdana"/>
          <w:sz w:val="20"/>
          <w:szCs w:val="20"/>
          <w:lang w:val="es-ES"/>
        </w:rPr>
        <w:t>”, sino que</w:t>
      </w:r>
      <w:r w:rsidR="00DE325D" w:rsidRPr="00E757D1">
        <w:rPr>
          <w:rFonts w:ascii="Verdana" w:hAnsi="Verdana"/>
          <w:sz w:val="20"/>
          <w:szCs w:val="20"/>
          <w:lang w:val="es-ES"/>
        </w:rPr>
        <w:t>, tal como</w:t>
      </w:r>
      <w:r w:rsidR="00AF2E4B" w:rsidRPr="00E757D1">
        <w:rPr>
          <w:rFonts w:ascii="Verdana" w:hAnsi="Verdana"/>
          <w:sz w:val="20"/>
          <w:szCs w:val="20"/>
          <w:lang w:val="es-ES"/>
        </w:rPr>
        <w:t xml:space="preserve"> por lo demás</w:t>
      </w:r>
      <w:r w:rsidRPr="00E757D1">
        <w:rPr>
          <w:rFonts w:ascii="Verdana" w:hAnsi="Verdana"/>
          <w:sz w:val="20"/>
          <w:szCs w:val="20"/>
          <w:lang w:val="es-ES"/>
        </w:rPr>
        <w:t xml:space="preserve"> textualmente </w:t>
      </w:r>
      <w:r w:rsidR="00AF2E4B" w:rsidRPr="00E757D1">
        <w:rPr>
          <w:rFonts w:ascii="Verdana" w:hAnsi="Verdana"/>
          <w:sz w:val="20"/>
          <w:szCs w:val="20"/>
          <w:lang w:val="es-ES"/>
        </w:rPr>
        <w:t xml:space="preserve">aquella lo </w:t>
      </w:r>
      <w:r w:rsidRPr="00E757D1">
        <w:rPr>
          <w:rFonts w:ascii="Verdana" w:hAnsi="Verdana"/>
          <w:sz w:val="20"/>
          <w:szCs w:val="20"/>
          <w:lang w:val="es-ES"/>
        </w:rPr>
        <w:t>indica</w:t>
      </w:r>
      <w:r w:rsidR="00DE325D" w:rsidRPr="00E757D1">
        <w:rPr>
          <w:rFonts w:ascii="Verdana" w:hAnsi="Verdana"/>
          <w:sz w:val="20"/>
          <w:szCs w:val="20"/>
          <w:lang w:val="es-ES"/>
        </w:rPr>
        <w:t>,</w:t>
      </w:r>
      <w:r w:rsidRPr="00E757D1">
        <w:rPr>
          <w:rFonts w:ascii="Verdana" w:hAnsi="Verdana"/>
          <w:sz w:val="20"/>
          <w:szCs w:val="20"/>
          <w:lang w:val="es-ES"/>
        </w:rPr>
        <w:t xml:space="preserve"> los derechos de que se trata </w:t>
      </w:r>
      <w:r w:rsidR="00DE325D" w:rsidRPr="00E757D1">
        <w:rPr>
          <w:rFonts w:ascii="Verdana" w:hAnsi="Verdana"/>
          <w:sz w:val="20"/>
          <w:szCs w:val="20"/>
          <w:lang w:val="es-ES"/>
        </w:rPr>
        <w:t>“</w:t>
      </w:r>
      <w:r w:rsidR="00DE325D" w:rsidRPr="00E757D1">
        <w:rPr>
          <w:rFonts w:ascii="Verdana" w:hAnsi="Verdana"/>
          <w:i/>
          <w:iCs/>
          <w:sz w:val="20"/>
          <w:szCs w:val="20"/>
          <w:lang w:val="es-ES"/>
        </w:rPr>
        <w:t xml:space="preserve">pueden ser derivados interpretativamente del artículo 26”, </w:t>
      </w:r>
      <w:r w:rsidR="00DE325D" w:rsidRPr="00E757D1">
        <w:rPr>
          <w:rFonts w:ascii="Verdana" w:hAnsi="Verdana"/>
          <w:sz w:val="20"/>
          <w:szCs w:val="20"/>
          <w:lang w:val="es-ES"/>
        </w:rPr>
        <w:t>de lo que, por otra parte</w:t>
      </w:r>
      <w:r w:rsidR="00DE325D" w:rsidRPr="00E757D1">
        <w:rPr>
          <w:rFonts w:ascii="Verdana" w:hAnsi="Verdana"/>
          <w:i/>
          <w:iCs/>
          <w:sz w:val="20"/>
          <w:szCs w:val="20"/>
          <w:lang w:val="es-ES"/>
        </w:rPr>
        <w:t xml:space="preserve">, </w:t>
      </w:r>
      <w:r w:rsidR="00DE325D" w:rsidRPr="00E757D1">
        <w:rPr>
          <w:rFonts w:ascii="Verdana" w:hAnsi="Verdana"/>
          <w:sz w:val="20"/>
          <w:szCs w:val="20"/>
          <w:lang w:val="es-ES"/>
        </w:rPr>
        <w:t>se colegiría</w:t>
      </w:r>
      <w:r w:rsidR="00DE325D" w:rsidRPr="00E757D1">
        <w:rPr>
          <w:rFonts w:ascii="Verdana" w:hAnsi="Verdana"/>
          <w:i/>
          <w:iCs/>
          <w:sz w:val="20"/>
          <w:szCs w:val="20"/>
          <w:lang w:val="es-ES"/>
        </w:rPr>
        <w:t xml:space="preserve"> “su existencia y reconocimiento implícito en la Carta</w:t>
      </w:r>
      <w:r w:rsidR="00DE325D" w:rsidRPr="00E757D1">
        <w:rPr>
          <w:rFonts w:ascii="Verdana" w:hAnsi="Verdana"/>
          <w:sz w:val="20"/>
          <w:szCs w:val="20"/>
          <w:lang w:val="es-ES"/>
        </w:rPr>
        <w:t>”</w:t>
      </w:r>
      <w:r w:rsidR="00DE325D" w:rsidRPr="00E757D1">
        <w:rPr>
          <w:rStyle w:val="Refdenotaalpie"/>
          <w:rFonts w:ascii="Verdana" w:hAnsi="Verdana"/>
          <w:sz w:val="20"/>
          <w:szCs w:val="20"/>
          <w:lang w:val="es-ES"/>
        </w:rPr>
        <w:footnoteReference w:id="36"/>
      </w:r>
      <w:r w:rsidR="00DE325D" w:rsidRPr="00E757D1">
        <w:rPr>
          <w:rFonts w:ascii="Verdana" w:hAnsi="Verdana"/>
          <w:sz w:val="20"/>
          <w:szCs w:val="20"/>
          <w:lang w:val="es-ES"/>
        </w:rPr>
        <w:t>. Para determinar esos derechos</w:t>
      </w:r>
      <w:r w:rsidR="00F45042" w:rsidRPr="00E757D1">
        <w:rPr>
          <w:rFonts w:ascii="Verdana" w:hAnsi="Verdana"/>
          <w:sz w:val="20"/>
          <w:szCs w:val="20"/>
          <w:lang w:val="es-ES"/>
        </w:rPr>
        <w:t xml:space="preserve"> y estimarlos como </w:t>
      </w:r>
      <w:r w:rsidR="00F45042" w:rsidRPr="00E757D1">
        <w:rPr>
          <w:rFonts w:ascii="Verdana" w:eastAsia="Times" w:hAnsi="Verdana" w:cs="Arial"/>
          <w:i/>
          <w:iCs/>
          <w:sz w:val="20"/>
          <w:szCs w:val="20"/>
          <w:lang w:val="es-ES"/>
        </w:rPr>
        <w:t>reconocidos</w:t>
      </w:r>
      <w:r w:rsidR="00F45042" w:rsidRPr="00E757D1">
        <w:rPr>
          <w:rFonts w:ascii="Verdana" w:eastAsia="Times" w:hAnsi="Verdana" w:cs="Arial"/>
          <w:sz w:val="20"/>
          <w:szCs w:val="20"/>
          <w:lang w:val="es-ES"/>
        </w:rPr>
        <w:t xml:space="preserve">”, </w:t>
      </w:r>
      <w:r w:rsidR="00F45042" w:rsidRPr="00E757D1">
        <w:rPr>
          <w:rFonts w:ascii="Verdana" w:eastAsia="Batang" w:hAnsi="Verdana"/>
          <w:sz w:val="20"/>
          <w:szCs w:val="20"/>
          <w:lang w:val="es-ES"/>
        </w:rPr>
        <w:t>“</w:t>
      </w:r>
      <w:r w:rsidR="00F45042" w:rsidRPr="00E757D1">
        <w:rPr>
          <w:rFonts w:ascii="Verdana" w:eastAsia="Batang" w:hAnsi="Verdana"/>
          <w:i/>
          <w:iCs/>
          <w:sz w:val="20"/>
          <w:szCs w:val="20"/>
          <w:lang w:val="es-ES"/>
        </w:rPr>
        <w:t>establecidos</w:t>
      </w:r>
      <w:r w:rsidR="00F45042" w:rsidRPr="00E757D1">
        <w:rPr>
          <w:rFonts w:ascii="Verdana" w:eastAsia="Batang" w:hAnsi="Verdana"/>
          <w:sz w:val="20"/>
          <w:szCs w:val="20"/>
          <w:lang w:val="es-ES"/>
        </w:rPr>
        <w:t>”, “</w:t>
      </w:r>
      <w:r w:rsidR="00F45042" w:rsidRPr="00E757D1">
        <w:rPr>
          <w:rFonts w:ascii="Verdana" w:eastAsia="Batang" w:hAnsi="Verdana"/>
          <w:i/>
          <w:iCs/>
          <w:sz w:val="20"/>
          <w:szCs w:val="20"/>
          <w:lang w:val="es-ES"/>
        </w:rPr>
        <w:t>garantizados</w:t>
      </w:r>
      <w:r w:rsidR="00F45042" w:rsidRPr="00E757D1">
        <w:rPr>
          <w:rFonts w:ascii="Verdana" w:eastAsia="Batang" w:hAnsi="Verdana"/>
          <w:sz w:val="20"/>
          <w:szCs w:val="20"/>
          <w:lang w:val="es-ES"/>
        </w:rPr>
        <w:t>”, “</w:t>
      </w:r>
      <w:r w:rsidR="00F45042" w:rsidRPr="00E757D1">
        <w:rPr>
          <w:rFonts w:ascii="Verdana" w:eastAsia="Batang" w:hAnsi="Verdana"/>
          <w:i/>
          <w:iCs/>
          <w:sz w:val="20"/>
          <w:szCs w:val="20"/>
          <w:lang w:val="es-ES"/>
        </w:rPr>
        <w:t>consagrados</w:t>
      </w:r>
      <w:r w:rsidR="00F45042" w:rsidRPr="00E757D1">
        <w:rPr>
          <w:rFonts w:ascii="Verdana" w:eastAsia="Batang" w:hAnsi="Verdana"/>
          <w:sz w:val="20"/>
          <w:szCs w:val="20"/>
          <w:lang w:val="es-ES"/>
        </w:rPr>
        <w:t>” o “</w:t>
      </w:r>
      <w:r w:rsidR="00F45042" w:rsidRPr="00E757D1">
        <w:rPr>
          <w:rFonts w:ascii="Verdana" w:eastAsia="Batang" w:hAnsi="Verdana"/>
          <w:i/>
          <w:iCs/>
          <w:sz w:val="20"/>
          <w:szCs w:val="20"/>
          <w:lang w:val="es-ES"/>
        </w:rPr>
        <w:t>protegidos</w:t>
      </w:r>
      <w:r w:rsidR="00F45042" w:rsidRPr="00E757D1">
        <w:rPr>
          <w:rFonts w:ascii="Verdana" w:eastAsia="Batang" w:hAnsi="Verdana"/>
          <w:sz w:val="20"/>
          <w:szCs w:val="20"/>
          <w:lang w:val="es-ES"/>
        </w:rPr>
        <w:t>” por la Convención,</w:t>
      </w:r>
      <w:r w:rsidR="00F45042" w:rsidRPr="00E757D1">
        <w:rPr>
          <w:rFonts w:ascii="Verdana" w:hAnsi="Verdana"/>
          <w:sz w:val="20"/>
          <w:szCs w:val="20"/>
          <w:lang w:val="es-ES"/>
        </w:rPr>
        <w:t xml:space="preserve"> </w:t>
      </w:r>
      <w:r w:rsidR="00DE325D" w:rsidRPr="00E757D1">
        <w:rPr>
          <w:rFonts w:ascii="Verdana" w:hAnsi="Verdana"/>
          <w:sz w:val="20"/>
          <w:szCs w:val="20"/>
          <w:lang w:val="es-ES"/>
        </w:rPr>
        <w:t xml:space="preserve">sería necesario interpretar las citadas normas de </w:t>
      </w:r>
      <w:r w:rsidR="0008754D" w:rsidRPr="00E757D1">
        <w:rPr>
          <w:rFonts w:ascii="Verdana" w:hAnsi="Verdana"/>
          <w:sz w:val="20"/>
          <w:szCs w:val="20"/>
          <w:lang w:val="es-ES"/>
        </w:rPr>
        <w:t>l</w:t>
      </w:r>
      <w:r w:rsidR="00DE325D" w:rsidRPr="00E757D1">
        <w:rPr>
          <w:rFonts w:ascii="Verdana" w:hAnsi="Verdana"/>
          <w:sz w:val="20"/>
          <w:szCs w:val="20"/>
          <w:lang w:val="es-ES"/>
        </w:rPr>
        <w:t>a Carta de la OE</w:t>
      </w:r>
      <w:r w:rsidR="00F45042" w:rsidRPr="00E757D1">
        <w:rPr>
          <w:rFonts w:ascii="Verdana" w:hAnsi="Verdana"/>
          <w:sz w:val="20"/>
          <w:szCs w:val="20"/>
          <w:lang w:val="es-ES"/>
        </w:rPr>
        <w:t>A,</w:t>
      </w:r>
      <w:r w:rsidR="00DE325D" w:rsidRPr="00E757D1">
        <w:rPr>
          <w:rFonts w:ascii="Verdana" w:hAnsi="Verdana"/>
          <w:sz w:val="20"/>
          <w:szCs w:val="20"/>
          <w:lang w:val="es-ES"/>
        </w:rPr>
        <w:t xml:space="preserve"> derivar de allí </w:t>
      </w:r>
      <w:r w:rsidR="00F45042" w:rsidRPr="00E757D1">
        <w:rPr>
          <w:rFonts w:ascii="Verdana" w:hAnsi="Verdana"/>
          <w:sz w:val="20"/>
          <w:szCs w:val="20"/>
          <w:lang w:val="es-ES"/>
        </w:rPr>
        <w:t xml:space="preserve">los derechos correspondientes y considerarlos, </w:t>
      </w:r>
      <w:r w:rsidR="00F45042" w:rsidRPr="00E757D1">
        <w:rPr>
          <w:rFonts w:ascii="Verdana" w:hAnsi="Verdana"/>
          <w:sz w:val="20"/>
          <w:szCs w:val="20"/>
          <w:lang w:val="es-ES"/>
        </w:rPr>
        <w:lastRenderedPageBreak/>
        <w:t xml:space="preserve">consecuentemente, reconocidos, más no expresamente, sino que solo implícitamente, por </w:t>
      </w:r>
      <w:r w:rsidR="0008754D" w:rsidRPr="00E757D1">
        <w:rPr>
          <w:rFonts w:ascii="Verdana" w:hAnsi="Verdana"/>
          <w:sz w:val="20"/>
          <w:szCs w:val="20"/>
          <w:lang w:val="es-ES"/>
        </w:rPr>
        <w:t>dicho tratado</w:t>
      </w:r>
      <w:r w:rsidR="00F45042" w:rsidRPr="00E757D1">
        <w:rPr>
          <w:rFonts w:ascii="Verdana" w:hAnsi="Verdana"/>
          <w:sz w:val="20"/>
          <w:szCs w:val="20"/>
          <w:lang w:val="es-ES"/>
        </w:rPr>
        <w:t xml:space="preserve">, ejercicios intelectuales </w:t>
      </w:r>
      <w:r w:rsidR="005C2FFC" w:rsidRPr="00E757D1">
        <w:rPr>
          <w:rFonts w:ascii="Verdana" w:hAnsi="Verdana"/>
          <w:sz w:val="20"/>
          <w:szCs w:val="20"/>
          <w:lang w:val="es-ES"/>
        </w:rPr>
        <w:t xml:space="preserve">estos últimos </w:t>
      </w:r>
      <w:r w:rsidR="00F45042" w:rsidRPr="00E757D1">
        <w:rPr>
          <w:rFonts w:ascii="Verdana" w:hAnsi="Verdana"/>
          <w:sz w:val="20"/>
          <w:szCs w:val="20"/>
          <w:lang w:val="es-ES"/>
        </w:rPr>
        <w:t>demasiados alejados de las expresiones directas y claras de la Convención respecto de los derechos a que ella se refiere</w:t>
      </w:r>
      <w:r w:rsidR="00162BD6" w:rsidRPr="00E757D1">
        <w:rPr>
          <w:rFonts w:ascii="Verdana" w:hAnsi="Verdana"/>
          <w:sz w:val="20"/>
          <w:szCs w:val="20"/>
          <w:lang w:val="es-ES"/>
        </w:rPr>
        <w:t>.</w:t>
      </w:r>
      <w:r w:rsidRPr="00E757D1">
        <w:rPr>
          <w:rFonts w:ascii="Verdana" w:hAnsi="Verdana"/>
          <w:sz w:val="20"/>
          <w:szCs w:val="20"/>
          <w:lang w:val="es-ES"/>
        </w:rPr>
        <w:t xml:space="preserve"> </w:t>
      </w:r>
    </w:p>
    <w:p w14:paraId="5A43F22B" w14:textId="77777777" w:rsidR="002E4094" w:rsidRPr="00E757D1" w:rsidRDefault="002E4094" w:rsidP="00DA5A31">
      <w:pPr>
        <w:pStyle w:val="Prrafodelista"/>
        <w:ind w:left="-270" w:right="-162"/>
        <w:rPr>
          <w:rFonts w:ascii="Verdana" w:hAnsi="Verdana"/>
          <w:sz w:val="20"/>
          <w:szCs w:val="20"/>
          <w:lang w:val="es-ES"/>
        </w:rPr>
      </w:pPr>
    </w:p>
    <w:p w14:paraId="0D0B1D8B" w14:textId="5D2F60B7" w:rsidR="002E4094"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Evidentemente, no se puede compartir la</w:t>
      </w:r>
      <w:r w:rsidR="002671FD" w:rsidRPr="00E757D1">
        <w:rPr>
          <w:rFonts w:ascii="Verdana" w:hAnsi="Verdana"/>
          <w:sz w:val="20"/>
          <w:szCs w:val="20"/>
          <w:lang w:val="es-ES"/>
        </w:rPr>
        <w:t xml:space="preserve"> postura adoptada en la Sentencia</w:t>
      </w:r>
      <w:r w:rsidRPr="00E757D1">
        <w:rPr>
          <w:rFonts w:ascii="Verdana" w:hAnsi="Verdana"/>
          <w:sz w:val="20"/>
          <w:szCs w:val="20"/>
          <w:lang w:val="es-ES"/>
        </w:rPr>
        <w:t>, por de pronto, porque el artículo 26 no reconoce derecho alguno</w:t>
      </w:r>
      <w:r w:rsidR="0010676D" w:rsidRPr="00E757D1">
        <w:rPr>
          <w:rFonts w:ascii="Verdana" w:hAnsi="Verdana"/>
          <w:sz w:val="20"/>
          <w:szCs w:val="20"/>
          <w:lang w:val="es-ES"/>
        </w:rPr>
        <w:t>,</w:t>
      </w:r>
      <w:r w:rsidRPr="00E757D1">
        <w:rPr>
          <w:rFonts w:ascii="Verdana" w:hAnsi="Verdana"/>
          <w:sz w:val="20"/>
          <w:szCs w:val="20"/>
          <w:lang w:val="es-ES"/>
        </w:rPr>
        <w:t xml:space="preserve"> sino que se remite a las normas de la OEA que señala</w:t>
      </w:r>
      <w:r w:rsidR="00183EA4" w:rsidRPr="00E757D1">
        <w:rPr>
          <w:rFonts w:ascii="Verdana" w:hAnsi="Verdana"/>
          <w:sz w:val="20"/>
          <w:szCs w:val="20"/>
          <w:lang w:val="es-ES"/>
        </w:rPr>
        <w:t>, de las que, por lo demás</w:t>
      </w:r>
      <w:r w:rsidR="003E05D4" w:rsidRPr="00E757D1">
        <w:rPr>
          <w:rFonts w:ascii="Verdana" w:hAnsi="Verdana"/>
          <w:sz w:val="20"/>
          <w:szCs w:val="20"/>
          <w:lang w:val="es-ES"/>
        </w:rPr>
        <w:t xml:space="preserve"> y a su vez, </w:t>
      </w:r>
      <w:r w:rsidR="00183EA4" w:rsidRPr="00E757D1">
        <w:rPr>
          <w:rFonts w:ascii="Verdana" w:hAnsi="Verdana"/>
          <w:sz w:val="20"/>
          <w:szCs w:val="20"/>
          <w:lang w:val="es-ES"/>
        </w:rPr>
        <w:t>se derivarían derechos</w:t>
      </w:r>
      <w:r w:rsidRPr="00E757D1">
        <w:rPr>
          <w:rFonts w:ascii="Verdana" w:hAnsi="Verdana"/>
          <w:sz w:val="20"/>
          <w:szCs w:val="20"/>
          <w:lang w:val="es-ES"/>
        </w:rPr>
        <w:t xml:space="preserve"> y enseguida, puesto lo que </w:t>
      </w:r>
      <w:r w:rsidR="002671FD" w:rsidRPr="00E757D1">
        <w:rPr>
          <w:rFonts w:ascii="Verdana" w:hAnsi="Verdana"/>
          <w:sz w:val="20"/>
          <w:szCs w:val="20"/>
          <w:lang w:val="es-ES"/>
        </w:rPr>
        <w:t xml:space="preserve">aquella </w:t>
      </w:r>
      <w:r w:rsidRPr="00E757D1">
        <w:rPr>
          <w:rFonts w:ascii="Verdana" w:hAnsi="Verdana"/>
          <w:sz w:val="20"/>
          <w:szCs w:val="20"/>
          <w:lang w:val="es-ES"/>
        </w:rPr>
        <w:t>indica</w:t>
      </w:r>
      <w:r w:rsidR="0010676D" w:rsidRPr="00E757D1">
        <w:rPr>
          <w:rFonts w:ascii="Verdana" w:hAnsi="Verdana"/>
          <w:sz w:val="20"/>
          <w:szCs w:val="20"/>
          <w:lang w:val="es-ES"/>
        </w:rPr>
        <w:t>,</w:t>
      </w:r>
      <w:r w:rsidRPr="00E757D1">
        <w:rPr>
          <w:rFonts w:ascii="Verdana" w:hAnsi="Verdana"/>
          <w:sz w:val="20"/>
          <w:szCs w:val="20"/>
          <w:lang w:val="es-ES"/>
        </w:rPr>
        <w:t xml:space="preserve"> </w:t>
      </w:r>
      <w:r w:rsidR="00160F33" w:rsidRPr="00E757D1">
        <w:rPr>
          <w:rFonts w:ascii="Verdana" w:hAnsi="Verdana"/>
          <w:sz w:val="20"/>
          <w:szCs w:val="20"/>
          <w:lang w:val="es-ES"/>
        </w:rPr>
        <w:t>s</w:t>
      </w:r>
      <w:r w:rsidRPr="00E757D1">
        <w:rPr>
          <w:rFonts w:ascii="Verdana" w:hAnsi="Verdana"/>
          <w:sz w:val="20"/>
          <w:szCs w:val="20"/>
          <w:lang w:val="es-ES"/>
        </w:rPr>
        <w:t xml:space="preserve">e aparta totalmente de lo que norma explícitamente establece, sin suministrar fundamento alguno de su proceder, sino únicamente explicaciones que parecen elaboradas para interpretarlo en </w:t>
      </w:r>
      <w:r w:rsidR="002671FD" w:rsidRPr="00E757D1">
        <w:rPr>
          <w:rFonts w:ascii="Verdana" w:hAnsi="Verdana"/>
          <w:sz w:val="20"/>
          <w:szCs w:val="20"/>
          <w:lang w:val="es-ES"/>
        </w:rPr>
        <w:t xml:space="preserve">abierta </w:t>
      </w:r>
      <w:r w:rsidRPr="00E757D1">
        <w:rPr>
          <w:rFonts w:ascii="Verdana" w:hAnsi="Verdana"/>
          <w:sz w:val="20"/>
          <w:szCs w:val="20"/>
          <w:lang w:val="es-ES"/>
        </w:rPr>
        <w:t xml:space="preserve">contraposición a lo que textual y claramente indica. </w:t>
      </w:r>
    </w:p>
    <w:p w14:paraId="7E791B9C" w14:textId="77777777" w:rsidR="002E4094" w:rsidRPr="00E757D1" w:rsidRDefault="002E4094" w:rsidP="00DA5A31">
      <w:pPr>
        <w:pStyle w:val="Prrafodelista"/>
        <w:ind w:left="-270" w:right="-162"/>
        <w:rPr>
          <w:rFonts w:ascii="Verdana" w:hAnsi="Verdana"/>
          <w:sz w:val="20"/>
          <w:szCs w:val="20"/>
          <w:lang w:val="es-ES"/>
        </w:rPr>
      </w:pPr>
    </w:p>
    <w:p w14:paraId="64376E88" w14:textId="77777777" w:rsidR="002E4094"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Al actuar en esa dirección, indudablemente que la Sentencia hace caso omiso del tenor literal del artículo 26 y, consecuentemente, no aplica armoniosamente a su respecto lo previsto en el artículo 31.1 de la Convención de Viena ni efectúa, en rigor, una interpretación de aquél. Al parecer, el tenor literal de lo pactado no tiene, para la Sentencia</w:t>
      </w:r>
      <w:r w:rsidR="002671FD" w:rsidRPr="00E757D1">
        <w:rPr>
          <w:rFonts w:ascii="Verdana" w:hAnsi="Verdana"/>
          <w:sz w:val="20"/>
          <w:szCs w:val="20"/>
          <w:lang w:val="es-ES"/>
        </w:rPr>
        <w:t>,</w:t>
      </w:r>
      <w:r w:rsidRPr="00E757D1">
        <w:rPr>
          <w:rFonts w:ascii="Verdana" w:hAnsi="Verdana"/>
          <w:sz w:val="20"/>
          <w:szCs w:val="20"/>
          <w:lang w:val="es-ES"/>
        </w:rPr>
        <w:t xml:space="preserve"> relevancia alguna y, por ende, lo considera como un mero formulismo, lo que le posibilita atribuir a dicha disposición un sentido y alcance que escapa con mucho a lo que los Estados expresamente estamparon, como si en realidad quisieron convenir otra cosa, lo que, evidentemente, choca contra toda lógica. </w:t>
      </w:r>
    </w:p>
    <w:p w14:paraId="3D984614" w14:textId="77777777" w:rsidR="002E4094" w:rsidRPr="00E757D1" w:rsidRDefault="002E4094" w:rsidP="00DA5A31">
      <w:pPr>
        <w:pStyle w:val="Prrafodelista"/>
        <w:ind w:left="-270" w:right="-162"/>
        <w:rPr>
          <w:rFonts w:ascii="Verdana" w:hAnsi="Verdana"/>
          <w:sz w:val="20"/>
          <w:szCs w:val="20"/>
          <w:lang w:val="es-ES"/>
        </w:rPr>
      </w:pPr>
    </w:p>
    <w:p w14:paraId="0B1304DE" w14:textId="0A5766AF" w:rsidR="002E4094"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Por el contrario, fundadamente se puede sostener que, de acuerdo a su tenor literal y el principio de buena fe, el artículo 26, por una parte, no plantea varias posibilidades de aplicación, esto es, dudas acerca de su sentido y alcance y que, en consecuencia, justifiquen la interpretación que se aparte ostensiblemente de lo pactado</w:t>
      </w:r>
      <w:r w:rsidR="008E0006" w:rsidRPr="00E757D1">
        <w:rPr>
          <w:rFonts w:ascii="Verdana" w:hAnsi="Verdana"/>
          <w:sz w:val="20"/>
          <w:szCs w:val="20"/>
          <w:lang w:val="es-ES"/>
        </w:rPr>
        <w:t>,</w:t>
      </w:r>
      <w:r w:rsidRPr="00E757D1">
        <w:rPr>
          <w:rFonts w:ascii="Verdana" w:hAnsi="Verdana"/>
          <w:sz w:val="20"/>
          <w:szCs w:val="20"/>
          <w:lang w:val="es-ES"/>
        </w:rPr>
        <w:t xml:space="preserve"> y por la otra, no establece derecho humano alguno y</w:t>
      </w:r>
      <w:r w:rsidR="008E0006" w:rsidRPr="00E757D1">
        <w:rPr>
          <w:rFonts w:ascii="Verdana" w:hAnsi="Verdana"/>
          <w:sz w:val="20"/>
          <w:szCs w:val="20"/>
          <w:lang w:val="es-ES"/>
        </w:rPr>
        <w:t>,</w:t>
      </w:r>
      <w:r w:rsidRPr="00E757D1">
        <w:rPr>
          <w:rFonts w:ascii="Verdana" w:hAnsi="Verdana"/>
          <w:sz w:val="20"/>
          <w:szCs w:val="20"/>
          <w:lang w:val="es-ES"/>
        </w:rPr>
        <w:t xml:space="preserve"> menos aún, que puedan ser exigibles ante la Corte, sino que alude a obligaciones de hacer, no de resultado, asumidas por los Estados Partes de la Convención.</w:t>
      </w:r>
    </w:p>
    <w:p w14:paraId="73AE775C" w14:textId="77777777" w:rsidR="002E4094" w:rsidRPr="00E757D1" w:rsidRDefault="002E4094" w:rsidP="00DA5A31">
      <w:pPr>
        <w:pStyle w:val="Prrafodelista"/>
        <w:ind w:left="-270" w:right="-162"/>
        <w:rPr>
          <w:rFonts w:ascii="Verdana" w:hAnsi="Verdana"/>
          <w:sz w:val="20"/>
          <w:szCs w:val="20"/>
          <w:lang w:val="es-ES"/>
        </w:rPr>
      </w:pPr>
    </w:p>
    <w:p w14:paraId="0803BF64" w14:textId="73B92AD6" w:rsidR="00E9106E"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En definitiva, se puede concluir</w:t>
      </w:r>
      <w:r w:rsidR="00773883" w:rsidRPr="00E757D1">
        <w:rPr>
          <w:rFonts w:ascii="Verdana" w:hAnsi="Verdana"/>
          <w:sz w:val="20"/>
          <w:szCs w:val="20"/>
          <w:lang w:val="es-ES"/>
        </w:rPr>
        <w:t xml:space="preserve">, a contrario de lo que sostiene </w:t>
      </w:r>
      <w:r w:rsidR="0039465E" w:rsidRPr="00E757D1">
        <w:rPr>
          <w:rFonts w:ascii="Verdana" w:hAnsi="Verdana"/>
          <w:sz w:val="20"/>
          <w:szCs w:val="20"/>
          <w:lang w:val="es-ES"/>
        </w:rPr>
        <w:t>en autos</w:t>
      </w:r>
      <w:r w:rsidR="00773883" w:rsidRPr="00E757D1">
        <w:rPr>
          <w:rFonts w:ascii="Verdana" w:hAnsi="Verdana"/>
          <w:sz w:val="20"/>
          <w:szCs w:val="20"/>
          <w:lang w:val="es-ES"/>
        </w:rPr>
        <w:t xml:space="preserve">, </w:t>
      </w:r>
      <w:r w:rsidRPr="00E757D1">
        <w:rPr>
          <w:rFonts w:ascii="Verdana" w:hAnsi="Verdana"/>
          <w:sz w:val="20"/>
          <w:szCs w:val="20"/>
          <w:lang w:val="es-ES"/>
        </w:rPr>
        <w:t xml:space="preserve"> en que, “</w:t>
      </w:r>
      <w:r w:rsidRPr="00E757D1">
        <w:rPr>
          <w:rFonts w:ascii="Verdana" w:hAnsi="Verdana"/>
          <w:i/>
          <w:iCs/>
          <w:sz w:val="20"/>
          <w:szCs w:val="20"/>
          <w:lang w:val="es-ES"/>
        </w:rPr>
        <w:t>confor</w:t>
      </w:r>
      <w:r w:rsidRPr="00E757D1">
        <w:rPr>
          <w:rFonts w:ascii="Verdana" w:hAnsi="Verdana" w:cs="Times New Roman"/>
          <w:i/>
          <w:iCs/>
          <w:sz w:val="20"/>
          <w:szCs w:val="20"/>
          <w:lang w:val="es-ES"/>
        </w:rPr>
        <w:t>me al sentido corriente que haya de atribuirse a los términos del tratado</w:t>
      </w:r>
      <w:r w:rsidRPr="00E757D1">
        <w:rPr>
          <w:rFonts w:ascii="Verdana" w:hAnsi="Verdana" w:cs="Times New Roman"/>
          <w:sz w:val="20"/>
          <w:szCs w:val="20"/>
          <w:lang w:val="es-ES"/>
        </w:rPr>
        <w:t>”, el artículo 26 no constituye título suficiente para recurrir a la Corte en resguardo de los derechos que “</w:t>
      </w:r>
      <w:r w:rsidRPr="00E757D1">
        <w:rPr>
          <w:rFonts w:ascii="Verdana" w:hAnsi="Verdana" w:cs="Times New Roman"/>
          <w:i/>
          <w:iCs/>
          <w:sz w:val="20"/>
          <w:szCs w:val="20"/>
          <w:lang w:val="es-ES"/>
        </w:rPr>
        <w:t>derivan</w:t>
      </w:r>
      <w:r w:rsidRPr="00E757D1">
        <w:rPr>
          <w:rFonts w:ascii="Verdana" w:hAnsi="Verdana" w:cs="Times New Roman"/>
          <w:sz w:val="20"/>
          <w:szCs w:val="20"/>
          <w:lang w:val="es-ES"/>
        </w:rPr>
        <w:t xml:space="preserve">” de la Carta de la OEA y que, por ende, no son </w:t>
      </w:r>
      <w:bookmarkStart w:id="15" w:name="_Hlk33031144"/>
      <w:r w:rsidRPr="00E757D1">
        <w:rPr>
          <w:rFonts w:ascii="Verdana" w:eastAsia="Times" w:hAnsi="Verdana" w:cs="Arial"/>
          <w:sz w:val="20"/>
          <w:szCs w:val="20"/>
          <w:lang w:val="es-ES"/>
        </w:rPr>
        <w:t>“</w:t>
      </w:r>
      <w:r w:rsidRPr="00E757D1">
        <w:rPr>
          <w:rFonts w:ascii="Verdana" w:eastAsia="Times" w:hAnsi="Verdana" w:cs="Arial"/>
          <w:i/>
          <w:iCs/>
          <w:sz w:val="20"/>
          <w:szCs w:val="20"/>
          <w:lang w:val="es-ES"/>
        </w:rPr>
        <w:t>reconocidos</w:t>
      </w:r>
      <w:r w:rsidRPr="00E757D1">
        <w:rPr>
          <w:rFonts w:ascii="Verdana" w:eastAsia="Times" w:hAnsi="Verdana" w:cs="Arial"/>
          <w:sz w:val="20"/>
          <w:szCs w:val="20"/>
          <w:lang w:val="es-ES"/>
        </w:rPr>
        <w:t xml:space="preserve">”, </w:t>
      </w:r>
      <w:r w:rsidRPr="00E757D1">
        <w:rPr>
          <w:rFonts w:ascii="Verdana" w:hAnsi="Verdana"/>
          <w:sz w:val="20"/>
          <w:szCs w:val="20"/>
          <w:lang w:val="es-ES"/>
        </w:rPr>
        <w:t>“</w:t>
      </w:r>
      <w:r w:rsidRPr="00E757D1">
        <w:rPr>
          <w:rFonts w:ascii="Verdana" w:hAnsi="Verdana"/>
          <w:i/>
          <w:iCs/>
          <w:sz w:val="20"/>
          <w:szCs w:val="20"/>
          <w:lang w:val="es-ES"/>
        </w:rPr>
        <w:t>establecidos</w:t>
      </w:r>
      <w:r w:rsidRPr="00E757D1">
        <w:rPr>
          <w:rFonts w:ascii="Verdana" w:hAnsi="Verdana"/>
          <w:sz w:val="20"/>
          <w:szCs w:val="20"/>
          <w:lang w:val="es-ES"/>
        </w:rPr>
        <w:t>”, “</w:t>
      </w:r>
      <w:r w:rsidRPr="00E757D1">
        <w:rPr>
          <w:rFonts w:ascii="Verdana" w:hAnsi="Verdana"/>
          <w:i/>
          <w:iCs/>
          <w:sz w:val="20"/>
          <w:szCs w:val="20"/>
          <w:lang w:val="es-ES"/>
        </w:rPr>
        <w:t>garantizados”, “consagrados” o “protegidos</w:t>
      </w:r>
      <w:r w:rsidRPr="00E757D1">
        <w:rPr>
          <w:rFonts w:ascii="Verdana" w:hAnsi="Verdana"/>
          <w:sz w:val="20"/>
          <w:szCs w:val="20"/>
          <w:lang w:val="es-ES"/>
        </w:rPr>
        <w:t>”</w:t>
      </w:r>
      <w:bookmarkEnd w:id="15"/>
      <w:r w:rsidRPr="00E757D1">
        <w:rPr>
          <w:rFonts w:ascii="Verdana" w:hAnsi="Verdana" w:cs="Times New Roman"/>
          <w:sz w:val="20"/>
          <w:szCs w:val="20"/>
          <w:lang w:val="es-ES"/>
        </w:rPr>
        <w:t xml:space="preserve"> en o por la Convención</w:t>
      </w:r>
      <w:r w:rsidR="00F75BE8" w:rsidRPr="00E757D1">
        <w:rPr>
          <w:rFonts w:ascii="Verdana" w:hAnsi="Verdana" w:cs="Times New Roman"/>
          <w:sz w:val="20"/>
          <w:szCs w:val="20"/>
          <w:lang w:val="es-ES"/>
        </w:rPr>
        <w:t>, los únicos respecto de los que, por su violación son justiciables ante la</w:t>
      </w:r>
      <w:r w:rsidR="00CE3BB1">
        <w:rPr>
          <w:rFonts w:ascii="Verdana" w:hAnsi="Verdana" w:cs="Times New Roman"/>
          <w:sz w:val="20"/>
          <w:szCs w:val="20"/>
          <w:lang w:val="es-ES"/>
        </w:rPr>
        <w:t xml:space="preserve"> instancia jurisdiccional interamericana</w:t>
      </w:r>
      <w:r w:rsidR="00C802C0" w:rsidRPr="00E757D1">
        <w:rPr>
          <w:rFonts w:ascii="Verdana" w:hAnsi="Verdana" w:cs="Times New Roman"/>
          <w:sz w:val="20"/>
          <w:szCs w:val="20"/>
          <w:lang w:val="es-ES"/>
        </w:rPr>
        <w:t>.</w:t>
      </w:r>
    </w:p>
    <w:p w14:paraId="12D21D86" w14:textId="77777777" w:rsidR="00E9106E" w:rsidRPr="00E757D1" w:rsidRDefault="00E9106E" w:rsidP="00DA5A31">
      <w:pPr>
        <w:spacing w:line="276" w:lineRule="auto"/>
        <w:ind w:left="-270" w:right="-162"/>
        <w:contextualSpacing/>
        <w:rPr>
          <w:rFonts w:ascii="Verdana" w:hAnsi="Verdana"/>
          <w:sz w:val="20"/>
          <w:szCs w:val="20"/>
          <w:lang w:val="es-ES"/>
        </w:rPr>
      </w:pPr>
    </w:p>
    <w:p w14:paraId="21C34804" w14:textId="77777777" w:rsidR="00E9106E" w:rsidRPr="00E757D1" w:rsidRDefault="00E9106E" w:rsidP="00DA5A31">
      <w:pPr>
        <w:numPr>
          <w:ilvl w:val="0"/>
          <w:numId w:val="14"/>
        </w:numPr>
        <w:spacing w:line="276" w:lineRule="auto"/>
        <w:ind w:left="-270" w:right="-162" w:firstLine="0"/>
        <w:contextualSpacing/>
        <w:rPr>
          <w:rFonts w:ascii="Verdana" w:hAnsi="Verdana"/>
          <w:b/>
          <w:sz w:val="20"/>
          <w:szCs w:val="20"/>
          <w:lang w:val="es-ES"/>
        </w:rPr>
      </w:pPr>
      <w:r w:rsidRPr="00E757D1">
        <w:rPr>
          <w:rFonts w:ascii="Verdana" w:hAnsi="Verdana"/>
          <w:b/>
          <w:sz w:val="20"/>
          <w:szCs w:val="20"/>
          <w:lang w:val="es-ES"/>
        </w:rPr>
        <w:t>Método subjetivo.</w:t>
      </w:r>
    </w:p>
    <w:p w14:paraId="5BAE8CFB" w14:textId="77777777" w:rsidR="00E9106E" w:rsidRPr="00E757D1" w:rsidRDefault="00E9106E" w:rsidP="00DA5A31">
      <w:pPr>
        <w:spacing w:line="276" w:lineRule="auto"/>
        <w:ind w:left="-270" w:right="-162"/>
        <w:contextualSpacing/>
        <w:rPr>
          <w:rFonts w:ascii="Verdana" w:hAnsi="Verdana"/>
          <w:b/>
          <w:sz w:val="20"/>
          <w:szCs w:val="20"/>
          <w:lang w:val="es-ES"/>
        </w:rPr>
      </w:pPr>
    </w:p>
    <w:p w14:paraId="5263569E" w14:textId="39DC52BC" w:rsidR="00E9106E" w:rsidRPr="00E757D1" w:rsidRDefault="00E9106E" w:rsidP="00DA5A31">
      <w:pPr>
        <w:pStyle w:val="Prrafodelista"/>
        <w:numPr>
          <w:ilvl w:val="0"/>
          <w:numId w:val="5"/>
        </w:numPr>
        <w:spacing w:line="276" w:lineRule="auto"/>
        <w:ind w:left="-270" w:right="-162" w:firstLine="0"/>
        <w:rPr>
          <w:rFonts w:ascii="Verdana" w:hAnsi="Verdana"/>
          <w:b/>
          <w:sz w:val="20"/>
          <w:szCs w:val="20"/>
          <w:lang w:val="es-ES"/>
        </w:rPr>
      </w:pPr>
      <w:r w:rsidRPr="00E757D1">
        <w:rPr>
          <w:rFonts w:ascii="Verdana" w:hAnsi="Verdana"/>
          <w:sz w:val="20"/>
          <w:szCs w:val="20"/>
          <w:lang w:val="es-ES"/>
        </w:rPr>
        <w:t>Al intentar desentrañar la voluntad de l</w:t>
      </w:r>
      <w:r w:rsidR="006234EC" w:rsidRPr="00E757D1">
        <w:rPr>
          <w:rFonts w:ascii="Verdana" w:hAnsi="Verdana"/>
          <w:sz w:val="20"/>
          <w:szCs w:val="20"/>
          <w:lang w:val="es-ES"/>
        </w:rPr>
        <w:t>os</w:t>
      </w:r>
      <w:r w:rsidRPr="00E757D1">
        <w:rPr>
          <w:rFonts w:ascii="Verdana" w:hAnsi="Verdana"/>
          <w:sz w:val="20"/>
          <w:szCs w:val="20"/>
          <w:lang w:val="es-ES"/>
        </w:rPr>
        <w:t xml:space="preserve"> Estados Partes de la Convención respecto del artículo 26, resulta menester referirse, siempre conforme a lo previsto en la Convención de Viena, al contexto de los términos, por lo que se debe aludir al sistema consagrado en la Convención en el cual se inserta dicho artículo, lo que importa que:</w:t>
      </w:r>
    </w:p>
    <w:p w14:paraId="47FED8A5" w14:textId="77777777" w:rsidR="00E9106E" w:rsidRPr="00E757D1" w:rsidRDefault="00E9106E" w:rsidP="00DA5A31">
      <w:pPr>
        <w:spacing w:line="276" w:lineRule="auto"/>
        <w:ind w:left="-270" w:right="-162"/>
        <w:contextualSpacing/>
        <w:rPr>
          <w:rFonts w:ascii="Verdana" w:hAnsi="Verdana"/>
          <w:b/>
          <w:sz w:val="20"/>
          <w:szCs w:val="20"/>
          <w:lang w:val="es-ES"/>
        </w:rPr>
      </w:pPr>
    </w:p>
    <w:p w14:paraId="16CA0557" w14:textId="77777777" w:rsidR="00E9106E" w:rsidRPr="00E757D1" w:rsidRDefault="00E9106E" w:rsidP="007A210D">
      <w:pPr>
        <w:numPr>
          <w:ilvl w:val="0"/>
          <w:numId w:val="2"/>
        </w:numPr>
        <w:spacing w:line="276" w:lineRule="auto"/>
        <w:ind w:left="270" w:right="-162" w:hanging="270"/>
        <w:contextualSpacing/>
        <w:rPr>
          <w:rFonts w:ascii="Verdana" w:hAnsi="Verdana"/>
          <w:sz w:val="20"/>
          <w:szCs w:val="20"/>
          <w:lang w:val="es-ES"/>
        </w:rPr>
      </w:pPr>
      <w:r w:rsidRPr="00E757D1">
        <w:rPr>
          <w:rFonts w:ascii="Verdana" w:hAnsi="Verdana"/>
          <w:sz w:val="20"/>
          <w:szCs w:val="20"/>
          <w:lang w:val="es-ES"/>
        </w:rPr>
        <w:lastRenderedPageBreak/>
        <w:t>dicho sistema está conformado por los deberes y derechos que dispone, los órganos encargados de garantizar su respeto y exigir su cumplimiento y disposiciones concernientes a la Convención</w:t>
      </w:r>
      <w:r w:rsidRPr="00E757D1">
        <w:rPr>
          <w:rFonts w:ascii="Verdana" w:hAnsi="Verdana"/>
          <w:sz w:val="20"/>
          <w:szCs w:val="20"/>
          <w:vertAlign w:val="superscript"/>
          <w:lang w:val="es-ES"/>
        </w:rPr>
        <w:footnoteReference w:id="37"/>
      </w:r>
      <w:r w:rsidRPr="00E757D1">
        <w:rPr>
          <w:rFonts w:ascii="Verdana" w:hAnsi="Verdana"/>
          <w:sz w:val="20"/>
          <w:szCs w:val="20"/>
          <w:lang w:val="es-ES"/>
        </w:rPr>
        <w:t>;</w:t>
      </w:r>
    </w:p>
    <w:p w14:paraId="5F3B9473" w14:textId="77777777" w:rsidR="00E9106E" w:rsidRPr="00E757D1" w:rsidRDefault="00E9106E" w:rsidP="007A210D">
      <w:pPr>
        <w:spacing w:line="276" w:lineRule="auto"/>
        <w:ind w:left="270" w:right="-162" w:hanging="270"/>
        <w:contextualSpacing/>
        <w:rPr>
          <w:rFonts w:ascii="Verdana" w:hAnsi="Verdana"/>
          <w:sz w:val="20"/>
          <w:szCs w:val="20"/>
          <w:lang w:val="es-ES"/>
        </w:rPr>
      </w:pPr>
    </w:p>
    <w:p w14:paraId="0BBAE250" w14:textId="38BC7D06" w:rsidR="00E9106E" w:rsidRPr="00E757D1" w:rsidRDefault="00E9106E" w:rsidP="007A210D">
      <w:pPr>
        <w:numPr>
          <w:ilvl w:val="0"/>
          <w:numId w:val="2"/>
        </w:numPr>
        <w:spacing w:after="120" w:line="276" w:lineRule="auto"/>
        <w:ind w:left="270" w:right="-162" w:hanging="270"/>
        <w:contextualSpacing/>
        <w:rPr>
          <w:rFonts w:ascii="Verdana" w:hAnsi="Verdana"/>
          <w:iCs/>
          <w:sz w:val="20"/>
          <w:szCs w:val="20"/>
          <w:lang w:val="es-ES"/>
        </w:rPr>
      </w:pPr>
      <w:r w:rsidRPr="00E757D1">
        <w:rPr>
          <w:rFonts w:ascii="Verdana" w:hAnsi="Verdana"/>
          <w:sz w:val="20"/>
          <w:szCs w:val="20"/>
          <w:lang w:val="es-ES"/>
        </w:rPr>
        <w:t>en lo relativo a los deberes, ellos son dos, a saber, la “</w:t>
      </w:r>
      <w:r w:rsidRPr="00E757D1">
        <w:rPr>
          <w:rFonts w:ascii="Verdana" w:hAnsi="Verdana"/>
          <w:i/>
          <w:sz w:val="20"/>
          <w:szCs w:val="20"/>
          <w:lang w:val="es-ES"/>
        </w:rPr>
        <w:t>Obligación de Respetar los Derechos</w:t>
      </w:r>
      <w:r w:rsidRPr="00E757D1">
        <w:rPr>
          <w:rFonts w:ascii="Verdana" w:hAnsi="Verdana"/>
          <w:iCs/>
          <w:sz w:val="20"/>
          <w:szCs w:val="20"/>
          <w:lang w:val="es-ES"/>
        </w:rPr>
        <w:t>”</w:t>
      </w:r>
      <w:r w:rsidRPr="00E757D1">
        <w:rPr>
          <w:rFonts w:ascii="Verdana" w:hAnsi="Verdana"/>
          <w:iCs/>
          <w:sz w:val="20"/>
          <w:szCs w:val="20"/>
          <w:vertAlign w:val="superscript"/>
          <w:lang w:val="es-ES"/>
        </w:rPr>
        <w:footnoteReference w:id="38"/>
      </w:r>
      <w:r w:rsidRPr="00E757D1">
        <w:rPr>
          <w:rFonts w:ascii="Verdana" w:hAnsi="Verdana"/>
          <w:iCs/>
          <w:sz w:val="20"/>
          <w:szCs w:val="20"/>
          <w:lang w:val="es-ES"/>
        </w:rPr>
        <w:t xml:space="preserve"> y el “</w:t>
      </w:r>
      <w:r w:rsidRPr="00E757D1">
        <w:rPr>
          <w:rFonts w:ascii="Verdana" w:hAnsi="Verdana"/>
          <w:i/>
          <w:sz w:val="20"/>
          <w:szCs w:val="20"/>
          <w:lang w:val="es-ES"/>
        </w:rPr>
        <w:t>Deber de Adoptar Disposiciones de Derecho Interno</w:t>
      </w:r>
      <w:r w:rsidRPr="00E757D1">
        <w:rPr>
          <w:rFonts w:ascii="Verdana" w:hAnsi="Verdana"/>
          <w:iCs/>
          <w:sz w:val="20"/>
          <w:szCs w:val="20"/>
          <w:lang w:val="es-ES"/>
        </w:rPr>
        <w:t>”</w:t>
      </w:r>
      <w:r w:rsidRPr="00E757D1">
        <w:rPr>
          <w:rFonts w:ascii="Verdana" w:hAnsi="Verdana"/>
          <w:iCs/>
          <w:sz w:val="20"/>
          <w:szCs w:val="20"/>
          <w:vertAlign w:val="superscript"/>
          <w:lang w:val="es-ES"/>
        </w:rPr>
        <w:footnoteReference w:id="39"/>
      </w:r>
      <w:r w:rsidRPr="00E757D1">
        <w:rPr>
          <w:rFonts w:ascii="Verdana" w:hAnsi="Verdana"/>
          <w:iCs/>
          <w:sz w:val="20"/>
          <w:szCs w:val="20"/>
          <w:lang w:val="es-ES"/>
        </w:rPr>
        <w:t xml:space="preserve"> y</w:t>
      </w:r>
      <w:r w:rsidR="00B42899" w:rsidRPr="00E757D1">
        <w:rPr>
          <w:rFonts w:ascii="Verdana" w:hAnsi="Verdana"/>
          <w:iCs/>
          <w:sz w:val="20"/>
          <w:szCs w:val="20"/>
          <w:lang w:val="es-ES"/>
        </w:rPr>
        <w:t>,</w:t>
      </w:r>
      <w:r w:rsidRPr="00E757D1">
        <w:rPr>
          <w:rFonts w:ascii="Verdana" w:hAnsi="Verdana"/>
          <w:iCs/>
          <w:sz w:val="20"/>
          <w:szCs w:val="20"/>
          <w:lang w:val="es-ES"/>
        </w:rPr>
        <w:t xml:space="preserve"> en lo atinente a los derechos, ellos son los “</w:t>
      </w:r>
      <w:r w:rsidRPr="00E757D1">
        <w:rPr>
          <w:rFonts w:ascii="Verdana" w:hAnsi="Verdana"/>
          <w:i/>
          <w:sz w:val="20"/>
          <w:szCs w:val="20"/>
          <w:lang w:val="es-ES"/>
        </w:rPr>
        <w:t>Derechos Civiles y Políticos</w:t>
      </w:r>
      <w:r w:rsidRPr="00E757D1">
        <w:rPr>
          <w:rFonts w:ascii="Verdana" w:hAnsi="Verdana"/>
          <w:iCs/>
          <w:sz w:val="20"/>
          <w:szCs w:val="20"/>
          <w:lang w:val="es-ES"/>
        </w:rPr>
        <w:t>” y los “</w:t>
      </w:r>
      <w:r w:rsidRPr="00E757D1">
        <w:rPr>
          <w:rFonts w:ascii="Verdana" w:hAnsi="Verdana"/>
          <w:i/>
          <w:sz w:val="20"/>
          <w:szCs w:val="20"/>
          <w:lang w:val="es-ES"/>
        </w:rPr>
        <w:t>Derechos Económicos, Sociales y Culturales</w:t>
      </w:r>
      <w:r w:rsidRPr="00E757D1">
        <w:rPr>
          <w:rFonts w:ascii="Verdana" w:hAnsi="Verdana"/>
          <w:iCs/>
          <w:sz w:val="20"/>
          <w:szCs w:val="20"/>
          <w:lang w:val="es-ES"/>
        </w:rPr>
        <w:t>”</w:t>
      </w:r>
      <w:r w:rsidRPr="00E757D1">
        <w:rPr>
          <w:rFonts w:ascii="Verdana" w:hAnsi="Verdana"/>
          <w:iCs/>
          <w:sz w:val="20"/>
          <w:szCs w:val="20"/>
          <w:vertAlign w:val="superscript"/>
          <w:lang w:val="es-ES"/>
        </w:rPr>
        <w:footnoteReference w:id="40"/>
      </w:r>
      <w:r w:rsidRPr="00E757D1">
        <w:rPr>
          <w:rFonts w:ascii="Verdana" w:hAnsi="Verdana"/>
          <w:iCs/>
          <w:sz w:val="20"/>
          <w:szCs w:val="20"/>
          <w:lang w:val="es-ES"/>
        </w:rPr>
        <w:t>; y</w:t>
      </w:r>
    </w:p>
    <w:p w14:paraId="1B88C512" w14:textId="77777777" w:rsidR="00E9106E" w:rsidRPr="00E757D1" w:rsidRDefault="00E9106E" w:rsidP="007A210D">
      <w:pPr>
        <w:spacing w:line="276" w:lineRule="auto"/>
        <w:ind w:left="270" w:right="-162" w:hanging="270"/>
        <w:contextualSpacing/>
        <w:rPr>
          <w:rFonts w:ascii="Verdana" w:hAnsi="Verdana"/>
          <w:sz w:val="20"/>
          <w:szCs w:val="20"/>
          <w:lang w:val="es-ES"/>
        </w:rPr>
      </w:pPr>
    </w:p>
    <w:p w14:paraId="1C0FEB92" w14:textId="4E661604" w:rsidR="00231010" w:rsidRPr="00E757D1" w:rsidRDefault="00E9106E" w:rsidP="007A210D">
      <w:pPr>
        <w:numPr>
          <w:ilvl w:val="0"/>
          <w:numId w:val="2"/>
        </w:numPr>
        <w:spacing w:line="276" w:lineRule="auto"/>
        <w:ind w:left="270" w:right="-162" w:hanging="270"/>
        <w:contextualSpacing/>
        <w:rPr>
          <w:rFonts w:ascii="Verdana" w:hAnsi="Verdana"/>
          <w:sz w:val="20"/>
          <w:szCs w:val="20"/>
          <w:lang w:val="es-ES"/>
        </w:rPr>
      </w:pPr>
      <w:r w:rsidRPr="00E757D1">
        <w:rPr>
          <w:rFonts w:ascii="Verdana" w:hAnsi="Verdana"/>
          <w:sz w:val="20"/>
          <w:szCs w:val="20"/>
          <w:lang w:val="es-ES"/>
        </w:rPr>
        <w:t>en lo pertinente a los órganos, ellos son la Comisión, la Corte</w:t>
      </w:r>
      <w:r w:rsidRPr="00E757D1">
        <w:rPr>
          <w:rFonts w:ascii="Verdana" w:hAnsi="Verdana"/>
          <w:sz w:val="20"/>
          <w:szCs w:val="20"/>
          <w:vertAlign w:val="superscript"/>
          <w:lang w:val="es-ES"/>
        </w:rPr>
        <w:footnoteReference w:id="41"/>
      </w:r>
      <w:r w:rsidRPr="00E757D1">
        <w:rPr>
          <w:rFonts w:ascii="Verdana" w:hAnsi="Verdana"/>
          <w:sz w:val="20"/>
          <w:szCs w:val="20"/>
          <w:lang w:val="es-ES"/>
        </w:rPr>
        <w:t xml:space="preserve"> y la Asamblea General de la OEA, correspondiéndole a la primera la promoción y defensa de los derechos humanos</w:t>
      </w:r>
      <w:r w:rsidRPr="00E757D1">
        <w:rPr>
          <w:rFonts w:ascii="Verdana" w:hAnsi="Verdana"/>
          <w:sz w:val="20"/>
          <w:szCs w:val="20"/>
          <w:vertAlign w:val="superscript"/>
          <w:lang w:val="es-ES"/>
        </w:rPr>
        <w:footnoteReference w:id="42"/>
      </w:r>
      <w:r w:rsidRPr="00E757D1">
        <w:rPr>
          <w:rFonts w:ascii="Verdana" w:hAnsi="Verdana"/>
          <w:sz w:val="20"/>
          <w:szCs w:val="20"/>
          <w:lang w:val="es-ES"/>
        </w:rPr>
        <w:t>, a la segunda, interpretar y aplicar la Convención</w:t>
      </w:r>
      <w:r w:rsidRPr="00E757D1">
        <w:rPr>
          <w:rFonts w:ascii="Verdana" w:hAnsi="Verdana"/>
          <w:sz w:val="20"/>
          <w:szCs w:val="20"/>
          <w:vertAlign w:val="superscript"/>
          <w:lang w:val="es-ES"/>
        </w:rPr>
        <w:footnoteReference w:id="43"/>
      </w:r>
      <w:r w:rsidRPr="00E757D1">
        <w:rPr>
          <w:rFonts w:ascii="Verdana" w:hAnsi="Verdana"/>
          <w:sz w:val="20"/>
          <w:szCs w:val="20"/>
          <w:lang w:val="es-ES"/>
        </w:rPr>
        <w:t xml:space="preserve"> y a la tercera, adoptar las medidas que correspondan para hacer cumplir el pertinente fallo</w:t>
      </w:r>
      <w:r w:rsidRPr="00E757D1">
        <w:rPr>
          <w:rFonts w:ascii="Verdana" w:hAnsi="Verdana"/>
          <w:sz w:val="20"/>
          <w:szCs w:val="20"/>
          <w:vertAlign w:val="superscript"/>
          <w:lang w:val="es-ES"/>
        </w:rPr>
        <w:footnoteReference w:id="44"/>
      </w:r>
      <w:r w:rsidRPr="00E757D1">
        <w:rPr>
          <w:rFonts w:ascii="Verdana" w:hAnsi="Verdana"/>
          <w:sz w:val="20"/>
          <w:szCs w:val="20"/>
          <w:lang w:val="es-ES"/>
        </w:rPr>
        <w:t>;</w:t>
      </w:r>
    </w:p>
    <w:p w14:paraId="29CD08F2" w14:textId="77777777" w:rsidR="00231010" w:rsidRPr="00E757D1" w:rsidRDefault="00231010" w:rsidP="00DA5A31">
      <w:pPr>
        <w:ind w:left="-270" w:right="-162"/>
        <w:rPr>
          <w:rFonts w:ascii="Verdana" w:hAnsi="Verdana"/>
          <w:sz w:val="20"/>
          <w:szCs w:val="20"/>
          <w:lang w:val="es-ES"/>
        </w:rPr>
      </w:pPr>
    </w:p>
    <w:p w14:paraId="683799A0" w14:textId="6DA31B37" w:rsidR="00231010"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 xml:space="preserve">De la interpretación armónica de esas normas, se puede colegir que a los Estados que han reconocido la competencia contenciosa de la Corte, únicamente se les puede requerir, en cuanto al caso que le ha sido sometido a ésta, el debido respeto de los derechos civiles y políticos </w:t>
      </w:r>
      <w:r w:rsidRPr="00E757D1">
        <w:rPr>
          <w:rFonts w:ascii="Verdana" w:eastAsia="Times" w:hAnsi="Verdana" w:cs="Arial"/>
          <w:sz w:val="20"/>
          <w:szCs w:val="20"/>
          <w:lang w:val="es-ES"/>
        </w:rPr>
        <w:t>“</w:t>
      </w:r>
      <w:r w:rsidRPr="00E757D1">
        <w:rPr>
          <w:rFonts w:ascii="Verdana" w:eastAsia="Times" w:hAnsi="Verdana" w:cs="Arial"/>
          <w:i/>
          <w:sz w:val="20"/>
          <w:szCs w:val="20"/>
          <w:lang w:val="es-ES"/>
        </w:rPr>
        <w:t xml:space="preserve">reconocidos”, </w:t>
      </w:r>
      <w:r w:rsidRPr="00E757D1">
        <w:rPr>
          <w:rFonts w:ascii="Verdana" w:hAnsi="Verdana"/>
          <w:i/>
          <w:sz w:val="20"/>
          <w:szCs w:val="20"/>
          <w:lang w:val="es-ES"/>
        </w:rPr>
        <w:t>“establecidos”, “garantizados”, “consagrados” o “protegidos</w:t>
      </w:r>
      <w:r w:rsidRPr="00E757D1">
        <w:rPr>
          <w:rFonts w:ascii="Verdana" w:hAnsi="Verdana"/>
          <w:sz w:val="20"/>
          <w:szCs w:val="20"/>
          <w:lang w:val="es-ES"/>
        </w:rPr>
        <w:t>” por la Convención y además, siempre que eventualmente sea menester, la adopción, “</w:t>
      </w:r>
      <w:r w:rsidRPr="00E757D1">
        <w:rPr>
          <w:rFonts w:ascii="Verdana" w:hAnsi="Verdana"/>
          <w:i/>
          <w:iCs/>
          <w:sz w:val="20"/>
          <w:szCs w:val="20"/>
          <w:lang w:val="es-ES"/>
        </w:rPr>
        <w:t xml:space="preserve">con arreglo a </w:t>
      </w:r>
      <w:r w:rsidRPr="00E757D1">
        <w:rPr>
          <w:rFonts w:ascii="Verdana" w:hAnsi="Verdana"/>
          <w:sz w:val="20"/>
          <w:szCs w:val="20"/>
          <w:lang w:val="es-ES"/>
        </w:rPr>
        <w:t>(los)</w:t>
      </w:r>
      <w:r w:rsidRPr="00E757D1">
        <w:rPr>
          <w:rFonts w:ascii="Verdana" w:hAnsi="Verdana"/>
          <w:i/>
          <w:iCs/>
          <w:sz w:val="20"/>
          <w:szCs w:val="20"/>
          <w:lang w:val="es-ES"/>
        </w:rPr>
        <w:t xml:space="preserve"> procedimientos constitucionales </w:t>
      </w:r>
      <w:r w:rsidRPr="00E757D1">
        <w:rPr>
          <w:rFonts w:ascii="Verdana" w:hAnsi="Verdana"/>
          <w:sz w:val="20"/>
          <w:szCs w:val="20"/>
          <w:lang w:val="es-ES"/>
        </w:rPr>
        <w:t>(del correspondiente Estado)</w:t>
      </w:r>
      <w:r w:rsidRPr="00E757D1">
        <w:rPr>
          <w:rFonts w:ascii="Verdana" w:hAnsi="Verdana"/>
          <w:i/>
          <w:iCs/>
          <w:sz w:val="20"/>
          <w:szCs w:val="20"/>
          <w:lang w:val="es-ES"/>
        </w:rPr>
        <w:t xml:space="preserve"> y a las disposiciones de </w:t>
      </w:r>
      <w:r w:rsidRPr="00E757D1">
        <w:rPr>
          <w:rFonts w:ascii="Verdana" w:hAnsi="Verdana"/>
          <w:sz w:val="20"/>
          <w:szCs w:val="20"/>
          <w:lang w:val="es-ES"/>
        </w:rPr>
        <w:t>(aquella</w:t>
      </w:r>
      <w:r w:rsidRPr="00E757D1">
        <w:rPr>
          <w:rFonts w:ascii="Verdana" w:hAnsi="Verdana"/>
          <w:i/>
          <w:iCs/>
          <w:sz w:val="20"/>
          <w:szCs w:val="20"/>
          <w:lang w:val="es-ES"/>
        </w:rPr>
        <w:t xml:space="preserve">) </w:t>
      </w:r>
      <w:r w:rsidR="00B42899" w:rsidRPr="00E757D1">
        <w:rPr>
          <w:rFonts w:ascii="Verdana" w:hAnsi="Verdana"/>
          <w:i/>
          <w:iCs/>
          <w:sz w:val="20"/>
          <w:szCs w:val="20"/>
          <w:lang w:val="es-ES"/>
        </w:rPr>
        <w:t>[</w:t>
      </w:r>
      <w:r w:rsidRPr="00E757D1">
        <w:rPr>
          <w:rFonts w:ascii="Verdana" w:hAnsi="Verdana"/>
          <w:i/>
          <w:iCs/>
          <w:sz w:val="20"/>
          <w:szCs w:val="20"/>
          <w:lang w:val="es-ES"/>
        </w:rPr>
        <w:t>…</w:t>
      </w:r>
      <w:r w:rsidR="00B42899" w:rsidRPr="00E757D1">
        <w:rPr>
          <w:rFonts w:ascii="Verdana" w:hAnsi="Verdana"/>
          <w:i/>
          <w:iCs/>
          <w:sz w:val="20"/>
          <w:szCs w:val="20"/>
          <w:lang w:val="es-ES"/>
        </w:rPr>
        <w:t>]</w:t>
      </w:r>
      <w:r w:rsidRPr="00E757D1">
        <w:rPr>
          <w:rFonts w:ascii="Verdana" w:hAnsi="Verdana"/>
          <w:i/>
          <w:iCs/>
          <w:sz w:val="20"/>
          <w:szCs w:val="20"/>
          <w:lang w:val="es-ES"/>
        </w:rPr>
        <w:t>, las medidas legislativas o de otro carácter que fueren necesarias para hacer efectivos tales derechos y libertades”.</w:t>
      </w:r>
    </w:p>
    <w:p w14:paraId="7649D459" w14:textId="77777777" w:rsidR="00231010" w:rsidRPr="00E757D1" w:rsidRDefault="00231010" w:rsidP="00DA5A31">
      <w:pPr>
        <w:pStyle w:val="Prrafodelista"/>
        <w:spacing w:line="276" w:lineRule="auto"/>
        <w:ind w:left="-270" w:right="-162"/>
        <w:rPr>
          <w:rFonts w:ascii="Verdana" w:hAnsi="Verdana"/>
          <w:sz w:val="20"/>
          <w:szCs w:val="20"/>
          <w:lang w:val="es-ES"/>
        </w:rPr>
      </w:pPr>
    </w:p>
    <w:p w14:paraId="5E5FBA97" w14:textId="34077165" w:rsidR="00E9106E"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En cambio, respecto de los derechos “</w:t>
      </w:r>
      <w:r w:rsidRPr="00E757D1">
        <w:rPr>
          <w:rFonts w:ascii="Verdana" w:hAnsi="Verdana"/>
          <w:i/>
          <w:iCs/>
          <w:sz w:val="20"/>
          <w:szCs w:val="20"/>
          <w:lang w:val="es-ES"/>
        </w:rPr>
        <w:t>que se derivan de las normas económicas, sociales y sobre educación, ciencia y cultura, contenidas en la Carta de la</w:t>
      </w:r>
      <w:r w:rsidR="00CD4A17" w:rsidRPr="00E757D1">
        <w:rPr>
          <w:rFonts w:ascii="Verdana" w:hAnsi="Verdana"/>
          <w:i/>
          <w:iCs/>
          <w:sz w:val="20"/>
          <w:szCs w:val="20"/>
          <w:lang w:val="es-ES"/>
        </w:rPr>
        <w:t xml:space="preserve">” </w:t>
      </w:r>
      <w:r w:rsidR="00CD4A17" w:rsidRPr="00E757D1">
        <w:rPr>
          <w:rFonts w:ascii="Verdana" w:hAnsi="Verdana"/>
          <w:sz w:val="20"/>
          <w:szCs w:val="20"/>
          <w:lang w:val="es-ES"/>
        </w:rPr>
        <w:t>OEA</w:t>
      </w:r>
      <w:r w:rsidRPr="00E757D1">
        <w:rPr>
          <w:rFonts w:ascii="Verdana" w:hAnsi="Verdana"/>
          <w:sz w:val="20"/>
          <w:szCs w:val="20"/>
          <w:lang w:val="es-ES"/>
        </w:rPr>
        <w:t xml:space="preserve">, </w:t>
      </w:r>
      <w:r w:rsidR="00F4083D" w:rsidRPr="00E757D1">
        <w:rPr>
          <w:rFonts w:ascii="Verdana" w:hAnsi="Verdana"/>
          <w:sz w:val="20"/>
          <w:szCs w:val="20"/>
          <w:lang w:val="es-ES"/>
        </w:rPr>
        <w:t xml:space="preserve">únicamente se puede requerir de los Estados </w:t>
      </w:r>
      <w:r w:rsidRPr="00E757D1">
        <w:rPr>
          <w:rFonts w:ascii="Verdana" w:hAnsi="Verdana"/>
          <w:sz w:val="20"/>
          <w:szCs w:val="20"/>
          <w:lang w:val="es-ES"/>
        </w:rPr>
        <w:t>la adopción “</w:t>
      </w:r>
      <w:r w:rsidRPr="00E757D1">
        <w:rPr>
          <w:rFonts w:ascii="Verdana" w:hAnsi="Verdana"/>
          <w:i/>
          <w:iCs/>
          <w:sz w:val="20"/>
          <w:szCs w:val="20"/>
          <w:lang w:val="es-ES"/>
        </w:rPr>
        <w:t>por vía legislativa u otros medios apropiados</w:t>
      </w:r>
      <w:r w:rsidRPr="00E757D1">
        <w:rPr>
          <w:rFonts w:ascii="Verdana" w:hAnsi="Verdana"/>
          <w:sz w:val="20"/>
          <w:szCs w:val="20"/>
          <w:lang w:val="es-ES"/>
        </w:rPr>
        <w:t>”, de “</w:t>
      </w:r>
      <w:r w:rsidRPr="00E757D1">
        <w:rPr>
          <w:rFonts w:ascii="Verdana" w:hAnsi="Verdana"/>
          <w:i/>
          <w:iCs/>
          <w:sz w:val="20"/>
          <w:szCs w:val="20"/>
          <w:lang w:val="es-ES"/>
        </w:rPr>
        <w:t xml:space="preserve">providencias, tanto a nivel interno como mediante la cooperación internacional, especialmente económica y técnica, para lograr progresivamente </w:t>
      </w:r>
      <w:r w:rsidR="00F4083D" w:rsidRPr="00E757D1">
        <w:rPr>
          <w:rFonts w:ascii="Verdana" w:hAnsi="Verdana"/>
          <w:i/>
          <w:iCs/>
          <w:sz w:val="20"/>
          <w:szCs w:val="20"/>
          <w:lang w:val="es-ES"/>
        </w:rPr>
        <w:t xml:space="preserve">la </w:t>
      </w:r>
      <w:r w:rsidRPr="00E757D1">
        <w:rPr>
          <w:rFonts w:ascii="Verdana" w:hAnsi="Verdana"/>
          <w:i/>
          <w:iCs/>
          <w:sz w:val="20"/>
          <w:szCs w:val="20"/>
          <w:lang w:val="es-ES"/>
        </w:rPr>
        <w:t>plena efectividad</w:t>
      </w:r>
      <w:r w:rsidRPr="00E757D1">
        <w:rPr>
          <w:rFonts w:ascii="Verdana" w:hAnsi="Verdana"/>
          <w:sz w:val="20"/>
          <w:szCs w:val="20"/>
          <w:lang w:val="es-ES"/>
        </w:rPr>
        <w:t xml:space="preserve">” </w:t>
      </w:r>
      <w:r w:rsidR="00F4083D" w:rsidRPr="00E757D1">
        <w:rPr>
          <w:rFonts w:ascii="Verdana" w:hAnsi="Verdana"/>
          <w:sz w:val="20"/>
          <w:szCs w:val="20"/>
          <w:lang w:val="es-ES"/>
        </w:rPr>
        <w:t xml:space="preserve">de aquellos </w:t>
      </w:r>
      <w:r w:rsidRPr="00E757D1">
        <w:rPr>
          <w:rFonts w:ascii="Verdana" w:hAnsi="Verdana"/>
          <w:sz w:val="20"/>
          <w:szCs w:val="20"/>
          <w:lang w:val="es-ES"/>
        </w:rPr>
        <w:t>y ello “</w:t>
      </w:r>
      <w:r w:rsidRPr="00E757D1">
        <w:rPr>
          <w:rFonts w:ascii="Verdana" w:hAnsi="Verdana"/>
          <w:i/>
          <w:iCs/>
          <w:sz w:val="20"/>
          <w:szCs w:val="20"/>
          <w:lang w:val="es-ES"/>
        </w:rPr>
        <w:t>en la medida de los recursos disponibles</w:t>
      </w:r>
      <w:r w:rsidRPr="00E757D1">
        <w:rPr>
          <w:rFonts w:ascii="Verdana" w:hAnsi="Verdana"/>
          <w:sz w:val="20"/>
          <w:szCs w:val="20"/>
          <w:lang w:val="es-ES"/>
        </w:rPr>
        <w:t>”.</w:t>
      </w:r>
      <w:r w:rsidRPr="00E757D1">
        <w:rPr>
          <w:rFonts w:ascii="Verdana" w:eastAsia="Batang" w:hAnsi="Verdana"/>
          <w:sz w:val="20"/>
          <w:szCs w:val="20"/>
          <w:lang w:val="es-ES"/>
        </w:rPr>
        <w:t xml:space="preserve">  </w:t>
      </w:r>
    </w:p>
    <w:p w14:paraId="19862473" w14:textId="77777777" w:rsidR="00E9106E" w:rsidRPr="00E757D1" w:rsidRDefault="00E9106E" w:rsidP="00DA5A31">
      <w:pPr>
        <w:spacing w:line="276" w:lineRule="auto"/>
        <w:ind w:left="-270" w:right="-162"/>
        <w:contextualSpacing/>
        <w:rPr>
          <w:rFonts w:ascii="Verdana" w:hAnsi="Verdana"/>
          <w:sz w:val="20"/>
          <w:szCs w:val="20"/>
          <w:lang w:val="es-ES"/>
        </w:rPr>
      </w:pPr>
    </w:p>
    <w:p w14:paraId="09D38981" w14:textId="545EBCCE" w:rsidR="004117B2"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lastRenderedPageBreak/>
        <w:t>Ahora bien, procede dejar constancia, a los efectos de la aplicación de este método de interpretación, que,</w:t>
      </w:r>
      <w:r w:rsidRPr="00E757D1">
        <w:rPr>
          <w:rFonts w:ascii="Verdana" w:eastAsia="Batang" w:hAnsi="Verdana"/>
          <w:sz w:val="20"/>
          <w:szCs w:val="20"/>
          <w:lang w:val="es-ES"/>
        </w:rPr>
        <w:t xml:space="preserve"> acorde a lo dispuesto en el párrafo 5 del Preámbulo de la Convención</w:t>
      </w:r>
      <w:r w:rsidR="00B42899" w:rsidRPr="00E757D1">
        <w:rPr>
          <w:rFonts w:ascii="Verdana" w:eastAsia="Batang" w:hAnsi="Verdana"/>
          <w:sz w:val="20"/>
          <w:szCs w:val="20"/>
          <w:lang w:val="es-ES"/>
        </w:rPr>
        <w:t>,</w:t>
      </w:r>
      <w:r w:rsidRPr="00E757D1">
        <w:rPr>
          <w:rFonts w:ascii="Verdana" w:eastAsia="Batang" w:hAnsi="Verdana"/>
          <w:sz w:val="20"/>
          <w:szCs w:val="20"/>
          <w:lang w:val="es-ES"/>
        </w:rPr>
        <w:t xml:space="preserve"> que en la Carta de la OEA se incorporaron</w:t>
      </w:r>
      <w:r w:rsidRPr="00E757D1">
        <w:rPr>
          <w:rFonts w:ascii="Verdana" w:hAnsi="Verdana"/>
          <w:i/>
          <w:iCs/>
          <w:sz w:val="20"/>
          <w:szCs w:val="20"/>
          <w:lang w:val="es-ES"/>
        </w:rPr>
        <w:t xml:space="preserve"> </w:t>
      </w:r>
      <w:r w:rsidRPr="00E757D1">
        <w:rPr>
          <w:rFonts w:ascii="Verdana" w:hAnsi="Verdana"/>
          <w:sz w:val="20"/>
          <w:szCs w:val="20"/>
          <w:lang w:val="es-ES"/>
        </w:rPr>
        <w:t>“</w:t>
      </w:r>
      <w:r w:rsidRPr="00E757D1">
        <w:rPr>
          <w:rFonts w:ascii="Verdana" w:hAnsi="Verdana"/>
          <w:i/>
          <w:iCs/>
          <w:sz w:val="20"/>
          <w:szCs w:val="20"/>
          <w:lang w:val="es-ES"/>
        </w:rPr>
        <w:t>normas más amplias sobre derechos económicos, sociales y educacionales</w:t>
      </w:r>
      <w:r w:rsidRPr="00E757D1">
        <w:rPr>
          <w:rFonts w:ascii="Verdana" w:hAnsi="Verdana"/>
          <w:sz w:val="20"/>
          <w:szCs w:val="20"/>
          <w:lang w:val="es-ES"/>
        </w:rPr>
        <w:t>”</w:t>
      </w:r>
      <w:r w:rsidRPr="00E757D1">
        <w:rPr>
          <w:rFonts w:ascii="Verdana" w:eastAsia="Batang" w:hAnsi="Verdana"/>
          <w:sz w:val="20"/>
          <w:szCs w:val="20"/>
          <w:lang w:val="es-ES"/>
        </w:rPr>
        <w:t xml:space="preserve"> y que en la Convención se determinó “</w:t>
      </w:r>
      <w:r w:rsidRPr="00E757D1">
        <w:rPr>
          <w:rFonts w:ascii="Verdana" w:eastAsia="Batang" w:hAnsi="Verdana"/>
          <w:i/>
          <w:iCs/>
          <w:sz w:val="20"/>
          <w:szCs w:val="20"/>
          <w:lang w:val="es-ES"/>
        </w:rPr>
        <w:t>la estructura, competencia y procedimiento de los órganos encargados de esa materia”</w:t>
      </w:r>
      <w:r w:rsidRPr="00E757D1">
        <w:rPr>
          <w:rFonts w:ascii="Verdana" w:eastAsia="Batang" w:hAnsi="Verdana"/>
          <w:sz w:val="20"/>
          <w:szCs w:val="20"/>
          <w:lang w:val="es-ES"/>
        </w:rPr>
        <w:t>.</w:t>
      </w:r>
    </w:p>
    <w:p w14:paraId="4FDC55C2" w14:textId="77777777" w:rsidR="004117B2" w:rsidRPr="00E757D1" w:rsidRDefault="004117B2" w:rsidP="00DA5A31">
      <w:pPr>
        <w:pStyle w:val="Prrafodelista"/>
        <w:ind w:left="-270" w:right="-162"/>
        <w:rPr>
          <w:rFonts w:ascii="Verdana" w:hAnsi="Verdana"/>
          <w:sz w:val="20"/>
          <w:szCs w:val="20"/>
          <w:lang w:val="es-ES"/>
        </w:rPr>
      </w:pPr>
    </w:p>
    <w:p w14:paraId="4BCE8EEB" w14:textId="559587CB" w:rsidR="00B105E0"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eastAsia="Batang" w:hAnsi="Verdana"/>
          <w:sz w:val="20"/>
          <w:szCs w:val="20"/>
          <w:lang w:val="es-ES"/>
        </w:rPr>
        <w:t>Es decir, ha sido la propia Convención la que, en cumplimiento de dicho mandato y como ya se ha afirmado, le dio a los derechos civiles y políticos un tratamiento diferenciado de los derechos económicos sociales y culturales, expresado, como ya se afirmó, el primero en el Capítulo II de la Parte I de la Convención y el segundo en el Capítulo III de la misma parte e instrumento. De suerte, por tanto, que la indivisibilidad de los derechos civiles y políticos y de los derechos económicos, sociales y culturales a que hace referencia el Preámbulo de la Convención, es al “</w:t>
      </w:r>
      <w:r w:rsidRPr="00E757D1">
        <w:rPr>
          <w:rFonts w:ascii="Verdana" w:eastAsia="Batang" w:hAnsi="Verdana"/>
          <w:i/>
          <w:iCs/>
          <w:sz w:val="20"/>
          <w:szCs w:val="20"/>
          <w:lang w:val="es-ES"/>
        </w:rPr>
        <w:t>goce</w:t>
      </w:r>
      <w:r w:rsidRPr="00E757D1">
        <w:rPr>
          <w:rFonts w:ascii="Verdana" w:eastAsia="Batang" w:hAnsi="Verdana"/>
          <w:sz w:val="20"/>
          <w:szCs w:val="20"/>
          <w:lang w:val="es-ES"/>
        </w:rPr>
        <w:t>” de ambos tipos de derechos humanos y no a que deban someterse a las mismas reglas para su ejercicio y fiscalización internacional</w:t>
      </w:r>
      <w:r w:rsidR="008C2927" w:rsidRPr="00E757D1">
        <w:rPr>
          <w:rFonts w:ascii="Verdana" w:eastAsia="Batang" w:hAnsi="Verdana"/>
          <w:sz w:val="20"/>
          <w:szCs w:val="20"/>
          <w:lang w:val="es-ES"/>
        </w:rPr>
        <w:t>.</w:t>
      </w:r>
    </w:p>
    <w:p w14:paraId="37730D6C" w14:textId="77777777" w:rsidR="00B105E0" w:rsidRPr="00E757D1" w:rsidRDefault="00B105E0" w:rsidP="00DA5A31">
      <w:pPr>
        <w:pStyle w:val="Prrafodelista"/>
        <w:ind w:left="-270" w:right="-162"/>
        <w:rPr>
          <w:rFonts w:ascii="Verdana" w:hAnsi="Verdana"/>
          <w:sz w:val="20"/>
          <w:szCs w:val="20"/>
          <w:lang w:val="es-ES"/>
        </w:rPr>
      </w:pPr>
    </w:p>
    <w:p w14:paraId="270E28DE" w14:textId="7489E2E7" w:rsidR="004117B2"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Asimismo, es menester hacer presente que</w:t>
      </w:r>
      <w:r w:rsidR="00CD4A17" w:rsidRPr="00E757D1">
        <w:rPr>
          <w:rFonts w:ascii="Verdana" w:hAnsi="Verdana"/>
          <w:sz w:val="20"/>
          <w:szCs w:val="20"/>
          <w:lang w:val="es-ES"/>
        </w:rPr>
        <w:t>, en cuanto a lo que</w:t>
      </w:r>
      <w:r w:rsidR="00F4083D" w:rsidRPr="00E757D1">
        <w:rPr>
          <w:rFonts w:ascii="Verdana" w:hAnsi="Verdana"/>
          <w:sz w:val="20"/>
          <w:szCs w:val="20"/>
          <w:lang w:val="es-ES"/>
        </w:rPr>
        <w:t xml:space="preserve"> el artículo 31.2 de</w:t>
      </w:r>
      <w:r w:rsidR="00CD4A17" w:rsidRPr="00E757D1">
        <w:rPr>
          <w:rFonts w:ascii="Verdana" w:hAnsi="Verdana"/>
          <w:sz w:val="20"/>
          <w:szCs w:val="20"/>
          <w:lang w:val="es-ES"/>
        </w:rPr>
        <w:t xml:space="preserve"> la Convención de Viena considera como contexto</w:t>
      </w:r>
      <w:r w:rsidR="00393C17" w:rsidRPr="00E757D1">
        <w:rPr>
          <w:rFonts w:ascii="Verdana" w:hAnsi="Verdana"/>
          <w:sz w:val="20"/>
          <w:szCs w:val="20"/>
          <w:lang w:val="es-ES"/>
        </w:rPr>
        <w:t>,</w:t>
      </w:r>
      <w:r w:rsidRPr="00E757D1">
        <w:rPr>
          <w:rFonts w:ascii="Verdana" w:hAnsi="Verdana"/>
          <w:sz w:val="20"/>
          <w:szCs w:val="20"/>
          <w:lang w:val="es-ES"/>
        </w:rPr>
        <w:t xml:space="preserve"> no existe </w:t>
      </w:r>
      <w:r w:rsidR="008C2927" w:rsidRPr="00E757D1">
        <w:rPr>
          <w:rFonts w:ascii="Verdana" w:hAnsi="Verdana" w:cs="Times New Roman"/>
          <w:sz w:val="20"/>
          <w:szCs w:val="20"/>
          <w:lang w:val="es-ES"/>
        </w:rPr>
        <w:t xml:space="preserve">acuerdo alguno que se refiera a (la Convención) y </w:t>
      </w:r>
      <w:r w:rsidR="00393C17" w:rsidRPr="00E757D1">
        <w:rPr>
          <w:rFonts w:ascii="Verdana" w:hAnsi="Verdana" w:cs="Times New Roman"/>
          <w:i/>
          <w:sz w:val="20"/>
          <w:szCs w:val="20"/>
          <w:lang w:val="es-ES"/>
        </w:rPr>
        <w:t>“</w:t>
      </w:r>
      <w:r w:rsidR="008C2927" w:rsidRPr="00E757D1">
        <w:rPr>
          <w:rFonts w:ascii="Verdana" w:hAnsi="Verdana" w:cs="Times New Roman"/>
          <w:i/>
          <w:sz w:val="20"/>
          <w:szCs w:val="20"/>
          <w:lang w:val="es-ES"/>
        </w:rPr>
        <w:t xml:space="preserve">haya sido concertado entre todas las partes con motivo de su celebración” </w:t>
      </w:r>
      <w:r w:rsidR="008C2927" w:rsidRPr="00E757D1">
        <w:rPr>
          <w:rFonts w:ascii="Verdana" w:hAnsi="Verdana" w:cs="Times New Roman"/>
          <w:iCs/>
          <w:sz w:val="20"/>
          <w:szCs w:val="20"/>
          <w:lang w:val="es-ES"/>
        </w:rPr>
        <w:t>ni tampoco algún</w:t>
      </w:r>
      <w:r w:rsidR="008C2927" w:rsidRPr="00E757D1">
        <w:rPr>
          <w:rFonts w:ascii="Verdana" w:hAnsi="Verdana" w:cs="Times New Roman"/>
          <w:i/>
          <w:sz w:val="20"/>
          <w:szCs w:val="20"/>
          <w:lang w:val="es-ES"/>
        </w:rPr>
        <w:t xml:space="preserve"> “instrumento formulado por una o más partes con motivo de la celebración” </w:t>
      </w:r>
      <w:r w:rsidR="008C2927" w:rsidRPr="00E757D1">
        <w:rPr>
          <w:rFonts w:ascii="Verdana" w:hAnsi="Verdana" w:cs="Times New Roman"/>
          <w:iCs/>
          <w:sz w:val="20"/>
          <w:szCs w:val="20"/>
          <w:lang w:val="es-ES"/>
        </w:rPr>
        <w:t xml:space="preserve">de la Convención </w:t>
      </w:r>
      <w:proofErr w:type="gramStart"/>
      <w:r w:rsidR="008C2927" w:rsidRPr="00E757D1">
        <w:rPr>
          <w:rFonts w:ascii="Verdana" w:hAnsi="Verdana" w:cs="Times New Roman"/>
          <w:i/>
          <w:sz w:val="20"/>
          <w:szCs w:val="20"/>
          <w:lang w:val="es-ES"/>
        </w:rPr>
        <w:t>y</w:t>
      </w:r>
      <w:r w:rsidR="005D5937" w:rsidRPr="00E757D1">
        <w:rPr>
          <w:rFonts w:ascii="Verdana" w:hAnsi="Verdana" w:cs="Times New Roman"/>
          <w:i/>
          <w:sz w:val="20"/>
          <w:szCs w:val="20"/>
          <w:lang w:val="es-ES"/>
        </w:rPr>
        <w:t xml:space="preserve"> </w:t>
      </w:r>
      <w:r w:rsidR="008C2927" w:rsidRPr="00E757D1">
        <w:rPr>
          <w:rFonts w:ascii="Verdana" w:hAnsi="Verdana" w:cs="Times New Roman"/>
          <w:i/>
          <w:sz w:val="20"/>
          <w:szCs w:val="20"/>
          <w:lang w:val="es-ES"/>
        </w:rPr>
        <w:t>”aceptado</w:t>
      </w:r>
      <w:proofErr w:type="gramEnd"/>
      <w:r w:rsidR="005D5937" w:rsidRPr="00E757D1">
        <w:rPr>
          <w:rFonts w:ascii="Verdana" w:hAnsi="Verdana" w:cs="Times New Roman"/>
          <w:i/>
          <w:sz w:val="20"/>
          <w:szCs w:val="20"/>
          <w:lang w:val="es-ES"/>
        </w:rPr>
        <w:t xml:space="preserve"> </w:t>
      </w:r>
      <w:r w:rsidR="008C2927" w:rsidRPr="00E757D1">
        <w:rPr>
          <w:rFonts w:ascii="Verdana" w:hAnsi="Verdana" w:cs="Times New Roman"/>
          <w:i/>
          <w:sz w:val="20"/>
          <w:szCs w:val="20"/>
          <w:lang w:val="es-ES"/>
        </w:rPr>
        <w:t xml:space="preserve">por las demás como instrumento referente” </w:t>
      </w:r>
      <w:r w:rsidR="008C2927" w:rsidRPr="00E757D1">
        <w:rPr>
          <w:rFonts w:ascii="Verdana" w:hAnsi="Verdana" w:cs="Times New Roman"/>
          <w:iCs/>
          <w:sz w:val="20"/>
          <w:szCs w:val="20"/>
          <w:lang w:val="es-ES"/>
        </w:rPr>
        <w:t>a ella</w:t>
      </w:r>
      <w:r w:rsidR="00454B65" w:rsidRPr="00E757D1">
        <w:rPr>
          <w:rFonts w:ascii="Verdana" w:hAnsi="Verdana" w:cs="Times New Roman"/>
          <w:i/>
          <w:sz w:val="20"/>
          <w:szCs w:val="20"/>
          <w:lang w:val="es-ES"/>
        </w:rPr>
        <w:t>.</w:t>
      </w:r>
    </w:p>
    <w:p w14:paraId="6DE71BA4" w14:textId="77777777" w:rsidR="00B105E0" w:rsidRPr="00E757D1" w:rsidRDefault="00B105E0" w:rsidP="00DA5A31">
      <w:pPr>
        <w:spacing w:line="276" w:lineRule="auto"/>
        <w:ind w:left="-270" w:right="-162"/>
        <w:contextualSpacing/>
        <w:rPr>
          <w:rFonts w:ascii="Verdana" w:hAnsi="Verdana"/>
          <w:sz w:val="20"/>
          <w:szCs w:val="20"/>
          <w:lang w:val="es-ES"/>
        </w:rPr>
      </w:pPr>
    </w:p>
    <w:p w14:paraId="421C391E" w14:textId="20AC5EC5" w:rsidR="004117B2" w:rsidRPr="00E757D1" w:rsidRDefault="00454B65"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 xml:space="preserve">Tampoco existe junto al contexto, como lo dispone </w:t>
      </w:r>
      <w:r w:rsidR="00F4083D" w:rsidRPr="00E757D1">
        <w:rPr>
          <w:rFonts w:ascii="Verdana" w:hAnsi="Verdana"/>
          <w:sz w:val="20"/>
          <w:szCs w:val="20"/>
          <w:lang w:val="es-ES"/>
        </w:rPr>
        <w:t xml:space="preserve">el artículo 31.3 de </w:t>
      </w:r>
      <w:r w:rsidRPr="00E757D1">
        <w:rPr>
          <w:rFonts w:ascii="Verdana" w:hAnsi="Verdana"/>
          <w:sz w:val="20"/>
          <w:szCs w:val="20"/>
          <w:lang w:val="es-ES"/>
        </w:rPr>
        <w:t xml:space="preserve">la Convención de Viena, </w:t>
      </w:r>
      <w:r w:rsidRPr="00E757D1">
        <w:rPr>
          <w:rFonts w:ascii="Verdana" w:hAnsi="Verdana" w:cs="Times New Roman"/>
          <w:iCs/>
          <w:sz w:val="20"/>
          <w:szCs w:val="20"/>
          <w:lang w:val="es-ES"/>
        </w:rPr>
        <w:t>algún “</w:t>
      </w:r>
      <w:r w:rsidRPr="00E757D1">
        <w:rPr>
          <w:rFonts w:ascii="Verdana" w:hAnsi="Verdana" w:cs="Times New Roman"/>
          <w:i/>
          <w:sz w:val="20"/>
          <w:szCs w:val="20"/>
          <w:lang w:val="es-ES"/>
        </w:rPr>
        <w:t xml:space="preserve">acuerdo ulterior entre las partes acerca de la interpretación” </w:t>
      </w:r>
      <w:r w:rsidRPr="00E757D1">
        <w:rPr>
          <w:rFonts w:ascii="Verdana" w:hAnsi="Verdana" w:cs="Times New Roman"/>
          <w:iCs/>
          <w:sz w:val="20"/>
          <w:szCs w:val="20"/>
          <w:lang w:val="es-ES"/>
        </w:rPr>
        <w:t>de la Convención</w:t>
      </w:r>
      <w:r w:rsidRPr="00E757D1">
        <w:rPr>
          <w:rFonts w:ascii="Verdana" w:hAnsi="Verdana" w:cs="Times New Roman"/>
          <w:i/>
          <w:sz w:val="20"/>
          <w:szCs w:val="20"/>
          <w:lang w:val="es-ES"/>
        </w:rPr>
        <w:t xml:space="preserve"> “o de la aplicación de sus disposiciones</w:t>
      </w:r>
      <w:r w:rsidR="009068F7" w:rsidRPr="00E757D1">
        <w:rPr>
          <w:rFonts w:ascii="Verdana" w:hAnsi="Verdana" w:cs="Times New Roman"/>
          <w:i/>
          <w:sz w:val="20"/>
          <w:szCs w:val="20"/>
          <w:lang w:val="es-ES"/>
        </w:rPr>
        <w:t>”</w:t>
      </w:r>
      <w:r w:rsidRPr="00E757D1">
        <w:rPr>
          <w:rFonts w:ascii="Verdana" w:hAnsi="Verdana" w:cs="Times New Roman"/>
          <w:i/>
          <w:sz w:val="20"/>
          <w:szCs w:val="20"/>
          <w:lang w:val="es-ES"/>
        </w:rPr>
        <w:t xml:space="preserve"> </w:t>
      </w:r>
      <w:r w:rsidRPr="00E757D1">
        <w:rPr>
          <w:rFonts w:ascii="Verdana" w:hAnsi="Verdana" w:cs="Times New Roman"/>
          <w:iCs/>
          <w:sz w:val="20"/>
          <w:szCs w:val="20"/>
          <w:lang w:val="es-ES"/>
        </w:rPr>
        <w:t>ni una</w:t>
      </w:r>
      <w:r w:rsidRPr="00E757D1">
        <w:rPr>
          <w:rFonts w:ascii="Verdana" w:hAnsi="Verdana" w:cs="Times New Roman"/>
          <w:i/>
          <w:sz w:val="20"/>
          <w:szCs w:val="20"/>
          <w:lang w:val="es-ES"/>
        </w:rPr>
        <w:t xml:space="preserve"> “práctica ulteriormente seguida en la aplicación” </w:t>
      </w:r>
      <w:r w:rsidRPr="00E757D1">
        <w:rPr>
          <w:rFonts w:ascii="Verdana" w:hAnsi="Verdana" w:cs="Times New Roman"/>
          <w:iCs/>
          <w:sz w:val="20"/>
          <w:szCs w:val="20"/>
          <w:lang w:val="es-ES"/>
        </w:rPr>
        <w:t>de ella</w:t>
      </w:r>
      <w:proofErr w:type="gramStart"/>
      <w:r w:rsidRPr="00E757D1">
        <w:rPr>
          <w:rFonts w:ascii="Verdana" w:hAnsi="Verdana" w:cs="Times New Roman"/>
          <w:i/>
          <w:sz w:val="20"/>
          <w:szCs w:val="20"/>
          <w:lang w:val="es-ES"/>
        </w:rPr>
        <w:t>,</w:t>
      </w:r>
      <w:r w:rsidR="00B25021">
        <w:rPr>
          <w:rFonts w:ascii="Verdana" w:hAnsi="Verdana" w:cs="Times New Roman"/>
          <w:i/>
          <w:sz w:val="20"/>
          <w:szCs w:val="20"/>
          <w:lang w:val="es-ES"/>
        </w:rPr>
        <w:t xml:space="preserve"> </w:t>
      </w:r>
      <w:r w:rsidR="009068F7" w:rsidRPr="00E757D1">
        <w:rPr>
          <w:rFonts w:ascii="Verdana" w:hAnsi="Verdana" w:cs="Times New Roman"/>
          <w:i/>
          <w:sz w:val="20"/>
          <w:szCs w:val="20"/>
          <w:lang w:val="es-ES"/>
        </w:rPr>
        <w:t>”</w:t>
      </w:r>
      <w:r w:rsidRPr="00E757D1">
        <w:rPr>
          <w:rFonts w:ascii="Verdana" w:hAnsi="Verdana" w:cs="Times New Roman"/>
          <w:i/>
          <w:sz w:val="20"/>
          <w:szCs w:val="20"/>
          <w:lang w:val="es-ES"/>
        </w:rPr>
        <w:t>por</w:t>
      </w:r>
      <w:proofErr w:type="gramEnd"/>
      <w:r w:rsidRPr="00E757D1">
        <w:rPr>
          <w:rFonts w:ascii="Verdana" w:hAnsi="Verdana" w:cs="Times New Roman"/>
          <w:i/>
          <w:sz w:val="20"/>
          <w:szCs w:val="20"/>
          <w:lang w:val="es-ES"/>
        </w:rPr>
        <w:t xml:space="preserve"> la cual conste el acuerdo de las partes acerca de” su “interpretación</w:t>
      </w:r>
      <w:r w:rsidR="009068F7" w:rsidRPr="00E757D1">
        <w:rPr>
          <w:rFonts w:ascii="Verdana" w:hAnsi="Verdana" w:cs="Times New Roman"/>
          <w:i/>
          <w:sz w:val="20"/>
          <w:szCs w:val="20"/>
          <w:lang w:val="es-ES"/>
        </w:rPr>
        <w:t>”</w:t>
      </w:r>
      <w:r w:rsidR="00554A13" w:rsidRPr="00E757D1">
        <w:rPr>
          <w:rFonts w:ascii="Verdana" w:hAnsi="Verdana" w:cs="Times New Roman"/>
          <w:iCs/>
          <w:sz w:val="20"/>
          <w:szCs w:val="20"/>
          <w:lang w:val="es-ES"/>
        </w:rPr>
        <w:t>, salvo el Protocolo de San Salvador</w:t>
      </w:r>
      <w:r w:rsidR="00B25021">
        <w:rPr>
          <w:rFonts w:ascii="Verdana" w:hAnsi="Verdana" w:cs="Times New Roman"/>
          <w:iCs/>
          <w:sz w:val="20"/>
          <w:szCs w:val="20"/>
          <w:lang w:val="es-ES"/>
        </w:rPr>
        <w:t>, al que se hará referencia más adelante</w:t>
      </w:r>
      <w:r w:rsidRPr="00E757D1">
        <w:rPr>
          <w:rFonts w:ascii="Verdana" w:hAnsi="Verdana" w:cs="Times New Roman"/>
          <w:i/>
          <w:sz w:val="20"/>
          <w:szCs w:val="20"/>
          <w:lang w:val="es-ES"/>
        </w:rPr>
        <w:t>.</w:t>
      </w:r>
    </w:p>
    <w:p w14:paraId="4FC7FEAD" w14:textId="77777777" w:rsidR="004117B2" w:rsidRPr="00E757D1" w:rsidRDefault="004117B2" w:rsidP="00DA5A31">
      <w:pPr>
        <w:pStyle w:val="Prrafodelista"/>
        <w:ind w:left="-270" w:right="-162"/>
        <w:rPr>
          <w:rFonts w:ascii="Verdana" w:hAnsi="Verdana"/>
          <w:sz w:val="20"/>
          <w:szCs w:val="20"/>
          <w:lang w:val="es-ES"/>
        </w:rPr>
      </w:pPr>
    </w:p>
    <w:p w14:paraId="06554467" w14:textId="28A2F9D8" w:rsidR="004117B2"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 xml:space="preserve">Por ende, no </w:t>
      </w:r>
      <w:r w:rsidR="00454B65" w:rsidRPr="00E757D1">
        <w:rPr>
          <w:rFonts w:ascii="Verdana" w:hAnsi="Verdana"/>
          <w:sz w:val="20"/>
          <w:szCs w:val="20"/>
          <w:lang w:val="es-ES"/>
        </w:rPr>
        <w:t xml:space="preserve">resulta </w:t>
      </w:r>
      <w:r w:rsidRPr="00E757D1">
        <w:rPr>
          <w:rFonts w:ascii="Verdana" w:hAnsi="Verdana"/>
          <w:sz w:val="20"/>
          <w:szCs w:val="20"/>
          <w:lang w:val="es-ES"/>
        </w:rPr>
        <w:t>aceptable que,</w:t>
      </w:r>
      <w:r w:rsidR="00DC283A" w:rsidRPr="00E757D1">
        <w:rPr>
          <w:rFonts w:ascii="Verdana" w:hAnsi="Verdana"/>
          <w:sz w:val="20"/>
          <w:szCs w:val="20"/>
          <w:lang w:val="es-ES"/>
        </w:rPr>
        <w:t xml:space="preserve"> ante</w:t>
      </w:r>
      <w:r w:rsidR="00454B65" w:rsidRPr="00E757D1">
        <w:rPr>
          <w:rFonts w:ascii="Verdana" w:hAnsi="Verdana"/>
          <w:sz w:val="20"/>
          <w:szCs w:val="20"/>
          <w:lang w:val="es-ES"/>
        </w:rPr>
        <w:t xml:space="preserve"> </w:t>
      </w:r>
      <w:r w:rsidRPr="00E757D1">
        <w:rPr>
          <w:rFonts w:ascii="Verdana" w:hAnsi="Verdana"/>
          <w:sz w:val="20"/>
          <w:szCs w:val="20"/>
          <w:lang w:val="es-ES"/>
        </w:rPr>
        <w:t>la ausencia de lo que se conoce como la “interpretación auténtica”</w:t>
      </w:r>
      <w:r w:rsidRPr="00E757D1">
        <w:rPr>
          <w:rFonts w:ascii="Verdana" w:hAnsi="Verdana"/>
          <w:sz w:val="20"/>
          <w:szCs w:val="20"/>
          <w:vertAlign w:val="superscript"/>
          <w:lang w:val="es-ES"/>
        </w:rPr>
        <w:footnoteReference w:id="45"/>
      </w:r>
      <w:r w:rsidRPr="00E757D1">
        <w:rPr>
          <w:rFonts w:ascii="Verdana" w:hAnsi="Verdana"/>
          <w:sz w:val="20"/>
          <w:szCs w:val="20"/>
          <w:lang w:val="es-ES"/>
        </w:rPr>
        <w:t xml:space="preserve"> de la Convención, su sentido y alcance sea</w:t>
      </w:r>
      <w:r w:rsidR="00971D28" w:rsidRPr="00E757D1">
        <w:rPr>
          <w:rFonts w:ascii="Verdana" w:hAnsi="Verdana"/>
          <w:sz w:val="20"/>
          <w:szCs w:val="20"/>
          <w:lang w:val="es-ES"/>
        </w:rPr>
        <w:t>n</w:t>
      </w:r>
      <w:r w:rsidRPr="00E757D1">
        <w:rPr>
          <w:rFonts w:ascii="Verdana" w:hAnsi="Verdana"/>
          <w:sz w:val="20"/>
          <w:szCs w:val="20"/>
          <w:lang w:val="es-ES"/>
        </w:rPr>
        <w:t xml:space="preserve"> determinado</w:t>
      </w:r>
      <w:r w:rsidR="00971D28" w:rsidRPr="00E757D1">
        <w:rPr>
          <w:rFonts w:ascii="Verdana" w:hAnsi="Verdana"/>
          <w:sz w:val="20"/>
          <w:szCs w:val="20"/>
          <w:lang w:val="es-ES"/>
        </w:rPr>
        <w:t>s</w:t>
      </w:r>
      <w:r w:rsidRPr="00E757D1">
        <w:rPr>
          <w:rFonts w:ascii="Verdana" w:hAnsi="Verdana"/>
          <w:sz w:val="20"/>
          <w:szCs w:val="20"/>
          <w:lang w:val="es-ES"/>
        </w:rPr>
        <w:t xml:space="preserve"> por la Corte al margen y aún en contradicción con lo pactado por sus Estados Partes. La Convención, como todo tratado, no existe al margen de lo que estos últimos expresamente convinieron.</w:t>
      </w:r>
    </w:p>
    <w:p w14:paraId="102DDA92" w14:textId="77777777" w:rsidR="004117B2" w:rsidRPr="00E757D1" w:rsidRDefault="004117B2" w:rsidP="00DA5A31">
      <w:pPr>
        <w:pStyle w:val="Prrafodelista"/>
        <w:ind w:left="-270" w:right="-162"/>
        <w:rPr>
          <w:rFonts w:ascii="Verdana" w:hAnsi="Verdana"/>
          <w:bCs/>
          <w:sz w:val="20"/>
          <w:szCs w:val="20"/>
          <w:lang w:val="es-ES"/>
        </w:rPr>
      </w:pPr>
    </w:p>
    <w:p w14:paraId="4972D936" w14:textId="4183500D" w:rsidR="00C80D92"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 xml:space="preserve">Por otra parte, en el intento por justificar la </w:t>
      </w:r>
      <w:r w:rsidRPr="00E757D1">
        <w:rPr>
          <w:rFonts w:ascii="Verdana" w:hAnsi="Verdana"/>
          <w:spacing w:val="4"/>
          <w:sz w:val="20"/>
          <w:szCs w:val="20"/>
          <w:shd w:val="clear" w:color="auto" w:fill="FFFFFF"/>
          <w:lang w:val="es-ES"/>
        </w:rPr>
        <w:t>judicialización</w:t>
      </w:r>
      <w:r w:rsidRPr="00E757D1">
        <w:rPr>
          <w:rFonts w:ascii="Verdana" w:hAnsi="Verdana"/>
          <w:bCs/>
          <w:sz w:val="20"/>
          <w:szCs w:val="20"/>
          <w:lang w:val="es-ES"/>
        </w:rPr>
        <w:t xml:space="preserve"> ante la Corte de</w:t>
      </w:r>
      <w:r w:rsidR="00050C4A" w:rsidRPr="00E757D1">
        <w:rPr>
          <w:rFonts w:ascii="Verdana" w:hAnsi="Verdana"/>
          <w:bCs/>
          <w:sz w:val="20"/>
          <w:szCs w:val="20"/>
          <w:lang w:val="es-ES"/>
        </w:rPr>
        <w:t>l</w:t>
      </w:r>
      <w:r w:rsidR="00050C4A" w:rsidRPr="00E757D1">
        <w:rPr>
          <w:rFonts w:ascii="Verdana" w:hAnsi="Verdana"/>
          <w:sz w:val="20"/>
          <w:szCs w:val="20"/>
          <w:lang w:val="es-ES"/>
        </w:rPr>
        <w:t xml:space="preserve"> </w:t>
      </w:r>
      <w:bookmarkStart w:id="16" w:name="_Hlk45988875"/>
      <w:r w:rsidR="00050C4A" w:rsidRPr="00E757D1">
        <w:rPr>
          <w:rFonts w:ascii="Verdana" w:hAnsi="Verdana"/>
          <w:sz w:val="20"/>
          <w:szCs w:val="20"/>
          <w:lang w:val="es-ES"/>
        </w:rPr>
        <w:t>derecho a condiciones equitativas y satisfactorias que garanticen la seguridad</w:t>
      </w:r>
      <w:r w:rsidR="007B2A68" w:rsidRPr="00E757D1">
        <w:rPr>
          <w:rFonts w:ascii="Verdana" w:hAnsi="Verdana"/>
          <w:sz w:val="20"/>
          <w:szCs w:val="20"/>
          <w:lang w:val="es-ES"/>
        </w:rPr>
        <w:t>, la salud</w:t>
      </w:r>
      <w:r w:rsidR="00050C4A" w:rsidRPr="00E757D1">
        <w:rPr>
          <w:rFonts w:ascii="Verdana" w:hAnsi="Verdana"/>
          <w:sz w:val="20"/>
          <w:szCs w:val="20"/>
          <w:lang w:val="es-ES"/>
        </w:rPr>
        <w:t xml:space="preserve"> y la higiene </w:t>
      </w:r>
      <w:r w:rsidR="00B25021">
        <w:rPr>
          <w:rFonts w:ascii="Verdana" w:hAnsi="Verdana"/>
          <w:sz w:val="20"/>
          <w:szCs w:val="20"/>
          <w:lang w:val="es-ES"/>
        </w:rPr>
        <w:t xml:space="preserve">en </w:t>
      </w:r>
      <w:r w:rsidR="00050C4A" w:rsidRPr="00E757D1">
        <w:rPr>
          <w:rFonts w:ascii="Verdana" w:hAnsi="Verdana"/>
          <w:sz w:val="20"/>
          <w:szCs w:val="20"/>
          <w:lang w:val="es-ES"/>
        </w:rPr>
        <w:t>el trabajo</w:t>
      </w:r>
      <w:bookmarkEnd w:id="16"/>
      <w:r w:rsidR="00C80D92" w:rsidRPr="00E757D1">
        <w:rPr>
          <w:rFonts w:ascii="Verdana" w:hAnsi="Verdana"/>
          <w:sz w:val="20"/>
          <w:szCs w:val="20"/>
          <w:lang w:val="es-ES"/>
        </w:rPr>
        <w:t xml:space="preserve"> </w:t>
      </w:r>
      <w:r w:rsidR="007B2A68" w:rsidRPr="00E757D1">
        <w:rPr>
          <w:rFonts w:ascii="Verdana" w:hAnsi="Verdana"/>
          <w:sz w:val="20"/>
          <w:szCs w:val="20"/>
          <w:lang w:val="es-ES"/>
        </w:rPr>
        <w:t>y</w:t>
      </w:r>
      <w:r w:rsidR="00C80D92" w:rsidRPr="00E757D1">
        <w:rPr>
          <w:rFonts w:ascii="Verdana" w:hAnsi="Verdana"/>
          <w:sz w:val="20"/>
          <w:szCs w:val="20"/>
          <w:lang w:val="es-ES"/>
        </w:rPr>
        <w:t xml:space="preserve"> apoyándose en lo prescrito en el artículo 31.3.c)</w:t>
      </w:r>
      <w:r w:rsidR="00971D28" w:rsidRPr="00E757D1">
        <w:rPr>
          <w:rFonts w:ascii="Verdana" w:hAnsi="Verdana"/>
          <w:sz w:val="20"/>
          <w:szCs w:val="20"/>
          <w:lang w:val="es-ES"/>
        </w:rPr>
        <w:t xml:space="preserve"> de</w:t>
      </w:r>
      <w:r w:rsidR="00C80D92" w:rsidRPr="00E757D1">
        <w:rPr>
          <w:rFonts w:ascii="Verdana" w:hAnsi="Verdana"/>
          <w:sz w:val="20"/>
          <w:szCs w:val="20"/>
          <w:lang w:val="es-ES"/>
        </w:rPr>
        <w:t xml:space="preserve"> la Convención de Viena</w:t>
      </w:r>
      <w:r w:rsidRPr="00E757D1">
        <w:rPr>
          <w:rFonts w:ascii="Verdana" w:hAnsi="Verdana"/>
          <w:bCs/>
          <w:sz w:val="20"/>
          <w:szCs w:val="20"/>
          <w:lang w:val="es-ES"/>
        </w:rPr>
        <w:t xml:space="preserve">, la Sentencia acude a </w:t>
      </w:r>
      <w:r w:rsidR="00D06A9A" w:rsidRPr="00E757D1">
        <w:rPr>
          <w:rFonts w:ascii="Verdana" w:hAnsi="Verdana"/>
          <w:bCs/>
          <w:sz w:val="20"/>
          <w:szCs w:val="20"/>
          <w:lang w:val="es-ES"/>
        </w:rPr>
        <w:t xml:space="preserve">tratados ratificados por Brasil, como, en consecuencia, </w:t>
      </w:r>
      <w:r w:rsidRPr="00E757D1">
        <w:rPr>
          <w:rFonts w:ascii="Verdana" w:hAnsi="Verdana"/>
          <w:bCs/>
          <w:sz w:val="20"/>
          <w:szCs w:val="20"/>
          <w:lang w:val="es-ES"/>
        </w:rPr>
        <w:t>fuente</w:t>
      </w:r>
      <w:r w:rsidR="00D06A9A" w:rsidRPr="00E757D1">
        <w:rPr>
          <w:rFonts w:ascii="Verdana" w:hAnsi="Verdana"/>
          <w:bCs/>
          <w:sz w:val="20"/>
          <w:szCs w:val="20"/>
          <w:lang w:val="es-ES"/>
        </w:rPr>
        <w:t>s</w:t>
      </w:r>
      <w:r w:rsidRPr="00E757D1">
        <w:rPr>
          <w:rFonts w:ascii="Verdana" w:hAnsi="Verdana"/>
          <w:bCs/>
          <w:sz w:val="20"/>
          <w:szCs w:val="20"/>
          <w:lang w:val="es-ES"/>
        </w:rPr>
        <w:t xml:space="preserve"> autónoma</w:t>
      </w:r>
      <w:r w:rsidR="00D06A9A" w:rsidRPr="00E757D1">
        <w:rPr>
          <w:rFonts w:ascii="Verdana" w:hAnsi="Verdana"/>
          <w:bCs/>
          <w:sz w:val="20"/>
          <w:szCs w:val="20"/>
          <w:lang w:val="es-ES"/>
        </w:rPr>
        <w:t>s</w:t>
      </w:r>
      <w:r w:rsidRPr="00E757D1">
        <w:rPr>
          <w:rFonts w:ascii="Verdana" w:hAnsi="Verdana"/>
          <w:bCs/>
          <w:sz w:val="20"/>
          <w:szCs w:val="20"/>
          <w:lang w:val="es-ES"/>
        </w:rPr>
        <w:t xml:space="preserve"> del Derecho Internacional, es decir, que crea</w:t>
      </w:r>
      <w:r w:rsidR="00D06A9A" w:rsidRPr="00E757D1">
        <w:rPr>
          <w:rFonts w:ascii="Verdana" w:hAnsi="Verdana"/>
          <w:bCs/>
          <w:sz w:val="20"/>
          <w:szCs w:val="20"/>
          <w:lang w:val="es-ES"/>
        </w:rPr>
        <w:t>n</w:t>
      </w:r>
      <w:r w:rsidRPr="00E757D1">
        <w:rPr>
          <w:rFonts w:ascii="Verdana" w:hAnsi="Verdana"/>
          <w:bCs/>
          <w:sz w:val="20"/>
          <w:szCs w:val="20"/>
          <w:lang w:val="es-ES"/>
        </w:rPr>
        <w:t xml:space="preserve"> derechos</w:t>
      </w:r>
      <w:r w:rsidR="00050C4A" w:rsidRPr="00E757D1">
        <w:rPr>
          <w:rFonts w:ascii="Verdana" w:hAnsi="Verdana"/>
          <w:bCs/>
          <w:sz w:val="20"/>
          <w:szCs w:val="20"/>
          <w:lang w:val="es-ES"/>
        </w:rPr>
        <w:t xml:space="preserve">. </w:t>
      </w:r>
      <w:r w:rsidR="00C80D92" w:rsidRPr="00E757D1">
        <w:rPr>
          <w:rFonts w:ascii="Verdana" w:hAnsi="Verdana"/>
          <w:bCs/>
          <w:sz w:val="20"/>
          <w:szCs w:val="20"/>
          <w:lang w:val="es-ES"/>
        </w:rPr>
        <w:t xml:space="preserve">Empero, </w:t>
      </w:r>
      <w:r w:rsidR="00050C4A" w:rsidRPr="00E757D1">
        <w:rPr>
          <w:rFonts w:ascii="Verdana" w:hAnsi="Verdana"/>
          <w:bCs/>
          <w:sz w:val="20"/>
          <w:szCs w:val="20"/>
          <w:lang w:val="es-ES"/>
        </w:rPr>
        <w:t xml:space="preserve">esas fuentes </w:t>
      </w:r>
      <w:r w:rsidR="00C80D92" w:rsidRPr="00E757D1">
        <w:rPr>
          <w:rFonts w:ascii="Verdana" w:hAnsi="Verdana"/>
          <w:bCs/>
          <w:sz w:val="20"/>
          <w:szCs w:val="20"/>
          <w:lang w:val="es-ES"/>
        </w:rPr>
        <w:t xml:space="preserve">solo </w:t>
      </w:r>
      <w:r w:rsidR="007B2A68" w:rsidRPr="00E757D1">
        <w:rPr>
          <w:rFonts w:ascii="Verdana" w:hAnsi="Verdana"/>
          <w:bCs/>
          <w:sz w:val="20"/>
          <w:szCs w:val="20"/>
          <w:lang w:val="es-ES"/>
        </w:rPr>
        <w:t>aludirían</w:t>
      </w:r>
      <w:r w:rsidR="00C80D92" w:rsidRPr="00E757D1">
        <w:rPr>
          <w:rFonts w:ascii="Verdana" w:hAnsi="Verdana"/>
          <w:bCs/>
          <w:sz w:val="20"/>
          <w:szCs w:val="20"/>
          <w:lang w:val="es-ES"/>
        </w:rPr>
        <w:t xml:space="preserve"> </w:t>
      </w:r>
      <w:r w:rsidR="00050C4A" w:rsidRPr="00E757D1">
        <w:rPr>
          <w:rFonts w:ascii="Verdana" w:hAnsi="Verdana"/>
          <w:bCs/>
          <w:sz w:val="20"/>
          <w:szCs w:val="20"/>
          <w:lang w:val="es-ES"/>
        </w:rPr>
        <w:t>a la existencia de</w:t>
      </w:r>
      <w:r w:rsidR="00D06A9A" w:rsidRPr="00E757D1">
        <w:rPr>
          <w:rFonts w:ascii="Verdana" w:hAnsi="Verdana"/>
          <w:bCs/>
          <w:sz w:val="20"/>
          <w:szCs w:val="20"/>
          <w:lang w:val="es-ES"/>
        </w:rPr>
        <w:t>l antes indicado</w:t>
      </w:r>
      <w:r w:rsidR="00050C4A" w:rsidRPr="00E757D1">
        <w:rPr>
          <w:rFonts w:ascii="Verdana" w:hAnsi="Verdana"/>
          <w:bCs/>
          <w:sz w:val="20"/>
          <w:szCs w:val="20"/>
          <w:lang w:val="es-ES"/>
        </w:rPr>
        <w:t xml:space="preserve"> derecho, </w:t>
      </w:r>
      <w:r w:rsidR="00C80D92" w:rsidRPr="00E757D1">
        <w:rPr>
          <w:rFonts w:ascii="Verdana" w:hAnsi="Verdana"/>
          <w:bCs/>
          <w:sz w:val="20"/>
          <w:szCs w:val="20"/>
          <w:lang w:val="es-ES"/>
        </w:rPr>
        <w:t>lo</w:t>
      </w:r>
      <w:r w:rsidR="00050C4A" w:rsidRPr="00E757D1">
        <w:rPr>
          <w:rFonts w:ascii="Verdana" w:hAnsi="Verdana"/>
          <w:bCs/>
          <w:sz w:val="20"/>
          <w:szCs w:val="20"/>
          <w:lang w:val="es-ES"/>
        </w:rPr>
        <w:t xml:space="preserve"> que, como se expresó, no </w:t>
      </w:r>
      <w:r w:rsidR="00C80D92" w:rsidRPr="00E757D1">
        <w:rPr>
          <w:rFonts w:ascii="Verdana" w:hAnsi="Verdana"/>
          <w:bCs/>
          <w:sz w:val="20"/>
          <w:szCs w:val="20"/>
          <w:lang w:val="es-ES"/>
        </w:rPr>
        <w:t xml:space="preserve">era objeto de la causa de autos ni es, consecuentemente, abordado en este escrito, </w:t>
      </w:r>
      <w:r w:rsidR="00D06A9A" w:rsidRPr="00E757D1">
        <w:rPr>
          <w:rFonts w:ascii="Verdana" w:hAnsi="Verdana"/>
          <w:bCs/>
          <w:sz w:val="20"/>
          <w:szCs w:val="20"/>
          <w:lang w:val="es-ES"/>
        </w:rPr>
        <w:t xml:space="preserve">y no expresan absolutamente nada </w:t>
      </w:r>
      <w:r w:rsidR="00C80D92" w:rsidRPr="00E757D1">
        <w:rPr>
          <w:rFonts w:ascii="Verdana" w:hAnsi="Verdana"/>
          <w:bCs/>
          <w:sz w:val="20"/>
          <w:szCs w:val="20"/>
          <w:lang w:val="es-ES"/>
        </w:rPr>
        <w:t xml:space="preserve">sobre la </w:t>
      </w:r>
      <w:bookmarkStart w:id="17" w:name="_Hlk45794040"/>
      <w:r w:rsidR="00C80D92" w:rsidRPr="00E757D1">
        <w:rPr>
          <w:rFonts w:ascii="Verdana" w:hAnsi="Verdana"/>
          <w:bCs/>
          <w:sz w:val="20"/>
          <w:szCs w:val="20"/>
          <w:lang w:val="es-ES"/>
        </w:rPr>
        <w:t>judicialización</w:t>
      </w:r>
      <w:bookmarkEnd w:id="17"/>
      <w:r w:rsidR="00C80D92" w:rsidRPr="00E757D1">
        <w:rPr>
          <w:rFonts w:ascii="Verdana" w:hAnsi="Verdana"/>
          <w:bCs/>
          <w:sz w:val="20"/>
          <w:szCs w:val="20"/>
          <w:lang w:val="es-ES"/>
        </w:rPr>
        <w:t xml:space="preserve"> de las eventuales violaciones de aquél.</w:t>
      </w:r>
    </w:p>
    <w:p w14:paraId="21D02100" w14:textId="5603B96B" w:rsidR="00050C4A" w:rsidRPr="00E757D1" w:rsidRDefault="00050C4A" w:rsidP="00DA5A31">
      <w:pPr>
        <w:spacing w:line="276" w:lineRule="auto"/>
        <w:ind w:left="-270" w:right="-162"/>
        <w:contextualSpacing/>
        <w:rPr>
          <w:rFonts w:ascii="Verdana" w:hAnsi="Verdana"/>
          <w:sz w:val="20"/>
          <w:szCs w:val="20"/>
          <w:lang w:val="es-ES"/>
        </w:rPr>
      </w:pPr>
    </w:p>
    <w:p w14:paraId="2706539F" w14:textId="57414312" w:rsidR="00050C4A" w:rsidRPr="00E757D1" w:rsidRDefault="00C80D92"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Es lo que ocurre con la referencia</w:t>
      </w:r>
      <w:r w:rsidR="00160F33" w:rsidRPr="00E757D1">
        <w:rPr>
          <w:rFonts w:ascii="Verdana" w:hAnsi="Verdana"/>
          <w:sz w:val="20"/>
          <w:szCs w:val="20"/>
          <w:lang w:val="es-ES"/>
        </w:rPr>
        <w:t xml:space="preserve"> </w:t>
      </w:r>
      <w:r w:rsidR="00DC283A" w:rsidRPr="00E757D1">
        <w:rPr>
          <w:rFonts w:ascii="Verdana" w:hAnsi="Verdana"/>
          <w:sz w:val="20"/>
          <w:szCs w:val="20"/>
          <w:lang w:val="es-ES"/>
        </w:rPr>
        <w:t>al Pacto Internacional de Derechos Económicos, Sociales y Culturales</w:t>
      </w:r>
      <w:r w:rsidR="00DC283A" w:rsidRPr="00E757D1">
        <w:rPr>
          <w:rStyle w:val="Refdenotaalpie"/>
          <w:rFonts w:ascii="Verdana" w:hAnsi="Verdana"/>
          <w:sz w:val="20"/>
          <w:szCs w:val="20"/>
          <w:lang w:val="es-ES"/>
        </w:rPr>
        <w:footnoteReference w:id="46"/>
      </w:r>
      <w:r w:rsidR="00DC283A" w:rsidRPr="00E757D1">
        <w:rPr>
          <w:rFonts w:ascii="Verdana" w:hAnsi="Verdana"/>
          <w:sz w:val="20"/>
          <w:szCs w:val="20"/>
          <w:lang w:val="es-ES"/>
        </w:rPr>
        <w:t>,</w:t>
      </w:r>
      <w:r w:rsidR="00991337" w:rsidRPr="00E757D1">
        <w:rPr>
          <w:rFonts w:ascii="Verdana" w:hAnsi="Verdana"/>
          <w:sz w:val="20"/>
          <w:szCs w:val="20"/>
          <w:lang w:val="es-ES"/>
        </w:rPr>
        <w:t xml:space="preserve"> </w:t>
      </w:r>
      <w:r w:rsidR="00DC283A" w:rsidRPr="00E757D1">
        <w:rPr>
          <w:rFonts w:ascii="Verdana" w:hAnsi="Verdana"/>
          <w:sz w:val="20"/>
          <w:szCs w:val="20"/>
          <w:lang w:val="es-ES"/>
        </w:rPr>
        <w:t xml:space="preserve">a la Convención sobre la Eliminación de todas las Formas de </w:t>
      </w:r>
      <w:r w:rsidR="00DC283A" w:rsidRPr="00E757D1">
        <w:rPr>
          <w:rFonts w:ascii="Verdana" w:hAnsi="Verdana"/>
          <w:sz w:val="20"/>
          <w:szCs w:val="20"/>
          <w:lang w:val="es-ES"/>
        </w:rPr>
        <w:lastRenderedPageBreak/>
        <w:t>Discriminación contra</w:t>
      </w:r>
      <w:r w:rsidR="00B105E0" w:rsidRPr="00E757D1">
        <w:rPr>
          <w:rFonts w:ascii="Verdana" w:hAnsi="Verdana"/>
          <w:sz w:val="20"/>
          <w:szCs w:val="20"/>
          <w:lang w:val="es-ES"/>
        </w:rPr>
        <w:t xml:space="preserve"> </w:t>
      </w:r>
      <w:r w:rsidR="00DC283A" w:rsidRPr="00E757D1">
        <w:rPr>
          <w:rFonts w:ascii="Verdana" w:hAnsi="Verdana"/>
          <w:sz w:val="20"/>
          <w:szCs w:val="20"/>
          <w:lang w:val="es-ES"/>
        </w:rPr>
        <w:t>la Mujer</w:t>
      </w:r>
      <w:r w:rsidR="00DC283A" w:rsidRPr="00E757D1">
        <w:rPr>
          <w:rStyle w:val="Refdenotaalpie"/>
          <w:rFonts w:ascii="Verdana" w:hAnsi="Verdana"/>
          <w:sz w:val="20"/>
          <w:szCs w:val="20"/>
          <w:lang w:val="es-ES"/>
        </w:rPr>
        <w:footnoteReference w:id="47"/>
      </w:r>
      <w:r w:rsidR="00DC283A" w:rsidRPr="00E757D1">
        <w:rPr>
          <w:rFonts w:ascii="Verdana" w:hAnsi="Verdana"/>
          <w:sz w:val="20"/>
          <w:szCs w:val="20"/>
          <w:lang w:val="es-ES"/>
        </w:rPr>
        <w:t>, a la Constitución de la Organización Internacional del Trabajo</w:t>
      </w:r>
      <w:r w:rsidR="00DC283A" w:rsidRPr="00E757D1">
        <w:rPr>
          <w:rStyle w:val="Refdenotaalpie"/>
          <w:rFonts w:ascii="Verdana" w:hAnsi="Verdana"/>
          <w:sz w:val="20"/>
          <w:szCs w:val="20"/>
          <w:lang w:val="es-ES"/>
        </w:rPr>
        <w:footnoteReference w:id="48"/>
      </w:r>
      <w:r w:rsidR="0064637C" w:rsidRPr="00E757D1">
        <w:rPr>
          <w:rFonts w:ascii="Verdana" w:hAnsi="Verdana"/>
          <w:sz w:val="20"/>
          <w:szCs w:val="20"/>
          <w:vertAlign w:val="superscript"/>
          <w:lang w:val="es-ES"/>
        </w:rPr>
        <w:t xml:space="preserve"> y </w:t>
      </w:r>
      <w:r w:rsidR="0064637C" w:rsidRPr="00E757D1">
        <w:rPr>
          <w:rStyle w:val="Refdenotaalpie"/>
          <w:rFonts w:ascii="Verdana" w:hAnsi="Verdana"/>
          <w:sz w:val="20"/>
          <w:szCs w:val="20"/>
          <w:lang w:val="es-ES"/>
        </w:rPr>
        <w:footnoteReference w:id="49"/>
      </w:r>
      <w:r w:rsidR="00DC283A" w:rsidRPr="00E757D1">
        <w:rPr>
          <w:rFonts w:ascii="Verdana" w:hAnsi="Verdana"/>
          <w:sz w:val="20"/>
          <w:szCs w:val="20"/>
          <w:lang w:val="es-ES"/>
        </w:rPr>
        <w:t xml:space="preserve">, al Convenio No. 81 de 1947 de </w:t>
      </w:r>
      <w:r w:rsidR="0064637C" w:rsidRPr="00E757D1">
        <w:rPr>
          <w:rFonts w:ascii="Verdana" w:hAnsi="Verdana"/>
          <w:sz w:val="20"/>
          <w:szCs w:val="20"/>
          <w:lang w:val="es-ES"/>
        </w:rPr>
        <w:t>la OIT</w:t>
      </w:r>
      <w:r w:rsidR="00BC5391" w:rsidRPr="00E757D1">
        <w:rPr>
          <w:rFonts w:ascii="Verdana" w:hAnsi="Verdana"/>
          <w:sz w:val="20"/>
          <w:szCs w:val="20"/>
          <w:lang w:val="es-ES"/>
        </w:rPr>
        <w:t>,</w:t>
      </w:r>
      <w:r w:rsidR="00DC283A" w:rsidRPr="00E757D1">
        <w:rPr>
          <w:rFonts w:ascii="Verdana" w:hAnsi="Verdana"/>
          <w:sz w:val="20"/>
          <w:szCs w:val="20"/>
          <w:lang w:val="es-ES"/>
        </w:rPr>
        <w:t xml:space="preserve"> sobre la Inspección del Trabajo</w:t>
      </w:r>
      <w:r w:rsidR="00DC283A" w:rsidRPr="00E757D1">
        <w:rPr>
          <w:rStyle w:val="Refdenotaalpie"/>
          <w:rFonts w:ascii="Verdana" w:hAnsi="Verdana"/>
          <w:sz w:val="20"/>
          <w:szCs w:val="20"/>
          <w:lang w:val="es-ES"/>
        </w:rPr>
        <w:footnoteReference w:id="50"/>
      </w:r>
      <w:r w:rsidR="00BC5391" w:rsidRPr="00E757D1">
        <w:rPr>
          <w:rFonts w:ascii="Verdana" w:hAnsi="Verdana"/>
          <w:sz w:val="20"/>
          <w:szCs w:val="20"/>
          <w:lang w:val="es-ES"/>
        </w:rPr>
        <w:t xml:space="preserve">, </w:t>
      </w:r>
      <w:r w:rsidR="00D06A9A" w:rsidRPr="00E757D1">
        <w:rPr>
          <w:rFonts w:ascii="Verdana" w:hAnsi="Verdana"/>
          <w:sz w:val="20"/>
          <w:szCs w:val="20"/>
          <w:lang w:val="es-ES"/>
        </w:rPr>
        <w:t>y</w:t>
      </w:r>
      <w:r w:rsidR="0064637C" w:rsidRPr="00E757D1">
        <w:rPr>
          <w:rFonts w:ascii="Verdana" w:hAnsi="Verdana"/>
          <w:sz w:val="20"/>
          <w:szCs w:val="20"/>
          <w:lang w:val="es-ES"/>
        </w:rPr>
        <w:t xml:space="preserve"> al Convenio No. 155 de 1981 de la OIT, sobre seguridad y salud de los trabajadores</w:t>
      </w:r>
      <w:r w:rsidR="0064637C" w:rsidRPr="00E757D1">
        <w:rPr>
          <w:rStyle w:val="Refdenotaalpie"/>
          <w:rFonts w:ascii="Verdana" w:hAnsi="Verdana"/>
          <w:sz w:val="20"/>
          <w:szCs w:val="20"/>
          <w:lang w:val="es-ES"/>
        </w:rPr>
        <w:footnoteReference w:id="51"/>
      </w:r>
      <w:r w:rsidR="00D06A9A" w:rsidRPr="00E757D1">
        <w:rPr>
          <w:rFonts w:ascii="Verdana" w:hAnsi="Verdana"/>
          <w:sz w:val="20"/>
          <w:szCs w:val="20"/>
          <w:lang w:val="es-ES"/>
        </w:rPr>
        <w:t>, instrumentos jurídicos, se reitera, que no contemplan la posibilidad de recurrir ante la Corte u otro tribunal internacional, por las eventuales violaciones del derecho al trabajo.</w:t>
      </w:r>
    </w:p>
    <w:p w14:paraId="554A975C" w14:textId="77777777" w:rsidR="00DC283A" w:rsidRPr="00E757D1" w:rsidRDefault="00DC283A" w:rsidP="00DA5A31">
      <w:pPr>
        <w:spacing w:line="276" w:lineRule="auto"/>
        <w:ind w:left="-270" w:right="-162"/>
        <w:contextualSpacing/>
        <w:rPr>
          <w:rFonts w:ascii="Verdana" w:hAnsi="Verdana"/>
          <w:sz w:val="20"/>
          <w:szCs w:val="20"/>
          <w:lang w:val="es-ES"/>
        </w:rPr>
      </w:pPr>
    </w:p>
    <w:p w14:paraId="10CA56AB" w14:textId="616FD276" w:rsidR="00B105E0" w:rsidRPr="00E757D1" w:rsidRDefault="00D06A9A"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T</w:t>
      </w:r>
      <w:r w:rsidR="00E9106E" w:rsidRPr="00E757D1">
        <w:rPr>
          <w:rFonts w:ascii="Verdana" w:hAnsi="Verdana"/>
          <w:bCs/>
          <w:sz w:val="20"/>
          <w:szCs w:val="20"/>
          <w:lang w:val="es-ES"/>
        </w:rPr>
        <w:t>ampoco</w:t>
      </w:r>
      <w:r w:rsidRPr="00E757D1">
        <w:rPr>
          <w:rFonts w:ascii="Verdana" w:hAnsi="Verdana"/>
          <w:bCs/>
          <w:sz w:val="20"/>
          <w:szCs w:val="20"/>
          <w:lang w:val="es-ES"/>
        </w:rPr>
        <w:t xml:space="preserve"> la Sentencia recurre</w:t>
      </w:r>
      <w:r w:rsidR="00E9106E" w:rsidRPr="00E757D1">
        <w:rPr>
          <w:rFonts w:ascii="Verdana" w:hAnsi="Verdana"/>
          <w:bCs/>
          <w:sz w:val="20"/>
          <w:szCs w:val="20"/>
          <w:lang w:val="es-ES"/>
        </w:rPr>
        <w:t xml:space="preserve"> a fuentes auxiliares del Derecho Internacional, esto es, a las que ayudan en la determinación de las reglas de derecho aplicables, como son la jurisprudencia, la doctrina o las resoluciones de organizaciones internacionales declarativas de derecho</w:t>
      </w:r>
      <w:r w:rsidR="00E9106E" w:rsidRPr="00E757D1">
        <w:rPr>
          <w:rFonts w:ascii="Verdana" w:hAnsi="Verdana"/>
          <w:sz w:val="20"/>
          <w:szCs w:val="20"/>
          <w:vertAlign w:val="superscript"/>
          <w:lang w:val="es-ES"/>
        </w:rPr>
        <w:footnoteReference w:id="52"/>
      </w:r>
      <w:r w:rsidRPr="00E757D1">
        <w:rPr>
          <w:rFonts w:ascii="Verdana" w:hAnsi="Verdana"/>
          <w:sz w:val="20"/>
          <w:szCs w:val="20"/>
          <w:lang w:val="es-ES"/>
        </w:rPr>
        <w:t xml:space="preserve">. Únicamente </w:t>
      </w:r>
      <w:r w:rsidR="00DB46B4" w:rsidRPr="00E757D1">
        <w:rPr>
          <w:rFonts w:ascii="Verdana" w:hAnsi="Verdana"/>
          <w:sz w:val="20"/>
          <w:szCs w:val="20"/>
          <w:lang w:val="es-ES"/>
        </w:rPr>
        <w:t>apela</w:t>
      </w:r>
      <w:r w:rsidRPr="00E757D1">
        <w:rPr>
          <w:rFonts w:ascii="Verdana" w:hAnsi="Verdana"/>
          <w:sz w:val="20"/>
          <w:szCs w:val="20"/>
          <w:lang w:val="es-ES"/>
        </w:rPr>
        <w:t xml:space="preserve"> </w:t>
      </w:r>
      <w:r w:rsidR="00DB46B4" w:rsidRPr="00E757D1">
        <w:rPr>
          <w:rFonts w:ascii="Verdana" w:hAnsi="Verdana"/>
          <w:sz w:val="20"/>
          <w:szCs w:val="20"/>
          <w:lang w:val="es-ES"/>
        </w:rPr>
        <w:t xml:space="preserve">sea a su propia jurisprudencia, lo cual es útil </w:t>
      </w:r>
      <w:r w:rsidR="005D61E9" w:rsidRPr="00E757D1">
        <w:rPr>
          <w:rFonts w:ascii="Verdana" w:hAnsi="Verdana"/>
          <w:sz w:val="20"/>
          <w:szCs w:val="20"/>
          <w:lang w:val="es-ES"/>
        </w:rPr>
        <w:t>básicamente</w:t>
      </w:r>
      <w:r w:rsidR="00DB46B4" w:rsidRPr="00E757D1">
        <w:rPr>
          <w:rFonts w:ascii="Verdana" w:hAnsi="Verdana"/>
          <w:sz w:val="20"/>
          <w:szCs w:val="20"/>
          <w:lang w:val="es-ES"/>
        </w:rPr>
        <w:t xml:space="preserve"> para demostrar coherencia en su proceder, más no </w:t>
      </w:r>
      <w:r w:rsidR="005D61E9" w:rsidRPr="00E757D1">
        <w:rPr>
          <w:rFonts w:ascii="Verdana" w:hAnsi="Verdana"/>
          <w:sz w:val="20"/>
          <w:szCs w:val="20"/>
          <w:lang w:val="es-ES"/>
        </w:rPr>
        <w:t xml:space="preserve">necesariamente </w:t>
      </w:r>
      <w:r w:rsidR="00DB46B4" w:rsidRPr="00E757D1">
        <w:rPr>
          <w:rFonts w:ascii="Verdana" w:hAnsi="Verdana"/>
          <w:sz w:val="20"/>
          <w:szCs w:val="20"/>
          <w:lang w:val="es-ES"/>
        </w:rPr>
        <w:t xml:space="preserve">para determinar las reglas jurídicas aplicables, sea </w:t>
      </w:r>
      <w:r w:rsidR="00E9106E" w:rsidRPr="00E757D1">
        <w:rPr>
          <w:rFonts w:ascii="Verdana" w:hAnsi="Verdana"/>
          <w:sz w:val="20"/>
          <w:szCs w:val="20"/>
          <w:lang w:val="es-ES"/>
        </w:rPr>
        <w:t>a resoluciones de organizaciones internacionales</w:t>
      </w:r>
      <w:r w:rsidR="00DB46B4" w:rsidRPr="00E757D1">
        <w:rPr>
          <w:rFonts w:ascii="Verdana" w:hAnsi="Verdana"/>
          <w:sz w:val="20"/>
          <w:szCs w:val="20"/>
          <w:lang w:val="es-ES"/>
        </w:rPr>
        <w:t xml:space="preserve"> no vinculantes para los Estados</w:t>
      </w:r>
      <w:r w:rsidR="00E9106E" w:rsidRPr="00E757D1">
        <w:rPr>
          <w:rFonts w:ascii="Verdana" w:hAnsi="Verdana"/>
          <w:sz w:val="20"/>
          <w:szCs w:val="20"/>
          <w:lang w:val="es-ES"/>
        </w:rPr>
        <w:t xml:space="preserve">, es decir, </w:t>
      </w:r>
      <w:r w:rsidR="00DB46B4" w:rsidRPr="00E757D1">
        <w:rPr>
          <w:rFonts w:ascii="Verdana" w:hAnsi="Verdana"/>
          <w:sz w:val="20"/>
          <w:szCs w:val="20"/>
          <w:lang w:val="es-ES"/>
        </w:rPr>
        <w:t xml:space="preserve">a </w:t>
      </w:r>
      <w:r w:rsidR="00E9106E" w:rsidRPr="00E757D1">
        <w:rPr>
          <w:rFonts w:ascii="Verdana" w:hAnsi="Verdana"/>
          <w:sz w:val="20"/>
          <w:szCs w:val="20"/>
          <w:lang w:val="es-ES"/>
        </w:rPr>
        <w:t>meras recomendaciones</w:t>
      </w:r>
      <w:r w:rsidR="00360F16" w:rsidRPr="00E757D1">
        <w:rPr>
          <w:rFonts w:ascii="Verdana" w:hAnsi="Verdana"/>
          <w:sz w:val="20"/>
          <w:szCs w:val="20"/>
          <w:lang w:val="es-ES"/>
        </w:rPr>
        <w:t>,</w:t>
      </w:r>
      <w:r w:rsidR="00E9106E" w:rsidRPr="00E757D1">
        <w:rPr>
          <w:rFonts w:ascii="Verdana" w:hAnsi="Verdana"/>
          <w:sz w:val="20"/>
          <w:szCs w:val="20"/>
          <w:lang w:val="es-ES"/>
        </w:rPr>
        <w:t xml:space="preserve"> y que</w:t>
      </w:r>
      <w:r w:rsidR="00DB46B4" w:rsidRPr="00E757D1">
        <w:rPr>
          <w:rFonts w:ascii="Verdana" w:hAnsi="Verdana"/>
          <w:sz w:val="20"/>
          <w:szCs w:val="20"/>
          <w:lang w:val="es-ES"/>
        </w:rPr>
        <w:t>, además,</w:t>
      </w:r>
      <w:r w:rsidR="00E9106E" w:rsidRPr="00E757D1">
        <w:rPr>
          <w:rFonts w:ascii="Verdana" w:hAnsi="Verdana"/>
          <w:sz w:val="20"/>
          <w:szCs w:val="20"/>
          <w:lang w:val="es-ES"/>
        </w:rPr>
        <w:t xml:space="preserve"> no interpretan a la Convención ni tienen por objeto </w:t>
      </w:r>
      <w:r w:rsidR="00DB46B4" w:rsidRPr="00E757D1">
        <w:rPr>
          <w:rFonts w:ascii="Verdana" w:hAnsi="Verdana"/>
          <w:sz w:val="20"/>
          <w:szCs w:val="20"/>
          <w:lang w:val="es-ES"/>
        </w:rPr>
        <w:t>hacerlo</w:t>
      </w:r>
      <w:r w:rsidR="00E9106E" w:rsidRPr="00E757D1">
        <w:rPr>
          <w:rFonts w:ascii="Verdana" w:hAnsi="Verdana"/>
          <w:sz w:val="20"/>
          <w:szCs w:val="20"/>
          <w:lang w:val="es-ES"/>
        </w:rPr>
        <w:t>.</w:t>
      </w:r>
    </w:p>
    <w:p w14:paraId="3D6B8575" w14:textId="77777777" w:rsidR="00B105E0" w:rsidRPr="00E757D1" w:rsidRDefault="00B105E0" w:rsidP="00DA5A31">
      <w:pPr>
        <w:pStyle w:val="Prrafodelista"/>
        <w:ind w:left="-270" w:right="-162"/>
        <w:rPr>
          <w:rFonts w:ascii="Verdana" w:hAnsi="Verdana"/>
          <w:bCs/>
          <w:sz w:val="20"/>
          <w:szCs w:val="20"/>
          <w:lang w:val="es-ES"/>
        </w:rPr>
      </w:pPr>
    </w:p>
    <w:p w14:paraId="431EC693" w14:textId="19E9DC60" w:rsidR="00B105E0" w:rsidRPr="00E757D1" w:rsidRDefault="00DB46B4"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 xml:space="preserve">Lo último indicado acontece con </w:t>
      </w:r>
      <w:r w:rsidRPr="00E757D1">
        <w:rPr>
          <w:rFonts w:ascii="Verdana" w:hAnsi="Verdana"/>
          <w:sz w:val="20"/>
          <w:szCs w:val="20"/>
          <w:lang w:val="es-ES"/>
        </w:rPr>
        <w:t>Observaci</w:t>
      </w:r>
      <w:r w:rsidR="00AD6FFA" w:rsidRPr="00E757D1">
        <w:rPr>
          <w:rFonts w:ascii="Verdana" w:hAnsi="Verdana"/>
          <w:sz w:val="20"/>
          <w:szCs w:val="20"/>
          <w:lang w:val="es-ES"/>
        </w:rPr>
        <w:t>o</w:t>
      </w:r>
      <w:r w:rsidRPr="00E757D1">
        <w:rPr>
          <w:rFonts w:ascii="Verdana" w:hAnsi="Verdana"/>
          <w:sz w:val="20"/>
          <w:szCs w:val="20"/>
          <w:lang w:val="es-ES"/>
        </w:rPr>
        <w:t>nes Generales No. 14,</w:t>
      </w:r>
      <w:r w:rsidRPr="00E757D1">
        <w:rPr>
          <w:rStyle w:val="Refdenotaalpie"/>
          <w:rFonts w:ascii="Verdana" w:hAnsi="Verdana"/>
          <w:sz w:val="20"/>
          <w:szCs w:val="20"/>
          <w:lang w:val="es-ES"/>
        </w:rPr>
        <w:footnoteReference w:id="53"/>
      </w:r>
      <w:r w:rsidRPr="00E757D1">
        <w:rPr>
          <w:rFonts w:ascii="Verdana" w:hAnsi="Verdana"/>
          <w:sz w:val="20"/>
          <w:szCs w:val="20"/>
          <w:lang w:val="es-ES"/>
        </w:rPr>
        <w:t>, 18</w:t>
      </w:r>
      <w:r w:rsidRPr="00E757D1">
        <w:rPr>
          <w:rStyle w:val="Refdenotaalpie"/>
          <w:rFonts w:ascii="Verdana" w:hAnsi="Verdana"/>
          <w:sz w:val="20"/>
          <w:szCs w:val="20"/>
          <w:lang w:val="es-ES"/>
        </w:rPr>
        <w:footnoteReference w:id="54"/>
      </w:r>
      <w:r w:rsidR="00AD6FFA" w:rsidRPr="00E757D1">
        <w:rPr>
          <w:rFonts w:ascii="Verdana" w:hAnsi="Verdana"/>
          <w:sz w:val="20"/>
          <w:szCs w:val="20"/>
          <w:lang w:val="es-ES"/>
        </w:rPr>
        <w:t xml:space="preserve"> y 23</w:t>
      </w:r>
      <w:r w:rsidR="00AD6FFA" w:rsidRPr="00E757D1">
        <w:rPr>
          <w:rStyle w:val="Refdenotaalpie"/>
          <w:rFonts w:ascii="Verdana" w:hAnsi="Verdana"/>
          <w:sz w:val="20"/>
          <w:szCs w:val="20"/>
          <w:lang w:val="es-ES"/>
        </w:rPr>
        <w:footnoteReference w:id="55"/>
      </w:r>
      <w:r w:rsidR="005D61E9" w:rsidRPr="00E757D1">
        <w:rPr>
          <w:rFonts w:ascii="Verdana" w:hAnsi="Verdana"/>
          <w:sz w:val="20"/>
          <w:szCs w:val="20"/>
          <w:lang w:val="es-ES"/>
        </w:rPr>
        <w:t xml:space="preserve">, </w:t>
      </w:r>
      <w:r w:rsidR="00AD6FFA" w:rsidRPr="00E757D1">
        <w:rPr>
          <w:rFonts w:ascii="Verdana" w:hAnsi="Verdana"/>
          <w:sz w:val="20"/>
          <w:szCs w:val="20"/>
          <w:lang w:val="es-ES"/>
        </w:rPr>
        <w:t xml:space="preserve">todas del Comité de Derechos Económicos, Sociales y Culturales del Consejo Económico y Social de las Naciones Unidas. </w:t>
      </w:r>
      <w:r w:rsidR="00E9106E" w:rsidRPr="00E757D1">
        <w:rPr>
          <w:rFonts w:ascii="Verdana" w:hAnsi="Verdana"/>
          <w:bCs/>
          <w:sz w:val="20"/>
          <w:szCs w:val="20"/>
          <w:lang w:val="es-ES"/>
        </w:rPr>
        <w:t>Y es que esos instrumentos</w:t>
      </w:r>
      <w:r w:rsidR="00360F16" w:rsidRPr="00E757D1">
        <w:rPr>
          <w:rFonts w:ascii="Verdana" w:hAnsi="Verdana"/>
          <w:bCs/>
          <w:sz w:val="20"/>
          <w:szCs w:val="20"/>
          <w:lang w:val="es-ES"/>
        </w:rPr>
        <w:t>,</w:t>
      </w:r>
      <w:r w:rsidR="00E9106E" w:rsidRPr="00E757D1">
        <w:rPr>
          <w:rFonts w:ascii="Verdana" w:hAnsi="Verdana"/>
          <w:bCs/>
          <w:sz w:val="20"/>
          <w:szCs w:val="20"/>
          <w:lang w:val="es-ES"/>
        </w:rPr>
        <w:t xml:space="preserve"> </w:t>
      </w:r>
      <w:r w:rsidR="005D61E9" w:rsidRPr="00E757D1">
        <w:rPr>
          <w:rFonts w:ascii="Verdana" w:hAnsi="Verdana"/>
          <w:bCs/>
          <w:sz w:val="20"/>
          <w:szCs w:val="20"/>
          <w:lang w:val="es-ES"/>
        </w:rPr>
        <w:t>más que interpretar una norma convencional</w:t>
      </w:r>
      <w:r w:rsidR="00E17603" w:rsidRPr="00E757D1">
        <w:rPr>
          <w:rFonts w:ascii="Verdana" w:hAnsi="Verdana"/>
          <w:bCs/>
          <w:sz w:val="20"/>
          <w:szCs w:val="20"/>
          <w:lang w:val="es-ES"/>
        </w:rPr>
        <w:t xml:space="preserve"> y menos aún a la Convención</w:t>
      </w:r>
      <w:r w:rsidR="005D61E9" w:rsidRPr="00E757D1">
        <w:rPr>
          <w:rFonts w:ascii="Verdana" w:hAnsi="Verdana"/>
          <w:bCs/>
          <w:sz w:val="20"/>
          <w:szCs w:val="20"/>
          <w:lang w:val="es-ES"/>
        </w:rPr>
        <w:t xml:space="preserve">, </w:t>
      </w:r>
      <w:r w:rsidR="00E9106E" w:rsidRPr="00E757D1">
        <w:rPr>
          <w:rFonts w:ascii="Verdana" w:hAnsi="Verdana"/>
          <w:bCs/>
          <w:sz w:val="20"/>
          <w:szCs w:val="20"/>
          <w:lang w:val="es-ES"/>
        </w:rPr>
        <w:t>constituyen</w:t>
      </w:r>
      <w:r w:rsidR="00AD6FFA" w:rsidRPr="00E757D1">
        <w:rPr>
          <w:rFonts w:ascii="Verdana" w:hAnsi="Verdana"/>
          <w:bCs/>
          <w:sz w:val="20"/>
          <w:szCs w:val="20"/>
          <w:lang w:val="es-ES"/>
        </w:rPr>
        <w:t xml:space="preserve"> </w:t>
      </w:r>
      <w:r w:rsidR="00E9106E" w:rsidRPr="00E757D1">
        <w:rPr>
          <w:rFonts w:ascii="Verdana" w:hAnsi="Verdana"/>
          <w:bCs/>
          <w:sz w:val="20"/>
          <w:szCs w:val="20"/>
          <w:lang w:val="es-ES"/>
        </w:rPr>
        <w:t>expresión de aspiraciones, por lo demás legítimas, de cambio o desarrollo del Derecho Internacional en la materia a la que cada uno se refiere</w:t>
      </w:r>
      <w:r w:rsidR="005D61E9" w:rsidRPr="00E757D1">
        <w:rPr>
          <w:rFonts w:ascii="Verdana" w:hAnsi="Verdana"/>
          <w:sz w:val="20"/>
          <w:szCs w:val="20"/>
          <w:lang w:val="es-ES"/>
        </w:rPr>
        <w:t>. Por otra parte, no se debe olvidar</w:t>
      </w:r>
      <w:r w:rsidR="00E9106E" w:rsidRPr="00E757D1">
        <w:rPr>
          <w:rFonts w:ascii="Verdana" w:hAnsi="Verdana"/>
          <w:sz w:val="20"/>
          <w:szCs w:val="20"/>
          <w:lang w:val="es-ES"/>
        </w:rPr>
        <w:t xml:space="preserve"> que ni siquiera emanan de un funcionario o de un órgano internacional del </w:t>
      </w:r>
      <w:r w:rsidR="00E17603" w:rsidRPr="00E757D1">
        <w:rPr>
          <w:rFonts w:ascii="Verdana" w:hAnsi="Verdana"/>
          <w:sz w:val="20"/>
          <w:szCs w:val="20"/>
          <w:lang w:val="es-ES"/>
        </w:rPr>
        <w:t>SIDH</w:t>
      </w:r>
      <w:r w:rsidR="00E9106E" w:rsidRPr="00E757D1">
        <w:rPr>
          <w:rFonts w:ascii="Verdana" w:hAnsi="Verdana"/>
          <w:sz w:val="20"/>
          <w:szCs w:val="20"/>
          <w:lang w:val="es-ES"/>
        </w:rPr>
        <w:t xml:space="preserve">. </w:t>
      </w:r>
    </w:p>
    <w:p w14:paraId="0EB4BD1D" w14:textId="77777777" w:rsidR="00B105E0" w:rsidRPr="00E757D1" w:rsidRDefault="00B105E0" w:rsidP="00DA5A31">
      <w:pPr>
        <w:pStyle w:val="Prrafodelista"/>
        <w:ind w:left="-270" w:right="-162"/>
        <w:rPr>
          <w:rFonts w:ascii="Verdana" w:eastAsia="Batang" w:hAnsi="Verdana"/>
          <w:bCs/>
          <w:sz w:val="20"/>
          <w:szCs w:val="20"/>
          <w:lang w:val="es-ES"/>
        </w:rPr>
      </w:pPr>
    </w:p>
    <w:p w14:paraId="3966BA14" w14:textId="5C075551" w:rsidR="002B4C9E"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eastAsia="Batang" w:hAnsi="Verdana"/>
          <w:bCs/>
          <w:sz w:val="20"/>
          <w:szCs w:val="20"/>
          <w:lang w:val="es-ES"/>
        </w:rPr>
        <w:t xml:space="preserve">En cuanto a la </w:t>
      </w:r>
      <w:r w:rsidR="006C1952" w:rsidRPr="00E757D1">
        <w:rPr>
          <w:rFonts w:ascii="Verdana" w:hAnsi="Verdana"/>
          <w:sz w:val="20"/>
          <w:szCs w:val="20"/>
          <w:lang w:val="es-ES"/>
        </w:rPr>
        <w:t>Declaración Universal de Derechos Humanos</w:t>
      </w:r>
      <w:r w:rsidR="00764633" w:rsidRPr="00E757D1">
        <w:rPr>
          <w:rStyle w:val="Refdenotaalpie"/>
          <w:rFonts w:ascii="Verdana" w:hAnsi="Verdana"/>
          <w:sz w:val="20"/>
          <w:szCs w:val="20"/>
          <w:lang w:val="es-ES"/>
        </w:rPr>
        <w:footnoteReference w:id="56"/>
      </w:r>
      <w:r w:rsidR="006C1952" w:rsidRPr="00E757D1">
        <w:rPr>
          <w:rFonts w:ascii="Verdana" w:hAnsi="Verdana"/>
          <w:sz w:val="20"/>
          <w:szCs w:val="20"/>
          <w:lang w:val="es-ES"/>
        </w:rPr>
        <w:t xml:space="preserve"> y a la </w:t>
      </w:r>
      <w:r w:rsidRPr="00E757D1">
        <w:rPr>
          <w:rFonts w:ascii="Verdana" w:eastAsia="Batang" w:hAnsi="Verdana"/>
          <w:sz w:val="20"/>
          <w:szCs w:val="20"/>
          <w:shd w:val="clear" w:color="auto" w:fill="FFFFFF"/>
          <w:lang w:val="es-ES"/>
        </w:rPr>
        <w:t>Declaración Americana de los Derechos y Deberes del Hombre</w:t>
      </w:r>
      <w:r w:rsidR="00063C9F" w:rsidRPr="00E757D1">
        <w:rPr>
          <w:rStyle w:val="Refdenotaalpie"/>
          <w:rFonts w:ascii="Verdana" w:eastAsia="Batang" w:hAnsi="Verdana"/>
          <w:sz w:val="20"/>
          <w:szCs w:val="20"/>
          <w:shd w:val="clear" w:color="auto" w:fill="FFFFFF"/>
          <w:lang w:val="es-ES"/>
        </w:rPr>
        <w:footnoteReference w:id="57"/>
      </w:r>
      <w:r w:rsidR="005D61E9" w:rsidRPr="00E757D1">
        <w:rPr>
          <w:rFonts w:ascii="Verdana" w:eastAsia="Batang" w:hAnsi="Verdana"/>
          <w:sz w:val="20"/>
          <w:szCs w:val="20"/>
          <w:shd w:val="clear" w:color="auto" w:fill="FFFFFF"/>
          <w:lang w:val="es-ES"/>
        </w:rPr>
        <w:t xml:space="preserve"> referida</w:t>
      </w:r>
      <w:r w:rsidR="00764633" w:rsidRPr="00E757D1">
        <w:rPr>
          <w:rFonts w:ascii="Verdana" w:eastAsia="Batang" w:hAnsi="Verdana"/>
          <w:sz w:val="20"/>
          <w:szCs w:val="20"/>
          <w:shd w:val="clear" w:color="auto" w:fill="FFFFFF"/>
          <w:lang w:val="es-ES"/>
        </w:rPr>
        <w:t>s</w:t>
      </w:r>
      <w:r w:rsidR="005D61E9" w:rsidRPr="00E757D1">
        <w:rPr>
          <w:rFonts w:ascii="Verdana" w:eastAsia="Batang" w:hAnsi="Verdana"/>
          <w:sz w:val="20"/>
          <w:szCs w:val="20"/>
          <w:shd w:val="clear" w:color="auto" w:fill="FFFFFF"/>
          <w:lang w:val="es-ES"/>
        </w:rPr>
        <w:t xml:space="preserve"> en la Sentencia</w:t>
      </w:r>
      <w:r w:rsidR="00E17603" w:rsidRPr="00E757D1">
        <w:rPr>
          <w:rFonts w:ascii="Verdana" w:eastAsia="Batang" w:hAnsi="Verdana"/>
          <w:sz w:val="20"/>
          <w:szCs w:val="20"/>
          <w:shd w:val="clear" w:color="auto" w:fill="FFFFFF"/>
          <w:lang w:val="es-ES"/>
        </w:rPr>
        <w:t>, si bien es cierto que ella</w:t>
      </w:r>
      <w:r w:rsidR="00764633" w:rsidRPr="00E757D1">
        <w:rPr>
          <w:rFonts w:ascii="Verdana" w:eastAsia="Batang" w:hAnsi="Verdana"/>
          <w:sz w:val="20"/>
          <w:szCs w:val="20"/>
          <w:shd w:val="clear" w:color="auto" w:fill="FFFFFF"/>
          <w:lang w:val="es-ES"/>
        </w:rPr>
        <w:t>s</w:t>
      </w:r>
      <w:r w:rsidR="00E17603" w:rsidRPr="00E757D1">
        <w:rPr>
          <w:rFonts w:ascii="Verdana" w:eastAsia="Batang" w:hAnsi="Verdana"/>
          <w:sz w:val="20"/>
          <w:szCs w:val="20"/>
          <w:shd w:val="clear" w:color="auto" w:fill="FFFFFF"/>
          <w:lang w:val="es-ES"/>
        </w:rPr>
        <w:t xml:space="preserve"> </w:t>
      </w:r>
      <w:r w:rsidR="00764633" w:rsidRPr="00E757D1">
        <w:rPr>
          <w:rFonts w:ascii="Verdana" w:eastAsia="Batang" w:hAnsi="Verdana"/>
          <w:sz w:val="20"/>
          <w:szCs w:val="20"/>
          <w:shd w:val="clear" w:color="auto" w:fill="FFFFFF"/>
          <w:lang w:val="es-ES"/>
        </w:rPr>
        <w:t>son</w:t>
      </w:r>
      <w:r w:rsidR="00E17603" w:rsidRPr="00E757D1">
        <w:rPr>
          <w:rFonts w:ascii="Verdana" w:eastAsia="Batang" w:hAnsi="Verdana"/>
          <w:sz w:val="20"/>
          <w:szCs w:val="20"/>
          <w:shd w:val="clear" w:color="auto" w:fill="FFFFFF"/>
          <w:lang w:val="es-ES"/>
        </w:rPr>
        <w:t xml:space="preserve"> Resoluci</w:t>
      </w:r>
      <w:r w:rsidR="00764633" w:rsidRPr="00E757D1">
        <w:rPr>
          <w:rFonts w:ascii="Verdana" w:eastAsia="Batang" w:hAnsi="Verdana"/>
          <w:sz w:val="20"/>
          <w:szCs w:val="20"/>
          <w:shd w:val="clear" w:color="auto" w:fill="FFFFFF"/>
          <w:lang w:val="es-ES"/>
        </w:rPr>
        <w:t>ones</w:t>
      </w:r>
      <w:r w:rsidR="00E17603" w:rsidRPr="00E757D1">
        <w:rPr>
          <w:rFonts w:ascii="Verdana" w:eastAsia="Batang" w:hAnsi="Verdana"/>
          <w:sz w:val="20"/>
          <w:szCs w:val="20"/>
          <w:shd w:val="clear" w:color="auto" w:fill="FFFFFF"/>
          <w:lang w:val="es-ES"/>
        </w:rPr>
        <w:t xml:space="preserve"> </w:t>
      </w:r>
      <w:r w:rsidRPr="00E757D1">
        <w:rPr>
          <w:rFonts w:ascii="Verdana" w:eastAsia="Batang" w:hAnsi="Verdana"/>
          <w:bCs/>
          <w:sz w:val="20"/>
          <w:szCs w:val="20"/>
          <w:lang w:val="es-ES"/>
        </w:rPr>
        <w:t>Declarativa</w:t>
      </w:r>
      <w:r w:rsidR="00764633" w:rsidRPr="00E757D1">
        <w:rPr>
          <w:rFonts w:ascii="Verdana" w:eastAsia="Batang" w:hAnsi="Verdana"/>
          <w:bCs/>
          <w:sz w:val="20"/>
          <w:szCs w:val="20"/>
          <w:lang w:val="es-ES"/>
        </w:rPr>
        <w:t>s</w:t>
      </w:r>
      <w:r w:rsidR="00E17603" w:rsidRPr="00E757D1">
        <w:rPr>
          <w:rFonts w:ascii="Verdana" w:eastAsia="Batang" w:hAnsi="Verdana"/>
          <w:bCs/>
          <w:sz w:val="20"/>
          <w:szCs w:val="20"/>
          <w:lang w:val="es-ES"/>
        </w:rPr>
        <w:t xml:space="preserve"> </w:t>
      </w:r>
      <w:r w:rsidRPr="00E757D1">
        <w:rPr>
          <w:rFonts w:ascii="Verdana" w:eastAsia="Batang" w:hAnsi="Verdana"/>
          <w:bCs/>
          <w:sz w:val="20"/>
          <w:szCs w:val="20"/>
          <w:lang w:val="es-ES"/>
        </w:rPr>
        <w:t>de Derecho, en cuanto da</w:t>
      </w:r>
      <w:r w:rsidR="00613604" w:rsidRPr="00E757D1">
        <w:rPr>
          <w:rFonts w:ascii="Verdana" w:eastAsia="Batang" w:hAnsi="Verdana"/>
          <w:bCs/>
          <w:sz w:val="20"/>
          <w:szCs w:val="20"/>
          <w:lang w:val="es-ES"/>
        </w:rPr>
        <w:t>n</w:t>
      </w:r>
      <w:r w:rsidRPr="00E757D1">
        <w:rPr>
          <w:rFonts w:ascii="Verdana" w:eastAsia="Batang" w:hAnsi="Verdana"/>
          <w:bCs/>
          <w:sz w:val="20"/>
          <w:szCs w:val="20"/>
          <w:lang w:val="es-ES"/>
        </w:rPr>
        <w:t xml:space="preserve"> cuenta de principios generales de Derecho aplicables en las materias correspondientes,</w:t>
      </w:r>
      <w:r w:rsidR="00E17603" w:rsidRPr="00E757D1">
        <w:rPr>
          <w:rFonts w:ascii="Verdana" w:eastAsia="Batang" w:hAnsi="Verdana"/>
          <w:bCs/>
          <w:sz w:val="20"/>
          <w:szCs w:val="20"/>
          <w:lang w:val="es-ES"/>
        </w:rPr>
        <w:t xml:space="preserve"> </w:t>
      </w:r>
      <w:r w:rsidRPr="00E757D1">
        <w:rPr>
          <w:rFonts w:ascii="Verdana" w:eastAsia="Batang" w:hAnsi="Verdana"/>
          <w:bCs/>
          <w:sz w:val="20"/>
          <w:szCs w:val="20"/>
          <w:lang w:val="es-ES"/>
        </w:rPr>
        <w:t>reconocido</w:t>
      </w:r>
      <w:r w:rsidR="00E17603" w:rsidRPr="00E757D1">
        <w:rPr>
          <w:rFonts w:ascii="Verdana" w:eastAsia="Batang" w:hAnsi="Verdana"/>
          <w:bCs/>
          <w:sz w:val="20"/>
          <w:szCs w:val="20"/>
          <w:lang w:val="es-ES"/>
        </w:rPr>
        <w:t>s además,</w:t>
      </w:r>
      <w:r w:rsidRPr="00E757D1">
        <w:rPr>
          <w:rFonts w:ascii="Verdana" w:eastAsia="Batang" w:hAnsi="Verdana"/>
          <w:bCs/>
          <w:sz w:val="20"/>
          <w:szCs w:val="20"/>
          <w:lang w:val="es-ES"/>
        </w:rPr>
        <w:t xml:space="preserve"> por la Convención en orden a que </w:t>
      </w:r>
      <w:r w:rsidRPr="00E757D1">
        <w:rPr>
          <w:rFonts w:ascii="Verdana" w:eastAsia="Batang" w:hAnsi="Verdana"/>
          <w:sz w:val="20"/>
          <w:szCs w:val="20"/>
          <w:lang w:val="es-ES"/>
        </w:rPr>
        <w:t>“</w:t>
      </w:r>
      <w:r w:rsidRPr="00E757D1">
        <w:rPr>
          <w:rFonts w:ascii="Verdana" w:eastAsia="Batang" w:hAnsi="Verdana"/>
          <w:i/>
          <w:iCs/>
          <w:sz w:val="20"/>
          <w:szCs w:val="20"/>
          <w:lang w:val="es-ES"/>
        </w:rPr>
        <w:t>los derechos esenciales del hombre</w:t>
      </w:r>
      <w:r w:rsidR="007A210D">
        <w:rPr>
          <w:rFonts w:ascii="Verdana" w:eastAsia="Batang" w:hAnsi="Verdana"/>
          <w:i/>
          <w:iCs/>
          <w:sz w:val="20"/>
          <w:szCs w:val="20"/>
          <w:lang w:val="es-ES"/>
        </w:rPr>
        <w:t>[</w:t>
      </w:r>
      <w:r w:rsidRPr="00E757D1">
        <w:rPr>
          <w:rFonts w:ascii="Verdana" w:eastAsia="Batang" w:hAnsi="Verdana"/>
          <w:sz w:val="20"/>
          <w:szCs w:val="20"/>
          <w:lang w:val="es-ES"/>
        </w:rPr>
        <w:t>…</w:t>
      </w:r>
      <w:r w:rsidR="007A210D">
        <w:rPr>
          <w:rFonts w:ascii="Verdana" w:eastAsia="Batang" w:hAnsi="Verdana"/>
          <w:sz w:val="20"/>
          <w:szCs w:val="20"/>
          <w:lang w:val="es-ES"/>
        </w:rPr>
        <w:t>]</w:t>
      </w:r>
      <w:r w:rsidRPr="00E757D1">
        <w:rPr>
          <w:rFonts w:ascii="Verdana" w:eastAsia="Batang" w:hAnsi="Verdana"/>
          <w:sz w:val="20"/>
          <w:szCs w:val="20"/>
          <w:lang w:val="es-ES"/>
        </w:rPr>
        <w:t xml:space="preserve">(que) </w:t>
      </w:r>
      <w:r w:rsidRPr="00E757D1">
        <w:rPr>
          <w:rFonts w:ascii="Verdana" w:eastAsia="Batang" w:hAnsi="Verdana"/>
          <w:i/>
          <w:iCs/>
          <w:sz w:val="20"/>
          <w:szCs w:val="20"/>
          <w:lang w:val="es-ES"/>
        </w:rPr>
        <w:t>tienen como fundamento los atributos de la persona humana”</w:t>
      </w:r>
      <w:r w:rsidRPr="00E757D1">
        <w:rPr>
          <w:rFonts w:ascii="Verdana" w:eastAsia="Batang" w:hAnsi="Verdana"/>
          <w:sz w:val="20"/>
          <w:szCs w:val="20"/>
          <w:lang w:val="es-ES"/>
        </w:rPr>
        <w:t xml:space="preserve"> y de que son “</w:t>
      </w:r>
      <w:r w:rsidRPr="00E757D1">
        <w:rPr>
          <w:rFonts w:ascii="Verdana" w:eastAsia="Batang" w:hAnsi="Verdana"/>
          <w:i/>
          <w:iCs/>
          <w:sz w:val="20"/>
          <w:szCs w:val="20"/>
          <w:lang w:val="es-ES"/>
        </w:rPr>
        <w:t xml:space="preserve">principios </w:t>
      </w:r>
      <w:r w:rsidR="007A210D">
        <w:rPr>
          <w:rFonts w:ascii="Verdana" w:eastAsia="Batang" w:hAnsi="Verdana"/>
          <w:i/>
          <w:iCs/>
          <w:sz w:val="20"/>
          <w:szCs w:val="20"/>
          <w:lang w:val="es-ES"/>
        </w:rPr>
        <w:t>[</w:t>
      </w:r>
      <w:r w:rsidRPr="00E757D1">
        <w:rPr>
          <w:rFonts w:ascii="Verdana" w:eastAsia="Batang" w:hAnsi="Verdana"/>
          <w:i/>
          <w:iCs/>
          <w:sz w:val="20"/>
          <w:szCs w:val="20"/>
          <w:lang w:val="es-ES"/>
        </w:rPr>
        <w:t>…</w:t>
      </w:r>
      <w:r w:rsidR="007A210D">
        <w:rPr>
          <w:rFonts w:ascii="Verdana" w:eastAsia="Batang" w:hAnsi="Verdana"/>
          <w:i/>
          <w:iCs/>
          <w:sz w:val="20"/>
          <w:szCs w:val="20"/>
          <w:lang w:val="es-ES"/>
        </w:rPr>
        <w:t xml:space="preserve">] </w:t>
      </w:r>
      <w:r w:rsidRPr="00E757D1">
        <w:rPr>
          <w:rFonts w:ascii="Verdana" w:eastAsia="Batang" w:hAnsi="Verdana"/>
          <w:i/>
          <w:iCs/>
          <w:sz w:val="20"/>
          <w:szCs w:val="20"/>
          <w:lang w:val="es-ES"/>
        </w:rPr>
        <w:t>consagrados en” ella</w:t>
      </w:r>
      <w:r w:rsidRPr="00E757D1">
        <w:rPr>
          <w:rFonts w:ascii="Verdana" w:eastAsia="Batang" w:hAnsi="Verdana"/>
          <w:sz w:val="20"/>
          <w:szCs w:val="20"/>
          <w:vertAlign w:val="superscript"/>
          <w:lang w:val="es-ES"/>
        </w:rPr>
        <w:footnoteReference w:id="58"/>
      </w:r>
      <w:r w:rsidR="00E17603" w:rsidRPr="00E757D1">
        <w:rPr>
          <w:rFonts w:ascii="Verdana" w:eastAsia="Batang" w:hAnsi="Verdana"/>
          <w:sz w:val="20"/>
          <w:szCs w:val="20"/>
          <w:lang w:val="es-ES"/>
        </w:rPr>
        <w:t>, no es menos cierto que tal</w:t>
      </w:r>
      <w:r w:rsidR="00764633" w:rsidRPr="00E757D1">
        <w:rPr>
          <w:rFonts w:ascii="Verdana" w:eastAsia="Batang" w:hAnsi="Verdana"/>
          <w:sz w:val="20"/>
          <w:szCs w:val="20"/>
          <w:lang w:val="es-ES"/>
        </w:rPr>
        <w:t>es</w:t>
      </w:r>
      <w:r w:rsidR="00E17603" w:rsidRPr="00E757D1">
        <w:rPr>
          <w:rFonts w:ascii="Verdana" w:eastAsia="Batang" w:hAnsi="Verdana"/>
          <w:sz w:val="20"/>
          <w:szCs w:val="20"/>
          <w:lang w:val="es-ES"/>
        </w:rPr>
        <w:t xml:space="preserve"> Declaraci</w:t>
      </w:r>
      <w:r w:rsidR="00764633" w:rsidRPr="00E757D1">
        <w:rPr>
          <w:rFonts w:ascii="Verdana" w:eastAsia="Batang" w:hAnsi="Verdana"/>
          <w:sz w:val="20"/>
          <w:szCs w:val="20"/>
          <w:lang w:val="es-ES"/>
        </w:rPr>
        <w:t>ones</w:t>
      </w:r>
      <w:r w:rsidR="00E17603" w:rsidRPr="00E757D1">
        <w:rPr>
          <w:rFonts w:ascii="Verdana" w:eastAsia="Batang" w:hAnsi="Verdana"/>
          <w:sz w:val="20"/>
          <w:szCs w:val="20"/>
          <w:lang w:val="es-ES"/>
        </w:rPr>
        <w:t xml:space="preserve"> no contempla</w:t>
      </w:r>
      <w:r w:rsidR="00764633" w:rsidRPr="00E757D1">
        <w:rPr>
          <w:rFonts w:ascii="Verdana" w:eastAsia="Batang" w:hAnsi="Verdana"/>
          <w:sz w:val="20"/>
          <w:szCs w:val="20"/>
          <w:lang w:val="es-ES"/>
        </w:rPr>
        <w:t>n</w:t>
      </w:r>
      <w:r w:rsidR="00E17603" w:rsidRPr="00E757D1">
        <w:rPr>
          <w:rFonts w:ascii="Verdana" w:eastAsia="Batang" w:hAnsi="Verdana"/>
          <w:sz w:val="20"/>
          <w:szCs w:val="20"/>
          <w:lang w:val="es-ES"/>
        </w:rPr>
        <w:t xml:space="preserve"> ni hace</w:t>
      </w:r>
      <w:r w:rsidR="00764633" w:rsidRPr="00E757D1">
        <w:rPr>
          <w:rFonts w:ascii="Verdana" w:eastAsia="Batang" w:hAnsi="Verdana"/>
          <w:sz w:val="20"/>
          <w:szCs w:val="20"/>
          <w:lang w:val="es-ES"/>
        </w:rPr>
        <w:t>n</w:t>
      </w:r>
      <w:r w:rsidR="00E17603" w:rsidRPr="00E757D1">
        <w:rPr>
          <w:rFonts w:ascii="Verdana" w:eastAsia="Batang" w:hAnsi="Verdana"/>
          <w:sz w:val="20"/>
          <w:szCs w:val="20"/>
          <w:lang w:val="es-ES"/>
        </w:rPr>
        <w:t xml:space="preserve"> </w:t>
      </w:r>
      <w:r w:rsidR="00E17603" w:rsidRPr="00E757D1">
        <w:rPr>
          <w:rFonts w:ascii="Verdana" w:eastAsia="Batang" w:hAnsi="Verdana"/>
          <w:sz w:val="20"/>
          <w:szCs w:val="20"/>
          <w:lang w:val="es-ES"/>
        </w:rPr>
        <w:lastRenderedPageBreak/>
        <w:t>referencia a  mecanismo alguno</w:t>
      </w:r>
      <w:r w:rsidRPr="00E757D1">
        <w:rPr>
          <w:rFonts w:ascii="Verdana" w:eastAsia="Batang" w:hAnsi="Verdana"/>
          <w:sz w:val="20"/>
          <w:szCs w:val="20"/>
          <w:lang w:val="es-ES"/>
        </w:rPr>
        <w:t xml:space="preserve"> </w:t>
      </w:r>
      <w:r w:rsidR="00E17603" w:rsidRPr="00E757D1">
        <w:rPr>
          <w:rFonts w:ascii="Verdana" w:eastAsia="Batang" w:hAnsi="Verdana"/>
          <w:sz w:val="20"/>
          <w:szCs w:val="20"/>
          <w:lang w:val="es-ES"/>
        </w:rPr>
        <w:t>de control del respeto de dichos principios. Cabe añadir que</w:t>
      </w:r>
      <w:r w:rsidR="004216E8" w:rsidRPr="00E757D1">
        <w:rPr>
          <w:rFonts w:ascii="Verdana" w:eastAsia="Batang" w:hAnsi="Verdana"/>
          <w:sz w:val="20"/>
          <w:szCs w:val="20"/>
          <w:lang w:val="es-ES"/>
        </w:rPr>
        <w:t xml:space="preserve"> </w:t>
      </w:r>
      <w:r w:rsidR="00E17603" w:rsidRPr="00E757D1">
        <w:rPr>
          <w:rFonts w:ascii="Verdana" w:eastAsia="Batang" w:hAnsi="Verdana"/>
          <w:sz w:val="20"/>
          <w:szCs w:val="20"/>
          <w:lang w:val="es-ES"/>
        </w:rPr>
        <w:t>la citada Declaración</w:t>
      </w:r>
      <w:r w:rsidR="00764633" w:rsidRPr="00E757D1">
        <w:rPr>
          <w:rFonts w:ascii="Verdana" w:eastAsia="Batang" w:hAnsi="Verdana"/>
          <w:sz w:val="20"/>
          <w:szCs w:val="20"/>
          <w:lang w:val="es-ES"/>
        </w:rPr>
        <w:t xml:space="preserve"> Americana</w:t>
      </w:r>
      <w:r w:rsidR="004216E8" w:rsidRPr="00E757D1">
        <w:rPr>
          <w:rFonts w:ascii="Verdana" w:eastAsia="Batang" w:hAnsi="Verdana"/>
          <w:sz w:val="20"/>
          <w:szCs w:val="20"/>
          <w:lang w:val="es-ES"/>
        </w:rPr>
        <w:t>, por ser anterior a la Convención,</w:t>
      </w:r>
      <w:r w:rsidR="00E17603" w:rsidRPr="00E757D1">
        <w:rPr>
          <w:rFonts w:ascii="Verdana" w:eastAsia="Batang" w:hAnsi="Verdana"/>
          <w:sz w:val="20"/>
          <w:szCs w:val="20"/>
          <w:lang w:val="es-ES"/>
        </w:rPr>
        <w:t xml:space="preserve"> no </w:t>
      </w:r>
      <w:r w:rsidR="00F81B9D" w:rsidRPr="00E757D1">
        <w:rPr>
          <w:rFonts w:ascii="Verdana" w:eastAsia="Batang" w:hAnsi="Verdana"/>
          <w:sz w:val="20"/>
          <w:szCs w:val="20"/>
          <w:lang w:val="es-ES"/>
        </w:rPr>
        <w:t>la</w:t>
      </w:r>
      <w:r w:rsidR="00E17603" w:rsidRPr="00E757D1">
        <w:rPr>
          <w:rFonts w:ascii="Verdana" w:eastAsia="Batang" w:hAnsi="Verdana"/>
          <w:sz w:val="20"/>
          <w:szCs w:val="20"/>
          <w:lang w:val="es-ES"/>
        </w:rPr>
        <w:t xml:space="preserve"> interpreta, </w:t>
      </w:r>
      <w:r w:rsidR="004216E8" w:rsidRPr="00E757D1">
        <w:rPr>
          <w:rFonts w:ascii="Verdana" w:eastAsia="Batang" w:hAnsi="Verdana"/>
          <w:sz w:val="20"/>
          <w:szCs w:val="20"/>
          <w:lang w:val="es-ES"/>
        </w:rPr>
        <w:t>sino más exactamente, esta última se celebra en virtud de lo proclamado en aquella</w:t>
      </w:r>
      <w:r w:rsidR="00C21FEC" w:rsidRPr="00E757D1">
        <w:rPr>
          <w:rFonts w:ascii="Verdana" w:eastAsia="Batang" w:hAnsi="Verdana"/>
          <w:sz w:val="20"/>
          <w:szCs w:val="20"/>
          <w:lang w:val="es-ES"/>
        </w:rPr>
        <w:t>, para precisamente establecer mecanismos de control</w:t>
      </w:r>
      <w:r w:rsidR="00C21FEC" w:rsidRPr="00E757D1">
        <w:rPr>
          <w:rStyle w:val="Refdenotaalpie"/>
          <w:rFonts w:ascii="Verdana" w:eastAsia="Batang" w:hAnsi="Verdana"/>
          <w:sz w:val="20"/>
          <w:szCs w:val="20"/>
          <w:lang w:val="es-ES"/>
        </w:rPr>
        <w:footnoteReference w:id="59"/>
      </w:r>
      <w:r w:rsidR="00764633" w:rsidRPr="00E757D1">
        <w:rPr>
          <w:rFonts w:ascii="Verdana" w:eastAsia="Batang" w:hAnsi="Verdana"/>
          <w:sz w:val="20"/>
          <w:szCs w:val="20"/>
          <w:lang w:val="es-ES"/>
        </w:rPr>
        <w:t>.</w:t>
      </w:r>
      <w:r w:rsidR="004216E8" w:rsidRPr="00E757D1">
        <w:rPr>
          <w:rFonts w:ascii="Verdana" w:eastAsia="Batang" w:hAnsi="Verdana"/>
          <w:sz w:val="20"/>
          <w:szCs w:val="20"/>
          <w:lang w:val="es-ES"/>
        </w:rPr>
        <w:t xml:space="preserve"> </w:t>
      </w:r>
      <w:r w:rsidR="00F81B9D" w:rsidRPr="00E757D1">
        <w:rPr>
          <w:rFonts w:ascii="Verdana" w:eastAsia="Batang" w:hAnsi="Verdana"/>
          <w:sz w:val="20"/>
          <w:szCs w:val="20"/>
          <w:lang w:val="es-ES"/>
        </w:rPr>
        <w:t xml:space="preserve"> </w:t>
      </w:r>
    </w:p>
    <w:p w14:paraId="34FD6796" w14:textId="77777777" w:rsidR="002B4C9E" w:rsidRPr="00E757D1" w:rsidRDefault="002B4C9E" w:rsidP="00DA5A31">
      <w:pPr>
        <w:pStyle w:val="Prrafodelista"/>
        <w:ind w:left="-270" w:right="-162"/>
        <w:rPr>
          <w:rFonts w:ascii="Verdana" w:hAnsi="Verdana"/>
          <w:sz w:val="20"/>
          <w:szCs w:val="20"/>
          <w:lang w:val="es-ES"/>
        </w:rPr>
      </w:pPr>
    </w:p>
    <w:p w14:paraId="23BB26CD" w14:textId="2DD92636" w:rsidR="002B4C9E" w:rsidRPr="00E757D1" w:rsidRDefault="00C21FEC"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Con relación a la alusión que la Sentencia hace al artículo 29 de la Convención</w:t>
      </w:r>
      <w:r w:rsidRPr="00E757D1">
        <w:rPr>
          <w:rStyle w:val="Refdenotaalpie"/>
          <w:rFonts w:ascii="Verdana" w:hAnsi="Verdana"/>
          <w:sz w:val="20"/>
          <w:szCs w:val="20"/>
          <w:lang w:val="es-ES"/>
        </w:rPr>
        <w:footnoteReference w:id="60"/>
      </w:r>
      <w:r w:rsidR="00764633" w:rsidRPr="00E757D1">
        <w:rPr>
          <w:rFonts w:ascii="Verdana" w:hAnsi="Verdana"/>
          <w:sz w:val="20"/>
          <w:szCs w:val="20"/>
          <w:lang w:val="es-ES"/>
        </w:rPr>
        <w:t xml:space="preserve">, conocido como principio </w:t>
      </w:r>
      <w:r w:rsidR="00764633" w:rsidRPr="00E757D1">
        <w:rPr>
          <w:rFonts w:ascii="Verdana" w:hAnsi="Verdana"/>
          <w:i/>
          <w:iCs/>
          <w:sz w:val="20"/>
          <w:szCs w:val="20"/>
          <w:lang w:val="es-ES"/>
        </w:rPr>
        <w:t xml:space="preserve">pro </w:t>
      </w:r>
      <w:proofErr w:type="spellStart"/>
      <w:r w:rsidR="00764633" w:rsidRPr="00E757D1">
        <w:rPr>
          <w:rFonts w:ascii="Verdana" w:hAnsi="Verdana"/>
          <w:i/>
          <w:iCs/>
          <w:sz w:val="20"/>
          <w:szCs w:val="20"/>
          <w:lang w:val="es-ES"/>
        </w:rPr>
        <w:t>personae</w:t>
      </w:r>
      <w:proofErr w:type="spellEnd"/>
      <w:r w:rsidR="00764633" w:rsidRPr="00E757D1">
        <w:rPr>
          <w:rFonts w:ascii="Verdana" w:hAnsi="Verdana"/>
          <w:sz w:val="20"/>
          <w:szCs w:val="20"/>
          <w:lang w:val="es-ES"/>
        </w:rPr>
        <w:t>, procede recordar que se trata de una norma concerniente a</w:t>
      </w:r>
      <w:r w:rsidR="00F51929" w:rsidRPr="00E757D1">
        <w:rPr>
          <w:rFonts w:ascii="Verdana" w:hAnsi="Verdana"/>
          <w:sz w:val="20"/>
          <w:szCs w:val="20"/>
          <w:lang w:val="es-ES"/>
        </w:rPr>
        <w:t xml:space="preserve"> </w:t>
      </w:r>
      <w:r w:rsidR="00764633" w:rsidRPr="00E757D1">
        <w:rPr>
          <w:rFonts w:ascii="Verdana" w:hAnsi="Verdana"/>
          <w:sz w:val="20"/>
          <w:szCs w:val="20"/>
          <w:lang w:val="es-ES"/>
        </w:rPr>
        <w:t>la interpretación de</w:t>
      </w:r>
      <w:r w:rsidR="00F51929" w:rsidRPr="00E757D1">
        <w:rPr>
          <w:rFonts w:ascii="Verdana" w:hAnsi="Verdana"/>
          <w:sz w:val="20"/>
          <w:szCs w:val="20"/>
          <w:lang w:val="es-ES"/>
        </w:rPr>
        <w:t xml:space="preserve"> los derechos reconocidos en</w:t>
      </w:r>
      <w:r w:rsidR="00764633" w:rsidRPr="00E757D1">
        <w:rPr>
          <w:rFonts w:ascii="Verdana" w:hAnsi="Verdana"/>
          <w:sz w:val="20"/>
          <w:szCs w:val="20"/>
          <w:lang w:val="es-ES"/>
        </w:rPr>
        <w:t xml:space="preserve"> dicho instrumento y no </w:t>
      </w:r>
      <w:r w:rsidR="00F51929" w:rsidRPr="00E757D1">
        <w:rPr>
          <w:rFonts w:ascii="Verdana" w:hAnsi="Verdana"/>
          <w:sz w:val="20"/>
          <w:szCs w:val="20"/>
          <w:lang w:val="es-ES"/>
        </w:rPr>
        <w:t>de los mecanismos de control previstos en el mismo. Igualmente es menester no olvidar que la citada disposición es atingente a la interpretación de la Convención, mandatando que, en ese ejercicio, el sentido y alcance que se logre no puede implicar una limitación del derecho humano de que se trate</w:t>
      </w:r>
      <w:r w:rsidR="00F14A51" w:rsidRPr="00E757D1">
        <w:rPr>
          <w:rFonts w:ascii="Verdana" w:hAnsi="Verdana"/>
          <w:sz w:val="20"/>
          <w:szCs w:val="20"/>
          <w:lang w:val="es-ES"/>
        </w:rPr>
        <w:t>,</w:t>
      </w:r>
      <w:r w:rsidR="00F51929" w:rsidRPr="00E757D1">
        <w:rPr>
          <w:rFonts w:ascii="Verdana" w:hAnsi="Verdana"/>
          <w:sz w:val="20"/>
          <w:szCs w:val="20"/>
          <w:lang w:val="es-ES"/>
        </w:rPr>
        <w:t xml:space="preserve"> tal como es reconocido por ella</w:t>
      </w:r>
      <w:r w:rsidR="003A7120" w:rsidRPr="00E757D1">
        <w:rPr>
          <w:rFonts w:ascii="Verdana" w:hAnsi="Verdana"/>
          <w:sz w:val="20"/>
          <w:szCs w:val="20"/>
          <w:lang w:val="es-ES"/>
        </w:rPr>
        <w:t xml:space="preserve"> o por los otros instrumentos jurídicos que señala</w:t>
      </w:r>
      <w:r w:rsidR="00F51929" w:rsidRPr="00E757D1">
        <w:rPr>
          <w:rFonts w:ascii="Verdana" w:hAnsi="Verdana"/>
          <w:sz w:val="20"/>
          <w:szCs w:val="20"/>
          <w:lang w:val="es-ES"/>
        </w:rPr>
        <w:t>. Por ende, el citado artículo no tiene por objeto otorgar la facultad a la Corte</w:t>
      </w:r>
      <w:r w:rsidR="00160F33" w:rsidRPr="00E757D1">
        <w:rPr>
          <w:rFonts w:ascii="Verdana" w:hAnsi="Verdana"/>
          <w:sz w:val="20"/>
          <w:szCs w:val="20"/>
          <w:lang w:val="es-ES"/>
        </w:rPr>
        <w:t xml:space="preserve"> para pronunciarse sobre la </w:t>
      </w:r>
      <w:bookmarkStart w:id="18" w:name="_Hlk45804477"/>
      <w:r w:rsidR="00160F33" w:rsidRPr="00E757D1">
        <w:rPr>
          <w:rFonts w:ascii="Verdana" w:hAnsi="Verdana"/>
          <w:bCs/>
          <w:sz w:val="20"/>
          <w:szCs w:val="20"/>
          <w:lang w:val="es-ES"/>
        </w:rPr>
        <w:t xml:space="preserve">judicialización </w:t>
      </w:r>
      <w:bookmarkEnd w:id="18"/>
      <w:r w:rsidR="00160F33" w:rsidRPr="00E757D1">
        <w:rPr>
          <w:rFonts w:ascii="Verdana" w:hAnsi="Verdana"/>
          <w:bCs/>
          <w:sz w:val="20"/>
          <w:szCs w:val="20"/>
          <w:lang w:val="es-ES"/>
        </w:rPr>
        <w:t>de las presuntas violaciones de los derechos humanos, sino que</w:t>
      </w:r>
      <w:r w:rsidR="00F14A51" w:rsidRPr="00E757D1">
        <w:rPr>
          <w:rFonts w:ascii="Verdana" w:hAnsi="Verdana"/>
          <w:bCs/>
          <w:sz w:val="20"/>
          <w:szCs w:val="20"/>
          <w:lang w:val="es-ES"/>
        </w:rPr>
        <w:t>,</w:t>
      </w:r>
      <w:r w:rsidR="00160F33" w:rsidRPr="00E757D1">
        <w:rPr>
          <w:rFonts w:ascii="Verdana" w:hAnsi="Verdana"/>
          <w:bCs/>
          <w:sz w:val="20"/>
          <w:szCs w:val="20"/>
          <w:lang w:val="es-ES"/>
        </w:rPr>
        <w:t xml:space="preserve"> más propiamente, le establece una condición para la interpretación de la Convención.</w:t>
      </w:r>
      <w:r w:rsidR="0023720D" w:rsidRPr="00E757D1">
        <w:rPr>
          <w:rFonts w:ascii="Verdana" w:hAnsi="Verdana"/>
          <w:bCs/>
          <w:sz w:val="20"/>
          <w:szCs w:val="20"/>
          <w:lang w:val="es-ES"/>
        </w:rPr>
        <w:t xml:space="preserve"> Y tampoco establece la facultad de la Corte de interpretar otros tratados o instrumentos jurídicos internacionales sino únicamente en la medida que sea necesario para determinar si ellos establecen un sentido y alcance más amplio que el que se puede determinar del derecho humano garantizado en la Convención.</w:t>
      </w:r>
    </w:p>
    <w:p w14:paraId="7EB8525E" w14:textId="77777777" w:rsidR="002B4C9E" w:rsidRPr="00E757D1" w:rsidRDefault="002B4C9E" w:rsidP="00DA5A31">
      <w:pPr>
        <w:spacing w:line="276" w:lineRule="auto"/>
        <w:ind w:left="-270" w:right="-162"/>
        <w:contextualSpacing/>
        <w:rPr>
          <w:rFonts w:ascii="Verdana" w:hAnsi="Verdana"/>
          <w:sz w:val="20"/>
          <w:szCs w:val="20"/>
          <w:lang w:val="es-ES"/>
        </w:rPr>
      </w:pPr>
    </w:p>
    <w:p w14:paraId="10967387" w14:textId="7515A94C" w:rsidR="009D1C81" w:rsidRPr="00E757D1" w:rsidRDefault="00E9697D"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Igualmente, parece necesario formular un</w:t>
      </w:r>
      <w:r w:rsidR="00183EA4" w:rsidRPr="00E757D1">
        <w:rPr>
          <w:rFonts w:ascii="Verdana" w:hAnsi="Verdana"/>
          <w:bCs/>
          <w:sz w:val="20"/>
          <w:szCs w:val="20"/>
          <w:lang w:val="es-ES"/>
        </w:rPr>
        <w:t>as</w:t>
      </w:r>
      <w:r w:rsidRPr="00E757D1">
        <w:rPr>
          <w:rFonts w:ascii="Verdana" w:hAnsi="Verdana"/>
          <w:bCs/>
          <w:sz w:val="20"/>
          <w:szCs w:val="20"/>
          <w:lang w:val="es-ES"/>
        </w:rPr>
        <w:t xml:space="preserve"> breves </w:t>
      </w:r>
      <w:r w:rsidR="00183EA4" w:rsidRPr="00E757D1">
        <w:rPr>
          <w:rFonts w:ascii="Verdana" w:hAnsi="Verdana"/>
          <w:bCs/>
          <w:sz w:val="20"/>
          <w:szCs w:val="20"/>
          <w:lang w:val="es-ES"/>
        </w:rPr>
        <w:t>acotaciones</w:t>
      </w:r>
      <w:r w:rsidRPr="00E757D1">
        <w:rPr>
          <w:rFonts w:ascii="Verdana" w:hAnsi="Verdana"/>
          <w:bCs/>
          <w:sz w:val="20"/>
          <w:szCs w:val="20"/>
          <w:lang w:val="es-ES"/>
        </w:rPr>
        <w:t xml:space="preserve"> acerca de las expresiones de la Sentencia </w:t>
      </w:r>
      <w:r w:rsidR="0023720D" w:rsidRPr="00E757D1">
        <w:rPr>
          <w:rFonts w:ascii="Verdana" w:hAnsi="Verdana"/>
          <w:bCs/>
          <w:sz w:val="20"/>
          <w:szCs w:val="20"/>
          <w:lang w:val="es-ES"/>
        </w:rPr>
        <w:t xml:space="preserve">de </w:t>
      </w:r>
      <w:r w:rsidR="00183EA4" w:rsidRPr="00E757D1">
        <w:rPr>
          <w:rFonts w:ascii="Verdana" w:hAnsi="Verdana"/>
          <w:sz w:val="20"/>
          <w:szCs w:val="20"/>
          <w:lang w:val="es-ES"/>
        </w:rPr>
        <w:t>que “</w:t>
      </w:r>
      <w:r w:rsidR="00183EA4" w:rsidRPr="00E757D1">
        <w:rPr>
          <w:rFonts w:ascii="Verdana" w:hAnsi="Verdana"/>
          <w:i/>
          <w:iCs/>
          <w:sz w:val="20"/>
          <w:szCs w:val="20"/>
          <w:lang w:val="es-ES"/>
        </w:rPr>
        <w:t xml:space="preserve">los tratados de derechos humanos son instrumentos vivos, cuya interpretación tiene que acompañar la </w:t>
      </w:r>
      <w:bookmarkStart w:id="19" w:name="_Hlk45808426"/>
      <w:r w:rsidR="00183EA4" w:rsidRPr="00E757D1">
        <w:rPr>
          <w:rFonts w:ascii="Verdana" w:hAnsi="Verdana"/>
          <w:i/>
          <w:iCs/>
          <w:sz w:val="20"/>
          <w:szCs w:val="20"/>
          <w:lang w:val="es-ES"/>
        </w:rPr>
        <w:t>evolución de los tiempos y las condiciones de vida actuales</w:t>
      </w:r>
      <w:r w:rsidR="00183EA4" w:rsidRPr="00E757D1">
        <w:rPr>
          <w:rFonts w:ascii="Verdana" w:hAnsi="Verdana"/>
          <w:sz w:val="20"/>
          <w:szCs w:val="20"/>
          <w:lang w:val="es-ES"/>
        </w:rPr>
        <w:t>”</w:t>
      </w:r>
      <w:bookmarkEnd w:id="19"/>
      <w:r w:rsidR="00183EA4" w:rsidRPr="00E757D1">
        <w:rPr>
          <w:rStyle w:val="Refdenotaalpie"/>
          <w:rFonts w:ascii="Verdana" w:hAnsi="Verdana"/>
          <w:sz w:val="20"/>
          <w:szCs w:val="20"/>
          <w:lang w:val="es-ES"/>
        </w:rPr>
        <w:footnoteReference w:id="61"/>
      </w:r>
      <w:r w:rsidR="00183EA4" w:rsidRPr="00E757D1">
        <w:rPr>
          <w:rFonts w:ascii="Verdana" w:hAnsi="Verdana"/>
          <w:sz w:val="20"/>
          <w:szCs w:val="20"/>
          <w:lang w:val="es-ES"/>
        </w:rPr>
        <w:t>. La primera anotación es que ello está previsto en</w:t>
      </w:r>
      <w:r w:rsidR="00A229F3" w:rsidRPr="00E757D1">
        <w:rPr>
          <w:rFonts w:ascii="Verdana" w:hAnsi="Verdana"/>
          <w:sz w:val="20"/>
          <w:szCs w:val="20"/>
          <w:lang w:val="es-ES"/>
        </w:rPr>
        <w:t xml:space="preserve"> el artículo 31.3. a) y b) de </w:t>
      </w:r>
      <w:r w:rsidR="00183EA4" w:rsidRPr="00E757D1">
        <w:rPr>
          <w:rFonts w:ascii="Verdana" w:hAnsi="Verdana"/>
          <w:sz w:val="20"/>
          <w:szCs w:val="20"/>
          <w:lang w:val="es-ES"/>
        </w:rPr>
        <w:t>la Convención de Viena, al disponer que, junto al contexto</w:t>
      </w:r>
      <w:r w:rsidR="0023720D" w:rsidRPr="00E757D1">
        <w:rPr>
          <w:rFonts w:ascii="Verdana" w:hAnsi="Verdana"/>
          <w:sz w:val="20"/>
          <w:szCs w:val="20"/>
          <w:lang w:val="es-ES"/>
        </w:rPr>
        <w:t xml:space="preserve">, </w:t>
      </w:r>
      <w:r w:rsidR="00A229F3" w:rsidRPr="00E757D1">
        <w:rPr>
          <w:rFonts w:ascii="Verdana" w:hAnsi="Verdana"/>
          <w:sz w:val="20"/>
          <w:szCs w:val="20"/>
          <w:lang w:val="es-ES"/>
        </w:rPr>
        <w:t xml:space="preserve">se </w:t>
      </w:r>
      <w:r w:rsidR="0023720D" w:rsidRPr="00E757D1">
        <w:rPr>
          <w:rFonts w:ascii="Verdana" w:hAnsi="Verdana"/>
          <w:sz w:val="20"/>
          <w:szCs w:val="20"/>
          <w:lang w:val="es-ES"/>
        </w:rPr>
        <w:t xml:space="preserve">debe </w:t>
      </w:r>
      <w:r w:rsidR="00A229F3" w:rsidRPr="00E757D1">
        <w:rPr>
          <w:rFonts w:ascii="Verdana" w:hAnsi="Verdana"/>
          <w:sz w:val="20"/>
          <w:szCs w:val="20"/>
          <w:lang w:val="es-ES"/>
        </w:rPr>
        <w:t>tener los acuerdos y la práctica de los Estados sobre la interpretación del tratado de que se trate</w:t>
      </w:r>
      <w:r w:rsidR="00E42974" w:rsidRPr="00E757D1">
        <w:rPr>
          <w:rFonts w:ascii="Verdana" w:hAnsi="Verdana"/>
          <w:sz w:val="20"/>
          <w:szCs w:val="20"/>
          <w:lang w:val="es-ES"/>
        </w:rPr>
        <w:t>.</w:t>
      </w:r>
      <w:r w:rsidR="00183EA4" w:rsidRPr="00E757D1">
        <w:rPr>
          <w:rFonts w:ascii="Verdana" w:hAnsi="Verdana"/>
          <w:i/>
          <w:iCs/>
          <w:sz w:val="20"/>
          <w:szCs w:val="20"/>
          <w:lang w:val="es-ES"/>
        </w:rPr>
        <w:t xml:space="preserve"> </w:t>
      </w:r>
      <w:r w:rsidR="00E42974" w:rsidRPr="00E757D1">
        <w:rPr>
          <w:rFonts w:ascii="Verdana" w:hAnsi="Verdana"/>
          <w:sz w:val="20"/>
          <w:szCs w:val="20"/>
          <w:lang w:val="es-ES"/>
        </w:rPr>
        <w:t>Lo evolutivo debe ser, entonces, más el Derecho aplicable que la jurisprudencia que se expida sobre él.</w:t>
      </w:r>
    </w:p>
    <w:p w14:paraId="1A35E2B1" w14:textId="77777777" w:rsidR="009D1C81" w:rsidRPr="00E757D1" w:rsidRDefault="009D1C81" w:rsidP="00DA5A31">
      <w:pPr>
        <w:spacing w:line="276" w:lineRule="auto"/>
        <w:ind w:left="-270" w:right="-162"/>
        <w:contextualSpacing/>
        <w:rPr>
          <w:rFonts w:ascii="Verdana" w:hAnsi="Verdana"/>
          <w:sz w:val="20"/>
          <w:szCs w:val="20"/>
          <w:lang w:val="es-ES"/>
        </w:rPr>
      </w:pPr>
    </w:p>
    <w:p w14:paraId="6D6EBD65" w14:textId="038BC962" w:rsidR="009D1C81" w:rsidRPr="00E757D1" w:rsidRDefault="00E42974"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 xml:space="preserve">La segunda observación es que, en consecuencia, </w:t>
      </w:r>
      <w:r w:rsidR="00745274" w:rsidRPr="00E757D1">
        <w:rPr>
          <w:rFonts w:ascii="Verdana" w:hAnsi="Verdana"/>
          <w:bCs/>
          <w:sz w:val="20"/>
          <w:szCs w:val="20"/>
          <w:lang w:val="es-ES"/>
        </w:rPr>
        <w:t xml:space="preserve">en </w:t>
      </w:r>
      <w:r w:rsidRPr="00E757D1">
        <w:rPr>
          <w:rFonts w:ascii="Verdana" w:hAnsi="Verdana"/>
          <w:bCs/>
          <w:sz w:val="20"/>
          <w:szCs w:val="20"/>
          <w:lang w:val="es-ES"/>
        </w:rPr>
        <w:t>la interpretación se debe</w:t>
      </w:r>
      <w:r w:rsidR="00745274" w:rsidRPr="00E757D1">
        <w:rPr>
          <w:rFonts w:ascii="Verdana" w:hAnsi="Verdana"/>
          <w:bCs/>
          <w:sz w:val="20"/>
          <w:szCs w:val="20"/>
          <w:lang w:val="es-ES"/>
        </w:rPr>
        <w:t>ría</w:t>
      </w:r>
      <w:r w:rsidRPr="00E757D1">
        <w:rPr>
          <w:rFonts w:ascii="Verdana" w:hAnsi="Verdana"/>
          <w:bCs/>
          <w:sz w:val="20"/>
          <w:szCs w:val="20"/>
          <w:lang w:val="es-ES"/>
        </w:rPr>
        <w:t xml:space="preserve"> tener presente que</w:t>
      </w:r>
      <w:r w:rsidR="00745274" w:rsidRPr="00E757D1">
        <w:rPr>
          <w:rFonts w:ascii="Verdana" w:hAnsi="Verdana"/>
          <w:bCs/>
          <w:sz w:val="20"/>
          <w:szCs w:val="20"/>
          <w:lang w:val="es-ES"/>
        </w:rPr>
        <w:t>, para la determinación de</w:t>
      </w:r>
      <w:r w:rsidRPr="00E757D1">
        <w:rPr>
          <w:rFonts w:ascii="Verdana" w:hAnsi="Verdana"/>
          <w:bCs/>
          <w:sz w:val="20"/>
          <w:szCs w:val="20"/>
          <w:lang w:val="es-ES"/>
        </w:rPr>
        <w:t xml:space="preserve"> “</w:t>
      </w:r>
      <w:r w:rsidRPr="00E757D1">
        <w:rPr>
          <w:rFonts w:ascii="Verdana" w:hAnsi="Verdana"/>
          <w:bCs/>
          <w:i/>
          <w:iCs/>
          <w:sz w:val="20"/>
          <w:szCs w:val="20"/>
          <w:lang w:val="es-ES"/>
        </w:rPr>
        <w:t xml:space="preserve">la </w:t>
      </w:r>
      <w:r w:rsidRPr="00E757D1">
        <w:rPr>
          <w:rFonts w:ascii="Verdana" w:hAnsi="Verdana"/>
          <w:i/>
          <w:iCs/>
          <w:sz w:val="20"/>
          <w:szCs w:val="20"/>
          <w:lang w:val="es-ES"/>
        </w:rPr>
        <w:t>evolución de los tiempos</w:t>
      </w:r>
      <w:r w:rsidR="00745274" w:rsidRPr="00E757D1">
        <w:rPr>
          <w:rFonts w:ascii="Verdana" w:hAnsi="Verdana"/>
          <w:i/>
          <w:iCs/>
          <w:sz w:val="20"/>
          <w:szCs w:val="20"/>
          <w:lang w:val="es-ES"/>
        </w:rPr>
        <w:t>”</w:t>
      </w:r>
      <w:r w:rsidRPr="00E757D1">
        <w:rPr>
          <w:rFonts w:ascii="Verdana" w:hAnsi="Verdana"/>
          <w:i/>
          <w:iCs/>
          <w:sz w:val="20"/>
          <w:szCs w:val="20"/>
          <w:lang w:val="es-ES"/>
        </w:rPr>
        <w:t xml:space="preserve"> </w:t>
      </w:r>
      <w:r w:rsidRPr="00E757D1">
        <w:rPr>
          <w:rFonts w:ascii="Verdana" w:hAnsi="Verdana"/>
          <w:sz w:val="20"/>
          <w:szCs w:val="20"/>
          <w:lang w:val="es-ES"/>
        </w:rPr>
        <w:t xml:space="preserve">y </w:t>
      </w:r>
      <w:r w:rsidR="00745274" w:rsidRPr="00E757D1">
        <w:rPr>
          <w:rFonts w:ascii="Verdana" w:hAnsi="Verdana"/>
          <w:sz w:val="20"/>
          <w:szCs w:val="20"/>
          <w:lang w:val="es-ES"/>
        </w:rPr>
        <w:t>de</w:t>
      </w:r>
      <w:r w:rsidR="00745274" w:rsidRPr="00E757D1">
        <w:rPr>
          <w:rFonts w:ascii="Verdana" w:hAnsi="Verdana"/>
          <w:i/>
          <w:iCs/>
          <w:sz w:val="20"/>
          <w:szCs w:val="20"/>
          <w:lang w:val="es-ES"/>
        </w:rPr>
        <w:t xml:space="preserve"> “</w:t>
      </w:r>
      <w:r w:rsidRPr="00E757D1">
        <w:rPr>
          <w:rFonts w:ascii="Verdana" w:hAnsi="Verdana"/>
          <w:i/>
          <w:iCs/>
          <w:sz w:val="20"/>
          <w:szCs w:val="20"/>
          <w:lang w:val="es-ES"/>
        </w:rPr>
        <w:t>las condiciones de vida actuales</w:t>
      </w:r>
      <w:r w:rsidRPr="00E757D1">
        <w:rPr>
          <w:rFonts w:ascii="Verdana" w:hAnsi="Verdana"/>
          <w:sz w:val="20"/>
          <w:szCs w:val="20"/>
          <w:lang w:val="es-ES"/>
        </w:rPr>
        <w:t xml:space="preserve">”, no solo </w:t>
      </w:r>
      <w:r w:rsidR="00745274" w:rsidRPr="00E757D1">
        <w:rPr>
          <w:rFonts w:ascii="Verdana" w:hAnsi="Verdana"/>
          <w:sz w:val="20"/>
          <w:szCs w:val="20"/>
          <w:lang w:val="es-ES"/>
        </w:rPr>
        <w:t xml:space="preserve">bastaría </w:t>
      </w:r>
      <w:r w:rsidRPr="00E757D1">
        <w:rPr>
          <w:rFonts w:ascii="Verdana" w:hAnsi="Verdana"/>
          <w:sz w:val="20"/>
          <w:szCs w:val="20"/>
          <w:lang w:val="es-ES"/>
        </w:rPr>
        <w:t>una afirmación genérica y</w:t>
      </w:r>
      <w:r w:rsidR="009E11C1" w:rsidRPr="00E757D1">
        <w:rPr>
          <w:rFonts w:ascii="Verdana" w:hAnsi="Verdana"/>
          <w:sz w:val="20"/>
          <w:szCs w:val="20"/>
          <w:lang w:val="es-ES"/>
        </w:rPr>
        <w:t>,</w:t>
      </w:r>
      <w:r w:rsidRPr="00E757D1">
        <w:rPr>
          <w:rFonts w:ascii="Verdana" w:hAnsi="Verdana"/>
          <w:sz w:val="20"/>
          <w:szCs w:val="20"/>
          <w:lang w:val="es-ES"/>
        </w:rPr>
        <w:t xml:space="preserve"> </w:t>
      </w:r>
      <w:r w:rsidR="00376CAE" w:rsidRPr="00E757D1">
        <w:rPr>
          <w:rFonts w:ascii="Verdana" w:hAnsi="Verdana"/>
          <w:sz w:val="20"/>
          <w:szCs w:val="20"/>
          <w:lang w:val="es-ES"/>
        </w:rPr>
        <w:t>en ocasiones</w:t>
      </w:r>
      <w:r w:rsidR="009E11C1" w:rsidRPr="00E757D1">
        <w:rPr>
          <w:rFonts w:ascii="Verdana" w:hAnsi="Verdana"/>
          <w:sz w:val="20"/>
          <w:szCs w:val="20"/>
          <w:lang w:val="es-ES"/>
        </w:rPr>
        <w:t>,</w:t>
      </w:r>
      <w:r w:rsidR="00376CAE" w:rsidRPr="00E757D1">
        <w:rPr>
          <w:rFonts w:ascii="Verdana" w:hAnsi="Verdana"/>
          <w:sz w:val="20"/>
          <w:szCs w:val="20"/>
          <w:lang w:val="es-ES"/>
        </w:rPr>
        <w:t xml:space="preserve"> </w:t>
      </w:r>
      <w:r w:rsidRPr="00E757D1">
        <w:rPr>
          <w:rFonts w:ascii="Verdana" w:hAnsi="Verdana"/>
          <w:sz w:val="20"/>
          <w:szCs w:val="20"/>
          <w:lang w:val="es-ES"/>
        </w:rPr>
        <w:t xml:space="preserve">sin </w:t>
      </w:r>
      <w:r w:rsidR="00376CAE" w:rsidRPr="00E757D1">
        <w:rPr>
          <w:rFonts w:ascii="Verdana" w:hAnsi="Verdana"/>
          <w:sz w:val="20"/>
          <w:szCs w:val="20"/>
          <w:lang w:val="es-ES"/>
        </w:rPr>
        <w:t xml:space="preserve">mayor </w:t>
      </w:r>
      <w:r w:rsidRPr="00E757D1">
        <w:rPr>
          <w:rFonts w:ascii="Verdana" w:hAnsi="Verdana"/>
          <w:sz w:val="20"/>
          <w:szCs w:val="20"/>
          <w:lang w:val="es-ES"/>
        </w:rPr>
        <w:t>sustento científico</w:t>
      </w:r>
      <w:r w:rsidR="00745274" w:rsidRPr="00E757D1">
        <w:rPr>
          <w:rFonts w:ascii="Verdana" w:hAnsi="Verdana"/>
          <w:sz w:val="20"/>
          <w:szCs w:val="20"/>
          <w:lang w:val="es-ES"/>
        </w:rPr>
        <w:t xml:space="preserve"> por parte de entidades no estatales</w:t>
      </w:r>
      <w:r w:rsidRPr="00E757D1">
        <w:rPr>
          <w:rFonts w:ascii="Verdana" w:hAnsi="Verdana"/>
          <w:sz w:val="20"/>
          <w:szCs w:val="20"/>
          <w:lang w:val="es-ES"/>
        </w:rPr>
        <w:t xml:space="preserve">, sino que ella debería </w:t>
      </w:r>
      <w:r w:rsidR="00745274" w:rsidRPr="00E757D1">
        <w:rPr>
          <w:rFonts w:ascii="Verdana" w:hAnsi="Verdana"/>
          <w:sz w:val="20"/>
          <w:szCs w:val="20"/>
          <w:lang w:val="es-ES"/>
        </w:rPr>
        <w:t>ser compartida por la sociedad internacional y</w:t>
      </w:r>
      <w:r w:rsidR="009E11C1" w:rsidRPr="00E757D1">
        <w:rPr>
          <w:rFonts w:ascii="Verdana" w:hAnsi="Verdana"/>
          <w:sz w:val="20"/>
          <w:szCs w:val="20"/>
          <w:lang w:val="es-ES"/>
        </w:rPr>
        <w:t>,</w:t>
      </w:r>
      <w:r w:rsidR="00745274" w:rsidRPr="00E757D1">
        <w:rPr>
          <w:rFonts w:ascii="Verdana" w:hAnsi="Verdana"/>
          <w:sz w:val="20"/>
          <w:szCs w:val="20"/>
          <w:lang w:val="es-ES"/>
        </w:rPr>
        <w:t xml:space="preserve"> en el caso de la Convención, </w:t>
      </w:r>
      <w:r w:rsidR="00376CAE" w:rsidRPr="00E757D1">
        <w:rPr>
          <w:rFonts w:ascii="Verdana" w:hAnsi="Verdana"/>
          <w:sz w:val="20"/>
          <w:szCs w:val="20"/>
          <w:lang w:val="es-ES"/>
        </w:rPr>
        <w:t>por</w:t>
      </w:r>
      <w:r w:rsidR="00745274" w:rsidRPr="00E757D1">
        <w:rPr>
          <w:rFonts w:ascii="Verdana" w:hAnsi="Verdana"/>
          <w:sz w:val="20"/>
          <w:szCs w:val="20"/>
          <w:lang w:val="es-ES"/>
        </w:rPr>
        <w:t xml:space="preserve"> la sociedad interamericana, una y otra</w:t>
      </w:r>
      <w:r w:rsidRPr="00E757D1">
        <w:rPr>
          <w:rFonts w:ascii="Verdana" w:hAnsi="Verdana"/>
          <w:sz w:val="20"/>
          <w:szCs w:val="20"/>
          <w:lang w:val="es-ES"/>
        </w:rPr>
        <w:t xml:space="preserve"> </w:t>
      </w:r>
      <w:r w:rsidR="00745274" w:rsidRPr="00E757D1">
        <w:rPr>
          <w:rFonts w:ascii="Verdana" w:hAnsi="Verdana"/>
          <w:sz w:val="20"/>
          <w:szCs w:val="20"/>
          <w:lang w:val="es-ES"/>
        </w:rPr>
        <w:t xml:space="preserve">conformada aún hoy principalmente por Estados soberanos. De </w:t>
      </w:r>
      <w:r w:rsidR="00745274" w:rsidRPr="00E757D1">
        <w:rPr>
          <w:rFonts w:ascii="Verdana" w:hAnsi="Verdana"/>
          <w:sz w:val="20"/>
          <w:szCs w:val="20"/>
          <w:lang w:val="es-ES"/>
        </w:rPr>
        <w:lastRenderedPageBreak/>
        <w:t xml:space="preserve">otra forma, se le estaría confiriendo a dichas entidades particulares la facultad de determinar la referida evolución y las condiciones de vida actuales, lo que no solo podría conducir a afirmaciones arbitrarias, sino que también atentaría contra la participación ciudadana, a través de Estados democráticos, en los asuntos internacionales. </w:t>
      </w:r>
    </w:p>
    <w:p w14:paraId="4C64BDA8" w14:textId="77777777" w:rsidR="009D1C81" w:rsidRPr="00E757D1" w:rsidRDefault="009D1C81" w:rsidP="00DA5A31">
      <w:pPr>
        <w:pStyle w:val="Prrafodelista"/>
        <w:ind w:left="-270" w:right="-162"/>
        <w:rPr>
          <w:rFonts w:ascii="Verdana" w:eastAsia="Batang" w:hAnsi="Verdana"/>
          <w:bCs/>
          <w:sz w:val="20"/>
          <w:szCs w:val="20"/>
          <w:lang w:val="es-ES"/>
        </w:rPr>
      </w:pPr>
    </w:p>
    <w:p w14:paraId="4624765E" w14:textId="6282120B" w:rsidR="009D1C81"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eastAsia="Batang" w:hAnsi="Verdana"/>
          <w:bCs/>
          <w:sz w:val="20"/>
          <w:szCs w:val="20"/>
          <w:lang w:val="es-ES"/>
        </w:rPr>
        <w:t xml:space="preserve">En </w:t>
      </w:r>
      <w:r w:rsidR="00160F33" w:rsidRPr="00E757D1">
        <w:rPr>
          <w:rFonts w:ascii="Verdana" w:eastAsia="Batang" w:hAnsi="Verdana"/>
          <w:bCs/>
          <w:sz w:val="20"/>
          <w:szCs w:val="20"/>
          <w:lang w:val="es-ES"/>
        </w:rPr>
        <w:t xml:space="preserve">suma, </w:t>
      </w:r>
      <w:r w:rsidRPr="00E757D1">
        <w:rPr>
          <w:rFonts w:ascii="Verdana" w:eastAsia="Batang" w:hAnsi="Verdana"/>
          <w:bCs/>
          <w:sz w:val="20"/>
          <w:szCs w:val="20"/>
          <w:lang w:val="es-ES"/>
        </w:rPr>
        <w:t xml:space="preserve">teniendo presente que los textos </w:t>
      </w:r>
      <w:r w:rsidR="00A607AE" w:rsidRPr="00E757D1">
        <w:rPr>
          <w:rFonts w:ascii="Verdana" w:eastAsia="Batang" w:hAnsi="Verdana"/>
          <w:bCs/>
          <w:sz w:val="20"/>
          <w:szCs w:val="20"/>
          <w:lang w:val="es-ES"/>
        </w:rPr>
        <w:t xml:space="preserve">antes </w:t>
      </w:r>
      <w:r w:rsidRPr="00E757D1">
        <w:rPr>
          <w:rFonts w:ascii="Verdana" w:eastAsia="Batang" w:hAnsi="Verdana"/>
          <w:bCs/>
          <w:sz w:val="20"/>
          <w:szCs w:val="20"/>
          <w:lang w:val="es-ES"/>
        </w:rPr>
        <w:t>aludidos son invocados por la Sentencia a fin de fundamentar su posición en cuanto a que la Corte tiene competencia para conocer y resolver sobre las eventuales</w:t>
      </w:r>
      <w:r w:rsidR="000B4BC4" w:rsidRPr="00E757D1">
        <w:rPr>
          <w:rFonts w:ascii="Verdana" w:eastAsia="Batang" w:hAnsi="Verdana"/>
          <w:bCs/>
          <w:sz w:val="20"/>
          <w:szCs w:val="20"/>
          <w:lang w:val="es-ES"/>
        </w:rPr>
        <w:t xml:space="preserve"> v</w:t>
      </w:r>
      <w:r w:rsidRPr="00E757D1">
        <w:rPr>
          <w:rFonts w:ascii="Verdana" w:eastAsia="Batang" w:hAnsi="Verdana"/>
          <w:bCs/>
          <w:sz w:val="20"/>
          <w:szCs w:val="20"/>
          <w:lang w:val="es-ES"/>
        </w:rPr>
        <w:t xml:space="preserve">iolaciones </w:t>
      </w:r>
      <w:r w:rsidR="00160F33" w:rsidRPr="00E757D1">
        <w:rPr>
          <w:rFonts w:ascii="Verdana" w:eastAsia="Batang" w:hAnsi="Verdana"/>
          <w:bCs/>
          <w:sz w:val="20"/>
          <w:szCs w:val="20"/>
          <w:lang w:val="es-ES"/>
        </w:rPr>
        <w:t xml:space="preserve">al </w:t>
      </w:r>
      <w:bookmarkStart w:id="20" w:name="_Hlk45804765"/>
      <w:r w:rsidR="00160F33" w:rsidRPr="00E757D1">
        <w:rPr>
          <w:rFonts w:ascii="Verdana" w:eastAsia="Batang" w:hAnsi="Verdana"/>
          <w:bCs/>
          <w:sz w:val="20"/>
          <w:szCs w:val="20"/>
          <w:lang w:val="es-ES"/>
        </w:rPr>
        <w:t>derecho</w:t>
      </w:r>
      <w:r w:rsidR="00CD1409" w:rsidRPr="00E757D1">
        <w:rPr>
          <w:rFonts w:ascii="Verdana" w:hAnsi="Verdana"/>
          <w:sz w:val="20"/>
          <w:szCs w:val="20"/>
          <w:lang w:val="es-ES"/>
        </w:rPr>
        <w:t xml:space="preserve"> a condiciones equitativas y satisfactorias que garanticen la seguridad, la salud y la higiene </w:t>
      </w:r>
      <w:r w:rsidR="00B25021">
        <w:rPr>
          <w:rFonts w:ascii="Verdana" w:hAnsi="Verdana"/>
          <w:sz w:val="20"/>
          <w:szCs w:val="20"/>
          <w:lang w:val="es-ES"/>
        </w:rPr>
        <w:t xml:space="preserve">en </w:t>
      </w:r>
      <w:r w:rsidR="00CD1409" w:rsidRPr="00E757D1">
        <w:rPr>
          <w:rFonts w:ascii="Verdana" w:hAnsi="Verdana"/>
          <w:sz w:val="20"/>
          <w:szCs w:val="20"/>
          <w:lang w:val="es-ES"/>
        </w:rPr>
        <w:t>el trabajo</w:t>
      </w:r>
      <w:bookmarkEnd w:id="20"/>
      <w:r w:rsidRPr="00E757D1">
        <w:rPr>
          <w:rFonts w:ascii="Verdana" w:eastAsia="Batang" w:hAnsi="Verdana"/>
          <w:bCs/>
          <w:sz w:val="20"/>
          <w:szCs w:val="20"/>
          <w:lang w:val="es-ES"/>
        </w:rPr>
        <w:t>, se puede afirmar categóricamente que lo cierto es que, en el mejor de los casos, aquellos instrumentos podrían ser considerados como reconoc</w:t>
      </w:r>
      <w:r w:rsidR="00376CAE" w:rsidRPr="00E757D1">
        <w:rPr>
          <w:rFonts w:ascii="Verdana" w:eastAsia="Batang" w:hAnsi="Verdana"/>
          <w:bCs/>
          <w:sz w:val="20"/>
          <w:szCs w:val="20"/>
          <w:lang w:val="es-ES"/>
        </w:rPr>
        <w:t>imientos de</w:t>
      </w:r>
      <w:r w:rsidRPr="00E757D1">
        <w:rPr>
          <w:rFonts w:ascii="Verdana" w:eastAsia="Batang" w:hAnsi="Verdana"/>
          <w:bCs/>
          <w:sz w:val="20"/>
          <w:szCs w:val="20"/>
          <w:lang w:val="es-ES"/>
        </w:rPr>
        <w:t xml:space="preserve"> la existencia de </w:t>
      </w:r>
      <w:bookmarkStart w:id="21" w:name="_Hlk34738800"/>
      <w:r w:rsidRPr="00E757D1">
        <w:rPr>
          <w:rFonts w:ascii="Verdana" w:eastAsia="Batang" w:hAnsi="Verdana"/>
          <w:bCs/>
          <w:sz w:val="20"/>
          <w:szCs w:val="20"/>
          <w:lang w:val="es-ES"/>
        </w:rPr>
        <w:t xml:space="preserve">esos </w:t>
      </w:r>
      <w:r w:rsidRPr="00E757D1">
        <w:rPr>
          <w:rFonts w:ascii="Verdana" w:eastAsia="Batang" w:hAnsi="Verdana"/>
          <w:sz w:val="20"/>
          <w:szCs w:val="20"/>
          <w:lang w:val="es-ES"/>
        </w:rPr>
        <w:t>derechos</w:t>
      </w:r>
      <w:bookmarkEnd w:id="21"/>
      <w:r w:rsidRPr="00E757D1">
        <w:rPr>
          <w:rFonts w:ascii="Verdana" w:eastAsia="Batang" w:hAnsi="Verdana"/>
          <w:sz w:val="20"/>
          <w:szCs w:val="20"/>
          <w:lang w:val="es-ES"/>
        </w:rPr>
        <w:t xml:space="preserve">, más no </w:t>
      </w:r>
      <w:r w:rsidR="00376CAE" w:rsidRPr="00E757D1">
        <w:rPr>
          <w:rFonts w:ascii="Verdana" w:eastAsia="Batang" w:hAnsi="Verdana"/>
          <w:sz w:val="20"/>
          <w:szCs w:val="20"/>
          <w:lang w:val="es-ES"/>
        </w:rPr>
        <w:t xml:space="preserve">de </w:t>
      </w:r>
      <w:r w:rsidRPr="00E757D1">
        <w:rPr>
          <w:rFonts w:ascii="Verdana" w:eastAsia="Batang" w:hAnsi="Verdana"/>
          <w:sz w:val="20"/>
          <w:szCs w:val="20"/>
          <w:lang w:val="es-ES"/>
        </w:rPr>
        <w:t>la mencionada competencia.</w:t>
      </w:r>
      <w:r w:rsidRPr="00E757D1">
        <w:rPr>
          <w:rFonts w:ascii="Verdana" w:eastAsia="Batang" w:hAnsi="Verdana"/>
          <w:bCs/>
          <w:sz w:val="20"/>
          <w:szCs w:val="20"/>
          <w:lang w:val="es-ES"/>
        </w:rPr>
        <w:t xml:space="preserve"> Es, pues, irrefutable que ninguno de ellos, se reitera, ninguno, dice relación o dispone que las presuntas violaciones de los citados derechos </w:t>
      </w:r>
      <w:r w:rsidR="00376CAE" w:rsidRPr="00E757D1">
        <w:rPr>
          <w:rFonts w:ascii="Verdana" w:eastAsia="Batang" w:hAnsi="Verdana"/>
          <w:bCs/>
          <w:sz w:val="20"/>
          <w:szCs w:val="20"/>
          <w:lang w:val="es-ES"/>
        </w:rPr>
        <w:t xml:space="preserve">puedan ser </w:t>
      </w:r>
      <w:r w:rsidRPr="00E757D1">
        <w:rPr>
          <w:rFonts w:ascii="Verdana" w:eastAsia="Batang" w:hAnsi="Verdana"/>
          <w:bCs/>
          <w:sz w:val="20"/>
          <w:szCs w:val="20"/>
          <w:lang w:val="es-ES"/>
        </w:rPr>
        <w:t>llevadas ante la Corte</w:t>
      </w:r>
      <w:r w:rsidR="00376CAE" w:rsidRPr="00E757D1">
        <w:rPr>
          <w:rFonts w:ascii="Verdana" w:eastAsia="Batang" w:hAnsi="Verdana"/>
          <w:bCs/>
          <w:sz w:val="20"/>
          <w:szCs w:val="20"/>
          <w:lang w:val="es-ES"/>
        </w:rPr>
        <w:t xml:space="preserve"> </w:t>
      </w:r>
      <w:r w:rsidRPr="00E757D1">
        <w:rPr>
          <w:rFonts w:ascii="Verdana" w:eastAsia="Batang" w:hAnsi="Verdana"/>
          <w:bCs/>
          <w:sz w:val="20"/>
          <w:szCs w:val="20"/>
          <w:lang w:val="es-ES"/>
        </w:rPr>
        <w:t>para que resuelva sobre ellas.</w:t>
      </w:r>
    </w:p>
    <w:p w14:paraId="7FDDC9B7" w14:textId="77777777" w:rsidR="009D1C81" w:rsidRPr="00E757D1" w:rsidRDefault="009D1C81" w:rsidP="00DA5A31">
      <w:pPr>
        <w:pStyle w:val="Prrafodelista"/>
        <w:ind w:left="-270" w:right="-162"/>
        <w:rPr>
          <w:rFonts w:ascii="Verdana" w:hAnsi="Verdana"/>
          <w:bCs/>
          <w:sz w:val="20"/>
          <w:szCs w:val="20"/>
          <w:lang w:val="es-ES"/>
        </w:rPr>
      </w:pPr>
    </w:p>
    <w:p w14:paraId="2F82E540" w14:textId="7DB6EB9E" w:rsidR="00EC415C"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 xml:space="preserve">A lo precedentemente indicado, procede añadir que las referencias que la Sentencia hace a la legislación interna </w:t>
      </w:r>
      <w:r w:rsidR="008B4B97" w:rsidRPr="00E757D1">
        <w:rPr>
          <w:rFonts w:ascii="Verdana" w:hAnsi="Verdana"/>
          <w:bCs/>
          <w:sz w:val="20"/>
          <w:szCs w:val="20"/>
          <w:lang w:val="es-ES"/>
        </w:rPr>
        <w:t>del Estado</w:t>
      </w:r>
      <w:r w:rsidRPr="00E757D1">
        <w:rPr>
          <w:rFonts w:ascii="Verdana" w:hAnsi="Verdana"/>
          <w:bCs/>
          <w:sz w:val="20"/>
          <w:szCs w:val="20"/>
          <w:vertAlign w:val="superscript"/>
          <w:lang w:val="es-ES"/>
        </w:rPr>
        <w:footnoteReference w:id="62"/>
      </w:r>
      <w:r w:rsidRPr="00E757D1">
        <w:rPr>
          <w:rFonts w:ascii="Verdana" w:hAnsi="Verdana"/>
          <w:bCs/>
          <w:sz w:val="20"/>
          <w:szCs w:val="20"/>
          <w:lang w:val="es-ES"/>
        </w:rPr>
        <w:t xml:space="preserve"> tampoco justifica</w:t>
      </w:r>
      <w:r w:rsidR="00B538FA" w:rsidRPr="00E757D1">
        <w:rPr>
          <w:rFonts w:ascii="Verdana" w:hAnsi="Verdana"/>
          <w:bCs/>
          <w:sz w:val="20"/>
          <w:szCs w:val="20"/>
          <w:lang w:val="es-ES"/>
        </w:rPr>
        <w:t>n</w:t>
      </w:r>
      <w:r w:rsidRPr="00E757D1">
        <w:rPr>
          <w:rFonts w:ascii="Verdana" w:hAnsi="Verdana"/>
          <w:bCs/>
          <w:sz w:val="20"/>
          <w:szCs w:val="20"/>
          <w:lang w:val="es-ES"/>
        </w:rPr>
        <w:t xml:space="preserve"> la tesis sostenida por ella en cuanto a que habilitaría para que se pudiera recurrir ante la Corte por las violaciones de los derechos antes mencionados. La competencia de la Corte deriva de la facultad que se le concede por la Convención y no por una disposición del derecho interno del Estado de que se trate, aunque, evidentemente, dicho ordenamiento jurídico se debe tener presente, conforme lo indica el</w:t>
      </w:r>
      <w:r w:rsidR="008B4B97" w:rsidRPr="00E757D1">
        <w:rPr>
          <w:rFonts w:ascii="Verdana" w:hAnsi="Verdana"/>
          <w:bCs/>
          <w:sz w:val="20"/>
          <w:szCs w:val="20"/>
          <w:lang w:val="es-ES"/>
        </w:rPr>
        <w:t xml:space="preserve"> citado </w:t>
      </w:r>
      <w:r w:rsidRPr="00E757D1">
        <w:rPr>
          <w:rFonts w:ascii="Verdana" w:hAnsi="Verdana"/>
          <w:bCs/>
          <w:sz w:val="20"/>
          <w:szCs w:val="20"/>
          <w:lang w:val="es-ES"/>
        </w:rPr>
        <w:t>artículo 29, al momento de interpretar aquella a los efectos de que ello no limite el goce y el ejercicio de un derecho reconocido por este último.</w:t>
      </w:r>
    </w:p>
    <w:p w14:paraId="4BA199EC" w14:textId="77777777" w:rsidR="00EC415C" w:rsidRPr="00E757D1" w:rsidRDefault="00EC415C" w:rsidP="00DA5A31">
      <w:pPr>
        <w:pStyle w:val="Prrafodelista"/>
        <w:ind w:left="-270" w:right="-162"/>
        <w:rPr>
          <w:rFonts w:ascii="Verdana" w:hAnsi="Verdana"/>
          <w:bCs/>
          <w:sz w:val="20"/>
          <w:szCs w:val="20"/>
          <w:lang w:val="es-ES"/>
        </w:rPr>
      </w:pPr>
    </w:p>
    <w:p w14:paraId="29871C4C" w14:textId="2081C705" w:rsidR="00EC415C" w:rsidRPr="00E757D1" w:rsidRDefault="008B4B97"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 xml:space="preserve">Con respecto a lo sostenido precedentemente, se debe remarcar que en la propia Sentencia se indica que a lo que se refiere es </w:t>
      </w:r>
      <w:r w:rsidR="000B4BC4" w:rsidRPr="00E757D1">
        <w:rPr>
          <w:rFonts w:ascii="Verdana" w:hAnsi="Verdana"/>
          <w:bCs/>
          <w:sz w:val="20"/>
          <w:szCs w:val="20"/>
          <w:lang w:val="es-ES"/>
        </w:rPr>
        <w:t>a</w:t>
      </w:r>
      <w:r w:rsidR="000B4BC4" w:rsidRPr="00E757D1">
        <w:rPr>
          <w:rFonts w:ascii="Verdana" w:hAnsi="Verdana"/>
          <w:sz w:val="20"/>
          <w:szCs w:val="20"/>
          <w:lang w:val="es-ES"/>
        </w:rPr>
        <w:t xml:space="preserve"> la determinación del contenido </w:t>
      </w:r>
      <w:r w:rsidR="00F2080B" w:rsidRPr="00E757D1">
        <w:rPr>
          <w:rFonts w:ascii="Verdana" w:hAnsi="Verdana"/>
          <w:sz w:val="20"/>
          <w:szCs w:val="20"/>
          <w:lang w:val="es-ES"/>
        </w:rPr>
        <w:t xml:space="preserve">y alcance </w:t>
      </w:r>
      <w:r w:rsidR="000B4BC4" w:rsidRPr="00E757D1">
        <w:rPr>
          <w:rFonts w:ascii="Verdana" w:hAnsi="Verdana"/>
          <w:sz w:val="20"/>
          <w:szCs w:val="20"/>
          <w:lang w:val="es-ES"/>
        </w:rPr>
        <w:t xml:space="preserve">del derecho </w:t>
      </w:r>
      <w:r w:rsidRPr="00E757D1">
        <w:rPr>
          <w:rFonts w:ascii="Verdana" w:hAnsi="Verdana"/>
          <w:sz w:val="20"/>
          <w:szCs w:val="20"/>
          <w:lang w:val="es-ES"/>
        </w:rPr>
        <w:t xml:space="preserve">a condiciones equitativas y satisfactorias que garanticen la seguridad, la salud y la higiene </w:t>
      </w:r>
      <w:r w:rsidR="008034FA">
        <w:rPr>
          <w:rFonts w:ascii="Verdana" w:hAnsi="Verdana"/>
          <w:sz w:val="20"/>
          <w:szCs w:val="20"/>
          <w:lang w:val="es-ES"/>
        </w:rPr>
        <w:t xml:space="preserve">en </w:t>
      </w:r>
      <w:r w:rsidRPr="00E757D1">
        <w:rPr>
          <w:rFonts w:ascii="Verdana" w:hAnsi="Verdana"/>
          <w:sz w:val="20"/>
          <w:szCs w:val="20"/>
          <w:lang w:val="es-ES"/>
        </w:rPr>
        <w:t>el trabajo</w:t>
      </w:r>
      <w:r w:rsidR="007D602D" w:rsidRPr="00E757D1">
        <w:rPr>
          <w:rStyle w:val="Refdenotaalpie"/>
          <w:rFonts w:ascii="Verdana" w:hAnsi="Verdana"/>
          <w:sz w:val="20"/>
          <w:szCs w:val="20"/>
          <w:lang w:val="es-ES"/>
        </w:rPr>
        <w:footnoteReference w:id="63"/>
      </w:r>
      <w:r w:rsidR="00DA2183" w:rsidRPr="00E757D1">
        <w:rPr>
          <w:rFonts w:ascii="Verdana" w:hAnsi="Verdana"/>
          <w:sz w:val="20"/>
          <w:szCs w:val="20"/>
          <w:lang w:val="es-ES"/>
        </w:rPr>
        <w:t xml:space="preserve"> y de allí es que concluye en</w:t>
      </w:r>
      <w:r w:rsidR="00E9106E" w:rsidRPr="00E757D1">
        <w:rPr>
          <w:rFonts w:ascii="Verdana" w:hAnsi="Verdana"/>
          <w:bCs/>
          <w:sz w:val="20"/>
          <w:szCs w:val="20"/>
          <w:lang w:val="es-ES"/>
        </w:rPr>
        <w:t xml:space="preserve"> </w:t>
      </w:r>
      <w:r w:rsidR="00DA2183" w:rsidRPr="00E757D1">
        <w:rPr>
          <w:rFonts w:ascii="Verdana" w:hAnsi="Verdana"/>
          <w:sz w:val="20"/>
          <w:szCs w:val="20"/>
          <w:lang w:val="es-ES"/>
        </w:rPr>
        <w:t>“</w:t>
      </w:r>
      <w:r w:rsidR="00DA2183" w:rsidRPr="00E757D1">
        <w:rPr>
          <w:rFonts w:ascii="Verdana" w:hAnsi="Verdana"/>
          <w:i/>
          <w:iCs/>
          <w:sz w:val="20"/>
          <w:szCs w:val="20"/>
          <w:lang w:val="es-ES"/>
        </w:rPr>
        <w:t>que existe una referencia con el suficiente grado de especificidad al derecho a condiciones de trabajo equitativas y satisfactorias para derivar su existencia y reconocimiento implícito en la Carta de la OEA</w:t>
      </w:r>
      <w:r w:rsidR="00DA2183" w:rsidRPr="00E757D1">
        <w:rPr>
          <w:rFonts w:ascii="Verdana" w:hAnsi="Verdana"/>
          <w:sz w:val="20"/>
          <w:szCs w:val="20"/>
          <w:lang w:val="es-ES"/>
        </w:rPr>
        <w:t>”</w:t>
      </w:r>
      <w:r w:rsidR="00DA2183" w:rsidRPr="00E757D1">
        <w:rPr>
          <w:rStyle w:val="Refdenotaalpie"/>
          <w:rFonts w:ascii="Verdana" w:hAnsi="Verdana"/>
          <w:sz w:val="20"/>
          <w:szCs w:val="20"/>
          <w:lang w:val="es-ES"/>
        </w:rPr>
        <w:footnoteReference w:id="64"/>
      </w:r>
      <w:r w:rsidR="00DA2183" w:rsidRPr="00E757D1">
        <w:rPr>
          <w:rFonts w:ascii="Verdana" w:hAnsi="Verdana"/>
          <w:sz w:val="20"/>
          <w:szCs w:val="20"/>
          <w:lang w:val="es-ES"/>
        </w:rPr>
        <w:t xml:space="preserve">. No se refiere, entonces, a la </w:t>
      </w:r>
      <w:r w:rsidR="00E9697D" w:rsidRPr="00E757D1">
        <w:rPr>
          <w:rFonts w:ascii="Verdana" w:hAnsi="Verdana"/>
          <w:bCs/>
          <w:sz w:val="20"/>
          <w:szCs w:val="20"/>
          <w:lang w:val="es-ES"/>
        </w:rPr>
        <w:t>judicialización ante la Corte.</w:t>
      </w:r>
    </w:p>
    <w:p w14:paraId="685E89A1" w14:textId="77777777" w:rsidR="00EC415C" w:rsidRPr="00E757D1" w:rsidRDefault="00EC415C" w:rsidP="00DA5A31">
      <w:pPr>
        <w:pStyle w:val="Prrafodelista"/>
        <w:ind w:left="-270" w:right="-162"/>
        <w:rPr>
          <w:rFonts w:ascii="Verdana" w:hAnsi="Verdana" w:cs="Verdana"/>
          <w:sz w:val="20"/>
          <w:szCs w:val="20"/>
          <w:lang w:val="es-ES"/>
        </w:rPr>
      </w:pPr>
    </w:p>
    <w:p w14:paraId="2A2B85C5" w14:textId="77777777" w:rsidR="00EC415C"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cs="Verdana"/>
          <w:sz w:val="20"/>
          <w:szCs w:val="20"/>
          <w:lang w:val="es-ES"/>
        </w:rPr>
        <w:t xml:space="preserve">Adicionalmente, se debe advertir </w:t>
      </w:r>
      <w:r w:rsidRPr="00E757D1">
        <w:rPr>
          <w:rFonts w:ascii="Verdana" w:hAnsi="Verdana"/>
          <w:sz w:val="20"/>
          <w:szCs w:val="20"/>
          <w:lang w:val="es-ES"/>
        </w:rPr>
        <w:t>que en otras sentencias de la Corte se alcanzó un resultado análogo al que se pretende en autos, aplicando únicamente disposiciones de la Convención referentes a derechos que ésta reconoce y lógicamente dentro de los límites de ellas, sin haber tenido necesidad de recurrir al artículo 26. De modo, pues, que no se vislumbra la razón por la insistencia de señalar dicha norma como fundamento para que las violaciones de los derechos humanos que se “</w:t>
      </w:r>
      <w:r w:rsidRPr="00E757D1">
        <w:rPr>
          <w:rFonts w:ascii="Verdana" w:hAnsi="Verdana"/>
          <w:i/>
          <w:sz w:val="20"/>
          <w:szCs w:val="20"/>
          <w:lang w:val="es-ES"/>
        </w:rPr>
        <w:t>derivan</w:t>
      </w:r>
      <w:r w:rsidRPr="00E757D1">
        <w:rPr>
          <w:rFonts w:ascii="Verdana" w:hAnsi="Verdana"/>
          <w:iCs/>
          <w:sz w:val="20"/>
          <w:szCs w:val="20"/>
          <w:lang w:val="es-ES"/>
        </w:rPr>
        <w:t>”</w:t>
      </w:r>
      <w:r w:rsidRPr="00E757D1">
        <w:rPr>
          <w:rFonts w:ascii="Verdana" w:hAnsi="Verdana"/>
          <w:sz w:val="20"/>
          <w:szCs w:val="20"/>
          <w:lang w:val="es-ES"/>
        </w:rPr>
        <w:t xml:space="preserve"> de la Carta de la OEA puedan ser conocidas por la Corte, cuando es evidente que ello resulta superfluo.</w:t>
      </w:r>
    </w:p>
    <w:p w14:paraId="62B7ACCF" w14:textId="77777777" w:rsidR="00EC415C" w:rsidRPr="00E757D1" w:rsidRDefault="00EC415C" w:rsidP="00DA5A31">
      <w:pPr>
        <w:pStyle w:val="Prrafodelista"/>
        <w:ind w:left="-270" w:right="-162"/>
        <w:rPr>
          <w:rFonts w:ascii="Verdana" w:hAnsi="Verdana"/>
          <w:sz w:val="20"/>
          <w:szCs w:val="20"/>
          <w:lang w:val="es-ES"/>
        </w:rPr>
      </w:pPr>
    </w:p>
    <w:p w14:paraId="1CB8EFAC" w14:textId="06C9C6B9" w:rsidR="00E9106E"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 xml:space="preserve">Lo anterior es tanto más cierto cuando se constata que la Sentencia, al </w:t>
      </w:r>
      <w:r w:rsidRPr="00E757D1">
        <w:rPr>
          <w:rFonts w:ascii="Verdana" w:hAnsi="Verdana" w:cs="Arial"/>
          <w:sz w:val="20"/>
          <w:szCs w:val="20"/>
          <w:shd w:val="clear" w:color="auto" w:fill="FFFFFF"/>
          <w:lang w:val="es-ES"/>
        </w:rPr>
        <w:t>declar</w:t>
      </w:r>
      <w:r w:rsidR="007605E9" w:rsidRPr="00E757D1">
        <w:rPr>
          <w:rFonts w:ascii="Verdana" w:hAnsi="Verdana" w:cs="Arial"/>
          <w:sz w:val="20"/>
          <w:szCs w:val="20"/>
          <w:shd w:val="clear" w:color="auto" w:fill="FFFFFF"/>
          <w:lang w:val="es-ES"/>
        </w:rPr>
        <w:t>ar</w:t>
      </w:r>
      <w:r w:rsidRPr="00E757D1">
        <w:rPr>
          <w:rFonts w:ascii="Verdana" w:hAnsi="Verdana" w:cs="Arial"/>
          <w:sz w:val="20"/>
          <w:szCs w:val="20"/>
          <w:shd w:val="clear" w:color="auto" w:fill="FFFFFF"/>
          <w:lang w:val="es-ES"/>
        </w:rPr>
        <w:t xml:space="preserve">, sobre la base del artículo 26, </w:t>
      </w:r>
      <w:r w:rsidR="00AE4E61" w:rsidRPr="00E757D1">
        <w:rPr>
          <w:rFonts w:ascii="Verdana" w:hAnsi="Verdana" w:cs="Arial"/>
          <w:sz w:val="20"/>
          <w:szCs w:val="20"/>
          <w:shd w:val="clear" w:color="auto" w:fill="FFFFFF"/>
          <w:lang w:val="es-ES"/>
        </w:rPr>
        <w:t>la violación d</w:t>
      </w:r>
      <w:r w:rsidR="00AE4E61" w:rsidRPr="00E757D1">
        <w:rPr>
          <w:rFonts w:ascii="Verdana" w:hAnsi="Verdana"/>
          <w:sz w:val="20"/>
          <w:szCs w:val="20"/>
          <w:lang w:val="es-ES"/>
        </w:rPr>
        <w:t xml:space="preserve">el </w:t>
      </w:r>
      <w:bookmarkStart w:id="22" w:name="_Hlk45818466"/>
      <w:r w:rsidR="00AE4E61" w:rsidRPr="00E757D1">
        <w:rPr>
          <w:rFonts w:ascii="Verdana" w:eastAsia="Batang" w:hAnsi="Verdana"/>
          <w:bCs/>
          <w:sz w:val="20"/>
          <w:szCs w:val="20"/>
          <w:lang w:val="es-ES"/>
        </w:rPr>
        <w:t>derecho</w:t>
      </w:r>
      <w:r w:rsidR="00AE4E61" w:rsidRPr="00E757D1">
        <w:rPr>
          <w:rFonts w:ascii="Verdana" w:hAnsi="Verdana"/>
          <w:sz w:val="20"/>
          <w:szCs w:val="20"/>
          <w:lang w:val="es-ES"/>
        </w:rPr>
        <w:t xml:space="preserve"> a condiciones equitativas y satisfactorias que garanticen la seguridad, la salud y la higiene </w:t>
      </w:r>
      <w:r w:rsidR="0039465E" w:rsidRPr="00E757D1">
        <w:rPr>
          <w:rFonts w:ascii="Verdana" w:hAnsi="Verdana"/>
          <w:sz w:val="20"/>
          <w:szCs w:val="20"/>
          <w:lang w:val="es-ES"/>
        </w:rPr>
        <w:t xml:space="preserve">en </w:t>
      </w:r>
      <w:r w:rsidR="00AE4E61" w:rsidRPr="00E757D1">
        <w:rPr>
          <w:rFonts w:ascii="Verdana" w:hAnsi="Verdana"/>
          <w:sz w:val="20"/>
          <w:szCs w:val="20"/>
          <w:lang w:val="es-ES"/>
        </w:rPr>
        <w:t>el trabajo</w:t>
      </w:r>
      <w:bookmarkEnd w:id="22"/>
      <w:r w:rsidR="00AE4E61" w:rsidRPr="00E757D1">
        <w:rPr>
          <w:rFonts w:ascii="Verdana" w:hAnsi="Verdana"/>
          <w:sz w:val="20"/>
          <w:szCs w:val="20"/>
          <w:lang w:val="es-ES"/>
        </w:rPr>
        <w:t xml:space="preserve">, lo hace junto </w:t>
      </w:r>
      <w:r w:rsidR="00AE4E61" w:rsidRPr="00E757D1">
        <w:rPr>
          <w:rFonts w:ascii="Verdana" w:hAnsi="Verdana"/>
          <w:sz w:val="20"/>
          <w:szCs w:val="20"/>
          <w:lang w:val="es-ES"/>
        </w:rPr>
        <w:lastRenderedPageBreak/>
        <w:t>con declarar también violado el artículo 19</w:t>
      </w:r>
      <w:r w:rsidR="007605E9" w:rsidRPr="00E757D1">
        <w:rPr>
          <w:rFonts w:ascii="Verdana" w:hAnsi="Verdana"/>
          <w:sz w:val="20"/>
          <w:szCs w:val="20"/>
          <w:lang w:val="es-ES"/>
        </w:rPr>
        <w:t xml:space="preserve">, atingente a los derechos del niño, con lo que, </w:t>
      </w:r>
      <w:r w:rsidR="00AF6C0D" w:rsidRPr="00E757D1">
        <w:rPr>
          <w:rFonts w:ascii="Verdana" w:hAnsi="Verdana"/>
          <w:sz w:val="20"/>
          <w:szCs w:val="20"/>
          <w:lang w:val="es-ES"/>
        </w:rPr>
        <w:t xml:space="preserve">lo </w:t>
      </w:r>
      <w:r w:rsidR="007605E9" w:rsidRPr="00E757D1">
        <w:rPr>
          <w:rFonts w:ascii="Verdana" w:hAnsi="Verdana"/>
          <w:sz w:val="20"/>
          <w:szCs w:val="20"/>
          <w:lang w:val="es-ES"/>
        </w:rPr>
        <w:t xml:space="preserve">privó de la fortaleza de la que, </w:t>
      </w:r>
      <w:r w:rsidR="007605E9" w:rsidRPr="00E757D1">
        <w:rPr>
          <w:rFonts w:ascii="Verdana" w:hAnsi="Verdana"/>
          <w:i/>
          <w:iCs/>
          <w:sz w:val="20"/>
          <w:szCs w:val="20"/>
          <w:lang w:val="es-ES"/>
        </w:rPr>
        <w:t>per se,</w:t>
      </w:r>
      <w:r w:rsidR="00AE4E61" w:rsidRPr="00E757D1">
        <w:rPr>
          <w:rFonts w:ascii="Verdana" w:hAnsi="Verdana" w:cs="Arial"/>
          <w:sz w:val="20"/>
          <w:szCs w:val="20"/>
          <w:shd w:val="clear" w:color="auto" w:fill="FFFFFF"/>
          <w:lang w:val="es-ES"/>
        </w:rPr>
        <w:t xml:space="preserve"> </w:t>
      </w:r>
      <w:r w:rsidR="007605E9" w:rsidRPr="00E757D1">
        <w:rPr>
          <w:rFonts w:ascii="Verdana" w:hAnsi="Verdana" w:cs="Arial"/>
          <w:sz w:val="20"/>
          <w:szCs w:val="20"/>
          <w:shd w:val="clear" w:color="auto" w:fill="FFFFFF"/>
          <w:lang w:val="es-ES"/>
        </w:rPr>
        <w:t xml:space="preserve">goza, sentando </w:t>
      </w:r>
      <w:r w:rsidR="00961DAB" w:rsidRPr="00E757D1">
        <w:rPr>
          <w:rFonts w:ascii="Verdana" w:hAnsi="Verdana" w:cs="Arial"/>
          <w:sz w:val="20"/>
          <w:szCs w:val="20"/>
          <w:shd w:val="clear" w:color="auto" w:fill="FFFFFF"/>
          <w:lang w:val="es-ES"/>
        </w:rPr>
        <w:t xml:space="preserve">así </w:t>
      </w:r>
      <w:r w:rsidR="007605E9" w:rsidRPr="00E757D1">
        <w:rPr>
          <w:rFonts w:ascii="Verdana" w:hAnsi="Verdana" w:cs="Arial"/>
          <w:sz w:val="20"/>
          <w:szCs w:val="20"/>
          <w:shd w:val="clear" w:color="auto" w:fill="FFFFFF"/>
          <w:lang w:val="es-ES"/>
        </w:rPr>
        <w:t>un precedente de que</w:t>
      </w:r>
      <w:r w:rsidR="0019112A" w:rsidRPr="00E757D1">
        <w:rPr>
          <w:rFonts w:ascii="Verdana" w:hAnsi="Verdana" w:cs="Arial"/>
          <w:sz w:val="20"/>
          <w:szCs w:val="20"/>
          <w:shd w:val="clear" w:color="auto" w:fill="FFFFFF"/>
          <w:lang w:val="es-ES"/>
        </w:rPr>
        <w:t>,</w:t>
      </w:r>
      <w:r w:rsidR="007605E9" w:rsidRPr="00E757D1">
        <w:rPr>
          <w:rFonts w:ascii="Verdana" w:hAnsi="Verdana" w:cs="Arial"/>
          <w:sz w:val="20"/>
          <w:szCs w:val="20"/>
          <w:shd w:val="clear" w:color="auto" w:fill="FFFFFF"/>
          <w:lang w:val="es-ES"/>
        </w:rPr>
        <w:t xml:space="preserve"> en el futuro</w:t>
      </w:r>
      <w:r w:rsidR="0019112A" w:rsidRPr="00E757D1">
        <w:rPr>
          <w:rFonts w:ascii="Verdana" w:hAnsi="Verdana" w:cs="Arial"/>
          <w:sz w:val="20"/>
          <w:szCs w:val="20"/>
          <w:shd w:val="clear" w:color="auto" w:fill="FFFFFF"/>
          <w:lang w:val="es-ES"/>
        </w:rPr>
        <w:t>,</w:t>
      </w:r>
      <w:r w:rsidR="007605E9" w:rsidRPr="00E757D1">
        <w:rPr>
          <w:rFonts w:ascii="Verdana" w:hAnsi="Verdana" w:cs="Arial"/>
          <w:sz w:val="20"/>
          <w:szCs w:val="20"/>
          <w:shd w:val="clear" w:color="auto" w:fill="FFFFFF"/>
          <w:lang w:val="es-ES"/>
        </w:rPr>
        <w:t xml:space="preserve"> no pueda ser invocado como el único fundamento para declarar su </w:t>
      </w:r>
      <w:r w:rsidR="00961DAB" w:rsidRPr="00E757D1">
        <w:rPr>
          <w:rFonts w:ascii="Verdana" w:hAnsi="Verdana" w:cs="Arial"/>
          <w:sz w:val="20"/>
          <w:szCs w:val="20"/>
          <w:shd w:val="clear" w:color="auto" w:fill="FFFFFF"/>
          <w:lang w:val="es-ES"/>
        </w:rPr>
        <w:t xml:space="preserve">eventual </w:t>
      </w:r>
      <w:r w:rsidR="007605E9" w:rsidRPr="00E757D1">
        <w:rPr>
          <w:rFonts w:ascii="Verdana" w:hAnsi="Verdana" w:cs="Arial"/>
          <w:sz w:val="20"/>
          <w:szCs w:val="20"/>
          <w:shd w:val="clear" w:color="auto" w:fill="FFFFFF"/>
          <w:lang w:val="es-ES"/>
        </w:rPr>
        <w:t xml:space="preserve">violación. </w:t>
      </w:r>
      <w:r w:rsidR="00961DAB" w:rsidRPr="00E757D1">
        <w:rPr>
          <w:rFonts w:ascii="Verdana" w:hAnsi="Verdana" w:cs="Arial"/>
          <w:sz w:val="20"/>
          <w:szCs w:val="20"/>
          <w:shd w:val="clear" w:color="auto" w:fill="FFFFFF"/>
          <w:lang w:val="es-ES"/>
        </w:rPr>
        <w:t>Un lamentable retroceso, pues, en esta materia.</w:t>
      </w:r>
    </w:p>
    <w:p w14:paraId="58D31FB1" w14:textId="77777777" w:rsidR="0039465E" w:rsidRPr="00E757D1" w:rsidRDefault="0039465E" w:rsidP="00DA5A31">
      <w:pPr>
        <w:pStyle w:val="Prrafodelista"/>
        <w:ind w:left="-270" w:right="-162"/>
        <w:rPr>
          <w:rFonts w:ascii="Verdana" w:hAnsi="Verdana"/>
          <w:sz w:val="20"/>
          <w:szCs w:val="20"/>
          <w:lang w:val="es-ES"/>
        </w:rPr>
      </w:pPr>
    </w:p>
    <w:p w14:paraId="35EB9263" w14:textId="1357FFC3" w:rsidR="0039465E" w:rsidRPr="00E757D1" w:rsidRDefault="0039465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De lo reseñado, se puede concluir, por lo tanto, que la aplicación del método subjetivo de interpretación de los tratados, conduce al mismo resultado ya antes señalado, a saber y a diferencia de lo que indica la Sentencia, que en momento alguno se incluyó a los derechos económicos, sociales y culturales que se “</w:t>
      </w:r>
      <w:r w:rsidRPr="008034FA">
        <w:rPr>
          <w:rFonts w:ascii="Verdana" w:hAnsi="Verdana"/>
          <w:i/>
          <w:iCs/>
          <w:sz w:val="20"/>
          <w:szCs w:val="20"/>
          <w:lang w:val="es-ES"/>
        </w:rPr>
        <w:t>derivan</w:t>
      </w:r>
      <w:r w:rsidRPr="00E757D1">
        <w:rPr>
          <w:rFonts w:ascii="Verdana" w:hAnsi="Verdana"/>
          <w:sz w:val="20"/>
          <w:szCs w:val="20"/>
          <w:lang w:val="es-ES"/>
        </w:rPr>
        <w:t xml:space="preserve">” de las normas de la Carta de la OEA, entre ellos, el </w:t>
      </w:r>
      <w:r w:rsidRPr="00E757D1">
        <w:rPr>
          <w:rFonts w:ascii="Verdana" w:eastAsia="Batang" w:hAnsi="Verdana"/>
          <w:bCs/>
          <w:sz w:val="20"/>
          <w:szCs w:val="20"/>
          <w:lang w:val="es-ES"/>
        </w:rPr>
        <w:t>derecho</w:t>
      </w:r>
      <w:r w:rsidRPr="00E757D1">
        <w:rPr>
          <w:rFonts w:ascii="Verdana" w:hAnsi="Verdana"/>
          <w:sz w:val="20"/>
          <w:szCs w:val="20"/>
          <w:lang w:val="es-ES"/>
        </w:rPr>
        <w:t xml:space="preserve"> a condiciones equitativas y satisfactorias que garanticen la seguridad, la salud y la higiene en el trabajo</w:t>
      </w:r>
      <w:r w:rsidRPr="00E757D1">
        <w:rPr>
          <w:rFonts w:ascii="Verdana" w:hAnsi="Verdana"/>
          <w:iCs/>
          <w:sz w:val="20"/>
          <w:szCs w:val="20"/>
          <w:lang w:val="es-ES"/>
        </w:rPr>
        <w:t>, en el régimen de protección previsto en la Convención</w:t>
      </w:r>
      <w:r w:rsidRPr="00E757D1">
        <w:rPr>
          <w:rFonts w:ascii="Verdana" w:hAnsi="Verdana"/>
          <w:sz w:val="20"/>
          <w:szCs w:val="20"/>
          <w:lang w:val="es-ES"/>
        </w:rPr>
        <w:t>.</w:t>
      </w:r>
    </w:p>
    <w:p w14:paraId="7DCF47C9" w14:textId="77777777" w:rsidR="00E9106E" w:rsidRPr="00E757D1" w:rsidRDefault="00E9106E" w:rsidP="00DA5A31">
      <w:pPr>
        <w:spacing w:line="276" w:lineRule="auto"/>
        <w:ind w:left="-270" w:right="-162"/>
        <w:rPr>
          <w:rFonts w:ascii="Verdana" w:hAnsi="Verdana"/>
          <w:sz w:val="20"/>
          <w:szCs w:val="20"/>
          <w:lang w:val="es-ES"/>
        </w:rPr>
      </w:pPr>
    </w:p>
    <w:p w14:paraId="1401F3F7" w14:textId="77777777" w:rsidR="00E9106E" w:rsidRPr="00E757D1" w:rsidRDefault="00E9106E" w:rsidP="00DA5A31">
      <w:pPr>
        <w:numPr>
          <w:ilvl w:val="0"/>
          <w:numId w:val="14"/>
        </w:numPr>
        <w:spacing w:line="276" w:lineRule="auto"/>
        <w:ind w:left="-270" w:right="-162" w:firstLine="0"/>
        <w:contextualSpacing/>
        <w:rPr>
          <w:rFonts w:ascii="Verdana" w:hAnsi="Verdana"/>
          <w:b/>
          <w:sz w:val="20"/>
          <w:szCs w:val="20"/>
          <w:lang w:val="es-ES"/>
        </w:rPr>
      </w:pPr>
      <w:r w:rsidRPr="00E757D1">
        <w:rPr>
          <w:rFonts w:ascii="Verdana" w:hAnsi="Verdana"/>
          <w:b/>
          <w:sz w:val="20"/>
          <w:szCs w:val="20"/>
          <w:lang w:val="es-ES"/>
        </w:rPr>
        <w:t>Método funcional o teleológico.</w:t>
      </w:r>
    </w:p>
    <w:p w14:paraId="29F90DA5" w14:textId="77777777" w:rsidR="00E9106E" w:rsidRPr="00E757D1" w:rsidRDefault="00E9106E" w:rsidP="00DA5A31">
      <w:pPr>
        <w:spacing w:line="276" w:lineRule="auto"/>
        <w:ind w:left="-270" w:right="-162"/>
        <w:contextualSpacing/>
        <w:rPr>
          <w:rFonts w:ascii="Verdana" w:hAnsi="Verdana"/>
          <w:sz w:val="20"/>
          <w:szCs w:val="20"/>
          <w:lang w:val="es-ES"/>
        </w:rPr>
      </w:pPr>
    </w:p>
    <w:p w14:paraId="528D2E49" w14:textId="77777777" w:rsidR="00E9106E" w:rsidRPr="00E757D1" w:rsidRDefault="00E9106E" w:rsidP="00DA5A31">
      <w:pPr>
        <w:numPr>
          <w:ilvl w:val="0"/>
          <w:numId w:val="5"/>
        </w:numPr>
        <w:spacing w:line="276" w:lineRule="auto"/>
        <w:ind w:left="-270" w:right="-162" w:firstLine="0"/>
        <w:contextualSpacing/>
        <w:rPr>
          <w:rFonts w:ascii="Verdana" w:hAnsi="Verdana"/>
          <w:b/>
          <w:sz w:val="20"/>
          <w:szCs w:val="20"/>
          <w:lang w:val="es-ES"/>
        </w:rPr>
      </w:pPr>
      <w:r w:rsidRPr="00E757D1">
        <w:rPr>
          <w:rFonts w:ascii="Verdana" w:hAnsi="Verdana"/>
          <w:sz w:val="20"/>
          <w:szCs w:val="20"/>
          <w:lang w:val="es-ES"/>
        </w:rPr>
        <w:t>Al tratar de precisar el objeto y fin de la disposición convencional que interesa, se puede sostener que:</w:t>
      </w:r>
    </w:p>
    <w:p w14:paraId="0D357AF8" w14:textId="77777777" w:rsidR="00E9106E" w:rsidRPr="00E757D1" w:rsidRDefault="00E9106E" w:rsidP="00DA5A31">
      <w:pPr>
        <w:spacing w:line="276" w:lineRule="auto"/>
        <w:ind w:left="-270" w:right="-162"/>
        <w:contextualSpacing/>
        <w:rPr>
          <w:rFonts w:ascii="Verdana" w:hAnsi="Verdana"/>
          <w:sz w:val="20"/>
          <w:szCs w:val="20"/>
          <w:lang w:val="es-ES"/>
        </w:rPr>
      </w:pPr>
    </w:p>
    <w:p w14:paraId="57BB2467" w14:textId="77777777" w:rsidR="00E9106E" w:rsidRPr="00E757D1" w:rsidRDefault="00E9106E" w:rsidP="00D52A39">
      <w:pPr>
        <w:numPr>
          <w:ilvl w:val="0"/>
          <w:numId w:val="1"/>
        </w:numPr>
        <w:spacing w:line="276" w:lineRule="auto"/>
        <w:ind w:left="270" w:right="-162" w:hanging="270"/>
        <w:contextualSpacing/>
        <w:rPr>
          <w:rFonts w:ascii="Verdana" w:hAnsi="Verdana"/>
          <w:iCs/>
          <w:sz w:val="20"/>
          <w:szCs w:val="20"/>
          <w:lang w:val="es-ES"/>
        </w:rPr>
      </w:pPr>
      <w:r w:rsidRPr="00E757D1">
        <w:rPr>
          <w:rFonts w:ascii="Verdana" w:hAnsi="Verdana"/>
          <w:sz w:val="20"/>
          <w:szCs w:val="20"/>
          <w:lang w:val="es-ES"/>
        </w:rPr>
        <w:t xml:space="preserve">el propósito de los Estados al suscribir la Convención fue </w:t>
      </w:r>
      <w:r w:rsidRPr="00E757D1">
        <w:rPr>
          <w:rFonts w:ascii="Verdana" w:hAnsi="Verdana"/>
          <w:iCs/>
          <w:sz w:val="20"/>
          <w:szCs w:val="20"/>
          <w:lang w:val="es-ES"/>
        </w:rPr>
        <w:t>“</w:t>
      </w:r>
      <w:r w:rsidRPr="00E757D1">
        <w:rPr>
          <w:rFonts w:ascii="Verdana" w:hAnsi="Verdana"/>
          <w:i/>
          <w:sz w:val="20"/>
          <w:szCs w:val="20"/>
          <w:lang w:val="es-ES"/>
        </w:rPr>
        <w:t>consolidar en este Continente, dentro del cuadro de las instituciones democráticas, un régimen de libertad personal y de justicia social, fundado en el respeto de los derechos esenciales del hombre</w:t>
      </w:r>
      <w:r w:rsidRPr="00E757D1">
        <w:rPr>
          <w:rFonts w:ascii="Verdana" w:hAnsi="Verdana"/>
          <w:iCs/>
          <w:sz w:val="20"/>
          <w:szCs w:val="20"/>
          <w:lang w:val="es-ES"/>
        </w:rPr>
        <w:t>”</w:t>
      </w:r>
      <w:r w:rsidRPr="00E757D1">
        <w:rPr>
          <w:rFonts w:ascii="Verdana" w:hAnsi="Verdana"/>
          <w:iCs/>
          <w:sz w:val="20"/>
          <w:szCs w:val="20"/>
          <w:vertAlign w:val="superscript"/>
          <w:lang w:val="es-ES"/>
        </w:rPr>
        <w:footnoteReference w:id="65"/>
      </w:r>
      <w:r w:rsidRPr="00E757D1">
        <w:rPr>
          <w:rFonts w:ascii="Verdana" w:hAnsi="Verdana"/>
          <w:iCs/>
          <w:sz w:val="20"/>
          <w:szCs w:val="20"/>
          <w:lang w:val="es-ES"/>
        </w:rPr>
        <w:t xml:space="preserve">; </w:t>
      </w:r>
    </w:p>
    <w:p w14:paraId="417078FB" w14:textId="77777777" w:rsidR="00E9106E" w:rsidRPr="00E757D1" w:rsidRDefault="00E9106E" w:rsidP="00D52A39">
      <w:pPr>
        <w:spacing w:line="276" w:lineRule="auto"/>
        <w:ind w:left="270" w:right="-162" w:hanging="270"/>
        <w:contextualSpacing/>
        <w:rPr>
          <w:rFonts w:ascii="Verdana" w:hAnsi="Verdana"/>
          <w:sz w:val="20"/>
          <w:szCs w:val="20"/>
          <w:lang w:val="es-ES"/>
        </w:rPr>
      </w:pPr>
    </w:p>
    <w:p w14:paraId="12DE0ECD" w14:textId="77777777" w:rsidR="00E9106E" w:rsidRPr="00E757D1" w:rsidRDefault="00E9106E" w:rsidP="00D52A39">
      <w:pPr>
        <w:numPr>
          <w:ilvl w:val="0"/>
          <w:numId w:val="1"/>
        </w:numPr>
        <w:spacing w:line="276" w:lineRule="auto"/>
        <w:ind w:left="270" w:right="-162" w:hanging="270"/>
        <w:contextualSpacing/>
        <w:rPr>
          <w:rFonts w:ascii="Verdana" w:hAnsi="Verdana"/>
          <w:sz w:val="20"/>
          <w:szCs w:val="20"/>
          <w:lang w:val="es-ES"/>
        </w:rPr>
      </w:pPr>
      <w:r w:rsidRPr="00E757D1">
        <w:rPr>
          <w:rFonts w:ascii="Verdana" w:eastAsia="Times" w:hAnsi="Verdana" w:cs="Arial"/>
          <w:sz w:val="20"/>
          <w:szCs w:val="20"/>
          <w:lang w:val="es-ES"/>
        </w:rPr>
        <w:t>para ello y tal como ya se señaló</w:t>
      </w:r>
      <w:r w:rsidRPr="00E757D1">
        <w:rPr>
          <w:rFonts w:ascii="Verdana" w:eastAsia="Times" w:hAnsi="Verdana" w:cs="Arial"/>
          <w:sz w:val="20"/>
          <w:szCs w:val="20"/>
          <w:vertAlign w:val="superscript"/>
          <w:lang w:val="es-ES"/>
        </w:rPr>
        <w:footnoteReference w:id="66"/>
      </w:r>
      <w:r w:rsidRPr="00E757D1">
        <w:rPr>
          <w:rFonts w:ascii="Verdana" w:eastAsia="Times" w:hAnsi="Verdana" w:cs="Arial"/>
          <w:sz w:val="20"/>
          <w:szCs w:val="20"/>
          <w:lang w:val="es-ES"/>
        </w:rPr>
        <w:t xml:space="preserve">, </w:t>
      </w:r>
      <w:r w:rsidRPr="000F21AC">
        <w:rPr>
          <w:rFonts w:ascii="Verdana" w:eastAsia="Times" w:hAnsi="Verdana" w:cs="Arial"/>
          <w:i/>
          <w:iCs/>
          <w:sz w:val="20"/>
          <w:szCs w:val="20"/>
          <w:lang w:val="es-ES"/>
        </w:rPr>
        <w:t xml:space="preserve">“la Tercera Conferencia Interamericana Extraordinaria (Buenos Aires 1967) aprobó la incorporación a la propia Carta de la Organización </w:t>
      </w:r>
      <w:r w:rsidRPr="00E757D1">
        <w:rPr>
          <w:rFonts w:ascii="Verdana" w:eastAsia="Times" w:hAnsi="Verdana" w:cs="Arial"/>
          <w:sz w:val="20"/>
          <w:szCs w:val="20"/>
          <w:lang w:val="es-ES"/>
        </w:rPr>
        <w:t xml:space="preserve">(de los Estados Americanos) </w:t>
      </w:r>
      <w:r w:rsidRPr="000F21AC">
        <w:rPr>
          <w:rFonts w:ascii="Verdana" w:eastAsia="Times" w:hAnsi="Verdana" w:cs="Arial"/>
          <w:i/>
          <w:iCs/>
          <w:sz w:val="20"/>
          <w:szCs w:val="20"/>
          <w:lang w:val="es-ES"/>
        </w:rPr>
        <w:t>de normas más amplias sobre derechos económicos, sociales y educacionales</w:t>
      </w:r>
      <w:r w:rsidRPr="00E757D1">
        <w:rPr>
          <w:rFonts w:ascii="Verdana" w:eastAsia="Times" w:hAnsi="Verdana" w:cs="Arial"/>
          <w:sz w:val="20"/>
          <w:szCs w:val="20"/>
          <w:lang w:val="es-ES"/>
        </w:rPr>
        <w:t>” y se “</w:t>
      </w:r>
      <w:r w:rsidRPr="00E757D1">
        <w:rPr>
          <w:rFonts w:ascii="Verdana" w:eastAsia="Times" w:hAnsi="Verdana" w:cs="Arial"/>
          <w:i/>
          <w:iCs/>
          <w:sz w:val="20"/>
          <w:szCs w:val="20"/>
          <w:lang w:val="es-ES"/>
        </w:rPr>
        <w:t>resolvió que una Convención interamericana sobre derechos humanos determinara</w:t>
      </w:r>
      <w:r w:rsidRPr="00E757D1">
        <w:rPr>
          <w:rFonts w:ascii="Verdana" w:hAnsi="Verdana"/>
          <w:i/>
          <w:iCs/>
          <w:sz w:val="20"/>
          <w:szCs w:val="20"/>
          <w:lang w:val="es-ES"/>
        </w:rPr>
        <w:t xml:space="preserve"> la estructura, competencia y procedimiento de los órganos encargados de esa materia</w:t>
      </w:r>
      <w:r w:rsidRPr="00E757D1">
        <w:rPr>
          <w:rFonts w:ascii="Verdana" w:hAnsi="Verdana"/>
          <w:sz w:val="20"/>
          <w:szCs w:val="20"/>
          <w:lang w:val="es-ES"/>
        </w:rPr>
        <w:t>”;</w:t>
      </w:r>
    </w:p>
    <w:p w14:paraId="6BEA8B3D" w14:textId="77777777" w:rsidR="00E9106E" w:rsidRPr="00E757D1" w:rsidRDefault="00E9106E" w:rsidP="00DA5A31">
      <w:pPr>
        <w:spacing w:line="276" w:lineRule="auto"/>
        <w:ind w:left="-270" w:right="-162"/>
        <w:rPr>
          <w:rFonts w:ascii="Verdana" w:hAnsi="Verdana"/>
          <w:sz w:val="20"/>
          <w:szCs w:val="20"/>
          <w:lang w:val="es-ES"/>
        </w:rPr>
      </w:pPr>
    </w:p>
    <w:p w14:paraId="1FEC88EA" w14:textId="77777777" w:rsidR="00E9106E" w:rsidRPr="00E757D1" w:rsidRDefault="00E9106E" w:rsidP="00D52A39">
      <w:pPr>
        <w:numPr>
          <w:ilvl w:val="0"/>
          <w:numId w:val="1"/>
        </w:numPr>
        <w:spacing w:line="276" w:lineRule="auto"/>
        <w:ind w:left="270" w:right="-162" w:hanging="270"/>
        <w:contextualSpacing/>
        <w:rPr>
          <w:rFonts w:ascii="Verdana" w:hAnsi="Verdana"/>
          <w:sz w:val="20"/>
          <w:szCs w:val="20"/>
          <w:lang w:val="es-ES"/>
        </w:rPr>
      </w:pPr>
      <w:r w:rsidRPr="00E757D1">
        <w:rPr>
          <w:rFonts w:ascii="Verdana" w:hAnsi="Verdana"/>
          <w:sz w:val="20"/>
          <w:szCs w:val="20"/>
          <w:lang w:val="es-ES"/>
        </w:rPr>
        <w:t>es del todo evidente, entonces, que, lo dispuesto en la citada Conferencia se cumplió, en lo concerniente a los derechos económicos, sociales y educacionales, con el Protocolo de Buenos Aires y en lo que respecta a la estructura, competencia y procedimiento de los órganos encargados de esa materia, con la Convención; y</w:t>
      </w:r>
    </w:p>
    <w:p w14:paraId="504D4642" w14:textId="77777777" w:rsidR="00E9106E" w:rsidRPr="00E757D1" w:rsidRDefault="00E9106E" w:rsidP="00D52A39">
      <w:pPr>
        <w:spacing w:line="276" w:lineRule="auto"/>
        <w:ind w:left="270" w:right="-162" w:hanging="270"/>
        <w:contextualSpacing/>
        <w:rPr>
          <w:rFonts w:ascii="Verdana" w:hAnsi="Verdana"/>
          <w:sz w:val="20"/>
          <w:szCs w:val="20"/>
          <w:lang w:val="es-ES"/>
        </w:rPr>
      </w:pPr>
    </w:p>
    <w:p w14:paraId="3F8D363B" w14:textId="307FBEFD" w:rsidR="00E9106E" w:rsidRPr="00E757D1" w:rsidRDefault="00E9106E" w:rsidP="00D52A39">
      <w:pPr>
        <w:numPr>
          <w:ilvl w:val="0"/>
          <w:numId w:val="1"/>
        </w:numPr>
        <w:spacing w:line="276" w:lineRule="auto"/>
        <w:ind w:left="270" w:right="-162" w:hanging="270"/>
        <w:contextualSpacing/>
        <w:rPr>
          <w:rFonts w:ascii="Verdana" w:hAnsi="Verdana"/>
          <w:sz w:val="20"/>
          <w:szCs w:val="20"/>
          <w:lang w:val="es-ES"/>
        </w:rPr>
      </w:pPr>
      <w:r w:rsidRPr="00E757D1">
        <w:rPr>
          <w:rFonts w:ascii="Verdana" w:hAnsi="Verdana"/>
          <w:sz w:val="20"/>
          <w:szCs w:val="20"/>
          <w:lang w:val="es-ES"/>
        </w:rPr>
        <w:t xml:space="preserve">es, por tanto, dando cumplimiento a ese mandato, que se incluyó el artículo 26 en la Convención en un capítulo separado del relativo a los derecho políticos y civiles y, además, estableciendo una especial obligación para los Estados Partes de la Convención, no existente en cuanto a los recién mencionados derechos, a saber, la de adoptar las </w:t>
      </w:r>
      <w:r w:rsidRPr="00E757D1">
        <w:rPr>
          <w:rFonts w:ascii="Verdana" w:hAnsi="Verdana"/>
          <w:i/>
          <w:iCs/>
          <w:sz w:val="20"/>
          <w:szCs w:val="20"/>
          <w:lang w:val="es-ES"/>
        </w:rPr>
        <w:t>“providencias, tanto a nivel interno como mediante la cooperación internacional, especialmente económica y técnica, para lograr progresivamente la plena efectividad de los</w:t>
      </w:r>
      <w:r w:rsidR="00001ADE" w:rsidRPr="00E757D1">
        <w:rPr>
          <w:rFonts w:ascii="Verdana" w:hAnsi="Verdana"/>
          <w:i/>
          <w:iCs/>
          <w:sz w:val="20"/>
          <w:szCs w:val="20"/>
          <w:lang w:val="es-ES"/>
        </w:rPr>
        <w:t xml:space="preserve">” </w:t>
      </w:r>
      <w:r w:rsidR="00001ADE" w:rsidRPr="00E757D1">
        <w:rPr>
          <w:rFonts w:ascii="Verdana" w:hAnsi="Verdana"/>
          <w:sz w:val="20"/>
          <w:szCs w:val="20"/>
          <w:lang w:val="es-ES"/>
        </w:rPr>
        <w:t>derechos a los que se refiere y ello “</w:t>
      </w:r>
      <w:r w:rsidRPr="00E757D1">
        <w:rPr>
          <w:rFonts w:ascii="Verdana" w:hAnsi="Verdana"/>
          <w:i/>
          <w:iCs/>
          <w:sz w:val="20"/>
          <w:szCs w:val="20"/>
          <w:lang w:val="es-ES"/>
        </w:rPr>
        <w:t>en la medida de los recursos disponibles, por vía legislativa u otros medios apropiados</w:t>
      </w:r>
      <w:r w:rsidRPr="00E757D1">
        <w:rPr>
          <w:rFonts w:ascii="Verdana" w:hAnsi="Verdana"/>
          <w:sz w:val="20"/>
          <w:szCs w:val="20"/>
          <w:lang w:val="es-ES"/>
        </w:rPr>
        <w:t>”.</w:t>
      </w:r>
    </w:p>
    <w:p w14:paraId="276650A0" w14:textId="77777777" w:rsidR="00E9106E" w:rsidRPr="00E757D1" w:rsidRDefault="00E9106E" w:rsidP="00DA5A31">
      <w:pPr>
        <w:spacing w:line="276" w:lineRule="auto"/>
        <w:ind w:left="-270" w:right="-162"/>
        <w:contextualSpacing/>
        <w:rPr>
          <w:rFonts w:ascii="Verdana" w:hAnsi="Verdana"/>
          <w:sz w:val="20"/>
          <w:szCs w:val="20"/>
          <w:lang w:val="es-ES"/>
        </w:rPr>
      </w:pPr>
    </w:p>
    <w:p w14:paraId="185D0DA9" w14:textId="395B9326" w:rsidR="00826685"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lastRenderedPageBreak/>
        <w:t xml:space="preserve">En otros términos, el objeto y fin del artículo 26 es que se adopten las providencias que señala para lograr </w:t>
      </w:r>
      <w:r w:rsidR="00E00360" w:rsidRPr="00E757D1">
        <w:rPr>
          <w:rFonts w:ascii="Verdana" w:hAnsi="Verdana"/>
          <w:sz w:val="20"/>
          <w:szCs w:val="20"/>
          <w:lang w:val="es-ES"/>
        </w:rPr>
        <w:t>l</w:t>
      </w:r>
      <w:r w:rsidRPr="00E757D1">
        <w:rPr>
          <w:rFonts w:ascii="Verdana" w:hAnsi="Verdana"/>
          <w:sz w:val="20"/>
          <w:szCs w:val="20"/>
          <w:lang w:val="es-ES"/>
        </w:rPr>
        <w:t>a efectividad de los derechos que indica y no que éstos sean exigibles de inmediato y menos aún que sean justiciables ante la Corte</w:t>
      </w:r>
      <w:r w:rsidR="005A05C1" w:rsidRPr="00E757D1">
        <w:rPr>
          <w:rFonts w:ascii="Verdana" w:hAnsi="Verdana"/>
          <w:sz w:val="20"/>
          <w:szCs w:val="20"/>
          <w:lang w:val="es-ES"/>
        </w:rPr>
        <w:t>, como lo afirma la Sentencia</w:t>
      </w:r>
      <w:r w:rsidR="005A05C1" w:rsidRPr="00E757D1">
        <w:rPr>
          <w:rStyle w:val="Refdenotaalpie"/>
          <w:rFonts w:ascii="Verdana" w:hAnsi="Verdana"/>
          <w:sz w:val="20"/>
          <w:szCs w:val="20"/>
          <w:lang w:val="es-ES"/>
        </w:rPr>
        <w:footnoteReference w:id="67"/>
      </w:r>
      <w:r w:rsidRPr="00E757D1">
        <w:rPr>
          <w:rFonts w:ascii="Verdana" w:hAnsi="Verdana"/>
          <w:sz w:val="20"/>
          <w:szCs w:val="20"/>
          <w:lang w:val="es-ES"/>
        </w:rPr>
        <w:t>.</w:t>
      </w:r>
      <w:r w:rsidR="00001ADE" w:rsidRPr="00E757D1">
        <w:rPr>
          <w:rFonts w:ascii="Verdana" w:hAnsi="Verdana"/>
          <w:sz w:val="20"/>
          <w:szCs w:val="20"/>
          <w:lang w:val="es-ES"/>
        </w:rPr>
        <w:t xml:space="preserve"> Téngase en cuenta, a este respecto, que el propio título de la disposición es “</w:t>
      </w:r>
      <w:r w:rsidR="00001ADE" w:rsidRPr="00E757D1">
        <w:rPr>
          <w:rFonts w:ascii="Verdana" w:hAnsi="Verdana"/>
          <w:i/>
          <w:iCs/>
          <w:sz w:val="20"/>
          <w:szCs w:val="20"/>
          <w:lang w:val="es-ES"/>
        </w:rPr>
        <w:t>Desarrollo Progresivo</w:t>
      </w:r>
      <w:r w:rsidR="00001ADE" w:rsidRPr="00E757D1">
        <w:rPr>
          <w:rFonts w:ascii="Verdana" w:hAnsi="Verdana"/>
          <w:sz w:val="20"/>
          <w:szCs w:val="20"/>
          <w:lang w:val="es-ES"/>
        </w:rPr>
        <w:t>” y que el del Capítulo III, del que es la única norma, es “</w:t>
      </w:r>
      <w:r w:rsidR="00001ADE" w:rsidRPr="00E757D1">
        <w:rPr>
          <w:rFonts w:ascii="Verdana" w:hAnsi="Verdana"/>
          <w:i/>
          <w:iCs/>
          <w:sz w:val="20"/>
          <w:szCs w:val="20"/>
          <w:lang w:val="es-ES"/>
        </w:rPr>
        <w:t xml:space="preserve">Derechos Económicos, Sociales y Culturales”, </w:t>
      </w:r>
      <w:r w:rsidR="00001ADE" w:rsidRPr="00E757D1">
        <w:rPr>
          <w:rFonts w:ascii="Verdana" w:hAnsi="Verdana"/>
          <w:sz w:val="20"/>
          <w:szCs w:val="20"/>
          <w:lang w:val="es-ES"/>
        </w:rPr>
        <w:t>de donde se colige que</w:t>
      </w:r>
      <w:r w:rsidR="005A05C1" w:rsidRPr="00E757D1">
        <w:rPr>
          <w:rFonts w:ascii="Verdana" w:hAnsi="Verdana"/>
          <w:sz w:val="20"/>
          <w:szCs w:val="20"/>
          <w:lang w:val="es-ES"/>
        </w:rPr>
        <w:t xml:space="preserve"> lo que ordena tal norma, su objeto y fin, es que se adopten medidas para lograr, progresivamente, la efectividad de los derechos a que se refiere y no que éstos sean efectivos.</w:t>
      </w:r>
      <w:r w:rsidR="00001ADE" w:rsidRPr="00E757D1">
        <w:rPr>
          <w:rFonts w:ascii="Verdana" w:hAnsi="Verdana"/>
          <w:sz w:val="20"/>
          <w:szCs w:val="20"/>
          <w:lang w:val="es-ES"/>
        </w:rPr>
        <w:t xml:space="preserve"> </w:t>
      </w:r>
    </w:p>
    <w:p w14:paraId="25A9E73E" w14:textId="77777777" w:rsidR="00826685" w:rsidRPr="00E757D1" w:rsidRDefault="00826685" w:rsidP="00DA5A31">
      <w:pPr>
        <w:spacing w:line="276" w:lineRule="auto"/>
        <w:ind w:left="-270" w:right="-162"/>
        <w:contextualSpacing/>
        <w:rPr>
          <w:rFonts w:ascii="Verdana" w:hAnsi="Verdana"/>
          <w:sz w:val="20"/>
          <w:szCs w:val="20"/>
          <w:lang w:val="es-ES"/>
        </w:rPr>
      </w:pPr>
    </w:p>
    <w:p w14:paraId="5044E100" w14:textId="7243BFA3" w:rsidR="003862DE"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Aceptar que, para interpretar una específica disposición de la Convención, bastaría evocar el objeto y fin general de ésta antes señalado, de suyo amplio vago o impreciso y, por tanto, implicaría afectar la seguridad y certeza jurídicas que debe caracterizar a todo fallo de la Corte, puesto que dejaría a su criterio, con extenso margen, la determinación</w:t>
      </w:r>
      <w:r w:rsidR="0037188C" w:rsidRPr="00E757D1">
        <w:rPr>
          <w:rFonts w:ascii="Verdana" w:hAnsi="Verdana"/>
          <w:sz w:val="20"/>
          <w:szCs w:val="20"/>
          <w:lang w:val="es-ES"/>
        </w:rPr>
        <w:t xml:space="preserve"> </w:t>
      </w:r>
      <w:r w:rsidRPr="00E757D1">
        <w:rPr>
          <w:rFonts w:ascii="Verdana" w:hAnsi="Verdana"/>
          <w:sz w:val="20"/>
          <w:szCs w:val="20"/>
          <w:lang w:val="es-ES"/>
        </w:rPr>
        <w:t>de los derechos que derivan de las mencionadas normas de la Carta de la OEA, por lo que los Estados Partes de la Convención no sabrían</w:t>
      </w:r>
      <w:r w:rsidR="00434F2B" w:rsidRPr="00E757D1">
        <w:rPr>
          <w:rFonts w:ascii="Verdana" w:hAnsi="Verdana"/>
          <w:sz w:val="20"/>
          <w:szCs w:val="20"/>
          <w:lang w:val="es-ES"/>
        </w:rPr>
        <w:t>,</w:t>
      </w:r>
      <w:r w:rsidRPr="00E757D1">
        <w:rPr>
          <w:rFonts w:ascii="Verdana" w:hAnsi="Verdana"/>
          <w:sz w:val="20"/>
          <w:szCs w:val="20"/>
          <w:lang w:val="es-ES"/>
        </w:rPr>
        <w:t xml:space="preserve"> con antelación a los juicios correspondientes, cuales son. </w:t>
      </w:r>
    </w:p>
    <w:p w14:paraId="7D78AD04" w14:textId="77777777" w:rsidR="003862DE" w:rsidRPr="00E757D1" w:rsidRDefault="003862DE" w:rsidP="00DA5A31">
      <w:pPr>
        <w:pStyle w:val="Prrafodelista"/>
        <w:ind w:left="-270" w:right="-162"/>
        <w:rPr>
          <w:rFonts w:ascii="Verdana" w:hAnsi="Verdana"/>
          <w:sz w:val="20"/>
          <w:szCs w:val="20"/>
          <w:lang w:val="es-ES"/>
        </w:rPr>
      </w:pPr>
    </w:p>
    <w:p w14:paraId="622D7C06" w14:textId="3DECFA86" w:rsidR="003862DE" w:rsidRPr="00E757D1" w:rsidRDefault="005A05C1"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Es por tal motivo que no se puede compartir el criterio expuesto en la Sentencia</w:t>
      </w:r>
      <w:r w:rsidR="001D2498" w:rsidRPr="00E757D1">
        <w:rPr>
          <w:rFonts w:ascii="Verdana" w:hAnsi="Verdana"/>
          <w:sz w:val="20"/>
          <w:szCs w:val="20"/>
          <w:lang w:val="es-ES"/>
        </w:rPr>
        <w:t>,</w:t>
      </w:r>
      <w:r w:rsidRPr="00E757D1">
        <w:rPr>
          <w:rFonts w:ascii="Verdana" w:hAnsi="Verdana"/>
          <w:sz w:val="20"/>
          <w:szCs w:val="20"/>
          <w:lang w:val="es-ES"/>
        </w:rPr>
        <w:t xml:space="preserve"> en el sentido de que</w:t>
      </w:r>
      <w:r w:rsidR="00434F2B" w:rsidRPr="00E757D1">
        <w:rPr>
          <w:rFonts w:ascii="Verdana" w:hAnsi="Verdana"/>
          <w:sz w:val="20"/>
          <w:szCs w:val="20"/>
          <w:lang w:val="es-ES"/>
        </w:rPr>
        <w:t>,</w:t>
      </w:r>
      <w:r w:rsidR="00B41B23" w:rsidRPr="00E757D1">
        <w:rPr>
          <w:rFonts w:ascii="Verdana" w:hAnsi="Verdana"/>
          <w:sz w:val="20"/>
          <w:szCs w:val="20"/>
          <w:lang w:val="es-ES"/>
        </w:rPr>
        <w:t xml:space="preserve"> en mérito de lo previsto en los artículos 1 y 2 de la Convención,</w:t>
      </w:r>
      <w:r w:rsidRPr="00E757D1">
        <w:rPr>
          <w:rFonts w:ascii="Verdana" w:hAnsi="Verdana"/>
          <w:sz w:val="20"/>
          <w:szCs w:val="20"/>
          <w:lang w:val="es-ES"/>
        </w:rPr>
        <w:t xml:space="preserve"> el artículo 26 distingue entre </w:t>
      </w:r>
      <w:r w:rsidR="001D2498" w:rsidRPr="00E757D1">
        <w:rPr>
          <w:rFonts w:ascii="Verdana" w:hAnsi="Verdana"/>
          <w:sz w:val="20"/>
          <w:szCs w:val="20"/>
          <w:lang w:val="es-ES"/>
        </w:rPr>
        <w:t>“</w:t>
      </w:r>
      <w:r w:rsidR="001D2498" w:rsidRPr="00E757D1">
        <w:rPr>
          <w:rFonts w:ascii="Verdana" w:hAnsi="Verdana"/>
          <w:i/>
          <w:iCs/>
          <w:sz w:val="20"/>
          <w:szCs w:val="20"/>
          <w:lang w:val="es-ES"/>
        </w:rPr>
        <w:t>aspectos que tienen una exigibilidad inmediata” y “aspectos que tienen un carácter progresivo</w:t>
      </w:r>
      <w:r w:rsidR="001D2498" w:rsidRPr="00E757D1">
        <w:rPr>
          <w:rFonts w:ascii="Verdana" w:hAnsi="Verdana"/>
          <w:sz w:val="20"/>
          <w:szCs w:val="20"/>
          <w:lang w:val="es-ES"/>
        </w:rPr>
        <w:t>”</w:t>
      </w:r>
      <w:r w:rsidR="001D2498" w:rsidRPr="00E757D1">
        <w:rPr>
          <w:rStyle w:val="Refdenotaalpie"/>
          <w:rFonts w:ascii="Verdana" w:hAnsi="Verdana"/>
          <w:sz w:val="20"/>
          <w:szCs w:val="20"/>
          <w:lang w:val="es-ES"/>
        </w:rPr>
        <w:footnoteReference w:id="68"/>
      </w:r>
      <w:r w:rsidR="001D2498" w:rsidRPr="00E757D1">
        <w:rPr>
          <w:rFonts w:ascii="Verdana" w:hAnsi="Verdana"/>
          <w:sz w:val="20"/>
          <w:szCs w:val="20"/>
          <w:lang w:val="es-ES"/>
        </w:rPr>
        <w:t xml:space="preserve">, </w:t>
      </w:r>
      <w:r w:rsidR="003862DE" w:rsidRPr="00E757D1">
        <w:rPr>
          <w:rFonts w:ascii="Verdana" w:hAnsi="Verdana"/>
          <w:sz w:val="20"/>
          <w:szCs w:val="20"/>
          <w:lang w:val="es-ES"/>
        </w:rPr>
        <w:t xml:space="preserve">puesto que ello </w:t>
      </w:r>
      <w:r w:rsidR="001D2498" w:rsidRPr="00E757D1">
        <w:rPr>
          <w:rFonts w:ascii="Verdana" w:hAnsi="Verdana"/>
          <w:sz w:val="20"/>
          <w:szCs w:val="20"/>
          <w:lang w:val="es-ES"/>
        </w:rPr>
        <w:t>se aparta ostensiblemente de lo previsto en</w:t>
      </w:r>
      <w:r w:rsidR="00B41B23" w:rsidRPr="00E757D1">
        <w:rPr>
          <w:rFonts w:ascii="Verdana" w:hAnsi="Verdana"/>
          <w:sz w:val="20"/>
          <w:szCs w:val="20"/>
          <w:lang w:val="es-ES"/>
        </w:rPr>
        <w:t xml:space="preserve"> la</w:t>
      </w:r>
      <w:r w:rsidR="00434F2B" w:rsidRPr="00E757D1">
        <w:rPr>
          <w:rFonts w:ascii="Verdana" w:hAnsi="Verdana"/>
          <w:sz w:val="20"/>
          <w:szCs w:val="20"/>
          <w:lang w:val="es-ES"/>
        </w:rPr>
        <w:t>s</w:t>
      </w:r>
      <w:r w:rsidR="00B41B23" w:rsidRPr="00E757D1">
        <w:rPr>
          <w:rFonts w:ascii="Verdana" w:hAnsi="Verdana"/>
          <w:sz w:val="20"/>
          <w:szCs w:val="20"/>
          <w:lang w:val="es-ES"/>
        </w:rPr>
        <w:t xml:space="preserve"> aludidas disposiciones, </w:t>
      </w:r>
      <w:r w:rsidR="001D2498" w:rsidRPr="00E757D1">
        <w:rPr>
          <w:rFonts w:ascii="Verdana" w:hAnsi="Verdana"/>
          <w:sz w:val="20"/>
          <w:szCs w:val="20"/>
          <w:lang w:val="es-ES"/>
        </w:rPr>
        <w:t xml:space="preserve"> que establecen que los derechos a que se refieren son</w:t>
      </w:r>
      <w:r w:rsidR="00A2577B" w:rsidRPr="00E757D1">
        <w:rPr>
          <w:rFonts w:ascii="Verdana" w:hAnsi="Verdana"/>
          <w:sz w:val="20"/>
          <w:szCs w:val="20"/>
          <w:lang w:val="es-ES"/>
        </w:rPr>
        <w:t xml:space="preserve"> únicamente</w:t>
      </w:r>
      <w:r w:rsidR="001D2498" w:rsidRPr="00E757D1">
        <w:rPr>
          <w:rFonts w:ascii="Verdana" w:hAnsi="Verdana"/>
          <w:sz w:val="20"/>
          <w:szCs w:val="20"/>
          <w:lang w:val="es-ES"/>
        </w:rPr>
        <w:t xml:space="preserve"> los</w:t>
      </w:r>
      <w:r w:rsidR="00B41B23" w:rsidRPr="00E757D1">
        <w:rPr>
          <w:rFonts w:ascii="Verdana" w:hAnsi="Verdana"/>
          <w:sz w:val="20"/>
          <w:szCs w:val="20"/>
          <w:lang w:val="es-ES"/>
        </w:rPr>
        <w:t xml:space="preserve"> </w:t>
      </w:r>
      <w:r w:rsidR="001D2498" w:rsidRPr="00E757D1">
        <w:rPr>
          <w:rFonts w:ascii="Verdana" w:eastAsia="Times" w:hAnsi="Verdana" w:cs="Arial"/>
          <w:sz w:val="20"/>
          <w:szCs w:val="20"/>
          <w:lang w:val="es-ES"/>
        </w:rPr>
        <w:t>“</w:t>
      </w:r>
      <w:bookmarkStart w:id="23" w:name="_Hlk46312026"/>
      <w:r w:rsidR="001D2498" w:rsidRPr="00E757D1">
        <w:rPr>
          <w:rFonts w:ascii="Verdana" w:eastAsia="Times" w:hAnsi="Verdana" w:cs="Arial"/>
          <w:i/>
          <w:iCs/>
          <w:sz w:val="20"/>
          <w:szCs w:val="20"/>
          <w:lang w:val="es-ES"/>
        </w:rPr>
        <w:t>reconocidos</w:t>
      </w:r>
      <w:r w:rsidR="001D2498" w:rsidRPr="00E757D1">
        <w:rPr>
          <w:rFonts w:ascii="Verdana" w:eastAsia="Times" w:hAnsi="Verdana" w:cs="Arial"/>
          <w:sz w:val="20"/>
          <w:szCs w:val="20"/>
          <w:lang w:val="es-ES"/>
        </w:rPr>
        <w:t xml:space="preserve">”, </w:t>
      </w:r>
      <w:r w:rsidR="001D2498" w:rsidRPr="00E757D1">
        <w:rPr>
          <w:rFonts w:ascii="Verdana" w:eastAsia="Batang" w:hAnsi="Verdana"/>
          <w:sz w:val="20"/>
          <w:szCs w:val="20"/>
          <w:lang w:val="es-ES"/>
        </w:rPr>
        <w:t>“</w:t>
      </w:r>
      <w:r w:rsidR="001D2498" w:rsidRPr="00E757D1">
        <w:rPr>
          <w:rFonts w:ascii="Verdana" w:eastAsia="Batang" w:hAnsi="Verdana"/>
          <w:i/>
          <w:iCs/>
          <w:sz w:val="20"/>
          <w:szCs w:val="20"/>
          <w:lang w:val="es-ES"/>
        </w:rPr>
        <w:t>establecidos</w:t>
      </w:r>
      <w:r w:rsidR="001D2498" w:rsidRPr="00E757D1">
        <w:rPr>
          <w:rFonts w:ascii="Verdana" w:eastAsia="Batang" w:hAnsi="Verdana"/>
          <w:sz w:val="20"/>
          <w:szCs w:val="20"/>
          <w:lang w:val="es-ES"/>
        </w:rPr>
        <w:t>”, “</w:t>
      </w:r>
      <w:r w:rsidR="001D2498" w:rsidRPr="00E757D1">
        <w:rPr>
          <w:rFonts w:ascii="Verdana" w:eastAsia="Batang" w:hAnsi="Verdana"/>
          <w:i/>
          <w:iCs/>
          <w:sz w:val="20"/>
          <w:szCs w:val="20"/>
          <w:lang w:val="es-ES"/>
        </w:rPr>
        <w:t>garantizados</w:t>
      </w:r>
      <w:r w:rsidR="001D2498" w:rsidRPr="00E757D1">
        <w:rPr>
          <w:rFonts w:ascii="Verdana" w:eastAsia="Batang" w:hAnsi="Verdana"/>
          <w:sz w:val="20"/>
          <w:szCs w:val="20"/>
          <w:lang w:val="es-ES"/>
        </w:rPr>
        <w:t>”, “</w:t>
      </w:r>
      <w:r w:rsidR="001D2498" w:rsidRPr="00E757D1">
        <w:rPr>
          <w:rFonts w:ascii="Verdana" w:eastAsia="Batang" w:hAnsi="Verdana"/>
          <w:i/>
          <w:iCs/>
          <w:sz w:val="20"/>
          <w:szCs w:val="20"/>
          <w:lang w:val="es-ES"/>
        </w:rPr>
        <w:t>consagrados</w:t>
      </w:r>
      <w:r w:rsidR="001D2498" w:rsidRPr="00E757D1">
        <w:rPr>
          <w:rFonts w:ascii="Verdana" w:eastAsia="Batang" w:hAnsi="Verdana"/>
          <w:sz w:val="20"/>
          <w:szCs w:val="20"/>
          <w:lang w:val="es-ES"/>
        </w:rPr>
        <w:t>” o “</w:t>
      </w:r>
      <w:r w:rsidR="001D2498" w:rsidRPr="00E757D1">
        <w:rPr>
          <w:rFonts w:ascii="Verdana" w:eastAsia="Batang" w:hAnsi="Verdana"/>
          <w:i/>
          <w:iCs/>
          <w:sz w:val="20"/>
          <w:szCs w:val="20"/>
          <w:lang w:val="es-ES"/>
        </w:rPr>
        <w:t>protegidos</w:t>
      </w:r>
      <w:r w:rsidR="001D2498" w:rsidRPr="00E757D1">
        <w:rPr>
          <w:rFonts w:ascii="Verdana" w:eastAsia="Batang" w:hAnsi="Verdana"/>
          <w:sz w:val="20"/>
          <w:szCs w:val="20"/>
          <w:lang w:val="es-ES"/>
        </w:rPr>
        <w:t xml:space="preserve">” </w:t>
      </w:r>
      <w:bookmarkEnd w:id="23"/>
      <w:r w:rsidR="001D2498" w:rsidRPr="00E757D1">
        <w:rPr>
          <w:rFonts w:ascii="Verdana" w:eastAsia="Batang" w:hAnsi="Verdana"/>
          <w:sz w:val="20"/>
          <w:szCs w:val="20"/>
          <w:lang w:val="es-ES"/>
        </w:rPr>
        <w:t>en o por ella</w:t>
      </w:r>
      <w:r w:rsidR="00A2577B" w:rsidRPr="00E757D1">
        <w:rPr>
          <w:rFonts w:ascii="Verdana" w:eastAsia="Batang" w:hAnsi="Verdana"/>
          <w:sz w:val="20"/>
          <w:szCs w:val="20"/>
          <w:lang w:val="es-ES"/>
        </w:rPr>
        <w:t>, lo que no acontece con los aludidos por el artículo 26</w:t>
      </w:r>
      <w:r w:rsidR="00B41B23" w:rsidRPr="00E757D1">
        <w:rPr>
          <w:rFonts w:ascii="Verdana" w:eastAsia="Batang" w:hAnsi="Verdana"/>
          <w:sz w:val="20"/>
          <w:szCs w:val="20"/>
          <w:lang w:val="es-ES"/>
        </w:rPr>
        <w:t xml:space="preserve">. </w:t>
      </w:r>
      <w:r w:rsidR="003862DE" w:rsidRPr="00E757D1">
        <w:rPr>
          <w:rFonts w:ascii="Verdana" w:hAnsi="Verdana"/>
          <w:sz w:val="20"/>
          <w:szCs w:val="20"/>
          <w:lang w:val="es-ES"/>
        </w:rPr>
        <w:t>Además, la indicada distinción que hace la Sentencia sería, en sí misma, confusa y aún contradictoria, ya que, por una parte, no se sabría con certeza y con antelación al proceder cuales aspectos o más exactamente, cuales derechos a que alude el artículo 26 serían exigibles de inmediato y cuales requerirían que progresen con tal propósito y por la otra, los primeros no requerirían la adopción de providencias para ser exigibles, mientras los otros no podrían serlo en tanto no se adopten aquellas.</w:t>
      </w:r>
    </w:p>
    <w:p w14:paraId="3E1AC26E" w14:textId="77777777" w:rsidR="00193CD3" w:rsidRPr="00E757D1" w:rsidRDefault="00193CD3" w:rsidP="00DA5A31">
      <w:pPr>
        <w:ind w:left="-270" w:right="-162"/>
        <w:rPr>
          <w:rFonts w:ascii="Verdana" w:hAnsi="Verdana"/>
          <w:sz w:val="20"/>
          <w:szCs w:val="20"/>
          <w:lang w:val="es-ES"/>
        </w:rPr>
      </w:pPr>
    </w:p>
    <w:p w14:paraId="25DB61C2" w14:textId="2F85A4E3" w:rsidR="00193CD3"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Por otra parte, un proceder como el aludido, conllevaría, por parte de la Corte, la asunción de la función normativa internacional, que, en lo concerniente a la Convención, solo corresponde a sus Estados Partes</w:t>
      </w:r>
      <w:r w:rsidRPr="00E757D1">
        <w:rPr>
          <w:rFonts w:ascii="Verdana" w:hAnsi="Verdana"/>
          <w:sz w:val="20"/>
          <w:szCs w:val="20"/>
          <w:vertAlign w:val="superscript"/>
          <w:lang w:val="es-ES"/>
        </w:rPr>
        <w:footnoteReference w:id="69"/>
      </w:r>
      <w:r w:rsidRPr="00E757D1">
        <w:rPr>
          <w:rFonts w:ascii="Verdana" w:hAnsi="Verdana"/>
          <w:sz w:val="20"/>
          <w:szCs w:val="20"/>
          <w:lang w:val="es-ES"/>
        </w:rPr>
        <w:t xml:space="preserve">. Y ello en atención a que, con la ausencia de </w:t>
      </w:r>
      <w:r w:rsidRPr="00E757D1">
        <w:rPr>
          <w:rFonts w:ascii="Verdana" w:hAnsi="Verdana"/>
          <w:sz w:val="20"/>
          <w:szCs w:val="20"/>
          <w:lang w:val="es-ES"/>
        </w:rPr>
        <w:lastRenderedPageBreak/>
        <w:t>especificación de los derechos que se derivan de las normas de la Carta de la OEA</w:t>
      </w:r>
      <w:r w:rsidR="00C24868" w:rsidRPr="00E757D1">
        <w:rPr>
          <w:rFonts w:ascii="Verdana" w:hAnsi="Verdana"/>
          <w:sz w:val="20"/>
          <w:szCs w:val="20"/>
          <w:lang w:val="es-ES"/>
        </w:rPr>
        <w:t xml:space="preserve">, </w:t>
      </w:r>
      <w:r w:rsidRPr="00E757D1">
        <w:rPr>
          <w:rFonts w:ascii="Verdana" w:hAnsi="Verdana"/>
          <w:sz w:val="20"/>
          <w:szCs w:val="20"/>
          <w:lang w:val="es-ES"/>
        </w:rPr>
        <w:t>la Corte</w:t>
      </w:r>
      <w:r w:rsidR="00C24868" w:rsidRPr="00E757D1">
        <w:rPr>
          <w:rFonts w:ascii="Verdana" w:hAnsi="Verdana"/>
          <w:sz w:val="20"/>
          <w:szCs w:val="20"/>
          <w:lang w:val="es-ES"/>
        </w:rPr>
        <w:t xml:space="preserve"> </w:t>
      </w:r>
      <w:r w:rsidRPr="00E757D1">
        <w:rPr>
          <w:rFonts w:ascii="Verdana" w:hAnsi="Verdana"/>
          <w:sz w:val="20"/>
          <w:szCs w:val="20"/>
          <w:lang w:val="es-ES"/>
        </w:rPr>
        <w:t xml:space="preserve">podría establecer derechos no expresamente previstos en dichas normas y disponer que son justiciables ante ella.  </w:t>
      </w:r>
    </w:p>
    <w:p w14:paraId="6C421B4D" w14:textId="77777777" w:rsidR="00193CD3" w:rsidRPr="00E757D1" w:rsidRDefault="00193CD3" w:rsidP="00DA5A31">
      <w:pPr>
        <w:pStyle w:val="Prrafodelista"/>
        <w:ind w:left="-270" w:right="-162"/>
        <w:rPr>
          <w:rFonts w:ascii="Verdana" w:hAnsi="Verdana"/>
          <w:sz w:val="20"/>
          <w:szCs w:val="20"/>
          <w:lang w:val="es-ES"/>
        </w:rPr>
      </w:pPr>
    </w:p>
    <w:p w14:paraId="221AFA6A" w14:textId="65DF626C" w:rsidR="00E9106E"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 xml:space="preserve">En definitiva, pues, </w:t>
      </w:r>
      <w:r w:rsidR="00773883" w:rsidRPr="00E757D1">
        <w:rPr>
          <w:rFonts w:ascii="Verdana" w:hAnsi="Verdana"/>
          <w:sz w:val="20"/>
          <w:szCs w:val="20"/>
          <w:lang w:val="es-ES"/>
        </w:rPr>
        <w:t xml:space="preserve">discrepando de la Sentencia, se puede afirmar que </w:t>
      </w:r>
      <w:r w:rsidRPr="00E757D1">
        <w:rPr>
          <w:rFonts w:ascii="Verdana" w:hAnsi="Verdana"/>
          <w:sz w:val="20"/>
          <w:szCs w:val="20"/>
          <w:lang w:val="es-ES"/>
        </w:rPr>
        <w:t>la aplicación del método</w:t>
      </w:r>
      <w:r w:rsidRPr="00E757D1">
        <w:rPr>
          <w:rFonts w:ascii="Verdana" w:hAnsi="Verdana"/>
          <w:b/>
          <w:sz w:val="20"/>
          <w:szCs w:val="20"/>
          <w:lang w:val="es-ES"/>
        </w:rPr>
        <w:t xml:space="preserve"> </w:t>
      </w:r>
      <w:r w:rsidRPr="00E757D1">
        <w:rPr>
          <w:rFonts w:ascii="Verdana" w:hAnsi="Verdana"/>
          <w:sz w:val="20"/>
          <w:szCs w:val="20"/>
          <w:lang w:val="es-ES"/>
        </w:rPr>
        <w:t>funcional o teleológico de interpretación de tratados respecto del artículo 26 de la Convención conduce a la misma conclusión a que se llega con la utilización de los demás métodos de interpretación de tratados, es decir, que dicha disposición no tiene por finalidad establecer derecho humano alguno, sino únicamente consagrar el deber de los Estados Partes de adoptar medidas para hacer efectivos los derechos económicos, sociales y culturales que se “</w:t>
      </w:r>
      <w:r w:rsidRPr="00E757D1">
        <w:rPr>
          <w:rFonts w:ascii="Verdana" w:hAnsi="Verdana"/>
          <w:i/>
          <w:sz w:val="20"/>
          <w:szCs w:val="20"/>
          <w:lang w:val="es-ES"/>
        </w:rPr>
        <w:t>derivan</w:t>
      </w:r>
      <w:r w:rsidRPr="00E757D1">
        <w:rPr>
          <w:rFonts w:ascii="Verdana" w:hAnsi="Verdana"/>
          <w:iCs/>
          <w:sz w:val="20"/>
          <w:szCs w:val="20"/>
          <w:lang w:val="es-ES"/>
        </w:rPr>
        <w:t>”</w:t>
      </w:r>
      <w:r w:rsidRPr="00E757D1">
        <w:rPr>
          <w:rFonts w:ascii="Verdana" w:hAnsi="Verdana"/>
          <w:sz w:val="20"/>
          <w:szCs w:val="20"/>
          <w:lang w:val="es-ES"/>
        </w:rPr>
        <w:t xml:space="preserve"> de la Carta de la OEA.</w:t>
      </w:r>
    </w:p>
    <w:p w14:paraId="000582AA" w14:textId="77777777" w:rsidR="00E9106E" w:rsidRPr="00E757D1" w:rsidRDefault="00E9106E" w:rsidP="00DA5A31">
      <w:pPr>
        <w:spacing w:line="276" w:lineRule="auto"/>
        <w:ind w:left="-270" w:right="-162"/>
        <w:contextualSpacing/>
        <w:rPr>
          <w:rFonts w:ascii="Verdana" w:hAnsi="Verdana"/>
          <w:sz w:val="20"/>
          <w:szCs w:val="20"/>
          <w:lang w:val="es-ES"/>
        </w:rPr>
      </w:pPr>
    </w:p>
    <w:p w14:paraId="6E72522D" w14:textId="77777777" w:rsidR="00E9106E" w:rsidRPr="00E757D1" w:rsidRDefault="00E9106E" w:rsidP="00DA5A31">
      <w:pPr>
        <w:numPr>
          <w:ilvl w:val="0"/>
          <w:numId w:val="14"/>
        </w:numPr>
        <w:spacing w:line="276" w:lineRule="auto"/>
        <w:ind w:left="-270" w:right="-162" w:firstLine="0"/>
        <w:contextualSpacing/>
        <w:rPr>
          <w:rFonts w:ascii="Verdana" w:eastAsia="Batang" w:hAnsi="Verdana"/>
          <w:b/>
          <w:sz w:val="20"/>
          <w:szCs w:val="20"/>
          <w:lang w:val="es-ES"/>
        </w:rPr>
      </w:pPr>
      <w:r w:rsidRPr="00E757D1">
        <w:rPr>
          <w:rFonts w:ascii="Verdana" w:eastAsia="Batang" w:hAnsi="Verdana"/>
          <w:b/>
          <w:sz w:val="20"/>
          <w:szCs w:val="20"/>
          <w:lang w:val="es-ES"/>
        </w:rPr>
        <w:t>Medios Complementarios.</w:t>
      </w:r>
    </w:p>
    <w:p w14:paraId="32C77ED0" w14:textId="77777777" w:rsidR="00E9106E" w:rsidRPr="00E757D1" w:rsidRDefault="00E9106E" w:rsidP="00DA5A31">
      <w:pPr>
        <w:spacing w:line="276" w:lineRule="auto"/>
        <w:ind w:left="-270" w:right="-162"/>
        <w:contextualSpacing/>
        <w:rPr>
          <w:rFonts w:ascii="Verdana" w:hAnsi="Verdana"/>
          <w:sz w:val="20"/>
          <w:szCs w:val="20"/>
          <w:lang w:val="es-ES"/>
        </w:rPr>
      </w:pPr>
      <w:r w:rsidRPr="00E757D1">
        <w:rPr>
          <w:rFonts w:ascii="Verdana" w:hAnsi="Verdana"/>
          <w:sz w:val="20"/>
          <w:szCs w:val="20"/>
          <w:lang w:val="es-ES"/>
        </w:rPr>
        <w:t xml:space="preserve">  </w:t>
      </w:r>
    </w:p>
    <w:p w14:paraId="2A58B992" w14:textId="77777777" w:rsidR="00E9106E"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En lo concerniente a los medios complementarios de interpretación de tratados, es de destacar que, en la Conferencia Especializada Interamericana sobre Derechos Humanos de 1969, en la que se acordó el texto definitivo de la Convención, se propusieron en esta materia, dos artículos. Uno fue el 26 en los términos que actualmente figura en la Convención. Dicho artículo fue aprobado</w:t>
      </w:r>
      <w:r w:rsidRPr="00E757D1">
        <w:rPr>
          <w:rFonts w:ascii="Verdana" w:hAnsi="Verdana"/>
          <w:sz w:val="20"/>
          <w:szCs w:val="20"/>
          <w:vertAlign w:val="superscript"/>
          <w:lang w:val="es-ES"/>
        </w:rPr>
        <w:footnoteReference w:id="70"/>
      </w:r>
      <w:r w:rsidRPr="00E757D1">
        <w:rPr>
          <w:rFonts w:ascii="Verdana" w:hAnsi="Verdana"/>
          <w:sz w:val="20"/>
          <w:szCs w:val="20"/>
          <w:lang w:val="es-ES"/>
        </w:rPr>
        <w:t>.</w:t>
      </w:r>
    </w:p>
    <w:p w14:paraId="28D3DEDF" w14:textId="77777777" w:rsidR="00E9106E" w:rsidRPr="00E757D1" w:rsidRDefault="00E9106E" w:rsidP="00DA5A31">
      <w:pPr>
        <w:spacing w:line="276" w:lineRule="auto"/>
        <w:ind w:left="-270" w:right="-162"/>
        <w:contextualSpacing/>
        <w:rPr>
          <w:rFonts w:ascii="Verdana" w:hAnsi="Verdana"/>
          <w:sz w:val="20"/>
          <w:szCs w:val="20"/>
          <w:lang w:val="es-ES"/>
        </w:rPr>
      </w:pPr>
    </w:p>
    <w:p w14:paraId="6319D9C4" w14:textId="77777777" w:rsidR="00E9106E"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 xml:space="preserve">El otro artículo propuesto, el 27, expresaba: </w:t>
      </w:r>
    </w:p>
    <w:p w14:paraId="71C41C5A" w14:textId="77777777" w:rsidR="00E9106E" w:rsidRPr="00E757D1" w:rsidRDefault="00E9106E" w:rsidP="00DA5A31">
      <w:pPr>
        <w:spacing w:line="276" w:lineRule="auto"/>
        <w:ind w:left="-270" w:right="-162"/>
        <w:contextualSpacing/>
        <w:rPr>
          <w:rFonts w:ascii="Verdana" w:eastAsia="Batang" w:hAnsi="Verdana"/>
          <w:sz w:val="20"/>
          <w:szCs w:val="20"/>
          <w:lang w:val="es-ES"/>
        </w:rPr>
      </w:pPr>
    </w:p>
    <w:p w14:paraId="0B8094F8" w14:textId="77777777" w:rsidR="00E9106E" w:rsidRPr="00063D85" w:rsidRDefault="00E9106E" w:rsidP="00F20B38">
      <w:pPr>
        <w:spacing w:line="276" w:lineRule="auto"/>
        <w:ind w:left="720" w:right="-162"/>
        <w:contextualSpacing/>
        <w:rPr>
          <w:rFonts w:ascii="Verdana" w:hAnsi="Verdana"/>
          <w:sz w:val="18"/>
          <w:szCs w:val="18"/>
          <w:lang w:val="es-ES"/>
        </w:rPr>
      </w:pPr>
      <w:r w:rsidRPr="00063D85">
        <w:rPr>
          <w:rFonts w:ascii="Verdana" w:hAnsi="Verdana"/>
          <w:sz w:val="18"/>
          <w:szCs w:val="18"/>
          <w:lang w:val="es-ES"/>
        </w:rPr>
        <w:t>“</w:t>
      </w:r>
      <w:r w:rsidRPr="00063D85">
        <w:rPr>
          <w:rFonts w:ascii="Verdana" w:hAnsi="Verdana" w:cs="Times New Roman"/>
          <w:i/>
          <w:sz w:val="18"/>
          <w:szCs w:val="18"/>
          <w:lang w:val="es-ES"/>
        </w:rPr>
        <w:t>Control del Cumplimiento de las Obligaciones</w:t>
      </w:r>
      <w:r w:rsidRPr="00063D85">
        <w:rPr>
          <w:rFonts w:ascii="Verdana" w:hAnsi="Verdana"/>
          <w:i/>
          <w:sz w:val="18"/>
          <w:szCs w:val="18"/>
          <w:lang w:val="es-ES"/>
        </w:rPr>
        <w:t xml:space="preserve">. </w:t>
      </w:r>
      <w:r w:rsidRPr="00063D85">
        <w:rPr>
          <w:rFonts w:ascii="Verdana" w:hAnsi="Verdana" w:cs="Times New Roman"/>
          <w:i/>
          <w:sz w:val="18"/>
          <w:szCs w:val="18"/>
          <w:lang w:val="es-ES"/>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r w:rsidRPr="00063D85">
        <w:rPr>
          <w:rFonts w:ascii="Verdana" w:hAnsi="Verdana"/>
          <w:i/>
          <w:sz w:val="18"/>
          <w:szCs w:val="18"/>
          <w:lang w:val="es-ES"/>
        </w:rPr>
        <w:t>”</w:t>
      </w:r>
    </w:p>
    <w:p w14:paraId="5EDFB3B3" w14:textId="77777777" w:rsidR="00E9106E" w:rsidRPr="00E757D1" w:rsidRDefault="00E9106E" w:rsidP="00DA5A31">
      <w:pPr>
        <w:spacing w:line="276" w:lineRule="auto"/>
        <w:ind w:left="-270" w:right="-162"/>
        <w:contextualSpacing/>
        <w:rPr>
          <w:rFonts w:ascii="Verdana" w:eastAsia="Batang" w:hAnsi="Verdana"/>
          <w:sz w:val="20"/>
          <w:szCs w:val="20"/>
          <w:lang w:val="es-ES"/>
        </w:rPr>
      </w:pPr>
    </w:p>
    <w:p w14:paraId="46FDD06A" w14:textId="77777777" w:rsidR="00E9106E" w:rsidRPr="00E757D1" w:rsidRDefault="00E9106E" w:rsidP="00DA5A31">
      <w:pPr>
        <w:numPr>
          <w:ilvl w:val="0"/>
          <w:numId w:val="5"/>
        </w:numPr>
        <w:spacing w:line="276" w:lineRule="auto"/>
        <w:ind w:left="-270" w:right="-162" w:firstLine="0"/>
        <w:contextualSpacing/>
        <w:rPr>
          <w:rFonts w:ascii="Verdana" w:hAnsi="Verdana"/>
          <w:iCs/>
          <w:sz w:val="20"/>
          <w:szCs w:val="20"/>
          <w:lang w:val="es-ES"/>
        </w:rPr>
      </w:pPr>
      <w:r w:rsidRPr="00E757D1">
        <w:rPr>
          <w:rFonts w:ascii="Verdana" w:hAnsi="Verdana"/>
          <w:sz w:val="20"/>
          <w:szCs w:val="20"/>
          <w:lang w:val="es-ES"/>
        </w:rPr>
        <w:t>Nótese que el mencionado proyecto de artículo 27, que no fue aprobado</w:t>
      </w:r>
      <w:r w:rsidRPr="00E757D1">
        <w:rPr>
          <w:rFonts w:ascii="Verdana" w:hAnsi="Verdana"/>
          <w:sz w:val="20"/>
          <w:szCs w:val="20"/>
          <w:vertAlign w:val="superscript"/>
          <w:lang w:val="es-ES"/>
        </w:rPr>
        <w:footnoteReference w:id="71"/>
      </w:r>
      <w:r w:rsidRPr="00E757D1">
        <w:rPr>
          <w:rFonts w:ascii="Verdana" w:hAnsi="Verdana"/>
          <w:sz w:val="20"/>
          <w:szCs w:val="20"/>
          <w:lang w:val="es-ES"/>
        </w:rPr>
        <w:t>, se refería a “informes y estudios” para que la Comisión verificara si se estaban cumpliendo las referidas obligaciones y distinguía, entonces, entre, por una parte, “</w:t>
      </w:r>
      <w:r w:rsidRPr="00E757D1">
        <w:rPr>
          <w:rFonts w:ascii="Verdana" w:hAnsi="Verdana"/>
          <w:i/>
          <w:iCs/>
          <w:sz w:val="20"/>
          <w:szCs w:val="20"/>
          <w:lang w:val="es-ES"/>
        </w:rPr>
        <w:t>las obligaciones antes determinadas</w:t>
      </w:r>
      <w:r w:rsidRPr="00E757D1">
        <w:rPr>
          <w:rFonts w:ascii="Verdana" w:hAnsi="Verdana"/>
          <w:sz w:val="20"/>
          <w:szCs w:val="20"/>
          <w:lang w:val="es-ES"/>
        </w:rPr>
        <w:t>”, obviamente en el artículo 26, es decir, las pertinentes a los derechos que “</w:t>
      </w:r>
      <w:r w:rsidRPr="00E757D1">
        <w:rPr>
          <w:rFonts w:ascii="Verdana" w:hAnsi="Verdana"/>
          <w:i/>
          <w:iCs/>
          <w:sz w:val="20"/>
          <w:szCs w:val="20"/>
          <w:lang w:val="es-ES"/>
        </w:rPr>
        <w:t>derivan de las normas económicas, sociales y sobre educación, ciencia y cultura, contenidas en la Carta de la Organización de los Estados Americanos, reformada por el Protocolo de Buenas Aires</w:t>
      </w:r>
      <w:r w:rsidRPr="00E757D1">
        <w:rPr>
          <w:rFonts w:ascii="Verdana" w:hAnsi="Verdana"/>
          <w:sz w:val="20"/>
          <w:szCs w:val="20"/>
          <w:lang w:val="es-ES"/>
        </w:rPr>
        <w:t>” y por la otra parte, “</w:t>
      </w:r>
      <w:r w:rsidRPr="00E757D1">
        <w:rPr>
          <w:rFonts w:ascii="Verdana" w:hAnsi="Verdana"/>
          <w:i/>
          <w:iCs/>
          <w:sz w:val="20"/>
          <w:szCs w:val="20"/>
          <w:lang w:val="es-ES"/>
        </w:rPr>
        <w:t>los otros derechos consagrados en esta Convención”</w:t>
      </w:r>
      <w:r w:rsidRPr="00E757D1">
        <w:rPr>
          <w:rFonts w:ascii="Verdana" w:hAnsi="Verdana"/>
          <w:sz w:val="20"/>
          <w:szCs w:val="20"/>
          <w:lang w:val="es-ES"/>
        </w:rPr>
        <w:t xml:space="preserve">, esto es, los </w:t>
      </w:r>
      <w:r w:rsidRPr="00E757D1">
        <w:rPr>
          <w:rFonts w:ascii="Verdana" w:hAnsi="Verdana"/>
          <w:i/>
          <w:iCs/>
          <w:sz w:val="20"/>
          <w:szCs w:val="20"/>
          <w:lang w:val="es-ES"/>
        </w:rPr>
        <w:t>“derechos civiles y políticos</w:t>
      </w:r>
      <w:r w:rsidRPr="00E757D1">
        <w:rPr>
          <w:rFonts w:ascii="Verdana" w:hAnsi="Verdana"/>
          <w:iCs/>
          <w:sz w:val="20"/>
          <w:szCs w:val="20"/>
          <w:lang w:val="es-ES"/>
        </w:rPr>
        <w:t>”.</w:t>
      </w:r>
    </w:p>
    <w:p w14:paraId="12314C0D" w14:textId="77777777" w:rsidR="00E9106E" w:rsidRPr="00E757D1" w:rsidRDefault="00E9106E" w:rsidP="00DA5A31">
      <w:pPr>
        <w:spacing w:line="276" w:lineRule="auto"/>
        <w:ind w:left="-270" w:right="-162"/>
        <w:contextualSpacing/>
        <w:rPr>
          <w:rFonts w:ascii="Verdana" w:hAnsi="Verdana"/>
          <w:sz w:val="20"/>
          <w:szCs w:val="20"/>
          <w:lang w:val="es-ES"/>
        </w:rPr>
      </w:pPr>
    </w:p>
    <w:p w14:paraId="083F4486" w14:textId="51AF1F21" w:rsidR="00E9106E"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De suerte que</w:t>
      </w:r>
      <w:r w:rsidR="00744CA3" w:rsidRPr="00E757D1">
        <w:rPr>
          <w:rFonts w:ascii="Verdana" w:hAnsi="Verdana"/>
          <w:sz w:val="20"/>
          <w:szCs w:val="20"/>
          <w:lang w:val="es-ES"/>
        </w:rPr>
        <w:t>,</w:t>
      </w:r>
      <w:r w:rsidRPr="00E757D1">
        <w:rPr>
          <w:rFonts w:ascii="Verdana" w:hAnsi="Verdana"/>
          <w:sz w:val="20"/>
          <w:szCs w:val="20"/>
          <w:lang w:val="es-ES"/>
        </w:rPr>
        <w:t xml:space="preserve"> con la adopción del artículo 26, no se tuvo la intención de incorporar los derechos económicos, sociales y culturales en el régimen de protección previsto en la Convención. La única proposición que hubo al respecto fue que se sometiera a examen de </w:t>
      </w:r>
      <w:r w:rsidRPr="00E757D1">
        <w:rPr>
          <w:rFonts w:ascii="Verdana" w:hAnsi="Verdana"/>
          <w:sz w:val="20"/>
          <w:szCs w:val="20"/>
          <w:lang w:val="es-ES"/>
        </w:rPr>
        <w:lastRenderedPageBreak/>
        <w:t>órganos de la OEA el cumplimiento de las obligaciones referidas a esos derechos, por estimar que dicho cumplimiento era la base para la realización de los derechos civiles y políticos. Y, como se indicó, esa propuesta no fue acogida. Ello confirma, por lo tanto, que los Estados Partes de la Convención no tuvieron la voluntad alguna de incluir a los derechos económicos, sociales y culturales en el régimen de protección que establece, en cambio, para los derechos civiles y políticos</w:t>
      </w:r>
      <w:r w:rsidRPr="00E757D1">
        <w:rPr>
          <w:rFonts w:ascii="Verdana" w:hAnsi="Verdana"/>
          <w:sz w:val="20"/>
          <w:szCs w:val="20"/>
          <w:vertAlign w:val="superscript"/>
          <w:lang w:val="es-ES"/>
        </w:rPr>
        <w:footnoteReference w:id="72"/>
      </w:r>
      <w:r w:rsidRPr="00E757D1">
        <w:rPr>
          <w:rFonts w:ascii="Verdana" w:hAnsi="Verdana"/>
          <w:sz w:val="20"/>
          <w:szCs w:val="20"/>
          <w:lang w:val="es-ES"/>
        </w:rPr>
        <w:t>.</w:t>
      </w:r>
    </w:p>
    <w:p w14:paraId="0AA17A21" w14:textId="77777777" w:rsidR="00741A3A" w:rsidRPr="00E757D1" w:rsidRDefault="00741A3A" w:rsidP="00DA5A31">
      <w:pPr>
        <w:spacing w:line="276" w:lineRule="auto"/>
        <w:ind w:left="-270" w:right="-162"/>
        <w:rPr>
          <w:rFonts w:ascii="Verdana" w:eastAsia="Batang" w:hAnsi="Verdana"/>
          <w:bCs/>
          <w:sz w:val="20"/>
          <w:szCs w:val="20"/>
          <w:lang w:val="es-ES"/>
        </w:rPr>
      </w:pPr>
    </w:p>
    <w:p w14:paraId="40F30087" w14:textId="0BB4827C" w:rsidR="00E9106E" w:rsidRPr="00E757D1" w:rsidRDefault="00027D77" w:rsidP="00DA5A31">
      <w:pPr>
        <w:pStyle w:val="Prrafodelista"/>
        <w:numPr>
          <w:ilvl w:val="0"/>
          <w:numId w:val="13"/>
        </w:numPr>
        <w:spacing w:line="276" w:lineRule="auto"/>
        <w:ind w:left="-270" w:right="-162" w:firstLine="0"/>
        <w:rPr>
          <w:rFonts w:ascii="Verdana" w:eastAsia="Batang" w:hAnsi="Verdana"/>
          <w:b/>
          <w:bCs/>
          <w:sz w:val="20"/>
          <w:szCs w:val="20"/>
          <w:lang w:val="es-ES"/>
        </w:rPr>
      </w:pPr>
      <w:r w:rsidRPr="00E757D1">
        <w:rPr>
          <w:rFonts w:ascii="Verdana" w:eastAsia="Batang" w:hAnsi="Verdana"/>
          <w:b/>
          <w:bCs/>
          <w:sz w:val="20"/>
          <w:szCs w:val="20"/>
          <w:lang w:val="es-ES"/>
        </w:rPr>
        <w:t xml:space="preserve"> </w:t>
      </w:r>
      <w:r w:rsidR="00741A3A" w:rsidRPr="00E757D1">
        <w:rPr>
          <w:rFonts w:ascii="Verdana" w:eastAsia="Batang" w:hAnsi="Verdana"/>
          <w:b/>
          <w:bCs/>
          <w:sz w:val="20"/>
          <w:szCs w:val="20"/>
          <w:lang w:val="es-ES"/>
        </w:rPr>
        <w:t>La Carta de la OEA.</w:t>
      </w:r>
    </w:p>
    <w:p w14:paraId="456814E2" w14:textId="77777777" w:rsidR="00E9106E" w:rsidRPr="00E757D1" w:rsidRDefault="00E9106E" w:rsidP="00DA5A31">
      <w:pPr>
        <w:spacing w:line="276" w:lineRule="auto"/>
        <w:ind w:left="-270" w:right="-162"/>
        <w:contextualSpacing/>
        <w:rPr>
          <w:rFonts w:ascii="Verdana" w:eastAsia="Batang" w:hAnsi="Verdana"/>
          <w:bCs/>
          <w:sz w:val="20"/>
          <w:szCs w:val="20"/>
          <w:lang w:val="es-ES"/>
        </w:rPr>
      </w:pPr>
    </w:p>
    <w:p w14:paraId="6D95F8AE" w14:textId="35136412" w:rsidR="00DF4607"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bCs/>
          <w:sz w:val="20"/>
          <w:szCs w:val="20"/>
          <w:lang w:val="es-ES"/>
        </w:rPr>
        <w:t>Pues bien, atendido el hecho</w:t>
      </w:r>
      <w:r w:rsidRPr="00E757D1">
        <w:rPr>
          <w:rFonts w:ascii="Verdana" w:hAnsi="Verdana"/>
          <w:sz w:val="20"/>
          <w:szCs w:val="20"/>
          <w:lang w:val="es-ES"/>
        </w:rPr>
        <w:t xml:space="preserve"> de que el artículo 26 remite a</w:t>
      </w:r>
      <w:r w:rsidRPr="00E757D1">
        <w:rPr>
          <w:rFonts w:ascii="Verdana" w:eastAsia="Batang" w:hAnsi="Verdana"/>
          <w:i/>
          <w:sz w:val="20"/>
          <w:szCs w:val="20"/>
          <w:lang w:val="es-ES"/>
        </w:rPr>
        <w:t xml:space="preserve"> “las normas económicas, sociales y sobre educación, ciencia y cultura, contenidas en la Carta de la Organización de los Estados Americanos, reformada por el Protocolo de Buenos Aires</w:t>
      </w:r>
      <w:r w:rsidRPr="00E757D1">
        <w:rPr>
          <w:rFonts w:ascii="Verdana" w:eastAsia="Batang" w:hAnsi="Verdana"/>
          <w:iCs/>
          <w:sz w:val="20"/>
          <w:szCs w:val="20"/>
          <w:lang w:val="es-ES"/>
        </w:rPr>
        <w:t>”</w:t>
      </w:r>
      <w:r w:rsidRPr="00E757D1">
        <w:rPr>
          <w:rFonts w:ascii="Verdana" w:hAnsi="Verdana"/>
          <w:iCs/>
          <w:sz w:val="20"/>
          <w:szCs w:val="20"/>
          <w:lang w:val="es-ES"/>
        </w:rPr>
        <w:t xml:space="preserve">, </w:t>
      </w:r>
      <w:r w:rsidRPr="00E757D1">
        <w:rPr>
          <w:rFonts w:ascii="Verdana" w:hAnsi="Verdana"/>
          <w:sz w:val="20"/>
          <w:szCs w:val="20"/>
          <w:lang w:val="es-ES"/>
        </w:rPr>
        <w:t>resulta indispensable, para conocer el alcance de aquél, referirse asimismo al contenido de las mencionadas normas y, en particular, a las citadas en la Sentencia.</w:t>
      </w:r>
    </w:p>
    <w:p w14:paraId="43F2C494" w14:textId="77777777" w:rsidR="00C24868" w:rsidRPr="00E757D1" w:rsidRDefault="00C24868" w:rsidP="00DA5A31">
      <w:pPr>
        <w:spacing w:line="276" w:lineRule="auto"/>
        <w:ind w:left="-270" w:right="-162"/>
        <w:contextualSpacing/>
        <w:rPr>
          <w:rFonts w:ascii="Verdana" w:hAnsi="Verdana"/>
          <w:sz w:val="20"/>
          <w:szCs w:val="20"/>
          <w:lang w:val="es-ES"/>
        </w:rPr>
      </w:pPr>
    </w:p>
    <w:p w14:paraId="2CEBCD6F" w14:textId="0024C008" w:rsidR="000C269A"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eastAsia="Batang" w:hAnsi="Verdana"/>
          <w:sz w:val="20"/>
          <w:szCs w:val="20"/>
          <w:lang w:val="es-ES"/>
        </w:rPr>
        <w:t>Con relación al derecho</w:t>
      </w:r>
      <w:r w:rsidR="000A27F2" w:rsidRPr="00E757D1">
        <w:rPr>
          <w:rFonts w:ascii="Verdana" w:hAnsi="Verdana"/>
          <w:sz w:val="20"/>
          <w:szCs w:val="20"/>
          <w:lang w:val="es-ES"/>
        </w:rPr>
        <w:t xml:space="preserve"> a condiciones equitativas y satisfactorias que garanticen la seguridad, la salud y la higiene </w:t>
      </w:r>
      <w:r w:rsidR="000F21AC">
        <w:rPr>
          <w:rFonts w:ascii="Verdana" w:hAnsi="Verdana"/>
          <w:sz w:val="20"/>
          <w:szCs w:val="20"/>
          <w:lang w:val="es-ES"/>
        </w:rPr>
        <w:t xml:space="preserve">en </w:t>
      </w:r>
      <w:r w:rsidR="000A27F2" w:rsidRPr="00E757D1">
        <w:rPr>
          <w:rFonts w:ascii="Verdana" w:hAnsi="Verdana"/>
          <w:sz w:val="20"/>
          <w:szCs w:val="20"/>
          <w:lang w:val="es-ES"/>
        </w:rPr>
        <w:t>el trabajo</w:t>
      </w:r>
      <w:r w:rsidRPr="00E757D1">
        <w:rPr>
          <w:rFonts w:ascii="Verdana" w:eastAsia="Batang" w:hAnsi="Verdana"/>
          <w:sz w:val="20"/>
          <w:szCs w:val="20"/>
          <w:lang w:val="es-ES"/>
        </w:rPr>
        <w:t xml:space="preserve">, </w:t>
      </w:r>
      <w:r w:rsidR="000A27F2" w:rsidRPr="00E757D1">
        <w:rPr>
          <w:rFonts w:ascii="Verdana" w:eastAsia="Batang" w:hAnsi="Verdana"/>
          <w:sz w:val="20"/>
          <w:szCs w:val="20"/>
          <w:lang w:val="es-ES"/>
        </w:rPr>
        <w:t xml:space="preserve">la Sentencia </w:t>
      </w:r>
      <w:r w:rsidRPr="00E757D1">
        <w:rPr>
          <w:rFonts w:ascii="Verdana" w:eastAsia="Batang" w:hAnsi="Verdana"/>
          <w:sz w:val="20"/>
          <w:szCs w:val="20"/>
          <w:lang w:val="es-ES"/>
        </w:rPr>
        <w:t xml:space="preserve">evoca a los artículos </w:t>
      </w:r>
      <w:r w:rsidR="000A27F2" w:rsidRPr="00E757D1">
        <w:rPr>
          <w:rFonts w:ascii="Verdana" w:hAnsi="Verdana"/>
          <w:bCs/>
          <w:sz w:val="20"/>
          <w:szCs w:val="20"/>
          <w:lang w:val="es-ES"/>
        </w:rPr>
        <w:t>45.b y c</w:t>
      </w:r>
      <w:r w:rsidR="000A27F2" w:rsidRPr="00E757D1">
        <w:rPr>
          <w:rStyle w:val="Refdenotaalpie"/>
          <w:rFonts w:ascii="Verdana" w:hAnsi="Verdana"/>
          <w:sz w:val="20"/>
          <w:szCs w:val="20"/>
          <w:lang w:val="es-ES"/>
        </w:rPr>
        <w:footnoteReference w:id="73"/>
      </w:r>
      <w:r w:rsidR="000A27F2" w:rsidRPr="00E757D1">
        <w:rPr>
          <w:rFonts w:ascii="Verdana" w:hAnsi="Verdana"/>
          <w:bCs/>
          <w:sz w:val="20"/>
          <w:szCs w:val="20"/>
          <w:lang w:val="es-ES"/>
        </w:rPr>
        <w:t>, 46</w:t>
      </w:r>
      <w:r w:rsidR="000A27F2" w:rsidRPr="00E757D1">
        <w:rPr>
          <w:rStyle w:val="Refdenotaalpie"/>
          <w:rFonts w:ascii="Verdana" w:hAnsi="Verdana"/>
          <w:sz w:val="20"/>
          <w:szCs w:val="20"/>
          <w:lang w:val="es-ES"/>
        </w:rPr>
        <w:footnoteReference w:id="74"/>
      </w:r>
      <w:r w:rsidR="000A27F2" w:rsidRPr="00E757D1">
        <w:rPr>
          <w:rFonts w:ascii="Verdana" w:hAnsi="Verdana"/>
          <w:bCs/>
          <w:sz w:val="20"/>
          <w:szCs w:val="20"/>
          <w:lang w:val="es-ES"/>
        </w:rPr>
        <w:t xml:space="preserve"> y </w:t>
      </w:r>
      <w:proofErr w:type="gramStart"/>
      <w:r w:rsidR="000A27F2" w:rsidRPr="00E757D1">
        <w:rPr>
          <w:rFonts w:ascii="Verdana" w:hAnsi="Verdana"/>
          <w:bCs/>
          <w:sz w:val="20"/>
          <w:szCs w:val="20"/>
          <w:lang w:val="es-ES"/>
        </w:rPr>
        <w:t>34.g</w:t>
      </w:r>
      <w:proofErr w:type="gramEnd"/>
      <w:r w:rsidR="000A27F2" w:rsidRPr="00E757D1">
        <w:rPr>
          <w:rStyle w:val="Refdenotaalpie"/>
          <w:rFonts w:ascii="Verdana" w:hAnsi="Verdana"/>
          <w:sz w:val="20"/>
          <w:szCs w:val="20"/>
          <w:lang w:val="es-ES"/>
        </w:rPr>
        <w:footnoteReference w:id="75"/>
      </w:r>
      <w:r w:rsidRPr="00E757D1">
        <w:rPr>
          <w:rFonts w:ascii="Verdana" w:eastAsia="Batang" w:hAnsi="Verdana"/>
          <w:sz w:val="20"/>
          <w:szCs w:val="20"/>
          <w:lang w:val="es-ES"/>
        </w:rPr>
        <w:t xml:space="preserve"> de la Carta de la OEA</w:t>
      </w:r>
      <w:r w:rsidR="00C24868" w:rsidRPr="00E757D1">
        <w:rPr>
          <w:rStyle w:val="Refdenotaalpie"/>
          <w:rFonts w:ascii="Verdana" w:eastAsia="Batang" w:hAnsi="Verdana"/>
          <w:sz w:val="20"/>
          <w:szCs w:val="20"/>
          <w:lang w:val="es-ES"/>
        </w:rPr>
        <w:footnoteReference w:id="76"/>
      </w:r>
      <w:r w:rsidRPr="00E757D1">
        <w:rPr>
          <w:rFonts w:ascii="Verdana" w:eastAsia="Batang" w:hAnsi="Verdana"/>
          <w:sz w:val="20"/>
          <w:szCs w:val="20"/>
          <w:lang w:val="es-ES"/>
        </w:rPr>
        <w:t>.</w:t>
      </w:r>
    </w:p>
    <w:p w14:paraId="6D34E3A1" w14:textId="77777777" w:rsidR="000C269A" w:rsidRPr="00E757D1" w:rsidRDefault="000C269A" w:rsidP="00DA5A31">
      <w:pPr>
        <w:pStyle w:val="Prrafodelista"/>
        <w:ind w:left="-270" w:right="-162"/>
        <w:rPr>
          <w:rFonts w:ascii="Verdana" w:eastAsia="Batang" w:hAnsi="Verdana"/>
          <w:sz w:val="20"/>
          <w:szCs w:val="20"/>
          <w:lang w:val="es-ES"/>
        </w:rPr>
      </w:pPr>
    </w:p>
    <w:p w14:paraId="0AC98597" w14:textId="7CA49F06" w:rsidR="002E2BA0" w:rsidRPr="00E757D1" w:rsidRDefault="00E9106E"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eastAsia="Batang" w:hAnsi="Verdana"/>
          <w:sz w:val="20"/>
          <w:szCs w:val="20"/>
          <w:lang w:val="es-ES"/>
        </w:rPr>
        <w:t xml:space="preserve">Ahora bien, </w:t>
      </w:r>
      <w:r w:rsidR="00745B06" w:rsidRPr="00E757D1">
        <w:rPr>
          <w:rFonts w:ascii="Verdana" w:eastAsia="Batang" w:hAnsi="Verdana"/>
          <w:sz w:val="20"/>
          <w:szCs w:val="20"/>
          <w:lang w:val="es-ES"/>
        </w:rPr>
        <w:t>en base a esos artículos, en la Sentencia se afirma que “</w:t>
      </w:r>
      <w:r w:rsidR="00745B06" w:rsidRPr="00E757D1">
        <w:rPr>
          <w:rFonts w:ascii="Verdana" w:hAnsi="Verdana"/>
          <w:i/>
          <w:iCs/>
          <w:sz w:val="20"/>
          <w:szCs w:val="20"/>
          <w:lang w:val="es-ES"/>
        </w:rPr>
        <w:t xml:space="preserve">la Corte </w:t>
      </w:r>
      <w:bookmarkStart w:id="26" w:name="_Hlk45804292"/>
      <w:r w:rsidR="00745B06" w:rsidRPr="00E757D1">
        <w:rPr>
          <w:rFonts w:ascii="Verdana" w:hAnsi="Verdana"/>
          <w:i/>
          <w:iCs/>
          <w:sz w:val="20"/>
          <w:szCs w:val="20"/>
          <w:lang w:val="es-ES"/>
        </w:rPr>
        <w:t xml:space="preserve">considera que existe una referencia con el suficiente grado de especificidad al derecho a condiciones de trabajo equitativas y satisfactorias para </w:t>
      </w:r>
      <w:bookmarkStart w:id="27" w:name="_Hlk45806593"/>
      <w:r w:rsidR="00745B06" w:rsidRPr="00E757D1">
        <w:rPr>
          <w:rFonts w:ascii="Verdana" w:hAnsi="Verdana"/>
          <w:i/>
          <w:iCs/>
          <w:sz w:val="20"/>
          <w:szCs w:val="20"/>
          <w:lang w:val="es-ES"/>
        </w:rPr>
        <w:t>derivar su existencia y reconocimiento implícito en la Carta de la OEA</w:t>
      </w:r>
      <w:bookmarkEnd w:id="26"/>
      <w:r w:rsidR="00745B06" w:rsidRPr="00E757D1">
        <w:rPr>
          <w:rFonts w:ascii="Verdana" w:hAnsi="Verdana"/>
          <w:sz w:val="20"/>
          <w:szCs w:val="20"/>
          <w:lang w:val="es-ES"/>
        </w:rPr>
        <w:t>”</w:t>
      </w:r>
      <w:r w:rsidR="00745B06" w:rsidRPr="00E757D1">
        <w:rPr>
          <w:rStyle w:val="Refdenotaalpie"/>
          <w:rFonts w:ascii="Verdana" w:hAnsi="Verdana"/>
          <w:sz w:val="20"/>
          <w:szCs w:val="20"/>
          <w:lang w:val="es-ES"/>
        </w:rPr>
        <w:footnoteReference w:id="77"/>
      </w:r>
      <w:bookmarkEnd w:id="27"/>
      <w:r w:rsidR="00745B06" w:rsidRPr="00E757D1">
        <w:rPr>
          <w:rFonts w:ascii="Verdana" w:hAnsi="Verdana"/>
          <w:sz w:val="20"/>
          <w:szCs w:val="20"/>
          <w:lang w:val="es-ES"/>
        </w:rPr>
        <w:t xml:space="preserve">. Sin embargo, </w:t>
      </w:r>
      <w:r w:rsidRPr="00E757D1">
        <w:rPr>
          <w:rFonts w:ascii="Verdana" w:eastAsia="Batang" w:hAnsi="Verdana"/>
          <w:sz w:val="20"/>
          <w:szCs w:val="20"/>
          <w:lang w:val="es-ES"/>
        </w:rPr>
        <w:t>basta la sola lectura de las normas citadas para comprobar, con claridad y sin la menor duda, que ellas establecen</w:t>
      </w:r>
      <w:r w:rsidR="00745B06" w:rsidRPr="00E757D1">
        <w:rPr>
          <w:rFonts w:ascii="Verdana" w:eastAsia="Batang" w:hAnsi="Verdana"/>
          <w:sz w:val="20"/>
          <w:szCs w:val="20"/>
          <w:lang w:val="es-ES"/>
        </w:rPr>
        <w:t xml:space="preserve"> obligaciones de hacer</w:t>
      </w:r>
      <w:r w:rsidR="00C222E7" w:rsidRPr="00E757D1">
        <w:rPr>
          <w:rFonts w:ascii="Verdana" w:eastAsia="Batang" w:hAnsi="Verdana"/>
          <w:sz w:val="20"/>
          <w:szCs w:val="20"/>
          <w:lang w:val="es-ES"/>
        </w:rPr>
        <w:t xml:space="preserve"> o de comportamiento</w:t>
      </w:r>
      <w:r w:rsidR="00745B06" w:rsidRPr="00E757D1">
        <w:rPr>
          <w:rFonts w:ascii="Verdana" w:eastAsia="Batang" w:hAnsi="Verdana"/>
          <w:sz w:val="20"/>
          <w:szCs w:val="20"/>
          <w:lang w:val="es-ES"/>
        </w:rPr>
        <w:t>, expresadas en los “</w:t>
      </w:r>
      <w:r w:rsidR="00745B06" w:rsidRPr="00E757D1">
        <w:rPr>
          <w:rFonts w:ascii="Verdana" w:eastAsia="Batang" w:hAnsi="Verdana"/>
          <w:i/>
          <w:iCs/>
          <w:sz w:val="20"/>
          <w:szCs w:val="20"/>
          <w:lang w:val="es-ES"/>
        </w:rPr>
        <w:t>máximos esfuerzos</w:t>
      </w:r>
      <w:r w:rsidR="00745B06" w:rsidRPr="00E757D1">
        <w:rPr>
          <w:rFonts w:ascii="Verdana" w:eastAsia="Batang" w:hAnsi="Verdana"/>
          <w:sz w:val="20"/>
          <w:szCs w:val="20"/>
          <w:lang w:val="es-ES"/>
        </w:rPr>
        <w:t>” a que los Estados se comprometen a fin de lograr</w:t>
      </w:r>
      <w:r w:rsidRPr="00E757D1">
        <w:rPr>
          <w:rFonts w:ascii="Verdana" w:eastAsia="Batang" w:hAnsi="Verdana"/>
          <w:sz w:val="20"/>
          <w:szCs w:val="20"/>
          <w:lang w:val="es-ES"/>
        </w:rPr>
        <w:t xml:space="preserve"> </w:t>
      </w:r>
      <w:r w:rsidR="007402B6" w:rsidRPr="00E757D1">
        <w:rPr>
          <w:rFonts w:ascii="Verdana" w:eastAsia="Batang" w:hAnsi="Verdana"/>
          <w:sz w:val="20"/>
          <w:szCs w:val="20"/>
          <w:lang w:val="es-ES"/>
        </w:rPr>
        <w:t xml:space="preserve">la aplicación de </w:t>
      </w:r>
      <w:r w:rsidRPr="00E757D1">
        <w:rPr>
          <w:rFonts w:ascii="Verdana" w:eastAsia="Batang" w:hAnsi="Verdana"/>
          <w:sz w:val="20"/>
          <w:szCs w:val="20"/>
          <w:lang w:val="es-ES"/>
        </w:rPr>
        <w:t>“</w:t>
      </w:r>
      <w:bookmarkStart w:id="28" w:name="_Hlk32591843"/>
      <w:r w:rsidRPr="00E757D1">
        <w:rPr>
          <w:rFonts w:ascii="Verdana" w:eastAsia="Batang" w:hAnsi="Verdana"/>
          <w:i/>
          <w:iCs/>
          <w:sz w:val="20"/>
          <w:szCs w:val="20"/>
          <w:lang w:val="es-ES"/>
        </w:rPr>
        <w:t>principios</w:t>
      </w:r>
      <w:r w:rsidRPr="00E757D1">
        <w:rPr>
          <w:rFonts w:ascii="Verdana" w:eastAsia="Batang" w:hAnsi="Verdana"/>
          <w:sz w:val="20"/>
          <w:szCs w:val="20"/>
          <w:lang w:val="es-ES"/>
        </w:rPr>
        <w:t>”</w:t>
      </w:r>
      <w:r w:rsidR="007402B6" w:rsidRPr="00E757D1">
        <w:rPr>
          <w:rFonts w:ascii="Verdana" w:eastAsia="Batang" w:hAnsi="Verdana"/>
          <w:sz w:val="20"/>
          <w:szCs w:val="20"/>
          <w:lang w:val="es-ES"/>
        </w:rPr>
        <w:t xml:space="preserve"> y </w:t>
      </w:r>
      <w:r w:rsidRPr="00E757D1">
        <w:rPr>
          <w:rFonts w:ascii="Verdana" w:eastAsia="Batang" w:hAnsi="Verdana"/>
          <w:sz w:val="20"/>
          <w:szCs w:val="20"/>
          <w:lang w:val="es-ES"/>
        </w:rPr>
        <w:t>“</w:t>
      </w:r>
      <w:r w:rsidRPr="00E757D1">
        <w:rPr>
          <w:rFonts w:ascii="Verdana" w:eastAsia="Batang" w:hAnsi="Verdana"/>
          <w:i/>
          <w:iCs/>
          <w:sz w:val="20"/>
          <w:szCs w:val="20"/>
          <w:lang w:val="es-ES"/>
        </w:rPr>
        <w:t>mecanismos</w:t>
      </w:r>
      <w:bookmarkEnd w:id="28"/>
      <w:r w:rsidRPr="00E757D1">
        <w:rPr>
          <w:rFonts w:ascii="Verdana" w:eastAsia="Batang" w:hAnsi="Verdana"/>
          <w:sz w:val="20"/>
          <w:szCs w:val="20"/>
          <w:lang w:val="es-ES"/>
        </w:rPr>
        <w:t>”</w:t>
      </w:r>
      <w:r w:rsidR="007402B6" w:rsidRPr="00E757D1">
        <w:rPr>
          <w:rFonts w:ascii="Verdana" w:eastAsia="Batang" w:hAnsi="Verdana"/>
          <w:sz w:val="20"/>
          <w:szCs w:val="20"/>
          <w:lang w:val="es-ES"/>
        </w:rPr>
        <w:t xml:space="preserve"> o para facilitar la integración latinoamericana, la armonización de las legislaciones laborales y la protección de los derechos de los trabajadores, o para lograr la “</w:t>
      </w:r>
      <w:r w:rsidR="007402B6" w:rsidRPr="00E757D1">
        <w:rPr>
          <w:rFonts w:ascii="Verdana" w:eastAsia="Batang" w:hAnsi="Verdana"/>
          <w:i/>
          <w:iCs/>
          <w:sz w:val="20"/>
          <w:szCs w:val="20"/>
          <w:lang w:val="es-ES"/>
        </w:rPr>
        <w:t>meta básica</w:t>
      </w:r>
      <w:r w:rsidR="007402B6" w:rsidRPr="00E757D1">
        <w:rPr>
          <w:rFonts w:ascii="Verdana" w:eastAsia="Batang" w:hAnsi="Verdana"/>
          <w:sz w:val="20"/>
          <w:szCs w:val="20"/>
          <w:lang w:val="es-ES"/>
        </w:rPr>
        <w:t xml:space="preserve">” consistente </w:t>
      </w:r>
      <w:r w:rsidR="007402B6" w:rsidRPr="00E757D1">
        <w:rPr>
          <w:rFonts w:ascii="Verdana" w:eastAsia="Batang" w:hAnsi="Verdana"/>
          <w:sz w:val="20"/>
          <w:szCs w:val="20"/>
          <w:lang w:val="es-ES"/>
        </w:rPr>
        <w:lastRenderedPageBreak/>
        <w:t>en</w:t>
      </w:r>
      <w:r w:rsidR="007402B6" w:rsidRPr="00E757D1">
        <w:rPr>
          <w:rFonts w:ascii="Verdana" w:hAnsi="Verdana"/>
          <w:bCs/>
          <w:i/>
          <w:iCs/>
          <w:sz w:val="20"/>
          <w:szCs w:val="20"/>
          <w:lang w:val="es-ES"/>
        </w:rPr>
        <w:t xml:space="preserve"> </w:t>
      </w:r>
      <w:r w:rsidR="007402B6" w:rsidRPr="00E757D1">
        <w:rPr>
          <w:rFonts w:ascii="Verdana" w:hAnsi="Verdana"/>
          <w:bCs/>
          <w:sz w:val="20"/>
          <w:szCs w:val="20"/>
          <w:lang w:val="es-ES"/>
        </w:rPr>
        <w:t>salarios justos, oportunidades de empleo y condiciones de trabajo aceptables para todos.</w:t>
      </w:r>
      <w:r w:rsidR="007402B6" w:rsidRPr="00E757D1">
        <w:rPr>
          <w:rFonts w:ascii="Verdana" w:eastAsia="Batang" w:hAnsi="Verdana"/>
          <w:sz w:val="20"/>
          <w:szCs w:val="20"/>
          <w:lang w:val="es-ES"/>
        </w:rPr>
        <w:t xml:space="preserve"> </w:t>
      </w:r>
      <w:r w:rsidRPr="00E757D1">
        <w:rPr>
          <w:rFonts w:ascii="Verdana" w:eastAsia="Batang" w:hAnsi="Verdana"/>
          <w:sz w:val="20"/>
          <w:szCs w:val="20"/>
          <w:lang w:val="es-ES"/>
        </w:rPr>
        <w:t>No se debe olvidar que todas las normas citadas se encuentran en el Capítulo VII de aquella, denominado “</w:t>
      </w:r>
      <w:r w:rsidRPr="00E757D1">
        <w:rPr>
          <w:rFonts w:ascii="Verdana" w:eastAsia="Batang" w:hAnsi="Verdana"/>
          <w:i/>
          <w:iCs/>
          <w:sz w:val="20"/>
          <w:szCs w:val="20"/>
          <w:lang w:val="es-ES"/>
        </w:rPr>
        <w:t>Desarrollo Integral</w:t>
      </w:r>
      <w:r w:rsidRPr="00E757D1">
        <w:rPr>
          <w:rFonts w:ascii="Verdana" w:eastAsia="Batang" w:hAnsi="Verdana"/>
          <w:sz w:val="20"/>
          <w:szCs w:val="20"/>
          <w:lang w:val="es-ES"/>
        </w:rPr>
        <w:t xml:space="preserve">”. De modo, pues, que tales normas </w:t>
      </w:r>
      <w:r w:rsidR="00C222E7" w:rsidRPr="00E757D1">
        <w:rPr>
          <w:rFonts w:ascii="Verdana" w:eastAsia="Batang" w:hAnsi="Verdana"/>
          <w:sz w:val="20"/>
          <w:szCs w:val="20"/>
          <w:lang w:val="es-ES"/>
        </w:rPr>
        <w:t xml:space="preserve">no </w:t>
      </w:r>
      <w:r w:rsidRPr="00E757D1">
        <w:rPr>
          <w:rFonts w:ascii="Verdana" w:eastAsia="Batang" w:hAnsi="Verdana"/>
          <w:sz w:val="20"/>
          <w:szCs w:val="20"/>
          <w:lang w:val="es-ES"/>
        </w:rPr>
        <w:t xml:space="preserve">establecen </w:t>
      </w:r>
      <w:r w:rsidR="00C222E7" w:rsidRPr="00E757D1">
        <w:rPr>
          <w:rFonts w:ascii="Verdana" w:eastAsia="Batang" w:hAnsi="Verdana"/>
          <w:sz w:val="20"/>
          <w:szCs w:val="20"/>
          <w:lang w:val="es-ES"/>
        </w:rPr>
        <w:t>obligaciones de resultado, esto es, no disponen que se respeten los derechos humanos que se deriven de las normas que alude, sino que se realicen los máximos esfuerzos para lograr</w:t>
      </w:r>
      <w:r w:rsidR="002E2BA0" w:rsidRPr="00E757D1">
        <w:rPr>
          <w:rFonts w:ascii="Verdana" w:eastAsia="Batang" w:hAnsi="Verdana"/>
          <w:sz w:val="20"/>
          <w:szCs w:val="20"/>
          <w:lang w:val="es-ES"/>
        </w:rPr>
        <w:t xml:space="preserve"> así los </w:t>
      </w:r>
      <w:r w:rsidR="002E2BA0" w:rsidRPr="00E757D1">
        <w:rPr>
          <w:rFonts w:ascii="Verdana" w:eastAsia="Batang" w:hAnsi="Verdana"/>
          <w:i/>
          <w:iCs/>
          <w:sz w:val="20"/>
          <w:szCs w:val="20"/>
          <w:lang w:val="es-ES"/>
        </w:rPr>
        <w:t>principios, mecanismos y metas</w:t>
      </w:r>
      <w:r w:rsidR="002E2BA0" w:rsidRPr="00E757D1">
        <w:rPr>
          <w:rFonts w:ascii="Verdana" w:eastAsia="Batang" w:hAnsi="Verdana"/>
          <w:sz w:val="20"/>
          <w:szCs w:val="20"/>
          <w:lang w:val="es-ES"/>
        </w:rPr>
        <w:t xml:space="preserve"> que indican</w:t>
      </w:r>
      <w:r w:rsidR="00EC760C" w:rsidRPr="00E757D1">
        <w:rPr>
          <w:rFonts w:ascii="Verdana" w:eastAsia="Batang" w:hAnsi="Verdana"/>
          <w:sz w:val="20"/>
          <w:szCs w:val="20"/>
          <w:lang w:val="es-ES"/>
        </w:rPr>
        <w:t>.</w:t>
      </w:r>
    </w:p>
    <w:p w14:paraId="0DE7EF0A" w14:textId="77777777" w:rsidR="002E2BA0" w:rsidRPr="00E757D1" w:rsidRDefault="002E2BA0" w:rsidP="00DA5A31">
      <w:pPr>
        <w:spacing w:line="276" w:lineRule="auto"/>
        <w:ind w:left="-270" w:right="-162"/>
        <w:contextualSpacing/>
        <w:rPr>
          <w:rFonts w:ascii="Verdana" w:hAnsi="Verdana"/>
          <w:bCs/>
          <w:sz w:val="20"/>
          <w:szCs w:val="20"/>
          <w:lang w:val="es-ES"/>
        </w:rPr>
      </w:pPr>
    </w:p>
    <w:p w14:paraId="50E87E04" w14:textId="45CFBB46" w:rsidR="00E9106E" w:rsidRPr="00E757D1" w:rsidRDefault="00E9106E" w:rsidP="00DA5A31">
      <w:pPr>
        <w:numPr>
          <w:ilvl w:val="0"/>
          <w:numId w:val="5"/>
        </w:numPr>
        <w:spacing w:line="276" w:lineRule="auto"/>
        <w:ind w:left="-270" w:right="-162" w:firstLine="0"/>
        <w:contextualSpacing/>
        <w:rPr>
          <w:rFonts w:ascii="Verdana" w:hAnsi="Verdana"/>
          <w:bCs/>
          <w:sz w:val="20"/>
          <w:szCs w:val="20"/>
          <w:lang w:val="es-ES"/>
        </w:rPr>
      </w:pPr>
      <w:r w:rsidRPr="00E757D1">
        <w:rPr>
          <w:rFonts w:ascii="Verdana" w:eastAsia="Batang" w:hAnsi="Verdana"/>
          <w:sz w:val="20"/>
          <w:szCs w:val="20"/>
          <w:lang w:val="es-ES"/>
        </w:rPr>
        <w:t>Así las cosas, el abanico de posibilidades de las que el intérprete podría “</w:t>
      </w:r>
      <w:r w:rsidRPr="00E757D1">
        <w:rPr>
          <w:rFonts w:ascii="Verdana" w:eastAsia="Batang" w:hAnsi="Verdana"/>
          <w:i/>
          <w:iCs/>
          <w:sz w:val="20"/>
          <w:szCs w:val="20"/>
          <w:lang w:val="es-ES"/>
        </w:rPr>
        <w:t>deriva</w:t>
      </w:r>
      <w:r w:rsidRPr="00E757D1">
        <w:rPr>
          <w:rFonts w:ascii="Verdana" w:eastAsia="Batang" w:hAnsi="Verdana"/>
          <w:sz w:val="20"/>
          <w:szCs w:val="20"/>
          <w:lang w:val="es-ES"/>
        </w:rPr>
        <w:t xml:space="preserve">r” derechos humanos no expresamente contemplados en noma internacional alguna sería enorme, por no afirmar, sin límite. De </w:t>
      </w:r>
      <w:r w:rsidR="00124D54" w:rsidRPr="00E757D1">
        <w:rPr>
          <w:rFonts w:ascii="Verdana" w:eastAsia="Batang" w:hAnsi="Verdana"/>
          <w:sz w:val="20"/>
          <w:szCs w:val="20"/>
          <w:lang w:val="es-ES"/>
        </w:rPr>
        <w:t>continuar la Corte con</w:t>
      </w:r>
      <w:r w:rsidRPr="00E757D1">
        <w:rPr>
          <w:rFonts w:ascii="Verdana" w:eastAsia="Batang" w:hAnsi="Verdana"/>
          <w:sz w:val="20"/>
          <w:szCs w:val="20"/>
          <w:lang w:val="es-ES"/>
        </w:rPr>
        <w:t xml:space="preserve"> esta tendencia y llevada a su extremo, todos los Estados Partes de la Convención y que han aceptado </w:t>
      </w:r>
      <w:r w:rsidR="00124D54" w:rsidRPr="00E757D1">
        <w:rPr>
          <w:rFonts w:ascii="Verdana" w:eastAsia="Batang" w:hAnsi="Verdana"/>
          <w:sz w:val="20"/>
          <w:szCs w:val="20"/>
          <w:lang w:val="es-ES"/>
        </w:rPr>
        <w:t xml:space="preserve">su </w:t>
      </w:r>
      <w:r w:rsidRPr="00E757D1">
        <w:rPr>
          <w:rFonts w:ascii="Verdana" w:eastAsia="Batang" w:hAnsi="Verdana"/>
          <w:sz w:val="20"/>
          <w:szCs w:val="20"/>
          <w:lang w:val="es-ES"/>
        </w:rPr>
        <w:t xml:space="preserve">jurisdicción, eventualmente podrían ser llevados ante ella por no alcanzar plenamente </w:t>
      </w:r>
      <w:r w:rsidR="00124D54" w:rsidRPr="00E757D1">
        <w:rPr>
          <w:rFonts w:ascii="Verdana" w:eastAsia="Batang" w:hAnsi="Verdana"/>
          <w:sz w:val="20"/>
          <w:szCs w:val="20"/>
          <w:lang w:val="es-ES"/>
        </w:rPr>
        <w:t>los</w:t>
      </w:r>
      <w:r w:rsidRPr="00E757D1">
        <w:rPr>
          <w:rFonts w:ascii="Verdana" w:eastAsia="Batang" w:hAnsi="Verdana"/>
          <w:sz w:val="20"/>
          <w:szCs w:val="20"/>
          <w:lang w:val="es-ES"/>
        </w:rPr>
        <w:t xml:space="preserve"> </w:t>
      </w:r>
      <w:r w:rsidR="00124D54" w:rsidRPr="00E757D1">
        <w:rPr>
          <w:rFonts w:ascii="Verdana" w:eastAsia="Batang" w:hAnsi="Verdana"/>
          <w:i/>
          <w:iCs/>
          <w:sz w:val="20"/>
          <w:szCs w:val="20"/>
          <w:lang w:val="es-ES"/>
        </w:rPr>
        <w:t>“</w:t>
      </w:r>
      <w:r w:rsidRPr="00E757D1">
        <w:rPr>
          <w:rFonts w:ascii="Verdana" w:eastAsia="Batang" w:hAnsi="Verdana"/>
          <w:i/>
          <w:iCs/>
          <w:sz w:val="20"/>
          <w:szCs w:val="20"/>
          <w:lang w:val="es-ES"/>
        </w:rPr>
        <w:t>principios</w:t>
      </w:r>
      <w:r w:rsidRPr="00E757D1">
        <w:rPr>
          <w:rFonts w:ascii="Verdana" w:eastAsia="Batang" w:hAnsi="Verdana"/>
          <w:sz w:val="20"/>
          <w:szCs w:val="20"/>
          <w:lang w:val="es-ES"/>
        </w:rPr>
        <w:t>”, “</w:t>
      </w:r>
      <w:r w:rsidRPr="00E757D1">
        <w:rPr>
          <w:rFonts w:ascii="Verdana" w:eastAsia="Batang" w:hAnsi="Verdana"/>
          <w:i/>
          <w:iCs/>
          <w:sz w:val="20"/>
          <w:szCs w:val="20"/>
          <w:lang w:val="es-ES"/>
        </w:rPr>
        <w:t>metas</w:t>
      </w:r>
      <w:r w:rsidRPr="00E757D1">
        <w:rPr>
          <w:rFonts w:ascii="Verdana" w:eastAsia="Batang" w:hAnsi="Verdana"/>
          <w:sz w:val="20"/>
          <w:szCs w:val="20"/>
          <w:lang w:val="es-ES"/>
        </w:rPr>
        <w:t>” o “</w:t>
      </w:r>
      <w:r w:rsidRPr="00E757D1">
        <w:rPr>
          <w:rFonts w:ascii="Verdana" w:eastAsia="Batang" w:hAnsi="Verdana"/>
          <w:i/>
          <w:iCs/>
          <w:sz w:val="20"/>
          <w:szCs w:val="20"/>
          <w:lang w:val="es-ES"/>
        </w:rPr>
        <w:t>mecanismos</w:t>
      </w:r>
      <w:r w:rsidRPr="00E757D1">
        <w:rPr>
          <w:rFonts w:ascii="Verdana" w:eastAsia="Batang" w:hAnsi="Verdana"/>
          <w:sz w:val="20"/>
          <w:szCs w:val="20"/>
          <w:lang w:val="es-ES"/>
        </w:rPr>
        <w:t>” contempladas en la Carta de la OEA de los que la Sentencia deriva derechos</w:t>
      </w:r>
      <w:r w:rsidR="00124D54" w:rsidRPr="00E757D1">
        <w:rPr>
          <w:rFonts w:ascii="Verdana" w:eastAsia="Batang" w:hAnsi="Verdana"/>
          <w:sz w:val="20"/>
          <w:szCs w:val="20"/>
          <w:lang w:val="es-ES"/>
        </w:rPr>
        <w:t>, lo que</w:t>
      </w:r>
      <w:r w:rsidRPr="00E757D1">
        <w:rPr>
          <w:rFonts w:ascii="Verdana" w:eastAsia="Batang" w:hAnsi="Verdana"/>
          <w:sz w:val="20"/>
          <w:szCs w:val="20"/>
          <w:lang w:val="es-ES"/>
        </w:rPr>
        <w:t>, a todas luces</w:t>
      </w:r>
      <w:r w:rsidR="00124D54" w:rsidRPr="00E757D1">
        <w:rPr>
          <w:rFonts w:ascii="Verdana" w:eastAsia="Batang" w:hAnsi="Verdana"/>
          <w:sz w:val="20"/>
          <w:szCs w:val="20"/>
          <w:lang w:val="es-ES"/>
        </w:rPr>
        <w:t>,</w:t>
      </w:r>
      <w:r w:rsidRPr="00E757D1">
        <w:rPr>
          <w:rFonts w:ascii="Verdana" w:eastAsia="Batang" w:hAnsi="Verdana"/>
          <w:sz w:val="20"/>
          <w:szCs w:val="20"/>
          <w:lang w:val="es-ES"/>
        </w:rPr>
        <w:t xml:space="preserve"> parecería alejado de lo que los Estados Partes deseaban al firmar la Convención o, al menos, de la lógica implícita en ella, en especial, por la forma en que está redactado el mencionado Capítulo VII. </w:t>
      </w:r>
    </w:p>
    <w:p w14:paraId="0237309B" w14:textId="77777777" w:rsidR="00E9106E" w:rsidRPr="00E757D1" w:rsidRDefault="00E9106E" w:rsidP="00DA5A31">
      <w:pPr>
        <w:spacing w:line="276" w:lineRule="auto"/>
        <w:ind w:left="-270" w:right="-162"/>
        <w:contextualSpacing/>
        <w:rPr>
          <w:rFonts w:ascii="Verdana" w:eastAsia="Batang" w:hAnsi="Verdana"/>
          <w:bCs/>
          <w:sz w:val="20"/>
          <w:szCs w:val="20"/>
          <w:lang w:val="es-ES"/>
        </w:rPr>
      </w:pPr>
    </w:p>
    <w:p w14:paraId="1A5052EC" w14:textId="0E7FD2EC" w:rsidR="00E9106E" w:rsidRPr="00E757D1" w:rsidRDefault="00E9106E" w:rsidP="00DA5A31">
      <w:pPr>
        <w:numPr>
          <w:ilvl w:val="0"/>
          <w:numId w:val="5"/>
        </w:numPr>
        <w:spacing w:line="276" w:lineRule="auto"/>
        <w:ind w:left="-270" w:right="-162" w:firstLine="0"/>
        <w:contextualSpacing/>
        <w:rPr>
          <w:rFonts w:ascii="Verdana" w:hAnsi="Verdana"/>
          <w:bCs/>
          <w:sz w:val="20"/>
          <w:szCs w:val="20"/>
          <w:lang w:val="es-ES"/>
        </w:rPr>
      </w:pPr>
      <w:r w:rsidRPr="00E757D1">
        <w:rPr>
          <w:rFonts w:ascii="Verdana" w:eastAsia="Batang" w:hAnsi="Verdana"/>
          <w:bCs/>
          <w:sz w:val="20"/>
          <w:szCs w:val="20"/>
          <w:lang w:val="es-ES"/>
        </w:rPr>
        <w:t>Es, por lo tanto, evidente que “</w:t>
      </w:r>
      <w:r w:rsidRPr="00E757D1">
        <w:rPr>
          <w:rFonts w:ascii="Verdana" w:eastAsia="Batang" w:hAnsi="Verdana"/>
          <w:sz w:val="20"/>
          <w:szCs w:val="20"/>
          <w:lang w:val="es-ES"/>
        </w:rPr>
        <w:t>d</w:t>
      </w:r>
      <w:r w:rsidRPr="00E757D1">
        <w:rPr>
          <w:rFonts w:ascii="Verdana" w:eastAsia="Batang" w:hAnsi="Verdana"/>
          <w:i/>
          <w:iCs/>
          <w:sz w:val="20"/>
          <w:szCs w:val="20"/>
          <w:lang w:val="es-ES"/>
        </w:rPr>
        <w:t>e las normas económicas, sociales y sobre educación, ciencia y cultura, contenidas en la Carta de la Organización de los Estados Americanos, reformada por el Protocolo de Buenos Aires”</w:t>
      </w:r>
      <w:r w:rsidRPr="00E757D1">
        <w:rPr>
          <w:rFonts w:ascii="Verdana" w:eastAsia="Batang" w:hAnsi="Verdana"/>
          <w:iCs/>
          <w:sz w:val="20"/>
          <w:szCs w:val="20"/>
          <w:lang w:val="es-ES"/>
        </w:rPr>
        <w:t xml:space="preserve"> a que se refiere el artículo 26,</w:t>
      </w:r>
      <w:r w:rsidRPr="00E757D1">
        <w:rPr>
          <w:rFonts w:ascii="Verdana" w:eastAsia="Batang" w:hAnsi="Verdana"/>
          <w:i/>
          <w:sz w:val="20"/>
          <w:szCs w:val="20"/>
          <w:lang w:val="es-ES"/>
        </w:rPr>
        <w:t xml:space="preserve"> </w:t>
      </w:r>
      <w:r w:rsidRPr="00E757D1">
        <w:rPr>
          <w:rFonts w:ascii="Verdana" w:eastAsia="Batang" w:hAnsi="Verdana"/>
          <w:iCs/>
          <w:sz w:val="20"/>
          <w:szCs w:val="20"/>
          <w:lang w:val="es-ES"/>
        </w:rPr>
        <w:t>no se colige</w:t>
      </w:r>
      <w:r w:rsidR="00773883" w:rsidRPr="00E757D1">
        <w:rPr>
          <w:rFonts w:ascii="Verdana" w:eastAsia="Batang" w:hAnsi="Verdana"/>
          <w:iCs/>
          <w:sz w:val="20"/>
          <w:szCs w:val="20"/>
          <w:lang w:val="es-ES"/>
        </w:rPr>
        <w:t>, a diferencia de lo que se indica en autos,</w:t>
      </w:r>
      <w:r w:rsidRPr="00E757D1">
        <w:rPr>
          <w:rFonts w:ascii="Verdana" w:eastAsia="Batang" w:hAnsi="Verdana"/>
          <w:iCs/>
          <w:sz w:val="20"/>
          <w:szCs w:val="20"/>
          <w:lang w:val="es-ES"/>
        </w:rPr>
        <w:t xml:space="preserve"> la competencia de la Corte de conocer y resolver las eventuales violaciones de los derechos que se derivan de ellas</w:t>
      </w:r>
      <w:r w:rsidRPr="00E757D1">
        <w:rPr>
          <w:rFonts w:ascii="Verdana" w:eastAsia="Batang" w:hAnsi="Verdana"/>
          <w:i/>
          <w:sz w:val="20"/>
          <w:szCs w:val="20"/>
          <w:lang w:val="es-ES"/>
        </w:rPr>
        <w:t>.</w:t>
      </w:r>
      <w:r w:rsidRPr="00E757D1">
        <w:rPr>
          <w:rFonts w:ascii="Verdana" w:eastAsia="Batang" w:hAnsi="Verdana"/>
          <w:bCs/>
          <w:sz w:val="20"/>
          <w:szCs w:val="20"/>
          <w:lang w:val="es-ES"/>
        </w:rPr>
        <w:t xml:space="preserve">  </w:t>
      </w:r>
    </w:p>
    <w:p w14:paraId="1689EC73" w14:textId="77777777" w:rsidR="00E9106E" w:rsidRPr="00E757D1" w:rsidRDefault="00E9106E" w:rsidP="00DA5A31">
      <w:pPr>
        <w:spacing w:line="276" w:lineRule="auto"/>
        <w:ind w:left="-270" w:right="-162"/>
        <w:contextualSpacing/>
        <w:rPr>
          <w:rFonts w:ascii="Verdana" w:eastAsia="Batang" w:hAnsi="Verdana"/>
          <w:b/>
          <w:sz w:val="20"/>
          <w:szCs w:val="20"/>
          <w:lang w:val="es-ES"/>
        </w:rPr>
      </w:pPr>
    </w:p>
    <w:p w14:paraId="4440B18C" w14:textId="3F4EEF3F" w:rsidR="00E9106E" w:rsidRPr="00E757D1" w:rsidRDefault="0077543D" w:rsidP="00DA5A31">
      <w:pPr>
        <w:pStyle w:val="Prrafodelista"/>
        <w:numPr>
          <w:ilvl w:val="0"/>
          <w:numId w:val="13"/>
        </w:numPr>
        <w:spacing w:line="276" w:lineRule="auto"/>
        <w:ind w:left="-270" w:right="-162" w:firstLine="0"/>
        <w:rPr>
          <w:rFonts w:ascii="Verdana" w:eastAsia="Batang" w:hAnsi="Verdana"/>
          <w:b/>
          <w:sz w:val="20"/>
          <w:szCs w:val="20"/>
          <w:lang w:val="es-ES"/>
        </w:rPr>
      </w:pPr>
      <w:r w:rsidRPr="00E757D1">
        <w:rPr>
          <w:rFonts w:ascii="Verdana" w:eastAsia="Batang" w:hAnsi="Verdana"/>
          <w:b/>
          <w:sz w:val="20"/>
          <w:szCs w:val="20"/>
          <w:lang w:val="es-ES"/>
        </w:rPr>
        <w:t xml:space="preserve"> </w:t>
      </w:r>
      <w:r w:rsidR="00741A3A" w:rsidRPr="00E757D1">
        <w:rPr>
          <w:rFonts w:ascii="Verdana" w:eastAsia="Batang" w:hAnsi="Verdana"/>
          <w:b/>
          <w:sz w:val="20"/>
          <w:szCs w:val="20"/>
          <w:lang w:val="es-ES"/>
        </w:rPr>
        <w:t>El Protocolo de San Salvador.</w:t>
      </w:r>
    </w:p>
    <w:p w14:paraId="00E8236D" w14:textId="77777777" w:rsidR="00E9106E" w:rsidRPr="00E757D1" w:rsidRDefault="00E9106E" w:rsidP="00DA5A31">
      <w:pPr>
        <w:spacing w:line="276" w:lineRule="auto"/>
        <w:ind w:left="-270" w:right="-162"/>
        <w:contextualSpacing/>
        <w:rPr>
          <w:rFonts w:ascii="Verdana" w:hAnsi="Verdana"/>
          <w:b/>
          <w:sz w:val="20"/>
          <w:szCs w:val="20"/>
          <w:lang w:val="es-ES"/>
        </w:rPr>
      </w:pPr>
    </w:p>
    <w:p w14:paraId="122E5C8F" w14:textId="689F0FF3" w:rsidR="00ED15CE" w:rsidRPr="00E757D1" w:rsidRDefault="00ED15C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hAnsi="Verdana"/>
          <w:sz w:val="20"/>
          <w:szCs w:val="20"/>
          <w:lang w:val="es-ES"/>
        </w:rPr>
        <w:t>A</w:t>
      </w:r>
      <w:r w:rsidR="00E9106E" w:rsidRPr="00E757D1">
        <w:rPr>
          <w:rFonts w:ascii="Verdana" w:hAnsi="Verdana"/>
          <w:sz w:val="20"/>
          <w:szCs w:val="20"/>
          <w:lang w:val="es-ES"/>
        </w:rPr>
        <w:t xml:space="preserve"> mayor abundamiento a lo ya expresado, cabe referirse al</w:t>
      </w:r>
      <w:r w:rsidR="00E9106E" w:rsidRPr="00E757D1">
        <w:rPr>
          <w:rFonts w:ascii="Verdana" w:hAnsi="Verdana"/>
          <w:i/>
          <w:sz w:val="20"/>
          <w:szCs w:val="20"/>
          <w:lang w:val="es-ES"/>
        </w:rPr>
        <w:t xml:space="preserve"> “</w:t>
      </w:r>
      <w:hyperlink r:id="rId8" w:tgtFrame="_blank" w:history="1">
        <w:r w:rsidR="00E9106E" w:rsidRPr="00E757D1">
          <w:rPr>
            <w:rFonts w:ascii="Verdana" w:eastAsia="Batang" w:hAnsi="Verdana"/>
            <w:i/>
            <w:sz w:val="20"/>
            <w:szCs w:val="20"/>
            <w:shd w:val="clear" w:color="auto" w:fill="FFFFFF"/>
            <w:lang w:val="es-ES"/>
          </w:rPr>
          <w:t>Protocolo Adicional a la Convención Americana sobre Derechos Humanos en Materia de Derechos Económicos, Sociales y Culturales – Protocolo de San Salvador</w:t>
        </w:r>
      </w:hyperlink>
      <w:r w:rsidR="00E9106E" w:rsidRPr="00E757D1">
        <w:rPr>
          <w:rFonts w:ascii="Verdana" w:eastAsia="Batang" w:hAnsi="Verdana"/>
          <w:i/>
          <w:sz w:val="20"/>
          <w:szCs w:val="20"/>
          <w:lang w:val="es-ES"/>
        </w:rPr>
        <w:t xml:space="preserve">”, </w:t>
      </w:r>
      <w:r w:rsidR="00E9106E" w:rsidRPr="00E757D1">
        <w:rPr>
          <w:rFonts w:ascii="Verdana" w:eastAsia="Batang" w:hAnsi="Verdana"/>
          <w:iCs/>
          <w:sz w:val="20"/>
          <w:szCs w:val="20"/>
          <w:lang w:val="es-ES"/>
        </w:rPr>
        <w:t>el que también es citado en la Sentencia en apoyo a su</w:t>
      </w:r>
      <w:r w:rsidR="00E9106E" w:rsidRPr="00E757D1">
        <w:rPr>
          <w:rFonts w:ascii="Verdana" w:eastAsia="Batang" w:hAnsi="Verdana"/>
          <w:sz w:val="20"/>
          <w:szCs w:val="20"/>
          <w:lang w:val="es-ES"/>
        </w:rPr>
        <w:t xml:space="preserve"> interpretación del artículo 26</w:t>
      </w:r>
      <w:r w:rsidR="004647F8" w:rsidRPr="00E757D1">
        <w:rPr>
          <w:rStyle w:val="Refdenotaalpie"/>
          <w:rFonts w:ascii="Verdana" w:eastAsia="Batang" w:hAnsi="Verdana"/>
          <w:sz w:val="20"/>
          <w:szCs w:val="20"/>
          <w:lang w:val="es-ES"/>
        </w:rPr>
        <w:footnoteReference w:id="78"/>
      </w:r>
      <w:r w:rsidR="00E9106E" w:rsidRPr="00E757D1">
        <w:rPr>
          <w:rFonts w:ascii="Verdana" w:eastAsia="Batang" w:hAnsi="Verdana"/>
          <w:sz w:val="20"/>
          <w:szCs w:val="20"/>
          <w:lang w:val="es-ES"/>
        </w:rPr>
        <w:t>, pero que el suscrito estima que su suscripción y vigencia respalda, por el contrario, lo que sostiene en este escrito.</w:t>
      </w:r>
    </w:p>
    <w:p w14:paraId="2B486572" w14:textId="77777777" w:rsidR="00ED15CE" w:rsidRPr="00E757D1" w:rsidRDefault="00ED15CE" w:rsidP="00DA5A31">
      <w:pPr>
        <w:pStyle w:val="Prrafodelista"/>
        <w:spacing w:line="276" w:lineRule="auto"/>
        <w:ind w:left="-270" w:right="-162"/>
        <w:rPr>
          <w:rFonts w:ascii="Verdana" w:hAnsi="Verdana"/>
          <w:sz w:val="20"/>
          <w:szCs w:val="20"/>
          <w:lang w:val="es-ES"/>
        </w:rPr>
      </w:pPr>
    </w:p>
    <w:p w14:paraId="2B6DFC3A" w14:textId="7221972A" w:rsidR="00E9106E" w:rsidRPr="00E757D1" w:rsidRDefault="00E9106E" w:rsidP="00DA5A31">
      <w:pPr>
        <w:pStyle w:val="Prrafodelista"/>
        <w:numPr>
          <w:ilvl w:val="0"/>
          <w:numId w:val="5"/>
        </w:numPr>
        <w:spacing w:line="276" w:lineRule="auto"/>
        <w:ind w:left="-270" w:right="-162" w:firstLine="0"/>
        <w:rPr>
          <w:rFonts w:ascii="Verdana" w:hAnsi="Verdana"/>
          <w:sz w:val="20"/>
          <w:szCs w:val="20"/>
          <w:lang w:val="es-ES"/>
        </w:rPr>
      </w:pPr>
      <w:r w:rsidRPr="00E757D1">
        <w:rPr>
          <w:rFonts w:ascii="Verdana" w:eastAsia="Batang" w:hAnsi="Verdana"/>
          <w:sz w:val="20"/>
          <w:szCs w:val="20"/>
          <w:lang w:val="es-ES"/>
        </w:rPr>
        <w:t>Dicho instrumento</w:t>
      </w:r>
      <w:r w:rsidR="00094864" w:rsidRPr="00E757D1">
        <w:rPr>
          <w:rStyle w:val="Refdenotaalpie"/>
          <w:rFonts w:ascii="Verdana" w:eastAsia="Batang" w:hAnsi="Verdana"/>
          <w:sz w:val="20"/>
          <w:szCs w:val="20"/>
          <w:lang w:val="es-ES"/>
        </w:rPr>
        <w:footnoteReference w:id="79"/>
      </w:r>
      <w:r w:rsidRPr="00E757D1">
        <w:rPr>
          <w:rFonts w:ascii="Verdana" w:eastAsia="Batang" w:hAnsi="Verdana"/>
          <w:sz w:val="20"/>
          <w:szCs w:val="20"/>
          <w:lang w:val="es-ES"/>
        </w:rPr>
        <w:t xml:space="preserve"> es adoptado en consideración a lo previsto en los artículos 31, 76 y 77</w:t>
      </w:r>
      <w:r w:rsidRPr="00E757D1">
        <w:rPr>
          <w:rFonts w:ascii="Verdana" w:hAnsi="Verdana"/>
          <w:sz w:val="20"/>
          <w:szCs w:val="20"/>
          <w:vertAlign w:val="superscript"/>
          <w:lang w:val="es-ES"/>
        </w:rPr>
        <w:footnoteReference w:id="80"/>
      </w:r>
      <w:r w:rsidRPr="00E757D1">
        <w:rPr>
          <w:rFonts w:ascii="Verdana" w:eastAsia="Batang" w:hAnsi="Verdana"/>
          <w:sz w:val="20"/>
          <w:szCs w:val="20"/>
          <w:lang w:val="es-ES"/>
        </w:rPr>
        <w:t xml:space="preserve"> de la Convención. Así lo expresa su propio Preámbulo, al señalar que </w:t>
      </w:r>
    </w:p>
    <w:p w14:paraId="3571FC89" w14:textId="77777777" w:rsidR="00E9106E" w:rsidRPr="00E757D1" w:rsidRDefault="00E9106E" w:rsidP="00DA5A31">
      <w:pPr>
        <w:spacing w:line="276" w:lineRule="auto"/>
        <w:ind w:left="-270" w:right="-162"/>
        <w:rPr>
          <w:rFonts w:ascii="Verdana" w:eastAsia="Batang" w:hAnsi="Verdana"/>
          <w:sz w:val="20"/>
          <w:szCs w:val="20"/>
          <w:lang w:val="es-ES"/>
        </w:rPr>
      </w:pPr>
    </w:p>
    <w:p w14:paraId="70F1E7D6" w14:textId="08ACB485" w:rsidR="00E9106E" w:rsidRPr="00E757D1" w:rsidRDefault="00E9106E" w:rsidP="00176740">
      <w:pPr>
        <w:spacing w:line="276" w:lineRule="auto"/>
        <w:ind w:left="720" w:right="-162"/>
        <w:rPr>
          <w:rFonts w:ascii="Verdana" w:eastAsia="Batang" w:hAnsi="Verdana"/>
          <w:i/>
          <w:sz w:val="18"/>
          <w:szCs w:val="18"/>
          <w:lang w:val="es-ES"/>
        </w:rPr>
      </w:pPr>
      <w:r w:rsidRPr="00E757D1">
        <w:rPr>
          <w:rFonts w:ascii="Verdana" w:eastAsia="Batang" w:hAnsi="Verdana"/>
          <w:i/>
          <w:sz w:val="18"/>
          <w:szCs w:val="18"/>
          <w:lang w:val="es-ES"/>
        </w:rPr>
        <w:t>“(t)</w:t>
      </w:r>
      <w:proofErr w:type="spellStart"/>
      <w:r w:rsidRPr="00E757D1">
        <w:rPr>
          <w:rFonts w:ascii="Verdana" w:eastAsia="Batang" w:hAnsi="Verdana"/>
          <w:i/>
          <w:sz w:val="18"/>
          <w:szCs w:val="18"/>
          <w:lang w:val="es-ES"/>
        </w:rPr>
        <w:t>eniendo</w:t>
      </w:r>
      <w:proofErr w:type="spellEnd"/>
      <w:r w:rsidRPr="00E757D1">
        <w:rPr>
          <w:rFonts w:ascii="Verdana" w:eastAsia="Batang" w:hAnsi="Verdana"/>
          <w:i/>
          <w:sz w:val="18"/>
          <w:szCs w:val="18"/>
          <w:lang w:val="es-ES"/>
        </w:rPr>
        <w:t xml:space="preserve"> presente que si bien los derechos económicos, sociales y culturales fundamentales han sido reconocidos en anteriores instrumentos internacionales, tanto de ámbito universal como regional, resulta de gran importancia que éstos sean reafirmados, desarrollados, perfeccionados y protegidos en función de consolidar en América, sobre la base del respeto integral a los derechos de la persona, el régimen democrático representativo de gobierno, así como el derecho de sus pueblos al desarrollo, a la libre determinación y a disponer libremente de sus riquezas y recursos naturales, y considerando que la Convención Americana sobre Derechos Humanos establece que pueden someterse a la consideración de los Estados partes reunidos con ocasión de la Asamblea General d</w:t>
      </w:r>
      <w:r w:rsidR="00AA40B9" w:rsidRPr="00E757D1">
        <w:rPr>
          <w:rFonts w:ascii="Verdana" w:hAnsi="Verdana"/>
          <w:i/>
          <w:sz w:val="18"/>
          <w:szCs w:val="18"/>
          <w:lang w:val="es-ES"/>
        </w:rPr>
        <w:t xml:space="preserve">e la Organización de los Estados Americanos proyectos de protocolos adicionales a esa </w:t>
      </w:r>
      <w:r w:rsidR="00AA40B9" w:rsidRPr="00E757D1">
        <w:rPr>
          <w:rFonts w:ascii="Verdana" w:hAnsi="Verdana"/>
          <w:i/>
          <w:sz w:val="18"/>
          <w:szCs w:val="18"/>
          <w:lang w:val="es-ES"/>
        </w:rPr>
        <w:lastRenderedPageBreak/>
        <w:t>Convención con la finalidad de incluir progresivamente en el régimen de protección de la misma otros derechos y libertades</w:t>
      </w:r>
      <w:r w:rsidR="002D4CDE" w:rsidRPr="00E757D1">
        <w:rPr>
          <w:rFonts w:ascii="Verdana" w:hAnsi="Verdana"/>
          <w:i/>
          <w:sz w:val="18"/>
          <w:szCs w:val="18"/>
          <w:lang w:val="es-ES"/>
        </w:rPr>
        <w:t>”</w:t>
      </w:r>
      <w:r w:rsidR="00176740" w:rsidRPr="00E757D1">
        <w:rPr>
          <w:rFonts w:ascii="Verdana" w:hAnsi="Verdana"/>
          <w:i/>
          <w:sz w:val="18"/>
          <w:szCs w:val="18"/>
          <w:lang w:val="es-ES"/>
        </w:rPr>
        <w:t>.</w:t>
      </w:r>
    </w:p>
    <w:p w14:paraId="0B57F54E" w14:textId="77777777" w:rsidR="00E9106E" w:rsidRPr="00E757D1" w:rsidRDefault="00E9106E" w:rsidP="00DA5A31">
      <w:pPr>
        <w:spacing w:line="276" w:lineRule="auto"/>
        <w:ind w:left="-270" w:right="-162"/>
        <w:rPr>
          <w:rFonts w:ascii="Verdana" w:eastAsia="Batang" w:hAnsi="Verdana"/>
          <w:sz w:val="20"/>
          <w:szCs w:val="20"/>
          <w:lang w:val="es-ES"/>
        </w:rPr>
      </w:pPr>
    </w:p>
    <w:p w14:paraId="486A6EDA" w14:textId="46BDBE8C" w:rsidR="00E9106E" w:rsidRPr="00E757D1" w:rsidRDefault="00E9106E" w:rsidP="00DA5A31">
      <w:pPr>
        <w:pStyle w:val="Prrafodelista"/>
        <w:numPr>
          <w:ilvl w:val="0"/>
          <w:numId w:val="5"/>
        </w:numPr>
        <w:spacing w:line="276" w:lineRule="auto"/>
        <w:ind w:left="-270" w:right="-162" w:firstLine="0"/>
        <w:rPr>
          <w:rFonts w:ascii="Verdana" w:eastAsia="Batang" w:hAnsi="Verdana"/>
          <w:sz w:val="20"/>
          <w:szCs w:val="20"/>
          <w:lang w:val="es-ES"/>
        </w:rPr>
      </w:pPr>
      <w:r w:rsidRPr="00E757D1">
        <w:rPr>
          <w:rFonts w:ascii="Verdana" w:eastAsia="Batang" w:hAnsi="Verdana"/>
          <w:sz w:val="20"/>
          <w:szCs w:val="20"/>
          <w:lang w:val="es-ES"/>
        </w:rPr>
        <w:t>De lo transcrito se desprende, por ende, que se trata de un acuerdo “</w:t>
      </w:r>
      <w:r w:rsidRPr="00E757D1">
        <w:rPr>
          <w:rFonts w:ascii="Verdana" w:eastAsia="Batang" w:hAnsi="Verdana"/>
          <w:i/>
          <w:iCs/>
          <w:sz w:val="20"/>
          <w:szCs w:val="20"/>
          <w:lang w:val="es-ES"/>
        </w:rPr>
        <w:t>Adicional a la Convención</w:t>
      </w:r>
      <w:r w:rsidRPr="00E757D1">
        <w:rPr>
          <w:rFonts w:ascii="Verdana" w:eastAsia="Batang" w:hAnsi="Verdana"/>
          <w:sz w:val="20"/>
          <w:szCs w:val="20"/>
          <w:lang w:val="es-ES"/>
        </w:rPr>
        <w:t>”, que tiene por específica finalidad reafirmar, desarrollar, perfeccionar y proteger los derechos económicos, sociales y culturales y de progresivamente incluirlos en el régimen de protección de la misma y lograr su plena efectividad.</w:t>
      </w:r>
    </w:p>
    <w:p w14:paraId="362B7FE8" w14:textId="77777777" w:rsidR="00E9106E" w:rsidRPr="00E757D1" w:rsidRDefault="00E9106E" w:rsidP="00DA5A31">
      <w:pPr>
        <w:spacing w:line="276" w:lineRule="auto"/>
        <w:ind w:left="-270" w:right="-162"/>
        <w:contextualSpacing/>
        <w:rPr>
          <w:rFonts w:ascii="Verdana" w:eastAsia="Batang" w:hAnsi="Verdana"/>
          <w:sz w:val="20"/>
          <w:szCs w:val="20"/>
          <w:lang w:val="es-ES"/>
        </w:rPr>
      </w:pPr>
    </w:p>
    <w:p w14:paraId="3DD6B189" w14:textId="1E45387A" w:rsidR="00E9106E" w:rsidRPr="00E757D1" w:rsidRDefault="00E9106E" w:rsidP="00DA5A31">
      <w:pPr>
        <w:pStyle w:val="Prrafodelista"/>
        <w:numPr>
          <w:ilvl w:val="0"/>
          <w:numId w:val="5"/>
        </w:numPr>
        <w:spacing w:line="276" w:lineRule="auto"/>
        <w:ind w:left="-270" w:right="-162" w:firstLine="0"/>
        <w:rPr>
          <w:rFonts w:ascii="Verdana" w:eastAsia="Batang" w:hAnsi="Verdana"/>
          <w:sz w:val="20"/>
          <w:szCs w:val="20"/>
          <w:lang w:val="es-ES"/>
        </w:rPr>
      </w:pPr>
      <w:r w:rsidRPr="00E757D1">
        <w:rPr>
          <w:rFonts w:ascii="Verdana" w:eastAsia="Batang" w:hAnsi="Verdana"/>
          <w:sz w:val="20"/>
          <w:szCs w:val="20"/>
          <w:lang w:val="es-ES"/>
        </w:rPr>
        <w:t xml:space="preserve">Esto es, el Protocolo </w:t>
      </w:r>
      <w:r w:rsidR="00094864" w:rsidRPr="00E757D1">
        <w:rPr>
          <w:rFonts w:ascii="Verdana" w:eastAsia="Batang" w:hAnsi="Verdana"/>
          <w:sz w:val="20"/>
          <w:szCs w:val="20"/>
          <w:lang w:val="es-ES"/>
        </w:rPr>
        <w:t xml:space="preserve">se adopta </w:t>
      </w:r>
      <w:r w:rsidRPr="00E757D1">
        <w:rPr>
          <w:rFonts w:ascii="Verdana" w:eastAsia="Batang" w:hAnsi="Verdana"/>
          <w:sz w:val="20"/>
          <w:szCs w:val="20"/>
          <w:lang w:val="es-ES"/>
        </w:rPr>
        <w:t>dado que los derechos económicos sociales y culturales no han sido, a la fecha de su suscripción, reafirmados, desarrollados, perfeccionados y protegidos ni incluidos en el régimen de protección de la Convención, lo que implica que tampoco tienen plena efectividad en virtud del artículo 26. De otra manera no se entendería la finalidad ni la conveniencia del Protocolo.</w:t>
      </w:r>
    </w:p>
    <w:p w14:paraId="7065AED5" w14:textId="77777777" w:rsidR="00E9106E" w:rsidRPr="00E757D1" w:rsidRDefault="00E9106E" w:rsidP="00DA5A31">
      <w:pPr>
        <w:spacing w:line="276" w:lineRule="auto"/>
        <w:ind w:left="-270" w:right="-162"/>
        <w:contextualSpacing/>
        <w:rPr>
          <w:rFonts w:ascii="Verdana" w:eastAsia="Batang" w:hAnsi="Verdana"/>
          <w:sz w:val="20"/>
          <w:szCs w:val="20"/>
          <w:lang w:val="es-ES"/>
        </w:rPr>
      </w:pPr>
    </w:p>
    <w:p w14:paraId="309DC410" w14:textId="60947477" w:rsidR="004565E4"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sz w:val="20"/>
          <w:szCs w:val="20"/>
          <w:lang w:val="es-ES"/>
        </w:rPr>
        <w:t>Así las cosas, el Protocolo</w:t>
      </w:r>
      <w:bookmarkStart w:id="29" w:name="_Hlk31858222"/>
      <w:r w:rsidR="00094864" w:rsidRPr="00E757D1">
        <w:rPr>
          <w:rFonts w:ascii="Verdana" w:eastAsia="Batang" w:hAnsi="Verdana"/>
          <w:sz w:val="20"/>
          <w:szCs w:val="20"/>
          <w:lang w:val="es-ES"/>
        </w:rPr>
        <w:t xml:space="preserve"> </w:t>
      </w:r>
      <w:r w:rsidRPr="00E757D1">
        <w:rPr>
          <w:rFonts w:ascii="Verdana" w:eastAsia="Batang" w:hAnsi="Verdana"/>
          <w:sz w:val="20"/>
          <w:szCs w:val="20"/>
          <w:lang w:val="es-ES"/>
        </w:rPr>
        <w:t>reconoce</w:t>
      </w:r>
      <w:r w:rsidRPr="00E757D1">
        <w:rPr>
          <w:rFonts w:ascii="Verdana" w:eastAsia="Batang" w:hAnsi="Verdana"/>
          <w:sz w:val="20"/>
          <w:szCs w:val="20"/>
          <w:vertAlign w:val="superscript"/>
          <w:lang w:val="es-ES"/>
        </w:rPr>
        <w:footnoteReference w:id="81"/>
      </w:r>
      <w:r w:rsidRPr="00E757D1">
        <w:rPr>
          <w:rFonts w:ascii="Verdana" w:eastAsia="Batang" w:hAnsi="Verdana"/>
          <w:sz w:val="20"/>
          <w:szCs w:val="20"/>
          <w:lang w:val="es-ES"/>
        </w:rPr>
        <w:t>, establece</w:t>
      </w:r>
      <w:r w:rsidRPr="00E757D1">
        <w:rPr>
          <w:rFonts w:ascii="Verdana" w:eastAsia="Batang" w:hAnsi="Verdana"/>
          <w:sz w:val="20"/>
          <w:szCs w:val="20"/>
          <w:vertAlign w:val="superscript"/>
          <w:lang w:val="es-ES"/>
        </w:rPr>
        <w:footnoteReference w:id="82"/>
      </w:r>
      <w:r w:rsidRPr="00E757D1">
        <w:rPr>
          <w:rFonts w:ascii="Verdana" w:eastAsia="Batang" w:hAnsi="Verdana"/>
          <w:sz w:val="20"/>
          <w:szCs w:val="20"/>
          <w:lang w:val="es-ES"/>
        </w:rPr>
        <w:t>, enuncia</w:t>
      </w:r>
      <w:r w:rsidRPr="00E757D1">
        <w:rPr>
          <w:rFonts w:ascii="Verdana" w:eastAsia="Batang" w:hAnsi="Verdana"/>
          <w:sz w:val="20"/>
          <w:szCs w:val="20"/>
          <w:vertAlign w:val="superscript"/>
          <w:lang w:val="es-ES"/>
        </w:rPr>
        <w:footnoteReference w:id="83"/>
      </w:r>
      <w:r w:rsidRPr="00E757D1">
        <w:rPr>
          <w:rFonts w:ascii="Verdana" w:eastAsia="Batang" w:hAnsi="Verdana"/>
          <w:sz w:val="20"/>
          <w:szCs w:val="20"/>
          <w:lang w:val="es-ES"/>
        </w:rPr>
        <w:t xml:space="preserve"> o consagra</w:t>
      </w:r>
      <w:r w:rsidRPr="00E757D1">
        <w:rPr>
          <w:rFonts w:ascii="Verdana" w:eastAsia="Batang" w:hAnsi="Verdana"/>
          <w:sz w:val="20"/>
          <w:szCs w:val="20"/>
          <w:vertAlign w:val="superscript"/>
          <w:lang w:val="es-ES"/>
        </w:rPr>
        <w:footnoteReference w:id="84"/>
      </w:r>
      <w:r w:rsidRPr="00E757D1">
        <w:rPr>
          <w:rFonts w:ascii="Verdana" w:eastAsia="Batang" w:hAnsi="Verdana"/>
          <w:sz w:val="20"/>
          <w:szCs w:val="20"/>
          <w:lang w:val="es-ES"/>
        </w:rPr>
        <w:t xml:space="preserve"> </w:t>
      </w:r>
      <w:bookmarkEnd w:id="29"/>
      <w:r w:rsidRPr="00E757D1">
        <w:rPr>
          <w:rFonts w:ascii="Verdana" w:eastAsia="Batang" w:hAnsi="Verdana"/>
          <w:sz w:val="20"/>
          <w:szCs w:val="20"/>
          <w:lang w:val="es-ES"/>
        </w:rPr>
        <w:t xml:space="preserve">los siguientes derechos: </w:t>
      </w:r>
      <w:r w:rsidRPr="00E757D1">
        <w:rPr>
          <w:rFonts w:ascii="Verdana" w:eastAsia="Batang" w:hAnsi="Verdana" w:cs="Tahoma"/>
          <w:bCs/>
          <w:sz w:val="20"/>
          <w:szCs w:val="20"/>
          <w:lang w:val="es-ES"/>
        </w:rPr>
        <w:t>Derecho al Trabajo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6) , Condiciones Justas, Equitativas y Satisfactorias de Trabajo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7), Derechos Sindicales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8), Derecho a la Seguridad Social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9), Derecho a la Salud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10), Derecho a un Medio Ambiente Sano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11), Derecho a la Alimentación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12), Derecho a la Educación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13), Derecho a los Beneficios de la Cultura</w:t>
      </w:r>
      <w:r w:rsidR="00704703"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14), Derecho a la Constitución y Protección de la Familia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15), Derecho de la Niñez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16), Protección de los Ancianos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17) y Protección de los Minusválidos (art.</w:t>
      </w:r>
      <w:r w:rsidR="00B75ACA"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18)</w:t>
      </w:r>
      <w:r w:rsidRPr="00E757D1">
        <w:rPr>
          <w:rFonts w:ascii="Verdana" w:eastAsia="Batang" w:hAnsi="Verdana" w:cs="Tahoma"/>
          <w:sz w:val="20"/>
          <w:szCs w:val="20"/>
          <w:lang w:val="es-ES"/>
        </w:rPr>
        <w:t xml:space="preserve">. </w:t>
      </w:r>
      <w:r w:rsidRPr="00E757D1">
        <w:rPr>
          <w:rFonts w:ascii="Verdana" w:eastAsia="Batang" w:hAnsi="Verdana" w:cs="Tahoma"/>
          <w:bCs/>
          <w:sz w:val="20"/>
          <w:szCs w:val="20"/>
          <w:lang w:val="es-ES"/>
        </w:rPr>
        <w:t>Téngase presente que, por el contrario, el artículo 26 no establece o consagra derecho alguno, solo se remite a los que se “</w:t>
      </w:r>
      <w:r w:rsidRPr="00E757D1">
        <w:rPr>
          <w:rFonts w:ascii="Verdana" w:eastAsia="Batang" w:hAnsi="Verdana" w:cs="Tahoma"/>
          <w:bCs/>
          <w:i/>
          <w:sz w:val="20"/>
          <w:szCs w:val="20"/>
          <w:lang w:val="es-ES"/>
        </w:rPr>
        <w:t>deriven</w:t>
      </w:r>
      <w:r w:rsidRPr="00E757D1">
        <w:rPr>
          <w:rFonts w:ascii="Verdana" w:eastAsia="Batang" w:hAnsi="Verdana" w:cs="Tahoma"/>
          <w:bCs/>
          <w:sz w:val="20"/>
          <w:szCs w:val="20"/>
          <w:lang w:val="es-ES"/>
        </w:rPr>
        <w:t>” de la Carta de la OEA.</w:t>
      </w:r>
    </w:p>
    <w:p w14:paraId="2F777261" w14:textId="77777777" w:rsidR="004565E4" w:rsidRPr="00E757D1" w:rsidRDefault="004565E4" w:rsidP="00DA5A31">
      <w:pPr>
        <w:pStyle w:val="Prrafodelista"/>
        <w:ind w:left="-270" w:right="-162"/>
        <w:rPr>
          <w:rFonts w:ascii="Verdana" w:eastAsia="Batang" w:hAnsi="Verdana" w:cs="Tahoma"/>
          <w:bCs/>
          <w:sz w:val="20"/>
          <w:szCs w:val="20"/>
          <w:lang w:val="es-ES"/>
        </w:rPr>
      </w:pPr>
    </w:p>
    <w:p w14:paraId="5E326C0B" w14:textId="3A44D265" w:rsidR="004565E4"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cs="Tahoma"/>
          <w:bCs/>
          <w:sz w:val="20"/>
          <w:szCs w:val="20"/>
          <w:lang w:val="es-ES"/>
        </w:rPr>
        <w:lastRenderedPageBreak/>
        <w:t>Y respecto de esos derechos reconocidos por el Protocolo, los Estados Partes se comprometen a adoptar, de manera progresiva, las medidas que garanticen su plena efectividad (arts.</w:t>
      </w:r>
      <w:r w:rsidR="009D0E05" w:rsidRPr="00E757D1">
        <w:rPr>
          <w:rFonts w:ascii="Verdana" w:eastAsia="Batang" w:hAnsi="Verdana" w:cs="Tahoma"/>
          <w:bCs/>
          <w:sz w:val="20"/>
          <w:szCs w:val="20"/>
          <w:lang w:val="es-ES"/>
        </w:rPr>
        <w:t xml:space="preserve"> </w:t>
      </w:r>
      <w:r w:rsidRPr="00E757D1">
        <w:rPr>
          <w:rFonts w:ascii="Verdana" w:eastAsia="Batang" w:hAnsi="Verdana" w:cs="Tahoma"/>
          <w:bCs/>
          <w:sz w:val="20"/>
          <w:szCs w:val="20"/>
          <w:lang w:val="es-ES"/>
        </w:rPr>
        <w:t>6.2, 10.2, 11.2 y 12.2). En esto hay una coincidencia con lo previsto en el artículo 26, es decir, que tanto el Protocolo como esta última disposición dicen relación con derechos cuya efectividad no existe o no es plena.</w:t>
      </w:r>
    </w:p>
    <w:p w14:paraId="4F67DB74" w14:textId="77777777" w:rsidR="004565E4" w:rsidRPr="00E757D1" w:rsidRDefault="004565E4" w:rsidP="00DA5A31">
      <w:pPr>
        <w:pStyle w:val="Prrafodelista"/>
        <w:ind w:left="-270" w:right="-162"/>
        <w:rPr>
          <w:rFonts w:ascii="Verdana" w:eastAsia="Batang" w:hAnsi="Verdana" w:cs="Tahoma"/>
          <w:bCs/>
          <w:sz w:val="20"/>
          <w:szCs w:val="20"/>
          <w:lang w:val="es-ES"/>
        </w:rPr>
      </w:pPr>
    </w:p>
    <w:p w14:paraId="3E404459" w14:textId="7D484C5F" w:rsidR="00E9106E"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cs="Tahoma"/>
          <w:bCs/>
          <w:sz w:val="20"/>
          <w:szCs w:val="20"/>
          <w:lang w:val="es-ES"/>
        </w:rPr>
        <w:t>El Protocolo igualmente contempla una norma, el artículo 19, concerniente a los medios de protección de los antes señalados derechos. Tales medios consisten en los informes que los Estados Partes deben presentar a la Asamblea General de la OEA “</w:t>
      </w:r>
      <w:r w:rsidRPr="00E757D1">
        <w:rPr>
          <w:rFonts w:ascii="Verdana" w:hAnsi="Verdana" w:cs="Arial"/>
          <w:i/>
          <w:sz w:val="20"/>
          <w:szCs w:val="20"/>
          <w:lang w:val="es-ES"/>
        </w:rPr>
        <w:t>respecto de las medidas progresivas que hayan adoptado para asegurar el debido respeto de los derechos consagrados en el mismo Protocolo</w:t>
      </w:r>
      <w:r w:rsidRPr="00E757D1">
        <w:rPr>
          <w:rFonts w:ascii="Verdana" w:hAnsi="Verdana" w:cs="Arial"/>
          <w:iCs/>
          <w:sz w:val="20"/>
          <w:szCs w:val="20"/>
          <w:lang w:val="es-ES"/>
        </w:rPr>
        <w:t xml:space="preserve">”, en el tratamiento que el Consejo Interamericano Económico y Social y el Consejo Interamericano para la Educación, la Ciencia y la Cultura </w:t>
      </w:r>
      <w:r w:rsidRPr="00E757D1">
        <w:rPr>
          <w:rFonts w:ascii="Verdana" w:hAnsi="Verdana" w:cs="Arial"/>
          <w:sz w:val="20"/>
          <w:szCs w:val="20"/>
          <w:lang w:val="es-ES"/>
        </w:rPr>
        <w:t xml:space="preserve">de la </w:t>
      </w:r>
      <w:r w:rsidR="001D4F29" w:rsidRPr="00E757D1">
        <w:rPr>
          <w:rFonts w:ascii="Verdana" w:hAnsi="Verdana" w:cs="Arial"/>
          <w:sz w:val="20"/>
          <w:szCs w:val="20"/>
          <w:lang w:val="es-ES"/>
        </w:rPr>
        <w:t>O</w:t>
      </w:r>
      <w:r w:rsidRPr="00E757D1">
        <w:rPr>
          <w:rFonts w:ascii="Verdana" w:hAnsi="Verdana" w:cs="Arial"/>
          <w:sz w:val="20"/>
          <w:szCs w:val="20"/>
          <w:lang w:val="es-ES"/>
        </w:rPr>
        <w:t>rganización</w:t>
      </w:r>
      <w:r w:rsidRPr="00E757D1">
        <w:rPr>
          <w:rFonts w:ascii="Verdana" w:hAnsi="Verdana" w:cs="Arial"/>
          <w:sz w:val="20"/>
          <w:szCs w:val="20"/>
          <w:vertAlign w:val="superscript"/>
          <w:lang w:val="es-ES"/>
        </w:rPr>
        <w:t xml:space="preserve"> </w:t>
      </w:r>
      <w:r w:rsidRPr="00E757D1">
        <w:rPr>
          <w:rFonts w:ascii="Verdana" w:hAnsi="Verdana" w:cs="Arial"/>
          <w:sz w:val="20"/>
          <w:szCs w:val="20"/>
          <w:lang w:val="es-ES"/>
        </w:rPr>
        <w:t>le den a tales informes y en la opinión eventualmente que pueda proporcionar sobre el particular la Comisión</w:t>
      </w:r>
      <w:r w:rsidRPr="00E757D1">
        <w:rPr>
          <w:rFonts w:ascii="Verdana" w:hAnsi="Verdana" w:cs="Arial"/>
          <w:sz w:val="20"/>
          <w:szCs w:val="20"/>
          <w:vertAlign w:val="superscript"/>
          <w:lang w:val="es-ES"/>
        </w:rPr>
        <w:footnoteReference w:id="85"/>
      </w:r>
      <w:r w:rsidRPr="00E757D1">
        <w:rPr>
          <w:rFonts w:ascii="Verdana" w:hAnsi="Verdana" w:cs="Arial"/>
          <w:sz w:val="20"/>
          <w:szCs w:val="20"/>
          <w:lang w:val="es-ES"/>
        </w:rPr>
        <w:t xml:space="preserve">. Nótese que esta disposición es similar al proyecto de artículo 27 de la Convención, que fue rechazado por la Conferencia correspondiente. </w:t>
      </w:r>
    </w:p>
    <w:p w14:paraId="428AED50" w14:textId="77777777" w:rsidR="00E9106E" w:rsidRPr="00E757D1" w:rsidRDefault="00E9106E" w:rsidP="00DA5A31">
      <w:pPr>
        <w:spacing w:line="276" w:lineRule="auto"/>
        <w:ind w:left="-270" w:right="-162"/>
        <w:contextualSpacing/>
        <w:rPr>
          <w:rFonts w:ascii="Verdana" w:hAnsi="Verdana" w:cs="Arial"/>
          <w:sz w:val="20"/>
          <w:szCs w:val="20"/>
          <w:lang w:val="es-ES"/>
        </w:rPr>
      </w:pPr>
    </w:p>
    <w:p w14:paraId="454D44B2" w14:textId="7A060506" w:rsidR="004565E4"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cs="Arial"/>
          <w:sz w:val="20"/>
          <w:szCs w:val="20"/>
          <w:lang w:val="es-ES"/>
        </w:rPr>
        <w:t>Todo lo anteriormente reseñado significa, primeramente, que, para los Estados Partes del Protocolo, la vigencia de los derechos económicos, sociales y culturales</w:t>
      </w:r>
      <w:r w:rsidRPr="00E757D1">
        <w:rPr>
          <w:rFonts w:ascii="Verdana" w:hAnsi="Verdana" w:cs="Arial"/>
          <w:i/>
          <w:sz w:val="20"/>
          <w:szCs w:val="20"/>
          <w:lang w:val="es-ES"/>
        </w:rPr>
        <w:t xml:space="preserve"> </w:t>
      </w:r>
      <w:r w:rsidRPr="00E757D1">
        <w:rPr>
          <w:rFonts w:ascii="Verdana" w:hAnsi="Verdana" w:cs="Arial"/>
          <w:iCs/>
          <w:sz w:val="20"/>
          <w:szCs w:val="20"/>
          <w:lang w:val="es-ES"/>
        </w:rPr>
        <w:t>es de naturaleza progresiva,</w:t>
      </w:r>
      <w:r w:rsidRPr="00E757D1">
        <w:rPr>
          <w:rFonts w:ascii="Verdana" w:hAnsi="Verdana" w:cs="Arial"/>
          <w:i/>
          <w:sz w:val="20"/>
          <w:szCs w:val="20"/>
          <w:lang w:val="es-ES"/>
        </w:rPr>
        <w:t xml:space="preserve"> </w:t>
      </w:r>
      <w:r w:rsidRPr="00E757D1">
        <w:rPr>
          <w:rFonts w:ascii="Verdana" w:hAnsi="Verdana" w:cs="Arial"/>
          <w:sz w:val="20"/>
          <w:szCs w:val="20"/>
          <w:lang w:val="es-ES"/>
        </w:rPr>
        <w:t>vale decir,</w:t>
      </w:r>
      <w:r w:rsidRPr="00E757D1">
        <w:rPr>
          <w:rFonts w:ascii="Verdana" w:hAnsi="Verdana" w:cs="Arial"/>
          <w:i/>
          <w:sz w:val="20"/>
          <w:szCs w:val="20"/>
          <w:lang w:val="es-ES"/>
        </w:rPr>
        <w:t xml:space="preserve"> a contrario sensu, </w:t>
      </w:r>
      <w:r w:rsidRPr="00E757D1">
        <w:rPr>
          <w:rFonts w:ascii="Verdana" w:hAnsi="Verdana" w:cs="Arial"/>
          <w:sz w:val="20"/>
          <w:szCs w:val="20"/>
          <w:lang w:val="es-ES"/>
        </w:rPr>
        <w:t>aquellos no se encuentran vigentes o, al menos, plenamente vigentes.</w:t>
      </w:r>
    </w:p>
    <w:p w14:paraId="53FBAE8A" w14:textId="77777777" w:rsidR="001C1C29" w:rsidRPr="00E757D1" w:rsidRDefault="001C1C29" w:rsidP="001C1C29">
      <w:pPr>
        <w:spacing w:line="276" w:lineRule="auto"/>
        <w:ind w:left="0" w:right="-162"/>
        <w:contextualSpacing/>
        <w:rPr>
          <w:rFonts w:ascii="Verdana" w:eastAsia="Batang" w:hAnsi="Verdana"/>
          <w:sz w:val="20"/>
          <w:szCs w:val="20"/>
          <w:lang w:val="es-ES"/>
        </w:rPr>
      </w:pPr>
    </w:p>
    <w:p w14:paraId="6707242D" w14:textId="172E7B86" w:rsidR="004565E4"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cs="Arial"/>
          <w:sz w:val="20"/>
          <w:szCs w:val="20"/>
          <w:lang w:val="es-ES"/>
        </w:rPr>
        <w:t>En segundo término y, en consecuencia, ello importa, para los aludidos Estados, que lo dispuesto en el 26</w:t>
      </w:r>
      <w:r w:rsidR="00AE26C7" w:rsidRPr="00E757D1">
        <w:rPr>
          <w:rFonts w:ascii="Verdana" w:hAnsi="Verdana" w:cs="Arial"/>
          <w:sz w:val="20"/>
          <w:szCs w:val="20"/>
          <w:lang w:val="es-ES"/>
        </w:rPr>
        <w:t xml:space="preserve"> </w:t>
      </w:r>
      <w:r w:rsidRPr="00E757D1">
        <w:rPr>
          <w:rFonts w:ascii="Verdana" w:hAnsi="Verdana" w:cs="Arial"/>
          <w:sz w:val="20"/>
          <w:szCs w:val="20"/>
          <w:lang w:val="es-ES"/>
        </w:rPr>
        <w:t>implica que los citados derechos</w:t>
      </w:r>
      <w:r w:rsidR="00AE26C7" w:rsidRPr="00E757D1">
        <w:rPr>
          <w:rFonts w:ascii="Verdana" w:hAnsi="Verdana" w:cs="Arial"/>
          <w:sz w:val="20"/>
          <w:szCs w:val="20"/>
          <w:lang w:val="es-ES"/>
        </w:rPr>
        <w:t xml:space="preserve"> no</w:t>
      </w:r>
      <w:r w:rsidRPr="00E757D1">
        <w:rPr>
          <w:rFonts w:ascii="Verdana" w:hAnsi="Verdana" w:cs="Arial"/>
          <w:sz w:val="20"/>
          <w:szCs w:val="20"/>
          <w:lang w:val="es-ES"/>
        </w:rPr>
        <w:t xml:space="preserve"> se encuentren comprendidos entre los que se aplica el sistema de protección previsto en la Convención o que se estén vigentes</w:t>
      </w:r>
      <w:r w:rsidR="00AE26C7" w:rsidRPr="00E757D1">
        <w:rPr>
          <w:rFonts w:ascii="Verdana" w:hAnsi="Verdana" w:cs="Arial"/>
          <w:sz w:val="20"/>
          <w:szCs w:val="20"/>
          <w:lang w:val="es-ES"/>
        </w:rPr>
        <w:t>, dado que, en caso contrario, la adopción del Protocolo hubiese sido innecesaria.</w:t>
      </w:r>
      <w:r w:rsidRPr="00E757D1">
        <w:rPr>
          <w:rFonts w:ascii="Verdana" w:hAnsi="Verdana" w:cs="Arial"/>
          <w:sz w:val="20"/>
          <w:szCs w:val="20"/>
          <w:lang w:val="es-ES"/>
        </w:rPr>
        <w:t xml:space="preserve"> </w:t>
      </w:r>
    </w:p>
    <w:p w14:paraId="1803B482" w14:textId="77777777" w:rsidR="004565E4" w:rsidRPr="00E757D1" w:rsidRDefault="004565E4" w:rsidP="00DA5A31">
      <w:pPr>
        <w:pStyle w:val="Prrafodelista"/>
        <w:ind w:left="-270" w:right="-162"/>
        <w:rPr>
          <w:rFonts w:ascii="Verdana" w:eastAsia="Batang" w:hAnsi="Verdana"/>
          <w:sz w:val="20"/>
          <w:szCs w:val="20"/>
          <w:lang w:val="es-ES"/>
        </w:rPr>
      </w:pPr>
    </w:p>
    <w:p w14:paraId="3A256453" w14:textId="1241F4B5" w:rsidR="00E9106E"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sz w:val="20"/>
          <w:szCs w:val="20"/>
          <w:lang w:val="es-ES"/>
        </w:rPr>
        <w:t xml:space="preserve">Téngase presente también que en la OEA se creó el </w:t>
      </w:r>
      <w:r w:rsidRPr="00E757D1">
        <w:rPr>
          <w:rFonts w:ascii="Verdana" w:hAnsi="Verdana" w:cs="Arial"/>
          <w:sz w:val="20"/>
          <w:szCs w:val="20"/>
          <w:shd w:val="clear" w:color="auto" w:fill="FFFFFF"/>
          <w:lang w:val="es-ES"/>
        </w:rPr>
        <w:t>Grupo de Trabajo para Analizar los informes Periódicos de los Estados Partes del Protocolo</w:t>
      </w:r>
      <w:r w:rsidRPr="00E757D1">
        <w:rPr>
          <w:rFonts w:ascii="Verdana" w:hAnsi="Verdana" w:cs="Arial"/>
          <w:sz w:val="20"/>
          <w:szCs w:val="20"/>
          <w:shd w:val="clear" w:color="auto" w:fill="FFFFFF"/>
          <w:vertAlign w:val="superscript"/>
          <w:lang w:val="es-ES"/>
        </w:rPr>
        <w:footnoteReference w:id="86"/>
      </w:r>
      <w:r w:rsidRPr="00E757D1">
        <w:rPr>
          <w:rFonts w:ascii="Verdana" w:hAnsi="Verdana" w:cs="Arial"/>
          <w:sz w:val="20"/>
          <w:szCs w:val="20"/>
          <w:shd w:val="clear" w:color="auto" w:fill="FFFFFF"/>
          <w:lang w:val="es-ES"/>
        </w:rPr>
        <w:t>, como mecanismo para dar seguimiento al cumplimiento de los compromisos contraídos por dicho instrumento en la materia. Ello confirma que, indudablemente, la voluntad de los mencionados Estados ha sido la de crear un mecanismo no jurisdiccional para la supervisión internacional del cumplimiento del P</w:t>
      </w:r>
      <w:r w:rsidR="00AE26C7" w:rsidRPr="00E757D1">
        <w:rPr>
          <w:rFonts w:ascii="Verdana" w:hAnsi="Verdana" w:cs="Arial"/>
          <w:sz w:val="20"/>
          <w:szCs w:val="20"/>
          <w:shd w:val="clear" w:color="auto" w:fill="FFFFFF"/>
          <w:lang w:val="es-ES"/>
        </w:rPr>
        <w:t>rotocolo</w:t>
      </w:r>
      <w:r w:rsidRPr="00E757D1">
        <w:rPr>
          <w:rFonts w:ascii="Verdana" w:hAnsi="Verdana" w:cs="Arial"/>
          <w:sz w:val="20"/>
          <w:szCs w:val="20"/>
          <w:shd w:val="clear" w:color="auto" w:fill="FFFFFF"/>
          <w:lang w:val="es-ES"/>
        </w:rPr>
        <w:t>.</w:t>
      </w:r>
    </w:p>
    <w:p w14:paraId="4786A363" w14:textId="77777777" w:rsidR="00E9106E" w:rsidRPr="00E757D1" w:rsidRDefault="00E9106E" w:rsidP="00DA5A31">
      <w:pPr>
        <w:spacing w:line="276" w:lineRule="auto"/>
        <w:ind w:left="-270" w:right="-162"/>
        <w:contextualSpacing/>
        <w:rPr>
          <w:rFonts w:ascii="Verdana" w:eastAsia="Batang" w:hAnsi="Verdana"/>
          <w:sz w:val="20"/>
          <w:szCs w:val="20"/>
          <w:lang w:val="es-ES"/>
        </w:rPr>
      </w:pPr>
    </w:p>
    <w:p w14:paraId="1336E1A3" w14:textId="77777777" w:rsidR="00E9106E"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sz w:val="20"/>
          <w:szCs w:val="20"/>
          <w:lang w:val="es-ES"/>
        </w:rPr>
        <w:t xml:space="preserve">La única excepción a ese régimen está prevista en el numeral 6 del artículo 19, a saber, que </w:t>
      </w:r>
    </w:p>
    <w:p w14:paraId="3B7AE76F" w14:textId="77777777" w:rsidR="00E9106E" w:rsidRPr="00E757D1" w:rsidRDefault="00E9106E" w:rsidP="00DA5A31">
      <w:pPr>
        <w:spacing w:line="276" w:lineRule="auto"/>
        <w:ind w:left="-270" w:right="-162"/>
        <w:contextualSpacing/>
        <w:rPr>
          <w:rFonts w:ascii="Verdana" w:eastAsia="Batang" w:hAnsi="Verdana"/>
          <w:sz w:val="20"/>
          <w:szCs w:val="20"/>
          <w:lang w:val="es-ES"/>
        </w:rPr>
      </w:pPr>
    </w:p>
    <w:p w14:paraId="750D5028" w14:textId="77777777" w:rsidR="00E9106E" w:rsidRPr="00E757D1" w:rsidRDefault="00E9106E" w:rsidP="00176740">
      <w:pPr>
        <w:spacing w:line="276" w:lineRule="auto"/>
        <w:ind w:left="720" w:right="-162"/>
        <w:contextualSpacing/>
        <w:rPr>
          <w:rFonts w:ascii="Verdana" w:eastAsia="Batang" w:hAnsi="Verdana"/>
          <w:sz w:val="18"/>
          <w:szCs w:val="18"/>
          <w:lang w:val="es-ES"/>
        </w:rPr>
      </w:pPr>
      <w:r w:rsidRPr="00E757D1">
        <w:rPr>
          <w:rFonts w:ascii="Verdana" w:hAnsi="Verdana"/>
          <w:i/>
          <w:iCs/>
          <w:sz w:val="18"/>
          <w:szCs w:val="18"/>
          <w:lang w:val="es-ES"/>
        </w:rPr>
        <w:t>“en el caso de que los derechos establecidos en el párrafo a) del artículo 8</w:t>
      </w:r>
      <w:r w:rsidRPr="00E757D1">
        <w:rPr>
          <w:rFonts w:ascii="Verdana" w:hAnsi="Verdana"/>
          <w:i/>
          <w:iCs/>
          <w:sz w:val="18"/>
          <w:szCs w:val="18"/>
          <w:vertAlign w:val="superscript"/>
          <w:lang w:val="es-ES"/>
        </w:rPr>
        <w:footnoteReference w:id="87"/>
      </w:r>
      <w:r w:rsidRPr="00E757D1">
        <w:rPr>
          <w:rFonts w:ascii="Verdana" w:hAnsi="Verdana"/>
          <w:i/>
          <w:iCs/>
          <w:sz w:val="18"/>
          <w:szCs w:val="18"/>
          <w:lang w:val="es-ES"/>
        </w:rPr>
        <w:t xml:space="preserve"> y en el artículo 13</w:t>
      </w:r>
      <w:r w:rsidRPr="00E757D1">
        <w:rPr>
          <w:rFonts w:ascii="Verdana" w:hAnsi="Verdana"/>
          <w:i/>
          <w:iCs/>
          <w:sz w:val="18"/>
          <w:szCs w:val="18"/>
          <w:vertAlign w:val="superscript"/>
          <w:lang w:val="es-ES"/>
        </w:rPr>
        <w:footnoteReference w:id="88"/>
      </w:r>
      <w:r w:rsidRPr="00E757D1">
        <w:rPr>
          <w:rFonts w:ascii="Verdana" w:hAnsi="Verdana"/>
          <w:i/>
          <w:iCs/>
          <w:sz w:val="18"/>
          <w:szCs w:val="18"/>
          <w:lang w:val="es-ES"/>
        </w:rPr>
        <w:t xml:space="preserve">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r w:rsidRPr="00E757D1">
        <w:rPr>
          <w:rFonts w:ascii="Verdana" w:hAnsi="Verdana"/>
          <w:sz w:val="18"/>
          <w:szCs w:val="18"/>
          <w:lang w:val="es-ES"/>
        </w:rPr>
        <w:t>.”</w:t>
      </w:r>
    </w:p>
    <w:p w14:paraId="1AC90FA3" w14:textId="77777777" w:rsidR="00E9106E" w:rsidRPr="00E757D1" w:rsidRDefault="00E9106E" w:rsidP="0017788F">
      <w:pPr>
        <w:spacing w:line="276" w:lineRule="auto"/>
        <w:ind w:left="810" w:right="-162"/>
        <w:contextualSpacing/>
        <w:rPr>
          <w:rFonts w:ascii="Verdana" w:eastAsia="Batang" w:hAnsi="Verdana" w:cs="Arial"/>
          <w:sz w:val="20"/>
          <w:szCs w:val="20"/>
          <w:lang w:val="es-ES"/>
        </w:rPr>
      </w:pPr>
    </w:p>
    <w:p w14:paraId="7240B3E2" w14:textId="56412069" w:rsidR="004565E4" w:rsidRPr="00E757D1" w:rsidRDefault="00AE26C7"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cs="Arial"/>
          <w:sz w:val="20"/>
          <w:szCs w:val="20"/>
          <w:lang w:val="es-ES"/>
        </w:rPr>
        <w:lastRenderedPageBreak/>
        <w:t>L</w:t>
      </w:r>
      <w:r w:rsidR="00E9106E" w:rsidRPr="00E757D1">
        <w:rPr>
          <w:rFonts w:ascii="Verdana" w:hAnsi="Verdana" w:cs="Arial"/>
          <w:sz w:val="20"/>
          <w:szCs w:val="20"/>
          <w:lang w:val="es-ES"/>
        </w:rPr>
        <w:t>o indicado precedentemente implica</w:t>
      </w:r>
      <w:bookmarkStart w:id="30" w:name="_Hlk31857185"/>
      <w:r w:rsidR="00E9106E" w:rsidRPr="00E757D1">
        <w:rPr>
          <w:rFonts w:ascii="Verdana" w:hAnsi="Verdana" w:cs="Arial"/>
          <w:sz w:val="20"/>
          <w:szCs w:val="20"/>
          <w:lang w:val="es-ES"/>
        </w:rPr>
        <w:t xml:space="preserve"> que</w:t>
      </w:r>
      <w:r w:rsidR="00E73E71" w:rsidRPr="00E757D1">
        <w:rPr>
          <w:rFonts w:ascii="Verdana" w:hAnsi="Verdana" w:cs="Arial"/>
          <w:sz w:val="20"/>
          <w:szCs w:val="20"/>
          <w:lang w:val="es-ES"/>
        </w:rPr>
        <w:t>,</w:t>
      </w:r>
      <w:r w:rsidR="00E9106E" w:rsidRPr="00E757D1">
        <w:rPr>
          <w:rFonts w:ascii="Verdana" w:hAnsi="Verdana" w:cs="Arial"/>
          <w:sz w:val="20"/>
          <w:szCs w:val="20"/>
          <w:lang w:val="es-ES"/>
        </w:rPr>
        <w:t xml:space="preserve"> únicamente en el evento de violación de los derechos referidos a los sindicatos y a la educación</w:t>
      </w:r>
      <w:bookmarkEnd w:id="30"/>
      <w:r w:rsidR="00E9106E" w:rsidRPr="00E757D1">
        <w:rPr>
          <w:rFonts w:ascii="Verdana" w:hAnsi="Verdana" w:cs="Arial"/>
          <w:sz w:val="20"/>
          <w:szCs w:val="20"/>
          <w:lang w:val="es-ES"/>
        </w:rPr>
        <w:t>, los pertinentes casos pueden ser justiciables ante la Corte. Respecto de la violación de los demás derechos, entre los que est</w:t>
      </w:r>
      <w:r w:rsidR="00124D54" w:rsidRPr="00E757D1">
        <w:rPr>
          <w:rFonts w:ascii="Verdana" w:hAnsi="Verdana" w:cs="Arial"/>
          <w:sz w:val="20"/>
          <w:szCs w:val="20"/>
          <w:lang w:val="es-ES"/>
        </w:rPr>
        <w:t>aría el</w:t>
      </w:r>
      <w:r w:rsidR="0009413D" w:rsidRPr="00E757D1">
        <w:rPr>
          <w:rFonts w:ascii="Verdana" w:hAnsi="Verdana" w:cs="Arial"/>
          <w:sz w:val="20"/>
          <w:szCs w:val="20"/>
          <w:lang w:val="es-ES"/>
        </w:rPr>
        <w:t xml:space="preserve"> </w:t>
      </w:r>
      <w:r w:rsidR="0009413D" w:rsidRPr="00E757D1">
        <w:rPr>
          <w:rFonts w:ascii="Verdana" w:eastAsia="Batang" w:hAnsi="Verdana"/>
          <w:bCs/>
          <w:sz w:val="20"/>
          <w:szCs w:val="20"/>
          <w:lang w:val="es-ES"/>
        </w:rPr>
        <w:t>derecho</w:t>
      </w:r>
      <w:r w:rsidR="0009413D" w:rsidRPr="00E757D1">
        <w:rPr>
          <w:rFonts w:ascii="Verdana" w:hAnsi="Verdana"/>
          <w:sz w:val="20"/>
          <w:szCs w:val="20"/>
          <w:lang w:val="es-ES"/>
        </w:rPr>
        <w:t xml:space="preserve"> a condiciones equitativas y satisfactorias que garanticen la seguridad, la salud y la higiene </w:t>
      </w:r>
      <w:r w:rsidR="00947ECC">
        <w:rPr>
          <w:rFonts w:ascii="Verdana" w:hAnsi="Verdana"/>
          <w:sz w:val="20"/>
          <w:szCs w:val="20"/>
          <w:lang w:val="es-ES"/>
        </w:rPr>
        <w:t xml:space="preserve">en </w:t>
      </w:r>
      <w:r w:rsidR="0009413D" w:rsidRPr="00E757D1">
        <w:rPr>
          <w:rFonts w:ascii="Verdana" w:hAnsi="Verdana"/>
          <w:sz w:val="20"/>
          <w:szCs w:val="20"/>
          <w:lang w:val="es-ES"/>
        </w:rPr>
        <w:t>el trabajo</w:t>
      </w:r>
      <w:r w:rsidR="00E9106E" w:rsidRPr="00E757D1">
        <w:rPr>
          <w:rFonts w:ascii="Verdana" w:hAnsi="Verdana" w:cs="Arial"/>
          <w:sz w:val="20"/>
          <w:szCs w:val="20"/>
          <w:lang w:val="es-ES"/>
        </w:rPr>
        <w:t xml:space="preserve">, opera, por el contrario, sólo el sistema de informes establecido en el artículo 19 del Protocolo. </w:t>
      </w:r>
    </w:p>
    <w:p w14:paraId="72327F41" w14:textId="77777777" w:rsidR="004565E4" w:rsidRPr="00E757D1" w:rsidRDefault="004565E4" w:rsidP="00DA5A31">
      <w:pPr>
        <w:spacing w:line="276" w:lineRule="auto"/>
        <w:ind w:left="-270" w:right="-162"/>
        <w:contextualSpacing/>
        <w:rPr>
          <w:rFonts w:ascii="Verdana" w:eastAsia="Batang" w:hAnsi="Verdana"/>
          <w:sz w:val="20"/>
          <w:szCs w:val="20"/>
          <w:lang w:val="es-ES"/>
        </w:rPr>
      </w:pPr>
    </w:p>
    <w:p w14:paraId="2CF765D5" w14:textId="59A6D6FD" w:rsidR="00AA40B9" w:rsidRPr="00E757D1" w:rsidRDefault="00AE26C7"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Times" w:hAnsi="Verdana" w:cs="Arial"/>
          <w:sz w:val="20"/>
          <w:szCs w:val="20"/>
          <w:lang w:val="es-ES"/>
        </w:rPr>
        <w:t>Por ende</w:t>
      </w:r>
      <w:r w:rsidR="00E9106E" w:rsidRPr="00E757D1">
        <w:rPr>
          <w:rFonts w:ascii="Verdana" w:eastAsia="Times" w:hAnsi="Verdana" w:cs="Arial"/>
          <w:sz w:val="20"/>
          <w:szCs w:val="20"/>
          <w:lang w:val="es-ES"/>
        </w:rPr>
        <w:t>, el Protocolo es una enmienda</w:t>
      </w:r>
      <w:r w:rsidR="0009413D" w:rsidRPr="00E757D1">
        <w:rPr>
          <w:rFonts w:ascii="Verdana" w:eastAsia="Times" w:hAnsi="Verdana" w:cs="Arial"/>
          <w:sz w:val="20"/>
          <w:szCs w:val="20"/>
          <w:lang w:val="es-ES"/>
        </w:rPr>
        <w:t xml:space="preserve"> a la Convención</w:t>
      </w:r>
      <w:r w:rsidR="00E9106E" w:rsidRPr="00E757D1">
        <w:rPr>
          <w:rFonts w:ascii="Verdana" w:eastAsia="Times" w:hAnsi="Verdana" w:cs="Arial"/>
          <w:sz w:val="20"/>
          <w:szCs w:val="20"/>
          <w:lang w:val="es-ES"/>
        </w:rPr>
        <w:t xml:space="preserve">. Así se desprende de su propio texto, </w:t>
      </w:r>
      <w:r w:rsidR="0009413D" w:rsidRPr="00E757D1">
        <w:rPr>
          <w:rFonts w:ascii="Verdana" w:eastAsia="Times" w:hAnsi="Verdana" w:cs="Arial"/>
          <w:sz w:val="20"/>
          <w:szCs w:val="20"/>
          <w:lang w:val="es-ES"/>
        </w:rPr>
        <w:t xml:space="preserve">al considerarse como Protocolo, </w:t>
      </w:r>
      <w:r w:rsidR="00E9106E" w:rsidRPr="00E757D1">
        <w:rPr>
          <w:rFonts w:ascii="Verdana" w:eastAsia="Times" w:hAnsi="Verdana" w:cs="Arial"/>
          <w:sz w:val="20"/>
          <w:szCs w:val="20"/>
          <w:lang w:val="es-ES"/>
        </w:rPr>
        <w:t xml:space="preserve">figura </w:t>
      </w:r>
      <w:r w:rsidR="0009413D" w:rsidRPr="00E757D1">
        <w:rPr>
          <w:rFonts w:ascii="Verdana" w:eastAsia="Times" w:hAnsi="Verdana" w:cs="Arial"/>
          <w:sz w:val="20"/>
          <w:szCs w:val="20"/>
          <w:lang w:val="es-ES"/>
        </w:rPr>
        <w:t xml:space="preserve">expresamente </w:t>
      </w:r>
      <w:r w:rsidR="00E9106E" w:rsidRPr="00E757D1">
        <w:rPr>
          <w:rFonts w:ascii="Verdana" w:eastAsia="Times" w:hAnsi="Verdana" w:cs="Arial"/>
          <w:sz w:val="20"/>
          <w:szCs w:val="20"/>
          <w:lang w:val="es-ES"/>
        </w:rPr>
        <w:t xml:space="preserve">prevista en </w:t>
      </w:r>
      <w:r w:rsidR="0009413D" w:rsidRPr="00E757D1">
        <w:rPr>
          <w:rFonts w:ascii="Verdana" w:eastAsia="Times" w:hAnsi="Verdana" w:cs="Arial"/>
          <w:sz w:val="20"/>
          <w:szCs w:val="20"/>
          <w:lang w:val="es-ES"/>
        </w:rPr>
        <w:t>aquella</w:t>
      </w:r>
      <w:r w:rsidR="00BF2D3F" w:rsidRPr="00E757D1">
        <w:rPr>
          <w:rStyle w:val="Refdenotaalpie"/>
          <w:rFonts w:ascii="Verdana" w:eastAsia="Times" w:hAnsi="Verdana" w:cs="Arial"/>
          <w:sz w:val="20"/>
          <w:szCs w:val="20"/>
          <w:lang w:val="es-ES"/>
        </w:rPr>
        <w:footnoteReference w:id="89"/>
      </w:r>
      <w:r w:rsidR="00BF2D3F" w:rsidRPr="00E757D1">
        <w:rPr>
          <w:rFonts w:ascii="Verdana" w:eastAsia="Times" w:hAnsi="Verdana" w:cs="Arial"/>
          <w:sz w:val="20"/>
          <w:szCs w:val="20"/>
          <w:lang w:val="es-ES"/>
        </w:rPr>
        <w:t xml:space="preserve">. </w:t>
      </w:r>
      <w:r w:rsidR="00E9106E" w:rsidRPr="00E757D1">
        <w:rPr>
          <w:rFonts w:ascii="Verdana" w:hAnsi="Verdana"/>
          <w:sz w:val="20"/>
          <w:szCs w:val="20"/>
          <w:lang w:val="es-ES"/>
        </w:rPr>
        <w:t>Procede resaltar el hecho de que</w:t>
      </w:r>
      <w:r w:rsidR="00E73E71" w:rsidRPr="00E757D1">
        <w:rPr>
          <w:rFonts w:ascii="Verdana" w:hAnsi="Verdana"/>
          <w:sz w:val="20"/>
          <w:szCs w:val="20"/>
          <w:lang w:val="es-ES"/>
        </w:rPr>
        <w:t>,</w:t>
      </w:r>
      <w:r w:rsidR="00E9106E" w:rsidRPr="00E757D1">
        <w:rPr>
          <w:rFonts w:ascii="Verdana" w:hAnsi="Verdana"/>
          <w:sz w:val="20"/>
          <w:szCs w:val="20"/>
          <w:lang w:val="es-ES"/>
        </w:rPr>
        <w:t xml:space="preserve"> e</w:t>
      </w:r>
      <w:r w:rsidRPr="00E757D1">
        <w:rPr>
          <w:rFonts w:ascii="Verdana" w:hAnsi="Verdana"/>
          <w:sz w:val="20"/>
          <w:szCs w:val="20"/>
          <w:lang w:val="es-ES"/>
        </w:rPr>
        <w:t xml:space="preserve">n su </w:t>
      </w:r>
      <w:r w:rsidR="0009413D" w:rsidRPr="00E757D1">
        <w:rPr>
          <w:rFonts w:ascii="Verdana" w:hAnsi="Verdana"/>
          <w:sz w:val="20"/>
          <w:szCs w:val="20"/>
          <w:lang w:val="es-ES"/>
        </w:rPr>
        <w:t>Preámbulo</w:t>
      </w:r>
      <w:r w:rsidR="00E73E71" w:rsidRPr="00E757D1">
        <w:rPr>
          <w:rFonts w:ascii="Verdana" w:hAnsi="Verdana"/>
          <w:sz w:val="20"/>
          <w:szCs w:val="20"/>
          <w:lang w:val="es-ES"/>
        </w:rPr>
        <w:t xml:space="preserve">, </w:t>
      </w:r>
      <w:r w:rsidR="0009413D" w:rsidRPr="00E757D1">
        <w:rPr>
          <w:rFonts w:ascii="Verdana" w:hAnsi="Verdana"/>
          <w:sz w:val="20"/>
          <w:szCs w:val="20"/>
          <w:lang w:val="es-ES"/>
        </w:rPr>
        <w:t>se deja constancia de</w:t>
      </w:r>
      <w:r w:rsidR="00E9106E" w:rsidRPr="00E757D1">
        <w:rPr>
          <w:rFonts w:ascii="Verdana" w:hAnsi="Verdana"/>
          <w:sz w:val="20"/>
          <w:szCs w:val="20"/>
          <w:lang w:val="es-ES"/>
        </w:rPr>
        <w:t xml:space="preserve"> que se adopta considerando que la Convención contempla esa posibilidad</w:t>
      </w:r>
      <w:r w:rsidR="00E9106E" w:rsidRPr="00E757D1">
        <w:rPr>
          <w:rFonts w:ascii="Verdana" w:hAnsi="Verdana"/>
          <w:sz w:val="20"/>
          <w:szCs w:val="20"/>
          <w:vertAlign w:val="superscript"/>
          <w:lang w:val="es-ES"/>
        </w:rPr>
        <w:footnoteReference w:id="90"/>
      </w:r>
      <w:r w:rsidR="00E9106E" w:rsidRPr="00E757D1">
        <w:rPr>
          <w:rFonts w:ascii="Verdana" w:hAnsi="Verdana"/>
          <w:sz w:val="20"/>
          <w:szCs w:val="20"/>
          <w:lang w:val="es-ES"/>
        </w:rPr>
        <w:t>.</w:t>
      </w:r>
      <w:r w:rsidR="00E9106E" w:rsidRPr="00E757D1">
        <w:rPr>
          <w:rFonts w:ascii="Verdana" w:eastAsia="Times" w:hAnsi="Verdana" w:cs="Arial"/>
          <w:sz w:val="20"/>
          <w:szCs w:val="20"/>
          <w:lang w:val="es-ES"/>
        </w:rPr>
        <w:t xml:space="preserve"> Se trata, pues, de un</w:t>
      </w:r>
      <w:r w:rsidR="00E9106E" w:rsidRPr="00E757D1">
        <w:rPr>
          <w:rFonts w:ascii="Verdana" w:hAnsi="Verdana"/>
          <w:sz w:val="20"/>
          <w:szCs w:val="20"/>
          <w:lang w:val="es-ES"/>
        </w:rPr>
        <w:t xml:space="preserve"> “</w:t>
      </w:r>
      <w:r w:rsidR="00E9106E" w:rsidRPr="00947ECC">
        <w:rPr>
          <w:rFonts w:ascii="Verdana" w:hAnsi="Verdana"/>
          <w:i/>
          <w:iCs/>
          <w:sz w:val="20"/>
          <w:szCs w:val="20"/>
          <w:lang w:val="es-ES"/>
        </w:rPr>
        <w:t>protocolo adicional</w:t>
      </w:r>
      <w:r w:rsidR="00E9106E" w:rsidRPr="00E757D1">
        <w:rPr>
          <w:rFonts w:ascii="Verdana" w:hAnsi="Verdana"/>
          <w:sz w:val="20"/>
          <w:szCs w:val="20"/>
          <w:lang w:val="es-ES"/>
        </w:rPr>
        <w:t xml:space="preserve">” </w:t>
      </w:r>
      <w:r w:rsidRPr="00E757D1">
        <w:rPr>
          <w:rFonts w:ascii="Verdana" w:hAnsi="Verdana"/>
          <w:sz w:val="20"/>
          <w:szCs w:val="20"/>
          <w:lang w:val="es-ES"/>
        </w:rPr>
        <w:t xml:space="preserve">a ella </w:t>
      </w:r>
      <w:r w:rsidR="00E9106E" w:rsidRPr="00E757D1">
        <w:rPr>
          <w:rFonts w:ascii="Verdana" w:hAnsi="Verdana"/>
          <w:sz w:val="20"/>
          <w:szCs w:val="20"/>
          <w:lang w:val="es-ES"/>
        </w:rPr>
        <w:t>suscrito “</w:t>
      </w:r>
      <w:r w:rsidR="00E9106E" w:rsidRPr="00E757D1">
        <w:rPr>
          <w:rFonts w:ascii="Verdana" w:hAnsi="Verdana"/>
          <w:i/>
          <w:iCs/>
          <w:sz w:val="20"/>
          <w:szCs w:val="20"/>
          <w:lang w:val="es-ES"/>
        </w:rPr>
        <w:t xml:space="preserve">con la </w:t>
      </w:r>
      <w:bookmarkStart w:id="31" w:name="_Hlk31866281"/>
      <w:r w:rsidR="00E9106E" w:rsidRPr="00E757D1">
        <w:rPr>
          <w:rFonts w:ascii="Verdana" w:hAnsi="Verdana"/>
          <w:i/>
          <w:iCs/>
          <w:sz w:val="20"/>
          <w:szCs w:val="20"/>
          <w:lang w:val="es-ES"/>
        </w:rPr>
        <w:t>finalidad de incluir progresivamente en el régimen de protección de la misma otros derechos y libertades</w:t>
      </w:r>
      <w:bookmarkEnd w:id="31"/>
      <w:r w:rsidR="00E9106E" w:rsidRPr="00E757D1">
        <w:rPr>
          <w:rFonts w:ascii="Verdana" w:hAnsi="Verdana"/>
          <w:sz w:val="20"/>
          <w:szCs w:val="20"/>
          <w:lang w:val="es-ES"/>
        </w:rPr>
        <w:t xml:space="preserve">”, los que, por tanto, no </w:t>
      </w:r>
      <w:r w:rsidR="00FC27ED" w:rsidRPr="00E757D1">
        <w:rPr>
          <w:rFonts w:ascii="Verdana" w:hAnsi="Verdana"/>
          <w:sz w:val="20"/>
          <w:szCs w:val="20"/>
          <w:lang w:val="es-ES"/>
        </w:rPr>
        <w:t>los incluía</w:t>
      </w:r>
      <w:r w:rsidR="00E9106E" w:rsidRPr="00E757D1">
        <w:rPr>
          <w:rFonts w:ascii="Verdana" w:hAnsi="Verdana"/>
          <w:sz w:val="20"/>
          <w:szCs w:val="20"/>
          <w:lang w:val="es-ES"/>
        </w:rPr>
        <w:t xml:space="preserve">. </w:t>
      </w:r>
    </w:p>
    <w:p w14:paraId="2A0A643D" w14:textId="77777777" w:rsidR="00AA40B9" w:rsidRPr="00E757D1" w:rsidRDefault="00AA40B9" w:rsidP="00DA5A31">
      <w:pPr>
        <w:pStyle w:val="Prrafodelista"/>
        <w:ind w:left="-270" w:right="-162"/>
        <w:rPr>
          <w:rFonts w:ascii="Verdana" w:hAnsi="Verdana"/>
          <w:sz w:val="20"/>
          <w:szCs w:val="20"/>
          <w:lang w:val="es-ES"/>
        </w:rPr>
      </w:pPr>
    </w:p>
    <w:p w14:paraId="0BC60871" w14:textId="6FE8C740" w:rsidR="00AA40B9"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sz w:val="20"/>
          <w:szCs w:val="20"/>
          <w:lang w:val="es-ES"/>
        </w:rPr>
        <w:t xml:space="preserve">De manera, en consecuencia, que dicho instrumento, al establecer en su artículo 19 la competencia de la Corte para conocer las eventuales </w:t>
      </w:r>
      <w:r w:rsidRPr="00E757D1">
        <w:rPr>
          <w:rFonts w:ascii="Verdana" w:hAnsi="Verdana" w:cs="Arial"/>
          <w:sz w:val="20"/>
          <w:szCs w:val="20"/>
          <w:lang w:val="es-ES"/>
        </w:rPr>
        <w:t>violaciones de los derechos referidos a los sindicatos y a la educación, no está limitando a aquella</w:t>
      </w:r>
      <w:r w:rsidR="00E73E71" w:rsidRPr="00E757D1">
        <w:rPr>
          <w:rFonts w:ascii="Verdana" w:hAnsi="Verdana" w:cs="Arial"/>
          <w:sz w:val="20"/>
          <w:szCs w:val="20"/>
          <w:lang w:val="es-ES"/>
        </w:rPr>
        <w:t>,</w:t>
      </w:r>
      <w:r w:rsidRPr="00E757D1">
        <w:rPr>
          <w:rFonts w:ascii="Verdana" w:hAnsi="Verdana" w:cs="Arial"/>
          <w:sz w:val="20"/>
          <w:szCs w:val="20"/>
          <w:lang w:val="es-ES"/>
        </w:rPr>
        <w:t xml:space="preserve"> sino todo lo contrario, la está ampliando. De no existir el Protocolo, la Corte no podría conocer ni siquiera la eventual violación de esos derechos. </w:t>
      </w:r>
    </w:p>
    <w:p w14:paraId="473E9EFB" w14:textId="77777777" w:rsidR="00AA40B9" w:rsidRPr="00E757D1" w:rsidRDefault="00AA40B9" w:rsidP="00DA5A31">
      <w:pPr>
        <w:pStyle w:val="Prrafodelista"/>
        <w:ind w:left="-270" w:right="-162"/>
        <w:rPr>
          <w:rFonts w:ascii="Verdana" w:hAnsi="Verdana" w:cs="Arial"/>
          <w:sz w:val="20"/>
          <w:szCs w:val="20"/>
          <w:lang w:val="es-ES"/>
        </w:rPr>
      </w:pPr>
    </w:p>
    <w:p w14:paraId="7E41DA21" w14:textId="62CA6D41" w:rsidR="00AA40B9"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cs="Arial"/>
          <w:sz w:val="20"/>
          <w:szCs w:val="20"/>
          <w:lang w:val="es-ES"/>
        </w:rPr>
        <w:t>Todo lo precedentemente expuesto es, por ende, prueba más que evidente que, para los Estados Partes de</w:t>
      </w:r>
      <w:r w:rsidR="00FC27ED" w:rsidRPr="00E757D1">
        <w:rPr>
          <w:rFonts w:ascii="Verdana" w:hAnsi="Verdana" w:cs="Arial"/>
          <w:sz w:val="20"/>
          <w:szCs w:val="20"/>
          <w:lang w:val="es-ES"/>
        </w:rPr>
        <w:t xml:space="preserve">l </w:t>
      </w:r>
      <w:r w:rsidRPr="00E757D1">
        <w:rPr>
          <w:rFonts w:ascii="Verdana" w:hAnsi="Verdana" w:cs="Arial"/>
          <w:sz w:val="20"/>
          <w:szCs w:val="20"/>
          <w:lang w:val="es-ES"/>
        </w:rPr>
        <w:t xml:space="preserve">Protocolo, lo previsto en el artículo 26 de la Convención no puede ser interpretado en orden a que establece o reconoce derechos económicos, sociales o culturales ni que habilita para elevar un caso de violación de ellos a conocimiento de la Corte. </w:t>
      </w:r>
      <w:r w:rsidR="00FC27ED" w:rsidRPr="00E757D1">
        <w:rPr>
          <w:rFonts w:ascii="Verdana" w:hAnsi="Verdana" w:cs="Arial"/>
          <w:sz w:val="20"/>
          <w:szCs w:val="20"/>
          <w:lang w:val="es-ES"/>
        </w:rPr>
        <w:t>Se reitera que, s</w:t>
      </w:r>
      <w:r w:rsidRPr="00E757D1">
        <w:rPr>
          <w:rFonts w:ascii="Verdana" w:hAnsi="Verdana" w:cs="Arial"/>
          <w:sz w:val="20"/>
          <w:szCs w:val="20"/>
          <w:lang w:val="es-ES"/>
        </w:rPr>
        <w:t xml:space="preserve">i así lo hubiese establecido, obviamente no se hubiese celebrado </w:t>
      </w:r>
      <w:r w:rsidR="00FC27ED" w:rsidRPr="00E757D1">
        <w:rPr>
          <w:rFonts w:ascii="Verdana" w:hAnsi="Verdana" w:cs="Arial"/>
          <w:sz w:val="20"/>
          <w:szCs w:val="20"/>
          <w:lang w:val="es-ES"/>
        </w:rPr>
        <w:t xml:space="preserve">el </w:t>
      </w:r>
      <w:r w:rsidRPr="00E757D1">
        <w:rPr>
          <w:rFonts w:ascii="Verdana" w:hAnsi="Verdana" w:cs="Arial"/>
          <w:sz w:val="20"/>
          <w:szCs w:val="20"/>
          <w:lang w:val="es-ES"/>
        </w:rPr>
        <w:t>Protocolo. Es, por tal motivo, entonces, que ha sido necesaria su adopción. Su suscripción no se explicaría de otra manera</w:t>
      </w:r>
      <w:r w:rsidR="00DC74CA" w:rsidRPr="00E757D1">
        <w:rPr>
          <w:rFonts w:ascii="Verdana" w:hAnsi="Verdana" w:cs="Arial"/>
          <w:sz w:val="20"/>
          <w:szCs w:val="20"/>
          <w:lang w:val="es-ES"/>
        </w:rPr>
        <w:t>.</w:t>
      </w:r>
    </w:p>
    <w:p w14:paraId="3F5A2E62" w14:textId="77777777" w:rsidR="00AA40B9" w:rsidRPr="00E757D1" w:rsidRDefault="00AA40B9" w:rsidP="00DA5A31">
      <w:pPr>
        <w:pStyle w:val="Prrafodelista"/>
        <w:ind w:left="-270" w:right="-162"/>
        <w:rPr>
          <w:rFonts w:ascii="Verdana" w:eastAsia="Batang" w:hAnsi="Verdana"/>
          <w:sz w:val="20"/>
          <w:szCs w:val="20"/>
          <w:lang w:val="es-ES"/>
        </w:rPr>
      </w:pPr>
    </w:p>
    <w:p w14:paraId="0A1C6183" w14:textId="375B53CC" w:rsidR="002D243B" w:rsidRPr="00E757D1" w:rsidRDefault="00E9106E"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sz w:val="20"/>
          <w:szCs w:val="20"/>
          <w:lang w:val="es-ES"/>
        </w:rPr>
        <w:t xml:space="preserve">En mérito de lo precedentemente afirmado, se </w:t>
      </w:r>
      <w:r w:rsidR="00773883" w:rsidRPr="00E757D1">
        <w:rPr>
          <w:rFonts w:ascii="Verdana" w:eastAsia="Batang" w:hAnsi="Verdana"/>
          <w:sz w:val="20"/>
          <w:szCs w:val="20"/>
          <w:lang w:val="es-ES"/>
        </w:rPr>
        <w:t xml:space="preserve">puede concluir en </w:t>
      </w:r>
      <w:r w:rsidRPr="00E757D1">
        <w:rPr>
          <w:rFonts w:ascii="Verdana" w:eastAsia="Batang" w:hAnsi="Verdana"/>
          <w:sz w:val="20"/>
          <w:szCs w:val="20"/>
          <w:lang w:val="es-ES"/>
        </w:rPr>
        <w:t>que el Protocolo es, en consecuencia, la nítida demostración de que lo previsto en el artículo 26 no establece derecho humano alguno ni</w:t>
      </w:r>
      <w:r w:rsidR="00773883" w:rsidRPr="00E757D1">
        <w:rPr>
          <w:rFonts w:ascii="Verdana" w:eastAsia="Batang" w:hAnsi="Verdana"/>
          <w:sz w:val="20"/>
          <w:szCs w:val="20"/>
          <w:lang w:val="es-ES"/>
        </w:rPr>
        <w:t xml:space="preserve"> menos aún, como se sostiene en autos, que</w:t>
      </w:r>
      <w:r w:rsidRPr="00E757D1">
        <w:rPr>
          <w:rFonts w:ascii="Verdana" w:eastAsia="Batang" w:hAnsi="Verdana"/>
          <w:sz w:val="20"/>
          <w:szCs w:val="20"/>
          <w:lang w:val="es-ES"/>
        </w:rPr>
        <w:t xml:space="preserve"> proporciona legitimación activa ante la Corte por violación de los derechos económicos sociales y culturales a que </w:t>
      </w:r>
      <w:r w:rsidR="0009413D" w:rsidRPr="00E757D1">
        <w:rPr>
          <w:rFonts w:ascii="Verdana" w:eastAsia="Batang" w:hAnsi="Verdana"/>
          <w:sz w:val="20"/>
          <w:szCs w:val="20"/>
          <w:lang w:val="es-ES"/>
        </w:rPr>
        <w:t>alude</w:t>
      </w:r>
      <w:r w:rsidR="002D243B" w:rsidRPr="00E757D1">
        <w:rPr>
          <w:rFonts w:ascii="Verdana" w:eastAsia="Batang" w:hAnsi="Verdana"/>
          <w:sz w:val="20"/>
          <w:szCs w:val="20"/>
          <w:lang w:val="es-ES"/>
        </w:rPr>
        <w:t>.</w:t>
      </w:r>
    </w:p>
    <w:p w14:paraId="544E7A32" w14:textId="77777777" w:rsidR="002D243B" w:rsidRPr="00E757D1" w:rsidRDefault="002D243B" w:rsidP="00DA5A31">
      <w:pPr>
        <w:pStyle w:val="Prrafodelista"/>
        <w:ind w:left="-270" w:right="-162"/>
        <w:rPr>
          <w:rFonts w:ascii="Verdana" w:eastAsia="Batang" w:hAnsi="Verdana"/>
          <w:sz w:val="20"/>
          <w:szCs w:val="20"/>
          <w:lang w:val="es-ES"/>
        </w:rPr>
      </w:pPr>
    </w:p>
    <w:p w14:paraId="06ED2FC6" w14:textId="21A64D76" w:rsidR="002D243B" w:rsidRPr="00E757D1" w:rsidRDefault="002D243B" w:rsidP="00DA5A31">
      <w:pPr>
        <w:pStyle w:val="Prrafodelista"/>
        <w:numPr>
          <w:ilvl w:val="0"/>
          <w:numId w:val="13"/>
        </w:numPr>
        <w:spacing w:line="276" w:lineRule="auto"/>
        <w:ind w:left="-270" w:right="-162"/>
        <w:rPr>
          <w:rFonts w:ascii="Verdana" w:eastAsia="Batang" w:hAnsi="Verdana"/>
          <w:b/>
          <w:bCs/>
          <w:sz w:val="20"/>
          <w:szCs w:val="20"/>
          <w:lang w:val="es-ES"/>
        </w:rPr>
      </w:pPr>
      <w:r w:rsidRPr="00E757D1">
        <w:rPr>
          <w:rFonts w:ascii="Verdana" w:eastAsia="Batang" w:hAnsi="Verdana"/>
          <w:b/>
          <w:bCs/>
          <w:sz w:val="20"/>
          <w:szCs w:val="20"/>
          <w:lang w:val="es-ES"/>
        </w:rPr>
        <w:t xml:space="preserve">Conclusiones en lo respecta al artículo 26. </w:t>
      </w:r>
    </w:p>
    <w:p w14:paraId="7DD590F0" w14:textId="77777777" w:rsidR="002D243B" w:rsidRPr="00E757D1" w:rsidRDefault="002D243B" w:rsidP="00DA5A31">
      <w:pPr>
        <w:pStyle w:val="Prrafodelista"/>
        <w:ind w:left="-270" w:right="-162"/>
        <w:rPr>
          <w:rFonts w:ascii="Verdana" w:hAnsi="Verdana"/>
          <w:sz w:val="20"/>
          <w:szCs w:val="20"/>
          <w:lang w:val="es-ES"/>
        </w:rPr>
      </w:pPr>
    </w:p>
    <w:p w14:paraId="1FD87F64" w14:textId="43094C13" w:rsidR="002D243B" w:rsidRPr="00E757D1" w:rsidRDefault="00FC27ED" w:rsidP="00DA5A31">
      <w:pPr>
        <w:numPr>
          <w:ilvl w:val="0"/>
          <w:numId w:val="5"/>
        </w:numPr>
        <w:spacing w:line="276" w:lineRule="auto"/>
        <w:ind w:left="-270" w:right="-162" w:firstLine="0"/>
        <w:contextualSpacing/>
        <w:rPr>
          <w:rFonts w:ascii="Verdana" w:hAnsi="Verdana"/>
          <w:sz w:val="20"/>
          <w:szCs w:val="20"/>
          <w:lang w:val="es-ES"/>
        </w:rPr>
      </w:pPr>
      <w:r w:rsidRPr="00E757D1">
        <w:rPr>
          <w:rFonts w:ascii="Verdana" w:hAnsi="Verdana"/>
          <w:sz w:val="20"/>
          <w:szCs w:val="20"/>
          <w:lang w:val="es-ES"/>
        </w:rPr>
        <w:t>Es, entonces, por</w:t>
      </w:r>
      <w:r w:rsidR="00355348" w:rsidRPr="00E757D1">
        <w:rPr>
          <w:rFonts w:ascii="Verdana" w:hAnsi="Verdana"/>
          <w:sz w:val="20"/>
          <w:szCs w:val="20"/>
          <w:lang w:val="es-ES"/>
        </w:rPr>
        <w:t xml:space="preserve"> todo lo expuesto</w:t>
      </w:r>
      <w:r w:rsidRPr="00E757D1">
        <w:rPr>
          <w:rFonts w:ascii="Verdana" w:hAnsi="Verdana"/>
          <w:sz w:val="20"/>
          <w:szCs w:val="20"/>
          <w:lang w:val="es-ES"/>
        </w:rPr>
        <w:t xml:space="preserve"> que </w:t>
      </w:r>
      <w:r w:rsidR="00355348" w:rsidRPr="00E757D1">
        <w:rPr>
          <w:rFonts w:ascii="Verdana" w:hAnsi="Verdana"/>
          <w:sz w:val="20"/>
          <w:szCs w:val="20"/>
          <w:lang w:val="es-ES"/>
        </w:rPr>
        <w:t xml:space="preserve">se disiente </w:t>
      </w:r>
      <w:r w:rsidRPr="00E757D1">
        <w:rPr>
          <w:rFonts w:ascii="Verdana" w:hAnsi="Verdana"/>
          <w:sz w:val="20"/>
          <w:szCs w:val="20"/>
          <w:lang w:val="es-ES"/>
        </w:rPr>
        <w:t xml:space="preserve">parcialmente </w:t>
      </w:r>
      <w:r w:rsidR="00355348" w:rsidRPr="00E757D1">
        <w:rPr>
          <w:rFonts w:ascii="Verdana" w:hAnsi="Verdana"/>
          <w:sz w:val="20"/>
          <w:szCs w:val="20"/>
          <w:lang w:val="es-ES"/>
        </w:rPr>
        <w:t>de la Sentencia</w:t>
      </w:r>
      <w:r w:rsidRPr="00E757D1">
        <w:rPr>
          <w:rFonts w:ascii="Verdana" w:hAnsi="Verdana"/>
          <w:sz w:val="20"/>
          <w:szCs w:val="20"/>
          <w:lang w:val="es-ES"/>
        </w:rPr>
        <w:t xml:space="preserve">, esto es, de lo indicado en sus resolutivos </w:t>
      </w:r>
      <w:proofErr w:type="spellStart"/>
      <w:r w:rsidRPr="00E757D1">
        <w:rPr>
          <w:rFonts w:ascii="Verdana" w:hAnsi="Verdana"/>
          <w:sz w:val="20"/>
          <w:szCs w:val="20"/>
          <w:lang w:val="es-ES"/>
        </w:rPr>
        <w:t>N°s</w:t>
      </w:r>
      <w:proofErr w:type="spellEnd"/>
      <w:r w:rsidRPr="00E757D1">
        <w:rPr>
          <w:rFonts w:ascii="Verdana" w:hAnsi="Verdana"/>
          <w:sz w:val="20"/>
          <w:szCs w:val="20"/>
          <w:lang w:val="es-ES"/>
        </w:rPr>
        <w:t xml:space="preserve"> </w:t>
      </w:r>
      <w:r w:rsidR="00914CFC" w:rsidRPr="00E757D1">
        <w:rPr>
          <w:rFonts w:ascii="Verdana" w:hAnsi="Verdana"/>
          <w:sz w:val="20"/>
          <w:szCs w:val="20"/>
          <w:lang w:val="es-ES"/>
        </w:rPr>
        <w:t>2</w:t>
      </w:r>
      <w:r w:rsidRPr="00E757D1">
        <w:rPr>
          <w:rStyle w:val="Refdenotaalpie"/>
          <w:rFonts w:ascii="Verdana" w:hAnsi="Verdana"/>
          <w:sz w:val="20"/>
          <w:szCs w:val="20"/>
          <w:lang w:val="es-ES"/>
        </w:rPr>
        <w:footnoteReference w:id="91"/>
      </w:r>
      <w:r w:rsidRPr="00E757D1">
        <w:rPr>
          <w:rFonts w:ascii="Verdana" w:hAnsi="Verdana"/>
          <w:sz w:val="20"/>
          <w:szCs w:val="20"/>
          <w:lang w:val="es-ES"/>
        </w:rPr>
        <w:t xml:space="preserve"> </w:t>
      </w:r>
      <w:r w:rsidR="00914CFC" w:rsidRPr="00E757D1">
        <w:rPr>
          <w:rFonts w:ascii="Verdana" w:hAnsi="Verdana"/>
          <w:sz w:val="20"/>
          <w:szCs w:val="20"/>
          <w:lang w:val="es-ES"/>
        </w:rPr>
        <w:t>y 6</w:t>
      </w:r>
      <w:r w:rsidRPr="00E757D1">
        <w:rPr>
          <w:rStyle w:val="Refdenotaalpie"/>
          <w:rFonts w:ascii="Verdana" w:hAnsi="Verdana"/>
          <w:sz w:val="20"/>
          <w:szCs w:val="20"/>
          <w:lang w:val="es-ES"/>
        </w:rPr>
        <w:footnoteReference w:id="92"/>
      </w:r>
      <w:r w:rsidR="00914CFC" w:rsidRPr="00E757D1">
        <w:rPr>
          <w:rFonts w:ascii="Verdana" w:hAnsi="Verdana"/>
          <w:sz w:val="20"/>
          <w:szCs w:val="20"/>
          <w:lang w:val="es-ES"/>
        </w:rPr>
        <w:t>.</w:t>
      </w:r>
    </w:p>
    <w:p w14:paraId="21E185F2" w14:textId="77777777" w:rsidR="00914CFC" w:rsidRPr="00E757D1" w:rsidRDefault="00914CFC" w:rsidP="00DA5A31">
      <w:pPr>
        <w:spacing w:line="276" w:lineRule="auto"/>
        <w:ind w:left="-270" w:right="-162"/>
        <w:contextualSpacing/>
        <w:rPr>
          <w:rFonts w:ascii="Verdana" w:hAnsi="Verdana"/>
          <w:sz w:val="20"/>
          <w:szCs w:val="20"/>
          <w:lang w:val="es-ES"/>
        </w:rPr>
      </w:pPr>
    </w:p>
    <w:p w14:paraId="52007A5E" w14:textId="35EC159E" w:rsidR="002D243B" w:rsidRPr="00E757D1" w:rsidRDefault="00DC74CA"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sz w:val="20"/>
          <w:szCs w:val="20"/>
          <w:lang w:val="es-ES"/>
        </w:rPr>
        <w:t>A este efecto</w:t>
      </w:r>
      <w:r w:rsidR="00355348" w:rsidRPr="00E757D1">
        <w:rPr>
          <w:rFonts w:ascii="Verdana" w:hAnsi="Verdana"/>
          <w:sz w:val="20"/>
          <w:szCs w:val="20"/>
          <w:lang w:val="es-ES"/>
        </w:rPr>
        <w:t xml:space="preserve">, se debe insistir, una vez más, que este escrito no dice relación con la existencia </w:t>
      </w:r>
      <w:r w:rsidR="009D14C2" w:rsidRPr="00E757D1">
        <w:rPr>
          <w:rFonts w:ascii="Verdana" w:hAnsi="Verdana" w:cs="Verdana"/>
          <w:sz w:val="20"/>
          <w:szCs w:val="20"/>
          <w:lang w:val="es-ES"/>
        </w:rPr>
        <w:t>del</w:t>
      </w:r>
      <w:r w:rsidR="009D14C2" w:rsidRPr="00E757D1">
        <w:rPr>
          <w:rFonts w:ascii="Verdana" w:hAnsi="Verdana"/>
          <w:sz w:val="20"/>
          <w:szCs w:val="20"/>
          <w:lang w:val="es-ES"/>
        </w:rPr>
        <w:t xml:space="preserve"> derecho a condiciones equitativas y satisfactorias que garanticen la seguridad, la salud y la higiene </w:t>
      </w:r>
      <w:r w:rsidR="00947ECC">
        <w:rPr>
          <w:rFonts w:ascii="Verdana" w:hAnsi="Verdana"/>
          <w:sz w:val="20"/>
          <w:szCs w:val="20"/>
          <w:lang w:val="es-ES"/>
        </w:rPr>
        <w:t xml:space="preserve">en </w:t>
      </w:r>
      <w:r w:rsidR="009D14C2" w:rsidRPr="00E757D1">
        <w:rPr>
          <w:rFonts w:ascii="Verdana" w:hAnsi="Verdana"/>
          <w:sz w:val="20"/>
          <w:szCs w:val="20"/>
          <w:lang w:val="es-ES"/>
        </w:rPr>
        <w:t>el trabajo</w:t>
      </w:r>
      <w:r w:rsidRPr="00E757D1">
        <w:rPr>
          <w:rFonts w:ascii="Verdana" w:hAnsi="Verdana"/>
          <w:sz w:val="20"/>
          <w:szCs w:val="20"/>
          <w:lang w:val="es-ES"/>
        </w:rPr>
        <w:t xml:space="preserve">. </w:t>
      </w:r>
      <w:r w:rsidR="00355348" w:rsidRPr="00E757D1">
        <w:rPr>
          <w:rFonts w:ascii="Verdana" w:hAnsi="Verdana"/>
          <w:sz w:val="20"/>
          <w:szCs w:val="20"/>
          <w:lang w:val="es-ES"/>
        </w:rPr>
        <w:t xml:space="preserve">Ello escapa a su propósito. Únicamente se </w:t>
      </w:r>
      <w:r w:rsidR="00355348" w:rsidRPr="00E757D1">
        <w:rPr>
          <w:rFonts w:ascii="Verdana" w:hAnsi="Verdana"/>
          <w:sz w:val="20"/>
          <w:szCs w:val="20"/>
          <w:lang w:val="es-ES"/>
        </w:rPr>
        <w:lastRenderedPageBreak/>
        <w:t xml:space="preserve">sostiene que su eventual violación no puede ser sometida al conocimiento y resolución de la Corte. </w:t>
      </w:r>
    </w:p>
    <w:p w14:paraId="77633A57" w14:textId="77777777" w:rsidR="002D243B" w:rsidRPr="00E757D1" w:rsidRDefault="002D243B" w:rsidP="00DA5A31">
      <w:pPr>
        <w:pStyle w:val="Prrafodelista"/>
        <w:ind w:left="-270" w:right="-162"/>
        <w:rPr>
          <w:rFonts w:ascii="Verdana" w:hAnsi="Verdana"/>
          <w:sz w:val="20"/>
          <w:szCs w:val="20"/>
          <w:lang w:val="es-ES"/>
        </w:rPr>
      </w:pPr>
    </w:p>
    <w:p w14:paraId="3A3029C6" w14:textId="77777777" w:rsidR="00914CFC" w:rsidRPr="00E757D1" w:rsidRDefault="00355348"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hAnsi="Verdana"/>
          <w:sz w:val="20"/>
          <w:szCs w:val="20"/>
          <w:lang w:val="es-ES"/>
        </w:rPr>
        <w:t>Asimismo, se debe señalar que tampoco el presente voto debe ser entendido en orden a que eventualmente no se esté a favor de someter ante la Corte las violaciones de los derechos económicos, sociales y culturales. Lo que se considera sobre el particular es que, si se procede a ello, debe hacerse por quién detenta la titularidad de la función normativa internacional. No parecería conveniente que el órgano al que le compete la función judicial interamericana asuma la función normativa internacional, máxime cuando dichos los Estados son democráticos y a su respecto rige la Carta Democrática Interamericana</w:t>
      </w:r>
      <w:r w:rsidR="00C8789A" w:rsidRPr="00E757D1">
        <w:rPr>
          <w:rStyle w:val="Refdenotaalpie"/>
          <w:rFonts w:ascii="Verdana" w:hAnsi="Verdana"/>
          <w:sz w:val="20"/>
          <w:szCs w:val="20"/>
          <w:lang w:val="es-ES"/>
        </w:rPr>
        <w:footnoteReference w:id="93"/>
      </w:r>
      <w:r w:rsidRPr="00E757D1">
        <w:rPr>
          <w:rFonts w:ascii="Verdana" w:hAnsi="Verdana"/>
          <w:sz w:val="20"/>
          <w:szCs w:val="20"/>
          <w:lang w:val="es-ES"/>
        </w:rPr>
        <w:t>, la que prevé la separación de poderes y la participación ciudadana en los asuntos públicos</w:t>
      </w:r>
      <w:r w:rsidR="00914CFC" w:rsidRPr="00E757D1">
        <w:rPr>
          <w:rFonts w:ascii="Verdana" w:hAnsi="Verdana"/>
          <w:sz w:val="20"/>
          <w:szCs w:val="20"/>
          <w:lang w:val="es-ES"/>
        </w:rPr>
        <w:t>, lo que, sin duda, la Corte debe respetar</w:t>
      </w:r>
      <w:r w:rsidRPr="00E757D1">
        <w:rPr>
          <w:rFonts w:ascii="Verdana" w:hAnsi="Verdana"/>
          <w:sz w:val="20"/>
          <w:szCs w:val="20"/>
          <w:lang w:val="es-ES"/>
        </w:rPr>
        <w:t xml:space="preserve">, particularmente </w:t>
      </w:r>
      <w:r w:rsidR="00914CFC" w:rsidRPr="00E757D1">
        <w:rPr>
          <w:rFonts w:ascii="Verdana" w:hAnsi="Verdana"/>
          <w:sz w:val="20"/>
          <w:szCs w:val="20"/>
          <w:lang w:val="es-ES"/>
        </w:rPr>
        <w:t>en cuanto a</w:t>
      </w:r>
      <w:r w:rsidRPr="00E757D1">
        <w:rPr>
          <w:rFonts w:ascii="Verdana" w:hAnsi="Verdana"/>
          <w:sz w:val="20"/>
          <w:szCs w:val="20"/>
          <w:lang w:val="es-ES"/>
        </w:rPr>
        <w:t xml:space="preserve"> aquellas normas que conciernen más directamente a la </w:t>
      </w:r>
      <w:r w:rsidR="00914CFC" w:rsidRPr="00E757D1">
        <w:rPr>
          <w:rFonts w:ascii="Verdana" w:hAnsi="Verdana"/>
          <w:sz w:val="20"/>
          <w:szCs w:val="20"/>
          <w:lang w:val="es-ES"/>
        </w:rPr>
        <w:t xml:space="preserve">intervención de la </w:t>
      </w:r>
      <w:r w:rsidRPr="00E757D1">
        <w:rPr>
          <w:rFonts w:ascii="Verdana" w:hAnsi="Verdana"/>
          <w:sz w:val="20"/>
          <w:szCs w:val="20"/>
          <w:lang w:val="es-ES"/>
        </w:rPr>
        <w:t>ciudadanía.</w:t>
      </w:r>
    </w:p>
    <w:p w14:paraId="64BF55C9" w14:textId="77777777" w:rsidR="00914CFC" w:rsidRPr="00E757D1" w:rsidRDefault="00914CFC" w:rsidP="00DA5A31">
      <w:pPr>
        <w:pStyle w:val="Prrafodelista"/>
        <w:ind w:left="-270" w:right="-162"/>
        <w:rPr>
          <w:rFonts w:ascii="Verdana" w:eastAsia="Batang" w:hAnsi="Verdana"/>
          <w:sz w:val="20"/>
          <w:szCs w:val="20"/>
          <w:lang w:val="es-ES"/>
        </w:rPr>
      </w:pPr>
    </w:p>
    <w:p w14:paraId="17B9324A" w14:textId="77777777" w:rsidR="00AD3637" w:rsidRPr="00E757D1" w:rsidRDefault="00914CFC"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sz w:val="20"/>
          <w:szCs w:val="20"/>
          <w:lang w:val="es-ES"/>
        </w:rPr>
        <w:t>En</w:t>
      </w:r>
      <w:r w:rsidR="00355348" w:rsidRPr="00E757D1">
        <w:rPr>
          <w:rFonts w:ascii="Verdana" w:hAnsi="Verdana"/>
          <w:sz w:val="20"/>
          <w:szCs w:val="20"/>
          <w:lang w:val="es-ES"/>
        </w:rPr>
        <w:t xml:space="preserve"> esta perspectiva, cabe insistir en que la interpretación no consiste en determinar el sentido y alcance de una norma en vista de que exprese lo que el intérprete desea, sino que ella objetivamente dispone o establece y, en lo que respecta a la Convención, de lo que se trata es precisar cómo lo convenido por sus Estados Partes se puede aplicar en los tiempos y condiciones en que se plantea la respectiva controversia, es decir, cómo hacer aplicable el principio “</w:t>
      </w:r>
      <w:r w:rsidR="00355348" w:rsidRPr="00E757D1">
        <w:rPr>
          <w:rFonts w:ascii="Verdana" w:hAnsi="Verdana"/>
          <w:i/>
          <w:sz w:val="20"/>
          <w:szCs w:val="20"/>
          <w:lang w:val="es-ES"/>
        </w:rPr>
        <w:t xml:space="preserve">pacta sunt </w:t>
      </w:r>
      <w:proofErr w:type="spellStart"/>
      <w:r w:rsidR="00355348" w:rsidRPr="00E757D1">
        <w:rPr>
          <w:rFonts w:ascii="Verdana" w:hAnsi="Verdana"/>
          <w:i/>
          <w:sz w:val="20"/>
          <w:szCs w:val="20"/>
          <w:lang w:val="es-ES"/>
        </w:rPr>
        <w:t>servanda</w:t>
      </w:r>
      <w:proofErr w:type="spellEnd"/>
      <w:r w:rsidR="00355348" w:rsidRPr="00E757D1">
        <w:rPr>
          <w:rFonts w:ascii="Verdana" w:hAnsi="Verdana"/>
          <w:sz w:val="20"/>
          <w:szCs w:val="20"/>
          <w:lang w:val="es-ES"/>
        </w:rPr>
        <w:t xml:space="preserve">” en los tiempos y condiciones de vida en que la controversia tiene lugar. El asunto es, entonces, cómo hacer que los tratados de derechos humanos sean, </w:t>
      </w:r>
      <w:r w:rsidR="00355348" w:rsidRPr="00E757D1">
        <w:rPr>
          <w:rFonts w:ascii="Verdana" w:hAnsi="Verdana"/>
          <w:i/>
          <w:iCs/>
          <w:sz w:val="20"/>
          <w:szCs w:val="20"/>
          <w:lang w:val="es-ES"/>
        </w:rPr>
        <w:t>per se,</w:t>
      </w:r>
      <w:r w:rsidR="00355348" w:rsidRPr="00E757D1">
        <w:rPr>
          <w:rFonts w:ascii="Verdana" w:hAnsi="Verdana"/>
          <w:sz w:val="20"/>
          <w:szCs w:val="20"/>
          <w:lang w:val="es-ES"/>
        </w:rPr>
        <w:t xml:space="preserve"> efectivamente instrumentos vivos, es decir, susceptibles de comprender o ser aplicables a las nuevas realidades que se enfrentan y no que sea su interpretación la que, como si fuese una entidad separada de aquellos, acompañe la evolución de los tiempos y las condiciones de vida actuales, alterando lo prescrito por aquellos.  </w:t>
      </w:r>
    </w:p>
    <w:p w14:paraId="36CB0811" w14:textId="77777777" w:rsidR="00AD3637" w:rsidRPr="00E757D1" w:rsidRDefault="00AD3637" w:rsidP="00DA5A31">
      <w:pPr>
        <w:pStyle w:val="Prrafodelista"/>
        <w:ind w:left="-270" w:right="-162"/>
        <w:rPr>
          <w:rFonts w:ascii="Verdana" w:eastAsia="Batang" w:hAnsi="Verdana"/>
          <w:sz w:val="20"/>
          <w:szCs w:val="20"/>
          <w:lang w:val="es-ES"/>
        </w:rPr>
      </w:pPr>
    </w:p>
    <w:p w14:paraId="332361E3" w14:textId="7DC16266" w:rsidR="00AD3637" w:rsidRPr="00E757D1" w:rsidRDefault="00355348"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sz w:val="20"/>
          <w:szCs w:val="20"/>
          <w:lang w:val="es-ES"/>
        </w:rPr>
        <w:t xml:space="preserve">Finalmente, es imperioso repetir que, de </w:t>
      </w:r>
      <w:r w:rsidR="00103BFE" w:rsidRPr="00E757D1">
        <w:rPr>
          <w:rFonts w:ascii="Verdana" w:eastAsia="Batang" w:hAnsi="Verdana"/>
          <w:sz w:val="20"/>
          <w:szCs w:val="20"/>
          <w:lang w:val="es-ES"/>
        </w:rPr>
        <w:t>persistirse</w:t>
      </w:r>
      <w:r w:rsidRPr="00E757D1">
        <w:rPr>
          <w:rFonts w:ascii="Verdana" w:eastAsia="Batang" w:hAnsi="Verdana"/>
          <w:sz w:val="20"/>
          <w:szCs w:val="20"/>
          <w:lang w:val="es-ES"/>
        </w:rPr>
        <w:t xml:space="preserve"> en el derrotero adoptado por la Sentencia, el Sistema Interamericano de Derechos Humanos</w:t>
      </w:r>
      <w:r w:rsidR="00DC74CA" w:rsidRPr="00E757D1">
        <w:rPr>
          <w:rStyle w:val="Refdenotaalpie"/>
          <w:rFonts w:ascii="Verdana" w:eastAsia="Batang" w:hAnsi="Verdana"/>
          <w:sz w:val="20"/>
          <w:szCs w:val="20"/>
          <w:lang w:val="es-ES"/>
        </w:rPr>
        <w:footnoteReference w:id="94"/>
      </w:r>
      <w:r w:rsidRPr="00E757D1">
        <w:rPr>
          <w:rFonts w:ascii="Verdana" w:eastAsia="Batang" w:hAnsi="Verdana"/>
          <w:sz w:val="20"/>
          <w:szCs w:val="20"/>
          <w:lang w:val="es-ES"/>
        </w:rPr>
        <w:t xml:space="preserve"> en su conjunto podría verse seriamente limitado. Y ello en razón de que</w:t>
      </w:r>
      <w:r w:rsidR="00503118" w:rsidRPr="00E757D1">
        <w:rPr>
          <w:rFonts w:ascii="Verdana" w:eastAsia="Batang" w:hAnsi="Verdana"/>
          <w:sz w:val="20"/>
          <w:szCs w:val="20"/>
          <w:lang w:val="es-ES"/>
        </w:rPr>
        <w:t>,</w:t>
      </w:r>
      <w:r w:rsidRPr="00E757D1">
        <w:rPr>
          <w:rFonts w:ascii="Verdana" w:eastAsia="Batang" w:hAnsi="Verdana"/>
          <w:sz w:val="20"/>
          <w:szCs w:val="20"/>
          <w:lang w:val="es-ES"/>
        </w:rPr>
        <w:t xml:space="preserve"> muy probablemente, por una parte, no se incentivaría, sino todo lo contrario, la adhesión de nuevos Estados a la Convención ni la aceptación de la competencia contenciosa de la Corte por los que no lo hayan hecho y</w:t>
      </w:r>
      <w:r w:rsidR="00503118" w:rsidRPr="00E757D1">
        <w:rPr>
          <w:rFonts w:ascii="Verdana" w:eastAsia="Batang" w:hAnsi="Verdana"/>
          <w:sz w:val="20"/>
          <w:szCs w:val="20"/>
          <w:lang w:val="es-ES"/>
        </w:rPr>
        <w:t>,</w:t>
      </w:r>
      <w:r w:rsidRPr="00E757D1">
        <w:rPr>
          <w:rFonts w:ascii="Verdana" w:eastAsia="Batang" w:hAnsi="Verdana"/>
          <w:sz w:val="20"/>
          <w:szCs w:val="20"/>
          <w:lang w:val="es-ES"/>
        </w:rPr>
        <w:t xml:space="preserve"> por la otra parte, podría renovarse o aún acentuarse la tendencia entre los Estados Partes de la Convención de no dar cumplimiento completo y oportuno a sus fallos. En suma, se debilitaría el principio de la seguridad o certeza jurídica, el que, en lo atingente a los derechos humanos, también beneficia a las víctimas de sus violaciones al garantizar el cumplimiento de las sentencias de la Corte por sustentarse sólidamente en los compromisos soberanamente asumidos por los Estados.</w:t>
      </w:r>
    </w:p>
    <w:p w14:paraId="6F6F18C1" w14:textId="77777777" w:rsidR="00AD3637" w:rsidRPr="00E757D1" w:rsidRDefault="00AD3637" w:rsidP="00DA5A31">
      <w:pPr>
        <w:pStyle w:val="Prrafodelista"/>
        <w:ind w:left="-270" w:right="-162"/>
        <w:rPr>
          <w:rFonts w:ascii="Verdana" w:eastAsia="Batang" w:hAnsi="Verdana"/>
          <w:sz w:val="20"/>
          <w:szCs w:val="20"/>
          <w:lang w:val="es-ES"/>
        </w:rPr>
      </w:pPr>
    </w:p>
    <w:p w14:paraId="6178A540" w14:textId="0486F398" w:rsidR="00355348" w:rsidRPr="00E757D1" w:rsidRDefault="00355348" w:rsidP="00DA5A31">
      <w:pPr>
        <w:numPr>
          <w:ilvl w:val="0"/>
          <w:numId w:val="5"/>
        </w:numPr>
        <w:spacing w:line="276" w:lineRule="auto"/>
        <w:ind w:left="-270" w:right="-162" w:firstLine="0"/>
        <w:contextualSpacing/>
        <w:rPr>
          <w:rFonts w:ascii="Verdana" w:eastAsia="Batang" w:hAnsi="Verdana"/>
          <w:sz w:val="20"/>
          <w:szCs w:val="20"/>
          <w:lang w:val="es-ES"/>
        </w:rPr>
      </w:pPr>
      <w:r w:rsidRPr="00E757D1">
        <w:rPr>
          <w:rFonts w:ascii="Verdana" w:eastAsia="Batang" w:hAnsi="Verdana"/>
          <w:sz w:val="20"/>
          <w:szCs w:val="20"/>
          <w:lang w:val="es-ES"/>
        </w:rPr>
        <w:t>Al respecto, no se debe olvidar que, en la práctica y más allá de cualquier consideración teórica, la función de la Corte es, en definitiva, dictar fallos que restablezcan, lo más pronto posible, el respeto de los derechos humanos violados. No es tan seguro que ello se logre respecto de violaciones derechos humanos que no fueron consideradas en la Convención como justiciables ante la Corte.</w:t>
      </w:r>
    </w:p>
    <w:p w14:paraId="483BD27A" w14:textId="77777777" w:rsidR="001C1C29" w:rsidRPr="00E757D1" w:rsidRDefault="001C1C29" w:rsidP="001C1C29">
      <w:pPr>
        <w:spacing w:line="276" w:lineRule="auto"/>
        <w:ind w:left="0" w:right="-162"/>
        <w:contextualSpacing/>
        <w:rPr>
          <w:rFonts w:ascii="Verdana" w:eastAsia="Batang" w:hAnsi="Verdana"/>
          <w:sz w:val="20"/>
          <w:szCs w:val="20"/>
          <w:lang w:val="es-ES"/>
        </w:rPr>
      </w:pPr>
    </w:p>
    <w:p w14:paraId="3085F49A" w14:textId="2EB26737" w:rsidR="007865AC" w:rsidRPr="00E757D1" w:rsidRDefault="007A5C8E" w:rsidP="00DA5A31">
      <w:pPr>
        <w:pStyle w:val="Prrafodelista"/>
        <w:numPr>
          <w:ilvl w:val="0"/>
          <w:numId w:val="12"/>
        </w:numPr>
        <w:spacing w:line="276" w:lineRule="auto"/>
        <w:ind w:left="-270" w:right="-162" w:firstLine="0"/>
        <w:rPr>
          <w:rFonts w:ascii="Verdana" w:hAnsi="Verdana"/>
          <w:b/>
          <w:sz w:val="20"/>
          <w:szCs w:val="20"/>
          <w:lang w:val="es-ES"/>
        </w:rPr>
      </w:pPr>
      <w:r w:rsidRPr="00E757D1">
        <w:rPr>
          <w:rFonts w:ascii="Verdana" w:hAnsi="Verdana"/>
          <w:b/>
          <w:sz w:val="20"/>
          <w:szCs w:val="20"/>
          <w:lang w:val="es-ES"/>
        </w:rPr>
        <w:t xml:space="preserve">EL ARTÍCULO </w:t>
      </w:r>
      <w:r w:rsidR="00CF2634" w:rsidRPr="00E757D1">
        <w:rPr>
          <w:rFonts w:ascii="Verdana" w:hAnsi="Verdana"/>
          <w:b/>
          <w:sz w:val="20"/>
          <w:szCs w:val="20"/>
          <w:lang w:val="es-ES"/>
        </w:rPr>
        <w:t>24</w:t>
      </w:r>
      <w:r w:rsidR="003C66A5" w:rsidRPr="00E757D1">
        <w:rPr>
          <w:rFonts w:ascii="Verdana" w:hAnsi="Verdana"/>
          <w:b/>
          <w:sz w:val="20"/>
          <w:szCs w:val="20"/>
          <w:lang w:val="es-ES"/>
        </w:rPr>
        <w:t>.</w:t>
      </w:r>
    </w:p>
    <w:p w14:paraId="1E79E51A" w14:textId="77777777" w:rsidR="003C66A5" w:rsidRPr="00E757D1" w:rsidRDefault="003C66A5" w:rsidP="00DA5A31">
      <w:pPr>
        <w:pStyle w:val="Prrafodelista"/>
        <w:spacing w:line="276" w:lineRule="auto"/>
        <w:ind w:left="-270" w:right="-162"/>
        <w:rPr>
          <w:rFonts w:ascii="Verdana" w:hAnsi="Verdana"/>
          <w:b/>
          <w:sz w:val="20"/>
          <w:szCs w:val="20"/>
          <w:lang w:val="es-ES"/>
        </w:rPr>
      </w:pPr>
    </w:p>
    <w:p w14:paraId="65BF1A9E" w14:textId="56B83AA9" w:rsidR="007865AC" w:rsidRPr="00E757D1" w:rsidRDefault="007A5C8E" w:rsidP="00DA5A31">
      <w:pPr>
        <w:pStyle w:val="Prrafodelista"/>
        <w:numPr>
          <w:ilvl w:val="0"/>
          <w:numId w:val="5"/>
        </w:numPr>
        <w:spacing w:line="276" w:lineRule="auto"/>
        <w:ind w:left="-270" w:right="-162" w:firstLine="0"/>
        <w:rPr>
          <w:rFonts w:ascii="Verdana" w:hAnsi="Verdana"/>
          <w:b/>
          <w:sz w:val="20"/>
          <w:szCs w:val="20"/>
          <w:lang w:val="es-ES"/>
        </w:rPr>
      </w:pPr>
      <w:r w:rsidRPr="00E757D1">
        <w:rPr>
          <w:rFonts w:ascii="Verdana" w:hAnsi="Verdana"/>
          <w:bCs/>
          <w:sz w:val="20"/>
          <w:szCs w:val="20"/>
          <w:lang w:val="es-ES"/>
        </w:rPr>
        <w:t>Como se indicó al comienzo, se present</w:t>
      </w:r>
      <w:r w:rsidR="00135E7D" w:rsidRPr="00E757D1">
        <w:rPr>
          <w:rFonts w:ascii="Verdana" w:hAnsi="Verdana"/>
          <w:bCs/>
          <w:sz w:val="20"/>
          <w:szCs w:val="20"/>
          <w:lang w:val="es-ES"/>
        </w:rPr>
        <w:t>a</w:t>
      </w:r>
      <w:r w:rsidRPr="00E757D1">
        <w:rPr>
          <w:rFonts w:ascii="Verdana" w:hAnsi="Verdana"/>
          <w:bCs/>
          <w:sz w:val="20"/>
          <w:szCs w:val="20"/>
          <w:lang w:val="es-ES"/>
        </w:rPr>
        <w:t xml:space="preserve"> este voto dado que también se discrepa </w:t>
      </w:r>
      <w:r w:rsidR="00ED12AD" w:rsidRPr="00E757D1">
        <w:rPr>
          <w:rFonts w:ascii="Verdana" w:hAnsi="Verdana"/>
          <w:bCs/>
          <w:sz w:val="20"/>
          <w:szCs w:val="20"/>
          <w:lang w:val="es-ES"/>
        </w:rPr>
        <w:t>de que</w:t>
      </w:r>
      <w:r w:rsidR="00135E7D" w:rsidRPr="00E757D1">
        <w:rPr>
          <w:rFonts w:ascii="Verdana" w:hAnsi="Verdana"/>
          <w:bCs/>
          <w:sz w:val="20"/>
          <w:szCs w:val="20"/>
          <w:lang w:val="es-ES"/>
        </w:rPr>
        <w:t>,</w:t>
      </w:r>
      <w:r w:rsidR="00ED12AD" w:rsidRPr="00E757D1">
        <w:rPr>
          <w:rFonts w:ascii="Verdana" w:hAnsi="Verdana"/>
          <w:bCs/>
          <w:sz w:val="20"/>
          <w:szCs w:val="20"/>
          <w:lang w:val="es-ES"/>
        </w:rPr>
        <w:t xml:space="preserve"> </w:t>
      </w:r>
      <w:r w:rsidRPr="00E757D1">
        <w:rPr>
          <w:rFonts w:ascii="Verdana" w:hAnsi="Verdana"/>
          <w:bCs/>
          <w:sz w:val="20"/>
          <w:szCs w:val="20"/>
          <w:lang w:val="es-ES"/>
        </w:rPr>
        <w:t>en el Resolutivo N</w:t>
      </w:r>
      <w:r w:rsidR="00ED12AD" w:rsidRPr="00E757D1">
        <w:rPr>
          <w:rFonts w:ascii="Verdana" w:hAnsi="Verdana"/>
          <w:bCs/>
          <w:sz w:val="20"/>
          <w:szCs w:val="20"/>
          <w:lang w:val="es-ES"/>
        </w:rPr>
        <w:t xml:space="preserve">° </w:t>
      </w:r>
      <w:r w:rsidR="002D243B" w:rsidRPr="00E757D1">
        <w:rPr>
          <w:rFonts w:ascii="Verdana" w:hAnsi="Verdana"/>
          <w:bCs/>
          <w:sz w:val="20"/>
          <w:szCs w:val="20"/>
          <w:lang w:val="es-ES"/>
        </w:rPr>
        <w:t>6</w:t>
      </w:r>
      <w:r w:rsidR="00ED12AD" w:rsidRPr="00E757D1">
        <w:rPr>
          <w:rFonts w:ascii="Verdana" w:hAnsi="Verdana"/>
          <w:bCs/>
          <w:sz w:val="20"/>
          <w:szCs w:val="20"/>
          <w:lang w:val="es-ES"/>
        </w:rPr>
        <w:t xml:space="preserve"> de la Sentencia</w:t>
      </w:r>
      <w:r w:rsidR="00ED12AD" w:rsidRPr="00E757D1">
        <w:rPr>
          <w:rStyle w:val="Refdenotaalpie"/>
          <w:rFonts w:ascii="Verdana" w:hAnsi="Verdana"/>
          <w:bCs/>
          <w:sz w:val="20"/>
          <w:szCs w:val="20"/>
          <w:lang w:val="es-ES"/>
        </w:rPr>
        <w:footnoteReference w:id="95"/>
      </w:r>
      <w:r w:rsidRPr="00E757D1">
        <w:rPr>
          <w:rFonts w:ascii="Verdana" w:hAnsi="Verdana"/>
          <w:bCs/>
          <w:sz w:val="20"/>
          <w:szCs w:val="20"/>
          <w:lang w:val="es-ES"/>
        </w:rPr>
        <w:t>,</w:t>
      </w:r>
      <w:r w:rsidR="00ED12AD" w:rsidRPr="00E757D1">
        <w:rPr>
          <w:rFonts w:ascii="Verdana" w:hAnsi="Verdana"/>
          <w:bCs/>
          <w:sz w:val="20"/>
          <w:szCs w:val="20"/>
          <w:lang w:val="es-ES"/>
        </w:rPr>
        <w:t xml:space="preserve"> se haya declarado la violación del artículo 24</w:t>
      </w:r>
      <w:r w:rsidR="001333CA" w:rsidRPr="00E757D1">
        <w:rPr>
          <w:rFonts w:ascii="Verdana" w:hAnsi="Verdana"/>
          <w:bCs/>
          <w:sz w:val="20"/>
          <w:szCs w:val="20"/>
          <w:lang w:val="es-ES"/>
        </w:rPr>
        <w:t xml:space="preserve"> de la Convención</w:t>
      </w:r>
      <w:r w:rsidR="002C332A" w:rsidRPr="00E757D1">
        <w:rPr>
          <w:rStyle w:val="Refdenotaalpie"/>
          <w:rFonts w:ascii="Verdana" w:hAnsi="Verdana"/>
          <w:bCs/>
          <w:sz w:val="20"/>
          <w:szCs w:val="20"/>
          <w:lang w:val="es-ES"/>
        </w:rPr>
        <w:footnoteReference w:id="96"/>
      </w:r>
      <w:r w:rsidR="00ED12AD" w:rsidRPr="00E757D1">
        <w:rPr>
          <w:rFonts w:ascii="Verdana" w:hAnsi="Verdana"/>
          <w:bCs/>
          <w:sz w:val="20"/>
          <w:szCs w:val="20"/>
          <w:lang w:val="es-ES"/>
        </w:rPr>
        <w:t>, lo que, a juicio del suscrito, era improcedente.</w:t>
      </w:r>
    </w:p>
    <w:p w14:paraId="45292DBC" w14:textId="77777777" w:rsidR="007865AC" w:rsidRPr="00E757D1" w:rsidRDefault="007865AC" w:rsidP="00DA5A31">
      <w:pPr>
        <w:pStyle w:val="Prrafodelista"/>
        <w:spacing w:line="276" w:lineRule="auto"/>
        <w:ind w:left="-270" w:right="-162"/>
        <w:rPr>
          <w:rFonts w:ascii="Verdana" w:hAnsi="Verdana"/>
          <w:b/>
          <w:sz w:val="20"/>
          <w:szCs w:val="20"/>
          <w:lang w:val="es-ES"/>
        </w:rPr>
      </w:pPr>
    </w:p>
    <w:p w14:paraId="7FB69D66" w14:textId="6F6D0A18" w:rsidR="001333CA" w:rsidRPr="00E757D1" w:rsidRDefault="00ED12AD" w:rsidP="00DA5A31">
      <w:pPr>
        <w:pStyle w:val="Prrafodelista"/>
        <w:numPr>
          <w:ilvl w:val="0"/>
          <w:numId w:val="5"/>
        </w:numPr>
        <w:spacing w:line="276" w:lineRule="auto"/>
        <w:ind w:left="-270" w:right="-162" w:firstLine="0"/>
        <w:rPr>
          <w:rFonts w:ascii="Verdana" w:hAnsi="Verdana"/>
          <w:b/>
          <w:sz w:val="20"/>
          <w:szCs w:val="20"/>
          <w:lang w:val="es-ES"/>
        </w:rPr>
      </w:pPr>
      <w:r w:rsidRPr="00E757D1">
        <w:rPr>
          <w:rFonts w:ascii="Verdana" w:hAnsi="Verdana"/>
          <w:bCs/>
          <w:sz w:val="20"/>
          <w:szCs w:val="20"/>
          <w:lang w:val="es-ES"/>
        </w:rPr>
        <w:t>La disposición en comento señala que:</w:t>
      </w:r>
    </w:p>
    <w:p w14:paraId="1BC1576E" w14:textId="77777777" w:rsidR="001333CA" w:rsidRPr="00E757D1" w:rsidRDefault="001333CA" w:rsidP="00DA5A31">
      <w:pPr>
        <w:pStyle w:val="Prrafodelista"/>
        <w:ind w:left="-270" w:right="-162"/>
        <w:rPr>
          <w:rFonts w:ascii="Verdana" w:eastAsia="Times New Roman" w:hAnsi="Verdana" w:cs="Tahoma"/>
          <w:i/>
          <w:iCs/>
          <w:sz w:val="20"/>
          <w:szCs w:val="20"/>
          <w:lang w:val="es-ES" w:eastAsia="es-CR"/>
        </w:rPr>
      </w:pPr>
    </w:p>
    <w:p w14:paraId="37B31D66" w14:textId="77777777" w:rsidR="00612A4E" w:rsidRPr="00F52327" w:rsidRDefault="00ED12AD" w:rsidP="001C1C29">
      <w:pPr>
        <w:pStyle w:val="Prrafodelista"/>
        <w:spacing w:line="276" w:lineRule="auto"/>
        <w:ind w:right="-162"/>
        <w:rPr>
          <w:rFonts w:ascii="Verdana" w:eastAsia="Times New Roman" w:hAnsi="Verdana" w:cs="Tahoma"/>
          <w:i/>
          <w:iCs/>
          <w:sz w:val="18"/>
          <w:szCs w:val="18"/>
          <w:lang w:val="es-ES" w:eastAsia="es-CR"/>
        </w:rPr>
      </w:pPr>
      <w:r w:rsidRPr="00F52327">
        <w:rPr>
          <w:rFonts w:ascii="Verdana" w:eastAsia="Times New Roman" w:hAnsi="Verdana" w:cs="Tahoma"/>
          <w:i/>
          <w:iCs/>
          <w:sz w:val="18"/>
          <w:szCs w:val="18"/>
          <w:lang w:val="es-ES" w:eastAsia="es-CR"/>
        </w:rPr>
        <w:t>“Todas las personas son iguales ante la ley.  En consecuencia, tienen derecho, si</w:t>
      </w:r>
      <w:r w:rsidR="001333CA" w:rsidRPr="00F52327">
        <w:rPr>
          <w:rFonts w:ascii="Verdana" w:eastAsia="Times New Roman" w:hAnsi="Verdana" w:cs="Tahoma"/>
          <w:i/>
          <w:iCs/>
          <w:sz w:val="18"/>
          <w:szCs w:val="18"/>
          <w:lang w:val="es-ES" w:eastAsia="es-CR"/>
        </w:rPr>
        <w:t xml:space="preserve">n </w:t>
      </w:r>
      <w:r w:rsidRPr="00F52327">
        <w:rPr>
          <w:rFonts w:ascii="Verdana" w:eastAsia="Times New Roman" w:hAnsi="Verdana" w:cs="Tahoma"/>
          <w:i/>
          <w:iCs/>
          <w:sz w:val="18"/>
          <w:szCs w:val="18"/>
          <w:lang w:val="es-ES" w:eastAsia="es-CR"/>
        </w:rPr>
        <w:t>discriminación, a igual protección de la ley.”</w:t>
      </w:r>
    </w:p>
    <w:p w14:paraId="390EA970" w14:textId="77777777" w:rsidR="00612A4E" w:rsidRPr="00E757D1" w:rsidRDefault="00612A4E" w:rsidP="00DA5A31">
      <w:pPr>
        <w:pStyle w:val="Prrafodelista"/>
        <w:spacing w:line="276" w:lineRule="auto"/>
        <w:ind w:left="-270" w:right="-162"/>
        <w:rPr>
          <w:rFonts w:ascii="Verdana" w:eastAsia="Times New Roman" w:hAnsi="Verdana" w:cs="Tahoma"/>
          <w:i/>
          <w:iCs/>
          <w:sz w:val="20"/>
          <w:szCs w:val="20"/>
          <w:lang w:val="es-ES" w:eastAsia="es-CR"/>
        </w:rPr>
      </w:pPr>
    </w:p>
    <w:p w14:paraId="33BC96A6" w14:textId="56C09AB0" w:rsidR="001333CA" w:rsidRPr="00E757D1" w:rsidRDefault="001333CA" w:rsidP="00DA5A31">
      <w:pPr>
        <w:pStyle w:val="Prrafodelista"/>
        <w:numPr>
          <w:ilvl w:val="0"/>
          <w:numId w:val="5"/>
        </w:numPr>
        <w:spacing w:line="276" w:lineRule="auto"/>
        <w:ind w:left="-270" w:right="-162" w:firstLine="0"/>
        <w:rPr>
          <w:rFonts w:ascii="Verdana" w:eastAsia="Times New Roman" w:hAnsi="Verdana" w:cs="Tahoma"/>
          <w:i/>
          <w:iCs/>
          <w:sz w:val="20"/>
          <w:szCs w:val="20"/>
          <w:lang w:val="es-ES" w:eastAsia="es-CR"/>
        </w:rPr>
      </w:pPr>
      <w:r w:rsidRPr="00E757D1">
        <w:rPr>
          <w:rFonts w:ascii="Verdana" w:eastAsia="Times New Roman" w:hAnsi="Verdana" w:cs="Tahoma"/>
          <w:sz w:val="20"/>
          <w:szCs w:val="20"/>
          <w:lang w:val="es-ES" w:eastAsia="es-CR"/>
        </w:rPr>
        <w:t>Procurando expresar de la mejor forma posible este disenso, las razones que lo sostienen serán expuestas en términos similares a los empleados precedentemente para la interpretación del artículo 26, vale decir, acorde a lo prescrito en el artículo 31 de la Convención de Viena</w:t>
      </w:r>
      <w:r w:rsidR="003C66A5" w:rsidRPr="00E757D1">
        <w:rPr>
          <w:rStyle w:val="Refdenotaalpie"/>
          <w:rFonts w:ascii="Verdana" w:eastAsia="Times New Roman" w:hAnsi="Verdana" w:cs="Tahoma"/>
          <w:sz w:val="20"/>
          <w:szCs w:val="20"/>
          <w:lang w:val="es-ES" w:eastAsia="es-CR"/>
        </w:rPr>
        <w:footnoteReference w:id="97"/>
      </w:r>
      <w:r w:rsidRPr="00E757D1">
        <w:rPr>
          <w:rFonts w:ascii="Verdana" w:eastAsia="Times New Roman" w:hAnsi="Verdana" w:cs="Tahoma"/>
          <w:sz w:val="20"/>
          <w:szCs w:val="20"/>
          <w:lang w:val="es-ES" w:eastAsia="es-CR"/>
        </w:rPr>
        <w:t>.</w:t>
      </w:r>
      <w:r w:rsidR="00007E4F" w:rsidRPr="00E757D1">
        <w:rPr>
          <w:rFonts w:ascii="Verdana" w:eastAsia="Times New Roman" w:hAnsi="Verdana" w:cs="Tahoma"/>
          <w:sz w:val="20"/>
          <w:szCs w:val="20"/>
          <w:lang w:val="es-ES" w:eastAsia="es-CR"/>
        </w:rPr>
        <w:t xml:space="preserve"> </w:t>
      </w:r>
    </w:p>
    <w:p w14:paraId="47507AB8" w14:textId="77BD64D8" w:rsidR="001333CA" w:rsidRPr="00E757D1" w:rsidRDefault="001333CA" w:rsidP="00DA5A31">
      <w:pPr>
        <w:pStyle w:val="Prrafodelista"/>
        <w:ind w:left="-270" w:right="-162"/>
        <w:rPr>
          <w:rFonts w:ascii="Verdana" w:eastAsia="Times New Roman" w:hAnsi="Verdana" w:cs="Tahoma"/>
          <w:sz w:val="20"/>
          <w:szCs w:val="20"/>
          <w:lang w:val="es-ES" w:eastAsia="es-CR"/>
        </w:rPr>
      </w:pPr>
    </w:p>
    <w:p w14:paraId="1B357A22" w14:textId="11CD0EB4" w:rsidR="00ED12AD" w:rsidRPr="00E757D1" w:rsidRDefault="007447C8" w:rsidP="00DA5A31">
      <w:pPr>
        <w:pStyle w:val="Prrafodelista"/>
        <w:numPr>
          <w:ilvl w:val="0"/>
          <w:numId w:val="17"/>
        </w:numPr>
        <w:ind w:left="-270" w:right="-162" w:firstLine="0"/>
        <w:rPr>
          <w:rFonts w:ascii="Verdana" w:eastAsia="Times New Roman" w:hAnsi="Verdana" w:cs="Tahoma"/>
          <w:b/>
          <w:bCs/>
          <w:sz w:val="20"/>
          <w:szCs w:val="20"/>
          <w:lang w:val="es-ES" w:eastAsia="es-CR"/>
        </w:rPr>
      </w:pPr>
      <w:r w:rsidRPr="00E757D1">
        <w:rPr>
          <w:rFonts w:ascii="Verdana" w:eastAsia="Times New Roman" w:hAnsi="Verdana" w:cs="Tahoma"/>
          <w:b/>
          <w:bCs/>
          <w:sz w:val="20"/>
          <w:szCs w:val="20"/>
          <w:lang w:val="es-ES" w:eastAsia="es-CR"/>
        </w:rPr>
        <w:t xml:space="preserve"> </w:t>
      </w:r>
      <w:r w:rsidR="001333CA" w:rsidRPr="00E757D1">
        <w:rPr>
          <w:rFonts w:ascii="Verdana" w:eastAsia="Times New Roman" w:hAnsi="Verdana" w:cs="Tahoma"/>
          <w:b/>
          <w:bCs/>
          <w:sz w:val="20"/>
          <w:szCs w:val="20"/>
          <w:lang w:val="es-ES" w:eastAsia="es-CR"/>
        </w:rPr>
        <w:t xml:space="preserve">La buena fe. </w:t>
      </w:r>
    </w:p>
    <w:p w14:paraId="256AD736" w14:textId="7E0A1AEA" w:rsidR="001333CA" w:rsidRPr="00E757D1" w:rsidRDefault="001333CA" w:rsidP="00DA5A31">
      <w:pPr>
        <w:pStyle w:val="Prrafodelista"/>
        <w:ind w:left="-270" w:right="-162"/>
        <w:rPr>
          <w:rFonts w:ascii="Verdana" w:eastAsia="Times New Roman" w:hAnsi="Verdana" w:cs="Tahoma"/>
          <w:b/>
          <w:bCs/>
          <w:sz w:val="20"/>
          <w:szCs w:val="20"/>
          <w:lang w:val="es-ES" w:eastAsia="es-CR"/>
        </w:rPr>
      </w:pPr>
    </w:p>
    <w:p w14:paraId="6EB423FA" w14:textId="74AF435A" w:rsidR="000C269A" w:rsidRPr="00E757D1" w:rsidRDefault="00857186" w:rsidP="00DA5A31">
      <w:pPr>
        <w:pStyle w:val="Prrafodelista"/>
        <w:numPr>
          <w:ilvl w:val="0"/>
          <w:numId w:val="5"/>
        </w:numPr>
        <w:ind w:left="-270" w:right="-162" w:firstLine="0"/>
        <w:rPr>
          <w:rFonts w:ascii="Verdana" w:eastAsia="Times New Roman" w:hAnsi="Verdana" w:cs="Tahoma"/>
          <w:sz w:val="20"/>
          <w:szCs w:val="20"/>
          <w:lang w:val="es-ES" w:eastAsia="es-CR"/>
        </w:rPr>
      </w:pPr>
      <w:r w:rsidRPr="00E757D1">
        <w:rPr>
          <w:rFonts w:ascii="Verdana" w:eastAsia="Times New Roman" w:hAnsi="Verdana" w:cs="Tahoma"/>
          <w:sz w:val="20"/>
          <w:szCs w:val="20"/>
          <w:lang w:val="es-ES" w:eastAsia="es-CR"/>
        </w:rPr>
        <w:t xml:space="preserve">Interpretar </w:t>
      </w:r>
      <w:r w:rsidR="00007E4F" w:rsidRPr="00E757D1">
        <w:rPr>
          <w:rFonts w:ascii="Verdana" w:eastAsia="Times New Roman" w:hAnsi="Verdana" w:cs="Tahoma"/>
          <w:sz w:val="20"/>
          <w:szCs w:val="20"/>
          <w:lang w:val="es-ES" w:eastAsia="es-CR"/>
        </w:rPr>
        <w:t xml:space="preserve">la norma en cuestión </w:t>
      </w:r>
      <w:r w:rsidRPr="00E757D1">
        <w:rPr>
          <w:rFonts w:ascii="Verdana" w:eastAsia="Times New Roman" w:hAnsi="Verdana" w:cs="Tahoma"/>
          <w:sz w:val="20"/>
          <w:szCs w:val="20"/>
          <w:lang w:val="es-ES" w:eastAsia="es-CR"/>
        </w:rPr>
        <w:t xml:space="preserve">conforme a la buena fe importa entenderla en el sentido de que su efecto útil </w:t>
      </w:r>
      <w:r w:rsidR="00007E4F" w:rsidRPr="00E757D1">
        <w:rPr>
          <w:rFonts w:ascii="Verdana" w:eastAsia="Times New Roman" w:hAnsi="Verdana" w:cs="Tahoma"/>
          <w:sz w:val="20"/>
          <w:szCs w:val="20"/>
          <w:lang w:val="es-ES" w:eastAsia="es-CR"/>
        </w:rPr>
        <w:t>es que</w:t>
      </w:r>
      <w:r w:rsidRPr="00E757D1">
        <w:rPr>
          <w:rFonts w:ascii="Verdana" w:eastAsia="Times New Roman" w:hAnsi="Verdana" w:cs="Tahoma"/>
          <w:sz w:val="20"/>
          <w:szCs w:val="20"/>
          <w:lang w:val="es-ES" w:eastAsia="es-CR"/>
        </w:rPr>
        <w:t xml:space="preserve"> toda persona tiene el derecho a que</w:t>
      </w:r>
      <w:r w:rsidR="00007E4F" w:rsidRPr="00E757D1">
        <w:rPr>
          <w:rFonts w:ascii="Verdana" w:eastAsia="Times New Roman" w:hAnsi="Verdana" w:cs="Tahoma"/>
          <w:sz w:val="20"/>
          <w:szCs w:val="20"/>
          <w:lang w:val="es-ES" w:eastAsia="es-CR"/>
        </w:rPr>
        <w:t xml:space="preserve"> la ley </w:t>
      </w:r>
      <w:r w:rsidRPr="00E757D1">
        <w:rPr>
          <w:rFonts w:ascii="Verdana" w:eastAsia="Times New Roman" w:hAnsi="Verdana" w:cs="Tahoma"/>
          <w:sz w:val="20"/>
          <w:szCs w:val="20"/>
          <w:lang w:val="es-ES" w:eastAsia="es-CR"/>
        </w:rPr>
        <w:t xml:space="preserve">la </w:t>
      </w:r>
      <w:r w:rsidR="00007E4F" w:rsidRPr="00E757D1">
        <w:rPr>
          <w:rFonts w:ascii="Verdana" w:eastAsia="Times New Roman" w:hAnsi="Verdana" w:cs="Tahoma"/>
          <w:sz w:val="20"/>
          <w:szCs w:val="20"/>
          <w:lang w:val="es-ES" w:eastAsia="es-CR"/>
        </w:rPr>
        <w:t>trate como igual</w:t>
      </w:r>
      <w:r w:rsidRPr="00E757D1">
        <w:rPr>
          <w:rFonts w:ascii="Verdana" w:eastAsia="Times New Roman" w:hAnsi="Verdana" w:cs="Tahoma"/>
          <w:sz w:val="20"/>
          <w:szCs w:val="20"/>
          <w:lang w:val="es-ES" w:eastAsia="es-CR"/>
        </w:rPr>
        <w:t xml:space="preserve"> a l</w:t>
      </w:r>
      <w:r w:rsidR="00E251F3" w:rsidRPr="00E757D1">
        <w:rPr>
          <w:rFonts w:ascii="Verdana" w:eastAsia="Times New Roman" w:hAnsi="Verdana" w:cs="Tahoma"/>
          <w:sz w:val="20"/>
          <w:szCs w:val="20"/>
          <w:lang w:val="es-ES" w:eastAsia="es-CR"/>
        </w:rPr>
        <w:t>o</w:t>
      </w:r>
      <w:r w:rsidRPr="00E757D1">
        <w:rPr>
          <w:rFonts w:ascii="Verdana" w:eastAsia="Times New Roman" w:hAnsi="Verdana" w:cs="Tahoma"/>
          <w:sz w:val="20"/>
          <w:szCs w:val="20"/>
          <w:lang w:val="es-ES" w:eastAsia="es-CR"/>
        </w:rPr>
        <w:t>s demás</w:t>
      </w:r>
      <w:r w:rsidR="00E251F3" w:rsidRPr="00E757D1">
        <w:rPr>
          <w:rFonts w:ascii="Verdana" w:eastAsia="Times New Roman" w:hAnsi="Verdana" w:cs="Tahoma"/>
          <w:sz w:val="20"/>
          <w:szCs w:val="20"/>
          <w:lang w:val="es-ES" w:eastAsia="es-CR"/>
        </w:rPr>
        <w:t xml:space="preserve"> seres humanos</w:t>
      </w:r>
      <w:r w:rsidRPr="00E757D1">
        <w:rPr>
          <w:rFonts w:ascii="Verdana" w:eastAsia="Times New Roman" w:hAnsi="Verdana" w:cs="Tahoma"/>
          <w:sz w:val="20"/>
          <w:szCs w:val="20"/>
          <w:lang w:val="es-ES" w:eastAsia="es-CR"/>
        </w:rPr>
        <w:t xml:space="preserve"> y que, por lo tanto, la proteja sin discriminación.</w:t>
      </w:r>
    </w:p>
    <w:p w14:paraId="7D3451E0" w14:textId="77777777" w:rsidR="000C269A" w:rsidRPr="00E757D1" w:rsidRDefault="000C269A" w:rsidP="00DA5A31">
      <w:pPr>
        <w:pStyle w:val="Prrafodelista"/>
        <w:ind w:left="-270" w:right="-162"/>
        <w:rPr>
          <w:rFonts w:ascii="Verdana" w:eastAsia="Times New Roman" w:hAnsi="Verdana" w:cs="Tahoma"/>
          <w:sz w:val="20"/>
          <w:szCs w:val="20"/>
          <w:lang w:val="es-ES" w:eastAsia="es-CR"/>
        </w:rPr>
      </w:pPr>
    </w:p>
    <w:p w14:paraId="38C6E3B9" w14:textId="02B7CB5C" w:rsidR="000C269A" w:rsidRPr="00E757D1" w:rsidRDefault="00857186" w:rsidP="00DA5A31">
      <w:pPr>
        <w:pStyle w:val="Prrafodelista"/>
        <w:numPr>
          <w:ilvl w:val="0"/>
          <w:numId w:val="5"/>
        </w:numPr>
        <w:ind w:left="-270" w:right="-162" w:firstLine="0"/>
        <w:rPr>
          <w:rFonts w:ascii="Verdana" w:eastAsia="Times New Roman" w:hAnsi="Verdana" w:cs="Tahoma"/>
          <w:sz w:val="20"/>
          <w:szCs w:val="20"/>
          <w:lang w:val="es-ES" w:eastAsia="es-CR"/>
        </w:rPr>
      </w:pPr>
      <w:r w:rsidRPr="00E757D1">
        <w:rPr>
          <w:rFonts w:ascii="Verdana" w:eastAsia="Times New Roman" w:hAnsi="Verdana" w:cs="Tahoma"/>
          <w:sz w:val="20"/>
          <w:szCs w:val="20"/>
          <w:lang w:val="es-ES" w:eastAsia="es-CR"/>
        </w:rPr>
        <w:t xml:space="preserve">En ese sentido, la eventual violación de ese derecho se produciría por la ley misma </w:t>
      </w:r>
      <w:r w:rsidR="003A72AB" w:rsidRPr="00E757D1">
        <w:rPr>
          <w:rFonts w:ascii="Verdana" w:eastAsia="Times New Roman" w:hAnsi="Verdana" w:cs="Tahoma"/>
          <w:sz w:val="20"/>
          <w:szCs w:val="20"/>
          <w:lang w:val="es-ES" w:eastAsia="es-CR"/>
        </w:rPr>
        <w:t xml:space="preserve">y no porque no </w:t>
      </w:r>
      <w:r w:rsidR="00CD3742" w:rsidRPr="00E757D1">
        <w:rPr>
          <w:rFonts w:ascii="Verdana" w:eastAsia="Times New Roman" w:hAnsi="Verdana" w:cs="Tahoma"/>
          <w:sz w:val="20"/>
          <w:szCs w:val="20"/>
          <w:lang w:val="es-ES" w:eastAsia="es-CR"/>
        </w:rPr>
        <w:t xml:space="preserve">se </w:t>
      </w:r>
      <w:r w:rsidR="003A72AB" w:rsidRPr="00E757D1">
        <w:rPr>
          <w:rFonts w:ascii="Verdana" w:eastAsia="Times New Roman" w:hAnsi="Verdana" w:cs="Tahoma"/>
          <w:sz w:val="20"/>
          <w:szCs w:val="20"/>
          <w:lang w:val="es-ES" w:eastAsia="es-CR"/>
        </w:rPr>
        <w:t>garantice el libre y pleno ejercicio de</w:t>
      </w:r>
      <w:r w:rsidRPr="00E757D1">
        <w:rPr>
          <w:rFonts w:ascii="Verdana" w:eastAsia="Times New Roman" w:hAnsi="Verdana" w:cs="Tahoma"/>
          <w:sz w:val="20"/>
          <w:szCs w:val="20"/>
          <w:lang w:val="es-ES" w:eastAsia="es-CR"/>
        </w:rPr>
        <w:t xml:space="preserve"> </w:t>
      </w:r>
      <w:r w:rsidR="003A72AB" w:rsidRPr="00E757D1">
        <w:rPr>
          <w:rFonts w:ascii="Verdana" w:eastAsia="Times New Roman" w:hAnsi="Verdana" w:cs="Tahoma"/>
          <w:sz w:val="20"/>
          <w:szCs w:val="20"/>
          <w:lang w:val="es-ES" w:eastAsia="es-CR"/>
        </w:rPr>
        <w:t>algún otro derecho reconocido por la Convención</w:t>
      </w:r>
      <w:r w:rsidR="00CF6779" w:rsidRPr="00E757D1">
        <w:rPr>
          <w:rFonts w:ascii="Verdana" w:eastAsia="Times New Roman" w:hAnsi="Verdana" w:cs="Tahoma"/>
          <w:sz w:val="20"/>
          <w:szCs w:val="20"/>
          <w:lang w:val="es-ES" w:eastAsia="es-CR"/>
        </w:rPr>
        <w:t>.</w:t>
      </w:r>
      <w:r w:rsidR="003A72AB" w:rsidRPr="00E757D1">
        <w:rPr>
          <w:rFonts w:ascii="Verdana" w:eastAsia="Times New Roman" w:hAnsi="Verdana" w:cs="Tahoma"/>
          <w:sz w:val="20"/>
          <w:szCs w:val="20"/>
          <w:lang w:val="es-ES" w:eastAsia="es-CR"/>
        </w:rPr>
        <w:t xml:space="preserve"> Esto es, el </w:t>
      </w:r>
      <w:r w:rsidR="008914C8" w:rsidRPr="00E757D1">
        <w:rPr>
          <w:rFonts w:ascii="Verdana" w:eastAsia="Times New Roman" w:hAnsi="Verdana" w:cs="Tahoma"/>
          <w:sz w:val="20"/>
          <w:szCs w:val="20"/>
          <w:lang w:val="es-ES" w:eastAsia="es-CR"/>
        </w:rPr>
        <w:t xml:space="preserve">efecto útil del </w:t>
      </w:r>
      <w:r w:rsidR="003A72AB" w:rsidRPr="00E757D1">
        <w:rPr>
          <w:rFonts w:ascii="Verdana" w:eastAsia="Times New Roman" w:hAnsi="Verdana" w:cs="Tahoma"/>
          <w:sz w:val="20"/>
          <w:szCs w:val="20"/>
          <w:lang w:val="es-ES" w:eastAsia="es-CR"/>
        </w:rPr>
        <w:t>d</w:t>
      </w:r>
      <w:r w:rsidR="00612A4E" w:rsidRPr="00E757D1">
        <w:rPr>
          <w:rFonts w:ascii="Verdana" w:eastAsia="Times New Roman" w:hAnsi="Verdana" w:cs="Tahoma"/>
          <w:sz w:val="20"/>
          <w:szCs w:val="20"/>
          <w:lang w:val="es-ES" w:eastAsia="es-CR"/>
        </w:rPr>
        <w:t>er</w:t>
      </w:r>
      <w:r w:rsidR="003A72AB" w:rsidRPr="00E757D1">
        <w:rPr>
          <w:rFonts w:ascii="Verdana" w:eastAsia="Times New Roman" w:hAnsi="Verdana" w:cs="Tahoma"/>
          <w:sz w:val="20"/>
          <w:szCs w:val="20"/>
          <w:lang w:val="es-ES" w:eastAsia="es-CR"/>
        </w:rPr>
        <w:t>echo en comento es</w:t>
      </w:r>
      <w:r w:rsidR="008914C8" w:rsidRPr="00E757D1">
        <w:rPr>
          <w:rFonts w:ascii="Verdana" w:eastAsia="Times New Roman" w:hAnsi="Verdana" w:cs="Tahoma"/>
          <w:sz w:val="20"/>
          <w:szCs w:val="20"/>
          <w:lang w:val="es-ES" w:eastAsia="es-CR"/>
        </w:rPr>
        <w:t xml:space="preserve"> que sea considerado,</w:t>
      </w:r>
      <w:r w:rsidR="003A72AB" w:rsidRPr="00E757D1">
        <w:rPr>
          <w:rFonts w:ascii="Verdana" w:eastAsia="Times New Roman" w:hAnsi="Verdana" w:cs="Tahoma"/>
          <w:sz w:val="20"/>
          <w:szCs w:val="20"/>
          <w:lang w:val="es-ES" w:eastAsia="es-CR"/>
        </w:rPr>
        <w:t xml:space="preserve"> en sí mismo, un derecho humano.</w:t>
      </w:r>
      <w:r w:rsidR="00CD3742" w:rsidRPr="00E757D1">
        <w:rPr>
          <w:rFonts w:ascii="Verdana" w:eastAsia="Times New Roman" w:hAnsi="Verdana" w:cs="Tahoma"/>
          <w:sz w:val="20"/>
          <w:szCs w:val="20"/>
          <w:lang w:val="es-ES" w:eastAsia="es-CR"/>
        </w:rPr>
        <w:t xml:space="preserve"> El trato desigual que establezca</w:t>
      </w:r>
      <w:r w:rsidR="004D6F89" w:rsidRPr="00E757D1">
        <w:rPr>
          <w:rFonts w:ascii="Verdana" w:eastAsia="Times New Roman" w:hAnsi="Verdana" w:cs="Tahoma"/>
          <w:sz w:val="20"/>
          <w:szCs w:val="20"/>
          <w:lang w:val="es-ES" w:eastAsia="es-CR"/>
        </w:rPr>
        <w:t>,</w:t>
      </w:r>
      <w:r w:rsidR="00CD3742" w:rsidRPr="00E757D1">
        <w:rPr>
          <w:rFonts w:ascii="Verdana" w:eastAsia="Times New Roman" w:hAnsi="Verdana" w:cs="Tahoma"/>
          <w:sz w:val="20"/>
          <w:szCs w:val="20"/>
          <w:lang w:val="es-ES" w:eastAsia="es-CR"/>
        </w:rPr>
        <w:t xml:space="preserve"> o la discriminación que disponga en cuanto la protección que proporcione, sería la causa que origine la responsabilidad internacional del Estado.</w:t>
      </w:r>
    </w:p>
    <w:p w14:paraId="123813B6" w14:textId="77777777" w:rsidR="00B24B6A" w:rsidRPr="00E757D1" w:rsidRDefault="00B24B6A" w:rsidP="00DA5A31">
      <w:pPr>
        <w:pStyle w:val="Prrafodelista"/>
        <w:ind w:left="-270" w:right="-162"/>
        <w:rPr>
          <w:rFonts w:ascii="Verdana" w:eastAsia="Times New Roman" w:hAnsi="Verdana" w:cs="Tahoma"/>
          <w:sz w:val="20"/>
          <w:szCs w:val="20"/>
          <w:lang w:val="es-ES" w:eastAsia="es-CR"/>
        </w:rPr>
      </w:pPr>
    </w:p>
    <w:p w14:paraId="301B70D2" w14:textId="77777777" w:rsidR="00B24B6A" w:rsidRPr="00E757D1" w:rsidRDefault="00B24B6A" w:rsidP="00DA5A31">
      <w:pPr>
        <w:pStyle w:val="Prrafodelista"/>
        <w:numPr>
          <w:ilvl w:val="0"/>
          <w:numId w:val="5"/>
        </w:numPr>
        <w:ind w:left="-270" w:right="-162" w:firstLine="0"/>
        <w:rPr>
          <w:rFonts w:ascii="Verdana" w:eastAsia="Times New Roman" w:hAnsi="Verdana" w:cs="Tahoma"/>
          <w:sz w:val="20"/>
          <w:szCs w:val="20"/>
          <w:lang w:val="es-ES" w:eastAsia="es-CR"/>
        </w:rPr>
      </w:pPr>
      <w:r w:rsidRPr="00E757D1">
        <w:rPr>
          <w:rFonts w:ascii="Verdana" w:eastAsia="Times New Roman" w:hAnsi="Verdana" w:cs="Tahoma"/>
          <w:sz w:val="20"/>
          <w:szCs w:val="20"/>
          <w:lang w:val="es-ES" w:eastAsia="es-CR"/>
        </w:rPr>
        <w:t>La regla de la buena fe conduce, en consecuencia, a considerar a lo previsto en el artículo 24 de la Convención como algo nítidamente distinto de lo contemplado en el artículo 1.1 de la misma, la que prevé una obligación condicional de los Estados para g</w:t>
      </w:r>
      <w:r w:rsidRPr="00E757D1">
        <w:rPr>
          <w:rFonts w:ascii="Verdana" w:hAnsi="Verdana" w:cs="Tahoma"/>
          <w:sz w:val="20"/>
          <w:szCs w:val="20"/>
          <w:lang w:val="es-ES"/>
        </w:rPr>
        <w:t>arantizar el libre y pleno ejercicio de todos los derechos reconocidos en ella, incluido, por ende, el pertinente a la igualdad ante la ley.</w:t>
      </w:r>
    </w:p>
    <w:p w14:paraId="4F14D2C6" w14:textId="77777777" w:rsidR="000C269A" w:rsidRPr="00E757D1" w:rsidRDefault="000C269A" w:rsidP="00DA5A31">
      <w:pPr>
        <w:pStyle w:val="Prrafodelista"/>
        <w:ind w:left="-270" w:right="-162"/>
        <w:rPr>
          <w:rFonts w:ascii="Verdana" w:eastAsia="Times New Roman" w:hAnsi="Verdana" w:cs="Tahoma"/>
          <w:sz w:val="20"/>
          <w:szCs w:val="20"/>
          <w:lang w:val="es-ES" w:eastAsia="es-CR"/>
        </w:rPr>
      </w:pPr>
    </w:p>
    <w:p w14:paraId="2A9A959E" w14:textId="262AB324" w:rsidR="006941A2" w:rsidRPr="00E757D1" w:rsidRDefault="00B24B6A" w:rsidP="00DA5A31">
      <w:pPr>
        <w:pStyle w:val="Prrafodelista"/>
        <w:numPr>
          <w:ilvl w:val="0"/>
          <w:numId w:val="5"/>
        </w:numPr>
        <w:ind w:left="-270" w:right="-162" w:firstLine="0"/>
        <w:rPr>
          <w:rFonts w:ascii="Verdana" w:eastAsia="Times New Roman" w:hAnsi="Verdana" w:cs="Tahoma"/>
          <w:sz w:val="20"/>
          <w:szCs w:val="20"/>
          <w:lang w:val="es-ES" w:eastAsia="es-CR"/>
        </w:rPr>
      </w:pPr>
      <w:r w:rsidRPr="00E757D1">
        <w:rPr>
          <w:rFonts w:ascii="Verdana" w:eastAsia="Times New Roman" w:hAnsi="Verdana" w:cs="Tahoma"/>
          <w:sz w:val="20"/>
          <w:szCs w:val="20"/>
          <w:lang w:val="es-ES" w:eastAsia="es-CR"/>
        </w:rPr>
        <w:t>En consecuencia</w:t>
      </w:r>
      <w:r w:rsidR="006941A2" w:rsidRPr="00E757D1">
        <w:rPr>
          <w:rFonts w:ascii="Verdana" w:eastAsia="Times New Roman" w:hAnsi="Verdana" w:cs="Tahoma"/>
          <w:sz w:val="20"/>
          <w:szCs w:val="20"/>
          <w:lang w:val="es-ES" w:eastAsia="es-CR"/>
        </w:rPr>
        <w:t>, resulta incomprensible que en autos se declar</w:t>
      </w:r>
      <w:r w:rsidR="00EC749E" w:rsidRPr="00E757D1">
        <w:rPr>
          <w:rFonts w:ascii="Verdana" w:eastAsia="Times New Roman" w:hAnsi="Verdana" w:cs="Tahoma"/>
          <w:sz w:val="20"/>
          <w:szCs w:val="20"/>
          <w:lang w:val="es-ES" w:eastAsia="es-CR"/>
        </w:rPr>
        <w:t>e</w:t>
      </w:r>
      <w:r w:rsidR="006941A2" w:rsidRPr="00E757D1">
        <w:rPr>
          <w:rFonts w:ascii="Verdana" w:eastAsia="Times New Roman" w:hAnsi="Verdana" w:cs="Tahoma"/>
          <w:sz w:val="20"/>
          <w:szCs w:val="20"/>
          <w:lang w:val="es-ES" w:eastAsia="es-CR"/>
        </w:rPr>
        <w:t xml:space="preserve"> que se violó el artículo 24 citado, sin indicar, empero, específicamente cual ley incurrió en ese ilícito internacional. En efecto, en la Sentencia se indica una situación genérica como la causante de tal ilicitud, a saber, </w:t>
      </w:r>
      <w:r w:rsidR="00EC749E" w:rsidRPr="00E757D1">
        <w:rPr>
          <w:rFonts w:ascii="Verdana" w:eastAsia="Times New Roman" w:hAnsi="Verdana" w:cs="Tahoma"/>
          <w:sz w:val="20"/>
          <w:szCs w:val="20"/>
          <w:lang w:val="es-ES" w:eastAsia="es-CR"/>
        </w:rPr>
        <w:t>la situación estructural de discriminación en virtud de la pobreza o la condición de mujer o afrodescendiente</w:t>
      </w:r>
      <w:r w:rsidR="00EC749E" w:rsidRPr="00E757D1">
        <w:rPr>
          <w:rStyle w:val="Refdenotaalpie"/>
          <w:rFonts w:ascii="Verdana" w:eastAsia="Times New Roman" w:hAnsi="Verdana" w:cs="Tahoma"/>
          <w:sz w:val="20"/>
          <w:szCs w:val="20"/>
          <w:lang w:val="es-ES" w:eastAsia="es-CR"/>
        </w:rPr>
        <w:footnoteReference w:id="98"/>
      </w:r>
      <w:r w:rsidR="00EC749E" w:rsidRPr="00E757D1">
        <w:rPr>
          <w:rFonts w:ascii="Verdana" w:eastAsia="Times New Roman" w:hAnsi="Verdana" w:cs="Tahoma"/>
          <w:sz w:val="20"/>
          <w:szCs w:val="20"/>
          <w:lang w:val="es-ES" w:eastAsia="es-CR"/>
        </w:rPr>
        <w:t xml:space="preserve">, sin, empero, hacer referencia </w:t>
      </w:r>
      <w:r w:rsidR="00400A5F" w:rsidRPr="00E757D1">
        <w:rPr>
          <w:rFonts w:ascii="Verdana" w:eastAsia="Times New Roman" w:hAnsi="Verdana" w:cs="Tahoma"/>
          <w:sz w:val="20"/>
          <w:szCs w:val="20"/>
          <w:lang w:val="es-ES" w:eastAsia="es-CR"/>
        </w:rPr>
        <w:t xml:space="preserve">alguna </w:t>
      </w:r>
      <w:r w:rsidRPr="00E757D1">
        <w:rPr>
          <w:rFonts w:ascii="Verdana" w:eastAsia="Times New Roman" w:hAnsi="Verdana" w:cs="Tahoma"/>
          <w:sz w:val="20"/>
          <w:szCs w:val="20"/>
          <w:lang w:val="es-ES" w:eastAsia="es-CR"/>
        </w:rPr>
        <w:t xml:space="preserve">específicamente a </w:t>
      </w:r>
      <w:r w:rsidR="00EC749E" w:rsidRPr="00E757D1">
        <w:rPr>
          <w:rFonts w:ascii="Verdana" w:eastAsia="Times New Roman" w:hAnsi="Verdana" w:cs="Tahoma"/>
          <w:sz w:val="20"/>
          <w:szCs w:val="20"/>
          <w:lang w:val="es-ES" w:eastAsia="es-CR"/>
        </w:rPr>
        <w:t xml:space="preserve">la ley </w:t>
      </w:r>
      <w:r w:rsidRPr="00E757D1">
        <w:rPr>
          <w:rFonts w:ascii="Verdana" w:eastAsia="Times New Roman" w:hAnsi="Verdana" w:cs="Tahoma"/>
          <w:sz w:val="20"/>
          <w:szCs w:val="20"/>
          <w:lang w:val="es-ES" w:eastAsia="es-CR"/>
        </w:rPr>
        <w:t xml:space="preserve">como </w:t>
      </w:r>
      <w:r w:rsidR="00EC749E" w:rsidRPr="00E757D1">
        <w:rPr>
          <w:rFonts w:ascii="Verdana" w:eastAsia="Times New Roman" w:hAnsi="Verdana" w:cs="Tahoma"/>
          <w:sz w:val="20"/>
          <w:szCs w:val="20"/>
          <w:lang w:val="es-ES" w:eastAsia="es-CR"/>
        </w:rPr>
        <w:t xml:space="preserve">la causante de ello. Recuérdese que el artículo 24 en cuestión </w:t>
      </w:r>
      <w:r w:rsidR="00EC749E" w:rsidRPr="00E757D1">
        <w:rPr>
          <w:rFonts w:ascii="Verdana" w:eastAsia="Times New Roman" w:hAnsi="Verdana" w:cs="Tahoma"/>
          <w:sz w:val="20"/>
          <w:szCs w:val="20"/>
          <w:lang w:val="es-ES" w:eastAsia="es-CR"/>
        </w:rPr>
        <w:lastRenderedPageBreak/>
        <w:t xml:space="preserve">expresamente establece que es la ley la que debe otorgar la igualdad entre los seres humanos y proporcionar la correspondiente protección, sin discriminación.   </w:t>
      </w:r>
    </w:p>
    <w:p w14:paraId="4F27417F" w14:textId="77777777" w:rsidR="001C1C29" w:rsidRPr="00E757D1" w:rsidRDefault="001C1C29" w:rsidP="001C1C29">
      <w:pPr>
        <w:ind w:left="0" w:right="-162"/>
        <w:rPr>
          <w:rFonts w:ascii="Verdana" w:eastAsia="Times New Roman" w:hAnsi="Verdana" w:cs="Tahoma"/>
          <w:sz w:val="20"/>
          <w:szCs w:val="20"/>
          <w:lang w:val="es-ES" w:eastAsia="es-CR"/>
        </w:rPr>
      </w:pPr>
    </w:p>
    <w:p w14:paraId="0BA705A8" w14:textId="1A3D96B3" w:rsidR="000D20D0" w:rsidRPr="00E757D1" w:rsidRDefault="001F1D74" w:rsidP="00DA5A31">
      <w:pPr>
        <w:pStyle w:val="Prrafodelista"/>
        <w:numPr>
          <w:ilvl w:val="0"/>
          <w:numId w:val="17"/>
        </w:numPr>
        <w:spacing w:line="276" w:lineRule="auto"/>
        <w:ind w:left="-270" w:right="-162" w:firstLine="0"/>
        <w:rPr>
          <w:rFonts w:ascii="Verdana" w:hAnsi="Verdana"/>
          <w:b/>
          <w:bCs/>
          <w:sz w:val="20"/>
          <w:szCs w:val="20"/>
          <w:lang w:val="es-ES"/>
        </w:rPr>
      </w:pPr>
      <w:r w:rsidRPr="00E757D1">
        <w:rPr>
          <w:rFonts w:ascii="Verdana" w:hAnsi="Verdana"/>
          <w:b/>
          <w:bCs/>
          <w:sz w:val="20"/>
          <w:szCs w:val="20"/>
          <w:lang w:val="es-ES"/>
        </w:rPr>
        <w:t>Tenor literal.</w:t>
      </w:r>
    </w:p>
    <w:p w14:paraId="47CB1716" w14:textId="77777777" w:rsidR="000C269A" w:rsidRPr="00E757D1" w:rsidRDefault="000C269A" w:rsidP="00DA5A31">
      <w:pPr>
        <w:pStyle w:val="Prrafodelista"/>
        <w:spacing w:line="276" w:lineRule="auto"/>
        <w:ind w:left="-270" w:right="-162"/>
        <w:rPr>
          <w:rFonts w:ascii="Verdana" w:hAnsi="Verdana"/>
          <w:b/>
          <w:bCs/>
          <w:sz w:val="20"/>
          <w:szCs w:val="20"/>
          <w:lang w:val="es-ES"/>
        </w:rPr>
      </w:pPr>
    </w:p>
    <w:p w14:paraId="021CAF05" w14:textId="77777777" w:rsidR="000C269A" w:rsidRPr="00E757D1" w:rsidRDefault="000D20D0" w:rsidP="00DA5A31">
      <w:pPr>
        <w:pStyle w:val="Prrafodelista"/>
        <w:numPr>
          <w:ilvl w:val="0"/>
          <w:numId w:val="5"/>
        </w:numPr>
        <w:spacing w:line="276" w:lineRule="auto"/>
        <w:ind w:left="-270" w:right="-162" w:firstLine="0"/>
        <w:rPr>
          <w:rFonts w:ascii="Verdana" w:hAnsi="Verdana"/>
          <w:b/>
          <w:bCs/>
          <w:sz w:val="20"/>
          <w:szCs w:val="20"/>
          <w:lang w:val="es-ES"/>
        </w:rPr>
      </w:pPr>
      <w:r w:rsidRPr="00E757D1">
        <w:rPr>
          <w:rFonts w:ascii="Verdana" w:eastAsia="Times New Roman" w:hAnsi="Verdana" w:cs="Tahoma"/>
          <w:sz w:val="20"/>
          <w:szCs w:val="20"/>
          <w:lang w:val="es-ES" w:eastAsia="es-CR"/>
        </w:rPr>
        <w:t xml:space="preserve">En lo pertinente al tenor literal de los términos, procede tener presente que la Convención no le proporcionó al </w:t>
      </w:r>
      <w:r w:rsidRPr="00E757D1">
        <w:rPr>
          <w:rFonts w:ascii="Verdana" w:hAnsi="Verdana" w:cs="Times New Roman"/>
          <w:iCs/>
          <w:sz w:val="20"/>
          <w:szCs w:val="20"/>
          <w:lang w:val="es-ES"/>
        </w:rPr>
        <w:t>término</w:t>
      </w:r>
      <w:r w:rsidRPr="00E757D1">
        <w:rPr>
          <w:rFonts w:ascii="Verdana" w:hAnsi="Verdana" w:cs="Times New Roman"/>
          <w:i/>
          <w:sz w:val="20"/>
          <w:szCs w:val="20"/>
          <w:lang w:val="es-ES"/>
        </w:rPr>
        <w:t xml:space="preserve"> “ley” </w:t>
      </w:r>
      <w:r w:rsidRPr="00E757D1">
        <w:rPr>
          <w:rFonts w:ascii="Verdana" w:hAnsi="Verdana" w:cs="Times New Roman"/>
          <w:iCs/>
          <w:sz w:val="20"/>
          <w:szCs w:val="20"/>
          <w:lang w:val="es-ES"/>
        </w:rPr>
        <w:t>un sentido especial</w:t>
      </w:r>
      <w:r w:rsidRPr="00E757D1">
        <w:rPr>
          <w:rStyle w:val="Refdenotaalpie"/>
          <w:rFonts w:ascii="Verdana" w:hAnsi="Verdana" w:cs="Times New Roman"/>
          <w:i/>
          <w:sz w:val="20"/>
          <w:szCs w:val="20"/>
          <w:lang w:val="es-ES"/>
        </w:rPr>
        <w:footnoteReference w:id="99"/>
      </w:r>
      <w:r w:rsidRPr="00E757D1">
        <w:rPr>
          <w:rFonts w:ascii="Verdana" w:hAnsi="Verdana" w:cs="Times New Roman"/>
          <w:iCs/>
          <w:sz w:val="20"/>
          <w:szCs w:val="20"/>
          <w:lang w:val="es-ES"/>
        </w:rPr>
        <w:t>, por lo que se debe recurrir a su sentido corriente, cual es, “</w:t>
      </w:r>
      <w:r w:rsidRPr="00E757D1">
        <w:rPr>
          <w:rFonts w:ascii="Verdana" w:hAnsi="Verdana" w:cs="Times New Roman"/>
          <w:i/>
          <w:sz w:val="20"/>
          <w:szCs w:val="20"/>
          <w:lang w:val="es-ES"/>
        </w:rPr>
        <w:t>precepto dictado por la autoridad competente, en que manda o prohíbe algo en consonancia con la justicia y para el bien de los gobernados</w:t>
      </w:r>
      <w:r w:rsidRPr="00E757D1">
        <w:rPr>
          <w:rFonts w:ascii="Verdana" w:hAnsi="Verdana" w:cs="Times New Roman"/>
          <w:iCs/>
          <w:sz w:val="20"/>
          <w:szCs w:val="20"/>
          <w:lang w:val="es-ES"/>
        </w:rPr>
        <w:t>”</w:t>
      </w:r>
      <w:r w:rsidR="00D77AFC" w:rsidRPr="00E757D1">
        <w:rPr>
          <w:rStyle w:val="Refdenotaalpie"/>
          <w:rFonts w:ascii="Verdana" w:hAnsi="Verdana" w:cs="Times New Roman"/>
          <w:iCs/>
          <w:sz w:val="20"/>
          <w:szCs w:val="20"/>
          <w:lang w:val="es-ES"/>
        </w:rPr>
        <w:footnoteReference w:id="100"/>
      </w:r>
      <w:r w:rsidR="00D77AFC" w:rsidRPr="00E757D1">
        <w:rPr>
          <w:rFonts w:ascii="Verdana" w:hAnsi="Verdana" w:cs="Times New Roman"/>
          <w:iCs/>
          <w:sz w:val="20"/>
          <w:szCs w:val="20"/>
          <w:lang w:val="es-ES"/>
        </w:rPr>
        <w:t>.</w:t>
      </w:r>
    </w:p>
    <w:p w14:paraId="53A5C9DA" w14:textId="77777777" w:rsidR="000C269A" w:rsidRPr="00E757D1" w:rsidRDefault="000C269A" w:rsidP="00DA5A31">
      <w:pPr>
        <w:pStyle w:val="Prrafodelista"/>
        <w:spacing w:line="276" w:lineRule="auto"/>
        <w:ind w:left="-270" w:right="-162"/>
        <w:rPr>
          <w:rFonts w:ascii="Verdana" w:hAnsi="Verdana"/>
          <w:b/>
          <w:bCs/>
          <w:sz w:val="20"/>
          <w:szCs w:val="20"/>
          <w:lang w:val="es-ES"/>
        </w:rPr>
      </w:pPr>
    </w:p>
    <w:p w14:paraId="1A95311E" w14:textId="77777777" w:rsidR="000C269A" w:rsidRPr="00E757D1" w:rsidRDefault="00EC749E" w:rsidP="00DA5A31">
      <w:pPr>
        <w:pStyle w:val="Prrafodelista"/>
        <w:numPr>
          <w:ilvl w:val="0"/>
          <w:numId w:val="5"/>
        </w:numPr>
        <w:spacing w:line="276" w:lineRule="auto"/>
        <w:ind w:left="-270" w:right="-162" w:firstLine="0"/>
        <w:rPr>
          <w:rFonts w:ascii="Verdana" w:hAnsi="Verdana"/>
          <w:b/>
          <w:bCs/>
          <w:sz w:val="20"/>
          <w:szCs w:val="20"/>
          <w:lang w:val="es-ES"/>
        </w:rPr>
      </w:pPr>
      <w:r w:rsidRPr="00E757D1">
        <w:rPr>
          <w:rFonts w:ascii="Verdana" w:hAnsi="Verdana" w:cs="Times New Roman"/>
          <w:iCs/>
          <w:sz w:val="20"/>
          <w:szCs w:val="20"/>
          <w:lang w:val="es-ES"/>
        </w:rPr>
        <w:t xml:space="preserve">Dicho concepto coincide, a </w:t>
      </w:r>
      <w:r w:rsidRPr="00E757D1">
        <w:rPr>
          <w:rFonts w:ascii="Verdana" w:hAnsi="Verdana" w:cs="Times New Roman"/>
          <w:i/>
          <w:sz w:val="20"/>
          <w:szCs w:val="20"/>
          <w:lang w:val="es-ES"/>
        </w:rPr>
        <w:t>gro</w:t>
      </w:r>
      <w:r w:rsidR="007B5639" w:rsidRPr="00E757D1">
        <w:rPr>
          <w:rFonts w:ascii="Verdana" w:hAnsi="Verdana" w:cs="Times New Roman"/>
          <w:i/>
          <w:sz w:val="20"/>
          <w:szCs w:val="20"/>
          <w:lang w:val="es-ES"/>
        </w:rPr>
        <w:t>s</w:t>
      </w:r>
      <w:r w:rsidRPr="00E757D1">
        <w:rPr>
          <w:rFonts w:ascii="Verdana" w:hAnsi="Verdana" w:cs="Times New Roman"/>
          <w:i/>
          <w:sz w:val="20"/>
          <w:szCs w:val="20"/>
          <w:lang w:val="es-ES"/>
        </w:rPr>
        <w:t>so modo</w:t>
      </w:r>
      <w:r w:rsidRPr="00E757D1">
        <w:rPr>
          <w:rFonts w:ascii="Verdana" w:hAnsi="Verdana" w:cs="Times New Roman"/>
          <w:iCs/>
          <w:sz w:val="20"/>
          <w:szCs w:val="20"/>
          <w:lang w:val="es-ES"/>
        </w:rPr>
        <w:t xml:space="preserve">, </w:t>
      </w:r>
      <w:r w:rsidR="007B5639" w:rsidRPr="00E757D1">
        <w:rPr>
          <w:rFonts w:ascii="Verdana" w:hAnsi="Verdana" w:cs="Times New Roman"/>
          <w:iCs/>
          <w:sz w:val="20"/>
          <w:szCs w:val="20"/>
          <w:lang w:val="es-ES"/>
        </w:rPr>
        <w:t>con lo indicado en la Opinión Consultiva</w:t>
      </w:r>
      <w:r w:rsidR="00163BF8" w:rsidRPr="00E757D1">
        <w:rPr>
          <w:rFonts w:ascii="Verdana" w:hAnsi="Verdana"/>
          <w:sz w:val="20"/>
          <w:szCs w:val="20"/>
          <w:lang w:val="es-ES"/>
        </w:rPr>
        <w:t xml:space="preserve"> OC-6/86, del 9 de mayo de 1986, a saber “</w:t>
      </w:r>
      <w:r w:rsidR="007B5639" w:rsidRPr="00E757D1">
        <w:rPr>
          <w:rFonts w:ascii="Verdana" w:hAnsi="Verdana"/>
          <w:i/>
          <w:iCs/>
          <w:sz w:val="20"/>
          <w:szCs w:val="20"/>
          <w:lang w:val="es-ES"/>
        </w:rPr>
        <w:t>que la palabra leyes en el artículo 30 de la Convención</w:t>
      </w:r>
      <w:r w:rsidR="001143F9" w:rsidRPr="00E757D1">
        <w:rPr>
          <w:rStyle w:val="Refdenotaalpie"/>
          <w:rFonts w:ascii="Verdana" w:hAnsi="Verdana"/>
          <w:i/>
          <w:iCs/>
          <w:sz w:val="20"/>
          <w:szCs w:val="20"/>
          <w:lang w:val="es-ES"/>
        </w:rPr>
        <w:footnoteReference w:id="101"/>
      </w:r>
      <w:r w:rsidR="007B5639" w:rsidRPr="00E757D1">
        <w:rPr>
          <w:rFonts w:ascii="Verdana" w:hAnsi="Verdana"/>
          <w:i/>
          <w:iCs/>
          <w:sz w:val="20"/>
          <w:szCs w:val="20"/>
          <w:lang w:val="es-ES"/>
        </w:rPr>
        <w:t xml:space="preserve"> significa norma jurídica de carácter general, ceñida al bien común, emanada de los órganos legislativos constitucionalmente previstos y democráticamente elegidos, y elaborada según el procedimiento establecido por las constituciones de los Estados Partes para la formación de las leyes</w:t>
      </w:r>
      <w:r w:rsidR="00163BF8" w:rsidRPr="00E757D1">
        <w:rPr>
          <w:rFonts w:ascii="Verdana" w:hAnsi="Verdana"/>
          <w:sz w:val="20"/>
          <w:szCs w:val="20"/>
          <w:lang w:val="es-ES"/>
        </w:rPr>
        <w:t>”.</w:t>
      </w:r>
    </w:p>
    <w:p w14:paraId="688A1B8C" w14:textId="77777777" w:rsidR="000C269A" w:rsidRPr="00E757D1" w:rsidRDefault="000C269A" w:rsidP="00DA5A31">
      <w:pPr>
        <w:pStyle w:val="Prrafodelista"/>
        <w:ind w:left="-270" w:right="-162"/>
        <w:rPr>
          <w:rFonts w:ascii="Verdana" w:hAnsi="Verdana" w:cs="Times New Roman"/>
          <w:iCs/>
          <w:sz w:val="20"/>
          <w:szCs w:val="20"/>
          <w:lang w:val="es-ES"/>
        </w:rPr>
      </w:pPr>
    </w:p>
    <w:p w14:paraId="226B6AE8" w14:textId="7C121BFE" w:rsidR="000C269A" w:rsidRPr="00E757D1" w:rsidRDefault="00795077" w:rsidP="00DA5A31">
      <w:pPr>
        <w:pStyle w:val="Prrafodelista"/>
        <w:numPr>
          <w:ilvl w:val="0"/>
          <w:numId w:val="5"/>
        </w:numPr>
        <w:spacing w:line="276" w:lineRule="auto"/>
        <w:ind w:left="-270" w:right="-162" w:firstLine="0"/>
        <w:rPr>
          <w:rFonts w:ascii="Verdana" w:hAnsi="Verdana"/>
          <w:b/>
          <w:bCs/>
          <w:sz w:val="20"/>
          <w:szCs w:val="20"/>
          <w:lang w:val="es-ES"/>
        </w:rPr>
      </w:pPr>
      <w:r w:rsidRPr="00E757D1">
        <w:rPr>
          <w:rFonts w:ascii="Verdana" w:hAnsi="Verdana" w:cs="Times New Roman"/>
          <w:iCs/>
          <w:sz w:val="20"/>
          <w:szCs w:val="20"/>
          <w:lang w:val="es-ES"/>
        </w:rPr>
        <w:t>Es del caso indicar que</w:t>
      </w:r>
      <w:r w:rsidR="00163BF8" w:rsidRPr="00E757D1">
        <w:rPr>
          <w:rFonts w:ascii="Verdana" w:hAnsi="Verdana" w:cs="Times New Roman"/>
          <w:iCs/>
          <w:sz w:val="20"/>
          <w:szCs w:val="20"/>
          <w:lang w:val="es-ES"/>
        </w:rPr>
        <w:t xml:space="preserve"> la Corte hizo presente, en esa oportunidad, de que</w:t>
      </w:r>
      <w:r w:rsidRPr="00E757D1">
        <w:rPr>
          <w:rFonts w:ascii="Verdana" w:hAnsi="Verdana"/>
          <w:sz w:val="20"/>
          <w:szCs w:val="20"/>
          <w:lang w:val="es-ES"/>
        </w:rPr>
        <w:t xml:space="preserve"> </w:t>
      </w:r>
      <w:r w:rsidRPr="00E757D1">
        <w:rPr>
          <w:rFonts w:ascii="Verdana" w:hAnsi="Verdana"/>
          <w:i/>
          <w:iCs/>
          <w:sz w:val="20"/>
          <w:szCs w:val="20"/>
          <w:lang w:val="es-ES"/>
        </w:rPr>
        <w:t>“(n)o se trata, en consecuencia, de dar una respuesta aplicable a todos los casos en que la Convención utiliza expresiones como " leyes ", " ley ", " disposiciones legislativas ", " disposiciones legales ", " medidas legislativas ", " restricciones legales " o " leyes internas</w:t>
      </w:r>
      <w:r w:rsidRPr="00E757D1">
        <w:rPr>
          <w:rFonts w:ascii="Verdana" w:hAnsi="Verdana"/>
          <w:sz w:val="20"/>
          <w:szCs w:val="20"/>
          <w:lang w:val="es-ES"/>
        </w:rPr>
        <w:t xml:space="preserve"> ", sino que </w:t>
      </w:r>
      <w:r w:rsidRPr="00E757D1">
        <w:rPr>
          <w:rFonts w:ascii="Verdana" w:hAnsi="Verdana"/>
          <w:i/>
          <w:iCs/>
          <w:sz w:val="20"/>
          <w:szCs w:val="20"/>
          <w:lang w:val="es-ES"/>
        </w:rPr>
        <w:t>“(e)n cada ocasión en que tales expresiones son usadas, su sentido ha de ser determinado específicamente</w:t>
      </w:r>
      <w:r w:rsidRPr="00E757D1">
        <w:rPr>
          <w:rFonts w:ascii="Verdana" w:hAnsi="Verdana"/>
          <w:sz w:val="20"/>
          <w:szCs w:val="20"/>
          <w:lang w:val="es-ES"/>
        </w:rPr>
        <w:t>”</w:t>
      </w:r>
      <w:r w:rsidRPr="00E757D1">
        <w:rPr>
          <w:rStyle w:val="Refdenotaalpie"/>
          <w:rFonts w:ascii="Verdana" w:hAnsi="Verdana"/>
          <w:sz w:val="20"/>
          <w:szCs w:val="20"/>
          <w:lang w:val="es-ES"/>
        </w:rPr>
        <w:footnoteReference w:id="102"/>
      </w:r>
      <w:r w:rsidRPr="00E757D1">
        <w:rPr>
          <w:rFonts w:ascii="Verdana" w:hAnsi="Verdana"/>
          <w:sz w:val="20"/>
          <w:szCs w:val="20"/>
          <w:lang w:val="es-ES"/>
        </w:rPr>
        <w:t xml:space="preserve">. Y fue precisamente eso </w:t>
      </w:r>
      <w:r w:rsidR="00680466" w:rsidRPr="00E757D1">
        <w:rPr>
          <w:rFonts w:ascii="Verdana" w:hAnsi="Verdana"/>
          <w:sz w:val="20"/>
          <w:szCs w:val="20"/>
          <w:lang w:val="es-ES"/>
        </w:rPr>
        <w:t>l</w:t>
      </w:r>
      <w:r w:rsidRPr="00E757D1">
        <w:rPr>
          <w:rFonts w:ascii="Verdana" w:hAnsi="Verdana"/>
          <w:sz w:val="20"/>
          <w:szCs w:val="20"/>
          <w:lang w:val="es-ES"/>
        </w:rPr>
        <w:t>o que hizo en la</w:t>
      </w:r>
      <w:r w:rsidR="00680466" w:rsidRPr="00E757D1">
        <w:rPr>
          <w:rFonts w:ascii="Verdana" w:hAnsi="Verdana"/>
          <w:sz w:val="20"/>
          <w:szCs w:val="20"/>
          <w:lang w:val="es-ES"/>
        </w:rPr>
        <w:t xml:space="preserve"> </w:t>
      </w:r>
      <w:r w:rsidRPr="00E757D1">
        <w:rPr>
          <w:rFonts w:ascii="Verdana" w:hAnsi="Verdana"/>
          <w:sz w:val="20"/>
          <w:szCs w:val="20"/>
          <w:lang w:val="es-ES"/>
        </w:rPr>
        <w:t>O</w:t>
      </w:r>
      <w:r w:rsidR="00680466" w:rsidRPr="00E757D1">
        <w:rPr>
          <w:rFonts w:ascii="Verdana" w:hAnsi="Verdana"/>
          <w:sz w:val="20"/>
          <w:szCs w:val="20"/>
          <w:lang w:val="es-ES"/>
        </w:rPr>
        <w:t xml:space="preserve">pinión Consultiva </w:t>
      </w:r>
      <w:r w:rsidRPr="00E757D1">
        <w:rPr>
          <w:rFonts w:ascii="Verdana" w:hAnsi="Verdana"/>
          <w:sz w:val="20"/>
          <w:szCs w:val="20"/>
          <w:lang w:val="es-ES"/>
        </w:rPr>
        <w:t>OC-12/91</w:t>
      </w:r>
      <w:r w:rsidR="00680466" w:rsidRPr="00E757D1">
        <w:rPr>
          <w:rFonts w:ascii="Verdana" w:hAnsi="Verdana"/>
          <w:sz w:val="20"/>
          <w:szCs w:val="20"/>
          <w:lang w:val="es-ES"/>
        </w:rPr>
        <w:t>, del 6 de diciembre de 1991</w:t>
      </w:r>
      <w:r w:rsidR="00680466" w:rsidRPr="00E757D1">
        <w:rPr>
          <w:rFonts w:ascii="Verdana" w:hAnsi="Verdana"/>
          <w:bCs/>
          <w:sz w:val="20"/>
          <w:szCs w:val="20"/>
          <w:lang w:val="es-ES"/>
        </w:rPr>
        <w:t>,</w:t>
      </w:r>
      <w:r w:rsidR="00680466" w:rsidRPr="00E757D1">
        <w:rPr>
          <w:rFonts w:ascii="Verdana" w:hAnsi="Verdana"/>
          <w:b/>
          <w:sz w:val="20"/>
          <w:szCs w:val="20"/>
          <w:lang w:val="es-ES"/>
        </w:rPr>
        <w:t xml:space="preserve"> </w:t>
      </w:r>
      <w:r w:rsidR="00680466" w:rsidRPr="00E757D1">
        <w:rPr>
          <w:rFonts w:ascii="Verdana" w:hAnsi="Verdana"/>
          <w:bCs/>
          <w:sz w:val="20"/>
          <w:szCs w:val="20"/>
          <w:lang w:val="es-ES"/>
        </w:rPr>
        <w:t xml:space="preserve">al </w:t>
      </w:r>
      <w:r w:rsidR="00CF6779" w:rsidRPr="00E757D1">
        <w:rPr>
          <w:rFonts w:ascii="Verdana" w:hAnsi="Verdana"/>
          <w:bCs/>
          <w:sz w:val="20"/>
          <w:szCs w:val="20"/>
          <w:lang w:val="es-ES"/>
        </w:rPr>
        <w:t>señalar</w:t>
      </w:r>
      <w:r w:rsidR="00680466" w:rsidRPr="00E757D1">
        <w:rPr>
          <w:rFonts w:ascii="Verdana" w:hAnsi="Verdana"/>
          <w:bCs/>
          <w:sz w:val="20"/>
          <w:szCs w:val="20"/>
          <w:lang w:val="es-ES"/>
        </w:rPr>
        <w:t>, a los efectos del artículo 64.2 de la Convención</w:t>
      </w:r>
      <w:r w:rsidR="00680466" w:rsidRPr="00E757D1">
        <w:rPr>
          <w:rStyle w:val="Refdenotaalpie"/>
          <w:rFonts w:ascii="Verdana" w:hAnsi="Verdana"/>
          <w:bCs/>
          <w:sz w:val="20"/>
          <w:szCs w:val="20"/>
          <w:lang w:val="es-ES"/>
        </w:rPr>
        <w:footnoteReference w:id="103"/>
      </w:r>
      <w:r w:rsidR="00CF6779" w:rsidRPr="00E757D1">
        <w:rPr>
          <w:rFonts w:ascii="Verdana" w:hAnsi="Verdana"/>
          <w:bCs/>
          <w:sz w:val="20"/>
          <w:szCs w:val="20"/>
          <w:lang w:val="es-ES"/>
        </w:rPr>
        <w:t xml:space="preserve">, </w:t>
      </w:r>
      <w:r w:rsidR="00680466" w:rsidRPr="00E757D1">
        <w:rPr>
          <w:rFonts w:ascii="Verdana" w:hAnsi="Verdana"/>
          <w:bCs/>
          <w:sz w:val="20"/>
          <w:szCs w:val="20"/>
          <w:lang w:val="es-ES"/>
        </w:rPr>
        <w:t>“</w:t>
      </w:r>
      <w:r w:rsidR="00680466" w:rsidRPr="00E757D1">
        <w:rPr>
          <w:rFonts w:ascii="Verdana" w:hAnsi="Verdana"/>
          <w:bCs/>
          <w:i/>
          <w:iCs/>
          <w:sz w:val="20"/>
          <w:szCs w:val="20"/>
          <w:lang w:val="es-ES"/>
        </w:rPr>
        <w:t>que, en determinadas</w:t>
      </w:r>
      <w:r w:rsidR="00680466" w:rsidRPr="00E757D1">
        <w:rPr>
          <w:rFonts w:ascii="Verdana" w:hAnsi="Verdana"/>
          <w:i/>
          <w:iCs/>
          <w:sz w:val="20"/>
          <w:szCs w:val="20"/>
          <w:lang w:val="es-ES"/>
        </w:rPr>
        <w:t xml:space="preserve"> circunstancias, la Corte, en ejercicio de la facultad contemplada en el artículo 64.2 puede contestar consultas sobre compatibilidad entre “proyectos de ley” y la Convención</w:t>
      </w:r>
      <w:r w:rsidR="00680466" w:rsidRPr="00E757D1">
        <w:rPr>
          <w:rFonts w:ascii="Verdana" w:hAnsi="Verdana"/>
          <w:sz w:val="20"/>
          <w:szCs w:val="20"/>
          <w:lang w:val="es-ES"/>
        </w:rPr>
        <w:t>.</w:t>
      </w:r>
    </w:p>
    <w:p w14:paraId="0DF11961" w14:textId="77777777" w:rsidR="000C269A" w:rsidRPr="00E757D1" w:rsidRDefault="000C269A" w:rsidP="00DA5A31">
      <w:pPr>
        <w:pStyle w:val="Prrafodelista"/>
        <w:ind w:left="-270" w:right="-162"/>
        <w:rPr>
          <w:rFonts w:ascii="Verdana" w:hAnsi="Verdana" w:cs="Times New Roman"/>
          <w:iCs/>
          <w:sz w:val="20"/>
          <w:szCs w:val="20"/>
          <w:lang w:val="es-ES"/>
        </w:rPr>
      </w:pPr>
    </w:p>
    <w:p w14:paraId="43265A19" w14:textId="55FD44E9" w:rsidR="000C269A" w:rsidRPr="00E757D1" w:rsidRDefault="001143F9" w:rsidP="00DA5A31">
      <w:pPr>
        <w:pStyle w:val="Prrafodelista"/>
        <w:numPr>
          <w:ilvl w:val="0"/>
          <w:numId w:val="5"/>
        </w:numPr>
        <w:spacing w:line="276" w:lineRule="auto"/>
        <w:ind w:left="-270" w:right="-162" w:firstLine="0"/>
        <w:rPr>
          <w:rFonts w:ascii="Verdana" w:hAnsi="Verdana"/>
          <w:b/>
          <w:bCs/>
          <w:sz w:val="20"/>
          <w:szCs w:val="20"/>
          <w:lang w:val="es-ES"/>
        </w:rPr>
      </w:pPr>
      <w:r w:rsidRPr="00E757D1">
        <w:rPr>
          <w:rFonts w:ascii="Verdana" w:hAnsi="Verdana" w:cs="Times New Roman"/>
          <w:iCs/>
          <w:sz w:val="20"/>
          <w:szCs w:val="20"/>
          <w:lang w:val="es-ES"/>
        </w:rPr>
        <w:t xml:space="preserve">Así, </w:t>
      </w:r>
      <w:r w:rsidR="00947ECC">
        <w:rPr>
          <w:rFonts w:ascii="Verdana" w:hAnsi="Verdana" w:cs="Times New Roman"/>
          <w:iCs/>
          <w:sz w:val="20"/>
          <w:szCs w:val="20"/>
          <w:lang w:val="es-ES"/>
        </w:rPr>
        <w:t>en consecuencia</w:t>
      </w:r>
      <w:r w:rsidRPr="00E757D1">
        <w:rPr>
          <w:rFonts w:ascii="Verdana" w:hAnsi="Verdana" w:cs="Times New Roman"/>
          <w:iCs/>
          <w:sz w:val="20"/>
          <w:szCs w:val="20"/>
          <w:lang w:val="es-ES"/>
        </w:rPr>
        <w:t>, se podría sostener que, a falta de una expresa indicación de la Convención y de un pronunciamiento más general por parte de la Corte, el concepto de ley proporcionada por ésta</w:t>
      </w:r>
      <w:r w:rsidR="00B61087" w:rsidRPr="00E757D1">
        <w:rPr>
          <w:rFonts w:ascii="Verdana" w:hAnsi="Verdana" w:cs="Times New Roman"/>
          <w:iCs/>
          <w:sz w:val="20"/>
          <w:szCs w:val="20"/>
          <w:lang w:val="es-ES"/>
        </w:rPr>
        <w:t>,</w:t>
      </w:r>
      <w:r w:rsidRPr="00E757D1">
        <w:rPr>
          <w:rFonts w:ascii="Verdana" w:hAnsi="Verdana" w:cs="Times New Roman"/>
          <w:iCs/>
          <w:sz w:val="20"/>
          <w:szCs w:val="20"/>
          <w:lang w:val="es-ES"/>
        </w:rPr>
        <w:t xml:space="preserve"> a los efectos del artículo 30 de la Convención, es aplicable también a lo dispuesto en su artículo 24</w:t>
      </w:r>
      <w:r w:rsidR="008A6692" w:rsidRPr="00E757D1">
        <w:rPr>
          <w:rFonts w:ascii="Verdana" w:hAnsi="Verdana" w:cs="Times New Roman"/>
          <w:iCs/>
          <w:sz w:val="20"/>
          <w:szCs w:val="20"/>
          <w:lang w:val="es-ES"/>
        </w:rPr>
        <w:t>, incluyendo en ella a la Constitución y a los reglamentos, resoluciones o instrucciones de carácter general</w:t>
      </w:r>
      <w:r w:rsidR="000C269A" w:rsidRPr="00E757D1">
        <w:rPr>
          <w:rFonts w:ascii="Verdana" w:hAnsi="Verdana" w:cs="Times New Roman"/>
          <w:iCs/>
          <w:sz w:val="20"/>
          <w:szCs w:val="20"/>
          <w:lang w:val="es-ES"/>
        </w:rPr>
        <w:t>.</w:t>
      </w:r>
    </w:p>
    <w:p w14:paraId="315B3FAF" w14:textId="77777777" w:rsidR="000C269A" w:rsidRPr="00E757D1" w:rsidRDefault="000C269A" w:rsidP="00DA5A31">
      <w:pPr>
        <w:pStyle w:val="Prrafodelista"/>
        <w:ind w:left="-270" w:right="-162"/>
        <w:rPr>
          <w:rFonts w:ascii="Verdana" w:hAnsi="Verdana" w:cs="Times New Roman"/>
          <w:iCs/>
          <w:sz w:val="20"/>
          <w:szCs w:val="20"/>
          <w:lang w:val="es-ES"/>
        </w:rPr>
      </w:pPr>
    </w:p>
    <w:p w14:paraId="44F8DCFD" w14:textId="2ADC72CC" w:rsidR="001143F9" w:rsidRPr="00E757D1" w:rsidRDefault="001143F9" w:rsidP="00DA5A31">
      <w:pPr>
        <w:pStyle w:val="Prrafodelista"/>
        <w:numPr>
          <w:ilvl w:val="0"/>
          <w:numId w:val="5"/>
        </w:numPr>
        <w:spacing w:line="276" w:lineRule="auto"/>
        <w:ind w:left="-270" w:right="-162" w:firstLine="0"/>
        <w:rPr>
          <w:rFonts w:ascii="Verdana" w:hAnsi="Verdana"/>
          <w:b/>
          <w:bCs/>
          <w:sz w:val="20"/>
          <w:szCs w:val="20"/>
          <w:lang w:val="es-ES"/>
        </w:rPr>
      </w:pPr>
      <w:r w:rsidRPr="00E757D1">
        <w:rPr>
          <w:rFonts w:ascii="Verdana" w:hAnsi="Verdana" w:cs="Times New Roman"/>
          <w:iCs/>
          <w:sz w:val="20"/>
          <w:szCs w:val="20"/>
          <w:lang w:val="es-ES"/>
        </w:rPr>
        <w:t xml:space="preserve">De suerte, entonces, que asimismo el método de interpretación literal de las palabras conduce al </w:t>
      </w:r>
      <w:r w:rsidR="009C670B" w:rsidRPr="00E757D1">
        <w:rPr>
          <w:rFonts w:ascii="Verdana" w:hAnsi="Verdana" w:cs="Times New Roman"/>
          <w:iCs/>
          <w:sz w:val="20"/>
          <w:szCs w:val="20"/>
          <w:lang w:val="es-ES"/>
        </w:rPr>
        <w:t>m</w:t>
      </w:r>
      <w:r w:rsidRPr="00E757D1">
        <w:rPr>
          <w:rFonts w:ascii="Verdana" w:hAnsi="Verdana" w:cs="Times New Roman"/>
          <w:iCs/>
          <w:sz w:val="20"/>
          <w:szCs w:val="20"/>
          <w:lang w:val="es-ES"/>
        </w:rPr>
        <w:t>ismo resultado que se logra con el método atingente a la buena fe, es decir, que es la ley la que debe considerar a todas personas como iguales y otorgar a todas ellas la debida protección, sin discriminación</w:t>
      </w:r>
      <w:r w:rsidR="005A5859" w:rsidRPr="00E757D1">
        <w:rPr>
          <w:rFonts w:ascii="Verdana" w:hAnsi="Verdana" w:cs="Times New Roman"/>
          <w:iCs/>
          <w:sz w:val="20"/>
          <w:szCs w:val="20"/>
          <w:lang w:val="es-ES"/>
        </w:rPr>
        <w:t xml:space="preserve"> y que</w:t>
      </w:r>
      <w:r w:rsidR="00B61087" w:rsidRPr="00E757D1">
        <w:rPr>
          <w:rFonts w:ascii="Verdana" w:hAnsi="Verdana" w:cs="Times New Roman"/>
          <w:iCs/>
          <w:sz w:val="20"/>
          <w:szCs w:val="20"/>
          <w:lang w:val="es-ES"/>
        </w:rPr>
        <w:t>,</w:t>
      </w:r>
      <w:r w:rsidR="005A5859" w:rsidRPr="00E757D1">
        <w:rPr>
          <w:rFonts w:ascii="Verdana" w:hAnsi="Verdana" w:cs="Times New Roman"/>
          <w:iCs/>
          <w:sz w:val="20"/>
          <w:szCs w:val="20"/>
          <w:lang w:val="es-ES"/>
        </w:rPr>
        <w:t xml:space="preserve"> si ello no acaece, se viola el derecho </w:t>
      </w:r>
      <w:r w:rsidR="005A5859" w:rsidRPr="00E757D1">
        <w:rPr>
          <w:rFonts w:ascii="Verdana" w:hAnsi="Verdana" w:cs="Times New Roman"/>
          <w:iCs/>
          <w:sz w:val="20"/>
          <w:szCs w:val="20"/>
          <w:lang w:val="es-ES"/>
        </w:rPr>
        <w:lastRenderedPageBreak/>
        <w:t>humano de igualdad ante la ley</w:t>
      </w:r>
      <w:r w:rsidRPr="00E757D1">
        <w:rPr>
          <w:rFonts w:ascii="Verdana" w:hAnsi="Verdana" w:cs="Times New Roman"/>
          <w:iCs/>
          <w:sz w:val="20"/>
          <w:szCs w:val="20"/>
          <w:lang w:val="es-ES"/>
        </w:rPr>
        <w:t>.</w:t>
      </w:r>
      <w:r w:rsidR="009C670B" w:rsidRPr="00E757D1">
        <w:rPr>
          <w:rFonts w:ascii="Verdana" w:hAnsi="Verdana" w:cs="Times New Roman"/>
          <w:iCs/>
          <w:sz w:val="20"/>
          <w:szCs w:val="20"/>
          <w:lang w:val="es-ES"/>
        </w:rPr>
        <w:t xml:space="preserve"> La causante de esa violación es, por lo tanto, la ley, la que, a los efectos correspondientes, debe precisarse</w:t>
      </w:r>
      <w:r w:rsidRPr="00E757D1">
        <w:rPr>
          <w:rFonts w:ascii="Verdana" w:hAnsi="Verdana" w:cs="Times New Roman"/>
          <w:iCs/>
          <w:sz w:val="20"/>
          <w:szCs w:val="20"/>
          <w:lang w:val="es-ES"/>
        </w:rPr>
        <w:t xml:space="preserve"> </w:t>
      </w:r>
      <w:r w:rsidR="009C670B" w:rsidRPr="00E757D1">
        <w:rPr>
          <w:rFonts w:ascii="Verdana" w:hAnsi="Verdana" w:cs="Times New Roman"/>
          <w:iCs/>
          <w:sz w:val="20"/>
          <w:szCs w:val="20"/>
          <w:lang w:val="es-ES"/>
        </w:rPr>
        <w:t>cual es, lo que no ocurre en autos.</w:t>
      </w:r>
    </w:p>
    <w:p w14:paraId="48D00D24" w14:textId="77777777" w:rsidR="0017788F" w:rsidRPr="00E757D1" w:rsidRDefault="0017788F" w:rsidP="001C1C29">
      <w:pPr>
        <w:ind w:left="0" w:right="-162"/>
        <w:rPr>
          <w:rFonts w:ascii="Verdana" w:hAnsi="Verdana" w:cs="Times New Roman"/>
          <w:iCs/>
          <w:sz w:val="20"/>
          <w:szCs w:val="20"/>
          <w:lang w:val="es-ES"/>
        </w:rPr>
      </w:pPr>
    </w:p>
    <w:p w14:paraId="63ADFD8E" w14:textId="77777777" w:rsidR="00833777" w:rsidRPr="00E757D1" w:rsidRDefault="005A5859" w:rsidP="00DA5A31">
      <w:pPr>
        <w:pStyle w:val="Prrafodelista"/>
        <w:numPr>
          <w:ilvl w:val="0"/>
          <w:numId w:val="17"/>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b/>
          <w:bCs/>
          <w:iCs/>
          <w:sz w:val="20"/>
          <w:szCs w:val="20"/>
          <w:lang w:val="es-ES"/>
        </w:rPr>
        <w:t>El método subjetivo.</w:t>
      </w:r>
      <w:bookmarkStart w:id="32" w:name="_Hlk45964686"/>
    </w:p>
    <w:p w14:paraId="06F80DC9" w14:textId="77777777" w:rsidR="00833777" w:rsidRPr="00E757D1" w:rsidRDefault="00833777"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64BDDF7D" w14:textId="77777777" w:rsidR="00833777" w:rsidRPr="00E757D1" w:rsidRDefault="004000B4"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 xml:space="preserve">En lo atingente a la aplicación en la materia en comento del método subjetivo que procura  </w:t>
      </w:r>
      <w:r w:rsidR="002774ED" w:rsidRPr="00E757D1">
        <w:rPr>
          <w:rFonts w:ascii="Verdana" w:hAnsi="Verdana" w:cs="Times New Roman"/>
          <w:iCs/>
          <w:sz w:val="20"/>
          <w:szCs w:val="20"/>
          <w:lang w:val="es-ES"/>
        </w:rPr>
        <w:t>determinar la voluntad de las partes de la Convención acorde al contexto de ella,</w:t>
      </w:r>
      <w:bookmarkEnd w:id="32"/>
      <w:r w:rsidRPr="00E757D1">
        <w:rPr>
          <w:rFonts w:ascii="Verdana" w:hAnsi="Verdana" w:cs="Times New Roman"/>
          <w:iCs/>
          <w:sz w:val="20"/>
          <w:szCs w:val="20"/>
          <w:lang w:val="es-ES"/>
        </w:rPr>
        <w:t xml:space="preserve"> es menester llamar la atención acerca de que </w:t>
      </w:r>
      <w:r w:rsidR="002774ED" w:rsidRPr="00E757D1">
        <w:rPr>
          <w:rFonts w:ascii="Verdana" w:hAnsi="Verdana" w:cs="Times New Roman"/>
          <w:iCs/>
          <w:sz w:val="20"/>
          <w:szCs w:val="20"/>
          <w:lang w:val="es-ES"/>
        </w:rPr>
        <w:t>el mencionado artículo 24 se encuentra entre los que se refieren a cada uno de los derechos humanos reconocidos en la Convención, por lo que se le aplica, al igual que los otros derechos humanos, lo previsto en sus artículos 1 y 2 y</w:t>
      </w:r>
      <w:r w:rsidR="00E30456" w:rsidRPr="00E757D1">
        <w:rPr>
          <w:rFonts w:ascii="Verdana" w:hAnsi="Verdana" w:cs="Times New Roman"/>
          <w:iCs/>
          <w:sz w:val="20"/>
          <w:szCs w:val="20"/>
          <w:lang w:val="es-ES"/>
        </w:rPr>
        <w:t>, consecuentemente,</w:t>
      </w:r>
      <w:r w:rsidR="002774ED" w:rsidRPr="00E757D1">
        <w:rPr>
          <w:rFonts w:ascii="Verdana" w:hAnsi="Verdana" w:cs="Times New Roman"/>
          <w:iCs/>
          <w:sz w:val="20"/>
          <w:szCs w:val="20"/>
          <w:lang w:val="es-ES"/>
        </w:rPr>
        <w:t xml:space="preserve"> a su respecto tienen competencia tanto la Comisión como la Corte</w:t>
      </w:r>
      <w:r w:rsidR="00E30456" w:rsidRPr="00E757D1">
        <w:rPr>
          <w:rFonts w:ascii="Verdana" w:hAnsi="Verdana" w:cs="Times New Roman"/>
          <w:iCs/>
          <w:sz w:val="20"/>
          <w:szCs w:val="20"/>
          <w:lang w:val="es-ES"/>
        </w:rPr>
        <w:t>.</w:t>
      </w:r>
    </w:p>
    <w:p w14:paraId="4DA6BDF2" w14:textId="77777777" w:rsidR="00833777" w:rsidRPr="00E757D1" w:rsidRDefault="00833777"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6FD3DE31" w14:textId="0734F7AE" w:rsidR="00833777" w:rsidRPr="00E757D1" w:rsidRDefault="00170748"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Efectivamente, el citado artículo 24 se encuentra en el Capítulo II de la Convención, denominado “</w:t>
      </w:r>
      <w:r w:rsidRPr="00E757D1">
        <w:rPr>
          <w:rFonts w:ascii="Verdana" w:hAnsi="Verdana" w:cs="Times New Roman"/>
          <w:i/>
          <w:sz w:val="20"/>
          <w:szCs w:val="20"/>
          <w:lang w:val="es-ES"/>
        </w:rPr>
        <w:t>Derechos Civiles y Políticos</w:t>
      </w:r>
      <w:r w:rsidRPr="00E757D1">
        <w:rPr>
          <w:rFonts w:ascii="Verdana" w:hAnsi="Verdana" w:cs="Times New Roman"/>
          <w:iCs/>
          <w:sz w:val="20"/>
          <w:szCs w:val="20"/>
          <w:lang w:val="es-ES"/>
        </w:rPr>
        <w:t>”, de la Parte I de la misma, titulada “</w:t>
      </w:r>
      <w:r w:rsidRPr="00E757D1">
        <w:rPr>
          <w:rFonts w:ascii="Verdana" w:hAnsi="Verdana" w:cs="Times New Roman"/>
          <w:i/>
          <w:sz w:val="20"/>
          <w:szCs w:val="20"/>
          <w:lang w:val="es-ES"/>
        </w:rPr>
        <w:t>Deberes de los Estados y Derechos</w:t>
      </w:r>
      <w:r w:rsidRPr="00E757D1">
        <w:rPr>
          <w:rFonts w:ascii="Verdana" w:hAnsi="Verdana" w:cs="Times New Roman"/>
          <w:iCs/>
          <w:sz w:val="20"/>
          <w:szCs w:val="20"/>
          <w:lang w:val="es-ES"/>
        </w:rPr>
        <w:t>”, en la que se halla asimismo su Capítulo I, llamado “</w:t>
      </w:r>
      <w:r w:rsidRPr="00E757D1">
        <w:rPr>
          <w:rFonts w:ascii="Verdana" w:hAnsi="Verdana" w:cs="Times New Roman"/>
          <w:i/>
          <w:sz w:val="20"/>
          <w:szCs w:val="20"/>
          <w:lang w:val="es-ES"/>
        </w:rPr>
        <w:t>Obligación de Respetar los Derechos</w:t>
      </w:r>
      <w:r w:rsidRPr="00E757D1">
        <w:rPr>
          <w:rFonts w:ascii="Verdana" w:hAnsi="Verdana" w:cs="Times New Roman"/>
          <w:iCs/>
          <w:sz w:val="20"/>
          <w:szCs w:val="20"/>
          <w:lang w:val="es-ES"/>
        </w:rPr>
        <w:t>”, de lo que se deduce que este último concierne a los deberes de los Estados aplicables en relación a todos los derechos humanos reconocidos por la Convención, vale decir, a los previstos en el citado Capítulo II, entre ellos el consagrad</w:t>
      </w:r>
      <w:r w:rsidR="00AE64B5" w:rsidRPr="00E757D1">
        <w:rPr>
          <w:rFonts w:ascii="Verdana" w:hAnsi="Verdana" w:cs="Times New Roman"/>
          <w:iCs/>
          <w:sz w:val="20"/>
          <w:szCs w:val="20"/>
          <w:lang w:val="es-ES"/>
        </w:rPr>
        <w:t>o</w:t>
      </w:r>
      <w:r w:rsidRPr="00E757D1">
        <w:rPr>
          <w:rFonts w:ascii="Verdana" w:hAnsi="Verdana" w:cs="Times New Roman"/>
          <w:iCs/>
          <w:sz w:val="20"/>
          <w:szCs w:val="20"/>
          <w:lang w:val="es-ES"/>
        </w:rPr>
        <w:t xml:space="preserve"> en el artículo 24. </w:t>
      </w:r>
    </w:p>
    <w:p w14:paraId="2DFFF71C" w14:textId="77777777" w:rsidR="00833777" w:rsidRPr="00E757D1" w:rsidRDefault="00833777" w:rsidP="00DA5A31">
      <w:pPr>
        <w:pStyle w:val="Prrafodelista"/>
        <w:ind w:left="-270" w:right="-162"/>
        <w:rPr>
          <w:rFonts w:ascii="Verdana" w:hAnsi="Verdana" w:cs="Times New Roman"/>
          <w:iCs/>
          <w:sz w:val="20"/>
          <w:szCs w:val="20"/>
          <w:lang w:val="es-ES"/>
        </w:rPr>
      </w:pPr>
    </w:p>
    <w:p w14:paraId="5289C032" w14:textId="3648C019" w:rsidR="00833777" w:rsidRPr="00E757D1" w:rsidRDefault="00D15CBB"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En tal sentido, no se comparte lo expresado en la Sentencia en cuanto a “</w:t>
      </w:r>
      <w:r w:rsidRPr="00E757D1">
        <w:rPr>
          <w:rFonts w:ascii="Verdana" w:hAnsi="Verdana"/>
          <w:i/>
          <w:iCs/>
          <w:sz w:val="20"/>
          <w:szCs w:val="20"/>
          <w:lang w:val="es-ES"/>
        </w:rPr>
        <w:t>que, si un Estado discrimina en el respeto o garantía de un derecho convencional, incumpliría la obligación establecida en el artículo 1.1 y el derecho sustantivo en cuestión</w:t>
      </w:r>
      <w:r w:rsidRPr="00E757D1">
        <w:rPr>
          <w:rFonts w:ascii="Verdana" w:hAnsi="Verdana"/>
          <w:sz w:val="20"/>
          <w:szCs w:val="20"/>
          <w:lang w:val="es-ES"/>
        </w:rPr>
        <w:t xml:space="preserve">” y que </w:t>
      </w:r>
      <w:r w:rsidRPr="00E757D1">
        <w:rPr>
          <w:rFonts w:ascii="Verdana" w:hAnsi="Verdana"/>
          <w:i/>
          <w:iCs/>
          <w:sz w:val="20"/>
          <w:szCs w:val="20"/>
          <w:lang w:val="es-ES"/>
        </w:rPr>
        <w:t>“(e)n cambio, si la discriminación se refiere a una protección desigual de la ley interna o de su aplicación, el hecho debe analizarse a la luz del artículo 24 de la Convención Americana</w:t>
      </w:r>
      <w:r w:rsidRPr="00E757D1">
        <w:rPr>
          <w:rFonts w:ascii="Verdana" w:hAnsi="Verdana"/>
          <w:sz w:val="20"/>
          <w:szCs w:val="20"/>
          <w:lang w:val="es-ES"/>
        </w:rPr>
        <w:t>”</w:t>
      </w:r>
      <w:r w:rsidRPr="00E757D1">
        <w:rPr>
          <w:rStyle w:val="Refdenotaalpie"/>
          <w:rFonts w:ascii="Verdana" w:hAnsi="Verdana"/>
          <w:sz w:val="20"/>
          <w:szCs w:val="20"/>
          <w:lang w:val="es-ES"/>
        </w:rPr>
        <w:footnoteReference w:id="104"/>
      </w:r>
      <w:r w:rsidR="00ED0D9C" w:rsidRPr="00E757D1">
        <w:rPr>
          <w:rFonts w:ascii="Verdana" w:hAnsi="Verdana"/>
          <w:sz w:val="20"/>
          <w:szCs w:val="20"/>
          <w:lang w:val="es-ES"/>
        </w:rPr>
        <w:t>.</w:t>
      </w:r>
    </w:p>
    <w:p w14:paraId="7A307837" w14:textId="77777777" w:rsidR="009F52DF" w:rsidRPr="00E757D1" w:rsidRDefault="009F52DF" w:rsidP="00DA5A31">
      <w:pPr>
        <w:pStyle w:val="Prrafodelista"/>
        <w:ind w:left="-270" w:right="-162"/>
        <w:rPr>
          <w:rFonts w:ascii="Verdana" w:hAnsi="Verdana" w:cs="Times New Roman"/>
          <w:b/>
          <w:bCs/>
          <w:iCs/>
          <w:sz w:val="20"/>
          <w:szCs w:val="20"/>
          <w:lang w:val="es-ES"/>
        </w:rPr>
      </w:pPr>
    </w:p>
    <w:p w14:paraId="1FFE4F2F" w14:textId="58243420" w:rsidR="009F52DF" w:rsidRPr="00E757D1" w:rsidRDefault="009F52DF"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sz w:val="20"/>
          <w:szCs w:val="20"/>
          <w:lang w:val="es-ES"/>
        </w:rPr>
        <w:t>Y no se puede coincidir con ese criterio porque, por de pronto, esta última disposición no se refiere solo al derecho a la igual protección de la ley, sino</w:t>
      </w:r>
      <w:r w:rsidR="00AD7B1A" w:rsidRPr="00E757D1">
        <w:rPr>
          <w:rFonts w:ascii="Verdana" w:hAnsi="Verdana"/>
          <w:sz w:val="20"/>
          <w:szCs w:val="20"/>
          <w:lang w:val="es-ES"/>
        </w:rPr>
        <w:t>,</w:t>
      </w:r>
      <w:r w:rsidRPr="00E757D1">
        <w:rPr>
          <w:rFonts w:ascii="Verdana" w:hAnsi="Verdana"/>
          <w:sz w:val="20"/>
          <w:szCs w:val="20"/>
          <w:lang w:val="es-ES"/>
        </w:rPr>
        <w:t xml:space="preserve"> primeramente, al derecho a la igualdad ante la ley. </w:t>
      </w:r>
      <w:r w:rsidRPr="00E757D1">
        <w:rPr>
          <w:rFonts w:ascii="Verdana" w:eastAsia="Times New Roman" w:hAnsi="Verdana" w:cs="Tahoma"/>
          <w:sz w:val="20"/>
          <w:szCs w:val="20"/>
          <w:lang w:val="es-ES" w:eastAsia="es-CR"/>
        </w:rPr>
        <w:t>En segundo término, se disiente de lo afirmado en la Sentencia ya que mientras lo prescrito en el artículo 1.1 de la Convención concierne a la obligación de los Estados de respetar y garantizar el respeto de todos los derechos que aquella reconoce, el artículo 24 es atingente únicamente a uno de los derechos así reconocidos, es decir, al derecho a la igualdad ante la ley. En tercer término, se discrepa del planteamiento de la Sentencia habida cuenta que</w:t>
      </w:r>
      <w:r w:rsidR="00AD7B1A" w:rsidRPr="00E757D1">
        <w:rPr>
          <w:rFonts w:ascii="Verdana" w:eastAsia="Times New Roman" w:hAnsi="Verdana" w:cs="Tahoma"/>
          <w:sz w:val="20"/>
          <w:szCs w:val="20"/>
          <w:lang w:val="es-ES" w:eastAsia="es-CR"/>
        </w:rPr>
        <w:t>,</w:t>
      </w:r>
      <w:r w:rsidRPr="00E757D1">
        <w:rPr>
          <w:rFonts w:ascii="Verdana" w:eastAsia="Times New Roman" w:hAnsi="Verdana" w:cs="Tahoma"/>
          <w:sz w:val="20"/>
          <w:szCs w:val="20"/>
          <w:lang w:val="es-ES" w:eastAsia="es-CR"/>
        </w:rPr>
        <w:t xml:space="preserve"> mientras el artículo 1.1 no indica el medio por el cual se discrimina, el artículo 24 lo identifica como la ley. </w:t>
      </w:r>
    </w:p>
    <w:p w14:paraId="099F18E9" w14:textId="77777777" w:rsidR="00833777" w:rsidRPr="00E757D1" w:rsidRDefault="00833777" w:rsidP="00DA5A31">
      <w:pPr>
        <w:pStyle w:val="Prrafodelista"/>
        <w:ind w:left="-270" w:right="-162"/>
        <w:rPr>
          <w:rFonts w:ascii="Verdana" w:hAnsi="Verdana" w:cs="Times New Roman"/>
          <w:iCs/>
          <w:sz w:val="20"/>
          <w:szCs w:val="20"/>
          <w:lang w:val="es-ES"/>
        </w:rPr>
      </w:pPr>
    </w:p>
    <w:p w14:paraId="6A48082D" w14:textId="77777777" w:rsidR="00833777" w:rsidRPr="00E757D1" w:rsidRDefault="00ED0D9C"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Sostener lo que indica la Sentencia implicaría considerar al artículo 24 en redundante o innecesario, puesto que, a los efectos prácticos, el artículo 1 de la Convención también</w:t>
      </w:r>
      <w:r w:rsidR="003C1A1D" w:rsidRPr="00E757D1">
        <w:rPr>
          <w:rFonts w:ascii="Verdana" w:hAnsi="Verdana" w:cs="Times New Roman"/>
          <w:iCs/>
          <w:sz w:val="20"/>
          <w:szCs w:val="20"/>
          <w:lang w:val="es-ES"/>
        </w:rPr>
        <w:t xml:space="preserve"> prevé</w:t>
      </w:r>
      <w:r w:rsidRPr="00E757D1">
        <w:rPr>
          <w:rFonts w:ascii="Verdana" w:hAnsi="Verdana" w:cs="Times New Roman"/>
          <w:iCs/>
          <w:sz w:val="20"/>
          <w:szCs w:val="20"/>
          <w:lang w:val="es-ES"/>
        </w:rPr>
        <w:t xml:space="preserve"> la posibilidad de que, en la violación de cualquier derecho convencional</w:t>
      </w:r>
      <w:r w:rsidR="003C1A1D" w:rsidRPr="00E757D1">
        <w:rPr>
          <w:rFonts w:ascii="Verdana" w:hAnsi="Verdana" w:cs="Times New Roman"/>
          <w:iCs/>
          <w:sz w:val="20"/>
          <w:szCs w:val="20"/>
          <w:lang w:val="es-ES"/>
        </w:rPr>
        <w:t xml:space="preserve">, se incurra, por cualquier causa, en discriminación. </w:t>
      </w:r>
    </w:p>
    <w:p w14:paraId="686E891A" w14:textId="77777777" w:rsidR="00833777" w:rsidRPr="00E757D1" w:rsidRDefault="00833777" w:rsidP="00DA5A31">
      <w:pPr>
        <w:pStyle w:val="Prrafodelista"/>
        <w:ind w:left="-270" w:right="-162"/>
        <w:rPr>
          <w:rFonts w:ascii="Verdana" w:hAnsi="Verdana" w:cs="Times New Roman"/>
          <w:iCs/>
          <w:sz w:val="20"/>
          <w:szCs w:val="20"/>
          <w:lang w:val="es-ES"/>
        </w:rPr>
      </w:pPr>
    </w:p>
    <w:p w14:paraId="63D018F8" w14:textId="160E6FEE" w:rsidR="00D15CBB" w:rsidRPr="00E757D1" w:rsidRDefault="004000B4"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 xml:space="preserve">Como correlato de lo afirmado precedentemente, se puede concluir que la regla de interpretación concerniente a determinar la voluntad de las partes de la Convención acorde al contexto de ella nos conduce a la misma conclusión a la que nos llevan los dos métodos precedentes, esto es, que, para determinar la violación de lo previsto en el citado artículo 24, es indispensable precisar la ley que no considera iguales a todas las personas o que no </w:t>
      </w:r>
      <w:r w:rsidRPr="00E757D1">
        <w:rPr>
          <w:rFonts w:ascii="Verdana" w:hAnsi="Verdana" w:cs="Times New Roman"/>
          <w:iCs/>
          <w:sz w:val="20"/>
          <w:szCs w:val="20"/>
          <w:lang w:val="es-ES"/>
        </w:rPr>
        <w:lastRenderedPageBreak/>
        <w:t>proporciona la protección debida, sin discriminación, lo que, en autos</w:t>
      </w:r>
      <w:r w:rsidR="00EC1700" w:rsidRPr="00E757D1">
        <w:rPr>
          <w:rFonts w:ascii="Verdana" w:hAnsi="Verdana" w:cs="Times New Roman"/>
          <w:iCs/>
          <w:sz w:val="20"/>
          <w:szCs w:val="20"/>
          <w:lang w:val="es-ES"/>
        </w:rPr>
        <w:t xml:space="preserve"> y como ya se indicó</w:t>
      </w:r>
      <w:r w:rsidRPr="00E757D1">
        <w:rPr>
          <w:rFonts w:ascii="Verdana" w:hAnsi="Verdana" w:cs="Times New Roman"/>
          <w:iCs/>
          <w:sz w:val="20"/>
          <w:szCs w:val="20"/>
          <w:lang w:val="es-ES"/>
        </w:rPr>
        <w:t>, no ha acontecido.</w:t>
      </w:r>
    </w:p>
    <w:p w14:paraId="1ED90F57" w14:textId="77777777" w:rsidR="002774ED" w:rsidRPr="00E757D1" w:rsidRDefault="002774ED" w:rsidP="00DA5A31">
      <w:pPr>
        <w:autoSpaceDE w:val="0"/>
        <w:autoSpaceDN w:val="0"/>
        <w:adjustRightInd w:val="0"/>
        <w:spacing w:line="276" w:lineRule="auto"/>
        <w:ind w:left="-270" w:right="-162"/>
        <w:rPr>
          <w:rFonts w:ascii="Verdana" w:hAnsi="Verdana" w:cs="Times New Roman"/>
          <w:b/>
          <w:bCs/>
          <w:iCs/>
          <w:sz w:val="20"/>
          <w:szCs w:val="20"/>
          <w:lang w:val="es-ES"/>
        </w:rPr>
      </w:pPr>
    </w:p>
    <w:p w14:paraId="21506A15" w14:textId="77777777" w:rsidR="00833777" w:rsidRPr="00E757D1" w:rsidRDefault="007D28B2" w:rsidP="00DA5A31">
      <w:pPr>
        <w:pStyle w:val="Prrafodelista"/>
        <w:numPr>
          <w:ilvl w:val="0"/>
          <w:numId w:val="17"/>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b/>
          <w:sz w:val="20"/>
          <w:szCs w:val="20"/>
          <w:lang w:val="es-ES"/>
        </w:rPr>
        <w:t>Método funcional o teleológico.</w:t>
      </w:r>
    </w:p>
    <w:p w14:paraId="673CE32B" w14:textId="77777777" w:rsidR="00833777" w:rsidRPr="00E757D1" w:rsidRDefault="00833777"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5D379E7D" w14:textId="77777777" w:rsidR="00833777" w:rsidRPr="00E757D1" w:rsidRDefault="00CF1D1F"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En lo pertinente al objeto y fin es</w:t>
      </w:r>
      <w:r w:rsidR="00AF3482" w:rsidRPr="00E757D1">
        <w:rPr>
          <w:rFonts w:ascii="Verdana" w:hAnsi="Verdana" w:cs="Times New Roman"/>
          <w:iCs/>
          <w:sz w:val="20"/>
          <w:szCs w:val="20"/>
          <w:lang w:val="es-ES"/>
        </w:rPr>
        <w:t xml:space="preserve">pecíficos </w:t>
      </w:r>
      <w:r w:rsidRPr="00E757D1">
        <w:rPr>
          <w:rFonts w:ascii="Verdana" w:hAnsi="Verdana" w:cs="Times New Roman"/>
          <w:iCs/>
          <w:sz w:val="20"/>
          <w:szCs w:val="20"/>
          <w:lang w:val="es-ES"/>
        </w:rPr>
        <w:t>de lo previsto en el citado artículo 24</w:t>
      </w:r>
      <w:r w:rsidR="00BC5A73" w:rsidRPr="00E757D1">
        <w:rPr>
          <w:rFonts w:ascii="Verdana" w:hAnsi="Verdana" w:cs="Times New Roman"/>
          <w:iCs/>
          <w:sz w:val="20"/>
          <w:szCs w:val="20"/>
          <w:lang w:val="es-ES"/>
        </w:rPr>
        <w:t xml:space="preserve">, </w:t>
      </w:r>
      <w:r w:rsidR="00ED0D9C" w:rsidRPr="00E757D1">
        <w:rPr>
          <w:rFonts w:ascii="Verdana" w:hAnsi="Verdana" w:cs="Times New Roman"/>
          <w:iCs/>
          <w:sz w:val="20"/>
          <w:szCs w:val="20"/>
          <w:lang w:val="es-ES"/>
        </w:rPr>
        <w:t xml:space="preserve">habría que </w:t>
      </w:r>
      <w:r w:rsidR="00BC5A73" w:rsidRPr="00E757D1">
        <w:rPr>
          <w:rFonts w:ascii="Verdana" w:hAnsi="Verdana" w:cs="Times New Roman"/>
          <w:iCs/>
          <w:sz w:val="20"/>
          <w:szCs w:val="20"/>
          <w:lang w:val="es-ES"/>
        </w:rPr>
        <w:t>señalar</w:t>
      </w:r>
      <w:r w:rsidR="00ED0D9C" w:rsidRPr="00E757D1">
        <w:rPr>
          <w:rFonts w:ascii="Verdana" w:hAnsi="Verdana" w:cs="Times New Roman"/>
          <w:iCs/>
          <w:sz w:val="20"/>
          <w:szCs w:val="20"/>
          <w:lang w:val="es-ES"/>
        </w:rPr>
        <w:t xml:space="preserve"> que dicha disposición cumple un rol similar a</w:t>
      </w:r>
      <w:r w:rsidR="00BC5A73" w:rsidRPr="00E757D1">
        <w:rPr>
          <w:rFonts w:ascii="Verdana" w:hAnsi="Verdana" w:cs="Times New Roman"/>
          <w:iCs/>
          <w:sz w:val="20"/>
          <w:szCs w:val="20"/>
          <w:lang w:val="es-ES"/>
        </w:rPr>
        <w:t xml:space="preserve">l que desempeñan </w:t>
      </w:r>
      <w:r w:rsidR="00ED0D9C" w:rsidRPr="00E757D1">
        <w:rPr>
          <w:rFonts w:ascii="Verdana" w:hAnsi="Verdana" w:cs="Times New Roman"/>
          <w:iCs/>
          <w:sz w:val="20"/>
          <w:szCs w:val="20"/>
          <w:lang w:val="es-ES"/>
        </w:rPr>
        <w:t xml:space="preserve">los artículos 8 y 25 de la Convención. </w:t>
      </w:r>
      <w:r w:rsidR="00BC5A73" w:rsidRPr="00E757D1">
        <w:rPr>
          <w:rFonts w:ascii="Verdana" w:hAnsi="Verdana" w:cs="Times New Roman"/>
          <w:iCs/>
          <w:sz w:val="20"/>
          <w:szCs w:val="20"/>
          <w:lang w:val="es-ES"/>
        </w:rPr>
        <w:t xml:space="preserve">Dicho cometido consiste en que, </w:t>
      </w:r>
      <w:r w:rsidR="00ED0D9C" w:rsidRPr="00E757D1">
        <w:rPr>
          <w:rFonts w:ascii="Verdana" w:hAnsi="Verdana" w:cs="Times New Roman"/>
          <w:iCs/>
          <w:sz w:val="20"/>
          <w:szCs w:val="20"/>
          <w:lang w:val="es-ES"/>
        </w:rPr>
        <w:t xml:space="preserve"> mientras los artículos 3 a 7 y 9 a 23 de ella consagran derechos humanos, lo previsto en los artículos 8 y 25 garantiza que, en caso de que los órganos las funciones ejecutivas y normativas en el Estado no enmienden o no reparen las eventuales violaciones a dichos derechos, el órgano judicial lo deba, en toda circunstancia, hacer y para ello, la recurrencia ante él se consagra, </w:t>
      </w:r>
      <w:r w:rsidR="00ED0D9C" w:rsidRPr="00E757D1">
        <w:rPr>
          <w:rFonts w:ascii="Verdana" w:hAnsi="Verdana" w:cs="Times New Roman"/>
          <w:i/>
          <w:sz w:val="20"/>
          <w:szCs w:val="20"/>
          <w:lang w:val="es-ES"/>
        </w:rPr>
        <w:t>per se</w:t>
      </w:r>
      <w:r w:rsidR="00ED0D9C" w:rsidRPr="00E757D1">
        <w:rPr>
          <w:rFonts w:ascii="Verdana" w:hAnsi="Verdana" w:cs="Times New Roman"/>
          <w:iCs/>
          <w:sz w:val="20"/>
          <w:szCs w:val="20"/>
          <w:lang w:val="es-ES"/>
        </w:rPr>
        <w:t xml:space="preserve">, </w:t>
      </w:r>
      <w:r w:rsidR="00BC5A73" w:rsidRPr="00E757D1">
        <w:rPr>
          <w:rFonts w:ascii="Verdana" w:hAnsi="Verdana" w:cs="Times New Roman"/>
          <w:iCs/>
          <w:sz w:val="20"/>
          <w:szCs w:val="20"/>
          <w:lang w:val="es-ES"/>
        </w:rPr>
        <w:t xml:space="preserve">como </w:t>
      </w:r>
      <w:r w:rsidR="00ED0D9C" w:rsidRPr="00E757D1">
        <w:rPr>
          <w:rFonts w:ascii="Verdana" w:hAnsi="Verdana" w:cs="Times New Roman"/>
          <w:iCs/>
          <w:sz w:val="20"/>
          <w:szCs w:val="20"/>
          <w:lang w:val="es-ES"/>
        </w:rPr>
        <w:t xml:space="preserve">un derecho humano. </w:t>
      </w:r>
    </w:p>
    <w:p w14:paraId="4B5171A4" w14:textId="77777777" w:rsidR="00833777" w:rsidRPr="00E757D1" w:rsidRDefault="00833777"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72183C9B" w14:textId="77777777" w:rsidR="00833777" w:rsidRPr="00E757D1" w:rsidRDefault="00ED0D9C"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 xml:space="preserve">Así, pues, igualmente ocurre con lo previsto en el artículo 24, el que, al consagrar la igualdad ante la ley y la debida protección que debe prestar con tal fin, como un derecho humano </w:t>
      </w:r>
      <w:r w:rsidRPr="00E757D1">
        <w:rPr>
          <w:rFonts w:ascii="Verdana" w:hAnsi="Verdana" w:cs="Times New Roman"/>
          <w:i/>
          <w:sz w:val="20"/>
          <w:szCs w:val="20"/>
          <w:lang w:val="es-ES"/>
        </w:rPr>
        <w:t>per se</w:t>
      </w:r>
      <w:r w:rsidRPr="00E757D1">
        <w:rPr>
          <w:rFonts w:ascii="Verdana" w:hAnsi="Verdana" w:cs="Times New Roman"/>
          <w:iCs/>
          <w:sz w:val="20"/>
          <w:szCs w:val="20"/>
          <w:lang w:val="es-ES"/>
        </w:rPr>
        <w:t xml:space="preserve">, hace posible que los Estados sean responsables por los actos u omisiones del correspondiente órgano que ejerce </w:t>
      </w:r>
      <w:r w:rsidR="00BC5A73" w:rsidRPr="00E757D1">
        <w:rPr>
          <w:rFonts w:ascii="Verdana" w:hAnsi="Verdana" w:cs="Times New Roman"/>
          <w:iCs/>
          <w:sz w:val="20"/>
          <w:szCs w:val="20"/>
          <w:lang w:val="es-ES"/>
        </w:rPr>
        <w:t>en él su</w:t>
      </w:r>
      <w:r w:rsidRPr="00E757D1">
        <w:rPr>
          <w:rFonts w:ascii="Verdana" w:hAnsi="Verdana" w:cs="Times New Roman"/>
          <w:iCs/>
          <w:sz w:val="20"/>
          <w:szCs w:val="20"/>
          <w:lang w:val="es-ES"/>
        </w:rPr>
        <w:t xml:space="preserve"> función normativa. De ese modo, entonces, el SIDH y en particular, la Convención no dejan rendija por la que se pueda evadir la responsabilidad del Estado por un hecho ilícito internacional.</w:t>
      </w:r>
    </w:p>
    <w:p w14:paraId="26D9F847" w14:textId="77777777" w:rsidR="00833777" w:rsidRPr="00E757D1" w:rsidRDefault="00833777" w:rsidP="00DA5A31">
      <w:pPr>
        <w:pStyle w:val="Prrafodelista"/>
        <w:ind w:left="-270" w:right="-162"/>
        <w:rPr>
          <w:rFonts w:ascii="Verdana" w:hAnsi="Verdana" w:cs="Times New Roman"/>
          <w:iCs/>
          <w:sz w:val="20"/>
          <w:szCs w:val="20"/>
          <w:lang w:val="es-ES"/>
        </w:rPr>
      </w:pPr>
    </w:p>
    <w:p w14:paraId="5FDBD8FC" w14:textId="671C2597" w:rsidR="00833777" w:rsidRPr="00E757D1" w:rsidRDefault="00ED0D9C" w:rsidP="00DA5A31">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Más, para que todo ello ocurra, es imprescindible que las personas puedan presentar peticiones ante la Comisión y de ese modo dar inicio al procedimiento correspondiente</w:t>
      </w:r>
      <w:r w:rsidRPr="00E757D1">
        <w:rPr>
          <w:rStyle w:val="Refdenotaalpie"/>
          <w:rFonts w:ascii="Verdana" w:hAnsi="Verdana" w:cs="Times New Roman"/>
          <w:iCs/>
          <w:sz w:val="20"/>
          <w:szCs w:val="20"/>
          <w:lang w:val="es-ES"/>
        </w:rPr>
        <w:footnoteReference w:id="105"/>
      </w:r>
      <w:r w:rsidRPr="00E757D1">
        <w:rPr>
          <w:rFonts w:ascii="Verdana" w:hAnsi="Verdana" w:cs="Times New Roman"/>
          <w:iCs/>
          <w:sz w:val="20"/>
          <w:szCs w:val="20"/>
          <w:lang w:val="es-ES"/>
        </w:rPr>
        <w:t>, es decir, deben disponer de la legitimación activa, lo que</w:t>
      </w:r>
      <w:r w:rsidR="000F671D" w:rsidRPr="00E757D1">
        <w:rPr>
          <w:rFonts w:ascii="Verdana" w:hAnsi="Verdana" w:cs="Times New Roman"/>
          <w:iCs/>
          <w:sz w:val="20"/>
          <w:szCs w:val="20"/>
          <w:lang w:val="es-ES"/>
        </w:rPr>
        <w:t>,</w:t>
      </w:r>
      <w:r w:rsidRPr="00E757D1">
        <w:rPr>
          <w:rFonts w:ascii="Verdana" w:hAnsi="Verdana" w:cs="Times New Roman"/>
          <w:iCs/>
          <w:sz w:val="20"/>
          <w:szCs w:val="20"/>
          <w:lang w:val="es-ES"/>
        </w:rPr>
        <w:t xml:space="preserve"> en cuanto al mencionado artículo 24</w:t>
      </w:r>
      <w:r w:rsidR="00BC5A73" w:rsidRPr="00E757D1">
        <w:rPr>
          <w:rFonts w:ascii="Verdana" w:hAnsi="Verdana" w:cs="Times New Roman"/>
          <w:iCs/>
          <w:sz w:val="20"/>
          <w:szCs w:val="20"/>
          <w:lang w:val="es-ES"/>
        </w:rPr>
        <w:t>,</w:t>
      </w:r>
      <w:r w:rsidRPr="00E757D1">
        <w:rPr>
          <w:rFonts w:ascii="Verdana" w:hAnsi="Verdana" w:cs="Times New Roman"/>
          <w:iCs/>
          <w:sz w:val="20"/>
          <w:szCs w:val="20"/>
          <w:lang w:val="es-ES"/>
        </w:rPr>
        <w:t xml:space="preserve"> implica que una ley le desconozca a una persona la igualdad ante </w:t>
      </w:r>
      <w:r w:rsidR="00AC2FA9">
        <w:rPr>
          <w:rFonts w:ascii="Verdana" w:hAnsi="Verdana" w:cs="Times New Roman"/>
          <w:iCs/>
          <w:sz w:val="20"/>
          <w:szCs w:val="20"/>
          <w:lang w:val="es-ES"/>
        </w:rPr>
        <w:t xml:space="preserve">ella </w:t>
      </w:r>
      <w:r w:rsidRPr="00E757D1">
        <w:rPr>
          <w:rFonts w:ascii="Verdana" w:hAnsi="Verdana" w:cs="Times New Roman"/>
          <w:iCs/>
          <w:sz w:val="20"/>
          <w:szCs w:val="20"/>
          <w:lang w:val="es-ES"/>
        </w:rPr>
        <w:t>o no le suministre la protección pertinente, discriminándola</w:t>
      </w:r>
      <w:r w:rsidR="000F671D" w:rsidRPr="00E757D1">
        <w:rPr>
          <w:rFonts w:ascii="Verdana" w:hAnsi="Verdana" w:cs="Times New Roman"/>
          <w:iCs/>
          <w:sz w:val="20"/>
          <w:szCs w:val="20"/>
          <w:lang w:val="es-ES"/>
        </w:rPr>
        <w:t>,</w:t>
      </w:r>
      <w:r w:rsidR="00BC5A73" w:rsidRPr="00E757D1">
        <w:rPr>
          <w:rFonts w:ascii="Verdana" w:hAnsi="Verdana" w:cs="Times New Roman"/>
          <w:iCs/>
          <w:sz w:val="20"/>
          <w:szCs w:val="20"/>
          <w:lang w:val="es-ES"/>
        </w:rPr>
        <w:t xml:space="preserve"> y que ella reclame, demostrando tener el correspondiente interés en el asunto</w:t>
      </w:r>
      <w:r w:rsidRPr="00E757D1">
        <w:rPr>
          <w:rFonts w:ascii="Verdana" w:hAnsi="Verdana" w:cs="Times New Roman"/>
          <w:iCs/>
          <w:sz w:val="20"/>
          <w:szCs w:val="20"/>
          <w:lang w:val="es-ES"/>
        </w:rPr>
        <w:t xml:space="preserve">. </w:t>
      </w:r>
    </w:p>
    <w:p w14:paraId="10202C9E" w14:textId="77777777" w:rsidR="00833777" w:rsidRPr="00E757D1" w:rsidRDefault="00833777" w:rsidP="00DA5A31">
      <w:pPr>
        <w:pStyle w:val="Prrafodelista"/>
        <w:ind w:left="-270" w:right="-162"/>
        <w:rPr>
          <w:rFonts w:ascii="Verdana" w:hAnsi="Verdana" w:cs="Times New Roman"/>
          <w:iCs/>
          <w:sz w:val="20"/>
          <w:szCs w:val="20"/>
          <w:lang w:val="es-ES"/>
        </w:rPr>
      </w:pPr>
    </w:p>
    <w:p w14:paraId="7B8FCDF9" w14:textId="3BCC8725" w:rsidR="0006480B" w:rsidRPr="0006480B" w:rsidRDefault="00BC5A73" w:rsidP="0006480B">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sidRPr="00E757D1">
        <w:rPr>
          <w:rFonts w:ascii="Verdana" w:hAnsi="Verdana" w:cs="Times New Roman"/>
          <w:iCs/>
          <w:sz w:val="20"/>
          <w:szCs w:val="20"/>
          <w:lang w:val="es-ES"/>
        </w:rPr>
        <w:t xml:space="preserve">El objeto y fin del citado artículo 24 apunta, consecuentemente, también a resaltar que la causa de violación de la desigualdad entre las personas y de la falta de protección de la igualdad entre ellas debe ser la ley. </w:t>
      </w:r>
    </w:p>
    <w:p w14:paraId="56DDC71C" w14:textId="77777777" w:rsidR="0006480B" w:rsidRPr="0006480B" w:rsidRDefault="0006480B" w:rsidP="0006480B">
      <w:pPr>
        <w:pStyle w:val="Prrafodelista"/>
        <w:rPr>
          <w:rFonts w:ascii="Verdana" w:hAnsi="Verdana" w:cs="Times New Roman"/>
          <w:iCs/>
          <w:sz w:val="20"/>
          <w:szCs w:val="20"/>
          <w:lang w:val="es-ES"/>
        </w:rPr>
      </w:pPr>
    </w:p>
    <w:p w14:paraId="59BFF7E9" w14:textId="4211E9ED" w:rsidR="0006480B" w:rsidRPr="0006480B" w:rsidRDefault="0006480B" w:rsidP="0006480B">
      <w:pPr>
        <w:pStyle w:val="Prrafodelista"/>
        <w:numPr>
          <w:ilvl w:val="0"/>
          <w:numId w:val="17"/>
        </w:numPr>
        <w:autoSpaceDE w:val="0"/>
        <w:autoSpaceDN w:val="0"/>
        <w:adjustRightInd w:val="0"/>
        <w:spacing w:line="276" w:lineRule="auto"/>
        <w:ind w:right="-162"/>
        <w:rPr>
          <w:rFonts w:ascii="Verdana" w:hAnsi="Verdana" w:cs="Times New Roman"/>
          <w:b/>
          <w:bCs/>
          <w:iCs/>
          <w:sz w:val="20"/>
          <w:szCs w:val="20"/>
          <w:lang w:val="es-ES"/>
        </w:rPr>
      </w:pPr>
      <w:r>
        <w:rPr>
          <w:rFonts w:ascii="Verdana" w:hAnsi="Verdana" w:cs="Times New Roman"/>
          <w:b/>
          <w:bCs/>
          <w:iCs/>
          <w:sz w:val="20"/>
          <w:szCs w:val="20"/>
          <w:lang w:val="es-ES"/>
        </w:rPr>
        <w:t>Conclusión sobre el artículo 24.</w:t>
      </w:r>
    </w:p>
    <w:p w14:paraId="34969091" w14:textId="77777777" w:rsidR="0006480B" w:rsidRPr="0006480B" w:rsidRDefault="0006480B" w:rsidP="0006480B">
      <w:pPr>
        <w:pStyle w:val="Prrafodelista"/>
        <w:rPr>
          <w:rFonts w:ascii="Verdana" w:hAnsi="Verdana" w:cs="Times New Roman"/>
          <w:iCs/>
          <w:sz w:val="20"/>
          <w:szCs w:val="20"/>
          <w:lang w:val="es-ES"/>
        </w:rPr>
      </w:pPr>
    </w:p>
    <w:p w14:paraId="14D28B1E" w14:textId="4DD1B4F0" w:rsidR="001C1C29" w:rsidRPr="0006480B" w:rsidRDefault="00CD425A" w:rsidP="0006480B">
      <w:pPr>
        <w:pStyle w:val="Prrafodelista"/>
        <w:numPr>
          <w:ilvl w:val="0"/>
          <w:numId w:val="5"/>
        </w:numPr>
        <w:autoSpaceDE w:val="0"/>
        <w:autoSpaceDN w:val="0"/>
        <w:adjustRightInd w:val="0"/>
        <w:spacing w:line="276" w:lineRule="auto"/>
        <w:ind w:left="-270" w:right="-162" w:firstLine="0"/>
        <w:rPr>
          <w:rFonts w:ascii="Verdana" w:hAnsi="Verdana" w:cs="Times New Roman"/>
          <w:b/>
          <w:bCs/>
          <w:iCs/>
          <w:sz w:val="20"/>
          <w:szCs w:val="20"/>
          <w:lang w:val="es-ES"/>
        </w:rPr>
      </w:pPr>
      <w:r>
        <w:rPr>
          <w:rFonts w:ascii="Verdana" w:hAnsi="Verdana" w:cs="Times New Roman"/>
          <w:iCs/>
          <w:sz w:val="20"/>
          <w:szCs w:val="20"/>
          <w:lang w:val="es-ES"/>
        </w:rPr>
        <w:t>En definitiva, se disiente del Resolutivo N° 6 de la Sentencia e</w:t>
      </w:r>
      <w:r w:rsidR="008F6189">
        <w:rPr>
          <w:rFonts w:ascii="Verdana" w:hAnsi="Verdana" w:cs="Times New Roman"/>
          <w:iCs/>
          <w:sz w:val="20"/>
          <w:szCs w:val="20"/>
          <w:lang w:val="es-ES"/>
        </w:rPr>
        <w:t>n atención</w:t>
      </w:r>
      <w:r>
        <w:rPr>
          <w:rFonts w:ascii="Verdana" w:hAnsi="Verdana" w:cs="Times New Roman"/>
          <w:iCs/>
          <w:sz w:val="20"/>
          <w:szCs w:val="20"/>
          <w:lang w:val="es-ES"/>
        </w:rPr>
        <w:t>, por una parte,</w:t>
      </w:r>
      <w:r w:rsidR="008F6189">
        <w:rPr>
          <w:rFonts w:ascii="Verdana" w:hAnsi="Verdana" w:cs="Times New Roman"/>
          <w:iCs/>
          <w:sz w:val="20"/>
          <w:szCs w:val="20"/>
          <w:lang w:val="es-ES"/>
        </w:rPr>
        <w:t xml:space="preserve"> a </w:t>
      </w:r>
      <w:r w:rsidR="0006480B">
        <w:rPr>
          <w:rFonts w:ascii="Verdana" w:hAnsi="Verdana" w:cs="Times New Roman"/>
          <w:iCs/>
          <w:sz w:val="20"/>
          <w:szCs w:val="20"/>
          <w:lang w:val="es-ES"/>
        </w:rPr>
        <w:t xml:space="preserve">que omite toda </w:t>
      </w:r>
      <w:r w:rsidR="00ED0D9C" w:rsidRPr="0006480B">
        <w:rPr>
          <w:rFonts w:ascii="Verdana" w:hAnsi="Verdana" w:cs="Times New Roman"/>
          <w:iCs/>
          <w:sz w:val="20"/>
          <w:szCs w:val="20"/>
          <w:lang w:val="es-ES"/>
        </w:rPr>
        <w:t>referencia a la ley que</w:t>
      </w:r>
      <w:r w:rsidR="00BC5A73" w:rsidRPr="0006480B">
        <w:rPr>
          <w:rFonts w:ascii="Verdana" w:hAnsi="Verdana" w:cs="Times New Roman"/>
          <w:iCs/>
          <w:sz w:val="20"/>
          <w:szCs w:val="20"/>
          <w:lang w:val="es-ES"/>
        </w:rPr>
        <w:t xml:space="preserve"> </w:t>
      </w:r>
      <w:r w:rsidR="00ED0D9C" w:rsidRPr="0006480B">
        <w:rPr>
          <w:rFonts w:ascii="Verdana" w:hAnsi="Verdana" w:cs="Times New Roman"/>
          <w:iCs/>
          <w:sz w:val="20"/>
          <w:szCs w:val="20"/>
          <w:lang w:val="es-ES"/>
        </w:rPr>
        <w:t>viola</w:t>
      </w:r>
      <w:r w:rsidR="008F6189">
        <w:rPr>
          <w:rFonts w:ascii="Verdana" w:hAnsi="Verdana" w:cs="Times New Roman"/>
          <w:iCs/>
          <w:sz w:val="20"/>
          <w:szCs w:val="20"/>
          <w:lang w:val="es-ES"/>
        </w:rPr>
        <w:t xml:space="preserve"> </w:t>
      </w:r>
      <w:r w:rsidR="006E37A3">
        <w:rPr>
          <w:rFonts w:ascii="Verdana" w:hAnsi="Verdana" w:cs="Times New Roman"/>
          <w:iCs/>
          <w:sz w:val="20"/>
          <w:szCs w:val="20"/>
          <w:lang w:val="es-ES"/>
        </w:rPr>
        <w:t xml:space="preserve">el derecho a la igualdad ante </w:t>
      </w:r>
      <w:r w:rsidR="00ED0D9C" w:rsidRPr="0006480B">
        <w:rPr>
          <w:rFonts w:ascii="Verdana" w:hAnsi="Verdana" w:cs="Times New Roman"/>
          <w:iCs/>
          <w:sz w:val="20"/>
          <w:szCs w:val="20"/>
          <w:lang w:val="es-ES"/>
        </w:rPr>
        <w:t>ella</w:t>
      </w:r>
      <w:r w:rsidR="006E37A3">
        <w:rPr>
          <w:rFonts w:ascii="Verdana" w:hAnsi="Verdana" w:cs="Times New Roman"/>
          <w:iCs/>
          <w:sz w:val="20"/>
          <w:szCs w:val="20"/>
          <w:lang w:val="es-ES"/>
        </w:rPr>
        <w:t xml:space="preserve"> y a la igual protección de ella, previsto en el artículo 24</w:t>
      </w:r>
      <w:r>
        <w:rPr>
          <w:rFonts w:ascii="Verdana" w:hAnsi="Verdana" w:cs="Times New Roman"/>
          <w:iCs/>
          <w:sz w:val="20"/>
          <w:szCs w:val="20"/>
          <w:lang w:val="es-ES"/>
        </w:rPr>
        <w:t xml:space="preserve"> y por la otra, a que se sustenta </w:t>
      </w:r>
      <w:r w:rsidR="008F6189">
        <w:rPr>
          <w:rFonts w:ascii="Verdana" w:hAnsi="Verdana" w:cs="Times New Roman"/>
          <w:iCs/>
          <w:sz w:val="20"/>
          <w:szCs w:val="20"/>
          <w:lang w:val="es-ES"/>
        </w:rPr>
        <w:t xml:space="preserve">únicamente </w:t>
      </w:r>
      <w:r w:rsidR="00ED0D9C" w:rsidRPr="0006480B">
        <w:rPr>
          <w:rFonts w:ascii="Verdana" w:hAnsi="Verdana" w:cs="Times New Roman"/>
          <w:iCs/>
          <w:sz w:val="20"/>
          <w:szCs w:val="20"/>
          <w:lang w:val="es-ES"/>
        </w:rPr>
        <w:t xml:space="preserve">en una </w:t>
      </w:r>
      <w:bookmarkStart w:id="33" w:name="_Hlk46247509"/>
      <w:r w:rsidR="00ED0D9C" w:rsidRPr="0006480B">
        <w:rPr>
          <w:rFonts w:ascii="Verdana" w:hAnsi="Verdana" w:cs="Times New Roman"/>
          <w:iCs/>
          <w:sz w:val="20"/>
          <w:szCs w:val="20"/>
          <w:lang w:val="es-ES"/>
        </w:rPr>
        <w:t>situación estructural de pobreza o de discriminación por raza o género</w:t>
      </w:r>
      <w:bookmarkEnd w:id="33"/>
      <w:r w:rsidR="006E37A3">
        <w:rPr>
          <w:rFonts w:ascii="Verdana" w:hAnsi="Verdana" w:cs="Times New Roman"/>
          <w:iCs/>
          <w:sz w:val="20"/>
          <w:szCs w:val="20"/>
          <w:lang w:val="es-ES"/>
        </w:rPr>
        <w:t xml:space="preserve"> para declarar su violación</w:t>
      </w:r>
      <w:r w:rsidR="00ED0D9C" w:rsidRPr="0006480B">
        <w:rPr>
          <w:rFonts w:ascii="Verdana" w:hAnsi="Verdana" w:cs="Times New Roman"/>
          <w:iCs/>
          <w:sz w:val="20"/>
          <w:szCs w:val="20"/>
          <w:lang w:val="es-ES"/>
        </w:rPr>
        <w:t xml:space="preserve">, lo que puede ser de utilidad para determinar el contexto en que </w:t>
      </w:r>
      <w:r w:rsidR="006E37A3">
        <w:rPr>
          <w:rFonts w:ascii="Verdana" w:hAnsi="Verdana" w:cs="Times New Roman"/>
          <w:iCs/>
          <w:sz w:val="20"/>
          <w:szCs w:val="20"/>
          <w:lang w:val="es-ES"/>
        </w:rPr>
        <w:t xml:space="preserve">ésta </w:t>
      </w:r>
      <w:r w:rsidR="00ED0D9C" w:rsidRPr="0006480B">
        <w:rPr>
          <w:rFonts w:ascii="Verdana" w:hAnsi="Verdana" w:cs="Times New Roman"/>
          <w:iCs/>
          <w:sz w:val="20"/>
          <w:szCs w:val="20"/>
          <w:lang w:val="es-ES"/>
        </w:rPr>
        <w:t>se da, pero que</w:t>
      </w:r>
      <w:r w:rsidR="006E37A3">
        <w:rPr>
          <w:rFonts w:ascii="Verdana" w:hAnsi="Verdana" w:cs="Times New Roman"/>
          <w:iCs/>
          <w:sz w:val="20"/>
          <w:szCs w:val="20"/>
          <w:lang w:val="es-ES"/>
        </w:rPr>
        <w:t xml:space="preserve"> </w:t>
      </w:r>
      <w:r w:rsidR="00ED0D9C" w:rsidRPr="0006480B">
        <w:rPr>
          <w:rFonts w:ascii="Verdana" w:hAnsi="Verdana" w:cs="Times New Roman"/>
          <w:iCs/>
          <w:sz w:val="20"/>
          <w:szCs w:val="20"/>
          <w:lang w:val="es-ES"/>
        </w:rPr>
        <w:t xml:space="preserve">es </w:t>
      </w:r>
      <w:r w:rsidR="006E37A3">
        <w:rPr>
          <w:rFonts w:ascii="Verdana" w:hAnsi="Verdana" w:cs="Times New Roman"/>
          <w:iCs/>
          <w:sz w:val="20"/>
          <w:szCs w:val="20"/>
          <w:lang w:val="es-ES"/>
        </w:rPr>
        <w:t>in</w:t>
      </w:r>
      <w:r w:rsidR="00ED0D9C" w:rsidRPr="0006480B">
        <w:rPr>
          <w:rFonts w:ascii="Verdana" w:hAnsi="Verdana" w:cs="Times New Roman"/>
          <w:iCs/>
          <w:sz w:val="20"/>
          <w:szCs w:val="20"/>
          <w:lang w:val="es-ES"/>
        </w:rPr>
        <w:t xml:space="preserve">suficiente para ser la única consideración </w:t>
      </w:r>
      <w:r w:rsidR="008F6189">
        <w:rPr>
          <w:rFonts w:ascii="Verdana" w:hAnsi="Verdana" w:cs="Times New Roman"/>
          <w:iCs/>
          <w:sz w:val="20"/>
          <w:szCs w:val="20"/>
          <w:lang w:val="es-ES"/>
        </w:rPr>
        <w:t>a tener en cuenta sobre el particular</w:t>
      </w:r>
      <w:r w:rsidR="00ED0D9C" w:rsidRPr="0006480B">
        <w:rPr>
          <w:rFonts w:ascii="Verdana" w:hAnsi="Verdana" w:cs="Times New Roman"/>
          <w:iCs/>
          <w:sz w:val="20"/>
          <w:szCs w:val="20"/>
          <w:lang w:val="es-ES"/>
        </w:rPr>
        <w:t>.</w:t>
      </w:r>
    </w:p>
    <w:p w14:paraId="01EC5302" w14:textId="77777777" w:rsidR="00DC74CA" w:rsidRPr="002A3EFF" w:rsidRDefault="00DC74CA" w:rsidP="002A3EFF">
      <w:pPr>
        <w:ind w:left="0" w:right="-162"/>
        <w:rPr>
          <w:rFonts w:ascii="Verdana" w:eastAsia="Times New Roman" w:hAnsi="Verdana" w:cs="Tahoma"/>
          <w:sz w:val="20"/>
          <w:szCs w:val="20"/>
          <w:lang w:val="es-ES" w:eastAsia="es-CR"/>
        </w:rPr>
      </w:pPr>
    </w:p>
    <w:p w14:paraId="75C782A8" w14:textId="7634F0EB" w:rsidR="00DC74CA" w:rsidRPr="00E757D1" w:rsidRDefault="00DC74CA" w:rsidP="00DA5A31">
      <w:pPr>
        <w:pStyle w:val="Prrafodelista"/>
        <w:ind w:left="-270" w:right="-162"/>
        <w:rPr>
          <w:rFonts w:ascii="Verdana" w:eastAsia="Times New Roman" w:hAnsi="Verdana" w:cs="Tahoma"/>
          <w:b/>
          <w:bCs/>
          <w:sz w:val="20"/>
          <w:szCs w:val="20"/>
          <w:lang w:val="es-ES" w:eastAsia="es-CR"/>
        </w:rPr>
      </w:pPr>
      <w:r w:rsidRPr="00E757D1">
        <w:rPr>
          <w:rFonts w:ascii="Verdana" w:eastAsia="Times New Roman" w:hAnsi="Verdana" w:cs="Tahoma"/>
          <w:b/>
          <w:bCs/>
          <w:sz w:val="20"/>
          <w:szCs w:val="20"/>
          <w:lang w:val="es-ES" w:eastAsia="es-CR"/>
        </w:rPr>
        <w:t>V</w:t>
      </w:r>
      <w:r w:rsidR="0097194E" w:rsidRPr="00E757D1">
        <w:rPr>
          <w:rFonts w:ascii="Verdana" w:eastAsia="Times New Roman" w:hAnsi="Verdana" w:cs="Tahoma"/>
          <w:b/>
          <w:bCs/>
          <w:sz w:val="20"/>
          <w:szCs w:val="20"/>
          <w:lang w:val="es-ES" w:eastAsia="es-CR"/>
        </w:rPr>
        <w:t>.</w:t>
      </w:r>
      <w:r w:rsidRPr="00E757D1">
        <w:rPr>
          <w:rFonts w:ascii="Verdana" w:eastAsia="Times New Roman" w:hAnsi="Verdana" w:cs="Tahoma"/>
          <w:sz w:val="20"/>
          <w:szCs w:val="20"/>
          <w:lang w:val="es-ES" w:eastAsia="es-CR"/>
        </w:rPr>
        <w:t xml:space="preserve"> </w:t>
      </w:r>
      <w:r w:rsidRPr="00E757D1">
        <w:rPr>
          <w:rFonts w:ascii="Verdana" w:eastAsia="Times New Roman" w:hAnsi="Verdana" w:cs="Tahoma"/>
          <w:b/>
          <w:bCs/>
          <w:sz w:val="20"/>
          <w:szCs w:val="20"/>
          <w:lang w:val="es-ES" w:eastAsia="es-CR"/>
        </w:rPr>
        <w:t>CONSTANCIAS.</w:t>
      </w:r>
    </w:p>
    <w:p w14:paraId="0E95D9E1" w14:textId="25D45891" w:rsidR="003A32AD" w:rsidRPr="00E757D1" w:rsidRDefault="003A32AD" w:rsidP="00DA5A31">
      <w:pPr>
        <w:pStyle w:val="Prrafodelista"/>
        <w:ind w:left="-270" w:right="-162"/>
        <w:rPr>
          <w:rFonts w:ascii="Verdana" w:eastAsia="Times New Roman" w:hAnsi="Verdana" w:cs="Tahoma"/>
          <w:b/>
          <w:bCs/>
          <w:sz w:val="20"/>
          <w:szCs w:val="20"/>
          <w:lang w:val="es-ES" w:eastAsia="es-CR"/>
        </w:rPr>
      </w:pPr>
    </w:p>
    <w:p w14:paraId="3DE7218F" w14:textId="77777777" w:rsidR="00833777" w:rsidRPr="00E757D1" w:rsidRDefault="003A32AD" w:rsidP="002A3EFF">
      <w:pPr>
        <w:pStyle w:val="Prrafodelista"/>
        <w:numPr>
          <w:ilvl w:val="0"/>
          <w:numId w:val="5"/>
        </w:numPr>
        <w:ind w:left="-270" w:right="-162" w:firstLine="0"/>
        <w:rPr>
          <w:rFonts w:ascii="Verdana" w:eastAsia="Times New Roman" w:hAnsi="Verdana" w:cs="Tahoma"/>
          <w:sz w:val="20"/>
          <w:szCs w:val="20"/>
          <w:lang w:val="es-ES" w:eastAsia="es-CR"/>
        </w:rPr>
      </w:pPr>
      <w:r w:rsidRPr="00E757D1">
        <w:rPr>
          <w:rFonts w:ascii="Verdana" w:eastAsia="Times New Roman" w:hAnsi="Verdana" w:cs="Tahoma"/>
          <w:sz w:val="20"/>
          <w:szCs w:val="20"/>
          <w:lang w:val="es-ES" w:eastAsia="es-CR"/>
        </w:rPr>
        <w:lastRenderedPageBreak/>
        <w:t>Aprovechando esta oportunidad, el suscrito quisiera dejar constancia de dos consideraciones</w:t>
      </w:r>
      <w:r w:rsidR="009D14C2" w:rsidRPr="00E757D1">
        <w:rPr>
          <w:rFonts w:ascii="Verdana" w:eastAsia="Times New Roman" w:hAnsi="Verdana" w:cs="Tahoma"/>
          <w:sz w:val="20"/>
          <w:szCs w:val="20"/>
          <w:lang w:val="es-ES" w:eastAsia="es-CR"/>
        </w:rPr>
        <w:t xml:space="preserve"> adicionales</w:t>
      </w:r>
      <w:r w:rsidRPr="00E757D1">
        <w:rPr>
          <w:rFonts w:ascii="Verdana" w:eastAsia="Times New Roman" w:hAnsi="Verdana" w:cs="Tahoma"/>
          <w:sz w:val="20"/>
          <w:szCs w:val="20"/>
          <w:lang w:val="es-ES" w:eastAsia="es-CR"/>
        </w:rPr>
        <w:t xml:space="preserve"> con relación a lo fallado en autos.</w:t>
      </w:r>
    </w:p>
    <w:p w14:paraId="6A9FC3CF" w14:textId="77777777" w:rsidR="00833777" w:rsidRPr="00E757D1" w:rsidRDefault="00833777" w:rsidP="00DA5A31">
      <w:pPr>
        <w:pStyle w:val="Prrafodelista"/>
        <w:ind w:left="-270" w:right="-162"/>
        <w:rPr>
          <w:rFonts w:ascii="Verdana" w:eastAsia="Times New Roman" w:hAnsi="Verdana" w:cs="Tahoma"/>
          <w:sz w:val="20"/>
          <w:szCs w:val="20"/>
          <w:lang w:val="es-ES" w:eastAsia="es-CR"/>
        </w:rPr>
      </w:pPr>
    </w:p>
    <w:p w14:paraId="1EA0F49A" w14:textId="02F40241" w:rsidR="00833777" w:rsidRPr="00E757D1" w:rsidRDefault="003A32AD" w:rsidP="002A3EFF">
      <w:pPr>
        <w:pStyle w:val="Prrafodelista"/>
        <w:numPr>
          <w:ilvl w:val="0"/>
          <w:numId w:val="5"/>
        </w:numPr>
        <w:ind w:left="-270" w:right="-162" w:firstLine="0"/>
        <w:rPr>
          <w:rFonts w:ascii="Verdana" w:eastAsia="Times New Roman" w:hAnsi="Verdana" w:cs="Tahoma"/>
          <w:sz w:val="20"/>
          <w:szCs w:val="20"/>
          <w:lang w:val="es-ES" w:eastAsia="es-CR"/>
        </w:rPr>
      </w:pPr>
      <w:r w:rsidRPr="00E757D1">
        <w:rPr>
          <w:rFonts w:ascii="Verdana" w:eastAsia="Times New Roman" w:hAnsi="Verdana" w:cs="Tahoma"/>
          <w:sz w:val="20"/>
          <w:szCs w:val="20"/>
          <w:lang w:val="es-ES" w:eastAsia="es-CR"/>
        </w:rPr>
        <w:t>Una, que, por haberse incluido en el Resolutivo N°</w:t>
      </w:r>
      <w:r w:rsidR="00E13658" w:rsidRPr="00E757D1">
        <w:rPr>
          <w:rFonts w:ascii="Verdana" w:eastAsia="Times New Roman" w:hAnsi="Verdana" w:cs="Tahoma"/>
          <w:sz w:val="20"/>
          <w:szCs w:val="20"/>
          <w:lang w:val="es-ES" w:eastAsia="es-CR"/>
        </w:rPr>
        <w:t xml:space="preserve"> </w:t>
      </w:r>
      <w:r w:rsidR="002C332A" w:rsidRPr="00E757D1">
        <w:rPr>
          <w:rFonts w:ascii="Verdana" w:eastAsia="Times New Roman" w:hAnsi="Verdana" w:cs="Tahoma"/>
          <w:sz w:val="20"/>
          <w:szCs w:val="20"/>
          <w:lang w:val="es-ES" w:eastAsia="es-CR"/>
        </w:rPr>
        <w:t>6</w:t>
      </w:r>
      <w:r w:rsidR="009D14C2" w:rsidRPr="00E757D1">
        <w:rPr>
          <w:rFonts w:ascii="Verdana" w:eastAsia="Times New Roman" w:hAnsi="Verdana" w:cs="Tahoma"/>
          <w:sz w:val="20"/>
          <w:szCs w:val="20"/>
          <w:lang w:val="es-ES" w:eastAsia="es-CR"/>
        </w:rPr>
        <w:t xml:space="preserve"> la referencia al artículo 19</w:t>
      </w:r>
      <w:r w:rsidR="009D14C2" w:rsidRPr="00E757D1">
        <w:rPr>
          <w:rStyle w:val="Refdenotaalpie"/>
          <w:rFonts w:ascii="Verdana" w:eastAsia="Times New Roman" w:hAnsi="Verdana" w:cs="Tahoma"/>
          <w:sz w:val="20"/>
          <w:szCs w:val="20"/>
          <w:lang w:val="es-ES" w:eastAsia="es-CR"/>
        </w:rPr>
        <w:footnoteReference w:id="106"/>
      </w:r>
      <w:r w:rsidR="009D14C2" w:rsidRPr="00E757D1">
        <w:rPr>
          <w:rFonts w:ascii="Verdana" w:eastAsia="Times New Roman" w:hAnsi="Verdana" w:cs="Tahoma"/>
          <w:sz w:val="20"/>
          <w:szCs w:val="20"/>
          <w:lang w:val="es-ES" w:eastAsia="es-CR"/>
        </w:rPr>
        <w:t xml:space="preserve"> junto a los artículos 26 y 24, todos de la Convención, se vio obligado a votar en contra de su aprobación, más ello no debe ser entendido como que rechazara que se haya violado dicho artículo.</w:t>
      </w:r>
    </w:p>
    <w:p w14:paraId="1FD47D2E" w14:textId="77777777" w:rsidR="00833777" w:rsidRPr="00E757D1" w:rsidRDefault="00833777" w:rsidP="00DA5A31">
      <w:pPr>
        <w:pStyle w:val="Prrafodelista"/>
        <w:ind w:left="-270" w:right="-162"/>
        <w:rPr>
          <w:rFonts w:ascii="Verdana" w:eastAsia="Times New Roman" w:hAnsi="Verdana" w:cs="Tahoma"/>
          <w:sz w:val="20"/>
          <w:szCs w:val="20"/>
          <w:lang w:val="es-ES" w:eastAsia="es-CR"/>
        </w:rPr>
      </w:pPr>
    </w:p>
    <w:p w14:paraId="316BBAEC" w14:textId="12C2BF09" w:rsidR="003A32AD" w:rsidRPr="00AE110B" w:rsidRDefault="009D14C2" w:rsidP="00AE110B">
      <w:pPr>
        <w:pStyle w:val="Prrafodelista"/>
        <w:numPr>
          <w:ilvl w:val="0"/>
          <w:numId w:val="5"/>
        </w:numPr>
        <w:ind w:left="-270" w:right="-162" w:firstLine="0"/>
        <w:rPr>
          <w:rFonts w:ascii="Verdana" w:eastAsia="Times New Roman" w:hAnsi="Verdana" w:cs="Tahoma"/>
          <w:sz w:val="20"/>
          <w:szCs w:val="20"/>
          <w:lang w:val="es-ES" w:eastAsia="es-CR"/>
        </w:rPr>
      </w:pPr>
      <w:r w:rsidRPr="00E757D1">
        <w:rPr>
          <w:rFonts w:ascii="Verdana" w:eastAsia="Times New Roman" w:hAnsi="Verdana" w:cs="Tahoma"/>
          <w:sz w:val="20"/>
          <w:szCs w:val="20"/>
          <w:lang w:val="es-ES" w:eastAsia="es-CR"/>
        </w:rPr>
        <w:t>Y la segunda, que</w:t>
      </w:r>
      <w:r w:rsidR="00BF5D87" w:rsidRPr="00E757D1">
        <w:rPr>
          <w:rFonts w:ascii="Verdana" w:eastAsia="Times New Roman" w:hAnsi="Verdana" w:cs="Tahoma"/>
          <w:sz w:val="20"/>
          <w:szCs w:val="20"/>
          <w:lang w:val="es-ES" w:eastAsia="es-CR"/>
        </w:rPr>
        <w:t xml:space="preserve"> al contemplarse en el Resolutivo N° </w:t>
      </w:r>
      <w:r w:rsidR="003027F4" w:rsidRPr="00E757D1">
        <w:rPr>
          <w:rFonts w:ascii="Verdana" w:eastAsia="Times New Roman" w:hAnsi="Verdana" w:cs="Tahoma"/>
          <w:sz w:val="20"/>
          <w:szCs w:val="20"/>
          <w:lang w:val="es-ES" w:eastAsia="es-CR"/>
        </w:rPr>
        <w:t>4</w:t>
      </w:r>
      <w:r w:rsidR="00BF5D87" w:rsidRPr="00E757D1">
        <w:rPr>
          <w:rFonts w:ascii="Verdana" w:eastAsia="Times New Roman" w:hAnsi="Verdana" w:cs="Tahoma"/>
          <w:sz w:val="20"/>
          <w:szCs w:val="20"/>
          <w:lang w:val="es-ES" w:eastAsia="es-CR"/>
        </w:rPr>
        <w:t xml:space="preserve"> de la Sentencia</w:t>
      </w:r>
      <w:r w:rsidR="00BF5D87" w:rsidRPr="00E757D1">
        <w:rPr>
          <w:rStyle w:val="Refdenotaalpie"/>
          <w:rFonts w:ascii="Verdana" w:eastAsia="Times New Roman" w:hAnsi="Verdana" w:cs="Tahoma"/>
          <w:sz w:val="20"/>
          <w:szCs w:val="20"/>
          <w:lang w:val="es-ES" w:eastAsia="es-CR"/>
        </w:rPr>
        <w:footnoteReference w:id="107"/>
      </w:r>
      <w:r w:rsidR="00BF5D87" w:rsidRPr="00E757D1">
        <w:rPr>
          <w:rFonts w:ascii="Verdana" w:eastAsia="Times New Roman" w:hAnsi="Verdana" w:cs="Tahoma"/>
          <w:sz w:val="20"/>
          <w:szCs w:val="20"/>
          <w:lang w:val="es-ES" w:eastAsia="es-CR"/>
        </w:rPr>
        <w:t xml:space="preserve"> al artículo 4.1. de la Convención</w:t>
      </w:r>
      <w:r w:rsidR="00BF5D87" w:rsidRPr="00E757D1">
        <w:rPr>
          <w:rStyle w:val="Refdenotaalpie"/>
          <w:rFonts w:ascii="Verdana" w:eastAsia="Times New Roman" w:hAnsi="Verdana" w:cs="Tahoma"/>
          <w:sz w:val="20"/>
          <w:szCs w:val="20"/>
          <w:lang w:val="es-ES" w:eastAsia="es-CR"/>
        </w:rPr>
        <w:footnoteReference w:id="108"/>
      </w:r>
      <w:r w:rsidR="00BF5D87" w:rsidRPr="00E757D1">
        <w:rPr>
          <w:rFonts w:ascii="Verdana" w:eastAsia="Times New Roman" w:hAnsi="Verdana" w:cs="Tahoma"/>
          <w:sz w:val="20"/>
          <w:szCs w:val="20"/>
          <w:lang w:val="es-ES" w:eastAsia="es-CR"/>
        </w:rPr>
        <w:t xml:space="preserve"> y habiéndose dado como hecho de que </w:t>
      </w:r>
      <w:r w:rsidR="006E21DE" w:rsidRPr="00E757D1">
        <w:rPr>
          <w:rFonts w:ascii="Verdana" w:eastAsia="Times New Roman" w:hAnsi="Verdana" w:cs="Tahoma"/>
          <w:sz w:val="20"/>
          <w:szCs w:val="20"/>
          <w:lang w:val="es-ES" w:eastAsia="es-CR"/>
        </w:rPr>
        <w:t>“</w:t>
      </w:r>
      <w:r w:rsidR="006E21DE" w:rsidRPr="00E757D1">
        <w:rPr>
          <w:rStyle w:val="None"/>
          <w:rFonts w:ascii="Verdana" w:eastAsia="Verdana" w:hAnsi="Verdana"/>
          <w:bCs/>
          <w:i/>
          <w:iCs/>
          <w:sz w:val="20"/>
          <w:szCs w:val="20"/>
          <w:lang w:val="es-ES"/>
        </w:rPr>
        <w:t>c</w:t>
      </w:r>
      <w:r w:rsidR="006E21DE" w:rsidRPr="00E757D1">
        <w:rPr>
          <w:rFonts w:ascii="Verdana" w:hAnsi="Verdana"/>
          <w:i/>
          <w:iCs/>
          <w:sz w:val="20"/>
          <w:szCs w:val="20"/>
          <w:lang w:val="es-ES"/>
        </w:rPr>
        <w:t>uatro de las mujeres fallecidas</w:t>
      </w:r>
      <w:r w:rsidR="006E21DE" w:rsidRPr="00E757D1">
        <w:rPr>
          <w:rFonts w:ascii="Verdana" w:hAnsi="Verdana"/>
          <w:sz w:val="20"/>
          <w:szCs w:val="20"/>
          <w:lang w:val="es-ES"/>
        </w:rPr>
        <w:t xml:space="preserve"> </w:t>
      </w:r>
      <w:r w:rsidR="00B6281C" w:rsidRPr="00E757D1">
        <w:rPr>
          <w:rFonts w:ascii="Verdana" w:hAnsi="Verdana"/>
          <w:sz w:val="20"/>
          <w:szCs w:val="20"/>
          <w:lang w:val="es-ES"/>
        </w:rPr>
        <w:t>[</w:t>
      </w:r>
      <w:r w:rsidR="006E21DE" w:rsidRPr="00E757D1">
        <w:rPr>
          <w:rFonts w:ascii="Verdana" w:hAnsi="Verdana"/>
          <w:sz w:val="20"/>
          <w:szCs w:val="20"/>
          <w:lang w:val="es-ES"/>
        </w:rPr>
        <w:t>en los sucesos a que se refiere</w:t>
      </w:r>
      <w:r w:rsidR="00B6281C" w:rsidRPr="00E757D1">
        <w:rPr>
          <w:rFonts w:ascii="Verdana" w:hAnsi="Verdana"/>
          <w:sz w:val="20"/>
          <w:szCs w:val="20"/>
          <w:lang w:val="es-ES"/>
        </w:rPr>
        <w:t>]</w:t>
      </w:r>
      <w:r w:rsidR="006E21DE" w:rsidRPr="00E757D1">
        <w:rPr>
          <w:rFonts w:ascii="Verdana" w:hAnsi="Verdana"/>
          <w:i/>
          <w:iCs/>
          <w:sz w:val="20"/>
          <w:szCs w:val="20"/>
          <w:lang w:val="es-ES"/>
        </w:rPr>
        <w:t xml:space="preserve"> se encontraban en estado de gestación</w:t>
      </w:r>
      <w:r w:rsidR="006E21DE" w:rsidRPr="00E757D1">
        <w:rPr>
          <w:rFonts w:ascii="Verdana" w:hAnsi="Verdana"/>
          <w:sz w:val="20"/>
          <w:szCs w:val="20"/>
          <w:lang w:val="es-ES"/>
        </w:rPr>
        <w:t>”</w:t>
      </w:r>
      <w:r w:rsidR="006E21DE" w:rsidRPr="00E757D1">
        <w:rPr>
          <w:rStyle w:val="Refdenotaalpie"/>
          <w:rFonts w:ascii="Verdana" w:hAnsi="Verdana"/>
          <w:sz w:val="20"/>
          <w:szCs w:val="20"/>
          <w:lang w:val="es-ES"/>
        </w:rPr>
        <w:footnoteReference w:id="109"/>
      </w:r>
      <w:r w:rsidR="006E21DE" w:rsidRPr="00E757D1">
        <w:rPr>
          <w:rFonts w:ascii="Verdana" w:hAnsi="Verdana"/>
          <w:sz w:val="20"/>
          <w:szCs w:val="20"/>
          <w:lang w:val="es-ES"/>
        </w:rPr>
        <w:t>, hubiese sid</w:t>
      </w:r>
      <w:r w:rsidR="00BD3EE9" w:rsidRPr="00E757D1">
        <w:rPr>
          <w:rFonts w:ascii="Verdana" w:hAnsi="Verdana"/>
          <w:sz w:val="20"/>
          <w:szCs w:val="20"/>
          <w:lang w:val="es-ES"/>
        </w:rPr>
        <w:t>o</w:t>
      </w:r>
      <w:r w:rsidR="006E21DE" w:rsidRPr="00E757D1">
        <w:rPr>
          <w:rFonts w:ascii="Verdana" w:hAnsi="Verdana"/>
          <w:sz w:val="20"/>
          <w:szCs w:val="20"/>
          <w:lang w:val="es-ES"/>
        </w:rPr>
        <w:t xml:space="preserve"> deseab</w:t>
      </w:r>
      <w:r w:rsidR="00BD3EE9" w:rsidRPr="00E757D1">
        <w:rPr>
          <w:rFonts w:ascii="Verdana" w:hAnsi="Verdana"/>
          <w:sz w:val="20"/>
          <w:szCs w:val="20"/>
          <w:lang w:val="es-ES"/>
        </w:rPr>
        <w:t>l</w:t>
      </w:r>
      <w:r w:rsidR="006E21DE" w:rsidRPr="00E757D1">
        <w:rPr>
          <w:rFonts w:ascii="Verdana" w:hAnsi="Verdana"/>
          <w:sz w:val="20"/>
          <w:szCs w:val="20"/>
          <w:lang w:val="es-ES"/>
        </w:rPr>
        <w:t>e la aplicación de la citada norma convencional</w:t>
      </w:r>
      <w:r w:rsidRPr="00E757D1">
        <w:rPr>
          <w:rFonts w:ascii="Verdana" w:eastAsia="Times New Roman" w:hAnsi="Verdana" w:cs="Tahoma"/>
          <w:sz w:val="20"/>
          <w:szCs w:val="20"/>
          <w:lang w:val="es-ES" w:eastAsia="es-CR"/>
        </w:rPr>
        <w:t xml:space="preserve"> </w:t>
      </w:r>
      <w:r w:rsidR="006E21DE" w:rsidRPr="00E757D1">
        <w:rPr>
          <w:rFonts w:ascii="Verdana" w:eastAsia="Times New Roman" w:hAnsi="Verdana" w:cs="Tahoma"/>
          <w:sz w:val="20"/>
          <w:szCs w:val="20"/>
          <w:lang w:val="es-ES" w:eastAsia="es-CR"/>
        </w:rPr>
        <w:t xml:space="preserve">respecto de </w:t>
      </w:r>
      <w:r w:rsidR="009E0DC6" w:rsidRPr="00E757D1">
        <w:rPr>
          <w:rFonts w:ascii="Verdana" w:eastAsia="Times New Roman" w:hAnsi="Verdana" w:cs="Tahoma"/>
          <w:sz w:val="20"/>
          <w:szCs w:val="20"/>
          <w:lang w:val="es-ES" w:eastAsia="es-CR"/>
        </w:rPr>
        <w:t>los no nacidos</w:t>
      </w:r>
      <w:r w:rsidR="00AA3FB1" w:rsidRPr="00E757D1">
        <w:rPr>
          <w:rFonts w:ascii="Verdana" w:eastAsia="Times New Roman" w:hAnsi="Verdana" w:cs="Tahoma"/>
          <w:sz w:val="20"/>
          <w:szCs w:val="20"/>
          <w:lang w:val="es-ES" w:eastAsia="es-CR"/>
        </w:rPr>
        <w:t xml:space="preserve"> o </w:t>
      </w:r>
      <w:r w:rsidR="00AA3FB1" w:rsidRPr="00E757D1">
        <w:rPr>
          <w:rFonts w:ascii="Verdana" w:hAnsi="Verdana"/>
          <w:i/>
          <w:iCs/>
          <w:sz w:val="20"/>
          <w:szCs w:val="20"/>
          <w:shd w:val="clear" w:color="auto" w:fill="FFFFFF"/>
          <w:lang w:val="es-ES"/>
        </w:rPr>
        <w:t>nasciturus</w:t>
      </w:r>
      <w:r w:rsidR="00BD3EE9" w:rsidRPr="00E757D1">
        <w:rPr>
          <w:rFonts w:ascii="Verdana" w:eastAsia="Times New Roman" w:hAnsi="Verdana" w:cs="Tahoma"/>
          <w:sz w:val="20"/>
          <w:szCs w:val="20"/>
          <w:lang w:val="es-ES" w:eastAsia="es-CR"/>
        </w:rPr>
        <w:t xml:space="preserve">, de conformidad a lo indicado en otros votos del </w:t>
      </w:r>
      <w:r w:rsidR="009E0DC6" w:rsidRPr="00E757D1">
        <w:rPr>
          <w:rFonts w:ascii="Verdana" w:eastAsia="Times New Roman" w:hAnsi="Verdana" w:cs="Tahoma"/>
          <w:sz w:val="20"/>
          <w:szCs w:val="20"/>
          <w:lang w:val="es-ES" w:eastAsia="es-CR"/>
        </w:rPr>
        <w:t>infra</w:t>
      </w:r>
      <w:r w:rsidR="00BD3EE9" w:rsidRPr="00E757D1">
        <w:rPr>
          <w:rFonts w:ascii="Verdana" w:eastAsia="Times New Roman" w:hAnsi="Verdana" w:cs="Tahoma"/>
          <w:sz w:val="20"/>
          <w:szCs w:val="20"/>
          <w:lang w:val="es-ES" w:eastAsia="es-CR"/>
        </w:rPr>
        <w:t>scrito</w:t>
      </w:r>
      <w:r w:rsidR="00BD3EE9" w:rsidRPr="00E757D1">
        <w:rPr>
          <w:rStyle w:val="Refdenotaalpie"/>
          <w:rFonts w:ascii="Verdana" w:eastAsia="Times New Roman" w:hAnsi="Verdana" w:cs="Tahoma"/>
          <w:sz w:val="20"/>
          <w:szCs w:val="20"/>
          <w:lang w:val="es-ES" w:eastAsia="es-CR"/>
        </w:rPr>
        <w:footnoteReference w:id="110"/>
      </w:r>
      <w:r w:rsidR="00BD3EE9" w:rsidRPr="00E757D1">
        <w:rPr>
          <w:rFonts w:ascii="Verdana" w:eastAsia="Times New Roman" w:hAnsi="Verdana" w:cs="Tahoma"/>
          <w:sz w:val="20"/>
          <w:szCs w:val="20"/>
          <w:lang w:val="es-ES" w:eastAsia="es-CR"/>
        </w:rPr>
        <w:t>.</w:t>
      </w:r>
      <w:r w:rsidR="00AE110B">
        <w:rPr>
          <w:rFonts w:ascii="Verdana" w:eastAsia="Times New Roman" w:hAnsi="Verdana" w:cs="Tahoma"/>
          <w:sz w:val="20"/>
          <w:szCs w:val="20"/>
          <w:lang w:val="es-ES" w:eastAsia="es-CR"/>
        </w:rPr>
        <w:t xml:space="preserve"> </w:t>
      </w:r>
      <w:r w:rsidR="00BD3EE9" w:rsidRPr="00AE110B">
        <w:rPr>
          <w:rFonts w:ascii="Verdana" w:eastAsia="Times New Roman" w:hAnsi="Verdana" w:cs="Tahoma"/>
          <w:sz w:val="20"/>
          <w:szCs w:val="20"/>
          <w:lang w:val="es-ES" w:eastAsia="es-CR"/>
        </w:rPr>
        <w:t>Sin embargo, lo señalado no fue posible dado, por una parte, que el tema no fue planteado en autos y</w:t>
      </w:r>
      <w:r w:rsidR="003027F4" w:rsidRPr="00AE110B">
        <w:rPr>
          <w:rFonts w:ascii="Verdana" w:eastAsia="Times New Roman" w:hAnsi="Verdana" w:cs="Tahoma"/>
          <w:sz w:val="20"/>
          <w:szCs w:val="20"/>
          <w:lang w:val="es-ES" w:eastAsia="es-CR"/>
        </w:rPr>
        <w:t>,</w:t>
      </w:r>
      <w:r w:rsidR="00BD3EE9" w:rsidRPr="00AE110B">
        <w:rPr>
          <w:rFonts w:ascii="Verdana" w:eastAsia="Times New Roman" w:hAnsi="Verdana" w:cs="Tahoma"/>
          <w:sz w:val="20"/>
          <w:szCs w:val="20"/>
          <w:lang w:val="es-ES" w:eastAsia="es-CR"/>
        </w:rPr>
        <w:t xml:space="preserve"> por la otra, </w:t>
      </w:r>
      <w:r w:rsidR="002C332A" w:rsidRPr="00AE110B">
        <w:rPr>
          <w:rFonts w:ascii="Verdana" w:eastAsia="Times New Roman" w:hAnsi="Verdana" w:cs="Tahoma"/>
          <w:sz w:val="20"/>
          <w:szCs w:val="20"/>
          <w:lang w:val="es-ES" w:eastAsia="es-CR"/>
        </w:rPr>
        <w:t xml:space="preserve">que </w:t>
      </w:r>
      <w:r w:rsidR="00BD3EE9" w:rsidRPr="00AE110B">
        <w:rPr>
          <w:rFonts w:ascii="Verdana" w:eastAsia="Times New Roman" w:hAnsi="Verdana" w:cs="Tahoma"/>
          <w:sz w:val="20"/>
          <w:szCs w:val="20"/>
          <w:lang w:val="es-ES" w:eastAsia="es-CR"/>
        </w:rPr>
        <w:t xml:space="preserve">se carecía de la información correspondiente </w:t>
      </w:r>
      <w:r w:rsidR="009E0DC6" w:rsidRPr="00AE110B">
        <w:rPr>
          <w:rFonts w:ascii="Verdana" w:eastAsia="Times New Roman" w:hAnsi="Verdana" w:cs="Tahoma"/>
          <w:sz w:val="20"/>
          <w:szCs w:val="20"/>
          <w:lang w:val="es-ES" w:eastAsia="es-CR"/>
        </w:rPr>
        <w:t>a</w:t>
      </w:r>
      <w:r w:rsidR="00215514" w:rsidRPr="00AE110B">
        <w:rPr>
          <w:rFonts w:ascii="Verdana" w:eastAsia="Times New Roman" w:hAnsi="Verdana" w:cs="Tahoma"/>
          <w:sz w:val="20"/>
          <w:szCs w:val="20"/>
          <w:lang w:val="es-ES" w:eastAsia="es-CR"/>
        </w:rPr>
        <w:t xml:space="preserve">l </w:t>
      </w:r>
      <w:r w:rsidR="00BD3EE9" w:rsidRPr="00AE110B">
        <w:rPr>
          <w:rFonts w:ascii="Verdana" w:eastAsia="Times New Roman" w:hAnsi="Verdana" w:cs="Tahoma"/>
          <w:sz w:val="20"/>
          <w:szCs w:val="20"/>
          <w:lang w:val="es-ES" w:eastAsia="es-CR"/>
        </w:rPr>
        <w:t>tiempo</w:t>
      </w:r>
      <w:r w:rsidR="00215514" w:rsidRPr="00AE110B">
        <w:rPr>
          <w:rFonts w:ascii="Verdana" w:eastAsia="Times New Roman" w:hAnsi="Verdana" w:cs="Tahoma"/>
          <w:sz w:val="20"/>
          <w:szCs w:val="20"/>
          <w:lang w:val="es-ES" w:eastAsia="es-CR"/>
        </w:rPr>
        <w:t xml:space="preserve"> </w:t>
      </w:r>
      <w:r w:rsidR="002C332A" w:rsidRPr="00AE110B">
        <w:rPr>
          <w:rFonts w:ascii="Verdana" w:eastAsia="Times New Roman" w:hAnsi="Verdana" w:cs="Tahoma"/>
          <w:sz w:val="20"/>
          <w:szCs w:val="20"/>
          <w:lang w:val="es-ES" w:eastAsia="es-CR"/>
        </w:rPr>
        <w:t xml:space="preserve">y </w:t>
      </w:r>
      <w:r w:rsidR="008B016A" w:rsidRPr="00AE110B">
        <w:rPr>
          <w:rFonts w:ascii="Verdana" w:eastAsia="Times New Roman" w:hAnsi="Verdana" w:cs="Tahoma"/>
          <w:sz w:val="20"/>
          <w:szCs w:val="20"/>
          <w:lang w:val="es-ES" w:eastAsia="es-CR"/>
        </w:rPr>
        <w:t>a</w:t>
      </w:r>
      <w:r w:rsidR="002C332A" w:rsidRPr="00AE110B">
        <w:rPr>
          <w:rFonts w:ascii="Verdana" w:eastAsia="Times New Roman" w:hAnsi="Verdana" w:cs="Tahoma"/>
          <w:sz w:val="20"/>
          <w:szCs w:val="20"/>
          <w:lang w:val="es-ES" w:eastAsia="es-CR"/>
        </w:rPr>
        <w:t xml:space="preserve">l desarrollo </w:t>
      </w:r>
      <w:r w:rsidR="00BD3EE9" w:rsidRPr="00AE110B">
        <w:rPr>
          <w:rFonts w:ascii="Verdana" w:eastAsia="Times New Roman" w:hAnsi="Verdana" w:cs="Tahoma"/>
          <w:sz w:val="20"/>
          <w:szCs w:val="20"/>
          <w:lang w:val="es-ES" w:eastAsia="es-CR"/>
        </w:rPr>
        <w:t xml:space="preserve">de </w:t>
      </w:r>
      <w:r w:rsidR="002C332A" w:rsidRPr="00AE110B">
        <w:rPr>
          <w:rFonts w:ascii="Verdana" w:eastAsia="Times New Roman" w:hAnsi="Verdana" w:cs="Tahoma"/>
          <w:sz w:val="20"/>
          <w:szCs w:val="20"/>
          <w:lang w:val="es-ES" w:eastAsia="es-CR"/>
        </w:rPr>
        <w:t xml:space="preserve">la </w:t>
      </w:r>
      <w:r w:rsidR="00BD3EE9" w:rsidRPr="00AE110B">
        <w:rPr>
          <w:rFonts w:ascii="Verdana" w:eastAsia="Times New Roman" w:hAnsi="Verdana" w:cs="Tahoma"/>
          <w:sz w:val="20"/>
          <w:szCs w:val="20"/>
          <w:lang w:val="es-ES" w:eastAsia="es-CR"/>
        </w:rPr>
        <w:t>gravidez de las mencionadas mujeres</w:t>
      </w:r>
      <w:r w:rsidR="008B016A" w:rsidRPr="00AE110B">
        <w:rPr>
          <w:rFonts w:ascii="Verdana" w:eastAsia="Times New Roman" w:hAnsi="Verdana" w:cs="Tahoma"/>
          <w:sz w:val="20"/>
          <w:szCs w:val="20"/>
          <w:lang w:val="es-ES" w:eastAsia="es-CR"/>
        </w:rPr>
        <w:t>.</w:t>
      </w:r>
      <w:r w:rsidR="00BD3EE9" w:rsidRPr="00AE110B">
        <w:rPr>
          <w:rFonts w:ascii="Verdana" w:eastAsia="Times New Roman" w:hAnsi="Verdana" w:cs="Tahoma"/>
          <w:sz w:val="20"/>
          <w:szCs w:val="20"/>
          <w:lang w:val="es-ES" w:eastAsia="es-CR"/>
        </w:rPr>
        <w:t xml:space="preserve"> </w:t>
      </w:r>
    </w:p>
    <w:p w14:paraId="7C17B08D" w14:textId="52202E1A" w:rsidR="008914C8" w:rsidRDefault="008914C8"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37957729" w14:textId="7C091FF4" w:rsidR="00173616" w:rsidRDefault="00173616"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051BDF76" w14:textId="1958633F" w:rsidR="00173616" w:rsidRDefault="00173616"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6EE43642" w14:textId="44028207" w:rsidR="00173616" w:rsidRDefault="00173616"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2F4330B8" w14:textId="77777777" w:rsidR="00173616" w:rsidRPr="00E757D1" w:rsidRDefault="00173616"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3C49479A" w14:textId="624CB928" w:rsidR="00355348" w:rsidRPr="00E757D1" w:rsidRDefault="00355348"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p w14:paraId="3468280C" w14:textId="77777777" w:rsidR="00355348" w:rsidRPr="00E757D1" w:rsidRDefault="00355348" w:rsidP="00DA5A31">
      <w:pPr>
        <w:pStyle w:val="Prrafodelista"/>
        <w:autoSpaceDE w:val="0"/>
        <w:autoSpaceDN w:val="0"/>
        <w:adjustRightInd w:val="0"/>
        <w:spacing w:line="276" w:lineRule="auto"/>
        <w:ind w:left="-270" w:right="-162"/>
        <w:rPr>
          <w:rFonts w:ascii="Verdana" w:hAnsi="Verdana" w:cs="Times New Roman"/>
          <w:b/>
          <w:bCs/>
          <w:iCs/>
          <w:sz w:val="20"/>
          <w:szCs w:val="20"/>
          <w:lang w:val="es-ES"/>
        </w:rPr>
      </w:pPr>
    </w:p>
    <w:tbl>
      <w:tblPr>
        <w:tblStyle w:val="Tablaconcuadrcula"/>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73616" w14:paraId="44418194" w14:textId="77777777" w:rsidTr="00173616">
        <w:tc>
          <w:tcPr>
            <w:tcW w:w="4414" w:type="dxa"/>
          </w:tcPr>
          <w:p w14:paraId="0096EBA6" w14:textId="77777777" w:rsidR="00173616" w:rsidRDefault="00173616" w:rsidP="00DA5A31">
            <w:pPr>
              <w:spacing w:line="276" w:lineRule="auto"/>
              <w:ind w:left="0" w:right="-162"/>
              <w:contextualSpacing/>
              <w:rPr>
                <w:rFonts w:ascii="Verdana" w:hAnsi="Verdana"/>
                <w:b/>
                <w:sz w:val="20"/>
                <w:szCs w:val="20"/>
                <w:lang w:val="es-ES"/>
              </w:rPr>
            </w:pPr>
          </w:p>
        </w:tc>
        <w:tc>
          <w:tcPr>
            <w:tcW w:w="4414" w:type="dxa"/>
          </w:tcPr>
          <w:p w14:paraId="1B7A55C7" w14:textId="4661F529" w:rsidR="00173616" w:rsidRPr="00173616" w:rsidRDefault="00173616" w:rsidP="00173616">
            <w:pPr>
              <w:spacing w:line="276" w:lineRule="auto"/>
              <w:ind w:left="-270" w:right="-162"/>
              <w:jc w:val="left"/>
              <w:rPr>
                <w:rFonts w:ascii="Verdana" w:hAnsi="Verdana"/>
                <w:sz w:val="20"/>
                <w:szCs w:val="20"/>
                <w:lang w:val="es-ES"/>
              </w:rPr>
            </w:pPr>
            <w:r>
              <w:rPr>
                <w:rFonts w:ascii="Verdana" w:hAnsi="Verdana"/>
                <w:sz w:val="20"/>
                <w:szCs w:val="20"/>
                <w:lang w:val="es-ES"/>
              </w:rPr>
              <w:t xml:space="preserve">            </w:t>
            </w:r>
            <w:r w:rsidRPr="00173616">
              <w:rPr>
                <w:rFonts w:ascii="Verdana" w:hAnsi="Verdana"/>
                <w:sz w:val="20"/>
                <w:szCs w:val="20"/>
                <w:lang w:val="es-ES"/>
              </w:rPr>
              <w:t>Eduardo Vio Grossi</w:t>
            </w:r>
          </w:p>
          <w:p w14:paraId="3F39809F" w14:textId="10486484" w:rsidR="00173616" w:rsidRPr="00173616" w:rsidRDefault="00173616" w:rsidP="00173616">
            <w:pPr>
              <w:spacing w:line="276" w:lineRule="auto"/>
              <w:ind w:left="-270" w:right="-162"/>
              <w:jc w:val="left"/>
              <w:rPr>
                <w:rFonts w:ascii="Verdana" w:hAnsi="Verdana"/>
                <w:sz w:val="20"/>
                <w:szCs w:val="20"/>
                <w:lang w:val="es-ES"/>
              </w:rPr>
            </w:pPr>
            <w:r w:rsidRPr="00173616">
              <w:rPr>
                <w:rFonts w:ascii="Verdana" w:hAnsi="Verdana"/>
                <w:sz w:val="20"/>
                <w:szCs w:val="20"/>
                <w:lang w:val="es-ES"/>
              </w:rPr>
              <w:t>J</w:t>
            </w:r>
            <w:r>
              <w:rPr>
                <w:rFonts w:ascii="Verdana" w:hAnsi="Verdana"/>
                <w:sz w:val="20"/>
                <w:szCs w:val="20"/>
                <w:lang w:val="es-ES"/>
              </w:rPr>
              <w:t xml:space="preserve">            J</w:t>
            </w:r>
            <w:r w:rsidRPr="00173616">
              <w:rPr>
                <w:rFonts w:ascii="Verdana" w:hAnsi="Verdana"/>
                <w:sz w:val="20"/>
                <w:szCs w:val="20"/>
                <w:lang w:val="es-ES"/>
              </w:rPr>
              <w:t>uez</w:t>
            </w:r>
          </w:p>
          <w:p w14:paraId="1C0818A0" w14:textId="77777777" w:rsidR="00173616" w:rsidRPr="00173616" w:rsidRDefault="00173616" w:rsidP="00173616">
            <w:pPr>
              <w:spacing w:line="276" w:lineRule="auto"/>
              <w:ind w:left="-270" w:right="-162"/>
              <w:jc w:val="left"/>
              <w:rPr>
                <w:rFonts w:ascii="Verdana" w:hAnsi="Verdana"/>
                <w:sz w:val="20"/>
                <w:szCs w:val="20"/>
                <w:lang w:val="es-ES"/>
              </w:rPr>
            </w:pPr>
          </w:p>
          <w:p w14:paraId="38DAFDA5" w14:textId="77777777" w:rsidR="00173616" w:rsidRDefault="00173616" w:rsidP="00173616">
            <w:pPr>
              <w:spacing w:line="276" w:lineRule="auto"/>
              <w:ind w:left="0" w:right="-162"/>
              <w:contextualSpacing/>
              <w:jc w:val="left"/>
              <w:rPr>
                <w:rFonts w:ascii="Verdana" w:hAnsi="Verdana"/>
                <w:b/>
                <w:sz w:val="20"/>
                <w:szCs w:val="20"/>
                <w:lang w:val="es-ES"/>
              </w:rPr>
            </w:pPr>
          </w:p>
        </w:tc>
      </w:tr>
      <w:tr w:rsidR="00173616" w14:paraId="48F241C1" w14:textId="77777777" w:rsidTr="00173616">
        <w:tc>
          <w:tcPr>
            <w:tcW w:w="4414" w:type="dxa"/>
          </w:tcPr>
          <w:p w14:paraId="49D0BE59" w14:textId="1CD78CE0" w:rsidR="00173616" w:rsidRPr="00173616" w:rsidRDefault="00173616" w:rsidP="00173616">
            <w:pPr>
              <w:spacing w:line="276" w:lineRule="auto"/>
              <w:ind w:left="-270" w:right="-162"/>
              <w:rPr>
                <w:rFonts w:ascii="Verdana" w:hAnsi="Verdana"/>
                <w:sz w:val="20"/>
                <w:szCs w:val="20"/>
                <w:lang w:val="es-ES"/>
              </w:rPr>
            </w:pPr>
            <w:r>
              <w:rPr>
                <w:rFonts w:ascii="Verdana" w:hAnsi="Verdana"/>
                <w:sz w:val="20"/>
                <w:szCs w:val="20"/>
                <w:lang w:val="es-ES"/>
              </w:rPr>
              <w:t xml:space="preserve">   </w:t>
            </w:r>
            <w:r w:rsidRPr="00173616">
              <w:rPr>
                <w:rFonts w:ascii="Verdana" w:hAnsi="Verdana"/>
                <w:sz w:val="20"/>
                <w:szCs w:val="20"/>
                <w:lang w:val="es-ES"/>
              </w:rPr>
              <w:t>Pablo Saavedra Alessandri</w:t>
            </w:r>
          </w:p>
          <w:p w14:paraId="68233485" w14:textId="15149837" w:rsidR="00173616" w:rsidRPr="00173616" w:rsidRDefault="00173616" w:rsidP="00173616">
            <w:pPr>
              <w:spacing w:line="276" w:lineRule="auto"/>
              <w:ind w:left="-270" w:right="-162"/>
              <w:rPr>
                <w:rFonts w:ascii="Verdana" w:hAnsi="Verdana"/>
                <w:sz w:val="20"/>
                <w:szCs w:val="20"/>
                <w:lang w:val="es-ES"/>
              </w:rPr>
            </w:pPr>
            <w:r w:rsidRPr="00173616">
              <w:rPr>
                <w:rFonts w:ascii="Verdana" w:hAnsi="Verdana"/>
                <w:sz w:val="20"/>
                <w:szCs w:val="20"/>
                <w:lang w:val="es-ES"/>
              </w:rPr>
              <w:t xml:space="preserve">   </w:t>
            </w:r>
            <w:r>
              <w:rPr>
                <w:rFonts w:ascii="Verdana" w:hAnsi="Verdana"/>
                <w:sz w:val="20"/>
                <w:szCs w:val="20"/>
                <w:lang w:val="es-ES"/>
              </w:rPr>
              <w:t xml:space="preserve">  </w:t>
            </w:r>
            <w:r w:rsidRPr="00173616">
              <w:rPr>
                <w:rFonts w:ascii="Verdana" w:hAnsi="Verdana"/>
                <w:sz w:val="20"/>
                <w:szCs w:val="20"/>
                <w:lang w:val="es-ES"/>
              </w:rPr>
              <w:t>Secretario</w:t>
            </w:r>
          </w:p>
          <w:p w14:paraId="2014D984" w14:textId="77777777" w:rsidR="00173616" w:rsidRDefault="00173616" w:rsidP="00DA5A31">
            <w:pPr>
              <w:spacing w:line="276" w:lineRule="auto"/>
              <w:ind w:left="0" w:right="-162"/>
              <w:contextualSpacing/>
              <w:rPr>
                <w:rFonts w:ascii="Verdana" w:hAnsi="Verdana"/>
                <w:b/>
                <w:sz w:val="20"/>
                <w:szCs w:val="20"/>
                <w:lang w:val="es-ES"/>
              </w:rPr>
            </w:pPr>
          </w:p>
        </w:tc>
        <w:tc>
          <w:tcPr>
            <w:tcW w:w="4414" w:type="dxa"/>
          </w:tcPr>
          <w:p w14:paraId="5AE9731F" w14:textId="77777777" w:rsidR="00173616" w:rsidRDefault="00173616" w:rsidP="00173616">
            <w:pPr>
              <w:spacing w:line="276" w:lineRule="auto"/>
              <w:ind w:left="0" w:right="-162"/>
              <w:contextualSpacing/>
              <w:jc w:val="left"/>
              <w:rPr>
                <w:rFonts w:ascii="Verdana" w:hAnsi="Verdana"/>
                <w:b/>
                <w:sz w:val="20"/>
                <w:szCs w:val="20"/>
                <w:lang w:val="es-ES"/>
              </w:rPr>
            </w:pPr>
          </w:p>
        </w:tc>
      </w:tr>
    </w:tbl>
    <w:p w14:paraId="6354FE6B" w14:textId="7BA61398" w:rsidR="00E9106E" w:rsidRPr="00E757D1" w:rsidRDefault="00E9106E" w:rsidP="00173616">
      <w:pPr>
        <w:spacing w:line="276" w:lineRule="auto"/>
        <w:ind w:left="0" w:right="-162"/>
        <w:contextualSpacing/>
        <w:rPr>
          <w:rFonts w:ascii="Verdana" w:hAnsi="Verdana"/>
          <w:b/>
          <w:sz w:val="20"/>
          <w:szCs w:val="20"/>
          <w:lang w:val="es-ES"/>
        </w:rPr>
      </w:pPr>
    </w:p>
    <w:sectPr w:rsidR="00E9106E" w:rsidRPr="00E757D1">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A6C1" w14:textId="77777777" w:rsidR="000E3C26" w:rsidRDefault="000E3C26" w:rsidP="00E9106E">
      <w:pPr>
        <w:spacing w:line="240" w:lineRule="auto"/>
      </w:pPr>
      <w:r>
        <w:separator/>
      </w:r>
    </w:p>
  </w:endnote>
  <w:endnote w:type="continuationSeparator" w:id="0">
    <w:p w14:paraId="598D1ED6" w14:textId="77777777" w:rsidR="000E3C26" w:rsidRDefault="000E3C26" w:rsidP="00E91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234547"/>
      <w:docPartObj>
        <w:docPartGallery w:val="Page Numbers (Bottom of Page)"/>
        <w:docPartUnique/>
      </w:docPartObj>
    </w:sdtPr>
    <w:sdtEndPr/>
    <w:sdtContent>
      <w:p w14:paraId="62A14609" w14:textId="7B5FD95F" w:rsidR="00843233" w:rsidRDefault="00843233">
        <w:pPr>
          <w:pStyle w:val="Piedepgina"/>
          <w:jc w:val="right"/>
        </w:pPr>
        <w:r>
          <w:fldChar w:fldCharType="begin"/>
        </w:r>
        <w:r>
          <w:instrText>PAGE   \* MERGEFORMAT</w:instrText>
        </w:r>
        <w:r>
          <w:fldChar w:fldCharType="separate"/>
        </w:r>
        <w:r w:rsidR="00D334CD" w:rsidRPr="00D334CD">
          <w:rPr>
            <w:noProof/>
            <w:lang w:val="es-ES"/>
          </w:rPr>
          <w:t>30</w:t>
        </w:r>
        <w:r>
          <w:fldChar w:fldCharType="end"/>
        </w:r>
      </w:p>
    </w:sdtContent>
  </w:sdt>
  <w:p w14:paraId="4A05547C" w14:textId="77777777" w:rsidR="00843233" w:rsidRDefault="008432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201DC" w14:textId="77777777" w:rsidR="000E3C26" w:rsidRDefault="000E3C26" w:rsidP="00E9106E">
      <w:pPr>
        <w:spacing w:line="240" w:lineRule="auto"/>
      </w:pPr>
      <w:r>
        <w:separator/>
      </w:r>
    </w:p>
  </w:footnote>
  <w:footnote w:type="continuationSeparator" w:id="0">
    <w:p w14:paraId="37CC1059" w14:textId="77777777" w:rsidR="000E3C26" w:rsidRDefault="000E3C26" w:rsidP="00E9106E">
      <w:pPr>
        <w:spacing w:line="240" w:lineRule="auto"/>
      </w:pPr>
      <w:r>
        <w:continuationSeparator/>
      </w:r>
    </w:p>
  </w:footnote>
  <w:footnote w:id="1">
    <w:p w14:paraId="588D0D34" w14:textId="0BCB1CD3"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66.2 de la Convención: “</w:t>
      </w:r>
      <w:r w:rsidRPr="00A63F1B">
        <w:rPr>
          <w:rFonts w:ascii="Verdana" w:hAnsi="Verdana"/>
          <w:i/>
          <w:sz w:val="16"/>
          <w:szCs w:val="16"/>
          <w:lang w:val="es-ES"/>
        </w:rPr>
        <w:t>Si el fallo no expresare en todo o en parte la opinión unánime de los jueces, cualquiera de éstos tendrá derecho a que se agregue al fallo su opinión disidente o individual</w:t>
      </w:r>
      <w:r w:rsidRPr="00A63F1B">
        <w:rPr>
          <w:rFonts w:ascii="Verdana" w:hAnsi="Verdana"/>
          <w:sz w:val="16"/>
          <w:szCs w:val="16"/>
          <w:lang w:val="es-ES"/>
        </w:rPr>
        <w:t xml:space="preserve">.” </w:t>
      </w:r>
    </w:p>
    <w:p w14:paraId="364067B2" w14:textId="2EBBE5B9"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Art. 24.3 del Estatuto de la Corte: “</w:t>
      </w:r>
      <w:r w:rsidRPr="00A63F1B">
        <w:rPr>
          <w:rFonts w:ascii="Verdana" w:hAnsi="Verdana"/>
          <w:i/>
          <w:sz w:val="16"/>
          <w:szCs w:val="16"/>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14:paraId="5FD6EF67" w14:textId="3E8D08DA"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Art. 65.2 del Reglamento de la Corte: “</w:t>
      </w:r>
      <w:r w:rsidRPr="00A63F1B">
        <w:rPr>
          <w:rFonts w:ascii="Verdana" w:hAnsi="Verdana"/>
          <w:i/>
          <w:sz w:val="16"/>
          <w:szCs w:val="16"/>
          <w:lang w:val="es-ES"/>
        </w:rPr>
        <w:t>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14:paraId="6A6FD338" w14:textId="7968C684" w:rsidR="00843233" w:rsidRPr="00A63F1B" w:rsidRDefault="00843233" w:rsidP="00BC43BA">
      <w:pPr>
        <w:pStyle w:val="Textonotapie"/>
        <w:snapToGrid w:val="0"/>
        <w:ind w:left="-270" w:right="-162"/>
        <w:rPr>
          <w:rFonts w:ascii="Verdana" w:hAnsi="Verdana"/>
          <w:sz w:val="16"/>
          <w:szCs w:val="16"/>
          <w:lang w:val="es-ES"/>
        </w:rPr>
      </w:pPr>
      <w:bookmarkStart w:id="0" w:name="_Hlk34813194"/>
      <w:r w:rsidRPr="00A63F1B">
        <w:rPr>
          <w:rFonts w:ascii="Verdana" w:hAnsi="Verdana"/>
          <w:sz w:val="16"/>
          <w:szCs w:val="16"/>
          <w:lang w:val="es-ES"/>
        </w:rPr>
        <w:t>En lo sucesivo, cada vez que se cite una disposición sin indicar el instrumento jurídico al que corresponde, se entenderá que es de la Convención Americana sobre Derechos Humanos.</w:t>
      </w:r>
      <w:bookmarkEnd w:id="0"/>
    </w:p>
  </w:footnote>
  <w:footnote w:id="2">
    <w:p w14:paraId="2902D1AF" w14:textId="57F5343A"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la Sentencia.</w:t>
      </w:r>
    </w:p>
  </w:footnote>
  <w:footnote w:id="3">
    <w:p w14:paraId="2F091732" w14:textId="74E189E1"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i/>
          <w:iCs/>
          <w:sz w:val="16"/>
          <w:szCs w:val="16"/>
          <w:lang w:val="es-ES"/>
        </w:rPr>
        <w:t xml:space="preserve">Desestimar la excepción preliminar relativa a la alegada incompetencia </w:t>
      </w:r>
      <w:proofErr w:type="spellStart"/>
      <w:r w:rsidRPr="00A63F1B">
        <w:rPr>
          <w:rFonts w:ascii="Verdana" w:hAnsi="Verdana"/>
          <w:i/>
          <w:iCs/>
          <w:sz w:val="16"/>
          <w:szCs w:val="16"/>
          <w:lang w:val="es-ES"/>
        </w:rPr>
        <w:t>ratione</w:t>
      </w:r>
      <w:proofErr w:type="spellEnd"/>
      <w:r w:rsidRPr="00A63F1B">
        <w:rPr>
          <w:rFonts w:ascii="Verdana" w:hAnsi="Verdana"/>
          <w:i/>
          <w:iCs/>
          <w:sz w:val="16"/>
          <w:szCs w:val="16"/>
          <w:lang w:val="es-ES"/>
        </w:rPr>
        <w:t xml:space="preserve"> </w:t>
      </w:r>
      <w:proofErr w:type="spellStart"/>
      <w:r w:rsidRPr="00A63F1B">
        <w:rPr>
          <w:rFonts w:ascii="Verdana" w:hAnsi="Verdana"/>
          <w:i/>
          <w:iCs/>
          <w:sz w:val="16"/>
          <w:szCs w:val="16"/>
          <w:lang w:val="es-ES"/>
        </w:rPr>
        <w:t>materiae</w:t>
      </w:r>
      <w:proofErr w:type="spellEnd"/>
      <w:r w:rsidRPr="00A63F1B">
        <w:rPr>
          <w:rFonts w:ascii="Verdana" w:hAnsi="Verdana"/>
          <w:i/>
          <w:iCs/>
          <w:sz w:val="16"/>
          <w:szCs w:val="16"/>
          <w:lang w:val="es-ES"/>
        </w:rPr>
        <w:t xml:space="preserve"> respecto de las supuestas violaciones al derecho al trabajo, de conformidad con el párrafo 23 de esta Sentencia</w:t>
      </w:r>
      <w:r w:rsidRPr="00A63F1B">
        <w:rPr>
          <w:rFonts w:ascii="Verdana" w:hAnsi="Verdana"/>
          <w:sz w:val="16"/>
          <w:szCs w:val="16"/>
          <w:lang w:val="es-ES"/>
        </w:rPr>
        <w:t>.</w:t>
      </w:r>
      <w:r w:rsidRPr="00A63F1B">
        <w:rPr>
          <w:rFonts w:ascii="Verdana" w:hAnsi="Verdana"/>
          <w:i/>
          <w:iCs/>
          <w:sz w:val="16"/>
          <w:szCs w:val="16"/>
          <w:lang w:val="es-ES"/>
        </w:rPr>
        <w:t>”</w:t>
      </w:r>
      <w:r w:rsidRPr="00A63F1B">
        <w:rPr>
          <w:rFonts w:ascii="Verdana" w:hAnsi="Verdana"/>
          <w:bCs/>
          <w:sz w:val="16"/>
          <w:szCs w:val="16"/>
          <w:lang w:val="es-ES"/>
        </w:rPr>
        <w:t xml:space="preserve"> </w:t>
      </w:r>
    </w:p>
  </w:footnote>
  <w:footnote w:id="4">
    <w:p w14:paraId="67F2E78F" w14:textId="4B6C40C0"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i/>
          <w:iCs/>
          <w:sz w:val="16"/>
          <w:szCs w:val="16"/>
          <w:lang w:val="es-ES"/>
        </w:rPr>
        <w:tab/>
        <w:t>“El Estado es responsable por la violación de los derechos de la niña y del niño, a la igual protección de la ley, a la prohibición de discriminación y al trabajo, contenidos en los artículos 19, 24 y 26, en relación con el artículo 1.1 de la Convención Americana</w:t>
      </w:r>
      <w:r w:rsidR="00A30210" w:rsidRPr="00A63F1B">
        <w:rPr>
          <w:rFonts w:ascii="Verdana" w:hAnsi="Verdana"/>
          <w:i/>
          <w:iCs/>
          <w:sz w:val="16"/>
          <w:szCs w:val="16"/>
          <w:lang w:val="es-ES"/>
        </w:rPr>
        <w:t xml:space="preserve"> sobre Derechos Humanos</w:t>
      </w:r>
      <w:r w:rsidRPr="00A63F1B">
        <w:rPr>
          <w:rFonts w:ascii="Verdana" w:hAnsi="Verdana"/>
          <w:i/>
          <w:iCs/>
          <w:sz w:val="16"/>
          <w:szCs w:val="16"/>
          <w:lang w:val="es-ES"/>
        </w:rPr>
        <w:t xml:space="preserve">, en perjuicio de las sesenta personas fallecidas y los seis sobrevivientes de la explosión de la fábrica de fuegos de Santo Antônio de Jesus, ocurrida el 11 de diciembre de 1998, a las que se </w:t>
      </w:r>
      <w:r w:rsidR="00A30210" w:rsidRPr="00A63F1B">
        <w:rPr>
          <w:rFonts w:ascii="Verdana" w:hAnsi="Verdana"/>
          <w:i/>
          <w:iCs/>
          <w:sz w:val="16"/>
          <w:szCs w:val="16"/>
          <w:lang w:val="es-ES"/>
        </w:rPr>
        <w:t>refiere el párrafo 204 de esta S</w:t>
      </w:r>
      <w:r w:rsidRPr="00A63F1B">
        <w:rPr>
          <w:rFonts w:ascii="Verdana" w:hAnsi="Verdana"/>
          <w:i/>
          <w:iCs/>
          <w:sz w:val="16"/>
          <w:szCs w:val="16"/>
          <w:lang w:val="es-ES"/>
        </w:rPr>
        <w:t>entencia, entre los que se encuentran 23 niñas y niños</w:t>
      </w:r>
      <w:r w:rsidR="00A30210" w:rsidRPr="00A63F1B">
        <w:rPr>
          <w:rFonts w:ascii="Verdana" w:hAnsi="Verdana"/>
          <w:i/>
          <w:sz w:val="16"/>
          <w:szCs w:val="16"/>
          <w:lang w:val="es-ES"/>
        </w:rPr>
        <w:t>, en los términos de los párrafos 148 a 204 de esta sentencia</w:t>
      </w:r>
      <w:r w:rsidRPr="00A63F1B">
        <w:rPr>
          <w:rFonts w:ascii="Verdana" w:hAnsi="Verdana"/>
          <w:sz w:val="16"/>
          <w:szCs w:val="16"/>
          <w:lang w:val="es-ES"/>
        </w:rPr>
        <w:t>”</w:t>
      </w:r>
      <w:r w:rsidR="00A30210" w:rsidRPr="00A63F1B">
        <w:rPr>
          <w:rFonts w:ascii="Verdana" w:hAnsi="Verdana"/>
          <w:sz w:val="16"/>
          <w:szCs w:val="16"/>
          <w:lang w:val="es-ES"/>
        </w:rPr>
        <w:t>.</w:t>
      </w:r>
    </w:p>
  </w:footnote>
  <w:footnote w:id="5">
    <w:p w14:paraId="3F58EEDA" w14:textId="22E1D75D"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la Convención.</w:t>
      </w:r>
    </w:p>
  </w:footnote>
  <w:footnote w:id="6">
    <w:p w14:paraId="4EEE21EF" w14:textId="4D0FD557"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la Corte.</w:t>
      </w:r>
    </w:p>
  </w:footnote>
  <w:footnote w:id="7">
    <w:p w14:paraId="18801DD3" w14:textId="7DD0798A"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i/>
          <w:iCs/>
          <w:sz w:val="16"/>
          <w:szCs w:val="16"/>
          <w:lang w:val="es-ES"/>
        </w:rPr>
        <w:footnoteRef/>
      </w:r>
      <w:r w:rsidRPr="00A63F1B">
        <w:rPr>
          <w:rFonts w:ascii="Verdana" w:hAnsi="Verdana"/>
          <w:i/>
          <w:iCs/>
          <w:sz w:val="16"/>
          <w:szCs w:val="16"/>
          <w:lang w:val="es-ES"/>
        </w:rPr>
        <w:t xml:space="preserve"> </w:t>
      </w:r>
      <w:r w:rsidRPr="00A63F1B">
        <w:rPr>
          <w:rFonts w:ascii="Verdana" w:hAnsi="Verdana"/>
          <w:i/>
          <w:iCs/>
          <w:sz w:val="16"/>
          <w:szCs w:val="16"/>
          <w:lang w:val="es-ES"/>
        </w:rPr>
        <w:tab/>
        <w:t xml:space="preserve">“El Estado es responsable por la violación </w:t>
      </w:r>
      <w:r w:rsidRPr="00A63F1B">
        <w:rPr>
          <w:rFonts w:ascii="Verdana" w:hAnsi="Verdana"/>
          <w:bCs/>
          <w:i/>
          <w:iCs/>
          <w:sz w:val="16"/>
          <w:szCs w:val="16"/>
          <w:lang w:val="es-ES"/>
        </w:rPr>
        <w:t>de los</w:t>
      </w:r>
      <w:r w:rsidRPr="00A63F1B">
        <w:rPr>
          <w:rFonts w:ascii="Verdana" w:hAnsi="Verdana"/>
          <w:i/>
          <w:iCs/>
          <w:sz w:val="16"/>
          <w:szCs w:val="16"/>
          <w:lang w:val="es-ES"/>
        </w:rPr>
        <w:t xml:space="preserve"> derecho</w:t>
      </w:r>
      <w:r w:rsidRPr="00A63F1B">
        <w:rPr>
          <w:rFonts w:ascii="Verdana" w:hAnsi="Verdana"/>
          <w:bCs/>
          <w:i/>
          <w:iCs/>
          <w:sz w:val="16"/>
          <w:szCs w:val="16"/>
          <w:lang w:val="es-ES"/>
        </w:rPr>
        <w:t>s</w:t>
      </w:r>
      <w:r w:rsidRPr="00A63F1B">
        <w:rPr>
          <w:rFonts w:ascii="Verdana" w:hAnsi="Verdana"/>
          <w:i/>
          <w:iCs/>
          <w:sz w:val="16"/>
          <w:szCs w:val="16"/>
          <w:lang w:val="es-ES"/>
        </w:rPr>
        <w:t xml:space="preserve"> a la vida y del niño y de la niña contenido</w:t>
      </w:r>
      <w:r w:rsidRPr="00A63F1B">
        <w:rPr>
          <w:rFonts w:ascii="Verdana" w:hAnsi="Verdana"/>
          <w:bCs/>
          <w:i/>
          <w:iCs/>
          <w:sz w:val="16"/>
          <w:szCs w:val="16"/>
          <w:lang w:val="es-ES"/>
        </w:rPr>
        <w:t>s</w:t>
      </w:r>
      <w:r w:rsidRPr="00A63F1B">
        <w:rPr>
          <w:rFonts w:ascii="Verdana" w:hAnsi="Verdana"/>
          <w:i/>
          <w:iCs/>
          <w:sz w:val="16"/>
          <w:szCs w:val="16"/>
          <w:lang w:val="es-ES"/>
        </w:rPr>
        <w:t xml:space="preserve"> en </w:t>
      </w:r>
      <w:r w:rsidRPr="00A63F1B">
        <w:rPr>
          <w:rFonts w:ascii="Verdana" w:hAnsi="Verdana"/>
          <w:bCs/>
          <w:i/>
          <w:iCs/>
          <w:sz w:val="16"/>
          <w:szCs w:val="16"/>
          <w:lang w:val="es-ES"/>
        </w:rPr>
        <w:t>los</w:t>
      </w:r>
      <w:r w:rsidRPr="00A63F1B">
        <w:rPr>
          <w:rFonts w:ascii="Verdana" w:hAnsi="Verdana"/>
          <w:i/>
          <w:iCs/>
          <w:sz w:val="16"/>
          <w:szCs w:val="16"/>
          <w:lang w:val="es-ES"/>
        </w:rPr>
        <w:t xml:space="preserve"> artículo</w:t>
      </w:r>
      <w:r w:rsidRPr="00A63F1B">
        <w:rPr>
          <w:rFonts w:ascii="Verdana" w:hAnsi="Verdana"/>
          <w:bCs/>
          <w:i/>
          <w:iCs/>
          <w:sz w:val="16"/>
          <w:szCs w:val="16"/>
          <w:lang w:val="es-ES"/>
        </w:rPr>
        <w:t>s</w:t>
      </w:r>
      <w:r w:rsidRPr="00A63F1B">
        <w:rPr>
          <w:rFonts w:ascii="Verdana" w:hAnsi="Verdana"/>
          <w:i/>
          <w:iCs/>
          <w:sz w:val="16"/>
          <w:szCs w:val="16"/>
          <w:lang w:val="es-ES"/>
        </w:rPr>
        <w:t xml:space="preserve"> 4.1 </w:t>
      </w:r>
      <w:r w:rsidRPr="00A63F1B">
        <w:rPr>
          <w:rFonts w:ascii="Verdana" w:hAnsi="Verdana"/>
          <w:bCs/>
          <w:i/>
          <w:iCs/>
          <w:sz w:val="16"/>
          <w:szCs w:val="16"/>
          <w:lang w:val="es-ES"/>
        </w:rPr>
        <w:t>y 19,</w:t>
      </w:r>
      <w:r w:rsidRPr="00A63F1B">
        <w:rPr>
          <w:rFonts w:ascii="Verdana" w:hAnsi="Verdana"/>
          <w:i/>
          <w:iCs/>
          <w:sz w:val="16"/>
          <w:szCs w:val="16"/>
          <w:lang w:val="es-ES"/>
        </w:rPr>
        <w:t xml:space="preserve"> en relación con el artículo 1.1 de la Convención Americana</w:t>
      </w:r>
      <w:r w:rsidR="00A30210" w:rsidRPr="00A63F1B">
        <w:rPr>
          <w:rFonts w:ascii="Verdana" w:hAnsi="Verdana"/>
          <w:i/>
          <w:iCs/>
          <w:sz w:val="16"/>
          <w:szCs w:val="16"/>
          <w:lang w:val="es-ES"/>
        </w:rPr>
        <w:t xml:space="preserve"> sobre Derechos Humanos</w:t>
      </w:r>
      <w:r w:rsidRPr="00A63F1B">
        <w:rPr>
          <w:rFonts w:ascii="Verdana" w:hAnsi="Verdana"/>
          <w:i/>
          <w:iCs/>
          <w:sz w:val="16"/>
          <w:szCs w:val="16"/>
          <w:lang w:val="es-ES"/>
        </w:rPr>
        <w:t xml:space="preserve">, en perjuicio de las sesenta personas fallecidas en la explosión de la fábrica de fuegos de Santo Antônio de Jesus, ocurrida el 11 de diciembre de 1998, a las que se refiere el párrafo 139 de esta </w:t>
      </w:r>
      <w:r w:rsidR="00A30210" w:rsidRPr="00A63F1B">
        <w:rPr>
          <w:rFonts w:ascii="Verdana" w:hAnsi="Verdana"/>
          <w:i/>
          <w:iCs/>
          <w:sz w:val="16"/>
          <w:szCs w:val="16"/>
          <w:lang w:val="es-ES"/>
        </w:rPr>
        <w:t>S</w:t>
      </w:r>
      <w:r w:rsidRPr="00A63F1B">
        <w:rPr>
          <w:rFonts w:ascii="Verdana" w:hAnsi="Verdana"/>
          <w:i/>
          <w:iCs/>
          <w:sz w:val="16"/>
          <w:szCs w:val="16"/>
          <w:lang w:val="es-ES"/>
        </w:rPr>
        <w:t xml:space="preserve">entencia, </w:t>
      </w:r>
      <w:r w:rsidRPr="00A63F1B">
        <w:rPr>
          <w:rFonts w:ascii="Verdana" w:hAnsi="Verdana"/>
          <w:bCs/>
          <w:i/>
          <w:iCs/>
          <w:sz w:val="16"/>
          <w:szCs w:val="16"/>
          <w:lang w:val="es-ES"/>
        </w:rPr>
        <w:t xml:space="preserve">entre los que se </w:t>
      </w:r>
      <w:r w:rsidR="00A30210" w:rsidRPr="00A63F1B">
        <w:rPr>
          <w:rFonts w:ascii="Verdana" w:hAnsi="Verdana"/>
          <w:bCs/>
          <w:i/>
          <w:iCs/>
          <w:sz w:val="16"/>
          <w:szCs w:val="16"/>
          <w:lang w:val="es-ES"/>
        </w:rPr>
        <w:t>encuentran veinte niños y niñas, en los términos de los párrafos 115 a 139 de la presente Sentencia</w:t>
      </w:r>
      <w:r w:rsidRPr="00A63F1B">
        <w:rPr>
          <w:rFonts w:ascii="Verdana" w:hAnsi="Verdana"/>
          <w:bCs/>
          <w:i/>
          <w:iCs/>
          <w:sz w:val="16"/>
          <w:szCs w:val="16"/>
          <w:lang w:val="es-ES"/>
        </w:rPr>
        <w:t>”</w:t>
      </w:r>
      <w:r w:rsidR="00A30210" w:rsidRPr="00A63F1B">
        <w:rPr>
          <w:rFonts w:ascii="Verdana" w:hAnsi="Verdana"/>
          <w:bCs/>
          <w:i/>
          <w:iCs/>
          <w:sz w:val="16"/>
          <w:szCs w:val="16"/>
          <w:lang w:val="es-ES"/>
        </w:rPr>
        <w:t>.</w:t>
      </w:r>
      <w:r w:rsidRPr="00A63F1B">
        <w:rPr>
          <w:rFonts w:ascii="Verdana" w:hAnsi="Verdana"/>
          <w:bCs/>
          <w:i/>
          <w:iCs/>
          <w:sz w:val="16"/>
          <w:szCs w:val="16"/>
          <w:lang w:val="es-ES"/>
        </w:rPr>
        <w:t xml:space="preserve">  </w:t>
      </w:r>
    </w:p>
  </w:footnote>
  <w:footnote w:id="8">
    <w:p w14:paraId="06FB4D89" w14:textId="06C0472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w:t>
      </w:r>
      <w:r w:rsidRPr="00A63F1B">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A63F1B">
        <w:rPr>
          <w:rFonts w:ascii="Verdana" w:hAnsi="Verdana"/>
          <w:sz w:val="16"/>
          <w:szCs w:val="16"/>
          <w:lang w:val="es-ES"/>
        </w:rPr>
        <w:t>”. Corte Permanente de Justicia Internacional, Opinión Consultiva sobre ciertos decretos de nacionalidad dictados en la zona francesa de Túnez y Marruecos, Serie B Nº 4, pág. 24.</w:t>
      </w:r>
    </w:p>
    <w:p w14:paraId="5972594F" w14:textId="665CCCCD"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 xml:space="preserve">Protocole </w:t>
      </w:r>
      <w:proofErr w:type="spellStart"/>
      <w:r w:rsidRPr="00A63F1B">
        <w:rPr>
          <w:rFonts w:ascii="Verdana" w:hAnsi="Verdana"/>
          <w:sz w:val="16"/>
          <w:szCs w:val="16"/>
          <w:lang w:val="es-ES"/>
        </w:rPr>
        <w:t>n°</w:t>
      </w:r>
      <w:proofErr w:type="spellEnd"/>
      <w:r w:rsidRPr="00A63F1B">
        <w:rPr>
          <w:rFonts w:ascii="Verdana" w:hAnsi="Verdana"/>
          <w:sz w:val="16"/>
          <w:szCs w:val="16"/>
          <w:lang w:val="es-ES"/>
        </w:rPr>
        <w:t xml:space="preserve"> 15 </w:t>
      </w:r>
      <w:proofErr w:type="spellStart"/>
      <w:r w:rsidRPr="00A63F1B">
        <w:rPr>
          <w:rFonts w:ascii="Verdana" w:hAnsi="Verdana"/>
          <w:sz w:val="16"/>
          <w:szCs w:val="16"/>
          <w:lang w:val="es-ES"/>
        </w:rPr>
        <w:t>portant</w:t>
      </w:r>
      <w:proofErr w:type="spellEnd"/>
      <w:r w:rsidRPr="00A63F1B">
        <w:rPr>
          <w:rFonts w:ascii="Verdana" w:hAnsi="Verdana"/>
          <w:sz w:val="16"/>
          <w:szCs w:val="16"/>
          <w:lang w:val="es-ES"/>
        </w:rPr>
        <w:t xml:space="preserve"> </w:t>
      </w:r>
      <w:proofErr w:type="spellStart"/>
      <w:r w:rsidRPr="00A63F1B">
        <w:rPr>
          <w:rFonts w:ascii="Verdana" w:hAnsi="Verdana"/>
          <w:sz w:val="16"/>
          <w:szCs w:val="16"/>
          <w:lang w:val="es-ES"/>
        </w:rPr>
        <w:t>amendement</w:t>
      </w:r>
      <w:proofErr w:type="spellEnd"/>
      <w:r w:rsidRPr="00A63F1B">
        <w:rPr>
          <w:rFonts w:ascii="Verdana" w:hAnsi="Verdana"/>
          <w:sz w:val="16"/>
          <w:szCs w:val="16"/>
          <w:lang w:val="es-ES"/>
        </w:rPr>
        <w:t xml:space="preserve"> à la </w:t>
      </w:r>
      <w:proofErr w:type="spellStart"/>
      <w:r w:rsidRPr="00A63F1B">
        <w:rPr>
          <w:rFonts w:ascii="Verdana" w:hAnsi="Verdana"/>
          <w:sz w:val="16"/>
          <w:szCs w:val="16"/>
          <w:lang w:val="es-ES"/>
        </w:rPr>
        <w:t>Convention</w:t>
      </w:r>
      <w:proofErr w:type="spellEnd"/>
      <w:r w:rsidRPr="00A63F1B">
        <w:rPr>
          <w:rFonts w:ascii="Verdana" w:hAnsi="Verdana"/>
          <w:sz w:val="16"/>
          <w:szCs w:val="16"/>
          <w:lang w:val="es-ES"/>
        </w:rPr>
        <w:t xml:space="preserve"> (</w:t>
      </w:r>
      <w:proofErr w:type="spellStart"/>
      <w:r w:rsidRPr="00A63F1B">
        <w:rPr>
          <w:rFonts w:ascii="Verdana" w:hAnsi="Verdana"/>
          <w:sz w:val="16"/>
          <w:szCs w:val="16"/>
          <w:lang w:val="es-ES"/>
        </w:rPr>
        <w:t>Européenne</w:t>
      </w:r>
      <w:proofErr w:type="spellEnd"/>
      <w:r w:rsidRPr="00A63F1B">
        <w:rPr>
          <w:rFonts w:ascii="Verdana" w:hAnsi="Verdana"/>
          <w:sz w:val="16"/>
          <w:szCs w:val="16"/>
          <w:lang w:val="es-ES"/>
        </w:rPr>
        <w:t xml:space="preserve">) de </w:t>
      </w:r>
      <w:proofErr w:type="spellStart"/>
      <w:r w:rsidRPr="00A63F1B">
        <w:rPr>
          <w:rFonts w:ascii="Verdana" w:hAnsi="Verdana"/>
          <w:sz w:val="16"/>
          <w:szCs w:val="16"/>
          <w:lang w:val="es-ES"/>
        </w:rPr>
        <w:t>Sauvegarde</w:t>
      </w:r>
      <w:proofErr w:type="spellEnd"/>
      <w:r w:rsidRPr="00A63F1B">
        <w:rPr>
          <w:rFonts w:ascii="Verdana" w:hAnsi="Verdana"/>
          <w:sz w:val="16"/>
          <w:szCs w:val="16"/>
          <w:lang w:val="es-ES"/>
        </w:rPr>
        <w:t xml:space="preserve"> des </w:t>
      </w:r>
      <w:proofErr w:type="spellStart"/>
      <w:r w:rsidRPr="00A63F1B">
        <w:rPr>
          <w:rFonts w:ascii="Verdana" w:hAnsi="Verdana"/>
          <w:sz w:val="16"/>
          <w:szCs w:val="16"/>
          <w:lang w:val="es-ES"/>
        </w:rPr>
        <w:t>Droits</w:t>
      </w:r>
      <w:proofErr w:type="spellEnd"/>
      <w:r w:rsidRPr="00A63F1B">
        <w:rPr>
          <w:rFonts w:ascii="Verdana" w:hAnsi="Verdana"/>
          <w:sz w:val="16"/>
          <w:szCs w:val="16"/>
          <w:lang w:val="es-ES"/>
        </w:rPr>
        <w:t xml:space="preserve"> de </w:t>
      </w:r>
      <w:proofErr w:type="spellStart"/>
      <w:r w:rsidRPr="00A63F1B">
        <w:rPr>
          <w:rFonts w:ascii="Verdana" w:hAnsi="Verdana"/>
          <w:sz w:val="16"/>
          <w:szCs w:val="16"/>
          <w:lang w:val="es-ES"/>
        </w:rPr>
        <w:t>l’Homme</w:t>
      </w:r>
      <w:proofErr w:type="spellEnd"/>
      <w:r w:rsidRPr="00A63F1B">
        <w:rPr>
          <w:rFonts w:ascii="Verdana" w:hAnsi="Verdana"/>
          <w:sz w:val="16"/>
          <w:szCs w:val="16"/>
          <w:lang w:val="es-ES"/>
        </w:rPr>
        <w:t xml:space="preserve"> et des </w:t>
      </w:r>
      <w:proofErr w:type="spellStart"/>
      <w:r w:rsidRPr="00A63F1B">
        <w:rPr>
          <w:rFonts w:ascii="Verdana" w:hAnsi="Verdana"/>
          <w:sz w:val="16"/>
          <w:szCs w:val="16"/>
          <w:lang w:val="es-ES"/>
        </w:rPr>
        <w:t>Libertés</w:t>
      </w:r>
      <w:proofErr w:type="spellEnd"/>
      <w:r w:rsidRPr="00A63F1B">
        <w:rPr>
          <w:rFonts w:ascii="Verdana" w:hAnsi="Verdana"/>
          <w:sz w:val="16"/>
          <w:szCs w:val="16"/>
          <w:lang w:val="es-ES"/>
        </w:rPr>
        <w:t xml:space="preserve"> </w:t>
      </w:r>
      <w:proofErr w:type="spellStart"/>
      <w:r w:rsidRPr="00A63F1B">
        <w:rPr>
          <w:rFonts w:ascii="Verdana" w:hAnsi="Verdana"/>
          <w:sz w:val="16"/>
          <w:szCs w:val="16"/>
          <w:lang w:val="es-ES"/>
        </w:rPr>
        <w:t>fondamentales</w:t>
      </w:r>
      <w:proofErr w:type="spellEnd"/>
      <w:r w:rsidRPr="00A63F1B">
        <w:rPr>
          <w:rFonts w:ascii="Verdana" w:hAnsi="Verdana"/>
          <w:sz w:val="16"/>
          <w:szCs w:val="16"/>
          <w:lang w:val="es-ES"/>
        </w:rPr>
        <w:t>, art.1: “</w:t>
      </w:r>
      <w:r w:rsidRPr="00A63F1B">
        <w:rPr>
          <w:rFonts w:ascii="Verdana" w:hAnsi="Verdana"/>
          <w:i/>
          <w:sz w:val="16"/>
          <w:szCs w:val="16"/>
          <w:lang w:val="es-ES"/>
        </w:rPr>
        <w:t xml:space="preserve">A la fin du </w:t>
      </w:r>
      <w:proofErr w:type="spellStart"/>
      <w:r w:rsidRPr="00A63F1B">
        <w:rPr>
          <w:rFonts w:ascii="Verdana" w:hAnsi="Verdana"/>
          <w:i/>
          <w:sz w:val="16"/>
          <w:szCs w:val="16"/>
          <w:lang w:val="es-ES"/>
        </w:rPr>
        <w:t>préambule</w:t>
      </w:r>
      <w:proofErr w:type="spellEnd"/>
      <w:r w:rsidRPr="00A63F1B">
        <w:rPr>
          <w:rFonts w:ascii="Verdana" w:hAnsi="Verdana"/>
          <w:i/>
          <w:sz w:val="16"/>
          <w:szCs w:val="16"/>
          <w:lang w:val="es-ES"/>
        </w:rPr>
        <w:t xml:space="preserve"> de la </w:t>
      </w:r>
      <w:proofErr w:type="spellStart"/>
      <w:r w:rsidRPr="00A63F1B">
        <w:rPr>
          <w:rFonts w:ascii="Verdana" w:hAnsi="Verdana"/>
          <w:i/>
          <w:sz w:val="16"/>
          <w:szCs w:val="16"/>
          <w:lang w:val="es-ES"/>
        </w:rPr>
        <w:t>Convention</w:t>
      </w:r>
      <w:proofErr w:type="spellEnd"/>
      <w:r w:rsidRPr="00A63F1B">
        <w:rPr>
          <w:rFonts w:ascii="Verdana" w:hAnsi="Verdana"/>
          <w:i/>
          <w:sz w:val="16"/>
          <w:szCs w:val="16"/>
          <w:lang w:val="es-ES"/>
        </w:rPr>
        <w:t xml:space="preserve">, un </w:t>
      </w:r>
      <w:proofErr w:type="spellStart"/>
      <w:r w:rsidRPr="00A63F1B">
        <w:rPr>
          <w:rFonts w:ascii="Verdana" w:hAnsi="Verdana"/>
          <w:i/>
          <w:sz w:val="16"/>
          <w:szCs w:val="16"/>
          <w:lang w:val="es-ES"/>
        </w:rPr>
        <w:t>nouveau</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considérant</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est</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ajouté</w:t>
      </w:r>
      <w:proofErr w:type="spellEnd"/>
      <w:r w:rsidRPr="00A63F1B">
        <w:rPr>
          <w:rFonts w:ascii="Verdana" w:hAnsi="Verdana"/>
          <w:i/>
          <w:sz w:val="16"/>
          <w:szCs w:val="16"/>
          <w:lang w:val="es-ES"/>
        </w:rPr>
        <w:t xml:space="preserve"> et se </w:t>
      </w:r>
      <w:proofErr w:type="spellStart"/>
      <w:r w:rsidRPr="00A63F1B">
        <w:rPr>
          <w:rFonts w:ascii="Verdana" w:hAnsi="Verdana"/>
          <w:i/>
          <w:sz w:val="16"/>
          <w:szCs w:val="16"/>
          <w:lang w:val="es-ES"/>
        </w:rPr>
        <w:t>lit</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comme</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suit</w:t>
      </w:r>
      <w:proofErr w:type="spellEnd"/>
      <w:r w:rsidRPr="00A63F1B">
        <w:rPr>
          <w:rFonts w:ascii="Verdana" w:hAnsi="Verdana"/>
          <w:sz w:val="16"/>
          <w:szCs w:val="16"/>
          <w:lang w:val="es-ES"/>
        </w:rPr>
        <w:t xml:space="preserve">: </w:t>
      </w:r>
      <w:proofErr w:type="spellStart"/>
      <w:r w:rsidRPr="00A63F1B">
        <w:rPr>
          <w:rFonts w:ascii="Verdana" w:hAnsi="Verdana"/>
          <w:i/>
          <w:sz w:val="16"/>
          <w:szCs w:val="16"/>
          <w:lang w:val="es-ES"/>
        </w:rPr>
        <w:t>Affirmant</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qu’il</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incombe</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au</w:t>
      </w:r>
      <w:proofErr w:type="spellEnd"/>
      <w:r w:rsidRPr="00A63F1B">
        <w:rPr>
          <w:rFonts w:ascii="Verdana" w:hAnsi="Verdana"/>
          <w:i/>
          <w:sz w:val="16"/>
          <w:szCs w:val="16"/>
          <w:lang w:val="es-ES"/>
        </w:rPr>
        <w:t xml:space="preserve"> premier chef </w:t>
      </w:r>
      <w:proofErr w:type="spellStart"/>
      <w:r w:rsidRPr="00A63F1B">
        <w:rPr>
          <w:rFonts w:ascii="Verdana" w:hAnsi="Verdana"/>
          <w:i/>
          <w:sz w:val="16"/>
          <w:szCs w:val="16"/>
          <w:lang w:val="es-ES"/>
        </w:rPr>
        <w:t>aux</w:t>
      </w:r>
      <w:proofErr w:type="spellEnd"/>
      <w:r w:rsidRPr="00A63F1B">
        <w:rPr>
          <w:rFonts w:ascii="Verdana" w:hAnsi="Verdana"/>
          <w:i/>
          <w:sz w:val="16"/>
          <w:szCs w:val="16"/>
          <w:lang w:val="es-ES"/>
        </w:rPr>
        <w:t xml:space="preserve"> Hautes </w:t>
      </w:r>
      <w:proofErr w:type="spellStart"/>
      <w:r w:rsidRPr="00A63F1B">
        <w:rPr>
          <w:rFonts w:ascii="Verdana" w:hAnsi="Verdana"/>
          <w:i/>
          <w:sz w:val="16"/>
          <w:szCs w:val="16"/>
          <w:lang w:val="es-ES"/>
        </w:rPr>
        <w:t>Parties</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contractantes</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conformément</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au</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principe</w:t>
      </w:r>
      <w:proofErr w:type="spellEnd"/>
      <w:r w:rsidRPr="00A63F1B">
        <w:rPr>
          <w:rFonts w:ascii="Verdana" w:hAnsi="Verdana"/>
          <w:i/>
          <w:sz w:val="16"/>
          <w:szCs w:val="16"/>
          <w:lang w:val="es-ES"/>
        </w:rPr>
        <w:t xml:space="preserve"> de </w:t>
      </w:r>
      <w:proofErr w:type="spellStart"/>
      <w:r w:rsidRPr="00A63F1B">
        <w:rPr>
          <w:rFonts w:ascii="Verdana" w:hAnsi="Verdana"/>
          <w:i/>
          <w:sz w:val="16"/>
          <w:szCs w:val="16"/>
          <w:lang w:val="es-ES"/>
        </w:rPr>
        <w:t>subsidiarité</w:t>
      </w:r>
      <w:proofErr w:type="spellEnd"/>
      <w:r w:rsidRPr="00A63F1B">
        <w:rPr>
          <w:rFonts w:ascii="Verdana" w:hAnsi="Verdana"/>
          <w:i/>
          <w:sz w:val="16"/>
          <w:szCs w:val="16"/>
          <w:lang w:val="es-ES"/>
        </w:rPr>
        <w:t xml:space="preserve">, de garantir le </w:t>
      </w:r>
      <w:proofErr w:type="spellStart"/>
      <w:r w:rsidRPr="00A63F1B">
        <w:rPr>
          <w:rFonts w:ascii="Verdana" w:hAnsi="Verdana"/>
          <w:i/>
          <w:sz w:val="16"/>
          <w:szCs w:val="16"/>
          <w:lang w:val="es-ES"/>
        </w:rPr>
        <w:t>respect</w:t>
      </w:r>
      <w:proofErr w:type="spellEnd"/>
      <w:r w:rsidRPr="00A63F1B">
        <w:rPr>
          <w:rFonts w:ascii="Verdana" w:hAnsi="Verdana"/>
          <w:i/>
          <w:sz w:val="16"/>
          <w:szCs w:val="16"/>
          <w:lang w:val="es-ES"/>
        </w:rPr>
        <w:t xml:space="preserve"> des </w:t>
      </w:r>
      <w:proofErr w:type="spellStart"/>
      <w:r w:rsidRPr="00A63F1B">
        <w:rPr>
          <w:rFonts w:ascii="Verdana" w:hAnsi="Verdana"/>
          <w:i/>
          <w:sz w:val="16"/>
          <w:szCs w:val="16"/>
          <w:lang w:val="es-ES"/>
        </w:rPr>
        <w:t>droits</w:t>
      </w:r>
      <w:proofErr w:type="spellEnd"/>
      <w:r w:rsidRPr="00A63F1B">
        <w:rPr>
          <w:rFonts w:ascii="Verdana" w:hAnsi="Verdana"/>
          <w:i/>
          <w:sz w:val="16"/>
          <w:szCs w:val="16"/>
          <w:lang w:val="es-ES"/>
        </w:rPr>
        <w:t xml:space="preserve"> et </w:t>
      </w:r>
      <w:proofErr w:type="spellStart"/>
      <w:r w:rsidRPr="00A63F1B">
        <w:rPr>
          <w:rFonts w:ascii="Verdana" w:hAnsi="Verdana"/>
          <w:i/>
          <w:sz w:val="16"/>
          <w:szCs w:val="16"/>
          <w:lang w:val="es-ES"/>
        </w:rPr>
        <w:t>libertés</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définis</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dans</w:t>
      </w:r>
      <w:proofErr w:type="spellEnd"/>
      <w:r w:rsidRPr="00A63F1B">
        <w:rPr>
          <w:rFonts w:ascii="Verdana" w:hAnsi="Verdana"/>
          <w:i/>
          <w:sz w:val="16"/>
          <w:szCs w:val="16"/>
          <w:lang w:val="es-ES"/>
        </w:rPr>
        <w:t xml:space="preserve"> la </w:t>
      </w:r>
      <w:proofErr w:type="spellStart"/>
      <w:r w:rsidRPr="00A63F1B">
        <w:rPr>
          <w:rFonts w:ascii="Verdana" w:hAnsi="Verdana"/>
          <w:i/>
          <w:sz w:val="16"/>
          <w:szCs w:val="16"/>
          <w:lang w:val="es-ES"/>
        </w:rPr>
        <w:t>présente</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Convention</w:t>
      </w:r>
      <w:proofErr w:type="spellEnd"/>
      <w:r w:rsidRPr="00A63F1B">
        <w:rPr>
          <w:rFonts w:ascii="Verdana" w:hAnsi="Verdana"/>
          <w:i/>
          <w:sz w:val="16"/>
          <w:szCs w:val="16"/>
          <w:lang w:val="es-ES"/>
        </w:rPr>
        <w:t xml:space="preserve"> et </w:t>
      </w:r>
      <w:proofErr w:type="spellStart"/>
      <w:r w:rsidRPr="00A63F1B">
        <w:rPr>
          <w:rFonts w:ascii="Verdana" w:hAnsi="Verdana"/>
          <w:i/>
          <w:sz w:val="16"/>
          <w:szCs w:val="16"/>
          <w:lang w:val="es-ES"/>
        </w:rPr>
        <w:t>ses</w:t>
      </w:r>
      <w:proofErr w:type="spellEnd"/>
      <w:r w:rsidRPr="00A63F1B">
        <w:rPr>
          <w:rFonts w:ascii="Verdana" w:hAnsi="Verdana"/>
          <w:i/>
          <w:sz w:val="16"/>
          <w:szCs w:val="16"/>
          <w:lang w:val="es-ES"/>
        </w:rPr>
        <w:t xml:space="preserve"> protocoles, et que, ce </w:t>
      </w:r>
      <w:proofErr w:type="spellStart"/>
      <w:r w:rsidRPr="00A63F1B">
        <w:rPr>
          <w:rFonts w:ascii="Verdana" w:hAnsi="Verdana"/>
          <w:i/>
          <w:sz w:val="16"/>
          <w:szCs w:val="16"/>
          <w:lang w:val="es-ES"/>
        </w:rPr>
        <w:t>faisant</w:t>
      </w:r>
      <w:proofErr w:type="spellEnd"/>
      <w:r w:rsidRPr="00A63F1B">
        <w:rPr>
          <w:rFonts w:ascii="Verdana" w:hAnsi="Verdana"/>
          <w:i/>
          <w:sz w:val="16"/>
          <w:szCs w:val="16"/>
          <w:lang w:val="es-ES"/>
        </w:rPr>
        <w:t xml:space="preserve">, elles </w:t>
      </w:r>
      <w:proofErr w:type="spellStart"/>
      <w:r w:rsidRPr="00A63F1B">
        <w:rPr>
          <w:rFonts w:ascii="Verdana" w:hAnsi="Verdana"/>
          <w:i/>
          <w:sz w:val="16"/>
          <w:szCs w:val="16"/>
          <w:lang w:val="es-ES"/>
        </w:rPr>
        <w:t>jouissent</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d’une</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marge</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d’appréciation</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sous</w:t>
      </w:r>
      <w:proofErr w:type="spellEnd"/>
      <w:r w:rsidRPr="00A63F1B">
        <w:rPr>
          <w:rFonts w:ascii="Verdana" w:hAnsi="Verdana"/>
          <w:i/>
          <w:sz w:val="16"/>
          <w:szCs w:val="16"/>
          <w:lang w:val="es-ES"/>
        </w:rPr>
        <w:t xml:space="preserve"> le </w:t>
      </w:r>
      <w:proofErr w:type="spellStart"/>
      <w:r w:rsidRPr="00A63F1B">
        <w:rPr>
          <w:rFonts w:ascii="Verdana" w:hAnsi="Verdana"/>
          <w:i/>
          <w:sz w:val="16"/>
          <w:szCs w:val="16"/>
          <w:lang w:val="es-ES"/>
        </w:rPr>
        <w:t>contrôle</w:t>
      </w:r>
      <w:proofErr w:type="spellEnd"/>
      <w:r w:rsidRPr="00A63F1B">
        <w:rPr>
          <w:rFonts w:ascii="Verdana" w:hAnsi="Verdana"/>
          <w:i/>
          <w:sz w:val="16"/>
          <w:szCs w:val="16"/>
          <w:lang w:val="es-ES"/>
        </w:rPr>
        <w:t xml:space="preserve"> de la </w:t>
      </w:r>
      <w:proofErr w:type="spellStart"/>
      <w:r w:rsidRPr="00A63F1B">
        <w:rPr>
          <w:rFonts w:ascii="Verdana" w:hAnsi="Verdana"/>
          <w:i/>
          <w:sz w:val="16"/>
          <w:szCs w:val="16"/>
          <w:lang w:val="es-ES"/>
        </w:rPr>
        <w:t>Cour</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européenne</w:t>
      </w:r>
      <w:proofErr w:type="spellEnd"/>
      <w:r w:rsidRPr="00A63F1B">
        <w:rPr>
          <w:rFonts w:ascii="Verdana" w:hAnsi="Verdana"/>
          <w:i/>
          <w:sz w:val="16"/>
          <w:szCs w:val="16"/>
          <w:lang w:val="es-ES"/>
        </w:rPr>
        <w:t xml:space="preserve"> des </w:t>
      </w:r>
      <w:proofErr w:type="spellStart"/>
      <w:r w:rsidRPr="00A63F1B">
        <w:rPr>
          <w:rFonts w:ascii="Verdana" w:hAnsi="Verdana"/>
          <w:i/>
          <w:sz w:val="16"/>
          <w:szCs w:val="16"/>
          <w:lang w:val="es-ES"/>
        </w:rPr>
        <w:t>Droits</w:t>
      </w:r>
      <w:proofErr w:type="spellEnd"/>
      <w:r w:rsidRPr="00A63F1B">
        <w:rPr>
          <w:rFonts w:ascii="Verdana" w:hAnsi="Verdana"/>
          <w:i/>
          <w:sz w:val="16"/>
          <w:szCs w:val="16"/>
          <w:lang w:val="es-ES"/>
        </w:rPr>
        <w:t xml:space="preserve"> de </w:t>
      </w:r>
      <w:proofErr w:type="spellStart"/>
      <w:r w:rsidRPr="00A63F1B">
        <w:rPr>
          <w:rFonts w:ascii="Verdana" w:hAnsi="Verdana"/>
          <w:i/>
          <w:sz w:val="16"/>
          <w:szCs w:val="16"/>
          <w:lang w:val="es-ES"/>
        </w:rPr>
        <w:t>l’Homme</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instituée</w:t>
      </w:r>
      <w:proofErr w:type="spellEnd"/>
      <w:r w:rsidRPr="00A63F1B">
        <w:rPr>
          <w:rFonts w:ascii="Verdana" w:hAnsi="Verdana"/>
          <w:i/>
          <w:sz w:val="16"/>
          <w:szCs w:val="16"/>
          <w:lang w:val="es-ES"/>
        </w:rPr>
        <w:t xml:space="preserve"> par la </w:t>
      </w:r>
      <w:proofErr w:type="spellStart"/>
      <w:r w:rsidRPr="00A63F1B">
        <w:rPr>
          <w:rFonts w:ascii="Verdana" w:hAnsi="Verdana"/>
          <w:i/>
          <w:sz w:val="16"/>
          <w:szCs w:val="16"/>
          <w:lang w:val="es-ES"/>
        </w:rPr>
        <w:t>présente</w:t>
      </w:r>
      <w:proofErr w:type="spellEnd"/>
      <w:r w:rsidRPr="00A63F1B">
        <w:rPr>
          <w:rFonts w:ascii="Verdana" w:hAnsi="Verdana"/>
          <w:i/>
          <w:sz w:val="16"/>
          <w:szCs w:val="16"/>
          <w:lang w:val="es-ES"/>
        </w:rPr>
        <w:t xml:space="preserve"> </w:t>
      </w:r>
      <w:proofErr w:type="spellStart"/>
      <w:r w:rsidRPr="00A63F1B">
        <w:rPr>
          <w:rFonts w:ascii="Verdana" w:hAnsi="Verdana"/>
          <w:i/>
          <w:sz w:val="16"/>
          <w:szCs w:val="16"/>
          <w:lang w:val="es-ES"/>
        </w:rPr>
        <w:t>Convention</w:t>
      </w:r>
      <w:proofErr w:type="spellEnd"/>
      <w:r w:rsidRPr="00A63F1B">
        <w:rPr>
          <w:rFonts w:ascii="Verdana" w:hAnsi="Verdana"/>
          <w:i/>
          <w:sz w:val="16"/>
          <w:szCs w:val="16"/>
          <w:lang w:val="es-ES"/>
        </w:rPr>
        <w:t>.”</w:t>
      </w:r>
    </w:p>
  </w:footnote>
  <w:footnote w:id="9">
    <w:p w14:paraId="41A6878C" w14:textId="19772034" w:rsidR="00843233" w:rsidRPr="00A63F1B" w:rsidRDefault="00843233" w:rsidP="00BC43BA">
      <w:pPr>
        <w:pStyle w:val="NormalWeb"/>
        <w:snapToGrid w:val="0"/>
        <w:spacing w:line="240" w:lineRule="auto"/>
        <w:ind w:left="-270" w:right="-162"/>
        <w:rPr>
          <w:rFonts w:ascii="Verdana" w:eastAsia="Times New Roman" w:hAnsi="Verdana" w:cs="Tahoma"/>
          <w:i/>
          <w:iCs/>
          <w:sz w:val="16"/>
          <w:szCs w:val="16"/>
          <w:lang w:val="es-ES" w:eastAsia="es-CR"/>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 xml:space="preserve">Art. 62.3 de la Convención: </w:t>
      </w:r>
      <w:r w:rsidRPr="00A63F1B">
        <w:rPr>
          <w:rFonts w:ascii="Verdana" w:hAnsi="Verdana"/>
          <w:i/>
          <w:iCs/>
          <w:sz w:val="16"/>
          <w:szCs w:val="16"/>
          <w:lang w:val="es-ES"/>
        </w:rPr>
        <w:t>“</w:t>
      </w:r>
      <w:r w:rsidRPr="00A63F1B">
        <w:rPr>
          <w:rFonts w:ascii="Verdana" w:eastAsia="Times New Roman" w:hAnsi="Verdana" w:cs="Tahoma"/>
          <w:i/>
          <w:iCs/>
          <w:sz w:val="16"/>
          <w:szCs w:val="16"/>
          <w:lang w:val="es-ES" w:eastAsia="es-CR"/>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14:paraId="15EBA39A" w14:textId="0B2195EC"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Fonts w:ascii="Verdana" w:eastAsia="Times New Roman" w:hAnsi="Verdana" w:cs="Tahoma"/>
          <w:sz w:val="16"/>
          <w:szCs w:val="16"/>
          <w:lang w:val="es-ES" w:eastAsia="es-CR"/>
        </w:rPr>
        <w:t>En lo sucesivo, cada vez que se indique un artículo sin señalar el instrumento jurídico al que pertenece, se entenderá que es a la Convención.</w:t>
      </w:r>
    </w:p>
  </w:footnote>
  <w:footnote w:id="10">
    <w:p w14:paraId="05EF021A" w14:textId="2281361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Convención de Viena.</w:t>
      </w:r>
    </w:p>
  </w:footnote>
  <w:footnote w:id="11">
    <w:p w14:paraId="3D30535F" w14:textId="4FB6134F" w:rsidR="00843233" w:rsidRPr="00A63F1B" w:rsidRDefault="00843233" w:rsidP="00BC43BA">
      <w:pPr>
        <w:pStyle w:val="Textonotapie"/>
        <w:snapToGrid w:val="0"/>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31 de la Convención de Viena: “</w:t>
      </w:r>
      <w:r w:rsidRPr="00A63F1B">
        <w:rPr>
          <w:rFonts w:ascii="Verdana" w:hAnsi="Verdana"/>
          <w:i/>
          <w:iCs/>
          <w:sz w:val="16"/>
          <w:szCs w:val="16"/>
          <w:lang w:val="es-ES"/>
        </w:rPr>
        <w:t xml:space="preserve">Regla general de interpretación. I. Un tratado deberá interpretarse de buena fe conforme al sentido corriente que haya de atribuirse a los términos del tratado en el contexto de estos y teniendo en cuenta su objeto y fin.  </w:t>
      </w:r>
    </w:p>
    <w:p w14:paraId="01FB38A2"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2. Para los efectos de la interpretación de un tratado. el contexto comprenderá, además del texto, incluidos su preámbulo y anexos:  </w:t>
      </w:r>
    </w:p>
    <w:p w14:paraId="1DB85F84"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a) todo acuerdo que se refiera al tratado y haya sido concertado entre todas las partes con motivo de la celebración del tratado:  </w:t>
      </w:r>
    </w:p>
    <w:p w14:paraId="45351B6E"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b) todo instrumento formulado por una o más partes con motivo de la celebración del tratado y aceptado por las demás como instrumento referente al tratado;  </w:t>
      </w:r>
    </w:p>
    <w:p w14:paraId="216A1897"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3. Juntamente con el contexto, habrá de tenerse en cuenta:  </w:t>
      </w:r>
    </w:p>
    <w:p w14:paraId="7E3E1339"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a) todo acuerdo ulterior entre las partes acerca de la interpretación del tratado o de la aplicación de sus disposiciones:  </w:t>
      </w:r>
    </w:p>
    <w:p w14:paraId="2E745EA7"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b) toda práctica ulteriormente seguida en la aplicación del tratado por la cual conste el acuerdo de las partes acerca de la interpretación del tratado:  </w:t>
      </w:r>
    </w:p>
    <w:p w14:paraId="41600AB4"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c) toda forma pertinente de derecho internacional aplicable en las relaciones entre las partes.  </w:t>
      </w:r>
    </w:p>
    <w:p w14:paraId="1C8773A9" w14:textId="52058C90"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i/>
          <w:iCs/>
          <w:sz w:val="16"/>
          <w:szCs w:val="16"/>
          <w:lang w:val="es-ES"/>
        </w:rPr>
        <w:t>4. Se dará a un término un sentido especial si consta que tal fue la intención de las partes</w:t>
      </w:r>
      <w:r w:rsidRPr="00A63F1B">
        <w:rPr>
          <w:rFonts w:ascii="Verdana" w:hAnsi="Verdana"/>
          <w:sz w:val="16"/>
          <w:szCs w:val="16"/>
          <w:lang w:val="es-ES"/>
        </w:rPr>
        <w:t xml:space="preserve">.” </w:t>
      </w:r>
    </w:p>
    <w:p w14:paraId="136CCCD3" w14:textId="02CF1F8E"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Art. 32 de la Convención de Viena: “</w:t>
      </w:r>
      <w:r w:rsidRPr="00A63F1B">
        <w:rPr>
          <w:rFonts w:ascii="Verdana" w:hAnsi="Verdana"/>
          <w:i/>
          <w:iCs/>
          <w:sz w:val="16"/>
          <w:szCs w:val="16"/>
          <w:lang w:val="es-ES"/>
        </w:rPr>
        <w:t>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r w:rsidRPr="00A63F1B">
        <w:rPr>
          <w:rFonts w:ascii="Verdana" w:hAnsi="Verdana"/>
          <w:sz w:val="16"/>
          <w:szCs w:val="16"/>
          <w:lang w:val="es-ES"/>
        </w:rPr>
        <w:t xml:space="preserve">:  </w:t>
      </w:r>
    </w:p>
    <w:p w14:paraId="4FFA777E" w14:textId="77777777"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 xml:space="preserve">a) deje ambiguo u oscuro el sentido; o  </w:t>
      </w:r>
    </w:p>
    <w:p w14:paraId="2CC4161E" w14:textId="39EE5996"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b) conduzca a un resultado manifiestamente absurdo o irrazonable.”</w:t>
      </w:r>
    </w:p>
  </w:footnote>
  <w:footnote w:id="12">
    <w:p w14:paraId="0FCE71F8" w14:textId="07EFB134"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la Comisión.</w:t>
      </w:r>
    </w:p>
  </w:footnote>
  <w:footnote w:id="13">
    <w:p w14:paraId="4151A609" w14:textId="1E8BADDA" w:rsidR="00843233" w:rsidRPr="00A63F1B" w:rsidRDefault="00843233" w:rsidP="00BC43BA">
      <w:pPr>
        <w:pStyle w:val="NormalWeb"/>
        <w:snapToGrid w:val="0"/>
        <w:spacing w:line="240" w:lineRule="auto"/>
        <w:ind w:left="-270" w:right="-162"/>
        <w:rPr>
          <w:rFonts w:ascii="Verdana" w:eastAsia="Times New Roman" w:hAnsi="Verdana" w:cs="Tahoma"/>
          <w:i/>
          <w:iCs/>
          <w:sz w:val="16"/>
          <w:szCs w:val="16"/>
          <w:lang w:val="es-ES" w:eastAsia="es-CR"/>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cs="Tahoma"/>
          <w:sz w:val="16"/>
          <w:szCs w:val="16"/>
          <w:lang w:val="es-ES"/>
        </w:rPr>
        <w:t>Art. 41:</w:t>
      </w:r>
      <w:r w:rsidRPr="00A63F1B">
        <w:rPr>
          <w:rFonts w:ascii="Verdana" w:hAnsi="Verdana" w:cs="Tahoma"/>
          <w:b/>
          <w:bCs/>
          <w:sz w:val="16"/>
          <w:szCs w:val="16"/>
          <w:lang w:val="es-ES"/>
        </w:rPr>
        <w:t xml:space="preserve"> </w:t>
      </w:r>
      <w:r w:rsidRPr="00A63F1B">
        <w:rPr>
          <w:rFonts w:ascii="Verdana" w:hAnsi="Verdana" w:cs="Tahoma"/>
          <w:i/>
          <w:iCs/>
          <w:sz w:val="16"/>
          <w:szCs w:val="16"/>
          <w:lang w:val="es-ES"/>
        </w:rPr>
        <w:t>“</w:t>
      </w:r>
      <w:r w:rsidRPr="00A63F1B">
        <w:rPr>
          <w:rFonts w:ascii="Verdana" w:eastAsia="Times New Roman" w:hAnsi="Verdana" w:cs="Tahoma"/>
          <w:i/>
          <w:iCs/>
          <w:sz w:val="16"/>
          <w:szCs w:val="16"/>
          <w:lang w:val="es-ES" w:eastAsia="es-CR"/>
        </w:rPr>
        <w:t>La Comisión tiene la función principal de promover la observancia y la defensa de los derechos humanos, y en el ejercicio de su mandato tiene las siguientes funciones y atribuciones:</w:t>
      </w:r>
    </w:p>
    <w:p w14:paraId="745B7C3C"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a) estimular la conciencia de los derechos humanos en los pueblos de América;</w:t>
      </w:r>
    </w:p>
    <w:p w14:paraId="74BA093F"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2001B50B"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c) preparar los estudios e informes que considere convenientes para el desempeño de sus funciones;</w:t>
      </w:r>
    </w:p>
    <w:p w14:paraId="7C8B23E9"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d) solicitar de los gobiernos de los Estados miembros que le proporcionen informes sobre las medidas que adopten en materia de derechos humanos;</w:t>
      </w:r>
    </w:p>
    <w:p w14:paraId="00ED9557"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3586C91A"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f) actuar respecto de las peticiones y otras comunicaciones en ejercicio de su autoridad de conformidad con lo dispuesto en los artículos 44 al 51 de esta Convención, y</w:t>
      </w:r>
    </w:p>
    <w:p w14:paraId="0F1915C8" w14:textId="3B50B022"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Fonts w:ascii="Verdana" w:hAnsi="Verdana" w:cs="Tahoma"/>
          <w:i/>
          <w:iCs/>
          <w:sz w:val="16"/>
          <w:szCs w:val="16"/>
          <w:lang w:val="es-ES"/>
        </w:rPr>
        <w:t> g) rendir un informe anual a la Asamblea General de la Organización de los Estados Americanos.”</w:t>
      </w:r>
    </w:p>
  </w:footnote>
  <w:footnote w:id="14">
    <w:p w14:paraId="4D867CDD" w14:textId="2181D78E"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En adelante, la OEA.</w:t>
      </w:r>
    </w:p>
  </w:footnote>
  <w:footnote w:id="15">
    <w:p w14:paraId="411B2C55" w14:textId="154D95E0" w:rsidR="00843233" w:rsidRPr="00A63F1B" w:rsidRDefault="00843233" w:rsidP="00BC43BA">
      <w:pPr>
        <w:pStyle w:val="Textonotapie"/>
        <w:snapToGrid w:val="0"/>
        <w:ind w:left="-270" w:right="-162"/>
        <w:rPr>
          <w:rFonts w:ascii="Verdana" w:eastAsia="MS Mincho" w:hAnsi="Verdana" w:cs="Times New Roman"/>
          <w:i/>
          <w:sz w:val="16"/>
          <w:szCs w:val="16"/>
          <w:lang w:val="es-ES" w:eastAsia="es-ES" w:bidi="en-U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eastAsia="Calibri" w:hAnsi="Verdana" w:cs="Calibri"/>
          <w:i/>
          <w:sz w:val="16"/>
          <w:szCs w:val="16"/>
          <w:lang w:val="es-ES" w:eastAsia="es-CR"/>
        </w:rPr>
        <w:t xml:space="preserve">Voto Parcialmente Disidente del Juez Eduardo Vio Grossi a la Sentencia del 22 de noviembre de 2019, Corte Interamericana de Derechos Humanos, </w:t>
      </w:r>
      <w:r w:rsidRPr="00A63F1B">
        <w:rPr>
          <w:rStyle w:val="Textoennegrita"/>
          <w:rFonts w:ascii="Verdana" w:hAnsi="Verdana"/>
          <w:b w:val="0"/>
          <w:bCs w:val="0"/>
          <w:i/>
          <w:sz w:val="16"/>
          <w:szCs w:val="16"/>
          <w:shd w:val="clear" w:color="auto" w:fill="FFFFFF"/>
          <w:lang w:val="es-ES"/>
        </w:rPr>
        <w:t>Caso Hernández Vs. Argentina. Excepción Preliminar, Fondo, Reparaciones y Costas;</w:t>
      </w:r>
      <w:r w:rsidRPr="00A63F1B">
        <w:rPr>
          <w:rStyle w:val="Textoennegrita"/>
          <w:rFonts w:ascii="Verdana" w:hAnsi="Verdana"/>
          <w:i/>
          <w:sz w:val="16"/>
          <w:szCs w:val="16"/>
          <w:shd w:val="clear" w:color="auto" w:fill="FFFFFF"/>
          <w:lang w:val="es-ES"/>
        </w:rPr>
        <w:t xml:space="preserve"> </w:t>
      </w:r>
      <w:r w:rsidRPr="00A63F1B">
        <w:rPr>
          <w:rFonts w:ascii="Verdana" w:eastAsia="MS Mincho" w:hAnsi="Verdana" w:cs="Times New Roman"/>
          <w:i/>
          <w:sz w:val="16"/>
          <w:szCs w:val="16"/>
          <w:lang w:val="es-ES" w:eastAsia="es-ES" w:bidi="en-US"/>
        </w:rPr>
        <w:t>Voto Parcialmente Disidente del Juez Eduardo Vio Grossi, Corte Interamericana de Derechos Humanos, Caso Muelle Flores Vs. Perú, Sentencia de 06 de marzo de 2019,</w:t>
      </w:r>
      <w:r w:rsidRPr="00A63F1B">
        <w:rPr>
          <w:rFonts w:ascii="Verdana" w:hAnsi="Verdana"/>
          <w:i/>
          <w:sz w:val="16"/>
          <w:szCs w:val="16"/>
          <w:lang w:val="es-ES"/>
        </w:rPr>
        <w:t xml:space="preserve">(Excepciones Preliminares, Fondo, Reparaciones y Costas); </w:t>
      </w:r>
      <w:r w:rsidRPr="00A63F1B">
        <w:rPr>
          <w:rFonts w:ascii="Verdana" w:eastAsia="MS Mincho" w:hAnsi="Verdana" w:cs="Times New Roman"/>
          <w:i/>
          <w:sz w:val="16"/>
          <w:szCs w:val="16"/>
          <w:lang w:val="es-ES" w:eastAsia="es-ES" w:bidi="en-US"/>
        </w:rPr>
        <w:t>Voto Parcialmente Disidente del Juez Eduardo Vio Grossi, Corte Interamericana de Derechos Humanos, Caso San Miguel Sosa y Otras Vs. Venezuela, Sentencia de 8 de febrero de 2018 (Fondo, Reparaciones y Costas); Voto Parcialmente Disidente del Juez Eduardo Vio Grossi, Corte Interamericana de Derechos Humanos, Caso Lagos del Campo Vs. Perú, Sentencia de 31 de agosto de 2017, (Excepciones Preliminares, Fondo, Reparaciones y Costa), y Voto Individual del Juez Eduardo Vio Grossi, Corte Interamericana de Derechos Humanos, Caso Trabajadores Cesados de Petroperú y Otros Vs. Perú, Sentencia de 23 de noviembre de 2017 (Excepciones Preliminares, Fondo, Reparaciones y Costas).</w:t>
      </w:r>
    </w:p>
  </w:footnote>
  <w:footnote w:id="16">
    <w:p w14:paraId="40BA77D4" w14:textId="5C7B71C3"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artículo 26.</w:t>
      </w:r>
    </w:p>
  </w:footnote>
  <w:footnote w:id="17">
    <w:p w14:paraId="5D814A98" w14:textId="06C8394F"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Nota N° 8.</w:t>
      </w:r>
    </w:p>
  </w:footnote>
  <w:footnote w:id="18">
    <w:p w14:paraId="5B5A5C09" w14:textId="433C5919"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2 de la Convención de Viena: “</w:t>
      </w:r>
      <w:r w:rsidRPr="00A63F1B">
        <w:rPr>
          <w:rFonts w:ascii="Verdana" w:hAnsi="Verdana"/>
          <w:i/>
          <w:iCs/>
          <w:sz w:val="16"/>
          <w:szCs w:val="16"/>
          <w:lang w:val="es-ES"/>
        </w:rPr>
        <w:t xml:space="preserve">Términos empleados. 1. Para los efectos de la presente Convención:  a) se entiende por "tratado" un acuerdo internacional celebrado por escrito entre Estados y regido por el derecho internacional, ya </w:t>
      </w:r>
      <w:proofErr w:type="gramStart"/>
      <w:r w:rsidRPr="00A63F1B">
        <w:rPr>
          <w:rFonts w:ascii="Verdana" w:hAnsi="Verdana"/>
          <w:i/>
          <w:iCs/>
          <w:sz w:val="16"/>
          <w:szCs w:val="16"/>
          <w:lang w:val="es-ES"/>
        </w:rPr>
        <w:t>conste</w:t>
      </w:r>
      <w:proofErr w:type="gramEnd"/>
      <w:r w:rsidRPr="00A63F1B">
        <w:rPr>
          <w:rFonts w:ascii="Verdana" w:hAnsi="Verdana"/>
          <w:i/>
          <w:iCs/>
          <w:sz w:val="16"/>
          <w:szCs w:val="16"/>
          <w:lang w:val="es-ES"/>
        </w:rPr>
        <w:t xml:space="preserve"> en un instrumento único o en dos o más instrumentos conexos y cualquiera que sea su denominación particular”.</w:t>
      </w:r>
    </w:p>
  </w:footnote>
  <w:footnote w:id="19">
    <w:p w14:paraId="24412F21" w14:textId="7D32EF57" w:rsidR="00843233" w:rsidRPr="00A63F1B" w:rsidRDefault="00843233" w:rsidP="00BC43BA">
      <w:pPr>
        <w:autoSpaceDE w:val="0"/>
        <w:autoSpaceDN w:val="0"/>
        <w:adjustRightInd w:val="0"/>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xml:space="preserve"> Nota N° 11. </w:t>
      </w:r>
    </w:p>
  </w:footnote>
  <w:footnote w:id="20">
    <w:p w14:paraId="38BDE9B2" w14:textId="2614E5F3" w:rsidR="00843233" w:rsidRPr="00A63F1B" w:rsidRDefault="00843233" w:rsidP="00BC43BA">
      <w:pPr>
        <w:pStyle w:val="Textonotapie"/>
        <w:snapToGrid w:val="0"/>
        <w:ind w:left="-270" w:right="-162"/>
        <w:rPr>
          <w:rFonts w:ascii="Verdana" w:hAnsi="Verdana" w:cs="Times New Roman"/>
          <w:i/>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cs="Times New Roman"/>
          <w:bCs/>
          <w:i/>
          <w:sz w:val="16"/>
          <w:szCs w:val="16"/>
          <w:lang w:val="es-ES"/>
        </w:rPr>
        <w:t>"T</w:t>
      </w:r>
      <w:r w:rsidRPr="00A63F1B">
        <w:rPr>
          <w:rFonts w:ascii="Verdana" w:hAnsi="Verdana" w:cs="Times New Roman"/>
          <w:i/>
          <w:sz w:val="16"/>
          <w:szCs w:val="16"/>
          <w:lang w:val="es-ES"/>
        </w:rPr>
        <w:t>odo tratado en vigor obliga a las partes y debe ser cumplido por ellas de buena fe.”</w:t>
      </w:r>
    </w:p>
  </w:footnote>
  <w:footnote w:id="21">
    <w:p w14:paraId="07B6BF44" w14:textId="38D6FF41"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 xml:space="preserve">Art. 2: </w:t>
      </w:r>
      <w:r w:rsidRPr="00A63F1B">
        <w:rPr>
          <w:rFonts w:ascii="Verdana" w:hAnsi="Verdana"/>
          <w:i/>
          <w:iCs/>
          <w:sz w:val="16"/>
          <w:szCs w:val="16"/>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22">
    <w:p w14:paraId="50431DD5" w14:textId="0AC6732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4° del Preámbulo de la Convención: “</w:t>
      </w:r>
      <w:r w:rsidRPr="00A63F1B">
        <w:rPr>
          <w:rFonts w:ascii="Verdana" w:hAnsi="Verdana"/>
          <w:i/>
          <w:sz w:val="16"/>
          <w:szCs w:val="16"/>
          <w:lang w:val="es-ES"/>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w:t>
      </w:r>
      <w:r w:rsidRPr="00A63F1B">
        <w:rPr>
          <w:rFonts w:ascii="Verdana" w:hAnsi="Verdana"/>
          <w:sz w:val="16"/>
          <w:szCs w:val="16"/>
          <w:lang w:val="es-ES"/>
        </w:rPr>
        <w:t>.”</w:t>
      </w:r>
    </w:p>
  </w:footnote>
  <w:footnote w:id="23">
    <w:p w14:paraId="5743A2E4" w14:textId="3E65523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5° Considerando del Preámbulo: “[…]</w:t>
      </w:r>
      <w:r w:rsidRPr="00A63F1B">
        <w:rPr>
          <w:rFonts w:ascii="Verdana" w:hAnsi="Verdana"/>
          <w:i/>
          <w:iCs/>
          <w:sz w:val="16"/>
          <w:szCs w:val="16"/>
          <w:lang w:val="es-ES"/>
        </w:rPr>
        <w:t xml:space="preserve">la Tercera Conferencia Interamericana Extraordinaria (Buenos Aires, 1967) aprobó la incorporación a la propia Carta de la Organización de </w:t>
      </w:r>
      <w:bookmarkStart w:id="10" w:name="_Hlk34736488"/>
      <w:r w:rsidRPr="00A63F1B">
        <w:rPr>
          <w:rFonts w:ascii="Verdana" w:hAnsi="Verdana"/>
          <w:i/>
          <w:iCs/>
          <w:sz w:val="16"/>
          <w:szCs w:val="16"/>
          <w:lang w:val="es-ES"/>
        </w:rPr>
        <w:t xml:space="preserve">normas más amplias sobre derechos económicos, sociales y educacionales </w:t>
      </w:r>
      <w:bookmarkEnd w:id="10"/>
      <w:r w:rsidRPr="00A63F1B">
        <w:rPr>
          <w:rFonts w:ascii="Verdana" w:hAnsi="Verdana"/>
          <w:i/>
          <w:iCs/>
          <w:sz w:val="16"/>
          <w:szCs w:val="16"/>
          <w:lang w:val="es-ES"/>
        </w:rPr>
        <w:t xml:space="preserve">y resolvió que una convención interamericana sobre derechos humanos </w:t>
      </w:r>
      <w:bookmarkStart w:id="11" w:name="_Hlk34736647"/>
      <w:r w:rsidRPr="00A63F1B">
        <w:rPr>
          <w:rFonts w:ascii="Verdana" w:hAnsi="Verdana"/>
          <w:i/>
          <w:iCs/>
          <w:sz w:val="16"/>
          <w:szCs w:val="16"/>
          <w:lang w:val="es-ES"/>
        </w:rPr>
        <w:t>determinara la estructura, competencia y procedimiento de los órganos encargados de esa materia</w:t>
      </w:r>
      <w:bookmarkEnd w:id="11"/>
      <w:r w:rsidRPr="00A63F1B">
        <w:rPr>
          <w:rFonts w:ascii="Verdana" w:hAnsi="Verdana"/>
          <w:i/>
          <w:iCs/>
          <w:sz w:val="16"/>
          <w:szCs w:val="16"/>
          <w:lang w:val="es-ES"/>
        </w:rPr>
        <w:t>”.</w:t>
      </w:r>
    </w:p>
  </w:footnote>
  <w:footnote w:id="24">
    <w:p w14:paraId="4C3156A0" w14:textId="2A1B501F"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El Capítulo IV de la Parte I se titula “</w:t>
      </w:r>
      <w:r w:rsidRPr="00A63F1B">
        <w:rPr>
          <w:rFonts w:ascii="Verdana" w:hAnsi="Verdana"/>
          <w:i/>
          <w:iCs/>
          <w:sz w:val="16"/>
          <w:szCs w:val="16"/>
          <w:lang w:val="es-ES"/>
        </w:rPr>
        <w:t>Suspensión de Garantías, Interpretación y Aplicación</w:t>
      </w:r>
      <w:r w:rsidRPr="00A63F1B">
        <w:rPr>
          <w:rFonts w:ascii="Verdana" w:hAnsi="Verdana"/>
          <w:sz w:val="16"/>
          <w:szCs w:val="16"/>
          <w:lang w:val="es-ES"/>
        </w:rPr>
        <w:t>” y el Capítulo V de la misma, “</w:t>
      </w:r>
      <w:r w:rsidRPr="00A63F1B">
        <w:rPr>
          <w:rFonts w:ascii="Verdana" w:hAnsi="Verdana"/>
          <w:i/>
          <w:iCs/>
          <w:sz w:val="16"/>
          <w:szCs w:val="16"/>
          <w:lang w:val="es-ES"/>
        </w:rPr>
        <w:t>Deberes de las personas”</w:t>
      </w:r>
      <w:r w:rsidRPr="00A63F1B">
        <w:rPr>
          <w:rFonts w:ascii="Verdana" w:hAnsi="Verdana"/>
          <w:sz w:val="16"/>
          <w:szCs w:val="16"/>
          <w:lang w:val="es-ES"/>
        </w:rPr>
        <w:t>.</w:t>
      </w:r>
    </w:p>
  </w:footnote>
  <w:footnote w:id="25">
    <w:p w14:paraId="458A232C" w14:textId="74DD70E7"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w:t>
      </w:r>
      <w:r w:rsidRPr="00A63F1B">
        <w:rPr>
          <w:rFonts w:ascii="Verdana" w:hAnsi="Verdana"/>
          <w:i/>
          <w:sz w:val="16"/>
          <w:szCs w:val="16"/>
          <w:lang w:val="es-ES"/>
        </w:rPr>
        <w:t>Derivar: Dicho de una cosa: Traer su origen de otra.”</w:t>
      </w:r>
      <w:r w:rsidRPr="00A63F1B">
        <w:rPr>
          <w:rFonts w:ascii="Verdana" w:hAnsi="Verdana"/>
          <w:sz w:val="16"/>
          <w:szCs w:val="16"/>
          <w:lang w:val="es-ES"/>
        </w:rPr>
        <w:t xml:space="preserve"> </w:t>
      </w:r>
      <w:r w:rsidRPr="00A63F1B">
        <w:rPr>
          <w:rFonts w:ascii="Verdana" w:hAnsi="Verdana"/>
          <w:i/>
          <w:iCs/>
          <w:sz w:val="16"/>
          <w:szCs w:val="16"/>
          <w:lang w:val="es-ES"/>
        </w:rPr>
        <w:t>Cfr</w:t>
      </w:r>
      <w:r w:rsidRPr="00A63F1B">
        <w:rPr>
          <w:rFonts w:ascii="Verdana" w:hAnsi="Verdana"/>
          <w:sz w:val="16"/>
          <w:szCs w:val="16"/>
          <w:lang w:val="es-ES"/>
        </w:rPr>
        <w:t>. Diccionario de la Lengua Española, Real Academia Española, 2018.</w:t>
      </w:r>
    </w:p>
  </w:footnote>
  <w:footnote w:id="26">
    <w:p w14:paraId="08D89B1A" w14:textId="6E413E3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w:t>
      </w:r>
      <w:r w:rsidRPr="00A63F1B">
        <w:rPr>
          <w:rFonts w:ascii="Verdana" w:hAnsi="Verdana"/>
          <w:i/>
          <w:sz w:val="16"/>
          <w:szCs w:val="16"/>
          <w:lang w:val="es-ES"/>
        </w:rPr>
        <w:t>Inferir: Deducir</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algo</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o</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sacarlo</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como</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conclusión</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de</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otra</w:t>
      </w:r>
      <w:r w:rsidRPr="00A63F1B">
        <w:rPr>
          <w:rFonts w:ascii="Verdana" w:eastAsia="Arial Unicode MS" w:hAnsi="Verdana" w:cs="Arial Unicode MS"/>
          <w:i/>
          <w:spacing w:val="4"/>
          <w:sz w:val="16"/>
          <w:szCs w:val="16"/>
          <w:shd w:val="clear" w:color="auto" w:fill="FFFFFF"/>
          <w:lang w:val="es-ES"/>
        </w:rPr>
        <w:t xml:space="preserve"> </w:t>
      </w:r>
      <w:r w:rsidRPr="00A63F1B">
        <w:rPr>
          <w:rFonts w:ascii="Verdana" w:hAnsi="Verdana"/>
          <w:i/>
          <w:sz w:val="16"/>
          <w:szCs w:val="16"/>
          <w:lang w:val="es-ES"/>
        </w:rPr>
        <w:t>cosa</w:t>
      </w:r>
      <w:r w:rsidRPr="00A63F1B">
        <w:rPr>
          <w:rFonts w:ascii="Verdana" w:hAnsi="Verdana"/>
          <w:sz w:val="16"/>
          <w:szCs w:val="16"/>
          <w:lang w:val="es-ES"/>
        </w:rPr>
        <w:t xml:space="preserve">”, </w:t>
      </w:r>
      <w:proofErr w:type="spellStart"/>
      <w:r w:rsidRPr="00A63F1B">
        <w:rPr>
          <w:rFonts w:ascii="Verdana" w:hAnsi="Verdana"/>
          <w:i/>
          <w:sz w:val="16"/>
          <w:szCs w:val="16"/>
          <w:lang w:val="es-ES"/>
        </w:rPr>
        <w:t>Idem</w:t>
      </w:r>
      <w:proofErr w:type="spellEnd"/>
      <w:r w:rsidRPr="00A63F1B">
        <w:rPr>
          <w:rFonts w:ascii="Verdana" w:hAnsi="Verdana"/>
          <w:sz w:val="16"/>
          <w:szCs w:val="16"/>
          <w:lang w:val="es-ES"/>
        </w:rPr>
        <w:t>.</w:t>
      </w:r>
    </w:p>
  </w:footnote>
  <w:footnote w:id="27">
    <w:p w14:paraId="4AC6C6B7" w14:textId="57FD686D"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 xml:space="preserve">Párr. 155 de la Sentencia. </w:t>
      </w:r>
    </w:p>
  </w:footnote>
  <w:footnote w:id="28">
    <w:p w14:paraId="265BD5AE" w14:textId="5678EE8F"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i/>
          <w:iCs/>
          <w:sz w:val="16"/>
          <w:szCs w:val="16"/>
          <w:lang w:val="es-ES"/>
        </w:rPr>
        <w:t>Idem</w:t>
      </w:r>
      <w:proofErr w:type="spellEnd"/>
      <w:r w:rsidRPr="00A63F1B">
        <w:rPr>
          <w:rFonts w:ascii="Verdana" w:hAnsi="Verdana"/>
          <w:sz w:val="16"/>
          <w:szCs w:val="16"/>
          <w:lang w:val="es-ES"/>
        </w:rPr>
        <w:t>.</w:t>
      </w:r>
    </w:p>
  </w:footnote>
  <w:footnote w:id="29">
    <w:p w14:paraId="78C2DCD4" w14:textId="0D1FD8FC" w:rsidR="00843233" w:rsidRPr="00A63F1B" w:rsidRDefault="00843233" w:rsidP="00BC43BA">
      <w:pPr>
        <w:tabs>
          <w:tab w:val="left" w:pos="142"/>
        </w:tabs>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eastAsia="Batang" w:hAnsi="Verdana"/>
          <w:sz w:val="16"/>
          <w:szCs w:val="16"/>
          <w:lang w:val="es-ES"/>
        </w:rPr>
        <w:t>Art. 1.1</w:t>
      </w:r>
      <w:proofErr w:type="gramStart"/>
      <w:r w:rsidRPr="00A63F1B">
        <w:rPr>
          <w:rFonts w:ascii="Verdana" w:eastAsia="Batang" w:hAnsi="Verdana"/>
          <w:sz w:val="16"/>
          <w:szCs w:val="16"/>
          <w:lang w:val="es-ES"/>
        </w:rPr>
        <w:t>: ”Obligación</w:t>
      </w:r>
      <w:proofErr w:type="gramEnd"/>
      <w:r w:rsidRPr="00A63F1B">
        <w:rPr>
          <w:rFonts w:ascii="Verdana" w:hAnsi="Verdana"/>
          <w:i/>
          <w:iCs/>
          <w:sz w:val="16"/>
          <w:szCs w:val="16"/>
          <w:lang w:val="es-ES"/>
        </w:rPr>
        <w:t xml:space="preserve"> de Respetar los Derechos.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69EAD8B" w14:textId="2290660B" w:rsidR="00843233" w:rsidRPr="00A63F1B" w:rsidRDefault="00843233" w:rsidP="00BC43BA">
      <w:pPr>
        <w:snapToGrid w:val="0"/>
        <w:spacing w:line="240" w:lineRule="auto"/>
        <w:ind w:left="-270" w:right="-162"/>
        <w:rPr>
          <w:rFonts w:ascii="Verdana" w:hAnsi="Verdana"/>
          <w:sz w:val="16"/>
          <w:szCs w:val="16"/>
          <w:lang w:val="es-ES"/>
        </w:rPr>
      </w:pPr>
      <w:r w:rsidRPr="00A63F1B">
        <w:rPr>
          <w:rFonts w:ascii="Verdana" w:hAnsi="Verdana"/>
          <w:sz w:val="16"/>
          <w:szCs w:val="16"/>
          <w:lang w:val="es-ES"/>
        </w:rPr>
        <w:t xml:space="preserve">Art. 22.4: </w:t>
      </w:r>
      <w:r w:rsidRPr="00A63F1B">
        <w:rPr>
          <w:rFonts w:ascii="Verdana" w:hAnsi="Verdana"/>
          <w:i/>
          <w:iCs/>
          <w:sz w:val="16"/>
          <w:szCs w:val="16"/>
          <w:lang w:val="es-ES"/>
        </w:rPr>
        <w:t>“Derecho de Circulación y de Residencia. El ejercicio de los derechos reconocidos en el inciso 1 puede asimismo ser restringido por la ley, en zonas determinadas, por razones de interés público.”</w:t>
      </w:r>
    </w:p>
    <w:p w14:paraId="7074A980" w14:textId="19D3EEE0"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sz w:val="16"/>
          <w:szCs w:val="16"/>
          <w:lang w:val="es-ES"/>
        </w:rPr>
        <w:t>Art. 25.1</w:t>
      </w:r>
      <w:proofErr w:type="gramStart"/>
      <w:r w:rsidRPr="00A63F1B">
        <w:rPr>
          <w:rFonts w:ascii="Verdana" w:hAnsi="Verdana"/>
          <w:i/>
          <w:iCs/>
          <w:sz w:val="16"/>
          <w:szCs w:val="16"/>
          <w:lang w:val="es-ES"/>
        </w:rPr>
        <w:t>: ”Protección</w:t>
      </w:r>
      <w:proofErr w:type="gramEnd"/>
      <w:r w:rsidRPr="00A63F1B">
        <w:rPr>
          <w:rFonts w:ascii="Verdana" w:hAnsi="Verdana"/>
          <w:i/>
          <w:iCs/>
          <w:sz w:val="16"/>
          <w:szCs w:val="16"/>
          <w:lang w:val="es-ES"/>
        </w:rPr>
        <w:t xml:space="preserve"> Judicial.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469784F1" w14:textId="2D66F663"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sz w:val="16"/>
          <w:szCs w:val="16"/>
          <w:lang w:val="es-ES"/>
        </w:rPr>
        <w:t>Art. 29.a</w:t>
      </w:r>
      <w:r w:rsidRPr="00A63F1B">
        <w:rPr>
          <w:rFonts w:ascii="Verdana" w:hAnsi="Verdana"/>
          <w:i/>
          <w:iCs/>
          <w:sz w:val="16"/>
          <w:szCs w:val="16"/>
          <w:lang w:val="es-ES"/>
        </w:rPr>
        <w:t>)</w:t>
      </w:r>
      <w:proofErr w:type="gramStart"/>
      <w:r w:rsidRPr="00A63F1B">
        <w:rPr>
          <w:rFonts w:ascii="Verdana" w:hAnsi="Verdana"/>
          <w:i/>
          <w:iCs/>
          <w:sz w:val="16"/>
          <w:szCs w:val="16"/>
          <w:lang w:val="es-ES"/>
        </w:rPr>
        <w:t>: ”Normas</w:t>
      </w:r>
      <w:proofErr w:type="gramEnd"/>
      <w:r w:rsidRPr="00A63F1B">
        <w:rPr>
          <w:rFonts w:ascii="Verdana" w:hAnsi="Verdana"/>
          <w:i/>
          <w:iCs/>
          <w:sz w:val="16"/>
          <w:szCs w:val="16"/>
          <w:lang w:val="es-ES"/>
        </w:rPr>
        <w:t xml:space="preserve">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w:t>
      </w:r>
    </w:p>
    <w:p w14:paraId="3DD3EBB1" w14:textId="0B7B4F81"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sz w:val="16"/>
          <w:szCs w:val="16"/>
          <w:lang w:val="es-ES"/>
        </w:rPr>
        <w:t>Art. 30: “</w:t>
      </w:r>
      <w:r w:rsidRPr="00A63F1B">
        <w:rPr>
          <w:rFonts w:ascii="Verdana" w:hAnsi="Verdana"/>
          <w:i/>
          <w:iCs/>
          <w:sz w:val="16"/>
          <w:szCs w:val="16"/>
          <w:lang w:val="es-ES"/>
        </w:rPr>
        <w:t>Alcance de las Restricciones.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14:paraId="0605AC7D" w14:textId="14A5C023"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sz w:val="16"/>
          <w:szCs w:val="16"/>
          <w:lang w:val="es-ES"/>
        </w:rPr>
        <w:t xml:space="preserve">Art. 31: </w:t>
      </w:r>
      <w:r w:rsidRPr="00A63F1B">
        <w:rPr>
          <w:rFonts w:ascii="Verdana" w:hAnsi="Verdana"/>
          <w:i/>
          <w:iCs/>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5BD4355D" w14:textId="62070DBA" w:rsidR="00843233" w:rsidRPr="00A63F1B" w:rsidRDefault="00843233" w:rsidP="00BC43BA">
      <w:pPr>
        <w:snapToGrid w:val="0"/>
        <w:spacing w:line="240" w:lineRule="auto"/>
        <w:ind w:left="-270" w:right="-162"/>
        <w:rPr>
          <w:rFonts w:ascii="Verdana" w:hAnsi="Verdana"/>
          <w:sz w:val="16"/>
          <w:szCs w:val="16"/>
          <w:lang w:val="es-ES"/>
        </w:rPr>
      </w:pPr>
      <w:r w:rsidRPr="00A63F1B">
        <w:rPr>
          <w:rFonts w:ascii="Verdana" w:hAnsi="Verdana"/>
          <w:sz w:val="16"/>
          <w:szCs w:val="16"/>
          <w:lang w:val="es-ES"/>
        </w:rPr>
        <w:t>Art. 48.1.f):</w:t>
      </w:r>
      <w:r w:rsidRPr="00A63F1B">
        <w:rPr>
          <w:rFonts w:ascii="Verdana" w:hAnsi="Verdana"/>
          <w:i/>
          <w:sz w:val="16"/>
          <w:szCs w:val="16"/>
          <w:lang w:val="es-ES"/>
        </w:rPr>
        <w:t xml:space="preserve"> “1. La Comisión, al recibir una petición o comunicación en la que se alegue la violación de cualquiera de los derechos que consagra esta Convención, procederá en los siguientes términos: […]… se pondrá a disposición de las partes interesadas, a fin de llegar a una solución amistosa del asunto fundada en el respeto a los derechos humanos reconocidos en esta Convención</w:t>
      </w:r>
      <w:r w:rsidRPr="00A63F1B">
        <w:rPr>
          <w:rFonts w:ascii="Verdana" w:hAnsi="Verdana"/>
          <w:sz w:val="16"/>
          <w:szCs w:val="16"/>
          <w:lang w:val="es-ES"/>
        </w:rPr>
        <w:t>.”</w:t>
      </w:r>
    </w:p>
  </w:footnote>
  <w:footnote w:id="30">
    <w:p w14:paraId="3EFB5C35" w14:textId="43A689A3"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45.1: “</w:t>
      </w:r>
      <w:r w:rsidRPr="00A63F1B">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r w:rsidRPr="00A63F1B">
        <w:rPr>
          <w:rFonts w:ascii="Verdana" w:hAnsi="Verdana"/>
          <w:sz w:val="16"/>
          <w:szCs w:val="16"/>
          <w:lang w:val="es-ES"/>
        </w:rPr>
        <w:t>”</w:t>
      </w:r>
    </w:p>
  </w:footnote>
  <w:footnote w:id="31">
    <w:p w14:paraId="343ACC0B" w14:textId="4897206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47.b: “</w:t>
      </w:r>
      <w:r w:rsidRPr="00A63F1B">
        <w:rPr>
          <w:rFonts w:ascii="Verdana" w:hAnsi="Verdana"/>
          <w:i/>
          <w:sz w:val="16"/>
          <w:szCs w:val="16"/>
          <w:lang w:val="es-ES"/>
        </w:rPr>
        <w:t xml:space="preserve">La Comisión declarará inadmisible toda petición o comunicación presentada de acuerdo con los artículos 44 </w:t>
      </w:r>
      <w:proofErr w:type="spellStart"/>
      <w:r w:rsidRPr="00A63F1B">
        <w:rPr>
          <w:rFonts w:ascii="Verdana" w:hAnsi="Verdana"/>
          <w:i/>
          <w:sz w:val="16"/>
          <w:szCs w:val="16"/>
          <w:lang w:val="es-ES"/>
        </w:rPr>
        <w:t>ó</w:t>
      </w:r>
      <w:proofErr w:type="spellEnd"/>
      <w:r w:rsidRPr="00A63F1B">
        <w:rPr>
          <w:rFonts w:ascii="Verdana" w:hAnsi="Verdana"/>
          <w:i/>
          <w:sz w:val="16"/>
          <w:szCs w:val="16"/>
          <w:lang w:val="es-ES"/>
        </w:rPr>
        <w:t xml:space="preserve"> 45 cuando: [...] no exponga hechos que caractericen una violación de los derechos garantizados por esta Convención</w:t>
      </w:r>
      <w:r w:rsidRPr="00A63F1B">
        <w:rPr>
          <w:rFonts w:ascii="Verdana" w:hAnsi="Verdana"/>
          <w:sz w:val="16"/>
          <w:szCs w:val="16"/>
          <w:lang w:val="es-ES"/>
        </w:rPr>
        <w:t>”.</w:t>
      </w:r>
    </w:p>
  </w:footnote>
  <w:footnote w:id="32">
    <w:p w14:paraId="34AF76D0" w14:textId="52AC0135" w:rsidR="00843233" w:rsidRPr="00A63F1B" w:rsidRDefault="00843233" w:rsidP="00BC43BA">
      <w:pPr>
        <w:pStyle w:val="Textonotapie"/>
        <w:snapToGrid w:val="0"/>
        <w:ind w:left="-270" w:right="-162"/>
        <w:rPr>
          <w:rFonts w:ascii="Verdana" w:hAnsi="Verdana"/>
          <w:i/>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xml:space="preserve">, Art. 48.1.f), </w:t>
      </w:r>
      <w:r w:rsidRPr="00A63F1B">
        <w:rPr>
          <w:rFonts w:ascii="Verdana" w:hAnsi="Verdana"/>
          <w:i/>
          <w:iCs/>
          <w:sz w:val="16"/>
          <w:szCs w:val="16"/>
          <w:lang w:val="es-ES"/>
        </w:rPr>
        <w:t xml:space="preserve">cit. </w:t>
      </w:r>
      <w:r w:rsidRPr="00A63F1B">
        <w:rPr>
          <w:rFonts w:ascii="Verdana" w:hAnsi="Verdana"/>
          <w:sz w:val="16"/>
          <w:szCs w:val="16"/>
          <w:lang w:val="es-ES"/>
        </w:rPr>
        <w:t>Nota N° 29.</w:t>
      </w:r>
    </w:p>
  </w:footnote>
  <w:footnote w:id="33">
    <w:p w14:paraId="4A6DD59D" w14:textId="0D5BB42D" w:rsidR="00843233" w:rsidRPr="00A63F1B" w:rsidRDefault="00843233" w:rsidP="00BC43BA">
      <w:pPr>
        <w:snapToGrid w:val="0"/>
        <w:spacing w:line="240" w:lineRule="auto"/>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eastAsia="Batang" w:hAnsi="Verdana"/>
          <w:sz w:val="16"/>
          <w:szCs w:val="16"/>
          <w:lang w:val="es-ES"/>
        </w:rPr>
        <w:t xml:space="preserve"> </w:t>
      </w:r>
      <w:r w:rsidRPr="00A63F1B">
        <w:rPr>
          <w:rFonts w:ascii="Verdana" w:eastAsia="Batang" w:hAnsi="Verdana"/>
          <w:sz w:val="16"/>
          <w:szCs w:val="16"/>
          <w:lang w:val="es-ES"/>
        </w:rPr>
        <w:tab/>
        <w:t>Art. 4.1: “</w:t>
      </w:r>
      <w:r w:rsidRPr="00A63F1B">
        <w:rPr>
          <w:rFonts w:ascii="Verdana" w:hAnsi="Verdana"/>
          <w:i/>
          <w:iCs/>
          <w:sz w:val="16"/>
          <w:szCs w:val="16"/>
          <w:lang w:val="es-ES"/>
        </w:rPr>
        <w:t>Derecho a la Vida. Toda persona tiene derecho a que se respete su vida.  Este derecho estará protegido, en general, a partir del momento de la concepción.  Nadie puede ser privado de la vida arbitrariamente.”</w:t>
      </w:r>
    </w:p>
    <w:p w14:paraId="513C07DD" w14:textId="5A8AEC19" w:rsidR="00843233" w:rsidRPr="00A63F1B" w:rsidRDefault="00843233" w:rsidP="00BC43BA">
      <w:pPr>
        <w:snapToGrid w:val="0"/>
        <w:spacing w:line="240" w:lineRule="auto"/>
        <w:ind w:left="-270" w:right="-162"/>
        <w:rPr>
          <w:rFonts w:ascii="Verdana" w:hAnsi="Verdana"/>
          <w:sz w:val="16"/>
          <w:szCs w:val="16"/>
          <w:lang w:val="es-ES"/>
        </w:rPr>
      </w:pPr>
      <w:r w:rsidRPr="00A63F1B">
        <w:rPr>
          <w:rFonts w:ascii="Verdana" w:hAnsi="Verdana"/>
          <w:sz w:val="16"/>
          <w:szCs w:val="16"/>
          <w:lang w:val="es-ES"/>
        </w:rPr>
        <w:t>Art. 63.1:</w:t>
      </w:r>
      <w:r w:rsidRPr="00A63F1B">
        <w:rPr>
          <w:rFonts w:ascii="Verdana" w:hAnsi="Verdana"/>
          <w:i/>
          <w:iCs/>
          <w:sz w:val="16"/>
          <w:szCs w:val="16"/>
          <w:lang w:val="es-ES"/>
        </w:rPr>
        <w:t xml:space="preserv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4">
    <w:p w14:paraId="13DF7278" w14:textId="684095C9"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155.</w:t>
      </w:r>
    </w:p>
  </w:footnote>
  <w:footnote w:id="35">
    <w:p w14:paraId="14175CE2" w14:textId="10BF2553"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sz w:val="16"/>
          <w:szCs w:val="16"/>
          <w:lang w:val="es-ES"/>
        </w:rPr>
        <w:t>Párrs</w:t>
      </w:r>
      <w:proofErr w:type="spellEnd"/>
      <w:r w:rsidRPr="00A63F1B">
        <w:rPr>
          <w:rFonts w:ascii="Verdana" w:hAnsi="Verdana"/>
          <w:sz w:val="16"/>
          <w:szCs w:val="16"/>
          <w:lang w:val="es-ES"/>
        </w:rPr>
        <w:t>. 156 y 157.</w:t>
      </w:r>
    </w:p>
  </w:footnote>
  <w:footnote w:id="36">
    <w:p w14:paraId="51026E04" w14:textId="76E7BEA7" w:rsidR="00843233" w:rsidRPr="00A63F1B" w:rsidRDefault="00843233" w:rsidP="00BC43BA">
      <w:pPr>
        <w:pStyle w:val="Textonotapie"/>
        <w:snapToGrid w:val="0"/>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i/>
          <w:iCs/>
          <w:sz w:val="16"/>
          <w:szCs w:val="16"/>
          <w:lang w:val="es-ES"/>
        </w:rPr>
        <w:t>Idem</w:t>
      </w:r>
      <w:proofErr w:type="spellEnd"/>
      <w:r w:rsidRPr="00A63F1B">
        <w:rPr>
          <w:rFonts w:ascii="Verdana" w:hAnsi="Verdana"/>
          <w:i/>
          <w:iCs/>
          <w:sz w:val="16"/>
          <w:szCs w:val="16"/>
          <w:lang w:val="es-ES"/>
        </w:rPr>
        <w:t xml:space="preserve">, </w:t>
      </w:r>
      <w:r w:rsidRPr="00A63F1B">
        <w:rPr>
          <w:rFonts w:ascii="Verdana" w:hAnsi="Verdana"/>
          <w:sz w:val="16"/>
          <w:szCs w:val="16"/>
          <w:lang w:val="es-ES"/>
        </w:rPr>
        <w:t xml:space="preserve">Nota </w:t>
      </w:r>
      <w:proofErr w:type="spellStart"/>
      <w:r w:rsidRPr="00A63F1B">
        <w:rPr>
          <w:rFonts w:ascii="Verdana" w:hAnsi="Verdana"/>
          <w:sz w:val="16"/>
          <w:szCs w:val="16"/>
          <w:lang w:val="es-ES"/>
        </w:rPr>
        <w:t>N°</w:t>
      </w:r>
      <w:proofErr w:type="spellEnd"/>
      <w:r w:rsidRPr="00A63F1B">
        <w:rPr>
          <w:rFonts w:ascii="Verdana" w:hAnsi="Verdana"/>
          <w:sz w:val="16"/>
          <w:szCs w:val="16"/>
          <w:lang w:val="es-ES"/>
        </w:rPr>
        <w:t xml:space="preserve"> 34</w:t>
      </w:r>
      <w:r w:rsidRPr="00A63F1B">
        <w:rPr>
          <w:rFonts w:ascii="Verdana" w:hAnsi="Verdana"/>
          <w:i/>
          <w:iCs/>
          <w:sz w:val="16"/>
          <w:szCs w:val="16"/>
          <w:lang w:val="es-ES"/>
        </w:rPr>
        <w:t>.</w:t>
      </w:r>
    </w:p>
  </w:footnote>
  <w:footnote w:id="37">
    <w:p w14:paraId="040DA8CD" w14:textId="338A0A79"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w:t>
      </w:r>
      <w:r w:rsidRPr="00A63F1B">
        <w:rPr>
          <w:rFonts w:ascii="Verdana" w:hAnsi="Verdana"/>
          <w:i/>
          <w:sz w:val="16"/>
          <w:szCs w:val="16"/>
          <w:lang w:val="es-ES"/>
        </w:rPr>
        <w:t>Parte III, “Disposiciones generales y transitorias</w:t>
      </w:r>
      <w:r w:rsidRPr="00A63F1B">
        <w:rPr>
          <w:rFonts w:ascii="Verdana" w:hAnsi="Verdana"/>
          <w:sz w:val="16"/>
          <w:szCs w:val="16"/>
          <w:lang w:val="es-ES"/>
        </w:rPr>
        <w:t>”.</w:t>
      </w:r>
    </w:p>
  </w:footnote>
  <w:footnote w:id="38">
    <w:p w14:paraId="780168D3" w14:textId="11308FE2" w:rsidR="00843233" w:rsidRPr="00A63F1B" w:rsidRDefault="00843233" w:rsidP="00BC43BA">
      <w:pPr>
        <w:snapToGrid w:val="0"/>
        <w:spacing w:line="240" w:lineRule="auto"/>
        <w:ind w:left="-270" w:right="-162"/>
        <w:rPr>
          <w:rFonts w:ascii="Verdana" w:hAnsi="Verdana"/>
          <w:i/>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sz w:val="16"/>
          <w:szCs w:val="16"/>
          <w:lang w:val="es-ES"/>
        </w:rPr>
        <w:t>Supra</w:t>
      </w:r>
      <w:r w:rsidRPr="00A63F1B">
        <w:rPr>
          <w:rFonts w:ascii="Verdana" w:hAnsi="Verdana"/>
          <w:sz w:val="16"/>
          <w:szCs w:val="16"/>
          <w:lang w:val="es-ES"/>
        </w:rPr>
        <w:t xml:space="preserve">, Nota N° 29, Art. 1.1. </w:t>
      </w:r>
    </w:p>
  </w:footnote>
  <w:footnote w:id="39">
    <w:p w14:paraId="04753FE3" w14:textId="6F60A6C3"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Supra, Nota N° 21.</w:t>
      </w:r>
    </w:p>
  </w:footnote>
  <w:footnote w:id="40">
    <w:p w14:paraId="2B7C1296" w14:textId="69EA725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 xml:space="preserve">Parte I, Capítulo II, arts. 3 a 25. Derecho al reconocimiento de la personalidad jurídica (art. 3), Derecho a la vida (art. 4), Derecho a la integridad personal (art. 5), Prohibición de la esclavitud y la servidumbre (art. 6), Derecho a la libertad personal (art. 7), Garantías judiciales (art. 8), Principio de legalidad y de retroactividad (art. 9), Derecho a indemnización (art. 10), Protección de la honra y de la dignidad (art. 11), Libertad de conciencia y de religión (art. 12), Libertad de pensamiento y de expresión (art. 13), Derecho de rectificación o respuesta (art. 14), Derecho de reunión (art. 15), Libertad de asociación (art. 16), Protección a la familia (art. 17), Derecho al nombre (art. 18), Derechos del niño (art. 19), Derecho a la nacionalidad (art. 20), Derecho a la propiedad privada (art. 21), Derecho de circulación y de residencia (art. 22), Derechos políticos (art. 23), Igualdad ante la ley (art. 24) y Protección judicial (art. 25). </w:t>
      </w:r>
    </w:p>
    <w:p w14:paraId="0CCA9DAB" w14:textId="6232266F"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Art.26,</w:t>
      </w:r>
      <w:r w:rsidRPr="00A63F1B">
        <w:rPr>
          <w:rFonts w:ascii="Verdana" w:hAnsi="Verdana"/>
          <w:i/>
          <w:iCs/>
          <w:sz w:val="16"/>
          <w:szCs w:val="16"/>
          <w:lang w:val="es-ES"/>
        </w:rPr>
        <w:t xml:space="preserve"> cit.</w:t>
      </w:r>
    </w:p>
  </w:footnote>
  <w:footnote w:id="41">
    <w:p w14:paraId="540F692F" w14:textId="535368BE"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w:t>
      </w:r>
      <w:r w:rsidRPr="00A63F1B">
        <w:rPr>
          <w:rFonts w:ascii="Verdana" w:hAnsi="Verdana"/>
          <w:i/>
          <w:sz w:val="16"/>
          <w:szCs w:val="16"/>
          <w:lang w:val="es-ES"/>
        </w:rPr>
        <w:t xml:space="preserve">Parte II Medios de Protección.” </w:t>
      </w:r>
      <w:r w:rsidRPr="00A63F1B">
        <w:rPr>
          <w:rFonts w:ascii="Verdana" w:hAnsi="Verdana"/>
          <w:sz w:val="16"/>
          <w:szCs w:val="16"/>
          <w:lang w:val="es-ES"/>
        </w:rPr>
        <w:t>Art. 33:</w:t>
      </w:r>
      <w:r w:rsidRPr="00A63F1B">
        <w:rPr>
          <w:rFonts w:ascii="Verdana" w:hAnsi="Verdana"/>
          <w:i/>
          <w:sz w:val="16"/>
          <w:szCs w:val="16"/>
          <w:lang w:val="es-ES"/>
        </w:rPr>
        <w:t xml:space="preserve"> “Son competentes para conocer de los asuntos relacionados con el cumplimiento de los compromisos contraídos por los Estados Partes en esta Convención:</w:t>
      </w:r>
    </w:p>
    <w:p w14:paraId="6E431586" w14:textId="77777777" w:rsidR="00843233" w:rsidRPr="00A63F1B" w:rsidRDefault="00843233" w:rsidP="00BC43BA">
      <w:pPr>
        <w:snapToGrid w:val="0"/>
        <w:spacing w:line="240" w:lineRule="auto"/>
        <w:ind w:left="-270" w:right="-162"/>
        <w:rPr>
          <w:rFonts w:ascii="Verdana" w:hAnsi="Verdana"/>
          <w:i/>
          <w:sz w:val="16"/>
          <w:szCs w:val="16"/>
          <w:lang w:val="es-ES"/>
        </w:rPr>
      </w:pPr>
      <w:r w:rsidRPr="00A63F1B">
        <w:rPr>
          <w:rFonts w:ascii="Verdana" w:hAnsi="Verdana"/>
          <w:i/>
          <w:sz w:val="16"/>
          <w:szCs w:val="16"/>
          <w:lang w:val="es-ES"/>
        </w:rPr>
        <w:t>a) la Comisión Interamericana de Derechos Humanos, llamada en adelante la Comisión, y</w:t>
      </w:r>
    </w:p>
    <w:p w14:paraId="230134BB" w14:textId="41E61A0A"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i/>
          <w:sz w:val="16"/>
          <w:szCs w:val="16"/>
          <w:lang w:val="es-ES"/>
        </w:rPr>
        <w:t>b) la Corte Interamericana de Derechos Humanos, llamada en adelante la Corte.”</w:t>
      </w:r>
    </w:p>
  </w:footnote>
  <w:footnote w:id="42">
    <w:p w14:paraId="5D583228" w14:textId="14314099"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Nota N° 13.</w:t>
      </w:r>
    </w:p>
  </w:footnote>
  <w:footnote w:id="43">
    <w:p w14:paraId="759F407A" w14:textId="4087F7B0"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 xml:space="preserve">Supra, </w:t>
      </w:r>
      <w:r w:rsidRPr="00A63F1B">
        <w:rPr>
          <w:rFonts w:ascii="Verdana" w:hAnsi="Verdana"/>
          <w:sz w:val="16"/>
          <w:szCs w:val="16"/>
          <w:lang w:val="es-ES"/>
        </w:rPr>
        <w:t>Nota N° 9, Art. 62.3.</w:t>
      </w:r>
    </w:p>
  </w:footnote>
  <w:footnote w:id="44">
    <w:p w14:paraId="28D68D30" w14:textId="5791A9CD" w:rsidR="00843233" w:rsidRPr="00A63F1B" w:rsidRDefault="00843233" w:rsidP="00BC43BA">
      <w:pPr>
        <w:snapToGrid w:val="0"/>
        <w:spacing w:line="240" w:lineRule="auto"/>
        <w:ind w:left="-270" w:right="-162"/>
        <w:rPr>
          <w:rFonts w:ascii="Verdana" w:hAnsi="Verdana"/>
          <w:i/>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65: “</w:t>
      </w:r>
      <w:r w:rsidRPr="00A63F1B">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45">
    <w:p w14:paraId="4ABE5DEB" w14:textId="3B35E711"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Denominación dada por la doctrina.</w:t>
      </w:r>
    </w:p>
  </w:footnote>
  <w:footnote w:id="46">
    <w:p w14:paraId="12E906D0" w14:textId="1DEE3FA2" w:rsidR="00843233" w:rsidRPr="00A63F1B" w:rsidRDefault="00843233" w:rsidP="00BC43BA">
      <w:pPr>
        <w:pStyle w:val="Textonotapie"/>
        <w:snapToGrid w:val="0"/>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162 de la Sentencia.</w:t>
      </w:r>
    </w:p>
  </w:footnote>
  <w:footnote w:id="47">
    <w:p w14:paraId="5A118394" w14:textId="580BF621"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163.</w:t>
      </w:r>
    </w:p>
  </w:footnote>
  <w:footnote w:id="48">
    <w:p w14:paraId="0EAE9758" w14:textId="5DEE2661"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164.</w:t>
      </w:r>
    </w:p>
  </w:footnote>
  <w:footnote w:id="49">
    <w:p w14:paraId="5FF7F665" w14:textId="144341A4"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la OIT.</w:t>
      </w:r>
    </w:p>
  </w:footnote>
  <w:footnote w:id="50">
    <w:p w14:paraId="1429753B" w14:textId="7339E15B"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164.</w:t>
      </w:r>
    </w:p>
  </w:footnote>
  <w:footnote w:id="51">
    <w:p w14:paraId="60D12B47" w14:textId="0E87436B"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165.</w:t>
      </w:r>
    </w:p>
  </w:footnote>
  <w:footnote w:id="52">
    <w:p w14:paraId="4699642F" w14:textId="76320DF3"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Artículo 38 del Estatuto de la Corte Internacional de Justicia: “</w:t>
      </w:r>
      <w:r w:rsidRPr="00A63F1B">
        <w:rPr>
          <w:rFonts w:ascii="Verdana" w:hAnsi="Verdana"/>
          <w:i/>
          <w:iCs/>
          <w:sz w:val="16"/>
          <w:szCs w:val="16"/>
          <w:lang w:val="es-ES"/>
        </w:rPr>
        <w:t>La Corte, cuya función es decidir conforme al derecho internacional las controversias que le sean sometidas, deberá aplicar: a. las convenciones internacionales, sean generales o particulares, que establecen reglas expresamente reconocidas por los Estados litigantes; h.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ex aequo et bono, si las partes así lo convinieren.”</w:t>
      </w:r>
    </w:p>
  </w:footnote>
  <w:footnote w:id="53">
    <w:p w14:paraId="790C584A" w14:textId="794E1850"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166 de la Sentencia.</w:t>
      </w:r>
    </w:p>
  </w:footnote>
  <w:footnote w:id="54">
    <w:p w14:paraId="5753802F" w14:textId="4407AAC6"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i/>
          <w:iCs/>
          <w:sz w:val="16"/>
          <w:szCs w:val="16"/>
          <w:lang w:val="es-ES"/>
        </w:rPr>
        <w:t>Idem</w:t>
      </w:r>
      <w:proofErr w:type="spellEnd"/>
      <w:r w:rsidRPr="00A63F1B">
        <w:rPr>
          <w:rFonts w:ascii="Verdana" w:hAnsi="Verdana"/>
          <w:sz w:val="16"/>
          <w:szCs w:val="16"/>
          <w:lang w:val="es-ES"/>
        </w:rPr>
        <w:t>.</w:t>
      </w:r>
    </w:p>
  </w:footnote>
  <w:footnote w:id="55">
    <w:p w14:paraId="1DBB3AE1" w14:textId="67877394"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167.</w:t>
      </w:r>
    </w:p>
  </w:footnote>
  <w:footnote w:id="56">
    <w:p w14:paraId="0A07C4F8" w14:textId="5269EF7F"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 xml:space="preserve">Párr. 162. </w:t>
      </w:r>
    </w:p>
  </w:footnote>
  <w:footnote w:id="57">
    <w:p w14:paraId="742AE4C5" w14:textId="4515C935"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161.</w:t>
      </w:r>
    </w:p>
  </w:footnote>
  <w:footnote w:id="58">
    <w:p w14:paraId="60A24DC1" w14:textId="3E7B1CF9" w:rsidR="00843233" w:rsidRPr="00A63F1B" w:rsidRDefault="00843233" w:rsidP="00BC43BA">
      <w:pPr>
        <w:snapToGrid w:val="0"/>
        <w:spacing w:line="240" w:lineRule="auto"/>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sz w:val="16"/>
          <w:szCs w:val="16"/>
          <w:lang w:val="es-ES"/>
        </w:rPr>
        <w:t>Párrs</w:t>
      </w:r>
      <w:proofErr w:type="spellEnd"/>
      <w:r w:rsidRPr="00A63F1B">
        <w:rPr>
          <w:rFonts w:ascii="Verdana" w:hAnsi="Verdana"/>
          <w:sz w:val="16"/>
          <w:szCs w:val="16"/>
          <w:lang w:val="es-ES"/>
        </w:rPr>
        <w:t>. 2 y 3 de Preámbulo:</w:t>
      </w:r>
      <w:r w:rsidRPr="00A63F1B">
        <w:rPr>
          <w:rFonts w:ascii="Verdana" w:hAnsi="Verdana"/>
          <w:i/>
          <w:iCs/>
          <w:sz w:val="16"/>
          <w:szCs w:val="16"/>
          <w:lang w:val="es-ES"/>
        </w:rPr>
        <w:t xml:space="preserve"> “Reconociendo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14:paraId="195DB799" w14:textId="6FD4C992"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i/>
          <w:iCs/>
          <w:sz w:val="16"/>
          <w:szCs w:val="16"/>
          <w:lang w:val="es-ES"/>
        </w:rPr>
        <w:t>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footnote>
  <w:footnote w:id="59">
    <w:p w14:paraId="538AF55C" w14:textId="5145E5A4"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xml:space="preserve">, Nota N° 23. </w:t>
      </w:r>
    </w:p>
  </w:footnote>
  <w:footnote w:id="60">
    <w:p w14:paraId="00EDC163" w14:textId="46C27DAF" w:rsidR="00843233" w:rsidRPr="00A63F1B" w:rsidRDefault="00843233" w:rsidP="00BC43BA">
      <w:pPr>
        <w:pStyle w:val="NormalWeb"/>
        <w:snapToGrid w:val="0"/>
        <w:spacing w:line="240" w:lineRule="auto"/>
        <w:ind w:left="-270" w:right="-162"/>
        <w:rPr>
          <w:rFonts w:ascii="Verdana" w:eastAsia="Times New Roman" w:hAnsi="Verdana" w:cs="Tahoma"/>
          <w:i/>
          <w:iCs/>
          <w:sz w:val="16"/>
          <w:szCs w:val="16"/>
          <w:lang w:val="es-ES" w:eastAsia="es-CR"/>
        </w:rPr>
      </w:pPr>
      <w:r w:rsidRPr="00A63F1B">
        <w:rPr>
          <w:rStyle w:val="Refdenotaalpie"/>
          <w:rFonts w:ascii="Verdana" w:hAnsi="Verdana"/>
          <w:i/>
          <w:iCs/>
          <w:sz w:val="16"/>
          <w:szCs w:val="16"/>
          <w:lang w:val="es-ES"/>
        </w:rPr>
        <w:footnoteRef/>
      </w:r>
      <w:r w:rsidRPr="00A63F1B">
        <w:rPr>
          <w:rFonts w:ascii="Verdana" w:hAnsi="Verdana"/>
          <w:i/>
          <w:iCs/>
          <w:sz w:val="16"/>
          <w:szCs w:val="16"/>
          <w:lang w:val="es-ES"/>
        </w:rPr>
        <w:t xml:space="preserve"> </w:t>
      </w:r>
      <w:r w:rsidRPr="00A63F1B">
        <w:rPr>
          <w:rFonts w:ascii="Verdana" w:hAnsi="Verdana"/>
          <w:i/>
          <w:iCs/>
          <w:sz w:val="16"/>
          <w:szCs w:val="16"/>
          <w:lang w:val="es-ES"/>
        </w:rPr>
        <w:tab/>
        <w:t>“</w:t>
      </w:r>
      <w:r w:rsidRPr="00A63F1B">
        <w:rPr>
          <w:rFonts w:ascii="Verdana" w:eastAsia="Times New Roman" w:hAnsi="Verdana" w:cs="Tahoma"/>
          <w:i/>
          <w:iCs/>
          <w:sz w:val="16"/>
          <w:szCs w:val="16"/>
          <w:lang w:val="es-ES" w:eastAsia="es-CR"/>
        </w:rPr>
        <w:t>Normas de Interpretación</w:t>
      </w:r>
      <w:r w:rsidRPr="00A63F1B">
        <w:rPr>
          <w:rFonts w:ascii="Verdana" w:eastAsia="Times New Roman" w:hAnsi="Verdana" w:cs="Tahoma"/>
          <w:b/>
          <w:bCs/>
          <w:i/>
          <w:iCs/>
          <w:sz w:val="16"/>
          <w:szCs w:val="16"/>
          <w:lang w:val="es-ES" w:eastAsia="es-CR"/>
        </w:rPr>
        <w:t xml:space="preserve">. </w:t>
      </w:r>
      <w:r w:rsidRPr="00A63F1B">
        <w:rPr>
          <w:rFonts w:ascii="Verdana" w:eastAsia="Times New Roman" w:hAnsi="Verdana" w:cs="Tahoma"/>
          <w:i/>
          <w:iCs/>
          <w:sz w:val="16"/>
          <w:szCs w:val="16"/>
          <w:lang w:val="es-ES" w:eastAsia="es-CR"/>
        </w:rPr>
        <w:t>Ninguna disposición de la presente Convención puede ser interpretada en el sentido de:</w:t>
      </w:r>
    </w:p>
    <w:p w14:paraId="3C20A9F6"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a) permitir a alguno de los Estados Partes, grupo o persona, suprimir el goce y ejercicio de los derechos y libertades reconocidos en la Convención o limitarlos en mayor medida que la prevista en ella;</w:t>
      </w:r>
    </w:p>
    <w:p w14:paraId="4C2528A5"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b) limitar el goce y ejercicio de cualquier derecho o libertad que pueda estar reconocido de acuerdo con las leyes de cualquiera de los Estados Partes o de acuerdo con otra convención en que sea parte uno de dichos Estados;</w:t>
      </w:r>
    </w:p>
    <w:p w14:paraId="489524EC" w14:textId="77777777" w:rsidR="00843233" w:rsidRPr="00A63F1B" w:rsidRDefault="00843233" w:rsidP="00BC43BA">
      <w:pPr>
        <w:snapToGrid w:val="0"/>
        <w:spacing w:line="240" w:lineRule="auto"/>
        <w:ind w:left="-270" w:right="-162"/>
        <w:rPr>
          <w:rFonts w:ascii="Verdana" w:eastAsia="Times New Roman" w:hAnsi="Verdana" w:cs="Tahoma"/>
          <w:i/>
          <w:iCs/>
          <w:sz w:val="16"/>
          <w:szCs w:val="16"/>
          <w:lang w:val="es-ES" w:eastAsia="es-CR"/>
        </w:rPr>
      </w:pPr>
      <w:r w:rsidRPr="00A63F1B">
        <w:rPr>
          <w:rFonts w:ascii="Verdana" w:eastAsia="Times New Roman" w:hAnsi="Verdana" w:cs="Tahoma"/>
          <w:i/>
          <w:iCs/>
          <w:sz w:val="16"/>
          <w:szCs w:val="16"/>
          <w:lang w:val="es-ES" w:eastAsia="es-CR"/>
        </w:rPr>
        <w:t> c) excluir otros derechos y garantías que son inherentes al ser humano o que se derivan de la forma democrática representativa de gobierno, y</w:t>
      </w:r>
    </w:p>
    <w:p w14:paraId="47313FED" w14:textId="0187AB4F" w:rsidR="00843233" w:rsidRPr="00A63F1B" w:rsidRDefault="00843233" w:rsidP="00BC43BA">
      <w:pPr>
        <w:snapToGrid w:val="0"/>
        <w:spacing w:line="240" w:lineRule="auto"/>
        <w:ind w:left="-270" w:right="-162"/>
        <w:rPr>
          <w:rFonts w:ascii="Verdana" w:hAnsi="Verdana"/>
          <w:sz w:val="16"/>
          <w:szCs w:val="16"/>
          <w:lang w:val="es-ES"/>
        </w:rPr>
      </w:pPr>
      <w:r w:rsidRPr="00A63F1B">
        <w:rPr>
          <w:rFonts w:ascii="Verdana" w:eastAsia="Times New Roman" w:hAnsi="Verdana" w:cs="Tahoma"/>
          <w:i/>
          <w:iCs/>
          <w:sz w:val="16"/>
          <w:szCs w:val="16"/>
          <w:lang w:val="es-ES" w:eastAsia="es-CR"/>
        </w:rPr>
        <w:t> d) excluir o limitar el efecto que puedan producir la Declaración Americana de Derechos y Deberes del Hombre y otros actos internacionales de la misma naturaleza.</w:t>
      </w:r>
    </w:p>
  </w:footnote>
  <w:footnote w:id="61">
    <w:p w14:paraId="40C558E1" w14:textId="4CC3AA4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158.</w:t>
      </w:r>
    </w:p>
  </w:footnote>
  <w:footnote w:id="62">
    <w:p w14:paraId="0D7C8791" w14:textId="09691316"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sz w:val="16"/>
          <w:szCs w:val="16"/>
          <w:lang w:val="es-ES"/>
        </w:rPr>
        <w:t>Párrs</w:t>
      </w:r>
      <w:proofErr w:type="spellEnd"/>
      <w:r w:rsidRPr="00A63F1B">
        <w:rPr>
          <w:rFonts w:ascii="Verdana" w:hAnsi="Verdana"/>
          <w:sz w:val="16"/>
          <w:szCs w:val="16"/>
          <w:lang w:val="es-ES"/>
        </w:rPr>
        <w:t>. 150, 151 y 152.</w:t>
      </w:r>
    </w:p>
  </w:footnote>
  <w:footnote w:id="63">
    <w:p w14:paraId="22597569" w14:textId="1F0DDA08"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156.</w:t>
      </w:r>
    </w:p>
  </w:footnote>
  <w:footnote w:id="64">
    <w:p w14:paraId="7D6DFFF6" w14:textId="717230BB"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155.</w:t>
      </w:r>
    </w:p>
  </w:footnote>
  <w:footnote w:id="65">
    <w:p w14:paraId="71426998" w14:textId="44C46F3E"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 del Preámbulo.</w:t>
      </w:r>
    </w:p>
  </w:footnote>
  <w:footnote w:id="66">
    <w:p w14:paraId="0ED1C521" w14:textId="3EEC7A5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xml:space="preserve"> Nota N° 23.</w:t>
      </w:r>
    </w:p>
  </w:footnote>
  <w:footnote w:id="67">
    <w:p w14:paraId="5A3AB22B" w14:textId="111EF74A"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172.</w:t>
      </w:r>
    </w:p>
  </w:footnote>
  <w:footnote w:id="68">
    <w:p w14:paraId="674FB2A0" w14:textId="7DADDC30"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i/>
          <w:iCs/>
          <w:sz w:val="16"/>
          <w:szCs w:val="16"/>
          <w:lang w:val="es-ES"/>
        </w:rPr>
        <w:t>Idem</w:t>
      </w:r>
      <w:proofErr w:type="spellEnd"/>
      <w:r w:rsidRPr="00A63F1B">
        <w:rPr>
          <w:rFonts w:ascii="Verdana" w:hAnsi="Verdana"/>
          <w:i/>
          <w:iCs/>
          <w:sz w:val="16"/>
          <w:szCs w:val="16"/>
          <w:lang w:val="es-ES"/>
        </w:rPr>
        <w:t>.</w:t>
      </w:r>
    </w:p>
  </w:footnote>
  <w:footnote w:id="69">
    <w:p w14:paraId="52196EC1" w14:textId="06A2CC71" w:rsidR="00843233" w:rsidRPr="00A63F1B" w:rsidRDefault="00843233" w:rsidP="00BC43BA">
      <w:pPr>
        <w:snapToGrid w:val="0"/>
        <w:spacing w:line="240" w:lineRule="auto"/>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31</w:t>
      </w:r>
      <w:bookmarkStart w:id="24" w:name="_Hlk34664244"/>
      <w:bookmarkStart w:id="25" w:name="_Hlk34665139"/>
      <w:r w:rsidRPr="00A63F1B">
        <w:rPr>
          <w:rFonts w:ascii="Verdana" w:hAnsi="Verdana"/>
          <w:sz w:val="16"/>
          <w:szCs w:val="16"/>
          <w:lang w:val="es-ES"/>
        </w:rPr>
        <w:t>: “</w:t>
      </w:r>
      <w:r w:rsidRPr="00A63F1B">
        <w:rPr>
          <w:rFonts w:ascii="Verdana" w:hAnsi="Verdana"/>
          <w:i/>
          <w:iCs/>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bookmarkEnd w:id="24"/>
    <w:bookmarkEnd w:id="25"/>
    <w:p w14:paraId="34BAD32E" w14:textId="77777777"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sz w:val="16"/>
          <w:szCs w:val="16"/>
          <w:lang w:val="es-ES"/>
        </w:rPr>
        <w:t>Art. 76:</w:t>
      </w:r>
      <w:r w:rsidRPr="00A63F1B">
        <w:rPr>
          <w:rFonts w:ascii="Verdana" w:hAnsi="Verdana"/>
          <w:i/>
          <w:iCs/>
          <w:sz w:val="16"/>
          <w:szCs w:val="16"/>
          <w:lang w:val="es-ES"/>
        </w:rPr>
        <w:t xml:space="preserve"> “1. Cualquier Estado parte directamente y la Comisión o la Corte por conducto del Secretario General, pueden someter a la Asamblea General, para lo que estime conveniente, una propuesta de enmienda a esta Convención.</w:t>
      </w:r>
    </w:p>
    <w:p w14:paraId="7E446938" w14:textId="77777777"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i/>
          <w:iCs/>
          <w:sz w:val="16"/>
          <w:szCs w:val="16"/>
          <w:lang w:val="es-ES"/>
        </w:rPr>
        <w:t xml:space="preserve"> 2. Las enmiendas entrarán en vigor para los Estados </w:t>
      </w:r>
      <w:proofErr w:type="spellStart"/>
      <w:r w:rsidRPr="00A63F1B">
        <w:rPr>
          <w:rFonts w:ascii="Verdana" w:hAnsi="Verdana"/>
          <w:i/>
          <w:iCs/>
          <w:sz w:val="16"/>
          <w:szCs w:val="16"/>
          <w:lang w:val="es-ES"/>
        </w:rPr>
        <w:t>ratificantes</w:t>
      </w:r>
      <w:proofErr w:type="spellEnd"/>
      <w:r w:rsidRPr="00A63F1B">
        <w:rPr>
          <w:rFonts w:ascii="Verdana" w:hAnsi="Verdana"/>
          <w:i/>
          <w:iCs/>
          <w:sz w:val="16"/>
          <w:szCs w:val="16"/>
          <w:lang w:val="es-ES"/>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14:paraId="21857D8F" w14:textId="77777777" w:rsidR="00843233" w:rsidRPr="00A63F1B" w:rsidRDefault="00843233" w:rsidP="00BC43BA">
      <w:pPr>
        <w:snapToGrid w:val="0"/>
        <w:spacing w:line="240" w:lineRule="auto"/>
        <w:ind w:left="-270" w:right="-162"/>
        <w:rPr>
          <w:rFonts w:ascii="Verdana" w:hAnsi="Verdana"/>
          <w:i/>
          <w:iCs/>
          <w:sz w:val="16"/>
          <w:szCs w:val="16"/>
          <w:lang w:val="es-ES"/>
        </w:rPr>
      </w:pPr>
      <w:r w:rsidRPr="00A63F1B">
        <w:rPr>
          <w:rFonts w:ascii="Verdana" w:hAnsi="Verdana"/>
          <w:sz w:val="16"/>
          <w:szCs w:val="16"/>
          <w:lang w:val="es-ES"/>
        </w:rPr>
        <w:t>Art. 77:</w:t>
      </w:r>
      <w:r w:rsidRPr="00A63F1B">
        <w:rPr>
          <w:rFonts w:ascii="Verdana" w:hAnsi="Verdana"/>
          <w:i/>
          <w:iCs/>
          <w:sz w:val="16"/>
          <w:szCs w:val="16"/>
          <w:lang w:val="es-ES"/>
        </w:rPr>
        <w:t xml:space="preserve"> “1.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14:paraId="2DAE9929" w14:textId="7EA9D361" w:rsidR="00843233" w:rsidRPr="00A63F1B" w:rsidRDefault="00843233" w:rsidP="00BC43BA">
      <w:pPr>
        <w:snapToGrid w:val="0"/>
        <w:spacing w:line="240" w:lineRule="auto"/>
        <w:ind w:left="-270" w:right="-162"/>
        <w:rPr>
          <w:rFonts w:ascii="Verdana" w:hAnsi="Verdana"/>
          <w:sz w:val="16"/>
          <w:szCs w:val="16"/>
          <w:lang w:val="es-ES"/>
        </w:rPr>
      </w:pPr>
      <w:r w:rsidRPr="00A63F1B">
        <w:rPr>
          <w:rFonts w:ascii="Verdana" w:hAnsi="Verdana"/>
          <w:i/>
          <w:iCs/>
          <w:sz w:val="16"/>
          <w:szCs w:val="16"/>
          <w:lang w:val="es-ES"/>
        </w:rPr>
        <w:t xml:space="preserve"> 2. Cada protocolo debe fijar las modalidades de su entrada en vigor, y se aplicará sólo entre los Estados Partes en el mismo.”</w:t>
      </w:r>
    </w:p>
  </w:footnote>
  <w:footnote w:id="70">
    <w:p w14:paraId="129F565A" w14:textId="541F365C"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Cfr.</w:t>
      </w:r>
      <w:r w:rsidRPr="00A63F1B">
        <w:rPr>
          <w:rFonts w:ascii="Verdana" w:hAnsi="Verdana"/>
          <w:sz w:val="16"/>
          <w:szCs w:val="16"/>
          <w:lang w:val="es-ES"/>
        </w:rPr>
        <w:t xml:space="preserve"> Actas de la Conferencia Especializada Interamericana sobre Derechos Humanos, 7 a 22 de noviembre de 1969, OEA/</w:t>
      </w:r>
      <w:proofErr w:type="spellStart"/>
      <w:r w:rsidRPr="00A63F1B">
        <w:rPr>
          <w:rFonts w:ascii="Verdana" w:hAnsi="Verdana"/>
          <w:sz w:val="16"/>
          <w:szCs w:val="16"/>
          <w:lang w:val="es-ES"/>
        </w:rPr>
        <w:t>Ser.K</w:t>
      </w:r>
      <w:proofErr w:type="spellEnd"/>
      <w:r w:rsidRPr="00A63F1B">
        <w:rPr>
          <w:rFonts w:ascii="Verdana" w:hAnsi="Verdana"/>
          <w:sz w:val="16"/>
          <w:szCs w:val="16"/>
          <w:lang w:val="es-ES"/>
        </w:rPr>
        <w:t>/XVI/1.2, p. 318.</w:t>
      </w:r>
    </w:p>
  </w:footnote>
  <w:footnote w:id="71">
    <w:p w14:paraId="42FEB7C4" w14:textId="4C7546A8"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Cfr.</w:t>
      </w:r>
      <w:r w:rsidRPr="00A63F1B">
        <w:rPr>
          <w:rFonts w:ascii="Verdana" w:hAnsi="Verdana"/>
          <w:sz w:val="16"/>
          <w:szCs w:val="16"/>
          <w:lang w:val="es-ES"/>
        </w:rPr>
        <w:t xml:space="preserve"> Actas de la Conferencia Especializada Interamericana sobre Derechos Humanos, 7 a 22 de noviembre de 1969, OEA/</w:t>
      </w:r>
      <w:proofErr w:type="spellStart"/>
      <w:r w:rsidRPr="00A63F1B">
        <w:rPr>
          <w:rFonts w:ascii="Verdana" w:hAnsi="Verdana"/>
          <w:sz w:val="16"/>
          <w:szCs w:val="16"/>
          <w:lang w:val="es-ES"/>
        </w:rPr>
        <w:t>Ser.K</w:t>
      </w:r>
      <w:proofErr w:type="spellEnd"/>
      <w:r w:rsidRPr="00A63F1B">
        <w:rPr>
          <w:rFonts w:ascii="Verdana" w:hAnsi="Verdana"/>
          <w:sz w:val="16"/>
          <w:szCs w:val="16"/>
          <w:lang w:val="es-ES"/>
        </w:rPr>
        <w:t>/XVI/1.2, p. 448.</w:t>
      </w:r>
    </w:p>
  </w:footnote>
  <w:footnote w:id="72">
    <w:p w14:paraId="7074DED3" w14:textId="4A246FB3"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Cfr.</w:t>
      </w:r>
      <w:r w:rsidRPr="00A63F1B">
        <w:rPr>
          <w:rFonts w:ascii="Verdana" w:hAnsi="Verdana"/>
          <w:sz w:val="16"/>
          <w:szCs w:val="16"/>
          <w:lang w:val="es-ES"/>
        </w:rPr>
        <w:t xml:space="preserve"> Voto concurrente del Juez Alberto Pérez </w:t>
      </w:r>
      <w:proofErr w:type="spellStart"/>
      <w:r w:rsidRPr="00A63F1B">
        <w:rPr>
          <w:rFonts w:ascii="Verdana" w:hAnsi="Verdana"/>
          <w:sz w:val="16"/>
          <w:szCs w:val="16"/>
          <w:lang w:val="es-ES"/>
        </w:rPr>
        <w:t>Pérez</w:t>
      </w:r>
      <w:proofErr w:type="spellEnd"/>
      <w:r w:rsidRPr="00A63F1B">
        <w:rPr>
          <w:rFonts w:ascii="Verdana" w:hAnsi="Verdana"/>
          <w:sz w:val="16"/>
          <w:szCs w:val="16"/>
          <w:lang w:val="es-ES"/>
        </w:rPr>
        <w:t xml:space="preserve">, </w:t>
      </w:r>
      <w:r w:rsidRPr="00A63F1B">
        <w:rPr>
          <w:rFonts w:ascii="Verdana" w:hAnsi="Verdana"/>
          <w:i/>
          <w:sz w:val="16"/>
          <w:szCs w:val="16"/>
          <w:lang w:val="es-ES"/>
        </w:rPr>
        <w:t xml:space="preserve">Caso Gonzales </w:t>
      </w:r>
      <w:proofErr w:type="spellStart"/>
      <w:r w:rsidRPr="00A63F1B">
        <w:rPr>
          <w:rFonts w:ascii="Verdana" w:hAnsi="Verdana"/>
          <w:i/>
          <w:sz w:val="16"/>
          <w:szCs w:val="16"/>
          <w:lang w:val="es-ES"/>
        </w:rPr>
        <w:t>Lluy</w:t>
      </w:r>
      <w:proofErr w:type="spellEnd"/>
      <w:r w:rsidRPr="00A63F1B">
        <w:rPr>
          <w:rFonts w:ascii="Verdana" w:hAnsi="Verdana"/>
          <w:i/>
          <w:sz w:val="16"/>
          <w:szCs w:val="16"/>
          <w:lang w:val="es-ES"/>
        </w:rPr>
        <w:t xml:space="preserve"> y Otros Vs. Ecuador,</w:t>
      </w:r>
      <w:r w:rsidRPr="00A63F1B">
        <w:rPr>
          <w:rFonts w:ascii="Verdana" w:hAnsi="Verdana"/>
          <w:sz w:val="16"/>
          <w:szCs w:val="16"/>
          <w:lang w:val="es-ES"/>
        </w:rPr>
        <w:t xml:space="preserve"> Sentencia de 1 de septiembre de 2015, (Excepciones Preliminares, Fondo, Reparaciones y Costas).</w:t>
      </w:r>
    </w:p>
  </w:footnote>
  <w:footnote w:id="73">
    <w:p w14:paraId="34D8D3EF" w14:textId="72DE099B"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Artículo 45 de la Carta de la OEA: “</w:t>
      </w:r>
      <w:r w:rsidRPr="00A63F1B">
        <w:rPr>
          <w:rFonts w:ascii="Verdana" w:hAnsi="Verdana"/>
          <w:i/>
          <w:iCs/>
          <w:sz w:val="16"/>
          <w:szCs w:val="16"/>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 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 […].</w:t>
      </w:r>
    </w:p>
  </w:footnote>
  <w:footnote w:id="74">
    <w:p w14:paraId="5C1D4EA9" w14:textId="4B236882" w:rsidR="00843233" w:rsidRPr="00A63F1B" w:rsidRDefault="00843233" w:rsidP="00BC43BA">
      <w:pPr>
        <w:pStyle w:val="Textonotapie"/>
        <w:snapToGrid w:val="0"/>
        <w:ind w:left="-270" w:right="-162"/>
        <w:rPr>
          <w:rFonts w:ascii="Verdana" w:hAnsi="Verdana"/>
          <w:bCs/>
          <w:sz w:val="16"/>
          <w:szCs w:val="16"/>
          <w:lang w:val="es-ES"/>
        </w:rPr>
      </w:pPr>
      <w:r w:rsidRPr="00A63F1B">
        <w:rPr>
          <w:rStyle w:val="Refdenotaalpie"/>
          <w:rFonts w:ascii="Verdana" w:hAnsi="Verdana"/>
          <w:sz w:val="16"/>
          <w:szCs w:val="16"/>
          <w:lang w:val="es-ES"/>
        </w:rPr>
        <w:footnoteRef/>
      </w:r>
      <w:r w:rsidRPr="00A63F1B">
        <w:rPr>
          <w:rFonts w:ascii="Verdana" w:hAnsi="Verdana"/>
          <w:bCs/>
          <w:sz w:val="16"/>
          <w:szCs w:val="16"/>
          <w:lang w:val="es-ES"/>
        </w:rPr>
        <w:t xml:space="preserve"> </w:t>
      </w:r>
      <w:r w:rsidRPr="00A63F1B">
        <w:rPr>
          <w:rFonts w:ascii="Verdana" w:hAnsi="Verdana"/>
          <w:bCs/>
          <w:sz w:val="16"/>
          <w:szCs w:val="16"/>
          <w:lang w:val="es-ES"/>
        </w:rPr>
        <w:tab/>
        <w:t xml:space="preserve">Artículo 46 de la Carta de la OEA: </w:t>
      </w:r>
      <w:r w:rsidRPr="00A63F1B">
        <w:rPr>
          <w:rFonts w:ascii="Verdana" w:hAnsi="Verdana"/>
          <w:bCs/>
          <w:i/>
          <w:iCs/>
          <w:sz w:val="16"/>
          <w:szCs w:val="16"/>
          <w:lang w:val="es-ES"/>
        </w:rPr>
        <w:t>“Los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footnote>
  <w:footnote w:id="75">
    <w:p w14:paraId="7C81E098" w14:textId="286D1DF7" w:rsidR="00843233" w:rsidRPr="00A63F1B" w:rsidRDefault="00843233" w:rsidP="00BC43BA">
      <w:pPr>
        <w:pStyle w:val="Textonotapie"/>
        <w:snapToGrid w:val="0"/>
        <w:ind w:left="-270" w:right="-162"/>
        <w:rPr>
          <w:rFonts w:ascii="Verdana" w:hAnsi="Verdana"/>
          <w:b/>
          <w:bCs/>
          <w:sz w:val="16"/>
          <w:szCs w:val="16"/>
          <w:lang w:val="es-ES"/>
        </w:rPr>
      </w:pPr>
      <w:r w:rsidRPr="00A63F1B">
        <w:rPr>
          <w:rStyle w:val="Refdenotaalpie"/>
          <w:rFonts w:ascii="Verdana" w:hAnsi="Verdana"/>
          <w:sz w:val="16"/>
          <w:szCs w:val="16"/>
          <w:lang w:val="es-ES"/>
        </w:rPr>
        <w:footnoteRef/>
      </w:r>
      <w:r w:rsidRPr="00A63F1B">
        <w:rPr>
          <w:rFonts w:ascii="Verdana" w:hAnsi="Verdana"/>
          <w:bCs/>
          <w:sz w:val="16"/>
          <w:szCs w:val="16"/>
          <w:lang w:val="es-ES"/>
        </w:rPr>
        <w:t xml:space="preserve"> </w:t>
      </w:r>
      <w:r w:rsidRPr="00A63F1B">
        <w:rPr>
          <w:rFonts w:ascii="Verdana" w:hAnsi="Verdana"/>
          <w:bCs/>
          <w:sz w:val="16"/>
          <w:szCs w:val="16"/>
          <w:lang w:val="es-ES"/>
        </w:rPr>
        <w:tab/>
        <w:t xml:space="preserve">Artículo 34.g de la Carta de la OEA: </w:t>
      </w:r>
      <w:r w:rsidRPr="00A63F1B">
        <w:rPr>
          <w:rFonts w:ascii="Verdana" w:hAnsi="Verdana"/>
          <w:bCs/>
          <w:i/>
          <w:iCs/>
          <w:sz w:val="16"/>
          <w:szCs w:val="16"/>
          <w:lang w:val="es-ES"/>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g) Salarios justos, oportunidades de empleo y condiciones de trabajo aceptables para todos</w:t>
      </w:r>
      <w:r w:rsidRPr="00A63F1B">
        <w:rPr>
          <w:rFonts w:ascii="Verdana" w:hAnsi="Verdana"/>
          <w:bCs/>
          <w:sz w:val="16"/>
          <w:szCs w:val="16"/>
          <w:lang w:val="es-ES"/>
        </w:rPr>
        <w:t>.”</w:t>
      </w:r>
    </w:p>
  </w:footnote>
  <w:footnote w:id="76">
    <w:p w14:paraId="7BBE2F19" w14:textId="0C0526EE"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155.</w:t>
      </w:r>
    </w:p>
  </w:footnote>
  <w:footnote w:id="77">
    <w:p w14:paraId="56693098" w14:textId="7D23654B"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i/>
          <w:iCs/>
          <w:sz w:val="16"/>
          <w:szCs w:val="16"/>
          <w:lang w:val="es-ES"/>
        </w:rPr>
        <w:t>Idem</w:t>
      </w:r>
      <w:proofErr w:type="spellEnd"/>
      <w:r w:rsidRPr="00A63F1B">
        <w:rPr>
          <w:rFonts w:ascii="Verdana" w:hAnsi="Verdana"/>
          <w:sz w:val="16"/>
          <w:szCs w:val="16"/>
          <w:lang w:val="es-ES"/>
        </w:rPr>
        <w:t>.</w:t>
      </w:r>
    </w:p>
  </w:footnote>
  <w:footnote w:id="78">
    <w:p w14:paraId="14C794BD" w14:textId="51F1E2E9"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161.</w:t>
      </w:r>
    </w:p>
  </w:footnote>
  <w:footnote w:id="79">
    <w:p w14:paraId="6D4F4C49" w14:textId="479AD771"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lo sucesivo, el Protocolo.</w:t>
      </w:r>
    </w:p>
  </w:footnote>
  <w:footnote w:id="80">
    <w:p w14:paraId="6E4072E0" w14:textId="1A47D8E1" w:rsidR="00843233" w:rsidRPr="00A63F1B" w:rsidRDefault="00843233" w:rsidP="00BC43BA">
      <w:pPr>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vertAlign w:val="superscript"/>
          <w:lang w:val="es-ES"/>
        </w:rPr>
        <w:t xml:space="preserve"> </w:t>
      </w:r>
      <w:r w:rsidRPr="00A63F1B">
        <w:rPr>
          <w:rFonts w:ascii="Verdana" w:hAnsi="Verdana"/>
          <w:sz w:val="16"/>
          <w:szCs w:val="16"/>
          <w:vertAlign w:val="superscript"/>
          <w:lang w:val="es-ES"/>
        </w:rPr>
        <w:tab/>
      </w:r>
      <w:r w:rsidRPr="00A63F1B">
        <w:rPr>
          <w:rFonts w:ascii="Verdana" w:hAnsi="Verdana"/>
          <w:i/>
          <w:iCs/>
          <w:sz w:val="16"/>
          <w:szCs w:val="16"/>
          <w:lang w:val="es-ES"/>
        </w:rPr>
        <w:t>Supra</w:t>
      </w:r>
      <w:r w:rsidRPr="00A63F1B">
        <w:rPr>
          <w:rFonts w:ascii="Verdana" w:hAnsi="Verdana"/>
          <w:sz w:val="16"/>
          <w:szCs w:val="16"/>
          <w:lang w:val="es-ES"/>
        </w:rPr>
        <w:t>, Nota N° 69.</w:t>
      </w:r>
    </w:p>
  </w:footnote>
  <w:footnote w:id="81">
    <w:p w14:paraId="3983FD60" w14:textId="569B07EB"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1: “</w:t>
      </w:r>
      <w:r w:rsidRPr="00A63F1B">
        <w:rPr>
          <w:rFonts w:ascii="Verdana" w:hAnsi="Verdana"/>
          <w:i/>
          <w:iCs/>
          <w:sz w:val="16"/>
          <w:szCs w:val="16"/>
          <w:lang w:val="es-ES"/>
        </w:rPr>
        <w:t>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5D3A2552" w14:textId="343300F7"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sz w:val="16"/>
          <w:szCs w:val="16"/>
          <w:lang w:val="es-ES"/>
        </w:rPr>
        <w:t>Art. 4</w:t>
      </w:r>
      <w:proofErr w:type="gramStart"/>
      <w:r w:rsidRPr="00A63F1B">
        <w:rPr>
          <w:rFonts w:ascii="Verdana" w:hAnsi="Verdana"/>
          <w:sz w:val="16"/>
          <w:szCs w:val="16"/>
          <w:lang w:val="es-ES"/>
        </w:rPr>
        <w:t>: ”</w:t>
      </w:r>
      <w:r w:rsidRPr="00A63F1B">
        <w:rPr>
          <w:rFonts w:ascii="Verdana" w:hAnsi="Verdana"/>
          <w:i/>
          <w:iCs/>
          <w:sz w:val="16"/>
          <w:szCs w:val="16"/>
          <w:lang w:val="es-ES"/>
        </w:rPr>
        <w:t>No</w:t>
      </w:r>
      <w:proofErr w:type="gramEnd"/>
      <w:r w:rsidRPr="00A63F1B">
        <w:rPr>
          <w:rFonts w:ascii="Verdana" w:hAnsi="Verdana"/>
          <w:i/>
          <w:iCs/>
          <w:sz w:val="16"/>
          <w:szCs w:val="16"/>
          <w:lang w:val="es-ES"/>
        </w:rPr>
        <w:t xml:space="preserve"> Admisión de Restricciones. No podrá restringirse o menoscabarse ninguno de los derechos reconocidos o vigentes en un Estado en virtud de su legislación interna o de convenciones internacionales, a pretexto de que el presente Protocolo no los reconoce o los reconoce en menor grado</w:t>
      </w:r>
      <w:r w:rsidRPr="00A63F1B">
        <w:rPr>
          <w:rFonts w:ascii="Verdana" w:hAnsi="Verdana"/>
          <w:sz w:val="16"/>
          <w:szCs w:val="16"/>
          <w:lang w:val="es-ES"/>
        </w:rPr>
        <w:t xml:space="preserve">.” </w:t>
      </w:r>
    </w:p>
  </w:footnote>
  <w:footnote w:id="82">
    <w:p w14:paraId="1AB6B440" w14:textId="23B8C140"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Arts. 2</w:t>
      </w:r>
      <w:proofErr w:type="gramStart"/>
      <w:r w:rsidRPr="00A63F1B">
        <w:rPr>
          <w:rFonts w:ascii="Verdana" w:hAnsi="Verdana"/>
          <w:i/>
          <w:iCs/>
          <w:sz w:val="16"/>
          <w:szCs w:val="16"/>
          <w:lang w:val="es-ES"/>
        </w:rPr>
        <w:t>: ”Obligación</w:t>
      </w:r>
      <w:proofErr w:type="gramEnd"/>
      <w:r w:rsidRPr="00A63F1B">
        <w:rPr>
          <w:rFonts w:ascii="Verdana" w:hAnsi="Verdana"/>
          <w:i/>
          <w:iCs/>
          <w:sz w:val="16"/>
          <w:szCs w:val="16"/>
          <w:lang w:val="es-ES"/>
        </w:rPr>
        <w:t xml:space="preserve"> de Adoptar Disposiciones de Derecho Interno. 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14:paraId="6E2DBF95" w14:textId="3E11BB04"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sz w:val="16"/>
          <w:szCs w:val="16"/>
          <w:lang w:val="es-ES"/>
        </w:rPr>
        <w:t>Art. 5: “</w:t>
      </w:r>
      <w:r w:rsidRPr="00A63F1B">
        <w:rPr>
          <w:rFonts w:ascii="Verdana" w:hAnsi="Verdana"/>
          <w:i/>
          <w:iCs/>
          <w:sz w:val="16"/>
          <w:szCs w:val="16"/>
          <w:lang w:val="es-ES"/>
        </w:rPr>
        <w:t>Alcance de las Restricciones y Limitaciones. Los Estados partes sólo podrán establecer restricciones y limitaciones al goce y ejercicio de los derechos establecidos en el presente Protocolo mediante leyes promulgadas con el objeto de preservar el bienestar general dentro de una sociedad democrática, en la medida que no contradigan el propósito y razón de los mismos”</w:t>
      </w:r>
    </w:p>
    <w:p w14:paraId="7C5B2062" w14:textId="01DA6C9A"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sz w:val="16"/>
          <w:szCs w:val="16"/>
          <w:lang w:val="es-ES"/>
        </w:rPr>
        <w:t>Art. 19.6: “</w:t>
      </w:r>
      <w:r w:rsidRPr="00A63F1B">
        <w:rPr>
          <w:rFonts w:ascii="Verdana" w:hAnsi="Verdana"/>
          <w:i/>
          <w:iCs/>
          <w:sz w:val="16"/>
          <w:szCs w:val="16"/>
          <w:lang w:val="es-ES"/>
        </w:rPr>
        <w:t>Medios de Protección.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footnote>
  <w:footnote w:id="83">
    <w:p w14:paraId="5AD35E69" w14:textId="0E8B32D0" w:rsidR="00843233" w:rsidRPr="00A63F1B" w:rsidRDefault="00843233" w:rsidP="00BC43BA">
      <w:pPr>
        <w:pStyle w:val="Textonotapie"/>
        <w:snapToGrid w:val="0"/>
        <w:ind w:left="-270" w:right="-162"/>
        <w:rPr>
          <w:rFonts w:ascii="Verdana" w:hAnsi="Verdana"/>
          <w:i/>
          <w:iCs/>
          <w:sz w:val="16"/>
          <w:szCs w:val="16"/>
          <w:lang w:val="es-ES"/>
        </w:rPr>
      </w:pPr>
      <w:r w:rsidRPr="00A63F1B">
        <w:rPr>
          <w:rStyle w:val="Refdenotaalpie"/>
          <w:rFonts w:ascii="Verdana" w:hAnsi="Verdana"/>
          <w:i/>
          <w:iCs/>
          <w:sz w:val="16"/>
          <w:szCs w:val="16"/>
          <w:lang w:val="es-ES"/>
        </w:rPr>
        <w:footnoteRef/>
      </w:r>
      <w:r w:rsidRPr="00A63F1B">
        <w:rPr>
          <w:rFonts w:ascii="Verdana" w:hAnsi="Verdana"/>
          <w:i/>
          <w:iCs/>
          <w:sz w:val="16"/>
          <w:szCs w:val="16"/>
          <w:lang w:val="es-ES"/>
        </w:rPr>
        <w:t xml:space="preserve"> </w:t>
      </w:r>
      <w:r w:rsidRPr="00A63F1B">
        <w:rPr>
          <w:rFonts w:ascii="Verdana" w:hAnsi="Verdana"/>
          <w:i/>
          <w:iCs/>
          <w:sz w:val="16"/>
          <w:szCs w:val="16"/>
          <w:lang w:val="es-ES"/>
        </w:rPr>
        <w:tab/>
        <w:t>Art. 3</w:t>
      </w:r>
      <w:proofErr w:type="gramStart"/>
      <w:r w:rsidRPr="00A63F1B">
        <w:rPr>
          <w:rFonts w:ascii="Verdana" w:hAnsi="Verdana"/>
          <w:i/>
          <w:iCs/>
          <w:sz w:val="16"/>
          <w:szCs w:val="16"/>
          <w:lang w:val="es-ES"/>
        </w:rPr>
        <w:t>: ”Obligación</w:t>
      </w:r>
      <w:proofErr w:type="gramEnd"/>
      <w:r w:rsidRPr="00A63F1B">
        <w:rPr>
          <w:rFonts w:ascii="Verdana" w:hAnsi="Verdana"/>
          <w:i/>
          <w:iCs/>
          <w:sz w:val="16"/>
          <w:szCs w:val="16"/>
          <w:lang w:val="es-ES"/>
        </w:rPr>
        <w:t xml:space="preserve"> de no Discriminación. 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p>
  </w:footnote>
  <w:footnote w:id="84">
    <w:p w14:paraId="3052ACA0" w14:textId="0D29066B"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19.1</w:t>
      </w:r>
      <w:proofErr w:type="gramStart"/>
      <w:r w:rsidRPr="00A63F1B">
        <w:rPr>
          <w:rFonts w:ascii="Verdana" w:hAnsi="Verdana"/>
          <w:sz w:val="16"/>
          <w:szCs w:val="16"/>
          <w:lang w:val="es-ES"/>
        </w:rPr>
        <w:t>: ”</w:t>
      </w:r>
      <w:r w:rsidRPr="00A63F1B">
        <w:rPr>
          <w:rFonts w:ascii="Verdana" w:hAnsi="Verdana"/>
          <w:i/>
          <w:iCs/>
          <w:sz w:val="16"/>
          <w:szCs w:val="16"/>
          <w:lang w:val="es-ES"/>
        </w:rPr>
        <w:t>Medios</w:t>
      </w:r>
      <w:proofErr w:type="gramEnd"/>
      <w:r w:rsidRPr="00A63F1B">
        <w:rPr>
          <w:rFonts w:ascii="Verdana" w:hAnsi="Verdana"/>
          <w:i/>
          <w:iCs/>
          <w:sz w:val="16"/>
          <w:szCs w:val="16"/>
          <w:lang w:val="es-ES"/>
        </w:rPr>
        <w:t xml:space="preserve"> de Protección 1. Los Estados partes en el presente Protocolo se comprometen a presentar, de conformidad con lo dispuesto por este artículo y por las correspondientes normas que al efecto deberá elaborar la Asamblea General de la Organización de los Estados Americanos, informes periódicos respecto de las medidas progresivas que hayan adoptado para asegurar el debido respeto de los derechos consagrados en el mismo Protocolo</w:t>
      </w:r>
      <w:r w:rsidRPr="00A63F1B">
        <w:rPr>
          <w:rFonts w:ascii="Verdana" w:hAnsi="Verdana"/>
          <w:sz w:val="16"/>
          <w:szCs w:val="16"/>
          <w:lang w:val="es-ES"/>
        </w:rPr>
        <w:t>.</w:t>
      </w:r>
    </w:p>
  </w:footnote>
  <w:footnote w:id="85">
    <w:p w14:paraId="6EB54EEA" w14:textId="49170AE0" w:rsidR="00843233" w:rsidRPr="00A63F1B" w:rsidRDefault="00843233" w:rsidP="00BC43BA">
      <w:pPr>
        <w:autoSpaceDE w:val="0"/>
        <w:autoSpaceDN w:val="0"/>
        <w:adjustRightInd w:val="0"/>
        <w:snapToGrid w:val="0"/>
        <w:spacing w:line="240" w:lineRule="auto"/>
        <w:ind w:left="-270" w:right="-162"/>
        <w:rPr>
          <w:rFonts w:ascii="Verdana" w:hAnsi="Verdana" w:cs="Arial,Bold"/>
          <w:bCs/>
          <w:i/>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cs="Arial,Bold"/>
          <w:bCs/>
          <w:i/>
          <w:sz w:val="16"/>
          <w:szCs w:val="16"/>
          <w:lang w:val="es-ES"/>
        </w:rPr>
        <w:t xml:space="preserve">Art. 19: “Medios de Protección.1. </w:t>
      </w:r>
      <w:r w:rsidRPr="00A63F1B">
        <w:rPr>
          <w:rFonts w:ascii="Verdana" w:hAnsi="Verdana" w:cs="Arial"/>
          <w:i/>
          <w:sz w:val="16"/>
          <w:szCs w:val="16"/>
          <w:lang w:val="es-ES"/>
        </w:rPr>
        <w:t>Los Estados partes en el presente Protocolo se comprometen a presentar, de conformidad con lo dispuesto por este artículo y por las correspondientes normas que al efecto deberá elaborar la Asamblea General de la Organización de los Estados Americanos, informes periódicos respecto de las medidas progresivas que hayan adoptado para asegurar el debido respeto de los derechos consagrados en el mismo Protocolo.</w:t>
      </w:r>
    </w:p>
    <w:p w14:paraId="3CA14A37" w14:textId="77777777" w:rsidR="00843233" w:rsidRPr="00A63F1B" w:rsidRDefault="00843233" w:rsidP="00BC43BA">
      <w:pPr>
        <w:autoSpaceDE w:val="0"/>
        <w:autoSpaceDN w:val="0"/>
        <w:adjustRightInd w:val="0"/>
        <w:snapToGrid w:val="0"/>
        <w:spacing w:line="240" w:lineRule="auto"/>
        <w:ind w:left="-270" w:right="-162"/>
        <w:rPr>
          <w:rFonts w:ascii="Verdana" w:hAnsi="Verdana" w:cs="Arial"/>
          <w:i/>
          <w:sz w:val="16"/>
          <w:szCs w:val="16"/>
          <w:lang w:val="es-ES"/>
        </w:rPr>
      </w:pPr>
      <w:r w:rsidRPr="00A63F1B">
        <w:rPr>
          <w:rFonts w:ascii="Verdana" w:hAnsi="Verdana" w:cs="Arial"/>
          <w:i/>
          <w:sz w:val="16"/>
          <w:szCs w:val="16"/>
          <w:lang w:val="es-ES"/>
        </w:rPr>
        <w:t>2. Todos los informes serán presentados al Secretario General de la Organización de los Estados Americanos quien los transmitirá al Consejo Interamericano Económico y Social y al Consejo Interamericano para la Educación, la Ciencia y la Cultura, a fin de que los examinen conforme a lo dispuesto en el presente artículo. El Secretario General enviará copia de tales informes a la Comisión Interamericana de Derechos Humanos.</w:t>
      </w:r>
    </w:p>
    <w:p w14:paraId="12A8E657" w14:textId="77777777" w:rsidR="00843233" w:rsidRPr="00A63F1B" w:rsidRDefault="00843233" w:rsidP="00BC43BA">
      <w:pPr>
        <w:autoSpaceDE w:val="0"/>
        <w:autoSpaceDN w:val="0"/>
        <w:adjustRightInd w:val="0"/>
        <w:snapToGrid w:val="0"/>
        <w:spacing w:line="240" w:lineRule="auto"/>
        <w:ind w:left="-270" w:right="-162"/>
        <w:rPr>
          <w:rFonts w:ascii="Verdana" w:hAnsi="Verdana" w:cs="Arial"/>
          <w:i/>
          <w:sz w:val="16"/>
          <w:szCs w:val="16"/>
          <w:lang w:val="es-ES"/>
        </w:rPr>
      </w:pPr>
      <w:r w:rsidRPr="00A63F1B">
        <w:rPr>
          <w:rFonts w:ascii="Verdana" w:hAnsi="Verdana" w:cs="Arial"/>
          <w:i/>
          <w:sz w:val="16"/>
          <w:szCs w:val="16"/>
          <w:lang w:val="es-ES"/>
        </w:rPr>
        <w:t>3. El Secretario General de la Organización de los Estados Americanos transmitirá también a los organismos especializados del sistema interamericano, de los cuales sean miembros los Estados partes en el presente Protocolo, copias de los informes enviados o de las partes pertinentes de éstos, en la medida en que tengan relación con materias que sean de la competencia de dichos organismos, conforme a sus instrumentos constitutivos.</w:t>
      </w:r>
    </w:p>
    <w:p w14:paraId="74996095" w14:textId="77777777" w:rsidR="00843233" w:rsidRPr="00A63F1B" w:rsidRDefault="00843233" w:rsidP="00BC43BA">
      <w:pPr>
        <w:autoSpaceDE w:val="0"/>
        <w:autoSpaceDN w:val="0"/>
        <w:adjustRightInd w:val="0"/>
        <w:snapToGrid w:val="0"/>
        <w:spacing w:line="240" w:lineRule="auto"/>
        <w:ind w:left="-270" w:right="-162"/>
        <w:rPr>
          <w:rFonts w:ascii="Verdana" w:hAnsi="Verdana" w:cs="Arial"/>
          <w:i/>
          <w:sz w:val="16"/>
          <w:szCs w:val="16"/>
          <w:lang w:val="es-ES"/>
        </w:rPr>
      </w:pPr>
      <w:r w:rsidRPr="00A63F1B">
        <w:rPr>
          <w:rFonts w:ascii="Verdana" w:hAnsi="Verdana" w:cs="Arial"/>
          <w:i/>
          <w:sz w:val="16"/>
          <w:szCs w:val="16"/>
          <w:lang w:val="es-ES"/>
        </w:rPr>
        <w:t>4. Los organismos especializados del sistema interamericano podrán presentar al Consejo Interamericano Económico y Social y al Consejo Interamericano para la Educación, la Ciencia y la Cultura informes relativos al cumplimiento de las disposiciones del presente Protocolo, en el campo de sus actividades.”</w:t>
      </w:r>
    </w:p>
    <w:p w14:paraId="3B1B312F" w14:textId="77777777" w:rsidR="00843233" w:rsidRPr="00A63F1B" w:rsidRDefault="00843233" w:rsidP="00BC43BA">
      <w:pPr>
        <w:autoSpaceDE w:val="0"/>
        <w:autoSpaceDN w:val="0"/>
        <w:adjustRightInd w:val="0"/>
        <w:snapToGrid w:val="0"/>
        <w:spacing w:line="240" w:lineRule="auto"/>
        <w:ind w:left="-270" w:right="-162"/>
        <w:rPr>
          <w:rFonts w:ascii="Verdana" w:hAnsi="Verdana" w:cs="Arial"/>
          <w:i/>
          <w:sz w:val="16"/>
          <w:szCs w:val="16"/>
          <w:lang w:val="es-ES"/>
        </w:rPr>
      </w:pPr>
      <w:r w:rsidRPr="00A63F1B">
        <w:rPr>
          <w:rFonts w:ascii="Verdana" w:hAnsi="Verdana" w:cs="Arial"/>
          <w:i/>
          <w:sz w:val="16"/>
          <w:szCs w:val="16"/>
          <w:lang w:val="es-ES"/>
        </w:rPr>
        <w:t>5. Los informes anuales que presenten a la Asamblea General el Consejo Interamericano Económico y Social y el Consejo Interamericano para la Educación, la Ciencia y la Cultura contendrán un resumen de la información recibida de los Estados partes en el presente Protocolo y de los organismos especializados acerca de las medidas progresivas adoptadas a fin de asegurar el respeto de los derechos reconocidos en el propio Protocolo y las recomendaciones de carácter general que al respecto se estimen pertinentes.</w:t>
      </w:r>
    </w:p>
    <w:p w14:paraId="1D3AB80F" w14:textId="77777777" w:rsidR="00843233" w:rsidRPr="00A63F1B" w:rsidRDefault="00843233" w:rsidP="00BC43BA">
      <w:pPr>
        <w:autoSpaceDE w:val="0"/>
        <w:autoSpaceDN w:val="0"/>
        <w:adjustRightInd w:val="0"/>
        <w:snapToGrid w:val="0"/>
        <w:spacing w:line="240" w:lineRule="auto"/>
        <w:ind w:left="-270" w:right="-162"/>
        <w:rPr>
          <w:rFonts w:ascii="Verdana" w:hAnsi="Verdana" w:cs="Arial"/>
          <w:i/>
          <w:sz w:val="16"/>
          <w:szCs w:val="16"/>
          <w:lang w:val="es-ES"/>
        </w:rPr>
      </w:pPr>
      <w:r w:rsidRPr="00A63F1B">
        <w:rPr>
          <w:rFonts w:ascii="Verdana" w:hAnsi="Verdana" w:cs="Arial"/>
          <w:i/>
          <w:sz w:val="16"/>
          <w:szCs w:val="16"/>
          <w:lang w:val="es-ES"/>
        </w:rPr>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14:paraId="70B3E513" w14:textId="77777777" w:rsidR="00843233" w:rsidRPr="00A63F1B" w:rsidRDefault="00843233" w:rsidP="00BC43BA">
      <w:pPr>
        <w:autoSpaceDE w:val="0"/>
        <w:autoSpaceDN w:val="0"/>
        <w:adjustRightInd w:val="0"/>
        <w:snapToGrid w:val="0"/>
        <w:spacing w:line="240" w:lineRule="auto"/>
        <w:ind w:left="-270" w:right="-162"/>
        <w:rPr>
          <w:rFonts w:ascii="Verdana" w:hAnsi="Verdana" w:cs="Arial"/>
          <w:i/>
          <w:sz w:val="16"/>
          <w:szCs w:val="16"/>
          <w:lang w:val="es-ES"/>
        </w:rPr>
      </w:pPr>
      <w:r w:rsidRPr="00A63F1B">
        <w:rPr>
          <w:rFonts w:ascii="Verdana" w:hAnsi="Verdana" w:cs="Arial"/>
          <w:i/>
          <w:sz w:val="16"/>
          <w:szCs w:val="16"/>
          <w:lang w:val="es-ES"/>
        </w:rPr>
        <w:t>7. Sin perjuicio de lo dispuesto en el párrafo anterior, la Comisión Interamericana de Derechos Humanos podrá formular las observaciones y recomendaciones que considere pertinentes sobre la situación de los derechos económicos, sociales y culturales establecidos en el presente Protocolo en todos o en algunos de los Estados partes, las que podrá incluir en el Informe Anual a la Asamblea General o en un Informe Especial, según lo considere más apropiado.</w:t>
      </w:r>
    </w:p>
    <w:p w14:paraId="6DA135DF" w14:textId="79E7FAD4" w:rsidR="00843233" w:rsidRPr="00A63F1B" w:rsidRDefault="00843233" w:rsidP="00BC43BA">
      <w:pPr>
        <w:autoSpaceDE w:val="0"/>
        <w:autoSpaceDN w:val="0"/>
        <w:adjustRightInd w:val="0"/>
        <w:snapToGrid w:val="0"/>
        <w:spacing w:line="240" w:lineRule="auto"/>
        <w:ind w:left="-270" w:right="-162"/>
        <w:rPr>
          <w:rFonts w:ascii="Verdana" w:hAnsi="Verdana" w:cs="Arial"/>
          <w:i/>
          <w:sz w:val="16"/>
          <w:szCs w:val="16"/>
          <w:lang w:val="es-ES"/>
        </w:rPr>
      </w:pPr>
      <w:r w:rsidRPr="00A63F1B">
        <w:rPr>
          <w:rFonts w:ascii="Verdana" w:hAnsi="Verdana" w:cs="Arial"/>
          <w:i/>
          <w:sz w:val="16"/>
          <w:szCs w:val="16"/>
          <w:lang w:val="es-ES"/>
        </w:rPr>
        <w:t>8. Los Consejos y la Comisión Interamericana de Derechos Humanos en ejercicio de las funciones que se les confieren en el presente artículo tendrán en cuenta la naturaleza progresiva de la vigencia de los derechos objeto de protección por este Protocolo.”</w:t>
      </w:r>
    </w:p>
  </w:footnote>
  <w:footnote w:id="86">
    <w:p w14:paraId="7D6E5B01" w14:textId="538E8D8D"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 xml:space="preserve">Cfr. </w:t>
      </w:r>
      <w:hyperlink r:id="rId1" w:history="1">
        <w:r w:rsidRPr="00A63F1B">
          <w:rPr>
            <w:rFonts w:ascii="Verdana" w:hAnsi="Verdana" w:cs="Arial"/>
            <w:sz w:val="16"/>
            <w:szCs w:val="16"/>
            <w:shd w:val="clear" w:color="auto" w:fill="F9F9F9"/>
            <w:lang w:val="es-ES"/>
          </w:rPr>
          <w:t>AG/RES. 2262 (XXXVII-O/07)</w:t>
        </w:r>
      </w:hyperlink>
      <w:r w:rsidRPr="00A63F1B">
        <w:rPr>
          <w:rFonts w:ascii="Verdana" w:hAnsi="Verdana"/>
          <w:sz w:val="16"/>
          <w:szCs w:val="16"/>
          <w:lang w:val="es-ES"/>
        </w:rPr>
        <w:t>, del 05/06/2007.</w:t>
      </w:r>
    </w:p>
  </w:footnote>
  <w:footnote w:id="87">
    <w:p w14:paraId="39DB0A99" w14:textId="1ED941DA" w:rsidR="00843233" w:rsidRPr="00A63F1B" w:rsidRDefault="00843233" w:rsidP="00BC43BA">
      <w:pPr>
        <w:pStyle w:val="Textonotapie"/>
        <w:snapToGrid w:val="0"/>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8: “</w:t>
      </w:r>
      <w:r w:rsidRPr="00A63F1B">
        <w:rPr>
          <w:rFonts w:ascii="Verdana" w:hAnsi="Verdana"/>
          <w:i/>
          <w:iCs/>
          <w:sz w:val="16"/>
          <w:szCs w:val="16"/>
          <w:lang w:val="es-ES"/>
        </w:rPr>
        <w:t>Derechos Sindicales. 1. Los Estados partes garantizarán: a) el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p>
  </w:footnote>
  <w:footnote w:id="88">
    <w:p w14:paraId="23325711" w14:textId="67F2A28C" w:rsidR="00843233" w:rsidRPr="00A63F1B" w:rsidRDefault="00843233" w:rsidP="00BC43BA">
      <w:pPr>
        <w:pStyle w:val="Textonotapie"/>
        <w:snapToGrid w:val="0"/>
        <w:ind w:left="-270" w:right="-162"/>
        <w:rPr>
          <w:rFonts w:ascii="Verdana" w:hAnsi="Verdana"/>
          <w:i/>
          <w:iCs/>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Art. 13: “</w:t>
      </w:r>
      <w:r w:rsidRPr="00A63F1B">
        <w:rPr>
          <w:rFonts w:ascii="Verdana" w:hAnsi="Verdana"/>
          <w:i/>
          <w:iCs/>
          <w:sz w:val="16"/>
          <w:szCs w:val="16"/>
          <w:lang w:val="es-ES"/>
        </w:rPr>
        <w:t xml:space="preserve">Derecho a la Educación.  1. Toda persona tiene derecho a la educación.  </w:t>
      </w:r>
    </w:p>
    <w:p w14:paraId="5D42E597"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  </w:t>
      </w:r>
    </w:p>
    <w:p w14:paraId="6A6EB775"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3. Los Estados partes en el presente Protocolo reconocen que, con objeto de lograr el pleno ejercicio del derecho a la educación:   </w:t>
      </w:r>
    </w:p>
    <w:p w14:paraId="3480E908"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a. la enseñanza primaria debe ser obligatoria y asequible a todos gratuitamente;  </w:t>
      </w:r>
    </w:p>
    <w:p w14:paraId="5078B677"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b. la enseñanza secundaria en sus diferentes formas, incluso la enseñanza secundaria técnica y profesional, debe ser generalizada y hacerse accesible a todos, por cuantos medios sean apropiados, y en particular por la implantación progresiva de la enseñanza gratuita;  </w:t>
      </w:r>
    </w:p>
    <w:p w14:paraId="41FCD5E9"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c. la enseñanza superior debe hacerse igualmente accesible a todos, sobre la base de la capacidad de cada uno, por cuantos medios sean apropiados y en particular, por la implantación progresiva de la enseñanza gratuita;  </w:t>
      </w:r>
    </w:p>
    <w:p w14:paraId="1BA72DF4"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d. se deberá fomentar o intensificar, en la medida de lo posible, la educación básica para aquellas personas que no hayan recibido o terminado el ciclo completo de instrucción primaria;  </w:t>
      </w:r>
    </w:p>
    <w:p w14:paraId="779AA91A"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e. se deberán establecer programas de enseñanza diferenciada para los minusválidos a fin de proporcionar una especial instrucción y formación a personas con impedimentos físicos o deficiencias mentales.  </w:t>
      </w:r>
    </w:p>
    <w:p w14:paraId="035644E2" w14:textId="77777777" w:rsidR="00843233" w:rsidRPr="00A63F1B" w:rsidRDefault="00843233" w:rsidP="00BC43BA">
      <w:pPr>
        <w:pStyle w:val="Textonotapie"/>
        <w:snapToGrid w:val="0"/>
        <w:ind w:left="-270" w:right="-162"/>
        <w:rPr>
          <w:rFonts w:ascii="Verdana" w:hAnsi="Verdana"/>
          <w:i/>
          <w:iCs/>
          <w:sz w:val="16"/>
          <w:szCs w:val="16"/>
          <w:lang w:val="es-ES"/>
        </w:rPr>
      </w:pPr>
      <w:r w:rsidRPr="00A63F1B">
        <w:rPr>
          <w:rFonts w:ascii="Verdana" w:hAnsi="Verdana"/>
          <w:i/>
          <w:iCs/>
          <w:sz w:val="16"/>
          <w:szCs w:val="16"/>
          <w:lang w:val="es-ES"/>
        </w:rPr>
        <w:t xml:space="preserve">4. Conforme con la legislación interna de los Estados partes, los padres tendrán derecho a escoger el tipo de educación que habrá de darse a sus hijos, siempre que ella se adecue a los principios enunciados precedentemente.  </w:t>
      </w:r>
    </w:p>
    <w:p w14:paraId="6E639D5E" w14:textId="0FC003B1" w:rsidR="00843233" w:rsidRPr="00A63F1B" w:rsidRDefault="00843233" w:rsidP="00BC43BA">
      <w:pPr>
        <w:pStyle w:val="Textonotapie"/>
        <w:snapToGrid w:val="0"/>
        <w:ind w:left="-270" w:right="-162"/>
        <w:rPr>
          <w:rFonts w:ascii="Verdana" w:hAnsi="Verdana"/>
          <w:sz w:val="16"/>
          <w:szCs w:val="16"/>
          <w:lang w:val="es-ES"/>
        </w:rPr>
      </w:pPr>
      <w:r w:rsidRPr="00A63F1B">
        <w:rPr>
          <w:rFonts w:ascii="Verdana" w:hAnsi="Verdana"/>
          <w:i/>
          <w:iCs/>
          <w:sz w:val="16"/>
          <w:szCs w:val="16"/>
          <w:lang w:val="es-ES"/>
        </w:rPr>
        <w:t>5. Nada de lo dispuesto en este Protocolo se interpretará como una restricción de la libertad de los particulares y entidades para establecer y dirigir instituciones de enseñanza, de acuerdo con la legislación interna de los Estados partes</w:t>
      </w:r>
      <w:r w:rsidRPr="00A63F1B">
        <w:rPr>
          <w:rFonts w:ascii="Verdana" w:hAnsi="Verdana"/>
          <w:sz w:val="16"/>
          <w:szCs w:val="16"/>
          <w:lang w:val="es-ES"/>
        </w:rPr>
        <w:t>.”</w:t>
      </w:r>
    </w:p>
  </w:footnote>
  <w:footnote w:id="89">
    <w:p w14:paraId="063F64FC" w14:textId="29216539"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Supra, Nota N° 69.</w:t>
      </w:r>
    </w:p>
  </w:footnote>
  <w:footnote w:id="90">
    <w:p w14:paraId="66213591" w14:textId="01350BA9"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i/>
          <w:iCs/>
          <w:sz w:val="16"/>
          <w:szCs w:val="16"/>
          <w:lang w:val="es-ES"/>
        </w:rPr>
        <w:t xml:space="preserve"> </w:t>
      </w:r>
      <w:r w:rsidRPr="00A63F1B">
        <w:rPr>
          <w:rFonts w:ascii="Verdana" w:hAnsi="Verdana"/>
          <w:i/>
          <w:iCs/>
          <w:sz w:val="16"/>
          <w:szCs w:val="16"/>
          <w:lang w:val="es-ES"/>
        </w:rPr>
        <w:tab/>
        <w:t>Supra</w:t>
      </w:r>
      <w:r w:rsidRPr="00A63F1B">
        <w:rPr>
          <w:rFonts w:ascii="Verdana" w:hAnsi="Verdana"/>
          <w:sz w:val="16"/>
          <w:szCs w:val="16"/>
          <w:lang w:val="es-ES"/>
        </w:rPr>
        <w:t>, Párr. 73.</w:t>
      </w:r>
    </w:p>
  </w:footnote>
  <w:footnote w:id="91">
    <w:p w14:paraId="238113E3" w14:textId="26A4B952"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Nota N° 3.</w:t>
      </w:r>
    </w:p>
  </w:footnote>
  <w:footnote w:id="92">
    <w:p w14:paraId="6CE57D07" w14:textId="2777728A"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Nota N° 4.</w:t>
      </w:r>
    </w:p>
  </w:footnote>
  <w:footnote w:id="93">
    <w:p w14:paraId="79F31AB3" w14:textId="186634F7"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 xml:space="preserve">Adoptada en el Vigésimo Octavo Período Extraordinario de Sesiones de la Asamblea General de la OEA, 11 de septiembre de 2001, Lima, Perú. </w:t>
      </w:r>
    </w:p>
  </w:footnote>
  <w:footnote w:id="94">
    <w:p w14:paraId="2ABB15CB" w14:textId="240AA7B9"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SIDH.</w:t>
      </w:r>
    </w:p>
  </w:footnote>
  <w:footnote w:id="95">
    <w:p w14:paraId="35817A85" w14:textId="47D11C54"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 xml:space="preserve">Supra, Nota N° 3. </w:t>
      </w:r>
    </w:p>
  </w:footnote>
  <w:footnote w:id="96">
    <w:p w14:paraId="61A20684" w14:textId="3C389E3A"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En adelante, el artículo 24.</w:t>
      </w:r>
    </w:p>
  </w:footnote>
  <w:footnote w:id="97">
    <w:p w14:paraId="01D6DDF9" w14:textId="631AFD7F"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Supra</w:t>
      </w:r>
      <w:r w:rsidRPr="00A63F1B">
        <w:rPr>
          <w:rFonts w:ascii="Verdana" w:hAnsi="Verdana"/>
          <w:sz w:val="16"/>
          <w:szCs w:val="16"/>
          <w:lang w:val="es-ES"/>
        </w:rPr>
        <w:t xml:space="preserve">, Nota N° 11. </w:t>
      </w:r>
    </w:p>
  </w:footnote>
  <w:footnote w:id="98">
    <w:p w14:paraId="1C0003F8" w14:textId="1D7BD698"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proofErr w:type="spellStart"/>
      <w:r w:rsidRPr="00A63F1B">
        <w:rPr>
          <w:rFonts w:ascii="Verdana" w:hAnsi="Verdana"/>
          <w:sz w:val="16"/>
          <w:szCs w:val="16"/>
          <w:lang w:val="es-ES"/>
        </w:rPr>
        <w:t>Párrs</w:t>
      </w:r>
      <w:proofErr w:type="spellEnd"/>
      <w:r w:rsidRPr="00A63F1B">
        <w:rPr>
          <w:rFonts w:ascii="Verdana" w:hAnsi="Verdana"/>
          <w:sz w:val="16"/>
          <w:szCs w:val="16"/>
          <w:lang w:val="es-ES"/>
        </w:rPr>
        <w:t>. 185 a 200.</w:t>
      </w:r>
    </w:p>
  </w:footnote>
  <w:footnote w:id="99">
    <w:p w14:paraId="64FFBBF0" w14:textId="32E43673" w:rsidR="00843233" w:rsidRPr="00A63F1B" w:rsidRDefault="00843233" w:rsidP="00BC43BA">
      <w:pPr>
        <w:autoSpaceDE w:val="0"/>
        <w:autoSpaceDN w:val="0"/>
        <w:adjustRightInd w:val="0"/>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cs="Times New Roman"/>
          <w:sz w:val="16"/>
          <w:szCs w:val="16"/>
          <w:lang w:val="es-ES"/>
        </w:rPr>
        <w:t>Art. 31.4 de la Convención de Viena:</w:t>
      </w:r>
      <w:r w:rsidRPr="00A63F1B">
        <w:rPr>
          <w:rFonts w:ascii="Verdana" w:hAnsi="Verdana" w:cs="Times New Roman"/>
          <w:i/>
          <w:sz w:val="16"/>
          <w:szCs w:val="16"/>
          <w:lang w:val="es-ES"/>
        </w:rPr>
        <w:t xml:space="preserve"> “Se dará a un término un sentido especial si consta que tal fue la intención de las partes.</w:t>
      </w:r>
    </w:p>
  </w:footnote>
  <w:footnote w:id="100">
    <w:p w14:paraId="4C03E80B" w14:textId="78099A36"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hAnsi="Verdana"/>
          <w:i/>
          <w:iCs/>
          <w:sz w:val="16"/>
          <w:szCs w:val="16"/>
          <w:lang w:val="es-ES"/>
        </w:rPr>
        <w:t xml:space="preserve">Cfr. </w:t>
      </w:r>
      <w:r w:rsidRPr="00A63F1B">
        <w:rPr>
          <w:rFonts w:ascii="Verdana" w:hAnsi="Verdana"/>
          <w:sz w:val="16"/>
          <w:szCs w:val="16"/>
          <w:lang w:val="es-ES"/>
        </w:rPr>
        <w:t>Diccionario de la Lengua Española, Real Academia Española, 2020.</w:t>
      </w:r>
    </w:p>
  </w:footnote>
  <w:footnote w:id="101">
    <w:p w14:paraId="6BA782D9" w14:textId="236E11EA"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w:t>
      </w:r>
      <w:r w:rsidRPr="00A63F1B">
        <w:rPr>
          <w:rFonts w:ascii="Verdana" w:eastAsia="Times New Roman" w:hAnsi="Verdana" w:cs="Tahoma"/>
          <w:i/>
          <w:iCs/>
          <w:sz w:val="16"/>
          <w:szCs w:val="16"/>
          <w:lang w:val="es-ES" w:eastAsia="es-CR"/>
        </w:rPr>
        <w:t>Alcance de las Restricciones.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footnote>
  <w:footnote w:id="102">
    <w:p w14:paraId="162345A0" w14:textId="50B20111"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16 de la OC-6/86.</w:t>
      </w:r>
    </w:p>
  </w:footnote>
  <w:footnote w:id="103">
    <w:p w14:paraId="2F365410" w14:textId="7584FD32"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w:t>
      </w:r>
      <w:r w:rsidRPr="00A63F1B">
        <w:rPr>
          <w:rFonts w:ascii="Verdana" w:eastAsia="Times New Roman" w:hAnsi="Verdana" w:cs="Tahoma"/>
          <w:i/>
          <w:iCs/>
          <w:sz w:val="16"/>
          <w:szCs w:val="16"/>
          <w:lang w:val="es-ES" w:eastAsia="es-CR"/>
        </w:rPr>
        <w:t>La Corte, a solicitud de un Estado miembro de la Organización, podrá darle opiniones acerca de la compatibilidad entre cualquiera de sus leyes internas y los mencionados instrumentos internacionales.”</w:t>
      </w:r>
    </w:p>
  </w:footnote>
  <w:footnote w:id="104">
    <w:p w14:paraId="5B14A083" w14:textId="09F255B0"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t>Párr. 182.</w:t>
      </w:r>
    </w:p>
  </w:footnote>
  <w:footnote w:id="105">
    <w:p w14:paraId="41113321" w14:textId="30CDF16B"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w:t>
      </w:r>
      <w:r w:rsidRPr="00A63F1B">
        <w:rPr>
          <w:rFonts w:ascii="Verdana" w:hAnsi="Verdana"/>
          <w:sz w:val="16"/>
          <w:szCs w:val="16"/>
          <w:lang w:val="es-ES"/>
        </w:rPr>
        <w:tab/>
      </w:r>
      <w:r w:rsidRPr="00A63F1B">
        <w:rPr>
          <w:rFonts w:ascii="Verdana" w:eastAsia="Times New Roman" w:hAnsi="Verdana" w:cs="Tahoma"/>
          <w:sz w:val="16"/>
          <w:szCs w:val="16"/>
          <w:lang w:val="es-ES" w:eastAsia="es-CR"/>
        </w:rPr>
        <w:t>Art. 44:</w:t>
      </w:r>
      <w:r w:rsidRPr="00A63F1B">
        <w:rPr>
          <w:rFonts w:ascii="Verdana" w:eastAsia="Times New Roman" w:hAnsi="Verdana" w:cs="Tahoma"/>
          <w:b/>
          <w:bCs/>
          <w:sz w:val="16"/>
          <w:szCs w:val="16"/>
          <w:lang w:val="es-ES" w:eastAsia="es-CR"/>
        </w:rPr>
        <w:t xml:space="preserve"> </w:t>
      </w:r>
      <w:r w:rsidRPr="00A63F1B">
        <w:rPr>
          <w:rFonts w:ascii="Verdana" w:eastAsia="Times New Roman" w:hAnsi="Verdana" w:cs="Tahoma"/>
          <w:b/>
          <w:bCs/>
          <w:i/>
          <w:iCs/>
          <w:sz w:val="16"/>
          <w:szCs w:val="16"/>
          <w:lang w:val="es-ES" w:eastAsia="es-CR"/>
        </w:rPr>
        <w:t>“</w:t>
      </w:r>
      <w:r w:rsidRPr="00A63F1B">
        <w:rPr>
          <w:rFonts w:ascii="Verdana" w:eastAsia="Times New Roman" w:hAnsi="Verdana" w:cs="Tahoma"/>
          <w:i/>
          <w:iCs/>
          <w:sz w:val="16"/>
          <w:szCs w:val="16"/>
          <w:lang w:val="es-ES" w:eastAsia="es-CR"/>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footnote>
  <w:footnote w:id="106">
    <w:p w14:paraId="1D3878C5" w14:textId="05969EE2"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Style w:val="Refdenotaalpie"/>
          <w:rFonts w:ascii="Verdana" w:hAnsi="Verdana"/>
          <w:i/>
          <w:iCs/>
          <w:sz w:val="16"/>
          <w:szCs w:val="16"/>
          <w:lang w:val="es-ES"/>
        </w:rPr>
        <w:footnoteRef/>
      </w:r>
      <w:r w:rsidRPr="00A63F1B">
        <w:rPr>
          <w:rFonts w:ascii="Verdana" w:hAnsi="Verdana"/>
          <w:i/>
          <w:iCs/>
          <w:sz w:val="16"/>
          <w:szCs w:val="16"/>
          <w:lang w:val="es-ES"/>
        </w:rPr>
        <w:t xml:space="preserve"> “</w:t>
      </w:r>
      <w:r w:rsidRPr="00A63F1B">
        <w:rPr>
          <w:rFonts w:ascii="Verdana" w:eastAsia="Times New Roman" w:hAnsi="Verdana" w:cs="Tahoma"/>
          <w:i/>
          <w:iCs/>
          <w:sz w:val="16"/>
          <w:szCs w:val="16"/>
          <w:lang w:val="es-ES" w:eastAsia="es-CR"/>
        </w:rPr>
        <w:t>Derechos del Niño.</w:t>
      </w:r>
      <w:r w:rsidRPr="00A63F1B">
        <w:rPr>
          <w:rFonts w:ascii="Verdana" w:eastAsia="Times New Roman" w:hAnsi="Verdana" w:cs="Tahoma"/>
          <w:b/>
          <w:bCs/>
          <w:i/>
          <w:iCs/>
          <w:sz w:val="16"/>
          <w:szCs w:val="16"/>
          <w:lang w:val="es-ES" w:eastAsia="es-CR"/>
        </w:rPr>
        <w:t xml:space="preserve"> </w:t>
      </w:r>
      <w:r w:rsidRPr="00A63F1B">
        <w:rPr>
          <w:rFonts w:ascii="Verdana" w:eastAsia="Times New Roman" w:hAnsi="Verdana" w:cs="Tahoma"/>
          <w:i/>
          <w:iCs/>
          <w:sz w:val="16"/>
          <w:szCs w:val="16"/>
          <w:lang w:val="es-ES" w:eastAsia="es-CR"/>
        </w:rPr>
        <w:t>Todo niño tiene derecho a las medidas de protección que su condición de menor requiere por parte de su familia, de la sociedad y del Estado.”</w:t>
      </w:r>
    </w:p>
  </w:footnote>
  <w:footnote w:id="107">
    <w:p w14:paraId="5088320D" w14:textId="63FE9C9F"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00A30210" w:rsidRPr="00A63F1B">
        <w:rPr>
          <w:rFonts w:ascii="Verdana" w:hAnsi="Verdana"/>
          <w:i/>
          <w:iCs/>
          <w:sz w:val="16"/>
          <w:szCs w:val="16"/>
          <w:lang w:val="es-ES"/>
        </w:rPr>
        <w:t xml:space="preserve"> “El Estado es responsable por la violación </w:t>
      </w:r>
      <w:r w:rsidR="00A30210" w:rsidRPr="00A63F1B">
        <w:rPr>
          <w:rFonts w:ascii="Verdana" w:hAnsi="Verdana"/>
          <w:bCs/>
          <w:i/>
          <w:iCs/>
          <w:sz w:val="16"/>
          <w:szCs w:val="16"/>
          <w:lang w:val="es-ES"/>
        </w:rPr>
        <w:t>de los</w:t>
      </w:r>
      <w:r w:rsidR="00A30210" w:rsidRPr="00A63F1B">
        <w:rPr>
          <w:rFonts w:ascii="Verdana" w:hAnsi="Verdana"/>
          <w:i/>
          <w:iCs/>
          <w:sz w:val="16"/>
          <w:szCs w:val="16"/>
          <w:lang w:val="es-ES"/>
        </w:rPr>
        <w:t xml:space="preserve"> derecho</w:t>
      </w:r>
      <w:r w:rsidR="00A30210" w:rsidRPr="00A63F1B">
        <w:rPr>
          <w:rFonts w:ascii="Verdana" w:hAnsi="Verdana"/>
          <w:bCs/>
          <w:i/>
          <w:iCs/>
          <w:sz w:val="16"/>
          <w:szCs w:val="16"/>
          <w:lang w:val="es-ES"/>
        </w:rPr>
        <w:t>s</w:t>
      </w:r>
      <w:r w:rsidR="00A30210" w:rsidRPr="00A63F1B">
        <w:rPr>
          <w:rFonts w:ascii="Verdana" w:hAnsi="Verdana"/>
          <w:i/>
          <w:iCs/>
          <w:sz w:val="16"/>
          <w:szCs w:val="16"/>
          <w:lang w:val="es-ES"/>
        </w:rPr>
        <w:t xml:space="preserve"> a la vida y del niño y de la niña contenido</w:t>
      </w:r>
      <w:r w:rsidR="00A30210" w:rsidRPr="00A63F1B">
        <w:rPr>
          <w:rFonts w:ascii="Verdana" w:hAnsi="Verdana"/>
          <w:bCs/>
          <w:i/>
          <w:iCs/>
          <w:sz w:val="16"/>
          <w:szCs w:val="16"/>
          <w:lang w:val="es-ES"/>
        </w:rPr>
        <w:t>s</w:t>
      </w:r>
      <w:r w:rsidR="00A30210" w:rsidRPr="00A63F1B">
        <w:rPr>
          <w:rFonts w:ascii="Verdana" w:hAnsi="Verdana"/>
          <w:i/>
          <w:iCs/>
          <w:sz w:val="16"/>
          <w:szCs w:val="16"/>
          <w:lang w:val="es-ES"/>
        </w:rPr>
        <w:t xml:space="preserve"> en </w:t>
      </w:r>
      <w:r w:rsidR="00A30210" w:rsidRPr="00A63F1B">
        <w:rPr>
          <w:rFonts w:ascii="Verdana" w:hAnsi="Verdana"/>
          <w:bCs/>
          <w:i/>
          <w:iCs/>
          <w:sz w:val="16"/>
          <w:szCs w:val="16"/>
          <w:lang w:val="es-ES"/>
        </w:rPr>
        <w:t>los</w:t>
      </w:r>
      <w:r w:rsidR="00A30210" w:rsidRPr="00A63F1B">
        <w:rPr>
          <w:rFonts w:ascii="Verdana" w:hAnsi="Verdana"/>
          <w:i/>
          <w:iCs/>
          <w:sz w:val="16"/>
          <w:szCs w:val="16"/>
          <w:lang w:val="es-ES"/>
        </w:rPr>
        <w:t xml:space="preserve"> artículo</w:t>
      </w:r>
      <w:r w:rsidR="00A30210" w:rsidRPr="00A63F1B">
        <w:rPr>
          <w:rFonts w:ascii="Verdana" w:hAnsi="Verdana"/>
          <w:bCs/>
          <w:i/>
          <w:iCs/>
          <w:sz w:val="16"/>
          <w:szCs w:val="16"/>
          <w:lang w:val="es-ES"/>
        </w:rPr>
        <w:t>s</w:t>
      </w:r>
      <w:r w:rsidR="00A30210" w:rsidRPr="00A63F1B">
        <w:rPr>
          <w:rFonts w:ascii="Verdana" w:hAnsi="Verdana"/>
          <w:i/>
          <w:iCs/>
          <w:sz w:val="16"/>
          <w:szCs w:val="16"/>
          <w:lang w:val="es-ES"/>
        </w:rPr>
        <w:t xml:space="preserve"> 4.1 </w:t>
      </w:r>
      <w:r w:rsidR="00A30210" w:rsidRPr="00A63F1B">
        <w:rPr>
          <w:rFonts w:ascii="Verdana" w:hAnsi="Verdana"/>
          <w:bCs/>
          <w:i/>
          <w:iCs/>
          <w:sz w:val="16"/>
          <w:szCs w:val="16"/>
          <w:lang w:val="es-ES"/>
        </w:rPr>
        <w:t>y 19,</w:t>
      </w:r>
      <w:r w:rsidR="00A30210" w:rsidRPr="00A63F1B">
        <w:rPr>
          <w:rFonts w:ascii="Verdana" w:hAnsi="Verdana"/>
          <w:i/>
          <w:iCs/>
          <w:sz w:val="16"/>
          <w:szCs w:val="16"/>
          <w:lang w:val="es-ES"/>
        </w:rPr>
        <w:t xml:space="preserve"> en relación con el artículo 1.1 de la Convención Americana sobre Derechos Humanos, en perjuicio de las sesenta personas fallecidas en la explosión de la fábrica de fuegos de Santo Antônio de Jesus, ocurrida el 11 de diciembre de 1998, a las que se refiere el párrafo 139 de esta Sentencia, </w:t>
      </w:r>
      <w:r w:rsidR="00A30210" w:rsidRPr="00A63F1B">
        <w:rPr>
          <w:rFonts w:ascii="Verdana" w:hAnsi="Verdana"/>
          <w:bCs/>
          <w:i/>
          <w:iCs/>
          <w:sz w:val="16"/>
          <w:szCs w:val="16"/>
          <w:lang w:val="es-ES"/>
        </w:rPr>
        <w:t>entre los que se encuentran veinte niños y niñas, en los términos de los párrafos 115 a 139 de la presente Sentencia”.</w:t>
      </w:r>
    </w:p>
  </w:footnote>
  <w:footnote w:id="108">
    <w:p w14:paraId="3E7F38E6" w14:textId="6AA436F8" w:rsidR="00843233" w:rsidRPr="00A63F1B" w:rsidRDefault="00843233" w:rsidP="00BC43BA">
      <w:pPr>
        <w:pStyle w:val="NormalWeb"/>
        <w:snapToGrid w:val="0"/>
        <w:spacing w:line="240" w:lineRule="auto"/>
        <w:ind w:left="-270" w:right="-162"/>
        <w:rPr>
          <w:rFonts w:ascii="Verdana" w:hAnsi="Verdana"/>
          <w:sz w:val="16"/>
          <w:szCs w:val="16"/>
          <w:lang w:val="es-ES"/>
        </w:rPr>
      </w:pPr>
      <w:r w:rsidRPr="00A63F1B">
        <w:rPr>
          <w:rStyle w:val="Refdenotaalpie"/>
          <w:rFonts w:ascii="Verdana" w:hAnsi="Verdana"/>
          <w:i/>
          <w:iCs/>
          <w:sz w:val="16"/>
          <w:szCs w:val="16"/>
          <w:lang w:val="es-ES"/>
        </w:rPr>
        <w:footnoteRef/>
      </w:r>
      <w:r w:rsidRPr="00A63F1B">
        <w:rPr>
          <w:rFonts w:ascii="Verdana" w:hAnsi="Verdana"/>
          <w:i/>
          <w:iCs/>
          <w:sz w:val="16"/>
          <w:szCs w:val="16"/>
          <w:lang w:val="es-ES"/>
        </w:rPr>
        <w:t xml:space="preserve"> “</w:t>
      </w:r>
      <w:r w:rsidRPr="00A63F1B">
        <w:rPr>
          <w:rFonts w:ascii="Verdana" w:eastAsia="Times New Roman" w:hAnsi="Verdana" w:cs="Tahoma"/>
          <w:i/>
          <w:iCs/>
          <w:sz w:val="16"/>
          <w:szCs w:val="16"/>
          <w:lang w:val="es-ES" w:eastAsia="es-CR"/>
        </w:rPr>
        <w:t>Toda persona tiene derecho a que se respete su vida.  Este derecho estará protegido por la ley y, en general, a partir del momento de la concepción.  Nadie puede ser privado de la vida arbitrariamente.”</w:t>
      </w:r>
    </w:p>
  </w:footnote>
  <w:footnote w:id="109">
    <w:p w14:paraId="15D42E0F" w14:textId="38DDBD22" w:rsidR="00843233" w:rsidRPr="00A63F1B" w:rsidRDefault="00843233" w:rsidP="00BC43BA">
      <w:pPr>
        <w:pStyle w:val="Textonotapie"/>
        <w:snapToGrid w:val="0"/>
        <w:ind w:left="-270" w:right="-162"/>
        <w:rPr>
          <w:rFonts w:ascii="Verdana" w:hAnsi="Verdana"/>
          <w:sz w:val="16"/>
          <w:szCs w:val="16"/>
          <w:lang w:val="es-ES"/>
        </w:rPr>
      </w:pPr>
      <w:r w:rsidRPr="00A63F1B">
        <w:rPr>
          <w:rStyle w:val="Refdenotaalpie"/>
          <w:rFonts w:ascii="Verdana" w:hAnsi="Verdana"/>
          <w:sz w:val="16"/>
          <w:szCs w:val="16"/>
          <w:lang w:val="es-ES"/>
        </w:rPr>
        <w:footnoteRef/>
      </w:r>
      <w:r w:rsidRPr="00A63F1B">
        <w:rPr>
          <w:rFonts w:ascii="Verdana" w:hAnsi="Verdana"/>
          <w:sz w:val="16"/>
          <w:szCs w:val="16"/>
          <w:lang w:val="es-ES"/>
        </w:rPr>
        <w:t xml:space="preserve"> Párr. 75.</w:t>
      </w:r>
    </w:p>
  </w:footnote>
  <w:footnote w:id="110">
    <w:p w14:paraId="06F5F584" w14:textId="7236D6DF" w:rsidR="00843233" w:rsidRPr="007A210D" w:rsidRDefault="00843233" w:rsidP="00BC43BA">
      <w:pPr>
        <w:pStyle w:val="Ttulo1"/>
        <w:snapToGrid w:val="0"/>
        <w:spacing w:line="240" w:lineRule="auto"/>
        <w:ind w:left="-270" w:right="-162"/>
        <w:jc w:val="both"/>
        <w:rPr>
          <w:sz w:val="16"/>
          <w:szCs w:val="16"/>
        </w:rPr>
      </w:pPr>
      <w:r w:rsidRPr="00A63F1B">
        <w:rPr>
          <w:rStyle w:val="Refdenotaalpie"/>
          <w:b w:val="0"/>
          <w:bCs w:val="0"/>
          <w:sz w:val="16"/>
          <w:szCs w:val="16"/>
        </w:rPr>
        <w:footnoteRef/>
      </w:r>
      <w:r w:rsidRPr="00A63F1B">
        <w:rPr>
          <w:b w:val="0"/>
          <w:bCs w:val="0"/>
          <w:sz w:val="16"/>
          <w:szCs w:val="16"/>
        </w:rPr>
        <w:t xml:space="preserve"> </w:t>
      </w:r>
      <w:r w:rsidRPr="00A63F1B">
        <w:rPr>
          <w:b w:val="0"/>
          <w:bCs w:val="0"/>
          <w:i/>
          <w:iCs/>
          <w:sz w:val="16"/>
          <w:szCs w:val="16"/>
        </w:rPr>
        <w:t>Cfr.</w:t>
      </w:r>
      <w:r w:rsidRPr="00A63F1B">
        <w:rPr>
          <w:b w:val="0"/>
          <w:bCs w:val="0"/>
          <w:sz w:val="16"/>
          <w:szCs w:val="16"/>
        </w:rPr>
        <w:t xml:space="preserve"> </w:t>
      </w:r>
      <w:r w:rsidRPr="00A63F1B">
        <w:rPr>
          <w:b w:val="0"/>
          <w:bCs w:val="0"/>
          <w:i/>
          <w:iCs/>
          <w:sz w:val="16"/>
          <w:szCs w:val="16"/>
        </w:rPr>
        <w:t xml:space="preserve">Voto Concurrente del Juez Eduardo Vio Grossi, Caso Masacres de El Mozote y Lugares Aledaños Vs. El Salvador, </w:t>
      </w:r>
      <w:r w:rsidRPr="00A63F1B">
        <w:rPr>
          <w:b w:val="0"/>
          <w:bCs w:val="0"/>
          <w:sz w:val="16"/>
          <w:szCs w:val="16"/>
        </w:rPr>
        <w:t xml:space="preserve">Sentencia de 25 de </w:t>
      </w:r>
      <w:proofErr w:type="gramStart"/>
      <w:r w:rsidRPr="00A63F1B">
        <w:rPr>
          <w:b w:val="0"/>
          <w:bCs w:val="0"/>
          <w:sz w:val="16"/>
          <w:szCs w:val="16"/>
        </w:rPr>
        <w:t>Octubre</w:t>
      </w:r>
      <w:proofErr w:type="gramEnd"/>
      <w:r w:rsidRPr="00A63F1B">
        <w:rPr>
          <w:b w:val="0"/>
          <w:bCs w:val="0"/>
          <w:sz w:val="16"/>
          <w:szCs w:val="16"/>
        </w:rPr>
        <w:t xml:space="preserve"> de 2012,</w:t>
      </w:r>
      <w:r w:rsidRPr="00A63F1B">
        <w:rPr>
          <w:i/>
          <w:iCs/>
          <w:sz w:val="16"/>
          <w:szCs w:val="16"/>
        </w:rPr>
        <w:t xml:space="preserve"> </w:t>
      </w:r>
      <w:r w:rsidRPr="00A63F1B">
        <w:rPr>
          <w:rStyle w:val="titlechar1"/>
          <w:i/>
          <w:iCs/>
          <w:sz w:val="16"/>
          <w:szCs w:val="16"/>
        </w:rPr>
        <w:t xml:space="preserve">(Fondo, Reparaciones y Costas), </w:t>
      </w:r>
      <w:r w:rsidRPr="00A63F1B">
        <w:rPr>
          <w:rStyle w:val="titlechar1"/>
          <w:sz w:val="16"/>
          <w:szCs w:val="16"/>
        </w:rPr>
        <w:t>Corte Interamericana de Derechos Humanos</w:t>
      </w:r>
      <w:r w:rsidRPr="00A63F1B">
        <w:rPr>
          <w:rStyle w:val="titlechar1"/>
          <w:i/>
          <w:iCs/>
          <w:sz w:val="16"/>
          <w:szCs w:val="16"/>
        </w:rPr>
        <w:t xml:space="preserve">; y </w:t>
      </w:r>
      <w:r w:rsidRPr="00A63F1B">
        <w:rPr>
          <w:rFonts w:cs="Calibri"/>
          <w:b w:val="0"/>
          <w:bCs w:val="0"/>
          <w:i/>
          <w:iCs/>
          <w:sz w:val="16"/>
          <w:szCs w:val="16"/>
          <w:lang w:eastAsia="es-CL"/>
        </w:rPr>
        <w:t xml:space="preserve">Voto Disidente del Juez Eduardo Vio Grossi, </w:t>
      </w:r>
      <w:r w:rsidRPr="00A63F1B">
        <w:rPr>
          <w:rFonts w:cs="Calibri"/>
          <w:b w:val="0"/>
          <w:bCs w:val="0"/>
          <w:sz w:val="16"/>
          <w:szCs w:val="16"/>
          <w:lang w:eastAsia="es-CL"/>
        </w:rPr>
        <w:t>Corte Interamericana de Derechos Humanos</w:t>
      </w:r>
      <w:r w:rsidRPr="00A63F1B">
        <w:rPr>
          <w:rFonts w:cs="Calibri"/>
          <w:b w:val="0"/>
          <w:bCs w:val="0"/>
          <w:i/>
          <w:iCs/>
          <w:sz w:val="16"/>
          <w:szCs w:val="16"/>
          <w:lang w:eastAsia="es-CL"/>
        </w:rPr>
        <w:t xml:space="preserve">, Caso Artavia Murillo y Otros (Fecundación in Vitro) Vs. Costa Rica, </w:t>
      </w:r>
      <w:r w:rsidRPr="00A63F1B">
        <w:rPr>
          <w:rFonts w:cs="Calibri"/>
          <w:b w:val="0"/>
          <w:bCs w:val="0"/>
          <w:sz w:val="16"/>
          <w:szCs w:val="16"/>
          <w:lang w:eastAsia="es-CL"/>
        </w:rPr>
        <w:t>Sentencia de 28 de Noviembre de 2012</w:t>
      </w:r>
      <w:r w:rsidRPr="00A63F1B">
        <w:rPr>
          <w:rFonts w:cs="Calibri"/>
          <w:b w:val="0"/>
          <w:bCs w:val="0"/>
          <w:i/>
          <w:iCs/>
          <w:sz w:val="16"/>
          <w:szCs w:val="16"/>
          <w:lang w:eastAsia="es-CL"/>
        </w:rPr>
        <w:t>, (Excepciones Preliminares, Fondo, Reparaciones y Costas</w:t>
      </w:r>
      <w:r w:rsidRPr="00A63F1B">
        <w:rPr>
          <w:rFonts w:cs="Calibri"/>
          <w:b w:val="0"/>
          <w:bCs w:val="0"/>
          <w:i/>
          <w:iCs/>
          <w:caps/>
          <w:sz w:val="16"/>
          <w:szCs w:val="16"/>
          <w:lang w:eastAsia="es-C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B91"/>
    <w:multiLevelType w:val="hybridMultilevel"/>
    <w:tmpl w:val="C706DB1C"/>
    <w:lvl w:ilvl="0" w:tplc="1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BB3377"/>
    <w:multiLevelType w:val="hybridMultilevel"/>
    <w:tmpl w:val="DA3A6CFC"/>
    <w:lvl w:ilvl="0" w:tplc="A102670C">
      <w:start w:val="1"/>
      <w:numFmt w:val="upperRoman"/>
      <w:lvlText w:val="%1."/>
      <w:lvlJc w:val="left"/>
      <w:pPr>
        <w:ind w:left="1723" w:hanging="720"/>
      </w:pPr>
      <w:rPr>
        <w:rFonts w:hint="default"/>
        <w:b/>
        <w:bCs/>
      </w:rPr>
    </w:lvl>
    <w:lvl w:ilvl="1" w:tplc="340A0019" w:tentative="1">
      <w:start w:val="1"/>
      <w:numFmt w:val="lowerLetter"/>
      <w:lvlText w:val="%2."/>
      <w:lvlJc w:val="left"/>
      <w:pPr>
        <w:ind w:left="2083" w:hanging="360"/>
      </w:pPr>
    </w:lvl>
    <w:lvl w:ilvl="2" w:tplc="340A001B" w:tentative="1">
      <w:start w:val="1"/>
      <w:numFmt w:val="lowerRoman"/>
      <w:lvlText w:val="%3."/>
      <w:lvlJc w:val="right"/>
      <w:pPr>
        <w:ind w:left="2803" w:hanging="180"/>
      </w:pPr>
    </w:lvl>
    <w:lvl w:ilvl="3" w:tplc="340A000F" w:tentative="1">
      <w:start w:val="1"/>
      <w:numFmt w:val="decimal"/>
      <w:lvlText w:val="%4."/>
      <w:lvlJc w:val="left"/>
      <w:pPr>
        <w:ind w:left="3523" w:hanging="360"/>
      </w:pPr>
    </w:lvl>
    <w:lvl w:ilvl="4" w:tplc="340A0019" w:tentative="1">
      <w:start w:val="1"/>
      <w:numFmt w:val="lowerLetter"/>
      <w:lvlText w:val="%5."/>
      <w:lvlJc w:val="left"/>
      <w:pPr>
        <w:ind w:left="4243" w:hanging="360"/>
      </w:pPr>
    </w:lvl>
    <w:lvl w:ilvl="5" w:tplc="340A001B" w:tentative="1">
      <w:start w:val="1"/>
      <w:numFmt w:val="lowerRoman"/>
      <w:lvlText w:val="%6."/>
      <w:lvlJc w:val="right"/>
      <w:pPr>
        <w:ind w:left="4963" w:hanging="180"/>
      </w:pPr>
    </w:lvl>
    <w:lvl w:ilvl="6" w:tplc="340A000F" w:tentative="1">
      <w:start w:val="1"/>
      <w:numFmt w:val="decimal"/>
      <w:lvlText w:val="%7."/>
      <w:lvlJc w:val="left"/>
      <w:pPr>
        <w:ind w:left="5683" w:hanging="360"/>
      </w:pPr>
    </w:lvl>
    <w:lvl w:ilvl="7" w:tplc="340A0019" w:tentative="1">
      <w:start w:val="1"/>
      <w:numFmt w:val="lowerLetter"/>
      <w:lvlText w:val="%8."/>
      <w:lvlJc w:val="left"/>
      <w:pPr>
        <w:ind w:left="6403" w:hanging="360"/>
      </w:pPr>
    </w:lvl>
    <w:lvl w:ilvl="8" w:tplc="340A001B" w:tentative="1">
      <w:start w:val="1"/>
      <w:numFmt w:val="lowerRoman"/>
      <w:lvlText w:val="%9."/>
      <w:lvlJc w:val="right"/>
      <w:pPr>
        <w:ind w:left="7123" w:hanging="180"/>
      </w:pPr>
    </w:lvl>
  </w:abstractNum>
  <w:abstractNum w:abstractNumId="2" w15:restartNumberingAfterBreak="0">
    <w:nsid w:val="15AF7DC0"/>
    <w:multiLevelType w:val="hybridMultilevel"/>
    <w:tmpl w:val="F7A2B7DA"/>
    <w:lvl w:ilvl="0" w:tplc="1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D7731F"/>
    <w:multiLevelType w:val="hybridMultilevel"/>
    <w:tmpl w:val="4F42EE16"/>
    <w:lvl w:ilvl="0" w:tplc="2C283E96">
      <w:start w:val="7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1DB743F"/>
    <w:multiLevelType w:val="hybridMultilevel"/>
    <w:tmpl w:val="41582402"/>
    <w:lvl w:ilvl="0" w:tplc="DF14809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3452DA"/>
    <w:multiLevelType w:val="hybridMultilevel"/>
    <w:tmpl w:val="6A70CF4C"/>
    <w:lvl w:ilvl="0" w:tplc="1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14708D"/>
    <w:multiLevelType w:val="hybridMultilevel"/>
    <w:tmpl w:val="D2E2A14A"/>
    <w:lvl w:ilvl="0" w:tplc="25FA6E3E">
      <w:start w:val="1"/>
      <w:numFmt w:val="upperLetter"/>
      <w:lvlText w:val="%1."/>
      <w:lvlJc w:val="left"/>
      <w:pPr>
        <w:ind w:left="153" w:hanging="36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7" w15:restartNumberingAfterBreak="0">
    <w:nsid w:val="4688207F"/>
    <w:multiLevelType w:val="hybridMultilevel"/>
    <w:tmpl w:val="E348E25C"/>
    <w:lvl w:ilvl="0" w:tplc="8B06F2BC">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03A10ED"/>
    <w:multiLevelType w:val="hybridMultilevel"/>
    <w:tmpl w:val="1C6CE170"/>
    <w:lvl w:ilvl="0" w:tplc="4AEEDCB2">
      <w:start w:val="1"/>
      <w:numFmt w:val="decimal"/>
      <w:lvlText w:val="%1."/>
      <w:lvlJc w:val="left"/>
      <w:pPr>
        <w:ind w:left="360" w:hanging="360"/>
      </w:pPr>
      <w:rPr>
        <w:b w:val="0"/>
        <w:bCs w:val="0"/>
        <w:i w:val="0"/>
        <w:iCs w:val="0"/>
        <w:strike w:val="0"/>
        <w:sz w:val="20"/>
        <w:szCs w:val="20"/>
        <w:vertAlign w:val="baseline"/>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9" w15:restartNumberingAfterBreak="0">
    <w:nsid w:val="52832EE9"/>
    <w:multiLevelType w:val="hybridMultilevel"/>
    <w:tmpl w:val="C99C1090"/>
    <w:lvl w:ilvl="0" w:tplc="1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0" w15:restartNumberingAfterBreak="0">
    <w:nsid w:val="58254ADE"/>
    <w:multiLevelType w:val="hybridMultilevel"/>
    <w:tmpl w:val="ABCC3206"/>
    <w:lvl w:ilvl="0" w:tplc="CE949F8C">
      <w:start w:val="1"/>
      <w:numFmt w:val="decimal"/>
      <w:lvlText w:val="%1."/>
      <w:lvlJc w:val="left"/>
      <w:pPr>
        <w:ind w:left="2727" w:hanging="360"/>
      </w:pPr>
      <w:rPr>
        <w:rFonts w:hint="default"/>
        <w:b w:val="0"/>
        <w:i w:val="0"/>
        <w:sz w:val="20"/>
        <w:szCs w:val="20"/>
      </w:rPr>
    </w:lvl>
    <w:lvl w:ilvl="1" w:tplc="340A0019">
      <w:start w:val="1"/>
      <w:numFmt w:val="lowerLetter"/>
      <w:lvlText w:val="%2."/>
      <w:lvlJc w:val="left"/>
      <w:pPr>
        <w:ind w:left="3447" w:hanging="360"/>
      </w:pPr>
    </w:lvl>
    <w:lvl w:ilvl="2" w:tplc="340A001B" w:tentative="1">
      <w:start w:val="1"/>
      <w:numFmt w:val="lowerRoman"/>
      <w:lvlText w:val="%3."/>
      <w:lvlJc w:val="right"/>
      <w:pPr>
        <w:ind w:left="4167" w:hanging="180"/>
      </w:pPr>
    </w:lvl>
    <w:lvl w:ilvl="3" w:tplc="340A000F" w:tentative="1">
      <w:start w:val="1"/>
      <w:numFmt w:val="decimal"/>
      <w:lvlText w:val="%4."/>
      <w:lvlJc w:val="left"/>
      <w:pPr>
        <w:ind w:left="4887" w:hanging="360"/>
      </w:pPr>
    </w:lvl>
    <w:lvl w:ilvl="4" w:tplc="340A0019" w:tentative="1">
      <w:start w:val="1"/>
      <w:numFmt w:val="lowerLetter"/>
      <w:lvlText w:val="%5."/>
      <w:lvlJc w:val="left"/>
      <w:pPr>
        <w:ind w:left="5607" w:hanging="360"/>
      </w:pPr>
    </w:lvl>
    <w:lvl w:ilvl="5" w:tplc="340A001B" w:tentative="1">
      <w:start w:val="1"/>
      <w:numFmt w:val="lowerRoman"/>
      <w:lvlText w:val="%6."/>
      <w:lvlJc w:val="right"/>
      <w:pPr>
        <w:ind w:left="6327" w:hanging="180"/>
      </w:pPr>
    </w:lvl>
    <w:lvl w:ilvl="6" w:tplc="340A000F" w:tentative="1">
      <w:start w:val="1"/>
      <w:numFmt w:val="decimal"/>
      <w:lvlText w:val="%7."/>
      <w:lvlJc w:val="left"/>
      <w:pPr>
        <w:ind w:left="7047" w:hanging="360"/>
      </w:pPr>
    </w:lvl>
    <w:lvl w:ilvl="7" w:tplc="340A0019" w:tentative="1">
      <w:start w:val="1"/>
      <w:numFmt w:val="lowerLetter"/>
      <w:lvlText w:val="%8."/>
      <w:lvlJc w:val="left"/>
      <w:pPr>
        <w:ind w:left="7767" w:hanging="360"/>
      </w:pPr>
    </w:lvl>
    <w:lvl w:ilvl="8" w:tplc="340A001B" w:tentative="1">
      <w:start w:val="1"/>
      <w:numFmt w:val="lowerRoman"/>
      <w:lvlText w:val="%9."/>
      <w:lvlJc w:val="right"/>
      <w:pPr>
        <w:ind w:left="8487" w:hanging="180"/>
      </w:pPr>
    </w:lvl>
  </w:abstractNum>
  <w:abstractNum w:abstractNumId="11" w15:restartNumberingAfterBreak="0">
    <w:nsid w:val="5E5C3FEA"/>
    <w:multiLevelType w:val="hybridMultilevel"/>
    <w:tmpl w:val="3898A8B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F4C2233"/>
    <w:multiLevelType w:val="hybridMultilevel"/>
    <w:tmpl w:val="7EA8578E"/>
    <w:lvl w:ilvl="0" w:tplc="6E46E8B0">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1EB440A"/>
    <w:multiLevelType w:val="hybridMultilevel"/>
    <w:tmpl w:val="068EF004"/>
    <w:lvl w:ilvl="0" w:tplc="9DEA947C">
      <w:start w:val="1"/>
      <w:numFmt w:val="lowerLetter"/>
      <w:lvlText w:val="%1)"/>
      <w:lvlJc w:val="left"/>
      <w:pPr>
        <w:ind w:left="153" w:hanging="360"/>
      </w:pPr>
      <w:rPr>
        <w:rFonts w:eastAsia="Batang"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14" w15:restartNumberingAfterBreak="0">
    <w:nsid w:val="62966BAF"/>
    <w:multiLevelType w:val="hybridMultilevel"/>
    <w:tmpl w:val="BBC89D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47B02BA"/>
    <w:multiLevelType w:val="hybridMultilevel"/>
    <w:tmpl w:val="75362850"/>
    <w:lvl w:ilvl="0" w:tplc="140A0017">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6" w15:restartNumberingAfterBreak="0">
    <w:nsid w:val="65E37562"/>
    <w:multiLevelType w:val="hybridMultilevel"/>
    <w:tmpl w:val="9D3C77DE"/>
    <w:lvl w:ilvl="0" w:tplc="FD6EEC94">
      <w:start w:val="1"/>
      <w:numFmt w:val="lowerLetter"/>
      <w:lvlText w:val="%1."/>
      <w:lvlJc w:val="left"/>
      <w:pPr>
        <w:ind w:left="501"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73D5568"/>
    <w:multiLevelType w:val="hybridMultilevel"/>
    <w:tmpl w:val="43D80178"/>
    <w:lvl w:ilvl="0" w:tplc="AE1AA35A">
      <w:start w:val="1"/>
      <w:numFmt w:val="upperRoman"/>
      <w:lvlText w:val="%1."/>
      <w:lvlJc w:val="left"/>
      <w:pPr>
        <w:ind w:left="513" w:hanging="720"/>
      </w:pPr>
      <w:rPr>
        <w:rFonts w:hint="default"/>
        <w:b/>
        <w:bCs/>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18" w15:restartNumberingAfterBreak="0">
    <w:nsid w:val="68FD7D50"/>
    <w:multiLevelType w:val="multilevel"/>
    <w:tmpl w:val="1104267E"/>
    <w:lvl w:ilvl="0">
      <w:start w:val="1"/>
      <w:numFmt w:val="decimal"/>
      <w:pStyle w:val="PrrafodeSentencia"/>
      <w:lvlText w:val="%1."/>
      <w:lvlJc w:val="left"/>
      <w:pPr>
        <w:ind w:left="967" w:hanging="825"/>
      </w:pPr>
      <w:rPr>
        <w:b w:val="0"/>
        <w:i w:val="0"/>
        <w:strike w:val="0"/>
        <w:color w:val="000000"/>
        <w:sz w:val="20"/>
        <w:szCs w:val="20"/>
      </w:rPr>
    </w:lvl>
    <w:lvl w:ilvl="1">
      <w:start w:val="1"/>
      <w:numFmt w:val="lowerLetter"/>
      <w:pStyle w:val="Ttulo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7E54D9"/>
    <w:multiLevelType w:val="hybridMultilevel"/>
    <w:tmpl w:val="263C28E0"/>
    <w:lvl w:ilvl="0" w:tplc="66962656">
      <w:start w:val="1"/>
      <w:numFmt w:val="upperLetter"/>
      <w:lvlText w:val="%1."/>
      <w:lvlJc w:val="left"/>
      <w:pPr>
        <w:ind w:left="1068" w:hanging="360"/>
      </w:pPr>
      <w:rPr>
        <w:rFonts w:hint="default"/>
        <w:b/>
        <w:bCs/>
      </w:rPr>
    </w:lvl>
    <w:lvl w:ilvl="1" w:tplc="340A0019" w:tentative="1">
      <w:start w:val="1"/>
      <w:numFmt w:val="lowerLetter"/>
      <w:lvlText w:val="%2."/>
      <w:lvlJc w:val="left"/>
      <w:pPr>
        <w:ind w:left="1930" w:hanging="360"/>
      </w:pPr>
    </w:lvl>
    <w:lvl w:ilvl="2" w:tplc="340A001B" w:tentative="1">
      <w:start w:val="1"/>
      <w:numFmt w:val="lowerRoman"/>
      <w:lvlText w:val="%3."/>
      <w:lvlJc w:val="right"/>
      <w:pPr>
        <w:ind w:left="2650" w:hanging="180"/>
      </w:pPr>
    </w:lvl>
    <w:lvl w:ilvl="3" w:tplc="340A000F" w:tentative="1">
      <w:start w:val="1"/>
      <w:numFmt w:val="decimal"/>
      <w:lvlText w:val="%4."/>
      <w:lvlJc w:val="left"/>
      <w:pPr>
        <w:ind w:left="3370" w:hanging="360"/>
      </w:pPr>
    </w:lvl>
    <w:lvl w:ilvl="4" w:tplc="340A0019" w:tentative="1">
      <w:start w:val="1"/>
      <w:numFmt w:val="lowerLetter"/>
      <w:lvlText w:val="%5."/>
      <w:lvlJc w:val="left"/>
      <w:pPr>
        <w:ind w:left="4090" w:hanging="360"/>
      </w:pPr>
    </w:lvl>
    <w:lvl w:ilvl="5" w:tplc="340A001B" w:tentative="1">
      <w:start w:val="1"/>
      <w:numFmt w:val="lowerRoman"/>
      <w:lvlText w:val="%6."/>
      <w:lvlJc w:val="right"/>
      <w:pPr>
        <w:ind w:left="4810" w:hanging="180"/>
      </w:pPr>
    </w:lvl>
    <w:lvl w:ilvl="6" w:tplc="340A000F" w:tentative="1">
      <w:start w:val="1"/>
      <w:numFmt w:val="decimal"/>
      <w:lvlText w:val="%7."/>
      <w:lvlJc w:val="left"/>
      <w:pPr>
        <w:ind w:left="5530" w:hanging="360"/>
      </w:pPr>
    </w:lvl>
    <w:lvl w:ilvl="7" w:tplc="340A0019" w:tentative="1">
      <w:start w:val="1"/>
      <w:numFmt w:val="lowerLetter"/>
      <w:lvlText w:val="%8."/>
      <w:lvlJc w:val="left"/>
      <w:pPr>
        <w:ind w:left="6250" w:hanging="360"/>
      </w:pPr>
    </w:lvl>
    <w:lvl w:ilvl="8" w:tplc="340A001B" w:tentative="1">
      <w:start w:val="1"/>
      <w:numFmt w:val="lowerRoman"/>
      <w:lvlText w:val="%9."/>
      <w:lvlJc w:val="right"/>
      <w:pPr>
        <w:ind w:left="6970" w:hanging="180"/>
      </w:pPr>
    </w:lvl>
  </w:abstractNum>
  <w:abstractNum w:abstractNumId="20" w15:restartNumberingAfterBreak="0">
    <w:nsid w:val="76E33427"/>
    <w:multiLevelType w:val="hybridMultilevel"/>
    <w:tmpl w:val="0FA46746"/>
    <w:lvl w:ilvl="0" w:tplc="F6BADE24">
      <w:start w:val="208"/>
      <w:numFmt w:val="bullet"/>
      <w:lvlText w:val="-"/>
      <w:lvlJc w:val="left"/>
      <w:pPr>
        <w:ind w:left="720" w:hanging="360"/>
      </w:pPr>
      <w:rPr>
        <w:rFonts w:ascii="Calibri Light" w:eastAsia="Calibri" w:hAnsi="Calibri Light" w:cs="Calibri Ligh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9B313B0"/>
    <w:multiLevelType w:val="hybridMultilevel"/>
    <w:tmpl w:val="58A87904"/>
    <w:lvl w:ilvl="0" w:tplc="50343DAC">
      <w:start w:val="1"/>
      <w:numFmt w:val="lowerLetter"/>
      <w:lvlText w:val="%1)"/>
      <w:lvlJc w:val="left"/>
      <w:pPr>
        <w:ind w:left="153" w:hanging="360"/>
      </w:pPr>
      <w:rPr>
        <w:rFonts w:hint="default"/>
        <w:i w:val="0"/>
        <w:iCs/>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14"/>
  </w:num>
  <w:num w:numId="2">
    <w:abstractNumId w:val="12"/>
  </w:num>
  <w:num w:numId="3">
    <w:abstractNumId w:val="4"/>
  </w:num>
  <w:num w:numId="4">
    <w:abstractNumId w:val="17"/>
  </w:num>
  <w:num w:numId="5">
    <w:abstractNumId w:val="10"/>
  </w:num>
  <w:num w:numId="6">
    <w:abstractNumId w:val="2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5"/>
  </w:num>
  <w:num w:numId="12">
    <w:abstractNumId w:val="1"/>
  </w:num>
  <w:num w:numId="13">
    <w:abstractNumId w:val="19"/>
  </w:num>
  <w:num w:numId="14">
    <w:abstractNumId w:val="16"/>
  </w:num>
  <w:num w:numId="15">
    <w:abstractNumId w:val="11"/>
  </w:num>
  <w:num w:numId="16">
    <w:abstractNumId w:val="13"/>
  </w:num>
  <w:num w:numId="17">
    <w:abstractNumId w:val="6"/>
  </w:num>
  <w:num w:numId="18">
    <w:abstractNumId w:val="20"/>
  </w:num>
  <w:num w:numId="19">
    <w:abstractNumId w:val="3"/>
  </w:num>
  <w:num w:numId="20">
    <w:abstractNumId w:val="9"/>
  </w:num>
  <w:num w:numId="21">
    <w:abstractNumId w:val="0"/>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6E"/>
    <w:rsid w:val="00001ADE"/>
    <w:rsid w:val="00007E4F"/>
    <w:rsid w:val="000177D2"/>
    <w:rsid w:val="00020688"/>
    <w:rsid w:val="00027D77"/>
    <w:rsid w:val="000321BA"/>
    <w:rsid w:val="00036658"/>
    <w:rsid w:val="0004546F"/>
    <w:rsid w:val="00050C4A"/>
    <w:rsid w:val="00063C9F"/>
    <w:rsid w:val="00063D85"/>
    <w:rsid w:val="0006480B"/>
    <w:rsid w:val="0006660E"/>
    <w:rsid w:val="000666FE"/>
    <w:rsid w:val="00081461"/>
    <w:rsid w:val="0008754D"/>
    <w:rsid w:val="0009413D"/>
    <w:rsid w:val="00094864"/>
    <w:rsid w:val="00094E5F"/>
    <w:rsid w:val="000A2526"/>
    <w:rsid w:val="000A27EE"/>
    <w:rsid w:val="000A27F2"/>
    <w:rsid w:val="000A3C86"/>
    <w:rsid w:val="000A6157"/>
    <w:rsid w:val="000B4BC4"/>
    <w:rsid w:val="000B703F"/>
    <w:rsid w:val="000C269A"/>
    <w:rsid w:val="000C3213"/>
    <w:rsid w:val="000C46D4"/>
    <w:rsid w:val="000D0A22"/>
    <w:rsid w:val="000D20D0"/>
    <w:rsid w:val="000D47DD"/>
    <w:rsid w:val="000E3C26"/>
    <w:rsid w:val="000F21AC"/>
    <w:rsid w:val="000F3317"/>
    <w:rsid w:val="000F54C3"/>
    <w:rsid w:val="000F671D"/>
    <w:rsid w:val="0010271B"/>
    <w:rsid w:val="00103136"/>
    <w:rsid w:val="00103BFE"/>
    <w:rsid w:val="0010676D"/>
    <w:rsid w:val="0010687B"/>
    <w:rsid w:val="001143F9"/>
    <w:rsid w:val="00117504"/>
    <w:rsid w:val="00124D54"/>
    <w:rsid w:val="00126461"/>
    <w:rsid w:val="001333CA"/>
    <w:rsid w:val="0013479D"/>
    <w:rsid w:val="00134EFD"/>
    <w:rsid w:val="0013571D"/>
    <w:rsid w:val="00135E7D"/>
    <w:rsid w:val="0013741C"/>
    <w:rsid w:val="00157D43"/>
    <w:rsid w:val="00160D64"/>
    <w:rsid w:val="00160F33"/>
    <w:rsid w:val="00161781"/>
    <w:rsid w:val="00162BD6"/>
    <w:rsid w:val="00163BF8"/>
    <w:rsid w:val="00170748"/>
    <w:rsid w:val="001717B6"/>
    <w:rsid w:val="00173616"/>
    <w:rsid w:val="00174997"/>
    <w:rsid w:val="00176740"/>
    <w:rsid w:val="0017788F"/>
    <w:rsid w:val="00180178"/>
    <w:rsid w:val="00183EA4"/>
    <w:rsid w:val="00184A50"/>
    <w:rsid w:val="0019112A"/>
    <w:rsid w:val="00191E7B"/>
    <w:rsid w:val="00193CD3"/>
    <w:rsid w:val="001956F5"/>
    <w:rsid w:val="00196439"/>
    <w:rsid w:val="00197C41"/>
    <w:rsid w:val="001B0F62"/>
    <w:rsid w:val="001B2C55"/>
    <w:rsid w:val="001B3477"/>
    <w:rsid w:val="001C12FB"/>
    <w:rsid w:val="001C1C29"/>
    <w:rsid w:val="001C6725"/>
    <w:rsid w:val="001C7403"/>
    <w:rsid w:val="001D2498"/>
    <w:rsid w:val="001D24B8"/>
    <w:rsid w:val="001D4F29"/>
    <w:rsid w:val="001D5100"/>
    <w:rsid w:val="001E12EE"/>
    <w:rsid w:val="001E44F2"/>
    <w:rsid w:val="001E71E4"/>
    <w:rsid w:val="001E77D3"/>
    <w:rsid w:val="001F1D74"/>
    <w:rsid w:val="001F6ED2"/>
    <w:rsid w:val="00207056"/>
    <w:rsid w:val="00207725"/>
    <w:rsid w:val="002123C0"/>
    <w:rsid w:val="00215514"/>
    <w:rsid w:val="00231010"/>
    <w:rsid w:val="0023720D"/>
    <w:rsid w:val="00246315"/>
    <w:rsid w:val="00251644"/>
    <w:rsid w:val="002612DE"/>
    <w:rsid w:val="002671FD"/>
    <w:rsid w:val="002774ED"/>
    <w:rsid w:val="00290A11"/>
    <w:rsid w:val="002A3EFF"/>
    <w:rsid w:val="002B1718"/>
    <w:rsid w:val="002B1A16"/>
    <w:rsid w:val="002B4C9E"/>
    <w:rsid w:val="002C05D0"/>
    <w:rsid w:val="002C1DA4"/>
    <w:rsid w:val="002C2ABF"/>
    <w:rsid w:val="002C332A"/>
    <w:rsid w:val="002D243B"/>
    <w:rsid w:val="002D4CDE"/>
    <w:rsid w:val="002D6B22"/>
    <w:rsid w:val="002E1B45"/>
    <w:rsid w:val="002E2BA0"/>
    <w:rsid w:val="002E4094"/>
    <w:rsid w:val="00301D4B"/>
    <w:rsid w:val="003027F4"/>
    <w:rsid w:val="003055D4"/>
    <w:rsid w:val="00306976"/>
    <w:rsid w:val="003105B5"/>
    <w:rsid w:val="00311ACB"/>
    <w:rsid w:val="003129E1"/>
    <w:rsid w:val="00323BB6"/>
    <w:rsid w:val="00334F52"/>
    <w:rsid w:val="0034048E"/>
    <w:rsid w:val="00341BD2"/>
    <w:rsid w:val="00344EA7"/>
    <w:rsid w:val="00351E0A"/>
    <w:rsid w:val="00355348"/>
    <w:rsid w:val="003557B7"/>
    <w:rsid w:val="00360F16"/>
    <w:rsid w:val="0037143F"/>
    <w:rsid w:val="0037188C"/>
    <w:rsid w:val="0037239C"/>
    <w:rsid w:val="00373939"/>
    <w:rsid w:val="00376CAE"/>
    <w:rsid w:val="00376ED6"/>
    <w:rsid w:val="003772CE"/>
    <w:rsid w:val="0038569F"/>
    <w:rsid w:val="003862DE"/>
    <w:rsid w:val="00393C17"/>
    <w:rsid w:val="0039465E"/>
    <w:rsid w:val="003A2956"/>
    <w:rsid w:val="003A32AD"/>
    <w:rsid w:val="003A7120"/>
    <w:rsid w:val="003A72AB"/>
    <w:rsid w:val="003B6CA4"/>
    <w:rsid w:val="003C1526"/>
    <w:rsid w:val="003C1A1D"/>
    <w:rsid w:val="003C66A5"/>
    <w:rsid w:val="003D243B"/>
    <w:rsid w:val="003D5023"/>
    <w:rsid w:val="003D7329"/>
    <w:rsid w:val="003E05D4"/>
    <w:rsid w:val="003F4AC0"/>
    <w:rsid w:val="003F5415"/>
    <w:rsid w:val="004000B4"/>
    <w:rsid w:val="00400A5F"/>
    <w:rsid w:val="00403AB6"/>
    <w:rsid w:val="00406343"/>
    <w:rsid w:val="00410EB1"/>
    <w:rsid w:val="004117B2"/>
    <w:rsid w:val="00417ED0"/>
    <w:rsid w:val="00417F41"/>
    <w:rsid w:val="00420FDA"/>
    <w:rsid w:val="004216E8"/>
    <w:rsid w:val="00425C49"/>
    <w:rsid w:val="00434F2B"/>
    <w:rsid w:val="00435026"/>
    <w:rsid w:val="0043582A"/>
    <w:rsid w:val="00443862"/>
    <w:rsid w:val="00447002"/>
    <w:rsid w:val="00447D53"/>
    <w:rsid w:val="00454B65"/>
    <w:rsid w:val="004565E4"/>
    <w:rsid w:val="004608EF"/>
    <w:rsid w:val="004647F8"/>
    <w:rsid w:val="00464D30"/>
    <w:rsid w:val="00465605"/>
    <w:rsid w:val="00470495"/>
    <w:rsid w:val="0047143B"/>
    <w:rsid w:val="00491191"/>
    <w:rsid w:val="00495782"/>
    <w:rsid w:val="004C1360"/>
    <w:rsid w:val="004C6A87"/>
    <w:rsid w:val="004D6F39"/>
    <w:rsid w:val="004D6F89"/>
    <w:rsid w:val="004D7F0E"/>
    <w:rsid w:val="004E0936"/>
    <w:rsid w:val="00503118"/>
    <w:rsid w:val="0050363C"/>
    <w:rsid w:val="005107BB"/>
    <w:rsid w:val="005162B1"/>
    <w:rsid w:val="005168B2"/>
    <w:rsid w:val="0052331C"/>
    <w:rsid w:val="00531B3D"/>
    <w:rsid w:val="005344DD"/>
    <w:rsid w:val="005379F9"/>
    <w:rsid w:val="005410FB"/>
    <w:rsid w:val="005440E4"/>
    <w:rsid w:val="00554807"/>
    <w:rsid w:val="00554A13"/>
    <w:rsid w:val="005605F3"/>
    <w:rsid w:val="00577A9D"/>
    <w:rsid w:val="005878CE"/>
    <w:rsid w:val="005A05C1"/>
    <w:rsid w:val="005A5859"/>
    <w:rsid w:val="005C153D"/>
    <w:rsid w:val="005C2FFC"/>
    <w:rsid w:val="005D1373"/>
    <w:rsid w:val="005D2887"/>
    <w:rsid w:val="005D5937"/>
    <w:rsid w:val="005D61E9"/>
    <w:rsid w:val="005D6EBA"/>
    <w:rsid w:val="005F4C27"/>
    <w:rsid w:val="00610552"/>
    <w:rsid w:val="00612664"/>
    <w:rsid w:val="00612A4E"/>
    <w:rsid w:val="00613604"/>
    <w:rsid w:val="00616AAD"/>
    <w:rsid w:val="006172E9"/>
    <w:rsid w:val="00620013"/>
    <w:rsid w:val="006234EC"/>
    <w:rsid w:val="0062568A"/>
    <w:rsid w:val="00635B24"/>
    <w:rsid w:val="006366F4"/>
    <w:rsid w:val="00637140"/>
    <w:rsid w:val="0064637C"/>
    <w:rsid w:val="00651EC0"/>
    <w:rsid w:val="00654981"/>
    <w:rsid w:val="0065650F"/>
    <w:rsid w:val="00670FAD"/>
    <w:rsid w:val="006722B2"/>
    <w:rsid w:val="00675B0D"/>
    <w:rsid w:val="00680466"/>
    <w:rsid w:val="006873AD"/>
    <w:rsid w:val="00687D8D"/>
    <w:rsid w:val="006941A2"/>
    <w:rsid w:val="006C1952"/>
    <w:rsid w:val="006C48AE"/>
    <w:rsid w:val="006D484D"/>
    <w:rsid w:val="006D6524"/>
    <w:rsid w:val="006E21DE"/>
    <w:rsid w:val="006E37A3"/>
    <w:rsid w:val="006E6AE6"/>
    <w:rsid w:val="006F2140"/>
    <w:rsid w:val="006F42A5"/>
    <w:rsid w:val="006F52F3"/>
    <w:rsid w:val="006F6AFD"/>
    <w:rsid w:val="00704703"/>
    <w:rsid w:val="00713316"/>
    <w:rsid w:val="007402B6"/>
    <w:rsid w:val="00741A3A"/>
    <w:rsid w:val="00743826"/>
    <w:rsid w:val="007447C8"/>
    <w:rsid w:val="00744CA3"/>
    <w:rsid w:val="00745274"/>
    <w:rsid w:val="00745B06"/>
    <w:rsid w:val="00750EBE"/>
    <w:rsid w:val="00753E33"/>
    <w:rsid w:val="00757DAC"/>
    <w:rsid w:val="007605E9"/>
    <w:rsid w:val="00764633"/>
    <w:rsid w:val="00765A46"/>
    <w:rsid w:val="00766E36"/>
    <w:rsid w:val="0077129A"/>
    <w:rsid w:val="00773883"/>
    <w:rsid w:val="0077483C"/>
    <w:rsid w:val="0077543D"/>
    <w:rsid w:val="00776293"/>
    <w:rsid w:val="00776907"/>
    <w:rsid w:val="007850BB"/>
    <w:rsid w:val="007865AC"/>
    <w:rsid w:val="00795077"/>
    <w:rsid w:val="007A210D"/>
    <w:rsid w:val="007A5C8E"/>
    <w:rsid w:val="007B2A68"/>
    <w:rsid w:val="007B35AA"/>
    <w:rsid w:val="007B5639"/>
    <w:rsid w:val="007C5012"/>
    <w:rsid w:val="007D04F2"/>
    <w:rsid w:val="007D23B3"/>
    <w:rsid w:val="007D28B2"/>
    <w:rsid w:val="007D36A4"/>
    <w:rsid w:val="007D602D"/>
    <w:rsid w:val="007E6B73"/>
    <w:rsid w:val="007E769A"/>
    <w:rsid w:val="007F4B12"/>
    <w:rsid w:val="00802E07"/>
    <w:rsid w:val="008034FA"/>
    <w:rsid w:val="00803CA8"/>
    <w:rsid w:val="008123F0"/>
    <w:rsid w:val="00813BBA"/>
    <w:rsid w:val="008233F5"/>
    <w:rsid w:val="0082598B"/>
    <w:rsid w:val="00826685"/>
    <w:rsid w:val="00826832"/>
    <w:rsid w:val="008313AC"/>
    <w:rsid w:val="00833777"/>
    <w:rsid w:val="00843233"/>
    <w:rsid w:val="008441BE"/>
    <w:rsid w:val="00857186"/>
    <w:rsid w:val="008625A9"/>
    <w:rsid w:val="00865C38"/>
    <w:rsid w:val="00871EDD"/>
    <w:rsid w:val="00875669"/>
    <w:rsid w:val="008914C8"/>
    <w:rsid w:val="00893E31"/>
    <w:rsid w:val="0089506F"/>
    <w:rsid w:val="008A1B23"/>
    <w:rsid w:val="008A6692"/>
    <w:rsid w:val="008A7773"/>
    <w:rsid w:val="008B016A"/>
    <w:rsid w:val="008B448F"/>
    <w:rsid w:val="008B4B97"/>
    <w:rsid w:val="008C273C"/>
    <w:rsid w:val="008C2927"/>
    <w:rsid w:val="008D3B44"/>
    <w:rsid w:val="008E0006"/>
    <w:rsid w:val="008E00C9"/>
    <w:rsid w:val="008F04C7"/>
    <w:rsid w:val="008F2BCA"/>
    <w:rsid w:val="008F6189"/>
    <w:rsid w:val="009068F7"/>
    <w:rsid w:val="009138DD"/>
    <w:rsid w:val="00914CFC"/>
    <w:rsid w:val="00923839"/>
    <w:rsid w:val="00941168"/>
    <w:rsid w:val="00947ECC"/>
    <w:rsid w:val="00961DAB"/>
    <w:rsid w:val="0097194E"/>
    <w:rsid w:val="00971D28"/>
    <w:rsid w:val="00976EC3"/>
    <w:rsid w:val="009801FE"/>
    <w:rsid w:val="00991337"/>
    <w:rsid w:val="009929B5"/>
    <w:rsid w:val="009A236F"/>
    <w:rsid w:val="009A5BE2"/>
    <w:rsid w:val="009A612F"/>
    <w:rsid w:val="009B5150"/>
    <w:rsid w:val="009B728F"/>
    <w:rsid w:val="009C5D2D"/>
    <w:rsid w:val="009C670B"/>
    <w:rsid w:val="009D0E05"/>
    <w:rsid w:val="009D14C2"/>
    <w:rsid w:val="009D1C81"/>
    <w:rsid w:val="009D23A1"/>
    <w:rsid w:val="009E0DC6"/>
    <w:rsid w:val="009E11C1"/>
    <w:rsid w:val="009F47EF"/>
    <w:rsid w:val="009F52DF"/>
    <w:rsid w:val="009F5CFA"/>
    <w:rsid w:val="00A04FC7"/>
    <w:rsid w:val="00A14C51"/>
    <w:rsid w:val="00A17C14"/>
    <w:rsid w:val="00A229F3"/>
    <w:rsid w:val="00A2577B"/>
    <w:rsid w:val="00A30210"/>
    <w:rsid w:val="00A5690E"/>
    <w:rsid w:val="00A56CAB"/>
    <w:rsid w:val="00A607AE"/>
    <w:rsid w:val="00A63F1B"/>
    <w:rsid w:val="00A80E9D"/>
    <w:rsid w:val="00A86BA9"/>
    <w:rsid w:val="00A87EC1"/>
    <w:rsid w:val="00A96437"/>
    <w:rsid w:val="00A97765"/>
    <w:rsid w:val="00AA0042"/>
    <w:rsid w:val="00AA207D"/>
    <w:rsid w:val="00AA3FB1"/>
    <w:rsid w:val="00AA40B9"/>
    <w:rsid w:val="00AC2FA9"/>
    <w:rsid w:val="00AC7D61"/>
    <w:rsid w:val="00AD3637"/>
    <w:rsid w:val="00AD6FFA"/>
    <w:rsid w:val="00AD7B1A"/>
    <w:rsid w:val="00AE110B"/>
    <w:rsid w:val="00AE26C7"/>
    <w:rsid w:val="00AE3934"/>
    <w:rsid w:val="00AE4E61"/>
    <w:rsid w:val="00AE64B5"/>
    <w:rsid w:val="00AF2E4B"/>
    <w:rsid w:val="00AF3482"/>
    <w:rsid w:val="00AF55A2"/>
    <w:rsid w:val="00AF6C0D"/>
    <w:rsid w:val="00AF78C9"/>
    <w:rsid w:val="00B04C3B"/>
    <w:rsid w:val="00B105E0"/>
    <w:rsid w:val="00B11052"/>
    <w:rsid w:val="00B24B6A"/>
    <w:rsid w:val="00B25021"/>
    <w:rsid w:val="00B32626"/>
    <w:rsid w:val="00B3529F"/>
    <w:rsid w:val="00B41B23"/>
    <w:rsid w:val="00B42899"/>
    <w:rsid w:val="00B5377E"/>
    <w:rsid w:val="00B538FA"/>
    <w:rsid w:val="00B55026"/>
    <w:rsid w:val="00B61087"/>
    <w:rsid w:val="00B6281C"/>
    <w:rsid w:val="00B70FE7"/>
    <w:rsid w:val="00B75ACA"/>
    <w:rsid w:val="00B76F78"/>
    <w:rsid w:val="00B85439"/>
    <w:rsid w:val="00B87CB1"/>
    <w:rsid w:val="00B91910"/>
    <w:rsid w:val="00B94AE8"/>
    <w:rsid w:val="00B97D16"/>
    <w:rsid w:val="00BA0920"/>
    <w:rsid w:val="00BA348C"/>
    <w:rsid w:val="00BB6AC2"/>
    <w:rsid w:val="00BC3E92"/>
    <w:rsid w:val="00BC43BA"/>
    <w:rsid w:val="00BC5391"/>
    <w:rsid w:val="00BC5A73"/>
    <w:rsid w:val="00BD0FFC"/>
    <w:rsid w:val="00BD3EE9"/>
    <w:rsid w:val="00BF1815"/>
    <w:rsid w:val="00BF2D3F"/>
    <w:rsid w:val="00BF5D87"/>
    <w:rsid w:val="00C02F59"/>
    <w:rsid w:val="00C038F5"/>
    <w:rsid w:val="00C14549"/>
    <w:rsid w:val="00C205F6"/>
    <w:rsid w:val="00C21FEC"/>
    <w:rsid w:val="00C2208A"/>
    <w:rsid w:val="00C222E7"/>
    <w:rsid w:val="00C24868"/>
    <w:rsid w:val="00C2728F"/>
    <w:rsid w:val="00C43FCE"/>
    <w:rsid w:val="00C5472D"/>
    <w:rsid w:val="00C54F70"/>
    <w:rsid w:val="00C56366"/>
    <w:rsid w:val="00C60092"/>
    <w:rsid w:val="00C63357"/>
    <w:rsid w:val="00C74994"/>
    <w:rsid w:val="00C802C0"/>
    <w:rsid w:val="00C80D92"/>
    <w:rsid w:val="00C8789A"/>
    <w:rsid w:val="00C909F8"/>
    <w:rsid w:val="00CB2C98"/>
    <w:rsid w:val="00CC0CF4"/>
    <w:rsid w:val="00CC29B7"/>
    <w:rsid w:val="00CD1409"/>
    <w:rsid w:val="00CD27DC"/>
    <w:rsid w:val="00CD2E88"/>
    <w:rsid w:val="00CD3742"/>
    <w:rsid w:val="00CD3834"/>
    <w:rsid w:val="00CD425A"/>
    <w:rsid w:val="00CD4A17"/>
    <w:rsid w:val="00CE3BB1"/>
    <w:rsid w:val="00CE76EB"/>
    <w:rsid w:val="00CF1D1F"/>
    <w:rsid w:val="00CF242E"/>
    <w:rsid w:val="00CF2634"/>
    <w:rsid w:val="00CF36CC"/>
    <w:rsid w:val="00CF6384"/>
    <w:rsid w:val="00CF6779"/>
    <w:rsid w:val="00D00DD1"/>
    <w:rsid w:val="00D06699"/>
    <w:rsid w:val="00D06A9A"/>
    <w:rsid w:val="00D1574C"/>
    <w:rsid w:val="00D15CBB"/>
    <w:rsid w:val="00D20B67"/>
    <w:rsid w:val="00D22FA2"/>
    <w:rsid w:val="00D30654"/>
    <w:rsid w:val="00D334CD"/>
    <w:rsid w:val="00D52A39"/>
    <w:rsid w:val="00D5481C"/>
    <w:rsid w:val="00D56E83"/>
    <w:rsid w:val="00D60456"/>
    <w:rsid w:val="00D60DF3"/>
    <w:rsid w:val="00D61D96"/>
    <w:rsid w:val="00D634C1"/>
    <w:rsid w:val="00D77AFC"/>
    <w:rsid w:val="00D832F9"/>
    <w:rsid w:val="00D94353"/>
    <w:rsid w:val="00DA2183"/>
    <w:rsid w:val="00DA5A31"/>
    <w:rsid w:val="00DB46B4"/>
    <w:rsid w:val="00DC283A"/>
    <w:rsid w:val="00DC5DEF"/>
    <w:rsid w:val="00DC74CA"/>
    <w:rsid w:val="00DD022B"/>
    <w:rsid w:val="00DD2168"/>
    <w:rsid w:val="00DD331A"/>
    <w:rsid w:val="00DE325D"/>
    <w:rsid w:val="00DE606D"/>
    <w:rsid w:val="00DF29DD"/>
    <w:rsid w:val="00DF4607"/>
    <w:rsid w:val="00DF4B39"/>
    <w:rsid w:val="00DF6FAB"/>
    <w:rsid w:val="00E00360"/>
    <w:rsid w:val="00E05032"/>
    <w:rsid w:val="00E05849"/>
    <w:rsid w:val="00E07250"/>
    <w:rsid w:val="00E13658"/>
    <w:rsid w:val="00E13698"/>
    <w:rsid w:val="00E17603"/>
    <w:rsid w:val="00E22E21"/>
    <w:rsid w:val="00E242D0"/>
    <w:rsid w:val="00E251F3"/>
    <w:rsid w:val="00E30456"/>
    <w:rsid w:val="00E32B7D"/>
    <w:rsid w:val="00E3322C"/>
    <w:rsid w:val="00E36C28"/>
    <w:rsid w:val="00E42974"/>
    <w:rsid w:val="00E52E09"/>
    <w:rsid w:val="00E65358"/>
    <w:rsid w:val="00E66C5F"/>
    <w:rsid w:val="00E66FB6"/>
    <w:rsid w:val="00E7247F"/>
    <w:rsid w:val="00E73E71"/>
    <w:rsid w:val="00E757D1"/>
    <w:rsid w:val="00E9106E"/>
    <w:rsid w:val="00E9697D"/>
    <w:rsid w:val="00EB0985"/>
    <w:rsid w:val="00EB3403"/>
    <w:rsid w:val="00EC1700"/>
    <w:rsid w:val="00EC415C"/>
    <w:rsid w:val="00EC749E"/>
    <w:rsid w:val="00EC760C"/>
    <w:rsid w:val="00ED0D9C"/>
    <w:rsid w:val="00ED12AD"/>
    <w:rsid w:val="00ED15CE"/>
    <w:rsid w:val="00F023E1"/>
    <w:rsid w:val="00F03826"/>
    <w:rsid w:val="00F14A51"/>
    <w:rsid w:val="00F15FC7"/>
    <w:rsid w:val="00F2080B"/>
    <w:rsid w:val="00F20B38"/>
    <w:rsid w:val="00F23D85"/>
    <w:rsid w:val="00F240AA"/>
    <w:rsid w:val="00F32577"/>
    <w:rsid w:val="00F4083D"/>
    <w:rsid w:val="00F44D39"/>
    <w:rsid w:val="00F45042"/>
    <w:rsid w:val="00F51929"/>
    <w:rsid w:val="00F52327"/>
    <w:rsid w:val="00F71F12"/>
    <w:rsid w:val="00F7220B"/>
    <w:rsid w:val="00F75BE8"/>
    <w:rsid w:val="00F81B9D"/>
    <w:rsid w:val="00FA7EFB"/>
    <w:rsid w:val="00FC27ED"/>
    <w:rsid w:val="00FC51E4"/>
    <w:rsid w:val="00FC543B"/>
    <w:rsid w:val="00FE4A49"/>
    <w:rsid w:val="00FF53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D621"/>
  <w15:chartTrackingRefBased/>
  <w15:docId w15:val="{BE5DA4E4-5774-4E48-9E54-F71BB83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70" w:lineRule="atLeast"/>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Prrafodelista"/>
    <w:next w:val="Normal"/>
    <w:link w:val="Ttulo4Car"/>
    <w:qFormat/>
    <w:rsid w:val="004C6A87"/>
    <w:pPr>
      <w:widowControl w:val="0"/>
      <w:numPr>
        <w:ilvl w:val="1"/>
        <w:numId w:val="7"/>
      </w:numPr>
      <w:pBdr>
        <w:top w:val="nil"/>
        <w:left w:val="nil"/>
        <w:bottom w:val="nil"/>
        <w:right w:val="nil"/>
        <w:between w:val="nil"/>
        <w:bar w:val="nil"/>
      </w:pBdr>
      <w:spacing w:line="276" w:lineRule="auto"/>
      <w:contextualSpacing w:val="0"/>
      <w:outlineLvl w:val="3"/>
    </w:pPr>
    <w:rPr>
      <w:rFonts w:ascii="Verdana" w:eastAsia="Verdana" w:hAnsi="Verdana" w:cs="Verdana"/>
      <w:b/>
      <w:bCs/>
      <w:color w:val="000000"/>
      <w:sz w:val="20"/>
      <w:szCs w:val="20"/>
      <w:u w:color="000000"/>
      <w:bdr w:val="nil"/>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E9106E"/>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E9106E"/>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nhideWhenUsed/>
    <w:qFormat/>
    <w:rsid w:val="00E9106E"/>
    <w:rPr>
      <w:vertAlign w:val="superscript"/>
    </w:rPr>
  </w:style>
  <w:style w:type="character" w:styleId="Textoennegrita">
    <w:name w:val="Strong"/>
    <w:aliases w:val="Heading 2.1"/>
    <w:basedOn w:val="Fuentedeprrafopredeter"/>
    <w:uiPriority w:val="22"/>
    <w:qFormat/>
    <w:rsid w:val="00E9106E"/>
    <w:rPr>
      <w:b/>
      <w:bCs/>
    </w:rPr>
  </w:style>
  <w:style w:type="paragraph" w:customStyle="1" w:styleId="Default">
    <w:name w:val="Default"/>
    <w:link w:val="DefaultChar"/>
    <w:rsid w:val="00E9106E"/>
    <w:pPr>
      <w:autoSpaceDE w:val="0"/>
      <w:autoSpaceDN w:val="0"/>
      <w:adjustRightInd w:val="0"/>
      <w:spacing w:line="240" w:lineRule="auto"/>
      <w:ind w:firstLine="357"/>
    </w:pPr>
    <w:rPr>
      <w:rFonts w:ascii="Times New Roman" w:eastAsia="Times New Roman" w:hAnsi="Times New Roman" w:cs="Times New Roman"/>
      <w:color w:val="000000"/>
      <w:sz w:val="24"/>
      <w:szCs w:val="24"/>
      <w:lang w:val="es-CR" w:eastAsia="es-CR"/>
    </w:rPr>
  </w:style>
  <w:style w:type="character" w:customStyle="1" w:styleId="DefaultChar">
    <w:name w:val="Default Char"/>
    <w:link w:val="Default"/>
    <w:locked/>
    <w:rsid w:val="00E9106E"/>
    <w:rPr>
      <w:rFonts w:ascii="Times New Roman" w:eastAsia="Times New Roman" w:hAnsi="Times New Roman" w:cs="Times New Roman"/>
      <w:color w:val="000000"/>
      <w:sz w:val="24"/>
      <w:szCs w:val="24"/>
      <w:lang w:val="es-CR" w:eastAsia="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E9106E"/>
    <w:pPr>
      <w:widowControl w:val="0"/>
      <w:adjustRightInd w:val="0"/>
      <w:spacing w:line="240" w:lineRule="auto"/>
      <w:ind w:firstLine="357"/>
      <w:textAlignment w:val="baseline"/>
    </w:pPr>
    <w:rPr>
      <w:vertAlign w:val="superscript"/>
    </w:rPr>
  </w:style>
  <w:style w:type="character" w:customStyle="1" w:styleId="Ttulo4Car">
    <w:name w:val="Título 4 Car"/>
    <w:basedOn w:val="Fuentedeprrafopredeter"/>
    <w:link w:val="Ttulo4"/>
    <w:rsid w:val="004C6A87"/>
    <w:rPr>
      <w:rFonts w:ascii="Verdana" w:eastAsia="Verdana" w:hAnsi="Verdana" w:cs="Verdana"/>
      <w:b/>
      <w:bCs/>
      <w:color w:val="000000"/>
      <w:sz w:val="20"/>
      <w:szCs w:val="20"/>
      <w:u w:color="000000"/>
      <w:bdr w:val="nil"/>
      <w:lang w:val="es-ES_tradnl" w:eastAsia="es-CR"/>
    </w:rPr>
  </w:style>
  <w:style w:type="paragraph" w:customStyle="1" w:styleId="PrrafodeSentencia">
    <w:name w:val="*. Párrafo de Sentencia"/>
    <w:basedOn w:val="Normal"/>
    <w:link w:val="PrrafodeSentenciaChar"/>
    <w:qFormat/>
    <w:rsid w:val="004C6A87"/>
    <w:pPr>
      <w:widowControl w:val="0"/>
      <w:numPr>
        <w:numId w:val="7"/>
      </w:numPr>
      <w:tabs>
        <w:tab w:val="left" w:pos="567"/>
      </w:tabs>
      <w:adjustRightInd w:val="0"/>
      <w:spacing w:line="240" w:lineRule="auto"/>
      <w:ind w:left="0" w:firstLine="0"/>
      <w:textAlignment w:val="baseline"/>
    </w:pPr>
    <w:rPr>
      <w:rFonts w:ascii="Verdana" w:eastAsia="Times New Roman" w:hAnsi="Verdana" w:cs="Times New Roman"/>
      <w:sz w:val="20"/>
      <w:szCs w:val="20"/>
      <w:lang w:val="es-CO" w:eastAsia="es-ES"/>
    </w:rPr>
  </w:style>
  <w:style w:type="character" w:customStyle="1" w:styleId="PrrafodeSentenciaChar">
    <w:name w:val="*. Párrafo de Sentencia Char"/>
    <w:link w:val="PrrafodeSentencia"/>
    <w:locked/>
    <w:rsid w:val="004C6A87"/>
    <w:rPr>
      <w:rFonts w:ascii="Verdana" w:eastAsia="Times New Roman" w:hAnsi="Verdana" w:cs="Times New Roman"/>
      <w:sz w:val="20"/>
      <w:szCs w:val="20"/>
      <w:lang w:val="es-CO" w:eastAsia="es-ES"/>
    </w:rPr>
  </w:style>
  <w:style w:type="paragraph" w:styleId="Prrafodelista">
    <w:name w:val="List Paragraph"/>
    <w:basedOn w:val="Normal"/>
    <w:qFormat/>
    <w:rsid w:val="004C6A87"/>
    <w:pPr>
      <w:ind w:left="720"/>
      <w:contextualSpacing/>
    </w:pPr>
  </w:style>
  <w:style w:type="character" w:customStyle="1" w:styleId="None">
    <w:name w:val="None"/>
    <w:rsid w:val="00776293"/>
  </w:style>
  <w:style w:type="paragraph" w:styleId="NormalWeb">
    <w:name w:val="Normal (Web)"/>
    <w:basedOn w:val="Normal"/>
    <w:uiPriority w:val="99"/>
    <w:unhideWhenUsed/>
    <w:rsid w:val="00196439"/>
    <w:rPr>
      <w:rFonts w:ascii="Times New Roman" w:hAnsi="Times New Roman" w:cs="Times New Roman"/>
      <w:sz w:val="24"/>
      <w:szCs w:val="24"/>
    </w:rPr>
  </w:style>
  <w:style w:type="paragraph" w:styleId="Encabezado">
    <w:name w:val="header"/>
    <w:basedOn w:val="Normal"/>
    <w:link w:val="EncabezadoCar"/>
    <w:uiPriority w:val="99"/>
    <w:unhideWhenUsed/>
    <w:rsid w:val="00B5377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5377E"/>
  </w:style>
  <w:style w:type="paragraph" w:styleId="Piedepgina">
    <w:name w:val="footer"/>
    <w:basedOn w:val="Normal"/>
    <w:link w:val="PiedepginaCar"/>
    <w:uiPriority w:val="99"/>
    <w:unhideWhenUsed/>
    <w:rsid w:val="00B5377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5377E"/>
  </w:style>
  <w:style w:type="paragraph" w:styleId="Textodeglobo">
    <w:name w:val="Balloon Text"/>
    <w:basedOn w:val="Normal"/>
    <w:link w:val="TextodegloboCar"/>
    <w:uiPriority w:val="99"/>
    <w:semiHidden/>
    <w:unhideWhenUsed/>
    <w:rsid w:val="00C80D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0D92"/>
    <w:rPr>
      <w:rFonts w:ascii="Segoe UI" w:hAnsi="Segoe UI" w:cs="Segoe UI"/>
      <w:sz w:val="18"/>
      <w:szCs w:val="18"/>
    </w:rPr>
  </w:style>
  <w:style w:type="paragraph" w:styleId="Textocomentario">
    <w:name w:val="annotation text"/>
    <w:basedOn w:val="Normal"/>
    <w:link w:val="TextocomentarioCar"/>
    <w:uiPriority w:val="99"/>
    <w:unhideWhenUsed/>
    <w:rsid w:val="007B2A68"/>
    <w:pPr>
      <w:spacing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7B2A68"/>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7B2A68"/>
    <w:rPr>
      <w:sz w:val="16"/>
      <w:szCs w:val="16"/>
    </w:rPr>
  </w:style>
  <w:style w:type="paragraph" w:customStyle="1" w:styleId="Ttulo1">
    <w:name w:val="Título1"/>
    <w:basedOn w:val="Normal"/>
    <w:rsid w:val="00215514"/>
    <w:pPr>
      <w:spacing w:line="240" w:lineRule="atLeast"/>
      <w:jc w:val="center"/>
    </w:pPr>
    <w:rPr>
      <w:rFonts w:ascii="Verdana" w:eastAsia="Times New Roman" w:hAnsi="Verdana" w:cs="Times New Roman"/>
      <w:b/>
      <w:bCs/>
      <w:sz w:val="20"/>
      <w:szCs w:val="20"/>
      <w:lang w:val="es-ES" w:eastAsia="es-ES"/>
    </w:rPr>
  </w:style>
  <w:style w:type="character" w:customStyle="1" w:styleId="titlechar1">
    <w:name w:val="title__char1"/>
    <w:basedOn w:val="Fuentedeprrafopredeter"/>
    <w:rsid w:val="00215514"/>
    <w:rPr>
      <w:rFonts w:ascii="Verdana" w:hAnsi="Verdana" w:hint="default"/>
      <w:b/>
      <w:bCs/>
      <w:sz w:val="20"/>
      <w:szCs w:val="20"/>
    </w:rPr>
  </w:style>
  <w:style w:type="paragraph" w:styleId="Asuntodelcomentario">
    <w:name w:val="annotation subject"/>
    <w:basedOn w:val="Textocomentario"/>
    <w:next w:val="Textocomentario"/>
    <w:link w:val="AsuntodelcomentarioCar"/>
    <w:uiPriority w:val="99"/>
    <w:semiHidden/>
    <w:unhideWhenUsed/>
    <w:rsid w:val="00D00DD1"/>
    <w:rPr>
      <w:rFonts w:asciiTheme="minorHAnsi" w:eastAsiaTheme="minorHAnsi" w:hAnsiTheme="minorHAnsi" w:cstheme="minorBidi"/>
      <w:b/>
      <w:bCs/>
      <w:lang w:val="es-CL"/>
    </w:rPr>
  </w:style>
  <w:style w:type="character" w:customStyle="1" w:styleId="AsuntodelcomentarioCar">
    <w:name w:val="Asunto del comentario Car"/>
    <w:basedOn w:val="TextocomentarioCar"/>
    <w:link w:val="Asuntodelcomentario"/>
    <w:uiPriority w:val="99"/>
    <w:semiHidden/>
    <w:rsid w:val="00D00DD1"/>
    <w:rPr>
      <w:rFonts w:ascii="Times New Roman" w:eastAsia="Times New Roman" w:hAnsi="Times New Roman" w:cs="Times New Roman"/>
      <w:b/>
      <w:bCs/>
      <w:sz w:val="20"/>
      <w:szCs w:val="20"/>
      <w:lang w:val="en-US"/>
    </w:rPr>
  </w:style>
  <w:style w:type="table" w:styleId="Tablaconcuadrcula">
    <w:name w:val="Table Grid"/>
    <w:basedOn w:val="Tablanormal"/>
    <w:uiPriority w:val="39"/>
    <w:rsid w:val="001736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3424">
      <w:bodyDiv w:val="1"/>
      <w:marLeft w:val="0"/>
      <w:marRight w:val="0"/>
      <w:marTop w:val="0"/>
      <w:marBottom w:val="0"/>
      <w:divBdr>
        <w:top w:val="none" w:sz="0" w:space="0" w:color="auto"/>
        <w:left w:val="none" w:sz="0" w:space="0" w:color="auto"/>
        <w:bottom w:val="none" w:sz="0" w:space="0" w:color="auto"/>
        <w:right w:val="none" w:sz="0" w:space="0" w:color="auto"/>
      </w:divBdr>
    </w:div>
    <w:div w:id="871767274">
      <w:bodyDiv w:val="1"/>
      <w:marLeft w:val="0"/>
      <w:marRight w:val="0"/>
      <w:marTop w:val="0"/>
      <w:marBottom w:val="0"/>
      <w:divBdr>
        <w:top w:val="none" w:sz="0" w:space="0" w:color="auto"/>
        <w:left w:val="none" w:sz="0" w:space="0" w:color="auto"/>
        <w:bottom w:val="none" w:sz="0" w:space="0" w:color="auto"/>
        <w:right w:val="none" w:sz="0" w:space="0" w:color="auto"/>
      </w:divBdr>
    </w:div>
    <w:div w:id="1724871289">
      <w:bodyDiv w:val="1"/>
      <w:marLeft w:val="0"/>
      <w:marRight w:val="0"/>
      <w:marTop w:val="0"/>
      <w:marBottom w:val="0"/>
      <w:divBdr>
        <w:top w:val="none" w:sz="0" w:space="0" w:color="auto"/>
        <w:left w:val="none" w:sz="0" w:space="0" w:color="auto"/>
        <w:bottom w:val="none" w:sz="0" w:space="0" w:color="auto"/>
        <w:right w:val="none" w:sz="0" w:space="0" w:color="auto"/>
      </w:divBdr>
    </w:div>
    <w:div w:id="1838501541">
      <w:bodyDiv w:val="1"/>
      <w:marLeft w:val="0"/>
      <w:marRight w:val="0"/>
      <w:marTop w:val="0"/>
      <w:marBottom w:val="0"/>
      <w:divBdr>
        <w:top w:val="none" w:sz="0" w:space="0" w:color="auto"/>
        <w:left w:val="none" w:sz="0" w:space="0" w:color="auto"/>
        <w:bottom w:val="none" w:sz="0" w:space="0" w:color="auto"/>
        <w:right w:val="none" w:sz="0" w:space="0" w:color="auto"/>
      </w:divBdr>
    </w:div>
    <w:div w:id="18824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juridico/spanish/Tratados/a-5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sadye/inclusion-social/protocolo-ssv/docs/pss-res-2262-e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2D8B-F6DF-44CD-A73D-5965625E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11078</Words>
  <Characters>60932</Characters>
  <Application>Microsoft Office Word</Application>
  <DocSecurity>0</DocSecurity>
  <Lines>507</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2020-10-26T15:27:00Z</dcterms:created>
  <dcterms:modified xsi:type="dcterms:W3CDTF">2020-10-26T15:27:00Z</dcterms:modified>
</cp:coreProperties>
</file>