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CE3B6" w14:textId="6ECEFE9C" w:rsidR="00E9106E" w:rsidRPr="00D2561A" w:rsidRDefault="0032767A" w:rsidP="000E0801">
      <w:pPr>
        <w:spacing w:line="240" w:lineRule="auto"/>
        <w:ind w:left="-270" w:right="-162"/>
        <w:jc w:val="center"/>
        <w:rPr>
          <w:rFonts w:ascii="Verdana" w:hAnsi="Verdana"/>
          <w:b/>
          <w:sz w:val="20"/>
          <w:szCs w:val="20"/>
          <w:lang w:val="en-US"/>
        </w:rPr>
      </w:pPr>
      <w:r w:rsidRPr="00D2561A">
        <w:rPr>
          <w:rFonts w:ascii="Verdana" w:hAnsi="Verdana"/>
          <w:b/>
          <w:sz w:val="20"/>
          <w:szCs w:val="20"/>
          <w:lang w:val="en-US"/>
        </w:rPr>
        <w:t>PARTIALLY DISSENTING OPINION OF JUDGE</w:t>
      </w:r>
      <w:r w:rsidR="00E9106E" w:rsidRPr="00D2561A">
        <w:rPr>
          <w:rFonts w:ascii="Verdana" w:hAnsi="Verdana"/>
          <w:b/>
          <w:sz w:val="20"/>
          <w:szCs w:val="20"/>
          <w:lang w:val="en-US"/>
        </w:rPr>
        <w:t xml:space="preserve"> EDUARDO VIO GROSSI</w:t>
      </w:r>
    </w:p>
    <w:p w14:paraId="3D1EDCAB" w14:textId="77777777" w:rsidR="005D1373" w:rsidRPr="00D2561A" w:rsidRDefault="005D1373" w:rsidP="000E0801">
      <w:pPr>
        <w:spacing w:line="240" w:lineRule="auto"/>
        <w:ind w:left="-270" w:right="-162"/>
        <w:jc w:val="center"/>
        <w:rPr>
          <w:rFonts w:ascii="Verdana" w:hAnsi="Verdana"/>
          <w:b/>
          <w:sz w:val="20"/>
          <w:szCs w:val="20"/>
          <w:lang w:val="en-US"/>
        </w:rPr>
      </w:pPr>
    </w:p>
    <w:p w14:paraId="12D2677E" w14:textId="2CD8F6E2" w:rsidR="0032767A" w:rsidRPr="00D2561A" w:rsidRDefault="0032767A" w:rsidP="0032767A">
      <w:pPr>
        <w:spacing w:line="240" w:lineRule="auto"/>
        <w:ind w:left="-270" w:right="-162"/>
        <w:jc w:val="center"/>
        <w:rPr>
          <w:rFonts w:ascii="Verdana" w:hAnsi="Verdana"/>
          <w:b/>
          <w:sz w:val="20"/>
          <w:szCs w:val="20"/>
          <w:lang w:val="en-US"/>
        </w:rPr>
      </w:pPr>
      <w:r w:rsidRPr="00D2561A">
        <w:rPr>
          <w:rFonts w:ascii="Verdana" w:hAnsi="Verdana"/>
          <w:b/>
          <w:sz w:val="20"/>
          <w:szCs w:val="20"/>
          <w:lang w:val="en-US"/>
        </w:rPr>
        <w:t>INTER-AMERICAN COURT OF HUMAN RIGHTS</w:t>
      </w:r>
    </w:p>
    <w:p w14:paraId="52770C2D" w14:textId="4D6A15FE" w:rsidR="0032767A" w:rsidRPr="00D2561A" w:rsidRDefault="0032767A" w:rsidP="0032767A">
      <w:pPr>
        <w:jc w:val="center"/>
        <w:rPr>
          <w:rFonts w:ascii="Verdana" w:hAnsi="Verdana"/>
          <w:b/>
          <w:sz w:val="20"/>
          <w:szCs w:val="20"/>
          <w:lang w:val="en-US"/>
        </w:rPr>
      </w:pPr>
      <w:r w:rsidRPr="00D2561A">
        <w:rPr>
          <w:rFonts w:ascii="Verdana" w:hAnsi="Verdana"/>
          <w:b/>
          <w:sz w:val="20"/>
          <w:szCs w:val="20"/>
          <w:lang w:val="en-US"/>
        </w:rPr>
        <w:t xml:space="preserve">CASE OF THE </w:t>
      </w:r>
      <w:r w:rsidR="00BE758B" w:rsidRPr="00D2561A">
        <w:rPr>
          <w:rFonts w:ascii="Verdana" w:hAnsi="Verdana"/>
          <w:b/>
          <w:sz w:val="20"/>
          <w:szCs w:val="20"/>
          <w:lang w:val="en-US"/>
        </w:rPr>
        <w:t>WORKERS</w:t>
      </w:r>
      <w:r w:rsidRPr="00D2561A">
        <w:rPr>
          <w:rFonts w:ascii="Verdana" w:hAnsi="Verdana"/>
          <w:b/>
          <w:sz w:val="20"/>
          <w:szCs w:val="20"/>
          <w:lang w:val="en-US"/>
        </w:rPr>
        <w:t xml:space="preserve"> OF THE FIREWORKS FACTORY </w:t>
      </w:r>
      <w:r w:rsidR="00B37B63">
        <w:rPr>
          <w:rFonts w:ascii="Verdana" w:hAnsi="Verdana"/>
          <w:b/>
          <w:sz w:val="20"/>
          <w:szCs w:val="20"/>
          <w:lang w:val="en-US"/>
        </w:rPr>
        <w:t>IN</w:t>
      </w:r>
      <w:r w:rsidR="00B37B63" w:rsidRPr="00D2561A">
        <w:rPr>
          <w:rFonts w:ascii="Verdana" w:hAnsi="Verdana"/>
          <w:b/>
          <w:sz w:val="20"/>
          <w:szCs w:val="20"/>
          <w:lang w:val="en-US"/>
        </w:rPr>
        <w:t xml:space="preserve"> </w:t>
      </w:r>
      <w:r w:rsidRPr="00D2561A">
        <w:rPr>
          <w:rFonts w:ascii="Verdana" w:hAnsi="Verdana"/>
          <w:b/>
          <w:sz w:val="20"/>
          <w:szCs w:val="20"/>
          <w:lang w:val="en-US"/>
        </w:rPr>
        <w:t xml:space="preserve">SANTO ANTÔNIO DE JESUS AND THEIR FAMILIES </w:t>
      </w:r>
      <w:r w:rsidRPr="00D2561A">
        <w:rPr>
          <w:rFonts w:ascii="Verdana" w:hAnsi="Verdana"/>
          <w:b/>
          <w:i/>
          <w:iCs/>
          <w:sz w:val="20"/>
          <w:szCs w:val="20"/>
          <w:lang w:val="en-US"/>
        </w:rPr>
        <w:t>V.</w:t>
      </w:r>
      <w:r w:rsidRPr="00D2561A">
        <w:rPr>
          <w:rFonts w:ascii="Verdana" w:hAnsi="Verdana"/>
          <w:b/>
          <w:sz w:val="20"/>
          <w:szCs w:val="20"/>
          <w:lang w:val="en-US"/>
        </w:rPr>
        <w:t xml:space="preserve"> BRAZIL</w:t>
      </w:r>
    </w:p>
    <w:p w14:paraId="189756BB" w14:textId="77777777" w:rsidR="005D1373" w:rsidRPr="00D2561A" w:rsidRDefault="005D1373" w:rsidP="000E0801">
      <w:pPr>
        <w:spacing w:line="240" w:lineRule="auto"/>
        <w:ind w:left="-270" w:right="-162"/>
        <w:jc w:val="center"/>
        <w:rPr>
          <w:rFonts w:ascii="Verdana" w:hAnsi="Verdana"/>
          <w:b/>
          <w:sz w:val="20"/>
          <w:szCs w:val="20"/>
          <w:lang w:val="en-US"/>
        </w:rPr>
      </w:pPr>
    </w:p>
    <w:p w14:paraId="7421A40F" w14:textId="77777777" w:rsidR="0032767A" w:rsidRPr="00D2561A" w:rsidRDefault="0032767A" w:rsidP="0032767A">
      <w:pPr>
        <w:jc w:val="center"/>
        <w:rPr>
          <w:rFonts w:ascii="Verdana" w:hAnsi="Verdana"/>
          <w:b/>
          <w:sz w:val="20"/>
          <w:szCs w:val="20"/>
          <w:lang w:val="en-US"/>
        </w:rPr>
      </w:pPr>
      <w:r w:rsidRPr="00D2561A">
        <w:rPr>
          <w:rFonts w:ascii="Verdana" w:hAnsi="Verdana"/>
          <w:b/>
          <w:sz w:val="20"/>
          <w:szCs w:val="20"/>
          <w:lang w:val="en-US"/>
        </w:rPr>
        <w:t>JUDGMENT OF JULY 15, 2020</w:t>
      </w:r>
    </w:p>
    <w:p w14:paraId="4555F13E" w14:textId="0666D3B4" w:rsidR="001717B6" w:rsidRPr="00D2561A" w:rsidRDefault="001717B6" w:rsidP="000E0801">
      <w:pPr>
        <w:spacing w:line="240" w:lineRule="auto"/>
        <w:ind w:left="-270" w:right="-162"/>
        <w:jc w:val="center"/>
        <w:rPr>
          <w:rFonts w:ascii="Verdana" w:hAnsi="Verdana"/>
          <w:b/>
          <w:sz w:val="20"/>
          <w:szCs w:val="20"/>
          <w:lang w:val="en-US"/>
        </w:rPr>
      </w:pPr>
      <w:r w:rsidRPr="00D2561A">
        <w:rPr>
          <w:rFonts w:ascii="Verdana" w:hAnsi="Verdana"/>
          <w:b/>
          <w:sz w:val="20"/>
          <w:szCs w:val="20"/>
          <w:lang w:val="en-US"/>
        </w:rPr>
        <w:t>(</w:t>
      </w:r>
      <w:r w:rsidR="00E30D1A" w:rsidRPr="00D2561A">
        <w:rPr>
          <w:rFonts w:ascii="Verdana" w:hAnsi="Verdana"/>
          <w:b/>
          <w:sz w:val="20"/>
          <w:szCs w:val="20"/>
          <w:lang w:val="en-US"/>
        </w:rPr>
        <w:t>Preliminary objections, merits, reparations and costs</w:t>
      </w:r>
      <w:r w:rsidRPr="00D2561A">
        <w:rPr>
          <w:rFonts w:ascii="Verdana" w:hAnsi="Verdana"/>
          <w:b/>
          <w:sz w:val="20"/>
          <w:szCs w:val="20"/>
          <w:lang w:val="en-US"/>
        </w:rPr>
        <w:t>).</w:t>
      </w:r>
    </w:p>
    <w:p w14:paraId="54578D44" w14:textId="0473639D" w:rsidR="00E9106E" w:rsidRPr="00D2561A" w:rsidRDefault="00E9106E" w:rsidP="000E0801">
      <w:pPr>
        <w:spacing w:line="240" w:lineRule="auto"/>
        <w:ind w:left="-270" w:right="-162"/>
        <w:rPr>
          <w:rFonts w:ascii="Verdana" w:hAnsi="Verdana"/>
          <w:sz w:val="20"/>
          <w:szCs w:val="20"/>
          <w:lang w:val="en-US"/>
        </w:rPr>
      </w:pPr>
    </w:p>
    <w:p w14:paraId="59C1272B" w14:textId="77777777" w:rsidR="0082598B" w:rsidRPr="00D2561A" w:rsidRDefault="0082598B" w:rsidP="000E0801">
      <w:pPr>
        <w:spacing w:line="240" w:lineRule="auto"/>
        <w:ind w:left="-270" w:right="-162"/>
        <w:rPr>
          <w:rFonts w:ascii="Verdana" w:hAnsi="Verdana"/>
          <w:sz w:val="20"/>
          <w:szCs w:val="20"/>
          <w:lang w:val="en-US"/>
        </w:rPr>
      </w:pPr>
    </w:p>
    <w:p w14:paraId="3DD356CD" w14:textId="7FD0F8D1" w:rsidR="00E9106E" w:rsidRPr="00D2561A" w:rsidRDefault="00E9106E" w:rsidP="000E0801">
      <w:pPr>
        <w:pStyle w:val="Prrafodelista"/>
        <w:numPr>
          <w:ilvl w:val="0"/>
          <w:numId w:val="12"/>
        </w:numPr>
        <w:spacing w:line="240" w:lineRule="auto"/>
        <w:ind w:left="-270" w:right="-162" w:firstLine="0"/>
        <w:rPr>
          <w:rFonts w:ascii="Verdana" w:hAnsi="Verdana"/>
          <w:b/>
          <w:sz w:val="20"/>
          <w:szCs w:val="20"/>
          <w:lang w:val="en-US"/>
        </w:rPr>
      </w:pPr>
      <w:r w:rsidRPr="00D2561A">
        <w:rPr>
          <w:rFonts w:ascii="Verdana" w:hAnsi="Verdana"/>
          <w:b/>
          <w:sz w:val="20"/>
          <w:szCs w:val="20"/>
          <w:lang w:val="en-US"/>
        </w:rPr>
        <w:t>INTRODUC</w:t>
      </w:r>
      <w:r w:rsidR="0032767A" w:rsidRPr="00D2561A">
        <w:rPr>
          <w:rFonts w:ascii="Verdana" w:hAnsi="Verdana"/>
          <w:b/>
          <w:sz w:val="20"/>
          <w:szCs w:val="20"/>
          <w:lang w:val="en-US"/>
        </w:rPr>
        <w:t>TIO</w:t>
      </w:r>
      <w:r w:rsidRPr="00D2561A">
        <w:rPr>
          <w:rFonts w:ascii="Verdana" w:hAnsi="Verdana"/>
          <w:b/>
          <w:sz w:val="20"/>
          <w:szCs w:val="20"/>
          <w:lang w:val="en-US"/>
        </w:rPr>
        <w:t>N</w:t>
      </w:r>
    </w:p>
    <w:p w14:paraId="6FB5BBEE" w14:textId="77777777" w:rsidR="00E9106E" w:rsidRPr="00D2561A" w:rsidRDefault="00E9106E" w:rsidP="000E0801">
      <w:pPr>
        <w:spacing w:line="240" w:lineRule="auto"/>
        <w:ind w:left="-270" w:right="-162"/>
        <w:rPr>
          <w:rFonts w:ascii="Verdana" w:hAnsi="Verdana"/>
          <w:b/>
          <w:sz w:val="20"/>
          <w:szCs w:val="20"/>
          <w:lang w:val="en-US"/>
        </w:rPr>
      </w:pPr>
    </w:p>
    <w:p w14:paraId="017C7B45" w14:textId="04439426" w:rsidR="008123F0" w:rsidRPr="00D2561A" w:rsidRDefault="007A210D"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          </w:t>
      </w:r>
      <w:r w:rsidR="00CC10C2" w:rsidRPr="00D2561A">
        <w:rPr>
          <w:rFonts w:ascii="Verdana" w:hAnsi="Verdana"/>
          <w:sz w:val="20"/>
          <w:szCs w:val="20"/>
          <w:lang w:val="en-US"/>
        </w:rPr>
        <w:t>This partially dissenting opinion is issued</w:t>
      </w:r>
      <w:r w:rsidR="00E9106E" w:rsidRPr="00D2561A">
        <w:rPr>
          <w:rFonts w:ascii="Verdana" w:hAnsi="Verdana"/>
          <w:sz w:val="20"/>
          <w:szCs w:val="20"/>
          <w:vertAlign w:val="superscript"/>
          <w:lang w:val="en-US"/>
        </w:rPr>
        <w:footnoteReference w:id="1"/>
      </w:r>
      <w:r w:rsidR="00E9106E" w:rsidRPr="00D2561A">
        <w:rPr>
          <w:rFonts w:ascii="Verdana" w:hAnsi="Verdana"/>
          <w:sz w:val="20"/>
          <w:szCs w:val="20"/>
          <w:lang w:val="en-US"/>
        </w:rPr>
        <w:t xml:space="preserve"> </w:t>
      </w:r>
      <w:r w:rsidR="00CC10C2" w:rsidRPr="00D2561A">
        <w:rPr>
          <w:rFonts w:ascii="Verdana" w:hAnsi="Verdana"/>
          <w:sz w:val="20"/>
          <w:szCs w:val="20"/>
          <w:lang w:val="en-US"/>
        </w:rPr>
        <w:t>in relation to the</w:t>
      </w:r>
      <w:r w:rsidR="00E9106E" w:rsidRPr="00D2561A">
        <w:rPr>
          <w:rFonts w:ascii="Verdana" w:hAnsi="Verdana"/>
          <w:sz w:val="20"/>
          <w:szCs w:val="20"/>
          <w:lang w:val="en-US"/>
        </w:rPr>
        <w:t xml:space="preserve"> </w:t>
      </w:r>
      <w:r w:rsidR="00CC10C2" w:rsidRPr="00D2561A">
        <w:rPr>
          <w:rFonts w:ascii="Verdana" w:hAnsi="Verdana"/>
          <w:sz w:val="20"/>
          <w:szCs w:val="20"/>
          <w:lang w:val="en-US"/>
        </w:rPr>
        <w:t>j</w:t>
      </w:r>
      <w:r w:rsidR="00E30D1A" w:rsidRPr="00D2561A">
        <w:rPr>
          <w:rFonts w:ascii="Verdana" w:hAnsi="Verdana"/>
          <w:sz w:val="20"/>
          <w:szCs w:val="20"/>
          <w:lang w:val="en-US"/>
        </w:rPr>
        <w:t xml:space="preserve">udgment </w:t>
      </w:r>
      <w:r w:rsidR="00CC10C2" w:rsidRPr="00D2561A">
        <w:rPr>
          <w:rFonts w:ascii="Verdana" w:hAnsi="Verdana"/>
          <w:sz w:val="20"/>
          <w:szCs w:val="20"/>
          <w:lang w:val="en-US"/>
        </w:rPr>
        <w:t>in reference,</w:t>
      </w:r>
      <w:r w:rsidR="00E9106E" w:rsidRPr="00D2561A">
        <w:rPr>
          <w:rFonts w:ascii="Verdana" w:hAnsi="Verdana"/>
          <w:sz w:val="20"/>
          <w:szCs w:val="20"/>
          <w:vertAlign w:val="superscript"/>
          <w:lang w:val="en-US"/>
        </w:rPr>
        <w:footnoteReference w:id="2"/>
      </w:r>
      <w:r w:rsidR="00CC10C2" w:rsidRPr="00D2561A">
        <w:rPr>
          <w:rFonts w:ascii="Verdana" w:hAnsi="Verdana"/>
          <w:sz w:val="20"/>
          <w:szCs w:val="20"/>
          <w:lang w:val="en-US"/>
        </w:rPr>
        <w:t xml:space="preserve"> in order to explain the reasons</w:t>
      </w:r>
      <w:r w:rsidR="00E9106E" w:rsidRPr="00D2561A">
        <w:rPr>
          <w:rFonts w:ascii="Verdana" w:hAnsi="Verdana"/>
          <w:sz w:val="20"/>
          <w:szCs w:val="20"/>
          <w:lang w:val="en-US"/>
        </w:rPr>
        <w:t xml:space="preserve"> </w:t>
      </w:r>
      <w:r w:rsidR="00CC10C2" w:rsidRPr="00D2561A">
        <w:rPr>
          <w:rFonts w:ascii="Verdana" w:hAnsi="Verdana"/>
          <w:sz w:val="20"/>
          <w:szCs w:val="20"/>
          <w:lang w:val="en-US"/>
        </w:rPr>
        <w:t>why I disagree, in the first place, with its operative paragraph</w:t>
      </w:r>
      <w:r w:rsidR="00E9106E" w:rsidRPr="00D2561A">
        <w:rPr>
          <w:rFonts w:ascii="Verdana" w:hAnsi="Verdana"/>
          <w:sz w:val="20"/>
          <w:szCs w:val="20"/>
          <w:lang w:val="en-US"/>
        </w:rPr>
        <w:t xml:space="preserve">s </w:t>
      </w:r>
      <w:r w:rsidR="003C1526" w:rsidRPr="00D2561A">
        <w:rPr>
          <w:rFonts w:ascii="Verdana" w:hAnsi="Verdana"/>
          <w:sz w:val="20"/>
          <w:szCs w:val="20"/>
          <w:lang w:val="en-US"/>
        </w:rPr>
        <w:t>2</w:t>
      </w:r>
      <w:r w:rsidR="004C6A87" w:rsidRPr="00D2561A">
        <w:rPr>
          <w:rStyle w:val="Refdenotaalpie"/>
          <w:rFonts w:ascii="Verdana" w:hAnsi="Verdana"/>
          <w:sz w:val="20"/>
          <w:szCs w:val="20"/>
          <w:lang w:val="en-US"/>
        </w:rPr>
        <w:footnoteReference w:id="3"/>
      </w:r>
      <w:r w:rsidR="00E30D1A" w:rsidRPr="00D2561A">
        <w:rPr>
          <w:rFonts w:ascii="Verdana" w:hAnsi="Verdana"/>
          <w:sz w:val="20"/>
          <w:szCs w:val="20"/>
          <w:lang w:val="en-US"/>
        </w:rPr>
        <w:t xml:space="preserve"> and </w:t>
      </w:r>
      <w:r w:rsidR="003C1526" w:rsidRPr="00D2561A">
        <w:rPr>
          <w:rFonts w:ascii="Verdana" w:hAnsi="Verdana"/>
          <w:sz w:val="20"/>
          <w:szCs w:val="20"/>
          <w:lang w:val="en-US"/>
        </w:rPr>
        <w:t>6</w:t>
      </w:r>
      <w:r w:rsidR="00CC10C2" w:rsidRPr="00D2561A">
        <w:rPr>
          <w:rFonts w:ascii="Verdana" w:hAnsi="Verdana"/>
          <w:sz w:val="20"/>
          <w:szCs w:val="20"/>
          <w:lang w:val="en-US"/>
        </w:rPr>
        <w:t>.</w:t>
      </w:r>
      <w:r w:rsidR="00776293" w:rsidRPr="00D2561A">
        <w:rPr>
          <w:rStyle w:val="Refdenotaalpie"/>
          <w:rFonts w:ascii="Verdana" w:hAnsi="Verdana"/>
          <w:sz w:val="20"/>
          <w:szCs w:val="20"/>
          <w:lang w:val="en-US"/>
        </w:rPr>
        <w:footnoteReference w:id="4"/>
      </w:r>
      <w:r w:rsidR="00CC10C2" w:rsidRPr="00D2561A">
        <w:rPr>
          <w:rFonts w:ascii="Verdana" w:hAnsi="Verdana"/>
          <w:sz w:val="20"/>
          <w:szCs w:val="20"/>
          <w:lang w:val="en-US"/>
        </w:rPr>
        <w:t xml:space="preserve"> Based on the provisions of </w:t>
      </w:r>
      <w:r w:rsidR="00E30D1A" w:rsidRPr="00D2561A">
        <w:rPr>
          <w:rFonts w:ascii="Verdana" w:hAnsi="Verdana"/>
          <w:sz w:val="20"/>
          <w:szCs w:val="20"/>
          <w:lang w:val="en-US"/>
        </w:rPr>
        <w:t>Article</w:t>
      </w:r>
      <w:r w:rsidR="00E9106E" w:rsidRPr="00D2561A">
        <w:rPr>
          <w:rFonts w:ascii="Verdana" w:hAnsi="Verdana"/>
          <w:sz w:val="20"/>
          <w:szCs w:val="20"/>
          <w:lang w:val="en-US"/>
        </w:rPr>
        <w:t xml:space="preserve"> 26</w:t>
      </w:r>
      <w:r w:rsidR="00E30D1A" w:rsidRPr="00D2561A">
        <w:rPr>
          <w:rFonts w:ascii="Verdana" w:hAnsi="Verdana"/>
          <w:sz w:val="20"/>
          <w:szCs w:val="20"/>
          <w:lang w:val="en-US"/>
        </w:rPr>
        <w:t xml:space="preserve"> of the American Convention on Human Rights</w:t>
      </w:r>
      <w:r w:rsidR="00CC10C2" w:rsidRPr="00D2561A">
        <w:rPr>
          <w:rFonts w:ascii="Verdana" w:hAnsi="Verdana"/>
          <w:sz w:val="20"/>
          <w:szCs w:val="20"/>
          <w:lang w:val="en-US"/>
        </w:rPr>
        <w:t>,</w:t>
      </w:r>
      <w:r w:rsidR="00E9106E" w:rsidRPr="00D2561A">
        <w:rPr>
          <w:rFonts w:ascii="Verdana" w:hAnsi="Verdana"/>
          <w:sz w:val="20"/>
          <w:szCs w:val="20"/>
          <w:vertAlign w:val="superscript"/>
          <w:lang w:val="en-US"/>
        </w:rPr>
        <w:footnoteReference w:id="5"/>
      </w:r>
      <w:r w:rsidR="00CC10C2" w:rsidRPr="00D2561A">
        <w:rPr>
          <w:rFonts w:ascii="Verdana" w:hAnsi="Verdana"/>
          <w:sz w:val="20"/>
          <w:szCs w:val="20"/>
          <w:lang w:val="en-US"/>
        </w:rPr>
        <w:t xml:space="preserve"> the former rejects</w:t>
      </w:r>
      <w:r w:rsidR="00E9106E" w:rsidRPr="00D2561A">
        <w:rPr>
          <w:rFonts w:ascii="Verdana" w:hAnsi="Verdana"/>
          <w:sz w:val="20"/>
          <w:szCs w:val="20"/>
          <w:lang w:val="en-US"/>
        </w:rPr>
        <w:t xml:space="preserve"> </w:t>
      </w:r>
      <w:r w:rsidR="00CC10C2" w:rsidRPr="00D2561A">
        <w:rPr>
          <w:rFonts w:ascii="Verdana" w:hAnsi="Verdana"/>
          <w:sz w:val="20"/>
          <w:szCs w:val="20"/>
          <w:lang w:val="en-US"/>
        </w:rPr>
        <w:t xml:space="preserve">the objection filed by the State regarding the lack of jurisdiction </w:t>
      </w:r>
      <w:r w:rsidR="00E30D1A" w:rsidRPr="00D2561A">
        <w:rPr>
          <w:rFonts w:ascii="Verdana" w:hAnsi="Verdana"/>
          <w:sz w:val="20"/>
          <w:szCs w:val="20"/>
          <w:lang w:val="en-US"/>
        </w:rPr>
        <w:t>of the Inter-American Court of Human Rights</w:t>
      </w:r>
      <w:r w:rsidR="00776293" w:rsidRPr="00D2561A">
        <w:rPr>
          <w:rStyle w:val="Refdenotaalpie"/>
          <w:rFonts w:ascii="Verdana" w:hAnsi="Verdana"/>
          <w:sz w:val="20"/>
          <w:szCs w:val="20"/>
          <w:lang w:val="en-US"/>
        </w:rPr>
        <w:footnoteReference w:id="6"/>
      </w:r>
      <w:r w:rsidR="00776293" w:rsidRPr="00D2561A">
        <w:rPr>
          <w:rFonts w:ascii="Verdana" w:hAnsi="Verdana"/>
          <w:sz w:val="20"/>
          <w:szCs w:val="20"/>
          <w:lang w:val="en-US"/>
        </w:rPr>
        <w:t xml:space="preserve"> </w:t>
      </w:r>
      <w:r w:rsidR="00CC10C2" w:rsidRPr="00D2561A">
        <w:rPr>
          <w:rFonts w:ascii="Verdana" w:hAnsi="Verdana"/>
          <w:sz w:val="20"/>
          <w:szCs w:val="20"/>
          <w:lang w:val="en-US"/>
        </w:rPr>
        <w:t xml:space="preserve">to examine violations of the rights referred to in the said article and the latter declares the violation of those rights, thus making them justiciable before the Court. However, this </w:t>
      </w:r>
      <w:r w:rsidR="00BE758B" w:rsidRPr="00D2561A">
        <w:rPr>
          <w:rFonts w:ascii="Verdana" w:hAnsi="Verdana"/>
          <w:sz w:val="20"/>
          <w:szCs w:val="20"/>
          <w:lang w:val="en-US"/>
        </w:rPr>
        <w:t>opinion</w:t>
      </w:r>
      <w:r w:rsidR="00CC10C2" w:rsidRPr="00D2561A">
        <w:rPr>
          <w:rFonts w:ascii="Verdana" w:hAnsi="Verdana"/>
          <w:sz w:val="20"/>
          <w:szCs w:val="20"/>
          <w:lang w:val="en-US"/>
        </w:rPr>
        <w:t xml:space="preserve"> is also issued because I disagree with operative paragraph</w:t>
      </w:r>
      <w:r w:rsidR="008123F0" w:rsidRPr="00D2561A">
        <w:rPr>
          <w:rFonts w:ascii="Verdana" w:hAnsi="Verdana"/>
          <w:sz w:val="20"/>
          <w:szCs w:val="20"/>
          <w:lang w:val="en-US"/>
        </w:rPr>
        <w:t xml:space="preserve"> </w:t>
      </w:r>
      <w:r w:rsidR="00D60DF3" w:rsidRPr="00D2561A">
        <w:rPr>
          <w:rFonts w:ascii="Verdana" w:hAnsi="Verdana"/>
          <w:sz w:val="20"/>
          <w:szCs w:val="20"/>
          <w:lang w:val="en-US"/>
        </w:rPr>
        <w:t>6</w:t>
      </w:r>
      <w:r w:rsidR="00CC10C2" w:rsidRPr="00D2561A">
        <w:rPr>
          <w:rFonts w:ascii="Verdana" w:hAnsi="Verdana"/>
          <w:sz w:val="20"/>
          <w:szCs w:val="20"/>
          <w:lang w:val="en-US"/>
        </w:rPr>
        <w:t xml:space="preserve">, owing to the reference it makes to Article </w:t>
      </w:r>
      <w:r w:rsidR="008123F0" w:rsidRPr="00D2561A">
        <w:rPr>
          <w:rFonts w:ascii="Verdana" w:hAnsi="Verdana"/>
          <w:sz w:val="20"/>
          <w:szCs w:val="20"/>
          <w:lang w:val="en-US"/>
        </w:rPr>
        <w:t>24</w:t>
      </w:r>
      <w:r w:rsidR="00E30D1A" w:rsidRPr="00D2561A">
        <w:rPr>
          <w:rFonts w:ascii="Verdana" w:hAnsi="Verdana"/>
          <w:sz w:val="20"/>
          <w:szCs w:val="20"/>
          <w:lang w:val="en-US"/>
        </w:rPr>
        <w:t xml:space="preserve"> of the Convention</w:t>
      </w:r>
      <w:r w:rsidR="008123F0" w:rsidRPr="00D2561A">
        <w:rPr>
          <w:rFonts w:ascii="Verdana" w:hAnsi="Verdana"/>
          <w:sz w:val="20"/>
          <w:szCs w:val="20"/>
          <w:lang w:val="en-US"/>
        </w:rPr>
        <w:t xml:space="preserve"> concerni</w:t>
      </w:r>
      <w:r w:rsidR="00CC10C2" w:rsidRPr="00D2561A">
        <w:rPr>
          <w:rFonts w:ascii="Verdana" w:hAnsi="Verdana"/>
          <w:sz w:val="20"/>
          <w:szCs w:val="20"/>
          <w:lang w:val="en-US"/>
        </w:rPr>
        <w:t>ng equality before the law.</w:t>
      </w:r>
    </w:p>
    <w:p w14:paraId="173FA994" w14:textId="77777777" w:rsidR="00E9106E" w:rsidRPr="00D2561A" w:rsidRDefault="00E9106E" w:rsidP="000E0801">
      <w:pPr>
        <w:spacing w:line="240" w:lineRule="auto"/>
        <w:ind w:left="-270" w:right="-162"/>
        <w:contextualSpacing/>
        <w:rPr>
          <w:rFonts w:ascii="Verdana" w:hAnsi="Verdana"/>
          <w:sz w:val="20"/>
          <w:szCs w:val="20"/>
          <w:lang w:val="en-US"/>
        </w:rPr>
      </w:pPr>
    </w:p>
    <w:p w14:paraId="14DFCEEE" w14:textId="37551E33" w:rsidR="00196439" w:rsidRPr="00D2561A" w:rsidRDefault="007A210D"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          </w:t>
      </w:r>
      <w:r w:rsidR="00CC10C2" w:rsidRPr="00D2561A">
        <w:rPr>
          <w:rFonts w:ascii="Verdana" w:hAnsi="Verdana"/>
          <w:sz w:val="20"/>
          <w:szCs w:val="20"/>
          <w:lang w:val="en-US"/>
        </w:rPr>
        <w:t xml:space="preserve">That said, in order to explain the position held in this </w:t>
      </w:r>
      <w:r w:rsidR="00BE758B" w:rsidRPr="00D2561A">
        <w:rPr>
          <w:rFonts w:ascii="Verdana" w:hAnsi="Verdana"/>
          <w:sz w:val="20"/>
          <w:szCs w:val="20"/>
          <w:lang w:val="en-US"/>
        </w:rPr>
        <w:t xml:space="preserve">text </w:t>
      </w:r>
      <w:r w:rsidR="00CC10C2" w:rsidRPr="00D2561A">
        <w:rPr>
          <w:rFonts w:ascii="Verdana" w:hAnsi="Verdana"/>
          <w:sz w:val="20"/>
          <w:szCs w:val="20"/>
          <w:lang w:val="en-US"/>
        </w:rPr>
        <w:t xml:space="preserve">adequately, it is necessary, first, to reiterate some general considerations </w:t>
      </w:r>
      <w:r w:rsidR="00BE758B" w:rsidRPr="00D2561A">
        <w:rPr>
          <w:rFonts w:ascii="Verdana" w:hAnsi="Verdana"/>
          <w:sz w:val="20"/>
          <w:szCs w:val="20"/>
          <w:lang w:val="en-US"/>
        </w:rPr>
        <w:t>with</w:t>
      </w:r>
      <w:r w:rsidR="00CC10C2" w:rsidRPr="00D2561A">
        <w:rPr>
          <w:rFonts w:ascii="Verdana" w:hAnsi="Verdana"/>
          <w:sz w:val="20"/>
          <w:szCs w:val="20"/>
          <w:lang w:val="en-US"/>
        </w:rPr>
        <w:t xml:space="preserve">in which this opinion is inserted, </w:t>
      </w:r>
      <w:r w:rsidR="00BE758B" w:rsidRPr="00D2561A">
        <w:rPr>
          <w:rFonts w:ascii="Verdana" w:hAnsi="Verdana"/>
          <w:sz w:val="20"/>
          <w:szCs w:val="20"/>
          <w:lang w:val="en-US"/>
        </w:rPr>
        <w:t>and</w:t>
      </w:r>
      <w:r w:rsidR="00CC10C2" w:rsidRPr="00D2561A">
        <w:rPr>
          <w:rFonts w:ascii="Verdana" w:hAnsi="Verdana"/>
          <w:sz w:val="20"/>
          <w:szCs w:val="20"/>
          <w:lang w:val="en-US"/>
        </w:rPr>
        <w:t xml:space="preserve"> then refer to the said Articles</w:t>
      </w:r>
      <w:r w:rsidR="00196439" w:rsidRPr="00D2561A">
        <w:rPr>
          <w:rFonts w:ascii="Verdana" w:hAnsi="Verdana"/>
          <w:sz w:val="20"/>
          <w:szCs w:val="20"/>
          <w:lang w:val="en-US"/>
        </w:rPr>
        <w:t xml:space="preserve"> </w:t>
      </w:r>
      <w:r w:rsidR="008123F0" w:rsidRPr="00D2561A">
        <w:rPr>
          <w:rFonts w:ascii="Verdana" w:hAnsi="Verdana"/>
          <w:sz w:val="20"/>
          <w:szCs w:val="20"/>
          <w:lang w:val="en-US"/>
        </w:rPr>
        <w:t>2</w:t>
      </w:r>
      <w:r w:rsidR="00F023E1" w:rsidRPr="00D2561A">
        <w:rPr>
          <w:rFonts w:ascii="Verdana" w:hAnsi="Verdana"/>
          <w:sz w:val="20"/>
          <w:szCs w:val="20"/>
          <w:lang w:val="en-US"/>
        </w:rPr>
        <w:t>6</w:t>
      </w:r>
      <w:r w:rsidR="00E30D1A" w:rsidRPr="00D2561A">
        <w:rPr>
          <w:rFonts w:ascii="Verdana" w:hAnsi="Verdana"/>
          <w:sz w:val="20"/>
          <w:szCs w:val="20"/>
          <w:lang w:val="en-US"/>
        </w:rPr>
        <w:t xml:space="preserve"> and </w:t>
      </w:r>
      <w:r w:rsidR="00F023E1" w:rsidRPr="00D2561A">
        <w:rPr>
          <w:rFonts w:ascii="Verdana" w:hAnsi="Verdana"/>
          <w:sz w:val="20"/>
          <w:szCs w:val="20"/>
          <w:lang w:val="en-US"/>
        </w:rPr>
        <w:t xml:space="preserve">24, </w:t>
      </w:r>
      <w:r w:rsidR="00CC10C2" w:rsidRPr="00D2561A">
        <w:rPr>
          <w:rFonts w:ascii="Verdana" w:hAnsi="Verdana"/>
          <w:sz w:val="20"/>
          <w:szCs w:val="20"/>
          <w:lang w:val="en-US"/>
        </w:rPr>
        <w:t xml:space="preserve">in addition to placing on record a consideration </w:t>
      </w:r>
      <w:r w:rsidR="00BE758B" w:rsidRPr="00D2561A">
        <w:rPr>
          <w:rFonts w:ascii="Verdana" w:hAnsi="Verdana"/>
          <w:sz w:val="20"/>
          <w:szCs w:val="20"/>
          <w:lang w:val="en-US"/>
        </w:rPr>
        <w:t>relating</w:t>
      </w:r>
      <w:r w:rsidR="00CC10C2" w:rsidRPr="00D2561A">
        <w:rPr>
          <w:rFonts w:ascii="Verdana" w:hAnsi="Verdana"/>
          <w:sz w:val="20"/>
          <w:szCs w:val="20"/>
          <w:lang w:val="en-US"/>
        </w:rPr>
        <w:t xml:space="preserve"> to  operative paragraph</w:t>
      </w:r>
      <w:r w:rsidR="00F023E1" w:rsidRPr="00D2561A">
        <w:rPr>
          <w:rFonts w:ascii="Verdana" w:hAnsi="Verdana"/>
          <w:sz w:val="20"/>
          <w:szCs w:val="20"/>
          <w:lang w:val="en-US"/>
        </w:rPr>
        <w:t xml:space="preserve"> </w:t>
      </w:r>
      <w:r w:rsidR="00865C38" w:rsidRPr="00D2561A">
        <w:rPr>
          <w:rFonts w:ascii="Verdana" w:hAnsi="Verdana"/>
          <w:sz w:val="20"/>
          <w:szCs w:val="20"/>
          <w:lang w:val="en-US"/>
        </w:rPr>
        <w:t>4</w:t>
      </w:r>
      <w:r w:rsidR="00F023E1" w:rsidRPr="00D2561A">
        <w:rPr>
          <w:rFonts w:ascii="Verdana" w:hAnsi="Verdana"/>
          <w:sz w:val="20"/>
          <w:szCs w:val="20"/>
          <w:lang w:val="en-US"/>
        </w:rPr>
        <w:t xml:space="preserve"> </w:t>
      </w:r>
      <w:r w:rsidR="00CC10C2" w:rsidRPr="00D2561A">
        <w:rPr>
          <w:rFonts w:ascii="Verdana" w:hAnsi="Verdana"/>
          <w:sz w:val="20"/>
          <w:szCs w:val="20"/>
          <w:lang w:val="en-US"/>
        </w:rPr>
        <w:t>of the judgment on the right to life.</w:t>
      </w:r>
      <w:r w:rsidR="00F023E1" w:rsidRPr="00D2561A">
        <w:rPr>
          <w:rStyle w:val="Refdenotaalpie"/>
          <w:rFonts w:ascii="Verdana" w:hAnsi="Verdana"/>
          <w:sz w:val="20"/>
          <w:szCs w:val="20"/>
          <w:lang w:val="en-US"/>
        </w:rPr>
        <w:footnoteReference w:id="7"/>
      </w:r>
    </w:p>
    <w:p w14:paraId="58C34ACA" w14:textId="77777777" w:rsidR="0032767A" w:rsidRPr="00D2561A" w:rsidRDefault="0032767A" w:rsidP="0032767A">
      <w:pPr>
        <w:spacing w:line="240" w:lineRule="auto"/>
        <w:ind w:left="0" w:right="-162"/>
        <w:contextualSpacing/>
        <w:rPr>
          <w:rFonts w:ascii="Verdana" w:hAnsi="Verdana"/>
          <w:sz w:val="20"/>
          <w:szCs w:val="20"/>
          <w:lang w:val="en-US"/>
        </w:rPr>
      </w:pPr>
    </w:p>
    <w:p w14:paraId="2E198333" w14:textId="1421C499" w:rsidR="00196439" w:rsidRPr="00D2561A" w:rsidRDefault="00CC10C2" w:rsidP="000E0801">
      <w:pPr>
        <w:pStyle w:val="Prrafodelista"/>
        <w:numPr>
          <w:ilvl w:val="0"/>
          <w:numId w:val="12"/>
        </w:numPr>
        <w:spacing w:line="240" w:lineRule="auto"/>
        <w:ind w:left="-270" w:right="-162" w:firstLine="0"/>
        <w:rPr>
          <w:rFonts w:ascii="Verdana" w:eastAsiaTheme="minorEastAsia" w:hAnsi="Verdana"/>
          <w:b/>
          <w:bCs/>
          <w:sz w:val="20"/>
          <w:szCs w:val="20"/>
          <w:lang w:val="en-US"/>
        </w:rPr>
      </w:pPr>
      <w:r w:rsidRPr="00D2561A">
        <w:rPr>
          <w:rFonts w:ascii="Verdana" w:eastAsiaTheme="minorEastAsia" w:hAnsi="Verdana"/>
          <w:b/>
          <w:bCs/>
          <w:sz w:val="20"/>
          <w:szCs w:val="20"/>
          <w:lang w:val="en-US"/>
        </w:rPr>
        <w:t>GENERAL PRELIMINARY CONSIDERATIONS</w:t>
      </w:r>
    </w:p>
    <w:p w14:paraId="3C5925C7" w14:textId="77777777" w:rsidR="00893E31" w:rsidRPr="00D2561A" w:rsidRDefault="00893E31" w:rsidP="000E0801">
      <w:pPr>
        <w:spacing w:line="240" w:lineRule="auto"/>
        <w:ind w:left="-270" w:right="-162"/>
        <w:rPr>
          <w:rFonts w:ascii="Verdana" w:hAnsi="Verdana"/>
          <w:sz w:val="20"/>
          <w:szCs w:val="20"/>
          <w:lang w:val="en-US"/>
        </w:rPr>
      </w:pPr>
      <w:bookmarkStart w:id="1" w:name="_Hlk40525695"/>
    </w:p>
    <w:p w14:paraId="582D596A" w14:textId="097669CE" w:rsidR="00403AB6" w:rsidRPr="00D2561A" w:rsidRDefault="007A210D" w:rsidP="004D38AD">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          </w:t>
      </w:r>
      <w:r w:rsidR="000F54C3" w:rsidRPr="00D2561A">
        <w:rPr>
          <w:rFonts w:ascii="Verdana" w:hAnsi="Verdana"/>
          <w:sz w:val="20"/>
          <w:szCs w:val="20"/>
          <w:lang w:val="en-US"/>
        </w:rPr>
        <w:t>Evident</w:t>
      </w:r>
      <w:r w:rsidR="004D38AD" w:rsidRPr="00D2561A">
        <w:rPr>
          <w:rFonts w:ascii="Verdana" w:hAnsi="Verdana"/>
          <w:sz w:val="20"/>
          <w:szCs w:val="20"/>
          <w:lang w:val="en-US"/>
        </w:rPr>
        <w:t xml:space="preserve">ly, this </w:t>
      </w:r>
      <w:r w:rsidR="00BE758B" w:rsidRPr="00D2561A">
        <w:rPr>
          <w:rFonts w:ascii="Verdana" w:hAnsi="Verdana"/>
          <w:sz w:val="20"/>
          <w:szCs w:val="20"/>
          <w:lang w:val="en-US"/>
        </w:rPr>
        <w:t>opinion</w:t>
      </w:r>
      <w:r w:rsidR="004D38AD" w:rsidRPr="00D2561A">
        <w:rPr>
          <w:rFonts w:ascii="Verdana" w:hAnsi="Verdana"/>
          <w:sz w:val="20"/>
          <w:szCs w:val="20"/>
          <w:lang w:val="en-US"/>
        </w:rPr>
        <w:t xml:space="preserve"> is issued respecting the decisions taken in this case.</w:t>
      </w:r>
    </w:p>
    <w:p w14:paraId="2594AED5" w14:textId="77777777" w:rsidR="00BE758B" w:rsidRPr="00D2561A" w:rsidRDefault="00BE758B" w:rsidP="00BE758B">
      <w:pPr>
        <w:spacing w:line="240" w:lineRule="auto"/>
        <w:ind w:left="-270" w:right="-162"/>
        <w:rPr>
          <w:rFonts w:ascii="Verdana" w:hAnsi="Verdana"/>
          <w:sz w:val="20"/>
          <w:szCs w:val="20"/>
          <w:lang w:val="en-US"/>
        </w:rPr>
      </w:pPr>
    </w:p>
    <w:p w14:paraId="0905D2E5" w14:textId="4B421722" w:rsidR="004D38AD" w:rsidRPr="00D2561A" w:rsidRDefault="0093269F"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lastRenderedPageBreak/>
        <w:tab/>
      </w:r>
      <w:r w:rsidR="004D38AD" w:rsidRPr="00D2561A">
        <w:rPr>
          <w:rFonts w:ascii="Verdana" w:hAnsi="Verdana"/>
          <w:sz w:val="20"/>
          <w:szCs w:val="20"/>
          <w:lang w:val="en-US"/>
        </w:rPr>
        <w:t xml:space="preserve">That said, this opinion is based on the principle of public law, the </w:t>
      </w:r>
      <w:r w:rsidRPr="00D2561A">
        <w:rPr>
          <w:rFonts w:ascii="Verdana" w:hAnsi="Verdana"/>
          <w:sz w:val="20"/>
          <w:szCs w:val="20"/>
          <w:lang w:val="en-US"/>
        </w:rPr>
        <w:t xml:space="preserve">domain </w:t>
      </w:r>
      <w:r w:rsidR="004D38AD" w:rsidRPr="00D2561A">
        <w:rPr>
          <w:rFonts w:ascii="Verdana" w:hAnsi="Verdana"/>
          <w:sz w:val="20"/>
          <w:szCs w:val="20"/>
          <w:lang w:val="en-US"/>
        </w:rPr>
        <w:t xml:space="preserve">to which public international law </w:t>
      </w:r>
      <w:r w:rsidRPr="00D2561A">
        <w:rPr>
          <w:rFonts w:ascii="Verdana" w:hAnsi="Verdana"/>
          <w:sz w:val="20"/>
          <w:szCs w:val="20"/>
          <w:lang w:val="en-US"/>
        </w:rPr>
        <w:t xml:space="preserve">belongs </w:t>
      </w:r>
      <w:r w:rsidR="004D38AD" w:rsidRPr="00D2561A">
        <w:rPr>
          <w:rFonts w:ascii="Verdana" w:hAnsi="Verdana"/>
          <w:sz w:val="20"/>
          <w:szCs w:val="20"/>
          <w:lang w:val="en-US"/>
        </w:rPr>
        <w:t>and, consequently, international human rights law</w:t>
      </w:r>
      <w:r w:rsidRPr="00D2561A">
        <w:rPr>
          <w:rFonts w:ascii="Verdana" w:hAnsi="Verdana"/>
          <w:sz w:val="20"/>
          <w:szCs w:val="20"/>
          <w:lang w:val="en-US"/>
        </w:rPr>
        <w:t xml:space="preserve"> also, as</w:t>
      </w:r>
      <w:r w:rsidR="004D38AD" w:rsidRPr="00D2561A">
        <w:rPr>
          <w:rFonts w:ascii="Verdana" w:hAnsi="Verdana"/>
          <w:sz w:val="20"/>
          <w:szCs w:val="20"/>
          <w:lang w:val="en-US"/>
        </w:rPr>
        <w:t xml:space="preserve"> a component of the latter. </w:t>
      </w:r>
      <w:r w:rsidR="003D720F" w:rsidRPr="00D2561A">
        <w:rPr>
          <w:rFonts w:ascii="Verdana" w:hAnsi="Verdana"/>
          <w:sz w:val="20"/>
          <w:szCs w:val="20"/>
          <w:lang w:val="en-US"/>
        </w:rPr>
        <w:t>Consequently</w:t>
      </w:r>
      <w:r w:rsidR="004D38AD" w:rsidRPr="00D2561A">
        <w:rPr>
          <w:rFonts w:ascii="Verdana" w:hAnsi="Verdana"/>
          <w:sz w:val="20"/>
          <w:szCs w:val="20"/>
          <w:lang w:val="en-US"/>
        </w:rPr>
        <w:t xml:space="preserve">, it is only possible to do what the </w:t>
      </w:r>
      <w:r w:rsidR="00BE758B" w:rsidRPr="00D2561A">
        <w:rPr>
          <w:rFonts w:ascii="Verdana" w:hAnsi="Verdana"/>
          <w:sz w:val="20"/>
          <w:szCs w:val="20"/>
          <w:lang w:val="en-US"/>
        </w:rPr>
        <w:t>norm</w:t>
      </w:r>
      <w:r w:rsidR="004D38AD" w:rsidRPr="00D2561A">
        <w:rPr>
          <w:rFonts w:ascii="Verdana" w:hAnsi="Verdana"/>
          <w:sz w:val="20"/>
          <w:szCs w:val="20"/>
          <w:lang w:val="en-US"/>
        </w:rPr>
        <w:t xml:space="preserve"> permits</w:t>
      </w:r>
      <w:r w:rsidR="00BE758B" w:rsidRPr="00D2561A">
        <w:rPr>
          <w:rFonts w:ascii="Verdana" w:hAnsi="Verdana"/>
          <w:sz w:val="20"/>
          <w:szCs w:val="20"/>
          <w:lang w:val="en-US"/>
        </w:rPr>
        <w:t>; therefore,</w:t>
      </w:r>
      <w:r w:rsidR="004D38AD" w:rsidRPr="00D2561A">
        <w:rPr>
          <w:rFonts w:ascii="Verdana" w:hAnsi="Verdana"/>
          <w:sz w:val="20"/>
          <w:szCs w:val="20"/>
          <w:lang w:val="en-US"/>
        </w:rPr>
        <w:t xml:space="preserve"> </w:t>
      </w:r>
      <w:r w:rsidRPr="00D2561A">
        <w:rPr>
          <w:rFonts w:ascii="Verdana" w:hAnsi="Verdana"/>
          <w:sz w:val="20"/>
          <w:szCs w:val="20"/>
          <w:lang w:val="en-US"/>
        </w:rPr>
        <w:t>what</w:t>
      </w:r>
      <w:r w:rsidR="00DB5D11">
        <w:rPr>
          <w:rFonts w:ascii="Verdana" w:hAnsi="Verdana"/>
          <w:sz w:val="20"/>
          <w:szCs w:val="20"/>
          <w:lang w:val="en-US"/>
        </w:rPr>
        <w:t>ever</w:t>
      </w:r>
      <w:r w:rsidRPr="00D2561A">
        <w:rPr>
          <w:rFonts w:ascii="Verdana" w:hAnsi="Verdana"/>
          <w:sz w:val="20"/>
          <w:szCs w:val="20"/>
          <w:lang w:val="en-US"/>
        </w:rPr>
        <w:t xml:space="preserve"> is not regulated falls within the internal or domestic jurisdiction or the reserved domain of the States.</w:t>
      </w:r>
      <w:r w:rsidRPr="00D2561A">
        <w:rPr>
          <w:rFonts w:ascii="Verdana" w:hAnsi="Verdana"/>
          <w:sz w:val="20"/>
          <w:szCs w:val="20"/>
          <w:vertAlign w:val="superscript"/>
          <w:lang w:val="en-US"/>
        </w:rPr>
        <w:footnoteReference w:id="8"/>
      </w:r>
      <w:r w:rsidRPr="00D2561A">
        <w:rPr>
          <w:rFonts w:ascii="Verdana" w:hAnsi="Verdana"/>
          <w:sz w:val="20"/>
          <w:szCs w:val="20"/>
          <w:lang w:val="en-US"/>
        </w:rPr>
        <w:t xml:space="preserve"> This principle thus differs from the one that </w:t>
      </w:r>
      <w:r w:rsidR="00BE758B" w:rsidRPr="00D2561A">
        <w:rPr>
          <w:rFonts w:ascii="Verdana" w:hAnsi="Verdana"/>
          <w:sz w:val="20"/>
          <w:szCs w:val="20"/>
          <w:lang w:val="en-US"/>
        </w:rPr>
        <w:t>governs</w:t>
      </w:r>
      <w:r w:rsidRPr="00D2561A">
        <w:rPr>
          <w:rFonts w:ascii="Verdana" w:hAnsi="Verdana"/>
          <w:sz w:val="20"/>
          <w:szCs w:val="20"/>
          <w:lang w:val="en-US"/>
        </w:rPr>
        <w:t xml:space="preserve"> private law; namely, that it is possible to do </w:t>
      </w:r>
      <w:r w:rsidR="0012556D" w:rsidRPr="00D2561A">
        <w:rPr>
          <w:rFonts w:ascii="Verdana" w:hAnsi="Verdana"/>
          <w:sz w:val="20"/>
          <w:szCs w:val="20"/>
          <w:lang w:val="en-US"/>
        </w:rPr>
        <w:t>everything tha</w:t>
      </w:r>
      <w:r w:rsidRPr="00D2561A">
        <w:rPr>
          <w:rFonts w:ascii="Verdana" w:hAnsi="Verdana"/>
          <w:sz w:val="20"/>
          <w:szCs w:val="20"/>
          <w:lang w:val="en-US"/>
        </w:rPr>
        <w:t>t the law does not forbid.</w:t>
      </w:r>
    </w:p>
    <w:p w14:paraId="6F7485C5" w14:textId="77777777" w:rsidR="009929B5" w:rsidRPr="00D2561A" w:rsidRDefault="009929B5" w:rsidP="000E0801">
      <w:pPr>
        <w:pStyle w:val="Prrafodelista"/>
        <w:spacing w:line="240" w:lineRule="auto"/>
        <w:ind w:left="-270" w:right="-162"/>
        <w:rPr>
          <w:rFonts w:ascii="Verdana" w:hAnsi="Verdana"/>
          <w:sz w:val="20"/>
          <w:szCs w:val="20"/>
          <w:lang w:val="en-US"/>
        </w:rPr>
      </w:pPr>
    </w:p>
    <w:p w14:paraId="480F715E" w14:textId="51720F23" w:rsidR="00C7199F" w:rsidRPr="00D2561A" w:rsidRDefault="007A210D" w:rsidP="00C7199F">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         </w:t>
      </w:r>
      <w:r w:rsidR="0093269F" w:rsidRPr="00D2561A">
        <w:rPr>
          <w:rFonts w:ascii="Verdana" w:hAnsi="Verdana"/>
          <w:sz w:val="20"/>
          <w:szCs w:val="20"/>
          <w:lang w:val="en-US"/>
        </w:rPr>
        <w:t>This text is also based on</w:t>
      </w:r>
      <w:r w:rsidR="00C7199F" w:rsidRPr="00D2561A">
        <w:rPr>
          <w:rFonts w:ascii="Verdana" w:hAnsi="Verdana"/>
          <w:sz w:val="20"/>
          <w:szCs w:val="20"/>
          <w:lang w:val="en-US"/>
        </w:rPr>
        <w:t xml:space="preserve"> the value of law, including its procedural rules that, especially in the area of human rights, are as essential as the substantive rules because respect for th</w:t>
      </w:r>
      <w:r w:rsidR="003D720F" w:rsidRPr="00D2561A">
        <w:rPr>
          <w:rFonts w:ascii="Verdana" w:hAnsi="Verdana"/>
          <w:sz w:val="20"/>
          <w:szCs w:val="20"/>
          <w:lang w:val="en-US"/>
        </w:rPr>
        <w:t>e former</w:t>
      </w:r>
      <w:r w:rsidR="00C7199F" w:rsidRPr="00D2561A">
        <w:rPr>
          <w:rFonts w:ascii="Verdana" w:hAnsi="Verdana"/>
          <w:sz w:val="20"/>
          <w:szCs w:val="20"/>
          <w:lang w:val="en-US"/>
        </w:rPr>
        <w:t xml:space="preserve"> allows the latter to be truly effective. Thus, the form is indissolubly linked to the substance. And, to a great extent, the procedural </w:t>
      </w:r>
      <w:r w:rsidR="003D720F" w:rsidRPr="00D2561A">
        <w:rPr>
          <w:rFonts w:ascii="Verdana" w:hAnsi="Verdana"/>
          <w:sz w:val="20"/>
          <w:szCs w:val="20"/>
          <w:lang w:val="en-US"/>
        </w:rPr>
        <w:t>rules</w:t>
      </w:r>
      <w:r w:rsidR="00C7199F" w:rsidRPr="00D2561A">
        <w:rPr>
          <w:rFonts w:ascii="Verdana" w:hAnsi="Verdana"/>
          <w:sz w:val="20"/>
          <w:szCs w:val="20"/>
          <w:lang w:val="en-US"/>
        </w:rPr>
        <w:t xml:space="preserve"> – at times considered mere formalities and, consequently, susceptible to being disregarded in order to give precedence to the substantive </w:t>
      </w:r>
      <w:r w:rsidR="003D720F" w:rsidRPr="00D2561A">
        <w:rPr>
          <w:rFonts w:ascii="Verdana" w:hAnsi="Verdana"/>
          <w:sz w:val="20"/>
          <w:szCs w:val="20"/>
          <w:lang w:val="en-US"/>
        </w:rPr>
        <w:t>rules</w:t>
      </w:r>
      <w:r w:rsidR="00C7199F" w:rsidRPr="00D2561A">
        <w:rPr>
          <w:rFonts w:ascii="Verdana" w:hAnsi="Verdana"/>
          <w:sz w:val="20"/>
          <w:szCs w:val="20"/>
          <w:lang w:val="en-US"/>
        </w:rPr>
        <w:t xml:space="preserve"> – condition the applicability of the latter. Consequently, if an international judicial instance overlooks the procedural </w:t>
      </w:r>
      <w:r w:rsidR="003D720F" w:rsidRPr="00D2561A">
        <w:rPr>
          <w:rFonts w:ascii="Verdana" w:hAnsi="Verdana"/>
          <w:sz w:val="20"/>
          <w:szCs w:val="20"/>
          <w:lang w:val="en-US"/>
        </w:rPr>
        <w:t>rules</w:t>
      </w:r>
      <w:r w:rsidR="00C7199F" w:rsidRPr="00D2561A">
        <w:rPr>
          <w:rFonts w:ascii="Verdana" w:hAnsi="Verdana"/>
          <w:sz w:val="20"/>
          <w:szCs w:val="20"/>
          <w:lang w:val="en-US"/>
        </w:rPr>
        <w:t xml:space="preserve">, it could be encouraging the whole of international society and, even national society, to act in the same way and this could have a devastating effect on the </w:t>
      </w:r>
      <w:r w:rsidR="0012556D" w:rsidRPr="00D2561A">
        <w:rPr>
          <w:rFonts w:ascii="Verdana" w:hAnsi="Verdana"/>
          <w:sz w:val="20"/>
          <w:szCs w:val="20"/>
          <w:lang w:val="en-US"/>
        </w:rPr>
        <w:t>real</w:t>
      </w:r>
      <w:r w:rsidR="00C7199F" w:rsidRPr="00D2561A">
        <w:rPr>
          <w:rFonts w:ascii="Verdana" w:hAnsi="Verdana"/>
          <w:sz w:val="20"/>
          <w:szCs w:val="20"/>
          <w:lang w:val="en-US"/>
        </w:rPr>
        <w:t xml:space="preserve"> exercise of international human rights law. </w:t>
      </w:r>
    </w:p>
    <w:p w14:paraId="5BBC7AF5" w14:textId="77777777" w:rsidR="009929B5" w:rsidRPr="00D2561A" w:rsidRDefault="009929B5" w:rsidP="000E0801">
      <w:pPr>
        <w:pStyle w:val="Prrafodelista"/>
        <w:spacing w:line="240" w:lineRule="auto"/>
        <w:ind w:left="-270" w:right="-162"/>
        <w:rPr>
          <w:rFonts w:ascii="Verdana" w:hAnsi="Verdana"/>
          <w:sz w:val="20"/>
          <w:szCs w:val="20"/>
          <w:lang w:val="en-US"/>
        </w:rPr>
      </w:pPr>
    </w:p>
    <w:p w14:paraId="0AA39DC7" w14:textId="151170AC" w:rsidR="001F2CC5" w:rsidRPr="00D2561A" w:rsidRDefault="007A210D"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          </w:t>
      </w:r>
      <w:r w:rsidR="001F2CC5" w:rsidRPr="00D2561A">
        <w:rPr>
          <w:rFonts w:ascii="Verdana" w:hAnsi="Verdana"/>
          <w:sz w:val="20"/>
          <w:szCs w:val="20"/>
          <w:lang w:val="en-US"/>
        </w:rPr>
        <w:t>In this regard, I consider that legal norms are, undoubtedly, the result of agreements between their authors, the legislator</w:t>
      </w:r>
      <w:r w:rsidR="0012556D" w:rsidRPr="00D2561A">
        <w:rPr>
          <w:rFonts w:ascii="Verdana" w:hAnsi="Verdana"/>
          <w:sz w:val="20"/>
          <w:szCs w:val="20"/>
          <w:lang w:val="en-US"/>
        </w:rPr>
        <w:t>s</w:t>
      </w:r>
      <w:r w:rsidR="001F2CC5" w:rsidRPr="00D2561A">
        <w:rPr>
          <w:rFonts w:ascii="Verdana" w:hAnsi="Verdana"/>
          <w:sz w:val="20"/>
          <w:szCs w:val="20"/>
          <w:lang w:val="en-US"/>
        </w:rPr>
        <w:t xml:space="preserve"> in the domestic sphere and the States in the international domain, who </w:t>
      </w:r>
      <w:r w:rsidR="003D720F" w:rsidRPr="00D2561A">
        <w:rPr>
          <w:rFonts w:ascii="Verdana" w:hAnsi="Verdana"/>
          <w:sz w:val="20"/>
          <w:szCs w:val="20"/>
          <w:lang w:val="en-US"/>
        </w:rPr>
        <w:t xml:space="preserve">reach agreement on </w:t>
      </w:r>
      <w:r w:rsidR="001F2CC5" w:rsidRPr="00D2561A">
        <w:rPr>
          <w:rFonts w:ascii="Verdana" w:hAnsi="Verdana"/>
          <w:sz w:val="20"/>
          <w:szCs w:val="20"/>
          <w:lang w:val="en-US"/>
        </w:rPr>
        <w:t xml:space="preserve">them by conciliating </w:t>
      </w:r>
      <w:r w:rsidR="0012556D" w:rsidRPr="00D2561A">
        <w:rPr>
          <w:rFonts w:ascii="Verdana" w:hAnsi="Verdana"/>
          <w:sz w:val="20"/>
          <w:szCs w:val="20"/>
          <w:lang w:val="en-US"/>
        </w:rPr>
        <w:t>their</w:t>
      </w:r>
      <w:r w:rsidR="003D720F" w:rsidRPr="00D2561A">
        <w:rPr>
          <w:rFonts w:ascii="Verdana" w:hAnsi="Verdana"/>
          <w:sz w:val="20"/>
          <w:szCs w:val="20"/>
          <w:lang w:val="en-US"/>
        </w:rPr>
        <w:t xml:space="preserve"> </w:t>
      </w:r>
      <w:r w:rsidR="001F2CC5" w:rsidRPr="00D2561A">
        <w:rPr>
          <w:rFonts w:ascii="Verdana" w:hAnsi="Verdana"/>
          <w:sz w:val="20"/>
          <w:szCs w:val="20"/>
          <w:lang w:val="en-US"/>
        </w:rPr>
        <w:t>positions</w:t>
      </w:r>
      <w:r w:rsidR="003D720F" w:rsidRPr="00D2561A">
        <w:rPr>
          <w:rFonts w:ascii="Verdana" w:hAnsi="Verdana"/>
          <w:sz w:val="20"/>
          <w:szCs w:val="20"/>
          <w:lang w:val="en-US"/>
        </w:rPr>
        <w:t xml:space="preserve"> in order</w:t>
      </w:r>
      <w:r w:rsidR="001F2CC5" w:rsidRPr="00D2561A">
        <w:rPr>
          <w:rFonts w:ascii="Verdana" w:hAnsi="Verdana"/>
          <w:sz w:val="20"/>
          <w:szCs w:val="20"/>
          <w:lang w:val="en-US"/>
        </w:rPr>
        <w:t xml:space="preserve"> to put in practice principles, doctrines and ideology, safeguard their own or third party interests, consolidate or increase positions of power,</w:t>
      </w:r>
      <w:r w:rsidR="003D720F" w:rsidRPr="00D2561A">
        <w:rPr>
          <w:rFonts w:ascii="Verdana" w:hAnsi="Verdana"/>
          <w:sz w:val="20"/>
          <w:szCs w:val="20"/>
          <w:lang w:val="en-US"/>
        </w:rPr>
        <w:t xml:space="preserve"> and</w:t>
      </w:r>
      <w:r w:rsidR="001F2CC5" w:rsidRPr="00D2561A">
        <w:rPr>
          <w:rFonts w:ascii="Verdana" w:hAnsi="Verdana"/>
          <w:sz w:val="20"/>
          <w:szCs w:val="20"/>
          <w:lang w:val="en-US"/>
        </w:rPr>
        <w:t xml:space="preserve"> obtain economic benefits, etc. Therefore, it </w:t>
      </w:r>
      <w:r w:rsidR="0012556D" w:rsidRPr="00D2561A">
        <w:rPr>
          <w:rFonts w:ascii="Verdana" w:hAnsi="Verdana"/>
          <w:sz w:val="20"/>
          <w:szCs w:val="20"/>
          <w:lang w:val="en-US"/>
        </w:rPr>
        <w:t xml:space="preserve">should </w:t>
      </w:r>
      <w:r w:rsidR="001F2CC5" w:rsidRPr="00D2561A">
        <w:rPr>
          <w:rFonts w:ascii="Verdana" w:hAnsi="Verdana"/>
          <w:sz w:val="20"/>
          <w:szCs w:val="20"/>
          <w:lang w:val="en-US"/>
        </w:rPr>
        <w:t>be taken in</w:t>
      </w:r>
      <w:r w:rsidR="0012556D" w:rsidRPr="00D2561A">
        <w:rPr>
          <w:rFonts w:ascii="Verdana" w:hAnsi="Verdana"/>
          <w:sz w:val="20"/>
          <w:szCs w:val="20"/>
          <w:lang w:val="en-US"/>
        </w:rPr>
        <w:t>to</w:t>
      </w:r>
      <w:r w:rsidR="001F2CC5" w:rsidRPr="00D2561A">
        <w:rPr>
          <w:rFonts w:ascii="Verdana" w:hAnsi="Verdana"/>
          <w:sz w:val="20"/>
          <w:szCs w:val="20"/>
          <w:lang w:val="en-US"/>
        </w:rPr>
        <w:t xml:space="preserve"> account that, in general, the said consensus </w:t>
      </w:r>
      <w:r w:rsidR="0012556D" w:rsidRPr="00D2561A">
        <w:rPr>
          <w:rFonts w:ascii="Verdana" w:hAnsi="Verdana"/>
          <w:sz w:val="20"/>
          <w:szCs w:val="20"/>
          <w:lang w:val="en-US"/>
        </w:rPr>
        <w:t>relates not only</w:t>
      </w:r>
      <w:r w:rsidR="001F2CC5" w:rsidRPr="00D2561A">
        <w:rPr>
          <w:rFonts w:ascii="Verdana" w:hAnsi="Verdana"/>
          <w:sz w:val="20"/>
          <w:szCs w:val="20"/>
          <w:lang w:val="en-US"/>
        </w:rPr>
        <w:t xml:space="preserve"> to the </w:t>
      </w:r>
      <w:r w:rsidR="0012556D" w:rsidRPr="00D2561A">
        <w:rPr>
          <w:rFonts w:ascii="Verdana" w:hAnsi="Verdana"/>
          <w:sz w:val="20"/>
          <w:szCs w:val="20"/>
          <w:lang w:val="en-US"/>
        </w:rPr>
        <w:t>rationale for</w:t>
      </w:r>
      <w:r w:rsidR="001F2CC5" w:rsidRPr="00D2561A">
        <w:rPr>
          <w:rFonts w:ascii="Verdana" w:hAnsi="Verdana"/>
          <w:sz w:val="20"/>
          <w:szCs w:val="20"/>
          <w:lang w:val="en-US"/>
        </w:rPr>
        <w:t xml:space="preserve"> the respective norm, but also to what it states.</w:t>
      </w:r>
    </w:p>
    <w:p w14:paraId="3DDFEE6A" w14:textId="77777777" w:rsidR="009929B5" w:rsidRPr="00D2561A" w:rsidRDefault="009929B5" w:rsidP="001F2CC5">
      <w:pPr>
        <w:spacing w:line="240" w:lineRule="auto"/>
        <w:ind w:left="0" w:right="-162"/>
        <w:rPr>
          <w:rFonts w:ascii="Verdana" w:hAnsi="Verdana"/>
          <w:sz w:val="20"/>
          <w:szCs w:val="20"/>
          <w:lang w:val="en-US"/>
        </w:rPr>
      </w:pPr>
    </w:p>
    <w:p w14:paraId="0E508A2E" w14:textId="46C41A04" w:rsidR="001F2CC5" w:rsidRPr="00D2561A" w:rsidRDefault="007A210D"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          </w:t>
      </w:r>
      <w:r w:rsidR="001F2CC5" w:rsidRPr="00D2561A">
        <w:rPr>
          <w:rFonts w:ascii="Verdana" w:hAnsi="Verdana"/>
          <w:sz w:val="20"/>
          <w:szCs w:val="20"/>
          <w:lang w:val="en-US"/>
        </w:rPr>
        <w:t xml:space="preserve">Regarding the matter in </w:t>
      </w:r>
      <w:r w:rsidR="0012556D" w:rsidRPr="00D2561A">
        <w:rPr>
          <w:rFonts w:ascii="Verdana" w:hAnsi="Verdana"/>
          <w:sz w:val="20"/>
          <w:szCs w:val="20"/>
          <w:lang w:val="en-US"/>
        </w:rPr>
        <w:t>hand</w:t>
      </w:r>
      <w:r w:rsidR="001F2CC5" w:rsidRPr="00D2561A">
        <w:rPr>
          <w:rFonts w:ascii="Verdana" w:hAnsi="Verdana"/>
          <w:sz w:val="20"/>
          <w:szCs w:val="20"/>
          <w:lang w:val="en-US"/>
        </w:rPr>
        <w:t>, this consensus constitutes, above all</w:t>
      </w:r>
      <w:r w:rsidR="0012556D" w:rsidRPr="00D2561A">
        <w:rPr>
          <w:rFonts w:ascii="Verdana" w:hAnsi="Verdana"/>
          <w:sz w:val="20"/>
          <w:szCs w:val="20"/>
          <w:lang w:val="en-US"/>
        </w:rPr>
        <w:t xml:space="preserve"> – be</w:t>
      </w:r>
      <w:r w:rsidR="001F2CC5" w:rsidRPr="00D2561A">
        <w:rPr>
          <w:rFonts w:ascii="Verdana" w:hAnsi="Verdana"/>
          <w:sz w:val="20"/>
          <w:szCs w:val="20"/>
          <w:lang w:val="en-US"/>
        </w:rPr>
        <w:t>aring in mind considerations</w:t>
      </w:r>
      <w:r w:rsidR="005721BD" w:rsidRPr="00D2561A">
        <w:rPr>
          <w:rFonts w:ascii="Verdana" w:hAnsi="Verdana"/>
          <w:sz w:val="20"/>
          <w:szCs w:val="20"/>
          <w:lang w:val="en-US"/>
        </w:rPr>
        <w:t xml:space="preserve"> made in relation to</w:t>
      </w:r>
      <w:r w:rsidR="001F2CC5" w:rsidRPr="00D2561A">
        <w:rPr>
          <w:rFonts w:ascii="Verdana" w:hAnsi="Verdana"/>
          <w:sz w:val="20"/>
          <w:szCs w:val="20"/>
          <w:lang w:val="en-US"/>
        </w:rPr>
        <w:t xml:space="preserve"> the Universal Declaration of Human Rights</w:t>
      </w:r>
      <w:r w:rsidR="0012556D" w:rsidRPr="00D2561A">
        <w:rPr>
          <w:rFonts w:ascii="Verdana" w:hAnsi="Verdana"/>
          <w:sz w:val="20"/>
          <w:szCs w:val="20"/>
          <w:lang w:val="en-US"/>
        </w:rPr>
        <w:t xml:space="preserve"> – a</w:t>
      </w:r>
      <w:r w:rsidR="005721BD" w:rsidRPr="00D2561A">
        <w:rPr>
          <w:rFonts w:ascii="Verdana" w:hAnsi="Verdana"/>
          <w:sz w:val="20"/>
          <w:szCs w:val="20"/>
          <w:lang w:val="en-US"/>
        </w:rPr>
        <w:t xml:space="preserve"> practical pact </w:t>
      </w:r>
      <w:r w:rsidR="0012556D" w:rsidRPr="00D2561A">
        <w:rPr>
          <w:rFonts w:ascii="Verdana" w:hAnsi="Verdana"/>
          <w:sz w:val="20"/>
          <w:szCs w:val="20"/>
          <w:lang w:val="en-US"/>
        </w:rPr>
        <w:t xml:space="preserve">with regard </w:t>
      </w:r>
      <w:r w:rsidR="005721BD" w:rsidRPr="00D2561A">
        <w:rPr>
          <w:rFonts w:ascii="Verdana" w:hAnsi="Verdana"/>
          <w:sz w:val="20"/>
          <w:szCs w:val="20"/>
          <w:lang w:val="en-US"/>
        </w:rPr>
        <w:t>to what was agreed, although not its</w:t>
      </w:r>
      <w:r w:rsidR="0012556D" w:rsidRPr="00D2561A">
        <w:rPr>
          <w:rFonts w:ascii="Verdana" w:hAnsi="Verdana"/>
          <w:sz w:val="20"/>
          <w:szCs w:val="20"/>
          <w:lang w:val="en-US"/>
        </w:rPr>
        <w:t xml:space="preserve"> rationale</w:t>
      </w:r>
      <w:r w:rsidR="005721BD" w:rsidRPr="00D2561A">
        <w:rPr>
          <w:rFonts w:ascii="Verdana" w:hAnsi="Verdana"/>
          <w:sz w:val="20"/>
          <w:szCs w:val="20"/>
          <w:lang w:val="en-US"/>
        </w:rPr>
        <w:t xml:space="preserve">. Given the structure of international society, which is basically still </w:t>
      </w:r>
      <w:r w:rsidR="0012556D" w:rsidRPr="00D2561A">
        <w:rPr>
          <w:rFonts w:ascii="Verdana" w:hAnsi="Verdana"/>
          <w:sz w:val="20"/>
          <w:szCs w:val="20"/>
          <w:lang w:val="en-US"/>
        </w:rPr>
        <w:t>composed of</w:t>
      </w:r>
      <w:r w:rsidR="005721BD" w:rsidRPr="00D2561A">
        <w:rPr>
          <w:rFonts w:ascii="Verdana" w:hAnsi="Verdana"/>
          <w:sz w:val="20"/>
          <w:szCs w:val="20"/>
          <w:lang w:val="en-US"/>
        </w:rPr>
        <w:t xml:space="preserve"> sovereign States, this</w:t>
      </w:r>
      <w:r w:rsidR="0012556D" w:rsidRPr="00D2561A">
        <w:rPr>
          <w:rFonts w:ascii="Verdana" w:hAnsi="Verdana"/>
          <w:sz w:val="20"/>
          <w:szCs w:val="20"/>
          <w:lang w:val="en-US"/>
        </w:rPr>
        <w:t xml:space="preserve"> has been the</w:t>
      </w:r>
      <w:r w:rsidR="005721BD" w:rsidRPr="00D2561A">
        <w:rPr>
          <w:rFonts w:ascii="Verdana" w:hAnsi="Verdana"/>
          <w:sz w:val="20"/>
          <w:szCs w:val="20"/>
          <w:lang w:val="en-US"/>
        </w:rPr>
        <w:t xml:space="preserve"> method that has permitted progress in the area of human rights, </w:t>
      </w:r>
      <w:r w:rsidR="00D02A3F" w:rsidRPr="00D2561A">
        <w:rPr>
          <w:rFonts w:ascii="Verdana" w:hAnsi="Verdana"/>
          <w:sz w:val="20"/>
          <w:szCs w:val="20"/>
          <w:lang w:val="en-US"/>
        </w:rPr>
        <w:t>even though</w:t>
      </w:r>
      <w:r w:rsidR="005721BD" w:rsidRPr="00D2561A">
        <w:rPr>
          <w:rFonts w:ascii="Verdana" w:hAnsi="Verdana"/>
          <w:sz w:val="20"/>
          <w:szCs w:val="20"/>
          <w:lang w:val="en-US"/>
        </w:rPr>
        <w:t xml:space="preserve"> th</w:t>
      </w:r>
      <w:r w:rsidR="0012556D" w:rsidRPr="00D2561A">
        <w:rPr>
          <w:rFonts w:ascii="Verdana" w:hAnsi="Verdana"/>
          <w:sz w:val="20"/>
          <w:szCs w:val="20"/>
          <w:lang w:val="en-US"/>
        </w:rPr>
        <w:t>is</w:t>
      </w:r>
      <w:r w:rsidR="005721BD" w:rsidRPr="00D2561A">
        <w:rPr>
          <w:rFonts w:ascii="Verdana" w:hAnsi="Verdana"/>
          <w:sz w:val="20"/>
          <w:szCs w:val="20"/>
          <w:lang w:val="en-US"/>
        </w:rPr>
        <w:t xml:space="preserve"> ha</w:t>
      </w:r>
      <w:r w:rsidR="0012556D" w:rsidRPr="00D2561A">
        <w:rPr>
          <w:rFonts w:ascii="Verdana" w:hAnsi="Verdana"/>
          <w:sz w:val="20"/>
          <w:szCs w:val="20"/>
          <w:lang w:val="en-US"/>
        </w:rPr>
        <w:t>s</w:t>
      </w:r>
      <w:r w:rsidR="005721BD" w:rsidRPr="00D2561A">
        <w:rPr>
          <w:rFonts w:ascii="Verdana" w:hAnsi="Verdana"/>
          <w:sz w:val="20"/>
          <w:szCs w:val="20"/>
          <w:lang w:val="en-US"/>
        </w:rPr>
        <w:t xml:space="preserve"> </w:t>
      </w:r>
      <w:r w:rsidR="00D02A3F" w:rsidRPr="00D2561A">
        <w:rPr>
          <w:rFonts w:ascii="Verdana" w:hAnsi="Verdana"/>
          <w:sz w:val="20"/>
          <w:szCs w:val="20"/>
          <w:lang w:val="en-US"/>
        </w:rPr>
        <w:t>evidently</w:t>
      </w:r>
      <w:r w:rsidR="005721BD" w:rsidRPr="00D2561A">
        <w:rPr>
          <w:rFonts w:ascii="Verdana" w:hAnsi="Verdana"/>
          <w:sz w:val="20"/>
          <w:szCs w:val="20"/>
          <w:lang w:val="en-US"/>
        </w:rPr>
        <w:t xml:space="preserve"> been uneven according to the continent and </w:t>
      </w:r>
      <w:r w:rsidR="0012556D" w:rsidRPr="00D2561A">
        <w:rPr>
          <w:rFonts w:ascii="Verdana" w:hAnsi="Verdana"/>
          <w:sz w:val="20"/>
          <w:szCs w:val="20"/>
          <w:lang w:val="en-US"/>
        </w:rPr>
        <w:t xml:space="preserve">the </w:t>
      </w:r>
      <w:r w:rsidR="005721BD" w:rsidRPr="00D2561A">
        <w:rPr>
          <w:rFonts w:ascii="Verdana" w:hAnsi="Verdana"/>
          <w:sz w:val="20"/>
          <w:szCs w:val="20"/>
          <w:lang w:val="en-US"/>
        </w:rPr>
        <w:t>countries concerned.</w:t>
      </w:r>
    </w:p>
    <w:p w14:paraId="386A2E1D" w14:textId="77777777" w:rsidR="00C60092" w:rsidRPr="00D2561A" w:rsidRDefault="00C60092" w:rsidP="000E0801">
      <w:pPr>
        <w:pStyle w:val="Prrafodelista"/>
        <w:spacing w:line="240" w:lineRule="auto"/>
        <w:ind w:left="-270" w:right="-162"/>
        <w:rPr>
          <w:rFonts w:ascii="Verdana" w:hAnsi="Verdana"/>
          <w:sz w:val="20"/>
          <w:szCs w:val="20"/>
          <w:lang w:val="en-US"/>
        </w:rPr>
      </w:pPr>
    </w:p>
    <w:p w14:paraId="0CFCA7BC" w14:textId="4D9B0413" w:rsidR="005721BD" w:rsidRPr="00D2561A" w:rsidRDefault="0012556D" w:rsidP="005721BD">
      <w:pPr>
        <w:pStyle w:val="Prrafodelista"/>
        <w:numPr>
          <w:ilvl w:val="0"/>
          <w:numId w:val="5"/>
        </w:numPr>
        <w:tabs>
          <w:tab w:val="left" w:pos="720"/>
        </w:tabs>
        <w:spacing w:line="240" w:lineRule="auto"/>
        <w:ind w:left="-270" w:right="-162" w:firstLine="0"/>
        <w:rPr>
          <w:rFonts w:ascii="Verdana" w:hAnsi="Verdana"/>
          <w:sz w:val="20"/>
          <w:szCs w:val="20"/>
          <w:lang w:val="en-US"/>
        </w:rPr>
      </w:pPr>
      <w:r w:rsidRPr="00D2561A">
        <w:rPr>
          <w:rFonts w:ascii="Verdana" w:hAnsi="Verdana"/>
          <w:sz w:val="20"/>
          <w:szCs w:val="20"/>
          <w:lang w:val="en-US"/>
        </w:rPr>
        <w:t>This opinion also</w:t>
      </w:r>
      <w:r w:rsidR="005721BD" w:rsidRPr="00D2561A">
        <w:rPr>
          <w:rFonts w:ascii="Verdana" w:hAnsi="Verdana"/>
          <w:sz w:val="20"/>
          <w:szCs w:val="20"/>
          <w:lang w:val="en-US"/>
        </w:rPr>
        <w:t xml:space="preserve"> takes into account that the law is the only instrument available to the individual to confront the immense and overwhelming power held by the State, particularly on the international scene. The relationship between the two is abysmally unequal. In the situation before us, without the support of international human rights law and its institutions, the individual would </w:t>
      </w:r>
      <w:r w:rsidR="00E77D5D" w:rsidRPr="00D2561A">
        <w:rPr>
          <w:rFonts w:ascii="Verdana" w:hAnsi="Verdana"/>
          <w:sz w:val="20"/>
          <w:szCs w:val="20"/>
          <w:lang w:val="en-US"/>
        </w:rPr>
        <w:t>be almost defenseless</w:t>
      </w:r>
      <w:r w:rsidR="005721BD" w:rsidRPr="00D2561A">
        <w:rPr>
          <w:rFonts w:ascii="Verdana" w:hAnsi="Verdana"/>
          <w:sz w:val="20"/>
          <w:szCs w:val="20"/>
          <w:lang w:val="en-US"/>
        </w:rPr>
        <w:t xml:space="preserve"> in the international sphere or, at least, in a situation of evident inequality or </w:t>
      </w:r>
      <w:r w:rsidR="00D02A3F" w:rsidRPr="00D2561A">
        <w:rPr>
          <w:rFonts w:ascii="Verdana" w:hAnsi="Verdana"/>
          <w:sz w:val="20"/>
          <w:szCs w:val="20"/>
          <w:lang w:val="en-US"/>
        </w:rPr>
        <w:t>helpless</w:t>
      </w:r>
      <w:r w:rsidR="005721BD" w:rsidRPr="00D2561A">
        <w:rPr>
          <w:rFonts w:ascii="Verdana" w:hAnsi="Verdana"/>
          <w:sz w:val="20"/>
          <w:szCs w:val="20"/>
          <w:lang w:val="en-US"/>
        </w:rPr>
        <w:t>ness.</w:t>
      </w:r>
    </w:p>
    <w:p w14:paraId="13B9F1C5" w14:textId="77777777" w:rsidR="00C60092" w:rsidRPr="00D2561A" w:rsidRDefault="00C60092" w:rsidP="000E0801">
      <w:pPr>
        <w:pStyle w:val="Prrafodelista"/>
        <w:spacing w:line="240" w:lineRule="auto"/>
        <w:ind w:left="-270" w:right="-162"/>
        <w:rPr>
          <w:rFonts w:ascii="Verdana" w:hAnsi="Verdana"/>
          <w:sz w:val="20"/>
          <w:szCs w:val="20"/>
          <w:lang w:val="en-US"/>
        </w:rPr>
      </w:pPr>
    </w:p>
    <w:p w14:paraId="1BFE7AF5" w14:textId="2775E35C" w:rsidR="00126461" w:rsidRPr="00D2561A" w:rsidRDefault="007A210D"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         </w:t>
      </w:r>
      <w:r w:rsidR="00C42C8C" w:rsidRPr="00D2561A">
        <w:rPr>
          <w:rFonts w:ascii="Verdana" w:hAnsi="Verdana"/>
          <w:sz w:val="20"/>
          <w:szCs w:val="20"/>
          <w:lang w:val="en-US"/>
        </w:rPr>
        <w:t>It should also be added that this opinion is supported by the function inherent</w:t>
      </w:r>
      <w:r w:rsidRPr="00D2561A">
        <w:rPr>
          <w:rFonts w:ascii="Verdana" w:hAnsi="Verdana"/>
          <w:sz w:val="20"/>
          <w:szCs w:val="20"/>
          <w:lang w:val="en-US"/>
        </w:rPr>
        <w:t xml:space="preserve"> </w:t>
      </w:r>
      <w:r w:rsidR="00E77D5D" w:rsidRPr="00D2561A">
        <w:rPr>
          <w:rFonts w:ascii="Verdana" w:hAnsi="Verdana"/>
          <w:sz w:val="20"/>
          <w:szCs w:val="20"/>
          <w:lang w:val="en-US"/>
        </w:rPr>
        <w:t>in</w:t>
      </w:r>
      <w:r w:rsidR="00C42C8C" w:rsidRPr="00D2561A">
        <w:rPr>
          <w:rFonts w:ascii="Verdana" w:hAnsi="Verdana"/>
          <w:sz w:val="20"/>
          <w:szCs w:val="20"/>
          <w:lang w:val="en-US"/>
        </w:rPr>
        <w:t xml:space="preserve"> the Court as a judicial entity, which is to interpret and apply </w:t>
      </w:r>
      <w:r w:rsidR="00E30D1A" w:rsidRPr="00D2561A">
        <w:rPr>
          <w:rFonts w:ascii="Verdana" w:hAnsi="Verdana"/>
          <w:sz w:val="20"/>
          <w:szCs w:val="20"/>
          <w:lang w:val="en-US"/>
        </w:rPr>
        <w:t>the Convention</w:t>
      </w:r>
      <w:r w:rsidR="00C42C8C" w:rsidRPr="00D2561A">
        <w:rPr>
          <w:rFonts w:ascii="Verdana" w:hAnsi="Verdana"/>
          <w:sz w:val="20"/>
          <w:szCs w:val="20"/>
          <w:lang w:val="en-US"/>
        </w:rPr>
        <w:t>,</w:t>
      </w:r>
      <w:r w:rsidR="003C1526" w:rsidRPr="00D2561A">
        <w:rPr>
          <w:rStyle w:val="Refdenotaalpie"/>
          <w:rFonts w:ascii="Verdana" w:hAnsi="Verdana"/>
          <w:sz w:val="20"/>
          <w:szCs w:val="20"/>
          <w:lang w:val="en-US"/>
        </w:rPr>
        <w:footnoteReference w:id="9"/>
      </w:r>
      <w:r w:rsidR="00C42C8C" w:rsidRPr="00D2561A">
        <w:rPr>
          <w:rFonts w:ascii="Verdana" w:hAnsi="Verdana"/>
          <w:sz w:val="20"/>
          <w:szCs w:val="20"/>
          <w:lang w:val="en-US"/>
        </w:rPr>
        <w:t xml:space="preserve"> pursuant to the rules of interpretation established in</w:t>
      </w:r>
      <w:r w:rsidR="00196439" w:rsidRPr="00D2561A">
        <w:rPr>
          <w:rFonts w:ascii="Verdana" w:hAnsi="Verdana"/>
          <w:sz w:val="20"/>
          <w:szCs w:val="20"/>
          <w:lang w:val="en-US"/>
        </w:rPr>
        <w:t xml:space="preserve"> </w:t>
      </w:r>
      <w:r w:rsidR="00E30D1A" w:rsidRPr="00D2561A">
        <w:rPr>
          <w:rFonts w:ascii="Verdana" w:hAnsi="Verdana"/>
          <w:sz w:val="20"/>
          <w:szCs w:val="20"/>
          <w:lang w:val="en-US"/>
        </w:rPr>
        <w:t xml:space="preserve">the </w:t>
      </w:r>
      <w:r w:rsidR="00466AF7" w:rsidRPr="00D2561A">
        <w:rPr>
          <w:rFonts w:ascii="Verdana" w:hAnsi="Verdana"/>
          <w:sz w:val="20"/>
          <w:szCs w:val="20"/>
          <w:lang w:val="en-US"/>
        </w:rPr>
        <w:t>Vienna Convention</w:t>
      </w:r>
      <w:r w:rsidR="00C42C8C" w:rsidRPr="00D2561A">
        <w:rPr>
          <w:rFonts w:ascii="Verdana" w:hAnsi="Verdana"/>
          <w:sz w:val="20"/>
          <w:szCs w:val="20"/>
          <w:lang w:val="en-US"/>
        </w:rPr>
        <w:t xml:space="preserve"> on the Law of Treaties,</w:t>
      </w:r>
      <w:r w:rsidR="00196439" w:rsidRPr="00D2561A">
        <w:rPr>
          <w:rFonts w:ascii="Verdana" w:hAnsi="Verdana"/>
          <w:sz w:val="20"/>
          <w:szCs w:val="20"/>
          <w:vertAlign w:val="superscript"/>
          <w:lang w:val="en-US"/>
        </w:rPr>
        <w:footnoteReference w:id="10"/>
      </w:r>
      <w:r w:rsidR="00C42C8C" w:rsidRPr="00D2561A">
        <w:rPr>
          <w:rFonts w:ascii="Verdana" w:hAnsi="Verdana"/>
          <w:sz w:val="20"/>
          <w:szCs w:val="20"/>
          <w:lang w:val="en-US"/>
        </w:rPr>
        <w:t xml:space="preserve"> which are addressed at determining the meaning and scope of what the Convention establishes and not to seek in it what the interpreter would like it to convey.</w:t>
      </w:r>
      <w:r w:rsidR="00196439" w:rsidRPr="00D2561A">
        <w:rPr>
          <w:rFonts w:ascii="Verdana" w:hAnsi="Verdana"/>
          <w:sz w:val="20"/>
          <w:szCs w:val="20"/>
          <w:vertAlign w:val="superscript"/>
          <w:lang w:val="en-US"/>
        </w:rPr>
        <w:footnoteReference w:id="11"/>
      </w:r>
    </w:p>
    <w:p w14:paraId="16A6C048" w14:textId="77777777" w:rsidR="00C42C8C" w:rsidRPr="00D2561A" w:rsidRDefault="00C42C8C" w:rsidP="00C42C8C">
      <w:pPr>
        <w:pStyle w:val="Prrafodelista"/>
        <w:rPr>
          <w:rFonts w:ascii="Verdana" w:hAnsi="Verdana"/>
          <w:sz w:val="20"/>
          <w:szCs w:val="20"/>
          <w:lang w:val="en-US"/>
        </w:rPr>
      </w:pPr>
    </w:p>
    <w:p w14:paraId="7CB73B25" w14:textId="15FD8FBE" w:rsidR="00C42C8C" w:rsidRPr="00D2561A" w:rsidRDefault="00C42C8C" w:rsidP="00C42C8C">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Consequently, the interpretation and application </w:t>
      </w:r>
      <w:r w:rsidR="00E30D1A" w:rsidRPr="00D2561A">
        <w:rPr>
          <w:rFonts w:ascii="Verdana" w:hAnsi="Verdana"/>
          <w:sz w:val="20"/>
          <w:szCs w:val="20"/>
          <w:lang w:val="en-US"/>
        </w:rPr>
        <w:t>of the Conventio</w:t>
      </w:r>
      <w:r w:rsidRPr="00D2561A">
        <w:rPr>
          <w:rFonts w:ascii="Verdana" w:hAnsi="Verdana"/>
          <w:sz w:val="20"/>
          <w:szCs w:val="20"/>
          <w:lang w:val="en-US"/>
        </w:rPr>
        <w:t xml:space="preserve">n </w:t>
      </w:r>
      <w:r w:rsidR="00E92D5E" w:rsidRPr="00D2561A">
        <w:rPr>
          <w:rFonts w:ascii="Verdana" w:hAnsi="Verdana"/>
          <w:sz w:val="20"/>
          <w:szCs w:val="20"/>
          <w:lang w:val="en-US"/>
        </w:rPr>
        <w:t xml:space="preserve">signifies </w:t>
      </w:r>
      <w:r w:rsidRPr="00D2561A">
        <w:rPr>
          <w:rFonts w:ascii="Verdana" w:hAnsi="Verdana"/>
          <w:sz w:val="20"/>
          <w:szCs w:val="20"/>
          <w:lang w:val="en-US"/>
        </w:rPr>
        <w:t xml:space="preserve">that the function of the Court is to impart justice in the area of human rights using the law and, even more specifically, </w:t>
      </w:r>
      <w:r w:rsidR="00E77D5D" w:rsidRPr="00D2561A">
        <w:rPr>
          <w:rFonts w:ascii="Verdana" w:hAnsi="Verdana"/>
          <w:sz w:val="20"/>
          <w:szCs w:val="20"/>
          <w:lang w:val="en-US"/>
        </w:rPr>
        <w:t>in keeping with</w:t>
      </w:r>
      <w:r w:rsidRPr="00D2561A">
        <w:rPr>
          <w:rFonts w:ascii="Verdana" w:hAnsi="Verdana"/>
          <w:sz w:val="20"/>
          <w:szCs w:val="20"/>
          <w:lang w:val="en-US"/>
        </w:rPr>
        <w:t xml:space="preserve"> what the law establishes, a function that differs from the one assigned to the Inter-American Commission on Human Rights,</w:t>
      </w:r>
      <w:r w:rsidRPr="00D2561A">
        <w:rPr>
          <w:rStyle w:val="Refdenotaalpie"/>
          <w:rFonts w:ascii="Verdana" w:hAnsi="Verdana"/>
          <w:sz w:val="20"/>
          <w:szCs w:val="20"/>
          <w:lang w:val="en-US"/>
        </w:rPr>
        <w:footnoteReference w:id="12"/>
      </w:r>
      <w:r w:rsidRPr="00D2561A">
        <w:rPr>
          <w:rFonts w:ascii="Verdana" w:hAnsi="Verdana"/>
          <w:sz w:val="20"/>
          <w:szCs w:val="20"/>
          <w:lang w:val="en-US"/>
        </w:rPr>
        <w:t xml:space="preserve"> which consists in promoting respect for and the defense of human rights, including before </w:t>
      </w:r>
      <w:r w:rsidR="00E77D5D" w:rsidRPr="00D2561A">
        <w:rPr>
          <w:rFonts w:ascii="Verdana" w:hAnsi="Verdana"/>
          <w:sz w:val="20"/>
          <w:szCs w:val="20"/>
          <w:lang w:val="en-US"/>
        </w:rPr>
        <w:t>itself</w:t>
      </w:r>
      <w:r w:rsidRPr="00D2561A">
        <w:rPr>
          <w:rFonts w:ascii="Verdana" w:hAnsi="Verdana"/>
          <w:sz w:val="20"/>
          <w:szCs w:val="20"/>
          <w:lang w:val="en-US"/>
        </w:rPr>
        <w:t>.</w:t>
      </w:r>
      <w:r w:rsidRPr="00D2561A">
        <w:rPr>
          <w:rFonts w:ascii="Verdana" w:hAnsi="Verdana"/>
          <w:sz w:val="20"/>
          <w:szCs w:val="20"/>
          <w:vertAlign w:val="superscript"/>
          <w:lang w:val="en-US"/>
        </w:rPr>
        <w:footnoteReference w:id="13"/>
      </w:r>
    </w:p>
    <w:p w14:paraId="4BA11BBC" w14:textId="77777777" w:rsidR="00B82A99" w:rsidRPr="00D2561A" w:rsidRDefault="00B82A99" w:rsidP="00B82A99">
      <w:pPr>
        <w:pStyle w:val="Prrafodelista"/>
        <w:rPr>
          <w:rFonts w:ascii="Verdana" w:hAnsi="Verdana"/>
          <w:sz w:val="20"/>
          <w:szCs w:val="20"/>
          <w:lang w:val="en-US"/>
        </w:rPr>
      </w:pPr>
    </w:p>
    <w:p w14:paraId="157F35E3" w14:textId="599E48AE" w:rsidR="00B82A99" w:rsidRPr="00D2561A" w:rsidRDefault="00840D16" w:rsidP="00B82A99">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Therefore, </w:t>
      </w:r>
      <w:r w:rsidR="00E77D5D" w:rsidRPr="00D2561A">
        <w:rPr>
          <w:rFonts w:ascii="Verdana" w:hAnsi="Verdana"/>
          <w:sz w:val="20"/>
          <w:szCs w:val="20"/>
          <w:lang w:val="en-US"/>
        </w:rPr>
        <w:t xml:space="preserve">the </w:t>
      </w:r>
      <w:r w:rsidRPr="00D2561A">
        <w:rPr>
          <w:rFonts w:ascii="Verdana" w:hAnsi="Verdana"/>
          <w:sz w:val="20"/>
          <w:szCs w:val="20"/>
          <w:lang w:val="en-US"/>
        </w:rPr>
        <w:t xml:space="preserve">Court’s jurisdictional function imposes on it the need to proceed in </w:t>
      </w:r>
      <w:r w:rsidR="00E77D5D" w:rsidRPr="00D2561A">
        <w:rPr>
          <w:rFonts w:ascii="Verdana" w:hAnsi="Verdana"/>
          <w:sz w:val="20"/>
          <w:szCs w:val="20"/>
          <w:lang w:val="en-US"/>
        </w:rPr>
        <w:t>accordance</w:t>
      </w:r>
      <w:r w:rsidRPr="00D2561A">
        <w:rPr>
          <w:rFonts w:ascii="Verdana" w:hAnsi="Verdana"/>
          <w:sz w:val="20"/>
          <w:szCs w:val="20"/>
          <w:lang w:val="en-US"/>
        </w:rPr>
        <w:t xml:space="preserve"> with the dignity stem</w:t>
      </w:r>
      <w:r w:rsidR="00D02A3F" w:rsidRPr="00D2561A">
        <w:rPr>
          <w:rFonts w:ascii="Verdana" w:hAnsi="Verdana"/>
          <w:sz w:val="20"/>
          <w:szCs w:val="20"/>
          <w:lang w:val="en-US"/>
        </w:rPr>
        <w:t>ming</w:t>
      </w:r>
      <w:r w:rsidRPr="00D2561A">
        <w:rPr>
          <w:rFonts w:ascii="Verdana" w:hAnsi="Verdana"/>
          <w:sz w:val="20"/>
          <w:szCs w:val="20"/>
          <w:lang w:val="en-US"/>
        </w:rPr>
        <w:t xml:space="preserve"> from the fact that it is a court and, also, that it is autonomous; thus, in exercise of its prerogatives, it cannot be monitored or controlled by any </w:t>
      </w:r>
      <w:r w:rsidR="00E77D5D" w:rsidRPr="00D2561A">
        <w:rPr>
          <w:rFonts w:ascii="Verdana" w:hAnsi="Verdana"/>
          <w:sz w:val="20"/>
          <w:szCs w:val="20"/>
          <w:lang w:val="en-US"/>
        </w:rPr>
        <w:t xml:space="preserve">other </w:t>
      </w:r>
      <w:r w:rsidRPr="00D2561A">
        <w:rPr>
          <w:rFonts w:ascii="Verdana" w:hAnsi="Verdana"/>
          <w:sz w:val="20"/>
          <w:szCs w:val="20"/>
          <w:lang w:val="en-US"/>
        </w:rPr>
        <w:t xml:space="preserve">entity while, at the same time, it </w:t>
      </w:r>
      <w:r w:rsidR="00E77D5D" w:rsidRPr="00D2561A">
        <w:rPr>
          <w:rFonts w:ascii="Verdana" w:hAnsi="Verdana"/>
          <w:sz w:val="20"/>
          <w:szCs w:val="20"/>
          <w:lang w:val="en-US"/>
        </w:rPr>
        <w:t>is unable</w:t>
      </w:r>
      <w:r w:rsidRPr="00D2561A">
        <w:rPr>
          <w:rFonts w:ascii="Verdana" w:hAnsi="Verdana"/>
          <w:sz w:val="20"/>
          <w:szCs w:val="20"/>
          <w:lang w:val="en-US"/>
        </w:rPr>
        <w:t xml:space="preserve"> to ensure that its rulings are executed </w:t>
      </w:r>
      <w:r w:rsidR="00E77D5D" w:rsidRPr="00D2561A">
        <w:rPr>
          <w:rFonts w:ascii="Verdana" w:hAnsi="Verdana"/>
          <w:sz w:val="20"/>
          <w:szCs w:val="20"/>
          <w:lang w:val="en-US"/>
        </w:rPr>
        <w:t xml:space="preserve">by </w:t>
      </w:r>
      <w:r w:rsidRPr="00D2561A">
        <w:rPr>
          <w:rFonts w:ascii="Verdana" w:hAnsi="Verdana"/>
          <w:sz w:val="20"/>
          <w:szCs w:val="20"/>
          <w:lang w:val="en-US"/>
        </w:rPr>
        <w:t>the use of coercive measures. The gravitas inherent in the judicia</w:t>
      </w:r>
      <w:r w:rsidR="00B82A99" w:rsidRPr="00D2561A">
        <w:rPr>
          <w:rFonts w:ascii="Verdana" w:hAnsi="Verdana"/>
          <w:sz w:val="20"/>
          <w:szCs w:val="20"/>
          <w:lang w:val="en-US"/>
        </w:rPr>
        <w:t xml:space="preserve">l function that has been entrusted to the Court entails the obligation to proceed adhering fully to the limits to its exclusive powers </w:t>
      </w:r>
      <w:r w:rsidR="00D02A3F" w:rsidRPr="00D2561A">
        <w:rPr>
          <w:rFonts w:ascii="Verdana" w:hAnsi="Verdana"/>
          <w:sz w:val="20"/>
          <w:szCs w:val="20"/>
          <w:lang w:val="en-US"/>
        </w:rPr>
        <w:t xml:space="preserve">that have been established </w:t>
      </w:r>
      <w:r w:rsidR="00B82A99" w:rsidRPr="00D2561A">
        <w:rPr>
          <w:rFonts w:ascii="Verdana" w:hAnsi="Verdana"/>
          <w:sz w:val="20"/>
          <w:szCs w:val="20"/>
          <w:lang w:val="en-US"/>
        </w:rPr>
        <w:t>so that i</w:t>
      </w:r>
      <w:r w:rsidR="00E77D5D" w:rsidRPr="00D2561A">
        <w:rPr>
          <w:rFonts w:ascii="Verdana" w:hAnsi="Verdana"/>
          <w:sz w:val="20"/>
          <w:szCs w:val="20"/>
          <w:lang w:val="en-US"/>
        </w:rPr>
        <w:t>t</w:t>
      </w:r>
      <w:r w:rsidR="00B82A99" w:rsidRPr="00D2561A">
        <w:rPr>
          <w:rFonts w:ascii="Verdana" w:hAnsi="Verdana"/>
          <w:sz w:val="20"/>
          <w:szCs w:val="20"/>
          <w:lang w:val="en-US"/>
        </w:rPr>
        <w:t xml:space="preserve">s decisions are obeyed, above all, because they are considered just owing, </w:t>
      </w:r>
      <w:r w:rsidR="00B82A99" w:rsidRPr="00D2561A">
        <w:rPr>
          <w:rFonts w:ascii="Verdana" w:hAnsi="Verdana"/>
          <w:i/>
          <w:iCs/>
          <w:sz w:val="20"/>
          <w:szCs w:val="20"/>
          <w:lang w:val="en-US"/>
        </w:rPr>
        <w:t>inter alia</w:t>
      </w:r>
      <w:r w:rsidR="00B82A99" w:rsidRPr="00D2561A">
        <w:rPr>
          <w:rFonts w:ascii="Verdana" w:hAnsi="Verdana"/>
          <w:sz w:val="20"/>
          <w:szCs w:val="20"/>
          <w:lang w:val="en-US"/>
        </w:rPr>
        <w:t>, to is moral authority and its strict adherence to what was effectively agreed by the State</w:t>
      </w:r>
      <w:r w:rsidR="00E77D5D" w:rsidRPr="00D2561A">
        <w:rPr>
          <w:rFonts w:ascii="Verdana" w:hAnsi="Verdana"/>
          <w:sz w:val="20"/>
          <w:szCs w:val="20"/>
          <w:lang w:val="en-US"/>
        </w:rPr>
        <w:t>s</w:t>
      </w:r>
      <w:r w:rsidR="00B82A99" w:rsidRPr="00D2561A">
        <w:rPr>
          <w:rFonts w:ascii="Verdana" w:hAnsi="Verdana"/>
          <w:sz w:val="20"/>
          <w:szCs w:val="20"/>
          <w:lang w:val="en-US"/>
        </w:rPr>
        <w:t xml:space="preserve"> in the Convention. </w:t>
      </w:r>
    </w:p>
    <w:p w14:paraId="22FD9052" w14:textId="77777777" w:rsidR="00E77D5D" w:rsidRPr="00D2561A" w:rsidRDefault="00E77D5D" w:rsidP="00E77D5D">
      <w:pPr>
        <w:spacing w:line="240" w:lineRule="auto"/>
        <w:ind w:left="0" w:right="-162"/>
        <w:rPr>
          <w:rFonts w:ascii="Verdana" w:hAnsi="Verdana"/>
          <w:sz w:val="20"/>
          <w:szCs w:val="20"/>
          <w:lang w:val="en-US"/>
        </w:rPr>
      </w:pPr>
    </w:p>
    <w:bookmarkEnd w:id="1"/>
    <w:p w14:paraId="37491273" w14:textId="314120DF" w:rsidR="00F023E1" w:rsidRPr="00D2561A" w:rsidRDefault="00F023E1" w:rsidP="000E0801">
      <w:pPr>
        <w:pStyle w:val="Prrafodelista"/>
        <w:numPr>
          <w:ilvl w:val="0"/>
          <w:numId w:val="12"/>
        </w:numPr>
        <w:spacing w:line="240" w:lineRule="auto"/>
        <w:ind w:left="-270" w:right="-162" w:firstLine="0"/>
        <w:rPr>
          <w:rFonts w:ascii="Verdana" w:hAnsi="Verdana"/>
          <w:b/>
          <w:bCs/>
          <w:sz w:val="20"/>
          <w:szCs w:val="20"/>
          <w:lang w:val="en-US"/>
        </w:rPr>
      </w:pPr>
      <w:r w:rsidRPr="00D2561A">
        <w:rPr>
          <w:rFonts w:ascii="Verdana" w:hAnsi="Verdana"/>
          <w:b/>
          <w:bCs/>
          <w:sz w:val="20"/>
          <w:szCs w:val="20"/>
          <w:lang w:val="en-US"/>
        </w:rPr>
        <w:t>ART</w:t>
      </w:r>
      <w:r w:rsidR="00466AF7" w:rsidRPr="00D2561A">
        <w:rPr>
          <w:rFonts w:ascii="Verdana" w:hAnsi="Verdana"/>
          <w:b/>
          <w:bCs/>
          <w:sz w:val="20"/>
          <w:szCs w:val="20"/>
          <w:lang w:val="en-US"/>
        </w:rPr>
        <w:t>ICLE</w:t>
      </w:r>
      <w:r w:rsidRPr="00D2561A">
        <w:rPr>
          <w:rFonts w:ascii="Verdana" w:hAnsi="Verdana"/>
          <w:b/>
          <w:bCs/>
          <w:sz w:val="20"/>
          <w:szCs w:val="20"/>
          <w:lang w:val="en-US"/>
        </w:rPr>
        <w:t xml:space="preserve"> 26</w:t>
      </w:r>
    </w:p>
    <w:p w14:paraId="77FCD98B" w14:textId="00E822A7" w:rsidR="000D47DD" w:rsidRPr="00D2561A" w:rsidRDefault="000D47DD" w:rsidP="000E0801">
      <w:pPr>
        <w:pStyle w:val="Prrafodelista"/>
        <w:spacing w:line="240" w:lineRule="auto"/>
        <w:ind w:left="-270" w:right="-162"/>
        <w:rPr>
          <w:rFonts w:ascii="Verdana" w:hAnsi="Verdana"/>
          <w:b/>
          <w:bCs/>
          <w:sz w:val="20"/>
          <w:szCs w:val="20"/>
          <w:lang w:val="en-US"/>
        </w:rPr>
      </w:pPr>
    </w:p>
    <w:p w14:paraId="648618F0" w14:textId="73257E08" w:rsidR="000D47DD" w:rsidRPr="00D2561A" w:rsidRDefault="00B82A99" w:rsidP="00E77D5D">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In order to provide a clearer explanation of my reflections with regard to Article 26 of the</w:t>
      </w:r>
      <w:r w:rsidR="00E30D1A" w:rsidRPr="00D2561A">
        <w:rPr>
          <w:rFonts w:ascii="Verdana" w:hAnsi="Verdana"/>
          <w:sz w:val="20"/>
          <w:szCs w:val="20"/>
          <w:lang w:val="en-US"/>
        </w:rPr>
        <w:t xml:space="preserve"> Convention</w:t>
      </w:r>
      <w:r w:rsidR="000D47DD" w:rsidRPr="00D2561A">
        <w:rPr>
          <w:rFonts w:ascii="Verdana" w:hAnsi="Verdana"/>
          <w:sz w:val="20"/>
          <w:szCs w:val="20"/>
          <w:lang w:val="en-US"/>
        </w:rPr>
        <w:t xml:space="preserve">, </w:t>
      </w:r>
      <w:r w:rsidRPr="00D2561A">
        <w:rPr>
          <w:rFonts w:ascii="Verdana" w:hAnsi="Verdana"/>
          <w:sz w:val="20"/>
          <w:szCs w:val="20"/>
          <w:lang w:val="en-US"/>
        </w:rPr>
        <w:t xml:space="preserve">it is essential to include some specific preliminary considerations on this provision, </w:t>
      </w:r>
      <w:r w:rsidR="00E77D5D" w:rsidRPr="00D2561A">
        <w:rPr>
          <w:rFonts w:ascii="Verdana" w:hAnsi="Verdana"/>
          <w:sz w:val="20"/>
          <w:szCs w:val="20"/>
          <w:lang w:val="en-US"/>
        </w:rPr>
        <w:t xml:space="preserve">and </w:t>
      </w:r>
      <w:r w:rsidRPr="00D2561A">
        <w:rPr>
          <w:rFonts w:ascii="Verdana" w:hAnsi="Verdana"/>
          <w:sz w:val="20"/>
          <w:szCs w:val="20"/>
          <w:lang w:val="en-US"/>
        </w:rPr>
        <w:t xml:space="preserve">then refer to the interpretation of both this article of the Convention and the Charter of the </w:t>
      </w:r>
      <w:r w:rsidR="00E77D5D" w:rsidRPr="00D2561A">
        <w:rPr>
          <w:rFonts w:ascii="Verdana" w:hAnsi="Verdana"/>
          <w:sz w:val="20"/>
          <w:szCs w:val="20"/>
          <w:lang w:val="en-US"/>
        </w:rPr>
        <w:t>Organization of American States</w:t>
      </w:r>
      <w:r w:rsidR="00E77D5D" w:rsidRPr="00D2561A">
        <w:rPr>
          <w:rStyle w:val="Refdenotaalpie"/>
          <w:rFonts w:ascii="Verdana" w:hAnsi="Verdana"/>
          <w:sz w:val="20"/>
          <w:szCs w:val="20"/>
          <w:lang w:val="en-US"/>
        </w:rPr>
        <w:footnoteReference w:id="14"/>
      </w:r>
      <w:r w:rsidR="00E77D5D" w:rsidRPr="00D2561A">
        <w:rPr>
          <w:rFonts w:ascii="Verdana" w:hAnsi="Verdana"/>
          <w:sz w:val="20"/>
          <w:szCs w:val="20"/>
          <w:lang w:val="en-US"/>
        </w:rPr>
        <w:t xml:space="preserve"> to which</w:t>
      </w:r>
      <w:r w:rsidRPr="00D2561A">
        <w:rPr>
          <w:rFonts w:ascii="Verdana" w:hAnsi="Verdana"/>
          <w:sz w:val="20"/>
          <w:szCs w:val="20"/>
          <w:lang w:val="en-US"/>
        </w:rPr>
        <w:t xml:space="preserve"> this provision refers, </w:t>
      </w:r>
      <w:r w:rsidR="00D02A3F" w:rsidRPr="00D2561A">
        <w:rPr>
          <w:rFonts w:ascii="Verdana" w:hAnsi="Verdana"/>
          <w:sz w:val="20"/>
          <w:szCs w:val="20"/>
          <w:lang w:val="en-US"/>
        </w:rPr>
        <w:t>as well as to</w:t>
      </w:r>
      <w:r w:rsidRPr="00D2561A">
        <w:rPr>
          <w:rFonts w:ascii="Verdana" w:hAnsi="Verdana"/>
          <w:sz w:val="20"/>
          <w:szCs w:val="20"/>
          <w:lang w:val="en-US"/>
        </w:rPr>
        <w:t xml:space="preserve"> the Protocol of </w:t>
      </w:r>
      <w:r w:rsidR="000D47DD" w:rsidRPr="00D2561A">
        <w:rPr>
          <w:rFonts w:ascii="Verdana" w:hAnsi="Verdana"/>
          <w:sz w:val="20"/>
          <w:szCs w:val="20"/>
          <w:lang w:val="en-US"/>
        </w:rPr>
        <w:t xml:space="preserve">San Salvador </w:t>
      </w:r>
      <w:r w:rsidRPr="00D2561A">
        <w:rPr>
          <w:rFonts w:ascii="Verdana" w:hAnsi="Verdana"/>
          <w:sz w:val="20"/>
          <w:szCs w:val="20"/>
          <w:lang w:val="en-US"/>
        </w:rPr>
        <w:t xml:space="preserve">which corroborates what I </w:t>
      </w:r>
      <w:r w:rsidR="00E77D5D" w:rsidRPr="00D2561A">
        <w:rPr>
          <w:rFonts w:ascii="Verdana" w:hAnsi="Verdana"/>
          <w:sz w:val="20"/>
          <w:szCs w:val="20"/>
          <w:lang w:val="en-US"/>
        </w:rPr>
        <w:t>expound</w:t>
      </w:r>
      <w:r w:rsidRPr="00D2561A">
        <w:rPr>
          <w:rFonts w:ascii="Verdana" w:hAnsi="Verdana"/>
          <w:sz w:val="20"/>
          <w:szCs w:val="20"/>
          <w:lang w:val="en-US"/>
        </w:rPr>
        <w:t xml:space="preserve"> in this brief.</w:t>
      </w:r>
      <w:r w:rsidR="00E77D5D" w:rsidRPr="00D2561A">
        <w:rPr>
          <w:rFonts w:ascii="Verdana" w:hAnsi="Verdana"/>
          <w:sz w:val="20"/>
          <w:szCs w:val="20"/>
          <w:lang w:val="en-US"/>
        </w:rPr>
        <w:t xml:space="preserve"> </w:t>
      </w:r>
    </w:p>
    <w:p w14:paraId="41049379" w14:textId="77777777" w:rsidR="000D47DD" w:rsidRPr="00D2561A" w:rsidRDefault="000D47DD" w:rsidP="000E0801">
      <w:pPr>
        <w:pStyle w:val="Prrafodelista"/>
        <w:spacing w:line="240" w:lineRule="auto"/>
        <w:ind w:left="-270" w:right="-162"/>
        <w:rPr>
          <w:rFonts w:ascii="Verdana" w:hAnsi="Verdana"/>
          <w:b/>
          <w:bCs/>
          <w:sz w:val="20"/>
          <w:szCs w:val="20"/>
          <w:lang w:val="en-US"/>
        </w:rPr>
      </w:pPr>
    </w:p>
    <w:p w14:paraId="054309D7" w14:textId="22C11D27" w:rsidR="00191E7B" w:rsidRPr="00D2561A" w:rsidRDefault="00466AF7" w:rsidP="000E0801">
      <w:pPr>
        <w:pStyle w:val="Prrafodelista"/>
        <w:numPr>
          <w:ilvl w:val="0"/>
          <w:numId w:val="13"/>
        </w:numPr>
        <w:spacing w:line="240" w:lineRule="auto"/>
        <w:ind w:left="-270" w:right="-162" w:firstLine="0"/>
        <w:rPr>
          <w:rFonts w:ascii="Verdana" w:hAnsi="Verdana"/>
          <w:b/>
          <w:bCs/>
          <w:sz w:val="20"/>
          <w:szCs w:val="20"/>
          <w:lang w:val="en-US"/>
        </w:rPr>
      </w:pPr>
      <w:r w:rsidRPr="00D2561A">
        <w:rPr>
          <w:rFonts w:ascii="Verdana" w:hAnsi="Verdana"/>
          <w:b/>
          <w:bCs/>
          <w:sz w:val="20"/>
          <w:szCs w:val="20"/>
          <w:lang w:val="en-US"/>
        </w:rPr>
        <w:t xml:space="preserve"> Specific preliminary considerations on</w:t>
      </w:r>
      <w:r w:rsidR="0037239C" w:rsidRPr="00D2561A">
        <w:rPr>
          <w:rFonts w:ascii="Verdana" w:hAnsi="Verdana"/>
          <w:b/>
          <w:bCs/>
          <w:sz w:val="20"/>
          <w:szCs w:val="20"/>
          <w:lang w:val="en-US"/>
        </w:rPr>
        <w:t xml:space="preserve"> </w:t>
      </w:r>
      <w:r w:rsidRPr="00D2561A">
        <w:rPr>
          <w:rFonts w:ascii="Verdana" w:hAnsi="Verdana"/>
          <w:b/>
          <w:bCs/>
          <w:sz w:val="20"/>
          <w:szCs w:val="20"/>
          <w:lang w:val="en-US"/>
        </w:rPr>
        <w:t>Article</w:t>
      </w:r>
      <w:r w:rsidR="0037239C" w:rsidRPr="00D2561A">
        <w:rPr>
          <w:rFonts w:ascii="Verdana" w:hAnsi="Verdana"/>
          <w:b/>
          <w:bCs/>
          <w:sz w:val="20"/>
          <w:szCs w:val="20"/>
          <w:lang w:val="en-US"/>
        </w:rPr>
        <w:t xml:space="preserve"> 26</w:t>
      </w:r>
    </w:p>
    <w:p w14:paraId="7F99A6E1" w14:textId="446C9240" w:rsidR="000D47DD" w:rsidRPr="00D2561A" w:rsidRDefault="000D47DD" w:rsidP="000E0801">
      <w:pPr>
        <w:spacing w:line="240" w:lineRule="auto"/>
        <w:ind w:left="-270" w:right="-162"/>
        <w:rPr>
          <w:rFonts w:ascii="Verdana" w:hAnsi="Verdana"/>
          <w:b/>
          <w:bCs/>
          <w:sz w:val="20"/>
          <w:szCs w:val="20"/>
          <w:lang w:val="en-US"/>
        </w:rPr>
      </w:pPr>
    </w:p>
    <w:p w14:paraId="47D1CF21" w14:textId="74E8497A" w:rsidR="00B82A99" w:rsidRPr="00D2561A" w:rsidRDefault="00D02A3F"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eastAsiaTheme="minorEastAsia" w:hAnsi="Verdana"/>
          <w:sz w:val="20"/>
          <w:szCs w:val="20"/>
          <w:lang w:val="en-US"/>
        </w:rPr>
        <w:t>First</w:t>
      </w:r>
      <w:r w:rsidR="00B82A99" w:rsidRPr="00D2561A">
        <w:rPr>
          <w:rFonts w:ascii="Verdana" w:eastAsiaTheme="minorEastAsia" w:hAnsi="Verdana"/>
          <w:sz w:val="20"/>
          <w:szCs w:val="20"/>
          <w:lang w:val="en-US"/>
        </w:rPr>
        <w:t>, it is necessary to indicate that I reiterate the considerations</w:t>
      </w:r>
      <w:r w:rsidR="002C1894" w:rsidRPr="00D2561A">
        <w:rPr>
          <w:rFonts w:ascii="Verdana" w:eastAsiaTheme="minorEastAsia" w:hAnsi="Verdana"/>
          <w:sz w:val="20"/>
          <w:szCs w:val="20"/>
          <w:lang w:val="en-US"/>
        </w:rPr>
        <w:t xml:space="preserve"> </w:t>
      </w:r>
      <w:r w:rsidRPr="00D2561A">
        <w:rPr>
          <w:rFonts w:ascii="Verdana" w:eastAsiaTheme="minorEastAsia" w:hAnsi="Verdana"/>
          <w:sz w:val="20"/>
          <w:szCs w:val="20"/>
          <w:lang w:val="en-US"/>
        </w:rPr>
        <w:t>included</w:t>
      </w:r>
      <w:r w:rsidR="00B82A99" w:rsidRPr="00D2561A">
        <w:rPr>
          <w:rFonts w:ascii="Verdana" w:eastAsiaTheme="minorEastAsia" w:hAnsi="Verdana"/>
          <w:sz w:val="20"/>
          <w:szCs w:val="20"/>
          <w:lang w:val="en-US"/>
        </w:rPr>
        <w:t xml:space="preserve"> in </w:t>
      </w:r>
      <w:r w:rsidR="002C1894" w:rsidRPr="00D2561A">
        <w:rPr>
          <w:rFonts w:ascii="Verdana" w:eastAsiaTheme="minorEastAsia" w:hAnsi="Verdana"/>
          <w:sz w:val="20"/>
          <w:szCs w:val="20"/>
          <w:lang w:val="en-US"/>
        </w:rPr>
        <w:t>my</w:t>
      </w:r>
      <w:r w:rsidR="00B82A99" w:rsidRPr="00D2561A">
        <w:rPr>
          <w:rFonts w:ascii="Verdana" w:eastAsiaTheme="minorEastAsia" w:hAnsi="Verdana"/>
          <w:sz w:val="20"/>
          <w:szCs w:val="20"/>
          <w:lang w:val="en-US"/>
        </w:rPr>
        <w:t xml:space="preserve"> </w:t>
      </w:r>
      <w:r w:rsidR="002C1894" w:rsidRPr="00D2561A">
        <w:rPr>
          <w:rFonts w:ascii="Verdana" w:eastAsiaTheme="minorEastAsia" w:hAnsi="Verdana"/>
          <w:sz w:val="20"/>
          <w:szCs w:val="20"/>
          <w:lang w:val="en-US"/>
        </w:rPr>
        <w:t xml:space="preserve">other </w:t>
      </w:r>
      <w:r w:rsidR="00B82A99" w:rsidRPr="00D2561A">
        <w:rPr>
          <w:rFonts w:ascii="Verdana" w:eastAsiaTheme="minorEastAsia" w:hAnsi="Verdana"/>
          <w:sz w:val="20"/>
          <w:szCs w:val="20"/>
          <w:lang w:val="en-US"/>
        </w:rPr>
        <w:t>separate opinions</w:t>
      </w:r>
      <w:r w:rsidR="00E9106E" w:rsidRPr="00D2561A">
        <w:rPr>
          <w:rFonts w:ascii="Verdana" w:hAnsi="Verdana"/>
          <w:sz w:val="20"/>
          <w:szCs w:val="20"/>
          <w:vertAlign w:val="superscript"/>
          <w:lang w:val="en-US"/>
        </w:rPr>
        <w:footnoteReference w:id="15"/>
      </w:r>
      <w:r w:rsidR="00E9106E" w:rsidRPr="00D2561A">
        <w:rPr>
          <w:rFonts w:ascii="Verdana" w:hAnsi="Verdana"/>
          <w:sz w:val="20"/>
          <w:szCs w:val="20"/>
          <w:lang w:val="en-US"/>
        </w:rPr>
        <w:t xml:space="preserve"> </w:t>
      </w:r>
      <w:r w:rsidRPr="00D2561A">
        <w:rPr>
          <w:rFonts w:ascii="Verdana" w:hAnsi="Verdana"/>
          <w:sz w:val="20"/>
          <w:szCs w:val="20"/>
          <w:lang w:val="en-US"/>
        </w:rPr>
        <w:t>regarding</w:t>
      </w:r>
      <w:r w:rsidR="00B82A99" w:rsidRPr="00D2561A">
        <w:rPr>
          <w:rFonts w:ascii="Verdana" w:hAnsi="Verdana"/>
          <w:sz w:val="20"/>
          <w:szCs w:val="20"/>
          <w:lang w:val="en-US"/>
        </w:rPr>
        <w:t xml:space="preserve"> the </w:t>
      </w:r>
      <w:r w:rsidRPr="00D2561A">
        <w:rPr>
          <w:rFonts w:ascii="Verdana" w:hAnsi="Verdana"/>
          <w:sz w:val="20"/>
          <w:szCs w:val="20"/>
          <w:lang w:val="en-US"/>
        </w:rPr>
        <w:t>citing of</w:t>
      </w:r>
      <w:r w:rsidR="00B82A99" w:rsidRPr="00D2561A">
        <w:rPr>
          <w:rFonts w:ascii="Verdana" w:hAnsi="Verdana"/>
          <w:sz w:val="20"/>
          <w:szCs w:val="20"/>
          <w:lang w:val="en-US"/>
        </w:rPr>
        <w:t xml:space="preserve"> this article of the Convention in the corresponding judgments, including the preliminary and general considerations made in th</w:t>
      </w:r>
      <w:r w:rsidRPr="00D2561A">
        <w:rPr>
          <w:rFonts w:ascii="Verdana" w:hAnsi="Verdana"/>
          <w:sz w:val="20"/>
          <w:szCs w:val="20"/>
          <w:lang w:val="en-US"/>
        </w:rPr>
        <w:t>ose opinions</w:t>
      </w:r>
      <w:r w:rsidR="00B82A99" w:rsidRPr="00D2561A">
        <w:rPr>
          <w:rFonts w:ascii="Verdana" w:hAnsi="Verdana"/>
          <w:sz w:val="20"/>
          <w:szCs w:val="20"/>
          <w:lang w:val="en-US"/>
        </w:rPr>
        <w:t>.</w:t>
      </w:r>
    </w:p>
    <w:p w14:paraId="2A0AA690" w14:textId="77777777" w:rsidR="00A86BA9" w:rsidRPr="00D2561A" w:rsidRDefault="00A86BA9" w:rsidP="000E0801">
      <w:pPr>
        <w:pStyle w:val="Prrafodelista"/>
        <w:spacing w:line="240" w:lineRule="auto"/>
        <w:ind w:left="-270" w:right="-162"/>
        <w:rPr>
          <w:rFonts w:ascii="Verdana" w:hAnsi="Verdana"/>
          <w:sz w:val="20"/>
          <w:szCs w:val="20"/>
          <w:lang w:val="en-US"/>
        </w:rPr>
      </w:pPr>
    </w:p>
    <w:p w14:paraId="263DE68A" w14:textId="6408BFBA" w:rsidR="00B82A99" w:rsidRPr="00D2561A" w:rsidRDefault="00B82A99"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It is also essential to indicate, at once, that this text does not refer to the existence of the right to just and favorable conditions that ensure safety, health and hygiene in the workplace or to the other economic, social and cultural rights. The existence of those rights is not the purpose of this brief. Instead, this text merely affirms that the Court, contrary to </w:t>
      </w:r>
      <w:r w:rsidR="00DB5D11">
        <w:rPr>
          <w:rFonts w:ascii="Verdana" w:hAnsi="Verdana"/>
          <w:sz w:val="20"/>
          <w:szCs w:val="20"/>
          <w:lang w:val="en-US"/>
        </w:rPr>
        <w:t>the considerations</w:t>
      </w:r>
      <w:r w:rsidRPr="00D2561A">
        <w:rPr>
          <w:rFonts w:ascii="Verdana" w:hAnsi="Verdana"/>
          <w:sz w:val="20"/>
          <w:szCs w:val="20"/>
          <w:lang w:val="en-US"/>
        </w:rPr>
        <w:t xml:space="preserve"> in the judgment, lacks </w:t>
      </w:r>
      <w:r w:rsidR="002C1894" w:rsidRPr="00D2561A">
        <w:rPr>
          <w:rFonts w:ascii="Verdana" w:hAnsi="Verdana"/>
          <w:sz w:val="20"/>
          <w:szCs w:val="20"/>
          <w:lang w:val="en-US"/>
        </w:rPr>
        <w:t>jurisdiction</w:t>
      </w:r>
      <w:r w:rsidRPr="00D2561A">
        <w:rPr>
          <w:rFonts w:ascii="Verdana" w:hAnsi="Verdana"/>
          <w:sz w:val="20"/>
          <w:szCs w:val="20"/>
          <w:lang w:val="en-US"/>
        </w:rPr>
        <w:t xml:space="preserve"> – based on the provisions of Article 26 of the Convention</w:t>
      </w:r>
      <w:r w:rsidRPr="00D2561A">
        <w:rPr>
          <w:rFonts w:ascii="Verdana" w:hAnsi="Verdana"/>
          <w:sz w:val="20"/>
          <w:szCs w:val="20"/>
          <w:vertAlign w:val="superscript"/>
          <w:lang w:val="en-US"/>
        </w:rPr>
        <w:footnoteReference w:id="16"/>
      </w:r>
      <w:r w:rsidRPr="00D2561A">
        <w:rPr>
          <w:rFonts w:ascii="Verdana" w:hAnsi="Verdana"/>
          <w:sz w:val="20"/>
          <w:szCs w:val="20"/>
          <w:lang w:val="en-US"/>
        </w:rPr>
        <w:t xml:space="preserve"> – to examine violations of those rights; in other words, that presumed violations of those rights are not justiciable before the Court.</w:t>
      </w:r>
    </w:p>
    <w:p w14:paraId="40FEA47B" w14:textId="77777777" w:rsidR="007B60CA" w:rsidRPr="00D2561A" w:rsidRDefault="007B60CA" w:rsidP="007B60CA">
      <w:pPr>
        <w:pStyle w:val="Prrafodelista"/>
        <w:rPr>
          <w:rFonts w:ascii="Verdana" w:hAnsi="Verdana"/>
          <w:sz w:val="20"/>
          <w:szCs w:val="20"/>
          <w:lang w:val="en-US"/>
        </w:rPr>
      </w:pPr>
    </w:p>
    <w:p w14:paraId="24EF4421" w14:textId="6DBE860E" w:rsidR="007B60CA" w:rsidRPr="00D2561A" w:rsidRDefault="00B82A99" w:rsidP="007B60CA">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This does not mean, however, that violations of those rights are not justici</w:t>
      </w:r>
      <w:r w:rsidR="007B60CA" w:rsidRPr="00D2561A">
        <w:rPr>
          <w:rFonts w:ascii="Verdana" w:hAnsi="Verdana"/>
          <w:sz w:val="20"/>
          <w:szCs w:val="20"/>
          <w:lang w:val="en-US"/>
        </w:rPr>
        <w:t>a</w:t>
      </w:r>
      <w:r w:rsidRPr="00D2561A">
        <w:rPr>
          <w:rFonts w:ascii="Verdana" w:hAnsi="Verdana"/>
          <w:sz w:val="20"/>
          <w:szCs w:val="20"/>
          <w:lang w:val="en-US"/>
        </w:rPr>
        <w:t>ble before the corresponding domestic jurisdictions. This will depend on the provisions of the respective domestic laws, a matter that</w:t>
      </w:r>
      <w:r w:rsidR="007B60CA" w:rsidRPr="00D2561A">
        <w:rPr>
          <w:rFonts w:ascii="Verdana" w:hAnsi="Verdana"/>
          <w:sz w:val="20"/>
          <w:szCs w:val="20"/>
          <w:lang w:val="en-US"/>
        </w:rPr>
        <w:t xml:space="preserve"> does not concern the purpose of this text and that falls within the domestic, internal or exclusive jurisdiction of the States Parties to the Convention.</w:t>
      </w:r>
      <w:r w:rsidR="007B60CA" w:rsidRPr="00D2561A">
        <w:rPr>
          <w:rFonts w:ascii="Verdana" w:hAnsi="Verdana"/>
          <w:sz w:val="20"/>
          <w:szCs w:val="20"/>
          <w:vertAlign w:val="superscript"/>
          <w:lang w:val="en-US"/>
        </w:rPr>
        <w:footnoteReference w:id="17"/>
      </w:r>
      <w:r w:rsidR="007B60CA" w:rsidRPr="00D2561A">
        <w:rPr>
          <w:rFonts w:ascii="Verdana" w:hAnsi="Verdana"/>
          <w:sz w:val="20"/>
          <w:szCs w:val="20"/>
          <w:lang w:val="en-US"/>
        </w:rPr>
        <w:t xml:space="preserve"> </w:t>
      </w:r>
    </w:p>
    <w:p w14:paraId="068632F0" w14:textId="77777777" w:rsidR="00470495" w:rsidRPr="00D2561A" w:rsidRDefault="00470495" w:rsidP="000E0801">
      <w:pPr>
        <w:pStyle w:val="Prrafodelista"/>
        <w:spacing w:line="240" w:lineRule="auto"/>
        <w:ind w:left="-270" w:right="-162"/>
        <w:rPr>
          <w:rFonts w:ascii="Verdana" w:hAnsi="Verdana"/>
          <w:sz w:val="20"/>
          <w:szCs w:val="20"/>
          <w:lang w:val="en-US"/>
        </w:rPr>
      </w:pPr>
    </w:p>
    <w:p w14:paraId="6EC53DEB" w14:textId="0C59FADA" w:rsidR="00470495" w:rsidRPr="00D2561A" w:rsidRDefault="007B60CA" w:rsidP="007B60CA">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This opinion affirms that it is necessary to distinguish between human rights in general that, in all circumstances, must be respected owing to the provisions of international law, and those that, in addition, are justiciable before an international jurisdiction. In this regard, it is worth calling attention to the fact that there are only three international human rights courts; namely, </w:t>
      </w:r>
      <w:r w:rsidR="00E30D1A" w:rsidRPr="00D2561A">
        <w:rPr>
          <w:rFonts w:ascii="Verdana" w:hAnsi="Verdana"/>
          <w:sz w:val="20"/>
          <w:szCs w:val="20"/>
          <w:lang w:val="en-US"/>
        </w:rPr>
        <w:t xml:space="preserve">the </w:t>
      </w:r>
      <w:r w:rsidRPr="00D2561A">
        <w:rPr>
          <w:rFonts w:ascii="Verdana" w:hAnsi="Verdana"/>
          <w:sz w:val="20"/>
          <w:szCs w:val="20"/>
          <w:lang w:val="en-US"/>
        </w:rPr>
        <w:t xml:space="preserve">Inter-American </w:t>
      </w:r>
      <w:r w:rsidR="00E30D1A" w:rsidRPr="00D2561A">
        <w:rPr>
          <w:rFonts w:ascii="Verdana" w:hAnsi="Verdana"/>
          <w:sz w:val="20"/>
          <w:szCs w:val="20"/>
          <w:lang w:val="en-US"/>
        </w:rPr>
        <w:t>Court</w:t>
      </w:r>
      <w:r w:rsidR="002C1894" w:rsidRPr="00D2561A">
        <w:rPr>
          <w:rFonts w:ascii="Verdana" w:hAnsi="Verdana"/>
          <w:sz w:val="20"/>
          <w:szCs w:val="20"/>
          <w:lang w:val="en-US"/>
        </w:rPr>
        <w:t xml:space="preserve"> of Human Rights</w:t>
      </w:r>
      <w:r w:rsidR="00E9106E" w:rsidRPr="00D2561A">
        <w:rPr>
          <w:rFonts w:ascii="Verdana" w:hAnsi="Verdana"/>
          <w:sz w:val="20"/>
          <w:szCs w:val="20"/>
          <w:lang w:val="en-US"/>
        </w:rPr>
        <w:t xml:space="preserve">, </w:t>
      </w:r>
      <w:r w:rsidR="00E30D1A" w:rsidRPr="00D2561A">
        <w:rPr>
          <w:rFonts w:ascii="Verdana" w:hAnsi="Verdana"/>
          <w:sz w:val="20"/>
          <w:szCs w:val="20"/>
          <w:lang w:val="en-US"/>
        </w:rPr>
        <w:t xml:space="preserve">the </w:t>
      </w:r>
      <w:r w:rsidR="00466AF7" w:rsidRPr="00D2561A">
        <w:rPr>
          <w:rFonts w:ascii="Verdana" w:hAnsi="Verdana"/>
          <w:sz w:val="20"/>
          <w:szCs w:val="20"/>
          <w:lang w:val="en-US"/>
        </w:rPr>
        <w:t xml:space="preserve">European </w:t>
      </w:r>
      <w:r w:rsidR="00E30D1A" w:rsidRPr="00D2561A">
        <w:rPr>
          <w:rFonts w:ascii="Verdana" w:hAnsi="Verdana"/>
          <w:sz w:val="20"/>
          <w:szCs w:val="20"/>
          <w:lang w:val="en-US"/>
        </w:rPr>
        <w:t>Court</w:t>
      </w:r>
      <w:r w:rsidR="00E9106E" w:rsidRPr="00D2561A">
        <w:rPr>
          <w:rFonts w:ascii="Verdana" w:hAnsi="Verdana"/>
          <w:sz w:val="20"/>
          <w:szCs w:val="20"/>
          <w:lang w:val="en-US"/>
        </w:rPr>
        <w:t xml:space="preserve"> </w:t>
      </w:r>
      <w:r w:rsidR="00466AF7" w:rsidRPr="00D2561A">
        <w:rPr>
          <w:rFonts w:ascii="Verdana" w:hAnsi="Verdana"/>
          <w:sz w:val="20"/>
          <w:szCs w:val="20"/>
          <w:lang w:val="en-US"/>
        </w:rPr>
        <w:t>of Human Rights</w:t>
      </w:r>
      <w:r w:rsidR="00E30D1A" w:rsidRPr="00D2561A">
        <w:rPr>
          <w:rFonts w:ascii="Verdana" w:hAnsi="Verdana"/>
          <w:sz w:val="20"/>
          <w:szCs w:val="20"/>
          <w:lang w:val="en-US"/>
        </w:rPr>
        <w:t xml:space="preserve"> and the </w:t>
      </w:r>
      <w:r w:rsidR="00466AF7" w:rsidRPr="00D2561A">
        <w:rPr>
          <w:rFonts w:ascii="Verdana" w:hAnsi="Verdana"/>
          <w:sz w:val="20"/>
          <w:szCs w:val="20"/>
          <w:lang w:val="en-US"/>
        </w:rPr>
        <w:t xml:space="preserve">African </w:t>
      </w:r>
      <w:r w:rsidR="00E30D1A" w:rsidRPr="00D2561A">
        <w:rPr>
          <w:rFonts w:ascii="Verdana" w:hAnsi="Verdana"/>
          <w:sz w:val="20"/>
          <w:szCs w:val="20"/>
          <w:lang w:val="en-US"/>
        </w:rPr>
        <w:t>Court</w:t>
      </w:r>
      <w:r w:rsidR="00E9106E" w:rsidRPr="00D2561A">
        <w:rPr>
          <w:rFonts w:ascii="Verdana" w:hAnsi="Verdana"/>
          <w:sz w:val="20"/>
          <w:szCs w:val="20"/>
          <w:lang w:val="en-US"/>
        </w:rPr>
        <w:t xml:space="preserve"> </w:t>
      </w:r>
      <w:r w:rsidR="00466AF7" w:rsidRPr="00D2561A">
        <w:rPr>
          <w:rFonts w:ascii="Verdana" w:hAnsi="Verdana"/>
          <w:sz w:val="20"/>
          <w:szCs w:val="20"/>
          <w:lang w:val="en-US"/>
        </w:rPr>
        <w:t>of Human and Pe</w:t>
      </w:r>
      <w:r w:rsidR="007236CD" w:rsidRPr="00D2561A">
        <w:rPr>
          <w:rFonts w:ascii="Verdana" w:hAnsi="Verdana"/>
          <w:sz w:val="20"/>
          <w:szCs w:val="20"/>
          <w:lang w:val="en-US"/>
        </w:rPr>
        <w:t>o</w:t>
      </w:r>
      <w:r w:rsidR="00466AF7" w:rsidRPr="00D2561A">
        <w:rPr>
          <w:rFonts w:ascii="Verdana" w:hAnsi="Verdana"/>
          <w:sz w:val="20"/>
          <w:szCs w:val="20"/>
          <w:lang w:val="en-US"/>
        </w:rPr>
        <w:t>ples’ Rights</w:t>
      </w:r>
      <w:r w:rsidR="00E9106E" w:rsidRPr="00D2561A">
        <w:rPr>
          <w:rFonts w:ascii="Verdana" w:hAnsi="Verdana"/>
          <w:sz w:val="20"/>
          <w:szCs w:val="20"/>
          <w:lang w:val="en-US"/>
        </w:rPr>
        <w:t xml:space="preserve">. </w:t>
      </w:r>
      <w:r w:rsidRPr="00D2561A">
        <w:rPr>
          <w:rFonts w:ascii="Verdana" w:hAnsi="Verdana"/>
          <w:sz w:val="20"/>
          <w:szCs w:val="20"/>
          <w:lang w:val="en-US"/>
        </w:rPr>
        <w:t>However, not all the States of the respective regions have accepted the jurisdiction of the corresponding court. Furthermore, not all the regions of the world have an international human rights jurisdiction</w:t>
      </w:r>
      <w:r w:rsidR="002C1894" w:rsidRPr="00D2561A">
        <w:rPr>
          <w:rFonts w:ascii="Verdana" w:hAnsi="Verdana"/>
          <w:sz w:val="20"/>
          <w:szCs w:val="20"/>
          <w:lang w:val="en-US"/>
        </w:rPr>
        <w:t>,</w:t>
      </w:r>
      <w:r w:rsidRPr="00D2561A">
        <w:rPr>
          <w:rFonts w:ascii="Verdana" w:hAnsi="Verdana"/>
          <w:sz w:val="20"/>
          <w:szCs w:val="20"/>
          <w:lang w:val="en-US"/>
        </w:rPr>
        <w:t xml:space="preserve"> n</w:t>
      </w:r>
      <w:r w:rsidR="002C1894" w:rsidRPr="00D2561A">
        <w:rPr>
          <w:rFonts w:ascii="Verdana" w:hAnsi="Verdana"/>
          <w:sz w:val="20"/>
          <w:szCs w:val="20"/>
          <w:lang w:val="en-US"/>
        </w:rPr>
        <w:t>o</w:t>
      </w:r>
      <w:r w:rsidRPr="00D2561A">
        <w:rPr>
          <w:rFonts w:ascii="Verdana" w:hAnsi="Verdana"/>
          <w:sz w:val="20"/>
          <w:szCs w:val="20"/>
          <w:lang w:val="en-US"/>
        </w:rPr>
        <w:t>r has a universal human rights court been created.</w:t>
      </w:r>
    </w:p>
    <w:p w14:paraId="1FE55077" w14:textId="77777777" w:rsidR="00470495" w:rsidRPr="00D2561A" w:rsidRDefault="00470495" w:rsidP="000E0801">
      <w:pPr>
        <w:pStyle w:val="Prrafodelista"/>
        <w:spacing w:line="240" w:lineRule="auto"/>
        <w:ind w:left="-270" w:right="-162"/>
        <w:rPr>
          <w:rFonts w:ascii="Verdana" w:hAnsi="Verdana"/>
          <w:sz w:val="20"/>
          <w:szCs w:val="20"/>
          <w:lang w:val="en-US"/>
        </w:rPr>
      </w:pPr>
    </w:p>
    <w:p w14:paraId="6629EF56" w14:textId="1080BD63" w:rsidR="007236CD" w:rsidRPr="00D2561A" w:rsidRDefault="007236CD"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Thus, the fact that a State has not accepted to be subject to an international human rights jurisdictional instance does not mean that such rights do not exist and that they cannot eventually be violated. </w:t>
      </w:r>
      <w:r w:rsidR="0032767A" w:rsidRPr="00D2561A">
        <w:rPr>
          <w:rFonts w:ascii="Verdana" w:hAnsi="Verdana"/>
          <w:sz w:val="20"/>
          <w:szCs w:val="20"/>
          <w:lang w:val="en-US"/>
        </w:rPr>
        <w:t>The State</w:t>
      </w:r>
      <w:r w:rsidR="00E9106E" w:rsidRPr="00D2561A">
        <w:rPr>
          <w:rFonts w:ascii="Verdana" w:hAnsi="Verdana"/>
          <w:sz w:val="20"/>
          <w:szCs w:val="20"/>
          <w:lang w:val="en-US"/>
        </w:rPr>
        <w:t xml:space="preserve"> </w:t>
      </w:r>
      <w:r w:rsidRPr="00D2561A">
        <w:rPr>
          <w:rFonts w:ascii="Verdana" w:hAnsi="Verdana"/>
          <w:sz w:val="20"/>
          <w:szCs w:val="20"/>
          <w:lang w:val="en-US"/>
        </w:rPr>
        <w:t>must necessarily respect them even though there is no international court to which recourse can be had if it violates them and, especially, if they are established in a treaty to which that State is a party. In that eventuality, international society can use diplomatic or political measures to achieve the re-establishment of respect for the rights concerned. Thus, the international e</w:t>
      </w:r>
      <w:r w:rsidR="00F71D1D" w:rsidRPr="00D2561A">
        <w:rPr>
          <w:rFonts w:ascii="Verdana" w:hAnsi="Verdana"/>
          <w:sz w:val="20"/>
          <w:szCs w:val="20"/>
          <w:lang w:val="en-US"/>
        </w:rPr>
        <w:t>nshrinement</w:t>
      </w:r>
      <w:r w:rsidRPr="00D2561A">
        <w:rPr>
          <w:rFonts w:ascii="Verdana" w:hAnsi="Verdana"/>
          <w:sz w:val="20"/>
          <w:szCs w:val="20"/>
          <w:lang w:val="en-US"/>
        </w:rPr>
        <w:t xml:space="preserve"> of human rights is one issue, and the international instrument used to achieve the re-establishment of their exercise in the situation in which they are violated is another.</w:t>
      </w:r>
    </w:p>
    <w:p w14:paraId="1785BDE9" w14:textId="77777777" w:rsidR="003A32AD" w:rsidRPr="00D2561A" w:rsidRDefault="003A32AD" w:rsidP="000E0801">
      <w:pPr>
        <w:pStyle w:val="Prrafodelista"/>
        <w:spacing w:line="240" w:lineRule="auto"/>
        <w:ind w:left="-270" w:right="-162"/>
        <w:rPr>
          <w:rFonts w:ascii="Verdana" w:hAnsi="Verdana"/>
          <w:sz w:val="20"/>
          <w:szCs w:val="20"/>
          <w:lang w:val="en-US"/>
        </w:rPr>
      </w:pPr>
    </w:p>
    <w:p w14:paraId="6E3E3AD3" w14:textId="473290FD" w:rsidR="00D61D96" w:rsidRPr="00D2561A" w:rsidRDefault="00466AF7" w:rsidP="000E0801">
      <w:pPr>
        <w:pStyle w:val="Prrafodelista"/>
        <w:numPr>
          <w:ilvl w:val="0"/>
          <w:numId w:val="13"/>
        </w:numPr>
        <w:spacing w:line="240" w:lineRule="auto"/>
        <w:ind w:left="-270" w:right="-162" w:firstLine="0"/>
        <w:rPr>
          <w:rFonts w:ascii="Verdana" w:hAnsi="Verdana"/>
          <w:sz w:val="20"/>
          <w:szCs w:val="20"/>
          <w:lang w:val="en-US"/>
        </w:rPr>
      </w:pPr>
      <w:r w:rsidRPr="00D2561A">
        <w:rPr>
          <w:rFonts w:ascii="Verdana" w:hAnsi="Verdana"/>
          <w:b/>
          <w:sz w:val="20"/>
          <w:szCs w:val="20"/>
          <w:lang w:val="en-US"/>
        </w:rPr>
        <w:t>The i</w:t>
      </w:r>
      <w:r w:rsidR="00741A3A" w:rsidRPr="00D2561A">
        <w:rPr>
          <w:rFonts w:ascii="Verdana" w:hAnsi="Verdana"/>
          <w:b/>
          <w:sz w:val="20"/>
          <w:szCs w:val="20"/>
          <w:lang w:val="en-US"/>
        </w:rPr>
        <w:t>nterpreta</w:t>
      </w:r>
      <w:r w:rsidRPr="00D2561A">
        <w:rPr>
          <w:rFonts w:ascii="Verdana" w:hAnsi="Verdana"/>
          <w:b/>
          <w:sz w:val="20"/>
          <w:szCs w:val="20"/>
          <w:lang w:val="en-US"/>
        </w:rPr>
        <w:t>tio</w:t>
      </w:r>
      <w:r w:rsidR="00741A3A" w:rsidRPr="00D2561A">
        <w:rPr>
          <w:rFonts w:ascii="Verdana" w:hAnsi="Verdana"/>
          <w:b/>
          <w:sz w:val="20"/>
          <w:szCs w:val="20"/>
          <w:lang w:val="en-US"/>
        </w:rPr>
        <w:t xml:space="preserve">n </w:t>
      </w:r>
      <w:r w:rsidRPr="00D2561A">
        <w:rPr>
          <w:rFonts w:ascii="Verdana" w:hAnsi="Verdana"/>
          <w:b/>
          <w:sz w:val="20"/>
          <w:szCs w:val="20"/>
          <w:lang w:val="en-US"/>
        </w:rPr>
        <w:t xml:space="preserve">of </w:t>
      </w:r>
      <w:r w:rsidR="00E30D1A" w:rsidRPr="00D2561A">
        <w:rPr>
          <w:rFonts w:ascii="Verdana" w:hAnsi="Verdana"/>
          <w:b/>
          <w:sz w:val="20"/>
          <w:szCs w:val="20"/>
          <w:lang w:val="en-US"/>
        </w:rPr>
        <w:t>Article</w:t>
      </w:r>
      <w:r w:rsidR="0037239C" w:rsidRPr="00D2561A">
        <w:rPr>
          <w:rFonts w:ascii="Verdana" w:hAnsi="Verdana"/>
          <w:b/>
          <w:sz w:val="20"/>
          <w:szCs w:val="20"/>
          <w:lang w:val="en-US"/>
        </w:rPr>
        <w:t xml:space="preserve"> 26</w:t>
      </w:r>
    </w:p>
    <w:p w14:paraId="5C657742" w14:textId="77777777" w:rsidR="00D61D96" w:rsidRPr="00D2561A" w:rsidRDefault="00D61D96" w:rsidP="000E0801">
      <w:pPr>
        <w:pStyle w:val="Prrafodelista"/>
        <w:spacing w:line="240" w:lineRule="auto"/>
        <w:ind w:left="-270" w:right="-162"/>
        <w:rPr>
          <w:rFonts w:ascii="Verdana" w:hAnsi="Verdana"/>
          <w:sz w:val="20"/>
          <w:szCs w:val="20"/>
          <w:lang w:val="en-US"/>
        </w:rPr>
      </w:pPr>
    </w:p>
    <w:p w14:paraId="0D5F49BB" w14:textId="33361CF9" w:rsidR="00AB5A49" w:rsidRPr="00D2561A" w:rsidRDefault="007236CD" w:rsidP="00AB5A49">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In light of the fact that the</w:t>
      </w:r>
      <w:r w:rsidR="00E30D1A" w:rsidRPr="00D2561A">
        <w:rPr>
          <w:rFonts w:ascii="Verdana" w:hAnsi="Verdana"/>
          <w:sz w:val="20"/>
          <w:szCs w:val="20"/>
          <w:lang w:val="en-US"/>
        </w:rPr>
        <w:t xml:space="preserve"> Convention</w:t>
      </w:r>
      <w:r w:rsidR="00AB5A49" w:rsidRPr="00D2561A">
        <w:rPr>
          <w:rFonts w:ascii="Verdana" w:hAnsi="Verdana"/>
          <w:sz w:val="20"/>
          <w:szCs w:val="20"/>
          <w:lang w:val="en-US"/>
        </w:rPr>
        <w:t xml:space="preserve"> is a treaty between States and, consequently, governed by public international law,</w:t>
      </w:r>
      <w:r w:rsidR="00E9106E" w:rsidRPr="00D2561A">
        <w:rPr>
          <w:rFonts w:ascii="Verdana" w:hAnsi="Verdana"/>
          <w:sz w:val="20"/>
          <w:szCs w:val="20"/>
          <w:vertAlign w:val="superscript"/>
          <w:lang w:val="en-US"/>
        </w:rPr>
        <w:footnoteReference w:id="18"/>
      </w:r>
      <w:r w:rsidR="00AB5A49" w:rsidRPr="00D2561A">
        <w:rPr>
          <w:rFonts w:ascii="Verdana" w:hAnsi="Verdana"/>
          <w:sz w:val="20"/>
          <w:szCs w:val="20"/>
          <w:lang w:val="en-US"/>
        </w:rPr>
        <w:t xml:space="preserve"> the reasons that support this dis</w:t>
      </w:r>
      <w:r w:rsidR="00F71D1D" w:rsidRPr="00D2561A">
        <w:rPr>
          <w:rFonts w:ascii="Verdana" w:hAnsi="Verdana"/>
          <w:sz w:val="20"/>
          <w:szCs w:val="20"/>
          <w:lang w:val="en-US"/>
        </w:rPr>
        <w:t>crepancy</w:t>
      </w:r>
      <w:r w:rsidR="00AB5A49" w:rsidRPr="00D2561A">
        <w:rPr>
          <w:rFonts w:ascii="Verdana" w:hAnsi="Verdana"/>
          <w:sz w:val="20"/>
          <w:szCs w:val="20"/>
          <w:lang w:val="en-US"/>
        </w:rPr>
        <w:t xml:space="preserve"> are based, mainly, on how Article 26 should be interpreted, pursuant to the means for the interpretation of treaties established in </w:t>
      </w:r>
      <w:r w:rsidR="00E30D1A" w:rsidRPr="00D2561A">
        <w:rPr>
          <w:rFonts w:ascii="Verdana" w:hAnsi="Verdana"/>
          <w:sz w:val="20"/>
          <w:szCs w:val="20"/>
          <w:lang w:val="en-US"/>
        </w:rPr>
        <w:t xml:space="preserve">the </w:t>
      </w:r>
      <w:r w:rsidR="00466AF7" w:rsidRPr="00D2561A">
        <w:rPr>
          <w:rFonts w:ascii="Verdana" w:hAnsi="Verdana"/>
          <w:sz w:val="20"/>
          <w:szCs w:val="20"/>
          <w:lang w:val="en-US"/>
        </w:rPr>
        <w:t>Vienna Convention</w:t>
      </w:r>
      <w:r w:rsidR="00E9106E" w:rsidRPr="00D2561A">
        <w:rPr>
          <w:rFonts w:ascii="Verdana" w:hAnsi="Verdana"/>
          <w:sz w:val="20"/>
          <w:szCs w:val="20"/>
          <w:lang w:val="en-US"/>
        </w:rPr>
        <w:t xml:space="preserve">. </w:t>
      </w:r>
      <w:r w:rsidR="00AB5A49" w:rsidRPr="00D2561A">
        <w:rPr>
          <w:rFonts w:ascii="Verdana" w:hAnsi="Verdana"/>
          <w:sz w:val="20"/>
          <w:szCs w:val="20"/>
          <w:lang w:val="en-US"/>
        </w:rPr>
        <w:t xml:space="preserve">These means, which must be congruent and harmonious without any one </w:t>
      </w:r>
      <w:r w:rsidR="00F71D1D" w:rsidRPr="00D2561A">
        <w:rPr>
          <w:rFonts w:ascii="Verdana" w:hAnsi="Verdana"/>
          <w:sz w:val="20"/>
          <w:szCs w:val="20"/>
          <w:lang w:val="en-US"/>
        </w:rPr>
        <w:t xml:space="preserve">prevailing </w:t>
      </w:r>
      <w:r w:rsidR="00AB5A49" w:rsidRPr="00D2561A">
        <w:rPr>
          <w:rFonts w:ascii="Verdana" w:hAnsi="Verdana"/>
          <w:sz w:val="20"/>
          <w:szCs w:val="20"/>
          <w:lang w:val="en-US"/>
        </w:rPr>
        <w:t>over the others, relate to good faith, the ordinary meaning to be given to the terms of the treaty in their context, and in light of its object and purpose.</w:t>
      </w:r>
      <w:r w:rsidR="00AB5A49" w:rsidRPr="00D2561A">
        <w:rPr>
          <w:rFonts w:ascii="Verdana" w:hAnsi="Verdana"/>
          <w:sz w:val="20"/>
          <w:szCs w:val="20"/>
          <w:vertAlign w:val="superscript"/>
          <w:lang w:val="en-US"/>
        </w:rPr>
        <w:footnoteReference w:id="19"/>
      </w:r>
    </w:p>
    <w:p w14:paraId="2C930C70" w14:textId="6BCBA116" w:rsidR="00466AF7" w:rsidRPr="00D2561A" w:rsidRDefault="00466AF7" w:rsidP="00AB5A49">
      <w:pPr>
        <w:spacing w:line="240" w:lineRule="auto"/>
        <w:ind w:left="-270" w:right="-162"/>
        <w:rPr>
          <w:rFonts w:ascii="Verdana" w:hAnsi="Verdana"/>
          <w:sz w:val="20"/>
          <w:szCs w:val="20"/>
          <w:lang w:val="en-US"/>
        </w:rPr>
      </w:pPr>
    </w:p>
    <w:p w14:paraId="71FE37EB" w14:textId="6DFCDFC2" w:rsidR="00E9106E" w:rsidRPr="00D2561A" w:rsidRDefault="00AB5A49"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Therefore, it is a question of using these means to interpret Article </w:t>
      </w:r>
      <w:r w:rsidR="00E9106E" w:rsidRPr="00D2561A">
        <w:rPr>
          <w:rFonts w:ascii="Verdana" w:hAnsi="Verdana"/>
          <w:sz w:val="20"/>
          <w:szCs w:val="20"/>
          <w:lang w:val="en-US"/>
        </w:rPr>
        <w:t xml:space="preserve">26, </w:t>
      </w:r>
      <w:r w:rsidRPr="00D2561A">
        <w:rPr>
          <w:rFonts w:ascii="Verdana" w:hAnsi="Verdana"/>
          <w:sz w:val="20"/>
          <w:szCs w:val="20"/>
          <w:lang w:val="en-US"/>
        </w:rPr>
        <w:t>which establishes</w:t>
      </w:r>
      <w:r w:rsidR="00E9106E" w:rsidRPr="00D2561A">
        <w:rPr>
          <w:rFonts w:ascii="Verdana" w:hAnsi="Verdana"/>
          <w:sz w:val="20"/>
          <w:szCs w:val="20"/>
          <w:lang w:val="en-US"/>
        </w:rPr>
        <w:t>:</w:t>
      </w:r>
    </w:p>
    <w:p w14:paraId="40B41640" w14:textId="77777777" w:rsidR="00E9106E" w:rsidRPr="00D2561A" w:rsidRDefault="00E9106E" w:rsidP="000E0801">
      <w:pPr>
        <w:tabs>
          <w:tab w:val="left" w:pos="709"/>
        </w:tabs>
        <w:spacing w:line="240" w:lineRule="auto"/>
        <w:ind w:left="-270" w:right="-162"/>
        <w:rPr>
          <w:rFonts w:ascii="Verdana" w:hAnsi="Verdana"/>
          <w:sz w:val="16"/>
          <w:szCs w:val="16"/>
          <w:lang w:val="en-US"/>
        </w:rPr>
      </w:pPr>
    </w:p>
    <w:p w14:paraId="57C67408" w14:textId="1C2EB162" w:rsidR="00E9106E" w:rsidRPr="00D2561A" w:rsidRDefault="00E9106E" w:rsidP="00466AF7">
      <w:pPr>
        <w:spacing w:line="240" w:lineRule="auto"/>
        <w:ind w:left="720" w:right="90"/>
        <w:rPr>
          <w:rFonts w:ascii="Verdana" w:eastAsia="Batang" w:hAnsi="Verdana"/>
          <w:iCs/>
          <w:sz w:val="18"/>
          <w:szCs w:val="18"/>
          <w:lang w:val="en-US"/>
        </w:rPr>
      </w:pPr>
      <w:r w:rsidRPr="00D2561A">
        <w:rPr>
          <w:rFonts w:ascii="Verdana" w:hAnsi="Verdana"/>
          <w:iCs/>
          <w:sz w:val="18"/>
          <w:szCs w:val="18"/>
          <w:lang w:val="en-US"/>
        </w:rPr>
        <w:t>“</w:t>
      </w:r>
      <w:bookmarkStart w:id="2" w:name="_Hlk31442955"/>
      <w:r w:rsidR="00466AF7" w:rsidRPr="00D2561A">
        <w:rPr>
          <w:rFonts w:ascii="Verdana" w:eastAsia="Batang" w:hAnsi="Verdana"/>
          <w:iCs/>
          <w:sz w:val="18"/>
          <w:szCs w:val="18"/>
          <w:lang w:val="en-US"/>
        </w:rPr>
        <w:t>Progressive Development</w:t>
      </w:r>
      <w:r w:rsidRPr="00D2561A">
        <w:rPr>
          <w:rFonts w:ascii="Verdana" w:eastAsia="Batang" w:hAnsi="Verdana"/>
          <w:iCs/>
          <w:sz w:val="18"/>
          <w:szCs w:val="18"/>
          <w:lang w:val="en-US"/>
        </w:rPr>
        <w:t xml:space="preserve">. </w:t>
      </w:r>
      <w:bookmarkEnd w:id="2"/>
      <w:r w:rsidR="00466AF7" w:rsidRPr="00D2561A">
        <w:rPr>
          <w:rFonts w:ascii="Verdana" w:hAnsi="Verdana"/>
          <w:spacing w:val="-3"/>
          <w:sz w:val="18"/>
          <w:szCs w:val="18"/>
          <w:lang w:val="en-US"/>
        </w:rPr>
        <w:t xml:space="preserve">The States Parties undertake to adopt measures, both internally and through international cooperation, especially those of an economic and technical nature, with a view to achieving progressively, subject to available resources, by legislation or other appropriate means, the full realization of the rights </w:t>
      </w:r>
      <w:r w:rsidR="004E3CA9" w:rsidRPr="00D2561A">
        <w:rPr>
          <w:rFonts w:ascii="Verdana" w:hAnsi="Verdana"/>
          <w:spacing w:val="-3"/>
          <w:sz w:val="18"/>
          <w:szCs w:val="18"/>
          <w:lang w:val="en-US"/>
        </w:rPr>
        <w:t>derived from</w:t>
      </w:r>
      <w:r w:rsidR="00466AF7" w:rsidRPr="00D2561A">
        <w:rPr>
          <w:rFonts w:ascii="Verdana" w:hAnsi="Verdana"/>
          <w:spacing w:val="-3"/>
          <w:sz w:val="18"/>
          <w:szCs w:val="18"/>
          <w:lang w:val="en-US"/>
        </w:rPr>
        <w:t xml:space="preserve"> the economic, social, educational, scientific, and cultural standards set forth in the Charter of the Organization of American States as amended by the Protocol of Buenos Aires</w:t>
      </w:r>
      <w:r w:rsidRPr="00D2561A">
        <w:rPr>
          <w:rFonts w:ascii="Verdana" w:eastAsia="Batang" w:hAnsi="Verdana"/>
          <w:iCs/>
          <w:sz w:val="18"/>
          <w:szCs w:val="18"/>
          <w:lang w:val="en-US"/>
        </w:rPr>
        <w:t>.”</w:t>
      </w:r>
    </w:p>
    <w:p w14:paraId="735E4E7D" w14:textId="77777777" w:rsidR="00E9106E" w:rsidRPr="00D2561A" w:rsidRDefault="00E9106E" w:rsidP="000E0801">
      <w:pPr>
        <w:spacing w:line="240" w:lineRule="auto"/>
        <w:ind w:left="720" w:right="-162"/>
        <w:contextualSpacing/>
        <w:rPr>
          <w:rFonts w:ascii="Verdana" w:hAnsi="Verdana"/>
          <w:sz w:val="20"/>
          <w:szCs w:val="20"/>
          <w:lang w:val="en-US"/>
        </w:rPr>
      </w:pPr>
      <w:r w:rsidRPr="00D2561A">
        <w:rPr>
          <w:rFonts w:ascii="Verdana" w:hAnsi="Verdana"/>
          <w:sz w:val="20"/>
          <w:szCs w:val="20"/>
          <w:lang w:val="en-US"/>
        </w:rPr>
        <w:t xml:space="preserve">  </w:t>
      </w:r>
    </w:p>
    <w:p w14:paraId="03F60DB8" w14:textId="6CD93771" w:rsidR="00E9106E" w:rsidRPr="00D2561A" w:rsidRDefault="00466AF7" w:rsidP="00466AF7">
      <w:pPr>
        <w:pStyle w:val="Prrafodelista"/>
        <w:numPr>
          <w:ilvl w:val="0"/>
          <w:numId w:val="14"/>
        </w:numPr>
        <w:spacing w:line="240" w:lineRule="auto"/>
        <w:ind w:left="-270" w:right="90" w:firstLine="0"/>
        <w:rPr>
          <w:rFonts w:ascii="Verdana" w:hAnsi="Verdana"/>
          <w:b/>
          <w:sz w:val="20"/>
          <w:szCs w:val="20"/>
          <w:lang w:val="en-US"/>
        </w:rPr>
      </w:pPr>
      <w:r w:rsidRPr="00D2561A">
        <w:rPr>
          <w:rFonts w:ascii="Verdana" w:hAnsi="Verdana"/>
          <w:b/>
          <w:sz w:val="20"/>
          <w:szCs w:val="20"/>
          <w:lang w:val="en-US"/>
        </w:rPr>
        <w:t>Good faith</w:t>
      </w:r>
    </w:p>
    <w:p w14:paraId="11790C83" w14:textId="77777777" w:rsidR="00E9106E" w:rsidRPr="00D2561A" w:rsidRDefault="00E9106E" w:rsidP="000E0801">
      <w:pPr>
        <w:spacing w:line="240" w:lineRule="auto"/>
        <w:ind w:left="-270" w:right="-162"/>
        <w:contextualSpacing/>
        <w:rPr>
          <w:rFonts w:ascii="Verdana" w:hAnsi="Verdana"/>
          <w:b/>
          <w:sz w:val="20"/>
          <w:szCs w:val="20"/>
          <w:lang w:val="en-US"/>
        </w:rPr>
      </w:pPr>
    </w:p>
    <w:p w14:paraId="05A5F8D4" w14:textId="156D707A" w:rsidR="003A32AD" w:rsidRPr="00D2561A" w:rsidRDefault="00AB5A49" w:rsidP="00A570DE">
      <w:pPr>
        <w:pStyle w:val="Prrafodelista"/>
        <w:numPr>
          <w:ilvl w:val="0"/>
          <w:numId w:val="5"/>
        </w:numPr>
        <w:autoSpaceDE w:val="0"/>
        <w:autoSpaceDN w:val="0"/>
        <w:adjustRightInd w:val="0"/>
        <w:spacing w:line="240" w:lineRule="auto"/>
        <w:ind w:left="-270" w:right="-162" w:firstLine="0"/>
        <w:rPr>
          <w:rFonts w:ascii="Verdana" w:hAnsi="Verdana" w:cs="Times New Roman"/>
          <w:i/>
          <w:sz w:val="20"/>
          <w:szCs w:val="20"/>
          <w:lang w:val="en-US"/>
        </w:rPr>
      </w:pPr>
      <w:r w:rsidRPr="00D2561A">
        <w:rPr>
          <w:rFonts w:ascii="Verdana" w:eastAsiaTheme="minorEastAsia" w:hAnsi="Verdana"/>
          <w:sz w:val="20"/>
          <w:szCs w:val="20"/>
          <w:lang w:val="en-US"/>
        </w:rPr>
        <w:t xml:space="preserve">The method supported by good faith </w:t>
      </w:r>
      <w:r w:rsidR="00A570DE" w:rsidRPr="00D2561A">
        <w:rPr>
          <w:rFonts w:ascii="Verdana" w:eastAsiaTheme="minorEastAsia" w:hAnsi="Verdana"/>
          <w:sz w:val="20"/>
          <w:szCs w:val="20"/>
          <w:lang w:val="en-US"/>
        </w:rPr>
        <w:t xml:space="preserve">signifies that what was agreed by the States Parties to the treaty in question should be understood on the basis of what they effectively intended to agree, so that </w:t>
      </w:r>
      <w:r w:rsidR="00F71D1D" w:rsidRPr="00D2561A">
        <w:rPr>
          <w:rFonts w:ascii="Verdana" w:eastAsiaTheme="minorEastAsia" w:hAnsi="Verdana"/>
          <w:sz w:val="20"/>
          <w:szCs w:val="20"/>
          <w:lang w:val="en-US"/>
        </w:rPr>
        <w:t>this</w:t>
      </w:r>
      <w:r w:rsidR="00A570DE" w:rsidRPr="00D2561A">
        <w:rPr>
          <w:rFonts w:ascii="Verdana" w:eastAsiaTheme="minorEastAsia" w:hAnsi="Verdana"/>
          <w:sz w:val="20"/>
          <w:szCs w:val="20"/>
          <w:lang w:val="en-US"/>
        </w:rPr>
        <w:t xml:space="preserve"> would </w:t>
      </w:r>
      <w:r w:rsidR="00F71D1D" w:rsidRPr="00D2561A">
        <w:rPr>
          <w:rFonts w:ascii="Verdana" w:eastAsiaTheme="minorEastAsia" w:hAnsi="Verdana"/>
          <w:sz w:val="20"/>
          <w:szCs w:val="20"/>
          <w:lang w:val="en-US"/>
        </w:rPr>
        <w:t>truly</w:t>
      </w:r>
      <w:r w:rsidR="00A570DE" w:rsidRPr="00D2561A">
        <w:rPr>
          <w:rFonts w:ascii="Verdana" w:eastAsiaTheme="minorEastAsia" w:hAnsi="Verdana"/>
          <w:sz w:val="20"/>
          <w:szCs w:val="20"/>
          <w:lang w:val="en-US"/>
        </w:rPr>
        <w:t xml:space="preserve"> be applied or for it to have a practical effect. Thus, good faith is closely related to the “</w:t>
      </w:r>
      <w:r w:rsidR="00A570DE" w:rsidRPr="00D2561A">
        <w:rPr>
          <w:rFonts w:ascii="Verdana" w:eastAsiaTheme="minorEastAsia" w:hAnsi="Verdana"/>
          <w:i/>
          <w:sz w:val="20"/>
          <w:szCs w:val="20"/>
          <w:lang w:val="en-US"/>
        </w:rPr>
        <w:t xml:space="preserve">pacta sunt </w:t>
      </w:r>
      <w:proofErr w:type="spellStart"/>
      <w:r w:rsidR="00A570DE" w:rsidRPr="00D2561A">
        <w:rPr>
          <w:rFonts w:ascii="Verdana" w:eastAsiaTheme="minorEastAsia" w:hAnsi="Verdana"/>
          <w:i/>
          <w:sz w:val="20"/>
          <w:szCs w:val="20"/>
          <w:lang w:val="en-US"/>
        </w:rPr>
        <w:t>servanda</w:t>
      </w:r>
      <w:proofErr w:type="spellEnd"/>
      <w:r w:rsidR="00A570DE" w:rsidRPr="00D2561A">
        <w:rPr>
          <w:rFonts w:ascii="Verdana" w:eastAsiaTheme="minorEastAsia" w:hAnsi="Verdana"/>
          <w:sz w:val="20"/>
          <w:szCs w:val="20"/>
          <w:lang w:val="en-US"/>
        </w:rPr>
        <w:t xml:space="preserve">” principle established in </w:t>
      </w:r>
      <w:r w:rsidR="00E30D1A" w:rsidRPr="00D2561A">
        <w:rPr>
          <w:rFonts w:ascii="Verdana" w:eastAsiaTheme="minorEastAsia" w:hAnsi="Verdana"/>
          <w:sz w:val="20"/>
          <w:szCs w:val="20"/>
          <w:lang w:val="en-US"/>
        </w:rPr>
        <w:t>Article</w:t>
      </w:r>
      <w:r w:rsidR="00E9106E" w:rsidRPr="00D2561A">
        <w:rPr>
          <w:rFonts w:ascii="Verdana" w:hAnsi="Verdana" w:cs="Times New Roman"/>
          <w:b/>
          <w:bCs/>
          <w:sz w:val="20"/>
          <w:szCs w:val="20"/>
          <w:lang w:val="en-US"/>
        </w:rPr>
        <w:t xml:space="preserve"> </w:t>
      </w:r>
      <w:r w:rsidR="00E9106E" w:rsidRPr="00D2561A">
        <w:rPr>
          <w:rFonts w:ascii="Verdana" w:hAnsi="Verdana" w:cs="Times New Roman"/>
          <w:bCs/>
          <w:sz w:val="20"/>
          <w:szCs w:val="20"/>
          <w:lang w:val="en-US"/>
        </w:rPr>
        <w:t>26</w:t>
      </w:r>
      <w:r w:rsidR="00E30D1A" w:rsidRPr="00D2561A">
        <w:rPr>
          <w:rFonts w:ascii="Verdana" w:hAnsi="Verdana" w:cs="Times New Roman"/>
          <w:bCs/>
          <w:sz w:val="20"/>
          <w:szCs w:val="20"/>
          <w:lang w:val="en-US"/>
        </w:rPr>
        <w:t xml:space="preserve"> of the </w:t>
      </w:r>
      <w:r w:rsidR="00466AF7" w:rsidRPr="00D2561A">
        <w:rPr>
          <w:rFonts w:ascii="Verdana" w:hAnsi="Verdana" w:cs="Times New Roman"/>
          <w:bCs/>
          <w:sz w:val="20"/>
          <w:szCs w:val="20"/>
          <w:lang w:val="en-US"/>
        </w:rPr>
        <w:t>Vienna Convention</w:t>
      </w:r>
      <w:r w:rsidR="00A570DE" w:rsidRPr="00D2561A">
        <w:rPr>
          <w:rFonts w:ascii="Verdana" w:hAnsi="Verdana" w:cs="Times New Roman"/>
          <w:bCs/>
          <w:sz w:val="20"/>
          <w:szCs w:val="20"/>
          <w:lang w:val="en-US"/>
        </w:rPr>
        <w:t>.</w:t>
      </w:r>
      <w:r w:rsidR="00E9106E" w:rsidRPr="00D2561A">
        <w:rPr>
          <w:rFonts w:ascii="Verdana" w:hAnsi="Verdana"/>
          <w:sz w:val="20"/>
          <w:szCs w:val="20"/>
          <w:vertAlign w:val="superscript"/>
          <w:lang w:val="en-US"/>
        </w:rPr>
        <w:footnoteReference w:id="20"/>
      </w:r>
      <w:bookmarkStart w:id="3" w:name="_Hlk34994137"/>
    </w:p>
    <w:p w14:paraId="7D6A8864" w14:textId="77777777" w:rsidR="00AF6C0D" w:rsidRPr="00D2561A" w:rsidRDefault="00AF6C0D" w:rsidP="000E0801">
      <w:pPr>
        <w:pStyle w:val="Prrafodelista"/>
        <w:autoSpaceDE w:val="0"/>
        <w:autoSpaceDN w:val="0"/>
        <w:adjustRightInd w:val="0"/>
        <w:spacing w:line="240" w:lineRule="auto"/>
        <w:ind w:left="-270" w:right="-162"/>
        <w:rPr>
          <w:rFonts w:ascii="Verdana" w:hAnsi="Verdana" w:cs="Times New Roman"/>
          <w:i/>
          <w:sz w:val="20"/>
          <w:szCs w:val="20"/>
          <w:lang w:val="en-US"/>
        </w:rPr>
      </w:pPr>
    </w:p>
    <w:p w14:paraId="769D8C47" w14:textId="527F78FE" w:rsidR="00A570DE" w:rsidRPr="00D2561A" w:rsidRDefault="00A570DE" w:rsidP="000E0801">
      <w:pPr>
        <w:pStyle w:val="Prrafodelista"/>
        <w:numPr>
          <w:ilvl w:val="0"/>
          <w:numId w:val="5"/>
        </w:numPr>
        <w:autoSpaceDE w:val="0"/>
        <w:autoSpaceDN w:val="0"/>
        <w:adjustRightInd w:val="0"/>
        <w:spacing w:line="240" w:lineRule="auto"/>
        <w:ind w:left="-270" w:right="-162" w:firstLine="0"/>
        <w:rPr>
          <w:rFonts w:ascii="Verdana" w:hAnsi="Verdana" w:cs="Times New Roman"/>
          <w:i/>
          <w:sz w:val="20"/>
          <w:szCs w:val="20"/>
          <w:lang w:val="en-US"/>
        </w:rPr>
      </w:pPr>
      <w:r w:rsidRPr="00D2561A">
        <w:rPr>
          <w:rFonts w:ascii="Verdana" w:hAnsi="Verdana"/>
          <w:bCs/>
          <w:sz w:val="20"/>
          <w:szCs w:val="20"/>
          <w:lang w:val="en-US"/>
        </w:rPr>
        <w:t xml:space="preserve">From this perspective, it is very evident that the practical effect of this norm is that the States Parties to the Convention really adopted the article in order to achieve progressively the full </w:t>
      </w:r>
      <w:r w:rsidR="001A06F0" w:rsidRPr="00D2561A">
        <w:rPr>
          <w:rFonts w:ascii="Verdana" w:hAnsi="Verdana"/>
          <w:bCs/>
          <w:sz w:val="20"/>
          <w:szCs w:val="20"/>
          <w:lang w:val="en-US"/>
        </w:rPr>
        <w:t>realization</w:t>
      </w:r>
      <w:r w:rsidRPr="00D2561A">
        <w:rPr>
          <w:rFonts w:ascii="Verdana" w:hAnsi="Verdana"/>
          <w:bCs/>
          <w:sz w:val="20"/>
          <w:szCs w:val="20"/>
          <w:lang w:val="en-US"/>
        </w:rPr>
        <w:t xml:space="preserve"> of the rights derived from the OAS norms</w:t>
      </w:r>
      <w:r w:rsidR="00E02DA3" w:rsidRPr="00D2561A">
        <w:rPr>
          <w:rFonts w:ascii="Verdana" w:hAnsi="Verdana"/>
          <w:bCs/>
          <w:sz w:val="20"/>
          <w:szCs w:val="20"/>
          <w:lang w:val="en-US"/>
        </w:rPr>
        <w:t xml:space="preserve"> </w:t>
      </w:r>
      <w:r w:rsidRPr="00D2561A">
        <w:rPr>
          <w:rFonts w:ascii="Verdana" w:hAnsi="Verdana"/>
          <w:bCs/>
          <w:sz w:val="20"/>
          <w:szCs w:val="20"/>
          <w:lang w:val="en-US"/>
        </w:rPr>
        <w:t>and</w:t>
      </w:r>
      <w:r w:rsidR="00E02DA3" w:rsidRPr="00D2561A">
        <w:rPr>
          <w:rFonts w:ascii="Verdana" w:hAnsi="Verdana"/>
          <w:bCs/>
          <w:sz w:val="20"/>
          <w:szCs w:val="20"/>
          <w:lang w:val="en-US"/>
        </w:rPr>
        <w:t>, in particular,</w:t>
      </w:r>
      <w:r w:rsidRPr="00D2561A">
        <w:rPr>
          <w:rFonts w:ascii="Verdana" w:hAnsi="Verdana"/>
          <w:bCs/>
          <w:sz w:val="20"/>
          <w:szCs w:val="20"/>
          <w:lang w:val="en-US"/>
        </w:rPr>
        <w:t xml:space="preserve"> according to the resources available. The State obligation established in </w:t>
      </w:r>
      <w:r w:rsidRPr="00D2561A">
        <w:rPr>
          <w:rFonts w:ascii="Verdana" w:eastAsia="Batang" w:hAnsi="Verdana"/>
          <w:iCs/>
          <w:sz w:val="20"/>
          <w:szCs w:val="20"/>
          <w:lang w:val="en-US"/>
        </w:rPr>
        <w:t>Article 26 is, therefore, that of taking measures to make the said rights effective and not that they really are effective. The obligation is of conduct, and not of result.</w:t>
      </w:r>
    </w:p>
    <w:bookmarkEnd w:id="3"/>
    <w:p w14:paraId="1707FFD0" w14:textId="77777777" w:rsidR="005344DD" w:rsidRPr="00D2561A" w:rsidRDefault="005344DD" w:rsidP="00A570DE">
      <w:pPr>
        <w:spacing w:line="240" w:lineRule="auto"/>
        <w:ind w:left="0" w:right="-162"/>
        <w:rPr>
          <w:rFonts w:ascii="Verdana" w:hAnsi="Verdana"/>
          <w:bCs/>
          <w:sz w:val="20"/>
          <w:szCs w:val="20"/>
          <w:lang w:val="en-US"/>
        </w:rPr>
      </w:pPr>
    </w:p>
    <w:p w14:paraId="15FBD6FF" w14:textId="1B51EF19" w:rsidR="005344DD" w:rsidRPr="00D2561A" w:rsidRDefault="00A570DE" w:rsidP="000E0801">
      <w:pPr>
        <w:pStyle w:val="Prrafodelista"/>
        <w:numPr>
          <w:ilvl w:val="0"/>
          <w:numId w:val="5"/>
        </w:numPr>
        <w:autoSpaceDE w:val="0"/>
        <w:autoSpaceDN w:val="0"/>
        <w:adjustRightInd w:val="0"/>
        <w:spacing w:line="240" w:lineRule="auto"/>
        <w:ind w:left="-270" w:right="-162" w:firstLine="0"/>
        <w:rPr>
          <w:rFonts w:ascii="Verdana" w:hAnsi="Verdana" w:cs="Times New Roman"/>
          <w:i/>
          <w:sz w:val="20"/>
          <w:szCs w:val="20"/>
          <w:lang w:val="en-US"/>
        </w:rPr>
      </w:pPr>
      <w:r w:rsidRPr="00D2561A">
        <w:rPr>
          <w:rFonts w:ascii="Verdana" w:hAnsi="Verdana"/>
          <w:bCs/>
          <w:sz w:val="20"/>
          <w:szCs w:val="20"/>
          <w:lang w:val="en-US"/>
        </w:rPr>
        <w:t xml:space="preserve">In this regard, it is necessary to call attention to the fact that what Article 26 establishes is similar to the provisions of </w:t>
      </w:r>
      <w:r w:rsidR="00E30D1A" w:rsidRPr="00D2561A">
        <w:rPr>
          <w:rFonts w:ascii="Verdana" w:hAnsi="Verdana"/>
          <w:sz w:val="20"/>
          <w:szCs w:val="20"/>
          <w:lang w:val="en-US"/>
        </w:rPr>
        <w:t>Article</w:t>
      </w:r>
      <w:r w:rsidR="00E9106E" w:rsidRPr="00D2561A">
        <w:rPr>
          <w:rFonts w:ascii="Verdana" w:hAnsi="Verdana"/>
          <w:sz w:val="20"/>
          <w:szCs w:val="20"/>
          <w:lang w:val="en-US"/>
        </w:rPr>
        <w:t xml:space="preserve"> 2</w:t>
      </w:r>
      <w:r w:rsidR="00E30D1A" w:rsidRPr="00D2561A">
        <w:rPr>
          <w:rFonts w:ascii="Verdana" w:hAnsi="Verdana"/>
          <w:sz w:val="20"/>
          <w:szCs w:val="20"/>
          <w:lang w:val="en-US"/>
        </w:rPr>
        <w:t xml:space="preserve"> of the Convention</w:t>
      </w:r>
      <w:r w:rsidRPr="00D2561A">
        <w:rPr>
          <w:rFonts w:ascii="Verdana" w:hAnsi="Verdana"/>
          <w:sz w:val="20"/>
          <w:szCs w:val="20"/>
          <w:lang w:val="en-US"/>
        </w:rPr>
        <w:t xml:space="preserve">; </w:t>
      </w:r>
      <w:r w:rsidR="00E02DA3" w:rsidRPr="00D2561A">
        <w:rPr>
          <w:rFonts w:ascii="Verdana" w:hAnsi="Verdana"/>
          <w:sz w:val="20"/>
          <w:szCs w:val="20"/>
          <w:lang w:val="en-US"/>
        </w:rPr>
        <w:t xml:space="preserve">that is, </w:t>
      </w:r>
      <w:r w:rsidRPr="00D2561A">
        <w:rPr>
          <w:rFonts w:ascii="Verdana" w:hAnsi="Verdana"/>
          <w:sz w:val="20"/>
          <w:szCs w:val="20"/>
          <w:lang w:val="en-US"/>
        </w:rPr>
        <w:t>the States are obliged to adopt measures</w:t>
      </w:r>
      <w:r w:rsidR="00E02DA3" w:rsidRPr="00D2561A">
        <w:rPr>
          <w:rFonts w:ascii="Verdana" w:hAnsi="Verdana"/>
          <w:sz w:val="20"/>
          <w:szCs w:val="20"/>
          <w:lang w:val="en-US"/>
        </w:rPr>
        <w:t>,</w:t>
      </w:r>
      <w:r w:rsidRPr="00D2561A">
        <w:rPr>
          <w:rFonts w:ascii="Verdana" w:hAnsi="Verdana"/>
          <w:sz w:val="20"/>
          <w:szCs w:val="20"/>
          <w:lang w:val="en-US"/>
        </w:rPr>
        <w:t xml:space="preserve"> </w:t>
      </w:r>
      <w:r w:rsidR="00E02DA3" w:rsidRPr="00D2561A">
        <w:rPr>
          <w:rFonts w:ascii="Verdana" w:hAnsi="Verdana"/>
          <w:sz w:val="20"/>
          <w:szCs w:val="20"/>
          <w:lang w:val="en-US"/>
        </w:rPr>
        <w:t xml:space="preserve">in the latter, </w:t>
      </w:r>
      <w:r w:rsidRPr="00D2561A">
        <w:rPr>
          <w:rFonts w:ascii="Verdana" w:hAnsi="Verdana"/>
          <w:sz w:val="20"/>
          <w:szCs w:val="20"/>
          <w:lang w:val="en-US"/>
        </w:rPr>
        <w:t xml:space="preserve">if the exercise of the rights established in </w:t>
      </w:r>
      <w:r w:rsidR="00E30D1A" w:rsidRPr="00D2561A">
        <w:rPr>
          <w:rFonts w:ascii="Verdana" w:hAnsi="Verdana"/>
          <w:sz w:val="20"/>
          <w:szCs w:val="20"/>
          <w:lang w:val="en-US"/>
        </w:rPr>
        <w:t>Article</w:t>
      </w:r>
      <w:r w:rsidR="00E9106E" w:rsidRPr="00D2561A">
        <w:rPr>
          <w:rFonts w:ascii="Verdana" w:hAnsi="Verdana"/>
          <w:sz w:val="20"/>
          <w:szCs w:val="20"/>
          <w:lang w:val="en-US"/>
        </w:rPr>
        <w:t xml:space="preserve"> 1</w:t>
      </w:r>
      <w:r w:rsidR="001346BD" w:rsidRPr="00D2561A">
        <w:rPr>
          <w:rFonts w:ascii="Verdana" w:hAnsi="Verdana"/>
          <w:i/>
          <w:iCs/>
          <w:sz w:val="20"/>
          <w:szCs w:val="20"/>
          <w:lang w:val="en-US"/>
        </w:rPr>
        <w:t xml:space="preserve"> </w:t>
      </w:r>
      <w:r w:rsidR="00E30D1A" w:rsidRPr="00D2561A">
        <w:rPr>
          <w:rFonts w:ascii="Verdana" w:hAnsi="Verdana"/>
          <w:sz w:val="20"/>
          <w:szCs w:val="20"/>
          <w:lang w:val="en-US"/>
        </w:rPr>
        <w:t>of the Convention</w:t>
      </w:r>
      <w:r w:rsidR="00E9106E" w:rsidRPr="00D2561A">
        <w:rPr>
          <w:rFonts w:ascii="Verdana" w:hAnsi="Verdana"/>
          <w:sz w:val="20"/>
          <w:szCs w:val="20"/>
          <w:lang w:val="en-US"/>
        </w:rPr>
        <w:t xml:space="preserve"> </w:t>
      </w:r>
      <w:r w:rsidRPr="00D2561A">
        <w:rPr>
          <w:rFonts w:ascii="Verdana" w:hAnsi="Verdana"/>
          <w:sz w:val="20"/>
          <w:szCs w:val="20"/>
          <w:lang w:val="en-US"/>
        </w:rPr>
        <w:t xml:space="preserve">are not </w:t>
      </w:r>
      <w:r w:rsidR="00287898" w:rsidRPr="00D2561A">
        <w:rPr>
          <w:rFonts w:ascii="Verdana" w:hAnsi="Verdana"/>
          <w:sz w:val="20"/>
          <w:szCs w:val="20"/>
          <w:lang w:val="en-US"/>
        </w:rPr>
        <w:t>ensured</w:t>
      </w:r>
      <w:r w:rsidRPr="00D2561A">
        <w:rPr>
          <w:rFonts w:ascii="Verdana" w:hAnsi="Verdana"/>
          <w:sz w:val="20"/>
          <w:szCs w:val="20"/>
          <w:lang w:val="en-US"/>
        </w:rPr>
        <w:t>,</w:t>
      </w:r>
      <w:r w:rsidR="00E9106E" w:rsidRPr="00D2561A">
        <w:rPr>
          <w:rFonts w:ascii="Verdana" w:hAnsi="Verdana"/>
          <w:sz w:val="20"/>
          <w:szCs w:val="20"/>
          <w:vertAlign w:val="superscript"/>
          <w:lang w:val="en-US"/>
        </w:rPr>
        <w:footnoteReference w:id="21"/>
      </w:r>
      <w:r w:rsidR="00E30D1A" w:rsidRPr="00D2561A">
        <w:rPr>
          <w:rFonts w:ascii="Verdana" w:hAnsi="Verdana"/>
          <w:sz w:val="20"/>
          <w:szCs w:val="20"/>
          <w:lang w:val="en-US"/>
        </w:rPr>
        <w:t xml:space="preserve"> and</w:t>
      </w:r>
      <w:r w:rsidRPr="00D2561A">
        <w:rPr>
          <w:rFonts w:ascii="Verdana" w:hAnsi="Verdana"/>
          <w:sz w:val="20"/>
          <w:szCs w:val="20"/>
          <w:lang w:val="en-US"/>
        </w:rPr>
        <w:t>, in th</w:t>
      </w:r>
      <w:r w:rsidR="00596F76" w:rsidRPr="00D2561A">
        <w:rPr>
          <w:rFonts w:ascii="Verdana" w:hAnsi="Verdana"/>
          <w:sz w:val="20"/>
          <w:szCs w:val="20"/>
          <w:lang w:val="en-US"/>
        </w:rPr>
        <w:t xml:space="preserve">e former, </w:t>
      </w:r>
      <w:r w:rsidRPr="00D2561A">
        <w:rPr>
          <w:rFonts w:ascii="Verdana" w:hAnsi="Verdana"/>
          <w:sz w:val="20"/>
          <w:szCs w:val="20"/>
          <w:lang w:val="en-US"/>
        </w:rPr>
        <w:t>measures in order to achieve progressively</w:t>
      </w:r>
      <w:r w:rsidR="00596F76" w:rsidRPr="00D2561A">
        <w:rPr>
          <w:rFonts w:ascii="Verdana" w:hAnsi="Verdana"/>
          <w:sz w:val="20"/>
          <w:szCs w:val="20"/>
          <w:lang w:val="en-US"/>
        </w:rPr>
        <w:t xml:space="preserve"> the full </w:t>
      </w:r>
      <w:r w:rsidR="001A06F0" w:rsidRPr="00D2561A">
        <w:rPr>
          <w:rFonts w:ascii="Verdana" w:hAnsi="Verdana"/>
          <w:sz w:val="20"/>
          <w:szCs w:val="20"/>
          <w:lang w:val="en-US"/>
        </w:rPr>
        <w:t>realization</w:t>
      </w:r>
      <w:r w:rsidR="00596F76" w:rsidRPr="00D2561A">
        <w:rPr>
          <w:rFonts w:ascii="Verdana" w:hAnsi="Verdana"/>
          <w:sz w:val="20"/>
          <w:szCs w:val="20"/>
          <w:lang w:val="en-US"/>
        </w:rPr>
        <w:t xml:space="preserve"> of the rights derived from the OAS norms that it mentions, although the two provisions differ in that the latter conditions compliance with </w:t>
      </w:r>
      <w:r w:rsidR="00E02DA3" w:rsidRPr="00D2561A">
        <w:rPr>
          <w:rFonts w:ascii="Verdana" w:hAnsi="Verdana"/>
          <w:sz w:val="20"/>
          <w:szCs w:val="20"/>
          <w:lang w:val="en-US"/>
        </w:rPr>
        <w:t>its provisions</w:t>
      </w:r>
      <w:r w:rsidR="00596F76" w:rsidRPr="00D2561A">
        <w:rPr>
          <w:rFonts w:ascii="Verdana" w:hAnsi="Verdana"/>
          <w:sz w:val="20"/>
          <w:szCs w:val="20"/>
          <w:lang w:val="en-US"/>
        </w:rPr>
        <w:t xml:space="preserve"> </w:t>
      </w:r>
      <w:r w:rsidR="001346BD" w:rsidRPr="00D2561A">
        <w:rPr>
          <w:rFonts w:ascii="Verdana" w:hAnsi="Verdana"/>
          <w:sz w:val="20"/>
          <w:szCs w:val="20"/>
          <w:lang w:val="en-US"/>
        </w:rPr>
        <w:t>on</w:t>
      </w:r>
      <w:r w:rsidR="00596F76" w:rsidRPr="00D2561A">
        <w:rPr>
          <w:rFonts w:ascii="Verdana" w:hAnsi="Verdana"/>
          <w:sz w:val="20"/>
          <w:szCs w:val="20"/>
          <w:lang w:val="en-US"/>
        </w:rPr>
        <w:t xml:space="preserve"> the availability of the </w:t>
      </w:r>
      <w:r w:rsidR="00287898" w:rsidRPr="00D2561A">
        <w:rPr>
          <w:rFonts w:ascii="Verdana" w:hAnsi="Verdana"/>
          <w:sz w:val="20"/>
          <w:szCs w:val="20"/>
          <w:lang w:val="en-US"/>
        </w:rPr>
        <w:t>necessary</w:t>
      </w:r>
      <w:r w:rsidR="00596F76" w:rsidRPr="00D2561A">
        <w:rPr>
          <w:rFonts w:ascii="Verdana" w:hAnsi="Verdana"/>
          <w:sz w:val="20"/>
          <w:szCs w:val="20"/>
          <w:lang w:val="en-US"/>
        </w:rPr>
        <w:t xml:space="preserve"> resources.</w:t>
      </w:r>
    </w:p>
    <w:p w14:paraId="7973B90B" w14:textId="77777777" w:rsidR="005344DD" w:rsidRPr="00D2561A" w:rsidRDefault="005344DD" w:rsidP="000E0801">
      <w:pPr>
        <w:pStyle w:val="Prrafodelista"/>
        <w:spacing w:line="240" w:lineRule="auto"/>
        <w:ind w:left="-270" w:right="-162"/>
        <w:rPr>
          <w:rFonts w:ascii="Verdana" w:hAnsi="Verdana"/>
          <w:bCs/>
          <w:sz w:val="20"/>
          <w:szCs w:val="20"/>
          <w:lang w:val="en-US"/>
        </w:rPr>
      </w:pPr>
    </w:p>
    <w:p w14:paraId="68A493ED" w14:textId="14BB3FEE" w:rsidR="00B32626" w:rsidRPr="00D2561A" w:rsidRDefault="00581EC2" w:rsidP="00581EC2">
      <w:pPr>
        <w:pStyle w:val="Prrafodelista"/>
        <w:numPr>
          <w:ilvl w:val="0"/>
          <w:numId w:val="5"/>
        </w:numPr>
        <w:autoSpaceDE w:val="0"/>
        <w:autoSpaceDN w:val="0"/>
        <w:adjustRightInd w:val="0"/>
        <w:spacing w:line="240" w:lineRule="auto"/>
        <w:ind w:left="-270" w:right="-162" w:firstLine="0"/>
        <w:rPr>
          <w:rFonts w:ascii="Verdana" w:hAnsi="Verdana" w:cs="Times New Roman"/>
          <w:i/>
          <w:sz w:val="20"/>
          <w:szCs w:val="20"/>
          <w:lang w:val="en-US"/>
        </w:rPr>
      </w:pPr>
      <w:r w:rsidRPr="00D2561A">
        <w:rPr>
          <w:rFonts w:ascii="Verdana" w:hAnsi="Verdana"/>
          <w:bCs/>
          <w:sz w:val="20"/>
          <w:szCs w:val="20"/>
          <w:lang w:val="en-US"/>
        </w:rPr>
        <w:t xml:space="preserve">Bearing in mind the foregoing, it is important to ask ourselves why the States Parties agreed to Article 26 and, therefore, why they </w:t>
      </w:r>
      <w:r w:rsidR="007B4AA1" w:rsidRPr="00D2561A">
        <w:rPr>
          <w:rFonts w:ascii="Verdana" w:hAnsi="Verdana"/>
          <w:bCs/>
          <w:sz w:val="20"/>
          <w:szCs w:val="20"/>
          <w:lang w:val="en-US"/>
        </w:rPr>
        <w:t xml:space="preserve">did </w:t>
      </w:r>
      <w:r w:rsidRPr="00D2561A">
        <w:rPr>
          <w:rFonts w:ascii="Verdana" w:hAnsi="Verdana"/>
          <w:bCs/>
          <w:sz w:val="20"/>
          <w:szCs w:val="20"/>
          <w:lang w:val="en-US"/>
        </w:rPr>
        <w:t xml:space="preserve">not address the rights to which it refers in the same way as the civil and political rights. Based on good faith, the response can only be that the Convention established that both types of human rights, although closely interrelated due to the ideal to which they aspire </w:t>
      </w:r>
      <w:r w:rsidR="00E02DA3" w:rsidRPr="00D2561A">
        <w:rPr>
          <w:rFonts w:ascii="Verdana" w:hAnsi="Verdana"/>
          <w:bCs/>
          <w:sz w:val="20"/>
          <w:szCs w:val="20"/>
          <w:lang w:val="en-US"/>
        </w:rPr>
        <w:t>– which</w:t>
      </w:r>
      <w:r w:rsidRPr="00D2561A">
        <w:rPr>
          <w:rFonts w:ascii="Verdana" w:hAnsi="Verdana"/>
          <w:bCs/>
          <w:sz w:val="20"/>
          <w:szCs w:val="20"/>
          <w:lang w:val="en-US"/>
        </w:rPr>
        <w:t>, according to its Preamble, is to create the conditions that allow their “enjoyment”</w:t>
      </w:r>
      <w:r w:rsidR="00E9106E" w:rsidRPr="00D2561A">
        <w:rPr>
          <w:rFonts w:ascii="Verdana" w:hAnsi="Verdana"/>
          <w:sz w:val="20"/>
          <w:szCs w:val="20"/>
          <w:vertAlign w:val="superscript"/>
          <w:lang w:val="en-US"/>
        </w:rPr>
        <w:footnoteReference w:id="22"/>
      </w:r>
      <w:r w:rsidRPr="00D2561A">
        <w:rPr>
          <w:rFonts w:ascii="Verdana" w:hAnsi="Verdana"/>
          <w:sz w:val="20"/>
          <w:szCs w:val="20"/>
          <w:lang w:val="en-US"/>
        </w:rPr>
        <w:t xml:space="preserve"> </w:t>
      </w:r>
      <w:r w:rsidR="00E02DA3" w:rsidRPr="00D2561A">
        <w:rPr>
          <w:rFonts w:ascii="Verdana" w:hAnsi="Verdana"/>
          <w:bCs/>
          <w:sz w:val="20"/>
          <w:szCs w:val="20"/>
          <w:lang w:val="en-US"/>
        </w:rPr>
        <w:t xml:space="preserve">– </w:t>
      </w:r>
      <w:r w:rsidRPr="00D2561A">
        <w:rPr>
          <w:rFonts w:ascii="Verdana" w:hAnsi="Verdana"/>
          <w:sz w:val="20"/>
          <w:szCs w:val="20"/>
          <w:lang w:val="en-US"/>
        </w:rPr>
        <w:t>are, however, different and, particularly, unequally developed in the sphere of public international law, so that they should be treated differently, which is precisely what the Convention does as also indicated in its Preamble.</w:t>
      </w:r>
      <w:r w:rsidR="00E9106E" w:rsidRPr="00D2561A">
        <w:rPr>
          <w:rFonts w:ascii="Verdana" w:hAnsi="Verdana"/>
          <w:sz w:val="20"/>
          <w:szCs w:val="20"/>
          <w:vertAlign w:val="superscript"/>
          <w:lang w:val="en-US"/>
        </w:rPr>
        <w:footnoteReference w:id="23"/>
      </w:r>
    </w:p>
    <w:p w14:paraId="0CCBD74C" w14:textId="77777777" w:rsidR="00B32626" w:rsidRPr="00D2561A" w:rsidRDefault="00B32626" w:rsidP="000E0801">
      <w:pPr>
        <w:pStyle w:val="Prrafodelista"/>
        <w:spacing w:line="240" w:lineRule="auto"/>
        <w:ind w:left="-270" w:right="-162"/>
        <w:rPr>
          <w:rFonts w:ascii="Verdana" w:eastAsia="Batang" w:hAnsi="Verdana"/>
          <w:iCs/>
          <w:sz w:val="20"/>
          <w:szCs w:val="20"/>
          <w:lang w:val="en-US"/>
        </w:rPr>
      </w:pPr>
    </w:p>
    <w:p w14:paraId="02EB95B0" w14:textId="6094543F" w:rsidR="00581EC2" w:rsidRPr="00D2561A" w:rsidRDefault="00581EC2" w:rsidP="000E0801">
      <w:pPr>
        <w:pStyle w:val="Prrafodelista"/>
        <w:numPr>
          <w:ilvl w:val="0"/>
          <w:numId w:val="5"/>
        </w:numPr>
        <w:autoSpaceDE w:val="0"/>
        <w:autoSpaceDN w:val="0"/>
        <w:adjustRightInd w:val="0"/>
        <w:spacing w:line="240" w:lineRule="auto"/>
        <w:ind w:left="-270" w:right="-162" w:firstLine="0"/>
        <w:rPr>
          <w:rFonts w:ascii="Verdana" w:hAnsi="Verdana" w:cs="Times New Roman"/>
          <w:i/>
          <w:sz w:val="20"/>
          <w:szCs w:val="20"/>
          <w:lang w:val="en-US"/>
        </w:rPr>
      </w:pPr>
      <w:r w:rsidRPr="00D2561A">
        <w:rPr>
          <w:rFonts w:ascii="Verdana" w:eastAsia="Batang" w:hAnsi="Verdana"/>
          <w:iCs/>
          <w:sz w:val="20"/>
          <w:szCs w:val="20"/>
          <w:lang w:val="en-US"/>
        </w:rPr>
        <w:t>Consequently, and pursuant to the principle of good faith, it is necessary to underline that, it cannot be understood</w:t>
      </w:r>
      <w:r w:rsidR="007B4AA1" w:rsidRPr="00D2561A">
        <w:rPr>
          <w:rFonts w:ascii="Verdana" w:eastAsia="Batang" w:hAnsi="Verdana"/>
          <w:iCs/>
          <w:sz w:val="20"/>
          <w:szCs w:val="20"/>
          <w:lang w:val="en-US"/>
        </w:rPr>
        <w:t xml:space="preserve"> – as</w:t>
      </w:r>
      <w:r w:rsidRPr="00D2561A">
        <w:rPr>
          <w:rFonts w:ascii="Verdana" w:eastAsia="Batang" w:hAnsi="Verdana"/>
          <w:iCs/>
          <w:sz w:val="20"/>
          <w:szCs w:val="20"/>
          <w:lang w:val="en-US"/>
        </w:rPr>
        <w:t xml:space="preserve"> the judgment does</w:t>
      </w:r>
      <w:r w:rsidR="007B4AA1" w:rsidRPr="00D2561A">
        <w:rPr>
          <w:rFonts w:ascii="Verdana" w:eastAsia="Batang" w:hAnsi="Verdana"/>
          <w:iCs/>
          <w:sz w:val="20"/>
          <w:szCs w:val="20"/>
          <w:lang w:val="en-US"/>
        </w:rPr>
        <w:t xml:space="preserve"> –</w:t>
      </w:r>
      <w:r w:rsidRPr="00D2561A">
        <w:rPr>
          <w:rFonts w:ascii="Verdana" w:eastAsia="Batang" w:hAnsi="Verdana"/>
          <w:iCs/>
          <w:sz w:val="20"/>
          <w:szCs w:val="20"/>
          <w:lang w:val="en-US"/>
        </w:rPr>
        <w:t xml:space="preserve"> that the practical effect of Article 26 is that the violation of the rights to which it refers are justiciable before the Court </w:t>
      </w:r>
      <w:r w:rsidR="00E02DA3" w:rsidRPr="00D2561A">
        <w:rPr>
          <w:rFonts w:ascii="Verdana" w:eastAsia="Batang" w:hAnsi="Verdana"/>
          <w:iCs/>
          <w:sz w:val="20"/>
          <w:szCs w:val="20"/>
          <w:lang w:val="en-US"/>
        </w:rPr>
        <w:t>based on</w:t>
      </w:r>
      <w:r w:rsidRPr="00D2561A">
        <w:rPr>
          <w:rFonts w:ascii="Verdana" w:eastAsia="Batang" w:hAnsi="Verdana"/>
          <w:iCs/>
          <w:sz w:val="20"/>
          <w:szCs w:val="20"/>
          <w:lang w:val="en-US"/>
        </w:rPr>
        <w:t xml:space="preserve"> the fact that the Preamble to the Convention states that individuals should enjoy their economic, social and cultural rights, as well as their civil and political rights;</w:t>
      </w:r>
      <w:r w:rsidR="00E02DA3" w:rsidRPr="00D2561A">
        <w:rPr>
          <w:rFonts w:ascii="Verdana" w:eastAsia="Batang" w:hAnsi="Verdana"/>
          <w:iCs/>
          <w:sz w:val="20"/>
          <w:szCs w:val="20"/>
          <w:lang w:val="en-US"/>
        </w:rPr>
        <w:t xml:space="preserve"> but </w:t>
      </w:r>
      <w:r w:rsidRPr="00D2561A">
        <w:rPr>
          <w:rFonts w:ascii="Verdana" w:eastAsia="Batang" w:hAnsi="Verdana"/>
          <w:iCs/>
          <w:sz w:val="20"/>
          <w:szCs w:val="20"/>
          <w:lang w:val="en-US"/>
        </w:rPr>
        <w:t>rather that the States should take the pertinent steps to make those rights progressively effective.</w:t>
      </w:r>
    </w:p>
    <w:p w14:paraId="2E4445A2" w14:textId="77777777" w:rsidR="00B32626" w:rsidRPr="00D2561A" w:rsidRDefault="00B32626" w:rsidP="000E0801">
      <w:pPr>
        <w:spacing w:line="240" w:lineRule="auto"/>
        <w:ind w:left="-270" w:right="-162"/>
        <w:rPr>
          <w:rFonts w:ascii="Verdana" w:hAnsi="Verdana"/>
          <w:sz w:val="20"/>
          <w:szCs w:val="20"/>
          <w:lang w:val="en-US"/>
        </w:rPr>
      </w:pPr>
    </w:p>
    <w:p w14:paraId="6DA96577" w14:textId="3570D8EB" w:rsidR="00581EC2" w:rsidRPr="00D2561A" w:rsidRDefault="00581EC2"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Furthermore, it is essential to note that it is surprising</w:t>
      </w:r>
      <w:r w:rsidR="00C60C3D" w:rsidRPr="00D2561A">
        <w:rPr>
          <w:rFonts w:ascii="Verdana" w:hAnsi="Verdana"/>
          <w:sz w:val="20"/>
          <w:szCs w:val="20"/>
          <w:lang w:val="en-US"/>
        </w:rPr>
        <w:t xml:space="preserve"> that the judgment has not referred anywhere to good faith as an element that is as essential as the other</w:t>
      </w:r>
      <w:r w:rsidR="007B4AA1" w:rsidRPr="00D2561A">
        <w:rPr>
          <w:rFonts w:ascii="Verdana" w:hAnsi="Verdana"/>
          <w:sz w:val="20"/>
          <w:szCs w:val="20"/>
          <w:lang w:val="en-US"/>
        </w:rPr>
        <w:t xml:space="preserve"> elements</w:t>
      </w:r>
      <w:r w:rsidR="00C60C3D" w:rsidRPr="00D2561A">
        <w:rPr>
          <w:rFonts w:ascii="Verdana" w:hAnsi="Verdana"/>
          <w:sz w:val="20"/>
          <w:szCs w:val="20"/>
          <w:lang w:val="en-US"/>
        </w:rPr>
        <w:t xml:space="preserve"> established in Art. 31(1) of the Vienna Convention for the interpretation of treaties, all of which should be employed simultaneously and harmoniously without </w:t>
      </w:r>
      <w:r w:rsidR="007B4AA1" w:rsidRPr="00D2561A">
        <w:rPr>
          <w:rFonts w:ascii="Verdana" w:hAnsi="Verdana"/>
          <w:sz w:val="20"/>
          <w:szCs w:val="20"/>
          <w:lang w:val="en-US"/>
        </w:rPr>
        <w:t>preferring</w:t>
      </w:r>
      <w:r w:rsidR="00C60C3D" w:rsidRPr="00D2561A">
        <w:rPr>
          <w:rFonts w:ascii="Verdana" w:hAnsi="Verdana"/>
          <w:sz w:val="20"/>
          <w:szCs w:val="20"/>
          <w:lang w:val="en-US"/>
        </w:rPr>
        <w:t xml:space="preserve"> or downplaying one or other. Similarly, it is also strange that it does not provide any explanation of the inclusion of Article 26 in a different chapter to the political and civil rights and, in particular, the reason and the practical effect. The judgment provides no answer with regard to the reason for the existence of Article 26 as a provisions that differs from those established for the civil and political rights.</w:t>
      </w:r>
    </w:p>
    <w:p w14:paraId="35A8D757" w14:textId="77777777" w:rsidR="00B32626" w:rsidRPr="00D2561A" w:rsidRDefault="00B32626" w:rsidP="000E0801">
      <w:pPr>
        <w:pStyle w:val="Prrafodelista"/>
        <w:spacing w:line="240" w:lineRule="auto"/>
        <w:ind w:left="-270" w:right="-162"/>
        <w:rPr>
          <w:rFonts w:ascii="Verdana" w:hAnsi="Verdana"/>
          <w:sz w:val="20"/>
          <w:szCs w:val="20"/>
          <w:lang w:val="en-US"/>
        </w:rPr>
      </w:pPr>
    </w:p>
    <w:p w14:paraId="2EA02A92" w14:textId="0A1E3259" w:rsidR="00C60C3D" w:rsidRPr="00D2561A" w:rsidRDefault="00C60C3D"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In short, good faith leads to considering Article 26 on its own merits, which means that it should be interpreted not as recognizing rights that it does not list or develop, as the judgment does, but rather </w:t>
      </w:r>
      <w:r w:rsidR="007B4AA1" w:rsidRPr="00D2561A">
        <w:rPr>
          <w:rFonts w:ascii="Verdana" w:hAnsi="Verdana"/>
          <w:sz w:val="20"/>
          <w:szCs w:val="20"/>
          <w:lang w:val="en-US"/>
        </w:rPr>
        <w:t>as a</w:t>
      </w:r>
      <w:r w:rsidRPr="00D2561A">
        <w:rPr>
          <w:rFonts w:ascii="Verdana" w:hAnsi="Verdana"/>
          <w:sz w:val="20"/>
          <w:szCs w:val="20"/>
          <w:lang w:val="en-US"/>
        </w:rPr>
        <w:t xml:space="preserve"> referral</w:t>
      </w:r>
      <w:r w:rsidR="007B4AA1" w:rsidRPr="00D2561A">
        <w:rPr>
          <w:rFonts w:ascii="Verdana" w:hAnsi="Verdana"/>
          <w:sz w:val="20"/>
          <w:szCs w:val="20"/>
          <w:lang w:val="en-US"/>
        </w:rPr>
        <w:t xml:space="preserve"> – in order </w:t>
      </w:r>
      <w:r w:rsidRPr="00D2561A">
        <w:rPr>
          <w:rFonts w:ascii="Verdana" w:hAnsi="Verdana"/>
          <w:sz w:val="20"/>
          <w:szCs w:val="20"/>
          <w:lang w:val="en-US"/>
        </w:rPr>
        <w:t>to understand them</w:t>
      </w:r>
      <w:r w:rsidR="007B4AA1" w:rsidRPr="00D2561A">
        <w:rPr>
          <w:rFonts w:ascii="Verdana" w:hAnsi="Verdana"/>
          <w:sz w:val="20"/>
          <w:szCs w:val="20"/>
          <w:lang w:val="en-US"/>
        </w:rPr>
        <w:t xml:space="preserve"> – to</w:t>
      </w:r>
      <w:r w:rsidRPr="00D2561A">
        <w:rPr>
          <w:rFonts w:ascii="Verdana" w:hAnsi="Verdana"/>
          <w:sz w:val="20"/>
          <w:szCs w:val="20"/>
          <w:lang w:val="en-US"/>
        </w:rPr>
        <w:t xml:space="preserve"> norms other than those of the Convention, such as the norms of the OAS Charter</w:t>
      </w:r>
      <w:r w:rsidR="007B4AA1" w:rsidRPr="00D2561A">
        <w:rPr>
          <w:rFonts w:ascii="Verdana" w:hAnsi="Verdana"/>
          <w:sz w:val="20"/>
          <w:szCs w:val="20"/>
          <w:lang w:val="en-US"/>
        </w:rPr>
        <w:t>.</w:t>
      </w:r>
      <w:r w:rsidRPr="00D2561A">
        <w:rPr>
          <w:rFonts w:ascii="Verdana" w:hAnsi="Verdana"/>
          <w:sz w:val="20"/>
          <w:szCs w:val="20"/>
          <w:lang w:val="en-US"/>
        </w:rPr>
        <w:t xml:space="preserve"> </w:t>
      </w:r>
      <w:r w:rsidR="007B4AA1" w:rsidRPr="00D2561A">
        <w:rPr>
          <w:rFonts w:ascii="Verdana" w:hAnsi="Verdana"/>
          <w:sz w:val="20"/>
          <w:szCs w:val="20"/>
          <w:lang w:val="en-US"/>
        </w:rPr>
        <w:t>C</w:t>
      </w:r>
      <w:r w:rsidRPr="00D2561A">
        <w:rPr>
          <w:rFonts w:ascii="Verdana" w:hAnsi="Verdana"/>
          <w:sz w:val="20"/>
          <w:szCs w:val="20"/>
          <w:lang w:val="en-US"/>
        </w:rPr>
        <w:t>onsequently, the specific practical effect is, I reiterate, that the States Parties to the Convention should take steps to make the rights that are derived from those norms effective progressively, and this in accordance with available resources.</w:t>
      </w:r>
    </w:p>
    <w:p w14:paraId="14971F79" w14:textId="11DEF470" w:rsidR="00E9106E" w:rsidRPr="00D2561A" w:rsidRDefault="00E9106E" w:rsidP="00C60C3D">
      <w:pPr>
        <w:spacing w:line="240" w:lineRule="auto"/>
        <w:ind w:left="0" w:right="-162"/>
        <w:rPr>
          <w:rFonts w:ascii="Verdana" w:hAnsi="Verdana"/>
          <w:sz w:val="20"/>
          <w:szCs w:val="20"/>
          <w:lang w:val="en-US"/>
        </w:rPr>
      </w:pPr>
    </w:p>
    <w:p w14:paraId="315434B2" w14:textId="4B4E269C" w:rsidR="008313AC" w:rsidRPr="00D2561A" w:rsidRDefault="00C60C3D" w:rsidP="000E0801">
      <w:pPr>
        <w:pStyle w:val="Prrafodelista"/>
        <w:numPr>
          <w:ilvl w:val="0"/>
          <w:numId w:val="14"/>
        </w:numPr>
        <w:spacing w:line="240" w:lineRule="auto"/>
        <w:ind w:left="-270" w:right="-162" w:firstLine="0"/>
        <w:rPr>
          <w:rFonts w:ascii="Verdana" w:hAnsi="Verdana"/>
          <w:b/>
          <w:bCs/>
          <w:sz w:val="20"/>
          <w:szCs w:val="20"/>
          <w:lang w:val="en-US"/>
        </w:rPr>
      </w:pPr>
      <w:r w:rsidRPr="00D2561A">
        <w:rPr>
          <w:rFonts w:ascii="Verdana" w:hAnsi="Verdana"/>
          <w:b/>
          <w:bCs/>
          <w:sz w:val="20"/>
          <w:szCs w:val="20"/>
          <w:lang w:val="en-US"/>
        </w:rPr>
        <w:t>Ordinary</w:t>
      </w:r>
      <w:r w:rsidR="00B41E05" w:rsidRPr="00D2561A">
        <w:rPr>
          <w:rFonts w:ascii="Verdana" w:hAnsi="Verdana"/>
          <w:b/>
          <w:bCs/>
          <w:sz w:val="20"/>
          <w:szCs w:val="20"/>
          <w:lang w:val="en-US"/>
        </w:rPr>
        <w:t xml:space="preserve"> meaning</w:t>
      </w:r>
    </w:p>
    <w:p w14:paraId="5B93F632" w14:textId="77777777" w:rsidR="008313AC" w:rsidRPr="00D2561A" w:rsidRDefault="008313AC" w:rsidP="000E0801">
      <w:pPr>
        <w:pStyle w:val="Prrafodelista"/>
        <w:spacing w:line="240" w:lineRule="auto"/>
        <w:ind w:left="-270" w:right="-162"/>
        <w:rPr>
          <w:rFonts w:ascii="Verdana" w:hAnsi="Verdana"/>
          <w:b/>
          <w:bCs/>
          <w:sz w:val="20"/>
          <w:szCs w:val="20"/>
          <w:lang w:val="en-US"/>
        </w:rPr>
      </w:pPr>
    </w:p>
    <w:p w14:paraId="584F9B78" w14:textId="375B2995" w:rsidR="00EB0985" w:rsidRPr="00D2561A" w:rsidRDefault="00C60C3D"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When interpreting</w:t>
      </w:r>
      <w:r w:rsidR="00E9106E" w:rsidRPr="00D2561A">
        <w:rPr>
          <w:rFonts w:ascii="Verdana" w:hAnsi="Verdana"/>
          <w:sz w:val="20"/>
          <w:szCs w:val="20"/>
          <w:lang w:val="en-US"/>
        </w:rPr>
        <w:t xml:space="preserve"> </w:t>
      </w:r>
      <w:r w:rsidR="00E30D1A" w:rsidRPr="00D2561A">
        <w:rPr>
          <w:rFonts w:ascii="Verdana" w:hAnsi="Verdana"/>
          <w:sz w:val="20"/>
          <w:szCs w:val="20"/>
          <w:lang w:val="en-US"/>
        </w:rPr>
        <w:t>Article</w:t>
      </w:r>
      <w:r w:rsidR="00E9106E" w:rsidRPr="00D2561A">
        <w:rPr>
          <w:rFonts w:ascii="Verdana" w:hAnsi="Verdana"/>
          <w:sz w:val="20"/>
          <w:szCs w:val="20"/>
          <w:lang w:val="en-US"/>
        </w:rPr>
        <w:t xml:space="preserve"> 26 </w:t>
      </w:r>
      <w:r w:rsidRPr="00D2561A">
        <w:rPr>
          <w:rFonts w:ascii="Verdana" w:hAnsi="Verdana"/>
          <w:sz w:val="20"/>
          <w:szCs w:val="20"/>
          <w:lang w:val="en-US"/>
        </w:rPr>
        <w:t>in light of its ordinary or literal meaning, it can be concluded that this article:</w:t>
      </w:r>
    </w:p>
    <w:p w14:paraId="010C3AC4" w14:textId="77777777" w:rsidR="00EB0985" w:rsidRPr="00D2561A" w:rsidRDefault="00EB0985" w:rsidP="000E0801">
      <w:pPr>
        <w:pStyle w:val="Prrafodelista"/>
        <w:spacing w:line="240" w:lineRule="auto"/>
        <w:ind w:left="-270" w:right="-162"/>
        <w:rPr>
          <w:rFonts w:ascii="Verdana" w:eastAsia="Batang" w:hAnsi="Verdana"/>
          <w:sz w:val="20"/>
          <w:szCs w:val="20"/>
          <w:lang w:val="en-US"/>
        </w:rPr>
      </w:pPr>
    </w:p>
    <w:p w14:paraId="0B340F47" w14:textId="4F8F991D" w:rsidR="002E1B45" w:rsidRPr="00D2561A" w:rsidRDefault="00C60C3D" w:rsidP="000E0801">
      <w:pPr>
        <w:pStyle w:val="Prrafodelista"/>
        <w:numPr>
          <w:ilvl w:val="0"/>
          <w:numId w:val="23"/>
        </w:numPr>
        <w:spacing w:line="240" w:lineRule="auto"/>
        <w:ind w:left="270" w:right="-162" w:hanging="270"/>
        <w:rPr>
          <w:rFonts w:ascii="Verdana" w:hAnsi="Verdana"/>
          <w:sz w:val="20"/>
          <w:szCs w:val="20"/>
          <w:lang w:val="en-US"/>
        </w:rPr>
      </w:pPr>
      <w:r w:rsidRPr="00D2561A">
        <w:rPr>
          <w:rFonts w:ascii="Verdana" w:eastAsia="Batang" w:hAnsi="Verdana"/>
          <w:sz w:val="20"/>
          <w:szCs w:val="20"/>
          <w:lang w:val="en-US"/>
        </w:rPr>
        <w:t xml:space="preserve">Is the only provision in </w:t>
      </w:r>
      <w:r w:rsidR="00D5153E" w:rsidRPr="00D2561A">
        <w:rPr>
          <w:rFonts w:ascii="Verdana" w:eastAsia="Batang" w:hAnsi="Verdana"/>
          <w:sz w:val="20"/>
          <w:szCs w:val="20"/>
          <w:lang w:val="en-US"/>
        </w:rPr>
        <w:t>Chapter</w:t>
      </w:r>
      <w:r w:rsidR="00EB0985" w:rsidRPr="00D2561A">
        <w:rPr>
          <w:rFonts w:ascii="Verdana" w:eastAsia="Batang" w:hAnsi="Verdana"/>
          <w:sz w:val="20"/>
          <w:szCs w:val="20"/>
          <w:lang w:val="en-US"/>
        </w:rPr>
        <w:t xml:space="preserve"> III </w:t>
      </w:r>
      <w:r w:rsidRPr="00D2561A">
        <w:rPr>
          <w:rFonts w:ascii="Verdana" w:eastAsia="Batang" w:hAnsi="Verdana"/>
          <w:sz w:val="20"/>
          <w:szCs w:val="20"/>
          <w:lang w:val="en-US"/>
        </w:rPr>
        <w:t>entitled</w:t>
      </w:r>
      <w:r w:rsidR="00EB0985" w:rsidRPr="00D2561A">
        <w:rPr>
          <w:rFonts w:ascii="Verdana" w:eastAsia="Batang" w:hAnsi="Verdana"/>
          <w:sz w:val="20"/>
          <w:szCs w:val="20"/>
          <w:lang w:val="en-US"/>
        </w:rPr>
        <w:t xml:space="preserve"> “</w:t>
      </w:r>
      <w:r w:rsidR="00306F66" w:rsidRPr="00D2561A">
        <w:rPr>
          <w:rFonts w:ascii="Verdana" w:eastAsia="Batang" w:hAnsi="Verdana"/>
          <w:sz w:val="20"/>
          <w:szCs w:val="20"/>
          <w:lang w:val="en-US"/>
        </w:rPr>
        <w:t>Economic, Social and Cultural Rights,</w:t>
      </w:r>
      <w:r w:rsidR="00EB0985" w:rsidRPr="00D2561A">
        <w:rPr>
          <w:rFonts w:ascii="Verdana" w:eastAsia="Batang" w:hAnsi="Verdana"/>
          <w:sz w:val="20"/>
          <w:szCs w:val="20"/>
          <w:lang w:val="en-US"/>
        </w:rPr>
        <w:t>”</w:t>
      </w:r>
      <w:r w:rsidR="00EB0985" w:rsidRPr="00D2561A">
        <w:rPr>
          <w:rFonts w:ascii="Verdana" w:hAnsi="Verdana"/>
          <w:sz w:val="20"/>
          <w:szCs w:val="20"/>
          <w:vertAlign w:val="superscript"/>
          <w:lang w:val="en-US"/>
        </w:rPr>
        <w:footnoteReference w:id="24"/>
      </w:r>
      <w:r w:rsidR="00306F66" w:rsidRPr="00D2561A">
        <w:rPr>
          <w:rFonts w:ascii="Verdana" w:eastAsia="Batang" w:hAnsi="Verdana"/>
          <w:sz w:val="20"/>
          <w:szCs w:val="20"/>
          <w:lang w:val="en-US"/>
        </w:rPr>
        <w:t xml:space="preserve"> of </w:t>
      </w:r>
      <w:r w:rsidR="00EB0985" w:rsidRPr="00D2561A">
        <w:rPr>
          <w:rFonts w:ascii="Verdana" w:eastAsia="Batang" w:hAnsi="Verdana"/>
          <w:sz w:val="20"/>
          <w:szCs w:val="20"/>
          <w:lang w:val="en-US"/>
        </w:rPr>
        <w:t xml:space="preserve"> Part I, </w:t>
      </w:r>
      <w:r w:rsidR="00306F66" w:rsidRPr="00D2561A">
        <w:rPr>
          <w:rFonts w:ascii="Verdana" w:eastAsia="Batang" w:hAnsi="Verdana"/>
          <w:sz w:val="20"/>
          <w:szCs w:val="20"/>
          <w:lang w:val="en-US"/>
        </w:rPr>
        <w:t>entitled</w:t>
      </w:r>
      <w:r w:rsidR="00EB0985" w:rsidRPr="00D2561A">
        <w:rPr>
          <w:rFonts w:ascii="Verdana" w:eastAsia="Batang" w:hAnsi="Verdana"/>
          <w:sz w:val="20"/>
          <w:szCs w:val="20"/>
          <w:lang w:val="en-US"/>
        </w:rPr>
        <w:t xml:space="preserve"> “</w:t>
      </w:r>
      <w:r w:rsidR="00306F66" w:rsidRPr="00D2561A">
        <w:rPr>
          <w:rFonts w:ascii="Verdana" w:eastAsia="Batang" w:hAnsi="Verdana"/>
          <w:sz w:val="20"/>
          <w:szCs w:val="20"/>
          <w:lang w:val="en-US"/>
        </w:rPr>
        <w:t>State Obligations and Right Protected,” which includes</w:t>
      </w:r>
      <w:r w:rsidR="00EB0985" w:rsidRPr="00D2561A">
        <w:rPr>
          <w:rFonts w:ascii="Verdana" w:eastAsia="Batang" w:hAnsi="Verdana"/>
          <w:sz w:val="20"/>
          <w:szCs w:val="20"/>
          <w:lang w:val="en-US"/>
        </w:rPr>
        <w:t xml:space="preserve"> </w:t>
      </w:r>
      <w:r w:rsidR="00D5153E" w:rsidRPr="00D2561A">
        <w:rPr>
          <w:rFonts w:ascii="Verdana" w:eastAsia="Batang" w:hAnsi="Verdana"/>
          <w:sz w:val="20"/>
          <w:szCs w:val="20"/>
          <w:lang w:val="en-US"/>
        </w:rPr>
        <w:t>Chapter</w:t>
      </w:r>
      <w:r w:rsidR="00EB0985" w:rsidRPr="00D2561A">
        <w:rPr>
          <w:rFonts w:ascii="Verdana" w:eastAsia="Batang" w:hAnsi="Verdana"/>
          <w:sz w:val="20"/>
          <w:szCs w:val="20"/>
          <w:lang w:val="en-US"/>
        </w:rPr>
        <w:t xml:space="preserve"> I </w:t>
      </w:r>
      <w:r w:rsidR="00306F66" w:rsidRPr="00D2561A">
        <w:rPr>
          <w:rFonts w:ascii="Verdana" w:eastAsia="Batang" w:hAnsi="Verdana"/>
          <w:sz w:val="20"/>
          <w:szCs w:val="20"/>
          <w:lang w:val="en-US"/>
        </w:rPr>
        <w:t>“General Obligations” and</w:t>
      </w:r>
      <w:r w:rsidR="00EB0985" w:rsidRPr="00D2561A">
        <w:rPr>
          <w:rFonts w:ascii="Verdana" w:eastAsia="Batang" w:hAnsi="Verdana"/>
          <w:sz w:val="20"/>
          <w:szCs w:val="20"/>
          <w:lang w:val="en-US"/>
        </w:rPr>
        <w:t xml:space="preserve"> </w:t>
      </w:r>
      <w:r w:rsidR="00D5153E" w:rsidRPr="00D2561A">
        <w:rPr>
          <w:rFonts w:ascii="Verdana" w:eastAsia="Batang" w:hAnsi="Verdana"/>
          <w:sz w:val="20"/>
          <w:szCs w:val="20"/>
          <w:lang w:val="en-US"/>
        </w:rPr>
        <w:t>Chapter</w:t>
      </w:r>
      <w:r w:rsidR="00EB0985" w:rsidRPr="00D2561A">
        <w:rPr>
          <w:rFonts w:ascii="Verdana" w:eastAsia="Batang" w:hAnsi="Verdana"/>
          <w:sz w:val="20"/>
          <w:szCs w:val="20"/>
          <w:lang w:val="en-US"/>
        </w:rPr>
        <w:t xml:space="preserve"> II “</w:t>
      </w:r>
      <w:r w:rsidR="00306F66" w:rsidRPr="00D2561A">
        <w:rPr>
          <w:rFonts w:ascii="Verdana" w:eastAsia="Batang" w:hAnsi="Verdana"/>
          <w:sz w:val="20"/>
          <w:szCs w:val="20"/>
          <w:lang w:val="en-US"/>
        </w:rPr>
        <w:t>Civil and Political Rights”; consequently, this means that the Convention itself makes a clear distinction between the civil and political rights and the economic, social and cultural rights, giving each of these categories of rights special and different consideration</w:t>
      </w:r>
      <w:r w:rsidR="008313AC" w:rsidRPr="00D2561A">
        <w:rPr>
          <w:rFonts w:ascii="Verdana" w:eastAsia="Batang" w:hAnsi="Verdana"/>
          <w:sz w:val="20"/>
          <w:szCs w:val="20"/>
          <w:lang w:val="en-US"/>
        </w:rPr>
        <w:t>;</w:t>
      </w:r>
    </w:p>
    <w:p w14:paraId="585FA8DB" w14:textId="77777777" w:rsidR="002E1B45" w:rsidRPr="00D2561A" w:rsidRDefault="002E1B45" w:rsidP="000E0801">
      <w:pPr>
        <w:pStyle w:val="Prrafodelista"/>
        <w:spacing w:line="240" w:lineRule="auto"/>
        <w:ind w:left="270" w:right="-162" w:hanging="270"/>
        <w:rPr>
          <w:rFonts w:ascii="Verdana" w:hAnsi="Verdana"/>
          <w:sz w:val="20"/>
          <w:szCs w:val="20"/>
          <w:lang w:val="en-US"/>
        </w:rPr>
      </w:pPr>
    </w:p>
    <w:p w14:paraId="476B2237" w14:textId="52F1BD8F" w:rsidR="00306F66" w:rsidRPr="00D2561A" w:rsidRDefault="00306F66" w:rsidP="000E0801">
      <w:pPr>
        <w:pStyle w:val="Prrafodelista"/>
        <w:numPr>
          <w:ilvl w:val="0"/>
          <w:numId w:val="23"/>
        </w:numPr>
        <w:spacing w:line="240" w:lineRule="auto"/>
        <w:ind w:left="270" w:right="-162" w:hanging="270"/>
        <w:rPr>
          <w:rFonts w:ascii="Verdana" w:hAnsi="Verdana"/>
          <w:sz w:val="20"/>
          <w:szCs w:val="20"/>
          <w:lang w:val="en-US"/>
        </w:rPr>
      </w:pPr>
      <w:r w:rsidRPr="00D2561A">
        <w:rPr>
          <w:rFonts w:ascii="Verdana" w:eastAsia="Batang" w:hAnsi="Verdana"/>
          <w:sz w:val="20"/>
          <w:szCs w:val="20"/>
          <w:lang w:val="en-US"/>
        </w:rPr>
        <w:t>Does not list or describe or specify the rights to which it alludes; it merely identifies them as “derived</w:t>
      </w:r>
      <w:r w:rsidRPr="00D2561A">
        <w:rPr>
          <w:rFonts w:ascii="Verdana" w:hAnsi="Verdana"/>
          <w:sz w:val="20"/>
          <w:szCs w:val="20"/>
          <w:vertAlign w:val="superscript"/>
          <w:lang w:val="en-US"/>
        </w:rPr>
        <w:footnoteReference w:id="25"/>
      </w:r>
      <w:r w:rsidRPr="00D2561A">
        <w:rPr>
          <w:rFonts w:ascii="Verdana" w:eastAsia="Batang" w:hAnsi="Verdana"/>
          <w:sz w:val="20"/>
          <w:szCs w:val="20"/>
          <w:lang w:val="en-US"/>
        </w:rPr>
        <w:t xml:space="preserve"> from the</w:t>
      </w:r>
      <w:r w:rsidRPr="00D2561A">
        <w:rPr>
          <w:rFonts w:ascii="Verdana" w:hAnsi="Verdana"/>
          <w:sz w:val="20"/>
          <w:szCs w:val="20"/>
          <w:lang w:val="en-US"/>
        </w:rPr>
        <w:t xml:space="preserve"> economic, social, educational, scientific and cultural standards set forth in the Charter of the Organization of American States; in other words, rights that are revealed or may be inferred</w:t>
      </w:r>
      <w:r w:rsidRPr="00D2561A">
        <w:rPr>
          <w:rFonts w:ascii="Verdana" w:hAnsi="Verdana"/>
          <w:sz w:val="20"/>
          <w:szCs w:val="20"/>
          <w:vertAlign w:val="superscript"/>
          <w:lang w:val="en-US"/>
        </w:rPr>
        <w:footnoteReference w:id="26"/>
      </w:r>
      <w:r w:rsidRPr="00D2561A">
        <w:rPr>
          <w:rFonts w:ascii="Verdana" w:hAnsi="Verdana"/>
          <w:sz w:val="20"/>
          <w:szCs w:val="20"/>
          <w:lang w:val="en-US"/>
        </w:rPr>
        <w:t xml:space="preserve"> from the latter’s provisions;</w:t>
      </w:r>
    </w:p>
    <w:p w14:paraId="0C47B79F" w14:textId="77777777" w:rsidR="002E1B45" w:rsidRPr="00D2561A" w:rsidRDefault="002E1B45" w:rsidP="00306F66">
      <w:pPr>
        <w:spacing w:line="240" w:lineRule="auto"/>
        <w:ind w:left="0" w:right="-162"/>
        <w:rPr>
          <w:rFonts w:ascii="Verdana" w:eastAsia="Batang" w:hAnsi="Verdana"/>
          <w:sz w:val="20"/>
          <w:szCs w:val="20"/>
          <w:lang w:val="en-US"/>
        </w:rPr>
      </w:pPr>
    </w:p>
    <w:p w14:paraId="025D7BF0" w14:textId="11289049" w:rsidR="00306F66" w:rsidRPr="00D2561A" w:rsidRDefault="00306F66" w:rsidP="000E0801">
      <w:pPr>
        <w:pStyle w:val="Prrafodelista"/>
        <w:numPr>
          <w:ilvl w:val="0"/>
          <w:numId w:val="23"/>
        </w:numPr>
        <w:spacing w:line="240" w:lineRule="auto"/>
        <w:ind w:left="270" w:right="-162" w:hanging="270"/>
        <w:rPr>
          <w:rFonts w:ascii="Verdana" w:hAnsi="Verdana"/>
          <w:sz w:val="20"/>
          <w:szCs w:val="20"/>
          <w:lang w:val="en-US"/>
        </w:rPr>
      </w:pPr>
      <w:r w:rsidRPr="00D2561A">
        <w:rPr>
          <w:rFonts w:ascii="Verdana" w:eastAsia="Batang" w:hAnsi="Verdana"/>
          <w:sz w:val="20"/>
          <w:szCs w:val="20"/>
          <w:lang w:val="en-US"/>
        </w:rPr>
        <w:t>It does not order respect for the rights to which it refers or</w:t>
      </w:r>
      <w:r w:rsidR="00AA1B34" w:rsidRPr="00D2561A">
        <w:rPr>
          <w:rFonts w:ascii="Verdana" w:eastAsia="Batang" w:hAnsi="Verdana"/>
          <w:sz w:val="20"/>
          <w:szCs w:val="20"/>
          <w:lang w:val="en-US"/>
        </w:rPr>
        <w:t xml:space="preserve"> </w:t>
      </w:r>
      <w:r w:rsidR="000D5D25" w:rsidRPr="00D2561A">
        <w:rPr>
          <w:rFonts w:ascii="Verdana" w:eastAsia="Batang" w:hAnsi="Verdana"/>
          <w:sz w:val="20"/>
          <w:szCs w:val="20"/>
          <w:lang w:val="en-US"/>
        </w:rPr>
        <w:t>ensure</w:t>
      </w:r>
      <w:r w:rsidR="00AA1B34" w:rsidRPr="00D2561A">
        <w:rPr>
          <w:rFonts w:ascii="Verdana" w:eastAsia="Batang" w:hAnsi="Verdana"/>
          <w:sz w:val="20"/>
          <w:szCs w:val="20"/>
          <w:lang w:val="en-US"/>
        </w:rPr>
        <w:t xml:space="preserve"> respect for them, and it does not recognize or establish them;</w:t>
      </w:r>
    </w:p>
    <w:p w14:paraId="364811A3" w14:textId="77777777" w:rsidR="002E1B45" w:rsidRPr="00D2561A" w:rsidRDefault="002E1B45" w:rsidP="000E0801">
      <w:pPr>
        <w:pStyle w:val="Prrafodelista"/>
        <w:spacing w:line="240" w:lineRule="auto"/>
        <w:ind w:left="270" w:right="-162" w:hanging="270"/>
        <w:rPr>
          <w:rFonts w:ascii="Verdana" w:hAnsi="Verdana"/>
          <w:iCs/>
          <w:sz w:val="20"/>
          <w:szCs w:val="20"/>
          <w:lang w:val="en-US"/>
        </w:rPr>
      </w:pPr>
    </w:p>
    <w:p w14:paraId="0D7FBD90" w14:textId="56896453" w:rsidR="00A76974" w:rsidRPr="00D2561A" w:rsidRDefault="00A76974" w:rsidP="000E0801">
      <w:pPr>
        <w:pStyle w:val="Prrafodelista"/>
        <w:numPr>
          <w:ilvl w:val="0"/>
          <w:numId w:val="23"/>
        </w:numPr>
        <w:spacing w:line="240" w:lineRule="auto"/>
        <w:ind w:left="270" w:right="-162" w:hanging="270"/>
        <w:rPr>
          <w:rFonts w:ascii="Verdana" w:hAnsi="Verdana"/>
          <w:sz w:val="20"/>
          <w:szCs w:val="20"/>
          <w:lang w:val="en-US"/>
        </w:rPr>
      </w:pPr>
      <w:r w:rsidRPr="00D2561A">
        <w:rPr>
          <w:rFonts w:ascii="Verdana" w:hAnsi="Verdana"/>
          <w:iCs/>
          <w:sz w:val="20"/>
          <w:szCs w:val="20"/>
          <w:lang w:val="en-US"/>
        </w:rPr>
        <w:t>It does not make those rights effective or enforceable because, if this had been the intention, it would have been indicated explicitly and without any ambiguity; in other words, contrary to what the judgment states, it does not “</w:t>
      </w:r>
      <w:r w:rsidRPr="00D2561A">
        <w:rPr>
          <w:rFonts w:ascii="Verdana" w:hAnsi="Verdana"/>
          <w:sz w:val="20"/>
          <w:szCs w:val="20"/>
          <w:lang w:val="en-US"/>
        </w:rPr>
        <w:t>make a direct referral to the economic, social, educational, scientific and cultural norms contained in the OAS Charter,”</w:t>
      </w:r>
      <w:r w:rsidRPr="00D2561A">
        <w:rPr>
          <w:rStyle w:val="Refdenotaalpie"/>
          <w:rFonts w:ascii="Verdana" w:hAnsi="Verdana"/>
          <w:sz w:val="20"/>
          <w:szCs w:val="20"/>
          <w:lang w:val="en-US"/>
        </w:rPr>
        <w:footnoteReference w:id="27"/>
      </w:r>
      <w:r w:rsidRPr="00D2561A">
        <w:rPr>
          <w:rFonts w:ascii="Verdana" w:hAnsi="Verdana"/>
          <w:sz w:val="20"/>
          <w:szCs w:val="20"/>
          <w:lang w:val="en-US"/>
        </w:rPr>
        <w:t xml:space="preserve"> but rather </w:t>
      </w:r>
      <w:r w:rsidR="002F2E53" w:rsidRPr="00D2561A">
        <w:rPr>
          <w:rFonts w:ascii="Verdana" w:hAnsi="Verdana"/>
          <w:sz w:val="20"/>
          <w:szCs w:val="20"/>
          <w:lang w:val="en-US"/>
        </w:rPr>
        <w:t>merely</w:t>
      </w:r>
      <w:r w:rsidRPr="00D2561A">
        <w:rPr>
          <w:rFonts w:ascii="Verdana" w:hAnsi="Verdana"/>
          <w:sz w:val="20"/>
          <w:szCs w:val="20"/>
          <w:lang w:val="en-US"/>
        </w:rPr>
        <w:t xml:space="preserve"> contemplates, according to its wording, an “implicit recognition in” the Charter</w:t>
      </w:r>
      <w:r w:rsidR="000D5D25" w:rsidRPr="00D2561A">
        <w:rPr>
          <w:rFonts w:ascii="Verdana" w:hAnsi="Verdana"/>
          <w:sz w:val="20"/>
          <w:szCs w:val="20"/>
          <w:lang w:val="en-US"/>
        </w:rPr>
        <w:t>;</w:t>
      </w:r>
      <w:r w:rsidRPr="00D2561A">
        <w:rPr>
          <w:rStyle w:val="Refdenotaalpie"/>
          <w:rFonts w:ascii="Verdana" w:hAnsi="Verdana"/>
          <w:sz w:val="20"/>
          <w:szCs w:val="20"/>
          <w:lang w:val="en-US"/>
        </w:rPr>
        <w:footnoteReference w:id="28"/>
      </w:r>
      <w:r w:rsidRPr="00D2561A">
        <w:rPr>
          <w:rFonts w:ascii="Verdana" w:hAnsi="Verdana"/>
          <w:sz w:val="20"/>
          <w:szCs w:val="20"/>
          <w:lang w:val="en-US"/>
        </w:rPr>
        <w:t xml:space="preserve"> </w:t>
      </w:r>
    </w:p>
    <w:p w14:paraId="33488E6D" w14:textId="77777777" w:rsidR="002E1B45" w:rsidRPr="00D2561A" w:rsidRDefault="002E1B45" w:rsidP="000E0801">
      <w:pPr>
        <w:pStyle w:val="Prrafodelista"/>
        <w:spacing w:line="240" w:lineRule="auto"/>
        <w:ind w:left="270" w:right="-162" w:hanging="270"/>
        <w:rPr>
          <w:rFonts w:ascii="Verdana" w:hAnsi="Verdana"/>
          <w:sz w:val="20"/>
          <w:szCs w:val="20"/>
          <w:lang w:val="en-US"/>
        </w:rPr>
      </w:pPr>
    </w:p>
    <w:p w14:paraId="1EDF0273" w14:textId="3A6C8666" w:rsidR="002E1B45" w:rsidRPr="00D2561A" w:rsidRDefault="00A76974" w:rsidP="000E0801">
      <w:pPr>
        <w:pStyle w:val="Prrafodelista"/>
        <w:numPr>
          <w:ilvl w:val="0"/>
          <w:numId w:val="23"/>
        </w:numPr>
        <w:spacing w:line="240" w:lineRule="auto"/>
        <w:ind w:left="270" w:right="-162" w:hanging="270"/>
        <w:rPr>
          <w:rFonts w:ascii="Verdana" w:hAnsi="Verdana"/>
          <w:sz w:val="20"/>
          <w:szCs w:val="20"/>
          <w:lang w:val="en-US"/>
        </w:rPr>
      </w:pPr>
      <w:r w:rsidRPr="00D2561A">
        <w:rPr>
          <w:rFonts w:ascii="Verdana" w:hAnsi="Verdana"/>
          <w:sz w:val="20"/>
          <w:szCs w:val="20"/>
          <w:lang w:val="en-US"/>
        </w:rPr>
        <w:t xml:space="preserve">To the contrary, it establishes an obligation of conduct, and not of result, in that the States Parties to </w:t>
      </w:r>
      <w:r w:rsidR="00E30D1A" w:rsidRPr="00D2561A">
        <w:rPr>
          <w:rFonts w:ascii="Verdana" w:hAnsi="Verdana"/>
          <w:sz w:val="20"/>
          <w:szCs w:val="20"/>
          <w:lang w:val="en-US"/>
        </w:rPr>
        <w:t>the Convention</w:t>
      </w:r>
      <w:r w:rsidRPr="00D2561A">
        <w:rPr>
          <w:rFonts w:ascii="Verdana" w:hAnsi="Verdana"/>
          <w:sz w:val="20"/>
          <w:szCs w:val="20"/>
          <w:lang w:val="en-US"/>
        </w:rPr>
        <w:t xml:space="preserve"> must</w:t>
      </w:r>
      <w:r w:rsidR="00E9106E" w:rsidRPr="00D2561A">
        <w:rPr>
          <w:rFonts w:ascii="Verdana" w:hAnsi="Verdana"/>
          <w:sz w:val="20"/>
          <w:szCs w:val="20"/>
          <w:lang w:val="en-US"/>
        </w:rPr>
        <w:t xml:space="preserve"> “</w:t>
      </w:r>
      <w:r w:rsidRPr="00D2561A">
        <w:rPr>
          <w:rFonts w:ascii="Verdana" w:hAnsi="Verdana"/>
          <w:sz w:val="20"/>
          <w:szCs w:val="20"/>
          <w:lang w:val="en-US"/>
        </w:rPr>
        <w:t xml:space="preserve">adopt measures, both internally and through international cooperation, especially those of an economic and technical nature, with a view to achieving progressively, </w:t>
      </w:r>
      <w:r w:rsidR="002C2325" w:rsidRPr="00D2561A">
        <w:rPr>
          <w:rFonts w:ascii="Verdana" w:hAnsi="Verdana"/>
          <w:sz w:val="20"/>
          <w:szCs w:val="20"/>
          <w:lang w:val="en-US"/>
        </w:rPr>
        <w:t>[…]</w:t>
      </w:r>
      <w:r w:rsidRPr="00D2561A">
        <w:rPr>
          <w:rFonts w:ascii="Verdana" w:hAnsi="Verdana"/>
          <w:sz w:val="20"/>
          <w:szCs w:val="20"/>
          <w:lang w:val="en-US"/>
        </w:rPr>
        <w:t xml:space="preserve"> the full recognition of the rights” to which it alludes; </w:t>
      </w:r>
    </w:p>
    <w:p w14:paraId="6C6DC353" w14:textId="77777777" w:rsidR="002E1B45" w:rsidRPr="00D2561A" w:rsidRDefault="002E1B45" w:rsidP="000E0801">
      <w:pPr>
        <w:pStyle w:val="Prrafodelista"/>
        <w:spacing w:line="240" w:lineRule="auto"/>
        <w:ind w:left="270" w:right="-162" w:hanging="270"/>
        <w:rPr>
          <w:rFonts w:ascii="Verdana" w:hAnsi="Verdana"/>
          <w:sz w:val="20"/>
          <w:szCs w:val="20"/>
          <w:lang w:val="en-US"/>
        </w:rPr>
      </w:pPr>
    </w:p>
    <w:p w14:paraId="43F7E3FF" w14:textId="149A1705" w:rsidR="00A76974" w:rsidRPr="00D2561A" w:rsidRDefault="00A76974" w:rsidP="000E0801">
      <w:pPr>
        <w:pStyle w:val="Prrafodelista"/>
        <w:numPr>
          <w:ilvl w:val="0"/>
          <w:numId w:val="23"/>
        </w:numPr>
        <w:spacing w:line="240" w:lineRule="auto"/>
        <w:ind w:left="270" w:right="-162" w:hanging="270"/>
        <w:rPr>
          <w:rFonts w:ascii="Verdana" w:hAnsi="Verdana"/>
          <w:sz w:val="20"/>
          <w:szCs w:val="20"/>
          <w:lang w:val="en-US"/>
        </w:rPr>
      </w:pPr>
      <w:r w:rsidRPr="00D2561A">
        <w:rPr>
          <w:rFonts w:ascii="Verdana" w:hAnsi="Verdana"/>
          <w:sz w:val="20"/>
          <w:szCs w:val="20"/>
          <w:lang w:val="en-US"/>
        </w:rPr>
        <w:t>It indicates that the obli</w:t>
      </w:r>
      <w:r w:rsidR="006B415A" w:rsidRPr="00D2561A">
        <w:rPr>
          <w:rFonts w:ascii="Verdana" w:hAnsi="Verdana"/>
          <w:sz w:val="20"/>
          <w:szCs w:val="20"/>
          <w:lang w:val="en-US"/>
        </w:rPr>
        <w:t>g</w:t>
      </w:r>
      <w:r w:rsidRPr="00D2561A">
        <w:rPr>
          <w:rFonts w:ascii="Verdana" w:hAnsi="Verdana"/>
          <w:sz w:val="20"/>
          <w:szCs w:val="20"/>
          <w:lang w:val="en-US"/>
        </w:rPr>
        <w:t>ation of conduct that it establishes should be complied with “subject to available resources, by legislation or other appropriate means,</w:t>
      </w:r>
      <w:r w:rsidR="00E9106E" w:rsidRPr="00D2561A">
        <w:rPr>
          <w:rFonts w:ascii="Verdana" w:eastAsia="Batang" w:hAnsi="Verdana"/>
          <w:iCs/>
          <w:sz w:val="20"/>
          <w:szCs w:val="20"/>
          <w:lang w:val="en-US"/>
        </w:rPr>
        <w:t>”</w:t>
      </w:r>
      <w:r w:rsidR="00E9106E" w:rsidRPr="00D2561A">
        <w:rPr>
          <w:rFonts w:ascii="Verdana" w:hAnsi="Verdana"/>
          <w:sz w:val="20"/>
          <w:szCs w:val="20"/>
          <w:lang w:val="en-US"/>
        </w:rPr>
        <w:t xml:space="preserve"> </w:t>
      </w:r>
      <w:r w:rsidRPr="00D2561A">
        <w:rPr>
          <w:rFonts w:ascii="Verdana" w:hAnsi="Verdana"/>
          <w:sz w:val="20"/>
          <w:szCs w:val="20"/>
          <w:lang w:val="en-US"/>
        </w:rPr>
        <w:t>thereby not only reinforcing the lack of effectiveness of the said rights, but also conditioning the possibility of fulfilling them to the existence of the resources available to the respective State for this purpose, and</w:t>
      </w:r>
    </w:p>
    <w:p w14:paraId="095D87FC" w14:textId="77777777" w:rsidR="002E1B45" w:rsidRPr="00D2561A" w:rsidRDefault="002E1B45" w:rsidP="006B415A">
      <w:pPr>
        <w:spacing w:line="240" w:lineRule="auto"/>
        <w:ind w:left="0" w:right="-162"/>
        <w:rPr>
          <w:rFonts w:ascii="Verdana" w:hAnsi="Verdana"/>
          <w:sz w:val="20"/>
          <w:szCs w:val="20"/>
          <w:lang w:val="en-US"/>
        </w:rPr>
      </w:pPr>
    </w:p>
    <w:p w14:paraId="47F67449" w14:textId="636250B3" w:rsidR="00E1456E" w:rsidRPr="00D2561A" w:rsidRDefault="006B415A" w:rsidP="003741AD">
      <w:pPr>
        <w:pStyle w:val="Prrafodelista"/>
        <w:numPr>
          <w:ilvl w:val="0"/>
          <w:numId w:val="23"/>
        </w:numPr>
        <w:spacing w:line="240" w:lineRule="auto"/>
        <w:ind w:left="270" w:right="-162" w:hanging="270"/>
        <w:rPr>
          <w:rFonts w:ascii="Verdana" w:hAnsi="Verdana"/>
          <w:sz w:val="20"/>
          <w:szCs w:val="20"/>
          <w:lang w:val="en-US"/>
        </w:rPr>
      </w:pPr>
      <w:r w:rsidRPr="00D2561A">
        <w:rPr>
          <w:rFonts w:ascii="Verdana" w:hAnsi="Verdana"/>
          <w:sz w:val="20"/>
          <w:szCs w:val="20"/>
          <w:lang w:val="en-US"/>
        </w:rPr>
        <w:t>It makes the adoption of the measures in question depend not only on the unilateral will of the corresponding State, but also on the agreements that it may reach with other States -that are also sovereign – and international cooperation organizations</w:t>
      </w:r>
      <w:r w:rsidR="00E9106E" w:rsidRPr="00D2561A">
        <w:rPr>
          <w:rFonts w:ascii="Verdana" w:hAnsi="Verdana"/>
          <w:sz w:val="20"/>
          <w:szCs w:val="20"/>
          <w:lang w:val="en-US"/>
        </w:rPr>
        <w:t>.</w:t>
      </w:r>
    </w:p>
    <w:p w14:paraId="3A71810B" w14:textId="4CA2BBA2" w:rsidR="00AF2E4B" w:rsidRPr="00D2561A" w:rsidRDefault="000F3317" w:rsidP="00C31FAF">
      <w:pPr>
        <w:pStyle w:val="Prrafodelista"/>
        <w:numPr>
          <w:ilvl w:val="0"/>
          <w:numId w:val="5"/>
        </w:numPr>
        <w:spacing w:line="240" w:lineRule="auto"/>
        <w:ind w:left="-270" w:right="-162" w:firstLine="0"/>
        <w:rPr>
          <w:rFonts w:ascii="Verdana" w:hAnsi="Verdana"/>
          <w:sz w:val="20"/>
          <w:szCs w:val="20"/>
          <w:lang w:val="en-US"/>
        </w:rPr>
      </w:pPr>
      <w:r w:rsidRPr="00D2561A">
        <w:rPr>
          <w:rFonts w:ascii="Verdana" w:eastAsia="Batang" w:hAnsi="Verdana"/>
          <w:sz w:val="20"/>
          <w:szCs w:val="20"/>
          <w:lang w:val="en-US"/>
        </w:rPr>
        <w:t>I</w:t>
      </w:r>
      <w:r w:rsidR="00E1456E" w:rsidRPr="00D2561A">
        <w:rPr>
          <w:rFonts w:ascii="Verdana" w:eastAsia="Batang" w:hAnsi="Verdana"/>
          <w:sz w:val="20"/>
          <w:szCs w:val="20"/>
          <w:lang w:val="en-US"/>
        </w:rPr>
        <w:t xml:space="preserve">t can also be concluded that the rights in question are not, in the terms used by </w:t>
      </w:r>
      <w:r w:rsidR="00E30D1A" w:rsidRPr="00D2561A">
        <w:rPr>
          <w:rFonts w:ascii="Verdana" w:eastAsia="Batang" w:hAnsi="Verdana"/>
          <w:sz w:val="20"/>
          <w:szCs w:val="20"/>
          <w:lang w:val="en-US"/>
        </w:rPr>
        <w:t>the Convention</w:t>
      </w:r>
      <w:r w:rsidR="00E9106E" w:rsidRPr="00D2561A">
        <w:rPr>
          <w:rFonts w:ascii="Verdana" w:eastAsia="Batang" w:hAnsi="Verdana"/>
          <w:sz w:val="20"/>
          <w:szCs w:val="20"/>
          <w:lang w:val="en-US"/>
        </w:rPr>
        <w:t xml:space="preserve">, </w:t>
      </w:r>
      <w:bookmarkStart w:id="5" w:name="_Hlk46311586"/>
      <w:r w:rsidR="00E9106E" w:rsidRPr="00D2561A">
        <w:rPr>
          <w:rFonts w:ascii="Verdana" w:eastAsia="Times" w:hAnsi="Verdana" w:cs="Arial"/>
          <w:sz w:val="20"/>
          <w:szCs w:val="20"/>
          <w:lang w:val="en-US"/>
        </w:rPr>
        <w:t>“reco</w:t>
      </w:r>
      <w:r w:rsidR="00E1456E" w:rsidRPr="00D2561A">
        <w:rPr>
          <w:rFonts w:ascii="Verdana" w:eastAsia="Times" w:hAnsi="Verdana" w:cs="Arial"/>
          <w:sz w:val="20"/>
          <w:szCs w:val="20"/>
          <w:lang w:val="en-US"/>
        </w:rPr>
        <w:t>gnized</w:t>
      </w:r>
      <w:r w:rsidR="000D5D25" w:rsidRPr="00D2561A">
        <w:rPr>
          <w:rFonts w:ascii="Verdana" w:eastAsia="Times" w:hAnsi="Verdana" w:cs="Arial"/>
          <w:sz w:val="20"/>
          <w:szCs w:val="20"/>
          <w:lang w:val="en-US"/>
        </w:rPr>
        <w:t>,</w:t>
      </w:r>
      <w:r w:rsidR="00E9106E" w:rsidRPr="00D2561A">
        <w:rPr>
          <w:rFonts w:ascii="Verdana" w:eastAsia="Times" w:hAnsi="Verdana" w:cs="Arial"/>
          <w:sz w:val="20"/>
          <w:szCs w:val="20"/>
          <w:lang w:val="en-US"/>
        </w:rPr>
        <w:t>”</w:t>
      </w:r>
      <w:r w:rsidR="00E9106E" w:rsidRPr="00D2561A">
        <w:rPr>
          <w:rFonts w:ascii="Verdana" w:eastAsia="Times" w:hAnsi="Verdana" w:cs="Arial"/>
          <w:sz w:val="20"/>
          <w:szCs w:val="20"/>
          <w:vertAlign w:val="superscript"/>
          <w:lang w:val="en-US"/>
        </w:rPr>
        <w:footnoteReference w:id="29"/>
      </w:r>
      <w:r w:rsidR="00E9106E" w:rsidRPr="00D2561A">
        <w:rPr>
          <w:rFonts w:ascii="Verdana" w:eastAsia="Times" w:hAnsi="Verdana" w:cs="Arial"/>
          <w:sz w:val="20"/>
          <w:szCs w:val="20"/>
          <w:lang w:val="en-US"/>
        </w:rPr>
        <w:t xml:space="preserve"> </w:t>
      </w:r>
      <w:r w:rsidR="00E9106E" w:rsidRPr="00D2561A">
        <w:rPr>
          <w:rFonts w:ascii="Verdana" w:eastAsia="Batang" w:hAnsi="Verdana"/>
          <w:sz w:val="20"/>
          <w:szCs w:val="20"/>
          <w:lang w:val="en-US"/>
        </w:rPr>
        <w:t>“</w:t>
      </w:r>
      <w:r w:rsidR="00C31FAF" w:rsidRPr="00D2561A">
        <w:rPr>
          <w:rFonts w:ascii="Verdana" w:eastAsia="Batang" w:hAnsi="Verdana"/>
          <w:sz w:val="20"/>
          <w:szCs w:val="20"/>
          <w:lang w:val="en-US"/>
        </w:rPr>
        <w:t>set forth,</w:t>
      </w:r>
      <w:r w:rsidR="00E9106E" w:rsidRPr="00D2561A">
        <w:rPr>
          <w:rFonts w:ascii="Verdana" w:eastAsia="Batang" w:hAnsi="Verdana"/>
          <w:sz w:val="20"/>
          <w:szCs w:val="20"/>
          <w:lang w:val="en-US"/>
        </w:rPr>
        <w:t>”</w:t>
      </w:r>
      <w:r w:rsidR="00E9106E" w:rsidRPr="00D2561A">
        <w:rPr>
          <w:rFonts w:ascii="Verdana" w:hAnsi="Verdana"/>
          <w:sz w:val="20"/>
          <w:szCs w:val="20"/>
          <w:vertAlign w:val="superscript"/>
          <w:lang w:val="en-US"/>
        </w:rPr>
        <w:footnoteReference w:id="30"/>
      </w:r>
      <w:r w:rsidR="00E9106E" w:rsidRPr="00D2561A">
        <w:rPr>
          <w:rFonts w:ascii="Verdana" w:eastAsia="Batang" w:hAnsi="Verdana"/>
          <w:sz w:val="20"/>
          <w:szCs w:val="20"/>
          <w:lang w:val="en-US"/>
        </w:rPr>
        <w:t xml:space="preserve"> “g</w:t>
      </w:r>
      <w:r w:rsidR="00C31FAF" w:rsidRPr="00D2561A">
        <w:rPr>
          <w:rFonts w:ascii="Verdana" w:eastAsia="Batang" w:hAnsi="Verdana"/>
          <w:sz w:val="20"/>
          <w:szCs w:val="20"/>
          <w:lang w:val="en-US"/>
        </w:rPr>
        <w:t>uaranteed,</w:t>
      </w:r>
      <w:r w:rsidR="00E9106E" w:rsidRPr="00D2561A">
        <w:rPr>
          <w:rFonts w:ascii="Verdana" w:eastAsia="Batang" w:hAnsi="Verdana"/>
          <w:sz w:val="20"/>
          <w:szCs w:val="20"/>
          <w:lang w:val="en-US"/>
        </w:rPr>
        <w:t>”</w:t>
      </w:r>
      <w:r w:rsidR="00E9106E" w:rsidRPr="00D2561A">
        <w:rPr>
          <w:rFonts w:ascii="Verdana" w:hAnsi="Verdana"/>
          <w:sz w:val="20"/>
          <w:szCs w:val="20"/>
          <w:vertAlign w:val="superscript"/>
          <w:lang w:val="en-US"/>
        </w:rPr>
        <w:footnoteReference w:id="31"/>
      </w:r>
      <w:r w:rsidR="00E9106E" w:rsidRPr="00D2561A">
        <w:rPr>
          <w:rFonts w:ascii="Verdana" w:eastAsia="Batang" w:hAnsi="Verdana"/>
          <w:sz w:val="20"/>
          <w:szCs w:val="20"/>
          <w:lang w:val="en-US"/>
        </w:rPr>
        <w:t xml:space="preserve"> “</w:t>
      </w:r>
      <w:r w:rsidR="005A014C">
        <w:rPr>
          <w:rFonts w:ascii="Verdana" w:eastAsia="Batang" w:hAnsi="Verdana"/>
          <w:sz w:val="20"/>
          <w:szCs w:val="20"/>
          <w:lang w:val="en-US"/>
        </w:rPr>
        <w:t>enshrined</w:t>
      </w:r>
      <w:r w:rsidR="00C31FAF" w:rsidRPr="00D2561A">
        <w:rPr>
          <w:rFonts w:ascii="Verdana" w:eastAsia="Batang" w:hAnsi="Verdana"/>
          <w:sz w:val="20"/>
          <w:szCs w:val="20"/>
          <w:lang w:val="en-US"/>
        </w:rPr>
        <w:t>”</w:t>
      </w:r>
      <w:r w:rsidR="00E9106E" w:rsidRPr="00D2561A">
        <w:rPr>
          <w:rFonts w:ascii="Verdana" w:hAnsi="Verdana"/>
          <w:sz w:val="20"/>
          <w:szCs w:val="20"/>
          <w:vertAlign w:val="superscript"/>
          <w:lang w:val="en-US"/>
        </w:rPr>
        <w:footnoteReference w:id="32"/>
      </w:r>
      <w:r w:rsidR="00E9106E" w:rsidRPr="00D2561A">
        <w:rPr>
          <w:rFonts w:ascii="Verdana" w:eastAsia="Batang" w:hAnsi="Verdana"/>
          <w:sz w:val="20"/>
          <w:szCs w:val="20"/>
          <w:lang w:val="en-US"/>
        </w:rPr>
        <w:t xml:space="preserve"> o</w:t>
      </w:r>
      <w:r w:rsidR="00C31FAF" w:rsidRPr="00D2561A">
        <w:rPr>
          <w:rFonts w:ascii="Verdana" w:eastAsia="Batang" w:hAnsi="Verdana"/>
          <w:sz w:val="20"/>
          <w:szCs w:val="20"/>
          <w:lang w:val="en-US"/>
        </w:rPr>
        <w:t>r</w:t>
      </w:r>
      <w:r w:rsidR="00E9106E" w:rsidRPr="00D2561A">
        <w:rPr>
          <w:rFonts w:ascii="Verdana" w:eastAsia="Batang" w:hAnsi="Verdana"/>
          <w:sz w:val="20"/>
          <w:szCs w:val="20"/>
          <w:lang w:val="en-US"/>
        </w:rPr>
        <w:t xml:space="preserve"> “prote</w:t>
      </w:r>
      <w:r w:rsidR="00C31FAF" w:rsidRPr="00D2561A">
        <w:rPr>
          <w:rFonts w:ascii="Verdana" w:eastAsia="Batang" w:hAnsi="Verdana"/>
          <w:sz w:val="20"/>
          <w:szCs w:val="20"/>
          <w:lang w:val="en-US"/>
        </w:rPr>
        <w:t>cted</w:t>
      </w:r>
      <w:r w:rsidR="00E9106E" w:rsidRPr="00D2561A">
        <w:rPr>
          <w:rFonts w:ascii="Verdana" w:eastAsia="Batang" w:hAnsi="Verdana"/>
          <w:sz w:val="20"/>
          <w:szCs w:val="20"/>
          <w:lang w:val="en-US"/>
        </w:rPr>
        <w:t>”</w:t>
      </w:r>
      <w:r w:rsidR="00E9106E" w:rsidRPr="00D2561A">
        <w:rPr>
          <w:rFonts w:ascii="Verdana" w:hAnsi="Verdana"/>
          <w:sz w:val="20"/>
          <w:szCs w:val="20"/>
          <w:vertAlign w:val="superscript"/>
          <w:lang w:val="en-US"/>
        </w:rPr>
        <w:footnoteReference w:id="33"/>
      </w:r>
      <w:r w:rsidR="00E9106E" w:rsidRPr="00D2561A">
        <w:rPr>
          <w:rFonts w:ascii="Verdana" w:eastAsia="Batang" w:hAnsi="Verdana"/>
          <w:sz w:val="20"/>
          <w:szCs w:val="20"/>
          <w:lang w:val="en-US"/>
        </w:rPr>
        <w:t xml:space="preserve"> </w:t>
      </w:r>
      <w:r w:rsidR="00C31FAF" w:rsidRPr="00D2561A">
        <w:rPr>
          <w:rFonts w:ascii="Verdana" w:eastAsia="Batang" w:hAnsi="Verdana"/>
          <w:sz w:val="20"/>
          <w:szCs w:val="20"/>
          <w:lang w:val="en-US"/>
        </w:rPr>
        <w:t>in it or by it</w:t>
      </w:r>
      <w:r w:rsidR="00DF6003" w:rsidRPr="00D2561A">
        <w:rPr>
          <w:rFonts w:ascii="Verdana" w:eastAsia="Batang" w:hAnsi="Verdana"/>
          <w:sz w:val="20"/>
          <w:szCs w:val="20"/>
          <w:lang w:val="en-US"/>
        </w:rPr>
        <w:t>,</w:t>
      </w:r>
      <w:r w:rsidR="00C31FAF" w:rsidRPr="00D2561A">
        <w:rPr>
          <w:rFonts w:ascii="Verdana" w:eastAsia="Batang" w:hAnsi="Verdana"/>
          <w:sz w:val="20"/>
          <w:szCs w:val="20"/>
          <w:lang w:val="en-US"/>
        </w:rPr>
        <w:t xml:space="preserve"> and in relation to the right to just and favorable conditions that ensure health and safety in the workplace, and this is not as the judgment indicates, “a right protected by</w:t>
      </w:r>
      <w:bookmarkEnd w:id="5"/>
      <w:r w:rsidR="00C31FAF" w:rsidRPr="00D2561A">
        <w:rPr>
          <w:rFonts w:ascii="Verdana" w:hAnsi="Verdana"/>
          <w:i/>
          <w:iCs/>
          <w:sz w:val="20"/>
          <w:szCs w:val="20"/>
          <w:lang w:val="en-US"/>
        </w:rPr>
        <w:t xml:space="preserve"> </w:t>
      </w:r>
      <w:r w:rsidR="00E30D1A" w:rsidRPr="00D2561A">
        <w:rPr>
          <w:rFonts w:ascii="Verdana" w:hAnsi="Verdana"/>
          <w:sz w:val="20"/>
          <w:szCs w:val="20"/>
          <w:lang w:val="en-US"/>
        </w:rPr>
        <w:t>Article</w:t>
      </w:r>
      <w:r w:rsidR="00DD022B" w:rsidRPr="00D2561A">
        <w:rPr>
          <w:rFonts w:ascii="Verdana" w:hAnsi="Verdana"/>
          <w:sz w:val="20"/>
          <w:szCs w:val="20"/>
          <w:lang w:val="en-US"/>
        </w:rPr>
        <w:t xml:space="preserve"> 26</w:t>
      </w:r>
      <w:r w:rsidR="00E30D1A" w:rsidRPr="00D2561A">
        <w:rPr>
          <w:rFonts w:ascii="Verdana" w:hAnsi="Verdana"/>
          <w:sz w:val="20"/>
          <w:szCs w:val="20"/>
          <w:lang w:val="en-US"/>
        </w:rPr>
        <w:t xml:space="preserve"> of the Convention</w:t>
      </w:r>
      <w:r w:rsidR="00E9106E" w:rsidRPr="00D2561A">
        <w:rPr>
          <w:rFonts w:ascii="Verdana" w:eastAsia="Batang" w:hAnsi="Verdana"/>
          <w:sz w:val="20"/>
          <w:szCs w:val="20"/>
          <w:lang w:val="en-US"/>
        </w:rPr>
        <w:t>”</w:t>
      </w:r>
      <w:r w:rsidR="00E9106E" w:rsidRPr="00D2561A">
        <w:rPr>
          <w:rFonts w:ascii="Verdana" w:hAnsi="Verdana"/>
          <w:sz w:val="20"/>
          <w:szCs w:val="20"/>
          <w:vertAlign w:val="superscript"/>
          <w:lang w:val="en-US"/>
        </w:rPr>
        <w:footnoteReference w:id="34"/>
      </w:r>
      <w:r w:rsidR="00495782" w:rsidRPr="00D2561A">
        <w:rPr>
          <w:rFonts w:ascii="Verdana" w:eastAsia="Batang" w:hAnsi="Verdana"/>
          <w:sz w:val="20"/>
          <w:szCs w:val="20"/>
          <w:lang w:val="en-US"/>
        </w:rPr>
        <w:t xml:space="preserve"> o</w:t>
      </w:r>
      <w:r w:rsidR="00C31FAF" w:rsidRPr="00D2561A">
        <w:rPr>
          <w:rFonts w:ascii="Verdana" w:eastAsia="Batang" w:hAnsi="Verdana"/>
          <w:sz w:val="20"/>
          <w:szCs w:val="20"/>
          <w:lang w:val="en-US"/>
        </w:rPr>
        <w:t>r</w:t>
      </w:r>
      <w:r w:rsidR="00495782" w:rsidRPr="00D2561A">
        <w:rPr>
          <w:rFonts w:ascii="Verdana" w:eastAsia="Batang" w:hAnsi="Verdana"/>
          <w:sz w:val="20"/>
          <w:szCs w:val="20"/>
          <w:lang w:val="en-US"/>
        </w:rPr>
        <w:t xml:space="preserve"> “</w:t>
      </w:r>
      <w:r w:rsidR="00C31FAF" w:rsidRPr="00D2561A">
        <w:rPr>
          <w:rFonts w:ascii="Verdana" w:eastAsia="Batang" w:hAnsi="Verdana"/>
          <w:sz w:val="20"/>
          <w:szCs w:val="20"/>
          <w:lang w:val="en-US"/>
        </w:rPr>
        <w:t>a</w:t>
      </w:r>
      <w:r w:rsidR="00C31FAF" w:rsidRPr="00D2561A">
        <w:rPr>
          <w:rFonts w:ascii="Verdana" w:eastAsia="Batang" w:hAnsi="Verdana"/>
          <w:i/>
          <w:iCs/>
          <w:sz w:val="20"/>
          <w:szCs w:val="20"/>
          <w:lang w:val="en-US"/>
        </w:rPr>
        <w:t xml:space="preserve"> </w:t>
      </w:r>
      <w:r w:rsidR="00C31FAF" w:rsidRPr="00D2561A">
        <w:rPr>
          <w:rFonts w:ascii="Verdana" w:eastAsia="Batang" w:hAnsi="Verdana"/>
          <w:sz w:val="20"/>
          <w:szCs w:val="20"/>
          <w:lang w:val="en-US"/>
        </w:rPr>
        <w:t>right recognized</w:t>
      </w:r>
      <w:r w:rsidR="00495782" w:rsidRPr="00D2561A">
        <w:rPr>
          <w:rFonts w:ascii="Verdana" w:eastAsia="Batang" w:hAnsi="Verdana"/>
          <w:sz w:val="20"/>
          <w:szCs w:val="20"/>
          <w:lang w:val="en-US"/>
        </w:rPr>
        <w:t xml:space="preserve">” </w:t>
      </w:r>
      <w:r w:rsidR="00C31FAF" w:rsidRPr="00D2561A">
        <w:rPr>
          <w:rFonts w:ascii="Verdana" w:eastAsia="Batang" w:hAnsi="Verdana"/>
          <w:sz w:val="20"/>
          <w:szCs w:val="20"/>
          <w:lang w:val="en-US"/>
        </w:rPr>
        <w:t>by</w:t>
      </w:r>
      <w:r w:rsidR="00DA2183" w:rsidRPr="00D2561A">
        <w:rPr>
          <w:rFonts w:ascii="Verdana" w:eastAsia="Batang" w:hAnsi="Verdana"/>
          <w:sz w:val="20"/>
          <w:szCs w:val="20"/>
          <w:lang w:val="en-US"/>
        </w:rPr>
        <w:t xml:space="preserve"> “</w:t>
      </w:r>
      <w:r w:rsidR="00E30D1A" w:rsidRPr="00D2561A">
        <w:rPr>
          <w:rFonts w:ascii="Verdana" w:eastAsia="Batang" w:hAnsi="Verdana"/>
          <w:sz w:val="20"/>
          <w:szCs w:val="20"/>
          <w:lang w:val="en-US"/>
        </w:rPr>
        <w:t>Article</w:t>
      </w:r>
      <w:r w:rsidR="00495782" w:rsidRPr="00D2561A">
        <w:rPr>
          <w:rFonts w:ascii="Verdana" w:eastAsia="Batang" w:hAnsi="Verdana"/>
          <w:sz w:val="20"/>
          <w:szCs w:val="20"/>
          <w:lang w:val="en-US"/>
        </w:rPr>
        <w:t xml:space="preserve"> 26</w:t>
      </w:r>
      <w:r w:rsidR="00C31FAF" w:rsidRPr="00D2561A">
        <w:rPr>
          <w:rFonts w:ascii="Verdana" w:eastAsia="Batang" w:hAnsi="Verdana"/>
          <w:sz w:val="20"/>
          <w:szCs w:val="20"/>
          <w:lang w:val="en-US"/>
        </w:rPr>
        <w:t>,</w:t>
      </w:r>
      <w:r w:rsidR="00495782" w:rsidRPr="00D2561A">
        <w:rPr>
          <w:rFonts w:ascii="Verdana" w:eastAsia="Batang" w:hAnsi="Verdana"/>
          <w:sz w:val="20"/>
          <w:szCs w:val="20"/>
          <w:lang w:val="en-US"/>
        </w:rPr>
        <w:t>”</w:t>
      </w:r>
      <w:r w:rsidR="00495782" w:rsidRPr="00D2561A">
        <w:rPr>
          <w:rStyle w:val="Refdenotaalpie"/>
          <w:rFonts w:ascii="Verdana" w:eastAsia="Batang" w:hAnsi="Verdana"/>
          <w:sz w:val="20"/>
          <w:szCs w:val="20"/>
          <w:lang w:val="en-US"/>
        </w:rPr>
        <w:footnoteReference w:id="35"/>
      </w:r>
      <w:r w:rsidR="00C31FAF" w:rsidRPr="00D2561A">
        <w:rPr>
          <w:rFonts w:ascii="Verdana" w:eastAsia="Batang" w:hAnsi="Verdana"/>
          <w:sz w:val="20"/>
          <w:szCs w:val="20"/>
          <w:lang w:val="en-US"/>
        </w:rPr>
        <w:t xml:space="preserve"> rather it is a right that derives from the economic, social, educational, scientific and cultural standards contained in the OAS Charter; in other words, a rights that originates from the latter and not from the Convention. </w:t>
      </w:r>
    </w:p>
    <w:p w14:paraId="62408F4C" w14:textId="77777777" w:rsidR="00AF2E4B" w:rsidRPr="00D2561A" w:rsidRDefault="00AF2E4B" w:rsidP="000E0801">
      <w:pPr>
        <w:pStyle w:val="Prrafodelista"/>
        <w:spacing w:line="240" w:lineRule="auto"/>
        <w:ind w:left="-270" w:right="-162"/>
        <w:rPr>
          <w:rFonts w:ascii="Verdana" w:hAnsi="Verdana"/>
          <w:sz w:val="20"/>
          <w:szCs w:val="20"/>
          <w:lang w:val="en-US"/>
        </w:rPr>
      </w:pPr>
    </w:p>
    <w:p w14:paraId="33279DF0" w14:textId="217269FA" w:rsidR="009611C0" w:rsidRPr="00D2561A" w:rsidRDefault="009611C0" w:rsidP="009611C0">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In s</w:t>
      </w:r>
      <w:r w:rsidR="000D5D25" w:rsidRPr="00D2561A">
        <w:rPr>
          <w:rFonts w:ascii="Verdana" w:hAnsi="Verdana"/>
          <w:sz w:val="20"/>
          <w:szCs w:val="20"/>
          <w:lang w:val="en-US"/>
        </w:rPr>
        <w:t>hort</w:t>
      </w:r>
      <w:r w:rsidRPr="00D2561A">
        <w:rPr>
          <w:rFonts w:ascii="Verdana" w:hAnsi="Verdana"/>
          <w:sz w:val="20"/>
          <w:szCs w:val="20"/>
          <w:lang w:val="en-US"/>
        </w:rPr>
        <w:t xml:space="preserve">, </w:t>
      </w:r>
      <w:r w:rsidR="00E30D1A" w:rsidRPr="00D2561A">
        <w:rPr>
          <w:rFonts w:ascii="Verdana" w:hAnsi="Verdana"/>
          <w:sz w:val="20"/>
          <w:szCs w:val="20"/>
          <w:lang w:val="en-US"/>
        </w:rPr>
        <w:t>the Convention</w:t>
      </w:r>
      <w:r w:rsidR="003E05D4" w:rsidRPr="00D2561A">
        <w:rPr>
          <w:rFonts w:ascii="Verdana" w:hAnsi="Verdana"/>
          <w:sz w:val="20"/>
          <w:szCs w:val="20"/>
          <w:lang w:val="en-US"/>
        </w:rPr>
        <w:t xml:space="preserve"> </w:t>
      </w:r>
      <w:r w:rsidRPr="00D2561A">
        <w:rPr>
          <w:rFonts w:ascii="Verdana" w:hAnsi="Verdana"/>
          <w:sz w:val="20"/>
          <w:szCs w:val="20"/>
          <w:lang w:val="en-US"/>
        </w:rPr>
        <w:t>does not, as the judgment states “make a direct referral to the economic, social, educational, scientific and cultural norms contained in the OAS Charter,</w:t>
      </w:r>
      <w:r w:rsidR="003E05D4" w:rsidRPr="00D2561A">
        <w:rPr>
          <w:rFonts w:ascii="Verdana" w:hAnsi="Verdana"/>
          <w:sz w:val="20"/>
          <w:szCs w:val="20"/>
          <w:lang w:val="en-US"/>
        </w:rPr>
        <w:t>”</w:t>
      </w:r>
      <w:r w:rsidRPr="00D2561A">
        <w:rPr>
          <w:rFonts w:ascii="Verdana" w:hAnsi="Verdana"/>
          <w:sz w:val="20"/>
          <w:szCs w:val="20"/>
          <w:lang w:val="en-US"/>
        </w:rPr>
        <w:t xml:space="preserve"> but rather, as it textually indicates, the rights in question “can be derived by interpretation from Article 26,” from which, also, their “existence and implicit recognition in the OAS Charter” can be inferred.</w:t>
      </w:r>
      <w:r w:rsidRPr="00D2561A">
        <w:rPr>
          <w:rStyle w:val="Refdenotaalpie"/>
          <w:rFonts w:ascii="Verdana" w:hAnsi="Verdana"/>
          <w:sz w:val="20"/>
          <w:szCs w:val="20"/>
          <w:lang w:val="en-US"/>
        </w:rPr>
        <w:footnoteReference w:id="36"/>
      </w:r>
      <w:r w:rsidRPr="00D2561A">
        <w:rPr>
          <w:rFonts w:ascii="Verdana" w:hAnsi="Verdana"/>
          <w:sz w:val="20"/>
          <w:szCs w:val="20"/>
          <w:lang w:val="en-US"/>
        </w:rPr>
        <w:t xml:space="preserve"> In order to determine those rights and consider them to be “recognized,” “established,” “guaranteed,” “</w:t>
      </w:r>
      <w:r w:rsidR="005A014C">
        <w:rPr>
          <w:rFonts w:ascii="Verdana" w:hAnsi="Verdana"/>
          <w:sz w:val="20"/>
          <w:szCs w:val="20"/>
          <w:lang w:val="en-US"/>
        </w:rPr>
        <w:t>enshrined</w:t>
      </w:r>
      <w:r w:rsidRPr="00D2561A">
        <w:rPr>
          <w:rFonts w:ascii="Verdana" w:hAnsi="Verdana"/>
          <w:sz w:val="20"/>
          <w:szCs w:val="20"/>
          <w:lang w:val="en-US"/>
        </w:rPr>
        <w:t>” or “protected” by the Convention, it would be necessary to interpret the said norms of the OAS Charter, derive from them the corresponding rights, and consequently, consider them recognized, although not expressly but only implicitly</w:t>
      </w:r>
      <w:r w:rsidR="00D167A3" w:rsidRPr="00D2561A">
        <w:rPr>
          <w:rFonts w:ascii="Verdana" w:hAnsi="Verdana"/>
          <w:sz w:val="20"/>
          <w:szCs w:val="20"/>
          <w:lang w:val="en-US"/>
        </w:rPr>
        <w:t>,</w:t>
      </w:r>
      <w:r w:rsidRPr="00D2561A">
        <w:rPr>
          <w:rFonts w:ascii="Verdana" w:hAnsi="Verdana"/>
          <w:sz w:val="20"/>
          <w:szCs w:val="20"/>
          <w:lang w:val="en-US"/>
        </w:rPr>
        <w:t xml:space="preserve"> by that treaty; an intellectual exercise that is too abstruse in relation to the clear and direct language of the Convention </w:t>
      </w:r>
      <w:r w:rsidR="003741AD" w:rsidRPr="00D2561A">
        <w:rPr>
          <w:rFonts w:ascii="Verdana" w:hAnsi="Verdana"/>
          <w:sz w:val="20"/>
          <w:szCs w:val="20"/>
          <w:lang w:val="en-US"/>
        </w:rPr>
        <w:t>in relation to the rights to which it refers.</w:t>
      </w:r>
    </w:p>
    <w:p w14:paraId="5A43F22B" w14:textId="77777777" w:rsidR="002E4094" w:rsidRPr="00D2561A" w:rsidRDefault="002E4094" w:rsidP="000E0801">
      <w:pPr>
        <w:pStyle w:val="Prrafodelista"/>
        <w:spacing w:line="240" w:lineRule="auto"/>
        <w:ind w:left="-270" w:right="-162"/>
        <w:rPr>
          <w:rFonts w:ascii="Verdana" w:hAnsi="Verdana"/>
          <w:sz w:val="20"/>
          <w:szCs w:val="20"/>
          <w:lang w:val="en-US"/>
        </w:rPr>
      </w:pPr>
    </w:p>
    <w:p w14:paraId="0D0B1D8B" w14:textId="3790F272" w:rsidR="002E4094" w:rsidRPr="00D2561A" w:rsidRDefault="00E9106E"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Evident</w:t>
      </w:r>
      <w:r w:rsidR="003741AD" w:rsidRPr="00D2561A">
        <w:rPr>
          <w:rFonts w:ascii="Verdana" w:hAnsi="Verdana"/>
          <w:sz w:val="20"/>
          <w:szCs w:val="20"/>
          <w:lang w:val="en-US"/>
        </w:rPr>
        <w:t>ly, I cannot share the position adopted in the judgment</w:t>
      </w:r>
      <w:r w:rsidR="00D167A3" w:rsidRPr="00D2561A">
        <w:rPr>
          <w:rFonts w:ascii="Verdana" w:hAnsi="Verdana"/>
          <w:sz w:val="20"/>
          <w:szCs w:val="20"/>
          <w:lang w:val="en-US"/>
        </w:rPr>
        <w:t>.</w:t>
      </w:r>
      <w:r w:rsidR="003741AD" w:rsidRPr="00D2561A">
        <w:rPr>
          <w:rFonts w:ascii="Verdana" w:hAnsi="Verdana"/>
          <w:sz w:val="20"/>
          <w:szCs w:val="20"/>
          <w:lang w:val="en-US"/>
        </w:rPr>
        <w:t xml:space="preserve"> </w:t>
      </w:r>
      <w:r w:rsidR="00D167A3" w:rsidRPr="00D2561A">
        <w:rPr>
          <w:rFonts w:ascii="Verdana" w:hAnsi="Verdana"/>
          <w:sz w:val="20"/>
          <w:szCs w:val="20"/>
          <w:lang w:val="en-US"/>
        </w:rPr>
        <w:t>I</w:t>
      </w:r>
      <w:r w:rsidR="003741AD" w:rsidRPr="00D2561A">
        <w:rPr>
          <w:rFonts w:ascii="Verdana" w:hAnsi="Verdana"/>
          <w:sz w:val="20"/>
          <w:szCs w:val="20"/>
          <w:lang w:val="en-US"/>
        </w:rPr>
        <w:t xml:space="preserve">n particular because </w:t>
      </w:r>
      <w:r w:rsidR="00E30D1A" w:rsidRPr="00D2561A">
        <w:rPr>
          <w:rFonts w:ascii="Verdana" w:hAnsi="Verdana"/>
          <w:sz w:val="20"/>
          <w:szCs w:val="20"/>
          <w:lang w:val="en-US"/>
        </w:rPr>
        <w:t>Article</w:t>
      </w:r>
      <w:r w:rsidRPr="00D2561A">
        <w:rPr>
          <w:rFonts w:ascii="Verdana" w:hAnsi="Verdana"/>
          <w:sz w:val="20"/>
          <w:szCs w:val="20"/>
          <w:lang w:val="en-US"/>
        </w:rPr>
        <w:t xml:space="preserve"> 26 </w:t>
      </w:r>
      <w:r w:rsidR="003741AD" w:rsidRPr="00D2561A">
        <w:rPr>
          <w:rFonts w:ascii="Verdana" w:hAnsi="Verdana"/>
          <w:sz w:val="20"/>
          <w:szCs w:val="20"/>
          <w:lang w:val="en-US"/>
        </w:rPr>
        <w:t>does not recognize any right, but merely refers to the norms of the OAS that it indicates, from which rights would then be derived</w:t>
      </w:r>
      <w:r w:rsidR="00D167A3" w:rsidRPr="00D2561A">
        <w:rPr>
          <w:rFonts w:ascii="Verdana" w:hAnsi="Verdana"/>
          <w:sz w:val="20"/>
          <w:szCs w:val="20"/>
          <w:lang w:val="en-US"/>
        </w:rPr>
        <w:t xml:space="preserve">, and also because, </w:t>
      </w:r>
      <w:r w:rsidR="003741AD" w:rsidRPr="00D2561A">
        <w:rPr>
          <w:rFonts w:ascii="Verdana" w:hAnsi="Verdana"/>
          <w:sz w:val="20"/>
          <w:szCs w:val="20"/>
          <w:lang w:val="en-US"/>
        </w:rPr>
        <w:t>in view of</w:t>
      </w:r>
      <w:r w:rsidR="00D167A3" w:rsidRPr="00D2561A">
        <w:rPr>
          <w:rFonts w:ascii="Verdana" w:hAnsi="Verdana"/>
          <w:sz w:val="20"/>
          <w:szCs w:val="20"/>
          <w:lang w:val="en-US"/>
        </w:rPr>
        <w:t xml:space="preserve"> what the judgment</w:t>
      </w:r>
      <w:r w:rsidR="003741AD" w:rsidRPr="00D2561A">
        <w:rPr>
          <w:rFonts w:ascii="Verdana" w:hAnsi="Verdana"/>
          <w:sz w:val="20"/>
          <w:szCs w:val="20"/>
          <w:lang w:val="en-US"/>
        </w:rPr>
        <w:t xml:space="preserve"> indicate</w:t>
      </w:r>
      <w:r w:rsidR="00D167A3" w:rsidRPr="00D2561A">
        <w:rPr>
          <w:rFonts w:ascii="Verdana" w:hAnsi="Verdana"/>
          <w:sz w:val="20"/>
          <w:szCs w:val="20"/>
          <w:lang w:val="en-US"/>
        </w:rPr>
        <w:t>s</w:t>
      </w:r>
      <w:r w:rsidR="003741AD" w:rsidRPr="00D2561A">
        <w:rPr>
          <w:rFonts w:ascii="Verdana" w:hAnsi="Verdana"/>
          <w:sz w:val="20"/>
          <w:szCs w:val="20"/>
          <w:lang w:val="en-US"/>
        </w:rPr>
        <w:t>, this differs totally from what the norm explicitly establishes, without providing any justification, but only explanations that appear designed to interpret it in a way that is completely contrary to what it textually and clearly indicates.</w:t>
      </w:r>
    </w:p>
    <w:p w14:paraId="7E791B9C" w14:textId="77777777" w:rsidR="002E4094" w:rsidRPr="00D2561A" w:rsidRDefault="002E4094" w:rsidP="000E0801">
      <w:pPr>
        <w:pStyle w:val="Prrafodelista"/>
        <w:spacing w:line="240" w:lineRule="auto"/>
        <w:ind w:left="-270" w:right="-162"/>
        <w:rPr>
          <w:rFonts w:ascii="Verdana" w:hAnsi="Verdana"/>
          <w:sz w:val="20"/>
          <w:szCs w:val="20"/>
          <w:lang w:val="en-US"/>
        </w:rPr>
      </w:pPr>
    </w:p>
    <w:p w14:paraId="4DA06B55" w14:textId="5C472637" w:rsidR="003741AD" w:rsidRPr="00D2561A" w:rsidRDefault="003741AD"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By </w:t>
      </w:r>
      <w:r w:rsidR="00D167A3" w:rsidRPr="00D2561A">
        <w:rPr>
          <w:rFonts w:ascii="Verdana" w:hAnsi="Verdana"/>
          <w:sz w:val="20"/>
          <w:szCs w:val="20"/>
          <w:lang w:val="en-US"/>
        </w:rPr>
        <w:t>adopting this approach</w:t>
      </w:r>
      <w:r w:rsidRPr="00D2561A">
        <w:rPr>
          <w:rFonts w:ascii="Verdana" w:hAnsi="Verdana"/>
          <w:sz w:val="20"/>
          <w:szCs w:val="20"/>
          <w:lang w:val="en-US"/>
        </w:rPr>
        <w:t xml:space="preserve">, </w:t>
      </w:r>
      <w:r w:rsidR="0032767A" w:rsidRPr="00D2561A">
        <w:rPr>
          <w:rFonts w:ascii="Verdana" w:hAnsi="Verdana"/>
          <w:sz w:val="20"/>
          <w:szCs w:val="20"/>
          <w:lang w:val="en-US"/>
        </w:rPr>
        <w:t>the judgment</w:t>
      </w:r>
      <w:r w:rsidR="00E9106E" w:rsidRPr="00D2561A">
        <w:rPr>
          <w:rFonts w:ascii="Verdana" w:hAnsi="Verdana"/>
          <w:sz w:val="20"/>
          <w:szCs w:val="20"/>
          <w:lang w:val="en-US"/>
        </w:rPr>
        <w:t xml:space="preserve"> </w:t>
      </w:r>
      <w:r w:rsidR="00D167A3" w:rsidRPr="00D2561A">
        <w:rPr>
          <w:rFonts w:ascii="Verdana" w:hAnsi="Verdana"/>
          <w:sz w:val="20"/>
          <w:szCs w:val="20"/>
          <w:lang w:val="en-US"/>
        </w:rPr>
        <w:t>plainly</w:t>
      </w:r>
      <w:r w:rsidRPr="00D2561A">
        <w:rPr>
          <w:rFonts w:ascii="Verdana" w:hAnsi="Verdana"/>
          <w:sz w:val="20"/>
          <w:szCs w:val="20"/>
          <w:lang w:val="en-US"/>
        </w:rPr>
        <w:t xml:space="preserve"> disregards the literal meaning of </w:t>
      </w:r>
      <w:r w:rsidR="00D5153E" w:rsidRPr="00D2561A">
        <w:rPr>
          <w:rFonts w:ascii="Verdana" w:hAnsi="Verdana"/>
          <w:sz w:val="20"/>
          <w:szCs w:val="20"/>
          <w:lang w:val="en-US"/>
        </w:rPr>
        <w:t>Article</w:t>
      </w:r>
      <w:r w:rsidR="00E9106E" w:rsidRPr="00D2561A">
        <w:rPr>
          <w:rFonts w:ascii="Verdana" w:hAnsi="Verdana"/>
          <w:sz w:val="20"/>
          <w:szCs w:val="20"/>
          <w:lang w:val="en-US"/>
        </w:rPr>
        <w:t xml:space="preserve"> 26 </w:t>
      </w:r>
      <w:r w:rsidRPr="00D2561A">
        <w:rPr>
          <w:rFonts w:ascii="Verdana" w:hAnsi="Verdana"/>
          <w:sz w:val="20"/>
          <w:szCs w:val="20"/>
          <w:lang w:val="en-US"/>
        </w:rPr>
        <w:t xml:space="preserve">and, consequently, does not apply the provisions of Article 31(1) of the Vienna Convention to it harmoniously or, strictly, make an interpretation of it. It appears that, for the judgment, the literal meaning of what was agreed has no relevance whatsoever and, therefore, it considers it a mere formulism, </w:t>
      </w:r>
      <w:r w:rsidR="00B1107D" w:rsidRPr="00D2561A">
        <w:rPr>
          <w:rFonts w:ascii="Verdana" w:hAnsi="Verdana"/>
          <w:sz w:val="20"/>
          <w:szCs w:val="20"/>
          <w:lang w:val="en-US"/>
        </w:rPr>
        <w:t xml:space="preserve">which allows it to attribute to this provision a meaning and scope that is far from </w:t>
      </w:r>
      <w:r w:rsidR="00D167A3" w:rsidRPr="00D2561A">
        <w:rPr>
          <w:rFonts w:ascii="Verdana" w:hAnsi="Verdana"/>
          <w:sz w:val="20"/>
          <w:szCs w:val="20"/>
          <w:lang w:val="en-US"/>
        </w:rPr>
        <w:t>that expressly established by</w:t>
      </w:r>
      <w:r w:rsidR="00B1107D" w:rsidRPr="00D2561A">
        <w:rPr>
          <w:rFonts w:ascii="Verdana" w:hAnsi="Verdana"/>
          <w:sz w:val="20"/>
          <w:szCs w:val="20"/>
          <w:lang w:val="en-US"/>
        </w:rPr>
        <w:t xml:space="preserve"> the States, as if they really meant to </w:t>
      </w:r>
      <w:r w:rsidR="00AE2061" w:rsidRPr="00D2561A">
        <w:rPr>
          <w:rFonts w:ascii="Verdana" w:hAnsi="Verdana"/>
          <w:sz w:val="20"/>
          <w:szCs w:val="20"/>
          <w:lang w:val="en-US"/>
        </w:rPr>
        <w:t>establish</w:t>
      </w:r>
      <w:r w:rsidR="00B1107D" w:rsidRPr="00D2561A">
        <w:rPr>
          <w:rFonts w:ascii="Verdana" w:hAnsi="Verdana"/>
          <w:sz w:val="20"/>
          <w:szCs w:val="20"/>
          <w:lang w:val="en-US"/>
        </w:rPr>
        <w:t xml:space="preserve"> something else, which is evidently illogical.</w:t>
      </w:r>
    </w:p>
    <w:p w14:paraId="3D984614" w14:textId="77777777" w:rsidR="002E4094" w:rsidRPr="00D2561A" w:rsidRDefault="002E4094" w:rsidP="000E0801">
      <w:pPr>
        <w:pStyle w:val="Prrafodelista"/>
        <w:spacing w:line="240" w:lineRule="auto"/>
        <w:ind w:left="-270" w:right="-162"/>
        <w:rPr>
          <w:rFonts w:ascii="Verdana" w:hAnsi="Verdana"/>
          <w:sz w:val="20"/>
          <w:szCs w:val="20"/>
          <w:lang w:val="en-US"/>
        </w:rPr>
      </w:pPr>
    </w:p>
    <w:p w14:paraId="1AB99273" w14:textId="4912F73A" w:rsidR="00B1107D" w:rsidRPr="00D2561A" w:rsidRDefault="00B1107D"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To the contrary, there are grounds for affirming that, based on its literal meaning and the principle of good faith, Article 26</w:t>
      </w:r>
      <w:r w:rsidR="00AE2061" w:rsidRPr="00D2561A">
        <w:rPr>
          <w:rFonts w:ascii="Verdana" w:hAnsi="Verdana"/>
          <w:sz w:val="20"/>
          <w:szCs w:val="20"/>
          <w:lang w:val="en-US"/>
        </w:rPr>
        <w:t xml:space="preserve"> </w:t>
      </w:r>
      <w:r w:rsidRPr="00D2561A">
        <w:rPr>
          <w:rFonts w:ascii="Verdana" w:hAnsi="Verdana"/>
          <w:sz w:val="20"/>
          <w:szCs w:val="20"/>
          <w:lang w:val="en-US"/>
        </w:rPr>
        <w:t xml:space="preserve">does not </w:t>
      </w:r>
      <w:r w:rsidR="00CE6E57" w:rsidRPr="00D2561A">
        <w:rPr>
          <w:rFonts w:ascii="Verdana" w:hAnsi="Verdana"/>
          <w:sz w:val="20"/>
          <w:szCs w:val="20"/>
          <w:lang w:val="en-US"/>
        </w:rPr>
        <w:t>suggest</w:t>
      </w:r>
      <w:r w:rsidRPr="00D2561A">
        <w:rPr>
          <w:rFonts w:ascii="Verdana" w:hAnsi="Verdana"/>
          <w:sz w:val="20"/>
          <w:szCs w:val="20"/>
          <w:lang w:val="en-US"/>
        </w:rPr>
        <w:t xml:space="preserve"> various possibilities for its application; in other words, </w:t>
      </w:r>
      <w:r w:rsidR="00CE6E57" w:rsidRPr="00D2561A">
        <w:rPr>
          <w:rFonts w:ascii="Verdana" w:hAnsi="Verdana"/>
          <w:sz w:val="20"/>
          <w:szCs w:val="20"/>
          <w:lang w:val="en-US"/>
        </w:rPr>
        <w:t xml:space="preserve">raise </w:t>
      </w:r>
      <w:r w:rsidRPr="00D2561A">
        <w:rPr>
          <w:rFonts w:ascii="Verdana" w:hAnsi="Verdana"/>
          <w:sz w:val="20"/>
          <w:szCs w:val="20"/>
          <w:lang w:val="en-US"/>
        </w:rPr>
        <w:t>doubts about its meaning and scope that, consequently, would justify the interpretation that ostensibly differs from what was agreed and</w:t>
      </w:r>
      <w:r w:rsidR="00AE2061" w:rsidRPr="00D2561A">
        <w:rPr>
          <w:rFonts w:ascii="Verdana" w:hAnsi="Verdana"/>
          <w:sz w:val="20"/>
          <w:szCs w:val="20"/>
          <w:lang w:val="en-US"/>
        </w:rPr>
        <w:t xml:space="preserve">, furthermore, </w:t>
      </w:r>
      <w:r w:rsidR="00CE6E57" w:rsidRPr="00D2561A">
        <w:rPr>
          <w:rFonts w:ascii="Verdana" w:hAnsi="Verdana"/>
          <w:sz w:val="20"/>
          <w:szCs w:val="20"/>
          <w:lang w:val="en-US"/>
        </w:rPr>
        <w:t xml:space="preserve">it </w:t>
      </w:r>
      <w:r w:rsidRPr="00D2561A">
        <w:rPr>
          <w:rFonts w:ascii="Verdana" w:hAnsi="Verdana"/>
          <w:sz w:val="20"/>
          <w:szCs w:val="20"/>
          <w:lang w:val="en-US"/>
        </w:rPr>
        <w:t xml:space="preserve">does not establish any human right and, especially, one that is enforceable before the Court, but rather alludes to obligations of conduct </w:t>
      </w:r>
      <w:r w:rsidR="00AE2061" w:rsidRPr="00D2561A">
        <w:rPr>
          <w:rFonts w:ascii="Verdana" w:hAnsi="Verdana"/>
          <w:sz w:val="20"/>
          <w:szCs w:val="20"/>
          <w:lang w:val="en-US"/>
        </w:rPr>
        <w:t>rather than of</w:t>
      </w:r>
      <w:r w:rsidRPr="00D2561A">
        <w:rPr>
          <w:rFonts w:ascii="Verdana" w:hAnsi="Verdana"/>
          <w:sz w:val="20"/>
          <w:szCs w:val="20"/>
          <w:lang w:val="en-US"/>
        </w:rPr>
        <w:t xml:space="preserve"> result assumed by the States Parties to the Convention.</w:t>
      </w:r>
    </w:p>
    <w:p w14:paraId="73AE775C" w14:textId="77777777" w:rsidR="002E4094" w:rsidRPr="00D2561A" w:rsidRDefault="002E4094" w:rsidP="000E0801">
      <w:pPr>
        <w:pStyle w:val="Prrafodelista"/>
        <w:spacing w:line="240" w:lineRule="auto"/>
        <w:ind w:left="-270" w:right="-162"/>
        <w:rPr>
          <w:rFonts w:ascii="Verdana" w:hAnsi="Verdana"/>
          <w:sz w:val="20"/>
          <w:szCs w:val="20"/>
          <w:lang w:val="en-US"/>
        </w:rPr>
      </w:pPr>
    </w:p>
    <w:p w14:paraId="0E59012C" w14:textId="6BF037E0" w:rsidR="00B1107D" w:rsidRPr="00D2561A" w:rsidRDefault="00B1107D" w:rsidP="00B1107D">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Ultimately, it is possible to conclude, contrary to what the judgment indicates, that “in accordance with the ordinary meaning to be given to the terms of the treaty,” Article 26 does not constitute sufficient grounds</w:t>
      </w:r>
      <w:r w:rsidR="00AE2061" w:rsidRPr="00D2561A">
        <w:rPr>
          <w:rFonts w:ascii="Verdana" w:hAnsi="Verdana"/>
          <w:sz w:val="20"/>
          <w:szCs w:val="20"/>
          <w:lang w:val="en-US"/>
        </w:rPr>
        <w:t xml:space="preserve"> to have recourse to</w:t>
      </w:r>
      <w:r w:rsidRPr="00D2561A">
        <w:rPr>
          <w:rFonts w:ascii="Verdana" w:hAnsi="Verdana"/>
          <w:sz w:val="20"/>
          <w:szCs w:val="20"/>
          <w:lang w:val="en-US"/>
        </w:rPr>
        <w:t xml:space="preserve"> the Court to safeguard the rights that “derive” from the OAS Charter and that, consequently, are not “recognized,” “established,” “</w:t>
      </w:r>
      <w:r w:rsidR="00E4523B">
        <w:rPr>
          <w:rFonts w:ascii="Verdana" w:hAnsi="Verdana"/>
          <w:sz w:val="20"/>
          <w:szCs w:val="20"/>
          <w:lang w:val="en-US"/>
        </w:rPr>
        <w:t>enshrined</w:t>
      </w:r>
      <w:r w:rsidRPr="00D2561A">
        <w:rPr>
          <w:rFonts w:ascii="Verdana" w:hAnsi="Verdana"/>
          <w:sz w:val="20"/>
          <w:szCs w:val="20"/>
          <w:lang w:val="en-US"/>
        </w:rPr>
        <w:t xml:space="preserve">” or “protected” in or by the Convention, the only ones </w:t>
      </w:r>
      <w:r w:rsidR="00AE2061" w:rsidRPr="00D2561A">
        <w:rPr>
          <w:rFonts w:ascii="Verdana" w:hAnsi="Verdana"/>
          <w:sz w:val="20"/>
          <w:szCs w:val="20"/>
          <w:lang w:val="en-US"/>
        </w:rPr>
        <w:t>that</w:t>
      </w:r>
      <w:r w:rsidRPr="00D2561A">
        <w:rPr>
          <w:rFonts w:ascii="Verdana" w:hAnsi="Verdana"/>
          <w:sz w:val="20"/>
          <w:szCs w:val="20"/>
          <w:lang w:val="en-US"/>
        </w:rPr>
        <w:t>, if they are violated, are justiciable before the inter-American jurisdictional instance.</w:t>
      </w:r>
    </w:p>
    <w:p w14:paraId="12D21D86" w14:textId="77777777" w:rsidR="00E9106E" w:rsidRPr="00D2561A" w:rsidRDefault="00E9106E" w:rsidP="000E0801">
      <w:pPr>
        <w:spacing w:line="240" w:lineRule="auto"/>
        <w:ind w:left="-270" w:right="-162"/>
        <w:contextualSpacing/>
        <w:rPr>
          <w:rFonts w:ascii="Verdana" w:hAnsi="Verdana"/>
          <w:sz w:val="20"/>
          <w:szCs w:val="20"/>
          <w:lang w:val="en-US"/>
        </w:rPr>
      </w:pPr>
    </w:p>
    <w:p w14:paraId="21C34804" w14:textId="262DFA29" w:rsidR="00E9106E" w:rsidRPr="00EC1F8A" w:rsidRDefault="003941DD" w:rsidP="000E0801">
      <w:pPr>
        <w:numPr>
          <w:ilvl w:val="0"/>
          <w:numId w:val="14"/>
        </w:numPr>
        <w:spacing w:line="240" w:lineRule="auto"/>
        <w:ind w:left="-270" w:right="-162" w:firstLine="0"/>
        <w:contextualSpacing/>
        <w:rPr>
          <w:rFonts w:ascii="Verdana" w:hAnsi="Verdana"/>
          <w:b/>
          <w:sz w:val="20"/>
          <w:szCs w:val="20"/>
          <w:lang w:val="en-US"/>
        </w:rPr>
      </w:pPr>
      <w:r w:rsidRPr="00EC1F8A">
        <w:rPr>
          <w:rFonts w:ascii="Verdana" w:hAnsi="Verdana"/>
          <w:b/>
          <w:sz w:val="20"/>
          <w:szCs w:val="20"/>
          <w:lang w:val="en-US"/>
        </w:rPr>
        <w:t>Subjective method</w:t>
      </w:r>
    </w:p>
    <w:p w14:paraId="5BAE8CFB" w14:textId="77777777" w:rsidR="00E9106E" w:rsidRPr="00D2561A" w:rsidRDefault="00E9106E" w:rsidP="000E0801">
      <w:pPr>
        <w:spacing w:line="240" w:lineRule="auto"/>
        <w:ind w:left="-270" w:right="-162"/>
        <w:contextualSpacing/>
        <w:rPr>
          <w:rFonts w:ascii="Verdana" w:hAnsi="Verdana"/>
          <w:b/>
          <w:sz w:val="20"/>
          <w:szCs w:val="20"/>
          <w:lang w:val="en-US"/>
        </w:rPr>
      </w:pPr>
    </w:p>
    <w:p w14:paraId="5263569E" w14:textId="064CB1D4" w:rsidR="00E9106E" w:rsidRPr="00D2561A" w:rsidRDefault="00FF5024" w:rsidP="000E0801">
      <w:pPr>
        <w:pStyle w:val="Prrafodelista"/>
        <w:numPr>
          <w:ilvl w:val="0"/>
          <w:numId w:val="5"/>
        </w:numPr>
        <w:spacing w:line="240" w:lineRule="auto"/>
        <w:ind w:left="-270" w:right="-162" w:firstLine="0"/>
        <w:rPr>
          <w:rFonts w:ascii="Verdana" w:hAnsi="Verdana"/>
          <w:b/>
          <w:sz w:val="20"/>
          <w:szCs w:val="20"/>
          <w:lang w:val="en-US"/>
        </w:rPr>
      </w:pPr>
      <w:r w:rsidRPr="00D2561A">
        <w:rPr>
          <w:rFonts w:ascii="Verdana" w:hAnsi="Verdana"/>
          <w:sz w:val="20"/>
          <w:szCs w:val="20"/>
          <w:lang w:val="en-US"/>
        </w:rPr>
        <w:t xml:space="preserve">When attempting to understand the intention of </w:t>
      </w:r>
      <w:r w:rsidR="00B1107D" w:rsidRPr="00D2561A">
        <w:rPr>
          <w:rFonts w:ascii="Verdana" w:hAnsi="Verdana"/>
          <w:sz w:val="20"/>
          <w:szCs w:val="20"/>
          <w:lang w:val="en-US"/>
        </w:rPr>
        <w:t>the States Parties</w:t>
      </w:r>
      <w:r w:rsidR="00E30D1A" w:rsidRPr="00D2561A">
        <w:rPr>
          <w:rFonts w:ascii="Verdana" w:hAnsi="Verdana"/>
          <w:sz w:val="20"/>
          <w:szCs w:val="20"/>
          <w:lang w:val="en-US"/>
        </w:rPr>
        <w:t xml:space="preserve"> </w:t>
      </w:r>
      <w:r w:rsidRPr="00D2561A">
        <w:rPr>
          <w:rFonts w:ascii="Verdana" w:hAnsi="Verdana"/>
          <w:sz w:val="20"/>
          <w:szCs w:val="20"/>
          <w:lang w:val="en-US"/>
        </w:rPr>
        <w:t xml:space="preserve">to </w:t>
      </w:r>
      <w:r w:rsidR="00E30D1A" w:rsidRPr="00D2561A">
        <w:rPr>
          <w:rFonts w:ascii="Verdana" w:hAnsi="Verdana"/>
          <w:sz w:val="20"/>
          <w:szCs w:val="20"/>
          <w:lang w:val="en-US"/>
        </w:rPr>
        <w:t>the Convention</w:t>
      </w:r>
      <w:r w:rsidR="00E9106E" w:rsidRPr="00D2561A">
        <w:rPr>
          <w:rFonts w:ascii="Verdana" w:hAnsi="Verdana"/>
          <w:sz w:val="20"/>
          <w:szCs w:val="20"/>
          <w:lang w:val="en-US"/>
        </w:rPr>
        <w:t xml:space="preserve"> </w:t>
      </w:r>
      <w:r w:rsidRPr="00D2561A">
        <w:rPr>
          <w:rFonts w:ascii="Verdana" w:hAnsi="Verdana"/>
          <w:sz w:val="20"/>
          <w:szCs w:val="20"/>
          <w:lang w:val="en-US"/>
        </w:rPr>
        <w:t>with regard to</w:t>
      </w:r>
      <w:r w:rsidR="00D5153E" w:rsidRPr="00D2561A">
        <w:rPr>
          <w:rFonts w:ascii="Verdana" w:hAnsi="Verdana"/>
          <w:sz w:val="20"/>
          <w:szCs w:val="20"/>
          <w:lang w:val="en-US"/>
        </w:rPr>
        <w:t xml:space="preserve"> Article</w:t>
      </w:r>
      <w:r w:rsidR="00E9106E" w:rsidRPr="00D2561A">
        <w:rPr>
          <w:rFonts w:ascii="Verdana" w:hAnsi="Verdana"/>
          <w:sz w:val="20"/>
          <w:szCs w:val="20"/>
          <w:lang w:val="en-US"/>
        </w:rPr>
        <w:t xml:space="preserve"> 26, </w:t>
      </w:r>
      <w:r w:rsidRPr="00D2561A">
        <w:rPr>
          <w:rFonts w:ascii="Verdana" w:hAnsi="Verdana"/>
          <w:sz w:val="20"/>
          <w:szCs w:val="20"/>
          <w:lang w:val="en-US"/>
        </w:rPr>
        <w:t xml:space="preserve">it is necessary to refer, always pursuant to the provisions of </w:t>
      </w:r>
      <w:r w:rsidR="00E30D1A" w:rsidRPr="00D2561A">
        <w:rPr>
          <w:rFonts w:ascii="Verdana" w:hAnsi="Verdana"/>
          <w:sz w:val="20"/>
          <w:szCs w:val="20"/>
          <w:lang w:val="en-US"/>
        </w:rPr>
        <w:t xml:space="preserve">the </w:t>
      </w:r>
      <w:r w:rsidR="00466AF7" w:rsidRPr="00D2561A">
        <w:rPr>
          <w:rFonts w:ascii="Verdana" w:hAnsi="Verdana"/>
          <w:sz w:val="20"/>
          <w:szCs w:val="20"/>
          <w:lang w:val="en-US"/>
        </w:rPr>
        <w:t>Vienna Convention</w:t>
      </w:r>
      <w:r w:rsidR="00E9106E" w:rsidRPr="00D2561A">
        <w:rPr>
          <w:rFonts w:ascii="Verdana" w:hAnsi="Verdana"/>
          <w:sz w:val="20"/>
          <w:szCs w:val="20"/>
          <w:lang w:val="en-US"/>
        </w:rPr>
        <w:t xml:space="preserve">, </w:t>
      </w:r>
      <w:r w:rsidRPr="00D2561A">
        <w:rPr>
          <w:rFonts w:ascii="Verdana" w:hAnsi="Verdana"/>
          <w:sz w:val="20"/>
          <w:szCs w:val="20"/>
          <w:lang w:val="en-US"/>
        </w:rPr>
        <w:t>to the context of the terms</w:t>
      </w:r>
      <w:r w:rsidR="00AE2061" w:rsidRPr="00D2561A">
        <w:rPr>
          <w:rFonts w:ascii="Verdana" w:hAnsi="Verdana"/>
          <w:sz w:val="20"/>
          <w:szCs w:val="20"/>
          <w:lang w:val="en-US"/>
        </w:rPr>
        <w:t xml:space="preserve">; thus, </w:t>
      </w:r>
      <w:r w:rsidRPr="00D2561A">
        <w:rPr>
          <w:rFonts w:ascii="Verdana" w:hAnsi="Verdana"/>
          <w:sz w:val="20"/>
          <w:szCs w:val="20"/>
          <w:lang w:val="en-US"/>
        </w:rPr>
        <w:t>it is necessary to refer to the system established in the Convention in which this article is inserted</w:t>
      </w:r>
      <w:r w:rsidR="00CE6E57" w:rsidRPr="00D2561A">
        <w:rPr>
          <w:rFonts w:ascii="Verdana" w:hAnsi="Verdana"/>
          <w:sz w:val="20"/>
          <w:szCs w:val="20"/>
          <w:lang w:val="en-US"/>
        </w:rPr>
        <w:t>. This</w:t>
      </w:r>
      <w:r w:rsidRPr="00D2561A">
        <w:rPr>
          <w:rFonts w:ascii="Verdana" w:hAnsi="Verdana"/>
          <w:sz w:val="20"/>
          <w:szCs w:val="20"/>
          <w:lang w:val="en-US"/>
        </w:rPr>
        <w:t xml:space="preserve"> means that: </w:t>
      </w:r>
    </w:p>
    <w:p w14:paraId="47FED8A5" w14:textId="77777777" w:rsidR="00E9106E" w:rsidRPr="00D2561A" w:rsidRDefault="00E9106E" w:rsidP="000E0801">
      <w:pPr>
        <w:spacing w:line="240" w:lineRule="auto"/>
        <w:ind w:left="-270" w:right="-162"/>
        <w:contextualSpacing/>
        <w:rPr>
          <w:rFonts w:ascii="Verdana" w:hAnsi="Verdana"/>
          <w:b/>
          <w:sz w:val="20"/>
          <w:szCs w:val="20"/>
          <w:lang w:val="en-US"/>
        </w:rPr>
      </w:pPr>
    </w:p>
    <w:p w14:paraId="16CA0557" w14:textId="1354873D" w:rsidR="00E9106E" w:rsidRPr="00D2561A" w:rsidRDefault="00FF5024" w:rsidP="000E0801">
      <w:pPr>
        <w:numPr>
          <w:ilvl w:val="0"/>
          <w:numId w:val="2"/>
        </w:numPr>
        <w:spacing w:line="240" w:lineRule="auto"/>
        <w:ind w:left="270" w:right="-162" w:hanging="270"/>
        <w:contextualSpacing/>
        <w:rPr>
          <w:rFonts w:ascii="Verdana" w:hAnsi="Verdana"/>
          <w:sz w:val="20"/>
          <w:szCs w:val="20"/>
          <w:lang w:val="en-US"/>
        </w:rPr>
      </w:pPr>
      <w:r w:rsidRPr="00D2561A">
        <w:rPr>
          <w:rFonts w:ascii="Verdana" w:hAnsi="Verdana"/>
          <w:sz w:val="20"/>
          <w:szCs w:val="20"/>
          <w:lang w:val="en-US"/>
        </w:rPr>
        <w:t xml:space="preserve">This system is made up of the rights and obligations that it establishes, the organs responsible for </w:t>
      </w:r>
      <w:r w:rsidR="00AE2061" w:rsidRPr="00D2561A">
        <w:rPr>
          <w:rFonts w:ascii="Verdana" w:hAnsi="Verdana"/>
          <w:sz w:val="20"/>
          <w:szCs w:val="20"/>
          <w:lang w:val="en-US"/>
        </w:rPr>
        <w:t>ensuring</w:t>
      </w:r>
      <w:r w:rsidRPr="00D2561A">
        <w:rPr>
          <w:rFonts w:ascii="Verdana" w:hAnsi="Verdana"/>
          <w:sz w:val="20"/>
          <w:szCs w:val="20"/>
          <w:lang w:val="en-US"/>
        </w:rPr>
        <w:t xml:space="preserve"> their respect and requiring their fulfillment, and provisions concerning </w:t>
      </w:r>
      <w:r w:rsidR="00E30D1A" w:rsidRPr="00D2561A">
        <w:rPr>
          <w:rFonts w:ascii="Verdana" w:hAnsi="Verdana"/>
          <w:sz w:val="20"/>
          <w:szCs w:val="20"/>
          <w:lang w:val="en-US"/>
        </w:rPr>
        <w:t>the Convention</w:t>
      </w:r>
      <w:r w:rsidRPr="00D2561A">
        <w:rPr>
          <w:rFonts w:ascii="Verdana" w:hAnsi="Verdana"/>
          <w:sz w:val="20"/>
          <w:szCs w:val="20"/>
          <w:lang w:val="en-US"/>
        </w:rPr>
        <w:t>;</w:t>
      </w:r>
      <w:r w:rsidR="00E9106E" w:rsidRPr="00D2561A">
        <w:rPr>
          <w:rFonts w:ascii="Verdana" w:hAnsi="Verdana"/>
          <w:sz w:val="20"/>
          <w:szCs w:val="20"/>
          <w:vertAlign w:val="superscript"/>
          <w:lang w:val="en-US"/>
        </w:rPr>
        <w:footnoteReference w:id="37"/>
      </w:r>
    </w:p>
    <w:p w14:paraId="5F3B9473" w14:textId="77777777" w:rsidR="00E9106E" w:rsidRPr="00D2561A" w:rsidRDefault="00E9106E" w:rsidP="000E0801">
      <w:pPr>
        <w:spacing w:line="240" w:lineRule="auto"/>
        <w:ind w:left="270" w:right="-162" w:hanging="270"/>
        <w:contextualSpacing/>
        <w:rPr>
          <w:rFonts w:ascii="Verdana" w:hAnsi="Verdana"/>
          <w:sz w:val="20"/>
          <w:szCs w:val="20"/>
          <w:lang w:val="en-US"/>
        </w:rPr>
      </w:pPr>
    </w:p>
    <w:p w14:paraId="0BBAE250" w14:textId="5694B106" w:rsidR="00E9106E" w:rsidRPr="00D2561A" w:rsidRDefault="00FF5024" w:rsidP="000E0801">
      <w:pPr>
        <w:numPr>
          <w:ilvl w:val="0"/>
          <w:numId w:val="2"/>
        </w:numPr>
        <w:spacing w:after="120" w:line="240" w:lineRule="auto"/>
        <w:ind w:left="270" w:right="-162" w:hanging="270"/>
        <w:contextualSpacing/>
        <w:rPr>
          <w:rFonts w:ascii="Verdana" w:hAnsi="Verdana"/>
          <w:iCs/>
          <w:sz w:val="20"/>
          <w:szCs w:val="20"/>
          <w:lang w:val="en-US"/>
        </w:rPr>
      </w:pPr>
      <w:r w:rsidRPr="00D2561A">
        <w:rPr>
          <w:rFonts w:ascii="Verdana" w:hAnsi="Verdana"/>
          <w:sz w:val="20"/>
          <w:szCs w:val="20"/>
          <w:lang w:val="en-US"/>
        </w:rPr>
        <w:t>With regard to the obligations, these are two-fold, namely: the “Obligation to Respect Rights</w:t>
      </w:r>
      <w:r w:rsidR="00E9106E" w:rsidRPr="00D2561A">
        <w:rPr>
          <w:rFonts w:ascii="Verdana" w:hAnsi="Verdana"/>
          <w:iCs/>
          <w:sz w:val="20"/>
          <w:szCs w:val="20"/>
          <w:lang w:val="en-US"/>
        </w:rPr>
        <w:t>”</w:t>
      </w:r>
      <w:r w:rsidR="00E9106E" w:rsidRPr="00D2561A">
        <w:rPr>
          <w:rFonts w:ascii="Verdana" w:hAnsi="Verdana"/>
          <w:iCs/>
          <w:sz w:val="20"/>
          <w:szCs w:val="20"/>
          <w:vertAlign w:val="superscript"/>
          <w:lang w:val="en-US"/>
        </w:rPr>
        <w:footnoteReference w:id="38"/>
      </w:r>
      <w:r w:rsidR="00E30D1A" w:rsidRPr="00D2561A">
        <w:rPr>
          <w:rFonts w:ascii="Verdana" w:hAnsi="Verdana"/>
          <w:iCs/>
          <w:sz w:val="20"/>
          <w:szCs w:val="20"/>
          <w:lang w:val="en-US"/>
        </w:rPr>
        <w:t xml:space="preserve"> and </w:t>
      </w:r>
      <w:r w:rsidRPr="00D2561A">
        <w:rPr>
          <w:rFonts w:ascii="Verdana" w:hAnsi="Verdana"/>
          <w:iCs/>
          <w:sz w:val="20"/>
          <w:szCs w:val="20"/>
          <w:lang w:val="en-US"/>
        </w:rPr>
        <w:t xml:space="preserve">the obligation to adopt </w:t>
      </w:r>
      <w:r w:rsidR="00E9106E" w:rsidRPr="00D2561A">
        <w:rPr>
          <w:rFonts w:ascii="Verdana" w:hAnsi="Verdana"/>
          <w:iCs/>
          <w:sz w:val="20"/>
          <w:szCs w:val="20"/>
          <w:lang w:val="en-US"/>
        </w:rPr>
        <w:t>“</w:t>
      </w:r>
      <w:r w:rsidRPr="00D2561A">
        <w:rPr>
          <w:rFonts w:ascii="Verdana" w:hAnsi="Verdana"/>
          <w:iCs/>
          <w:sz w:val="20"/>
          <w:szCs w:val="20"/>
          <w:lang w:val="en-US"/>
        </w:rPr>
        <w:t>Domestic Legal Effects</w:t>
      </w:r>
      <w:r w:rsidR="00E9106E" w:rsidRPr="00D2561A">
        <w:rPr>
          <w:rFonts w:ascii="Verdana" w:hAnsi="Verdana"/>
          <w:iCs/>
          <w:sz w:val="20"/>
          <w:szCs w:val="20"/>
          <w:lang w:val="en-US"/>
        </w:rPr>
        <w:t>”</w:t>
      </w:r>
      <w:r w:rsidR="00E9106E" w:rsidRPr="00D2561A">
        <w:rPr>
          <w:rFonts w:ascii="Verdana" w:hAnsi="Verdana"/>
          <w:iCs/>
          <w:sz w:val="20"/>
          <w:szCs w:val="20"/>
          <w:vertAlign w:val="superscript"/>
          <w:lang w:val="en-US"/>
        </w:rPr>
        <w:footnoteReference w:id="39"/>
      </w:r>
      <w:r w:rsidR="00E9106E" w:rsidRPr="00D2561A">
        <w:rPr>
          <w:rFonts w:ascii="Verdana" w:hAnsi="Verdana"/>
          <w:iCs/>
          <w:sz w:val="20"/>
          <w:szCs w:val="20"/>
          <w:lang w:val="en-US"/>
        </w:rPr>
        <w:t xml:space="preserve"> </w:t>
      </w:r>
      <w:r w:rsidRPr="00D2561A">
        <w:rPr>
          <w:rFonts w:ascii="Verdana" w:hAnsi="Verdana"/>
          <w:iCs/>
          <w:sz w:val="20"/>
          <w:szCs w:val="20"/>
          <w:lang w:val="en-US"/>
        </w:rPr>
        <w:t>and, regarding the rights, they are the “Civil and Political Rights” and the “Economic, Social and Cultural Rights</w:t>
      </w:r>
      <w:r w:rsidR="00E9106E" w:rsidRPr="00D2561A">
        <w:rPr>
          <w:rFonts w:ascii="Verdana" w:hAnsi="Verdana"/>
          <w:i/>
          <w:sz w:val="20"/>
          <w:szCs w:val="20"/>
          <w:lang w:val="en-US"/>
        </w:rPr>
        <w:t>,</w:t>
      </w:r>
      <w:r w:rsidR="00E9106E" w:rsidRPr="00D2561A">
        <w:rPr>
          <w:rFonts w:ascii="Verdana" w:hAnsi="Verdana"/>
          <w:iCs/>
          <w:sz w:val="20"/>
          <w:szCs w:val="20"/>
          <w:lang w:val="en-US"/>
        </w:rPr>
        <w:t>”</w:t>
      </w:r>
      <w:r w:rsidR="00E9106E" w:rsidRPr="00D2561A">
        <w:rPr>
          <w:rFonts w:ascii="Verdana" w:hAnsi="Verdana"/>
          <w:iCs/>
          <w:sz w:val="20"/>
          <w:szCs w:val="20"/>
          <w:vertAlign w:val="superscript"/>
          <w:lang w:val="en-US"/>
        </w:rPr>
        <w:footnoteReference w:id="40"/>
      </w:r>
      <w:r w:rsidR="00E9106E" w:rsidRPr="00D2561A">
        <w:rPr>
          <w:rFonts w:ascii="Verdana" w:hAnsi="Verdana"/>
          <w:iCs/>
          <w:sz w:val="20"/>
          <w:szCs w:val="20"/>
          <w:lang w:val="en-US"/>
        </w:rPr>
        <w:t xml:space="preserve"> </w:t>
      </w:r>
      <w:r w:rsidRPr="00D2561A">
        <w:rPr>
          <w:rFonts w:ascii="Verdana" w:hAnsi="Verdana"/>
          <w:iCs/>
          <w:sz w:val="20"/>
          <w:szCs w:val="20"/>
          <w:lang w:val="en-US"/>
        </w:rPr>
        <w:t>and</w:t>
      </w:r>
    </w:p>
    <w:p w14:paraId="1B88C512" w14:textId="77777777" w:rsidR="00E9106E" w:rsidRPr="00D2561A" w:rsidRDefault="00E9106E" w:rsidP="000E0801">
      <w:pPr>
        <w:spacing w:line="240" w:lineRule="auto"/>
        <w:ind w:left="270" w:right="-162" w:hanging="270"/>
        <w:contextualSpacing/>
        <w:rPr>
          <w:rFonts w:ascii="Verdana" w:hAnsi="Verdana"/>
          <w:sz w:val="20"/>
          <w:szCs w:val="20"/>
          <w:lang w:val="en-US"/>
        </w:rPr>
      </w:pPr>
    </w:p>
    <w:p w14:paraId="1C0FEB92" w14:textId="516E9E1B" w:rsidR="00231010" w:rsidRPr="00D2561A" w:rsidRDefault="00FF5024" w:rsidP="000E0801">
      <w:pPr>
        <w:numPr>
          <w:ilvl w:val="0"/>
          <w:numId w:val="2"/>
        </w:numPr>
        <w:spacing w:line="240" w:lineRule="auto"/>
        <w:ind w:left="270" w:right="-162" w:hanging="270"/>
        <w:contextualSpacing/>
        <w:rPr>
          <w:rFonts w:ascii="Verdana" w:hAnsi="Verdana"/>
          <w:sz w:val="20"/>
          <w:szCs w:val="20"/>
          <w:lang w:val="en-US"/>
        </w:rPr>
      </w:pPr>
      <w:r w:rsidRPr="00D2561A">
        <w:rPr>
          <w:rFonts w:ascii="Verdana" w:hAnsi="Verdana"/>
          <w:sz w:val="20"/>
          <w:szCs w:val="20"/>
          <w:lang w:val="en-US"/>
        </w:rPr>
        <w:t xml:space="preserve">Regarding the organs, these are </w:t>
      </w:r>
      <w:r w:rsidR="0032767A" w:rsidRPr="00D2561A">
        <w:rPr>
          <w:rFonts w:ascii="Verdana" w:hAnsi="Verdana"/>
          <w:sz w:val="20"/>
          <w:szCs w:val="20"/>
          <w:lang w:val="en-US"/>
        </w:rPr>
        <w:t>the Commission</w:t>
      </w:r>
      <w:r w:rsidR="00E9106E" w:rsidRPr="00D2561A">
        <w:rPr>
          <w:rFonts w:ascii="Verdana" w:hAnsi="Verdana"/>
          <w:sz w:val="20"/>
          <w:szCs w:val="20"/>
          <w:lang w:val="en-US"/>
        </w:rPr>
        <w:t xml:space="preserve">, </w:t>
      </w:r>
      <w:r w:rsidR="00E30D1A" w:rsidRPr="00D2561A">
        <w:rPr>
          <w:rFonts w:ascii="Verdana" w:hAnsi="Verdana"/>
          <w:sz w:val="20"/>
          <w:szCs w:val="20"/>
          <w:lang w:val="en-US"/>
        </w:rPr>
        <w:t>the Court</w:t>
      </w:r>
      <w:r w:rsidR="00E9106E" w:rsidRPr="00D2561A">
        <w:rPr>
          <w:rFonts w:ascii="Verdana" w:hAnsi="Verdana"/>
          <w:sz w:val="20"/>
          <w:szCs w:val="20"/>
          <w:vertAlign w:val="superscript"/>
          <w:lang w:val="en-US"/>
        </w:rPr>
        <w:footnoteReference w:id="41"/>
      </w:r>
      <w:r w:rsidR="00E30D1A" w:rsidRPr="00D2561A">
        <w:rPr>
          <w:rFonts w:ascii="Verdana" w:hAnsi="Verdana"/>
          <w:sz w:val="20"/>
          <w:szCs w:val="20"/>
          <w:lang w:val="en-US"/>
        </w:rPr>
        <w:t xml:space="preserve"> and </w:t>
      </w:r>
      <w:r w:rsidRPr="00D2561A">
        <w:rPr>
          <w:rFonts w:ascii="Verdana" w:hAnsi="Verdana"/>
          <w:sz w:val="20"/>
          <w:szCs w:val="20"/>
          <w:lang w:val="en-US"/>
        </w:rPr>
        <w:t xml:space="preserve">the OAS </w:t>
      </w:r>
      <w:r w:rsidR="004E3CA9" w:rsidRPr="00D2561A">
        <w:rPr>
          <w:rFonts w:ascii="Verdana" w:hAnsi="Verdana"/>
          <w:sz w:val="20"/>
          <w:szCs w:val="20"/>
          <w:lang w:val="en-US"/>
        </w:rPr>
        <w:t>G</w:t>
      </w:r>
      <w:r w:rsidRPr="00D2561A">
        <w:rPr>
          <w:rFonts w:ascii="Verdana" w:hAnsi="Verdana"/>
          <w:sz w:val="20"/>
          <w:szCs w:val="20"/>
          <w:lang w:val="en-US"/>
        </w:rPr>
        <w:t>eneral Assembly, corresponding to the first the promotion and defense of human right</w:t>
      </w:r>
      <w:r w:rsidR="00E9106E" w:rsidRPr="00D2561A">
        <w:rPr>
          <w:rFonts w:ascii="Verdana" w:hAnsi="Verdana"/>
          <w:sz w:val="20"/>
          <w:szCs w:val="20"/>
          <w:lang w:val="en-US"/>
        </w:rPr>
        <w:t>s</w:t>
      </w:r>
      <w:r w:rsidR="00AE2061" w:rsidRPr="00D2561A">
        <w:rPr>
          <w:rFonts w:ascii="Verdana" w:hAnsi="Verdana"/>
          <w:sz w:val="20"/>
          <w:szCs w:val="20"/>
          <w:lang w:val="en-US"/>
        </w:rPr>
        <w:t>;</w:t>
      </w:r>
      <w:r w:rsidR="00E9106E" w:rsidRPr="00D2561A">
        <w:rPr>
          <w:rFonts w:ascii="Verdana" w:hAnsi="Verdana"/>
          <w:sz w:val="20"/>
          <w:szCs w:val="20"/>
          <w:vertAlign w:val="superscript"/>
          <w:lang w:val="en-US"/>
        </w:rPr>
        <w:footnoteReference w:id="42"/>
      </w:r>
      <w:r w:rsidRPr="00D2561A">
        <w:rPr>
          <w:rFonts w:ascii="Verdana" w:hAnsi="Verdana"/>
          <w:sz w:val="20"/>
          <w:szCs w:val="20"/>
          <w:lang w:val="en-US"/>
        </w:rPr>
        <w:t xml:space="preserve"> </w:t>
      </w:r>
      <w:r w:rsidR="00AE2061" w:rsidRPr="00D2561A">
        <w:rPr>
          <w:rFonts w:ascii="Verdana" w:hAnsi="Verdana"/>
          <w:sz w:val="20"/>
          <w:szCs w:val="20"/>
          <w:lang w:val="en-US"/>
        </w:rPr>
        <w:t>t</w:t>
      </w:r>
      <w:r w:rsidRPr="00D2561A">
        <w:rPr>
          <w:rFonts w:ascii="Verdana" w:hAnsi="Verdana"/>
          <w:sz w:val="20"/>
          <w:szCs w:val="20"/>
          <w:lang w:val="en-US"/>
        </w:rPr>
        <w:t xml:space="preserve">o the second, </w:t>
      </w:r>
      <w:r w:rsidR="00AE2061" w:rsidRPr="00D2561A">
        <w:rPr>
          <w:rFonts w:ascii="Verdana" w:hAnsi="Verdana"/>
          <w:sz w:val="20"/>
          <w:szCs w:val="20"/>
          <w:lang w:val="en-US"/>
        </w:rPr>
        <w:t>the</w:t>
      </w:r>
      <w:r w:rsidRPr="00D2561A">
        <w:rPr>
          <w:rFonts w:ascii="Verdana" w:hAnsi="Verdana"/>
          <w:sz w:val="20"/>
          <w:szCs w:val="20"/>
          <w:lang w:val="en-US"/>
        </w:rPr>
        <w:t xml:space="preserve"> interpret</w:t>
      </w:r>
      <w:r w:rsidR="00AE2061" w:rsidRPr="00D2561A">
        <w:rPr>
          <w:rFonts w:ascii="Verdana" w:hAnsi="Verdana"/>
          <w:sz w:val="20"/>
          <w:szCs w:val="20"/>
          <w:lang w:val="en-US"/>
        </w:rPr>
        <w:t>ation</w:t>
      </w:r>
      <w:r w:rsidRPr="00D2561A">
        <w:rPr>
          <w:rFonts w:ascii="Verdana" w:hAnsi="Verdana"/>
          <w:sz w:val="20"/>
          <w:szCs w:val="20"/>
          <w:lang w:val="en-US"/>
        </w:rPr>
        <w:t xml:space="preserve"> an</w:t>
      </w:r>
      <w:r w:rsidR="00AE2061" w:rsidRPr="00D2561A">
        <w:rPr>
          <w:rFonts w:ascii="Verdana" w:hAnsi="Verdana"/>
          <w:sz w:val="20"/>
          <w:szCs w:val="20"/>
          <w:lang w:val="en-US"/>
        </w:rPr>
        <w:t>d</w:t>
      </w:r>
      <w:r w:rsidRPr="00D2561A">
        <w:rPr>
          <w:rFonts w:ascii="Verdana" w:hAnsi="Verdana"/>
          <w:sz w:val="20"/>
          <w:szCs w:val="20"/>
          <w:lang w:val="en-US"/>
        </w:rPr>
        <w:t xml:space="preserve"> appl</w:t>
      </w:r>
      <w:r w:rsidR="00AE2061" w:rsidRPr="00D2561A">
        <w:rPr>
          <w:rFonts w:ascii="Verdana" w:hAnsi="Verdana"/>
          <w:sz w:val="20"/>
          <w:szCs w:val="20"/>
          <w:lang w:val="en-US"/>
        </w:rPr>
        <w:t xml:space="preserve">ication of </w:t>
      </w:r>
      <w:r w:rsidR="00E30D1A" w:rsidRPr="00D2561A">
        <w:rPr>
          <w:rFonts w:ascii="Verdana" w:hAnsi="Verdana"/>
          <w:sz w:val="20"/>
          <w:szCs w:val="20"/>
          <w:lang w:val="en-US"/>
        </w:rPr>
        <w:t>the Convention</w:t>
      </w:r>
      <w:r w:rsidRPr="00D2561A">
        <w:rPr>
          <w:rFonts w:ascii="Verdana" w:hAnsi="Verdana"/>
          <w:sz w:val="20"/>
          <w:szCs w:val="20"/>
          <w:lang w:val="en-US"/>
        </w:rPr>
        <w:t>,</w:t>
      </w:r>
      <w:r w:rsidR="00E9106E" w:rsidRPr="00D2561A">
        <w:rPr>
          <w:rFonts w:ascii="Verdana" w:hAnsi="Verdana"/>
          <w:sz w:val="20"/>
          <w:szCs w:val="20"/>
          <w:vertAlign w:val="superscript"/>
          <w:lang w:val="en-US"/>
        </w:rPr>
        <w:footnoteReference w:id="43"/>
      </w:r>
      <w:r w:rsidR="00E30D1A" w:rsidRPr="00D2561A">
        <w:rPr>
          <w:rFonts w:ascii="Verdana" w:hAnsi="Verdana"/>
          <w:sz w:val="20"/>
          <w:szCs w:val="20"/>
          <w:lang w:val="en-US"/>
        </w:rPr>
        <w:t xml:space="preserve"> and </w:t>
      </w:r>
      <w:r w:rsidRPr="00D2561A">
        <w:rPr>
          <w:rFonts w:ascii="Verdana" w:hAnsi="Verdana"/>
          <w:sz w:val="20"/>
          <w:szCs w:val="20"/>
          <w:lang w:val="en-US"/>
        </w:rPr>
        <w:t>to the third, t</w:t>
      </w:r>
      <w:r w:rsidR="00AE2061" w:rsidRPr="00D2561A">
        <w:rPr>
          <w:rFonts w:ascii="Verdana" w:hAnsi="Verdana"/>
          <w:sz w:val="20"/>
          <w:szCs w:val="20"/>
          <w:lang w:val="en-US"/>
        </w:rPr>
        <w:t>he adoption of</w:t>
      </w:r>
      <w:r w:rsidRPr="00D2561A">
        <w:rPr>
          <w:rFonts w:ascii="Verdana" w:hAnsi="Verdana"/>
          <w:sz w:val="20"/>
          <w:szCs w:val="20"/>
          <w:lang w:val="en-US"/>
        </w:rPr>
        <w:t xml:space="preserve"> the necessary measures to </w:t>
      </w:r>
      <w:r w:rsidR="00F05FBF" w:rsidRPr="00D2561A">
        <w:rPr>
          <w:rFonts w:ascii="Verdana" w:hAnsi="Verdana"/>
          <w:sz w:val="20"/>
          <w:szCs w:val="20"/>
          <w:lang w:val="en-US"/>
        </w:rPr>
        <w:t>ensure compliance with the respective ruling.</w:t>
      </w:r>
      <w:r w:rsidR="00E9106E" w:rsidRPr="00D2561A">
        <w:rPr>
          <w:rFonts w:ascii="Verdana" w:hAnsi="Verdana"/>
          <w:sz w:val="20"/>
          <w:szCs w:val="20"/>
          <w:vertAlign w:val="superscript"/>
          <w:lang w:val="en-US"/>
        </w:rPr>
        <w:footnoteReference w:id="44"/>
      </w:r>
    </w:p>
    <w:p w14:paraId="29CD08F2" w14:textId="77777777" w:rsidR="00231010" w:rsidRPr="00D2561A" w:rsidRDefault="00231010" w:rsidP="000E0801">
      <w:pPr>
        <w:spacing w:line="240" w:lineRule="auto"/>
        <w:ind w:left="-270" w:right="-162"/>
        <w:rPr>
          <w:rFonts w:ascii="Verdana" w:hAnsi="Verdana"/>
          <w:sz w:val="20"/>
          <w:szCs w:val="20"/>
          <w:lang w:val="en-US"/>
        </w:rPr>
      </w:pPr>
    </w:p>
    <w:p w14:paraId="2A1455E9" w14:textId="384D8586" w:rsidR="004E3CA9" w:rsidRPr="00D2561A" w:rsidRDefault="004E3CA9" w:rsidP="004E3CA9">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 xml:space="preserve">Based </w:t>
      </w:r>
      <w:r w:rsidR="00236D56" w:rsidRPr="00D2561A">
        <w:rPr>
          <w:rFonts w:ascii="Verdana" w:hAnsi="Verdana"/>
          <w:sz w:val="20"/>
          <w:szCs w:val="20"/>
          <w:lang w:val="en-US"/>
        </w:rPr>
        <w:t>on</w:t>
      </w:r>
      <w:r w:rsidR="00E9106E" w:rsidRPr="00D2561A">
        <w:rPr>
          <w:rFonts w:ascii="Verdana" w:hAnsi="Verdana"/>
          <w:sz w:val="20"/>
          <w:szCs w:val="20"/>
          <w:lang w:val="en-US"/>
        </w:rPr>
        <w:t xml:space="preserve"> </w:t>
      </w:r>
      <w:r w:rsidRPr="00D2561A">
        <w:rPr>
          <w:rFonts w:ascii="Verdana" w:hAnsi="Verdana"/>
          <w:sz w:val="20"/>
          <w:szCs w:val="20"/>
          <w:lang w:val="en-US"/>
        </w:rPr>
        <w:t xml:space="preserve">the harmonious interpretation of these norms, it is possible to understand that, in the case of the States that have accepted the contentious jurisdiction of the Court, </w:t>
      </w:r>
      <w:r w:rsidR="00CE6E57" w:rsidRPr="00D2561A">
        <w:rPr>
          <w:rFonts w:ascii="Verdana" w:hAnsi="Verdana"/>
          <w:sz w:val="20"/>
          <w:szCs w:val="20"/>
          <w:lang w:val="en-US"/>
        </w:rPr>
        <w:t xml:space="preserve">all that </w:t>
      </w:r>
      <w:r w:rsidRPr="00D2561A">
        <w:rPr>
          <w:rFonts w:ascii="Verdana" w:hAnsi="Verdana"/>
          <w:sz w:val="20"/>
          <w:szCs w:val="20"/>
          <w:lang w:val="en-US"/>
        </w:rPr>
        <w:t>can be required of them, in relation to a case that has been submitted to the Court’s consideration, is due respect for the civil and pol</w:t>
      </w:r>
      <w:r w:rsidR="00EC1F8A">
        <w:rPr>
          <w:rFonts w:ascii="Verdana" w:hAnsi="Verdana"/>
          <w:sz w:val="20"/>
          <w:szCs w:val="20"/>
          <w:lang w:val="en-US"/>
        </w:rPr>
        <w:t>it</w:t>
      </w:r>
      <w:r w:rsidRPr="00D2561A">
        <w:rPr>
          <w:rFonts w:ascii="Verdana" w:hAnsi="Verdana"/>
          <w:sz w:val="20"/>
          <w:szCs w:val="20"/>
          <w:lang w:val="en-US"/>
        </w:rPr>
        <w:t>ical rights  “recognized,” “established,” “</w:t>
      </w:r>
      <w:r w:rsidR="00EC1F8A">
        <w:rPr>
          <w:rFonts w:ascii="Verdana" w:eastAsia="Batang" w:hAnsi="Verdana"/>
          <w:sz w:val="20"/>
          <w:szCs w:val="20"/>
          <w:lang w:val="en-US"/>
        </w:rPr>
        <w:t>enshrined</w:t>
      </w:r>
      <w:r w:rsidRPr="00D2561A">
        <w:rPr>
          <w:rFonts w:ascii="Verdana" w:hAnsi="Verdana"/>
          <w:sz w:val="20"/>
          <w:szCs w:val="20"/>
          <w:lang w:val="en-US"/>
        </w:rPr>
        <w:t xml:space="preserve">” or “protected” by the Convention as well as, if this becomes necessary, the adoption </w:t>
      </w:r>
      <w:r w:rsidRPr="00D2561A">
        <w:rPr>
          <w:rFonts w:ascii="Verdana" w:hAnsi="Verdana"/>
          <w:spacing w:val="-3"/>
          <w:sz w:val="20"/>
          <w:szCs w:val="20"/>
          <w:lang w:val="en-US"/>
        </w:rPr>
        <w:t>“in accordance with [the]</w:t>
      </w:r>
      <w:r w:rsidRPr="00D2561A">
        <w:rPr>
          <w:rFonts w:ascii="Verdana" w:hAnsi="Verdana"/>
          <w:spacing w:val="-3"/>
          <w:sz w:val="16"/>
          <w:szCs w:val="16"/>
          <w:lang w:val="en-US"/>
        </w:rPr>
        <w:t xml:space="preserve"> </w:t>
      </w:r>
      <w:r w:rsidRPr="00D2561A">
        <w:rPr>
          <w:rFonts w:ascii="Verdana" w:hAnsi="Verdana"/>
          <w:spacing w:val="-3"/>
          <w:sz w:val="20"/>
          <w:szCs w:val="20"/>
          <w:lang w:val="en-US"/>
        </w:rPr>
        <w:t>constitutional processes [of the corresponding State] and the provisions of this Convention, [of] such legislative or other measures as may be necessary to give effect to those rights or freedoms.”</w:t>
      </w:r>
    </w:p>
    <w:p w14:paraId="7649D459" w14:textId="77777777" w:rsidR="00231010" w:rsidRPr="00D2561A" w:rsidRDefault="00231010" w:rsidP="000E0801">
      <w:pPr>
        <w:pStyle w:val="Prrafodelista"/>
        <w:spacing w:line="240" w:lineRule="auto"/>
        <w:ind w:left="-270" w:right="-162"/>
        <w:rPr>
          <w:rFonts w:ascii="Verdana" w:hAnsi="Verdana"/>
          <w:sz w:val="20"/>
          <w:szCs w:val="20"/>
          <w:lang w:val="en-US"/>
        </w:rPr>
      </w:pPr>
    </w:p>
    <w:p w14:paraId="1BA03F50" w14:textId="082158EA" w:rsidR="004E3CA9" w:rsidRPr="00D2561A" w:rsidRDefault="004E3CA9" w:rsidP="003E1D29">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In contrast, with regard to the rights “</w:t>
      </w:r>
      <w:r w:rsidRPr="00D2561A">
        <w:rPr>
          <w:rFonts w:ascii="Verdana" w:hAnsi="Verdana"/>
          <w:spacing w:val="-3"/>
          <w:sz w:val="20"/>
          <w:szCs w:val="20"/>
          <w:lang w:val="en-US"/>
        </w:rPr>
        <w:t>derived from the economic, social, educational, scientific and cultural standards set forth in the Charter of the” OAS, the States can only be required to adopt, “by legislation or other appropriate means</w:t>
      </w:r>
      <w:r w:rsidR="003E1D29" w:rsidRPr="00D2561A">
        <w:rPr>
          <w:rFonts w:ascii="Verdana" w:hAnsi="Verdana"/>
          <w:spacing w:val="-3"/>
          <w:sz w:val="20"/>
          <w:szCs w:val="20"/>
          <w:lang w:val="en-US"/>
        </w:rPr>
        <w:t>,</w:t>
      </w:r>
      <w:r w:rsidRPr="00D2561A">
        <w:rPr>
          <w:rFonts w:ascii="Verdana" w:hAnsi="Verdana"/>
          <w:spacing w:val="-3"/>
          <w:sz w:val="20"/>
          <w:szCs w:val="20"/>
          <w:lang w:val="en-US"/>
        </w:rPr>
        <w:t xml:space="preserve">” “measures, both internally and through international cooperation, especially those of an economic and technical nature, with a view to achieving progressively, </w:t>
      </w:r>
      <w:r w:rsidR="002C2325" w:rsidRPr="00D2561A">
        <w:rPr>
          <w:rFonts w:ascii="Verdana" w:hAnsi="Verdana"/>
          <w:spacing w:val="-3"/>
          <w:sz w:val="20"/>
          <w:szCs w:val="20"/>
          <w:lang w:val="en-US"/>
        </w:rPr>
        <w:t>[…]</w:t>
      </w:r>
      <w:r w:rsidRPr="00D2561A">
        <w:rPr>
          <w:rFonts w:ascii="Verdana" w:hAnsi="Verdana"/>
          <w:spacing w:val="-3"/>
          <w:sz w:val="20"/>
          <w:szCs w:val="20"/>
          <w:lang w:val="en-US"/>
        </w:rPr>
        <w:t xml:space="preserve"> </w:t>
      </w:r>
      <w:r w:rsidR="003E1D29" w:rsidRPr="00D2561A">
        <w:rPr>
          <w:rFonts w:ascii="Verdana" w:hAnsi="Verdana"/>
          <w:spacing w:val="-3"/>
          <w:sz w:val="20"/>
          <w:szCs w:val="20"/>
          <w:lang w:val="en-US"/>
        </w:rPr>
        <w:t>the</w:t>
      </w:r>
      <w:r w:rsidRPr="00D2561A">
        <w:rPr>
          <w:rFonts w:ascii="Verdana" w:hAnsi="Verdana"/>
          <w:spacing w:val="-3"/>
          <w:sz w:val="20"/>
          <w:szCs w:val="20"/>
          <w:lang w:val="en-US"/>
        </w:rPr>
        <w:t xml:space="preserve"> full realization</w:t>
      </w:r>
      <w:r w:rsidR="003E1D29" w:rsidRPr="00D2561A">
        <w:rPr>
          <w:rFonts w:ascii="Verdana" w:hAnsi="Verdana"/>
          <w:spacing w:val="-3"/>
          <w:sz w:val="20"/>
          <w:szCs w:val="20"/>
          <w:lang w:val="en-US"/>
        </w:rPr>
        <w:t>” of those rights, and this, “subject to available resources.”</w:t>
      </w:r>
    </w:p>
    <w:p w14:paraId="19862473" w14:textId="77777777" w:rsidR="00E9106E" w:rsidRPr="00D2561A" w:rsidRDefault="00E9106E" w:rsidP="000E0801">
      <w:pPr>
        <w:spacing w:line="240" w:lineRule="auto"/>
        <w:ind w:left="-270" w:right="-162"/>
        <w:contextualSpacing/>
        <w:rPr>
          <w:rFonts w:ascii="Verdana" w:hAnsi="Verdana"/>
          <w:sz w:val="20"/>
          <w:szCs w:val="20"/>
          <w:lang w:val="en-US"/>
        </w:rPr>
      </w:pPr>
    </w:p>
    <w:p w14:paraId="77288BA9" w14:textId="4D3B0BB5" w:rsidR="003E1D29" w:rsidRPr="00D2561A" w:rsidRDefault="003E1D29" w:rsidP="003E1D29">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hAnsi="Verdana"/>
          <w:sz w:val="20"/>
          <w:szCs w:val="20"/>
          <w:lang w:val="en-US"/>
        </w:rPr>
        <w:t xml:space="preserve">That said, it is necessary to place on record, for the purposes of the application of this method of interpretation that, according to </w:t>
      </w:r>
      <w:r w:rsidRPr="00D2561A">
        <w:rPr>
          <w:rFonts w:ascii="Verdana" w:eastAsia="Batang" w:hAnsi="Verdana"/>
          <w:sz w:val="20"/>
          <w:szCs w:val="20"/>
          <w:lang w:val="en-US"/>
        </w:rPr>
        <w:t>paragraph 5 of the Preamble to the Convention, the OAS Charter incorporate</w:t>
      </w:r>
      <w:r w:rsidR="00AE2061" w:rsidRPr="00D2561A">
        <w:rPr>
          <w:rFonts w:ascii="Verdana" w:eastAsia="Batang" w:hAnsi="Verdana"/>
          <w:sz w:val="20"/>
          <w:szCs w:val="20"/>
          <w:lang w:val="en-US"/>
        </w:rPr>
        <w:t>d</w:t>
      </w:r>
      <w:r w:rsidRPr="00D2561A">
        <w:rPr>
          <w:rFonts w:ascii="Verdana" w:eastAsia="Batang" w:hAnsi="Verdana"/>
          <w:sz w:val="20"/>
          <w:szCs w:val="20"/>
          <w:lang w:val="en-US"/>
        </w:rPr>
        <w:t xml:space="preserve"> </w:t>
      </w:r>
      <w:r w:rsidRPr="00D2561A">
        <w:rPr>
          <w:rFonts w:ascii="Verdana" w:hAnsi="Verdana"/>
          <w:spacing w:val="-3"/>
          <w:sz w:val="20"/>
          <w:szCs w:val="20"/>
          <w:lang w:val="en-US"/>
        </w:rPr>
        <w:t>“broader standards with respect to economic, social, and educational rights” and that the Convention determined “the structure, competence, and procedure of the organs responsible for these matters.”</w:t>
      </w:r>
    </w:p>
    <w:p w14:paraId="4FDC55C2" w14:textId="77777777" w:rsidR="004117B2" w:rsidRPr="00D2561A" w:rsidRDefault="004117B2" w:rsidP="003E1D29">
      <w:pPr>
        <w:spacing w:line="240" w:lineRule="auto"/>
        <w:ind w:left="0" w:right="-162"/>
        <w:rPr>
          <w:rFonts w:ascii="Verdana" w:hAnsi="Verdana"/>
          <w:sz w:val="20"/>
          <w:szCs w:val="20"/>
          <w:lang w:val="en-US"/>
        </w:rPr>
      </w:pPr>
    </w:p>
    <w:p w14:paraId="467E79E2" w14:textId="0DAED2F4" w:rsidR="003E1D29" w:rsidRPr="00D2561A" w:rsidRDefault="003E1D29" w:rsidP="003E1D29">
      <w:pPr>
        <w:numPr>
          <w:ilvl w:val="0"/>
          <w:numId w:val="5"/>
        </w:numPr>
        <w:spacing w:line="240" w:lineRule="auto"/>
        <w:ind w:left="-270" w:right="-162" w:firstLine="0"/>
        <w:contextualSpacing/>
        <w:rPr>
          <w:rFonts w:ascii="Verdana" w:hAnsi="Verdana"/>
          <w:sz w:val="20"/>
          <w:szCs w:val="20"/>
          <w:lang w:val="en-US"/>
        </w:rPr>
      </w:pPr>
      <w:r w:rsidRPr="00D2561A">
        <w:rPr>
          <w:rFonts w:ascii="Verdana" w:eastAsia="Batang" w:hAnsi="Verdana"/>
          <w:sz w:val="20"/>
          <w:szCs w:val="20"/>
          <w:lang w:val="en-US"/>
        </w:rPr>
        <w:t xml:space="preserve">In other words, it was the Convention itself that, in compliance with this mandate and as already indicated, gave the civil and political rights a differentiated treatment from the economic, social and cultural rights, </w:t>
      </w:r>
      <w:r w:rsidR="007D03D7" w:rsidRPr="00D2561A">
        <w:rPr>
          <w:rFonts w:ascii="Verdana" w:eastAsia="Batang" w:hAnsi="Verdana"/>
          <w:sz w:val="20"/>
          <w:szCs w:val="20"/>
          <w:lang w:val="en-US"/>
        </w:rPr>
        <w:t>and</w:t>
      </w:r>
      <w:r w:rsidRPr="00D2561A">
        <w:rPr>
          <w:rFonts w:ascii="Verdana" w:eastAsia="Batang" w:hAnsi="Verdana"/>
          <w:sz w:val="20"/>
          <w:szCs w:val="20"/>
          <w:lang w:val="en-US"/>
        </w:rPr>
        <w:t xml:space="preserve"> – as already noted – </w:t>
      </w:r>
      <w:r w:rsidR="007D03D7" w:rsidRPr="00D2561A">
        <w:rPr>
          <w:rFonts w:ascii="Verdana" w:eastAsia="Batang" w:hAnsi="Verdana"/>
          <w:sz w:val="20"/>
          <w:szCs w:val="20"/>
          <w:lang w:val="en-US"/>
        </w:rPr>
        <w:t xml:space="preserve">established </w:t>
      </w:r>
      <w:r w:rsidRPr="00D2561A">
        <w:rPr>
          <w:rFonts w:ascii="Verdana" w:eastAsia="Batang" w:hAnsi="Verdana"/>
          <w:sz w:val="20"/>
          <w:szCs w:val="20"/>
          <w:lang w:val="en-US"/>
        </w:rPr>
        <w:t>the former</w:t>
      </w:r>
      <w:r w:rsidR="007D03D7" w:rsidRPr="00D2561A">
        <w:rPr>
          <w:rFonts w:ascii="Verdana" w:eastAsia="Batang" w:hAnsi="Verdana"/>
          <w:sz w:val="20"/>
          <w:szCs w:val="20"/>
          <w:lang w:val="en-US"/>
        </w:rPr>
        <w:t xml:space="preserve"> </w:t>
      </w:r>
      <w:r w:rsidRPr="00D2561A">
        <w:rPr>
          <w:rFonts w:ascii="Verdana" w:eastAsia="Batang" w:hAnsi="Verdana"/>
          <w:sz w:val="20"/>
          <w:szCs w:val="20"/>
          <w:lang w:val="en-US"/>
        </w:rPr>
        <w:t xml:space="preserve">in Chapter II of Part I of the Convention and the latter in Chapter III of the same part and instrument. Thus, </w:t>
      </w:r>
      <w:r w:rsidR="00A123E8" w:rsidRPr="00D2561A">
        <w:rPr>
          <w:rFonts w:ascii="Verdana" w:eastAsia="Batang" w:hAnsi="Verdana"/>
          <w:sz w:val="20"/>
          <w:szCs w:val="20"/>
          <w:lang w:val="en-US"/>
        </w:rPr>
        <w:t>the indivisibility of the civil and political rights and the economic, social and cultural rights referred to in the Preamble to the Convention, is in relation to the “enjoyment” of both types of human rights and not that they should be subject to the same rules for their exercise and international oversight.</w:t>
      </w:r>
    </w:p>
    <w:p w14:paraId="37730D6C" w14:textId="77777777" w:rsidR="00B105E0" w:rsidRPr="00D2561A" w:rsidRDefault="00B105E0" w:rsidP="00A123E8">
      <w:pPr>
        <w:spacing w:line="240" w:lineRule="auto"/>
        <w:ind w:left="0" w:right="-162"/>
        <w:rPr>
          <w:rFonts w:ascii="Verdana" w:hAnsi="Verdana"/>
          <w:sz w:val="20"/>
          <w:szCs w:val="20"/>
          <w:lang w:val="en-US"/>
        </w:rPr>
      </w:pPr>
    </w:p>
    <w:p w14:paraId="5F0EC9BA" w14:textId="6AD1354D" w:rsidR="00A123E8" w:rsidRPr="000E5AD4" w:rsidRDefault="00A123E8" w:rsidP="00A123E8">
      <w:pPr>
        <w:numPr>
          <w:ilvl w:val="0"/>
          <w:numId w:val="5"/>
        </w:numPr>
        <w:spacing w:line="240" w:lineRule="auto"/>
        <w:ind w:left="-270" w:right="-162" w:firstLine="0"/>
        <w:contextualSpacing/>
        <w:rPr>
          <w:rFonts w:ascii="Verdana" w:hAnsi="Verdana"/>
          <w:sz w:val="20"/>
          <w:szCs w:val="20"/>
          <w:lang w:val="en-US"/>
        </w:rPr>
      </w:pPr>
      <w:r w:rsidRPr="000E5AD4">
        <w:rPr>
          <w:rFonts w:ascii="Verdana" w:hAnsi="Verdana"/>
          <w:sz w:val="20"/>
          <w:szCs w:val="20"/>
          <w:lang w:val="en-US"/>
        </w:rPr>
        <w:t xml:space="preserve">In addition, it </w:t>
      </w:r>
      <w:r w:rsidR="007D03D7" w:rsidRPr="000E5AD4">
        <w:rPr>
          <w:rFonts w:ascii="Verdana" w:hAnsi="Verdana"/>
          <w:sz w:val="20"/>
          <w:szCs w:val="20"/>
          <w:lang w:val="en-US"/>
        </w:rPr>
        <w:t>should be</w:t>
      </w:r>
      <w:r w:rsidRPr="000E5AD4">
        <w:rPr>
          <w:rFonts w:ascii="Verdana" w:hAnsi="Verdana"/>
          <w:sz w:val="20"/>
          <w:szCs w:val="20"/>
          <w:lang w:val="en-US"/>
        </w:rPr>
        <w:t xml:space="preserve"> recall</w:t>
      </w:r>
      <w:r w:rsidR="007D03D7" w:rsidRPr="000E5AD4">
        <w:rPr>
          <w:rFonts w:ascii="Verdana" w:hAnsi="Verdana"/>
          <w:sz w:val="20"/>
          <w:szCs w:val="20"/>
          <w:lang w:val="en-US"/>
        </w:rPr>
        <w:t>ed</w:t>
      </w:r>
      <w:r w:rsidRPr="000E5AD4">
        <w:rPr>
          <w:rFonts w:ascii="Verdana" w:hAnsi="Verdana"/>
          <w:sz w:val="20"/>
          <w:szCs w:val="20"/>
          <w:lang w:val="en-US"/>
        </w:rPr>
        <w:t xml:space="preserve"> that, regarding what </w:t>
      </w:r>
      <w:r w:rsidR="00E30D1A" w:rsidRPr="000E5AD4">
        <w:rPr>
          <w:rFonts w:ascii="Verdana" w:hAnsi="Verdana"/>
          <w:sz w:val="20"/>
          <w:szCs w:val="20"/>
          <w:lang w:val="en-US"/>
        </w:rPr>
        <w:t>Article</w:t>
      </w:r>
      <w:r w:rsidR="00F4083D" w:rsidRPr="000E5AD4">
        <w:rPr>
          <w:rFonts w:ascii="Verdana" w:hAnsi="Verdana"/>
          <w:sz w:val="20"/>
          <w:szCs w:val="20"/>
          <w:lang w:val="en-US"/>
        </w:rPr>
        <w:t xml:space="preserve"> 31</w:t>
      </w:r>
      <w:r w:rsidRPr="000E5AD4">
        <w:rPr>
          <w:rFonts w:ascii="Verdana" w:hAnsi="Verdana"/>
          <w:sz w:val="20"/>
          <w:szCs w:val="20"/>
          <w:lang w:val="en-US"/>
        </w:rPr>
        <w:t>(</w:t>
      </w:r>
      <w:r w:rsidR="00F4083D" w:rsidRPr="000E5AD4">
        <w:rPr>
          <w:rFonts w:ascii="Verdana" w:hAnsi="Verdana"/>
          <w:sz w:val="20"/>
          <w:szCs w:val="20"/>
          <w:lang w:val="en-US"/>
        </w:rPr>
        <w:t>2</w:t>
      </w:r>
      <w:r w:rsidRPr="000E5AD4">
        <w:rPr>
          <w:rFonts w:ascii="Verdana" w:hAnsi="Verdana"/>
          <w:sz w:val="20"/>
          <w:szCs w:val="20"/>
          <w:lang w:val="en-US"/>
        </w:rPr>
        <w:t>)</w:t>
      </w:r>
      <w:r w:rsidR="00E30D1A" w:rsidRPr="000E5AD4">
        <w:rPr>
          <w:rFonts w:ascii="Verdana" w:hAnsi="Verdana"/>
          <w:sz w:val="20"/>
          <w:szCs w:val="20"/>
          <w:lang w:val="en-US"/>
        </w:rPr>
        <w:t xml:space="preserve"> of the </w:t>
      </w:r>
      <w:r w:rsidR="00466AF7" w:rsidRPr="000E5AD4">
        <w:rPr>
          <w:rFonts w:ascii="Verdana" w:hAnsi="Verdana"/>
          <w:sz w:val="20"/>
          <w:szCs w:val="20"/>
          <w:lang w:val="en-US"/>
        </w:rPr>
        <w:t>Vienna Convention</w:t>
      </w:r>
      <w:r w:rsidR="00CD4A17" w:rsidRPr="000E5AD4">
        <w:rPr>
          <w:rFonts w:ascii="Verdana" w:hAnsi="Verdana"/>
          <w:sz w:val="20"/>
          <w:szCs w:val="20"/>
          <w:lang w:val="en-US"/>
        </w:rPr>
        <w:t xml:space="preserve"> consider</w:t>
      </w:r>
      <w:r w:rsidRPr="000E5AD4">
        <w:rPr>
          <w:rFonts w:ascii="Verdana" w:hAnsi="Verdana"/>
          <w:sz w:val="20"/>
          <w:szCs w:val="20"/>
          <w:lang w:val="en-US"/>
        </w:rPr>
        <w:t xml:space="preserve">s to be context, there is “no agreement relating to </w:t>
      </w:r>
      <w:r w:rsidR="000E5AD4" w:rsidRPr="00F60CFB">
        <w:rPr>
          <w:rFonts w:ascii="Verdana" w:hAnsi="Verdana"/>
          <w:sz w:val="20"/>
          <w:szCs w:val="20"/>
          <w:lang w:val="en-US"/>
        </w:rPr>
        <w:t>the treaty</w:t>
      </w:r>
      <w:r w:rsidRPr="000E5AD4">
        <w:rPr>
          <w:rFonts w:ascii="Verdana" w:hAnsi="Verdana"/>
          <w:sz w:val="20"/>
          <w:szCs w:val="20"/>
          <w:lang w:val="en-US"/>
        </w:rPr>
        <w:t xml:space="preserve"> which was made between all the parties in connection with the conclusion of the” Convention</w:t>
      </w:r>
      <w:r w:rsidR="000E5AD4" w:rsidRPr="00F60CFB">
        <w:rPr>
          <w:rFonts w:ascii="Verdana" w:hAnsi="Verdana"/>
          <w:sz w:val="20"/>
          <w:szCs w:val="20"/>
          <w:lang w:val="en-US"/>
        </w:rPr>
        <w:t>,</w:t>
      </w:r>
      <w:r w:rsidRPr="000E5AD4">
        <w:rPr>
          <w:rFonts w:ascii="Verdana" w:hAnsi="Verdana"/>
          <w:sz w:val="20"/>
          <w:szCs w:val="20"/>
          <w:lang w:val="en-US"/>
        </w:rPr>
        <w:t xml:space="preserve"> nor “any instrument </w:t>
      </w:r>
      <w:r w:rsidRPr="000E5AD4">
        <w:rPr>
          <w:rFonts w:ascii="Verdana" w:hAnsi="Verdana" w:cs="Times New Roman"/>
          <w:sz w:val="20"/>
          <w:szCs w:val="20"/>
          <w:lang w:val="en-US"/>
        </w:rPr>
        <w:t>which was made by one or more parties in connection with the conclusion of the [Convention] and accepted by the other parties as an instrument related to” it.</w:t>
      </w:r>
    </w:p>
    <w:p w14:paraId="6DE71BA4" w14:textId="77777777" w:rsidR="00B105E0" w:rsidRPr="00D2561A" w:rsidRDefault="00B105E0" w:rsidP="000E0801">
      <w:pPr>
        <w:spacing w:line="240" w:lineRule="auto"/>
        <w:ind w:left="-270" w:right="-162"/>
        <w:contextualSpacing/>
        <w:rPr>
          <w:rFonts w:ascii="Verdana" w:hAnsi="Verdana"/>
          <w:sz w:val="20"/>
          <w:szCs w:val="20"/>
          <w:lang w:val="en-US"/>
        </w:rPr>
      </w:pPr>
    </w:p>
    <w:p w14:paraId="421C391E" w14:textId="0014E98F" w:rsidR="004117B2" w:rsidRPr="00D2561A" w:rsidRDefault="00A123E8"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Moreover, as established in Article 31(3) of the Vienna Convention, “together with the context,” there is no “</w:t>
      </w:r>
      <w:r w:rsidRPr="00D2561A">
        <w:rPr>
          <w:rFonts w:ascii="Verdana" w:hAnsi="Verdana" w:cs="Times New Roman"/>
          <w:sz w:val="20"/>
          <w:szCs w:val="20"/>
          <w:lang w:val="en-US"/>
        </w:rPr>
        <w:t xml:space="preserve">subsequent agreement between the parties regarding the interpretation of the </w:t>
      </w:r>
      <w:r w:rsidR="004F72E5" w:rsidRPr="00D2561A">
        <w:rPr>
          <w:rFonts w:ascii="Verdana" w:hAnsi="Verdana" w:cs="Times New Roman"/>
          <w:sz w:val="20"/>
          <w:szCs w:val="20"/>
          <w:lang w:val="en-US"/>
        </w:rPr>
        <w:t xml:space="preserve">[Convention] </w:t>
      </w:r>
      <w:r w:rsidRPr="00D2561A">
        <w:rPr>
          <w:rFonts w:ascii="Verdana" w:hAnsi="Verdana" w:cs="Times New Roman"/>
          <w:sz w:val="20"/>
          <w:szCs w:val="20"/>
          <w:lang w:val="en-US"/>
        </w:rPr>
        <w:t>or the application of its provision</w:t>
      </w:r>
      <w:r w:rsidR="004F72E5" w:rsidRPr="00D2561A">
        <w:rPr>
          <w:rFonts w:ascii="Verdana" w:hAnsi="Verdana" w:cs="Times New Roman"/>
          <w:sz w:val="20"/>
          <w:szCs w:val="20"/>
          <w:lang w:val="en-US"/>
        </w:rPr>
        <w:t>s,</w:t>
      </w:r>
      <w:r w:rsidR="009068F7" w:rsidRPr="00D2561A">
        <w:rPr>
          <w:rFonts w:ascii="Verdana" w:hAnsi="Verdana" w:cs="Times New Roman"/>
          <w:i/>
          <w:sz w:val="20"/>
          <w:szCs w:val="20"/>
          <w:lang w:val="en-US"/>
        </w:rPr>
        <w:t>”</w:t>
      </w:r>
      <w:r w:rsidR="00454B65" w:rsidRPr="00D2561A">
        <w:rPr>
          <w:rFonts w:ascii="Verdana" w:hAnsi="Verdana" w:cs="Times New Roman"/>
          <w:i/>
          <w:sz w:val="20"/>
          <w:szCs w:val="20"/>
          <w:lang w:val="en-US"/>
        </w:rPr>
        <w:t xml:space="preserve"> </w:t>
      </w:r>
      <w:r w:rsidR="004F72E5" w:rsidRPr="00D2561A">
        <w:rPr>
          <w:rFonts w:ascii="Verdana" w:hAnsi="Verdana" w:cs="Times New Roman"/>
          <w:iCs/>
          <w:sz w:val="20"/>
          <w:szCs w:val="20"/>
          <w:lang w:val="en-US"/>
        </w:rPr>
        <w:t>or “</w:t>
      </w:r>
      <w:r w:rsidR="004F72E5" w:rsidRPr="00D2561A">
        <w:rPr>
          <w:rFonts w:ascii="Verdana" w:hAnsi="Verdana" w:cs="Times New Roman"/>
          <w:sz w:val="20"/>
          <w:szCs w:val="20"/>
          <w:lang w:val="en-US"/>
        </w:rPr>
        <w:t xml:space="preserve">any subsequent practice in the application of the treaty which establishes the agreement of the parties regarding its interpretation,” with the exception of the </w:t>
      </w:r>
      <w:r w:rsidR="004F72E5" w:rsidRPr="00D2561A">
        <w:rPr>
          <w:rFonts w:ascii="Verdana" w:hAnsi="Verdana" w:cs="Times New Roman"/>
          <w:iCs/>
          <w:sz w:val="20"/>
          <w:szCs w:val="20"/>
          <w:lang w:val="en-US"/>
        </w:rPr>
        <w:t>Protocol of</w:t>
      </w:r>
      <w:r w:rsidR="00554A13" w:rsidRPr="00D2561A">
        <w:rPr>
          <w:rFonts w:ascii="Verdana" w:hAnsi="Verdana" w:cs="Times New Roman"/>
          <w:iCs/>
          <w:sz w:val="20"/>
          <w:szCs w:val="20"/>
          <w:lang w:val="en-US"/>
        </w:rPr>
        <w:t xml:space="preserve"> San Salvador</w:t>
      </w:r>
      <w:r w:rsidR="00B25021" w:rsidRPr="00D2561A">
        <w:rPr>
          <w:rFonts w:ascii="Verdana" w:hAnsi="Verdana" w:cs="Times New Roman"/>
          <w:iCs/>
          <w:sz w:val="20"/>
          <w:szCs w:val="20"/>
          <w:lang w:val="en-US"/>
        </w:rPr>
        <w:t xml:space="preserve">, </w:t>
      </w:r>
      <w:r w:rsidR="004F72E5" w:rsidRPr="00D2561A">
        <w:rPr>
          <w:rFonts w:ascii="Verdana" w:hAnsi="Verdana" w:cs="Times New Roman"/>
          <w:iCs/>
          <w:sz w:val="20"/>
          <w:szCs w:val="20"/>
          <w:lang w:val="en-US"/>
        </w:rPr>
        <w:t>which will be referred to below.</w:t>
      </w:r>
    </w:p>
    <w:p w14:paraId="4FC7FEAD" w14:textId="77777777" w:rsidR="004117B2" w:rsidRPr="00D2561A" w:rsidRDefault="004117B2" w:rsidP="000E0801">
      <w:pPr>
        <w:pStyle w:val="Prrafodelista"/>
        <w:spacing w:line="240" w:lineRule="auto"/>
        <w:ind w:left="-270" w:right="-162"/>
        <w:rPr>
          <w:rFonts w:ascii="Verdana" w:hAnsi="Verdana"/>
          <w:sz w:val="20"/>
          <w:szCs w:val="20"/>
          <w:lang w:val="en-US"/>
        </w:rPr>
      </w:pPr>
    </w:p>
    <w:p w14:paraId="62328C05" w14:textId="6EC1B87C" w:rsidR="004F72E5" w:rsidRPr="00D2561A" w:rsidRDefault="004F72E5"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Consequently, it is unacceptable that, in the absence of what is known as the “authentic interpretation</w:t>
      </w:r>
      <w:r w:rsidR="00E9106E" w:rsidRPr="00D2561A">
        <w:rPr>
          <w:rFonts w:ascii="Verdana" w:hAnsi="Verdana"/>
          <w:sz w:val="20"/>
          <w:szCs w:val="20"/>
          <w:lang w:val="en-US"/>
        </w:rPr>
        <w:t>”</w:t>
      </w:r>
      <w:r w:rsidR="00E9106E" w:rsidRPr="00D2561A">
        <w:rPr>
          <w:rFonts w:ascii="Verdana" w:hAnsi="Verdana"/>
          <w:sz w:val="20"/>
          <w:szCs w:val="20"/>
          <w:vertAlign w:val="superscript"/>
          <w:lang w:val="en-US"/>
        </w:rPr>
        <w:footnoteReference w:id="45"/>
      </w:r>
      <w:r w:rsidR="00E30D1A" w:rsidRPr="00D2561A">
        <w:rPr>
          <w:rFonts w:ascii="Verdana" w:hAnsi="Verdana"/>
          <w:sz w:val="20"/>
          <w:szCs w:val="20"/>
          <w:lang w:val="en-US"/>
        </w:rPr>
        <w:t xml:space="preserve"> of the Convention</w:t>
      </w:r>
      <w:r w:rsidR="00E9106E" w:rsidRPr="00D2561A">
        <w:rPr>
          <w:rFonts w:ascii="Verdana" w:hAnsi="Verdana"/>
          <w:sz w:val="20"/>
          <w:szCs w:val="20"/>
          <w:lang w:val="en-US"/>
        </w:rPr>
        <w:t xml:space="preserve">, </w:t>
      </w:r>
      <w:r w:rsidRPr="00D2561A">
        <w:rPr>
          <w:rFonts w:ascii="Verdana" w:hAnsi="Verdana"/>
          <w:sz w:val="20"/>
          <w:szCs w:val="20"/>
          <w:lang w:val="en-US"/>
        </w:rPr>
        <w:t>its meaning and scope are determined by the Court outside and even in contradiction to what was agreed by its States Parties. The Convention, as a treaty, does not exist outside what</w:t>
      </w:r>
      <w:r w:rsidR="007D03D7" w:rsidRPr="00D2561A">
        <w:rPr>
          <w:rFonts w:ascii="Verdana" w:hAnsi="Verdana"/>
          <w:sz w:val="20"/>
          <w:szCs w:val="20"/>
          <w:lang w:val="en-US"/>
        </w:rPr>
        <w:t xml:space="preserve"> was expressly agreed to by</w:t>
      </w:r>
      <w:r w:rsidRPr="00D2561A">
        <w:rPr>
          <w:rFonts w:ascii="Verdana" w:hAnsi="Verdana"/>
          <w:sz w:val="20"/>
          <w:szCs w:val="20"/>
          <w:lang w:val="en-US"/>
        </w:rPr>
        <w:t xml:space="preserve"> the latter.</w:t>
      </w:r>
    </w:p>
    <w:p w14:paraId="102DDA92" w14:textId="77777777" w:rsidR="004117B2" w:rsidRPr="00D2561A" w:rsidRDefault="004117B2" w:rsidP="004F72E5">
      <w:pPr>
        <w:spacing w:line="240" w:lineRule="auto"/>
        <w:ind w:left="0" w:right="-162"/>
        <w:rPr>
          <w:rFonts w:ascii="Verdana" w:hAnsi="Verdana"/>
          <w:bCs/>
          <w:sz w:val="20"/>
          <w:szCs w:val="20"/>
          <w:lang w:val="en-US"/>
        </w:rPr>
      </w:pPr>
    </w:p>
    <w:p w14:paraId="47AE0ED4" w14:textId="4F7A7209" w:rsidR="00620DDC" w:rsidRPr="00D2561A" w:rsidRDefault="00620DDC"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bCs/>
          <w:sz w:val="20"/>
          <w:szCs w:val="20"/>
          <w:lang w:val="en-US"/>
        </w:rPr>
        <w:t xml:space="preserve">Furthermore, in an attempt to justify the judicialization before the Court of the right to just and favorable conditions that ensure safety, health and hygiene in the workplace, and based on </w:t>
      </w:r>
      <w:r w:rsidRPr="00D2561A">
        <w:rPr>
          <w:rFonts w:ascii="Verdana" w:hAnsi="Verdana"/>
          <w:sz w:val="20"/>
          <w:szCs w:val="20"/>
          <w:lang w:val="en-US"/>
        </w:rPr>
        <w:t>Article 31(3)(c) of the Vienna Convention</w:t>
      </w:r>
      <w:r w:rsidRPr="00D2561A">
        <w:rPr>
          <w:rFonts w:ascii="Verdana" w:hAnsi="Verdana"/>
          <w:bCs/>
          <w:sz w:val="20"/>
          <w:szCs w:val="20"/>
          <w:lang w:val="en-US"/>
        </w:rPr>
        <w:t xml:space="preserve">, the judgment has recourse to treaties ratified by Brazil as – consequently – autonomous sources of international law; that is, that create rights. However, these sources only allude to the existence of the said right which, as indicated, was not the purpose of this case and, consequently, is not addressed in this text, and makes absolutely no mention of the judicialization of </w:t>
      </w:r>
      <w:r w:rsidR="009F6372" w:rsidRPr="00D2561A">
        <w:rPr>
          <w:rFonts w:ascii="Verdana" w:hAnsi="Verdana"/>
          <w:bCs/>
          <w:sz w:val="20"/>
          <w:szCs w:val="20"/>
          <w:lang w:val="en-US"/>
        </w:rPr>
        <w:t>eventual</w:t>
      </w:r>
      <w:r w:rsidRPr="00D2561A">
        <w:rPr>
          <w:rFonts w:ascii="Verdana" w:hAnsi="Verdana"/>
          <w:bCs/>
          <w:sz w:val="20"/>
          <w:szCs w:val="20"/>
          <w:lang w:val="en-US"/>
        </w:rPr>
        <w:t xml:space="preserve"> violations of the right.</w:t>
      </w:r>
    </w:p>
    <w:p w14:paraId="21D02100" w14:textId="5603B96B" w:rsidR="00050C4A" w:rsidRPr="00D2561A" w:rsidRDefault="00050C4A" w:rsidP="00620DDC">
      <w:pPr>
        <w:spacing w:line="240" w:lineRule="auto"/>
        <w:ind w:left="0" w:right="-162"/>
        <w:contextualSpacing/>
        <w:rPr>
          <w:rFonts w:ascii="Verdana" w:hAnsi="Verdana"/>
          <w:sz w:val="20"/>
          <w:szCs w:val="20"/>
          <w:lang w:val="en-US"/>
        </w:rPr>
      </w:pPr>
    </w:p>
    <w:p w14:paraId="2B1ACF28" w14:textId="5CCBA12B" w:rsidR="009F6372" w:rsidRPr="00D2561A" w:rsidRDefault="00620DDC"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In this way, </w:t>
      </w:r>
      <w:r w:rsidR="007D03D7" w:rsidRPr="00D2561A">
        <w:rPr>
          <w:rFonts w:ascii="Verdana" w:hAnsi="Verdana"/>
          <w:sz w:val="20"/>
          <w:szCs w:val="20"/>
          <w:lang w:val="en-US"/>
        </w:rPr>
        <w:t>the judgment</w:t>
      </w:r>
      <w:r w:rsidRPr="00D2561A">
        <w:rPr>
          <w:rFonts w:ascii="Verdana" w:hAnsi="Verdana"/>
          <w:sz w:val="20"/>
          <w:szCs w:val="20"/>
          <w:lang w:val="en-US"/>
        </w:rPr>
        <w:t xml:space="preserve"> refers to the International Covenant on</w:t>
      </w:r>
      <w:r w:rsidR="00DC283A" w:rsidRPr="00D2561A">
        <w:rPr>
          <w:rFonts w:ascii="Verdana" w:hAnsi="Verdana"/>
          <w:sz w:val="20"/>
          <w:szCs w:val="20"/>
          <w:lang w:val="en-US"/>
        </w:rPr>
        <w:t xml:space="preserve"> </w:t>
      </w:r>
      <w:r w:rsidRPr="00D2561A">
        <w:rPr>
          <w:rFonts w:ascii="Verdana" w:hAnsi="Verdana"/>
          <w:sz w:val="20"/>
          <w:szCs w:val="20"/>
          <w:lang w:val="en-US"/>
        </w:rPr>
        <w:t>Economic, Social and Cultural Rights,</w:t>
      </w:r>
      <w:r w:rsidR="00DC283A" w:rsidRPr="00D2561A">
        <w:rPr>
          <w:rStyle w:val="Refdenotaalpie"/>
          <w:rFonts w:ascii="Verdana" w:hAnsi="Verdana"/>
          <w:sz w:val="20"/>
          <w:szCs w:val="20"/>
          <w:lang w:val="en-US"/>
        </w:rPr>
        <w:footnoteReference w:id="46"/>
      </w:r>
      <w:r w:rsidR="00991337" w:rsidRPr="00D2561A">
        <w:rPr>
          <w:rFonts w:ascii="Verdana" w:hAnsi="Verdana"/>
          <w:sz w:val="20"/>
          <w:szCs w:val="20"/>
          <w:lang w:val="en-US"/>
        </w:rPr>
        <w:t xml:space="preserve"> </w:t>
      </w:r>
      <w:r w:rsidR="00E30D1A" w:rsidRPr="00D2561A">
        <w:rPr>
          <w:rFonts w:ascii="Verdana" w:hAnsi="Verdana"/>
          <w:sz w:val="20"/>
          <w:szCs w:val="20"/>
          <w:lang w:val="en-US"/>
        </w:rPr>
        <w:t>the Convention</w:t>
      </w:r>
      <w:r w:rsidRPr="00D2561A">
        <w:rPr>
          <w:rFonts w:ascii="Verdana" w:hAnsi="Verdana"/>
          <w:sz w:val="20"/>
          <w:szCs w:val="20"/>
          <w:lang w:val="en-US"/>
        </w:rPr>
        <w:t xml:space="preserve"> on the Elimination of All Forms of Discrimination against Women,</w:t>
      </w:r>
      <w:r w:rsidR="00DC283A" w:rsidRPr="00D2561A">
        <w:rPr>
          <w:rStyle w:val="Refdenotaalpie"/>
          <w:rFonts w:ascii="Verdana" w:hAnsi="Verdana"/>
          <w:sz w:val="20"/>
          <w:szCs w:val="20"/>
          <w:lang w:val="en-US"/>
        </w:rPr>
        <w:footnoteReference w:id="47"/>
      </w:r>
      <w:r w:rsidRPr="00D2561A">
        <w:rPr>
          <w:rFonts w:ascii="Verdana" w:hAnsi="Verdana"/>
          <w:sz w:val="20"/>
          <w:szCs w:val="20"/>
          <w:lang w:val="en-US"/>
        </w:rPr>
        <w:t xml:space="preserve"> the Constitution</w:t>
      </w:r>
      <w:r w:rsidR="00DC283A" w:rsidRPr="00D2561A">
        <w:rPr>
          <w:rStyle w:val="Refdenotaalpie"/>
          <w:rFonts w:ascii="Verdana" w:hAnsi="Verdana"/>
          <w:sz w:val="20"/>
          <w:szCs w:val="20"/>
          <w:lang w:val="en-US"/>
        </w:rPr>
        <w:footnoteReference w:id="48"/>
      </w:r>
      <w:r w:rsidR="00CE6E57" w:rsidRPr="00D2561A">
        <w:rPr>
          <w:rFonts w:ascii="Verdana" w:hAnsi="Verdana"/>
          <w:sz w:val="20"/>
          <w:szCs w:val="20"/>
          <w:lang w:val="en-US"/>
        </w:rPr>
        <w:t xml:space="preserve"> of the International </w:t>
      </w:r>
      <w:proofErr w:type="spellStart"/>
      <w:r w:rsidR="00CE6E57" w:rsidRPr="00D2561A">
        <w:rPr>
          <w:rFonts w:ascii="Verdana" w:hAnsi="Verdana"/>
          <w:sz w:val="20"/>
          <w:szCs w:val="20"/>
          <w:lang w:val="en-US"/>
        </w:rPr>
        <w:t>Labour</w:t>
      </w:r>
      <w:proofErr w:type="spellEnd"/>
      <w:r w:rsidR="00CE6E57" w:rsidRPr="00D2561A">
        <w:rPr>
          <w:rFonts w:ascii="Verdana" w:hAnsi="Verdana"/>
          <w:sz w:val="20"/>
          <w:szCs w:val="20"/>
          <w:lang w:val="en-US"/>
        </w:rPr>
        <w:t xml:space="preserve"> Organization,</w:t>
      </w:r>
      <w:r w:rsidR="0064637C" w:rsidRPr="00D2561A">
        <w:rPr>
          <w:rStyle w:val="Refdenotaalpie"/>
          <w:rFonts w:ascii="Verdana" w:hAnsi="Verdana"/>
          <w:sz w:val="20"/>
          <w:szCs w:val="20"/>
          <w:lang w:val="en-US"/>
        </w:rPr>
        <w:footnoteReference w:id="49"/>
      </w:r>
      <w:r w:rsidR="00DC283A" w:rsidRPr="00D2561A">
        <w:rPr>
          <w:rFonts w:ascii="Verdana" w:hAnsi="Verdana"/>
          <w:sz w:val="20"/>
          <w:szCs w:val="20"/>
          <w:lang w:val="en-US"/>
        </w:rPr>
        <w:t xml:space="preserve"> </w:t>
      </w:r>
      <w:r w:rsidR="009F6372" w:rsidRPr="00D2561A">
        <w:rPr>
          <w:rFonts w:ascii="Verdana" w:hAnsi="Verdana"/>
          <w:sz w:val="20"/>
          <w:szCs w:val="20"/>
          <w:lang w:val="en-US"/>
        </w:rPr>
        <w:t>ILO Convention</w:t>
      </w:r>
      <w:r w:rsidR="00DC283A" w:rsidRPr="00D2561A">
        <w:rPr>
          <w:rFonts w:ascii="Verdana" w:hAnsi="Verdana"/>
          <w:sz w:val="20"/>
          <w:szCs w:val="20"/>
          <w:lang w:val="en-US"/>
        </w:rPr>
        <w:t xml:space="preserve"> No. 81 </w:t>
      </w:r>
      <w:r w:rsidR="009F6372" w:rsidRPr="00D2561A">
        <w:rPr>
          <w:rFonts w:ascii="Verdana" w:hAnsi="Verdana"/>
          <w:sz w:val="20"/>
          <w:szCs w:val="20"/>
          <w:lang w:val="en-US"/>
        </w:rPr>
        <w:t>of</w:t>
      </w:r>
      <w:r w:rsidR="00DC283A" w:rsidRPr="00D2561A">
        <w:rPr>
          <w:rFonts w:ascii="Verdana" w:hAnsi="Verdana"/>
          <w:sz w:val="20"/>
          <w:szCs w:val="20"/>
          <w:lang w:val="en-US"/>
        </w:rPr>
        <w:t xml:space="preserve"> 1947</w:t>
      </w:r>
      <w:r w:rsidR="009F6372" w:rsidRPr="00D2561A">
        <w:rPr>
          <w:rFonts w:ascii="Verdana" w:hAnsi="Verdana"/>
          <w:sz w:val="20"/>
          <w:szCs w:val="20"/>
          <w:lang w:val="en-US"/>
        </w:rPr>
        <w:t xml:space="preserve"> on </w:t>
      </w:r>
      <w:proofErr w:type="spellStart"/>
      <w:r w:rsidR="009F6372" w:rsidRPr="00D2561A">
        <w:rPr>
          <w:rFonts w:ascii="Verdana" w:hAnsi="Verdana"/>
          <w:sz w:val="20"/>
          <w:szCs w:val="20"/>
          <w:lang w:val="en-US"/>
        </w:rPr>
        <w:t>Labour</w:t>
      </w:r>
      <w:proofErr w:type="spellEnd"/>
      <w:r w:rsidR="009F6372" w:rsidRPr="00D2561A">
        <w:rPr>
          <w:rFonts w:ascii="Verdana" w:hAnsi="Verdana"/>
          <w:sz w:val="20"/>
          <w:szCs w:val="20"/>
          <w:lang w:val="en-US"/>
        </w:rPr>
        <w:t xml:space="preserve"> Inspection,</w:t>
      </w:r>
      <w:r w:rsidR="00DC283A" w:rsidRPr="00D2561A">
        <w:rPr>
          <w:rStyle w:val="Refdenotaalpie"/>
          <w:rFonts w:ascii="Verdana" w:hAnsi="Verdana"/>
          <w:sz w:val="20"/>
          <w:szCs w:val="20"/>
          <w:lang w:val="en-US"/>
        </w:rPr>
        <w:footnoteReference w:id="50"/>
      </w:r>
      <w:r w:rsidR="00E30D1A" w:rsidRPr="00D2561A">
        <w:rPr>
          <w:rFonts w:ascii="Verdana" w:hAnsi="Verdana"/>
          <w:sz w:val="20"/>
          <w:szCs w:val="20"/>
          <w:lang w:val="en-US"/>
        </w:rPr>
        <w:t xml:space="preserve"> and </w:t>
      </w:r>
      <w:r w:rsidR="009F6372" w:rsidRPr="00D2561A">
        <w:rPr>
          <w:rFonts w:ascii="Verdana" w:hAnsi="Verdana"/>
          <w:sz w:val="20"/>
          <w:szCs w:val="20"/>
          <w:lang w:val="en-US"/>
        </w:rPr>
        <w:t>ILO Convention</w:t>
      </w:r>
      <w:r w:rsidR="0064637C" w:rsidRPr="00D2561A">
        <w:rPr>
          <w:rFonts w:ascii="Verdana" w:hAnsi="Verdana"/>
          <w:sz w:val="20"/>
          <w:szCs w:val="20"/>
          <w:lang w:val="en-US"/>
        </w:rPr>
        <w:t xml:space="preserve"> No. 155 </w:t>
      </w:r>
      <w:r w:rsidR="009F6372" w:rsidRPr="00D2561A">
        <w:rPr>
          <w:rFonts w:ascii="Verdana" w:hAnsi="Verdana"/>
          <w:sz w:val="20"/>
          <w:szCs w:val="20"/>
          <w:lang w:val="en-US"/>
        </w:rPr>
        <w:t>of</w:t>
      </w:r>
      <w:r w:rsidR="0064637C" w:rsidRPr="00D2561A">
        <w:rPr>
          <w:rFonts w:ascii="Verdana" w:hAnsi="Verdana"/>
          <w:sz w:val="20"/>
          <w:szCs w:val="20"/>
          <w:lang w:val="en-US"/>
        </w:rPr>
        <w:t xml:space="preserve"> 1981 </w:t>
      </w:r>
      <w:r w:rsidR="009F6372" w:rsidRPr="00D2561A">
        <w:rPr>
          <w:rFonts w:ascii="Verdana" w:hAnsi="Verdana"/>
          <w:sz w:val="20"/>
          <w:szCs w:val="20"/>
          <w:lang w:val="en-US"/>
        </w:rPr>
        <w:t>on occupational safety and health,</w:t>
      </w:r>
      <w:r w:rsidR="0064637C" w:rsidRPr="00D2561A">
        <w:rPr>
          <w:rStyle w:val="Refdenotaalpie"/>
          <w:rFonts w:ascii="Verdana" w:hAnsi="Verdana"/>
          <w:sz w:val="20"/>
          <w:szCs w:val="20"/>
          <w:lang w:val="en-US"/>
        </w:rPr>
        <w:footnoteReference w:id="51"/>
      </w:r>
      <w:r w:rsidR="00D06A9A" w:rsidRPr="00D2561A">
        <w:rPr>
          <w:rFonts w:ascii="Verdana" w:hAnsi="Verdana"/>
          <w:sz w:val="20"/>
          <w:szCs w:val="20"/>
          <w:lang w:val="en-US"/>
        </w:rPr>
        <w:t xml:space="preserve"> </w:t>
      </w:r>
      <w:r w:rsidR="009F6372" w:rsidRPr="00D2561A">
        <w:rPr>
          <w:rFonts w:ascii="Verdana" w:hAnsi="Verdana"/>
          <w:sz w:val="20"/>
          <w:szCs w:val="20"/>
          <w:lang w:val="en-US"/>
        </w:rPr>
        <w:t xml:space="preserve">legal instruments that, </w:t>
      </w:r>
      <w:r w:rsidR="007D03D7" w:rsidRPr="00D2561A">
        <w:rPr>
          <w:rFonts w:ascii="Verdana" w:hAnsi="Verdana"/>
          <w:sz w:val="20"/>
          <w:szCs w:val="20"/>
          <w:lang w:val="en-US"/>
        </w:rPr>
        <w:t>it should be repeated</w:t>
      </w:r>
      <w:r w:rsidR="009F6372" w:rsidRPr="00D2561A">
        <w:rPr>
          <w:rFonts w:ascii="Verdana" w:hAnsi="Verdana"/>
          <w:sz w:val="20"/>
          <w:szCs w:val="20"/>
          <w:lang w:val="en-US"/>
        </w:rPr>
        <w:t xml:space="preserve">, do not establish the possibility of resorting to the Court or another international court </w:t>
      </w:r>
      <w:r w:rsidR="007D38CA" w:rsidRPr="00D2561A">
        <w:rPr>
          <w:rFonts w:ascii="Verdana" w:hAnsi="Verdana"/>
          <w:sz w:val="20"/>
          <w:szCs w:val="20"/>
          <w:lang w:val="en-US"/>
        </w:rPr>
        <w:t>owing to</w:t>
      </w:r>
      <w:r w:rsidR="009F6372" w:rsidRPr="00D2561A">
        <w:rPr>
          <w:rFonts w:ascii="Verdana" w:hAnsi="Verdana"/>
          <w:sz w:val="20"/>
          <w:szCs w:val="20"/>
          <w:lang w:val="en-US"/>
        </w:rPr>
        <w:t xml:space="preserve"> </w:t>
      </w:r>
      <w:r w:rsidR="007D03D7" w:rsidRPr="00D2561A">
        <w:rPr>
          <w:rFonts w:ascii="Verdana" w:hAnsi="Verdana"/>
          <w:sz w:val="20"/>
          <w:szCs w:val="20"/>
          <w:lang w:val="en-US"/>
        </w:rPr>
        <w:t xml:space="preserve">an </w:t>
      </w:r>
      <w:r w:rsidR="009F6372" w:rsidRPr="00D2561A">
        <w:rPr>
          <w:rFonts w:ascii="Verdana" w:hAnsi="Verdana"/>
          <w:sz w:val="20"/>
          <w:szCs w:val="20"/>
          <w:lang w:val="en-US"/>
        </w:rPr>
        <w:t>eventual violation of the right to work.</w:t>
      </w:r>
    </w:p>
    <w:p w14:paraId="554A975C" w14:textId="77777777" w:rsidR="00DC283A" w:rsidRPr="00D2561A" w:rsidRDefault="00DC283A" w:rsidP="000E0801">
      <w:pPr>
        <w:spacing w:line="240" w:lineRule="auto"/>
        <w:ind w:left="-270" w:right="-162"/>
        <w:contextualSpacing/>
        <w:rPr>
          <w:rFonts w:ascii="Verdana" w:hAnsi="Verdana"/>
          <w:sz w:val="20"/>
          <w:szCs w:val="20"/>
          <w:lang w:val="en-US"/>
        </w:rPr>
      </w:pPr>
    </w:p>
    <w:p w14:paraId="10CA56AB" w14:textId="192F8573" w:rsidR="00B105E0" w:rsidRPr="00D2561A" w:rsidRDefault="009F6372" w:rsidP="00884B0E">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bCs/>
          <w:sz w:val="20"/>
          <w:szCs w:val="20"/>
          <w:lang w:val="en-US"/>
        </w:rPr>
        <w:t>However, the</w:t>
      </w:r>
      <w:r w:rsidR="0032767A" w:rsidRPr="00D2561A">
        <w:rPr>
          <w:rFonts w:ascii="Verdana" w:hAnsi="Verdana"/>
          <w:bCs/>
          <w:sz w:val="20"/>
          <w:szCs w:val="20"/>
          <w:lang w:val="en-US"/>
        </w:rPr>
        <w:t xml:space="preserve"> judgment</w:t>
      </w:r>
      <w:r w:rsidRPr="00D2561A">
        <w:rPr>
          <w:rFonts w:ascii="Verdana" w:hAnsi="Verdana"/>
          <w:bCs/>
          <w:sz w:val="20"/>
          <w:szCs w:val="20"/>
          <w:lang w:val="en-US"/>
        </w:rPr>
        <w:t xml:space="preserve"> does not have recourse to subsidiary sources of international law; in other words, sources that help to determine the rules of law applicable, such as jurisprudence, doctrine or the resolutions of international organizations </w:t>
      </w:r>
      <w:r w:rsidR="00884B0E" w:rsidRPr="00D2561A">
        <w:rPr>
          <w:rFonts w:ascii="Verdana" w:hAnsi="Verdana"/>
          <w:bCs/>
          <w:sz w:val="20"/>
          <w:szCs w:val="20"/>
          <w:lang w:val="en-US"/>
        </w:rPr>
        <w:t>establishing</w:t>
      </w:r>
      <w:r w:rsidR="007D38CA" w:rsidRPr="00D2561A">
        <w:rPr>
          <w:rFonts w:ascii="Verdana" w:hAnsi="Verdana"/>
          <w:bCs/>
          <w:sz w:val="20"/>
          <w:szCs w:val="20"/>
          <w:lang w:val="en-US"/>
        </w:rPr>
        <w:t xml:space="preserve"> customary</w:t>
      </w:r>
      <w:r w:rsidR="00884B0E" w:rsidRPr="00D2561A">
        <w:rPr>
          <w:rFonts w:ascii="Verdana" w:hAnsi="Verdana"/>
          <w:bCs/>
          <w:sz w:val="20"/>
          <w:szCs w:val="20"/>
          <w:lang w:val="en-US"/>
        </w:rPr>
        <w:t xml:space="preserve"> law.</w:t>
      </w:r>
      <w:r w:rsidR="00E9106E" w:rsidRPr="00D2561A">
        <w:rPr>
          <w:rFonts w:ascii="Verdana" w:hAnsi="Verdana"/>
          <w:sz w:val="20"/>
          <w:szCs w:val="20"/>
          <w:vertAlign w:val="superscript"/>
          <w:lang w:val="en-US"/>
        </w:rPr>
        <w:footnoteReference w:id="52"/>
      </w:r>
      <w:r w:rsidR="00884B0E" w:rsidRPr="00D2561A">
        <w:rPr>
          <w:rFonts w:ascii="Verdana" w:hAnsi="Verdana"/>
          <w:sz w:val="20"/>
          <w:szCs w:val="20"/>
          <w:lang w:val="en-US"/>
        </w:rPr>
        <w:t xml:space="preserve"> It merely refers either to its own case law, which is useful basically to reveal coherence in its conduct, but not necessarily to determine the applicable rules of law, or to resolutions of international </w:t>
      </w:r>
      <w:proofErr w:type="spellStart"/>
      <w:r w:rsidR="00884B0E" w:rsidRPr="00D2561A">
        <w:rPr>
          <w:rFonts w:ascii="Verdana" w:hAnsi="Verdana"/>
          <w:sz w:val="20"/>
          <w:szCs w:val="20"/>
          <w:lang w:val="en-US"/>
        </w:rPr>
        <w:t>organisations</w:t>
      </w:r>
      <w:proofErr w:type="spellEnd"/>
      <w:r w:rsidR="00884B0E" w:rsidRPr="00D2561A">
        <w:rPr>
          <w:rFonts w:ascii="Verdana" w:hAnsi="Verdana"/>
          <w:sz w:val="20"/>
          <w:szCs w:val="20"/>
          <w:lang w:val="en-US"/>
        </w:rPr>
        <w:t xml:space="preserve"> that are not binding for the States – in other words, mere recommendations – and that neither interpret the Convention nor are supposed to</w:t>
      </w:r>
      <w:r w:rsidR="00E9106E" w:rsidRPr="00D2561A">
        <w:rPr>
          <w:rFonts w:ascii="Verdana" w:hAnsi="Verdana"/>
          <w:sz w:val="20"/>
          <w:szCs w:val="20"/>
          <w:lang w:val="en-US"/>
        </w:rPr>
        <w:t>.</w:t>
      </w:r>
    </w:p>
    <w:p w14:paraId="3D6B8575" w14:textId="77777777" w:rsidR="00B105E0" w:rsidRPr="00D2561A" w:rsidRDefault="00B105E0" w:rsidP="000E0801">
      <w:pPr>
        <w:pStyle w:val="Prrafodelista"/>
        <w:spacing w:line="240" w:lineRule="auto"/>
        <w:ind w:left="-270" w:right="-162"/>
        <w:rPr>
          <w:rFonts w:ascii="Verdana" w:hAnsi="Verdana"/>
          <w:bCs/>
          <w:sz w:val="20"/>
          <w:szCs w:val="20"/>
          <w:lang w:val="en-US"/>
        </w:rPr>
      </w:pPr>
    </w:p>
    <w:p w14:paraId="0EB4BD1D" w14:textId="20022324" w:rsidR="00B105E0" w:rsidRPr="00D2561A" w:rsidRDefault="00884B0E" w:rsidP="006F2B5B">
      <w:pPr>
        <w:numPr>
          <w:ilvl w:val="0"/>
          <w:numId w:val="5"/>
        </w:numPr>
        <w:spacing w:line="240" w:lineRule="auto"/>
        <w:ind w:left="-270" w:right="-162" w:firstLine="0"/>
        <w:contextualSpacing/>
        <w:rPr>
          <w:rFonts w:ascii="Verdana" w:eastAsia="Batang" w:hAnsi="Verdana"/>
          <w:bCs/>
          <w:sz w:val="20"/>
          <w:szCs w:val="20"/>
          <w:lang w:val="en-US"/>
        </w:rPr>
      </w:pPr>
      <w:r w:rsidRPr="00D2561A">
        <w:rPr>
          <w:rFonts w:ascii="Verdana" w:hAnsi="Verdana"/>
          <w:bCs/>
          <w:sz w:val="20"/>
          <w:szCs w:val="20"/>
          <w:lang w:val="en-US"/>
        </w:rPr>
        <w:t xml:space="preserve">This is the case of General Comments Nos. </w:t>
      </w:r>
      <w:r w:rsidR="00DB46B4" w:rsidRPr="00D2561A">
        <w:rPr>
          <w:rFonts w:ascii="Verdana" w:hAnsi="Verdana"/>
          <w:sz w:val="20"/>
          <w:szCs w:val="20"/>
          <w:lang w:val="en-US"/>
        </w:rPr>
        <w:t>14,</w:t>
      </w:r>
      <w:r w:rsidR="00DB46B4" w:rsidRPr="00D2561A">
        <w:rPr>
          <w:rStyle w:val="Refdenotaalpie"/>
          <w:rFonts w:ascii="Verdana" w:hAnsi="Verdana"/>
          <w:sz w:val="20"/>
          <w:szCs w:val="20"/>
          <w:lang w:val="en-US"/>
        </w:rPr>
        <w:footnoteReference w:id="53"/>
      </w:r>
      <w:r w:rsidR="00DB46B4" w:rsidRPr="00D2561A">
        <w:rPr>
          <w:rFonts w:ascii="Verdana" w:hAnsi="Verdana"/>
          <w:sz w:val="20"/>
          <w:szCs w:val="20"/>
          <w:lang w:val="en-US"/>
        </w:rPr>
        <w:t xml:space="preserve"> 18</w:t>
      </w:r>
      <w:r w:rsidR="00DB46B4" w:rsidRPr="00D2561A">
        <w:rPr>
          <w:rStyle w:val="Refdenotaalpie"/>
          <w:rFonts w:ascii="Verdana" w:hAnsi="Verdana"/>
          <w:sz w:val="20"/>
          <w:szCs w:val="20"/>
          <w:lang w:val="en-US"/>
        </w:rPr>
        <w:footnoteReference w:id="54"/>
      </w:r>
      <w:r w:rsidR="00E30D1A" w:rsidRPr="00D2561A">
        <w:rPr>
          <w:rFonts w:ascii="Verdana" w:hAnsi="Verdana"/>
          <w:sz w:val="20"/>
          <w:szCs w:val="20"/>
          <w:lang w:val="en-US"/>
        </w:rPr>
        <w:t xml:space="preserve"> and </w:t>
      </w:r>
      <w:r w:rsidR="00AD6FFA" w:rsidRPr="00D2561A">
        <w:rPr>
          <w:rFonts w:ascii="Verdana" w:hAnsi="Verdana"/>
          <w:sz w:val="20"/>
          <w:szCs w:val="20"/>
          <w:lang w:val="en-US"/>
        </w:rPr>
        <w:t>23</w:t>
      </w:r>
      <w:r w:rsidR="00AD6FFA" w:rsidRPr="00D2561A">
        <w:rPr>
          <w:rStyle w:val="Refdenotaalpie"/>
          <w:rFonts w:ascii="Verdana" w:hAnsi="Verdana"/>
          <w:sz w:val="20"/>
          <w:szCs w:val="20"/>
          <w:lang w:val="en-US"/>
        </w:rPr>
        <w:footnoteReference w:id="55"/>
      </w:r>
      <w:r w:rsidRPr="00D2561A">
        <w:rPr>
          <w:rFonts w:ascii="Verdana" w:hAnsi="Verdana"/>
          <w:sz w:val="20"/>
          <w:szCs w:val="20"/>
          <w:lang w:val="en-US"/>
        </w:rPr>
        <w:t xml:space="preserve"> of the Committee on</w:t>
      </w:r>
      <w:r w:rsidR="005D61E9" w:rsidRPr="00D2561A">
        <w:rPr>
          <w:rFonts w:ascii="Verdana" w:hAnsi="Verdana"/>
          <w:sz w:val="20"/>
          <w:szCs w:val="20"/>
          <w:lang w:val="en-US"/>
        </w:rPr>
        <w:t xml:space="preserve"> </w:t>
      </w:r>
      <w:r w:rsidR="00620DDC" w:rsidRPr="00D2561A">
        <w:rPr>
          <w:rFonts w:ascii="Verdana" w:hAnsi="Verdana"/>
          <w:sz w:val="20"/>
          <w:szCs w:val="20"/>
          <w:lang w:val="en-US"/>
        </w:rPr>
        <w:t>Economic, Social and Cultural Rights</w:t>
      </w:r>
      <w:r w:rsidR="00AD6FFA" w:rsidRPr="00D2561A">
        <w:rPr>
          <w:rFonts w:ascii="Verdana" w:hAnsi="Verdana"/>
          <w:sz w:val="20"/>
          <w:szCs w:val="20"/>
          <w:lang w:val="en-US"/>
        </w:rPr>
        <w:t xml:space="preserve"> </w:t>
      </w:r>
      <w:r w:rsidR="00F85D03" w:rsidRPr="00D2561A">
        <w:rPr>
          <w:rFonts w:ascii="Verdana" w:hAnsi="Verdana"/>
          <w:sz w:val="20"/>
          <w:szCs w:val="20"/>
          <w:lang w:val="en-US"/>
        </w:rPr>
        <w:t xml:space="preserve">of the United Nations Economic and Social Council. However, these instruments, rather than interpreting a treaty-based provision and, in particular of the Convention, constitute the expression of legitimate aspirations for change or for the development of international law </w:t>
      </w:r>
      <w:r w:rsidR="00F85D03" w:rsidRPr="00D2561A">
        <w:rPr>
          <w:rFonts w:ascii="Verdana" w:hAnsi="Verdana"/>
          <w:bCs/>
          <w:sz w:val="20"/>
          <w:szCs w:val="20"/>
          <w:lang w:val="en-US"/>
        </w:rPr>
        <w:t xml:space="preserve">in relation to the issue to which they each refer. Moreover, it should not be overlooked that they do not even emanate from </w:t>
      </w:r>
      <w:r w:rsidR="00F85D03" w:rsidRPr="00D2561A">
        <w:rPr>
          <w:rFonts w:ascii="Verdana" w:hAnsi="Verdana"/>
          <w:sz w:val="20"/>
          <w:szCs w:val="20"/>
          <w:lang w:val="en-US"/>
        </w:rPr>
        <w:t xml:space="preserve">an </w:t>
      </w:r>
      <w:r w:rsidR="007D38CA" w:rsidRPr="00D2561A">
        <w:rPr>
          <w:rFonts w:ascii="Verdana" w:hAnsi="Verdana"/>
          <w:sz w:val="20"/>
          <w:szCs w:val="20"/>
          <w:lang w:val="en-US"/>
        </w:rPr>
        <w:t xml:space="preserve">international </w:t>
      </w:r>
      <w:r w:rsidR="00F85D03" w:rsidRPr="00D2561A">
        <w:rPr>
          <w:rFonts w:ascii="Verdana" w:hAnsi="Verdana"/>
          <w:sz w:val="20"/>
          <w:szCs w:val="20"/>
          <w:lang w:val="en-US"/>
        </w:rPr>
        <w:t>official or organ of the</w:t>
      </w:r>
      <w:r w:rsidR="007D38CA" w:rsidRPr="00D2561A">
        <w:rPr>
          <w:rFonts w:ascii="Verdana" w:hAnsi="Verdana"/>
          <w:sz w:val="20"/>
          <w:szCs w:val="20"/>
          <w:lang w:val="en-US"/>
        </w:rPr>
        <w:t xml:space="preserve"> inter-American system of human rights.</w:t>
      </w:r>
    </w:p>
    <w:p w14:paraId="141196B0" w14:textId="77777777" w:rsidR="007D38CA" w:rsidRPr="00D2561A" w:rsidRDefault="007D38CA" w:rsidP="007D38CA">
      <w:pPr>
        <w:spacing w:line="240" w:lineRule="auto"/>
        <w:ind w:left="0" w:right="-162"/>
        <w:contextualSpacing/>
        <w:rPr>
          <w:rFonts w:ascii="Verdana" w:eastAsia="Batang" w:hAnsi="Verdana"/>
          <w:bCs/>
          <w:sz w:val="20"/>
          <w:szCs w:val="20"/>
          <w:lang w:val="en-US"/>
        </w:rPr>
      </w:pPr>
    </w:p>
    <w:p w14:paraId="59F5B6DE" w14:textId="748992E1" w:rsidR="00F85D03" w:rsidRPr="00D2561A" w:rsidRDefault="00F85D03"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eastAsia="Batang" w:hAnsi="Verdana"/>
          <w:bCs/>
          <w:sz w:val="20"/>
          <w:szCs w:val="20"/>
          <w:lang w:val="en-US"/>
        </w:rPr>
        <w:t>In the case of the Universal Declaration of Human Rights</w:t>
      </w:r>
      <w:r w:rsidR="00764633" w:rsidRPr="00D2561A">
        <w:rPr>
          <w:rStyle w:val="Refdenotaalpie"/>
          <w:rFonts w:ascii="Verdana" w:hAnsi="Verdana"/>
          <w:sz w:val="20"/>
          <w:szCs w:val="20"/>
          <w:lang w:val="en-US"/>
        </w:rPr>
        <w:footnoteReference w:id="56"/>
      </w:r>
      <w:r w:rsidR="00E30D1A" w:rsidRPr="00D2561A">
        <w:rPr>
          <w:rFonts w:ascii="Verdana" w:hAnsi="Verdana"/>
          <w:sz w:val="20"/>
          <w:szCs w:val="20"/>
          <w:lang w:val="en-US"/>
        </w:rPr>
        <w:t xml:space="preserve"> and </w:t>
      </w:r>
      <w:r w:rsidRPr="00D2561A">
        <w:rPr>
          <w:rFonts w:ascii="Verdana" w:hAnsi="Verdana"/>
          <w:sz w:val="20"/>
          <w:szCs w:val="20"/>
          <w:lang w:val="en-US"/>
        </w:rPr>
        <w:t>the American Declaration of the Rights and Duties of Man</w:t>
      </w:r>
      <w:r w:rsidR="00063C9F" w:rsidRPr="00D2561A">
        <w:rPr>
          <w:rStyle w:val="Refdenotaalpie"/>
          <w:rFonts w:ascii="Verdana" w:eastAsia="Batang" w:hAnsi="Verdana"/>
          <w:sz w:val="20"/>
          <w:szCs w:val="20"/>
          <w:shd w:val="clear" w:color="auto" w:fill="FFFFFF"/>
          <w:lang w:val="en-US"/>
        </w:rPr>
        <w:footnoteReference w:id="57"/>
      </w:r>
      <w:r w:rsidR="005D61E9" w:rsidRPr="00D2561A">
        <w:rPr>
          <w:rFonts w:ascii="Verdana" w:eastAsia="Batang" w:hAnsi="Verdana"/>
          <w:sz w:val="20"/>
          <w:szCs w:val="20"/>
          <w:shd w:val="clear" w:color="auto" w:fill="FFFFFF"/>
          <w:lang w:val="en-US"/>
        </w:rPr>
        <w:t xml:space="preserve"> </w:t>
      </w:r>
      <w:r w:rsidRPr="00D2561A">
        <w:rPr>
          <w:rFonts w:ascii="Verdana" w:eastAsia="Batang" w:hAnsi="Verdana"/>
          <w:sz w:val="20"/>
          <w:szCs w:val="20"/>
          <w:shd w:val="clear" w:color="auto" w:fill="FFFFFF"/>
          <w:lang w:val="en-US"/>
        </w:rPr>
        <w:t>referred to in</w:t>
      </w:r>
      <w:r w:rsidR="005D61E9" w:rsidRPr="00D2561A">
        <w:rPr>
          <w:rFonts w:ascii="Verdana" w:eastAsia="Batang" w:hAnsi="Verdana"/>
          <w:sz w:val="20"/>
          <w:szCs w:val="20"/>
          <w:shd w:val="clear" w:color="auto" w:fill="FFFFFF"/>
          <w:lang w:val="en-US"/>
        </w:rPr>
        <w:t xml:space="preserve"> </w:t>
      </w:r>
      <w:r w:rsidR="0032767A" w:rsidRPr="00D2561A">
        <w:rPr>
          <w:rFonts w:ascii="Verdana" w:eastAsia="Batang" w:hAnsi="Verdana"/>
          <w:sz w:val="20"/>
          <w:szCs w:val="20"/>
          <w:shd w:val="clear" w:color="auto" w:fill="FFFFFF"/>
          <w:lang w:val="en-US"/>
        </w:rPr>
        <w:t>the judgment</w:t>
      </w:r>
      <w:r w:rsidR="00E17603" w:rsidRPr="00D2561A">
        <w:rPr>
          <w:rFonts w:ascii="Verdana" w:eastAsia="Batang" w:hAnsi="Verdana"/>
          <w:sz w:val="20"/>
          <w:szCs w:val="20"/>
          <w:shd w:val="clear" w:color="auto" w:fill="FFFFFF"/>
          <w:lang w:val="en-US"/>
        </w:rPr>
        <w:t>,</w:t>
      </w:r>
      <w:r w:rsidRPr="00D2561A">
        <w:rPr>
          <w:rFonts w:ascii="Verdana" w:eastAsia="Batang" w:hAnsi="Verdana"/>
          <w:sz w:val="20"/>
          <w:szCs w:val="20"/>
          <w:shd w:val="clear" w:color="auto" w:fill="FFFFFF"/>
          <w:lang w:val="en-US"/>
        </w:rPr>
        <w:t xml:space="preserve"> although it is true that they are </w:t>
      </w:r>
      <w:r w:rsidR="007D38CA" w:rsidRPr="00D2561A">
        <w:rPr>
          <w:rFonts w:ascii="Verdana" w:eastAsia="Batang" w:hAnsi="Verdana"/>
          <w:sz w:val="20"/>
          <w:szCs w:val="20"/>
          <w:shd w:val="clear" w:color="auto" w:fill="FFFFFF"/>
          <w:lang w:val="en-US"/>
        </w:rPr>
        <w:t xml:space="preserve">resolutions establishing customary law </w:t>
      </w:r>
      <w:r w:rsidRPr="00D2561A">
        <w:rPr>
          <w:rFonts w:ascii="Verdana" w:eastAsia="Batang" w:hAnsi="Verdana"/>
          <w:bCs/>
          <w:sz w:val="20"/>
          <w:szCs w:val="20"/>
          <w:lang w:val="en-US"/>
        </w:rPr>
        <w:t>because they express general principles of law applicable to the corresponding</w:t>
      </w:r>
      <w:r w:rsidR="002C2325" w:rsidRPr="00D2561A">
        <w:rPr>
          <w:rFonts w:ascii="Verdana" w:eastAsia="Batang" w:hAnsi="Verdana"/>
          <w:bCs/>
          <w:sz w:val="20"/>
          <w:szCs w:val="20"/>
          <w:lang w:val="en-US"/>
        </w:rPr>
        <w:t xml:space="preserve"> subject-matter</w:t>
      </w:r>
      <w:r w:rsidRPr="00D2561A">
        <w:rPr>
          <w:rFonts w:ascii="Verdana" w:eastAsia="Batang" w:hAnsi="Verdana"/>
          <w:bCs/>
          <w:sz w:val="20"/>
          <w:szCs w:val="20"/>
          <w:lang w:val="en-US"/>
        </w:rPr>
        <w:t>, also recognized by the Convention as “the essential rights of man [</w:t>
      </w:r>
      <w:r w:rsidR="002C2325" w:rsidRPr="00D2561A">
        <w:rPr>
          <w:rFonts w:ascii="Verdana" w:eastAsia="Batang" w:hAnsi="Verdana"/>
          <w:bCs/>
          <w:sz w:val="20"/>
          <w:szCs w:val="20"/>
          <w:lang w:val="en-US"/>
        </w:rPr>
        <w:t>…</w:t>
      </w:r>
      <w:r w:rsidRPr="00D2561A">
        <w:rPr>
          <w:rFonts w:ascii="Verdana" w:eastAsia="Batang" w:hAnsi="Verdana"/>
          <w:bCs/>
          <w:sz w:val="20"/>
          <w:szCs w:val="20"/>
          <w:lang w:val="en-US"/>
        </w:rPr>
        <w:t xml:space="preserve"> that] are based upon attributes of the human personality” and that they are “principles </w:t>
      </w:r>
      <w:r w:rsidR="002C2325" w:rsidRPr="00D2561A">
        <w:rPr>
          <w:rFonts w:ascii="Verdana" w:eastAsia="Batang" w:hAnsi="Verdana"/>
          <w:bCs/>
          <w:sz w:val="20"/>
          <w:szCs w:val="20"/>
          <w:lang w:val="en-US"/>
        </w:rPr>
        <w:t>[…]</w:t>
      </w:r>
      <w:r w:rsidR="0008541C" w:rsidRPr="00D2561A">
        <w:rPr>
          <w:rFonts w:ascii="Verdana" w:eastAsia="Batang" w:hAnsi="Verdana"/>
          <w:bCs/>
          <w:sz w:val="20"/>
          <w:szCs w:val="20"/>
          <w:lang w:val="en-US"/>
        </w:rPr>
        <w:t xml:space="preserve"> set forth in” it,</w:t>
      </w:r>
      <w:r w:rsidR="0008541C" w:rsidRPr="00D2561A">
        <w:rPr>
          <w:rFonts w:ascii="Verdana" w:eastAsia="Batang" w:hAnsi="Verdana"/>
          <w:sz w:val="20"/>
          <w:szCs w:val="20"/>
          <w:vertAlign w:val="superscript"/>
          <w:lang w:val="en-US"/>
        </w:rPr>
        <w:footnoteReference w:id="58"/>
      </w:r>
      <w:r w:rsidR="0008541C" w:rsidRPr="00D2561A">
        <w:rPr>
          <w:rFonts w:ascii="Verdana" w:eastAsia="Batang" w:hAnsi="Verdana"/>
          <w:bCs/>
          <w:sz w:val="20"/>
          <w:szCs w:val="20"/>
          <w:lang w:val="en-US"/>
        </w:rPr>
        <w:t xml:space="preserve"> it is no less true that these declarations do not establish or refer to any mechanism of control with regard to the said principles. It is worth adding that since the American Declaration preceded the Convention it does not interpret it; rather, more precisely, the latter was concluded owing to the </w:t>
      </w:r>
      <w:r w:rsidR="002C2325" w:rsidRPr="00D2561A">
        <w:rPr>
          <w:rFonts w:ascii="Verdana" w:eastAsia="Batang" w:hAnsi="Verdana"/>
          <w:bCs/>
          <w:sz w:val="20"/>
          <w:szCs w:val="20"/>
          <w:lang w:val="en-US"/>
        </w:rPr>
        <w:t xml:space="preserve">specific </w:t>
      </w:r>
      <w:r w:rsidR="0008541C" w:rsidRPr="00D2561A">
        <w:rPr>
          <w:rFonts w:ascii="Verdana" w:eastAsia="Batang" w:hAnsi="Verdana"/>
          <w:bCs/>
          <w:sz w:val="20"/>
          <w:szCs w:val="20"/>
          <w:lang w:val="en-US"/>
        </w:rPr>
        <w:t>mandate included in the former</w:t>
      </w:r>
      <w:r w:rsidR="002C2325" w:rsidRPr="00D2561A">
        <w:rPr>
          <w:rFonts w:ascii="Verdana" w:eastAsia="Batang" w:hAnsi="Verdana"/>
          <w:bCs/>
          <w:sz w:val="20"/>
          <w:szCs w:val="20"/>
          <w:lang w:val="en-US"/>
        </w:rPr>
        <w:t xml:space="preserve"> </w:t>
      </w:r>
      <w:r w:rsidR="0008541C" w:rsidRPr="00D2561A">
        <w:rPr>
          <w:rFonts w:ascii="Verdana" w:eastAsia="Batang" w:hAnsi="Verdana"/>
          <w:bCs/>
          <w:sz w:val="20"/>
          <w:szCs w:val="20"/>
          <w:lang w:val="en-US"/>
        </w:rPr>
        <w:t>to establish control mechanisms.</w:t>
      </w:r>
      <w:r w:rsidR="0008541C" w:rsidRPr="00D2561A">
        <w:rPr>
          <w:rStyle w:val="Refdenotaalpie"/>
          <w:rFonts w:ascii="Verdana" w:eastAsia="Batang" w:hAnsi="Verdana"/>
          <w:sz w:val="20"/>
          <w:szCs w:val="20"/>
          <w:lang w:val="en-US"/>
        </w:rPr>
        <w:footnoteReference w:id="59"/>
      </w:r>
    </w:p>
    <w:p w14:paraId="34FD6796" w14:textId="77777777" w:rsidR="002B4C9E" w:rsidRPr="00D2561A" w:rsidRDefault="002B4C9E" w:rsidP="000E0801">
      <w:pPr>
        <w:pStyle w:val="Prrafodelista"/>
        <w:spacing w:line="240" w:lineRule="auto"/>
        <w:ind w:left="-270" w:right="-162"/>
        <w:rPr>
          <w:rFonts w:ascii="Verdana" w:hAnsi="Verdana"/>
          <w:sz w:val="20"/>
          <w:szCs w:val="20"/>
          <w:lang w:val="en-US"/>
        </w:rPr>
      </w:pPr>
    </w:p>
    <w:p w14:paraId="61041932" w14:textId="17AF74A5" w:rsidR="00FF0625" w:rsidRPr="00D2561A" w:rsidRDefault="00FF0625"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Regarding the </w:t>
      </w:r>
      <w:r w:rsidR="002C2325" w:rsidRPr="00D2561A">
        <w:rPr>
          <w:rFonts w:ascii="Verdana" w:hAnsi="Verdana"/>
          <w:sz w:val="20"/>
          <w:szCs w:val="20"/>
          <w:lang w:val="en-US"/>
        </w:rPr>
        <w:t>reference</w:t>
      </w:r>
      <w:r w:rsidRPr="00D2561A">
        <w:rPr>
          <w:rFonts w:ascii="Verdana" w:hAnsi="Verdana"/>
          <w:sz w:val="20"/>
          <w:szCs w:val="20"/>
          <w:lang w:val="en-US"/>
        </w:rPr>
        <w:t xml:space="preserve"> that the judgement makes </w:t>
      </w:r>
      <w:r w:rsidR="002C2325" w:rsidRPr="00D2561A">
        <w:rPr>
          <w:rFonts w:ascii="Verdana" w:hAnsi="Verdana"/>
          <w:sz w:val="20"/>
          <w:szCs w:val="20"/>
          <w:lang w:val="en-US"/>
        </w:rPr>
        <w:t>to</w:t>
      </w:r>
      <w:r w:rsidRPr="00D2561A">
        <w:rPr>
          <w:rFonts w:ascii="Verdana" w:hAnsi="Verdana"/>
          <w:sz w:val="20"/>
          <w:szCs w:val="20"/>
          <w:lang w:val="en-US"/>
        </w:rPr>
        <w:t xml:space="preserve"> </w:t>
      </w:r>
      <w:r w:rsidR="00466AF7" w:rsidRPr="00D2561A">
        <w:rPr>
          <w:rFonts w:ascii="Verdana" w:hAnsi="Verdana"/>
          <w:sz w:val="20"/>
          <w:szCs w:val="20"/>
          <w:lang w:val="en-US"/>
        </w:rPr>
        <w:t>Article</w:t>
      </w:r>
      <w:r w:rsidR="00C21FEC" w:rsidRPr="00D2561A">
        <w:rPr>
          <w:rFonts w:ascii="Verdana" w:hAnsi="Verdana"/>
          <w:sz w:val="20"/>
          <w:szCs w:val="20"/>
          <w:lang w:val="en-US"/>
        </w:rPr>
        <w:t xml:space="preserve"> 29</w:t>
      </w:r>
      <w:r w:rsidR="00E30D1A" w:rsidRPr="00D2561A">
        <w:rPr>
          <w:rFonts w:ascii="Verdana" w:hAnsi="Verdana"/>
          <w:sz w:val="20"/>
          <w:szCs w:val="20"/>
          <w:lang w:val="en-US"/>
        </w:rPr>
        <w:t xml:space="preserve"> of the Convention</w:t>
      </w:r>
      <w:r w:rsidRPr="00D2561A">
        <w:rPr>
          <w:rFonts w:ascii="Verdana" w:hAnsi="Verdana"/>
          <w:sz w:val="20"/>
          <w:szCs w:val="20"/>
          <w:lang w:val="en-US"/>
        </w:rPr>
        <w:t>,</w:t>
      </w:r>
      <w:r w:rsidR="00C21FEC" w:rsidRPr="00D2561A">
        <w:rPr>
          <w:rStyle w:val="Refdenotaalpie"/>
          <w:rFonts w:ascii="Verdana" w:hAnsi="Verdana"/>
          <w:sz w:val="20"/>
          <w:szCs w:val="20"/>
          <w:lang w:val="en-US"/>
        </w:rPr>
        <w:footnoteReference w:id="60"/>
      </w:r>
      <w:r w:rsidR="00764633" w:rsidRPr="00D2561A">
        <w:rPr>
          <w:rFonts w:ascii="Verdana" w:hAnsi="Verdana"/>
          <w:sz w:val="20"/>
          <w:szCs w:val="20"/>
          <w:lang w:val="en-US"/>
        </w:rPr>
        <w:t xml:space="preserve"> </w:t>
      </w:r>
      <w:r w:rsidRPr="00D2561A">
        <w:rPr>
          <w:rFonts w:ascii="Verdana" w:hAnsi="Verdana"/>
          <w:sz w:val="20"/>
          <w:szCs w:val="20"/>
          <w:lang w:val="en-US"/>
        </w:rPr>
        <w:t xml:space="preserve">known as the </w:t>
      </w:r>
      <w:r w:rsidR="00764633" w:rsidRPr="00D2561A">
        <w:rPr>
          <w:rFonts w:ascii="Verdana" w:hAnsi="Verdana"/>
          <w:i/>
          <w:iCs/>
          <w:sz w:val="20"/>
          <w:szCs w:val="20"/>
          <w:lang w:val="en-US"/>
        </w:rPr>
        <w:t>pro personae</w:t>
      </w:r>
      <w:r w:rsidR="00764633" w:rsidRPr="00D2561A">
        <w:rPr>
          <w:rFonts w:ascii="Verdana" w:hAnsi="Verdana"/>
          <w:sz w:val="20"/>
          <w:szCs w:val="20"/>
          <w:lang w:val="en-US"/>
        </w:rPr>
        <w:t xml:space="preserve"> p</w:t>
      </w:r>
      <w:r w:rsidRPr="00D2561A">
        <w:rPr>
          <w:rFonts w:ascii="Verdana" w:hAnsi="Verdana"/>
          <w:sz w:val="20"/>
          <w:szCs w:val="20"/>
          <w:lang w:val="en-US"/>
        </w:rPr>
        <w:t xml:space="preserve">rinciple, it should be recalled that this article relates to the interpretation of the rights recognized in this instrument and not to the control mechanisms established in it. Also, it should not be disregarded that this article concerns the interpretation of the Convention, and mandates that, the meaning and scope </w:t>
      </w:r>
      <w:r w:rsidR="00A32BEF" w:rsidRPr="00D2561A">
        <w:rPr>
          <w:rFonts w:ascii="Verdana" w:hAnsi="Verdana"/>
          <w:sz w:val="20"/>
          <w:szCs w:val="20"/>
          <w:lang w:val="en-US"/>
        </w:rPr>
        <w:t>of this interpretation</w:t>
      </w:r>
      <w:r w:rsidRPr="00D2561A">
        <w:rPr>
          <w:rFonts w:ascii="Verdana" w:hAnsi="Verdana"/>
          <w:sz w:val="20"/>
          <w:szCs w:val="20"/>
          <w:lang w:val="en-US"/>
        </w:rPr>
        <w:t xml:space="preserve"> cannot entail a restriction of the human right in question, as recognized by the Convention or by the other legal instruments it indicates.</w:t>
      </w:r>
      <w:r w:rsidR="00A32BEF" w:rsidRPr="00D2561A">
        <w:rPr>
          <w:rFonts w:ascii="Verdana" w:hAnsi="Verdana"/>
          <w:sz w:val="20"/>
          <w:szCs w:val="20"/>
          <w:lang w:val="en-US"/>
        </w:rPr>
        <w:t xml:space="preserve"> Consequently, the purpose of the said article </w:t>
      </w:r>
      <w:r w:rsidR="002C2325" w:rsidRPr="00D2561A">
        <w:rPr>
          <w:rFonts w:ascii="Verdana" w:hAnsi="Verdana"/>
          <w:sz w:val="20"/>
          <w:szCs w:val="20"/>
          <w:lang w:val="en-US"/>
        </w:rPr>
        <w:t>was</w:t>
      </w:r>
      <w:r w:rsidR="00A32BEF" w:rsidRPr="00D2561A">
        <w:rPr>
          <w:rFonts w:ascii="Verdana" w:hAnsi="Verdana"/>
          <w:sz w:val="20"/>
          <w:szCs w:val="20"/>
          <w:lang w:val="en-US"/>
        </w:rPr>
        <w:t xml:space="preserve"> not to grant the Court authority to rule on the judicialization of presumed violations of human rights, but rather, it established conditions for the interpretation of the Convention. Moreover, </w:t>
      </w:r>
      <w:r w:rsidR="002C2325" w:rsidRPr="00D2561A">
        <w:rPr>
          <w:rFonts w:ascii="Verdana" w:hAnsi="Verdana"/>
          <w:sz w:val="20"/>
          <w:szCs w:val="20"/>
          <w:lang w:val="en-US"/>
        </w:rPr>
        <w:t xml:space="preserve">it </w:t>
      </w:r>
      <w:r w:rsidR="00A32BEF" w:rsidRPr="00D2561A">
        <w:rPr>
          <w:rFonts w:ascii="Verdana" w:hAnsi="Verdana"/>
          <w:sz w:val="20"/>
          <w:szCs w:val="20"/>
          <w:lang w:val="en-US"/>
        </w:rPr>
        <w:t>d</w:t>
      </w:r>
      <w:r w:rsidR="002C2325" w:rsidRPr="00D2561A">
        <w:rPr>
          <w:rFonts w:ascii="Verdana" w:hAnsi="Verdana"/>
          <w:sz w:val="20"/>
          <w:szCs w:val="20"/>
          <w:lang w:val="en-US"/>
        </w:rPr>
        <w:t>id</w:t>
      </w:r>
      <w:r w:rsidR="00A32BEF" w:rsidRPr="00D2561A">
        <w:rPr>
          <w:rFonts w:ascii="Verdana" w:hAnsi="Verdana"/>
          <w:sz w:val="20"/>
          <w:szCs w:val="20"/>
          <w:lang w:val="en-US"/>
        </w:rPr>
        <w:t xml:space="preserve"> </w:t>
      </w:r>
      <w:r w:rsidR="002C2325" w:rsidRPr="00D2561A">
        <w:rPr>
          <w:rFonts w:ascii="Verdana" w:hAnsi="Verdana"/>
          <w:sz w:val="20"/>
          <w:szCs w:val="20"/>
          <w:lang w:val="en-US"/>
        </w:rPr>
        <w:t>not</w:t>
      </w:r>
      <w:r w:rsidR="00A32BEF" w:rsidRPr="00D2561A">
        <w:rPr>
          <w:rFonts w:ascii="Verdana" w:hAnsi="Verdana"/>
          <w:sz w:val="20"/>
          <w:szCs w:val="20"/>
          <w:lang w:val="en-US"/>
        </w:rPr>
        <w:t xml:space="preserve"> establish the authority of the Court to interpret other international treaties or legal instruments, unless as necessary to determine whether they establish</w:t>
      </w:r>
      <w:r w:rsidR="002C2325" w:rsidRPr="00D2561A">
        <w:rPr>
          <w:rFonts w:ascii="Verdana" w:hAnsi="Verdana"/>
          <w:sz w:val="20"/>
          <w:szCs w:val="20"/>
          <w:lang w:val="en-US"/>
        </w:rPr>
        <w:t>ed</w:t>
      </w:r>
      <w:r w:rsidR="00A32BEF" w:rsidRPr="00D2561A">
        <w:rPr>
          <w:rFonts w:ascii="Verdana" w:hAnsi="Verdana"/>
          <w:sz w:val="20"/>
          <w:szCs w:val="20"/>
          <w:lang w:val="en-US"/>
        </w:rPr>
        <w:t xml:space="preserve"> a broad</w:t>
      </w:r>
      <w:r w:rsidR="002C2325" w:rsidRPr="00D2561A">
        <w:rPr>
          <w:rFonts w:ascii="Verdana" w:hAnsi="Verdana"/>
          <w:sz w:val="20"/>
          <w:szCs w:val="20"/>
          <w:lang w:val="en-US"/>
        </w:rPr>
        <w:t>er</w:t>
      </w:r>
      <w:r w:rsidR="00A32BEF" w:rsidRPr="00D2561A">
        <w:rPr>
          <w:rFonts w:ascii="Verdana" w:hAnsi="Verdana"/>
          <w:sz w:val="20"/>
          <w:szCs w:val="20"/>
          <w:lang w:val="en-US"/>
        </w:rPr>
        <w:t xml:space="preserve"> meaning and scope than the one determined by the human right guaranteed in the Convention.</w:t>
      </w:r>
    </w:p>
    <w:p w14:paraId="7EB8525E" w14:textId="77777777" w:rsidR="002B4C9E" w:rsidRPr="00D2561A" w:rsidRDefault="002B4C9E" w:rsidP="00A32BEF">
      <w:pPr>
        <w:spacing w:line="240" w:lineRule="auto"/>
        <w:ind w:left="0" w:right="-162"/>
        <w:contextualSpacing/>
        <w:rPr>
          <w:rFonts w:ascii="Verdana" w:hAnsi="Verdana"/>
          <w:sz w:val="20"/>
          <w:szCs w:val="20"/>
          <w:lang w:val="en-US"/>
        </w:rPr>
      </w:pPr>
    </w:p>
    <w:p w14:paraId="6A7C09CA" w14:textId="411A952A" w:rsidR="00422BC6" w:rsidRPr="00D2561A" w:rsidRDefault="00E9697D"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bCs/>
          <w:sz w:val="20"/>
          <w:szCs w:val="20"/>
          <w:lang w:val="en-US"/>
        </w:rPr>
        <w:t>I</w:t>
      </w:r>
      <w:r w:rsidR="004F0FDE" w:rsidRPr="00D2561A">
        <w:rPr>
          <w:rFonts w:ascii="Verdana" w:hAnsi="Verdana"/>
          <w:bCs/>
          <w:sz w:val="20"/>
          <w:szCs w:val="20"/>
          <w:lang w:val="en-US"/>
        </w:rPr>
        <w:t>t also appears necessary to include some brief comments on the mention</w:t>
      </w:r>
      <w:r w:rsidR="002C2325" w:rsidRPr="00D2561A">
        <w:rPr>
          <w:rFonts w:ascii="Verdana" w:hAnsi="Verdana"/>
          <w:bCs/>
          <w:sz w:val="20"/>
          <w:szCs w:val="20"/>
          <w:lang w:val="en-US"/>
        </w:rPr>
        <w:t xml:space="preserve"> made</w:t>
      </w:r>
      <w:r w:rsidR="004F0FDE" w:rsidRPr="00D2561A">
        <w:rPr>
          <w:rFonts w:ascii="Verdana" w:hAnsi="Verdana"/>
          <w:bCs/>
          <w:sz w:val="20"/>
          <w:szCs w:val="20"/>
          <w:lang w:val="en-US"/>
        </w:rPr>
        <w:t xml:space="preserve"> in the judgment that “human rights treaties are living instruments, the interpretation of which should evolve over time and in keeping with current circumstances.</w:t>
      </w:r>
      <w:bookmarkStart w:id="6" w:name="_Hlk45808426"/>
      <w:r w:rsidR="00183EA4" w:rsidRPr="00D2561A">
        <w:rPr>
          <w:rFonts w:ascii="Verdana" w:hAnsi="Verdana"/>
          <w:sz w:val="20"/>
          <w:szCs w:val="20"/>
          <w:lang w:val="en-US"/>
        </w:rPr>
        <w:t>”</w:t>
      </w:r>
      <w:bookmarkEnd w:id="6"/>
      <w:r w:rsidR="00183EA4" w:rsidRPr="00D2561A">
        <w:rPr>
          <w:rStyle w:val="Refdenotaalpie"/>
          <w:rFonts w:ascii="Verdana" w:hAnsi="Verdana"/>
          <w:sz w:val="20"/>
          <w:szCs w:val="20"/>
          <w:lang w:val="en-US"/>
        </w:rPr>
        <w:footnoteReference w:id="61"/>
      </w:r>
      <w:r w:rsidR="004F0FDE" w:rsidRPr="00D2561A">
        <w:rPr>
          <w:rFonts w:ascii="Verdana" w:hAnsi="Verdana"/>
          <w:sz w:val="20"/>
          <w:szCs w:val="20"/>
          <w:lang w:val="en-US"/>
        </w:rPr>
        <w:t xml:space="preserve"> The first comment is that this is </w:t>
      </w:r>
      <w:r w:rsidR="00422BC6" w:rsidRPr="00D2561A">
        <w:rPr>
          <w:rFonts w:ascii="Verdana" w:hAnsi="Verdana"/>
          <w:sz w:val="20"/>
          <w:szCs w:val="20"/>
          <w:lang w:val="en-US"/>
        </w:rPr>
        <w:t>envisaged</w:t>
      </w:r>
      <w:r w:rsidR="004F0FDE" w:rsidRPr="00D2561A">
        <w:rPr>
          <w:rFonts w:ascii="Verdana" w:hAnsi="Verdana"/>
          <w:sz w:val="20"/>
          <w:szCs w:val="20"/>
          <w:lang w:val="en-US"/>
        </w:rPr>
        <w:t xml:space="preserve"> in </w:t>
      </w:r>
      <w:r w:rsidR="00E30D1A" w:rsidRPr="00D2561A">
        <w:rPr>
          <w:rFonts w:ascii="Verdana" w:hAnsi="Verdana"/>
          <w:sz w:val="20"/>
          <w:szCs w:val="20"/>
          <w:lang w:val="en-US"/>
        </w:rPr>
        <w:t>Article</w:t>
      </w:r>
      <w:r w:rsidR="00A229F3" w:rsidRPr="00D2561A">
        <w:rPr>
          <w:rFonts w:ascii="Verdana" w:hAnsi="Verdana"/>
          <w:sz w:val="20"/>
          <w:szCs w:val="20"/>
          <w:lang w:val="en-US"/>
        </w:rPr>
        <w:t xml:space="preserve"> 31</w:t>
      </w:r>
      <w:r w:rsidR="004F0FDE" w:rsidRPr="00D2561A">
        <w:rPr>
          <w:rFonts w:ascii="Verdana" w:hAnsi="Verdana"/>
          <w:sz w:val="20"/>
          <w:szCs w:val="20"/>
          <w:lang w:val="en-US"/>
        </w:rPr>
        <w:t>(</w:t>
      </w:r>
      <w:r w:rsidR="00A229F3" w:rsidRPr="00D2561A">
        <w:rPr>
          <w:rFonts w:ascii="Verdana" w:hAnsi="Verdana"/>
          <w:sz w:val="20"/>
          <w:szCs w:val="20"/>
          <w:lang w:val="en-US"/>
        </w:rPr>
        <w:t>3</w:t>
      </w:r>
      <w:r w:rsidR="004F0FDE" w:rsidRPr="00D2561A">
        <w:rPr>
          <w:rFonts w:ascii="Verdana" w:hAnsi="Verdana"/>
          <w:sz w:val="20"/>
          <w:szCs w:val="20"/>
          <w:lang w:val="en-US"/>
        </w:rPr>
        <w:t>)(</w:t>
      </w:r>
      <w:r w:rsidR="00A229F3" w:rsidRPr="00D2561A">
        <w:rPr>
          <w:rFonts w:ascii="Verdana" w:hAnsi="Verdana"/>
          <w:sz w:val="20"/>
          <w:szCs w:val="20"/>
          <w:lang w:val="en-US"/>
        </w:rPr>
        <w:t>a)</w:t>
      </w:r>
      <w:r w:rsidR="00E30D1A" w:rsidRPr="00D2561A">
        <w:rPr>
          <w:rFonts w:ascii="Verdana" w:hAnsi="Verdana"/>
          <w:sz w:val="20"/>
          <w:szCs w:val="20"/>
          <w:lang w:val="en-US"/>
        </w:rPr>
        <w:t xml:space="preserve"> and </w:t>
      </w:r>
      <w:r w:rsidR="00422BC6" w:rsidRPr="00D2561A">
        <w:rPr>
          <w:rFonts w:ascii="Verdana" w:hAnsi="Verdana"/>
          <w:sz w:val="20"/>
          <w:szCs w:val="20"/>
          <w:lang w:val="en-US"/>
        </w:rPr>
        <w:t>(</w:t>
      </w:r>
      <w:r w:rsidR="00A229F3" w:rsidRPr="00D2561A">
        <w:rPr>
          <w:rFonts w:ascii="Verdana" w:hAnsi="Verdana"/>
          <w:sz w:val="20"/>
          <w:szCs w:val="20"/>
          <w:lang w:val="en-US"/>
        </w:rPr>
        <w:t>b)</w:t>
      </w:r>
      <w:r w:rsidR="00E30D1A" w:rsidRPr="00D2561A">
        <w:rPr>
          <w:rFonts w:ascii="Verdana" w:hAnsi="Verdana"/>
          <w:sz w:val="20"/>
          <w:szCs w:val="20"/>
          <w:lang w:val="en-US"/>
        </w:rPr>
        <w:t xml:space="preserve"> of the </w:t>
      </w:r>
      <w:r w:rsidR="00466AF7" w:rsidRPr="00D2561A">
        <w:rPr>
          <w:rFonts w:ascii="Verdana" w:hAnsi="Verdana"/>
          <w:sz w:val="20"/>
          <w:szCs w:val="20"/>
          <w:lang w:val="en-US"/>
        </w:rPr>
        <w:t>Vienna Convention</w:t>
      </w:r>
      <w:r w:rsidR="00183EA4" w:rsidRPr="00D2561A">
        <w:rPr>
          <w:rFonts w:ascii="Verdana" w:hAnsi="Verdana"/>
          <w:sz w:val="20"/>
          <w:szCs w:val="20"/>
          <w:lang w:val="en-US"/>
        </w:rPr>
        <w:t xml:space="preserve">, </w:t>
      </w:r>
      <w:r w:rsidR="00422BC6" w:rsidRPr="00D2561A">
        <w:rPr>
          <w:rFonts w:ascii="Verdana" w:hAnsi="Verdana"/>
          <w:sz w:val="20"/>
          <w:szCs w:val="20"/>
          <w:lang w:val="en-US"/>
        </w:rPr>
        <w:t>when it establishes that “there shall be taken into account, together with the context,” any agreements and practice of the States regarding the interpretation of the treaty in question. Thus, the evolutive nature relates more to the applicable law than to the case law issued in relation to the treaty.</w:t>
      </w:r>
    </w:p>
    <w:p w14:paraId="1A35E2B1" w14:textId="77777777" w:rsidR="009D1C81" w:rsidRPr="00D2561A" w:rsidRDefault="009D1C81" w:rsidP="000E0801">
      <w:pPr>
        <w:spacing w:line="240" w:lineRule="auto"/>
        <w:ind w:left="-270" w:right="-162"/>
        <w:contextualSpacing/>
        <w:rPr>
          <w:rFonts w:ascii="Verdana" w:hAnsi="Verdana"/>
          <w:sz w:val="20"/>
          <w:szCs w:val="20"/>
          <w:lang w:val="en-US"/>
        </w:rPr>
      </w:pPr>
    </w:p>
    <w:p w14:paraId="02AE7D4A" w14:textId="30A2676C" w:rsidR="00422BC6" w:rsidRPr="00D2561A" w:rsidRDefault="00422BC6"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bCs/>
          <w:sz w:val="20"/>
          <w:szCs w:val="20"/>
          <w:lang w:val="en-US"/>
        </w:rPr>
        <w:t xml:space="preserve">The second comment is that, consequently, the interpretation must take into account that, in order to determine </w:t>
      </w:r>
      <w:r w:rsidR="00B90F56" w:rsidRPr="00D2561A">
        <w:rPr>
          <w:rFonts w:ascii="Verdana" w:hAnsi="Verdana"/>
          <w:bCs/>
          <w:sz w:val="20"/>
          <w:szCs w:val="20"/>
          <w:lang w:val="en-US"/>
        </w:rPr>
        <w:t>“</w:t>
      </w:r>
      <w:r w:rsidRPr="00D2561A">
        <w:rPr>
          <w:rFonts w:ascii="Verdana" w:hAnsi="Verdana"/>
          <w:bCs/>
          <w:sz w:val="20"/>
          <w:szCs w:val="20"/>
          <w:lang w:val="en-US"/>
        </w:rPr>
        <w:t>the evolution over time and the current circumstances,</w:t>
      </w:r>
      <w:r w:rsidR="00B90F56" w:rsidRPr="00D2561A">
        <w:rPr>
          <w:rFonts w:ascii="Verdana" w:hAnsi="Verdana"/>
          <w:bCs/>
          <w:sz w:val="20"/>
          <w:szCs w:val="20"/>
          <w:lang w:val="en-US"/>
        </w:rPr>
        <w:t>”</w:t>
      </w:r>
      <w:r w:rsidRPr="00D2561A">
        <w:rPr>
          <w:rFonts w:ascii="Verdana" w:hAnsi="Verdana"/>
          <w:bCs/>
          <w:sz w:val="20"/>
          <w:szCs w:val="20"/>
          <w:lang w:val="en-US"/>
        </w:rPr>
        <w:t xml:space="preserve"> a general assertion</w:t>
      </w:r>
      <w:r w:rsidR="00B90F56" w:rsidRPr="00D2561A">
        <w:rPr>
          <w:rFonts w:ascii="Verdana" w:hAnsi="Verdana"/>
          <w:bCs/>
          <w:sz w:val="20"/>
          <w:szCs w:val="20"/>
          <w:lang w:val="en-US"/>
        </w:rPr>
        <w:t xml:space="preserve"> by non-state entities</w:t>
      </w:r>
      <w:r w:rsidRPr="00D2561A">
        <w:rPr>
          <w:rFonts w:ascii="Verdana" w:hAnsi="Verdana"/>
          <w:bCs/>
          <w:sz w:val="20"/>
          <w:szCs w:val="20"/>
          <w:lang w:val="en-US"/>
        </w:rPr>
        <w:t>, at times without any scientific support</w:t>
      </w:r>
      <w:r w:rsidR="00B90F56" w:rsidRPr="00D2561A">
        <w:rPr>
          <w:rFonts w:ascii="Verdana" w:hAnsi="Verdana"/>
          <w:bCs/>
          <w:sz w:val="20"/>
          <w:szCs w:val="20"/>
          <w:lang w:val="en-US"/>
        </w:rPr>
        <w:t>,</w:t>
      </w:r>
      <w:r w:rsidRPr="00D2561A">
        <w:rPr>
          <w:rFonts w:ascii="Verdana" w:hAnsi="Verdana"/>
          <w:bCs/>
          <w:sz w:val="20"/>
          <w:szCs w:val="20"/>
          <w:lang w:val="en-US"/>
        </w:rPr>
        <w:t xml:space="preserve"> </w:t>
      </w:r>
      <w:r w:rsidR="00B90F56" w:rsidRPr="00D2561A">
        <w:rPr>
          <w:rFonts w:ascii="Verdana" w:hAnsi="Verdana"/>
          <w:bCs/>
          <w:sz w:val="20"/>
          <w:szCs w:val="20"/>
          <w:lang w:val="en-US"/>
        </w:rPr>
        <w:t>is not sufficient; rather,</w:t>
      </w:r>
      <w:r w:rsidRPr="00D2561A">
        <w:rPr>
          <w:rFonts w:ascii="Verdana" w:hAnsi="Verdana"/>
          <w:bCs/>
          <w:sz w:val="20"/>
          <w:szCs w:val="20"/>
          <w:lang w:val="en-US"/>
        </w:rPr>
        <w:t xml:space="preserve"> </w:t>
      </w:r>
      <w:r w:rsidR="00B90F56" w:rsidRPr="00D2561A">
        <w:rPr>
          <w:rFonts w:ascii="Verdana" w:hAnsi="Verdana"/>
          <w:bCs/>
          <w:sz w:val="20"/>
          <w:szCs w:val="20"/>
          <w:lang w:val="en-US"/>
        </w:rPr>
        <w:t>it</w:t>
      </w:r>
      <w:r w:rsidRPr="00D2561A">
        <w:rPr>
          <w:rFonts w:ascii="Verdana" w:hAnsi="Verdana"/>
          <w:bCs/>
          <w:sz w:val="20"/>
          <w:szCs w:val="20"/>
          <w:lang w:val="en-US"/>
        </w:rPr>
        <w:t xml:space="preserve"> must be shared by international society and, in the case of the Convention, by inter-American society, both of which still consist, mainly, of sovereign States. Otherwise, the Court would be conferring on </w:t>
      </w:r>
      <w:r w:rsidR="00B90F56" w:rsidRPr="00D2561A">
        <w:rPr>
          <w:rFonts w:ascii="Verdana" w:hAnsi="Verdana"/>
          <w:bCs/>
          <w:sz w:val="20"/>
          <w:szCs w:val="20"/>
          <w:lang w:val="en-US"/>
        </w:rPr>
        <w:t>such</w:t>
      </w:r>
      <w:r w:rsidRPr="00D2561A">
        <w:rPr>
          <w:rFonts w:ascii="Verdana" w:hAnsi="Verdana"/>
          <w:bCs/>
          <w:sz w:val="20"/>
          <w:szCs w:val="20"/>
          <w:lang w:val="en-US"/>
        </w:rPr>
        <w:t xml:space="preserve"> private entities the authority to determine the said evolution and current circumstances, which </w:t>
      </w:r>
      <w:r w:rsidR="00B90F56" w:rsidRPr="00D2561A">
        <w:rPr>
          <w:rFonts w:ascii="Verdana" w:hAnsi="Verdana"/>
          <w:bCs/>
          <w:sz w:val="20"/>
          <w:szCs w:val="20"/>
          <w:lang w:val="en-US"/>
        </w:rPr>
        <w:t xml:space="preserve">not only </w:t>
      </w:r>
      <w:r w:rsidRPr="00D2561A">
        <w:rPr>
          <w:rFonts w:ascii="Verdana" w:hAnsi="Verdana"/>
          <w:bCs/>
          <w:sz w:val="20"/>
          <w:szCs w:val="20"/>
          <w:lang w:val="en-US"/>
        </w:rPr>
        <w:t xml:space="preserve">could lead to arbitrary assertions, but could also prejudice </w:t>
      </w:r>
      <w:r w:rsidR="009B06B4" w:rsidRPr="00D2561A">
        <w:rPr>
          <w:rFonts w:ascii="Verdana" w:hAnsi="Verdana"/>
          <w:bCs/>
          <w:sz w:val="20"/>
          <w:szCs w:val="20"/>
          <w:lang w:val="en-US"/>
        </w:rPr>
        <w:t xml:space="preserve">the participation of the individual, through </w:t>
      </w:r>
      <w:r w:rsidR="00B90F56" w:rsidRPr="00D2561A">
        <w:rPr>
          <w:rFonts w:ascii="Verdana" w:hAnsi="Verdana"/>
          <w:bCs/>
          <w:sz w:val="20"/>
          <w:szCs w:val="20"/>
          <w:lang w:val="en-US"/>
        </w:rPr>
        <w:t xml:space="preserve">the </w:t>
      </w:r>
      <w:r w:rsidR="009B06B4" w:rsidRPr="00D2561A">
        <w:rPr>
          <w:rFonts w:ascii="Verdana" w:hAnsi="Verdana"/>
          <w:bCs/>
          <w:sz w:val="20"/>
          <w:szCs w:val="20"/>
          <w:lang w:val="en-US"/>
        </w:rPr>
        <w:t>democratic State, in international affairs.</w:t>
      </w:r>
    </w:p>
    <w:p w14:paraId="4C64BDA8" w14:textId="77777777" w:rsidR="009D1C81" w:rsidRPr="00D2561A" w:rsidRDefault="009D1C81" w:rsidP="009B06B4">
      <w:pPr>
        <w:spacing w:line="240" w:lineRule="auto"/>
        <w:ind w:left="0" w:right="-162"/>
        <w:rPr>
          <w:rFonts w:ascii="Verdana" w:eastAsia="Batang" w:hAnsi="Verdana"/>
          <w:bCs/>
          <w:sz w:val="20"/>
          <w:szCs w:val="20"/>
          <w:lang w:val="en-US"/>
        </w:rPr>
      </w:pPr>
    </w:p>
    <w:p w14:paraId="21C49E9F" w14:textId="3B42E0D2" w:rsidR="009B06B4" w:rsidRPr="00D2561A" w:rsidRDefault="009B06B4"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eastAsia="Batang" w:hAnsi="Verdana"/>
          <w:bCs/>
          <w:sz w:val="20"/>
          <w:szCs w:val="20"/>
          <w:lang w:val="en-US"/>
        </w:rPr>
        <w:t>In short, bearing in mind that the above-mentioned instruments are cited in the judgment in order to substantiate its position that the Court has jurisdiction to examine and decide eventual violations of the right to just and favorable conditions that ensure safety, health and hygiene in the workplace, it can be categorically affirmed that, at best,</w:t>
      </w:r>
      <w:r w:rsidR="00B90F56" w:rsidRPr="00D2561A">
        <w:rPr>
          <w:rFonts w:ascii="Verdana" w:eastAsia="Batang" w:hAnsi="Verdana"/>
          <w:bCs/>
          <w:sz w:val="20"/>
          <w:szCs w:val="20"/>
          <w:lang w:val="en-US"/>
        </w:rPr>
        <w:t xml:space="preserve"> the truth is that </w:t>
      </w:r>
      <w:r w:rsidRPr="00D2561A">
        <w:rPr>
          <w:rFonts w:ascii="Verdana" w:eastAsia="Batang" w:hAnsi="Verdana"/>
          <w:bCs/>
          <w:sz w:val="20"/>
          <w:szCs w:val="20"/>
          <w:lang w:val="en-US"/>
        </w:rPr>
        <w:t xml:space="preserve">those instruments could be considered as </w:t>
      </w:r>
      <w:r w:rsidR="00B90F56" w:rsidRPr="00D2561A">
        <w:rPr>
          <w:rFonts w:ascii="Verdana" w:eastAsia="Batang" w:hAnsi="Verdana"/>
          <w:bCs/>
          <w:sz w:val="20"/>
          <w:szCs w:val="20"/>
          <w:lang w:val="en-US"/>
        </w:rPr>
        <w:t>a</w:t>
      </w:r>
      <w:r w:rsidRPr="00D2561A">
        <w:rPr>
          <w:rFonts w:ascii="Verdana" w:eastAsia="Batang" w:hAnsi="Verdana"/>
          <w:bCs/>
          <w:sz w:val="20"/>
          <w:szCs w:val="20"/>
          <w:lang w:val="en-US"/>
        </w:rPr>
        <w:t xml:space="preserve"> recognition of the existence of those rights, but not of the said jurisdiction. Thus, it is irrefutable that none of them, I repeat, none, </w:t>
      </w:r>
      <w:r w:rsidR="00B90F56" w:rsidRPr="00D2561A">
        <w:rPr>
          <w:rFonts w:ascii="Verdana" w:eastAsia="Batang" w:hAnsi="Verdana"/>
          <w:bCs/>
          <w:sz w:val="20"/>
          <w:szCs w:val="20"/>
          <w:lang w:val="en-US"/>
        </w:rPr>
        <w:t>relate to or</w:t>
      </w:r>
      <w:r w:rsidRPr="00D2561A">
        <w:rPr>
          <w:rFonts w:ascii="Verdana" w:eastAsia="Batang" w:hAnsi="Verdana"/>
          <w:bCs/>
          <w:sz w:val="20"/>
          <w:szCs w:val="20"/>
          <w:lang w:val="en-US"/>
        </w:rPr>
        <w:t xml:space="preserve"> establish that presumed violations of the said rights may be submitted to the Court </w:t>
      </w:r>
      <w:r w:rsidR="00B90F56" w:rsidRPr="00D2561A">
        <w:rPr>
          <w:rFonts w:ascii="Verdana" w:eastAsia="Batang" w:hAnsi="Verdana"/>
          <w:bCs/>
          <w:sz w:val="20"/>
          <w:szCs w:val="20"/>
          <w:lang w:val="en-US"/>
        </w:rPr>
        <w:t>for</w:t>
      </w:r>
      <w:r w:rsidRPr="00D2561A">
        <w:rPr>
          <w:rFonts w:ascii="Verdana" w:eastAsia="Batang" w:hAnsi="Verdana"/>
          <w:bCs/>
          <w:sz w:val="20"/>
          <w:szCs w:val="20"/>
          <w:lang w:val="en-US"/>
        </w:rPr>
        <w:t xml:space="preserve"> </w:t>
      </w:r>
      <w:r w:rsidR="005947FD" w:rsidRPr="00D2561A">
        <w:rPr>
          <w:rFonts w:ascii="Verdana" w:eastAsia="Batang" w:hAnsi="Verdana"/>
          <w:bCs/>
          <w:sz w:val="20"/>
          <w:szCs w:val="20"/>
          <w:lang w:val="en-US"/>
        </w:rPr>
        <w:t>it to rule on them.</w:t>
      </w:r>
    </w:p>
    <w:p w14:paraId="7FDDC9B7" w14:textId="77777777" w:rsidR="009D1C81" w:rsidRPr="00D2561A" w:rsidRDefault="009D1C81" w:rsidP="000E0801">
      <w:pPr>
        <w:pStyle w:val="Prrafodelista"/>
        <w:spacing w:line="240" w:lineRule="auto"/>
        <w:ind w:left="-270" w:right="-162"/>
        <w:rPr>
          <w:rFonts w:ascii="Verdana" w:hAnsi="Verdana"/>
          <w:bCs/>
          <w:sz w:val="20"/>
          <w:szCs w:val="20"/>
          <w:lang w:val="en-US"/>
        </w:rPr>
      </w:pPr>
    </w:p>
    <w:p w14:paraId="65FFA712" w14:textId="5D851A03" w:rsidR="009B06B4" w:rsidRPr="00D2561A" w:rsidRDefault="005947FD"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bCs/>
          <w:sz w:val="20"/>
          <w:szCs w:val="20"/>
          <w:lang w:val="en-US"/>
        </w:rPr>
        <w:t>Moreover</w:t>
      </w:r>
      <w:r w:rsidR="009B06B4" w:rsidRPr="00D2561A">
        <w:rPr>
          <w:rFonts w:ascii="Verdana" w:hAnsi="Verdana"/>
          <w:bCs/>
          <w:sz w:val="20"/>
          <w:szCs w:val="20"/>
          <w:lang w:val="en-US"/>
        </w:rPr>
        <w:t xml:space="preserve">, it should be added that neither do the references made in the judgment to the domestic laws </w:t>
      </w:r>
      <w:r w:rsidR="0032767A" w:rsidRPr="00D2561A">
        <w:rPr>
          <w:rFonts w:ascii="Verdana" w:hAnsi="Verdana"/>
          <w:bCs/>
          <w:sz w:val="20"/>
          <w:szCs w:val="20"/>
          <w:lang w:val="en-US"/>
        </w:rPr>
        <w:t xml:space="preserve">of the </w:t>
      </w:r>
      <w:r w:rsidR="00E30D1A" w:rsidRPr="00D2561A">
        <w:rPr>
          <w:rFonts w:ascii="Verdana" w:hAnsi="Verdana"/>
          <w:bCs/>
          <w:sz w:val="20"/>
          <w:szCs w:val="20"/>
          <w:lang w:val="en-US"/>
        </w:rPr>
        <w:t>State</w:t>
      </w:r>
      <w:r w:rsidR="00E9106E" w:rsidRPr="00D2561A">
        <w:rPr>
          <w:rFonts w:ascii="Verdana" w:hAnsi="Verdana"/>
          <w:bCs/>
          <w:sz w:val="20"/>
          <w:szCs w:val="20"/>
          <w:vertAlign w:val="superscript"/>
          <w:lang w:val="en-US"/>
        </w:rPr>
        <w:footnoteReference w:id="62"/>
      </w:r>
      <w:r w:rsidR="00E9106E" w:rsidRPr="00D2561A">
        <w:rPr>
          <w:rFonts w:ascii="Verdana" w:hAnsi="Verdana"/>
          <w:bCs/>
          <w:sz w:val="20"/>
          <w:szCs w:val="20"/>
          <w:lang w:val="en-US"/>
        </w:rPr>
        <w:t xml:space="preserve"> </w:t>
      </w:r>
      <w:r w:rsidR="009B06B4" w:rsidRPr="00D2561A">
        <w:rPr>
          <w:rFonts w:ascii="Verdana" w:hAnsi="Verdana"/>
          <w:bCs/>
          <w:sz w:val="20"/>
          <w:szCs w:val="20"/>
          <w:lang w:val="en-US"/>
        </w:rPr>
        <w:t>justify its thesis that they allow recourse to the Court fo</w:t>
      </w:r>
      <w:r w:rsidRPr="00D2561A">
        <w:rPr>
          <w:rFonts w:ascii="Verdana" w:hAnsi="Verdana"/>
          <w:bCs/>
          <w:sz w:val="20"/>
          <w:szCs w:val="20"/>
          <w:lang w:val="en-US"/>
        </w:rPr>
        <w:t>r</w:t>
      </w:r>
      <w:r w:rsidR="009B06B4" w:rsidRPr="00D2561A">
        <w:rPr>
          <w:rFonts w:ascii="Verdana" w:hAnsi="Verdana"/>
          <w:bCs/>
          <w:sz w:val="20"/>
          <w:szCs w:val="20"/>
          <w:lang w:val="en-US"/>
        </w:rPr>
        <w:t xml:space="preserve"> violations of the said rights. The Court’s jurisdiction is derived from the authority accorded to it by the Convention</w:t>
      </w:r>
      <w:r w:rsidR="00CB35C6" w:rsidRPr="00D2561A">
        <w:rPr>
          <w:rFonts w:ascii="Verdana" w:hAnsi="Verdana"/>
          <w:bCs/>
          <w:sz w:val="20"/>
          <w:szCs w:val="20"/>
          <w:lang w:val="en-US"/>
        </w:rPr>
        <w:t xml:space="preserve"> and not by a provision of the domestic law of the State concerned although, evidently, this law should be taken into account, as indicated </w:t>
      </w:r>
      <w:r w:rsidRPr="00D2561A">
        <w:rPr>
          <w:rFonts w:ascii="Verdana" w:hAnsi="Verdana"/>
          <w:bCs/>
          <w:sz w:val="20"/>
          <w:szCs w:val="20"/>
          <w:lang w:val="en-US"/>
        </w:rPr>
        <w:t xml:space="preserve">in </w:t>
      </w:r>
      <w:r w:rsidR="00CB35C6" w:rsidRPr="00D2561A">
        <w:rPr>
          <w:rFonts w:ascii="Verdana" w:hAnsi="Verdana"/>
          <w:bCs/>
          <w:sz w:val="20"/>
          <w:szCs w:val="20"/>
          <w:lang w:val="en-US"/>
        </w:rPr>
        <w:t>Article 29 cited above, when interpreting the Convention to ensure that this does not limit the enjoyment an</w:t>
      </w:r>
      <w:r w:rsidRPr="00D2561A">
        <w:rPr>
          <w:rFonts w:ascii="Verdana" w:hAnsi="Verdana"/>
          <w:bCs/>
          <w:sz w:val="20"/>
          <w:szCs w:val="20"/>
          <w:lang w:val="en-US"/>
        </w:rPr>
        <w:t>d</w:t>
      </w:r>
      <w:r w:rsidR="00CB35C6" w:rsidRPr="00D2561A">
        <w:rPr>
          <w:rFonts w:ascii="Verdana" w:hAnsi="Verdana"/>
          <w:bCs/>
          <w:sz w:val="20"/>
          <w:szCs w:val="20"/>
          <w:lang w:val="en-US"/>
        </w:rPr>
        <w:t xml:space="preserve"> exercise of a right recognized by domestic law.</w:t>
      </w:r>
    </w:p>
    <w:p w14:paraId="6193E551" w14:textId="77777777" w:rsidR="00CB35C6" w:rsidRPr="00D2561A" w:rsidRDefault="00CB35C6" w:rsidP="00CB35C6">
      <w:pPr>
        <w:pStyle w:val="Prrafodelista"/>
        <w:rPr>
          <w:rFonts w:ascii="Verdana" w:hAnsi="Verdana"/>
          <w:sz w:val="20"/>
          <w:szCs w:val="20"/>
          <w:lang w:val="en-US"/>
        </w:rPr>
      </w:pPr>
    </w:p>
    <w:p w14:paraId="5100BAE4" w14:textId="542305CD" w:rsidR="00CB35C6" w:rsidRPr="00D2561A" w:rsidRDefault="00ED4669" w:rsidP="00CB35C6">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bCs/>
          <w:sz w:val="20"/>
          <w:szCs w:val="20"/>
          <w:lang w:val="en-US"/>
        </w:rPr>
        <w:t>In this regard,</w:t>
      </w:r>
      <w:r w:rsidR="00CB35C6" w:rsidRPr="00D2561A">
        <w:rPr>
          <w:rFonts w:ascii="Verdana" w:hAnsi="Verdana"/>
          <w:bCs/>
          <w:sz w:val="20"/>
          <w:szCs w:val="20"/>
          <w:lang w:val="en-US"/>
        </w:rPr>
        <w:t xml:space="preserve"> it should be emphasized that the judgment itself indicates that it </w:t>
      </w:r>
      <w:r w:rsidRPr="00D2561A">
        <w:rPr>
          <w:rFonts w:ascii="Verdana" w:hAnsi="Verdana"/>
          <w:bCs/>
          <w:sz w:val="20"/>
          <w:szCs w:val="20"/>
          <w:lang w:val="en-US"/>
        </w:rPr>
        <w:t xml:space="preserve">relates </w:t>
      </w:r>
      <w:r w:rsidR="00CB35C6" w:rsidRPr="00D2561A">
        <w:rPr>
          <w:rFonts w:ascii="Verdana" w:hAnsi="Verdana"/>
          <w:bCs/>
          <w:sz w:val="20"/>
          <w:szCs w:val="20"/>
          <w:lang w:val="en-US"/>
        </w:rPr>
        <w:t>to determination of the meaning and scope of the right to just and favorable conditions that ensure safety, health and hygiene in the workplace</w:t>
      </w:r>
      <w:r w:rsidR="00CB35C6" w:rsidRPr="00D2561A">
        <w:rPr>
          <w:rStyle w:val="Refdenotaalpie"/>
          <w:rFonts w:ascii="Verdana" w:hAnsi="Verdana"/>
          <w:sz w:val="20"/>
          <w:szCs w:val="20"/>
          <w:lang w:val="en-US"/>
        </w:rPr>
        <w:footnoteReference w:id="63"/>
      </w:r>
      <w:r w:rsidR="00CB35C6" w:rsidRPr="00D2561A">
        <w:rPr>
          <w:rFonts w:ascii="Verdana" w:hAnsi="Verdana"/>
          <w:bCs/>
          <w:sz w:val="20"/>
          <w:szCs w:val="20"/>
          <w:lang w:val="en-US"/>
        </w:rPr>
        <w:t xml:space="preserve"> and</w:t>
      </w:r>
      <w:r w:rsidRPr="00D2561A">
        <w:rPr>
          <w:rFonts w:ascii="Verdana" w:hAnsi="Verdana"/>
          <w:bCs/>
          <w:sz w:val="20"/>
          <w:szCs w:val="20"/>
          <w:lang w:val="en-US"/>
        </w:rPr>
        <w:t>,</w:t>
      </w:r>
      <w:r w:rsidR="00CB35C6" w:rsidRPr="00D2561A">
        <w:rPr>
          <w:rFonts w:ascii="Verdana" w:hAnsi="Verdana"/>
          <w:bCs/>
          <w:sz w:val="20"/>
          <w:szCs w:val="20"/>
          <w:lang w:val="en-US"/>
        </w:rPr>
        <w:t xml:space="preserve"> on this basis</w:t>
      </w:r>
      <w:r w:rsidRPr="00D2561A">
        <w:rPr>
          <w:rFonts w:ascii="Verdana" w:hAnsi="Verdana"/>
          <w:bCs/>
          <w:sz w:val="20"/>
          <w:szCs w:val="20"/>
          <w:lang w:val="en-US"/>
        </w:rPr>
        <w:t>,</w:t>
      </w:r>
      <w:r w:rsidR="00CB35C6" w:rsidRPr="00D2561A">
        <w:rPr>
          <w:rFonts w:ascii="Verdana" w:hAnsi="Verdana"/>
          <w:bCs/>
          <w:sz w:val="20"/>
          <w:szCs w:val="20"/>
          <w:lang w:val="en-US"/>
        </w:rPr>
        <w:t xml:space="preserve"> concludes “that </w:t>
      </w:r>
      <w:r w:rsidR="00CB35C6" w:rsidRPr="00D2561A">
        <w:rPr>
          <w:rFonts w:ascii="Verdana" w:hAnsi="Verdana"/>
          <w:sz w:val="20"/>
          <w:szCs w:val="20"/>
          <w:lang w:val="en-US"/>
        </w:rPr>
        <w:t>there is a reference with a sufficient degree of specificity to the right to just and favorable conditions of work to derive its existence and implicit recognition in the OAS Charter.”</w:t>
      </w:r>
      <w:r w:rsidR="00CB35C6" w:rsidRPr="00D2561A">
        <w:rPr>
          <w:rStyle w:val="Refdenotaalpie"/>
          <w:rFonts w:ascii="Verdana" w:hAnsi="Verdana"/>
          <w:sz w:val="20"/>
          <w:szCs w:val="20"/>
          <w:lang w:val="en-US"/>
        </w:rPr>
        <w:footnoteReference w:id="64"/>
      </w:r>
      <w:r w:rsidR="00CB35C6" w:rsidRPr="00D2561A">
        <w:rPr>
          <w:rFonts w:ascii="Verdana" w:hAnsi="Verdana"/>
          <w:sz w:val="20"/>
          <w:szCs w:val="20"/>
          <w:lang w:val="en-US"/>
        </w:rPr>
        <w:t xml:space="preserve"> </w:t>
      </w:r>
      <w:r w:rsidRPr="00D2561A">
        <w:rPr>
          <w:rFonts w:ascii="Verdana" w:hAnsi="Verdana"/>
          <w:sz w:val="20"/>
          <w:szCs w:val="20"/>
          <w:lang w:val="en-US"/>
        </w:rPr>
        <w:t>Therefore,</w:t>
      </w:r>
      <w:r w:rsidR="00CB35C6" w:rsidRPr="00D2561A">
        <w:rPr>
          <w:rFonts w:ascii="Verdana" w:hAnsi="Verdana"/>
          <w:sz w:val="20"/>
          <w:szCs w:val="20"/>
          <w:lang w:val="en-US"/>
        </w:rPr>
        <w:t xml:space="preserve"> this does not refer to judicialization before the Court.</w:t>
      </w:r>
    </w:p>
    <w:p w14:paraId="685E89A1" w14:textId="77777777" w:rsidR="00EC415C" w:rsidRPr="00D2561A" w:rsidRDefault="00EC415C" w:rsidP="000E0801">
      <w:pPr>
        <w:pStyle w:val="Prrafodelista"/>
        <w:spacing w:line="240" w:lineRule="auto"/>
        <w:ind w:left="-270" w:right="-162"/>
        <w:rPr>
          <w:rFonts w:ascii="Verdana" w:hAnsi="Verdana" w:cs="Verdana"/>
          <w:sz w:val="20"/>
          <w:szCs w:val="20"/>
          <w:lang w:val="en-US"/>
        </w:rPr>
      </w:pPr>
    </w:p>
    <w:p w14:paraId="38A6ED9D" w14:textId="7C1ED74B" w:rsidR="00CB35C6" w:rsidRPr="00D2561A" w:rsidRDefault="00CB35C6"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cs="Verdana"/>
          <w:sz w:val="20"/>
          <w:szCs w:val="20"/>
          <w:lang w:val="en-US"/>
        </w:rPr>
        <w:t>Furthermore, it should be noted that</w:t>
      </w:r>
      <w:r w:rsidR="008A051B" w:rsidRPr="00D2561A">
        <w:rPr>
          <w:rFonts w:ascii="Verdana" w:hAnsi="Verdana" w:cs="Verdana"/>
          <w:sz w:val="20"/>
          <w:szCs w:val="20"/>
          <w:lang w:val="en-US"/>
        </w:rPr>
        <w:t xml:space="preserve">, </w:t>
      </w:r>
      <w:r w:rsidRPr="00D2561A">
        <w:rPr>
          <w:rFonts w:ascii="Verdana" w:hAnsi="Verdana" w:cs="Verdana"/>
          <w:sz w:val="20"/>
          <w:szCs w:val="20"/>
          <w:lang w:val="en-US"/>
        </w:rPr>
        <w:t>in other judgments of the Court</w:t>
      </w:r>
      <w:r w:rsidR="008A051B" w:rsidRPr="00D2561A">
        <w:rPr>
          <w:rFonts w:ascii="Verdana" w:hAnsi="Verdana" w:cs="Verdana"/>
          <w:sz w:val="20"/>
          <w:szCs w:val="20"/>
          <w:lang w:val="en-US"/>
        </w:rPr>
        <w:t xml:space="preserve">, a similar result to that sought in this case has been achieved merely by applying provisions of the Convention that refer to rights that </w:t>
      </w:r>
      <w:r w:rsidR="00ED4669" w:rsidRPr="00D2561A">
        <w:rPr>
          <w:rFonts w:ascii="Verdana" w:hAnsi="Verdana" w:cs="Verdana"/>
          <w:sz w:val="20"/>
          <w:szCs w:val="20"/>
          <w:lang w:val="en-US"/>
        </w:rPr>
        <w:t>the Convention</w:t>
      </w:r>
      <w:r w:rsidR="008A051B" w:rsidRPr="00D2561A">
        <w:rPr>
          <w:rFonts w:ascii="Verdana" w:hAnsi="Verdana" w:cs="Verdana"/>
          <w:sz w:val="20"/>
          <w:szCs w:val="20"/>
          <w:lang w:val="en-US"/>
        </w:rPr>
        <w:t xml:space="preserve"> recognizes and, logically, within the limits</w:t>
      </w:r>
      <w:r w:rsidR="00ED4669" w:rsidRPr="00D2561A">
        <w:rPr>
          <w:rFonts w:ascii="Verdana" w:hAnsi="Verdana" w:cs="Verdana"/>
          <w:sz w:val="20"/>
          <w:szCs w:val="20"/>
          <w:lang w:val="en-US"/>
        </w:rPr>
        <w:t xml:space="preserve"> of these provisions</w:t>
      </w:r>
      <w:r w:rsidR="008A051B" w:rsidRPr="00D2561A">
        <w:rPr>
          <w:rFonts w:ascii="Verdana" w:hAnsi="Verdana" w:cs="Verdana"/>
          <w:sz w:val="20"/>
          <w:szCs w:val="20"/>
          <w:lang w:val="en-US"/>
        </w:rPr>
        <w:t xml:space="preserve">, without needing to resort to Article 26. </w:t>
      </w:r>
      <w:r w:rsidR="00ED4669" w:rsidRPr="00D2561A">
        <w:rPr>
          <w:rFonts w:ascii="Verdana" w:hAnsi="Verdana" w:cs="Verdana"/>
          <w:sz w:val="20"/>
          <w:szCs w:val="20"/>
          <w:lang w:val="en-US"/>
        </w:rPr>
        <w:t>Consequently</w:t>
      </w:r>
      <w:r w:rsidR="008A051B" w:rsidRPr="00D2561A">
        <w:rPr>
          <w:rFonts w:ascii="Verdana" w:hAnsi="Verdana" w:cs="Verdana"/>
          <w:sz w:val="20"/>
          <w:szCs w:val="20"/>
          <w:lang w:val="en-US"/>
        </w:rPr>
        <w:t>, I do not understand the reason for the insistence in indicating the said article as grounds for affirming that violations of the human rights “derived” from the OAS Charter can be examined by the Court, when it is evident that this is superfluous.</w:t>
      </w:r>
    </w:p>
    <w:p w14:paraId="62B7ACCF" w14:textId="77777777" w:rsidR="00EC415C" w:rsidRPr="00D2561A" w:rsidRDefault="00EC415C" w:rsidP="000E0801">
      <w:pPr>
        <w:pStyle w:val="Prrafodelista"/>
        <w:spacing w:line="240" w:lineRule="auto"/>
        <w:ind w:left="-270" w:right="-162"/>
        <w:rPr>
          <w:rFonts w:ascii="Verdana" w:hAnsi="Verdana"/>
          <w:sz w:val="20"/>
          <w:szCs w:val="20"/>
          <w:lang w:val="en-US"/>
        </w:rPr>
      </w:pPr>
    </w:p>
    <w:p w14:paraId="480ACA1B" w14:textId="746D8966" w:rsidR="008A051B" w:rsidRPr="00D2561A" w:rsidRDefault="008A051B"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This is even more evident when it is noted that the judgment, when declaring – based on Article 26 – the violation of </w:t>
      </w:r>
      <w:r w:rsidRPr="00D2561A">
        <w:rPr>
          <w:rFonts w:ascii="Verdana" w:hAnsi="Verdana"/>
          <w:bCs/>
          <w:sz w:val="20"/>
          <w:szCs w:val="20"/>
          <w:lang w:val="en-US"/>
        </w:rPr>
        <w:t xml:space="preserve">the right to just and favorable conditions that ensure safety, health and hygiene in the workplace, does so while also declaring that Article 19 on the rights of the child has been violated, thereby depriving </w:t>
      </w:r>
      <w:r w:rsidR="00ED4669" w:rsidRPr="00D2561A">
        <w:rPr>
          <w:rFonts w:ascii="Verdana" w:hAnsi="Verdana"/>
          <w:bCs/>
          <w:sz w:val="20"/>
          <w:szCs w:val="20"/>
          <w:lang w:val="en-US"/>
        </w:rPr>
        <w:t>the latter</w:t>
      </w:r>
      <w:r w:rsidRPr="00D2561A">
        <w:rPr>
          <w:rFonts w:ascii="Verdana" w:hAnsi="Verdana"/>
          <w:bCs/>
          <w:sz w:val="20"/>
          <w:szCs w:val="20"/>
          <w:lang w:val="en-US"/>
        </w:rPr>
        <w:t xml:space="preserve"> of the strength that </w:t>
      </w:r>
      <w:r w:rsidRPr="00D2561A">
        <w:rPr>
          <w:rFonts w:ascii="Verdana" w:hAnsi="Verdana" w:cs="Arial"/>
          <w:sz w:val="20"/>
          <w:szCs w:val="20"/>
          <w:shd w:val="clear" w:color="auto" w:fill="FFFFFF"/>
          <w:lang w:val="en-US"/>
        </w:rPr>
        <w:t>it enjoys,</w:t>
      </w:r>
      <w:r w:rsidR="00ED4669" w:rsidRPr="00D2561A">
        <w:rPr>
          <w:rFonts w:ascii="Verdana" w:hAnsi="Verdana"/>
          <w:i/>
          <w:iCs/>
          <w:sz w:val="20"/>
          <w:szCs w:val="20"/>
          <w:lang w:val="en-US"/>
        </w:rPr>
        <w:t xml:space="preserve"> per se,</w:t>
      </w:r>
      <w:r w:rsidRPr="00D2561A">
        <w:rPr>
          <w:rFonts w:ascii="Verdana" w:hAnsi="Verdana" w:cs="Arial"/>
          <w:sz w:val="20"/>
          <w:szCs w:val="20"/>
          <w:shd w:val="clear" w:color="auto" w:fill="FFFFFF"/>
          <w:lang w:val="en-US"/>
        </w:rPr>
        <w:t xml:space="preserve"> </w:t>
      </w:r>
      <w:r w:rsidR="00ED4669" w:rsidRPr="00D2561A">
        <w:rPr>
          <w:rFonts w:ascii="Verdana" w:hAnsi="Verdana" w:cs="Arial"/>
          <w:sz w:val="20"/>
          <w:szCs w:val="20"/>
          <w:shd w:val="clear" w:color="auto" w:fill="FFFFFF"/>
          <w:lang w:val="en-US"/>
        </w:rPr>
        <w:t xml:space="preserve">and </w:t>
      </w:r>
      <w:r w:rsidRPr="00D2561A">
        <w:rPr>
          <w:rFonts w:ascii="Verdana" w:hAnsi="Verdana" w:cs="Arial"/>
          <w:sz w:val="20"/>
          <w:szCs w:val="20"/>
          <w:shd w:val="clear" w:color="auto" w:fill="FFFFFF"/>
          <w:lang w:val="en-US"/>
        </w:rPr>
        <w:t xml:space="preserve">establishing a precedent that, in future, </w:t>
      </w:r>
      <w:r w:rsidR="00ED4669" w:rsidRPr="00D2561A">
        <w:rPr>
          <w:rFonts w:ascii="Verdana" w:hAnsi="Verdana" w:cs="Arial"/>
          <w:sz w:val="20"/>
          <w:szCs w:val="20"/>
          <w:shd w:val="clear" w:color="auto" w:fill="FFFFFF"/>
          <w:lang w:val="en-US"/>
        </w:rPr>
        <w:t xml:space="preserve">it </w:t>
      </w:r>
      <w:r w:rsidRPr="00D2561A">
        <w:rPr>
          <w:rFonts w:ascii="Verdana" w:hAnsi="Verdana" w:cs="Arial"/>
          <w:sz w:val="20"/>
          <w:szCs w:val="20"/>
          <w:shd w:val="clear" w:color="auto" w:fill="FFFFFF"/>
          <w:lang w:val="en-US"/>
        </w:rPr>
        <w:t>cannot be cited as the only grounds for declaring its eventual violation. A regrettable retrogression in this area.</w:t>
      </w:r>
    </w:p>
    <w:p w14:paraId="58D31FB1" w14:textId="77777777" w:rsidR="0039465E" w:rsidRPr="00D2561A" w:rsidRDefault="0039465E" w:rsidP="000E0801">
      <w:pPr>
        <w:pStyle w:val="Prrafodelista"/>
        <w:spacing w:line="240" w:lineRule="auto"/>
        <w:ind w:left="-270" w:right="-162"/>
        <w:rPr>
          <w:rFonts w:ascii="Verdana" w:hAnsi="Verdana"/>
          <w:sz w:val="20"/>
          <w:szCs w:val="20"/>
          <w:lang w:val="en-US"/>
        </w:rPr>
      </w:pPr>
    </w:p>
    <w:p w14:paraId="7B32B5D7" w14:textId="32087F08" w:rsidR="008A051B" w:rsidRPr="00D2561A" w:rsidRDefault="008A051B"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Based on the foregoing, it can</w:t>
      </w:r>
      <w:r w:rsidR="00ED4669" w:rsidRPr="00D2561A">
        <w:rPr>
          <w:rFonts w:ascii="Verdana" w:hAnsi="Verdana"/>
          <w:sz w:val="20"/>
          <w:szCs w:val="20"/>
          <w:lang w:val="en-US"/>
        </w:rPr>
        <w:t xml:space="preserve"> therefore</w:t>
      </w:r>
      <w:r w:rsidRPr="00D2561A">
        <w:rPr>
          <w:rFonts w:ascii="Verdana" w:hAnsi="Verdana"/>
          <w:sz w:val="20"/>
          <w:szCs w:val="20"/>
          <w:lang w:val="en-US"/>
        </w:rPr>
        <w:t xml:space="preserve"> be concluded</w:t>
      </w:r>
      <w:r w:rsidR="00ED4669" w:rsidRPr="00D2561A">
        <w:rPr>
          <w:rFonts w:ascii="Verdana" w:hAnsi="Verdana"/>
          <w:sz w:val="20"/>
          <w:szCs w:val="20"/>
          <w:lang w:val="en-US"/>
        </w:rPr>
        <w:t xml:space="preserve"> </w:t>
      </w:r>
      <w:r w:rsidRPr="00D2561A">
        <w:rPr>
          <w:rFonts w:ascii="Verdana" w:hAnsi="Verdana"/>
          <w:sz w:val="20"/>
          <w:szCs w:val="20"/>
          <w:lang w:val="en-US"/>
        </w:rPr>
        <w:t xml:space="preserve">that the application of the subjective means of interpretation of treaties leads to the result indicated previously; namely </w:t>
      </w:r>
      <w:r w:rsidR="00ED4669" w:rsidRPr="00D2561A">
        <w:rPr>
          <w:rFonts w:ascii="Verdana" w:hAnsi="Verdana"/>
          <w:sz w:val="20"/>
          <w:szCs w:val="20"/>
          <w:lang w:val="en-US"/>
        </w:rPr>
        <w:t xml:space="preserve">– and </w:t>
      </w:r>
      <w:r w:rsidRPr="00D2561A">
        <w:rPr>
          <w:rFonts w:ascii="Verdana" w:hAnsi="Verdana"/>
          <w:sz w:val="20"/>
          <w:szCs w:val="20"/>
          <w:lang w:val="en-US"/>
        </w:rPr>
        <w:t xml:space="preserve">contrary to </w:t>
      </w:r>
      <w:r w:rsidR="00DB5D11">
        <w:rPr>
          <w:rFonts w:ascii="Verdana" w:hAnsi="Verdana"/>
          <w:sz w:val="20"/>
          <w:szCs w:val="20"/>
          <w:lang w:val="en-US"/>
        </w:rPr>
        <w:t>the considerations</w:t>
      </w:r>
      <w:r w:rsidRPr="00D2561A">
        <w:rPr>
          <w:rFonts w:ascii="Verdana" w:hAnsi="Verdana"/>
          <w:sz w:val="20"/>
          <w:szCs w:val="20"/>
          <w:lang w:val="en-US"/>
        </w:rPr>
        <w:t xml:space="preserve"> in the judgment</w:t>
      </w:r>
      <w:r w:rsidR="00ED4669" w:rsidRPr="00D2561A">
        <w:rPr>
          <w:rFonts w:ascii="Verdana" w:hAnsi="Verdana"/>
          <w:sz w:val="20"/>
          <w:szCs w:val="20"/>
          <w:lang w:val="en-US"/>
        </w:rPr>
        <w:t xml:space="preserve"> – th</w:t>
      </w:r>
      <w:r w:rsidR="007B221B" w:rsidRPr="00D2561A">
        <w:rPr>
          <w:rFonts w:ascii="Verdana" w:hAnsi="Verdana"/>
          <w:sz w:val="20"/>
          <w:szCs w:val="20"/>
          <w:lang w:val="en-US"/>
        </w:rPr>
        <w:t>at at no time were the economic, social and cultural rights “</w:t>
      </w:r>
      <w:r w:rsidR="007B221B" w:rsidRPr="00D2561A">
        <w:rPr>
          <w:rFonts w:ascii="Verdana" w:hAnsi="Verdana"/>
          <w:i/>
          <w:iCs/>
          <w:sz w:val="20"/>
          <w:szCs w:val="20"/>
          <w:lang w:val="en-US"/>
        </w:rPr>
        <w:t>derived</w:t>
      </w:r>
      <w:r w:rsidR="007B221B" w:rsidRPr="00D2561A">
        <w:rPr>
          <w:rFonts w:ascii="Verdana" w:hAnsi="Verdana"/>
          <w:sz w:val="20"/>
          <w:szCs w:val="20"/>
          <w:lang w:val="en-US"/>
        </w:rPr>
        <w:t>” from the standards of the OAS Charter, including the</w:t>
      </w:r>
      <w:r w:rsidR="007B221B" w:rsidRPr="00D2561A">
        <w:rPr>
          <w:rFonts w:ascii="Verdana" w:hAnsi="Verdana"/>
          <w:bCs/>
          <w:sz w:val="20"/>
          <w:szCs w:val="20"/>
          <w:lang w:val="en-US"/>
        </w:rPr>
        <w:t xml:space="preserve"> right to just and favorable conditions that ensure safety, health and hygiene in the workplace, included in the protection regime established in the Convention.</w:t>
      </w:r>
    </w:p>
    <w:p w14:paraId="46D5B232" w14:textId="77777777" w:rsidR="00D008A8" w:rsidRPr="00D2561A" w:rsidRDefault="00D008A8" w:rsidP="00D008A8">
      <w:pPr>
        <w:spacing w:line="240" w:lineRule="auto"/>
        <w:ind w:left="0" w:right="-162"/>
        <w:contextualSpacing/>
        <w:rPr>
          <w:rFonts w:ascii="Verdana" w:hAnsi="Verdana"/>
          <w:sz w:val="20"/>
          <w:szCs w:val="20"/>
          <w:lang w:val="en-US"/>
        </w:rPr>
      </w:pPr>
    </w:p>
    <w:p w14:paraId="1401F3F7" w14:textId="114A2C6D" w:rsidR="00E9106E" w:rsidRPr="00D2561A" w:rsidRDefault="007B221B" w:rsidP="000E0801">
      <w:pPr>
        <w:numPr>
          <w:ilvl w:val="0"/>
          <w:numId w:val="14"/>
        </w:numPr>
        <w:spacing w:line="240" w:lineRule="auto"/>
        <w:ind w:left="-270" w:right="-162" w:firstLine="0"/>
        <w:contextualSpacing/>
        <w:rPr>
          <w:rFonts w:ascii="Verdana" w:hAnsi="Verdana"/>
          <w:b/>
          <w:sz w:val="20"/>
          <w:szCs w:val="20"/>
          <w:lang w:val="en-US"/>
        </w:rPr>
      </w:pPr>
      <w:r w:rsidRPr="00D2561A">
        <w:rPr>
          <w:rFonts w:ascii="Verdana" w:hAnsi="Verdana"/>
          <w:b/>
          <w:sz w:val="20"/>
          <w:szCs w:val="20"/>
          <w:lang w:val="en-US"/>
        </w:rPr>
        <w:t>Functional or teleological method</w:t>
      </w:r>
    </w:p>
    <w:p w14:paraId="29F90DA5" w14:textId="77777777" w:rsidR="00E9106E" w:rsidRPr="00D2561A" w:rsidRDefault="00E9106E" w:rsidP="000E0801">
      <w:pPr>
        <w:spacing w:line="240" w:lineRule="auto"/>
        <w:ind w:left="-270" w:right="-162"/>
        <w:contextualSpacing/>
        <w:rPr>
          <w:rFonts w:ascii="Verdana" w:hAnsi="Verdana"/>
          <w:sz w:val="20"/>
          <w:szCs w:val="20"/>
          <w:lang w:val="en-US"/>
        </w:rPr>
      </w:pPr>
    </w:p>
    <w:p w14:paraId="528D2E49" w14:textId="2C6E47D4" w:rsidR="00E9106E" w:rsidRPr="00D2561A" w:rsidRDefault="007B221B" w:rsidP="000E0801">
      <w:pPr>
        <w:numPr>
          <w:ilvl w:val="0"/>
          <w:numId w:val="5"/>
        </w:numPr>
        <w:spacing w:line="240" w:lineRule="auto"/>
        <w:ind w:left="-270" w:right="-162" w:firstLine="0"/>
        <w:contextualSpacing/>
        <w:rPr>
          <w:rFonts w:ascii="Verdana" w:hAnsi="Verdana"/>
          <w:b/>
          <w:sz w:val="20"/>
          <w:szCs w:val="20"/>
          <w:lang w:val="en-US"/>
        </w:rPr>
      </w:pPr>
      <w:r w:rsidRPr="00D2561A">
        <w:rPr>
          <w:rFonts w:ascii="Verdana" w:hAnsi="Verdana"/>
          <w:sz w:val="20"/>
          <w:szCs w:val="20"/>
          <w:lang w:val="en-US"/>
        </w:rPr>
        <w:t>When attempting to define the object and purpose of the article of the Convention in question, it can be affirmed that:</w:t>
      </w:r>
    </w:p>
    <w:p w14:paraId="0D357AF8" w14:textId="77777777" w:rsidR="00E9106E" w:rsidRPr="00D2561A" w:rsidRDefault="00E9106E" w:rsidP="000E0801">
      <w:pPr>
        <w:spacing w:line="240" w:lineRule="auto"/>
        <w:ind w:left="-270" w:right="-162"/>
        <w:contextualSpacing/>
        <w:rPr>
          <w:rFonts w:ascii="Verdana" w:hAnsi="Verdana"/>
          <w:sz w:val="20"/>
          <w:szCs w:val="20"/>
          <w:lang w:val="en-US"/>
        </w:rPr>
      </w:pPr>
    </w:p>
    <w:p w14:paraId="57BB2467" w14:textId="036791C5" w:rsidR="00E9106E" w:rsidRPr="00D2561A" w:rsidRDefault="007B221B" w:rsidP="000E0801">
      <w:pPr>
        <w:numPr>
          <w:ilvl w:val="0"/>
          <w:numId w:val="1"/>
        </w:numPr>
        <w:spacing w:line="240" w:lineRule="auto"/>
        <w:ind w:left="270" w:right="-162" w:hanging="270"/>
        <w:contextualSpacing/>
        <w:rPr>
          <w:rFonts w:ascii="Verdana" w:hAnsi="Verdana"/>
          <w:iCs/>
          <w:sz w:val="20"/>
          <w:szCs w:val="20"/>
          <w:lang w:val="en-US"/>
        </w:rPr>
      </w:pPr>
      <w:r w:rsidRPr="00D2561A">
        <w:rPr>
          <w:rFonts w:ascii="Verdana" w:hAnsi="Verdana"/>
          <w:sz w:val="20"/>
          <w:szCs w:val="20"/>
          <w:lang w:val="en-US"/>
        </w:rPr>
        <w:t xml:space="preserve">The purpose of the States on signing </w:t>
      </w:r>
      <w:r w:rsidR="00E30D1A" w:rsidRPr="00D2561A">
        <w:rPr>
          <w:rFonts w:ascii="Verdana" w:hAnsi="Verdana"/>
          <w:sz w:val="20"/>
          <w:szCs w:val="20"/>
          <w:lang w:val="en-US"/>
        </w:rPr>
        <w:t>the Convention</w:t>
      </w:r>
      <w:r w:rsidR="00E9106E" w:rsidRPr="00D2561A">
        <w:rPr>
          <w:rFonts w:ascii="Verdana" w:hAnsi="Verdana"/>
          <w:sz w:val="20"/>
          <w:szCs w:val="20"/>
          <w:lang w:val="en-US"/>
        </w:rPr>
        <w:t xml:space="preserve"> </w:t>
      </w:r>
      <w:r w:rsidRPr="00D2561A">
        <w:rPr>
          <w:rFonts w:ascii="Verdana" w:hAnsi="Verdana"/>
          <w:sz w:val="20"/>
          <w:szCs w:val="20"/>
          <w:lang w:val="en-US"/>
        </w:rPr>
        <w:t>was</w:t>
      </w:r>
      <w:r w:rsidR="00E9106E" w:rsidRPr="00D2561A">
        <w:rPr>
          <w:rFonts w:ascii="Verdana" w:hAnsi="Verdana"/>
          <w:sz w:val="20"/>
          <w:szCs w:val="20"/>
          <w:lang w:val="en-US"/>
        </w:rPr>
        <w:t xml:space="preserve"> </w:t>
      </w:r>
      <w:r w:rsidR="00E9106E" w:rsidRPr="00D2561A">
        <w:rPr>
          <w:rFonts w:ascii="Verdana" w:hAnsi="Verdana"/>
          <w:iCs/>
          <w:sz w:val="20"/>
          <w:szCs w:val="20"/>
          <w:lang w:val="en-US"/>
        </w:rPr>
        <w:t>“</w:t>
      </w:r>
      <w:r w:rsidRPr="00D2561A">
        <w:rPr>
          <w:rFonts w:ascii="Verdana" w:hAnsi="Verdana"/>
          <w:spacing w:val="-3"/>
          <w:sz w:val="20"/>
          <w:szCs w:val="20"/>
          <w:lang w:val="en-US"/>
        </w:rPr>
        <w:t>to consolidate in this hemisphere, within the framework of democratic institutions, a system of personal liberty and social justice based on respect for the essential rights of man</w:t>
      </w:r>
      <w:r w:rsidR="00E9106E" w:rsidRPr="00D2561A">
        <w:rPr>
          <w:rFonts w:ascii="Verdana" w:hAnsi="Verdana"/>
          <w:iCs/>
          <w:sz w:val="20"/>
          <w:szCs w:val="20"/>
          <w:lang w:val="en-US"/>
        </w:rPr>
        <w:t>”</w:t>
      </w:r>
      <w:r w:rsidRPr="00D2561A">
        <w:rPr>
          <w:rFonts w:ascii="Verdana" w:hAnsi="Verdana"/>
          <w:iCs/>
          <w:sz w:val="20"/>
          <w:szCs w:val="20"/>
          <w:lang w:val="en-US"/>
        </w:rPr>
        <w:t>;</w:t>
      </w:r>
      <w:r w:rsidR="00E9106E" w:rsidRPr="00D2561A">
        <w:rPr>
          <w:rFonts w:ascii="Verdana" w:hAnsi="Verdana"/>
          <w:iCs/>
          <w:sz w:val="20"/>
          <w:szCs w:val="20"/>
          <w:vertAlign w:val="superscript"/>
          <w:lang w:val="en-US"/>
        </w:rPr>
        <w:footnoteReference w:id="65"/>
      </w:r>
      <w:r w:rsidR="00E9106E" w:rsidRPr="00D2561A">
        <w:rPr>
          <w:rFonts w:ascii="Verdana" w:hAnsi="Verdana"/>
          <w:iCs/>
          <w:sz w:val="20"/>
          <w:szCs w:val="20"/>
          <w:lang w:val="en-US"/>
        </w:rPr>
        <w:t xml:space="preserve"> </w:t>
      </w:r>
    </w:p>
    <w:p w14:paraId="417078FB" w14:textId="77777777" w:rsidR="00E9106E" w:rsidRPr="00D2561A" w:rsidRDefault="00E9106E" w:rsidP="000E0801">
      <w:pPr>
        <w:spacing w:line="240" w:lineRule="auto"/>
        <w:ind w:left="270" w:right="-162" w:hanging="270"/>
        <w:contextualSpacing/>
        <w:rPr>
          <w:rFonts w:ascii="Verdana" w:hAnsi="Verdana"/>
          <w:sz w:val="20"/>
          <w:szCs w:val="20"/>
          <w:lang w:val="en-US"/>
        </w:rPr>
      </w:pPr>
    </w:p>
    <w:p w14:paraId="12DE0ECD" w14:textId="0FEBC0CD" w:rsidR="00E9106E" w:rsidRPr="00D2561A" w:rsidRDefault="007B221B" w:rsidP="000E0801">
      <w:pPr>
        <w:numPr>
          <w:ilvl w:val="0"/>
          <w:numId w:val="1"/>
        </w:numPr>
        <w:spacing w:line="240" w:lineRule="auto"/>
        <w:ind w:left="270" w:right="-162" w:hanging="270"/>
        <w:contextualSpacing/>
        <w:rPr>
          <w:rFonts w:ascii="Verdana" w:hAnsi="Verdana"/>
          <w:sz w:val="20"/>
          <w:szCs w:val="20"/>
          <w:lang w:val="en-US"/>
        </w:rPr>
      </w:pPr>
      <w:r w:rsidRPr="00D2561A">
        <w:rPr>
          <w:rFonts w:ascii="Verdana" w:eastAsia="Times" w:hAnsi="Verdana" w:cs="Arial"/>
          <w:sz w:val="20"/>
          <w:szCs w:val="20"/>
          <w:lang w:val="en-US"/>
        </w:rPr>
        <w:t>To this end, as indicated above,</w:t>
      </w:r>
      <w:r w:rsidR="00E9106E" w:rsidRPr="00D2561A">
        <w:rPr>
          <w:rFonts w:ascii="Verdana" w:eastAsia="Times" w:hAnsi="Verdana" w:cs="Arial"/>
          <w:sz w:val="20"/>
          <w:szCs w:val="20"/>
          <w:vertAlign w:val="superscript"/>
          <w:lang w:val="en-US"/>
        </w:rPr>
        <w:footnoteReference w:id="66"/>
      </w:r>
      <w:r w:rsidR="00E9106E" w:rsidRPr="00D2561A">
        <w:rPr>
          <w:rFonts w:ascii="Verdana" w:eastAsia="Times" w:hAnsi="Verdana" w:cs="Arial"/>
          <w:sz w:val="20"/>
          <w:szCs w:val="20"/>
          <w:lang w:val="en-US"/>
        </w:rPr>
        <w:t xml:space="preserve"> </w:t>
      </w:r>
      <w:r w:rsidR="00E9106E" w:rsidRPr="00D2561A">
        <w:rPr>
          <w:rFonts w:ascii="Verdana" w:eastAsia="Times" w:hAnsi="Verdana" w:cs="Arial"/>
          <w:i/>
          <w:iCs/>
          <w:sz w:val="20"/>
          <w:szCs w:val="20"/>
          <w:lang w:val="en-US"/>
        </w:rPr>
        <w:t>“</w:t>
      </w:r>
      <w:r w:rsidRPr="00D2561A">
        <w:rPr>
          <w:rFonts w:ascii="Verdana" w:hAnsi="Verdana"/>
          <w:spacing w:val="-3"/>
          <w:sz w:val="20"/>
          <w:szCs w:val="20"/>
          <w:lang w:val="en-US"/>
        </w:rPr>
        <w:t>the Third Special Inter</w:t>
      </w:r>
      <w:r w:rsidRPr="00D2561A">
        <w:rPr>
          <w:rFonts w:ascii="Verdana" w:hAnsi="Verdana"/>
          <w:spacing w:val="-3"/>
          <w:sz w:val="20"/>
          <w:szCs w:val="20"/>
          <w:lang w:val="en-US"/>
        </w:rPr>
        <w:noBreakHyphen/>
        <w:t xml:space="preserve">American Conference (Buenos Aires, 1967) approved the incorporation into the Charter of the Organization itself of broader standards with respect to economic, social, and educational rights and resolved that an </w:t>
      </w:r>
      <w:r w:rsidR="006D458A">
        <w:rPr>
          <w:rFonts w:ascii="Verdana" w:hAnsi="Verdana"/>
          <w:spacing w:val="-3"/>
          <w:sz w:val="20"/>
          <w:szCs w:val="20"/>
          <w:lang w:val="en-US"/>
        </w:rPr>
        <w:t>I</w:t>
      </w:r>
      <w:r w:rsidRPr="00D2561A">
        <w:rPr>
          <w:rFonts w:ascii="Verdana" w:hAnsi="Verdana"/>
          <w:spacing w:val="-3"/>
          <w:sz w:val="20"/>
          <w:szCs w:val="20"/>
          <w:lang w:val="en-US"/>
        </w:rPr>
        <w:t>nter</w:t>
      </w:r>
      <w:r w:rsidRPr="00D2561A">
        <w:rPr>
          <w:rFonts w:ascii="Verdana" w:hAnsi="Verdana"/>
          <w:spacing w:val="-3"/>
          <w:sz w:val="20"/>
          <w:szCs w:val="20"/>
          <w:lang w:val="en-US"/>
        </w:rPr>
        <w:noBreakHyphen/>
        <w:t xml:space="preserve">American </w:t>
      </w:r>
      <w:r w:rsidR="006D458A">
        <w:rPr>
          <w:rFonts w:ascii="Verdana" w:hAnsi="Verdana"/>
          <w:spacing w:val="-3"/>
          <w:sz w:val="20"/>
          <w:szCs w:val="20"/>
          <w:lang w:val="en-US"/>
        </w:rPr>
        <w:t>C</w:t>
      </w:r>
      <w:r w:rsidR="006D458A" w:rsidRPr="00D2561A">
        <w:rPr>
          <w:rFonts w:ascii="Verdana" w:hAnsi="Verdana"/>
          <w:spacing w:val="-3"/>
          <w:sz w:val="20"/>
          <w:szCs w:val="20"/>
          <w:lang w:val="en-US"/>
        </w:rPr>
        <w:t xml:space="preserve">onvention </w:t>
      </w:r>
      <w:r w:rsidRPr="00D2561A">
        <w:rPr>
          <w:rFonts w:ascii="Verdana" w:hAnsi="Verdana"/>
          <w:spacing w:val="-3"/>
          <w:sz w:val="20"/>
          <w:szCs w:val="20"/>
          <w:lang w:val="en-US"/>
        </w:rPr>
        <w:t>on human rights should determine the structure, competence, and procedure of the organs responsible for these matters</w:t>
      </w:r>
      <w:r w:rsidR="00E9106E" w:rsidRPr="00D2561A">
        <w:rPr>
          <w:rFonts w:ascii="Verdana" w:hAnsi="Verdana"/>
          <w:sz w:val="20"/>
          <w:szCs w:val="20"/>
          <w:lang w:val="en-US"/>
        </w:rPr>
        <w:t>”;</w:t>
      </w:r>
    </w:p>
    <w:p w14:paraId="6BEA8B3D" w14:textId="77777777" w:rsidR="00E9106E" w:rsidRPr="00D2561A" w:rsidRDefault="00E9106E" w:rsidP="000E0801">
      <w:pPr>
        <w:spacing w:line="240" w:lineRule="auto"/>
        <w:ind w:left="-270" w:right="-162"/>
        <w:rPr>
          <w:rFonts w:ascii="Verdana" w:hAnsi="Verdana"/>
          <w:sz w:val="20"/>
          <w:szCs w:val="20"/>
          <w:lang w:val="en-US"/>
        </w:rPr>
      </w:pPr>
    </w:p>
    <w:p w14:paraId="1FEC88EA" w14:textId="3E0325B3" w:rsidR="00E9106E" w:rsidRPr="00D2561A" w:rsidRDefault="007B221B" w:rsidP="000E0801">
      <w:pPr>
        <w:numPr>
          <w:ilvl w:val="0"/>
          <w:numId w:val="1"/>
        </w:numPr>
        <w:spacing w:line="240" w:lineRule="auto"/>
        <w:ind w:left="270" w:right="-162" w:hanging="270"/>
        <w:contextualSpacing/>
        <w:rPr>
          <w:rFonts w:ascii="Verdana" w:hAnsi="Verdana"/>
          <w:sz w:val="20"/>
          <w:szCs w:val="20"/>
          <w:lang w:val="en-US"/>
        </w:rPr>
      </w:pPr>
      <w:r w:rsidRPr="00D2561A">
        <w:rPr>
          <w:rFonts w:ascii="Verdana" w:hAnsi="Verdana"/>
          <w:sz w:val="20"/>
          <w:szCs w:val="20"/>
          <w:lang w:val="en-US"/>
        </w:rPr>
        <w:t xml:space="preserve">Thus, it is evident that the decision taken during the said Conference was implemented, as regards the economic, social and educational rights with the </w:t>
      </w:r>
      <w:r w:rsidR="004F72E5" w:rsidRPr="00D2561A">
        <w:rPr>
          <w:rFonts w:ascii="Verdana" w:hAnsi="Verdana"/>
          <w:sz w:val="20"/>
          <w:szCs w:val="20"/>
          <w:lang w:val="en-US"/>
        </w:rPr>
        <w:t>Protocol of</w:t>
      </w:r>
      <w:r w:rsidR="00E9106E" w:rsidRPr="00D2561A">
        <w:rPr>
          <w:rFonts w:ascii="Verdana" w:hAnsi="Verdana"/>
          <w:sz w:val="20"/>
          <w:szCs w:val="20"/>
          <w:lang w:val="en-US"/>
        </w:rPr>
        <w:t xml:space="preserve"> Buenos Aires</w:t>
      </w:r>
      <w:r w:rsidR="00E30D1A" w:rsidRPr="00D2561A">
        <w:rPr>
          <w:rFonts w:ascii="Verdana" w:hAnsi="Verdana"/>
          <w:sz w:val="20"/>
          <w:szCs w:val="20"/>
          <w:lang w:val="en-US"/>
        </w:rPr>
        <w:t xml:space="preserve"> and </w:t>
      </w:r>
      <w:r w:rsidR="000F09CB" w:rsidRPr="00D2561A">
        <w:rPr>
          <w:rFonts w:ascii="Verdana" w:hAnsi="Verdana"/>
          <w:sz w:val="20"/>
          <w:szCs w:val="20"/>
          <w:lang w:val="en-US"/>
        </w:rPr>
        <w:t>as regards</w:t>
      </w:r>
      <w:r w:rsidRPr="00D2561A">
        <w:rPr>
          <w:rFonts w:ascii="Verdana" w:hAnsi="Verdana"/>
          <w:sz w:val="20"/>
          <w:szCs w:val="20"/>
          <w:lang w:val="en-US"/>
        </w:rPr>
        <w:t xml:space="preserve"> the structure, jurisdiction and procedure</w:t>
      </w:r>
      <w:r w:rsidR="000F09CB" w:rsidRPr="00D2561A">
        <w:rPr>
          <w:rFonts w:ascii="Verdana" w:hAnsi="Verdana"/>
          <w:sz w:val="20"/>
          <w:szCs w:val="20"/>
          <w:lang w:val="en-US"/>
        </w:rPr>
        <w:t>s</w:t>
      </w:r>
      <w:r w:rsidRPr="00D2561A">
        <w:rPr>
          <w:rFonts w:ascii="Verdana" w:hAnsi="Verdana"/>
          <w:sz w:val="20"/>
          <w:szCs w:val="20"/>
          <w:lang w:val="en-US"/>
        </w:rPr>
        <w:t xml:space="preserve"> of the organs responsible for these matters, with the Convention, and</w:t>
      </w:r>
    </w:p>
    <w:p w14:paraId="504D4642" w14:textId="77777777" w:rsidR="00E9106E" w:rsidRPr="00D2561A" w:rsidRDefault="00E9106E" w:rsidP="000E0801">
      <w:pPr>
        <w:spacing w:line="240" w:lineRule="auto"/>
        <w:ind w:left="270" w:right="-162" w:hanging="270"/>
        <w:contextualSpacing/>
        <w:rPr>
          <w:rFonts w:ascii="Verdana" w:hAnsi="Verdana"/>
          <w:sz w:val="20"/>
          <w:szCs w:val="20"/>
          <w:lang w:val="en-US"/>
        </w:rPr>
      </w:pPr>
    </w:p>
    <w:p w14:paraId="34692658" w14:textId="52B126AA" w:rsidR="001A06F0" w:rsidRPr="00D2561A" w:rsidRDefault="007B221B" w:rsidP="001A06F0">
      <w:pPr>
        <w:numPr>
          <w:ilvl w:val="0"/>
          <w:numId w:val="1"/>
        </w:numPr>
        <w:spacing w:line="240" w:lineRule="auto"/>
        <w:ind w:left="270" w:right="-162" w:hanging="270"/>
        <w:contextualSpacing/>
        <w:rPr>
          <w:rFonts w:ascii="Verdana" w:hAnsi="Verdana"/>
          <w:sz w:val="20"/>
          <w:szCs w:val="20"/>
          <w:lang w:val="en-US"/>
        </w:rPr>
      </w:pPr>
      <w:r w:rsidRPr="00D2561A">
        <w:rPr>
          <w:rFonts w:ascii="Verdana" w:hAnsi="Verdana"/>
          <w:sz w:val="20"/>
          <w:szCs w:val="20"/>
          <w:lang w:val="en-US"/>
        </w:rPr>
        <w:t xml:space="preserve">It was, therefore, in compliance with that mandate that </w:t>
      </w:r>
      <w:r w:rsidR="00E30D1A" w:rsidRPr="00D2561A">
        <w:rPr>
          <w:rFonts w:ascii="Verdana" w:hAnsi="Verdana"/>
          <w:sz w:val="20"/>
          <w:szCs w:val="20"/>
          <w:lang w:val="en-US"/>
        </w:rPr>
        <w:t>Article</w:t>
      </w:r>
      <w:r w:rsidR="00E9106E" w:rsidRPr="00D2561A">
        <w:rPr>
          <w:rFonts w:ascii="Verdana" w:hAnsi="Verdana"/>
          <w:sz w:val="20"/>
          <w:szCs w:val="20"/>
          <w:lang w:val="en-US"/>
        </w:rPr>
        <w:t xml:space="preserve"> 26 </w:t>
      </w:r>
      <w:r w:rsidRPr="00D2561A">
        <w:rPr>
          <w:rFonts w:ascii="Verdana" w:hAnsi="Verdana"/>
          <w:sz w:val="20"/>
          <w:szCs w:val="20"/>
          <w:lang w:val="en-US"/>
        </w:rPr>
        <w:t>was included in</w:t>
      </w:r>
      <w:r w:rsidR="00E9106E" w:rsidRPr="00D2561A">
        <w:rPr>
          <w:rFonts w:ascii="Verdana" w:hAnsi="Verdana"/>
          <w:sz w:val="20"/>
          <w:szCs w:val="20"/>
          <w:lang w:val="en-US"/>
        </w:rPr>
        <w:t xml:space="preserve"> </w:t>
      </w:r>
      <w:r w:rsidR="00E30D1A" w:rsidRPr="00D2561A">
        <w:rPr>
          <w:rFonts w:ascii="Verdana" w:hAnsi="Verdana"/>
          <w:sz w:val="20"/>
          <w:szCs w:val="20"/>
          <w:lang w:val="en-US"/>
        </w:rPr>
        <w:t>the Convention</w:t>
      </w:r>
      <w:r w:rsidR="00E9106E" w:rsidRPr="00D2561A">
        <w:rPr>
          <w:rFonts w:ascii="Verdana" w:hAnsi="Verdana"/>
          <w:sz w:val="20"/>
          <w:szCs w:val="20"/>
          <w:lang w:val="en-US"/>
        </w:rPr>
        <w:t xml:space="preserve"> </w:t>
      </w:r>
      <w:r w:rsidRPr="00D2561A">
        <w:rPr>
          <w:rFonts w:ascii="Verdana" w:hAnsi="Verdana"/>
          <w:sz w:val="20"/>
          <w:szCs w:val="20"/>
          <w:lang w:val="en-US"/>
        </w:rPr>
        <w:t>in a separate</w:t>
      </w:r>
      <w:r w:rsidR="00E9106E" w:rsidRPr="00D2561A">
        <w:rPr>
          <w:rFonts w:ascii="Verdana" w:hAnsi="Verdana"/>
          <w:sz w:val="20"/>
          <w:szCs w:val="20"/>
          <w:lang w:val="en-US"/>
        </w:rPr>
        <w:t xml:space="preserve"> </w:t>
      </w:r>
      <w:r w:rsidRPr="00D2561A">
        <w:rPr>
          <w:rFonts w:ascii="Verdana" w:hAnsi="Verdana"/>
          <w:sz w:val="20"/>
          <w:szCs w:val="20"/>
          <w:lang w:val="en-US"/>
        </w:rPr>
        <w:t>c</w:t>
      </w:r>
      <w:r w:rsidR="00D5153E" w:rsidRPr="00D2561A">
        <w:rPr>
          <w:rFonts w:ascii="Verdana" w:hAnsi="Verdana"/>
          <w:sz w:val="20"/>
          <w:szCs w:val="20"/>
          <w:lang w:val="en-US"/>
        </w:rPr>
        <w:t>hapter</w:t>
      </w:r>
      <w:r w:rsidR="00E9106E" w:rsidRPr="00D2561A">
        <w:rPr>
          <w:rFonts w:ascii="Verdana" w:hAnsi="Verdana"/>
          <w:sz w:val="20"/>
          <w:szCs w:val="20"/>
          <w:lang w:val="en-US"/>
        </w:rPr>
        <w:t xml:space="preserve"> </w:t>
      </w:r>
      <w:r w:rsidRPr="00D2561A">
        <w:rPr>
          <w:rFonts w:ascii="Verdana" w:hAnsi="Verdana"/>
          <w:sz w:val="20"/>
          <w:szCs w:val="20"/>
          <w:lang w:val="en-US"/>
        </w:rPr>
        <w:t xml:space="preserve">from the one on </w:t>
      </w:r>
      <w:r w:rsidR="001A06F0" w:rsidRPr="00D2561A">
        <w:rPr>
          <w:rFonts w:ascii="Verdana" w:hAnsi="Verdana"/>
          <w:sz w:val="20"/>
          <w:szCs w:val="20"/>
          <w:lang w:val="en-US"/>
        </w:rPr>
        <w:t>c</w:t>
      </w:r>
      <w:r w:rsidRPr="00D2561A">
        <w:rPr>
          <w:rFonts w:ascii="Verdana" w:hAnsi="Verdana"/>
          <w:sz w:val="20"/>
          <w:szCs w:val="20"/>
          <w:lang w:val="en-US"/>
        </w:rPr>
        <w:t xml:space="preserve">ivil and political rights and, also, establishing a special obligation for </w:t>
      </w:r>
      <w:r w:rsidR="001A06F0" w:rsidRPr="00D2561A">
        <w:rPr>
          <w:rFonts w:ascii="Verdana" w:hAnsi="Verdana"/>
          <w:sz w:val="20"/>
          <w:szCs w:val="20"/>
          <w:lang w:val="en-US"/>
        </w:rPr>
        <w:t xml:space="preserve">the States Parties to the Convention, that did not exist with regard to the recently mentioned rights; namely, that of adopting </w:t>
      </w:r>
      <w:r w:rsidR="001A06F0" w:rsidRPr="00D2561A">
        <w:rPr>
          <w:rFonts w:ascii="Verdana" w:hAnsi="Verdana"/>
          <w:spacing w:val="-3"/>
          <w:sz w:val="20"/>
          <w:szCs w:val="20"/>
          <w:lang w:val="en-US"/>
        </w:rPr>
        <w:t xml:space="preserve">“measures, both internally and through international cooperation, especially those of an economic and technical nature, with a view to achieving progressively </w:t>
      </w:r>
      <w:r w:rsidR="002C2325" w:rsidRPr="00D2561A">
        <w:rPr>
          <w:rFonts w:ascii="Verdana" w:hAnsi="Verdana"/>
          <w:spacing w:val="-3"/>
          <w:sz w:val="20"/>
          <w:szCs w:val="20"/>
          <w:lang w:val="en-US"/>
        </w:rPr>
        <w:t>[…]</w:t>
      </w:r>
      <w:r w:rsidR="001A06F0" w:rsidRPr="00D2561A">
        <w:rPr>
          <w:rFonts w:ascii="Verdana" w:hAnsi="Verdana"/>
          <w:spacing w:val="-3"/>
          <w:sz w:val="20"/>
          <w:szCs w:val="20"/>
          <w:lang w:val="en-US"/>
        </w:rPr>
        <w:t>, the full realization of the rights” referred to, and this “subject to available resources, by legislation or other appropriate means.”</w:t>
      </w:r>
    </w:p>
    <w:p w14:paraId="276650A0" w14:textId="77777777" w:rsidR="00E9106E" w:rsidRPr="00D2561A" w:rsidRDefault="00E9106E" w:rsidP="000E0801">
      <w:pPr>
        <w:spacing w:line="240" w:lineRule="auto"/>
        <w:ind w:left="-270" w:right="-162"/>
        <w:contextualSpacing/>
        <w:rPr>
          <w:rFonts w:ascii="Verdana" w:hAnsi="Verdana"/>
          <w:sz w:val="20"/>
          <w:szCs w:val="20"/>
          <w:lang w:val="en-US"/>
        </w:rPr>
      </w:pPr>
    </w:p>
    <w:p w14:paraId="70453599" w14:textId="249B30FF" w:rsidR="001A06F0" w:rsidRPr="00D2561A" w:rsidRDefault="001A06F0"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In other words, the object and purpose </w:t>
      </w:r>
      <w:r w:rsidR="00D5153E" w:rsidRPr="00D2561A">
        <w:rPr>
          <w:rFonts w:ascii="Verdana" w:hAnsi="Verdana"/>
          <w:sz w:val="20"/>
          <w:szCs w:val="20"/>
          <w:lang w:val="en-US"/>
        </w:rPr>
        <w:t>of Article</w:t>
      </w:r>
      <w:r w:rsidR="00E9106E" w:rsidRPr="00D2561A">
        <w:rPr>
          <w:rFonts w:ascii="Verdana" w:hAnsi="Verdana"/>
          <w:sz w:val="20"/>
          <w:szCs w:val="20"/>
          <w:lang w:val="en-US"/>
        </w:rPr>
        <w:t xml:space="preserve"> 26</w:t>
      </w:r>
      <w:r w:rsidRPr="00D2561A">
        <w:rPr>
          <w:rFonts w:ascii="Verdana" w:hAnsi="Verdana"/>
          <w:sz w:val="20"/>
          <w:szCs w:val="20"/>
          <w:lang w:val="en-US"/>
        </w:rPr>
        <w:t xml:space="preserve"> is that the measures it indicates be taken to achieve the realization of the rights that it indicates and not that they are enforceable immediately, and least of all, that they may be justiciable before the Court as the judgment asserts.</w:t>
      </w:r>
      <w:r w:rsidRPr="00D2561A">
        <w:rPr>
          <w:rStyle w:val="Refdenotaalpie"/>
          <w:rFonts w:ascii="Verdana" w:hAnsi="Verdana"/>
          <w:sz w:val="20"/>
          <w:szCs w:val="20"/>
          <w:lang w:val="en-US"/>
        </w:rPr>
        <w:footnoteReference w:id="67"/>
      </w:r>
      <w:r w:rsidRPr="00D2561A">
        <w:rPr>
          <w:rFonts w:ascii="Verdana" w:hAnsi="Verdana"/>
          <w:sz w:val="20"/>
          <w:szCs w:val="20"/>
          <w:lang w:val="en-US"/>
        </w:rPr>
        <w:t xml:space="preserve"> In this regard, it should be recalled that the very name of the provision is “Progressive Development,” and that the title of Chapter III, of which it is the only article, is “Economic, Social and Cultural Rights,” from which it can be understood that what is established in that article – its object and purpose – is that measures be adopted to achieve, progressively, the realization of the rights it refers to and not that they have been realized.</w:t>
      </w:r>
    </w:p>
    <w:p w14:paraId="25A9E73E" w14:textId="77777777" w:rsidR="00826685" w:rsidRPr="00D2561A" w:rsidRDefault="00826685" w:rsidP="001A06F0">
      <w:pPr>
        <w:spacing w:line="240" w:lineRule="auto"/>
        <w:ind w:left="0" w:right="-162"/>
        <w:contextualSpacing/>
        <w:rPr>
          <w:rFonts w:ascii="Verdana" w:hAnsi="Verdana"/>
          <w:sz w:val="20"/>
          <w:szCs w:val="20"/>
          <w:lang w:val="en-US"/>
        </w:rPr>
      </w:pPr>
    </w:p>
    <w:p w14:paraId="287A3D5A" w14:textId="7DC85DB9" w:rsidR="00EC0BF7" w:rsidRPr="00D2561A" w:rsidRDefault="00EC0BF7"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If it is accepted that, in order to interpret a specific provision </w:t>
      </w:r>
      <w:r w:rsidR="00E30D1A" w:rsidRPr="00D2561A">
        <w:rPr>
          <w:rFonts w:ascii="Verdana" w:hAnsi="Verdana"/>
          <w:sz w:val="20"/>
          <w:szCs w:val="20"/>
          <w:lang w:val="en-US"/>
        </w:rPr>
        <w:t>of the Convention</w:t>
      </w:r>
      <w:r w:rsidR="00E9106E" w:rsidRPr="00D2561A">
        <w:rPr>
          <w:rFonts w:ascii="Verdana" w:hAnsi="Verdana"/>
          <w:sz w:val="20"/>
          <w:szCs w:val="20"/>
          <w:lang w:val="en-US"/>
        </w:rPr>
        <w:t xml:space="preserve">, </w:t>
      </w:r>
      <w:r w:rsidRPr="00D2561A">
        <w:rPr>
          <w:rFonts w:ascii="Verdana" w:hAnsi="Verdana"/>
          <w:sz w:val="20"/>
          <w:szCs w:val="20"/>
          <w:lang w:val="en-US"/>
        </w:rPr>
        <w:t xml:space="preserve">it would be sufficient to cite its general object and purpose mentioned above, which is extremely vague and imprecise, </w:t>
      </w:r>
      <w:r w:rsidR="000F09CB" w:rsidRPr="00D2561A">
        <w:rPr>
          <w:rFonts w:ascii="Verdana" w:hAnsi="Verdana"/>
          <w:sz w:val="20"/>
          <w:szCs w:val="20"/>
          <w:lang w:val="en-US"/>
        </w:rPr>
        <w:t xml:space="preserve">this </w:t>
      </w:r>
      <w:r w:rsidRPr="00D2561A">
        <w:rPr>
          <w:rFonts w:ascii="Verdana" w:hAnsi="Verdana"/>
          <w:sz w:val="20"/>
          <w:szCs w:val="20"/>
          <w:lang w:val="en-US"/>
        </w:rPr>
        <w:t xml:space="preserve">would impair the legal security and certainty that should characterize every ruling of the Court, because it would leave </w:t>
      </w:r>
      <w:r w:rsidR="000963FB" w:rsidRPr="00D2561A">
        <w:rPr>
          <w:rFonts w:ascii="Verdana" w:hAnsi="Verdana"/>
          <w:sz w:val="20"/>
          <w:szCs w:val="20"/>
          <w:lang w:val="en-US"/>
        </w:rPr>
        <w:t>it with a broad margin of</w:t>
      </w:r>
      <w:r w:rsidRPr="00D2561A">
        <w:rPr>
          <w:rFonts w:ascii="Verdana" w:hAnsi="Verdana"/>
          <w:sz w:val="20"/>
          <w:szCs w:val="20"/>
          <w:lang w:val="en-US"/>
        </w:rPr>
        <w:t xml:space="preserve"> discretion</w:t>
      </w:r>
      <w:r w:rsidR="000963FB" w:rsidRPr="00D2561A">
        <w:rPr>
          <w:rFonts w:ascii="Verdana" w:hAnsi="Verdana"/>
          <w:sz w:val="20"/>
          <w:szCs w:val="20"/>
          <w:lang w:val="en-US"/>
        </w:rPr>
        <w:t xml:space="preserve"> to </w:t>
      </w:r>
      <w:r w:rsidRPr="00D2561A">
        <w:rPr>
          <w:rFonts w:ascii="Verdana" w:hAnsi="Verdana"/>
          <w:sz w:val="20"/>
          <w:szCs w:val="20"/>
          <w:lang w:val="en-US"/>
        </w:rPr>
        <w:t>determin</w:t>
      </w:r>
      <w:r w:rsidR="000963FB" w:rsidRPr="00D2561A">
        <w:rPr>
          <w:rFonts w:ascii="Verdana" w:hAnsi="Verdana"/>
          <w:sz w:val="20"/>
          <w:szCs w:val="20"/>
          <w:lang w:val="en-US"/>
        </w:rPr>
        <w:t>e</w:t>
      </w:r>
      <w:r w:rsidRPr="00D2561A">
        <w:rPr>
          <w:rFonts w:ascii="Verdana" w:hAnsi="Verdana"/>
          <w:sz w:val="20"/>
          <w:szCs w:val="20"/>
          <w:lang w:val="en-US"/>
        </w:rPr>
        <w:t xml:space="preserve"> the rights that derive from the said standards of the OAS Charter</w:t>
      </w:r>
      <w:r w:rsidR="000963FB" w:rsidRPr="00D2561A">
        <w:rPr>
          <w:rFonts w:ascii="Verdana" w:hAnsi="Verdana"/>
          <w:sz w:val="20"/>
          <w:szCs w:val="20"/>
          <w:lang w:val="en-US"/>
        </w:rPr>
        <w:t>; therefore,</w:t>
      </w:r>
      <w:r w:rsidRPr="00D2561A">
        <w:rPr>
          <w:rFonts w:ascii="Verdana" w:hAnsi="Verdana"/>
          <w:sz w:val="20"/>
          <w:szCs w:val="20"/>
          <w:lang w:val="en-US"/>
        </w:rPr>
        <w:t xml:space="preserve"> the States Parties to the Convention would not know what th</w:t>
      </w:r>
      <w:r w:rsidR="000963FB" w:rsidRPr="00D2561A">
        <w:rPr>
          <w:rFonts w:ascii="Verdana" w:hAnsi="Verdana"/>
          <w:sz w:val="20"/>
          <w:szCs w:val="20"/>
          <w:lang w:val="en-US"/>
        </w:rPr>
        <w:t xml:space="preserve">ose rights </w:t>
      </w:r>
      <w:r w:rsidRPr="00D2561A">
        <w:rPr>
          <w:rFonts w:ascii="Verdana" w:hAnsi="Verdana"/>
          <w:sz w:val="20"/>
          <w:szCs w:val="20"/>
          <w:lang w:val="en-US"/>
        </w:rPr>
        <w:t>are</w:t>
      </w:r>
      <w:r w:rsidR="000F09CB" w:rsidRPr="00D2561A">
        <w:rPr>
          <w:rFonts w:ascii="Verdana" w:hAnsi="Verdana"/>
          <w:sz w:val="20"/>
          <w:szCs w:val="20"/>
          <w:lang w:val="en-US"/>
        </w:rPr>
        <w:t xml:space="preserve"> </w:t>
      </w:r>
      <w:r w:rsidRPr="00D2561A">
        <w:rPr>
          <w:rFonts w:ascii="Verdana" w:hAnsi="Verdana"/>
          <w:sz w:val="20"/>
          <w:szCs w:val="20"/>
          <w:lang w:val="en-US"/>
        </w:rPr>
        <w:t>prior to the corresponding litigation.</w:t>
      </w:r>
    </w:p>
    <w:p w14:paraId="7D78AD04" w14:textId="77777777" w:rsidR="003862DE" w:rsidRPr="00D2561A" w:rsidRDefault="003862DE" w:rsidP="000E0801">
      <w:pPr>
        <w:pStyle w:val="Prrafodelista"/>
        <w:spacing w:line="240" w:lineRule="auto"/>
        <w:ind w:left="-270" w:right="-162"/>
        <w:rPr>
          <w:rFonts w:ascii="Verdana" w:hAnsi="Verdana"/>
          <w:sz w:val="20"/>
          <w:szCs w:val="20"/>
          <w:lang w:val="en-US"/>
        </w:rPr>
      </w:pPr>
    </w:p>
    <w:p w14:paraId="3A8C6594" w14:textId="2ADC4C73" w:rsidR="00EC0BF7" w:rsidRPr="00D2561A" w:rsidRDefault="00EC0BF7"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This is why I am unable to share the opinion set forth in the judgment </w:t>
      </w:r>
      <w:r w:rsidR="000F09CB" w:rsidRPr="00D2561A">
        <w:rPr>
          <w:rFonts w:ascii="Verdana" w:hAnsi="Verdana"/>
          <w:sz w:val="20"/>
          <w:szCs w:val="20"/>
          <w:lang w:val="en-US"/>
        </w:rPr>
        <w:t>that</w:t>
      </w:r>
      <w:r w:rsidRPr="00D2561A">
        <w:rPr>
          <w:rFonts w:ascii="Verdana" w:hAnsi="Verdana"/>
          <w:sz w:val="20"/>
          <w:szCs w:val="20"/>
          <w:lang w:val="en-US"/>
        </w:rPr>
        <w:t xml:space="preserve">, based on the provisions of </w:t>
      </w:r>
      <w:r w:rsidR="00E30D1A" w:rsidRPr="00D2561A">
        <w:rPr>
          <w:rFonts w:ascii="Verdana" w:hAnsi="Verdana"/>
          <w:sz w:val="20"/>
          <w:szCs w:val="20"/>
          <w:lang w:val="en-US"/>
        </w:rPr>
        <w:t>Articles</w:t>
      </w:r>
      <w:r w:rsidR="00B41B23" w:rsidRPr="00D2561A">
        <w:rPr>
          <w:rFonts w:ascii="Verdana" w:hAnsi="Verdana"/>
          <w:sz w:val="20"/>
          <w:szCs w:val="20"/>
          <w:lang w:val="en-US"/>
        </w:rPr>
        <w:t xml:space="preserve"> 1</w:t>
      </w:r>
      <w:r w:rsidR="00E30D1A" w:rsidRPr="00D2561A">
        <w:rPr>
          <w:rFonts w:ascii="Verdana" w:hAnsi="Verdana"/>
          <w:sz w:val="20"/>
          <w:szCs w:val="20"/>
          <w:lang w:val="en-US"/>
        </w:rPr>
        <w:t xml:space="preserve"> and </w:t>
      </w:r>
      <w:r w:rsidR="00B41B23" w:rsidRPr="00D2561A">
        <w:rPr>
          <w:rFonts w:ascii="Verdana" w:hAnsi="Verdana"/>
          <w:sz w:val="20"/>
          <w:szCs w:val="20"/>
          <w:lang w:val="en-US"/>
        </w:rPr>
        <w:t>2</w:t>
      </w:r>
      <w:r w:rsidR="00E30D1A" w:rsidRPr="00D2561A">
        <w:rPr>
          <w:rFonts w:ascii="Verdana" w:hAnsi="Verdana"/>
          <w:sz w:val="20"/>
          <w:szCs w:val="20"/>
          <w:lang w:val="en-US"/>
        </w:rPr>
        <w:t xml:space="preserve"> of the Convention</w:t>
      </w:r>
      <w:r w:rsidR="00B41B23" w:rsidRPr="00D2561A">
        <w:rPr>
          <w:rFonts w:ascii="Verdana" w:hAnsi="Verdana"/>
          <w:sz w:val="20"/>
          <w:szCs w:val="20"/>
          <w:lang w:val="en-US"/>
        </w:rPr>
        <w:t>,</w:t>
      </w:r>
      <w:r w:rsidR="005A05C1" w:rsidRPr="00D2561A">
        <w:rPr>
          <w:rFonts w:ascii="Verdana" w:hAnsi="Verdana"/>
          <w:sz w:val="20"/>
          <w:szCs w:val="20"/>
          <w:lang w:val="en-US"/>
        </w:rPr>
        <w:t xml:space="preserve"> </w:t>
      </w:r>
      <w:r w:rsidR="00E30D1A" w:rsidRPr="00D2561A">
        <w:rPr>
          <w:rFonts w:ascii="Verdana" w:hAnsi="Verdana"/>
          <w:sz w:val="20"/>
          <w:szCs w:val="20"/>
          <w:lang w:val="en-US"/>
        </w:rPr>
        <w:t>Article</w:t>
      </w:r>
      <w:r w:rsidR="005A05C1" w:rsidRPr="00D2561A">
        <w:rPr>
          <w:rFonts w:ascii="Verdana" w:hAnsi="Verdana"/>
          <w:sz w:val="20"/>
          <w:szCs w:val="20"/>
          <w:lang w:val="en-US"/>
        </w:rPr>
        <w:t xml:space="preserve"> 26 distin</w:t>
      </w:r>
      <w:r w:rsidRPr="00D2561A">
        <w:rPr>
          <w:rFonts w:ascii="Verdana" w:hAnsi="Verdana"/>
          <w:sz w:val="20"/>
          <w:szCs w:val="20"/>
          <w:lang w:val="en-US"/>
        </w:rPr>
        <w:t xml:space="preserve">guishes between “aspects that are </w:t>
      </w:r>
      <w:r w:rsidR="00E92D5E" w:rsidRPr="00D2561A">
        <w:rPr>
          <w:rFonts w:ascii="Verdana" w:hAnsi="Verdana"/>
          <w:sz w:val="20"/>
          <w:szCs w:val="20"/>
          <w:lang w:val="en-US"/>
        </w:rPr>
        <w:t>enforceable</w:t>
      </w:r>
      <w:r w:rsidRPr="00D2561A">
        <w:rPr>
          <w:rFonts w:ascii="Verdana" w:hAnsi="Verdana"/>
          <w:sz w:val="20"/>
          <w:szCs w:val="20"/>
          <w:lang w:val="en-US"/>
        </w:rPr>
        <w:t xml:space="preserve"> immediately” and “others of a progressive nature,</w:t>
      </w:r>
      <w:r w:rsidR="001D2498" w:rsidRPr="00D2561A">
        <w:rPr>
          <w:rFonts w:ascii="Verdana" w:hAnsi="Verdana"/>
          <w:sz w:val="20"/>
          <w:szCs w:val="20"/>
          <w:lang w:val="en-US"/>
        </w:rPr>
        <w:t>”</w:t>
      </w:r>
      <w:r w:rsidR="001D2498" w:rsidRPr="00D2561A">
        <w:rPr>
          <w:rStyle w:val="Refdenotaalpie"/>
          <w:rFonts w:ascii="Verdana" w:hAnsi="Verdana"/>
          <w:sz w:val="20"/>
          <w:szCs w:val="20"/>
          <w:lang w:val="en-US"/>
        </w:rPr>
        <w:footnoteReference w:id="68"/>
      </w:r>
      <w:r w:rsidRPr="00D2561A">
        <w:rPr>
          <w:rFonts w:ascii="Verdana" w:hAnsi="Verdana"/>
          <w:sz w:val="20"/>
          <w:szCs w:val="20"/>
          <w:lang w:val="en-US"/>
        </w:rPr>
        <w:t xml:space="preserve"> because this strays ostensibly from </w:t>
      </w:r>
      <w:r w:rsidR="000F09CB" w:rsidRPr="00D2561A">
        <w:rPr>
          <w:rFonts w:ascii="Verdana" w:hAnsi="Verdana"/>
          <w:sz w:val="20"/>
          <w:szCs w:val="20"/>
          <w:lang w:val="en-US"/>
        </w:rPr>
        <w:t>the content of</w:t>
      </w:r>
      <w:r w:rsidRPr="00D2561A">
        <w:rPr>
          <w:rFonts w:ascii="Verdana" w:hAnsi="Verdana"/>
          <w:sz w:val="20"/>
          <w:szCs w:val="20"/>
          <w:lang w:val="en-US"/>
        </w:rPr>
        <w:t xml:space="preserve"> those articles, which establish </w:t>
      </w:r>
      <w:r w:rsidR="00E92D5E" w:rsidRPr="00D2561A">
        <w:rPr>
          <w:rFonts w:ascii="Verdana" w:hAnsi="Verdana"/>
          <w:sz w:val="20"/>
          <w:szCs w:val="20"/>
          <w:lang w:val="en-US"/>
        </w:rPr>
        <w:t>that</w:t>
      </w:r>
      <w:r w:rsidRPr="00D2561A">
        <w:rPr>
          <w:rFonts w:ascii="Verdana" w:hAnsi="Verdana"/>
          <w:sz w:val="20"/>
          <w:szCs w:val="20"/>
          <w:lang w:val="en-US"/>
        </w:rPr>
        <w:t xml:space="preserve"> the rights to which they refer are only those “recognized,”</w:t>
      </w:r>
      <w:r w:rsidR="00E24DF1" w:rsidRPr="00D2561A">
        <w:rPr>
          <w:rFonts w:ascii="Verdana" w:hAnsi="Verdana"/>
          <w:sz w:val="20"/>
          <w:szCs w:val="20"/>
          <w:lang w:val="en-US"/>
        </w:rPr>
        <w:t xml:space="preserve"> “established,” “guaranteed” or “protected” by the Convention, which is not the case of those referred to in Article 26. In addition, this distinction made in the judgment is confusing and even contradictory because, on the one hand, it is not possible to know in advance which aspects or more exactly which rights </w:t>
      </w:r>
      <w:r w:rsidR="000F09CB" w:rsidRPr="00D2561A">
        <w:rPr>
          <w:rFonts w:ascii="Verdana" w:hAnsi="Verdana"/>
          <w:sz w:val="20"/>
          <w:szCs w:val="20"/>
          <w:lang w:val="en-US"/>
        </w:rPr>
        <w:t>referred to in</w:t>
      </w:r>
      <w:r w:rsidR="00E24DF1" w:rsidRPr="00D2561A">
        <w:rPr>
          <w:rFonts w:ascii="Verdana" w:hAnsi="Verdana"/>
          <w:sz w:val="20"/>
          <w:szCs w:val="20"/>
          <w:lang w:val="en-US"/>
        </w:rPr>
        <w:t xml:space="preserve"> Article 26 would be enforceable immediately and which would need to be developed progressively for that purpose and, on the other hand, the former would not require the adoption of measures to make them enforceable, while the others could not be enforced until measures had been adopted.</w:t>
      </w:r>
    </w:p>
    <w:p w14:paraId="3E1AC26E" w14:textId="77777777" w:rsidR="00193CD3" w:rsidRPr="00D2561A" w:rsidRDefault="00193CD3" w:rsidP="00E24DF1">
      <w:pPr>
        <w:spacing w:line="240" w:lineRule="auto"/>
        <w:ind w:left="0" w:right="-162"/>
        <w:rPr>
          <w:rFonts w:ascii="Verdana" w:hAnsi="Verdana"/>
          <w:sz w:val="20"/>
          <w:szCs w:val="20"/>
          <w:lang w:val="en-US"/>
        </w:rPr>
      </w:pPr>
    </w:p>
    <w:p w14:paraId="43B284B1" w14:textId="5945C647" w:rsidR="00E24DF1" w:rsidRPr="00D2561A" w:rsidRDefault="00261BB8"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Moreover</w:t>
      </w:r>
      <w:r w:rsidR="00E24DF1" w:rsidRPr="00D2561A">
        <w:rPr>
          <w:rFonts w:ascii="Verdana" w:hAnsi="Verdana"/>
          <w:sz w:val="20"/>
          <w:szCs w:val="20"/>
          <w:lang w:val="en-US"/>
        </w:rPr>
        <w:t>, an approach such as the one mentioned would result in the Court assuming an international normative function that, in the case of the Convention, corresponds only to its States Parties.</w:t>
      </w:r>
      <w:r w:rsidR="00E24DF1" w:rsidRPr="00D2561A">
        <w:rPr>
          <w:rFonts w:ascii="Verdana" w:hAnsi="Verdana"/>
          <w:sz w:val="20"/>
          <w:szCs w:val="20"/>
          <w:vertAlign w:val="superscript"/>
          <w:lang w:val="en-US"/>
        </w:rPr>
        <w:footnoteReference w:id="69"/>
      </w:r>
      <w:r w:rsidR="00E24DF1" w:rsidRPr="00D2561A">
        <w:rPr>
          <w:rFonts w:ascii="Verdana" w:hAnsi="Verdana"/>
          <w:sz w:val="20"/>
          <w:szCs w:val="20"/>
          <w:lang w:val="en-US"/>
        </w:rPr>
        <w:t xml:space="preserve"> And, this is because, in the absence of </w:t>
      </w:r>
      <w:r w:rsidR="000F09CB" w:rsidRPr="00D2561A">
        <w:rPr>
          <w:rFonts w:ascii="Verdana" w:hAnsi="Verdana"/>
          <w:sz w:val="20"/>
          <w:szCs w:val="20"/>
          <w:lang w:val="en-US"/>
        </w:rPr>
        <w:t xml:space="preserve">a </w:t>
      </w:r>
      <w:r w:rsidR="00E24DF1" w:rsidRPr="00D2561A">
        <w:rPr>
          <w:rFonts w:ascii="Verdana" w:hAnsi="Verdana"/>
          <w:sz w:val="20"/>
          <w:szCs w:val="20"/>
          <w:lang w:val="en-US"/>
        </w:rPr>
        <w:t>specification of the rights derived from the standards of the OAS Charter, the Court could establish rights that are no</w:t>
      </w:r>
      <w:r w:rsidR="000F09CB" w:rsidRPr="00D2561A">
        <w:rPr>
          <w:rFonts w:ascii="Verdana" w:hAnsi="Verdana"/>
          <w:sz w:val="20"/>
          <w:szCs w:val="20"/>
          <w:lang w:val="en-US"/>
        </w:rPr>
        <w:t>t</w:t>
      </w:r>
      <w:r w:rsidR="00E24DF1" w:rsidRPr="00D2561A">
        <w:rPr>
          <w:rFonts w:ascii="Verdana" w:hAnsi="Verdana"/>
          <w:sz w:val="20"/>
          <w:szCs w:val="20"/>
          <w:lang w:val="en-US"/>
        </w:rPr>
        <w:t xml:space="preserve"> expressly established in the said standards and decide that these are justiciable before it.</w:t>
      </w:r>
    </w:p>
    <w:p w14:paraId="6C421B4D" w14:textId="77777777" w:rsidR="00193CD3" w:rsidRPr="00D2561A" w:rsidRDefault="00193CD3" w:rsidP="000E0801">
      <w:pPr>
        <w:pStyle w:val="Prrafodelista"/>
        <w:spacing w:line="240" w:lineRule="auto"/>
        <w:ind w:left="-270" w:right="-162"/>
        <w:rPr>
          <w:rFonts w:ascii="Verdana" w:hAnsi="Verdana"/>
          <w:sz w:val="20"/>
          <w:szCs w:val="20"/>
          <w:lang w:val="en-US"/>
        </w:rPr>
      </w:pPr>
    </w:p>
    <w:p w14:paraId="52F0267C" w14:textId="39B8EA28" w:rsidR="00E24DF1" w:rsidRPr="00D2561A" w:rsidRDefault="00E24DF1"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In conclusion, </w:t>
      </w:r>
      <w:r w:rsidR="00261BB8" w:rsidRPr="00D2561A">
        <w:rPr>
          <w:rFonts w:ascii="Verdana" w:hAnsi="Verdana"/>
          <w:sz w:val="20"/>
          <w:szCs w:val="20"/>
          <w:lang w:val="en-US"/>
        </w:rPr>
        <w:t>dissenting</w:t>
      </w:r>
      <w:r w:rsidRPr="00D2561A">
        <w:rPr>
          <w:rFonts w:ascii="Verdana" w:hAnsi="Verdana"/>
          <w:sz w:val="20"/>
          <w:szCs w:val="20"/>
          <w:lang w:val="en-US"/>
        </w:rPr>
        <w:t xml:space="preserve"> with the judgment, I can affirm that the application of the functional or teleological means of interpretation of treaties with regard to Article 26 of the Convention leads to the same conclusions reached by using the other means of interpretation of treaties; in other words, that</w:t>
      </w:r>
      <w:r w:rsidR="006A1F88" w:rsidRPr="00D2561A">
        <w:rPr>
          <w:rFonts w:ascii="Verdana" w:hAnsi="Verdana"/>
          <w:sz w:val="20"/>
          <w:szCs w:val="20"/>
          <w:lang w:val="en-US"/>
        </w:rPr>
        <w:t xml:space="preserve"> the purpose of</w:t>
      </w:r>
      <w:r w:rsidRPr="00D2561A">
        <w:rPr>
          <w:rFonts w:ascii="Verdana" w:hAnsi="Verdana"/>
          <w:sz w:val="20"/>
          <w:szCs w:val="20"/>
          <w:lang w:val="en-US"/>
        </w:rPr>
        <w:t xml:space="preserve"> this article </w:t>
      </w:r>
      <w:r w:rsidR="006A1F88" w:rsidRPr="00D2561A">
        <w:rPr>
          <w:rFonts w:ascii="Verdana" w:hAnsi="Verdana"/>
          <w:sz w:val="20"/>
          <w:szCs w:val="20"/>
          <w:lang w:val="en-US"/>
        </w:rPr>
        <w:t>is not to establish human rights of any kind, but merely to establish the obligation of the States Parties to adopt measures towards the realization of the economic, social and cultural rights “derived” from the OAS Charter.</w:t>
      </w:r>
    </w:p>
    <w:p w14:paraId="000582AA" w14:textId="77777777" w:rsidR="00E9106E" w:rsidRPr="00D2561A" w:rsidRDefault="00E9106E" w:rsidP="000E0801">
      <w:pPr>
        <w:spacing w:line="240" w:lineRule="auto"/>
        <w:ind w:left="-270" w:right="-162"/>
        <w:contextualSpacing/>
        <w:rPr>
          <w:rFonts w:ascii="Verdana" w:hAnsi="Verdana"/>
          <w:sz w:val="20"/>
          <w:szCs w:val="20"/>
          <w:lang w:val="en-US"/>
        </w:rPr>
      </w:pPr>
    </w:p>
    <w:p w14:paraId="6E72522D" w14:textId="5F4CC707" w:rsidR="00E9106E" w:rsidRPr="00D2561A" w:rsidRDefault="001077DA" w:rsidP="000E0801">
      <w:pPr>
        <w:numPr>
          <w:ilvl w:val="0"/>
          <w:numId w:val="14"/>
        </w:numPr>
        <w:spacing w:line="240" w:lineRule="auto"/>
        <w:ind w:left="-270" w:right="-162" w:firstLine="0"/>
        <w:contextualSpacing/>
        <w:rPr>
          <w:rFonts w:ascii="Verdana" w:eastAsia="Batang" w:hAnsi="Verdana"/>
          <w:b/>
          <w:sz w:val="20"/>
          <w:szCs w:val="20"/>
          <w:lang w:val="en-US"/>
        </w:rPr>
      </w:pPr>
      <w:r w:rsidRPr="00D2561A">
        <w:rPr>
          <w:rFonts w:ascii="Verdana" w:eastAsia="Batang" w:hAnsi="Verdana"/>
          <w:b/>
          <w:sz w:val="20"/>
          <w:szCs w:val="20"/>
          <w:lang w:val="en-US"/>
        </w:rPr>
        <w:t>Supplementary means</w:t>
      </w:r>
    </w:p>
    <w:p w14:paraId="32C77ED0" w14:textId="77777777" w:rsidR="00E9106E" w:rsidRPr="00D2561A" w:rsidRDefault="00E9106E" w:rsidP="000E0801">
      <w:pPr>
        <w:spacing w:line="240" w:lineRule="auto"/>
        <w:ind w:left="-270" w:right="-162"/>
        <w:contextualSpacing/>
        <w:rPr>
          <w:rFonts w:ascii="Verdana" w:hAnsi="Verdana"/>
          <w:sz w:val="20"/>
          <w:szCs w:val="20"/>
          <w:lang w:val="en-US"/>
        </w:rPr>
      </w:pPr>
      <w:r w:rsidRPr="00D2561A">
        <w:rPr>
          <w:rFonts w:ascii="Verdana" w:hAnsi="Verdana"/>
          <w:sz w:val="20"/>
          <w:szCs w:val="20"/>
          <w:lang w:val="en-US"/>
        </w:rPr>
        <w:t xml:space="preserve">  </w:t>
      </w:r>
    </w:p>
    <w:p w14:paraId="2A58B992" w14:textId="069A84C8" w:rsidR="00E9106E" w:rsidRPr="00D2561A" w:rsidRDefault="006A1F88" w:rsidP="00BE1A92">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With regard to the supplementary means of interpretation of treaties</w:t>
      </w:r>
      <w:r w:rsidR="00E9106E" w:rsidRPr="00D2561A">
        <w:rPr>
          <w:rFonts w:ascii="Verdana" w:hAnsi="Verdana"/>
          <w:sz w:val="20"/>
          <w:szCs w:val="20"/>
          <w:lang w:val="en-US"/>
        </w:rPr>
        <w:t>,</w:t>
      </w:r>
      <w:r w:rsidR="00BE1A92" w:rsidRPr="00D2561A">
        <w:rPr>
          <w:rFonts w:ascii="Verdana" w:hAnsi="Verdana"/>
          <w:sz w:val="20"/>
          <w:szCs w:val="20"/>
          <w:lang w:val="en-US"/>
        </w:rPr>
        <w:t xml:space="preserve"> it should be emphasized that, during the 1969 Inter-American Specialized Conference on Human Rights at which the final text of the Convention was adopted, two articles on this issue were proposed. One was Article 26 which appears in the Convention; this article was adopted.</w:t>
      </w:r>
      <w:r w:rsidR="00BE1A92" w:rsidRPr="00D2561A">
        <w:rPr>
          <w:rFonts w:ascii="Verdana" w:hAnsi="Verdana"/>
          <w:sz w:val="20"/>
          <w:szCs w:val="20"/>
          <w:vertAlign w:val="superscript"/>
          <w:lang w:val="en-US"/>
        </w:rPr>
        <w:footnoteReference w:id="70"/>
      </w:r>
    </w:p>
    <w:p w14:paraId="28D3DEDF" w14:textId="77777777" w:rsidR="00E9106E" w:rsidRPr="00D2561A" w:rsidRDefault="00E9106E" w:rsidP="001077DA">
      <w:pPr>
        <w:spacing w:line="240" w:lineRule="auto"/>
        <w:ind w:left="-270" w:right="-162"/>
        <w:contextualSpacing/>
        <w:rPr>
          <w:rFonts w:ascii="Verdana" w:hAnsi="Verdana"/>
          <w:sz w:val="20"/>
          <w:szCs w:val="20"/>
          <w:lang w:val="en-US"/>
        </w:rPr>
      </w:pPr>
    </w:p>
    <w:p w14:paraId="6319D9C4" w14:textId="39C93A9F" w:rsidR="00E9106E" w:rsidRPr="00D2561A" w:rsidRDefault="00BE1A92" w:rsidP="001077DA">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The other proposed article, 27, stated:</w:t>
      </w:r>
    </w:p>
    <w:p w14:paraId="71C41C5A" w14:textId="77777777" w:rsidR="00E9106E" w:rsidRPr="00D2561A" w:rsidRDefault="00E9106E" w:rsidP="001077DA">
      <w:pPr>
        <w:spacing w:line="240" w:lineRule="auto"/>
        <w:ind w:left="-270" w:right="-162"/>
        <w:contextualSpacing/>
        <w:rPr>
          <w:rFonts w:ascii="Verdana" w:eastAsia="Batang" w:hAnsi="Verdana"/>
          <w:sz w:val="20"/>
          <w:szCs w:val="20"/>
          <w:lang w:val="en-US"/>
        </w:rPr>
      </w:pPr>
    </w:p>
    <w:p w14:paraId="1789E90A" w14:textId="381B7CEE" w:rsidR="001077DA" w:rsidRPr="00D2561A" w:rsidRDefault="001077DA" w:rsidP="001077DA">
      <w:pPr>
        <w:spacing w:line="240" w:lineRule="auto"/>
        <w:ind w:left="720" w:right="-162"/>
        <w:rPr>
          <w:rFonts w:ascii="Verdana" w:hAnsi="Verdana"/>
          <w:sz w:val="18"/>
          <w:szCs w:val="18"/>
          <w:lang w:val="en-US"/>
        </w:rPr>
      </w:pPr>
      <w:r w:rsidRPr="00D2561A">
        <w:rPr>
          <w:rFonts w:ascii="Verdana" w:hAnsi="Verdana"/>
          <w:sz w:val="18"/>
          <w:szCs w:val="18"/>
          <w:lang w:val="en-US"/>
        </w:rPr>
        <w:t>“Monitoring Compliance with the Obligations. The States Parties shall transmit to the Inter-American Commission of Human Rights a copy of each of the reports and studies that they submit annually to the Executive Committees of the Inter-American Economic and Social Council and the Inter-American Council for Education, Science and Culture, in their respective fields, so that the Commission can verify their compliance with the obligations determined previously, which are the essential basis for the exercise of other rights enshrined in this Convention.” </w:t>
      </w:r>
    </w:p>
    <w:p w14:paraId="5EDFB3B3" w14:textId="77777777" w:rsidR="00E9106E" w:rsidRPr="00D2561A" w:rsidRDefault="00E9106E" w:rsidP="00BE1A92">
      <w:pPr>
        <w:spacing w:line="240" w:lineRule="auto"/>
        <w:ind w:left="0" w:right="-162"/>
        <w:contextualSpacing/>
        <w:rPr>
          <w:rFonts w:ascii="Verdana" w:eastAsia="Batang" w:hAnsi="Verdana"/>
          <w:sz w:val="20"/>
          <w:szCs w:val="20"/>
          <w:lang w:val="en-US"/>
        </w:rPr>
      </w:pPr>
    </w:p>
    <w:p w14:paraId="46FDD06A" w14:textId="5F5B310A" w:rsidR="00E9106E" w:rsidRPr="00D2561A" w:rsidRDefault="00BE1A92" w:rsidP="000E0801">
      <w:pPr>
        <w:numPr>
          <w:ilvl w:val="0"/>
          <w:numId w:val="5"/>
        </w:numPr>
        <w:spacing w:line="240" w:lineRule="auto"/>
        <w:ind w:left="-270" w:right="-162" w:firstLine="0"/>
        <w:contextualSpacing/>
        <w:rPr>
          <w:rFonts w:ascii="Verdana" w:hAnsi="Verdana"/>
          <w:iCs/>
          <w:sz w:val="20"/>
          <w:szCs w:val="20"/>
          <w:lang w:val="en-US"/>
        </w:rPr>
      </w:pPr>
      <w:r w:rsidRPr="00D2561A">
        <w:rPr>
          <w:rFonts w:ascii="Verdana" w:hAnsi="Verdana"/>
          <w:sz w:val="20"/>
          <w:szCs w:val="20"/>
          <w:lang w:val="en-US"/>
        </w:rPr>
        <w:t>It should be noted that this draft</w:t>
      </w:r>
      <w:r w:rsidR="00E9106E" w:rsidRPr="00D2561A">
        <w:rPr>
          <w:rFonts w:ascii="Verdana" w:hAnsi="Verdana"/>
          <w:sz w:val="20"/>
          <w:szCs w:val="20"/>
          <w:lang w:val="en-US"/>
        </w:rPr>
        <w:t xml:space="preserve"> </w:t>
      </w:r>
      <w:r w:rsidRPr="00D2561A">
        <w:rPr>
          <w:rFonts w:ascii="Verdana" w:hAnsi="Verdana"/>
          <w:sz w:val="20"/>
          <w:szCs w:val="20"/>
          <w:lang w:val="en-US"/>
        </w:rPr>
        <w:t>a</w:t>
      </w:r>
      <w:r w:rsidR="00466AF7" w:rsidRPr="00D2561A">
        <w:rPr>
          <w:rFonts w:ascii="Verdana" w:hAnsi="Verdana"/>
          <w:sz w:val="20"/>
          <w:szCs w:val="20"/>
          <w:lang w:val="en-US"/>
        </w:rPr>
        <w:t>rticle</w:t>
      </w:r>
      <w:r w:rsidR="00E9106E" w:rsidRPr="00D2561A">
        <w:rPr>
          <w:rFonts w:ascii="Verdana" w:hAnsi="Verdana"/>
          <w:sz w:val="20"/>
          <w:szCs w:val="20"/>
          <w:lang w:val="en-US"/>
        </w:rPr>
        <w:t xml:space="preserve"> 27, </w:t>
      </w:r>
      <w:r w:rsidRPr="00D2561A">
        <w:rPr>
          <w:rFonts w:ascii="Verdana" w:hAnsi="Verdana"/>
          <w:sz w:val="20"/>
          <w:szCs w:val="20"/>
          <w:lang w:val="en-US"/>
        </w:rPr>
        <w:t>which was not adopted,</w:t>
      </w:r>
      <w:r w:rsidR="00E9106E" w:rsidRPr="00D2561A">
        <w:rPr>
          <w:rFonts w:ascii="Verdana" w:hAnsi="Verdana"/>
          <w:sz w:val="20"/>
          <w:szCs w:val="20"/>
          <w:vertAlign w:val="superscript"/>
          <w:lang w:val="en-US"/>
        </w:rPr>
        <w:footnoteReference w:id="71"/>
      </w:r>
      <w:r w:rsidRPr="00D2561A">
        <w:rPr>
          <w:rFonts w:ascii="Verdana" w:hAnsi="Verdana"/>
          <w:sz w:val="20"/>
          <w:szCs w:val="20"/>
          <w:lang w:val="en-US"/>
        </w:rPr>
        <w:t xml:space="preserve"> refers to “reports and studies” for the Commission to verify whether the said obligations were being complied with</w:t>
      </w:r>
      <w:r w:rsidR="00E9106E" w:rsidRPr="00D2561A">
        <w:rPr>
          <w:rFonts w:ascii="Verdana" w:hAnsi="Verdana"/>
          <w:sz w:val="20"/>
          <w:szCs w:val="20"/>
          <w:lang w:val="en-US"/>
        </w:rPr>
        <w:t xml:space="preserve"> </w:t>
      </w:r>
      <w:r w:rsidRPr="00D2561A">
        <w:rPr>
          <w:rFonts w:ascii="Verdana" w:hAnsi="Verdana"/>
          <w:sz w:val="20"/>
          <w:szCs w:val="20"/>
          <w:lang w:val="en-US"/>
        </w:rPr>
        <w:t xml:space="preserve">and, therefore, distinguished between, on the one hand </w:t>
      </w:r>
      <w:r w:rsidR="00E9106E" w:rsidRPr="00D2561A">
        <w:rPr>
          <w:rFonts w:ascii="Verdana" w:hAnsi="Verdana"/>
          <w:sz w:val="20"/>
          <w:szCs w:val="20"/>
          <w:lang w:val="en-US"/>
        </w:rPr>
        <w:t>“</w:t>
      </w:r>
      <w:r w:rsidRPr="00D2561A">
        <w:rPr>
          <w:rFonts w:ascii="Verdana" w:hAnsi="Verdana"/>
          <w:sz w:val="20"/>
          <w:szCs w:val="20"/>
          <w:lang w:val="en-US"/>
        </w:rPr>
        <w:t>the obligations determined previously,</w:t>
      </w:r>
      <w:r w:rsidR="00E9106E" w:rsidRPr="00D2561A">
        <w:rPr>
          <w:rFonts w:ascii="Verdana" w:hAnsi="Verdana"/>
          <w:sz w:val="20"/>
          <w:szCs w:val="20"/>
          <w:lang w:val="en-US"/>
        </w:rPr>
        <w:t>”</w:t>
      </w:r>
      <w:r w:rsidRPr="00D2561A">
        <w:rPr>
          <w:rFonts w:ascii="Verdana" w:hAnsi="Verdana"/>
          <w:sz w:val="20"/>
          <w:szCs w:val="20"/>
          <w:lang w:val="en-US"/>
        </w:rPr>
        <w:t xml:space="preserve"> obviously in</w:t>
      </w:r>
      <w:r w:rsidR="00E9106E" w:rsidRPr="00D2561A">
        <w:rPr>
          <w:rFonts w:ascii="Verdana" w:hAnsi="Verdana"/>
          <w:sz w:val="20"/>
          <w:szCs w:val="20"/>
          <w:lang w:val="en-US"/>
        </w:rPr>
        <w:t xml:space="preserve"> </w:t>
      </w:r>
      <w:r w:rsidR="00E30D1A" w:rsidRPr="00D2561A">
        <w:rPr>
          <w:rFonts w:ascii="Verdana" w:hAnsi="Verdana"/>
          <w:sz w:val="20"/>
          <w:szCs w:val="20"/>
          <w:lang w:val="en-US"/>
        </w:rPr>
        <w:t>Article</w:t>
      </w:r>
      <w:r w:rsidR="00E9106E" w:rsidRPr="00D2561A">
        <w:rPr>
          <w:rFonts w:ascii="Verdana" w:hAnsi="Verdana"/>
          <w:sz w:val="20"/>
          <w:szCs w:val="20"/>
          <w:lang w:val="en-US"/>
        </w:rPr>
        <w:t xml:space="preserve"> 26</w:t>
      </w:r>
      <w:r w:rsidRPr="00D2561A">
        <w:rPr>
          <w:rFonts w:ascii="Verdana" w:hAnsi="Verdana"/>
          <w:sz w:val="20"/>
          <w:szCs w:val="20"/>
          <w:lang w:val="en-US"/>
        </w:rPr>
        <w:t xml:space="preserve"> – in other words, those relating to the rights “derived </w:t>
      </w:r>
      <w:r w:rsidRPr="00D2561A">
        <w:rPr>
          <w:rFonts w:ascii="Verdana" w:hAnsi="Verdana"/>
          <w:spacing w:val="-3"/>
          <w:sz w:val="20"/>
          <w:szCs w:val="20"/>
          <w:lang w:val="en-US"/>
        </w:rPr>
        <w:t>from the economic, social, educational, scientific and cultural standards set forth in the Charter of</w:t>
      </w:r>
      <w:r w:rsidR="00B82A99" w:rsidRPr="00D2561A">
        <w:rPr>
          <w:rFonts w:ascii="Verdana" w:hAnsi="Verdana"/>
          <w:sz w:val="20"/>
          <w:szCs w:val="20"/>
          <w:lang w:val="en-US"/>
        </w:rPr>
        <w:t xml:space="preserve"> the Organization of American States</w:t>
      </w:r>
      <w:r w:rsidR="00E9106E" w:rsidRPr="00D2561A">
        <w:rPr>
          <w:rFonts w:ascii="Verdana" w:hAnsi="Verdana"/>
          <w:sz w:val="20"/>
          <w:szCs w:val="20"/>
          <w:lang w:val="en-US"/>
        </w:rPr>
        <w:t xml:space="preserve">, </w:t>
      </w:r>
      <w:r w:rsidRPr="00D2561A">
        <w:rPr>
          <w:rFonts w:ascii="Verdana" w:hAnsi="Verdana"/>
          <w:sz w:val="20"/>
          <w:szCs w:val="20"/>
          <w:lang w:val="en-US"/>
        </w:rPr>
        <w:t>as amended by the Protocol of Buenos Aires</w:t>
      </w:r>
      <w:r w:rsidR="00650106" w:rsidRPr="00D2561A">
        <w:rPr>
          <w:rFonts w:ascii="Verdana" w:hAnsi="Verdana"/>
          <w:sz w:val="20"/>
          <w:szCs w:val="20"/>
          <w:lang w:val="en-US"/>
        </w:rPr>
        <w:t>” and, on the other hand, “other rights enshrined in this Convention”</w:t>
      </w:r>
      <w:r w:rsidR="0011338D" w:rsidRPr="00D2561A">
        <w:rPr>
          <w:rFonts w:ascii="Verdana" w:hAnsi="Verdana"/>
          <w:sz w:val="20"/>
          <w:szCs w:val="20"/>
          <w:lang w:val="en-US"/>
        </w:rPr>
        <w:t>;</w:t>
      </w:r>
      <w:r w:rsidR="00650106" w:rsidRPr="00D2561A">
        <w:rPr>
          <w:rFonts w:ascii="Verdana" w:hAnsi="Verdana"/>
          <w:sz w:val="20"/>
          <w:szCs w:val="20"/>
          <w:lang w:val="en-US"/>
        </w:rPr>
        <w:t xml:space="preserve"> that is, “the civil and political rights.”</w:t>
      </w:r>
    </w:p>
    <w:p w14:paraId="12314C0D" w14:textId="77777777" w:rsidR="00E9106E" w:rsidRPr="00D2561A" w:rsidRDefault="00E9106E" w:rsidP="000E0801">
      <w:pPr>
        <w:spacing w:line="240" w:lineRule="auto"/>
        <w:ind w:left="-270" w:right="-162"/>
        <w:contextualSpacing/>
        <w:rPr>
          <w:rFonts w:ascii="Verdana" w:hAnsi="Verdana"/>
          <w:sz w:val="20"/>
          <w:szCs w:val="20"/>
          <w:lang w:val="en-US"/>
        </w:rPr>
      </w:pPr>
    </w:p>
    <w:p w14:paraId="0F2B3EDA" w14:textId="34767E84" w:rsidR="00650106" w:rsidRPr="00D2561A" w:rsidRDefault="00650106" w:rsidP="00650106">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Thus, the adoption</w:t>
      </w:r>
      <w:r w:rsidR="00E9106E" w:rsidRPr="00D2561A">
        <w:rPr>
          <w:rFonts w:ascii="Verdana" w:hAnsi="Verdana"/>
          <w:sz w:val="20"/>
          <w:szCs w:val="20"/>
          <w:lang w:val="en-US"/>
        </w:rPr>
        <w:t xml:space="preserve"> </w:t>
      </w:r>
      <w:r w:rsidR="00D5153E" w:rsidRPr="00D2561A">
        <w:rPr>
          <w:rFonts w:ascii="Verdana" w:hAnsi="Verdana"/>
          <w:sz w:val="20"/>
          <w:szCs w:val="20"/>
          <w:lang w:val="en-US"/>
        </w:rPr>
        <w:t>of Article</w:t>
      </w:r>
      <w:r w:rsidR="00E9106E" w:rsidRPr="00D2561A">
        <w:rPr>
          <w:rFonts w:ascii="Verdana" w:hAnsi="Verdana"/>
          <w:sz w:val="20"/>
          <w:szCs w:val="20"/>
          <w:lang w:val="en-US"/>
        </w:rPr>
        <w:t xml:space="preserve"> 26</w:t>
      </w:r>
      <w:r w:rsidRPr="00D2561A">
        <w:rPr>
          <w:rFonts w:ascii="Verdana" w:hAnsi="Verdana"/>
          <w:sz w:val="20"/>
          <w:szCs w:val="20"/>
          <w:lang w:val="en-US"/>
        </w:rPr>
        <w:t xml:space="preserve"> was not intended to incorporate the economic, social and cultural rights into the protection regime established in the Convention. The only proposal in this regard was that compliance with the obligations relating to those rights should be submitted to examination by OAS organs, considering that </w:t>
      </w:r>
      <w:r w:rsidR="0011338D" w:rsidRPr="00D2561A">
        <w:rPr>
          <w:rFonts w:ascii="Verdana" w:hAnsi="Verdana"/>
          <w:sz w:val="20"/>
          <w:szCs w:val="20"/>
          <w:lang w:val="en-US"/>
        </w:rPr>
        <w:t>such</w:t>
      </w:r>
      <w:r w:rsidRPr="00D2561A">
        <w:rPr>
          <w:rFonts w:ascii="Verdana" w:hAnsi="Verdana"/>
          <w:sz w:val="20"/>
          <w:szCs w:val="20"/>
          <w:lang w:val="en-US"/>
        </w:rPr>
        <w:t xml:space="preserve"> compliance was the basis for the realization of the civil and political rights. And, as indicated, that proposal was not accepted. This confirms that </w:t>
      </w:r>
      <w:r w:rsidR="0011338D" w:rsidRPr="00D2561A">
        <w:rPr>
          <w:rFonts w:ascii="Verdana" w:hAnsi="Verdana"/>
          <w:sz w:val="20"/>
          <w:szCs w:val="20"/>
          <w:lang w:val="en-US"/>
        </w:rPr>
        <w:t>t</w:t>
      </w:r>
      <w:r w:rsidRPr="00D2561A">
        <w:rPr>
          <w:rFonts w:ascii="Verdana" w:hAnsi="Verdana"/>
          <w:sz w:val="20"/>
          <w:szCs w:val="20"/>
          <w:lang w:val="en-US"/>
        </w:rPr>
        <w:t>he States Parties to the Convention did not have any intention of including the economic, social and cultural rights in the protection regime that, to the contrary, it does establish for the civil and political rights.</w:t>
      </w:r>
      <w:r w:rsidRPr="00D2561A">
        <w:rPr>
          <w:rFonts w:ascii="Verdana" w:hAnsi="Verdana"/>
          <w:sz w:val="20"/>
          <w:szCs w:val="20"/>
          <w:vertAlign w:val="superscript"/>
          <w:lang w:val="en-US"/>
        </w:rPr>
        <w:footnoteReference w:id="72"/>
      </w:r>
    </w:p>
    <w:p w14:paraId="0AA17A21" w14:textId="77777777" w:rsidR="00741A3A" w:rsidRPr="00D2561A" w:rsidRDefault="00741A3A" w:rsidP="000E0801">
      <w:pPr>
        <w:spacing w:line="240" w:lineRule="auto"/>
        <w:ind w:left="-270" w:right="-162"/>
        <w:rPr>
          <w:rFonts w:ascii="Verdana" w:eastAsia="Batang" w:hAnsi="Verdana"/>
          <w:bCs/>
          <w:sz w:val="20"/>
          <w:szCs w:val="20"/>
          <w:lang w:val="en-US"/>
        </w:rPr>
      </w:pPr>
    </w:p>
    <w:p w14:paraId="40F30087" w14:textId="2B0D7188" w:rsidR="00E9106E" w:rsidRPr="00D2561A" w:rsidRDefault="00027D77" w:rsidP="000E0801">
      <w:pPr>
        <w:pStyle w:val="Prrafodelista"/>
        <w:numPr>
          <w:ilvl w:val="0"/>
          <w:numId w:val="13"/>
        </w:numPr>
        <w:spacing w:line="240" w:lineRule="auto"/>
        <w:ind w:left="-270" w:right="-162" w:firstLine="0"/>
        <w:rPr>
          <w:rFonts w:ascii="Verdana" w:eastAsia="Batang" w:hAnsi="Verdana"/>
          <w:b/>
          <w:bCs/>
          <w:sz w:val="20"/>
          <w:szCs w:val="20"/>
          <w:lang w:val="en-US"/>
        </w:rPr>
      </w:pPr>
      <w:r w:rsidRPr="00D2561A">
        <w:rPr>
          <w:rFonts w:ascii="Verdana" w:eastAsia="Batang" w:hAnsi="Verdana"/>
          <w:b/>
          <w:bCs/>
          <w:sz w:val="20"/>
          <w:szCs w:val="20"/>
          <w:lang w:val="en-US"/>
        </w:rPr>
        <w:t xml:space="preserve"> </w:t>
      </w:r>
      <w:r w:rsidR="001077DA" w:rsidRPr="00D2561A">
        <w:rPr>
          <w:rFonts w:ascii="Verdana" w:eastAsia="Batang" w:hAnsi="Verdana"/>
          <w:b/>
          <w:bCs/>
          <w:sz w:val="20"/>
          <w:szCs w:val="20"/>
          <w:lang w:val="en-US"/>
        </w:rPr>
        <w:t>The OAS Charter</w:t>
      </w:r>
    </w:p>
    <w:p w14:paraId="456814E2" w14:textId="77777777" w:rsidR="00E9106E" w:rsidRPr="00D2561A" w:rsidRDefault="00E9106E" w:rsidP="000E0801">
      <w:pPr>
        <w:spacing w:line="240" w:lineRule="auto"/>
        <w:ind w:left="-270" w:right="-162"/>
        <w:contextualSpacing/>
        <w:rPr>
          <w:rFonts w:ascii="Verdana" w:eastAsia="Batang" w:hAnsi="Verdana"/>
          <w:bCs/>
          <w:sz w:val="20"/>
          <w:szCs w:val="20"/>
          <w:lang w:val="en-US"/>
        </w:rPr>
      </w:pPr>
    </w:p>
    <w:p w14:paraId="79C753AB" w14:textId="40E0598E" w:rsidR="00650106" w:rsidRPr="00D2561A" w:rsidRDefault="00650106"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bCs/>
          <w:sz w:val="20"/>
          <w:szCs w:val="20"/>
          <w:lang w:val="en-US"/>
        </w:rPr>
        <w:t xml:space="preserve">That said, considering that </w:t>
      </w:r>
      <w:r w:rsidR="00E30D1A" w:rsidRPr="00D2561A">
        <w:rPr>
          <w:rFonts w:ascii="Verdana" w:hAnsi="Verdana"/>
          <w:sz w:val="20"/>
          <w:szCs w:val="20"/>
          <w:lang w:val="en-US"/>
        </w:rPr>
        <w:t>Article</w:t>
      </w:r>
      <w:r w:rsidR="00E9106E" w:rsidRPr="00D2561A">
        <w:rPr>
          <w:rFonts w:ascii="Verdana" w:hAnsi="Verdana"/>
          <w:sz w:val="20"/>
          <w:szCs w:val="20"/>
          <w:lang w:val="en-US"/>
        </w:rPr>
        <w:t xml:space="preserve"> 26 </w:t>
      </w:r>
      <w:r w:rsidRPr="00D2561A">
        <w:rPr>
          <w:rFonts w:ascii="Verdana" w:hAnsi="Verdana"/>
          <w:sz w:val="20"/>
          <w:szCs w:val="20"/>
          <w:lang w:val="en-US"/>
        </w:rPr>
        <w:t>makes a referral to “</w:t>
      </w:r>
      <w:r w:rsidRPr="00D2561A">
        <w:rPr>
          <w:rFonts w:ascii="Verdana" w:hAnsi="Verdana"/>
          <w:spacing w:val="-3"/>
          <w:sz w:val="20"/>
          <w:szCs w:val="20"/>
          <w:lang w:val="en-US"/>
        </w:rPr>
        <w:t>the economic, social, educational, scientific and cultural standards set forth in the Charter of</w:t>
      </w:r>
      <w:r w:rsidRPr="00D2561A">
        <w:rPr>
          <w:rFonts w:ascii="Verdana" w:hAnsi="Verdana"/>
          <w:sz w:val="20"/>
          <w:szCs w:val="20"/>
          <w:lang w:val="en-US"/>
        </w:rPr>
        <w:t xml:space="preserve"> the Organization of American States, as amended by the Protocol of Buenos Aires,” it is essential, in order to understand its scope, to refer to the content of the said standards and, in particular, those cited in the judgment.</w:t>
      </w:r>
    </w:p>
    <w:p w14:paraId="43F2C494" w14:textId="77777777" w:rsidR="00C24868" w:rsidRPr="00D2561A" w:rsidRDefault="00C24868" w:rsidP="000E0801">
      <w:pPr>
        <w:spacing w:line="240" w:lineRule="auto"/>
        <w:ind w:left="-270" w:right="-162"/>
        <w:contextualSpacing/>
        <w:rPr>
          <w:rFonts w:ascii="Verdana" w:hAnsi="Verdana"/>
          <w:sz w:val="20"/>
          <w:szCs w:val="20"/>
          <w:lang w:val="en-US"/>
        </w:rPr>
      </w:pPr>
    </w:p>
    <w:p w14:paraId="2CEBCD6F" w14:textId="2DC49F5C" w:rsidR="000C269A" w:rsidRPr="00D2561A" w:rsidRDefault="00650106"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eastAsia="Batang" w:hAnsi="Verdana"/>
          <w:sz w:val="20"/>
          <w:szCs w:val="20"/>
          <w:lang w:val="en-US"/>
        </w:rPr>
        <w:t>Regarding</w:t>
      </w:r>
      <w:r w:rsidR="00E9106E" w:rsidRPr="00D2561A">
        <w:rPr>
          <w:rFonts w:ascii="Verdana" w:eastAsia="Batang" w:hAnsi="Verdana"/>
          <w:sz w:val="20"/>
          <w:szCs w:val="20"/>
          <w:lang w:val="en-US"/>
        </w:rPr>
        <w:t xml:space="preserve"> </w:t>
      </w:r>
      <w:r w:rsidR="008A051B" w:rsidRPr="00D2561A">
        <w:rPr>
          <w:rFonts w:ascii="Verdana" w:hAnsi="Verdana"/>
          <w:bCs/>
          <w:sz w:val="20"/>
          <w:szCs w:val="20"/>
          <w:lang w:val="en-US"/>
        </w:rPr>
        <w:t>the right to just and favorable conditions that ensure safety, health and hygiene in the workplace</w:t>
      </w:r>
      <w:r w:rsidR="00E9106E" w:rsidRPr="00D2561A">
        <w:rPr>
          <w:rFonts w:ascii="Verdana" w:eastAsia="Batang" w:hAnsi="Verdana"/>
          <w:sz w:val="20"/>
          <w:szCs w:val="20"/>
          <w:lang w:val="en-US"/>
        </w:rPr>
        <w:t xml:space="preserve">, </w:t>
      </w:r>
      <w:r w:rsidR="0032767A" w:rsidRPr="00D2561A">
        <w:rPr>
          <w:rFonts w:ascii="Verdana" w:eastAsia="Batang" w:hAnsi="Verdana"/>
          <w:sz w:val="20"/>
          <w:szCs w:val="20"/>
          <w:lang w:val="en-US"/>
        </w:rPr>
        <w:t>the judgment</w:t>
      </w:r>
      <w:r w:rsidR="000A27F2" w:rsidRPr="00D2561A">
        <w:rPr>
          <w:rFonts w:ascii="Verdana" w:eastAsia="Batang" w:hAnsi="Verdana"/>
          <w:sz w:val="20"/>
          <w:szCs w:val="20"/>
          <w:lang w:val="en-US"/>
        </w:rPr>
        <w:t xml:space="preserve"> </w:t>
      </w:r>
      <w:r w:rsidRPr="00D2561A">
        <w:rPr>
          <w:rFonts w:ascii="Verdana" w:eastAsia="Batang" w:hAnsi="Verdana"/>
          <w:sz w:val="20"/>
          <w:szCs w:val="20"/>
          <w:lang w:val="en-US"/>
        </w:rPr>
        <w:t>cites</w:t>
      </w:r>
      <w:r w:rsidR="00E9106E" w:rsidRPr="00D2561A">
        <w:rPr>
          <w:rFonts w:ascii="Verdana" w:eastAsia="Batang" w:hAnsi="Verdana"/>
          <w:sz w:val="20"/>
          <w:szCs w:val="20"/>
          <w:lang w:val="en-US"/>
        </w:rPr>
        <w:t xml:space="preserve"> </w:t>
      </w:r>
      <w:r w:rsidR="00E30D1A" w:rsidRPr="00D2561A">
        <w:rPr>
          <w:rFonts w:ascii="Verdana" w:eastAsia="Batang" w:hAnsi="Verdana"/>
          <w:sz w:val="20"/>
          <w:szCs w:val="20"/>
          <w:lang w:val="en-US"/>
        </w:rPr>
        <w:t>Articles</w:t>
      </w:r>
      <w:r w:rsidR="00E9106E" w:rsidRPr="00D2561A">
        <w:rPr>
          <w:rFonts w:ascii="Verdana" w:eastAsia="Batang" w:hAnsi="Verdana"/>
          <w:sz w:val="20"/>
          <w:szCs w:val="20"/>
          <w:lang w:val="en-US"/>
        </w:rPr>
        <w:t xml:space="preserve"> </w:t>
      </w:r>
      <w:r w:rsidR="000A27F2" w:rsidRPr="00D2561A">
        <w:rPr>
          <w:rFonts w:ascii="Verdana" w:hAnsi="Verdana"/>
          <w:bCs/>
          <w:sz w:val="20"/>
          <w:szCs w:val="20"/>
          <w:lang w:val="en-US"/>
        </w:rPr>
        <w:t>45</w:t>
      </w:r>
      <w:r w:rsidRPr="00D2561A">
        <w:rPr>
          <w:rFonts w:ascii="Verdana" w:hAnsi="Verdana"/>
          <w:bCs/>
          <w:sz w:val="20"/>
          <w:szCs w:val="20"/>
          <w:lang w:val="en-US"/>
        </w:rPr>
        <w:t>(</w:t>
      </w:r>
      <w:r w:rsidR="000A27F2" w:rsidRPr="00D2561A">
        <w:rPr>
          <w:rFonts w:ascii="Verdana" w:hAnsi="Verdana"/>
          <w:bCs/>
          <w:sz w:val="20"/>
          <w:szCs w:val="20"/>
          <w:lang w:val="en-US"/>
        </w:rPr>
        <w:t>b</w:t>
      </w:r>
      <w:r w:rsidRPr="00D2561A">
        <w:rPr>
          <w:rFonts w:ascii="Verdana" w:hAnsi="Verdana"/>
          <w:bCs/>
          <w:sz w:val="20"/>
          <w:szCs w:val="20"/>
          <w:lang w:val="en-US"/>
        </w:rPr>
        <w:t>)</w:t>
      </w:r>
      <w:r w:rsidR="00E30D1A" w:rsidRPr="00D2561A">
        <w:rPr>
          <w:rFonts w:ascii="Verdana" w:hAnsi="Verdana"/>
          <w:bCs/>
          <w:sz w:val="20"/>
          <w:szCs w:val="20"/>
          <w:lang w:val="en-US"/>
        </w:rPr>
        <w:t xml:space="preserve"> and </w:t>
      </w:r>
      <w:r w:rsidRPr="00D2561A">
        <w:rPr>
          <w:rFonts w:ascii="Verdana" w:hAnsi="Verdana"/>
          <w:bCs/>
          <w:sz w:val="20"/>
          <w:szCs w:val="20"/>
          <w:lang w:val="en-US"/>
        </w:rPr>
        <w:t>(</w:t>
      </w:r>
      <w:r w:rsidR="000A27F2" w:rsidRPr="00D2561A">
        <w:rPr>
          <w:rFonts w:ascii="Verdana" w:hAnsi="Verdana"/>
          <w:bCs/>
          <w:sz w:val="20"/>
          <w:szCs w:val="20"/>
          <w:lang w:val="en-US"/>
        </w:rPr>
        <w:t>c</w:t>
      </w:r>
      <w:r w:rsidRPr="00D2561A">
        <w:rPr>
          <w:rFonts w:ascii="Verdana" w:hAnsi="Verdana"/>
          <w:bCs/>
          <w:sz w:val="20"/>
          <w:szCs w:val="20"/>
          <w:lang w:val="en-US"/>
        </w:rPr>
        <w:t>),</w:t>
      </w:r>
      <w:r w:rsidR="000A27F2" w:rsidRPr="00D2561A">
        <w:rPr>
          <w:rStyle w:val="Refdenotaalpie"/>
          <w:rFonts w:ascii="Verdana" w:hAnsi="Verdana"/>
          <w:sz w:val="20"/>
          <w:szCs w:val="20"/>
          <w:lang w:val="en-US"/>
        </w:rPr>
        <w:footnoteReference w:id="73"/>
      </w:r>
      <w:r w:rsidR="000A27F2" w:rsidRPr="00D2561A">
        <w:rPr>
          <w:rFonts w:ascii="Verdana" w:hAnsi="Verdana"/>
          <w:bCs/>
          <w:sz w:val="20"/>
          <w:szCs w:val="20"/>
          <w:lang w:val="en-US"/>
        </w:rPr>
        <w:t xml:space="preserve"> 46</w:t>
      </w:r>
      <w:r w:rsidR="000A27F2" w:rsidRPr="00D2561A">
        <w:rPr>
          <w:rStyle w:val="Refdenotaalpie"/>
          <w:rFonts w:ascii="Verdana" w:hAnsi="Verdana"/>
          <w:sz w:val="20"/>
          <w:szCs w:val="20"/>
          <w:lang w:val="en-US"/>
        </w:rPr>
        <w:footnoteReference w:id="74"/>
      </w:r>
      <w:r w:rsidR="00E30D1A" w:rsidRPr="00D2561A">
        <w:rPr>
          <w:rFonts w:ascii="Verdana" w:hAnsi="Verdana"/>
          <w:bCs/>
          <w:sz w:val="20"/>
          <w:szCs w:val="20"/>
          <w:lang w:val="en-US"/>
        </w:rPr>
        <w:t xml:space="preserve"> and </w:t>
      </w:r>
      <w:r w:rsidR="000A27F2" w:rsidRPr="00D2561A">
        <w:rPr>
          <w:rFonts w:ascii="Verdana" w:hAnsi="Verdana"/>
          <w:bCs/>
          <w:sz w:val="20"/>
          <w:szCs w:val="20"/>
          <w:lang w:val="en-US"/>
        </w:rPr>
        <w:t>34</w:t>
      </w:r>
      <w:r w:rsidRPr="00D2561A">
        <w:rPr>
          <w:rFonts w:ascii="Verdana" w:hAnsi="Verdana"/>
          <w:bCs/>
          <w:sz w:val="20"/>
          <w:szCs w:val="20"/>
          <w:lang w:val="en-US"/>
        </w:rPr>
        <w:t>(</w:t>
      </w:r>
      <w:r w:rsidR="000A27F2" w:rsidRPr="00D2561A">
        <w:rPr>
          <w:rFonts w:ascii="Verdana" w:hAnsi="Verdana"/>
          <w:bCs/>
          <w:sz w:val="20"/>
          <w:szCs w:val="20"/>
          <w:lang w:val="en-US"/>
        </w:rPr>
        <w:t>g</w:t>
      </w:r>
      <w:r w:rsidRPr="00D2561A">
        <w:rPr>
          <w:rFonts w:ascii="Verdana" w:hAnsi="Verdana"/>
          <w:bCs/>
          <w:sz w:val="20"/>
          <w:szCs w:val="20"/>
          <w:lang w:val="en-US"/>
        </w:rPr>
        <w:t>)</w:t>
      </w:r>
      <w:r w:rsidR="000A27F2" w:rsidRPr="00D2561A">
        <w:rPr>
          <w:rStyle w:val="Refdenotaalpie"/>
          <w:rFonts w:ascii="Verdana" w:hAnsi="Verdana"/>
          <w:sz w:val="20"/>
          <w:szCs w:val="20"/>
          <w:lang w:val="en-US"/>
        </w:rPr>
        <w:footnoteReference w:id="75"/>
      </w:r>
      <w:r w:rsidR="00E9106E" w:rsidRPr="00D2561A">
        <w:rPr>
          <w:rFonts w:ascii="Verdana" w:eastAsia="Batang" w:hAnsi="Verdana"/>
          <w:sz w:val="20"/>
          <w:szCs w:val="20"/>
          <w:lang w:val="en-US"/>
        </w:rPr>
        <w:t xml:space="preserve"> </w:t>
      </w:r>
      <w:r w:rsidR="000018E2" w:rsidRPr="00D2561A">
        <w:rPr>
          <w:rFonts w:ascii="Verdana" w:eastAsia="Batang" w:hAnsi="Verdana"/>
          <w:sz w:val="20"/>
          <w:szCs w:val="20"/>
          <w:lang w:val="en-US"/>
        </w:rPr>
        <w:t>of the OAS Charter</w:t>
      </w:r>
      <w:r w:rsidRPr="00D2561A">
        <w:rPr>
          <w:rFonts w:ascii="Verdana" w:eastAsia="Batang" w:hAnsi="Verdana"/>
          <w:sz w:val="20"/>
          <w:szCs w:val="20"/>
          <w:lang w:val="en-US"/>
        </w:rPr>
        <w:t>.</w:t>
      </w:r>
      <w:r w:rsidR="00C24868" w:rsidRPr="00D2561A">
        <w:rPr>
          <w:rStyle w:val="Refdenotaalpie"/>
          <w:rFonts w:ascii="Verdana" w:eastAsia="Batang" w:hAnsi="Verdana"/>
          <w:sz w:val="20"/>
          <w:szCs w:val="20"/>
          <w:lang w:val="en-US"/>
        </w:rPr>
        <w:footnoteReference w:id="76"/>
      </w:r>
    </w:p>
    <w:p w14:paraId="6D34E3A1" w14:textId="77777777" w:rsidR="000C269A" w:rsidRPr="00D2561A" w:rsidRDefault="000C269A" w:rsidP="000E0801">
      <w:pPr>
        <w:pStyle w:val="Prrafodelista"/>
        <w:spacing w:line="240" w:lineRule="auto"/>
        <w:ind w:left="-270" w:right="-162"/>
        <w:rPr>
          <w:rFonts w:ascii="Verdana" w:eastAsia="Batang" w:hAnsi="Verdana"/>
          <w:sz w:val="20"/>
          <w:szCs w:val="20"/>
          <w:lang w:val="en-US"/>
        </w:rPr>
      </w:pPr>
    </w:p>
    <w:p w14:paraId="0AC98597" w14:textId="1C818E35" w:rsidR="002E2BA0" w:rsidRPr="00D2561A" w:rsidRDefault="00650106" w:rsidP="006C11D9">
      <w:pPr>
        <w:numPr>
          <w:ilvl w:val="0"/>
          <w:numId w:val="5"/>
        </w:numPr>
        <w:spacing w:line="240" w:lineRule="auto"/>
        <w:ind w:left="-270" w:right="-162" w:firstLine="0"/>
        <w:contextualSpacing/>
        <w:rPr>
          <w:rFonts w:ascii="Verdana" w:hAnsi="Verdana"/>
          <w:sz w:val="20"/>
          <w:szCs w:val="20"/>
          <w:lang w:val="en-US"/>
        </w:rPr>
      </w:pPr>
      <w:r w:rsidRPr="00D2561A">
        <w:rPr>
          <w:rFonts w:ascii="Verdana" w:eastAsia="Batang" w:hAnsi="Verdana"/>
          <w:sz w:val="20"/>
          <w:szCs w:val="20"/>
          <w:lang w:val="en-US"/>
        </w:rPr>
        <w:t>On the basis of those articles, the judgment asser</w:t>
      </w:r>
      <w:r w:rsidR="006C11D9" w:rsidRPr="00D2561A">
        <w:rPr>
          <w:rFonts w:ascii="Verdana" w:eastAsia="Batang" w:hAnsi="Verdana"/>
          <w:sz w:val="20"/>
          <w:szCs w:val="20"/>
          <w:lang w:val="en-US"/>
        </w:rPr>
        <w:t>t</w:t>
      </w:r>
      <w:r w:rsidRPr="00D2561A">
        <w:rPr>
          <w:rFonts w:ascii="Verdana" w:eastAsia="Batang" w:hAnsi="Verdana"/>
          <w:sz w:val="20"/>
          <w:szCs w:val="20"/>
          <w:lang w:val="en-US"/>
        </w:rPr>
        <w:t>s that</w:t>
      </w:r>
      <w:r w:rsidR="00745B06" w:rsidRPr="00D2561A">
        <w:rPr>
          <w:rFonts w:ascii="Verdana" w:eastAsia="Batang" w:hAnsi="Verdana"/>
          <w:sz w:val="20"/>
          <w:szCs w:val="20"/>
          <w:lang w:val="en-US"/>
        </w:rPr>
        <w:t xml:space="preserve"> “</w:t>
      </w:r>
      <w:r w:rsidR="00E30D1A" w:rsidRPr="00D2561A">
        <w:rPr>
          <w:rFonts w:ascii="Verdana" w:hAnsi="Verdana"/>
          <w:sz w:val="20"/>
          <w:szCs w:val="20"/>
          <w:lang w:val="en-US"/>
        </w:rPr>
        <w:t>the</w:t>
      </w:r>
      <w:r w:rsidR="00745B06" w:rsidRPr="00D2561A">
        <w:rPr>
          <w:rFonts w:ascii="Verdana" w:hAnsi="Verdana"/>
          <w:sz w:val="20"/>
          <w:szCs w:val="20"/>
          <w:lang w:val="en-US"/>
        </w:rPr>
        <w:t xml:space="preserve"> </w:t>
      </w:r>
      <w:bookmarkStart w:id="7" w:name="_Hlk45804292"/>
      <w:r w:rsidR="006C11D9" w:rsidRPr="00D2561A">
        <w:rPr>
          <w:rFonts w:ascii="Verdana" w:hAnsi="Verdana"/>
          <w:sz w:val="20"/>
          <w:szCs w:val="20"/>
          <w:lang w:val="en-US"/>
        </w:rPr>
        <w:t>Court considers that there is a reference with a sufficient degree of specificity to the right to just and favorable conditions of work to derive its existence and implicit recognition in the OAS Charter.</w:t>
      </w:r>
      <w:bookmarkStart w:id="8" w:name="_Hlk45806593"/>
      <w:bookmarkEnd w:id="7"/>
      <w:r w:rsidR="00745B06" w:rsidRPr="00D2561A">
        <w:rPr>
          <w:rFonts w:ascii="Verdana" w:hAnsi="Verdana"/>
          <w:sz w:val="20"/>
          <w:szCs w:val="20"/>
          <w:lang w:val="en-US"/>
        </w:rPr>
        <w:t>”</w:t>
      </w:r>
      <w:r w:rsidR="00745B06" w:rsidRPr="00D2561A">
        <w:rPr>
          <w:rStyle w:val="Refdenotaalpie"/>
          <w:rFonts w:ascii="Verdana" w:hAnsi="Verdana"/>
          <w:sz w:val="20"/>
          <w:szCs w:val="20"/>
          <w:lang w:val="en-US"/>
        </w:rPr>
        <w:footnoteReference w:id="77"/>
      </w:r>
      <w:bookmarkEnd w:id="8"/>
      <w:r w:rsidR="006C11D9" w:rsidRPr="00D2561A">
        <w:rPr>
          <w:rFonts w:ascii="Verdana" w:hAnsi="Verdana"/>
          <w:sz w:val="20"/>
          <w:szCs w:val="20"/>
          <w:lang w:val="en-US"/>
        </w:rPr>
        <w:t xml:space="preserve"> However, it is sufficient to merely read the said provisions to conclude, clearly and without the least doubt, that they establish obligation</w:t>
      </w:r>
      <w:r w:rsidR="0011338D" w:rsidRPr="00D2561A">
        <w:rPr>
          <w:rFonts w:ascii="Verdana" w:hAnsi="Verdana"/>
          <w:sz w:val="20"/>
          <w:szCs w:val="20"/>
          <w:lang w:val="en-US"/>
        </w:rPr>
        <w:t>s</w:t>
      </w:r>
      <w:r w:rsidR="006C11D9" w:rsidRPr="00D2561A">
        <w:rPr>
          <w:rFonts w:ascii="Verdana" w:hAnsi="Verdana"/>
          <w:sz w:val="20"/>
          <w:szCs w:val="20"/>
          <w:lang w:val="en-US"/>
        </w:rPr>
        <w:t xml:space="preserve"> of conduct or action, expressed in the “every effort” that the States undertake to make for the application of “principles and mechanisms” or to facilitate the process of Latin American integration, the harmonization of labor laws and the protection of the rights of workers, or to achieve the “basic objective” consisting in “fair wages, employment opportunities</w:t>
      </w:r>
      <w:r w:rsidR="006C11D9" w:rsidRPr="00D2561A">
        <w:rPr>
          <w:rFonts w:ascii="Verdana" w:eastAsia="Batang" w:hAnsi="Verdana"/>
          <w:sz w:val="20"/>
          <w:szCs w:val="20"/>
          <w:lang w:val="en-US"/>
        </w:rPr>
        <w:t xml:space="preserve"> acceptable working conditions for all.”</w:t>
      </w:r>
      <w:r w:rsidR="00E30D1A" w:rsidRPr="00D2561A">
        <w:rPr>
          <w:rFonts w:ascii="Verdana" w:hAnsi="Verdana"/>
          <w:bCs/>
          <w:sz w:val="20"/>
          <w:szCs w:val="20"/>
          <w:lang w:val="en-US"/>
        </w:rPr>
        <w:t xml:space="preserve"> </w:t>
      </w:r>
      <w:r w:rsidR="006C11D9" w:rsidRPr="00D2561A">
        <w:rPr>
          <w:rFonts w:ascii="Verdana" w:hAnsi="Verdana"/>
          <w:bCs/>
          <w:sz w:val="20"/>
          <w:szCs w:val="20"/>
          <w:lang w:val="en-US"/>
        </w:rPr>
        <w:t xml:space="preserve">It should not be forgotten that all the provisions cited are to be found in </w:t>
      </w:r>
      <w:r w:rsidR="00D5153E" w:rsidRPr="00D2561A">
        <w:rPr>
          <w:rFonts w:ascii="Verdana" w:eastAsia="Batang" w:hAnsi="Verdana"/>
          <w:sz w:val="20"/>
          <w:szCs w:val="20"/>
          <w:lang w:val="en-US"/>
        </w:rPr>
        <w:t>Chapter</w:t>
      </w:r>
      <w:r w:rsidR="00E9106E" w:rsidRPr="00D2561A">
        <w:rPr>
          <w:rFonts w:ascii="Verdana" w:eastAsia="Batang" w:hAnsi="Verdana"/>
          <w:sz w:val="20"/>
          <w:szCs w:val="20"/>
          <w:lang w:val="en-US"/>
        </w:rPr>
        <w:t xml:space="preserve"> VII </w:t>
      </w:r>
      <w:r w:rsidR="006C11D9" w:rsidRPr="00D2561A">
        <w:rPr>
          <w:rFonts w:ascii="Verdana" w:eastAsia="Batang" w:hAnsi="Verdana"/>
          <w:sz w:val="20"/>
          <w:szCs w:val="20"/>
          <w:lang w:val="en-US"/>
        </w:rPr>
        <w:t>of the Charter, entitled</w:t>
      </w:r>
      <w:r w:rsidR="00E9106E" w:rsidRPr="00D2561A">
        <w:rPr>
          <w:rFonts w:ascii="Verdana" w:eastAsia="Batang" w:hAnsi="Verdana"/>
          <w:sz w:val="20"/>
          <w:szCs w:val="20"/>
          <w:lang w:val="en-US"/>
        </w:rPr>
        <w:t xml:space="preserve"> “Integral</w:t>
      </w:r>
      <w:r w:rsidR="006C11D9" w:rsidRPr="00D2561A">
        <w:rPr>
          <w:rFonts w:ascii="Verdana" w:eastAsia="Batang" w:hAnsi="Verdana"/>
          <w:sz w:val="20"/>
          <w:szCs w:val="20"/>
          <w:lang w:val="en-US"/>
        </w:rPr>
        <w:t xml:space="preserve"> Development.</w:t>
      </w:r>
      <w:r w:rsidR="00E9106E" w:rsidRPr="00D2561A">
        <w:rPr>
          <w:rFonts w:ascii="Verdana" w:eastAsia="Batang" w:hAnsi="Verdana"/>
          <w:sz w:val="20"/>
          <w:szCs w:val="20"/>
          <w:lang w:val="en-US"/>
        </w:rPr>
        <w:t>”</w:t>
      </w:r>
      <w:r w:rsidR="006C11D9" w:rsidRPr="00D2561A">
        <w:rPr>
          <w:rFonts w:ascii="Verdana" w:eastAsia="Batang" w:hAnsi="Verdana"/>
          <w:sz w:val="20"/>
          <w:szCs w:val="20"/>
          <w:lang w:val="en-US"/>
        </w:rPr>
        <w:t xml:space="preserve"> Consequently, those provisions do not establish obligations of result; in other words, they do not establish that the human rights derived from the said standards be respected, but rather that every effort be made to achieve the principles, mechanisms and goals they indicate.</w:t>
      </w:r>
    </w:p>
    <w:p w14:paraId="0DE7EF0A" w14:textId="77777777" w:rsidR="002E2BA0" w:rsidRPr="00D2561A" w:rsidRDefault="002E2BA0" w:rsidP="000E0801">
      <w:pPr>
        <w:spacing w:line="240" w:lineRule="auto"/>
        <w:ind w:left="-270" w:right="-162"/>
        <w:contextualSpacing/>
        <w:rPr>
          <w:rFonts w:ascii="Verdana" w:hAnsi="Verdana"/>
          <w:bCs/>
          <w:sz w:val="20"/>
          <w:szCs w:val="20"/>
          <w:lang w:val="en-US"/>
        </w:rPr>
      </w:pPr>
    </w:p>
    <w:p w14:paraId="5EAEFB22" w14:textId="71B6970F" w:rsidR="008911C3" w:rsidRPr="00D2561A" w:rsidRDefault="008911C3" w:rsidP="000E0801">
      <w:pPr>
        <w:numPr>
          <w:ilvl w:val="0"/>
          <w:numId w:val="5"/>
        </w:numPr>
        <w:spacing w:line="240" w:lineRule="auto"/>
        <w:ind w:left="-270" w:right="-162" w:firstLine="0"/>
        <w:contextualSpacing/>
        <w:rPr>
          <w:rFonts w:ascii="Verdana" w:hAnsi="Verdana"/>
          <w:bCs/>
          <w:sz w:val="20"/>
          <w:szCs w:val="20"/>
          <w:lang w:val="en-US"/>
        </w:rPr>
      </w:pPr>
      <w:r w:rsidRPr="00D2561A">
        <w:rPr>
          <w:rFonts w:ascii="Verdana" w:eastAsia="Batang" w:hAnsi="Verdana"/>
          <w:sz w:val="20"/>
          <w:szCs w:val="20"/>
          <w:lang w:val="en-US"/>
        </w:rPr>
        <w:t xml:space="preserve">In this context, the range of possibilities from which the interpreter could “derive” human rights that are not explicitly established in any international norm would be enormous, </w:t>
      </w:r>
      <w:r w:rsidR="0011338D" w:rsidRPr="00D2561A">
        <w:rPr>
          <w:rFonts w:ascii="Verdana" w:eastAsia="Batang" w:hAnsi="Verdana"/>
          <w:sz w:val="20"/>
          <w:szCs w:val="20"/>
          <w:lang w:val="en-US"/>
        </w:rPr>
        <w:t>and</w:t>
      </w:r>
      <w:r w:rsidRPr="00D2561A">
        <w:rPr>
          <w:rFonts w:ascii="Verdana" w:eastAsia="Batang" w:hAnsi="Verdana"/>
          <w:sz w:val="20"/>
          <w:szCs w:val="20"/>
          <w:lang w:val="en-US"/>
        </w:rPr>
        <w:t xml:space="preserve"> even </w:t>
      </w:r>
      <w:r w:rsidR="0011338D" w:rsidRPr="00D2561A">
        <w:rPr>
          <w:rFonts w:ascii="Verdana" w:eastAsia="Batang" w:hAnsi="Verdana"/>
          <w:sz w:val="20"/>
          <w:szCs w:val="20"/>
          <w:lang w:val="en-US"/>
        </w:rPr>
        <w:t>unlimited.</w:t>
      </w:r>
      <w:r w:rsidRPr="00D2561A">
        <w:rPr>
          <w:rFonts w:ascii="Verdana" w:eastAsia="Batang" w:hAnsi="Verdana"/>
          <w:sz w:val="20"/>
          <w:szCs w:val="20"/>
          <w:lang w:val="en-US"/>
        </w:rPr>
        <w:t xml:space="preserve"> If the Court continues with this tendency and takes it to its extreme, all the States Parties to the Convention that have accepted its jurisdiction could eventually be brought before it because they had not fully achieved the “principles,” “goals,” or “mechanisms” established in the OAS Charter from which the judgment derives rights and, evidently, this would appear to be very far from what the States Parties intended when they signed the Convention or, at least, from the logic implicit in it; especially, owing to the way in which the said Chapter VII is worded.</w:t>
      </w:r>
    </w:p>
    <w:p w14:paraId="0237309B" w14:textId="77777777" w:rsidR="00E9106E" w:rsidRPr="00D2561A" w:rsidRDefault="00E9106E" w:rsidP="008911C3">
      <w:pPr>
        <w:spacing w:line="240" w:lineRule="auto"/>
        <w:ind w:left="0" w:right="-162"/>
        <w:contextualSpacing/>
        <w:rPr>
          <w:rFonts w:ascii="Verdana" w:eastAsia="Batang" w:hAnsi="Verdana"/>
          <w:bCs/>
          <w:sz w:val="20"/>
          <w:szCs w:val="20"/>
          <w:lang w:val="en-US"/>
        </w:rPr>
      </w:pPr>
    </w:p>
    <w:p w14:paraId="39D65CB2" w14:textId="7DC74CD2" w:rsidR="008911C3" w:rsidRPr="00D2561A" w:rsidRDefault="008911C3" w:rsidP="000E0801">
      <w:pPr>
        <w:numPr>
          <w:ilvl w:val="0"/>
          <w:numId w:val="5"/>
        </w:numPr>
        <w:spacing w:line="240" w:lineRule="auto"/>
        <w:ind w:left="-270" w:right="-162" w:firstLine="0"/>
        <w:contextualSpacing/>
        <w:rPr>
          <w:rFonts w:ascii="Verdana" w:hAnsi="Verdana"/>
          <w:bCs/>
          <w:sz w:val="20"/>
          <w:szCs w:val="20"/>
          <w:lang w:val="en-US"/>
        </w:rPr>
      </w:pPr>
      <w:r w:rsidRPr="00D2561A">
        <w:rPr>
          <w:rFonts w:ascii="Verdana" w:eastAsia="Batang" w:hAnsi="Verdana"/>
          <w:bCs/>
          <w:sz w:val="20"/>
          <w:szCs w:val="20"/>
          <w:lang w:val="en-US"/>
        </w:rPr>
        <w:t>Thus, it is evident that, from “</w:t>
      </w:r>
      <w:r w:rsidRPr="00D2561A">
        <w:rPr>
          <w:rFonts w:ascii="Verdana" w:hAnsi="Verdana"/>
          <w:spacing w:val="-3"/>
          <w:sz w:val="20"/>
          <w:szCs w:val="20"/>
          <w:lang w:val="en-US"/>
        </w:rPr>
        <w:t>the economic, social, educational, scientific and cultural standards set forth in the Charter of</w:t>
      </w:r>
      <w:r w:rsidRPr="00D2561A">
        <w:rPr>
          <w:rFonts w:ascii="Verdana" w:hAnsi="Verdana"/>
          <w:sz w:val="20"/>
          <w:szCs w:val="20"/>
          <w:lang w:val="en-US"/>
        </w:rPr>
        <w:t xml:space="preserve"> the Organization of American States, as amended by the Protocol of Buenos Aires</w:t>
      </w:r>
      <w:r w:rsidRPr="00D2561A">
        <w:rPr>
          <w:rFonts w:ascii="Verdana" w:eastAsia="Batang" w:hAnsi="Verdana"/>
          <w:bCs/>
          <w:sz w:val="20"/>
          <w:szCs w:val="20"/>
          <w:lang w:val="en-US"/>
        </w:rPr>
        <w:t xml:space="preserve">” to which Article 26 refers, contrary to </w:t>
      </w:r>
      <w:r w:rsidR="00DB5D11">
        <w:rPr>
          <w:rFonts w:ascii="Verdana" w:eastAsia="Batang" w:hAnsi="Verdana"/>
          <w:bCs/>
          <w:sz w:val="20"/>
          <w:szCs w:val="20"/>
          <w:lang w:val="en-US"/>
        </w:rPr>
        <w:t>the considerations</w:t>
      </w:r>
      <w:r w:rsidRPr="00D2561A">
        <w:rPr>
          <w:rFonts w:ascii="Verdana" w:eastAsia="Batang" w:hAnsi="Verdana"/>
          <w:bCs/>
          <w:sz w:val="20"/>
          <w:szCs w:val="20"/>
          <w:lang w:val="en-US"/>
        </w:rPr>
        <w:t xml:space="preserve"> in the judgment, it is not possible to infer the Court’s </w:t>
      </w:r>
      <w:r w:rsidR="0011338D" w:rsidRPr="00D2561A">
        <w:rPr>
          <w:rFonts w:ascii="Verdana" w:eastAsia="Batang" w:hAnsi="Verdana"/>
          <w:bCs/>
          <w:sz w:val="20"/>
          <w:szCs w:val="20"/>
          <w:lang w:val="en-US"/>
        </w:rPr>
        <w:t>jurisdiction</w:t>
      </w:r>
      <w:r w:rsidRPr="00D2561A">
        <w:rPr>
          <w:rFonts w:ascii="Verdana" w:eastAsia="Batang" w:hAnsi="Verdana"/>
          <w:bCs/>
          <w:sz w:val="20"/>
          <w:szCs w:val="20"/>
          <w:lang w:val="en-US"/>
        </w:rPr>
        <w:t xml:space="preserve"> to hear and decide eventual violations of the rights derived from them.</w:t>
      </w:r>
    </w:p>
    <w:p w14:paraId="1689EC73" w14:textId="77777777" w:rsidR="00E9106E" w:rsidRPr="00D2561A" w:rsidRDefault="00E9106E" w:rsidP="000E0801">
      <w:pPr>
        <w:spacing w:line="240" w:lineRule="auto"/>
        <w:ind w:left="-270" w:right="-162"/>
        <w:contextualSpacing/>
        <w:rPr>
          <w:rFonts w:ascii="Verdana" w:eastAsia="Batang" w:hAnsi="Verdana"/>
          <w:b/>
          <w:sz w:val="20"/>
          <w:szCs w:val="20"/>
          <w:lang w:val="en-US"/>
        </w:rPr>
      </w:pPr>
    </w:p>
    <w:p w14:paraId="4440B18C" w14:textId="75DB21C6" w:rsidR="00E9106E" w:rsidRPr="00D2561A" w:rsidRDefault="0077543D" w:rsidP="000E0801">
      <w:pPr>
        <w:pStyle w:val="Prrafodelista"/>
        <w:numPr>
          <w:ilvl w:val="0"/>
          <w:numId w:val="13"/>
        </w:numPr>
        <w:spacing w:line="240" w:lineRule="auto"/>
        <w:ind w:left="-270" w:right="-162" w:firstLine="0"/>
        <w:rPr>
          <w:rFonts w:ascii="Verdana" w:eastAsia="Batang" w:hAnsi="Verdana"/>
          <w:b/>
          <w:sz w:val="20"/>
          <w:szCs w:val="20"/>
          <w:lang w:val="en-US"/>
        </w:rPr>
      </w:pPr>
      <w:r w:rsidRPr="00D2561A">
        <w:rPr>
          <w:rFonts w:ascii="Verdana" w:eastAsia="Batang" w:hAnsi="Verdana"/>
          <w:b/>
          <w:sz w:val="20"/>
          <w:szCs w:val="20"/>
          <w:lang w:val="en-US"/>
        </w:rPr>
        <w:t xml:space="preserve"> </w:t>
      </w:r>
      <w:r w:rsidR="000018E2" w:rsidRPr="00D2561A">
        <w:rPr>
          <w:rFonts w:ascii="Verdana" w:eastAsia="Batang" w:hAnsi="Verdana"/>
          <w:b/>
          <w:sz w:val="20"/>
          <w:szCs w:val="20"/>
          <w:lang w:val="en-US"/>
        </w:rPr>
        <w:t>The Protocol of</w:t>
      </w:r>
      <w:r w:rsidR="00741A3A" w:rsidRPr="00D2561A">
        <w:rPr>
          <w:rFonts w:ascii="Verdana" w:eastAsia="Batang" w:hAnsi="Verdana"/>
          <w:b/>
          <w:sz w:val="20"/>
          <w:szCs w:val="20"/>
          <w:lang w:val="en-US"/>
        </w:rPr>
        <w:t xml:space="preserve"> San Salvador</w:t>
      </w:r>
    </w:p>
    <w:p w14:paraId="00E8236D" w14:textId="77777777" w:rsidR="00E9106E" w:rsidRPr="00D2561A" w:rsidRDefault="00E9106E" w:rsidP="000E0801">
      <w:pPr>
        <w:spacing w:line="240" w:lineRule="auto"/>
        <w:ind w:left="-270" w:right="-162"/>
        <w:contextualSpacing/>
        <w:rPr>
          <w:rFonts w:ascii="Verdana" w:hAnsi="Verdana"/>
          <w:b/>
          <w:sz w:val="20"/>
          <w:szCs w:val="20"/>
          <w:lang w:val="en-US"/>
        </w:rPr>
      </w:pPr>
    </w:p>
    <w:p w14:paraId="122E5C8F" w14:textId="61DB16E3" w:rsidR="00ED15CE" w:rsidRPr="00D2561A" w:rsidRDefault="00261BB8"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hAnsi="Verdana"/>
          <w:sz w:val="20"/>
          <w:szCs w:val="20"/>
          <w:lang w:val="en-US"/>
        </w:rPr>
        <w:t>It is also</w:t>
      </w:r>
      <w:r w:rsidR="008911C3" w:rsidRPr="00D2561A">
        <w:rPr>
          <w:rFonts w:ascii="Verdana" w:hAnsi="Verdana"/>
          <w:sz w:val="20"/>
          <w:szCs w:val="20"/>
          <w:lang w:val="en-US"/>
        </w:rPr>
        <w:t xml:space="preserve"> necessary to refer to the “Addition Protocol to the American Convention on Human Rights in the Area of </w:t>
      </w:r>
      <w:r w:rsidR="0041392A" w:rsidRPr="00D2561A">
        <w:rPr>
          <w:rFonts w:ascii="Verdana" w:hAnsi="Verdana"/>
          <w:sz w:val="20"/>
          <w:szCs w:val="20"/>
          <w:lang w:val="en-US"/>
        </w:rPr>
        <w:t xml:space="preserve">Economic, Social and Cultural Rights,” which is also cited in the judgment to support its interpretation </w:t>
      </w:r>
      <w:r w:rsidR="00D5153E" w:rsidRPr="00D2561A">
        <w:rPr>
          <w:rFonts w:ascii="Verdana" w:eastAsia="Batang" w:hAnsi="Verdana"/>
          <w:sz w:val="20"/>
          <w:szCs w:val="20"/>
          <w:lang w:val="en-US"/>
        </w:rPr>
        <w:t>of Article</w:t>
      </w:r>
      <w:r w:rsidR="00E9106E" w:rsidRPr="00D2561A">
        <w:rPr>
          <w:rFonts w:ascii="Verdana" w:eastAsia="Batang" w:hAnsi="Verdana"/>
          <w:sz w:val="20"/>
          <w:szCs w:val="20"/>
          <w:lang w:val="en-US"/>
        </w:rPr>
        <w:t xml:space="preserve"> 26</w:t>
      </w:r>
      <w:r w:rsidR="0011338D" w:rsidRPr="00D2561A">
        <w:rPr>
          <w:rFonts w:ascii="Verdana" w:eastAsia="Batang" w:hAnsi="Verdana"/>
          <w:sz w:val="20"/>
          <w:szCs w:val="20"/>
          <w:lang w:val="en-US"/>
        </w:rPr>
        <w:t>.</w:t>
      </w:r>
      <w:r w:rsidR="004647F8" w:rsidRPr="00D2561A">
        <w:rPr>
          <w:rStyle w:val="Refdenotaalpie"/>
          <w:rFonts w:ascii="Verdana" w:eastAsia="Batang" w:hAnsi="Verdana"/>
          <w:sz w:val="20"/>
          <w:szCs w:val="20"/>
          <w:lang w:val="en-US"/>
        </w:rPr>
        <w:footnoteReference w:id="78"/>
      </w:r>
      <w:r w:rsidR="0041392A" w:rsidRPr="00D2561A">
        <w:rPr>
          <w:rFonts w:ascii="Verdana" w:eastAsia="Batang" w:hAnsi="Verdana"/>
          <w:sz w:val="20"/>
          <w:szCs w:val="20"/>
          <w:lang w:val="en-US"/>
        </w:rPr>
        <w:t xml:space="preserve"> </w:t>
      </w:r>
      <w:r w:rsidR="0011338D" w:rsidRPr="00D2561A">
        <w:rPr>
          <w:rFonts w:ascii="Verdana" w:eastAsia="Batang" w:hAnsi="Verdana"/>
          <w:sz w:val="20"/>
          <w:szCs w:val="20"/>
          <w:lang w:val="en-US"/>
        </w:rPr>
        <w:t>H</w:t>
      </w:r>
      <w:r w:rsidR="0041392A" w:rsidRPr="00D2561A">
        <w:rPr>
          <w:rFonts w:ascii="Verdana" w:eastAsia="Batang" w:hAnsi="Verdana"/>
          <w:sz w:val="20"/>
          <w:szCs w:val="20"/>
          <w:lang w:val="en-US"/>
        </w:rPr>
        <w:t xml:space="preserve">owever, </w:t>
      </w:r>
      <w:r w:rsidRPr="00D2561A">
        <w:rPr>
          <w:rFonts w:ascii="Verdana" w:eastAsia="Batang" w:hAnsi="Verdana"/>
          <w:sz w:val="20"/>
          <w:szCs w:val="20"/>
          <w:lang w:val="en-US"/>
        </w:rPr>
        <w:t>I</w:t>
      </w:r>
      <w:r w:rsidR="0041392A" w:rsidRPr="00D2561A">
        <w:rPr>
          <w:rFonts w:ascii="Verdana" w:eastAsia="Batang" w:hAnsi="Verdana"/>
          <w:sz w:val="20"/>
          <w:szCs w:val="20"/>
          <w:lang w:val="en-US"/>
        </w:rPr>
        <w:t xml:space="preserve"> consider that, to the contrary, its signature and validity support this </w:t>
      </w:r>
      <w:r w:rsidR="0011338D" w:rsidRPr="00D2561A">
        <w:rPr>
          <w:rFonts w:ascii="Verdana" w:eastAsia="Batang" w:hAnsi="Verdana"/>
          <w:sz w:val="20"/>
          <w:szCs w:val="20"/>
          <w:lang w:val="en-US"/>
        </w:rPr>
        <w:t>opinion</w:t>
      </w:r>
      <w:r w:rsidR="0041392A" w:rsidRPr="00D2561A">
        <w:rPr>
          <w:rFonts w:ascii="Verdana" w:eastAsia="Batang" w:hAnsi="Verdana"/>
          <w:sz w:val="20"/>
          <w:szCs w:val="20"/>
          <w:lang w:val="en-US"/>
        </w:rPr>
        <w:t>.</w:t>
      </w:r>
    </w:p>
    <w:p w14:paraId="2B486572" w14:textId="77777777" w:rsidR="00ED15CE" w:rsidRPr="00D2561A" w:rsidRDefault="00ED15CE" w:rsidP="000E0801">
      <w:pPr>
        <w:pStyle w:val="Prrafodelista"/>
        <w:spacing w:line="240" w:lineRule="auto"/>
        <w:ind w:left="-270" w:right="-162"/>
        <w:rPr>
          <w:rFonts w:ascii="Verdana" w:hAnsi="Verdana"/>
          <w:sz w:val="20"/>
          <w:szCs w:val="20"/>
          <w:lang w:val="en-US"/>
        </w:rPr>
      </w:pPr>
    </w:p>
    <w:p w14:paraId="2B6DFC3A" w14:textId="33DAACFB" w:rsidR="00E9106E" w:rsidRPr="00D2561A" w:rsidRDefault="0041392A" w:rsidP="000E0801">
      <w:pPr>
        <w:pStyle w:val="Prrafodelista"/>
        <w:numPr>
          <w:ilvl w:val="0"/>
          <w:numId w:val="5"/>
        </w:numPr>
        <w:spacing w:line="240" w:lineRule="auto"/>
        <w:ind w:left="-270" w:right="-162" w:firstLine="0"/>
        <w:rPr>
          <w:rFonts w:ascii="Verdana" w:hAnsi="Verdana"/>
          <w:sz w:val="20"/>
          <w:szCs w:val="20"/>
          <w:lang w:val="en-US"/>
        </w:rPr>
      </w:pPr>
      <w:r w:rsidRPr="00D2561A">
        <w:rPr>
          <w:rFonts w:ascii="Verdana" w:eastAsia="Batang" w:hAnsi="Verdana"/>
          <w:sz w:val="20"/>
          <w:szCs w:val="20"/>
          <w:lang w:val="en-US"/>
        </w:rPr>
        <w:t>This instrument</w:t>
      </w:r>
      <w:r w:rsidR="00094864" w:rsidRPr="00D2561A">
        <w:rPr>
          <w:rStyle w:val="Refdenotaalpie"/>
          <w:rFonts w:ascii="Verdana" w:eastAsia="Batang" w:hAnsi="Verdana"/>
          <w:sz w:val="20"/>
          <w:szCs w:val="20"/>
          <w:lang w:val="en-US"/>
        </w:rPr>
        <w:footnoteReference w:id="79"/>
      </w:r>
      <w:r w:rsidRPr="00D2561A">
        <w:rPr>
          <w:rFonts w:ascii="Verdana" w:eastAsia="Batang" w:hAnsi="Verdana"/>
          <w:sz w:val="20"/>
          <w:szCs w:val="20"/>
          <w:lang w:val="en-US"/>
        </w:rPr>
        <w:t xml:space="preserve"> was adopted considering the provisions of</w:t>
      </w:r>
      <w:r w:rsidR="00E9106E" w:rsidRPr="00D2561A">
        <w:rPr>
          <w:rFonts w:ascii="Verdana" w:eastAsia="Batang" w:hAnsi="Verdana"/>
          <w:sz w:val="20"/>
          <w:szCs w:val="20"/>
          <w:lang w:val="en-US"/>
        </w:rPr>
        <w:t xml:space="preserve"> </w:t>
      </w:r>
      <w:r w:rsidR="00E30D1A" w:rsidRPr="00D2561A">
        <w:rPr>
          <w:rFonts w:ascii="Verdana" w:eastAsia="Batang" w:hAnsi="Verdana"/>
          <w:sz w:val="20"/>
          <w:szCs w:val="20"/>
          <w:lang w:val="en-US"/>
        </w:rPr>
        <w:t>Articles</w:t>
      </w:r>
      <w:r w:rsidR="00E9106E" w:rsidRPr="00D2561A">
        <w:rPr>
          <w:rFonts w:ascii="Verdana" w:eastAsia="Batang" w:hAnsi="Verdana"/>
          <w:sz w:val="20"/>
          <w:szCs w:val="20"/>
          <w:lang w:val="en-US"/>
        </w:rPr>
        <w:t xml:space="preserve"> 31, 76</w:t>
      </w:r>
      <w:r w:rsidR="00E30D1A" w:rsidRPr="00D2561A">
        <w:rPr>
          <w:rFonts w:ascii="Verdana" w:eastAsia="Batang" w:hAnsi="Verdana"/>
          <w:sz w:val="20"/>
          <w:szCs w:val="20"/>
          <w:lang w:val="en-US"/>
        </w:rPr>
        <w:t xml:space="preserve"> and </w:t>
      </w:r>
      <w:r w:rsidR="00E9106E" w:rsidRPr="00D2561A">
        <w:rPr>
          <w:rFonts w:ascii="Verdana" w:eastAsia="Batang" w:hAnsi="Verdana"/>
          <w:sz w:val="20"/>
          <w:szCs w:val="20"/>
          <w:lang w:val="en-US"/>
        </w:rPr>
        <w:t>77</w:t>
      </w:r>
      <w:r w:rsidR="00E9106E" w:rsidRPr="00D2561A">
        <w:rPr>
          <w:rFonts w:ascii="Verdana" w:hAnsi="Verdana"/>
          <w:sz w:val="20"/>
          <w:szCs w:val="20"/>
          <w:vertAlign w:val="superscript"/>
          <w:lang w:val="en-US"/>
        </w:rPr>
        <w:footnoteReference w:id="80"/>
      </w:r>
      <w:r w:rsidR="00E30D1A" w:rsidRPr="00D2561A">
        <w:rPr>
          <w:rFonts w:ascii="Verdana" w:eastAsia="Batang" w:hAnsi="Verdana"/>
          <w:sz w:val="20"/>
          <w:szCs w:val="20"/>
          <w:lang w:val="en-US"/>
        </w:rPr>
        <w:t xml:space="preserve"> of the Convention</w:t>
      </w:r>
      <w:r w:rsidRPr="00D2561A">
        <w:rPr>
          <w:rFonts w:ascii="Verdana" w:eastAsia="Batang" w:hAnsi="Verdana"/>
          <w:sz w:val="20"/>
          <w:szCs w:val="20"/>
          <w:lang w:val="en-US"/>
        </w:rPr>
        <w:t>, and as its Preamble itself expressed, when indicating that:</w:t>
      </w:r>
    </w:p>
    <w:p w14:paraId="3571FC89" w14:textId="77777777" w:rsidR="00E9106E" w:rsidRPr="00D2561A" w:rsidRDefault="00E9106E" w:rsidP="000E0801">
      <w:pPr>
        <w:spacing w:line="240" w:lineRule="auto"/>
        <w:ind w:left="-270" w:right="-162"/>
        <w:rPr>
          <w:rFonts w:ascii="Verdana" w:eastAsia="Batang" w:hAnsi="Verdana"/>
          <w:sz w:val="16"/>
          <w:szCs w:val="16"/>
          <w:lang w:val="en-US"/>
        </w:rPr>
      </w:pPr>
    </w:p>
    <w:p w14:paraId="40C1D0B9" w14:textId="239800D3" w:rsidR="000018E2" w:rsidRPr="00D2561A" w:rsidRDefault="00E9106E" w:rsidP="0011338D">
      <w:pPr>
        <w:spacing w:line="240" w:lineRule="auto"/>
        <w:ind w:left="720" w:right="180"/>
        <w:rPr>
          <w:rFonts w:ascii="Verdana" w:eastAsia="Times New Roman" w:hAnsi="Verdana" w:cs="Tahoma"/>
          <w:sz w:val="18"/>
          <w:szCs w:val="18"/>
          <w:lang w:val="en-US"/>
        </w:rPr>
      </w:pPr>
      <w:r w:rsidRPr="00D2561A">
        <w:rPr>
          <w:rFonts w:ascii="Verdana" w:eastAsia="Batang" w:hAnsi="Verdana"/>
          <w:i/>
          <w:sz w:val="18"/>
          <w:szCs w:val="18"/>
          <w:lang w:val="en-US"/>
        </w:rPr>
        <w:t>“</w:t>
      </w:r>
      <w:r w:rsidR="000018E2" w:rsidRPr="00D2561A">
        <w:rPr>
          <w:rFonts w:ascii="Verdana" w:eastAsia="Times New Roman" w:hAnsi="Verdana" w:cs="Tahoma"/>
          <w:sz w:val="18"/>
          <w:szCs w:val="18"/>
          <w:lang w:val="en-US"/>
        </w:rPr>
        <w:t>Bearing in mind that, although fundamental economic, social and cultural rights have been recognized in earlier international instruments of both world and regional scope, it is essential that those rights be reaffirmed, developed, perfected and protected in order to consolidate in America, on the basis of full respect for the rights of the individual, the democratic representative form of government as well as the right of its peoples to development, self-determination, and the free disposal of their wealth and natural resources; and [c]</w:t>
      </w:r>
      <w:proofErr w:type="spellStart"/>
      <w:r w:rsidR="000018E2" w:rsidRPr="00D2561A">
        <w:rPr>
          <w:rFonts w:ascii="Verdana" w:eastAsia="Times New Roman" w:hAnsi="Verdana" w:cs="Tahoma"/>
          <w:sz w:val="18"/>
          <w:szCs w:val="18"/>
          <w:lang w:val="en-US"/>
        </w:rPr>
        <w:t>onsidering</w:t>
      </w:r>
      <w:proofErr w:type="spellEnd"/>
      <w:r w:rsidR="000018E2" w:rsidRPr="00D2561A">
        <w:rPr>
          <w:rFonts w:ascii="Verdana" w:eastAsia="Times New Roman" w:hAnsi="Verdana" w:cs="Tahoma"/>
          <w:sz w:val="18"/>
          <w:szCs w:val="18"/>
          <w:lang w:val="en-US"/>
        </w:rPr>
        <w:t xml:space="preserve"> that the American Convention on Human Rights provides that draft additional protocols to that Convention may be submitted for consideration to the States Parties, meeting together on the occasion of the General Assembly of the Organization of American States, for the purpose of gradually incorporating other rights and freedoms into the protective system thereof.”</w:t>
      </w:r>
    </w:p>
    <w:p w14:paraId="0B57F54E" w14:textId="77777777" w:rsidR="00E9106E" w:rsidRPr="00D2561A" w:rsidRDefault="00E9106E" w:rsidP="000E0801">
      <w:pPr>
        <w:spacing w:line="240" w:lineRule="auto"/>
        <w:ind w:left="-270" w:right="-162"/>
        <w:rPr>
          <w:rFonts w:ascii="Verdana" w:eastAsia="Batang" w:hAnsi="Verdana"/>
          <w:sz w:val="20"/>
          <w:szCs w:val="20"/>
          <w:lang w:val="en-US"/>
        </w:rPr>
      </w:pPr>
    </w:p>
    <w:p w14:paraId="486A6EDA" w14:textId="390DAB13" w:rsidR="00E9106E" w:rsidRPr="00D2561A" w:rsidRDefault="0041392A" w:rsidP="000E0801">
      <w:pPr>
        <w:pStyle w:val="Prrafodelista"/>
        <w:numPr>
          <w:ilvl w:val="0"/>
          <w:numId w:val="5"/>
        </w:numPr>
        <w:spacing w:line="240" w:lineRule="auto"/>
        <w:ind w:left="-270" w:right="-162" w:firstLine="0"/>
        <w:rPr>
          <w:rFonts w:ascii="Verdana" w:eastAsia="Batang" w:hAnsi="Verdana"/>
          <w:sz w:val="20"/>
          <w:szCs w:val="20"/>
          <w:lang w:val="en-US"/>
        </w:rPr>
      </w:pPr>
      <w:r w:rsidRPr="00D2561A">
        <w:rPr>
          <w:rFonts w:ascii="Verdana" w:eastAsia="Batang" w:hAnsi="Verdana"/>
          <w:sz w:val="20"/>
          <w:szCs w:val="20"/>
          <w:lang w:val="en-US"/>
        </w:rPr>
        <w:t>The foregoing reveals, consequently, that it is an agreement “</w:t>
      </w:r>
      <w:r w:rsidR="00261BB8" w:rsidRPr="00D2561A">
        <w:rPr>
          <w:rFonts w:ascii="Verdana" w:eastAsia="Batang" w:hAnsi="Verdana"/>
          <w:sz w:val="20"/>
          <w:szCs w:val="20"/>
          <w:lang w:val="en-US"/>
        </w:rPr>
        <w:t>a</w:t>
      </w:r>
      <w:r w:rsidRPr="00D2561A">
        <w:rPr>
          <w:rFonts w:ascii="Verdana" w:eastAsia="Batang" w:hAnsi="Verdana"/>
          <w:sz w:val="20"/>
          <w:szCs w:val="20"/>
          <w:lang w:val="en-US"/>
        </w:rPr>
        <w:t xml:space="preserve">dditional to the Convention,” whose specific purpose is to reaffirm, develop and perfect the economic, social and cultural rights </w:t>
      </w:r>
      <w:r w:rsidR="00E30D1A" w:rsidRPr="00D2561A">
        <w:rPr>
          <w:rFonts w:ascii="Verdana" w:eastAsia="Batang" w:hAnsi="Verdana"/>
          <w:sz w:val="20"/>
          <w:szCs w:val="20"/>
          <w:lang w:val="en-US"/>
        </w:rPr>
        <w:t xml:space="preserve">and </w:t>
      </w:r>
      <w:r w:rsidRPr="00D2561A">
        <w:rPr>
          <w:rFonts w:ascii="Verdana" w:eastAsia="Batang" w:hAnsi="Verdana"/>
          <w:sz w:val="20"/>
          <w:szCs w:val="20"/>
          <w:lang w:val="en-US"/>
        </w:rPr>
        <w:t>to progressively include them in its protection regime and achieve their full realization.</w:t>
      </w:r>
    </w:p>
    <w:p w14:paraId="362B7FE8" w14:textId="77777777" w:rsidR="00E9106E" w:rsidRPr="00D2561A" w:rsidRDefault="00E9106E" w:rsidP="000E0801">
      <w:pPr>
        <w:spacing w:line="240" w:lineRule="auto"/>
        <w:ind w:left="-270" w:right="-162"/>
        <w:contextualSpacing/>
        <w:rPr>
          <w:rFonts w:ascii="Verdana" w:eastAsia="Batang" w:hAnsi="Verdana"/>
          <w:sz w:val="20"/>
          <w:szCs w:val="20"/>
          <w:lang w:val="en-US"/>
        </w:rPr>
      </w:pPr>
    </w:p>
    <w:p w14:paraId="3DD6B189" w14:textId="162FA594" w:rsidR="00E9106E" w:rsidRPr="00D2561A" w:rsidRDefault="0041392A" w:rsidP="009900A5">
      <w:pPr>
        <w:pStyle w:val="Prrafodelista"/>
        <w:numPr>
          <w:ilvl w:val="0"/>
          <w:numId w:val="5"/>
        </w:numPr>
        <w:spacing w:line="240" w:lineRule="auto"/>
        <w:ind w:left="-270" w:right="-162" w:firstLine="0"/>
        <w:rPr>
          <w:rFonts w:ascii="Verdana" w:eastAsia="Batang" w:hAnsi="Verdana"/>
          <w:sz w:val="20"/>
          <w:szCs w:val="20"/>
          <w:lang w:val="en-US"/>
        </w:rPr>
      </w:pPr>
      <w:r w:rsidRPr="00D2561A">
        <w:rPr>
          <w:rFonts w:ascii="Verdana" w:eastAsia="Batang" w:hAnsi="Verdana"/>
          <w:sz w:val="20"/>
          <w:szCs w:val="20"/>
          <w:lang w:val="en-US"/>
        </w:rPr>
        <w:t xml:space="preserve">In other words, the Protocol was adopted because, when it was signed, the economic, social and cultural rights had not been reaffirmed, developed, perfected and protected or included under the Convention’s protection system, and this means that they had not been fully realized under </w:t>
      </w:r>
      <w:r w:rsidR="00D5153E" w:rsidRPr="00D2561A">
        <w:rPr>
          <w:rFonts w:ascii="Verdana" w:eastAsia="Batang" w:hAnsi="Verdana"/>
          <w:sz w:val="20"/>
          <w:szCs w:val="20"/>
          <w:lang w:val="en-US"/>
        </w:rPr>
        <w:t>Article</w:t>
      </w:r>
      <w:r w:rsidR="00E9106E" w:rsidRPr="00D2561A">
        <w:rPr>
          <w:rFonts w:ascii="Verdana" w:eastAsia="Batang" w:hAnsi="Verdana"/>
          <w:sz w:val="20"/>
          <w:szCs w:val="20"/>
          <w:lang w:val="en-US"/>
        </w:rPr>
        <w:t xml:space="preserve"> 26. </w:t>
      </w:r>
      <w:r w:rsidRPr="00D2561A">
        <w:rPr>
          <w:rFonts w:ascii="Verdana" w:eastAsia="Batang" w:hAnsi="Verdana"/>
          <w:sz w:val="20"/>
          <w:szCs w:val="20"/>
          <w:lang w:val="en-US"/>
        </w:rPr>
        <w:t>Otherwise, it is not possible to understand the need for</w:t>
      </w:r>
      <w:r w:rsidR="0011338D" w:rsidRPr="00D2561A">
        <w:rPr>
          <w:rFonts w:ascii="Verdana" w:eastAsia="Batang" w:hAnsi="Verdana"/>
          <w:sz w:val="20"/>
          <w:szCs w:val="20"/>
          <w:lang w:val="en-US"/>
        </w:rPr>
        <w:t>,</w:t>
      </w:r>
      <w:r w:rsidRPr="00D2561A">
        <w:rPr>
          <w:rFonts w:ascii="Verdana" w:eastAsia="Batang" w:hAnsi="Verdana"/>
          <w:sz w:val="20"/>
          <w:szCs w:val="20"/>
          <w:lang w:val="en-US"/>
        </w:rPr>
        <w:t xml:space="preserve"> or the purpose of</w:t>
      </w:r>
      <w:r w:rsidR="0011338D" w:rsidRPr="00D2561A">
        <w:rPr>
          <w:rFonts w:ascii="Verdana" w:eastAsia="Batang" w:hAnsi="Verdana"/>
          <w:sz w:val="20"/>
          <w:szCs w:val="20"/>
          <w:lang w:val="en-US"/>
        </w:rPr>
        <w:t>,</w:t>
      </w:r>
      <w:r w:rsidRPr="00D2561A">
        <w:rPr>
          <w:rFonts w:ascii="Verdana" w:eastAsia="Batang" w:hAnsi="Verdana"/>
          <w:sz w:val="20"/>
          <w:szCs w:val="20"/>
          <w:lang w:val="en-US"/>
        </w:rPr>
        <w:t xml:space="preserve"> the Protocol.  </w:t>
      </w:r>
    </w:p>
    <w:p w14:paraId="7065AED5" w14:textId="77777777" w:rsidR="00E9106E" w:rsidRPr="00D2561A" w:rsidRDefault="00E9106E" w:rsidP="009900A5">
      <w:pPr>
        <w:spacing w:line="240" w:lineRule="auto"/>
        <w:ind w:left="-270" w:right="-162"/>
        <w:contextualSpacing/>
        <w:rPr>
          <w:rFonts w:ascii="Verdana" w:eastAsia="Batang" w:hAnsi="Verdana"/>
          <w:sz w:val="20"/>
          <w:szCs w:val="20"/>
          <w:lang w:val="en-US"/>
        </w:rPr>
      </w:pPr>
    </w:p>
    <w:p w14:paraId="1D546283" w14:textId="40B7F4CE" w:rsidR="009900A5" w:rsidRPr="00D2561A" w:rsidRDefault="009900A5" w:rsidP="009900A5">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eastAsia="Batang" w:hAnsi="Verdana"/>
          <w:sz w:val="20"/>
          <w:szCs w:val="20"/>
          <w:lang w:val="en-US"/>
        </w:rPr>
        <w:t>In this regard, the Protocol recognizes,</w:t>
      </w:r>
      <w:r w:rsidRPr="00D2561A">
        <w:rPr>
          <w:rFonts w:ascii="Verdana" w:eastAsia="Batang" w:hAnsi="Verdana"/>
          <w:sz w:val="20"/>
          <w:szCs w:val="20"/>
          <w:vertAlign w:val="superscript"/>
          <w:lang w:val="en-US"/>
        </w:rPr>
        <w:footnoteReference w:id="81"/>
      </w:r>
      <w:r w:rsidR="004D3CCE">
        <w:rPr>
          <w:rFonts w:ascii="Verdana" w:eastAsia="Batang" w:hAnsi="Verdana"/>
          <w:sz w:val="20"/>
          <w:szCs w:val="20"/>
          <w:lang w:val="en-US"/>
        </w:rPr>
        <w:t xml:space="preserve"> </w:t>
      </w:r>
      <w:r w:rsidR="00E96AE9" w:rsidRPr="00D2561A">
        <w:rPr>
          <w:rFonts w:ascii="Verdana" w:eastAsia="Batang" w:hAnsi="Verdana"/>
          <w:sz w:val="20"/>
          <w:szCs w:val="20"/>
          <w:lang w:val="en-US"/>
        </w:rPr>
        <w:t>establishes</w:t>
      </w:r>
      <w:r w:rsidRPr="00D2561A">
        <w:rPr>
          <w:rFonts w:ascii="Verdana" w:eastAsia="Batang" w:hAnsi="Verdana"/>
          <w:sz w:val="20"/>
          <w:szCs w:val="20"/>
          <w:lang w:val="en-US"/>
        </w:rPr>
        <w:t>,</w:t>
      </w:r>
      <w:r w:rsidRPr="00D2561A">
        <w:rPr>
          <w:rFonts w:ascii="Verdana" w:eastAsia="Batang" w:hAnsi="Verdana"/>
          <w:sz w:val="20"/>
          <w:szCs w:val="20"/>
          <w:vertAlign w:val="superscript"/>
          <w:lang w:val="en-US"/>
        </w:rPr>
        <w:footnoteReference w:id="82"/>
      </w:r>
      <w:r w:rsidRPr="00D2561A">
        <w:rPr>
          <w:rFonts w:ascii="Verdana" w:eastAsia="Batang" w:hAnsi="Verdana"/>
          <w:sz w:val="20"/>
          <w:szCs w:val="20"/>
          <w:lang w:val="en-US"/>
        </w:rPr>
        <w:t xml:space="preserve"> </w:t>
      </w:r>
      <w:r w:rsidR="00E96AE9" w:rsidRPr="00D2561A">
        <w:rPr>
          <w:rFonts w:ascii="Verdana" w:eastAsia="Batang" w:hAnsi="Verdana"/>
          <w:sz w:val="20"/>
          <w:szCs w:val="20"/>
          <w:lang w:val="en-US"/>
        </w:rPr>
        <w:t>sets forth</w:t>
      </w:r>
      <w:r w:rsidRPr="00D2561A">
        <w:rPr>
          <w:rFonts w:ascii="Verdana" w:eastAsia="Batang" w:hAnsi="Verdana"/>
          <w:sz w:val="20"/>
          <w:szCs w:val="20"/>
          <w:vertAlign w:val="superscript"/>
          <w:lang w:val="en-US"/>
        </w:rPr>
        <w:footnoteReference w:id="83"/>
      </w:r>
      <w:r w:rsidRPr="00D2561A">
        <w:rPr>
          <w:rFonts w:ascii="Verdana" w:eastAsia="Batang" w:hAnsi="Verdana"/>
          <w:sz w:val="20"/>
          <w:szCs w:val="20"/>
          <w:lang w:val="en-US"/>
        </w:rPr>
        <w:t xml:space="preserve"> or </w:t>
      </w:r>
      <w:r w:rsidR="004D3CCE">
        <w:rPr>
          <w:rFonts w:ascii="Verdana" w:eastAsia="Batang" w:hAnsi="Verdana"/>
          <w:sz w:val="20"/>
          <w:szCs w:val="20"/>
          <w:lang w:val="en-US"/>
        </w:rPr>
        <w:t>enshrines</w:t>
      </w:r>
      <w:r w:rsidRPr="00D2561A">
        <w:rPr>
          <w:rFonts w:ascii="Verdana" w:eastAsia="Batang" w:hAnsi="Verdana"/>
          <w:sz w:val="20"/>
          <w:szCs w:val="20"/>
          <w:vertAlign w:val="superscript"/>
          <w:lang w:val="en-US"/>
        </w:rPr>
        <w:footnoteReference w:id="84"/>
      </w:r>
      <w:r w:rsidRPr="00D2561A">
        <w:rPr>
          <w:rFonts w:ascii="Verdana" w:hAnsi="Verdana"/>
          <w:sz w:val="20"/>
          <w:szCs w:val="20"/>
          <w:lang w:val="en-US"/>
        </w:rPr>
        <w:t xml:space="preserve"> the following rights: the right to work (Art. 6), the right to </w:t>
      </w:r>
      <w:r w:rsidRPr="00D2561A">
        <w:rPr>
          <w:rFonts w:ascii="Verdana" w:hAnsi="Verdana" w:cs="Tahoma"/>
          <w:sz w:val="20"/>
          <w:szCs w:val="20"/>
          <w:lang w:val="en-US"/>
        </w:rPr>
        <w:t>just, equitable, and satisfactory conditions of work</w:t>
      </w:r>
      <w:r w:rsidRPr="00D2561A">
        <w:rPr>
          <w:rFonts w:ascii="Verdana" w:hAnsi="Verdana"/>
          <w:sz w:val="20"/>
          <w:szCs w:val="20"/>
          <w:lang w:val="en-US"/>
        </w:rPr>
        <w:t xml:space="preserve"> (Art. 7), trade union rights (Art. 8), the right to social security (Art. 9), the right to health (Art. 10), the right to a healthy environment (Art. 11), the right to food (Art. 12), the right to education (Art. 13), the right to the benefits of culture (Art. 14), the right to the formation and the protection of families (Art. 15), the rights of children (Art. 16), the protection of the elderly (Art. 17) and the protection of the handicapped (Art. 18). It should be recalled that, to the contrary, Article 26 does not establish or set forth any right, it merely refers to those “derived” from the OAS Charter.</w:t>
      </w:r>
    </w:p>
    <w:p w14:paraId="2F777261" w14:textId="77777777" w:rsidR="004565E4" w:rsidRPr="00D2561A" w:rsidRDefault="004565E4" w:rsidP="009900A5">
      <w:pPr>
        <w:spacing w:line="240" w:lineRule="auto"/>
        <w:ind w:left="0" w:right="-162"/>
        <w:rPr>
          <w:rFonts w:ascii="Verdana" w:eastAsia="Batang" w:hAnsi="Verdana" w:cs="Tahoma"/>
          <w:bCs/>
          <w:sz w:val="20"/>
          <w:szCs w:val="20"/>
          <w:lang w:val="en-US"/>
        </w:rPr>
      </w:pPr>
    </w:p>
    <w:p w14:paraId="5E326C0B" w14:textId="454E10C3" w:rsidR="004565E4" w:rsidRPr="00D2561A" w:rsidRDefault="008464AF"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eastAsia="Batang" w:hAnsi="Verdana" w:cs="Tahoma"/>
          <w:bCs/>
          <w:sz w:val="20"/>
          <w:szCs w:val="20"/>
          <w:lang w:val="en-US"/>
        </w:rPr>
        <w:t xml:space="preserve">And, </w:t>
      </w:r>
      <w:r w:rsidR="004C49B1" w:rsidRPr="00D2561A">
        <w:rPr>
          <w:rFonts w:ascii="Verdana" w:eastAsia="Batang" w:hAnsi="Verdana" w:cs="Tahoma"/>
          <w:bCs/>
          <w:sz w:val="20"/>
          <w:szCs w:val="20"/>
          <w:lang w:val="en-US"/>
        </w:rPr>
        <w:t xml:space="preserve">with </w:t>
      </w:r>
      <w:r w:rsidRPr="00D2561A">
        <w:rPr>
          <w:rFonts w:ascii="Verdana" w:eastAsia="Batang" w:hAnsi="Verdana" w:cs="Tahoma"/>
          <w:bCs/>
          <w:sz w:val="20"/>
          <w:szCs w:val="20"/>
          <w:lang w:val="en-US"/>
        </w:rPr>
        <w:t>regard</w:t>
      </w:r>
      <w:r w:rsidR="004C49B1" w:rsidRPr="00D2561A">
        <w:rPr>
          <w:rFonts w:ascii="Verdana" w:eastAsia="Batang" w:hAnsi="Verdana" w:cs="Tahoma"/>
          <w:bCs/>
          <w:sz w:val="20"/>
          <w:szCs w:val="20"/>
          <w:lang w:val="en-US"/>
        </w:rPr>
        <w:t xml:space="preserve"> to</w:t>
      </w:r>
      <w:r w:rsidRPr="00D2561A">
        <w:rPr>
          <w:rFonts w:ascii="Verdana" w:eastAsia="Batang" w:hAnsi="Verdana" w:cs="Tahoma"/>
          <w:bCs/>
          <w:sz w:val="20"/>
          <w:szCs w:val="20"/>
          <w:lang w:val="en-US"/>
        </w:rPr>
        <w:t xml:space="preserve"> the right</w:t>
      </w:r>
      <w:r w:rsidR="004C49B1" w:rsidRPr="00D2561A">
        <w:rPr>
          <w:rFonts w:ascii="Verdana" w:eastAsia="Batang" w:hAnsi="Verdana" w:cs="Tahoma"/>
          <w:bCs/>
          <w:sz w:val="20"/>
          <w:szCs w:val="20"/>
          <w:lang w:val="en-US"/>
        </w:rPr>
        <w:t>s</w:t>
      </w:r>
      <w:r w:rsidRPr="00D2561A">
        <w:rPr>
          <w:rFonts w:ascii="Verdana" w:eastAsia="Batang" w:hAnsi="Verdana" w:cs="Tahoma"/>
          <w:bCs/>
          <w:sz w:val="20"/>
          <w:szCs w:val="20"/>
          <w:lang w:val="en-US"/>
        </w:rPr>
        <w:t xml:space="preserve"> recognized by the Protocol, </w:t>
      </w:r>
      <w:r w:rsidR="00B1107D" w:rsidRPr="00D2561A">
        <w:rPr>
          <w:rFonts w:ascii="Verdana" w:eastAsia="Batang" w:hAnsi="Verdana" w:cs="Tahoma"/>
          <w:bCs/>
          <w:sz w:val="20"/>
          <w:szCs w:val="20"/>
          <w:lang w:val="en-US"/>
        </w:rPr>
        <w:t>the States Parties</w:t>
      </w:r>
      <w:r w:rsidR="00E9106E" w:rsidRPr="00D2561A">
        <w:rPr>
          <w:rFonts w:ascii="Verdana" w:eastAsia="Batang" w:hAnsi="Verdana" w:cs="Tahoma"/>
          <w:bCs/>
          <w:sz w:val="20"/>
          <w:szCs w:val="20"/>
          <w:lang w:val="en-US"/>
        </w:rPr>
        <w:t xml:space="preserve"> </w:t>
      </w:r>
      <w:r w:rsidRPr="00D2561A">
        <w:rPr>
          <w:rFonts w:ascii="Verdana" w:eastAsia="Batang" w:hAnsi="Verdana" w:cs="Tahoma"/>
          <w:bCs/>
          <w:sz w:val="20"/>
          <w:szCs w:val="20"/>
          <w:lang w:val="en-US"/>
        </w:rPr>
        <w:t xml:space="preserve">undertook to adopt, progressively, measures to guarantee their full realization </w:t>
      </w:r>
      <w:r w:rsidR="00E9106E" w:rsidRPr="00D2561A">
        <w:rPr>
          <w:rFonts w:ascii="Verdana" w:eastAsia="Batang" w:hAnsi="Verdana" w:cs="Tahoma"/>
          <w:bCs/>
          <w:sz w:val="20"/>
          <w:szCs w:val="20"/>
          <w:lang w:val="en-US"/>
        </w:rPr>
        <w:t>(</w:t>
      </w:r>
      <w:r w:rsidRPr="00D2561A">
        <w:rPr>
          <w:rFonts w:ascii="Verdana" w:eastAsia="Batang" w:hAnsi="Verdana" w:cs="Tahoma"/>
          <w:bCs/>
          <w:sz w:val="20"/>
          <w:szCs w:val="20"/>
          <w:lang w:val="en-US"/>
        </w:rPr>
        <w:t>A</w:t>
      </w:r>
      <w:r w:rsidR="00E9106E" w:rsidRPr="00D2561A">
        <w:rPr>
          <w:rFonts w:ascii="Verdana" w:eastAsia="Batang" w:hAnsi="Verdana" w:cs="Tahoma"/>
          <w:bCs/>
          <w:sz w:val="20"/>
          <w:szCs w:val="20"/>
          <w:lang w:val="en-US"/>
        </w:rPr>
        <w:t>rts.</w:t>
      </w:r>
      <w:r w:rsidR="009D0E05" w:rsidRPr="00D2561A">
        <w:rPr>
          <w:rFonts w:ascii="Verdana" w:eastAsia="Batang" w:hAnsi="Verdana" w:cs="Tahoma"/>
          <w:bCs/>
          <w:sz w:val="20"/>
          <w:szCs w:val="20"/>
          <w:lang w:val="en-US"/>
        </w:rPr>
        <w:t xml:space="preserve"> </w:t>
      </w:r>
      <w:r w:rsidR="00E9106E" w:rsidRPr="00D2561A">
        <w:rPr>
          <w:rFonts w:ascii="Verdana" w:eastAsia="Batang" w:hAnsi="Verdana" w:cs="Tahoma"/>
          <w:bCs/>
          <w:sz w:val="20"/>
          <w:szCs w:val="20"/>
          <w:lang w:val="en-US"/>
        </w:rPr>
        <w:t>6</w:t>
      </w:r>
      <w:r w:rsidRPr="00D2561A">
        <w:rPr>
          <w:rFonts w:ascii="Verdana" w:eastAsia="Batang" w:hAnsi="Verdana" w:cs="Tahoma"/>
          <w:bCs/>
          <w:sz w:val="20"/>
          <w:szCs w:val="20"/>
          <w:lang w:val="en-US"/>
        </w:rPr>
        <w:t>(</w:t>
      </w:r>
      <w:r w:rsidR="00E9106E" w:rsidRPr="00D2561A">
        <w:rPr>
          <w:rFonts w:ascii="Verdana" w:eastAsia="Batang" w:hAnsi="Verdana" w:cs="Tahoma"/>
          <w:bCs/>
          <w:sz w:val="20"/>
          <w:szCs w:val="20"/>
          <w:lang w:val="en-US"/>
        </w:rPr>
        <w:t>2</w:t>
      </w:r>
      <w:r w:rsidRPr="00D2561A">
        <w:rPr>
          <w:rFonts w:ascii="Verdana" w:eastAsia="Batang" w:hAnsi="Verdana" w:cs="Tahoma"/>
          <w:bCs/>
          <w:sz w:val="20"/>
          <w:szCs w:val="20"/>
          <w:lang w:val="en-US"/>
        </w:rPr>
        <w:t>)</w:t>
      </w:r>
      <w:r w:rsidR="00E9106E" w:rsidRPr="00D2561A">
        <w:rPr>
          <w:rFonts w:ascii="Verdana" w:eastAsia="Batang" w:hAnsi="Verdana" w:cs="Tahoma"/>
          <w:bCs/>
          <w:sz w:val="20"/>
          <w:szCs w:val="20"/>
          <w:lang w:val="en-US"/>
        </w:rPr>
        <w:t>, 10</w:t>
      </w:r>
      <w:r w:rsidRPr="00D2561A">
        <w:rPr>
          <w:rFonts w:ascii="Verdana" w:eastAsia="Batang" w:hAnsi="Verdana" w:cs="Tahoma"/>
          <w:bCs/>
          <w:sz w:val="20"/>
          <w:szCs w:val="20"/>
          <w:lang w:val="en-US"/>
        </w:rPr>
        <w:t>(</w:t>
      </w:r>
      <w:r w:rsidR="00E9106E" w:rsidRPr="00D2561A">
        <w:rPr>
          <w:rFonts w:ascii="Verdana" w:eastAsia="Batang" w:hAnsi="Verdana" w:cs="Tahoma"/>
          <w:bCs/>
          <w:sz w:val="20"/>
          <w:szCs w:val="20"/>
          <w:lang w:val="en-US"/>
        </w:rPr>
        <w:t>2</w:t>
      </w:r>
      <w:r w:rsidRPr="00D2561A">
        <w:rPr>
          <w:rFonts w:ascii="Verdana" w:eastAsia="Batang" w:hAnsi="Verdana" w:cs="Tahoma"/>
          <w:bCs/>
          <w:sz w:val="20"/>
          <w:szCs w:val="20"/>
          <w:lang w:val="en-US"/>
        </w:rPr>
        <w:t>)</w:t>
      </w:r>
      <w:r w:rsidR="00E9106E" w:rsidRPr="00D2561A">
        <w:rPr>
          <w:rFonts w:ascii="Verdana" w:eastAsia="Batang" w:hAnsi="Verdana" w:cs="Tahoma"/>
          <w:bCs/>
          <w:sz w:val="20"/>
          <w:szCs w:val="20"/>
          <w:lang w:val="en-US"/>
        </w:rPr>
        <w:t>, 11</w:t>
      </w:r>
      <w:r w:rsidRPr="00D2561A">
        <w:rPr>
          <w:rFonts w:ascii="Verdana" w:eastAsia="Batang" w:hAnsi="Verdana" w:cs="Tahoma"/>
          <w:bCs/>
          <w:sz w:val="20"/>
          <w:szCs w:val="20"/>
          <w:lang w:val="en-US"/>
        </w:rPr>
        <w:t>(</w:t>
      </w:r>
      <w:r w:rsidR="00E9106E" w:rsidRPr="00D2561A">
        <w:rPr>
          <w:rFonts w:ascii="Verdana" w:eastAsia="Batang" w:hAnsi="Verdana" w:cs="Tahoma"/>
          <w:bCs/>
          <w:sz w:val="20"/>
          <w:szCs w:val="20"/>
          <w:lang w:val="en-US"/>
        </w:rPr>
        <w:t>2</w:t>
      </w:r>
      <w:r w:rsidRPr="00D2561A">
        <w:rPr>
          <w:rFonts w:ascii="Verdana" w:eastAsia="Batang" w:hAnsi="Verdana" w:cs="Tahoma"/>
          <w:bCs/>
          <w:sz w:val="20"/>
          <w:szCs w:val="20"/>
          <w:lang w:val="en-US"/>
        </w:rPr>
        <w:t>)</w:t>
      </w:r>
      <w:r w:rsidR="00E30D1A" w:rsidRPr="00D2561A">
        <w:rPr>
          <w:rFonts w:ascii="Verdana" w:eastAsia="Batang" w:hAnsi="Verdana" w:cs="Tahoma"/>
          <w:bCs/>
          <w:sz w:val="20"/>
          <w:szCs w:val="20"/>
          <w:lang w:val="en-US"/>
        </w:rPr>
        <w:t xml:space="preserve"> and </w:t>
      </w:r>
      <w:r w:rsidR="00E9106E" w:rsidRPr="00D2561A">
        <w:rPr>
          <w:rFonts w:ascii="Verdana" w:eastAsia="Batang" w:hAnsi="Verdana" w:cs="Tahoma"/>
          <w:bCs/>
          <w:sz w:val="20"/>
          <w:szCs w:val="20"/>
          <w:lang w:val="en-US"/>
        </w:rPr>
        <w:t>12</w:t>
      </w:r>
      <w:r w:rsidRPr="00D2561A">
        <w:rPr>
          <w:rFonts w:ascii="Verdana" w:eastAsia="Batang" w:hAnsi="Verdana" w:cs="Tahoma"/>
          <w:bCs/>
          <w:sz w:val="20"/>
          <w:szCs w:val="20"/>
          <w:lang w:val="en-US"/>
        </w:rPr>
        <w:t>(</w:t>
      </w:r>
      <w:r w:rsidR="00E9106E" w:rsidRPr="00D2561A">
        <w:rPr>
          <w:rFonts w:ascii="Verdana" w:eastAsia="Batang" w:hAnsi="Verdana" w:cs="Tahoma"/>
          <w:bCs/>
          <w:sz w:val="20"/>
          <w:szCs w:val="20"/>
          <w:lang w:val="en-US"/>
        </w:rPr>
        <w:t>2</w:t>
      </w:r>
      <w:r w:rsidRPr="00D2561A">
        <w:rPr>
          <w:rFonts w:ascii="Verdana" w:eastAsia="Batang" w:hAnsi="Verdana" w:cs="Tahoma"/>
          <w:bCs/>
          <w:sz w:val="20"/>
          <w:szCs w:val="20"/>
          <w:lang w:val="en-US"/>
        </w:rPr>
        <w:t>)</w:t>
      </w:r>
      <w:r w:rsidR="00E9106E" w:rsidRPr="00D2561A">
        <w:rPr>
          <w:rFonts w:ascii="Verdana" w:eastAsia="Batang" w:hAnsi="Verdana" w:cs="Tahoma"/>
          <w:bCs/>
          <w:sz w:val="20"/>
          <w:szCs w:val="20"/>
          <w:lang w:val="en-US"/>
        </w:rPr>
        <w:t xml:space="preserve">). </w:t>
      </w:r>
      <w:r w:rsidRPr="00D2561A">
        <w:rPr>
          <w:rFonts w:ascii="Verdana" w:eastAsia="Batang" w:hAnsi="Verdana" w:cs="Tahoma"/>
          <w:bCs/>
          <w:sz w:val="20"/>
          <w:szCs w:val="20"/>
          <w:lang w:val="en-US"/>
        </w:rPr>
        <w:t xml:space="preserve">This coincides with the provisions of </w:t>
      </w:r>
      <w:r w:rsidR="00E30D1A" w:rsidRPr="00D2561A">
        <w:rPr>
          <w:rFonts w:ascii="Verdana" w:eastAsia="Batang" w:hAnsi="Verdana" w:cs="Tahoma"/>
          <w:bCs/>
          <w:sz w:val="20"/>
          <w:szCs w:val="20"/>
          <w:lang w:val="en-US"/>
        </w:rPr>
        <w:t>Article</w:t>
      </w:r>
      <w:r w:rsidR="00E9106E" w:rsidRPr="00D2561A">
        <w:rPr>
          <w:rFonts w:ascii="Verdana" w:eastAsia="Batang" w:hAnsi="Verdana" w:cs="Tahoma"/>
          <w:bCs/>
          <w:sz w:val="20"/>
          <w:szCs w:val="20"/>
          <w:lang w:val="en-US"/>
        </w:rPr>
        <w:t xml:space="preserve"> 26</w:t>
      </w:r>
      <w:r w:rsidRPr="00D2561A">
        <w:rPr>
          <w:rFonts w:ascii="Verdana" w:eastAsia="Batang" w:hAnsi="Verdana" w:cs="Tahoma"/>
          <w:bCs/>
          <w:sz w:val="20"/>
          <w:szCs w:val="20"/>
          <w:lang w:val="en-US"/>
        </w:rPr>
        <w:t>; that is, that both the Protocol and Article 26 refer to rights that have not been realized or, at least, not fully.</w:t>
      </w:r>
    </w:p>
    <w:p w14:paraId="4F67DB74" w14:textId="77777777" w:rsidR="004565E4" w:rsidRPr="00D2561A" w:rsidRDefault="004565E4" w:rsidP="000E0801">
      <w:pPr>
        <w:pStyle w:val="Prrafodelista"/>
        <w:spacing w:line="240" w:lineRule="auto"/>
        <w:ind w:left="-270" w:right="-162"/>
        <w:rPr>
          <w:rFonts w:ascii="Verdana" w:eastAsia="Batang" w:hAnsi="Verdana" w:cs="Tahoma"/>
          <w:bCs/>
          <w:sz w:val="20"/>
          <w:szCs w:val="20"/>
          <w:lang w:val="en-US"/>
        </w:rPr>
      </w:pPr>
    </w:p>
    <w:p w14:paraId="3E404459" w14:textId="5E63CD4B" w:rsidR="00E9106E" w:rsidRPr="00D2561A" w:rsidRDefault="008464AF" w:rsidP="008464AF">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eastAsia="Batang" w:hAnsi="Verdana" w:cs="Tahoma"/>
          <w:bCs/>
          <w:sz w:val="20"/>
          <w:szCs w:val="20"/>
          <w:lang w:val="en-US"/>
        </w:rPr>
        <w:t xml:space="preserve">The Protocol also includes a provision, </w:t>
      </w:r>
      <w:r w:rsidR="00E30D1A" w:rsidRPr="00D2561A">
        <w:rPr>
          <w:rFonts w:ascii="Verdana" w:eastAsia="Batang" w:hAnsi="Verdana" w:cs="Tahoma"/>
          <w:bCs/>
          <w:sz w:val="20"/>
          <w:szCs w:val="20"/>
          <w:lang w:val="en-US"/>
        </w:rPr>
        <w:t>Article</w:t>
      </w:r>
      <w:r w:rsidR="00E9106E" w:rsidRPr="00D2561A">
        <w:rPr>
          <w:rFonts w:ascii="Verdana" w:eastAsia="Batang" w:hAnsi="Verdana" w:cs="Tahoma"/>
          <w:bCs/>
          <w:sz w:val="20"/>
          <w:szCs w:val="20"/>
          <w:lang w:val="en-US"/>
        </w:rPr>
        <w:t xml:space="preserve"> 19, </w:t>
      </w:r>
      <w:r w:rsidRPr="00D2561A">
        <w:rPr>
          <w:rFonts w:ascii="Verdana" w:eastAsia="Batang" w:hAnsi="Verdana" w:cs="Tahoma"/>
          <w:bCs/>
          <w:sz w:val="20"/>
          <w:szCs w:val="20"/>
          <w:lang w:val="en-US"/>
        </w:rPr>
        <w:t xml:space="preserve">concerning the measures to protect the above-mentioned rights. These measures consist </w:t>
      </w:r>
      <w:r w:rsidR="00E96AE9" w:rsidRPr="00D2561A">
        <w:rPr>
          <w:rFonts w:ascii="Verdana" w:eastAsia="Batang" w:hAnsi="Verdana" w:cs="Tahoma"/>
          <w:bCs/>
          <w:sz w:val="20"/>
          <w:szCs w:val="20"/>
          <w:lang w:val="en-US"/>
        </w:rPr>
        <w:t>of</w:t>
      </w:r>
      <w:r w:rsidRPr="00D2561A">
        <w:rPr>
          <w:rFonts w:ascii="Verdana" w:eastAsia="Batang" w:hAnsi="Verdana" w:cs="Tahoma"/>
          <w:bCs/>
          <w:sz w:val="20"/>
          <w:szCs w:val="20"/>
          <w:lang w:val="en-US"/>
        </w:rPr>
        <w:t xml:space="preserve"> the reports that </w:t>
      </w:r>
      <w:r w:rsidR="00B1107D" w:rsidRPr="00D2561A">
        <w:rPr>
          <w:rFonts w:ascii="Verdana" w:eastAsia="Batang" w:hAnsi="Verdana" w:cs="Tahoma"/>
          <w:bCs/>
          <w:sz w:val="20"/>
          <w:szCs w:val="20"/>
          <w:lang w:val="en-US"/>
        </w:rPr>
        <w:t>States Parties</w:t>
      </w:r>
      <w:r w:rsidR="00E9106E" w:rsidRPr="00D2561A">
        <w:rPr>
          <w:rFonts w:ascii="Verdana" w:eastAsia="Batang" w:hAnsi="Verdana" w:cs="Tahoma"/>
          <w:bCs/>
          <w:sz w:val="20"/>
          <w:szCs w:val="20"/>
          <w:lang w:val="en-US"/>
        </w:rPr>
        <w:t xml:space="preserve"> </w:t>
      </w:r>
      <w:r w:rsidRPr="00D2561A">
        <w:rPr>
          <w:rFonts w:ascii="Verdana" w:eastAsia="Batang" w:hAnsi="Verdana" w:cs="Tahoma"/>
          <w:bCs/>
          <w:sz w:val="20"/>
          <w:szCs w:val="20"/>
          <w:lang w:val="en-US"/>
        </w:rPr>
        <w:t>must present to the OAS General Assembly “</w:t>
      </w:r>
      <w:r w:rsidRPr="00D2561A">
        <w:rPr>
          <w:rFonts w:ascii="Verdana" w:eastAsia="Times New Roman" w:hAnsi="Verdana" w:cs="Tahoma"/>
          <w:sz w:val="20"/>
          <w:szCs w:val="20"/>
          <w:lang w:val="en-US"/>
        </w:rPr>
        <w:t>on the progressive measures they have taken to ensure due respect for the rights set forth in this Protocol”</w:t>
      </w:r>
      <w:r w:rsidR="00E96AE9" w:rsidRPr="00D2561A">
        <w:rPr>
          <w:rFonts w:ascii="Verdana" w:eastAsia="Times New Roman" w:hAnsi="Verdana" w:cs="Tahoma"/>
          <w:sz w:val="20"/>
          <w:szCs w:val="20"/>
          <w:lang w:val="en-US"/>
        </w:rPr>
        <w:t>;</w:t>
      </w:r>
      <w:r w:rsidRPr="00D2561A">
        <w:rPr>
          <w:rFonts w:ascii="Verdana" w:eastAsia="Times New Roman" w:hAnsi="Verdana" w:cs="Tahoma"/>
          <w:sz w:val="20"/>
          <w:szCs w:val="20"/>
          <w:lang w:val="en-US"/>
        </w:rPr>
        <w:t xml:space="preserve"> o</w:t>
      </w:r>
      <w:r w:rsidR="00E96AE9" w:rsidRPr="00D2561A">
        <w:rPr>
          <w:rFonts w:ascii="Verdana" w:eastAsia="Times New Roman" w:hAnsi="Verdana" w:cs="Tahoma"/>
          <w:sz w:val="20"/>
          <w:szCs w:val="20"/>
          <w:lang w:val="en-US"/>
        </w:rPr>
        <w:t>f</w:t>
      </w:r>
      <w:r w:rsidRPr="00D2561A">
        <w:rPr>
          <w:rFonts w:ascii="Verdana" w:eastAsia="Times New Roman" w:hAnsi="Verdana" w:cs="Tahoma"/>
          <w:sz w:val="20"/>
          <w:szCs w:val="20"/>
          <w:lang w:val="en-US"/>
        </w:rPr>
        <w:t xml:space="preserve"> </w:t>
      </w:r>
      <w:r w:rsidR="00E96AE9" w:rsidRPr="00D2561A">
        <w:rPr>
          <w:rFonts w:ascii="Verdana" w:eastAsia="Times New Roman" w:hAnsi="Verdana" w:cs="Tahoma"/>
          <w:sz w:val="20"/>
          <w:szCs w:val="20"/>
          <w:lang w:val="en-US"/>
        </w:rPr>
        <w:t>how</w:t>
      </w:r>
      <w:r w:rsidRPr="00D2561A">
        <w:rPr>
          <w:rFonts w:ascii="Verdana" w:eastAsia="Times New Roman" w:hAnsi="Verdana" w:cs="Tahoma"/>
          <w:sz w:val="20"/>
          <w:szCs w:val="20"/>
          <w:lang w:val="en-US"/>
        </w:rPr>
        <w:t xml:space="preserve"> the </w:t>
      </w:r>
      <w:r w:rsidRPr="00D2561A">
        <w:rPr>
          <w:rFonts w:ascii="Verdana" w:hAnsi="Verdana" w:cs="Arial"/>
          <w:iCs/>
          <w:sz w:val="20"/>
          <w:szCs w:val="20"/>
          <w:lang w:val="en-US"/>
        </w:rPr>
        <w:t xml:space="preserve">OAS </w:t>
      </w:r>
      <w:r w:rsidRPr="00D2561A">
        <w:rPr>
          <w:rFonts w:ascii="Verdana" w:eastAsia="Times New Roman" w:hAnsi="Verdana" w:cs="Tahoma"/>
          <w:sz w:val="20"/>
          <w:szCs w:val="20"/>
          <w:lang w:val="en-US"/>
        </w:rPr>
        <w:t xml:space="preserve">Inter-American Economic and Social Council and the Inter-American Council for Education, Science and Culture </w:t>
      </w:r>
      <w:r w:rsidR="00E96AE9" w:rsidRPr="00D2561A">
        <w:rPr>
          <w:rFonts w:ascii="Verdana" w:eastAsia="Times New Roman" w:hAnsi="Verdana" w:cs="Tahoma"/>
          <w:sz w:val="20"/>
          <w:szCs w:val="20"/>
          <w:lang w:val="en-US"/>
        </w:rPr>
        <w:t xml:space="preserve">should </w:t>
      </w:r>
      <w:r w:rsidR="00E96AE9" w:rsidRPr="00D2561A">
        <w:rPr>
          <w:rFonts w:ascii="Verdana" w:hAnsi="Verdana" w:cs="Arial"/>
          <w:iCs/>
          <w:sz w:val="20"/>
          <w:szCs w:val="20"/>
          <w:lang w:val="en-US"/>
        </w:rPr>
        <w:t>respond to</w:t>
      </w:r>
      <w:r w:rsidRPr="00D2561A">
        <w:rPr>
          <w:rFonts w:ascii="Verdana" w:hAnsi="Verdana" w:cs="Arial"/>
          <w:iCs/>
          <w:sz w:val="20"/>
          <w:szCs w:val="20"/>
          <w:lang w:val="en-US"/>
        </w:rPr>
        <w:t xml:space="preserve"> those reports</w:t>
      </w:r>
      <w:r w:rsidR="00E96AE9" w:rsidRPr="00D2561A">
        <w:rPr>
          <w:rFonts w:ascii="Verdana" w:hAnsi="Verdana" w:cs="Arial"/>
          <w:iCs/>
          <w:sz w:val="20"/>
          <w:szCs w:val="20"/>
          <w:lang w:val="en-US"/>
        </w:rPr>
        <w:t>,</w:t>
      </w:r>
      <w:r w:rsidRPr="00D2561A">
        <w:rPr>
          <w:rFonts w:ascii="Verdana" w:hAnsi="Verdana" w:cs="Arial"/>
          <w:iCs/>
          <w:sz w:val="20"/>
          <w:szCs w:val="20"/>
          <w:lang w:val="en-US"/>
        </w:rPr>
        <w:t xml:space="preserve"> and </w:t>
      </w:r>
      <w:r w:rsidR="00E96AE9" w:rsidRPr="00D2561A">
        <w:rPr>
          <w:rFonts w:ascii="Verdana" w:hAnsi="Verdana" w:cs="Arial"/>
          <w:iCs/>
          <w:sz w:val="20"/>
          <w:szCs w:val="20"/>
          <w:lang w:val="en-US"/>
        </w:rPr>
        <w:t>of</w:t>
      </w:r>
      <w:r w:rsidRPr="00D2561A">
        <w:rPr>
          <w:rFonts w:ascii="Verdana" w:hAnsi="Verdana" w:cs="Arial"/>
          <w:iCs/>
          <w:sz w:val="20"/>
          <w:szCs w:val="20"/>
          <w:lang w:val="en-US"/>
        </w:rPr>
        <w:t xml:space="preserve"> the opinion that the Commission may eventually provide.</w:t>
      </w:r>
      <w:r w:rsidR="00E9106E" w:rsidRPr="00D2561A">
        <w:rPr>
          <w:rFonts w:ascii="Verdana" w:hAnsi="Verdana" w:cs="Arial"/>
          <w:sz w:val="20"/>
          <w:szCs w:val="20"/>
          <w:vertAlign w:val="superscript"/>
          <w:lang w:val="en-US"/>
        </w:rPr>
        <w:footnoteReference w:id="85"/>
      </w:r>
      <w:r w:rsidR="00E9106E" w:rsidRPr="00D2561A">
        <w:rPr>
          <w:rFonts w:ascii="Verdana" w:hAnsi="Verdana" w:cs="Arial"/>
          <w:sz w:val="20"/>
          <w:szCs w:val="20"/>
          <w:lang w:val="en-US"/>
        </w:rPr>
        <w:t xml:space="preserve"> </w:t>
      </w:r>
      <w:r w:rsidRPr="00D2561A">
        <w:rPr>
          <w:rFonts w:ascii="Verdana" w:hAnsi="Verdana" w:cs="Arial"/>
          <w:sz w:val="20"/>
          <w:szCs w:val="20"/>
          <w:lang w:val="en-US"/>
        </w:rPr>
        <w:t>It should be noted that this provisions is similar to the proposed</w:t>
      </w:r>
      <w:r w:rsidR="00E9106E" w:rsidRPr="00D2561A">
        <w:rPr>
          <w:rFonts w:ascii="Verdana" w:hAnsi="Verdana" w:cs="Arial"/>
          <w:sz w:val="20"/>
          <w:szCs w:val="20"/>
          <w:lang w:val="en-US"/>
        </w:rPr>
        <w:t xml:space="preserve"> </w:t>
      </w:r>
      <w:r w:rsidRPr="00D2561A">
        <w:rPr>
          <w:rFonts w:ascii="Verdana" w:hAnsi="Verdana" w:cs="Arial"/>
          <w:sz w:val="20"/>
          <w:szCs w:val="20"/>
          <w:lang w:val="en-US"/>
        </w:rPr>
        <w:t>a</w:t>
      </w:r>
      <w:r w:rsidR="00466AF7" w:rsidRPr="00D2561A">
        <w:rPr>
          <w:rFonts w:ascii="Verdana" w:hAnsi="Verdana" w:cs="Arial"/>
          <w:sz w:val="20"/>
          <w:szCs w:val="20"/>
          <w:lang w:val="en-US"/>
        </w:rPr>
        <w:t>rticle</w:t>
      </w:r>
      <w:r w:rsidR="00E9106E" w:rsidRPr="00D2561A">
        <w:rPr>
          <w:rFonts w:ascii="Verdana" w:hAnsi="Verdana" w:cs="Arial"/>
          <w:sz w:val="20"/>
          <w:szCs w:val="20"/>
          <w:lang w:val="en-US"/>
        </w:rPr>
        <w:t xml:space="preserve"> 27</w:t>
      </w:r>
      <w:r w:rsidR="00E30D1A" w:rsidRPr="00D2561A">
        <w:rPr>
          <w:rFonts w:ascii="Verdana" w:hAnsi="Verdana" w:cs="Arial"/>
          <w:sz w:val="20"/>
          <w:szCs w:val="20"/>
          <w:lang w:val="en-US"/>
        </w:rPr>
        <w:t xml:space="preserve"> of the Convention</w:t>
      </w:r>
      <w:r w:rsidR="00E9106E" w:rsidRPr="00D2561A">
        <w:rPr>
          <w:rFonts w:ascii="Verdana" w:hAnsi="Verdana" w:cs="Arial"/>
          <w:sz w:val="20"/>
          <w:szCs w:val="20"/>
          <w:lang w:val="en-US"/>
        </w:rPr>
        <w:t xml:space="preserve">, </w:t>
      </w:r>
      <w:r w:rsidR="00EE1953" w:rsidRPr="00D2561A">
        <w:rPr>
          <w:rFonts w:ascii="Verdana" w:hAnsi="Verdana" w:cs="Arial"/>
          <w:sz w:val="20"/>
          <w:szCs w:val="20"/>
          <w:lang w:val="en-US"/>
        </w:rPr>
        <w:t>which was rejected by the corresponding Conference.</w:t>
      </w:r>
    </w:p>
    <w:p w14:paraId="428AED50" w14:textId="77777777" w:rsidR="00E9106E" w:rsidRPr="00D2561A" w:rsidRDefault="00E9106E" w:rsidP="000E0801">
      <w:pPr>
        <w:spacing w:line="240" w:lineRule="auto"/>
        <w:ind w:left="-270" w:right="-162"/>
        <w:contextualSpacing/>
        <w:rPr>
          <w:rFonts w:ascii="Verdana" w:hAnsi="Verdana" w:cs="Arial"/>
          <w:sz w:val="20"/>
          <w:szCs w:val="20"/>
          <w:lang w:val="en-US"/>
        </w:rPr>
      </w:pPr>
    </w:p>
    <w:p w14:paraId="454D44B2" w14:textId="5EE5EFF1" w:rsidR="004565E4" w:rsidRPr="00D2561A" w:rsidRDefault="00EE1953"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hAnsi="Verdana" w:cs="Arial"/>
          <w:sz w:val="20"/>
          <w:szCs w:val="20"/>
          <w:lang w:val="en-US"/>
        </w:rPr>
        <w:t>The foregoing signifies, first, that for the Stat</w:t>
      </w:r>
      <w:r w:rsidR="004C49B1" w:rsidRPr="00D2561A">
        <w:rPr>
          <w:rFonts w:ascii="Verdana" w:hAnsi="Verdana" w:cs="Arial"/>
          <w:sz w:val="20"/>
          <w:szCs w:val="20"/>
          <w:lang w:val="en-US"/>
        </w:rPr>
        <w:t>e</w:t>
      </w:r>
      <w:r w:rsidRPr="00D2561A">
        <w:rPr>
          <w:rFonts w:ascii="Verdana" w:hAnsi="Verdana" w:cs="Arial"/>
          <w:sz w:val="20"/>
          <w:szCs w:val="20"/>
          <w:lang w:val="en-US"/>
        </w:rPr>
        <w:t>s Parties to the Protocol, the realization of the economic, social and cultural rights</w:t>
      </w:r>
      <w:r w:rsidRPr="00D2561A">
        <w:rPr>
          <w:rFonts w:ascii="Verdana" w:hAnsi="Verdana" w:cs="Arial"/>
          <w:i/>
          <w:sz w:val="20"/>
          <w:szCs w:val="20"/>
          <w:lang w:val="en-US"/>
        </w:rPr>
        <w:t xml:space="preserve"> </w:t>
      </w:r>
      <w:r w:rsidRPr="00D2561A">
        <w:rPr>
          <w:rFonts w:ascii="Verdana" w:hAnsi="Verdana" w:cs="Arial"/>
          <w:iCs/>
          <w:sz w:val="20"/>
          <w:szCs w:val="20"/>
          <w:lang w:val="en-US"/>
        </w:rPr>
        <w:t xml:space="preserve">is progressive in nature; that is, </w:t>
      </w:r>
      <w:r w:rsidR="00E9106E" w:rsidRPr="00D2561A">
        <w:rPr>
          <w:rFonts w:ascii="Verdana" w:hAnsi="Verdana" w:cs="Arial"/>
          <w:i/>
          <w:sz w:val="20"/>
          <w:szCs w:val="20"/>
          <w:lang w:val="en-US"/>
        </w:rPr>
        <w:t xml:space="preserve">a </w:t>
      </w:r>
      <w:proofErr w:type="spellStart"/>
      <w:r w:rsidR="00E9106E" w:rsidRPr="00D2561A">
        <w:rPr>
          <w:rFonts w:ascii="Verdana" w:hAnsi="Verdana" w:cs="Arial"/>
          <w:i/>
          <w:sz w:val="20"/>
          <w:szCs w:val="20"/>
          <w:lang w:val="en-US"/>
        </w:rPr>
        <w:t>contrario</w:t>
      </w:r>
      <w:proofErr w:type="spellEnd"/>
      <w:r w:rsidR="00E9106E" w:rsidRPr="00D2561A">
        <w:rPr>
          <w:rFonts w:ascii="Verdana" w:hAnsi="Verdana" w:cs="Arial"/>
          <w:i/>
          <w:sz w:val="20"/>
          <w:szCs w:val="20"/>
          <w:lang w:val="en-US"/>
        </w:rPr>
        <w:t xml:space="preserve"> </w:t>
      </w:r>
      <w:proofErr w:type="spellStart"/>
      <w:r w:rsidR="00E9106E" w:rsidRPr="00D2561A">
        <w:rPr>
          <w:rFonts w:ascii="Verdana" w:hAnsi="Verdana" w:cs="Arial"/>
          <w:i/>
          <w:sz w:val="20"/>
          <w:szCs w:val="20"/>
          <w:lang w:val="en-US"/>
        </w:rPr>
        <w:t>sensu</w:t>
      </w:r>
      <w:proofErr w:type="spellEnd"/>
      <w:r w:rsidR="00E9106E" w:rsidRPr="00D2561A">
        <w:rPr>
          <w:rFonts w:ascii="Verdana" w:hAnsi="Verdana" w:cs="Arial"/>
          <w:i/>
          <w:sz w:val="20"/>
          <w:szCs w:val="20"/>
          <w:lang w:val="en-US"/>
        </w:rPr>
        <w:t xml:space="preserve">, </w:t>
      </w:r>
      <w:r w:rsidRPr="00D2561A">
        <w:rPr>
          <w:rFonts w:ascii="Verdana" w:hAnsi="Verdana" w:cs="Arial"/>
          <w:iCs/>
          <w:sz w:val="20"/>
          <w:szCs w:val="20"/>
          <w:lang w:val="en-US"/>
        </w:rPr>
        <w:t>those rights have not been realized or, at least, fully realized.</w:t>
      </w:r>
    </w:p>
    <w:p w14:paraId="53FBAE8A" w14:textId="77777777" w:rsidR="001C1C29" w:rsidRPr="00D2561A" w:rsidRDefault="001C1C29" w:rsidP="000E0801">
      <w:pPr>
        <w:spacing w:line="240" w:lineRule="auto"/>
        <w:ind w:left="0" w:right="-162"/>
        <w:contextualSpacing/>
        <w:rPr>
          <w:rFonts w:ascii="Verdana" w:eastAsia="Batang" w:hAnsi="Verdana"/>
          <w:sz w:val="20"/>
          <w:szCs w:val="20"/>
          <w:lang w:val="en-US"/>
        </w:rPr>
      </w:pPr>
    </w:p>
    <w:p w14:paraId="7239CB63" w14:textId="42D82C56" w:rsidR="00EE1953" w:rsidRPr="00D2561A" w:rsidRDefault="00EE1953"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hAnsi="Verdana" w:cs="Arial"/>
          <w:sz w:val="20"/>
          <w:szCs w:val="20"/>
          <w:lang w:val="en-US"/>
        </w:rPr>
        <w:t>Second and consequently, this means</w:t>
      </w:r>
      <w:r w:rsidR="004C49B1" w:rsidRPr="00D2561A">
        <w:rPr>
          <w:rFonts w:ascii="Verdana" w:hAnsi="Verdana" w:cs="Arial"/>
          <w:sz w:val="20"/>
          <w:szCs w:val="20"/>
          <w:lang w:val="en-US"/>
        </w:rPr>
        <w:t xml:space="preserve"> that</w:t>
      </w:r>
      <w:r w:rsidRPr="00D2561A">
        <w:rPr>
          <w:rFonts w:ascii="Verdana" w:hAnsi="Verdana" w:cs="Arial"/>
          <w:sz w:val="20"/>
          <w:szCs w:val="20"/>
          <w:lang w:val="en-US"/>
        </w:rPr>
        <w:t>, for the said States, the provisions of Article 26 signif</w:t>
      </w:r>
      <w:r w:rsidR="004C49B1" w:rsidRPr="00D2561A">
        <w:rPr>
          <w:rFonts w:ascii="Verdana" w:hAnsi="Verdana" w:cs="Arial"/>
          <w:sz w:val="20"/>
          <w:szCs w:val="20"/>
          <w:lang w:val="en-US"/>
        </w:rPr>
        <w:t>y</w:t>
      </w:r>
      <w:r w:rsidRPr="00D2561A">
        <w:rPr>
          <w:rFonts w:ascii="Verdana" w:hAnsi="Verdana" w:cs="Arial"/>
          <w:sz w:val="20"/>
          <w:szCs w:val="20"/>
          <w:lang w:val="en-US"/>
        </w:rPr>
        <w:t xml:space="preserve"> that the said rights are not included among those to which the protection system established in the Convention applies or that </w:t>
      </w:r>
      <w:r w:rsidR="004C49B1" w:rsidRPr="00D2561A">
        <w:rPr>
          <w:rFonts w:ascii="Verdana" w:hAnsi="Verdana" w:cs="Arial"/>
          <w:sz w:val="20"/>
          <w:szCs w:val="20"/>
          <w:lang w:val="en-US"/>
        </w:rPr>
        <w:t xml:space="preserve">they </w:t>
      </w:r>
      <w:r w:rsidRPr="00D2561A">
        <w:rPr>
          <w:rFonts w:ascii="Verdana" w:hAnsi="Verdana" w:cs="Arial"/>
          <w:sz w:val="20"/>
          <w:szCs w:val="20"/>
          <w:lang w:val="en-US"/>
        </w:rPr>
        <w:t xml:space="preserve">are </w:t>
      </w:r>
      <w:r w:rsidR="004C49B1" w:rsidRPr="00D2561A">
        <w:rPr>
          <w:rFonts w:ascii="Verdana" w:hAnsi="Verdana" w:cs="Arial"/>
          <w:sz w:val="20"/>
          <w:szCs w:val="20"/>
          <w:lang w:val="en-US"/>
        </w:rPr>
        <w:t>in effect</w:t>
      </w:r>
      <w:r w:rsidRPr="00D2561A">
        <w:rPr>
          <w:rFonts w:ascii="Verdana" w:hAnsi="Verdana" w:cs="Arial"/>
          <w:sz w:val="20"/>
          <w:szCs w:val="20"/>
          <w:lang w:val="en-US"/>
        </w:rPr>
        <w:t xml:space="preserve"> because, to the contrary, it would not have been necessary to adopt the Protocol.</w:t>
      </w:r>
    </w:p>
    <w:p w14:paraId="1803B482" w14:textId="77777777" w:rsidR="004565E4" w:rsidRPr="00D2561A" w:rsidRDefault="004565E4" w:rsidP="000E0801">
      <w:pPr>
        <w:pStyle w:val="Prrafodelista"/>
        <w:spacing w:line="240" w:lineRule="auto"/>
        <w:ind w:left="-270" w:right="-162"/>
        <w:rPr>
          <w:rFonts w:ascii="Verdana" w:eastAsia="Batang" w:hAnsi="Verdana"/>
          <w:sz w:val="20"/>
          <w:szCs w:val="20"/>
          <w:lang w:val="en-US"/>
        </w:rPr>
      </w:pPr>
    </w:p>
    <w:p w14:paraId="4EE101CC" w14:textId="4C3C617B" w:rsidR="00EE1953" w:rsidRPr="00D2561A" w:rsidRDefault="00EE1953" w:rsidP="00EE1953">
      <w:pPr>
        <w:numPr>
          <w:ilvl w:val="0"/>
          <w:numId w:val="5"/>
        </w:numPr>
        <w:spacing w:line="240" w:lineRule="auto"/>
        <w:ind w:left="-270" w:right="-162" w:firstLine="0"/>
        <w:contextualSpacing/>
        <w:rPr>
          <w:rFonts w:ascii="Verdana" w:hAnsi="Verdana" w:cs="Arial"/>
          <w:sz w:val="20"/>
          <w:szCs w:val="20"/>
          <w:shd w:val="clear" w:color="auto" w:fill="FFFFFF"/>
          <w:lang w:val="en-US"/>
        </w:rPr>
      </w:pPr>
      <w:r w:rsidRPr="00D2561A">
        <w:rPr>
          <w:rFonts w:ascii="Verdana" w:eastAsia="Batang" w:hAnsi="Verdana"/>
          <w:sz w:val="20"/>
          <w:szCs w:val="20"/>
          <w:lang w:val="en-US"/>
        </w:rPr>
        <w:t xml:space="preserve">It should </w:t>
      </w:r>
      <w:r w:rsidR="004C49B1" w:rsidRPr="00D2561A">
        <w:rPr>
          <w:rFonts w:ascii="Verdana" w:eastAsia="Batang" w:hAnsi="Verdana"/>
          <w:sz w:val="20"/>
          <w:szCs w:val="20"/>
          <w:lang w:val="en-US"/>
        </w:rPr>
        <w:t xml:space="preserve">also </w:t>
      </w:r>
      <w:r w:rsidRPr="00D2561A">
        <w:rPr>
          <w:rFonts w:ascii="Verdana" w:eastAsia="Batang" w:hAnsi="Verdana"/>
          <w:sz w:val="20"/>
          <w:szCs w:val="20"/>
          <w:lang w:val="en-US"/>
        </w:rPr>
        <w:t>be recalled that the OAS has created the Working Group to Examine the National Reports Envisioned in the Protocol,</w:t>
      </w:r>
      <w:r w:rsidRPr="00D2561A">
        <w:rPr>
          <w:rFonts w:ascii="Verdana" w:hAnsi="Verdana" w:cs="Arial"/>
          <w:sz w:val="20"/>
          <w:szCs w:val="20"/>
          <w:shd w:val="clear" w:color="auto" w:fill="FFFFFF"/>
          <w:vertAlign w:val="superscript"/>
          <w:lang w:val="en-US"/>
        </w:rPr>
        <w:footnoteReference w:id="86"/>
      </w:r>
      <w:r w:rsidRPr="00D2561A">
        <w:rPr>
          <w:rFonts w:ascii="Verdana" w:eastAsia="Batang" w:hAnsi="Verdana"/>
          <w:sz w:val="20"/>
          <w:szCs w:val="20"/>
          <w:lang w:val="en-US"/>
        </w:rPr>
        <w:t xml:space="preserve"> as a mechanism to monitor compliance with the undertakings made </w:t>
      </w:r>
      <w:r w:rsidR="004C49B1" w:rsidRPr="00D2561A">
        <w:rPr>
          <w:rFonts w:ascii="Verdana" w:eastAsia="Batang" w:hAnsi="Verdana"/>
          <w:sz w:val="20"/>
          <w:szCs w:val="20"/>
          <w:lang w:val="en-US"/>
        </w:rPr>
        <w:t>in</w:t>
      </w:r>
      <w:r w:rsidRPr="00D2561A">
        <w:rPr>
          <w:rFonts w:ascii="Verdana" w:eastAsia="Batang" w:hAnsi="Verdana"/>
          <w:sz w:val="20"/>
          <w:szCs w:val="20"/>
          <w:lang w:val="en-US"/>
        </w:rPr>
        <w:t xml:space="preserve"> that instrument in this regard. This confirm that, undoubtedly, the intention of the said States was to create a non-jurisdictional mechanism for the international supervision of compliance with the Protocol.</w:t>
      </w:r>
    </w:p>
    <w:p w14:paraId="4786A363" w14:textId="77777777" w:rsidR="00E9106E" w:rsidRPr="00D2561A" w:rsidRDefault="00E9106E" w:rsidP="000E0801">
      <w:pPr>
        <w:spacing w:line="240" w:lineRule="auto"/>
        <w:ind w:left="-270" w:right="-162"/>
        <w:contextualSpacing/>
        <w:rPr>
          <w:rFonts w:ascii="Verdana" w:eastAsia="Batang" w:hAnsi="Verdana"/>
          <w:sz w:val="20"/>
          <w:szCs w:val="20"/>
          <w:lang w:val="en-US"/>
        </w:rPr>
      </w:pPr>
    </w:p>
    <w:p w14:paraId="1336E1A3" w14:textId="12857AA8" w:rsidR="00E9106E" w:rsidRPr="00D2561A" w:rsidRDefault="00B601DC"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hAnsi="Verdana"/>
          <w:sz w:val="20"/>
          <w:szCs w:val="20"/>
          <w:lang w:val="en-US"/>
        </w:rPr>
        <w:t>The only exception to this system is established in paragraph 6 of Article 19:</w:t>
      </w:r>
    </w:p>
    <w:p w14:paraId="61B6E1C2" w14:textId="77777777" w:rsidR="00D5153E" w:rsidRPr="00D2561A" w:rsidRDefault="00D5153E" w:rsidP="00D5153E">
      <w:pPr>
        <w:spacing w:line="240" w:lineRule="auto"/>
        <w:ind w:left="0" w:right="-162"/>
        <w:contextualSpacing/>
        <w:rPr>
          <w:rFonts w:ascii="Verdana" w:eastAsia="Batang" w:hAnsi="Verdana"/>
          <w:sz w:val="16"/>
          <w:szCs w:val="16"/>
          <w:lang w:val="en-US"/>
        </w:rPr>
      </w:pPr>
    </w:p>
    <w:p w14:paraId="6FD21243" w14:textId="7B8674C0" w:rsidR="00D5153E" w:rsidRPr="00D2561A" w:rsidRDefault="00D5153E" w:rsidP="00D5153E">
      <w:pPr>
        <w:spacing w:line="240" w:lineRule="auto"/>
        <w:ind w:left="720" w:right="270"/>
        <w:rPr>
          <w:rFonts w:ascii="Verdana" w:eastAsia="Times New Roman" w:hAnsi="Verdana" w:cs="Times New Roman"/>
          <w:sz w:val="18"/>
          <w:szCs w:val="18"/>
          <w:lang w:val="en-US"/>
        </w:rPr>
      </w:pPr>
      <w:r w:rsidRPr="00D2561A">
        <w:rPr>
          <w:rFonts w:ascii="Verdana" w:eastAsia="Times New Roman" w:hAnsi="Verdana" w:cs="Tahoma"/>
          <w:sz w:val="18"/>
          <w:szCs w:val="18"/>
          <w:lang w:val="en-US"/>
        </w:rPr>
        <w:t xml:space="preserve">Any instance in which the rights established in paragraph </w:t>
      </w:r>
      <w:r w:rsidR="00B601DC" w:rsidRPr="00D2561A">
        <w:rPr>
          <w:rFonts w:ascii="Verdana" w:eastAsia="Times New Roman" w:hAnsi="Verdana" w:cs="Tahoma"/>
          <w:sz w:val="18"/>
          <w:szCs w:val="18"/>
          <w:lang w:val="en-US"/>
        </w:rPr>
        <w:t>(</w:t>
      </w:r>
      <w:r w:rsidRPr="00D2561A">
        <w:rPr>
          <w:rFonts w:ascii="Verdana" w:eastAsia="Times New Roman" w:hAnsi="Verdana" w:cs="Tahoma"/>
          <w:sz w:val="18"/>
          <w:szCs w:val="18"/>
          <w:lang w:val="en-US"/>
        </w:rPr>
        <w:t>a) of Article 8</w:t>
      </w:r>
      <w:r w:rsidR="00145FDC" w:rsidRPr="00D2561A">
        <w:rPr>
          <w:rFonts w:ascii="Verdana" w:hAnsi="Verdana"/>
          <w:i/>
          <w:iCs/>
          <w:sz w:val="18"/>
          <w:szCs w:val="18"/>
          <w:vertAlign w:val="superscript"/>
          <w:lang w:val="en-US"/>
        </w:rPr>
        <w:footnoteReference w:id="87"/>
      </w:r>
      <w:r w:rsidRPr="00D2561A">
        <w:rPr>
          <w:rFonts w:ascii="Verdana" w:eastAsia="Times New Roman" w:hAnsi="Verdana" w:cs="Tahoma"/>
          <w:sz w:val="18"/>
          <w:szCs w:val="18"/>
          <w:lang w:val="en-US"/>
        </w:rPr>
        <w:t xml:space="preserve"> and in Article 13</w:t>
      </w:r>
      <w:r w:rsidR="00145FDC" w:rsidRPr="00D2561A">
        <w:rPr>
          <w:rFonts w:ascii="Verdana" w:hAnsi="Verdana"/>
          <w:i/>
          <w:iCs/>
          <w:sz w:val="18"/>
          <w:szCs w:val="18"/>
          <w:vertAlign w:val="superscript"/>
          <w:lang w:val="en-US"/>
        </w:rPr>
        <w:footnoteReference w:id="88"/>
      </w:r>
      <w:r w:rsidRPr="00D2561A">
        <w:rPr>
          <w:rFonts w:ascii="Verdana" w:eastAsia="Times New Roman" w:hAnsi="Verdana" w:cs="Tahoma"/>
          <w:sz w:val="18"/>
          <w:szCs w:val="18"/>
          <w:lang w:val="en-US"/>
        </w:rPr>
        <w:t xml:space="preserve"> are violated by action directly attributable to a State Party to this Protocol may give rise, through participation of the Inter-American Commission on Human Rights and, when applicable, of the Inter-American Court of Human Rights, to application of the system of individual petitions governed by Article 44 through 51 and 61 through 69 of the American Convention on Human Rights.</w:t>
      </w:r>
    </w:p>
    <w:p w14:paraId="1AC90FA3" w14:textId="77777777" w:rsidR="00E9106E" w:rsidRPr="00D2561A" w:rsidRDefault="00E9106E" w:rsidP="00D5153E">
      <w:pPr>
        <w:spacing w:line="240" w:lineRule="auto"/>
        <w:ind w:left="0" w:right="-162"/>
        <w:contextualSpacing/>
        <w:rPr>
          <w:rFonts w:ascii="Verdana" w:eastAsia="Batang" w:hAnsi="Verdana" w:cs="Arial"/>
          <w:sz w:val="20"/>
          <w:szCs w:val="20"/>
          <w:lang w:val="en-US"/>
        </w:rPr>
      </w:pPr>
    </w:p>
    <w:p w14:paraId="7240B3E2" w14:textId="3362EA0F" w:rsidR="004565E4" w:rsidRPr="00D2561A" w:rsidRDefault="00ED1729"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hAnsi="Verdana" w:cs="Arial"/>
          <w:sz w:val="20"/>
          <w:szCs w:val="20"/>
          <w:lang w:val="en-US"/>
        </w:rPr>
        <w:t xml:space="preserve">This means that it is only if the rights relating to trade unions and to education are violated that the pertinent cases are justiciable before the Court. To the contrary, with regard to the violation of the other rights, including </w:t>
      </w:r>
      <w:r w:rsidR="008A051B" w:rsidRPr="00D2561A">
        <w:rPr>
          <w:rFonts w:ascii="Verdana" w:hAnsi="Verdana"/>
          <w:bCs/>
          <w:sz w:val="20"/>
          <w:szCs w:val="20"/>
          <w:lang w:val="en-US"/>
        </w:rPr>
        <w:t>the right to just and favorable conditions that ensure safety, health and hygiene in the workplace</w:t>
      </w:r>
      <w:r w:rsidRPr="00D2561A">
        <w:rPr>
          <w:rFonts w:ascii="Verdana" w:hAnsi="Verdana"/>
          <w:bCs/>
          <w:sz w:val="20"/>
          <w:szCs w:val="20"/>
          <w:lang w:val="en-US"/>
        </w:rPr>
        <w:t>, there is merely the system of reports established in</w:t>
      </w:r>
      <w:r w:rsidR="008A051B" w:rsidRPr="00D2561A">
        <w:rPr>
          <w:rFonts w:ascii="Verdana" w:hAnsi="Verdana"/>
          <w:sz w:val="20"/>
          <w:szCs w:val="20"/>
          <w:lang w:val="en-US"/>
        </w:rPr>
        <w:t xml:space="preserve"> </w:t>
      </w:r>
      <w:r w:rsidR="00E30D1A" w:rsidRPr="00D2561A">
        <w:rPr>
          <w:rFonts w:ascii="Verdana" w:hAnsi="Verdana" w:cs="Arial"/>
          <w:sz w:val="20"/>
          <w:szCs w:val="20"/>
          <w:lang w:val="en-US"/>
        </w:rPr>
        <w:t>Article</w:t>
      </w:r>
      <w:r w:rsidR="00E9106E" w:rsidRPr="00D2561A">
        <w:rPr>
          <w:rFonts w:ascii="Verdana" w:hAnsi="Verdana" w:cs="Arial"/>
          <w:sz w:val="20"/>
          <w:szCs w:val="20"/>
          <w:lang w:val="en-US"/>
        </w:rPr>
        <w:t xml:space="preserve"> 19 </w:t>
      </w:r>
      <w:r w:rsidRPr="00D2561A">
        <w:rPr>
          <w:rFonts w:ascii="Verdana" w:hAnsi="Verdana" w:cs="Arial"/>
          <w:sz w:val="20"/>
          <w:szCs w:val="20"/>
          <w:lang w:val="en-US"/>
        </w:rPr>
        <w:t>of the Protocol</w:t>
      </w:r>
      <w:r w:rsidR="00E9106E" w:rsidRPr="00D2561A">
        <w:rPr>
          <w:rFonts w:ascii="Verdana" w:hAnsi="Verdana" w:cs="Arial"/>
          <w:sz w:val="20"/>
          <w:szCs w:val="20"/>
          <w:lang w:val="en-US"/>
        </w:rPr>
        <w:t xml:space="preserve">. </w:t>
      </w:r>
    </w:p>
    <w:p w14:paraId="72327F41" w14:textId="77777777" w:rsidR="004565E4" w:rsidRPr="00D2561A" w:rsidRDefault="004565E4" w:rsidP="000E0801">
      <w:pPr>
        <w:spacing w:line="240" w:lineRule="auto"/>
        <w:ind w:left="-270" w:right="-162"/>
        <w:contextualSpacing/>
        <w:rPr>
          <w:rFonts w:ascii="Verdana" w:eastAsia="Batang" w:hAnsi="Verdana"/>
          <w:sz w:val="20"/>
          <w:szCs w:val="20"/>
          <w:lang w:val="en-US"/>
        </w:rPr>
      </w:pPr>
    </w:p>
    <w:p w14:paraId="2CF765D5" w14:textId="3C40B661" w:rsidR="00AA40B9" w:rsidRPr="00D2561A" w:rsidRDefault="00ED1729"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eastAsia="Times" w:hAnsi="Verdana" w:cs="Arial"/>
          <w:sz w:val="20"/>
          <w:szCs w:val="20"/>
          <w:lang w:val="en-US"/>
        </w:rPr>
        <w:t xml:space="preserve">Thus, the Protocol is an amendment to </w:t>
      </w:r>
      <w:r w:rsidR="00E30D1A" w:rsidRPr="00D2561A">
        <w:rPr>
          <w:rFonts w:ascii="Verdana" w:eastAsia="Times" w:hAnsi="Verdana" w:cs="Arial"/>
          <w:sz w:val="20"/>
          <w:szCs w:val="20"/>
          <w:lang w:val="en-US"/>
        </w:rPr>
        <w:t>the Convention</w:t>
      </w:r>
      <w:r w:rsidR="00E9106E" w:rsidRPr="00D2561A">
        <w:rPr>
          <w:rFonts w:ascii="Verdana" w:eastAsia="Times" w:hAnsi="Verdana" w:cs="Arial"/>
          <w:sz w:val="20"/>
          <w:szCs w:val="20"/>
          <w:lang w:val="en-US"/>
        </w:rPr>
        <w:t xml:space="preserve">. </w:t>
      </w:r>
      <w:r w:rsidRPr="00D2561A">
        <w:rPr>
          <w:rFonts w:ascii="Verdana" w:eastAsia="Times" w:hAnsi="Verdana" w:cs="Arial"/>
          <w:sz w:val="20"/>
          <w:szCs w:val="20"/>
          <w:lang w:val="en-US"/>
        </w:rPr>
        <w:t>This is revealed by its text, which considers that it is a protocol, a mechanism that is explicitly established in the Convention.</w:t>
      </w:r>
      <w:r w:rsidR="00BF2D3F" w:rsidRPr="00D2561A">
        <w:rPr>
          <w:rStyle w:val="Refdenotaalpie"/>
          <w:rFonts w:ascii="Verdana" w:eastAsia="Times" w:hAnsi="Verdana" w:cs="Arial"/>
          <w:sz w:val="20"/>
          <w:szCs w:val="20"/>
          <w:lang w:val="en-US"/>
        </w:rPr>
        <w:footnoteReference w:id="89"/>
      </w:r>
      <w:r w:rsidR="00BF2D3F" w:rsidRPr="00D2561A">
        <w:rPr>
          <w:rFonts w:ascii="Verdana" w:eastAsia="Times" w:hAnsi="Verdana" w:cs="Arial"/>
          <w:sz w:val="20"/>
          <w:szCs w:val="20"/>
          <w:lang w:val="en-US"/>
        </w:rPr>
        <w:t xml:space="preserve"> </w:t>
      </w:r>
      <w:r w:rsidRPr="00D2561A">
        <w:rPr>
          <w:rFonts w:ascii="Verdana" w:eastAsia="Times" w:hAnsi="Verdana" w:cs="Arial"/>
          <w:sz w:val="20"/>
          <w:szCs w:val="20"/>
          <w:lang w:val="en-US"/>
        </w:rPr>
        <w:t xml:space="preserve">It should also be noted that its Preamble indicates that it is adopted considering that </w:t>
      </w:r>
      <w:r w:rsidR="00E30D1A" w:rsidRPr="00D2561A">
        <w:rPr>
          <w:rFonts w:ascii="Verdana" w:hAnsi="Verdana"/>
          <w:sz w:val="20"/>
          <w:szCs w:val="20"/>
          <w:lang w:val="en-US"/>
        </w:rPr>
        <w:t>the Convention</w:t>
      </w:r>
      <w:r w:rsidR="00E9106E" w:rsidRPr="00D2561A">
        <w:rPr>
          <w:rFonts w:ascii="Verdana" w:hAnsi="Verdana"/>
          <w:sz w:val="20"/>
          <w:szCs w:val="20"/>
          <w:lang w:val="en-US"/>
        </w:rPr>
        <w:t xml:space="preserve"> </w:t>
      </w:r>
      <w:r w:rsidRPr="00D2561A">
        <w:rPr>
          <w:rFonts w:ascii="Verdana" w:hAnsi="Verdana"/>
          <w:sz w:val="20"/>
          <w:szCs w:val="20"/>
          <w:lang w:val="en-US"/>
        </w:rPr>
        <w:t>establishes this possibility.</w:t>
      </w:r>
      <w:r w:rsidR="00E9106E" w:rsidRPr="00D2561A">
        <w:rPr>
          <w:rFonts w:ascii="Verdana" w:hAnsi="Verdana"/>
          <w:sz w:val="20"/>
          <w:szCs w:val="20"/>
          <w:vertAlign w:val="superscript"/>
          <w:lang w:val="en-US"/>
        </w:rPr>
        <w:footnoteReference w:id="90"/>
      </w:r>
      <w:r w:rsidRPr="00D2561A">
        <w:rPr>
          <w:rFonts w:ascii="Verdana" w:hAnsi="Verdana"/>
          <w:sz w:val="20"/>
          <w:szCs w:val="20"/>
          <w:lang w:val="en-US"/>
        </w:rPr>
        <w:t xml:space="preserve"> Thus, it is an “additional protocol” to the Convention, signed “</w:t>
      </w:r>
      <w:r w:rsidRPr="00D2561A">
        <w:rPr>
          <w:rFonts w:ascii="Verdana" w:eastAsia="Times New Roman" w:hAnsi="Verdana" w:cs="Tahoma"/>
          <w:sz w:val="20"/>
          <w:szCs w:val="20"/>
          <w:lang w:val="en-US"/>
        </w:rPr>
        <w:t>for the purpose of gradually incorporating other rights and freedoms into the protective system thereof</w:t>
      </w:r>
      <w:r w:rsidRPr="00D2561A">
        <w:rPr>
          <w:rFonts w:ascii="Verdana" w:eastAsia="Times New Roman" w:hAnsi="Verdana" w:cs="Tahoma"/>
          <w:sz w:val="16"/>
          <w:szCs w:val="16"/>
          <w:lang w:val="en-US"/>
        </w:rPr>
        <w:t>,</w:t>
      </w:r>
      <w:r w:rsidR="00E9106E" w:rsidRPr="00D2561A">
        <w:rPr>
          <w:rFonts w:ascii="Verdana" w:hAnsi="Verdana"/>
          <w:sz w:val="20"/>
          <w:szCs w:val="20"/>
          <w:lang w:val="en-US"/>
        </w:rPr>
        <w:t xml:space="preserve">” </w:t>
      </w:r>
      <w:r w:rsidRPr="00D2561A">
        <w:rPr>
          <w:rFonts w:ascii="Verdana" w:hAnsi="Verdana"/>
          <w:sz w:val="20"/>
          <w:szCs w:val="20"/>
          <w:lang w:val="en-US"/>
        </w:rPr>
        <w:t xml:space="preserve">which, therefore, </w:t>
      </w:r>
      <w:r w:rsidR="004C49B1" w:rsidRPr="00D2561A">
        <w:rPr>
          <w:rFonts w:ascii="Verdana" w:hAnsi="Verdana"/>
          <w:sz w:val="20"/>
          <w:szCs w:val="20"/>
          <w:lang w:val="en-US"/>
        </w:rPr>
        <w:t>the system</w:t>
      </w:r>
      <w:r w:rsidR="00E1107C" w:rsidRPr="00D2561A">
        <w:rPr>
          <w:rFonts w:ascii="Verdana" w:hAnsi="Verdana"/>
          <w:sz w:val="20"/>
          <w:szCs w:val="20"/>
          <w:lang w:val="en-US"/>
        </w:rPr>
        <w:t xml:space="preserve"> does not include. </w:t>
      </w:r>
    </w:p>
    <w:p w14:paraId="2A0A643D" w14:textId="77777777" w:rsidR="00AA40B9" w:rsidRPr="00D2561A" w:rsidRDefault="00AA40B9" w:rsidP="000E0801">
      <w:pPr>
        <w:pStyle w:val="Prrafodelista"/>
        <w:spacing w:line="240" w:lineRule="auto"/>
        <w:ind w:left="-270" w:right="-162"/>
        <w:rPr>
          <w:rFonts w:ascii="Verdana" w:hAnsi="Verdana"/>
          <w:sz w:val="20"/>
          <w:szCs w:val="20"/>
          <w:lang w:val="en-US"/>
        </w:rPr>
      </w:pPr>
    </w:p>
    <w:p w14:paraId="0BC60871" w14:textId="09D7C692" w:rsidR="00AA40B9" w:rsidRPr="00D2561A" w:rsidRDefault="00E1107C"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hAnsi="Verdana"/>
          <w:sz w:val="20"/>
          <w:szCs w:val="20"/>
          <w:lang w:val="en-US"/>
        </w:rPr>
        <w:t xml:space="preserve">Consequently, this instrument, by establishing in its </w:t>
      </w:r>
      <w:r w:rsidR="00466AF7" w:rsidRPr="00D2561A">
        <w:rPr>
          <w:rFonts w:ascii="Verdana" w:hAnsi="Verdana"/>
          <w:sz w:val="20"/>
          <w:szCs w:val="20"/>
          <w:lang w:val="en-US"/>
        </w:rPr>
        <w:t>Article</w:t>
      </w:r>
      <w:r w:rsidR="00E9106E" w:rsidRPr="00D2561A">
        <w:rPr>
          <w:rFonts w:ascii="Verdana" w:hAnsi="Verdana"/>
          <w:sz w:val="20"/>
          <w:szCs w:val="20"/>
          <w:lang w:val="en-US"/>
        </w:rPr>
        <w:t xml:space="preserve"> 19 </w:t>
      </w:r>
      <w:r w:rsidRPr="00D2561A">
        <w:rPr>
          <w:rFonts w:ascii="Verdana" w:hAnsi="Verdana"/>
          <w:sz w:val="20"/>
          <w:szCs w:val="20"/>
          <w:lang w:val="en-US"/>
        </w:rPr>
        <w:t>the competence of the Court to examine eventual violations of the rights relating to trade unions and to education, is not limiting it</w:t>
      </w:r>
      <w:r w:rsidR="004C49B1" w:rsidRPr="00D2561A">
        <w:rPr>
          <w:rFonts w:ascii="Verdana" w:hAnsi="Verdana"/>
          <w:sz w:val="20"/>
          <w:szCs w:val="20"/>
          <w:lang w:val="en-US"/>
        </w:rPr>
        <w:t>s competence</w:t>
      </w:r>
      <w:r w:rsidRPr="00D2561A">
        <w:rPr>
          <w:rFonts w:ascii="Verdana" w:hAnsi="Verdana"/>
          <w:sz w:val="20"/>
          <w:szCs w:val="20"/>
          <w:lang w:val="en-US"/>
        </w:rPr>
        <w:t>, but rather expanding it. If the Protocol did not exist, the Court could not even examine the violation of those rights.</w:t>
      </w:r>
      <w:r w:rsidR="00E9106E" w:rsidRPr="00D2561A">
        <w:rPr>
          <w:rFonts w:ascii="Verdana" w:hAnsi="Verdana" w:cs="Arial"/>
          <w:sz w:val="20"/>
          <w:szCs w:val="20"/>
          <w:lang w:val="en-US"/>
        </w:rPr>
        <w:t xml:space="preserve"> </w:t>
      </w:r>
    </w:p>
    <w:p w14:paraId="473E9EFB" w14:textId="77777777" w:rsidR="00AA40B9" w:rsidRPr="00D2561A" w:rsidRDefault="00AA40B9" w:rsidP="000E0801">
      <w:pPr>
        <w:pStyle w:val="Prrafodelista"/>
        <w:spacing w:line="240" w:lineRule="auto"/>
        <w:ind w:left="-270" w:right="-162"/>
        <w:rPr>
          <w:rFonts w:ascii="Verdana" w:hAnsi="Verdana" w:cs="Arial"/>
          <w:sz w:val="20"/>
          <w:szCs w:val="20"/>
          <w:lang w:val="en-US"/>
        </w:rPr>
      </w:pPr>
    </w:p>
    <w:p w14:paraId="0AD99CE8" w14:textId="5B814A21" w:rsidR="00E1107C" w:rsidRPr="00D2561A" w:rsidRDefault="00E1107C"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hAnsi="Verdana" w:cs="Arial"/>
          <w:sz w:val="20"/>
          <w:szCs w:val="20"/>
          <w:lang w:val="en-US"/>
        </w:rPr>
        <w:t xml:space="preserve">Thus, the foregoing proves categorically that, for </w:t>
      </w:r>
      <w:r w:rsidR="00B1107D" w:rsidRPr="00D2561A">
        <w:rPr>
          <w:rFonts w:ascii="Verdana" w:hAnsi="Verdana" w:cs="Arial"/>
          <w:sz w:val="20"/>
          <w:szCs w:val="20"/>
          <w:lang w:val="en-US"/>
        </w:rPr>
        <w:t>the States Parties</w:t>
      </w:r>
      <w:r w:rsidRPr="00D2561A">
        <w:rPr>
          <w:rFonts w:ascii="Verdana" w:hAnsi="Verdana" w:cs="Arial"/>
          <w:sz w:val="20"/>
          <w:szCs w:val="20"/>
          <w:lang w:val="en-US"/>
        </w:rPr>
        <w:t xml:space="preserve"> to the Protocol, the provisions of </w:t>
      </w:r>
      <w:r w:rsidR="00E30D1A" w:rsidRPr="00D2561A">
        <w:rPr>
          <w:rFonts w:ascii="Verdana" w:hAnsi="Verdana" w:cs="Arial"/>
          <w:sz w:val="20"/>
          <w:szCs w:val="20"/>
          <w:lang w:val="en-US"/>
        </w:rPr>
        <w:t>Article</w:t>
      </w:r>
      <w:r w:rsidR="00E9106E" w:rsidRPr="00D2561A">
        <w:rPr>
          <w:rFonts w:ascii="Verdana" w:hAnsi="Verdana" w:cs="Arial"/>
          <w:sz w:val="20"/>
          <w:szCs w:val="20"/>
          <w:lang w:val="en-US"/>
        </w:rPr>
        <w:t xml:space="preserve"> 26</w:t>
      </w:r>
      <w:r w:rsidR="00E30D1A" w:rsidRPr="00D2561A">
        <w:rPr>
          <w:rFonts w:ascii="Verdana" w:hAnsi="Verdana" w:cs="Arial"/>
          <w:sz w:val="20"/>
          <w:szCs w:val="20"/>
          <w:lang w:val="en-US"/>
        </w:rPr>
        <w:t xml:space="preserve"> of the Convention</w:t>
      </w:r>
      <w:r w:rsidR="00E9106E" w:rsidRPr="00D2561A">
        <w:rPr>
          <w:rFonts w:ascii="Verdana" w:hAnsi="Verdana" w:cs="Arial"/>
          <w:sz w:val="20"/>
          <w:szCs w:val="20"/>
          <w:lang w:val="en-US"/>
        </w:rPr>
        <w:t xml:space="preserve"> </w:t>
      </w:r>
      <w:r w:rsidRPr="00D2561A">
        <w:rPr>
          <w:rFonts w:ascii="Verdana" w:hAnsi="Verdana" w:cs="Arial"/>
          <w:sz w:val="20"/>
          <w:szCs w:val="20"/>
          <w:lang w:val="en-US"/>
        </w:rPr>
        <w:t xml:space="preserve">cannot be interpreted to establish or to recognize economic, social or cultural rights, or that it authorizes submitting a case to the Court based on their violation. Let me repeat, that if </w:t>
      </w:r>
      <w:r w:rsidR="004C49B1" w:rsidRPr="00D2561A">
        <w:rPr>
          <w:rFonts w:ascii="Verdana" w:hAnsi="Verdana" w:cs="Arial"/>
          <w:sz w:val="20"/>
          <w:szCs w:val="20"/>
          <w:lang w:val="en-US"/>
        </w:rPr>
        <w:t>Article 26 had</w:t>
      </w:r>
      <w:r w:rsidRPr="00D2561A">
        <w:rPr>
          <w:rFonts w:ascii="Verdana" w:hAnsi="Verdana" w:cs="Arial"/>
          <w:sz w:val="20"/>
          <w:szCs w:val="20"/>
          <w:lang w:val="en-US"/>
        </w:rPr>
        <w:t xml:space="preserve"> established this, </w:t>
      </w:r>
      <w:r w:rsidR="004C49B1" w:rsidRPr="00D2561A">
        <w:rPr>
          <w:rFonts w:ascii="Verdana" w:hAnsi="Verdana" w:cs="Arial"/>
          <w:sz w:val="20"/>
          <w:szCs w:val="20"/>
          <w:lang w:val="en-US"/>
        </w:rPr>
        <w:t>it is evident that</w:t>
      </w:r>
      <w:r w:rsidRPr="00D2561A">
        <w:rPr>
          <w:rFonts w:ascii="Verdana" w:hAnsi="Verdana" w:cs="Arial"/>
          <w:sz w:val="20"/>
          <w:szCs w:val="20"/>
          <w:lang w:val="en-US"/>
        </w:rPr>
        <w:t xml:space="preserve"> the</w:t>
      </w:r>
      <w:r w:rsidR="004C49B1" w:rsidRPr="00D2561A">
        <w:rPr>
          <w:rFonts w:ascii="Verdana" w:hAnsi="Verdana" w:cs="Arial"/>
          <w:sz w:val="20"/>
          <w:szCs w:val="20"/>
          <w:lang w:val="en-US"/>
        </w:rPr>
        <w:t xml:space="preserve"> States </w:t>
      </w:r>
      <w:r w:rsidRPr="00D2561A">
        <w:rPr>
          <w:rFonts w:ascii="Verdana" w:hAnsi="Verdana" w:cs="Arial"/>
          <w:sz w:val="20"/>
          <w:szCs w:val="20"/>
          <w:lang w:val="en-US"/>
        </w:rPr>
        <w:t xml:space="preserve">would not have adopted the Protocol. </w:t>
      </w:r>
      <w:r w:rsidR="00B6012A" w:rsidRPr="00D2561A">
        <w:rPr>
          <w:rFonts w:ascii="Verdana" w:hAnsi="Verdana" w:cs="Arial"/>
          <w:sz w:val="20"/>
          <w:szCs w:val="20"/>
          <w:lang w:val="en-US"/>
        </w:rPr>
        <w:t>Consequently, it was</w:t>
      </w:r>
      <w:r w:rsidRPr="00D2561A">
        <w:rPr>
          <w:rFonts w:ascii="Verdana" w:hAnsi="Verdana" w:cs="Arial"/>
          <w:sz w:val="20"/>
          <w:szCs w:val="20"/>
          <w:lang w:val="en-US"/>
        </w:rPr>
        <w:t xml:space="preserve"> for that reason that it was necessary to adopt it. Its signature cannot be explained in any other way.</w:t>
      </w:r>
    </w:p>
    <w:p w14:paraId="3F5A2E62" w14:textId="77777777" w:rsidR="00AA40B9" w:rsidRPr="00D2561A" w:rsidRDefault="00AA40B9" w:rsidP="000E0801">
      <w:pPr>
        <w:pStyle w:val="Prrafodelista"/>
        <w:spacing w:line="240" w:lineRule="auto"/>
        <w:ind w:left="-270" w:right="-162"/>
        <w:rPr>
          <w:rFonts w:ascii="Verdana" w:eastAsia="Batang" w:hAnsi="Verdana"/>
          <w:sz w:val="20"/>
          <w:szCs w:val="20"/>
          <w:lang w:val="en-US"/>
        </w:rPr>
      </w:pPr>
    </w:p>
    <w:p w14:paraId="74CAEDEB" w14:textId="51BB7204" w:rsidR="00E1107C" w:rsidRPr="00D2561A" w:rsidRDefault="00E1107C"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eastAsia="Batang" w:hAnsi="Verdana"/>
          <w:sz w:val="20"/>
          <w:szCs w:val="20"/>
          <w:lang w:val="en-US"/>
        </w:rPr>
        <w:t xml:space="preserve">Based on the above, it can be concluded that the Protocol is clear </w:t>
      </w:r>
      <w:r w:rsidR="00E3037C" w:rsidRPr="00D2561A">
        <w:rPr>
          <w:rFonts w:ascii="Verdana" w:eastAsia="Batang" w:hAnsi="Verdana"/>
          <w:sz w:val="20"/>
          <w:szCs w:val="20"/>
          <w:lang w:val="en-US"/>
        </w:rPr>
        <w:t>evidence</w:t>
      </w:r>
      <w:r w:rsidRPr="00D2561A">
        <w:rPr>
          <w:rFonts w:ascii="Verdana" w:eastAsia="Batang" w:hAnsi="Verdana"/>
          <w:sz w:val="20"/>
          <w:szCs w:val="20"/>
          <w:lang w:val="en-US"/>
        </w:rPr>
        <w:t xml:space="preserve"> that the provisions of Article 26 do not establish any human right </w:t>
      </w:r>
      <w:r w:rsidR="00B6012A" w:rsidRPr="00D2561A">
        <w:rPr>
          <w:rFonts w:ascii="Verdana" w:eastAsia="Batang" w:hAnsi="Verdana"/>
          <w:sz w:val="20"/>
          <w:szCs w:val="20"/>
          <w:lang w:val="en-US"/>
        </w:rPr>
        <w:t>or, in particular,</w:t>
      </w:r>
      <w:r w:rsidRPr="00D2561A">
        <w:rPr>
          <w:rFonts w:ascii="Verdana" w:eastAsia="Batang" w:hAnsi="Verdana"/>
          <w:sz w:val="20"/>
          <w:szCs w:val="20"/>
          <w:lang w:val="en-US"/>
        </w:rPr>
        <w:t xml:space="preserve"> as maintained in the judgment, provide legitimacy to litigate before the Court for the violation of the economic, social and cultural rights to which it refers.</w:t>
      </w:r>
    </w:p>
    <w:p w14:paraId="544E7A32" w14:textId="1F11F13A" w:rsidR="002D243B" w:rsidRPr="00D2561A" w:rsidRDefault="002D243B" w:rsidP="000E0801">
      <w:pPr>
        <w:pStyle w:val="Prrafodelista"/>
        <w:spacing w:line="240" w:lineRule="auto"/>
        <w:ind w:left="-270" w:right="-162"/>
        <w:rPr>
          <w:rFonts w:ascii="Verdana" w:eastAsia="Batang" w:hAnsi="Verdana"/>
          <w:sz w:val="20"/>
          <w:szCs w:val="20"/>
          <w:lang w:val="en-US"/>
        </w:rPr>
      </w:pPr>
    </w:p>
    <w:p w14:paraId="0E5FF585" w14:textId="77777777" w:rsidR="00B6012A" w:rsidRPr="00D2561A" w:rsidRDefault="00B6012A" w:rsidP="000E0801">
      <w:pPr>
        <w:pStyle w:val="Prrafodelista"/>
        <w:spacing w:line="240" w:lineRule="auto"/>
        <w:ind w:left="-270" w:right="-162"/>
        <w:rPr>
          <w:rFonts w:ascii="Verdana" w:eastAsia="Batang" w:hAnsi="Verdana"/>
          <w:sz w:val="20"/>
          <w:szCs w:val="20"/>
          <w:lang w:val="en-US"/>
        </w:rPr>
      </w:pPr>
    </w:p>
    <w:p w14:paraId="06ED2FC6" w14:textId="05FEC0C7" w:rsidR="002D243B" w:rsidRPr="00D2561A" w:rsidRDefault="002D243B" w:rsidP="00D5153E">
      <w:pPr>
        <w:pStyle w:val="Prrafodelista"/>
        <w:numPr>
          <w:ilvl w:val="0"/>
          <w:numId w:val="13"/>
        </w:numPr>
        <w:spacing w:line="240" w:lineRule="auto"/>
        <w:ind w:left="90" w:right="-162"/>
        <w:rPr>
          <w:rFonts w:ascii="Verdana" w:eastAsia="Batang" w:hAnsi="Verdana"/>
          <w:b/>
          <w:bCs/>
          <w:sz w:val="20"/>
          <w:szCs w:val="20"/>
          <w:lang w:val="en-US"/>
        </w:rPr>
      </w:pPr>
      <w:r w:rsidRPr="00D2561A">
        <w:rPr>
          <w:rFonts w:ascii="Verdana" w:eastAsia="Batang" w:hAnsi="Verdana"/>
          <w:b/>
          <w:bCs/>
          <w:sz w:val="20"/>
          <w:szCs w:val="20"/>
          <w:lang w:val="en-US"/>
        </w:rPr>
        <w:t xml:space="preserve">Conclusions </w:t>
      </w:r>
      <w:r w:rsidR="00D5153E" w:rsidRPr="00D2561A">
        <w:rPr>
          <w:rFonts w:ascii="Verdana" w:eastAsia="Batang" w:hAnsi="Verdana"/>
          <w:b/>
          <w:bCs/>
          <w:sz w:val="20"/>
          <w:szCs w:val="20"/>
          <w:lang w:val="en-US"/>
        </w:rPr>
        <w:t>with regard to</w:t>
      </w:r>
      <w:r w:rsidRPr="00D2561A">
        <w:rPr>
          <w:rFonts w:ascii="Verdana" w:eastAsia="Batang" w:hAnsi="Verdana"/>
          <w:b/>
          <w:bCs/>
          <w:sz w:val="20"/>
          <w:szCs w:val="20"/>
          <w:lang w:val="en-US"/>
        </w:rPr>
        <w:t xml:space="preserve"> </w:t>
      </w:r>
      <w:r w:rsidR="00466AF7" w:rsidRPr="00D2561A">
        <w:rPr>
          <w:rFonts w:ascii="Verdana" w:eastAsia="Batang" w:hAnsi="Verdana"/>
          <w:b/>
          <w:bCs/>
          <w:sz w:val="20"/>
          <w:szCs w:val="20"/>
          <w:lang w:val="en-US"/>
        </w:rPr>
        <w:t>Article</w:t>
      </w:r>
      <w:r w:rsidRPr="00D2561A">
        <w:rPr>
          <w:rFonts w:ascii="Verdana" w:eastAsia="Batang" w:hAnsi="Verdana"/>
          <w:b/>
          <w:bCs/>
          <w:sz w:val="20"/>
          <w:szCs w:val="20"/>
          <w:lang w:val="en-US"/>
        </w:rPr>
        <w:t xml:space="preserve"> 26. </w:t>
      </w:r>
    </w:p>
    <w:p w14:paraId="7DD590F0" w14:textId="77777777" w:rsidR="002D243B" w:rsidRPr="00D2561A" w:rsidRDefault="002D243B" w:rsidP="000E0801">
      <w:pPr>
        <w:pStyle w:val="Prrafodelista"/>
        <w:spacing w:line="240" w:lineRule="auto"/>
        <w:ind w:left="-270" w:right="-162"/>
        <w:rPr>
          <w:rFonts w:ascii="Verdana" w:hAnsi="Verdana"/>
          <w:sz w:val="20"/>
          <w:szCs w:val="20"/>
          <w:lang w:val="en-US"/>
        </w:rPr>
      </w:pPr>
    </w:p>
    <w:p w14:paraId="1FD87F64" w14:textId="3842A7C6" w:rsidR="002D243B" w:rsidRPr="00D2561A" w:rsidRDefault="00E3037C" w:rsidP="000E0801">
      <w:pPr>
        <w:numPr>
          <w:ilvl w:val="0"/>
          <w:numId w:val="5"/>
        </w:numPr>
        <w:spacing w:line="240" w:lineRule="auto"/>
        <w:ind w:left="-270" w:right="-162" w:firstLine="0"/>
        <w:contextualSpacing/>
        <w:rPr>
          <w:rFonts w:ascii="Verdana" w:hAnsi="Verdana"/>
          <w:sz w:val="20"/>
          <w:szCs w:val="20"/>
          <w:lang w:val="en-US"/>
        </w:rPr>
      </w:pPr>
      <w:r w:rsidRPr="00D2561A">
        <w:rPr>
          <w:rFonts w:ascii="Verdana" w:hAnsi="Verdana"/>
          <w:sz w:val="20"/>
          <w:szCs w:val="20"/>
          <w:lang w:val="en-US"/>
        </w:rPr>
        <w:t xml:space="preserve">It is therefore for the above reasons that I dissent partially from the judgment; that is, from the provisions of </w:t>
      </w:r>
      <w:r w:rsidR="00D5153E" w:rsidRPr="00D2561A">
        <w:rPr>
          <w:rFonts w:ascii="Verdana" w:hAnsi="Verdana"/>
          <w:sz w:val="20"/>
          <w:szCs w:val="20"/>
          <w:lang w:val="en-US"/>
        </w:rPr>
        <w:t>its operative paragraphs</w:t>
      </w:r>
      <w:r w:rsidR="00FC27ED" w:rsidRPr="00D2561A">
        <w:rPr>
          <w:rFonts w:ascii="Verdana" w:hAnsi="Verdana"/>
          <w:sz w:val="20"/>
          <w:szCs w:val="20"/>
          <w:lang w:val="en-US"/>
        </w:rPr>
        <w:t xml:space="preserve"> </w:t>
      </w:r>
      <w:r w:rsidR="00914CFC" w:rsidRPr="00D2561A">
        <w:rPr>
          <w:rFonts w:ascii="Verdana" w:hAnsi="Verdana"/>
          <w:sz w:val="20"/>
          <w:szCs w:val="20"/>
          <w:lang w:val="en-US"/>
        </w:rPr>
        <w:t>2</w:t>
      </w:r>
      <w:r w:rsidR="00FC27ED" w:rsidRPr="00D2561A">
        <w:rPr>
          <w:rStyle w:val="Refdenotaalpie"/>
          <w:rFonts w:ascii="Verdana" w:hAnsi="Verdana"/>
          <w:sz w:val="20"/>
          <w:szCs w:val="20"/>
          <w:lang w:val="en-US"/>
        </w:rPr>
        <w:footnoteReference w:id="91"/>
      </w:r>
      <w:r w:rsidR="00E30D1A" w:rsidRPr="00D2561A">
        <w:rPr>
          <w:rFonts w:ascii="Verdana" w:hAnsi="Verdana"/>
          <w:sz w:val="20"/>
          <w:szCs w:val="20"/>
          <w:lang w:val="en-US"/>
        </w:rPr>
        <w:t xml:space="preserve"> and </w:t>
      </w:r>
      <w:r w:rsidR="00914CFC" w:rsidRPr="00D2561A">
        <w:rPr>
          <w:rFonts w:ascii="Verdana" w:hAnsi="Verdana"/>
          <w:sz w:val="20"/>
          <w:szCs w:val="20"/>
          <w:lang w:val="en-US"/>
        </w:rPr>
        <w:t>6</w:t>
      </w:r>
      <w:r w:rsidR="00D5153E" w:rsidRPr="00D2561A">
        <w:rPr>
          <w:rFonts w:ascii="Verdana" w:hAnsi="Verdana"/>
          <w:sz w:val="20"/>
          <w:szCs w:val="20"/>
          <w:lang w:val="en-US"/>
        </w:rPr>
        <w:t>.</w:t>
      </w:r>
      <w:r w:rsidR="00FC27ED" w:rsidRPr="00D2561A">
        <w:rPr>
          <w:rStyle w:val="Refdenotaalpie"/>
          <w:rFonts w:ascii="Verdana" w:hAnsi="Verdana"/>
          <w:sz w:val="20"/>
          <w:szCs w:val="20"/>
          <w:lang w:val="en-US"/>
        </w:rPr>
        <w:footnoteReference w:id="92"/>
      </w:r>
    </w:p>
    <w:p w14:paraId="21E185F2" w14:textId="77777777" w:rsidR="00914CFC" w:rsidRPr="00D2561A" w:rsidRDefault="00914CFC" w:rsidP="000E0801">
      <w:pPr>
        <w:spacing w:line="240" w:lineRule="auto"/>
        <w:ind w:left="-270" w:right="-162"/>
        <w:contextualSpacing/>
        <w:rPr>
          <w:rFonts w:ascii="Verdana" w:hAnsi="Verdana"/>
          <w:sz w:val="20"/>
          <w:szCs w:val="20"/>
          <w:lang w:val="en-US"/>
        </w:rPr>
      </w:pPr>
    </w:p>
    <w:p w14:paraId="52007A5E" w14:textId="18DC547A" w:rsidR="002D243B" w:rsidRPr="00D2561A" w:rsidRDefault="00E3037C"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hAnsi="Verdana"/>
          <w:sz w:val="20"/>
          <w:szCs w:val="20"/>
          <w:lang w:val="en-US"/>
        </w:rPr>
        <w:t xml:space="preserve">In this regard, I must insist, once again, that this brief does not relate to the existence of </w:t>
      </w:r>
      <w:r w:rsidR="008A051B" w:rsidRPr="00D2561A">
        <w:rPr>
          <w:rFonts w:ascii="Verdana" w:hAnsi="Verdana"/>
          <w:bCs/>
          <w:sz w:val="20"/>
          <w:szCs w:val="20"/>
          <w:lang w:val="en-US"/>
        </w:rPr>
        <w:t>the right to just and favorable conditions that ensure safety, health and hygiene in the workplace</w:t>
      </w:r>
      <w:r w:rsidR="00DC74CA" w:rsidRPr="00D2561A">
        <w:rPr>
          <w:rFonts w:ascii="Verdana" w:hAnsi="Verdana"/>
          <w:sz w:val="20"/>
          <w:szCs w:val="20"/>
          <w:lang w:val="en-US"/>
        </w:rPr>
        <w:t xml:space="preserve">. </w:t>
      </w:r>
      <w:r w:rsidRPr="00D2561A">
        <w:rPr>
          <w:rFonts w:ascii="Verdana" w:hAnsi="Verdana"/>
          <w:sz w:val="20"/>
          <w:szCs w:val="20"/>
          <w:lang w:val="en-US"/>
        </w:rPr>
        <w:t>This is not its purpose. I merely maintain that its possible violation cannot be submitted to the Court’s consideration and decision</w:t>
      </w:r>
      <w:r w:rsidR="00355348" w:rsidRPr="00D2561A">
        <w:rPr>
          <w:rFonts w:ascii="Verdana" w:hAnsi="Verdana"/>
          <w:sz w:val="20"/>
          <w:szCs w:val="20"/>
          <w:lang w:val="en-US"/>
        </w:rPr>
        <w:t xml:space="preserve">. </w:t>
      </w:r>
    </w:p>
    <w:p w14:paraId="6A404050" w14:textId="77777777" w:rsidR="00145FDC" w:rsidRPr="00D2561A" w:rsidRDefault="00145FDC" w:rsidP="00145FDC">
      <w:pPr>
        <w:pStyle w:val="Prrafodelista"/>
        <w:rPr>
          <w:rFonts w:ascii="Verdana" w:eastAsia="Batang" w:hAnsi="Verdana"/>
          <w:sz w:val="20"/>
          <w:szCs w:val="20"/>
          <w:lang w:val="en-US"/>
        </w:rPr>
      </w:pPr>
    </w:p>
    <w:p w14:paraId="32082D48" w14:textId="1DD05E43" w:rsidR="00E3037C" w:rsidRPr="00D2561A" w:rsidRDefault="00E3037C" w:rsidP="00145FDC">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hAnsi="Verdana"/>
          <w:sz w:val="20"/>
          <w:szCs w:val="20"/>
          <w:lang w:val="en-US"/>
        </w:rPr>
        <w:t>Furthermore, it is necessary to point out that this opinion should not be seen</w:t>
      </w:r>
      <w:r w:rsidR="00261BB8" w:rsidRPr="00D2561A">
        <w:rPr>
          <w:rFonts w:ascii="Verdana" w:hAnsi="Verdana"/>
          <w:sz w:val="20"/>
          <w:szCs w:val="20"/>
          <w:lang w:val="en-US"/>
        </w:rPr>
        <w:t xml:space="preserve"> to indicate</w:t>
      </w:r>
      <w:r w:rsidRPr="00D2561A">
        <w:rPr>
          <w:rFonts w:ascii="Verdana" w:hAnsi="Verdana"/>
          <w:sz w:val="20"/>
          <w:szCs w:val="20"/>
          <w:lang w:val="en-US"/>
        </w:rPr>
        <w:t xml:space="preserve"> that I am not in favor of violations of the economic, social and cultural rights eventually being submitted to the consideration of the Court</w:t>
      </w:r>
      <w:r w:rsidR="00355348" w:rsidRPr="00D2561A">
        <w:rPr>
          <w:rFonts w:ascii="Verdana" w:hAnsi="Verdana"/>
          <w:sz w:val="20"/>
          <w:szCs w:val="20"/>
          <w:lang w:val="en-US"/>
        </w:rPr>
        <w:t xml:space="preserve">. </w:t>
      </w:r>
      <w:r w:rsidRPr="00D2561A">
        <w:rPr>
          <w:rFonts w:ascii="Verdana" w:hAnsi="Verdana"/>
          <w:sz w:val="20"/>
          <w:szCs w:val="20"/>
          <w:lang w:val="en-US"/>
        </w:rPr>
        <w:t>In this regard, I consider that if this occurs, it must be d</w:t>
      </w:r>
      <w:r w:rsidR="00261BB8" w:rsidRPr="00D2561A">
        <w:rPr>
          <w:rFonts w:ascii="Verdana" w:hAnsi="Verdana"/>
          <w:sz w:val="20"/>
          <w:szCs w:val="20"/>
          <w:lang w:val="en-US"/>
        </w:rPr>
        <w:t>ecided</w:t>
      </w:r>
      <w:r w:rsidRPr="00D2561A">
        <w:rPr>
          <w:rFonts w:ascii="Verdana" w:hAnsi="Verdana"/>
          <w:sz w:val="20"/>
          <w:szCs w:val="20"/>
          <w:lang w:val="en-US"/>
        </w:rPr>
        <w:t xml:space="preserve"> by the entity that holds the international normative function. It does not appear appropriate that the organ that holds the inter-American judicial function should assume the international normative function, especially when the States concerned are democratic and, in this regard, governed by the Inter-American Democratic Charter,</w:t>
      </w:r>
      <w:r w:rsidRPr="00D2561A">
        <w:rPr>
          <w:rStyle w:val="Refdenotaalpie"/>
          <w:rFonts w:ascii="Verdana" w:hAnsi="Verdana"/>
          <w:sz w:val="20"/>
          <w:szCs w:val="20"/>
          <w:lang w:val="en-US"/>
        </w:rPr>
        <w:footnoteReference w:id="93"/>
      </w:r>
      <w:r w:rsidRPr="00D2561A">
        <w:rPr>
          <w:rFonts w:ascii="Verdana" w:hAnsi="Verdana"/>
          <w:sz w:val="20"/>
          <w:szCs w:val="20"/>
          <w:lang w:val="en-US"/>
        </w:rPr>
        <w:t xml:space="preserve"> which establishes the separation of powers and citizen participation in public affairs; and evidently the Court must respect this, particularly in the case of those norms that </w:t>
      </w:r>
      <w:r w:rsidR="00261BB8" w:rsidRPr="00D2561A">
        <w:rPr>
          <w:rFonts w:ascii="Verdana" w:hAnsi="Verdana"/>
          <w:sz w:val="20"/>
          <w:szCs w:val="20"/>
          <w:lang w:val="en-US"/>
        </w:rPr>
        <w:t xml:space="preserve">are </w:t>
      </w:r>
      <w:r w:rsidRPr="00D2561A">
        <w:rPr>
          <w:rFonts w:ascii="Verdana" w:hAnsi="Verdana"/>
          <w:sz w:val="20"/>
          <w:szCs w:val="20"/>
          <w:lang w:val="en-US"/>
        </w:rPr>
        <w:t>more directly related to the intervention of the citizenry.</w:t>
      </w:r>
    </w:p>
    <w:p w14:paraId="64BF55C9" w14:textId="60F4E6F0" w:rsidR="00914CFC" w:rsidRPr="00D2561A" w:rsidRDefault="00914CFC" w:rsidP="00E3037C">
      <w:pPr>
        <w:spacing w:line="240" w:lineRule="auto"/>
        <w:ind w:left="-270" w:right="-162"/>
        <w:contextualSpacing/>
        <w:rPr>
          <w:rFonts w:ascii="Verdana" w:eastAsia="Batang" w:hAnsi="Verdana"/>
          <w:sz w:val="20"/>
          <w:szCs w:val="20"/>
          <w:lang w:val="en-US"/>
        </w:rPr>
      </w:pPr>
    </w:p>
    <w:p w14:paraId="5D1037A8" w14:textId="05F67D19" w:rsidR="007E62AC" w:rsidRPr="00D2561A" w:rsidRDefault="00E3037C"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eastAsia="Batang" w:hAnsi="Verdana"/>
          <w:sz w:val="20"/>
          <w:szCs w:val="20"/>
          <w:lang w:val="en-US"/>
        </w:rPr>
        <w:t>From this perspective, it is worth insisting that interpret</w:t>
      </w:r>
      <w:r w:rsidR="007E62AC" w:rsidRPr="00D2561A">
        <w:rPr>
          <w:rFonts w:ascii="Verdana" w:eastAsia="Batang" w:hAnsi="Verdana"/>
          <w:sz w:val="20"/>
          <w:szCs w:val="20"/>
          <w:lang w:val="en-US"/>
        </w:rPr>
        <w:t>a</w:t>
      </w:r>
      <w:r w:rsidRPr="00D2561A">
        <w:rPr>
          <w:rFonts w:ascii="Verdana" w:eastAsia="Batang" w:hAnsi="Verdana"/>
          <w:sz w:val="20"/>
          <w:szCs w:val="20"/>
          <w:lang w:val="en-US"/>
        </w:rPr>
        <w:t xml:space="preserve">tion does not consist in determining the meaning and scope of a norm </w:t>
      </w:r>
      <w:r w:rsidR="0051750F" w:rsidRPr="00D2561A">
        <w:rPr>
          <w:rFonts w:ascii="Verdana" w:eastAsia="Batang" w:hAnsi="Verdana"/>
          <w:sz w:val="20"/>
          <w:szCs w:val="20"/>
          <w:lang w:val="en-US"/>
        </w:rPr>
        <w:t>so</w:t>
      </w:r>
      <w:r w:rsidR="007E62AC" w:rsidRPr="00D2561A">
        <w:rPr>
          <w:rFonts w:ascii="Verdana" w:eastAsia="Batang" w:hAnsi="Verdana"/>
          <w:sz w:val="20"/>
          <w:szCs w:val="20"/>
          <w:lang w:val="en-US"/>
        </w:rPr>
        <w:t xml:space="preserve"> that it expresse</w:t>
      </w:r>
      <w:r w:rsidR="0051750F" w:rsidRPr="00D2561A">
        <w:rPr>
          <w:rFonts w:ascii="Verdana" w:eastAsia="Batang" w:hAnsi="Verdana"/>
          <w:sz w:val="20"/>
          <w:szCs w:val="20"/>
          <w:lang w:val="en-US"/>
        </w:rPr>
        <w:t>s</w:t>
      </w:r>
      <w:r w:rsidR="007E62AC" w:rsidRPr="00D2561A">
        <w:rPr>
          <w:rFonts w:ascii="Verdana" w:eastAsia="Batang" w:hAnsi="Verdana"/>
          <w:sz w:val="20"/>
          <w:szCs w:val="20"/>
          <w:lang w:val="en-US"/>
        </w:rPr>
        <w:t xml:space="preserve"> the interprete</w:t>
      </w:r>
      <w:r w:rsidR="00DB5D11">
        <w:rPr>
          <w:rFonts w:ascii="Verdana" w:eastAsia="Batang" w:hAnsi="Verdana"/>
          <w:sz w:val="20"/>
          <w:szCs w:val="20"/>
          <w:lang w:val="en-US"/>
        </w:rPr>
        <w:t>r’s preference</w:t>
      </w:r>
      <w:r w:rsidR="007E62AC" w:rsidRPr="00D2561A">
        <w:rPr>
          <w:rFonts w:ascii="Verdana" w:eastAsia="Batang" w:hAnsi="Verdana"/>
          <w:sz w:val="20"/>
          <w:szCs w:val="20"/>
          <w:lang w:val="en-US"/>
        </w:rPr>
        <w:t>, but rather what it objectively establishes and, in the case of the Convention</w:t>
      </w:r>
      <w:r w:rsidR="00355348" w:rsidRPr="00D2561A">
        <w:rPr>
          <w:rFonts w:ascii="Verdana" w:hAnsi="Verdana"/>
          <w:sz w:val="20"/>
          <w:szCs w:val="20"/>
          <w:lang w:val="en-US"/>
        </w:rPr>
        <w:t xml:space="preserve">, </w:t>
      </w:r>
      <w:r w:rsidR="007E62AC" w:rsidRPr="00D2561A">
        <w:rPr>
          <w:rFonts w:ascii="Verdana" w:hAnsi="Verdana"/>
          <w:sz w:val="20"/>
          <w:szCs w:val="20"/>
          <w:lang w:val="en-US"/>
        </w:rPr>
        <w:t>it is a question of defining how</w:t>
      </w:r>
      <w:r w:rsidR="00DB5D11">
        <w:rPr>
          <w:rFonts w:ascii="Verdana" w:hAnsi="Verdana"/>
          <w:sz w:val="20"/>
          <w:szCs w:val="20"/>
          <w:lang w:val="en-US"/>
        </w:rPr>
        <w:t xml:space="preserve"> the text</w:t>
      </w:r>
      <w:r w:rsidR="007E62AC" w:rsidRPr="00D2561A">
        <w:rPr>
          <w:rFonts w:ascii="Verdana" w:hAnsi="Verdana"/>
          <w:sz w:val="20"/>
          <w:szCs w:val="20"/>
          <w:lang w:val="en-US"/>
        </w:rPr>
        <w:t xml:space="preserve"> agreed by its States Parties may be applied at the time and under the circumstances in which the respective dispute is submitted; in other words, how to make the </w:t>
      </w:r>
      <w:r w:rsidR="00355348" w:rsidRPr="00D2561A">
        <w:rPr>
          <w:rFonts w:ascii="Verdana" w:hAnsi="Verdana"/>
          <w:sz w:val="20"/>
          <w:szCs w:val="20"/>
          <w:lang w:val="en-US"/>
        </w:rPr>
        <w:t>“</w:t>
      </w:r>
      <w:r w:rsidR="00355348" w:rsidRPr="00D2561A">
        <w:rPr>
          <w:rFonts w:ascii="Verdana" w:hAnsi="Verdana"/>
          <w:i/>
          <w:sz w:val="20"/>
          <w:szCs w:val="20"/>
          <w:lang w:val="en-US"/>
        </w:rPr>
        <w:t xml:space="preserve">pacta sunt </w:t>
      </w:r>
      <w:proofErr w:type="spellStart"/>
      <w:r w:rsidR="00355348" w:rsidRPr="00D2561A">
        <w:rPr>
          <w:rFonts w:ascii="Verdana" w:hAnsi="Verdana"/>
          <w:i/>
          <w:sz w:val="20"/>
          <w:szCs w:val="20"/>
          <w:lang w:val="en-US"/>
        </w:rPr>
        <w:t>servanda</w:t>
      </w:r>
      <w:proofErr w:type="spellEnd"/>
      <w:r w:rsidR="00355348" w:rsidRPr="00D2561A">
        <w:rPr>
          <w:rFonts w:ascii="Verdana" w:hAnsi="Verdana"/>
          <w:sz w:val="20"/>
          <w:szCs w:val="20"/>
          <w:lang w:val="en-US"/>
        </w:rPr>
        <w:t xml:space="preserve">” </w:t>
      </w:r>
      <w:r w:rsidR="007E62AC" w:rsidRPr="00D2561A">
        <w:rPr>
          <w:rFonts w:ascii="Verdana" w:hAnsi="Verdana"/>
          <w:sz w:val="20"/>
          <w:szCs w:val="20"/>
          <w:lang w:val="en-US"/>
        </w:rPr>
        <w:t>principle applicable at the time and in the circumstances in which the dispute occurs. Thus, the issue is how to ensure that human rights treaties are,</w:t>
      </w:r>
      <w:r w:rsidR="007E62AC" w:rsidRPr="00D2561A">
        <w:rPr>
          <w:rFonts w:ascii="Verdana" w:hAnsi="Verdana"/>
          <w:i/>
          <w:iCs/>
          <w:sz w:val="20"/>
          <w:szCs w:val="20"/>
          <w:lang w:val="en-US"/>
        </w:rPr>
        <w:t xml:space="preserve"> per se,</w:t>
      </w:r>
      <w:r w:rsidR="007E62AC" w:rsidRPr="00D2561A">
        <w:rPr>
          <w:rFonts w:ascii="Verdana" w:hAnsi="Verdana"/>
          <w:sz w:val="20"/>
          <w:szCs w:val="20"/>
          <w:lang w:val="en-US"/>
        </w:rPr>
        <w:t xml:space="preserve"> tru</w:t>
      </w:r>
      <w:r w:rsidR="0051750F" w:rsidRPr="00D2561A">
        <w:rPr>
          <w:rFonts w:ascii="Verdana" w:hAnsi="Verdana"/>
          <w:sz w:val="20"/>
          <w:szCs w:val="20"/>
          <w:lang w:val="en-US"/>
        </w:rPr>
        <w:t>ly</w:t>
      </w:r>
      <w:r w:rsidR="007E62AC" w:rsidRPr="00D2561A">
        <w:rPr>
          <w:rFonts w:ascii="Verdana" w:hAnsi="Verdana"/>
          <w:sz w:val="20"/>
          <w:szCs w:val="20"/>
          <w:lang w:val="en-US"/>
        </w:rPr>
        <w:t xml:space="preserve"> living instruments; that is,</w:t>
      </w:r>
      <w:r w:rsidR="0051750F" w:rsidRPr="00D2561A">
        <w:rPr>
          <w:rFonts w:ascii="Verdana" w:hAnsi="Verdana"/>
          <w:sz w:val="20"/>
          <w:szCs w:val="20"/>
          <w:lang w:val="en-US"/>
        </w:rPr>
        <w:t xml:space="preserve"> that they are</w:t>
      </w:r>
      <w:r w:rsidR="007E62AC" w:rsidRPr="00D2561A">
        <w:rPr>
          <w:rFonts w:ascii="Verdana" w:hAnsi="Verdana"/>
          <w:sz w:val="20"/>
          <w:szCs w:val="20"/>
          <w:lang w:val="en-US"/>
        </w:rPr>
        <w:t xml:space="preserve"> susceptible to understanding or being applicable to the new realities and not that that it is their interpretation</w:t>
      </w:r>
      <w:r w:rsidR="0051750F" w:rsidRPr="00D2561A">
        <w:rPr>
          <w:rFonts w:ascii="Verdana" w:hAnsi="Verdana"/>
          <w:sz w:val="20"/>
          <w:szCs w:val="20"/>
          <w:lang w:val="en-US"/>
        </w:rPr>
        <w:t xml:space="preserve"> – as </w:t>
      </w:r>
      <w:r w:rsidR="007E62AC" w:rsidRPr="00D2561A">
        <w:rPr>
          <w:rFonts w:ascii="Verdana" w:hAnsi="Verdana"/>
          <w:sz w:val="20"/>
          <w:szCs w:val="20"/>
          <w:lang w:val="en-US"/>
        </w:rPr>
        <w:t xml:space="preserve">if </w:t>
      </w:r>
      <w:r w:rsidR="0051750F" w:rsidRPr="00D2561A">
        <w:rPr>
          <w:rFonts w:ascii="Verdana" w:hAnsi="Verdana"/>
          <w:sz w:val="20"/>
          <w:szCs w:val="20"/>
          <w:lang w:val="en-US"/>
        </w:rPr>
        <w:t xml:space="preserve">it </w:t>
      </w:r>
      <w:r w:rsidR="007E62AC" w:rsidRPr="00D2561A">
        <w:rPr>
          <w:rFonts w:ascii="Verdana" w:hAnsi="Verdana"/>
          <w:sz w:val="20"/>
          <w:szCs w:val="20"/>
          <w:lang w:val="en-US"/>
        </w:rPr>
        <w:t>was a separate entity</w:t>
      </w:r>
      <w:r w:rsidR="0051750F" w:rsidRPr="00D2561A">
        <w:rPr>
          <w:rFonts w:ascii="Verdana" w:hAnsi="Verdana"/>
          <w:sz w:val="20"/>
          <w:szCs w:val="20"/>
          <w:lang w:val="en-US"/>
        </w:rPr>
        <w:t xml:space="preserve"> – that evolves with</w:t>
      </w:r>
      <w:r w:rsidR="007E62AC" w:rsidRPr="00D2561A">
        <w:rPr>
          <w:rFonts w:ascii="Verdana" w:hAnsi="Verdana"/>
          <w:sz w:val="20"/>
          <w:szCs w:val="20"/>
          <w:lang w:val="en-US"/>
        </w:rPr>
        <w:t xml:space="preserve"> the times and current circumstances, changing what </w:t>
      </w:r>
      <w:r w:rsidR="0051750F" w:rsidRPr="00D2561A">
        <w:rPr>
          <w:rFonts w:ascii="Verdana" w:hAnsi="Verdana"/>
          <w:sz w:val="20"/>
          <w:szCs w:val="20"/>
          <w:lang w:val="en-US"/>
        </w:rPr>
        <w:t>they have</w:t>
      </w:r>
      <w:r w:rsidR="007E62AC" w:rsidRPr="00D2561A">
        <w:rPr>
          <w:rFonts w:ascii="Verdana" w:hAnsi="Verdana"/>
          <w:sz w:val="20"/>
          <w:szCs w:val="20"/>
          <w:lang w:val="en-US"/>
        </w:rPr>
        <w:t xml:space="preserve"> established.</w:t>
      </w:r>
    </w:p>
    <w:p w14:paraId="36CB0811" w14:textId="77777777" w:rsidR="00AD3637" w:rsidRPr="00D2561A" w:rsidRDefault="00AD3637" w:rsidP="007E62AC">
      <w:pPr>
        <w:spacing w:line="240" w:lineRule="auto"/>
        <w:ind w:left="0" w:right="-162"/>
        <w:rPr>
          <w:rFonts w:ascii="Verdana" w:eastAsia="Batang" w:hAnsi="Verdana"/>
          <w:sz w:val="20"/>
          <w:szCs w:val="20"/>
          <w:lang w:val="en-US"/>
        </w:rPr>
      </w:pPr>
    </w:p>
    <w:p w14:paraId="42A41CD6" w14:textId="3B0B3041" w:rsidR="007E62AC" w:rsidRPr="00D2561A" w:rsidRDefault="007E62AC"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eastAsia="Batang" w:hAnsi="Verdana"/>
          <w:sz w:val="20"/>
          <w:szCs w:val="20"/>
          <w:lang w:val="en-US"/>
        </w:rPr>
        <w:t xml:space="preserve">Lastly, it is essential to repeat that, if </w:t>
      </w:r>
      <w:r w:rsidR="0051750F" w:rsidRPr="00D2561A">
        <w:rPr>
          <w:rFonts w:ascii="Verdana" w:eastAsia="Batang" w:hAnsi="Verdana"/>
          <w:sz w:val="20"/>
          <w:szCs w:val="20"/>
          <w:lang w:val="en-US"/>
        </w:rPr>
        <w:t>the Court</w:t>
      </w:r>
      <w:r w:rsidRPr="00D2561A">
        <w:rPr>
          <w:rFonts w:ascii="Verdana" w:eastAsia="Batang" w:hAnsi="Verdana"/>
          <w:sz w:val="20"/>
          <w:szCs w:val="20"/>
          <w:lang w:val="en-US"/>
        </w:rPr>
        <w:t xml:space="preserve"> continues on the course </w:t>
      </w:r>
      <w:r w:rsidR="003059F2" w:rsidRPr="00D2561A">
        <w:rPr>
          <w:rFonts w:ascii="Verdana" w:eastAsia="Batang" w:hAnsi="Verdana"/>
          <w:sz w:val="20"/>
          <w:szCs w:val="20"/>
          <w:lang w:val="en-US"/>
        </w:rPr>
        <w:t>adopted</w:t>
      </w:r>
      <w:r w:rsidRPr="00D2561A">
        <w:rPr>
          <w:rFonts w:ascii="Verdana" w:eastAsia="Batang" w:hAnsi="Verdana"/>
          <w:sz w:val="20"/>
          <w:szCs w:val="20"/>
          <w:lang w:val="en-US"/>
        </w:rPr>
        <w:t xml:space="preserve"> by </w:t>
      </w:r>
      <w:r w:rsidR="0032767A" w:rsidRPr="00D2561A">
        <w:rPr>
          <w:rFonts w:ascii="Verdana" w:eastAsia="Batang" w:hAnsi="Verdana"/>
          <w:sz w:val="20"/>
          <w:szCs w:val="20"/>
          <w:lang w:val="en-US"/>
        </w:rPr>
        <w:t>the judgment</w:t>
      </w:r>
      <w:r w:rsidR="00355348" w:rsidRPr="00D2561A">
        <w:rPr>
          <w:rFonts w:ascii="Verdana" w:eastAsia="Batang" w:hAnsi="Verdana"/>
          <w:sz w:val="20"/>
          <w:szCs w:val="20"/>
          <w:lang w:val="en-US"/>
        </w:rPr>
        <w:t xml:space="preserve">, </w:t>
      </w:r>
      <w:r w:rsidR="00D5153E" w:rsidRPr="00D2561A">
        <w:rPr>
          <w:rFonts w:ascii="Verdana" w:eastAsia="Batang" w:hAnsi="Verdana"/>
          <w:sz w:val="20"/>
          <w:szCs w:val="20"/>
          <w:lang w:val="en-US"/>
        </w:rPr>
        <w:t>the inter-American system of human rights</w:t>
      </w:r>
      <w:r w:rsidR="00DC74CA" w:rsidRPr="00D2561A">
        <w:rPr>
          <w:rStyle w:val="Refdenotaalpie"/>
          <w:rFonts w:ascii="Verdana" w:eastAsia="Batang" w:hAnsi="Verdana"/>
          <w:sz w:val="20"/>
          <w:szCs w:val="20"/>
          <w:lang w:val="en-US"/>
        </w:rPr>
        <w:footnoteReference w:id="94"/>
      </w:r>
      <w:r w:rsidR="00355348" w:rsidRPr="00D2561A">
        <w:rPr>
          <w:rFonts w:ascii="Verdana" w:eastAsia="Batang" w:hAnsi="Verdana"/>
          <w:sz w:val="20"/>
          <w:szCs w:val="20"/>
          <w:lang w:val="en-US"/>
        </w:rPr>
        <w:t xml:space="preserve"> </w:t>
      </w:r>
      <w:r w:rsidRPr="00D2561A">
        <w:rPr>
          <w:rFonts w:ascii="Verdana" w:eastAsia="Batang" w:hAnsi="Verdana"/>
          <w:sz w:val="20"/>
          <w:szCs w:val="20"/>
          <w:lang w:val="en-US"/>
        </w:rPr>
        <w:t>as a whole could be seriously restricted. This is because, very probably</w:t>
      </w:r>
      <w:r w:rsidR="0051750F" w:rsidRPr="00D2561A">
        <w:rPr>
          <w:rFonts w:ascii="Verdana" w:eastAsia="Batang" w:hAnsi="Verdana"/>
          <w:sz w:val="20"/>
          <w:szCs w:val="20"/>
          <w:lang w:val="en-US"/>
        </w:rPr>
        <w:t xml:space="preserve"> </w:t>
      </w:r>
      <w:r w:rsidRPr="00D2561A">
        <w:rPr>
          <w:rFonts w:ascii="Verdana" w:eastAsia="Batang" w:hAnsi="Verdana"/>
          <w:sz w:val="20"/>
          <w:szCs w:val="20"/>
          <w:lang w:val="en-US"/>
        </w:rPr>
        <w:t xml:space="preserve">it would not encourage – but rather </w:t>
      </w:r>
      <w:r w:rsidR="0051750F" w:rsidRPr="00D2561A">
        <w:rPr>
          <w:rFonts w:ascii="Verdana" w:eastAsia="Batang" w:hAnsi="Verdana"/>
          <w:sz w:val="20"/>
          <w:szCs w:val="20"/>
          <w:lang w:val="en-US"/>
        </w:rPr>
        <w:t xml:space="preserve">discourage </w:t>
      </w:r>
      <w:r w:rsidRPr="00D2561A">
        <w:rPr>
          <w:rFonts w:ascii="Verdana" w:eastAsia="Batang" w:hAnsi="Verdana"/>
          <w:sz w:val="20"/>
          <w:szCs w:val="20"/>
          <w:lang w:val="en-US"/>
        </w:rPr>
        <w:t>– the accession of other States to the Convention</w:t>
      </w:r>
      <w:r w:rsidR="0051750F" w:rsidRPr="00D2561A">
        <w:rPr>
          <w:rFonts w:ascii="Verdana" w:eastAsia="Batang" w:hAnsi="Verdana"/>
          <w:sz w:val="20"/>
          <w:szCs w:val="20"/>
          <w:lang w:val="en-US"/>
        </w:rPr>
        <w:t>,</w:t>
      </w:r>
      <w:r w:rsidR="003059F2" w:rsidRPr="00D2561A">
        <w:rPr>
          <w:rFonts w:ascii="Verdana" w:eastAsia="Batang" w:hAnsi="Verdana"/>
          <w:sz w:val="20"/>
          <w:szCs w:val="20"/>
          <w:lang w:val="en-US"/>
        </w:rPr>
        <w:t xml:space="preserve"> or the acceptance of the Court’s contentious jurisdiction by those who have not yet accepted this</w:t>
      </w:r>
      <w:r w:rsidR="0051750F" w:rsidRPr="00D2561A">
        <w:rPr>
          <w:rFonts w:ascii="Verdana" w:eastAsia="Batang" w:hAnsi="Verdana"/>
          <w:sz w:val="20"/>
          <w:szCs w:val="20"/>
          <w:lang w:val="en-US"/>
        </w:rPr>
        <w:t xml:space="preserve"> and, furthermore, </w:t>
      </w:r>
      <w:r w:rsidR="003059F2" w:rsidRPr="00D2561A">
        <w:rPr>
          <w:rFonts w:ascii="Verdana" w:eastAsia="Batang" w:hAnsi="Verdana"/>
          <w:sz w:val="20"/>
          <w:szCs w:val="20"/>
          <w:lang w:val="en-US"/>
        </w:rPr>
        <w:t xml:space="preserve">the tendency of the States Parties to the Convention not to comply fully and promptly with its rulings could recommence or even </w:t>
      </w:r>
      <w:r w:rsidR="0051750F" w:rsidRPr="00D2561A">
        <w:rPr>
          <w:rFonts w:ascii="Verdana" w:eastAsia="Batang" w:hAnsi="Verdana"/>
          <w:sz w:val="20"/>
          <w:szCs w:val="20"/>
          <w:lang w:val="en-US"/>
        </w:rPr>
        <w:t>increase</w:t>
      </w:r>
      <w:r w:rsidR="003059F2" w:rsidRPr="00D2561A">
        <w:rPr>
          <w:rFonts w:ascii="Verdana" w:eastAsia="Batang" w:hAnsi="Verdana"/>
          <w:sz w:val="20"/>
          <w:szCs w:val="20"/>
          <w:lang w:val="en-US"/>
        </w:rPr>
        <w:t xml:space="preserve">. In short, </w:t>
      </w:r>
      <w:r w:rsidR="0051750F" w:rsidRPr="00D2561A">
        <w:rPr>
          <w:rFonts w:ascii="Verdana" w:eastAsia="Batang" w:hAnsi="Verdana"/>
          <w:sz w:val="20"/>
          <w:szCs w:val="20"/>
          <w:lang w:val="en-US"/>
        </w:rPr>
        <w:t xml:space="preserve">it would undermine </w:t>
      </w:r>
      <w:r w:rsidR="003059F2" w:rsidRPr="00D2561A">
        <w:rPr>
          <w:rFonts w:ascii="Verdana" w:eastAsia="Batang" w:hAnsi="Verdana"/>
          <w:sz w:val="20"/>
          <w:szCs w:val="20"/>
          <w:lang w:val="en-US"/>
        </w:rPr>
        <w:t>the principle of legal security or certainty that, in the case of human rights also benefits the victims of their violation</w:t>
      </w:r>
      <w:r w:rsidR="0051750F" w:rsidRPr="00D2561A">
        <w:rPr>
          <w:rFonts w:ascii="Verdana" w:eastAsia="Batang" w:hAnsi="Verdana"/>
          <w:sz w:val="20"/>
          <w:szCs w:val="20"/>
          <w:lang w:val="en-US"/>
        </w:rPr>
        <w:t>,</w:t>
      </w:r>
      <w:r w:rsidR="003059F2" w:rsidRPr="00D2561A">
        <w:rPr>
          <w:rFonts w:ascii="Verdana" w:eastAsia="Batang" w:hAnsi="Verdana"/>
          <w:sz w:val="20"/>
          <w:szCs w:val="20"/>
          <w:lang w:val="en-US"/>
        </w:rPr>
        <w:t xml:space="preserve"> by ensuring compliance with the Court’s judgments because these are solidly based on the sovereign undertakings made by the States.</w:t>
      </w:r>
    </w:p>
    <w:p w14:paraId="6F6F18C1" w14:textId="77777777" w:rsidR="00AD3637" w:rsidRPr="00D2561A" w:rsidRDefault="00AD3637" w:rsidP="000E0801">
      <w:pPr>
        <w:pStyle w:val="Prrafodelista"/>
        <w:spacing w:line="240" w:lineRule="auto"/>
        <w:ind w:left="-270" w:right="-162"/>
        <w:rPr>
          <w:rFonts w:ascii="Verdana" w:eastAsia="Batang" w:hAnsi="Verdana"/>
          <w:sz w:val="20"/>
          <w:szCs w:val="20"/>
          <w:lang w:val="en-US"/>
        </w:rPr>
      </w:pPr>
    </w:p>
    <w:p w14:paraId="4B19143B" w14:textId="217853E3" w:rsidR="003059F2" w:rsidRPr="00D2561A" w:rsidRDefault="003059F2" w:rsidP="000E0801">
      <w:pPr>
        <w:numPr>
          <w:ilvl w:val="0"/>
          <w:numId w:val="5"/>
        </w:numPr>
        <w:spacing w:line="240" w:lineRule="auto"/>
        <w:ind w:left="-270" w:right="-162" w:firstLine="0"/>
        <w:contextualSpacing/>
        <w:rPr>
          <w:rFonts w:ascii="Verdana" w:eastAsia="Batang" w:hAnsi="Verdana"/>
          <w:sz w:val="20"/>
          <w:szCs w:val="20"/>
          <w:lang w:val="en-US"/>
        </w:rPr>
      </w:pPr>
      <w:r w:rsidRPr="00D2561A">
        <w:rPr>
          <w:rFonts w:ascii="Verdana" w:eastAsia="Batang" w:hAnsi="Verdana"/>
          <w:sz w:val="20"/>
          <w:szCs w:val="20"/>
          <w:lang w:val="en-US"/>
        </w:rPr>
        <w:t>In this regard, it should not be overlooked that, in the practice and over and above any theoretical consideration, the function of the Court is, after all, to deliver judgments that re-establish, as soon as possible, respect for the human rights violated. It is not sure that this is achieved in relation to the violations of human rights that the Convention did not consider to be justiciable before the Court.</w:t>
      </w:r>
    </w:p>
    <w:p w14:paraId="483BD27A" w14:textId="77777777" w:rsidR="001C1C29" w:rsidRPr="00D2561A" w:rsidRDefault="001C1C29" w:rsidP="000E0801">
      <w:pPr>
        <w:spacing w:line="240" w:lineRule="auto"/>
        <w:ind w:left="0" w:right="-162"/>
        <w:contextualSpacing/>
        <w:rPr>
          <w:rFonts w:ascii="Verdana" w:eastAsia="Batang" w:hAnsi="Verdana"/>
          <w:sz w:val="20"/>
          <w:szCs w:val="20"/>
          <w:lang w:val="en-US"/>
        </w:rPr>
      </w:pPr>
    </w:p>
    <w:p w14:paraId="3085F49A" w14:textId="5E7A6074" w:rsidR="007865AC" w:rsidRPr="00081478" w:rsidRDefault="00E30D1A" w:rsidP="000E0801">
      <w:pPr>
        <w:pStyle w:val="Prrafodelista"/>
        <w:numPr>
          <w:ilvl w:val="0"/>
          <w:numId w:val="12"/>
        </w:numPr>
        <w:spacing w:line="240" w:lineRule="auto"/>
        <w:ind w:left="-270" w:right="-162" w:firstLine="0"/>
        <w:rPr>
          <w:rFonts w:ascii="Verdana" w:hAnsi="Verdana"/>
          <w:b/>
          <w:sz w:val="20"/>
          <w:szCs w:val="20"/>
          <w:lang w:val="en-US"/>
        </w:rPr>
      </w:pPr>
      <w:r w:rsidRPr="00081478">
        <w:rPr>
          <w:rFonts w:ascii="Verdana" w:hAnsi="Verdana"/>
          <w:b/>
          <w:sz w:val="20"/>
          <w:szCs w:val="20"/>
          <w:lang w:val="en-US"/>
        </w:rPr>
        <w:t>ARTICLE</w:t>
      </w:r>
      <w:r w:rsidR="007A5C8E" w:rsidRPr="00081478">
        <w:rPr>
          <w:rFonts w:ascii="Verdana" w:hAnsi="Verdana"/>
          <w:b/>
          <w:sz w:val="20"/>
          <w:szCs w:val="20"/>
          <w:lang w:val="en-US"/>
        </w:rPr>
        <w:t xml:space="preserve"> </w:t>
      </w:r>
      <w:r w:rsidR="00CF2634" w:rsidRPr="00081478">
        <w:rPr>
          <w:rFonts w:ascii="Verdana" w:hAnsi="Verdana"/>
          <w:b/>
          <w:sz w:val="20"/>
          <w:szCs w:val="20"/>
          <w:lang w:val="en-US"/>
        </w:rPr>
        <w:t>24</w:t>
      </w:r>
    </w:p>
    <w:p w14:paraId="1E79E51A" w14:textId="77777777" w:rsidR="003C66A5" w:rsidRPr="00D2561A" w:rsidRDefault="003C66A5" w:rsidP="000E0801">
      <w:pPr>
        <w:pStyle w:val="Prrafodelista"/>
        <w:spacing w:line="240" w:lineRule="auto"/>
        <w:ind w:left="-270" w:right="-162"/>
        <w:rPr>
          <w:rFonts w:ascii="Verdana" w:hAnsi="Verdana"/>
          <w:b/>
          <w:sz w:val="20"/>
          <w:szCs w:val="20"/>
          <w:lang w:val="en-US"/>
        </w:rPr>
      </w:pPr>
    </w:p>
    <w:p w14:paraId="65BF1A9E" w14:textId="6E345CFE" w:rsidR="007865AC" w:rsidRPr="00D2561A" w:rsidRDefault="003059F2" w:rsidP="000E0801">
      <w:pPr>
        <w:pStyle w:val="Prrafodelista"/>
        <w:numPr>
          <w:ilvl w:val="0"/>
          <w:numId w:val="5"/>
        </w:numPr>
        <w:spacing w:line="240" w:lineRule="auto"/>
        <w:ind w:left="-270" w:right="-162" w:firstLine="0"/>
        <w:rPr>
          <w:rFonts w:ascii="Verdana" w:hAnsi="Verdana"/>
          <w:b/>
          <w:sz w:val="20"/>
          <w:szCs w:val="20"/>
          <w:lang w:val="en-US"/>
        </w:rPr>
      </w:pPr>
      <w:r w:rsidRPr="00D2561A">
        <w:rPr>
          <w:rFonts w:ascii="Verdana" w:hAnsi="Verdana"/>
          <w:bCs/>
          <w:sz w:val="20"/>
          <w:szCs w:val="20"/>
          <w:lang w:val="en-US"/>
        </w:rPr>
        <w:t xml:space="preserve">As indicated initially, this opinion is presented because I also disagree with the declaration in </w:t>
      </w:r>
      <w:r w:rsidR="00CC10C2" w:rsidRPr="00D2561A">
        <w:rPr>
          <w:rFonts w:ascii="Verdana" w:hAnsi="Verdana"/>
          <w:bCs/>
          <w:sz w:val="20"/>
          <w:szCs w:val="20"/>
          <w:lang w:val="en-US"/>
        </w:rPr>
        <w:t>operative paragraph</w:t>
      </w:r>
      <w:r w:rsidR="00ED12AD" w:rsidRPr="00D2561A">
        <w:rPr>
          <w:rFonts w:ascii="Verdana" w:hAnsi="Verdana"/>
          <w:bCs/>
          <w:sz w:val="20"/>
          <w:szCs w:val="20"/>
          <w:lang w:val="en-US"/>
        </w:rPr>
        <w:t xml:space="preserve"> </w:t>
      </w:r>
      <w:r w:rsidR="002D243B" w:rsidRPr="00D2561A">
        <w:rPr>
          <w:rFonts w:ascii="Verdana" w:hAnsi="Verdana"/>
          <w:bCs/>
          <w:sz w:val="20"/>
          <w:szCs w:val="20"/>
          <w:lang w:val="en-US"/>
        </w:rPr>
        <w:t>6</w:t>
      </w:r>
      <w:r w:rsidR="00ED12AD" w:rsidRPr="00D2561A">
        <w:rPr>
          <w:rFonts w:ascii="Verdana" w:hAnsi="Verdana"/>
          <w:bCs/>
          <w:sz w:val="20"/>
          <w:szCs w:val="20"/>
          <w:lang w:val="en-US"/>
        </w:rPr>
        <w:t xml:space="preserve"> </w:t>
      </w:r>
      <w:r w:rsidR="0032767A" w:rsidRPr="00D2561A">
        <w:rPr>
          <w:rFonts w:ascii="Verdana" w:hAnsi="Verdana"/>
          <w:bCs/>
          <w:sz w:val="20"/>
          <w:szCs w:val="20"/>
          <w:lang w:val="en-US"/>
        </w:rPr>
        <w:t>of the judgment</w:t>
      </w:r>
      <w:r w:rsidR="00ED12AD" w:rsidRPr="00D2561A">
        <w:rPr>
          <w:rStyle w:val="Refdenotaalpie"/>
          <w:rFonts w:ascii="Verdana" w:hAnsi="Verdana"/>
          <w:bCs/>
          <w:sz w:val="20"/>
          <w:szCs w:val="20"/>
          <w:lang w:val="en-US"/>
        </w:rPr>
        <w:footnoteReference w:id="95"/>
      </w:r>
      <w:r w:rsidRPr="00D2561A">
        <w:rPr>
          <w:rFonts w:ascii="Verdana" w:hAnsi="Verdana"/>
          <w:bCs/>
          <w:sz w:val="20"/>
          <w:szCs w:val="20"/>
          <w:lang w:val="en-US"/>
        </w:rPr>
        <w:t xml:space="preserve"> that </w:t>
      </w:r>
      <w:r w:rsidR="00D5153E" w:rsidRPr="00D2561A">
        <w:rPr>
          <w:rFonts w:ascii="Verdana" w:hAnsi="Verdana"/>
          <w:bCs/>
          <w:sz w:val="20"/>
          <w:szCs w:val="20"/>
          <w:lang w:val="en-US"/>
        </w:rPr>
        <w:t>Article</w:t>
      </w:r>
      <w:r w:rsidR="00ED12AD" w:rsidRPr="00D2561A">
        <w:rPr>
          <w:rFonts w:ascii="Verdana" w:hAnsi="Verdana"/>
          <w:bCs/>
          <w:sz w:val="20"/>
          <w:szCs w:val="20"/>
          <w:lang w:val="en-US"/>
        </w:rPr>
        <w:t xml:space="preserve"> 24</w:t>
      </w:r>
      <w:r w:rsidR="00E30D1A" w:rsidRPr="00D2561A">
        <w:rPr>
          <w:rFonts w:ascii="Verdana" w:hAnsi="Verdana"/>
          <w:bCs/>
          <w:sz w:val="20"/>
          <w:szCs w:val="20"/>
          <w:lang w:val="en-US"/>
        </w:rPr>
        <w:t xml:space="preserve"> of the Convention</w:t>
      </w:r>
      <w:r w:rsidR="002C332A" w:rsidRPr="00D2561A">
        <w:rPr>
          <w:rStyle w:val="Refdenotaalpie"/>
          <w:rFonts w:ascii="Verdana" w:hAnsi="Verdana"/>
          <w:bCs/>
          <w:sz w:val="20"/>
          <w:szCs w:val="20"/>
          <w:lang w:val="en-US"/>
        </w:rPr>
        <w:footnoteReference w:id="96"/>
      </w:r>
      <w:r w:rsidRPr="00D2561A">
        <w:rPr>
          <w:rFonts w:ascii="Verdana" w:hAnsi="Verdana"/>
          <w:bCs/>
          <w:sz w:val="20"/>
          <w:szCs w:val="20"/>
          <w:lang w:val="en-US"/>
        </w:rPr>
        <w:t xml:space="preserve"> was violated, </w:t>
      </w:r>
      <w:r w:rsidR="006F2B5B" w:rsidRPr="00D2561A">
        <w:rPr>
          <w:rFonts w:ascii="Verdana" w:hAnsi="Verdana"/>
          <w:bCs/>
          <w:sz w:val="20"/>
          <w:szCs w:val="20"/>
          <w:lang w:val="en-US"/>
        </w:rPr>
        <w:t>as</w:t>
      </w:r>
      <w:r w:rsidRPr="00D2561A">
        <w:rPr>
          <w:rFonts w:ascii="Verdana" w:hAnsi="Verdana"/>
          <w:bCs/>
          <w:sz w:val="20"/>
          <w:szCs w:val="20"/>
          <w:lang w:val="en-US"/>
        </w:rPr>
        <w:t xml:space="preserve"> I consider</w:t>
      </w:r>
      <w:r w:rsidR="006F2B5B" w:rsidRPr="00D2561A">
        <w:rPr>
          <w:rFonts w:ascii="Verdana" w:hAnsi="Verdana"/>
          <w:bCs/>
          <w:sz w:val="20"/>
          <w:szCs w:val="20"/>
          <w:lang w:val="en-US"/>
        </w:rPr>
        <w:t xml:space="preserve"> this</w:t>
      </w:r>
      <w:r w:rsidRPr="00D2561A">
        <w:rPr>
          <w:rFonts w:ascii="Verdana" w:hAnsi="Verdana"/>
          <w:bCs/>
          <w:sz w:val="20"/>
          <w:szCs w:val="20"/>
          <w:lang w:val="en-US"/>
        </w:rPr>
        <w:t xml:space="preserve"> inappropriate.</w:t>
      </w:r>
      <w:r w:rsidR="00ED12AD" w:rsidRPr="00D2561A">
        <w:rPr>
          <w:rFonts w:ascii="Verdana" w:hAnsi="Verdana"/>
          <w:bCs/>
          <w:sz w:val="20"/>
          <w:szCs w:val="20"/>
          <w:lang w:val="en-US"/>
        </w:rPr>
        <w:t xml:space="preserve"> </w:t>
      </w:r>
    </w:p>
    <w:p w14:paraId="45292DBC" w14:textId="77777777" w:rsidR="007865AC" w:rsidRPr="00D2561A" w:rsidRDefault="007865AC" w:rsidP="000E0801">
      <w:pPr>
        <w:pStyle w:val="Prrafodelista"/>
        <w:spacing w:line="240" w:lineRule="auto"/>
        <w:ind w:left="-270" w:right="-162"/>
        <w:rPr>
          <w:rFonts w:ascii="Verdana" w:hAnsi="Verdana"/>
          <w:b/>
          <w:sz w:val="20"/>
          <w:szCs w:val="20"/>
          <w:lang w:val="en-US"/>
        </w:rPr>
      </w:pPr>
    </w:p>
    <w:p w14:paraId="7FB69D66" w14:textId="34783835" w:rsidR="001333CA" w:rsidRPr="00D2561A" w:rsidRDefault="003059F2" w:rsidP="000E0801">
      <w:pPr>
        <w:pStyle w:val="Prrafodelista"/>
        <w:numPr>
          <w:ilvl w:val="0"/>
          <w:numId w:val="5"/>
        </w:numPr>
        <w:spacing w:line="240" w:lineRule="auto"/>
        <w:ind w:left="-270" w:right="-162" w:firstLine="0"/>
        <w:rPr>
          <w:rFonts w:ascii="Verdana" w:hAnsi="Verdana"/>
          <w:b/>
          <w:sz w:val="20"/>
          <w:szCs w:val="20"/>
          <w:lang w:val="en-US"/>
        </w:rPr>
      </w:pPr>
      <w:r w:rsidRPr="00D2561A">
        <w:rPr>
          <w:rFonts w:ascii="Verdana" w:hAnsi="Verdana"/>
          <w:bCs/>
          <w:sz w:val="20"/>
          <w:szCs w:val="20"/>
          <w:lang w:val="en-US"/>
        </w:rPr>
        <w:t>The said article indicates that</w:t>
      </w:r>
      <w:r w:rsidR="00ED12AD" w:rsidRPr="00D2561A">
        <w:rPr>
          <w:rFonts w:ascii="Verdana" w:hAnsi="Verdana"/>
          <w:bCs/>
          <w:sz w:val="20"/>
          <w:szCs w:val="20"/>
          <w:lang w:val="en-US"/>
        </w:rPr>
        <w:t>:</w:t>
      </w:r>
    </w:p>
    <w:p w14:paraId="1BC1576E" w14:textId="77777777" w:rsidR="001333CA" w:rsidRPr="00D2561A" w:rsidRDefault="001333CA" w:rsidP="000E0801">
      <w:pPr>
        <w:pStyle w:val="Prrafodelista"/>
        <w:spacing w:line="240" w:lineRule="auto"/>
        <w:ind w:left="-270" w:right="-162"/>
        <w:rPr>
          <w:rFonts w:ascii="Verdana" w:eastAsia="Times New Roman" w:hAnsi="Verdana" w:cs="Tahoma"/>
          <w:i/>
          <w:iCs/>
          <w:sz w:val="16"/>
          <w:szCs w:val="16"/>
          <w:lang w:val="en-US" w:eastAsia="es-CR"/>
        </w:rPr>
      </w:pPr>
    </w:p>
    <w:p w14:paraId="37B31D66" w14:textId="4FEAB2A0" w:rsidR="00612A4E" w:rsidRPr="00D2561A" w:rsidRDefault="00D5153E" w:rsidP="00D5153E">
      <w:pPr>
        <w:pStyle w:val="Prrafodelista"/>
        <w:spacing w:line="240" w:lineRule="auto"/>
        <w:ind w:right="180"/>
        <w:rPr>
          <w:rFonts w:ascii="Verdana" w:eastAsia="Times New Roman" w:hAnsi="Verdana" w:cs="Tahoma"/>
          <w:i/>
          <w:iCs/>
          <w:sz w:val="18"/>
          <w:szCs w:val="18"/>
          <w:lang w:val="en-US" w:eastAsia="es-CR"/>
        </w:rPr>
      </w:pPr>
      <w:r w:rsidRPr="00D2561A">
        <w:rPr>
          <w:rFonts w:ascii="Verdana" w:hAnsi="Verdana"/>
          <w:spacing w:val="-3"/>
          <w:sz w:val="18"/>
          <w:szCs w:val="18"/>
          <w:lang w:val="en-US"/>
        </w:rPr>
        <w:t>All persons are equal before the law.  Consequently, they are entitled, without discrimination, to equal protection of the law.</w:t>
      </w:r>
    </w:p>
    <w:p w14:paraId="390EA970" w14:textId="77777777" w:rsidR="00612A4E" w:rsidRPr="00D2561A" w:rsidRDefault="00612A4E" w:rsidP="000E0801">
      <w:pPr>
        <w:pStyle w:val="Prrafodelista"/>
        <w:spacing w:line="240" w:lineRule="auto"/>
        <w:ind w:left="-270" w:right="-162"/>
        <w:rPr>
          <w:rFonts w:ascii="Verdana" w:eastAsia="Times New Roman" w:hAnsi="Verdana" w:cs="Tahoma"/>
          <w:i/>
          <w:iCs/>
          <w:sz w:val="20"/>
          <w:szCs w:val="20"/>
          <w:lang w:val="en-US" w:eastAsia="es-CR"/>
        </w:rPr>
      </w:pPr>
    </w:p>
    <w:p w14:paraId="33BC96A6" w14:textId="1F9C17AB" w:rsidR="001333CA" w:rsidRPr="00D2561A" w:rsidRDefault="00B9730C" w:rsidP="000E0801">
      <w:pPr>
        <w:pStyle w:val="Prrafodelista"/>
        <w:numPr>
          <w:ilvl w:val="0"/>
          <w:numId w:val="5"/>
        </w:numPr>
        <w:spacing w:line="240" w:lineRule="auto"/>
        <w:ind w:left="-270" w:right="-162" w:firstLine="0"/>
        <w:rPr>
          <w:rFonts w:ascii="Verdana" w:eastAsia="Times New Roman" w:hAnsi="Verdana" w:cs="Tahoma"/>
          <w:i/>
          <w:iCs/>
          <w:sz w:val="20"/>
          <w:szCs w:val="20"/>
          <w:lang w:val="en-US" w:eastAsia="es-CR"/>
        </w:rPr>
      </w:pPr>
      <w:r w:rsidRPr="00D2561A">
        <w:rPr>
          <w:rFonts w:ascii="Verdana" w:eastAsia="Times New Roman" w:hAnsi="Verdana" w:cs="Tahoma"/>
          <w:sz w:val="20"/>
          <w:szCs w:val="20"/>
          <w:lang w:val="en-US" w:eastAsia="es-CR"/>
        </w:rPr>
        <w:t xml:space="preserve">In order to </w:t>
      </w:r>
      <w:r w:rsidR="006F2B5B" w:rsidRPr="00D2561A">
        <w:rPr>
          <w:rFonts w:ascii="Verdana" w:eastAsia="Times New Roman" w:hAnsi="Verdana" w:cs="Tahoma"/>
          <w:sz w:val="20"/>
          <w:szCs w:val="20"/>
          <w:lang w:val="en-US" w:eastAsia="es-CR"/>
        </w:rPr>
        <w:t xml:space="preserve">explain </w:t>
      </w:r>
      <w:r w:rsidRPr="00D2561A">
        <w:rPr>
          <w:rFonts w:ascii="Verdana" w:eastAsia="Times New Roman" w:hAnsi="Verdana" w:cs="Tahoma"/>
          <w:sz w:val="20"/>
          <w:szCs w:val="20"/>
          <w:lang w:val="en-US" w:eastAsia="es-CR"/>
        </w:rPr>
        <w:t>my dis</w:t>
      </w:r>
      <w:r w:rsidR="006F2B5B" w:rsidRPr="00D2561A">
        <w:rPr>
          <w:rFonts w:ascii="Verdana" w:eastAsia="Times New Roman" w:hAnsi="Verdana" w:cs="Tahoma"/>
          <w:sz w:val="20"/>
          <w:szCs w:val="20"/>
          <w:lang w:val="en-US" w:eastAsia="es-CR"/>
        </w:rPr>
        <w:t>crepancy</w:t>
      </w:r>
      <w:r w:rsidRPr="00D2561A">
        <w:rPr>
          <w:rFonts w:ascii="Verdana" w:eastAsia="Times New Roman" w:hAnsi="Verdana" w:cs="Tahoma"/>
          <w:sz w:val="20"/>
          <w:szCs w:val="20"/>
          <w:lang w:val="en-US" w:eastAsia="es-CR"/>
        </w:rPr>
        <w:t xml:space="preserve"> </w:t>
      </w:r>
      <w:r w:rsidR="006F2B5B" w:rsidRPr="00D2561A">
        <w:rPr>
          <w:rFonts w:ascii="Verdana" w:eastAsia="Times New Roman" w:hAnsi="Verdana" w:cs="Tahoma"/>
          <w:sz w:val="20"/>
          <w:szCs w:val="20"/>
          <w:lang w:val="en-US" w:eastAsia="es-CR"/>
        </w:rPr>
        <w:t>as simply as</w:t>
      </w:r>
      <w:r w:rsidRPr="00D2561A">
        <w:rPr>
          <w:rFonts w:ascii="Verdana" w:eastAsia="Times New Roman" w:hAnsi="Verdana" w:cs="Tahoma"/>
          <w:sz w:val="20"/>
          <w:szCs w:val="20"/>
          <w:lang w:val="en-US" w:eastAsia="es-CR"/>
        </w:rPr>
        <w:t xml:space="preserve"> possible, the reasons that support it will be set out in similar terms to those used previously for the interpretation </w:t>
      </w:r>
      <w:r w:rsidR="00D5153E" w:rsidRPr="00D2561A">
        <w:rPr>
          <w:rFonts w:ascii="Verdana" w:eastAsia="Times New Roman" w:hAnsi="Verdana" w:cs="Tahoma"/>
          <w:sz w:val="20"/>
          <w:szCs w:val="20"/>
          <w:lang w:val="en-US" w:eastAsia="es-CR"/>
        </w:rPr>
        <w:t>of Article</w:t>
      </w:r>
      <w:r w:rsidR="001333CA" w:rsidRPr="00D2561A">
        <w:rPr>
          <w:rFonts w:ascii="Verdana" w:eastAsia="Times New Roman" w:hAnsi="Verdana" w:cs="Tahoma"/>
          <w:sz w:val="20"/>
          <w:szCs w:val="20"/>
          <w:lang w:val="en-US" w:eastAsia="es-CR"/>
        </w:rPr>
        <w:t xml:space="preserve"> 26</w:t>
      </w:r>
      <w:r w:rsidRPr="00D2561A">
        <w:rPr>
          <w:rFonts w:ascii="Verdana" w:eastAsia="Times New Roman" w:hAnsi="Verdana" w:cs="Tahoma"/>
          <w:sz w:val="20"/>
          <w:szCs w:val="20"/>
          <w:lang w:val="en-US" w:eastAsia="es-CR"/>
        </w:rPr>
        <w:t>; that is, pursuant to the provisions of</w:t>
      </w:r>
      <w:r w:rsidR="001333CA" w:rsidRPr="00D2561A">
        <w:rPr>
          <w:rFonts w:ascii="Verdana" w:eastAsia="Times New Roman" w:hAnsi="Verdana" w:cs="Tahoma"/>
          <w:sz w:val="20"/>
          <w:szCs w:val="20"/>
          <w:lang w:val="en-US" w:eastAsia="es-CR"/>
        </w:rPr>
        <w:t xml:space="preserve"> </w:t>
      </w:r>
      <w:r w:rsidR="00E30D1A" w:rsidRPr="00D2561A">
        <w:rPr>
          <w:rFonts w:ascii="Verdana" w:eastAsia="Times New Roman" w:hAnsi="Verdana" w:cs="Tahoma"/>
          <w:sz w:val="20"/>
          <w:szCs w:val="20"/>
          <w:lang w:val="en-US" w:eastAsia="es-CR"/>
        </w:rPr>
        <w:t>Article</w:t>
      </w:r>
      <w:r w:rsidR="001333CA" w:rsidRPr="00D2561A">
        <w:rPr>
          <w:rFonts w:ascii="Verdana" w:eastAsia="Times New Roman" w:hAnsi="Verdana" w:cs="Tahoma"/>
          <w:sz w:val="20"/>
          <w:szCs w:val="20"/>
          <w:lang w:val="en-US" w:eastAsia="es-CR"/>
        </w:rPr>
        <w:t xml:space="preserve"> 31</w:t>
      </w:r>
      <w:r w:rsidR="00E30D1A" w:rsidRPr="00D2561A">
        <w:rPr>
          <w:rFonts w:ascii="Verdana" w:eastAsia="Times New Roman" w:hAnsi="Verdana" w:cs="Tahoma"/>
          <w:sz w:val="20"/>
          <w:szCs w:val="20"/>
          <w:lang w:val="en-US" w:eastAsia="es-CR"/>
        </w:rPr>
        <w:t xml:space="preserve"> of the </w:t>
      </w:r>
      <w:r w:rsidR="00466AF7" w:rsidRPr="00D2561A">
        <w:rPr>
          <w:rFonts w:ascii="Verdana" w:eastAsia="Times New Roman" w:hAnsi="Verdana" w:cs="Tahoma"/>
          <w:sz w:val="20"/>
          <w:szCs w:val="20"/>
          <w:lang w:val="en-US" w:eastAsia="es-CR"/>
        </w:rPr>
        <w:t>Vienna Convention</w:t>
      </w:r>
      <w:r w:rsidRPr="00D2561A">
        <w:rPr>
          <w:rFonts w:ascii="Verdana" w:eastAsia="Times New Roman" w:hAnsi="Verdana" w:cs="Tahoma"/>
          <w:sz w:val="20"/>
          <w:szCs w:val="20"/>
          <w:lang w:val="en-US" w:eastAsia="es-CR"/>
        </w:rPr>
        <w:t>.</w:t>
      </w:r>
      <w:r w:rsidR="003C66A5" w:rsidRPr="00D2561A">
        <w:rPr>
          <w:rStyle w:val="Refdenotaalpie"/>
          <w:rFonts w:ascii="Verdana" w:eastAsia="Times New Roman" w:hAnsi="Verdana" w:cs="Tahoma"/>
          <w:sz w:val="20"/>
          <w:szCs w:val="20"/>
          <w:lang w:val="en-US" w:eastAsia="es-CR"/>
        </w:rPr>
        <w:footnoteReference w:id="97"/>
      </w:r>
      <w:r w:rsidR="00007E4F" w:rsidRPr="00D2561A">
        <w:rPr>
          <w:rFonts w:ascii="Verdana" w:eastAsia="Times New Roman" w:hAnsi="Verdana" w:cs="Tahoma"/>
          <w:sz w:val="20"/>
          <w:szCs w:val="20"/>
          <w:lang w:val="en-US" w:eastAsia="es-CR"/>
        </w:rPr>
        <w:t xml:space="preserve"> </w:t>
      </w:r>
    </w:p>
    <w:p w14:paraId="47507AB8" w14:textId="77BD64D8" w:rsidR="001333CA" w:rsidRPr="00D2561A" w:rsidRDefault="001333CA" w:rsidP="000E0801">
      <w:pPr>
        <w:pStyle w:val="Prrafodelista"/>
        <w:spacing w:line="240" w:lineRule="auto"/>
        <w:ind w:left="-270" w:right="-162"/>
        <w:rPr>
          <w:rFonts w:ascii="Verdana" w:eastAsia="Times New Roman" w:hAnsi="Verdana" w:cs="Tahoma"/>
          <w:sz w:val="20"/>
          <w:szCs w:val="20"/>
          <w:lang w:val="en-US" w:eastAsia="es-CR"/>
        </w:rPr>
      </w:pPr>
    </w:p>
    <w:p w14:paraId="1B357A22" w14:textId="25183173" w:rsidR="00ED12AD" w:rsidRPr="00D2561A" w:rsidRDefault="007447C8" w:rsidP="000E0801">
      <w:pPr>
        <w:pStyle w:val="Prrafodelista"/>
        <w:numPr>
          <w:ilvl w:val="0"/>
          <w:numId w:val="17"/>
        </w:numPr>
        <w:spacing w:line="240" w:lineRule="auto"/>
        <w:ind w:left="-270" w:right="-162" w:firstLine="0"/>
        <w:rPr>
          <w:rFonts w:ascii="Verdana" w:eastAsia="Times New Roman" w:hAnsi="Verdana" w:cs="Tahoma"/>
          <w:b/>
          <w:bCs/>
          <w:sz w:val="20"/>
          <w:szCs w:val="20"/>
          <w:lang w:val="en-US" w:eastAsia="es-CR"/>
        </w:rPr>
      </w:pPr>
      <w:r w:rsidRPr="00D2561A">
        <w:rPr>
          <w:rFonts w:ascii="Verdana" w:eastAsia="Times New Roman" w:hAnsi="Verdana" w:cs="Tahoma"/>
          <w:b/>
          <w:bCs/>
          <w:sz w:val="20"/>
          <w:szCs w:val="20"/>
          <w:lang w:val="en-US" w:eastAsia="es-CR"/>
        </w:rPr>
        <w:t xml:space="preserve"> </w:t>
      </w:r>
      <w:r w:rsidR="00D5153E" w:rsidRPr="00D2561A">
        <w:rPr>
          <w:rFonts w:ascii="Verdana" w:eastAsia="Times New Roman" w:hAnsi="Verdana" w:cs="Tahoma"/>
          <w:b/>
          <w:bCs/>
          <w:sz w:val="20"/>
          <w:szCs w:val="20"/>
          <w:lang w:val="en-US" w:eastAsia="es-CR"/>
        </w:rPr>
        <w:t>Good faith</w:t>
      </w:r>
      <w:r w:rsidR="001333CA" w:rsidRPr="00D2561A">
        <w:rPr>
          <w:rFonts w:ascii="Verdana" w:eastAsia="Times New Roman" w:hAnsi="Verdana" w:cs="Tahoma"/>
          <w:b/>
          <w:bCs/>
          <w:sz w:val="20"/>
          <w:szCs w:val="20"/>
          <w:lang w:val="en-US" w:eastAsia="es-CR"/>
        </w:rPr>
        <w:t xml:space="preserve"> </w:t>
      </w:r>
    </w:p>
    <w:p w14:paraId="256AD736" w14:textId="7E0A1AEA" w:rsidR="001333CA" w:rsidRPr="00D2561A" w:rsidRDefault="001333CA" w:rsidP="000E0801">
      <w:pPr>
        <w:pStyle w:val="Prrafodelista"/>
        <w:spacing w:line="240" w:lineRule="auto"/>
        <w:ind w:left="-270" w:right="-162"/>
        <w:rPr>
          <w:rFonts w:ascii="Verdana" w:eastAsia="Times New Roman" w:hAnsi="Verdana" w:cs="Tahoma"/>
          <w:b/>
          <w:bCs/>
          <w:sz w:val="20"/>
          <w:szCs w:val="20"/>
          <w:lang w:val="en-US" w:eastAsia="es-CR"/>
        </w:rPr>
      </w:pPr>
    </w:p>
    <w:p w14:paraId="6EB423FA" w14:textId="6A835F77" w:rsidR="000C269A" w:rsidRPr="00D2561A" w:rsidRDefault="00857186" w:rsidP="000E0801">
      <w:pPr>
        <w:pStyle w:val="Prrafodelista"/>
        <w:numPr>
          <w:ilvl w:val="0"/>
          <w:numId w:val="5"/>
        </w:numPr>
        <w:spacing w:line="240" w:lineRule="auto"/>
        <w:ind w:left="-270" w:right="-162" w:firstLine="0"/>
        <w:rPr>
          <w:rFonts w:ascii="Verdana" w:eastAsia="Times New Roman" w:hAnsi="Verdana" w:cs="Tahoma"/>
          <w:sz w:val="20"/>
          <w:szCs w:val="20"/>
          <w:lang w:val="en-US" w:eastAsia="es-CR"/>
        </w:rPr>
      </w:pPr>
      <w:r w:rsidRPr="00D2561A">
        <w:rPr>
          <w:rFonts w:ascii="Verdana" w:eastAsia="Times New Roman" w:hAnsi="Verdana" w:cs="Tahoma"/>
          <w:sz w:val="20"/>
          <w:szCs w:val="20"/>
          <w:lang w:val="en-US" w:eastAsia="es-CR"/>
        </w:rPr>
        <w:t>Interpret</w:t>
      </w:r>
      <w:r w:rsidR="00B9730C" w:rsidRPr="00D2561A">
        <w:rPr>
          <w:rFonts w:ascii="Verdana" w:eastAsia="Times New Roman" w:hAnsi="Verdana" w:cs="Tahoma"/>
          <w:sz w:val="20"/>
          <w:szCs w:val="20"/>
          <w:lang w:val="en-US" w:eastAsia="es-CR"/>
        </w:rPr>
        <w:t>ing this article in accordance with good faith means that it should be understood in the sense that its practical effect is that every</w:t>
      </w:r>
      <w:r w:rsidR="006F2B5B" w:rsidRPr="00D2561A">
        <w:rPr>
          <w:rFonts w:ascii="Verdana" w:eastAsia="Times New Roman" w:hAnsi="Verdana" w:cs="Tahoma"/>
          <w:sz w:val="20"/>
          <w:szCs w:val="20"/>
          <w:lang w:val="en-US" w:eastAsia="es-CR"/>
        </w:rPr>
        <w:t>one</w:t>
      </w:r>
      <w:r w:rsidR="00B9730C" w:rsidRPr="00D2561A">
        <w:rPr>
          <w:rFonts w:ascii="Verdana" w:eastAsia="Times New Roman" w:hAnsi="Verdana" w:cs="Tahoma"/>
          <w:sz w:val="20"/>
          <w:szCs w:val="20"/>
          <w:lang w:val="en-US" w:eastAsia="es-CR"/>
        </w:rPr>
        <w:t xml:space="preserve"> has the right to be treated by the law in the same way</w:t>
      </w:r>
      <w:r w:rsidR="006F2B5B" w:rsidRPr="00D2561A">
        <w:rPr>
          <w:rFonts w:ascii="Verdana" w:eastAsia="Times New Roman" w:hAnsi="Verdana" w:cs="Tahoma"/>
          <w:sz w:val="20"/>
          <w:szCs w:val="20"/>
          <w:lang w:val="en-US" w:eastAsia="es-CR"/>
        </w:rPr>
        <w:t xml:space="preserve">; </w:t>
      </w:r>
      <w:r w:rsidR="00B9730C" w:rsidRPr="00D2561A">
        <w:rPr>
          <w:rFonts w:ascii="Verdana" w:eastAsia="Times New Roman" w:hAnsi="Verdana" w:cs="Tahoma"/>
          <w:sz w:val="20"/>
          <w:szCs w:val="20"/>
          <w:lang w:val="en-US" w:eastAsia="es-CR"/>
        </w:rPr>
        <w:t>therefore, the law protects everyone without discrimination.</w:t>
      </w:r>
    </w:p>
    <w:p w14:paraId="7D3451E0" w14:textId="77777777" w:rsidR="000C269A" w:rsidRPr="00D2561A" w:rsidRDefault="000C269A" w:rsidP="000E0801">
      <w:pPr>
        <w:pStyle w:val="Prrafodelista"/>
        <w:spacing w:line="240" w:lineRule="auto"/>
        <w:ind w:left="-270" w:right="-162"/>
        <w:rPr>
          <w:rFonts w:ascii="Verdana" w:eastAsia="Times New Roman" w:hAnsi="Verdana" w:cs="Tahoma"/>
          <w:sz w:val="20"/>
          <w:szCs w:val="20"/>
          <w:lang w:val="en-US" w:eastAsia="es-CR"/>
        </w:rPr>
      </w:pPr>
    </w:p>
    <w:p w14:paraId="5F3DEB01" w14:textId="197A114A" w:rsidR="009A124B" w:rsidRPr="00D2561A" w:rsidRDefault="006F2B5B" w:rsidP="000E0801">
      <w:pPr>
        <w:pStyle w:val="Prrafodelista"/>
        <w:numPr>
          <w:ilvl w:val="0"/>
          <w:numId w:val="5"/>
        </w:numPr>
        <w:spacing w:line="240" w:lineRule="auto"/>
        <w:ind w:left="-270" w:right="-162" w:firstLine="0"/>
        <w:rPr>
          <w:rFonts w:ascii="Verdana" w:eastAsia="Times New Roman" w:hAnsi="Verdana" w:cs="Tahoma"/>
          <w:sz w:val="20"/>
          <w:szCs w:val="20"/>
          <w:lang w:val="en-US" w:eastAsia="es-CR"/>
        </w:rPr>
      </w:pPr>
      <w:r w:rsidRPr="00D2561A">
        <w:rPr>
          <w:rFonts w:ascii="Verdana" w:eastAsia="Times New Roman" w:hAnsi="Verdana" w:cs="Tahoma"/>
          <w:sz w:val="20"/>
          <w:szCs w:val="20"/>
          <w:lang w:val="en-US" w:eastAsia="es-CR"/>
        </w:rPr>
        <w:t>Accordingly</w:t>
      </w:r>
      <w:r w:rsidR="00857186" w:rsidRPr="00D2561A">
        <w:rPr>
          <w:rFonts w:ascii="Verdana" w:eastAsia="Times New Roman" w:hAnsi="Verdana" w:cs="Tahoma"/>
          <w:sz w:val="20"/>
          <w:szCs w:val="20"/>
          <w:lang w:val="en-US" w:eastAsia="es-CR"/>
        </w:rPr>
        <w:t xml:space="preserve">, </w:t>
      </w:r>
      <w:r w:rsidRPr="00D2561A">
        <w:rPr>
          <w:rFonts w:ascii="Verdana" w:eastAsia="Times New Roman" w:hAnsi="Verdana" w:cs="Tahoma"/>
          <w:sz w:val="20"/>
          <w:szCs w:val="20"/>
          <w:lang w:val="en-US" w:eastAsia="es-CR"/>
        </w:rPr>
        <w:t>an</w:t>
      </w:r>
      <w:r w:rsidR="009A124B" w:rsidRPr="00D2561A">
        <w:rPr>
          <w:rFonts w:ascii="Verdana" w:eastAsia="Times New Roman" w:hAnsi="Verdana" w:cs="Tahoma"/>
          <w:sz w:val="20"/>
          <w:szCs w:val="20"/>
          <w:lang w:val="en-US" w:eastAsia="es-CR"/>
        </w:rPr>
        <w:t xml:space="preserve"> eventual violation of this right would be committed by the law itself and not because the free and full exercise of any other right recognized in the Convention has not been guaranteed. In other words, the practical effect of this right </w:t>
      </w:r>
      <w:r w:rsidR="002F0A20" w:rsidRPr="00D2561A">
        <w:rPr>
          <w:rFonts w:ascii="Verdana" w:eastAsia="Times New Roman" w:hAnsi="Verdana" w:cs="Tahoma"/>
          <w:sz w:val="20"/>
          <w:szCs w:val="20"/>
          <w:lang w:val="en-US" w:eastAsia="es-CR"/>
        </w:rPr>
        <w:t xml:space="preserve">is that it is considered, in itself, a human right. The unequal treatment it </w:t>
      </w:r>
      <w:r w:rsidRPr="00D2561A">
        <w:rPr>
          <w:rFonts w:ascii="Verdana" w:eastAsia="Times New Roman" w:hAnsi="Verdana" w:cs="Tahoma"/>
          <w:sz w:val="20"/>
          <w:szCs w:val="20"/>
          <w:lang w:val="en-US" w:eastAsia="es-CR"/>
        </w:rPr>
        <w:t xml:space="preserve">might </w:t>
      </w:r>
      <w:r w:rsidR="002F0A20" w:rsidRPr="00D2561A">
        <w:rPr>
          <w:rFonts w:ascii="Verdana" w:eastAsia="Times New Roman" w:hAnsi="Verdana" w:cs="Tahoma"/>
          <w:sz w:val="20"/>
          <w:szCs w:val="20"/>
          <w:lang w:val="en-US" w:eastAsia="es-CR"/>
        </w:rPr>
        <w:t xml:space="preserve">establish, or the discrimination it </w:t>
      </w:r>
      <w:r w:rsidRPr="00D2561A">
        <w:rPr>
          <w:rFonts w:ascii="Verdana" w:eastAsia="Times New Roman" w:hAnsi="Verdana" w:cs="Tahoma"/>
          <w:sz w:val="20"/>
          <w:szCs w:val="20"/>
          <w:lang w:val="en-US" w:eastAsia="es-CR"/>
        </w:rPr>
        <w:t xml:space="preserve">might </w:t>
      </w:r>
      <w:r w:rsidR="002F0A20" w:rsidRPr="00D2561A">
        <w:rPr>
          <w:rFonts w:ascii="Verdana" w:eastAsia="Times New Roman" w:hAnsi="Verdana" w:cs="Tahoma"/>
          <w:sz w:val="20"/>
          <w:szCs w:val="20"/>
          <w:lang w:val="en-US" w:eastAsia="es-CR"/>
        </w:rPr>
        <w:t xml:space="preserve">reveal as regards the protection it provides, would be the cause that gives rise to the international responsibility of the State. </w:t>
      </w:r>
    </w:p>
    <w:p w14:paraId="123813B6" w14:textId="77777777" w:rsidR="00B24B6A" w:rsidRPr="00D2561A" w:rsidRDefault="00B24B6A" w:rsidP="002F0A20">
      <w:pPr>
        <w:spacing w:line="240" w:lineRule="auto"/>
        <w:ind w:left="0" w:right="-162"/>
        <w:rPr>
          <w:rFonts w:ascii="Verdana" w:eastAsia="Times New Roman" w:hAnsi="Verdana" w:cs="Tahoma"/>
          <w:sz w:val="20"/>
          <w:szCs w:val="20"/>
          <w:lang w:val="en-US" w:eastAsia="es-CR"/>
        </w:rPr>
      </w:pPr>
    </w:p>
    <w:p w14:paraId="301B70D2" w14:textId="1A4486EB" w:rsidR="00B24B6A" w:rsidRPr="00D2561A" w:rsidRDefault="002F0A20" w:rsidP="000E0801">
      <w:pPr>
        <w:pStyle w:val="Prrafodelista"/>
        <w:numPr>
          <w:ilvl w:val="0"/>
          <w:numId w:val="5"/>
        </w:numPr>
        <w:spacing w:line="240" w:lineRule="auto"/>
        <w:ind w:left="-270" w:right="-162" w:firstLine="0"/>
        <w:rPr>
          <w:rFonts w:ascii="Verdana" w:eastAsia="Times New Roman" w:hAnsi="Verdana" w:cs="Tahoma"/>
          <w:sz w:val="20"/>
          <w:szCs w:val="20"/>
          <w:lang w:val="en-US" w:eastAsia="es-CR"/>
        </w:rPr>
      </w:pPr>
      <w:r w:rsidRPr="00D2561A">
        <w:rPr>
          <w:rFonts w:ascii="Verdana" w:eastAsia="Times New Roman" w:hAnsi="Verdana" w:cs="Tahoma"/>
          <w:sz w:val="20"/>
          <w:szCs w:val="20"/>
          <w:lang w:val="en-US" w:eastAsia="es-CR"/>
        </w:rPr>
        <w:t xml:space="preserve">Thus, the </w:t>
      </w:r>
      <w:r w:rsidR="006F2B5B" w:rsidRPr="00D2561A">
        <w:rPr>
          <w:rFonts w:ascii="Verdana" w:eastAsia="Times New Roman" w:hAnsi="Verdana" w:cs="Tahoma"/>
          <w:sz w:val="20"/>
          <w:szCs w:val="20"/>
          <w:lang w:val="en-US" w:eastAsia="es-CR"/>
        </w:rPr>
        <w:t xml:space="preserve">rule of </w:t>
      </w:r>
      <w:r w:rsidRPr="00D2561A">
        <w:rPr>
          <w:rFonts w:ascii="Verdana" w:eastAsia="Times New Roman" w:hAnsi="Verdana" w:cs="Tahoma"/>
          <w:sz w:val="20"/>
          <w:szCs w:val="20"/>
          <w:lang w:val="en-US" w:eastAsia="es-CR"/>
        </w:rPr>
        <w:t>good faith leads</w:t>
      </w:r>
      <w:r w:rsidR="00A10B51" w:rsidRPr="00D2561A">
        <w:rPr>
          <w:rFonts w:ascii="Verdana" w:eastAsia="Times New Roman" w:hAnsi="Verdana" w:cs="Tahoma"/>
          <w:sz w:val="20"/>
          <w:szCs w:val="20"/>
          <w:lang w:val="en-US" w:eastAsia="es-CR"/>
        </w:rPr>
        <w:t xml:space="preserve"> us</w:t>
      </w:r>
      <w:r w:rsidRPr="00D2561A">
        <w:rPr>
          <w:rFonts w:ascii="Verdana" w:eastAsia="Times New Roman" w:hAnsi="Verdana" w:cs="Tahoma"/>
          <w:sz w:val="20"/>
          <w:szCs w:val="20"/>
          <w:lang w:val="en-US" w:eastAsia="es-CR"/>
        </w:rPr>
        <w:t xml:space="preserve"> to consider</w:t>
      </w:r>
      <w:r w:rsidR="00A10B51" w:rsidRPr="00D2561A">
        <w:rPr>
          <w:rFonts w:ascii="Verdana" w:eastAsia="Times New Roman" w:hAnsi="Verdana" w:cs="Tahoma"/>
          <w:sz w:val="20"/>
          <w:szCs w:val="20"/>
          <w:lang w:val="en-US" w:eastAsia="es-CR"/>
        </w:rPr>
        <w:t xml:space="preserve"> that what is established by</w:t>
      </w:r>
      <w:r w:rsidRPr="00D2561A">
        <w:rPr>
          <w:rFonts w:ascii="Verdana" w:eastAsia="Times New Roman" w:hAnsi="Verdana" w:cs="Tahoma"/>
          <w:sz w:val="20"/>
          <w:szCs w:val="20"/>
          <w:lang w:val="en-US" w:eastAsia="es-CR"/>
        </w:rPr>
        <w:t xml:space="preserve"> the provisions of </w:t>
      </w:r>
      <w:r w:rsidR="00E30D1A" w:rsidRPr="00D2561A">
        <w:rPr>
          <w:rFonts w:ascii="Verdana" w:eastAsia="Times New Roman" w:hAnsi="Verdana" w:cs="Tahoma"/>
          <w:sz w:val="20"/>
          <w:szCs w:val="20"/>
          <w:lang w:val="en-US" w:eastAsia="es-CR"/>
        </w:rPr>
        <w:t>Article</w:t>
      </w:r>
      <w:r w:rsidR="00B24B6A" w:rsidRPr="00D2561A">
        <w:rPr>
          <w:rFonts w:ascii="Verdana" w:eastAsia="Times New Roman" w:hAnsi="Verdana" w:cs="Tahoma"/>
          <w:sz w:val="20"/>
          <w:szCs w:val="20"/>
          <w:lang w:val="en-US" w:eastAsia="es-CR"/>
        </w:rPr>
        <w:t xml:space="preserve"> 24</w:t>
      </w:r>
      <w:r w:rsidR="00E30D1A" w:rsidRPr="00D2561A">
        <w:rPr>
          <w:rFonts w:ascii="Verdana" w:eastAsia="Times New Roman" w:hAnsi="Verdana" w:cs="Tahoma"/>
          <w:sz w:val="20"/>
          <w:szCs w:val="20"/>
          <w:lang w:val="en-US" w:eastAsia="es-CR"/>
        </w:rPr>
        <w:t xml:space="preserve"> of the Convention</w:t>
      </w:r>
      <w:r w:rsidR="00B24B6A" w:rsidRPr="00D2561A">
        <w:rPr>
          <w:rFonts w:ascii="Verdana" w:eastAsia="Times New Roman" w:hAnsi="Verdana" w:cs="Tahoma"/>
          <w:sz w:val="20"/>
          <w:szCs w:val="20"/>
          <w:lang w:val="en-US" w:eastAsia="es-CR"/>
        </w:rPr>
        <w:t xml:space="preserve"> </w:t>
      </w:r>
      <w:r w:rsidR="00A10B51" w:rsidRPr="00D2561A">
        <w:rPr>
          <w:rFonts w:ascii="Verdana" w:eastAsia="Times New Roman" w:hAnsi="Verdana" w:cs="Tahoma"/>
          <w:sz w:val="20"/>
          <w:szCs w:val="20"/>
          <w:lang w:val="en-US" w:eastAsia="es-CR"/>
        </w:rPr>
        <w:t xml:space="preserve">is </w:t>
      </w:r>
      <w:r w:rsidRPr="00D2561A">
        <w:rPr>
          <w:rFonts w:ascii="Verdana" w:eastAsia="Times New Roman" w:hAnsi="Verdana" w:cs="Tahoma"/>
          <w:sz w:val="20"/>
          <w:szCs w:val="20"/>
          <w:lang w:val="en-US" w:eastAsia="es-CR"/>
        </w:rPr>
        <w:t xml:space="preserve">clearly different from </w:t>
      </w:r>
      <w:r w:rsidR="00A10B51" w:rsidRPr="00D2561A">
        <w:rPr>
          <w:rFonts w:ascii="Verdana" w:eastAsia="Times New Roman" w:hAnsi="Verdana" w:cs="Tahoma"/>
          <w:sz w:val="20"/>
          <w:szCs w:val="20"/>
          <w:lang w:val="en-US" w:eastAsia="es-CR"/>
        </w:rPr>
        <w:t>the content of</w:t>
      </w:r>
      <w:r w:rsidRPr="00D2561A">
        <w:rPr>
          <w:rFonts w:ascii="Verdana" w:eastAsia="Times New Roman" w:hAnsi="Verdana" w:cs="Tahoma"/>
          <w:sz w:val="20"/>
          <w:szCs w:val="20"/>
          <w:lang w:val="en-US" w:eastAsia="es-CR"/>
        </w:rPr>
        <w:t xml:space="preserve"> Article 1(1) of this instrument, which establishes a conditional obligation of the States to ensure the free and full exercise of all the rights recognized therein including, evidently, the one that relates to equality before the law.</w:t>
      </w:r>
    </w:p>
    <w:p w14:paraId="4F14D2C6" w14:textId="77777777" w:rsidR="000C269A" w:rsidRPr="00D2561A" w:rsidRDefault="000C269A" w:rsidP="000E0801">
      <w:pPr>
        <w:pStyle w:val="Prrafodelista"/>
        <w:spacing w:line="240" w:lineRule="auto"/>
        <w:ind w:left="-270" w:right="-162"/>
        <w:rPr>
          <w:rFonts w:ascii="Verdana" w:eastAsia="Times New Roman" w:hAnsi="Verdana" w:cs="Tahoma"/>
          <w:sz w:val="20"/>
          <w:szCs w:val="20"/>
          <w:lang w:val="en-US" w:eastAsia="es-CR"/>
        </w:rPr>
      </w:pPr>
    </w:p>
    <w:p w14:paraId="1EF7164D" w14:textId="192A3193" w:rsidR="002F0A20" w:rsidRPr="00D2561A" w:rsidRDefault="002F0A20" w:rsidP="000E0801">
      <w:pPr>
        <w:pStyle w:val="Prrafodelista"/>
        <w:numPr>
          <w:ilvl w:val="0"/>
          <w:numId w:val="5"/>
        </w:numPr>
        <w:spacing w:line="240" w:lineRule="auto"/>
        <w:ind w:left="-270" w:right="-162" w:firstLine="0"/>
        <w:rPr>
          <w:rFonts w:ascii="Verdana" w:eastAsia="Times New Roman" w:hAnsi="Verdana" w:cs="Tahoma"/>
          <w:sz w:val="20"/>
          <w:szCs w:val="20"/>
          <w:lang w:val="en-US" w:eastAsia="es-CR"/>
        </w:rPr>
      </w:pPr>
      <w:r w:rsidRPr="00D2561A">
        <w:rPr>
          <w:rFonts w:ascii="Verdana" w:eastAsia="Times New Roman" w:hAnsi="Verdana" w:cs="Tahoma"/>
          <w:sz w:val="20"/>
          <w:szCs w:val="20"/>
          <w:lang w:val="en-US" w:eastAsia="es-CR"/>
        </w:rPr>
        <w:t>Consequently, it is incomprehensible that the judgment declares that the said Article 24 was violated without indicating the specific law that committed this internationally wrongful act. The judgment indicates a generic situation as the cause of this wrongful act; namely the structural situation of discrimination based on poverty</w:t>
      </w:r>
      <w:r w:rsidR="00A10B51" w:rsidRPr="00D2561A">
        <w:rPr>
          <w:rFonts w:ascii="Verdana" w:eastAsia="Times New Roman" w:hAnsi="Verdana" w:cs="Tahoma"/>
          <w:sz w:val="20"/>
          <w:szCs w:val="20"/>
          <w:lang w:val="en-US" w:eastAsia="es-CR"/>
        </w:rPr>
        <w:t>,</w:t>
      </w:r>
      <w:r w:rsidRPr="00D2561A">
        <w:rPr>
          <w:rFonts w:ascii="Verdana" w:eastAsia="Times New Roman" w:hAnsi="Verdana" w:cs="Tahoma"/>
          <w:sz w:val="20"/>
          <w:szCs w:val="20"/>
          <w:lang w:val="en-US" w:eastAsia="es-CR"/>
        </w:rPr>
        <w:t xml:space="preserve"> or the condition of being a woman or an Afro-descendant,</w:t>
      </w:r>
      <w:r w:rsidRPr="00D2561A">
        <w:rPr>
          <w:rStyle w:val="Refdenotaalpie"/>
          <w:rFonts w:ascii="Verdana" w:eastAsia="Times New Roman" w:hAnsi="Verdana" w:cs="Tahoma"/>
          <w:sz w:val="20"/>
          <w:szCs w:val="20"/>
          <w:lang w:val="en-US" w:eastAsia="es-CR"/>
        </w:rPr>
        <w:footnoteReference w:id="98"/>
      </w:r>
      <w:r w:rsidRPr="00D2561A">
        <w:rPr>
          <w:rFonts w:ascii="Verdana" w:eastAsia="Times New Roman" w:hAnsi="Verdana" w:cs="Tahoma"/>
          <w:sz w:val="20"/>
          <w:szCs w:val="20"/>
          <w:lang w:val="en-US" w:eastAsia="es-CR"/>
        </w:rPr>
        <w:t xml:space="preserve"> without making any specific reference to the law as the cause of this. It should be recalled that Article 24 explicitly establishes that it is the law that must grant equality among human beings and provide the corresponding protection</w:t>
      </w:r>
      <w:r w:rsidR="00A10B51" w:rsidRPr="00D2561A">
        <w:rPr>
          <w:rFonts w:ascii="Verdana" w:eastAsia="Times New Roman" w:hAnsi="Verdana" w:cs="Tahoma"/>
          <w:sz w:val="20"/>
          <w:szCs w:val="20"/>
          <w:lang w:val="en-US" w:eastAsia="es-CR"/>
        </w:rPr>
        <w:t>,</w:t>
      </w:r>
      <w:r w:rsidRPr="00D2561A">
        <w:rPr>
          <w:rFonts w:ascii="Verdana" w:eastAsia="Times New Roman" w:hAnsi="Verdana" w:cs="Tahoma"/>
          <w:sz w:val="20"/>
          <w:szCs w:val="20"/>
          <w:lang w:val="en-US" w:eastAsia="es-CR"/>
        </w:rPr>
        <w:t xml:space="preserve"> without discrimination.</w:t>
      </w:r>
    </w:p>
    <w:p w14:paraId="4F27417F" w14:textId="77777777" w:rsidR="001C1C29" w:rsidRPr="00D2561A" w:rsidRDefault="001C1C29" w:rsidP="000E0801">
      <w:pPr>
        <w:spacing w:line="240" w:lineRule="auto"/>
        <w:ind w:left="0" w:right="-162"/>
        <w:rPr>
          <w:rFonts w:ascii="Verdana" w:eastAsia="Times New Roman" w:hAnsi="Verdana" w:cs="Tahoma"/>
          <w:sz w:val="20"/>
          <w:szCs w:val="20"/>
          <w:lang w:val="en-US" w:eastAsia="es-CR"/>
        </w:rPr>
      </w:pPr>
    </w:p>
    <w:p w14:paraId="0BA705A8" w14:textId="75DD68EE" w:rsidR="000D20D0" w:rsidRPr="00D2561A" w:rsidRDefault="002F0A20" w:rsidP="000E0801">
      <w:pPr>
        <w:pStyle w:val="Prrafodelista"/>
        <w:numPr>
          <w:ilvl w:val="0"/>
          <w:numId w:val="17"/>
        </w:numPr>
        <w:spacing w:line="240" w:lineRule="auto"/>
        <w:ind w:left="-270" w:right="-162" w:firstLine="0"/>
        <w:rPr>
          <w:rFonts w:ascii="Verdana" w:hAnsi="Verdana"/>
          <w:b/>
          <w:bCs/>
          <w:sz w:val="20"/>
          <w:szCs w:val="20"/>
          <w:lang w:val="en-US"/>
        </w:rPr>
      </w:pPr>
      <w:r w:rsidRPr="00D2561A">
        <w:rPr>
          <w:rFonts w:ascii="Verdana" w:hAnsi="Verdana"/>
          <w:b/>
          <w:bCs/>
          <w:sz w:val="20"/>
          <w:szCs w:val="20"/>
          <w:lang w:val="en-US"/>
        </w:rPr>
        <w:t>Ordinary meaning</w:t>
      </w:r>
    </w:p>
    <w:p w14:paraId="47CB1716" w14:textId="77777777" w:rsidR="000C269A" w:rsidRPr="00D2561A" w:rsidRDefault="000C269A" w:rsidP="000E0801">
      <w:pPr>
        <w:pStyle w:val="Prrafodelista"/>
        <w:spacing w:line="240" w:lineRule="auto"/>
        <w:ind w:left="-270" w:right="-162"/>
        <w:rPr>
          <w:rFonts w:ascii="Verdana" w:hAnsi="Verdana"/>
          <w:b/>
          <w:bCs/>
          <w:sz w:val="20"/>
          <w:szCs w:val="20"/>
          <w:lang w:val="en-US"/>
        </w:rPr>
      </w:pPr>
    </w:p>
    <w:p w14:paraId="021CAF05" w14:textId="286D1A07" w:rsidR="000C269A" w:rsidRPr="00D2561A" w:rsidRDefault="002F0A20" w:rsidP="000E0801">
      <w:pPr>
        <w:pStyle w:val="Prrafodelista"/>
        <w:numPr>
          <w:ilvl w:val="0"/>
          <w:numId w:val="5"/>
        </w:numPr>
        <w:spacing w:line="240" w:lineRule="auto"/>
        <w:ind w:left="-270" w:right="-162" w:firstLine="0"/>
        <w:rPr>
          <w:rFonts w:ascii="Verdana" w:hAnsi="Verdana"/>
          <w:b/>
          <w:bCs/>
          <w:sz w:val="20"/>
          <w:szCs w:val="20"/>
          <w:lang w:val="en-US"/>
        </w:rPr>
      </w:pPr>
      <w:r w:rsidRPr="00D2561A">
        <w:rPr>
          <w:rFonts w:ascii="Verdana" w:eastAsia="Times New Roman" w:hAnsi="Verdana" w:cs="Tahoma"/>
          <w:sz w:val="20"/>
          <w:szCs w:val="20"/>
          <w:lang w:val="en-US" w:eastAsia="es-CR"/>
        </w:rPr>
        <w:t xml:space="preserve">Regarding the ordinary or literal meaning of the terms, it should be recalled that </w:t>
      </w:r>
      <w:r w:rsidR="00E30D1A" w:rsidRPr="00D2561A">
        <w:rPr>
          <w:rFonts w:ascii="Verdana" w:eastAsia="Times New Roman" w:hAnsi="Verdana" w:cs="Tahoma"/>
          <w:sz w:val="20"/>
          <w:szCs w:val="20"/>
          <w:lang w:val="en-US" w:eastAsia="es-CR"/>
        </w:rPr>
        <w:t>the Convention</w:t>
      </w:r>
      <w:r w:rsidR="000D20D0" w:rsidRPr="00D2561A">
        <w:rPr>
          <w:rFonts w:ascii="Verdana" w:eastAsia="Times New Roman" w:hAnsi="Verdana" w:cs="Tahoma"/>
          <w:sz w:val="20"/>
          <w:szCs w:val="20"/>
          <w:lang w:val="en-US" w:eastAsia="es-CR"/>
        </w:rPr>
        <w:t xml:space="preserve"> </w:t>
      </w:r>
      <w:r w:rsidRPr="00D2561A">
        <w:rPr>
          <w:rFonts w:ascii="Verdana" w:eastAsia="Times New Roman" w:hAnsi="Verdana" w:cs="Tahoma"/>
          <w:sz w:val="20"/>
          <w:szCs w:val="20"/>
          <w:lang w:val="en-US" w:eastAsia="es-CR"/>
        </w:rPr>
        <w:t>does not give the term “law” a special meaning,</w:t>
      </w:r>
      <w:r w:rsidR="000D20D0" w:rsidRPr="00D2561A">
        <w:rPr>
          <w:rStyle w:val="Refdenotaalpie"/>
          <w:rFonts w:ascii="Verdana" w:hAnsi="Verdana" w:cs="Times New Roman"/>
          <w:i/>
          <w:sz w:val="20"/>
          <w:szCs w:val="20"/>
          <w:lang w:val="en-US"/>
        </w:rPr>
        <w:footnoteReference w:id="99"/>
      </w:r>
      <w:r w:rsidR="00AA5751" w:rsidRPr="00D2561A">
        <w:rPr>
          <w:rFonts w:ascii="Verdana" w:hAnsi="Verdana" w:cs="Times New Roman"/>
          <w:iCs/>
          <w:sz w:val="20"/>
          <w:szCs w:val="20"/>
          <w:lang w:val="en-US"/>
        </w:rPr>
        <w:t xml:space="preserve"> so that its ordinary meaning should be used, which is </w:t>
      </w:r>
      <w:r w:rsidR="000D20D0" w:rsidRPr="00D2561A">
        <w:rPr>
          <w:rFonts w:ascii="Verdana" w:hAnsi="Verdana" w:cs="Times New Roman"/>
          <w:iCs/>
          <w:sz w:val="20"/>
          <w:szCs w:val="20"/>
          <w:lang w:val="en-US"/>
        </w:rPr>
        <w:t>“</w:t>
      </w:r>
      <w:proofErr w:type="spellStart"/>
      <w:r w:rsidR="000D20D0" w:rsidRPr="00D2561A">
        <w:rPr>
          <w:rFonts w:ascii="Verdana" w:hAnsi="Verdana" w:cs="Times New Roman"/>
          <w:i/>
          <w:sz w:val="20"/>
          <w:szCs w:val="20"/>
          <w:lang w:val="en-US"/>
        </w:rPr>
        <w:t>precepto</w:t>
      </w:r>
      <w:proofErr w:type="spellEnd"/>
      <w:r w:rsidR="000D20D0" w:rsidRPr="00D2561A">
        <w:rPr>
          <w:rFonts w:ascii="Verdana" w:hAnsi="Verdana" w:cs="Times New Roman"/>
          <w:i/>
          <w:sz w:val="20"/>
          <w:szCs w:val="20"/>
          <w:lang w:val="en-US"/>
        </w:rPr>
        <w:t xml:space="preserve"> </w:t>
      </w:r>
      <w:proofErr w:type="spellStart"/>
      <w:r w:rsidR="000D20D0" w:rsidRPr="00D2561A">
        <w:rPr>
          <w:rFonts w:ascii="Verdana" w:hAnsi="Verdana" w:cs="Times New Roman"/>
          <w:i/>
          <w:sz w:val="20"/>
          <w:szCs w:val="20"/>
          <w:lang w:val="en-US"/>
        </w:rPr>
        <w:t>dictado</w:t>
      </w:r>
      <w:proofErr w:type="spellEnd"/>
      <w:r w:rsidR="000D20D0" w:rsidRPr="00D2561A">
        <w:rPr>
          <w:rFonts w:ascii="Verdana" w:hAnsi="Verdana" w:cs="Times New Roman"/>
          <w:i/>
          <w:sz w:val="20"/>
          <w:szCs w:val="20"/>
          <w:lang w:val="en-US"/>
        </w:rPr>
        <w:t xml:space="preserve"> por la </w:t>
      </w:r>
      <w:proofErr w:type="spellStart"/>
      <w:r w:rsidR="000D20D0" w:rsidRPr="00D2561A">
        <w:rPr>
          <w:rFonts w:ascii="Verdana" w:hAnsi="Verdana" w:cs="Times New Roman"/>
          <w:i/>
          <w:sz w:val="20"/>
          <w:szCs w:val="20"/>
          <w:lang w:val="en-US"/>
        </w:rPr>
        <w:t>autoridad</w:t>
      </w:r>
      <w:proofErr w:type="spellEnd"/>
      <w:r w:rsidR="000D20D0" w:rsidRPr="00D2561A">
        <w:rPr>
          <w:rFonts w:ascii="Verdana" w:hAnsi="Verdana" w:cs="Times New Roman"/>
          <w:i/>
          <w:sz w:val="20"/>
          <w:szCs w:val="20"/>
          <w:lang w:val="en-US"/>
        </w:rPr>
        <w:t xml:space="preserve"> </w:t>
      </w:r>
      <w:proofErr w:type="spellStart"/>
      <w:r w:rsidR="000D20D0" w:rsidRPr="00D2561A">
        <w:rPr>
          <w:rFonts w:ascii="Verdana" w:hAnsi="Verdana" w:cs="Times New Roman"/>
          <w:i/>
          <w:sz w:val="20"/>
          <w:szCs w:val="20"/>
          <w:lang w:val="en-US"/>
        </w:rPr>
        <w:t>competente</w:t>
      </w:r>
      <w:proofErr w:type="spellEnd"/>
      <w:r w:rsidR="000D20D0" w:rsidRPr="00D2561A">
        <w:rPr>
          <w:rFonts w:ascii="Verdana" w:hAnsi="Verdana" w:cs="Times New Roman"/>
          <w:i/>
          <w:sz w:val="20"/>
          <w:szCs w:val="20"/>
          <w:lang w:val="en-US"/>
        </w:rPr>
        <w:t xml:space="preserve">, </w:t>
      </w:r>
      <w:proofErr w:type="spellStart"/>
      <w:r w:rsidR="000D20D0" w:rsidRPr="00D2561A">
        <w:rPr>
          <w:rFonts w:ascii="Verdana" w:hAnsi="Verdana" w:cs="Times New Roman"/>
          <w:i/>
          <w:sz w:val="20"/>
          <w:szCs w:val="20"/>
          <w:lang w:val="en-US"/>
        </w:rPr>
        <w:t>en</w:t>
      </w:r>
      <w:proofErr w:type="spellEnd"/>
      <w:r w:rsidR="000D20D0" w:rsidRPr="00D2561A">
        <w:rPr>
          <w:rFonts w:ascii="Verdana" w:hAnsi="Verdana" w:cs="Times New Roman"/>
          <w:i/>
          <w:sz w:val="20"/>
          <w:szCs w:val="20"/>
          <w:lang w:val="en-US"/>
        </w:rPr>
        <w:t xml:space="preserve"> que </w:t>
      </w:r>
      <w:proofErr w:type="spellStart"/>
      <w:r w:rsidR="000D20D0" w:rsidRPr="00D2561A">
        <w:rPr>
          <w:rFonts w:ascii="Verdana" w:hAnsi="Verdana" w:cs="Times New Roman"/>
          <w:i/>
          <w:sz w:val="20"/>
          <w:szCs w:val="20"/>
          <w:lang w:val="en-US"/>
        </w:rPr>
        <w:t>manda</w:t>
      </w:r>
      <w:proofErr w:type="spellEnd"/>
      <w:r w:rsidR="000D20D0" w:rsidRPr="00D2561A">
        <w:rPr>
          <w:rFonts w:ascii="Verdana" w:hAnsi="Verdana" w:cs="Times New Roman"/>
          <w:i/>
          <w:sz w:val="20"/>
          <w:szCs w:val="20"/>
          <w:lang w:val="en-US"/>
        </w:rPr>
        <w:t xml:space="preserve"> o </w:t>
      </w:r>
      <w:proofErr w:type="spellStart"/>
      <w:r w:rsidR="000D20D0" w:rsidRPr="00D2561A">
        <w:rPr>
          <w:rFonts w:ascii="Verdana" w:hAnsi="Verdana" w:cs="Times New Roman"/>
          <w:i/>
          <w:sz w:val="20"/>
          <w:szCs w:val="20"/>
          <w:lang w:val="en-US"/>
        </w:rPr>
        <w:t>prohíbe</w:t>
      </w:r>
      <w:proofErr w:type="spellEnd"/>
      <w:r w:rsidR="000D20D0" w:rsidRPr="00D2561A">
        <w:rPr>
          <w:rFonts w:ascii="Verdana" w:hAnsi="Verdana" w:cs="Times New Roman"/>
          <w:i/>
          <w:sz w:val="20"/>
          <w:szCs w:val="20"/>
          <w:lang w:val="en-US"/>
        </w:rPr>
        <w:t xml:space="preserve"> algo </w:t>
      </w:r>
      <w:proofErr w:type="spellStart"/>
      <w:r w:rsidR="000D20D0" w:rsidRPr="00D2561A">
        <w:rPr>
          <w:rFonts w:ascii="Verdana" w:hAnsi="Verdana" w:cs="Times New Roman"/>
          <w:i/>
          <w:sz w:val="20"/>
          <w:szCs w:val="20"/>
          <w:lang w:val="en-US"/>
        </w:rPr>
        <w:t>en</w:t>
      </w:r>
      <w:proofErr w:type="spellEnd"/>
      <w:r w:rsidR="000D20D0" w:rsidRPr="00D2561A">
        <w:rPr>
          <w:rFonts w:ascii="Verdana" w:hAnsi="Verdana" w:cs="Times New Roman"/>
          <w:i/>
          <w:sz w:val="20"/>
          <w:szCs w:val="20"/>
          <w:lang w:val="en-US"/>
        </w:rPr>
        <w:t xml:space="preserve"> </w:t>
      </w:r>
      <w:proofErr w:type="spellStart"/>
      <w:r w:rsidR="000D20D0" w:rsidRPr="00D2561A">
        <w:rPr>
          <w:rFonts w:ascii="Verdana" w:hAnsi="Verdana" w:cs="Times New Roman"/>
          <w:i/>
          <w:sz w:val="20"/>
          <w:szCs w:val="20"/>
          <w:lang w:val="en-US"/>
        </w:rPr>
        <w:t>consonancia</w:t>
      </w:r>
      <w:proofErr w:type="spellEnd"/>
      <w:r w:rsidR="000D20D0" w:rsidRPr="00D2561A">
        <w:rPr>
          <w:rFonts w:ascii="Verdana" w:hAnsi="Verdana" w:cs="Times New Roman"/>
          <w:i/>
          <w:sz w:val="20"/>
          <w:szCs w:val="20"/>
          <w:lang w:val="en-US"/>
        </w:rPr>
        <w:t xml:space="preserve"> con la </w:t>
      </w:r>
      <w:proofErr w:type="spellStart"/>
      <w:r w:rsidR="000D20D0" w:rsidRPr="00D2561A">
        <w:rPr>
          <w:rFonts w:ascii="Verdana" w:hAnsi="Verdana" w:cs="Times New Roman"/>
          <w:i/>
          <w:sz w:val="20"/>
          <w:szCs w:val="20"/>
          <w:lang w:val="en-US"/>
        </w:rPr>
        <w:t>justicia</w:t>
      </w:r>
      <w:proofErr w:type="spellEnd"/>
      <w:r w:rsidR="00E30D1A" w:rsidRPr="00D2561A">
        <w:rPr>
          <w:rFonts w:ascii="Verdana" w:hAnsi="Verdana" w:cs="Times New Roman"/>
          <w:i/>
          <w:sz w:val="20"/>
          <w:szCs w:val="20"/>
          <w:lang w:val="en-US"/>
        </w:rPr>
        <w:t xml:space="preserve"> and </w:t>
      </w:r>
      <w:r w:rsidR="000D20D0" w:rsidRPr="00D2561A">
        <w:rPr>
          <w:rFonts w:ascii="Verdana" w:hAnsi="Verdana" w:cs="Times New Roman"/>
          <w:i/>
          <w:sz w:val="20"/>
          <w:szCs w:val="20"/>
          <w:lang w:val="en-US"/>
        </w:rPr>
        <w:t xml:space="preserve">para el bien de los </w:t>
      </w:r>
      <w:proofErr w:type="spellStart"/>
      <w:r w:rsidR="000D20D0" w:rsidRPr="00D2561A">
        <w:rPr>
          <w:rFonts w:ascii="Verdana" w:hAnsi="Verdana" w:cs="Times New Roman"/>
          <w:i/>
          <w:sz w:val="20"/>
          <w:szCs w:val="20"/>
          <w:lang w:val="en-US"/>
        </w:rPr>
        <w:t>gobernados</w:t>
      </w:r>
      <w:proofErr w:type="spellEnd"/>
      <w:r w:rsidR="000D20D0" w:rsidRPr="00D2561A">
        <w:rPr>
          <w:rFonts w:ascii="Verdana" w:hAnsi="Verdana" w:cs="Times New Roman"/>
          <w:iCs/>
          <w:sz w:val="20"/>
          <w:szCs w:val="20"/>
          <w:lang w:val="en-US"/>
        </w:rPr>
        <w:t>”</w:t>
      </w:r>
      <w:r w:rsidR="00D77AFC" w:rsidRPr="00D2561A">
        <w:rPr>
          <w:rStyle w:val="Refdenotaalpie"/>
          <w:rFonts w:ascii="Verdana" w:hAnsi="Verdana" w:cs="Times New Roman"/>
          <w:iCs/>
          <w:sz w:val="20"/>
          <w:szCs w:val="20"/>
          <w:lang w:val="en-US"/>
        </w:rPr>
        <w:footnoteReference w:id="100"/>
      </w:r>
      <w:r w:rsidR="00AA5751" w:rsidRPr="00D2561A">
        <w:rPr>
          <w:rFonts w:ascii="Verdana" w:hAnsi="Verdana" w:cs="Times New Roman"/>
          <w:iCs/>
          <w:sz w:val="20"/>
          <w:szCs w:val="20"/>
          <w:lang w:val="en-US"/>
        </w:rPr>
        <w:t xml:space="preserve"> [precept issued by the competent authority that orders or prohibits something in </w:t>
      </w:r>
      <w:r w:rsidR="00A10B51" w:rsidRPr="00D2561A">
        <w:rPr>
          <w:rFonts w:ascii="Verdana" w:hAnsi="Verdana" w:cs="Times New Roman"/>
          <w:iCs/>
          <w:sz w:val="20"/>
          <w:szCs w:val="20"/>
          <w:lang w:val="en-US"/>
        </w:rPr>
        <w:t xml:space="preserve">accordance </w:t>
      </w:r>
      <w:r w:rsidR="00AA5751" w:rsidRPr="00D2561A">
        <w:rPr>
          <w:rFonts w:ascii="Verdana" w:hAnsi="Verdana" w:cs="Times New Roman"/>
          <w:iCs/>
          <w:sz w:val="20"/>
          <w:szCs w:val="20"/>
          <w:lang w:val="en-US"/>
        </w:rPr>
        <w:t>with justice and for the good of those who are governed]</w:t>
      </w:r>
      <w:r w:rsidR="00D77AFC" w:rsidRPr="00D2561A">
        <w:rPr>
          <w:rFonts w:ascii="Verdana" w:hAnsi="Verdana" w:cs="Times New Roman"/>
          <w:iCs/>
          <w:sz w:val="20"/>
          <w:szCs w:val="20"/>
          <w:lang w:val="en-US"/>
        </w:rPr>
        <w:t>.</w:t>
      </w:r>
    </w:p>
    <w:p w14:paraId="53A5C9DA" w14:textId="77777777" w:rsidR="000C269A" w:rsidRPr="00D2561A" w:rsidRDefault="000C269A" w:rsidP="000E0801">
      <w:pPr>
        <w:pStyle w:val="Prrafodelista"/>
        <w:spacing w:line="240" w:lineRule="auto"/>
        <w:ind w:left="-270" w:right="-162"/>
        <w:rPr>
          <w:rFonts w:ascii="Verdana" w:hAnsi="Verdana"/>
          <w:b/>
          <w:bCs/>
          <w:sz w:val="20"/>
          <w:szCs w:val="20"/>
          <w:lang w:val="en-US"/>
        </w:rPr>
      </w:pPr>
    </w:p>
    <w:p w14:paraId="5750C179" w14:textId="69C6CC69" w:rsidR="00AA5751" w:rsidRPr="00D2561A" w:rsidRDefault="00AA5751" w:rsidP="000E0801">
      <w:pPr>
        <w:pStyle w:val="Prrafodelista"/>
        <w:numPr>
          <w:ilvl w:val="0"/>
          <w:numId w:val="5"/>
        </w:numPr>
        <w:spacing w:line="240" w:lineRule="auto"/>
        <w:ind w:left="-270" w:right="-162" w:firstLine="0"/>
        <w:rPr>
          <w:rFonts w:ascii="Verdana" w:hAnsi="Verdana"/>
          <w:b/>
          <w:bCs/>
          <w:sz w:val="20"/>
          <w:szCs w:val="20"/>
          <w:lang w:val="en-US"/>
        </w:rPr>
      </w:pPr>
      <w:r w:rsidRPr="00D2561A">
        <w:rPr>
          <w:rFonts w:ascii="Verdana" w:hAnsi="Verdana" w:cs="Times New Roman"/>
          <w:iCs/>
          <w:sz w:val="20"/>
          <w:szCs w:val="20"/>
          <w:lang w:val="en-US"/>
        </w:rPr>
        <w:t>This concept coincides,</w:t>
      </w:r>
      <w:r w:rsidR="00A10B51" w:rsidRPr="00D2561A">
        <w:rPr>
          <w:rFonts w:ascii="Verdana" w:hAnsi="Verdana" w:cs="Times New Roman"/>
          <w:iCs/>
          <w:sz w:val="20"/>
          <w:szCs w:val="20"/>
          <w:lang w:val="en-US"/>
        </w:rPr>
        <w:t xml:space="preserve"> broadly speaking</w:t>
      </w:r>
      <w:r w:rsidR="00EC749E" w:rsidRPr="00D2561A">
        <w:rPr>
          <w:rFonts w:ascii="Verdana" w:hAnsi="Verdana" w:cs="Times New Roman"/>
          <w:iCs/>
          <w:sz w:val="20"/>
          <w:szCs w:val="20"/>
          <w:lang w:val="en-US"/>
        </w:rPr>
        <w:t xml:space="preserve">, </w:t>
      </w:r>
      <w:r w:rsidRPr="00D2561A">
        <w:rPr>
          <w:rFonts w:ascii="Verdana" w:hAnsi="Verdana" w:cs="Times New Roman"/>
          <w:iCs/>
          <w:sz w:val="20"/>
          <w:szCs w:val="20"/>
          <w:lang w:val="en-US"/>
        </w:rPr>
        <w:t xml:space="preserve">with what was indicated in </w:t>
      </w:r>
      <w:r w:rsidR="00E92D5E" w:rsidRPr="00D2561A">
        <w:rPr>
          <w:rFonts w:ascii="Verdana" w:hAnsi="Verdana" w:cs="Times New Roman"/>
          <w:iCs/>
          <w:sz w:val="20"/>
          <w:szCs w:val="20"/>
          <w:lang w:val="en-US"/>
        </w:rPr>
        <w:t>Advisory</w:t>
      </w:r>
      <w:r w:rsidRPr="00D2561A">
        <w:rPr>
          <w:rFonts w:ascii="Verdana" w:hAnsi="Verdana" w:cs="Times New Roman"/>
          <w:iCs/>
          <w:sz w:val="20"/>
          <w:szCs w:val="20"/>
          <w:lang w:val="en-US"/>
        </w:rPr>
        <w:t xml:space="preserve"> Opinion </w:t>
      </w:r>
      <w:r w:rsidR="00163BF8" w:rsidRPr="00D2561A">
        <w:rPr>
          <w:rFonts w:ascii="Verdana" w:hAnsi="Verdana"/>
          <w:sz w:val="20"/>
          <w:szCs w:val="20"/>
          <w:lang w:val="en-US"/>
        </w:rPr>
        <w:t xml:space="preserve">OC-6/86 </w:t>
      </w:r>
      <w:r w:rsidRPr="00D2561A">
        <w:rPr>
          <w:rFonts w:ascii="Verdana" w:hAnsi="Verdana"/>
          <w:sz w:val="20"/>
          <w:szCs w:val="20"/>
          <w:lang w:val="en-US"/>
        </w:rPr>
        <w:t>of May 9,</w:t>
      </w:r>
      <w:r w:rsidR="00163BF8" w:rsidRPr="00D2561A">
        <w:rPr>
          <w:rFonts w:ascii="Verdana" w:hAnsi="Verdana"/>
          <w:sz w:val="20"/>
          <w:szCs w:val="20"/>
          <w:lang w:val="en-US"/>
        </w:rPr>
        <w:t xml:space="preserve"> 1986</w:t>
      </w:r>
      <w:r w:rsidR="00A10B51" w:rsidRPr="00D2561A">
        <w:rPr>
          <w:rFonts w:ascii="Verdana" w:hAnsi="Verdana"/>
          <w:sz w:val="20"/>
          <w:szCs w:val="20"/>
          <w:lang w:val="en-US"/>
        </w:rPr>
        <w:t>;</w:t>
      </w:r>
      <w:r w:rsidR="00163BF8" w:rsidRPr="00D2561A">
        <w:rPr>
          <w:rFonts w:ascii="Verdana" w:hAnsi="Verdana"/>
          <w:sz w:val="20"/>
          <w:szCs w:val="20"/>
          <w:lang w:val="en-US"/>
        </w:rPr>
        <w:t xml:space="preserve"> </w:t>
      </w:r>
      <w:r w:rsidR="00A10B51" w:rsidRPr="00D2561A">
        <w:rPr>
          <w:rFonts w:ascii="Verdana" w:hAnsi="Verdana"/>
          <w:sz w:val="20"/>
          <w:szCs w:val="20"/>
          <w:lang w:val="en-US"/>
        </w:rPr>
        <w:t>namely</w:t>
      </w:r>
      <w:r w:rsidR="00163BF8" w:rsidRPr="00D2561A">
        <w:rPr>
          <w:rFonts w:ascii="Verdana" w:hAnsi="Verdana"/>
          <w:sz w:val="20"/>
          <w:szCs w:val="20"/>
          <w:lang w:val="en-US"/>
        </w:rPr>
        <w:t xml:space="preserve"> “</w:t>
      </w:r>
      <w:r w:rsidRPr="00D2561A">
        <w:rPr>
          <w:rFonts w:ascii="Verdana" w:hAnsi="Verdana" w:cs="Arial"/>
          <w:sz w:val="20"/>
          <w:szCs w:val="20"/>
          <w:lang w:val="en-US"/>
        </w:rPr>
        <w:t>that the word ‘laws’ in Article 30 of the Convention</w:t>
      </w:r>
      <w:r w:rsidR="001143F9" w:rsidRPr="00D2561A">
        <w:rPr>
          <w:rStyle w:val="Refdenotaalpie"/>
          <w:rFonts w:ascii="Verdana" w:hAnsi="Verdana"/>
          <w:sz w:val="20"/>
          <w:szCs w:val="20"/>
          <w:lang w:val="en-US"/>
        </w:rPr>
        <w:footnoteReference w:id="101"/>
      </w:r>
      <w:r w:rsidRPr="00D2561A">
        <w:rPr>
          <w:rFonts w:ascii="Verdana" w:hAnsi="Verdana" w:cs="Arial"/>
          <w:sz w:val="20"/>
          <w:szCs w:val="20"/>
          <w:lang w:val="en-US"/>
        </w:rPr>
        <w:t xml:space="preserve"> </w:t>
      </w:r>
      <w:r w:rsidR="00C67FCA" w:rsidRPr="00D2561A">
        <w:rPr>
          <w:rFonts w:ascii="Verdana" w:hAnsi="Verdana" w:cs="Arial"/>
          <w:sz w:val="20"/>
          <w:szCs w:val="20"/>
          <w:lang w:val="en-US"/>
        </w:rPr>
        <w:t xml:space="preserve">means a general legal norm tied to the general welfare, passed by democratically elected legislative bodies established by the Constitution, and formulated according to the procedures set forth by the </w:t>
      </w:r>
      <w:r w:rsidR="00C67FCA" w:rsidRPr="00D2561A">
        <w:rPr>
          <w:rStyle w:val="highlight"/>
          <w:rFonts w:ascii="Verdana" w:hAnsi="Verdana" w:cs="Arial"/>
          <w:sz w:val="20"/>
          <w:szCs w:val="20"/>
          <w:lang w:val="en-US"/>
        </w:rPr>
        <w:t>constitutions</w:t>
      </w:r>
      <w:r w:rsidR="00C67FCA" w:rsidRPr="00D2561A">
        <w:rPr>
          <w:rFonts w:ascii="Verdana" w:hAnsi="Verdana" w:cs="Arial"/>
          <w:sz w:val="20"/>
          <w:szCs w:val="20"/>
          <w:lang w:val="en-US"/>
        </w:rPr>
        <w:t xml:space="preserve"> of the States Parties for that purpose.”</w:t>
      </w:r>
      <w:r w:rsidRPr="00D2561A">
        <w:rPr>
          <w:rFonts w:ascii="Verdana" w:hAnsi="Verdana" w:cs="Arial"/>
          <w:sz w:val="20"/>
          <w:szCs w:val="20"/>
          <w:lang w:val="en-US"/>
        </w:rPr>
        <w:t xml:space="preserve"> </w:t>
      </w:r>
    </w:p>
    <w:p w14:paraId="688A1B8C" w14:textId="77777777" w:rsidR="000C269A" w:rsidRPr="00D2561A" w:rsidRDefault="000C269A" w:rsidP="000E0801">
      <w:pPr>
        <w:pStyle w:val="Prrafodelista"/>
        <w:spacing w:line="240" w:lineRule="auto"/>
        <w:ind w:left="-270" w:right="-162"/>
        <w:rPr>
          <w:rFonts w:ascii="Verdana" w:hAnsi="Verdana" w:cs="Times New Roman"/>
          <w:iCs/>
          <w:sz w:val="20"/>
          <w:szCs w:val="20"/>
          <w:lang w:val="en-US"/>
        </w:rPr>
      </w:pPr>
    </w:p>
    <w:p w14:paraId="5398338D" w14:textId="41E2F6C9" w:rsidR="006F14DD" w:rsidRPr="00D2561A" w:rsidRDefault="002A273C" w:rsidP="006F14DD">
      <w:pPr>
        <w:pStyle w:val="Prrafodelista"/>
        <w:numPr>
          <w:ilvl w:val="0"/>
          <w:numId w:val="5"/>
        </w:numPr>
        <w:spacing w:line="240" w:lineRule="auto"/>
        <w:ind w:left="-270" w:right="-162" w:firstLine="0"/>
        <w:rPr>
          <w:rFonts w:ascii="Verdana" w:hAnsi="Verdana"/>
          <w:b/>
          <w:bCs/>
          <w:sz w:val="20"/>
          <w:szCs w:val="20"/>
          <w:lang w:val="en-US"/>
        </w:rPr>
      </w:pPr>
      <w:r w:rsidRPr="00D2561A">
        <w:rPr>
          <w:rFonts w:ascii="Verdana" w:hAnsi="Verdana" w:cs="Times New Roman"/>
          <w:iCs/>
          <w:sz w:val="20"/>
          <w:szCs w:val="20"/>
          <w:lang w:val="en-US"/>
        </w:rPr>
        <w:t>It should be pointed out that, on that occasion, the Court recalled that</w:t>
      </w:r>
      <w:r w:rsidR="00234848" w:rsidRPr="00D2561A">
        <w:rPr>
          <w:rFonts w:ascii="Verdana" w:hAnsi="Verdana" w:cs="Times New Roman"/>
          <w:iCs/>
          <w:sz w:val="20"/>
          <w:szCs w:val="20"/>
          <w:lang w:val="en-US"/>
        </w:rPr>
        <w:t xml:space="preserve"> </w:t>
      </w:r>
      <w:r w:rsidR="00234848" w:rsidRPr="00D2561A">
        <w:rPr>
          <w:rFonts w:ascii="Verdana" w:hAnsi="Verdana" w:cs="Arial"/>
          <w:sz w:val="20"/>
          <w:szCs w:val="20"/>
          <w:lang w:val="en-US"/>
        </w:rPr>
        <w:t>“[</w:t>
      </w:r>
      <w:proofErr w:type="spellStart"/>
      <w:r w:rsidR="00234848" w:rsidRPr="00D2561A">
        <w:rPr>
          <w:rFonts w:ascii="Verdana" w:hAnsi="Verdana" w:cs="Arial"/>
          <w:sz w:val="20"/>
          <w:szCs w:val="20"/>
          <w:lang w:val="en-US"/>
        </w:rPr>
        <w:t>i</w:t>
      </w:r>
      <w:proofErr w:type="spellEnd"/>
      <w:r w:rsidR="00234848" w:rsidRPr="00D2561A">
        <w:rPr>
          <w:rFonts w:ascii="Verdana" w:hAnsi="Verdana" w:cs="Arial"/>
          <w:sz w:val="20"/>
          <w:szCs w:val="20"/>
          <w:lang w:val="en-US"/>
        </w:rPr>
        <w:t>]</w:t>
      </w:r>
      <w:r w:rsidR="000D560F" w:rsidRPr="00D2561A">
        <w:rPr>
          <w:rFonts w:ascii="Verdana" w:hAnsi="Verdana" w:cs="Arial"/>
          <w:sz w:val="20"/>
          <w:szCs w:val="20"/>
          <w:lang w:val="en-US"/>
        </w:rPr>
        <w:t>t</w:t>
      </w:r>
      <w:r w:rsidR="00234848" w:rsidRPr="00D2561A">
        <w:rPr>
          <w:rFonts w:ascii="Verdana" w:hAnsi="Verdana" w:cs="Arial"/>
          <w:sz w:val="20"/>
          <w:szCs w:val="20"/>
          <w:lang w:val="en-US"/>
        </w:rPr>
        <w:t xml:space="preserve"> is, therefore, not a question of giving an answer that can be applied to each case where the Convention uses such terms as ‘laws,’ ‘law,’ ‘legislative provisions,’ ‘legal effects,’ ‘legislative measures,’ ‘legal restrictions’ or ‘domestic laws,’  rather “[o]n each occasion that such expressions are used, their meaning must be specifically determined.</w:t>
      </w:r>
      <w:r w:rsidR="00795077" w:rsidRPr="00D2561A">
        <w:rPr>
          <w:rFonts w:ascii="Verdana" w:hAnsi="Verdana"/>
          <w:sz w:val="20"/>
          <w:szCs w:val="20"/>
          <w:lang w:val="en-US"/>
        </w:rPr>
        <w:t>”</w:t>
      </w:r>
      <w:r w:rsidR="00795077" w:rsidRPr="00D2561A">
        <w:rPr>
          <w:rStyle w:val="Refdenotaalpie"/>
          <w:rFonts w:ascii="Verdana" w:hAnsi="Verdana"/>
          <w:sz w:val="20"/>
          <w:szCs w:val="20"/>
          <w:lang w:val="en-US"/>
        </w:rPr>
        <w:footnoteReference w:id="102"/>
      </w:r>
      <w:r w:rsidR="00E30D1A" w:rsidRPr="00D2561A">
        <w:rPr>
          <w:rFonts w:ascii="Verdana" w:hAnsi="Verdana"/>
          <w:sz w:val="20"/>
          <w:szCs w:val="20"/>
          <w:lang w:val="en-US"/>
        </w:rPr>
        <w:t xml:space="preserve"> </w:t>
      </w:r>
      <w:r w:rsidR="00234848" w:rsidRPr="00D2561A">
        <w:rPr>
          <w:rFonts w:ascii="Verdana" w:hAnsi="Verdana"/>
          <w:sz w:val="20"/>
          <w:szCs w:val="20"/>
          <w:lang w:val="en-US"/>
        </w:rPr>
        <w:t xml:space="preserve">And, it was precisely this that Advisory Opinion </w:t>
      </w:r>
      <w:r w:rsidR="00795077" w:rsidRPr="00D2561A">
        <w:rPr>
          <w:rFonts w:ascii="Verdana" w:hAnsi="Verdana"/>
          <w:sz w:val="20"/>
          <w:szCs w:val="20"/>
          <w:lang w:val="en-US"/>
        </w:rPr>
        <w:t>OC-12/91</w:t>
      </w:r>
      <w:r w:rsidR="00234848" w:rsidRPr="00D2561A">
        <w:rPr>
          <w:rFonts w:ascii="Verdana" w:hAnsi="Verdana"/>
          <w:sz w:val="20"/>
          <w:szCs w:val="20"/>
          <w:lang w:val="en-US"/>
        </w:rPr>
        <w:t xml:space="preserve"> of December 6,</w:t>
      </w:r>
      <w:r w:rsidR="00680466" w:rsidRPr="00D2561A">
        <w:rPr>
          <w:rFonts w:ascii="Verdana" w:hAnsi="Verdana"/>
          <w:sz w:val="20"/>
          <w:szCs w:val="20"/>
          <w:lang w:val="en-US"/>
        </w:rPr>
        <w:t xml:space="preserve"> 1991</w:t>
      </w:r>
      <w:r w:rsidR="00680466" w:rsidRPr="00D2561A">
        <w:rPr>
          <w:rFonts w:ascii="Verdana" w:hAnsi="Verdana"/>
          <w:bCs/>
          <w:sz w:val="20"/>
          <w:szCs w:val="20"/>
          <w:lang w:val="en-US"/>
        </w:rPr>
        <w:t>,</w:t>
      </w:r>
      <w:r w:rsidR="00234848" w:rsidRPr="00D2561A">
        <w:rPr>
          <w:rFonts w:ascii="Verdana" w:hAnsi="Verdana"/>
          <w:b/>
          <w:sz w:val="20"/>
          <w:szCs w:val="20"/>
          <w:lang w:val="en-US"/>
        </w:rPr>
        <w:t xml:space="preserve"> </w:t>
      </w:r>
      <w:r w:rsidR="00234848" w:rsidRPr="00D2561A">
        <w:rPr>
          <w:rFonts w:ascii="Verdana" w:hAnsi="Verdana"/>
          <w:bCs/>
          <w:sz w:val="20"/>
          <w:szCs w:val="20"/>
          <w:lang w:val="en-US"/>
        </w:rPr>
        <w:t xml:space="preserve">did when it indicated, for the effects </w:t>
      </w:r>
      <w:r w:rsidR="00D5153E" w:rsidRPr="00D2561A">
        <w:rPr>
          <w:rFonts w:ascii="Verdana" w:hAnsi="Verdana"/>
          <w:bCs/>
          <w:sz w:val="20"/>
          <w:szCs w:val="20"/>
          <w:lang w:val="en-US"/>
        </w:rPr>
        <w:t>of Article</w:t>
      </w:r>
      <w:r w:rsidR="00680466" w:rsidRPr="00D2561A">
        <w:rPr>
          <w:rFonts w:ascii="Verdana" w:hAnsi="Verdana"/>
          <w:bCs/>
          <w:sz w:val="20"/>
          <w:szCs w:val="20"/>
          <w:lang w:val="en-US"/>
        </w:rPr>
        <w:t xml:space="preserve"> 64</w:t>
      </w:r>
      <w:r w:rsidR="00234848" w:rsidRPr="00D2561A">
        <w:rPr>
          <w:rFonts w:ascii="Verdana" w:hAnsi="Verdana"/>
          <w:bCs/>
          <w:sz w:val="20"/>
          <w:szCs w:val="20"/>
          <w:lang w:val="en-US"/>
        </w:rPr>
        <w:t>(</w:t>
      </w:r>
      <w:r w:rsidR="00680466" w:rsidRPr="00D2561A">
        <w:rPr>
          <w:rFonts w:ascii="Verdana" w:hAnsi="Verdana"/>
          <w:bCs/>
          <w:sz w:val="20"/>
          <w:szCs w:val="20"/>
          <w:lang w:val="en-US"/>
        </w:rPr>
        <w:t>2</w:t>
      </w:r>
      <w:r w:rsidR="00234848" w:rsidRPr="00D2561A">
        <w:rPr>
          <w:rFonts w:ascii="Verdana" w:hAnsi="Verdana"/>
          <w:bCs/>
          <w:sz w:val="20"/>
          <w:szCs w:val="20"/>
          <w:lang w:val="en-US"/>
        </w:rPr>
        <w:t>)</w:t>
      </w:r>
      <w:r w:rsidR="00E30D1A" w:rsidRPr="00D2561A">
        <w:rPr>
          <w:rFonts w:ascii="Verdana" w:hAnsi="Verdana"/>
          <w:bCs/>
          <w:sz w:val="20"/>
          <w:szCs w:val="20"/>
          <w:lang w:val="en-US"/>
        </w:rPr>
        <w:t xml:space="preserve"> of the Convention</w:t>
      </w:r>
      <w:r w:rsidR="00234848" w:rsidRPr="00D2561A">
        <w:rPr>
          <w:rFonts w:ascii="Verdana" w:hAnsi="Verdana"/>
          <w:bCs/>
          <w:sz w:val="20"/>
          <w:szCs w:val="20"/>
          <w:lang w:val="en-US"/>
        </w:rPr>
        <w:t>,</w:t>
      </w:r>
      <w:r w:rsidR="00680466" w:rsidRPr="00D2561A">
        <w:rPr>
          <w:rStyle w:val="Refdenotaalpie"/>
          <w:rFonts w:ascii="Verdana" w:hAnsi="Verdana"/>
          <w:bCs/>
          <w:sz w:val="20"/>
          <w:szCs w:val="20"/>
          <w:lang w:val="en-US"/>
        </w:rPr>
        <w:footnoteReference w:id="103"/>
      </w:r>
      <w:r w:rsidR="00CF6779" w:rsidRPr="00D2561A">
        <w:rPr>
          <w:rFonts w:ascii="Verdana" w:hAnsi="Verdana"/>
          <w:bCs/>
          <w:sz w:val="20"/>
          <w:szCs w:val="20"/>
          <w:lang w:val="en-US"/>
        </w:rPr>
        <w:t xml:space="preserve"> </w:t>
      </w:r>
      <w:r w:rsidR="00680466" w:rsidRPr="00D2561A">
        <w:rPr>
          <w:rFonts w:ascii="Verdana" w:hAnsi="Verdana"/>
          <w:bCs/>
          <w:sz w:val="20"/>
          <w:szCs w:val="20"/>
          <w:lang w:val="en-US"/>
        </w:rPr>
        <w:t>“</w:t>
      </w:r>
      <w:r w:rsidR="006F14DD" w:rsidRPr="00D2561A">
        <w:rPr>
          <w:rFonts w:ascii="Verdana" w:hAnsi="Verdana" w:cs="Arial"/>
          <w:sz w:val="20"/>
          <w:szCs w:val="20"/>
          <w:lang w:val="en-US"/>
        </w:rPr>
        <w:t xml:space="preserve">that, in certain circumstances and pursuant to the powers conferred on it by Article 64(2), the Court may render advisory opinions regarding the </w:t>
      </w:r>
      <w:r w:rsidR="006F14DD" w:rsidRPr="00D2561A">
        <w:rPr>
          <w:rStyle w:val="highlight"/>
          <w:rFonts w:ascii="Verdana" w:hAnsi="Verdana" w:cs="Arial"/>
          <w:sz w:val="20"/>
          <w:szCs w:val="20"/>
          <w:lang w:val="en-US"/>
        </w:rPr>
        <w:t>compatibility</w:t>
      </w:r>
      <w:r w:rsidR="006F14DD" w:rsidRPr="00D2561A">
        <w:rPr>
          <w:rFonts w:ascii="Verdana" w:hAnsi="Verdana" w:cs="Arial"/>
          <w:sz w:val="20"/>
          <w:szCs w:val="20"/>
          <w:lang w:val="en-US"/>
        </w:rPr>
        <w:t xml:space="preserve"> of ‘draft legislation’ with the Convention.”</w:t>
      </w:r>
    </w:p>
    <w:p w14:paraId="0DF11961" w14:textId="77777777" w:rsidR="000C269A" w:rsidRPr="00D2561A" w:rsidRDefault="000C269A" w:rsidP="000E0801">
      <w:pPr>
        <w:pStyle w:val="Prrafodelista"/>
        <w:spacing w:line="240" w:lineRule="auto"/>
        <w:ind w:left="-270" w:right="-162"/>
        <w:rPr>
          <w:rFonts w:ascii="Verdana" w:hAnsi="Verdana" w:cs="Times New Roman"/>
          <w:iCs/>
          <w:sz w:val="20"/>
          <w:szCs w:val="20"/>
          <w:lang w:val="en-US"/>
        </w:rPr>
      </w:pPr>
    </w:p>
    <w:p w14:paraId="5E2A1842" w14:textId="2647149B" w:rsidR="006F14DD" w:rsidRPr="00D2561A" w:rsidRDefault="000D560F" w:rsidP="000E0801">
      <w:pPr>
        <w:pStyle w:val="Prrafodelista"/>
        <w:numPr>
          <w:ilvl w:val="0"/>
          <w:numId w:val="5"/>
        </w:numPr>
        <w:spacing w:line="240" w:lineRule="auto"/>
        <w:ind w:left="-270" w:right="-162" w:firstLine="0"/>
        <w:rPr>
          <w:rFonts w:ascii="Verdana" w:hAnsi="Verdana"/>
          <w:b/>
          <w:bCs/>
          <w:sz w:val="20"/>
          <w:szCs w:val="20"/>
          <w:lang w:val="en-US"/>
        </w:rPr>
      </w:pPr>
      <w:r w:rsidRPr="00D2561A">
        <w:rPr>
          <w:rFonts w:ascii="Verdana" w:hAnsi="Verdana" w:cs="Times New Roman"/>
          <w:iCs/>
          <w:sz w:val="20"/>
          <w:szCs w:val="20"/>
          <w:lang w:val="en-US"/>
        </w:rPr>
        <w:t>C</w:t>
      </w:r>
      <w:r w:rsidR="006F14DD" w:rsidRPr="00D2561A">
        <w:rPr>
          <w:rFonts w:ascii="Verdana" w:hAnsi="Verdana" w:cs="Times New Roman"/>
          <w:iCs/>
          <w:sz w:val="20"/>
          <w:szCs w:val="20"/>
          <w:lang w:val="en-US"/>
        </w:rPr>
        <w:t>onsequently, it can be asserted that, in the absence of an explicit indication in the Convention and of a more general ruling by the Court, the concept of law provided by the Court, for the purpose of Article 30 of the Convention, is also applicable to the provisions of its Article 24, including in it the Constitution and regulations, resolutions or instructions of a general nature.</w:t>
      </w:r>
    </w:p>
    <w:p w14:paraId="315B3FAF" w14:textId="77777777" w:rsidR="000C269A" w:rsidRPr="00D2561A" w:rsidRDefault="000C269A" w:rsidP="000E0801">
      <w:pPr>
        <w:pStyle w:val="Prrafodelista"/>
        <w:spacing w:line="240" w:lineRule="auto"/>
        <w:ind w:left="-270" w:right="-162"/>
        <w:rPr>
          <w:rFonts w:ascii="Verdana" w:hAnsi="Verdana" w:cs="Times New Roman"/>
          <w:iCs/>
          <w:sz w:val="20"/>
          <w:szCs w:val="20"/>
          <w:lang w:val="en-US"/>
        </w:rPr>
      </w:pPr>
    </w:p>
    <w:p w14:paraId="6AA9D558" w14:textId="08A90C1D" w:rsidR="006F14DD" w:rsidRPr="00D2561A" w:rsidRDefault="006F14DD" w:rsidP="000E0801">
      <w:pPr>
        <w:pStyle w:val="Prrafodelista"/>
        <w:numPr>
          <w:ilvl w:val="0"/>
          <w:numId w:val="5"/>
        </w:numPr>
        <w:spacing w:line="240" w:lineRule="auto"/>
        <w:ind w:left="-270" w:right="-162" w:firstLine="0"/>
        <w:rPr>
          <w:rFonts w:ascii="Verdana" w:hAnsi="Verdana"/>
          <w:b/>
          <w:bCs/>
          <w:sz w:val="20"/>
          <w:szCs w:val="20"/>
          <w:lang w:val="en-US"/>
        </w:rPr>
      </w:pPr>
      <w:r w:rsidRPr="00D2561A">
        <w:rPr>
          <w:rFonts w:ascii="Verdana" w:hAnsi="Verdana" w:cs="Times New Roman"/>
          <w:iCs/>
          <w:sz w:val="20"/>
          <w:szCs w:val="20"/>
          <w:lang w:val="en-US"/>
        </w:rPr>
        <w:t>Thus, the method of</w:t>
      </w:r>
      <w:r w:rsidR="000D560F" w:rsidRPr="00D2561A">
        <w:rPr>
          <w:rFonts w:ascii="Verdana" w:hAnsi="Verdana" w:cs="Times New Roman"/>
          <w:iCs/>
          <w:sz w:val="20"/>
          <w:szCs w:val="20"/>
          <w:lang w:val="en-US"/>
        </w:rPr>
        <w:t xml:space="preserve"> the</w:t>
      </w:r>
      <w:r w:rsidRPr="00D2561A">
        <w:rPr>
          <w:rFonts w:ascii="Verdana" w:hAnsi="Verdana" w:cs="Times New Roman"/>
          <w:iCs/>
          <w:sz w:val="20"/>
          <w:szCs w:val="20"/>
          <w:lang w:val="en-US"/>
        </w:rPr>
        <w:t xml:space="preserve"> literal interpretation of the terms leads to the same results as </w:t>
      </w:r>
      <w:r w:rsidR="000D560F" w:rsidRPr="00D2561A">
        <w:rPr>
          <w:rFonts w:ascii="Verdana" w:hAnsi="Verdana" w:cs="Times New Roman"/>
          <w:iCs/>
          <w:sz w:val="20"/>
          <w:szCs w:val="20"/>
          <w:lang w:val="en-US"/>
        </w:rPr>
        <w:t xml:space="preserve">those </w:t>
      </w:r>
      <w:r w:rsidRPr="00D2561A">
        <w:rPr>
          <w:rFonts w:ascii="Verdana" w:hAnsi="Verdana" w:cs="Times New Roman"/>
          <w:iCs/>
          <w:sz w:val="20"/>
          <w:szCs w:val="20"/>
          <w:lang w:val="en-US"/>
        </w:rPr>
        <w:t xml:space="preserve">achieved with the method </w:t>
      </w:r>
      <w:r w:rsidR="000D560F" w:rsidRPr="00D2561A">
        <w:rPr>
          <w:rFonts w:ascii="Verdana" w:hAnsi="Verdana" w:cs="Times New Roman"/>
          <w:iCs/>
          <w:sz w:val="20"/>
          <w:szCs w:val="20"/>
          <w:lang w:val="en-US"/>
        </w:rPr>
        <w:t>of</w:t>
      </w:r>
      <w:r w:rsidRPr="00D2561A">
        <w:rPr>
          <w:rFonts w:ascii="Verdana" w:hAnsi="Verdana" w:cs="Times New Roman"/>
          <w:iCs/>
          <w:sz w:val="20"/>
          <w:szCs w:val="20"/>
          <w:lang w:val="en-US"/>
        </w:rPr>
        <w:t xml:space="preserve"> good faith; </w:t>
      </w:r>
      <w:r w:rsidR="001158C1" w:rsidRPr="00D2561A">
        <w:rPr>
          <w:rFonts w:ascii="Verdana" w:hAnsi="Verdana" w:cs="Times New Roman"/>
          <w:iCs/>
          <w:sz w:val="20"/>
          <w:szCs w:val="20"/>
          <w:lang w:val="en-US"/>
        </w:rPr>
        <w:t>which is that</w:t>
      </w:r>
      <w:r w:rsidRPr="00D2561A">
        <w:rPr>
          <w:rFonts w:ascii="Verdana" w:hAnsi="Verdana" w:cs="Times New Roman"/>
          <w:iCs/>
          <w:sz w:val="20"/>
          <w:szCs w:val="20"/>
          <w:lang w:val="en-US"/>
        </w:rPr>
        <w:t xml:space="preserve"> it is the law that must consider all persons as equal and accord all of them due protection without discrimination and</w:t>
      </w:r>
      <w:r w:rsidR="00F02FC0" w:rsidRPr="00D2561A">
        <w:rPr>
          <w:rFonts w:ascii="Verdana" w:hAnsi="Verdana" w:cs="Times New Roman"/>
          <w:iCs/>
          <w:sz w:val="20"/>
          <w:szCs w:val="20"/>
          <w:lang w:val="en-US"/>
        </w:rPr>
        <w:t>,</w:t>
      </w:r>
      <w:r w:rsidRPr="00D2561A">
        <w:rPr>
          <w:rFonts w:ascii="Verdana" w:hAnsi="Verdana" w:cs="Times New Roman"/>
          <w:iCs/>
          <w:sz w:val="20"/>
          <w:szCs w:val="20"/>
          <w:lang w:val="en-US"/>
        </w:rPr>
        <w:t xml:space="preserve"> if </w:t>
      </w:r>
      <w:r w:rsidR="000D560F" w:rsidRPr="00D2561A">
        <w:rPr>
          <w:rFonts w:ascii="Verdana" w:hAnsi="Verdana" w:cs="Times New Roman"/>
          <w:iCs/>
          <w:sz w:val="20"/>
          <w:szCs w:val="20"/>
          <w:lang w:val="en-US"/>
        </w:rPr>
        <w:t>it does not,</w:t>
      </w:r>
      <w:r w:rsidRPr="00D2561A">
        <w:rPr>
          <w:rFonts w:ascii="Verdana" w:hAnsi="Verdana" w:cs="Times New Roman"/>
          <w:iCs/>
          <w:sz w:val="20"/>
          <w:szCs w:val="20"/>
          <w:lang w:val="en-US"/>
        </w:rPr>
        <w:t xml:space="preserve"> the human right of equality before the law is violated. The cause of that violation is, therefore, the law and, for the corresponding purposes, it is necessary to specify which law, </w:t>
      </w:r>
      <w:r w:rsidR="00F02FC0" w:rsidRPr="00D2561A">
        <w:rPr>
          <w:rFonts w:ascii="Verdana" w:hAnsi="Verdana" w:cs="Times New Roman"/>
          <w:iCs/>
          <w:sz w:val="20"/>
          <w:szCs w:val="20"/>
          <w:lang w:val="en-US"/>
        </w:rPr>
        <w:t>and this</w:t>
      </w:r>
      <w:r w:rsidRPr="00D2561A">
        <w:rPr>
          <w:rFonts w:ascii="Verdana" w:hAnsi="Verdana" w:cs="Times New Roman"/>
          <w:iCs/>
          <w:sz w:val="20"/>
          <w:szCs w:val="20"/>
          <w:lang w:val="en-US"/>
        </w:rPr>
        <w:t xml:space="preserve"> did not occur in the judgment.</w:t>
      </w:r>
    </w:p>
    <w:p w14:paraId="48D00D24" w14:textId="77777777" w:rsidR="0017788F" w:rsidRPr="00D2561A" w:rsidRDefault="0017788F" w:rsidP="000E0801">
      <w:pPr>
        <w:spacing w:line="240" w:lineRule="auto"/>
        <w:ind w:left="0" w:right="-162"/>
        <w:rPr>
          <w:rFonts w:ascii="Verdana" w:hAnsi="Verdana" w:cs="Times New Roman"/>
          <w:iCs/>
          <w:sz w:val="20"/>
          <w:szCs w:val="20"/>
          <w:lang w:val="en-US"/>
        </w:rPr>
      </w:pPr>
    </w:p>
    <w:p w14:paraId="63ADFD8E" w14:textId="04372D38" w:rsidR="00833777" w:rsidRPr="00D2561A" w:rsidRDefault="00D5153E" w:rsidP="000E0801">
      <w:pPr>
        <w:pStyle w:val="Prrafodelista"/>
        <w:numPr>
          <w:ilvl w:val="0"/>
          <w:numId w:val="17"/>
        </w:numPr>
        <w:autoSpaceDE w:val="0"/>
        <w:autoSpaceDN w:val="0"/>
        <w:adjustRightInd w:val="0"/>
        <w:spacing w:line="240" w:lineRule="auto"/>
        <w:ind w:left="-270" w:right="-162" w:firstLine="0"/>
        <w:rPr>
          <w:rFonts w:ascii="Verdana" w:hAnsi="Verdana" w:cs="Times New Roman"/>
          <w:b/>
          <w:bCs/>
          <w:iCs/>
          <w:sz w:val="20"/>
          <w:szCs w:val="20"/>
          <w:lang w:val="en-US"/>
        </w:rPr>
      </w:pPr>
      <w:bookmarkStart w:id="9" w:name="_Hlk45964686"/>
      <w:r w:rsidRPr="00D2561A">
        <w:rPr>
          <w:rFonts w:ascii="Verdana" w:hAnsi="Verdana" w:cs="Times New Roman"/>
          <w:b/>
          <w:bCs/>
          <w:iCs/>
          <w:sz w:val="20"/>
          <w:szCs w:val="20"/>
          <w:lang w:val="en-US"/>
        </w:rPr>
        <w:t>The subjective method</w:t>
      </w:r>
    </w:p>
    <w:p w14:paraId="06F80DC9" w14:textId="77777777" w:rsidR="00833777" w:rsidRPr="00D2561A" w:rsidRDefault="00833777" w:rsidP="000E0801">
      <w:pPr>
        <w:pStyle w:val="Prrafodelista"/>
        <w:autoSpaceDE w:val="0"/>
        <w:autoSpaceDN w:val="0"/>
        <w:adjustRightInd w:val="0"/>
        <w:spacing w:line="240" w:lineRule="auto"/>
        <w:ind w:left="-270" w:right="-162"/>
        <w:rPr>
          <w:rFonts w:ascii="Verdana" w:hAnsi="Verdana" w:cs="Times New Roman"/>
          <w:b/>
          <w:bCs/>
          <w:iCs/>
          <w:sz w:val="20"/>
          <w:szCs w:val="20"/>
          <w:lang w:val="en-US"/>
        </w:rPr>
      </w:pPr>
    </w:p>
    <w:p w14:paraId="64BDDF7D" w14:textId="453D8E69" w:rsidR="00833777" w:rsidRPr="00D2561A" w:rsidRDefault="006F14DD" w:rsidP="000E0801">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cs="Times New Roman"/>
          <w:iCs/>
          <w:sz w:val="20"/>
          <w:szCs w:val="20"/>
          <w:lang w:val="en-US"/>
        </w:rPr>
        <w:t xml:space="preserve">Regarding the application to this matter of the subjective method that tries to determine the intention of the parties to the Convention based on its context, </w:t>
      </w:r>
      <w:r w:rsidR="00A75720" w:rsidRPr="00D2561A">
        <w:rPr>
          <w:rFonts w:ascii="Verdana" w:hAnsi="Verdana" w:cs="Times New Roman"/>
          <w:iCs/>
          <w:sz w:val="20"/>
          <w:szCs w:val="20"/>
          <w:lang w:val="en-US"/>
        </w:rPr>
        <w:t>attention should be called to the fact that the said</w:t>
      </w:r>
      <w:bookmarkEnd w:id="9"/>
      <w:r w:rsidR="002774ED" w:rsidRPr="00D2561A">
        <w:rPr>
          <w:rFonts w:ascii="Verdana" w:hAnsi="Verdana" w:cs="Times New Roman"/>
          <w:iCs/>
          <w:sz w:val="20"/>
          <w:szCs w:val="20"/>
          <w:lang w:val="en-US"/>
        </w:rPr>
        <w:t xml:space="preserve"> </w:t>
      </w:r>
      <w:r w:rsidR="00466AF7" w:rsidRPr="00D2561A">
        <w:rPr>
          <w:rFonts w:ascii="Verdana" w:hAnsi="Verdana" w:cs="Times New Roman"/>
          <w:iCs/>
          <w:sz w:val="20"/>
          <w:szCs w:val="20"/>
          <w:lang w:val="en-US"/>
        </w:rPr>
        <w:t>Article</w:t>
      </w:r>
      <w:r w:rsidR="002774ED" w:rsidRPr="00D2561A">
        <w:rPr>
          <w:rFonts w:ascii="Verdana" w:hAnsi="Verdana" w:cs="Times New Roman"/>
          <w:iCs/>
          <w:sz w:val="20"/>
          <w:szCs w:val="20"/>
          <w:lang w:val="en-US"/>
        </w:rPr>
        <w:t xml:space="preserve"> 24 </w:t>
      </w:r>
      <w:r w:rsidR="00A75720" w:rsidRPr="00D2561A">
        <w:rPr>
          <w:rFonts w:ascii="Verdana" w:hAnsi="Verdana" w:cs="Times New Roman"/>
          <w:iCs/>
          <w:sz w:val="20"/>
          <w:szCs w:val="20"/>
          <w:lang w:val="en-US"/>
        </w:rPr>
        <w:t xml:space="preserve">is </w:t>
      </w:r>
      <w:r w:rsidR="00F02FC0" w:rsidRPr="00D2561A">
        <w:rPr>
          <w:rFonts w:ascii="Verdana" w:hAnsi="Verdana" w:cs="Times New Roman"/>
          <w:iCs/>
          <w:sz w:val="20"/>
          <w:szCs w:val="20"/>
          <w:lang w:val="en-US"/>
        </w:rPr>
        <w:t>situated</w:t>
      </w:r>
      <w:r w:rsidR="00A75720" w:rsidRPr="00D2561A">
        <w:rPr>
          <w:rFonts w:ascii="Verdana" w:hAnsi="Verdana" w:cs="Times New Roman"/>
          <w:iCs/>
          <w:sz w:val="20"/>
          <w:szCs w:val="20"/>
          <w:lang w:val="en-US"/>
        </w:rPr>
        <w:t xml:space="preserve"> among the articles that refer to each of the human rights recognized by</w:t>
      </w:r>
      <w:r w:rsidR="002774ED" w:rsidRPr="00D2561A">
        <w:rPr>
          <w:rFonts w:ascii="Verdana" w:hAnsi="Verdana" w:cs="Times New Roman"/>
          <w:iCs/>
          <w:sz w:val="20"/>
          <w:szCs w:val="20"/>
          <w:lang w:val="en-US"/>
        </w:rPr>
        <w:t xml:space="preserve"> </w:t>
      </w:r>
      <w:r w:rsidR="00E30D1A" w:rsidRPr="00D2561A">
        <w:rPr>
          <w:rFonts w:ascii="Verdana" w:hAnsi="Verdana" w:cs="Times New Roman"/>
          <w:iCs/>
          <w:sz w:val="20"/>
          <w:szCs w:val="20"/>
          <w:lang w:val="en-US"/>
        </w:rPr>
        <w:t>the Convention</w:t>
      </w:r>
      <w:r w:rsidR="002774ED" w:rsidRPr="00D2561A">
        <w:rPr>
          <w:rFonts w:ascii="Verdana" w:hAnsi="Verdana" w:cs="Times New Roman"/>
          <w:iCs/>
          <w:sz w:val="20"/>
          <w:szCs w:val="20"/>
          <w:lang w:val="en-US"/>
        </w:rPr>
        <w:t>,</w:t>
      </w:r>
      <w:r w:rsidR="00A75720" w:rsidRPr="00D2561A">
        <w:rPr>
          <w:rFonts w:ascii="Verdana" w:hAnsi="Verdana" w:cs="Times New Roman"/>
          <w:iCs/>
          <w:sz w:val="20"/>
          <w:szCs w:val="20"/>
          <w:lang w:val="en-US"/>
        </w:rPr>
        <w:t xml:space="preserve"> so that, the provisions of Articles 1 and 2 of the Convention are applicable to it</w:t>
      </w:r>
      <w:r w:rsidR="00F02FC0" w:rsidRPr="00D2561A">
        <w:rPr>
          <w:rFonts w:ascii="Verdana" w:hAnsi="Verdana" w:cs="Times New Roman"/>
          <w:iCs/>
          <w:sz w:val="20"/>
          <w:szCs w:val="20"/>
          <w:lang w:val="en-US"/>
        </w:rPr>
        <w:t xml:space="preserve"> – in</w:t>
      </w:r>
      <w:r w:rsidR="00A75720" w:rsidRPr="00D2561A">
        <w:rPr>
          <w:rFonts w:ascii="Verdana" w:hAnsi="Verdana" w:cs="Times New Roman"/>
          <w:iCs/>
          <w:sz w:val="20"/>
          <w:szCs w:val="20"/>
          <w:lang w:val="en-US"/>
        </w:rPr>
        <w:t xml:space="preserve"> the same way as they are to the other human rights </w:t>
      </w:r>
      <w:r w:rsidR="00F02FC0" w:rsidRPr="00D2561A">
        <w:rPr>
          <w:rFonts w:ascii="Verdana" w:hAnsi="Verdana" w:cs="Times New Roman"/>
          <w:iCs/>
          <w:sz w:val="20"/>
          <w:szCs w:val="20"/>
          <w:lang w:val="en-US"/>
        </w:rPr>
        <w:t>– and</w:t>
      </w:r>
      <w:r w:rsidR="00A75720" w:rsidRPr="00D2561A">
        <w:rPr>
          <w:rFonts w:ascii="Verdana" w:hAnsi="Verdana" w:cs="Times New Roman"/>
          <w:iCs/>
          <w:sz w:val="20"/>
          <w:szCs w:val="20"/>
          <w:lang w:val="en-US"/>
        </w:rPr>
        <w:t>, consequently</w:t>
      </w:r>
      <w:r w:rsidR="00F02FC0" w:rsidRPr="00D2561A">
        <w:rPr>
          <w:rFonts w:ascii="Verdana" w:hAnsi="Verdana" w:cs="Times New Roman"/>
          <w:iCs/>
          <w:sz w:val="20"/>
          <w:szCs w:val="20"/>
          <w:lang w:val="en-US"/>
        </w:rPr>
        <w:t xml:space="preserve">, </w:t>
      </w:r>
      <w:r w:rsidR="00A75720" w:rsidRPr="00D2561A">
        <w:rPr>
          <w:rFonts w:ascii="Verdana" w:hAnsi="Verdana" w:cs="Times New Roman"/>
          <w:iCs/>
          <w:sz w:val="20"/>
          <w:szCs w:val="20"/>
          <w:lang w:val="en-US"/>
        </w:rPr>
        <w:t>both the Commission and the Court may determine whether it is respected.</w:t>
      </w:r>
    </w:p>
    <w:p w14:paraId="4DA6BDF2" w14:textId="77777777" w:rsidR="00833777" w:rsidRPr="00D2561A" w:rsidRDefault="00833777" w:rsidP="000E0801">
      <w:pPr>
        <w:pStyle w:val="Prrafodelista"/>
        <w:autoSpaceDE w:val="0"/>
        <w:autoSpaceDN w:val="0"/>
        <w:adjustRightInd w:val="0"/>
        <w:spacing w:line="240" w:lineRule="auto"/>
        <w:ind w:left="-270" w:right="-162"/>
        <w:rPr>
          <w:rFonts w:ascii="Verdana" w:hAnsi="Verdana" w:cs="Times New Roman"/>
          <w:b/>
          <w:bCs/>
          <w:iCs/>
          <w:sz w:val="20"/>
          <w:szCs w:val="20"/>
          <w:lang w:val="en-US"/>
        </w:rPr>
      </w:pPr>
    </w:p>
    <w:p w14:paraId="6FD3DE31" w14:textId="07868F50" w:rsidR="00833777" w:rsidRPr="00D2561A" w:rsidRDefault="00A75720" w:rsidP="000E0801">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cs="Times New Roman"/>
          <w:iCs/>
          <w:sz w:val="20"/>
          <w:szCs w:val="20"/>
          <w:lang w:val="en-US"/>
        </w:rPr>
        <w:t xml:space="preserve">The said </w:t>
      </w:r>
      <w:r w:rsidR="00466AF7" w:rsidRPr="00D2561A">
        <w:rPr>
          <w:rFonts w:ascii="Verdana" w:hAnsi="Verdana" w:cs="Times New Roman"/>
          <w:iCs/>
          <w:sz w:val="20"/>
          <w:szCs w:val="20"/>
          <w:lang w:val="en-US"/>
        </w:rPr>
        <w:t>Article</w:t>
      </w:r>
      <w:r w:rsidR="00170748" w:rsidRPr="00D2561A">
        <w:rPr>
          <w:rFonts w:ascii="Verdana" w:hAnsi="Verdana" w:cs="Times New Roman"/>
          <w:iCs/>
          <w:sz w:val="20"/>
          <w:szCs w:val="20"/>
          <w:lang w:val="en-US"/>
        </w:rPr>
        <w:t xml:space="preserve"> 24 </w:t>
      </w:r>
      <w:r w:rsidRPr="00D2561A">
        <w:rPr>
          <w:rFonts w:ascii="Verdana" w:hAnsi="Verdana" w:cs="Times New Roman"/>
          <w:iCs/>
          <w:sz w:val="20"/>
          <w:szCs w:val="20"/>
          <w:lang w:val="en-US"/>
        </w:rPr>
        <w:t xml:space="preserve">is </w:t>
      </w:r>
      <w:r w:rsidR="00F02FC0" w:rsidRPr="00D2561A">
        <w:rPr>
          <w:rFonts w:ascii="Verdana" w:hAnsi="Verdana" w:cs="Times New Roman"/>
          <w:iCs/>
          <w:sz w:val="20"/>
          <w:szCs w:val="20"/>
          <w:lang w:val="en-US"/>
        </w:rPr>
        <w:t>located</w:t>
      </w:r>
      <w:r w:rsidRPr="00D2561A">
        <w:rPr>
          <w:rFonts w:ascii="Verdana" w:hAnsi="Verdana" w:cs="Times New Roman"/>
          <w:iCs/>
          <w:sz w:val="20"/>
          <w:szCs w:val="20"/>
          <w:lang w:val="en-US"/>
        </w:rPr>
        <w:t xml:space="preserve"> in</w:t>
      </w:r>
      <w:r w:rsidR="00170748" w:rsidRPr="00D2561A">
        <w:rPr>
          <w:rFonts w:ascii="Verdana" w:hAnsi="Verdana" w:cs="Times New Roman"/>
          <w:iCs/>
          <w:sz w:val="20"/>
          <w:szCs w:val="20"/>
          <w:lang w:val="en-US"/>
        </w:rPr>
        <w:t xml:space="preserve"> </w:t>
      </w:r>
      <w:r w:rsidR="00D5153E" w:rsidRPr="00D2561A">
        <w:rPr>
          <w:rFonts w:ascii="Verdana" w:hAnsi="Verdana" w:cs="Times New Roman"/>
          <w:iCs/>
          <w:sz w:val="20"/>
          <w:szCs w:val="20"/>
          <w:lang w:val="en-US"/>
        </w:rPr>
        <w:t>Chapter</w:t>
      </w:r>
      <w:r w:rsidR="00170748" w:rsidRPr="00D2561A">
        <w:rPr>
          <w:rFonts w:ascii="Verdana" w:hAnsi="Verdana" w:cs="Times New Roman"/>
          <w:iCs/>
          <w:sz w:val="20"/>
          <w:szCs w:val="20"/>
          <w:lang w:val="en-US"/>
        </w:rPr>
        <w:t xml:space="preserve"> II</w:t>
      </w:r>
      <w:r w:rsidR="00E30D1A" w:rsidRPr="00D2561A">
        <w:rPr>
          <w:rFonts w:ascii="Verdana" w:hAnsi="Verdana" w:cs="Times New Roman"/>
          <w:iCs/>
          <w:sz w:val="20"/>
          <w:szCs w:val="20"/>
          <w:lang w:val="en-US"/>
        </w:rPr>
        <w:t xml:space="preserve"> of the Convention</w:t>
      </w:r>
      <w:r w:rsidR="00170748" w:rsidRPr="00D2561A">
        <w:rPr>
          <w:rFonts w:ascii="Verdana" w:hAnsi="Verdana" w:cs="Times New Roman"/>
          <w:iCs/>
          <w:sz w:val="20"/>
          <w:szCs w:val="20"/>
          <w:lang w:val="en-US"/>
        </w:rPr>
        <w:t xml:space="preserve"> </w:t>
      </w:r>
      <w:r w:rsidRPr="00D2561A">
        <w:rPr>
          <w:rFonts w:ascii="Verdana" w:hAnsi="Verdana" w:cs="Times New Roman"/>
          <w:iCs/>
          <w:sz w:val="20"/>
          <w:szCs w:val="20"/>
          <w:lang w:val="en-US"/>
        </w:rPr>
        <w:t xml:space="preserve">entitled “Civil and Political Rights,” </w:t>
      </w:r>
      <w:r w:rsidR="00F02FC0" w:rsidRPr="00D2561A">
        <w:rPr>
          <w:rFonts w:ascii="Verdana" w:hAnsi="Verdana" w:cs="Times New Roman"/>
          <w:iCs/>
          <w:sz w:val="20"/>
          <w:szCs w:val="20"/>
          <w:lang w:val="en-US"/>
        </w:rPr>
        <w:t>and this</w:t>
      </w:r>
      <w:r w:rsidRPr="00D2561A">
        <w:rPr>
          <w:rFonts w:ascii="Verdana" w:hAnsi="Verdana" w:cs="Times New Roman"/>
          <w:iCs/>
          <w:sz w:val="20"/>
          <w:szCs w:val="20"/>
          <w:lang w:val="en-US"/>
        </w:rPr>
        <w:t xml:space="preserve"> is in Part I of the Convention entitled “State Obligations and Rights Protected,</w:t>
      </w:r>
      <w:r w:rsidR="00170748" w:rsidRPr="00D2561A">
        <w:rPr>
          <w:rFonts w:ascii="Verdana" w:hAnsi="Verdana" w:cs="Times New Roman"/>
          <w:iCs/>
          <w:sz w:val="20"/>
          <w:szCs w:val="20"/>
          <w:lang w:val="en-US"/>
        </w:rPr>
        <w:t>”</w:t>
      </w:r>
      <w:r w:rsidRPr="00D2561A">
        <w:rPr>
          <w:rFonts w:ascii="Verdana" w:hAnsi="Verdana" w:cs="Times New Roman"/>
          <w:iCs/>
          <w:sz w:val="20"/>
          <w:szCs w:val="20"/>
          <w:lang w:val="en-US"/>
        </w:rPr>
        <w:t xml:space="preserve"> which also includes Chapter I entitled “General Obligations,” from which it can be inferred that</w:t>
      </w:r>
      <w:r w:rsidR="00170748" w:rsidRPr="00D2561A">
        <w:rPr>
          <w:rFonts w:ascii="Verdana" w:hAnsi="Verdana" w:cs="Times New Roman"/>
          <w:iCs/>
          <w:sz w:val="20"/>
          <w:szCs w:val="20"/>
          <w:lang w:val="en-US"/>
        </w:rPr>
        <w:t xml:space="preserve"> </w:t>
      </w:r>
      <w:r w:rsidRPr="00D2561A">
        <w:rPr>
          <w:rFonts w:ascii="Verdana" w:hAnsi="Verdana" w:cs="Times New Roman"/>
          <w:iCs/>
          <w:sz w:val="20"/>
          <w:szCs w:val="20"/>
          <w:lang w:val="en-US"/>
        </w:rPr>
        <w:t>the latter concerns the</w:t>
      </w:r>
      <w:r w:rsidR="00F02FC0" w:rsidRPr="00D2561A">
        <w:rPr>
          <w:rFonts w:ascii="Verdana" w:hAnsi="Verdana" w:cs="Times New Roman"/>
          <w:iCs/>
          <w:sz w:val="20"/>
          <w:szCs w:val="20"/>
          <w:lang w:val="en-US"/>
        </w:rPr>
        <w:t xml:space="preserve"> State</w:t>
      </w:r>
      <w:r w:rsidRPr="00D2561A">
        <w:rPr>
          <w:rFonts w:ascii="Verdana" w:hAnsi="Verdana" w:cs="Times New Roman"/>
          <w:iCs/>
          <w:sz w:val="20"/>
          <w:szCs w:val="20"/>
          <w:lang w:val="en-US"/>
        </w:rPr>
        <w:t xml:space="preserve"> obligations that are applicable to all the human rights recognized by </w:t>
      </w:r>
      <w:r w:rsidR="00E30D1A" w:rsidRPr="00D2561A">
        <w:rPr>
          <w:rFonts w:ascii="Verdana" w:hAnsi="Verdana" w:cs="Times New Roman"/>
          <w:iCs/>
          <w:sz w:val="20"/>
          <w:szCs w:val="20"/>
          <w:lang w:val="en-US"/>
        </w:rPr>
        <w:t>the Convention</w:t>
      </w:r>
      <w:r w:rsidRPr="00D2561A">
        <w:rPr>
          <w:rFonts w:ascii="Verdana" w:hAnsi="Verdana" w:cs="Times New Roman"/>
          <w:iCs/>
          <w:sz w:val="20"/>
          <w:szCs w:val="20"/>
          <w:lang w:val="en-US"/>
        </w:rPr>
        <w:t xml:space="preserve">; </w:t>
      </w:r>
      <w:r w:rsidR="00F02FC0" w:rsidRPr="00D2561A">
        <w:rPr>
          <w:rFonts w:ascii="Verdana" w:hAnsi="Verdana" w:cs="Times New Roman"/>
          <w:iCs/>
          <w:sz w:val="20"/>
          <w:szCs w:val="20"/>
          <w:lang w:val="en-US"/>
        </w:rPr>
        <w:t>in other words</w:t>
      </w:r>
      <w:r w:rsidRPr="00D2561A">
        <w:rPr>
          <w:rFonts w:ascii="Verdana" w:hAnsi="Verdana" w:cs="Times New Roman"/>
          <w:iCs/>
          <w:sz w:val="20"/>
          <w:szCs w:val="20"/>
          <w:lang w:val="en-US"/>
        </w:rPr>
        <w:t xml:space="preserve">, those established in the said </w:t>
      </w:r>
      <w:r w:rsidR="00D5153E" w:rsidRPr="00D2561A">
        <w:rPr>
          <w:rFonts w:ascii="Verdana" w:hAnsi="Verdana" w:cs="Times New Roman"/>
          <w:iCs/>
          <w:sz w:val="20"/>
          <w:szCs w:val="20"/>
          <w:lang w:val="en-US"/>
        </w:rPr>
        <w:t>Chapter</w:t>
      </w:r>
      <w:r w:rsidR="00170748" w:rsidRPr="00D2561A">
        <w:rPr>
          <w:rFonts w:ascii="Verdana" w:hAnsi="Verdana" w:cs="Times New Roman"/>
          <w:iCs/>
          <w:sz w:val="20"/>
          <w:szCs w:val="20"/>
          <w:lang w:val="en-US"/>
        </w:rPr>
        <w:t xml:space="preserve"> II, </w:t>
      </w:r>
      <w:r w:rsidRPr="00D2561A">
        <w:rPr>
          <w:rFonts w:ascii="Verdana" w:hAnsi="Verdana" w:cs="Times New Roman"/>
          <w:iCs/>
          <w:sz w:val="20"/>
          <w:szCs w:val="20"/>
          <w:lang w:val="en-US"/>
        </w:rPr>
        <w:t>including the</w:t>
      </w:r>
      <w:r w:rsidR="00F02FC0" w:rsidRPr="00D2561A">
        <w:rPr>
          <w:rFonts w:ascii="Verdana" w:hAnsi="Verdana" w:cs="Times New Roman"/>
          <w:iCs/>
          <w:sz w:val="20"/>
          <w:szCs w:val="20"/>
          <w:lang w:val="en-US"/>
        </w:rPr>
        <w:t xml:space="preserve"> one</w:t>
      </w:r>
      <w:r w:rsidRPr="00D2561A">
        <w:rPr>
          <w:rFonts w:ascii="Verdana" w:hAnsi="Verdana" w:cs="Times New Roman"/>
          <w:iCs/>
          <w:sz w:val="20"/>
          <w:szCs w:val="20"/>
          <w:lang w:val="en-US"/>
        </w:rPr>
        <w:t xml:space="preserve"> set forth in </w:t>
      </w:r>
      <w:r w:rsidR="00E30D1A" w:rsidRPr="00D2561A">
        <w:rPr>
          <w:rFonts w:ascii="Verdana" w:hAnsi="Verdana" w:cs="Times New Roman"/>
          <w:iCs/>
          <w:sz w:val="20"/>
          <w:szCs w:val="20"/>
          <w:lang w:val="en-US"/>
        </w:rPr>
        <w:t>Article</w:t>
      </w:r>
      <w:r w:rsidR="00170748" w:rsidRPr="00D2561A">
        <w:rPr>
          <w:rFonts w:ascii="Verdana" w:hAnsi="Verdana" w:cs="Times New Roman"/>
          <w:iCs/>
          <w:sz w:val="20"/>
          <w:szCs w:val="20"/>
          <w:lang w:val="en-US"/>
        </w:rPr>
        <w:t xml:space="preserve"> 24. </w:t>
      </w:r>
    </w:p>
    <w:p w14:paraId="6B5B7A44" w14:textId="77777777" w:rsidR="008D55DA" w:rsidRPr="00D2561A" w:rsidRDefault="008D55DA" w:rsidP="008D55DA">
      <w:pPr>
        <w:pStyle w:val="Prrafodelista"/>
        <w:rPr>
          <w:rFonts w:ascii="Verdana" w:hAnsi="Verdana" w:cs="Times New Roman"/>
          <w:b/>
          <w:bCs/>
          <w:iCs/>
          <w:sz w:val="20"/>
          <w:szCs w:val="20"/>
          <w:lang w:val="en-US"/>
        </w:rPr>
      </w:pPr>
    </w:p>
    <w:p w14:paraId="6E049371" w14:textId="0BE6342A" w:rsidR="008D55DA" w:rsidRPr="00D2561A" w:rsidRDefault="00A75720" w:rsidP="008D55DA">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cs="Times New Roman"/>
          <w:iCs/>
          <w:sz w:val="20"/>
          <w:szCs w:val="20"/>
          <w:lang w:val="en-US"/>
        </w:rPr>
        <w:t>In this regard, I do not agree with the judgment when it indicates that</w:t>
      </w:r>
      <w:r w:rsidRPr="00D2561A">
        <w:rPr>
          <w:rFonts w:ascii="Verdana" w:hAnsi="Verdana"/>
          <w:sz w:val="20"/>
          <w:szCs w:val="20"/>
          <w:lang w:val="en-US"/>
        </w:rPr>
        <w:t>, “if a State discriminates with regard to the respect and guarantee of a Convention right, it would be in non-compliance with the obligation established in Article 1(1) and the substantive right in question. To the contrary, if the discrimination refers to an unequal protection by domestic law or its application, the fact must be examined in light of Article 24 of the American Convention</w:t>
      </w:r>
      <w:r w:rsidR="008D55DA" w:rsidRPr="00D2561A">
        <w:rPr>
          <w:rFonts w:ascii="Verdana" w:hAnsi="Verdana"/>
          <w:sz w:val="20"/>
          <w:szCs w:val="20"/>
          <w:lang w:val="en-US"/>
        </w:rPr>
        <w:t>.”</w:t>
      </w:r>
      <w:r w:rsidR="008D55DA" w:rsidRPr="00D2561A">
        <w:rPr>
          <w:rStyle w:val="Refdenotaalpie"/>
          <w:rFonts w:ascii="Verdana" w:hAnsi="Verdana"/>
          <w:sz w:val="20"/>
          <w:szCs w:val="20"/>
          <w:lang w:val="en-US"/>
        </w:rPr>
        <w:footnoteReference w:id="104"/>
      </w:r>
    </w:p>
    <w:p w14:paraId="7A307837" w14:textId="77777777" w:rsidR="009F52DF" w:rsidRPr="00D2561A" w:rsidRDefault="009F52DF" w:rsidP="000E0801">
      <w:pPr>
        <w:pStyle w:val="Prrafodelista"/>
        <w:spacing w:line="240" w:lineRule="auto"/>
        <w:ind w:left="-270" w:right="-162"/>
        <w:rPr>
          <w:rFonts w:ascii="Verdana" w:hAnsi="Verdana" w:cs="Times New Roman"/>
          <w:b/>
          <w:bCs/>
          <w:iCs/>
          <w:sz w:val="20"/>
          <w:szCs w:val="20"/>
          <w:lang w:val="en-US"/>
        </w:rPr>
      </w:pPr>
    </w:p>
    <w:p w14:paraId="637C179A" w14:textId="1D610B10" w:rsidR="008D55DA" w:rsidRPr="00D2561A" w:rsidRDefault="008D55DA" w:rsidP="000E0801">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sz w:val="20"/>
          <w:szCs w:val="20"/>
          <w:lang w:val="en-US"/>
        </w:rPr>
        <w:t xml:space="preserve">And I cannot agree with this reasoning because Article 24 does not refer only to the right to equal protect of the law but, above all, to the right to equality before the law. Second, I disagree with the judgment that, whereas the provisions of </w:t>
      </w:r>
      <w:r w:rsidRPr="00D2561A">
        <w:rPr>
          <w:rFonts w:ascii="Verdana" w:eastAsia="Times New Roman" w:hAnsi="Verdana" w:cs="Tahoma"/>
          <w:sz w:val="20"/>
          <w:szCs w:val="20"/>
          <w:lang w:val="en-US" w:eastAsia="es-CR"/>
        </w:rPr>
        <w:t>Article 1(1) of the Convention concern the obligation of the States to respect and ensure all the rights recognized therein, Article 24 relates only to one of the rights that the Convention recognizes – that is, the right to equality before the law. Third, I disagree with the position taken in the judgment because, while Article 1(1) does not indicate the reason for the discrimination, Article 24 identifies this as the law.</w:t>
      </w:r>
    </w:p>
    <w:p w14:paraId="099F18E9" w14:textId="77777777" w:rsidR="00833777" w:rsidRPr="00D2561A" w:rsidRDefault="00833777" w:rsidP="000E0801">
      <w:pPr>
        <w:pStyle w:val="Prrafodelista"/>
        <w:spacing w:line="240" w:lineRule="auto"/>
        <w:ind w:left="-270" w:right="-162"/>
        <w:rPr>
          <w:rFonts w:ascii="Verdana" w:hAnsi="Verdana" w:cs="Times New Roman"/>
          <w:iCs/>
          <w:sz w:val="20"/>
          <w:szCs w:val="20"/>
          <w:lang w:val="en-US"/>
        </w:rPr>
      </w:pPr>
    </w:p>
    <w:p w14:paraId="755FF1CE" w14:textId="00EFD468" w:rsidR="008D55DA" w:rsidRPr="00D2561A" w:rsidRDefault="00F02FC0" w:rsidP="000E0801">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cs="Times New Roman"/>
          <w:iCs/>
          <w:sz w:val="20"/>
          <w:szCs w:val="20"/>
          <w:lang w:val="en-US"/>
        </w:rPr>
        <w:t>To affirm</w:t>
      </w:r>
      <w:r w:rsidR="008D55DA" w:rsidRPr="00D2561A">
        <w:rPr>
          <w:rFonts w:ascii="Verdana" w:hAnsi="Verdana" w:cs="Times New Roman"/>
          <w:iCs/>
          <w:sz w:val="20"/>
          <w:szCs w:val="20"/>
          <w:lang w:val="en-US"/>
        </w:rPr>
        <w:t xml:space="preserve"> what the judgment indicates would entail consider</w:t>
      </w:r>
      <w:r w:rsidRPr="00D2561A">
        <w:rPr>
          <w:rFonts w:ascii="Verdana" w:hAnsi="Verdana" w:cs="Times New Roman"/>
          <w:iCs/>
          <w:sz w:val="20"/>
          <w:szCs w:val="20"/>
          <w:lang w:val="en-US"/>
        </w:rPr>
        <w:t>ing</w:t>
      </w:r>
      <w:r w:rsidR="008D55DA" w:rsidRPr="00D2561A">
        <w:rPr>
          <w:rFonts w:ascii="Verdana" w:hAnsi="Verdana" w:cs="Times New Roman"/>
          <w:iCs/>
          <w:sz w:val="20"/>
          <w:szCs w:val="20"/>
          <w:lang w:val="en-US"/>
        </w:rPr>
        <w:t xml:space="preserve"> Article 24 to be redundant or unnecessary because, for all practical effects, Article 1 of the Convention also establishes the possibility that, the violation of any of the Convention rights, for any cause, entails discrimination.</w:t>
      </w:r>
    </w:p>
    <w:p w14:paraId="686E891A" w14:textId="77777777" w:rsidR="00833777" w:rsidRPr="00D2561A" w:rsidRDefault="00833777" w:rsidP="000E0801">
      <w:pPr>
        <w:pStyle w:val="Prrafodelista"/>
        <w:spacing w:line="240" w:lineRule="auto"/>
        <w:ind w:left="-270" w:right="-162"/>
        <w:rPr>
          <w:rFonts w:ascii="Verdana" w:hAnsi="Verdana" w:cs="Times New Roman"/>
          <w:iCs/>
          <w:sz w:val="20"/>
          <w:szCs w:val="20"/>
          <w:lang w:val="en-US"/>
        </w:rPr>
      </w:pPr>
    </w:p>
    <w:p w14:paraId="1166FB35" w14:textId="38BEA226" w:rsidR="008D55DA" w:rsidRPr="00D2561A" w:rsidRDefault="00F02FC0" w:rsidP="000E0801">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cs="Times New Roman"/>
          <w:iCs/>
          <w:sz w:val="20"/>
          <w:szCs w:val="20"/>
          <w:lang w:val="en-US"/>
        </w:rPr>
        <w:t>In this regard,</w:t>
      </w:r>
      <w:r w:rsidR="008D55DA" w:rsidRPr="00D2561A">
        <w:rPr>
          <w:rFonts w:ascii="Verdana" w:hAnsi="Verdana" w:cs="Times New Roman"/>
          <w:iCs/>
          <w:sz w:val="20"/>
          <w:szCs w:val="20"/>
          <w:lang w:val="en-US"/>
        </w:rPr>
        <w:t xml:space="preserve"> it can be concluded that the rule of interpretation concerning</w:t>
      </w:r>
      <w:r w:rsidRPr="00D2561A">
        <w:rPr>
          <w:rFonts w:ascii="Verdana" w:hAnsi="Verdana" w:cs="Times New Roman"/>
          <w:iCs/>
          <w:sz w:val="20"/>
          <w:szCs w:val="20"/>
          <w:lang w:val="en-US"/>
        </w:rPr>
        <w:t xml:space="preserve"> the</w:t>
      </w:r>
      <w:r w:rsidR="008D55DA" w:rsidRPr="00D2561A">
        <w:rPr>
          <w:rFonts w:ascii="Verdana" w:hAnsi="Verdana" w:cs="Times New Roman"/>
          <w:iCs/>
          <w:sz w:val="20"/>
          <w:szCs w:val="20"/>
          <w:lang w:val="en-US"/>
        </w:rPr>
        <w:t xml:space="preserve"> determination of the intention of the parties to the Convention in keeping with its context leads us to the same conclusion as the two preceding methods; namely, that to determine the violation of the provisions of the said Article 24, it is essential to specify the law that does not consider</w:t>
      </w:r>
      <w:r w:rsidRPr="00D2561A">
        <w:rPr>
          <w:rFonts w:ascii="Verdana" w:hAnsi="Verdana" w:cs="Times New Roman"/>
          <w:iCs/>
          <w:sz w:val="20"/>
          <w:szCs w:val="20"/>
          <w:lang w:val="en-US"/>
        </w:rPr>
        <w:t xml:space="preserve"> </w:t>
      </w:r>
      <w:r w:rsidR="008D55DA" w:rsidRPr="00D2561A">
        <w:rPr>
          <w:rFonts w:ascii="Verdana" w:hAnsi="Verdana" w:cs="Times New Roman"/>
          <w:iCs/>
          <w:sz w:val="20"/>
          <w:szCs w:val="20"/>
          <w:lang w:val="en-US"/>
        </w:rPr>
        <w:t>everyone equal or that does not provide due protection without discrimination</w:t>
      </w:r>
      <w:r w:rsidR="001158C1" w:rsidRPr="00D2561A">
        <w:rPr>
          <w:rFonts w:ascii="Verdana" w:hAnsi="Verdana" w:cs="Times New Roman"/>
          <w:iCs/>
          <w:sz w:val="20"/>
          <w:szCs w:val="20"/>
          <w:lang w:val="en-US"/>
        </w:rPr>
        <w:t xml:space="preserve"> </w:t>
      </w:r>
      <w:r w:rsidR="00F10951" w:rsidRPr="00D2561A">
        <w:rPr>
          <w:rFonts w:ascii="Verdana" w:hAnsi="Verdana" w:cs="Times New Roman"/>
          <w:iCs/>
          <w:sz w:val="20"/>
          <w:szCs w:val="20"/>
          <w:lang w:val="en-US"/>
        </w:rPr>
        <w:t>and</w:t>
      </w:r>
      <w:r w:rsidR="008D55DA" w:rsidRPr="00D2561A">
        <w:rPr>
          <w:rFonts w:ascii="Verdana" w:hAnsi="Verdana" w:cs="Times New Roman"/>
          <w:iCs/>
          <w:sz w:val="20"/>
          <w:szCs w:val="20"/>
          <w:lang w:val="en-US"/>
        </w:rPr>
        <w:t>, as already indicated, the judgment</w:t>
      </w:r>
      <w:r w:rsidR="00F10951" w:rsidRPr="00D2561A">
        <w:rPr>
          <w:rFonts w:ascii="Verdana" w:hAnsi="Verdana" w:cs="Times New Roman"/>
          <w:iCs/>
          <w:sz w:val="20"/>
          <w:szCs w:val="20"/>
          <w:lang w:val="en-US"/>
        </w:rPr>
        <w:t xml:space="preserve"> did not do this</w:t>
      </w:r>
      <w:r w:rsidR="008D55DA" w:rsidRPr="00D2561A">
        <w:rPr>
          <w:rFonts w:ascii="Verdana" w:hAnsi="Verdana" w:cs="Times New Roman"/>
          <w:iCs/>
          <w:sz w:val="20"/>
          <w:szCs w:val="20"/>
          <w:lang w:val="en-US"/>
        </w:rPr>
        <w:t>.</w:t>
      </w:r>
    </w:p>
    <w:p w14:paraId="1ED90F57" w14:textId="77777777" w:rsidR="002774ED" w:rsidRPr="00D2561A" w:rsidRDefault="002774ED" w:rsidP="000E0801">
      <w:pPr>
        <w:autoSpaceDE w:val="0"/>
        <w:autoSpaceDN w:val="0"/>
        <w:adjustRightInd w:val="0"/>
        <w:spacing w:line="240" w:lineRule="auto"/>
        <w:ind w:left="-270" w:right="-162"/>
        <w:rPr>
          <w:rFonts w:ascii="Verdana" w:hAnsi="Verdana" w:cs="Times New Roman"/>
          <w:b/>
          <w:bCs/>
          <w:iCs/>
          <w:sz w:val="20"/>
          <w:szCs w:val="20"/>
          <w:lang w:val="en-US"/>
        </w:rPr>
      </w:pPr>
    </w:p>
    <w:p w14:paraId="21506A15" w14:textId="6C08C370" w:rsidR="00833777" w:rsidRPr="00D2561A" w:rsidRDefault="008D55DA" w:rsidP="000E0801">
      <w:pPr>
        <w:pStyle w:val="Prrafodelista"/>
        <w:numPr>
          <w:ilvl w:val="0"/>
          <w:numId w:val="17"/>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b/>
          <w:sz w:val="20"/>
          <w:szCs w:val="20"/>
          <w:lang w:val="en-US"/>
        </w:rPr>
        <w:t xml:space="preserve">Functional or teleological method </w:t>
      </w:r>
    </w:p>
    <w:p w14:paraId="673CE32B" w14:textId="77777777" w:rsidR="00833777" w:rsidRPr="00D2561A" w:rsidRDefault="00833777" w:rsidP="000E0801">
      <w:pPr>
        <w:pStyle w:val="Prrafodelista"/>
        <w:autoSpaceDE w:val="0"/>
        <w:autoSpaceDN w:val="0"/>
        <w:adjustRightInd w:val="0"/>
        <w:spacing w:line="240" w:lineRule="auto"/>
        <w:ind w:left="-270" w:right="-162"/>
        <w:rPr>
          <w:rFonts w:ascii="Verdana" w:hAnsi="Verdana" w:cs="Times New Roman"/>
          <w:b/>
          <w:bCs/>
          <w:iCs/>
          <w:sz w:val="20"/>
          <w:szCs w:val="20"/>
          <w:lang w:val="en-US"/>
        </w:rPr>
      </w:pPr>
    </w:p>
    <w:p w14:paraId="0B4B4882" w14:textId="5EA20DB9" w:rsidR="00FD1BAA" w:rsidRPr="00D2561A" w:rsidRDefault="00FD1BAA" w:rsidP="000E0801">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cs="Times New Roman"/>
          <w:iCs/>
          <w:sz w:val="20"/>
          <w:szCs w:val="20"/>
          <w:lang w:val="en-US"/>
        </w:rPr>
        <w:t xml:space="preserve">Regarding the specific object and purpose of the provisions of the said </w:t>
      </w:r>
      <w:r w:rsidR="00466AF7" w:rsidRPr="00D2561A">
        <w:rPr>
          <w:rFonts w:ascii="Verdana" w:hAnsi="Verdana" w:cs="Times New Roman"/>
          <w:iCs/>
          <w:sz w:val="20"/>
          <w:szCs w:val="20"/>
          <w:lang w:val="en-US"/>
        </w:rPr>
        <w:t>Article</w:t>
      </w:r>
      <w:r w:rsidR="00CF1D1F" w:rsidRPr="00D2561A">
        <w:rPr>
          <w:rFonts w:ascii="Verdana" w:hAnsi="Verdana" w:cs="Times New Roman"/>
          <w:iCs/>
          <w:sz w:val="20"/>
          <w:szCs w:val="20"/>
          <w:lang w:val="en-US"/>
        </w:rPr>
        <w:t xml:space="preserve"> 24</w:t>
      </w:r>
      <w:r w:rsidR="00BC5A73" w:rsidRPr="00D2561A">
        <w:rPr>
          <w:rFonts w:ascii="Verdana" w:hAnsi="Verdana" w:cs="Times New Roman"/>
          <w:iCs/>
          <w:sz w:val="20"/>
          <w:szCs w:val="20"/>
          <w:lang w:val="en-US"/>
        </w:rPr>
        <w:t>,</w:t>
      </w:r>
      <w:r w:rsidRPr="00D2561A">
        <w:rPr>
          <w:rFonts w:ascii="Verdana" w:hAnsi="Verdana" w:cs="Times New Roman"/>
          <w:iCs/>
          <w:sz w:val="20"/>
          <w:szCs w:val="20"/>
          <w:lang w:val="en-US"/>
        </w:rPr>
        <w:t xml:space="preserve"> it should be pointed out that this article plays a similar role to that of </w:t>
      </w:r>
      <w:r w:rsidR="00E30D1A" w:rsidRPr="00D2561A">
        <w:rPr>
          <w:rFonts w:ascii="Verdana" w:hAnsi="Verdana" w:cs="Times New Roman"/>
          <w:iCs/>
          <w:sz w:val="20"/>
          <w:szCs w:val="20"/>
          <w:lang w:val="en-US"/>
        </w:rPr>
        <w:t>Articles</w:t>
      </w:r>
      <w:r w:rsidR="00ED0D9C" w:rsidRPr="00D2561A">
        <w:rPr>
          <w:rFonts w:ascii="Verdana" w:hAnsi="Verdana" w:cs="Times New Roman"/>
          <w:iCs/>
          <w:sz w:val="20"/>
          <w:szCs w:val="20"/>
          <w:lang w:val="en-US"/>
        </w:rPr>
        <w:t xml:space="preserve"> 8</w:t>
      </w:r>
      <w:r w:rsidR="00E30D1A" w:rsidRPr="00D2561A">
        <w:rPr>
          <w:rFonts w:ascii="Verdana" w:hAnsi="Verdana" w:cs="Times New Roman"/>
          <w:iCs/>
          <w:sz w:val="20"/>
          <w:szCs w:val="20"/>
          <w:lang w:val="en-US"/>
        </w:rPr>
        <w:t xml:space="preserve"> and </w:t>
      </w:r>
      <w:r w:rsidR="00ED0D9C" w:rsidRPr="00D2561A">
        <w:rPr>
          <w:rFonts w:ascii="Verdana" w:hAnsi="Verdana" w:cs="Times New Roman"/>
          <w:iCs/>
          <w:sz w:val="20"/>
          <w:szCs w:val="20"/>
          <w:lang w:val="en-US"/>
        </w:rPr>
        <w:t>25</w:t>
      </w:r>
      <w:r w:rsidR="00E30D1A" w:rsidRPr="00D2561A">
        <w:rPr>
          <w:rFonts w:ascii="Verdana" w:hAnsi="Verdana" w:cs="Times New Roman"/>
          <w:iCs/>
          <w:sz w:val="20"/>
          <w:szCs w:val="20"/>
          <w:lang w:val="en-US"/>
        </w:rPr>
        <w:t xml:space="preserve"> of the Convention</w:t>
      </w:r>
      <w:r w:rsidR="00ED0D9C" w:rsidRPr="00D2561A">
        <w:rPr>
          <w:rFonts w:ascii="Verdana" w:hAnsi="Verdana" w:cs="Times New Roman"/>
          <w:iCs/>
          <w:sz w:val="20"/>
          <w:szCs w:val="20"/>
          <w:lang w:val="en-US"/>
        </w:rPr>
        <w:t xml:space="preserve">. </w:t>
      </w:r>
      <w:r w:rsidRPr="00D2561A">
        <w:rPr>
          <w:rFonts w:ascii="Verdana" w:hAnsi="Verdana" w:cs="Times New Roman"/>
          <w:iCs/>
          <w:sz w:val="20"/>
          <w:szCs w:val="20"/>
          <w:lang w:val="en-US"/>
        </w:rPr>
        <w:t xml:space="preserve">This </w:t>
      </w:r>
      <w:r w:rsidR="00F10951" w:rsidRPr="00D2561A">
        <w:rPr>
          <w:rFonts w:ascii="Verdana" w:hAnsi="Verdana" w:cs="Times New Roman"/>
          <w:iCs/>
          <w:sz w:val="20"/>
          <w:szCs w:val="20"/>
          <w:lang w:val="en-US"/>
        </w:rPr>
        <w:t>is</w:t>
      </w:r>
      <w:r w:rsidRPr="00D2561A">
        <w:rPr>
          <w:rFonts w:ascii="Verdana" w:hAnsi="Verdana" w:cs="Times New Roman"/>
          <w:iCs/>
          <w:sz w:val="20"/>
          <w:szCs w:val="20"/>
          <w:lang w:val="en-US"/>
        </w:rPr>
        <w:t xml:space="preserve"> that, while </w:t>
      </w:r>
      <w:r w:rsidR="00E30D1A" w:rsidRPr="00D2561A">
        <w:rPr>
          <w:rFonts w:ascii="Verdana" w:hAnsi="Verdana" w:cs="Times New Roman"/>
          <w:iCs/>
          <w:sz w:val="20"/>
          <w:szCs w:val="20"/>
          <w:lang w:val="en-US"/>
        </w:rPr>
        <w:t>Articles</w:t>
      </w:r>
      <w:r w:rsidR="00ED0D9C" w:rsidRPr="00D2561A">
        <w:rPr>
          <w:rFonts w:ascii="Verdana" w:hAnsi="Verdana" w:cs="Times New Roman"/>
          <w:iCs/>
          <w:sz w:val="20"/>
          <w:szCs w:val="20"/>
          <w:lang w:val="en-US"/>
        </w:rPr>
        <w:t xml:space="preserve"> 3 </w:t>
      </w:r>
      <w:r w:rsidRPr="00D2561A">
        <w:rPr>
          <w:rFonts w:ascii="Verdana" w:hAnsi="Verdana" w:cs="Times New Roman"/>
          <w:iCs/>
          <w:sz w:val="20"/>
          <w:szCs w:val="20"/>
          <w:lang w:val="en-US"/>
        </w:rPr>
        <w:t>to</w:t>
      </w:r>
      <w:r w:rsidR="00ED0D9C" w:rsidRPr="00D2561A">
        <w:rPr>
          <w:rFonts w:ascii="Verdana" w:hAnsi="Verdana" w:cs="Times New Roman"/>
          <w:iCs/>
          <w:sz w:val="20"/>
          <w:szCs w:val="20"/>
          <w:lang w:val="en-US"/>
        </w:rPr>
        <w:t xml:space="preserve"> 7</w:t>
      </w:r>
      <w:r w:rsidR="00E30D1A" w:rsidRPr="00D2561A">
        <w:rPr>
          <w:rFonts w:ascii="Verdana" w:hAnsi="Verdana" w:cs="Times New Roman"/>
          <w:iCs/>
          <w:sz w:val="20"/>
          <w:szCs w:val="20"/>
          <w:lang w:val="en-US"/>
        </w:rPr>
        <w:t xml:space="preserve"> and </w:t>
      </w:r>
      <w:r w:rsidR="00ED0D9C" w:rsidRPr="00D2561A">
        <w:rPr>
          <w:rFonts w:ascii="Verdana" w:hAnsi="Verdana" w:cs="Times New Roman"/>
          <w:iCs/>
          <w:sz w:val="20"/>
          <w:szCs w:val="20"/>
          <w:lang w:val="en-US"/>
        </w:rPr>
        <w:t xml:space="preserve">9 </w:t>
      </w:r>
      <w:r w:rsidRPr="00D2561A">
        <w:rPr>
          <w:rFonts w:ascii="Verdana" w:hAnsi="Verdana" w:cs="Times New Roman"/>
          <w:iCs/>
          <w:sz w:val="20"/>
          <w:szCs w:val="20"/>
          <w:lang w:val="en-US"/>
        </w:rPr>
        <w:t>to</w:t>
      </w:r>
      <w:r w:rsidR="00ED0D9C" w:rsidRPr="00D2561A">
        <w:rPr>
          <w:rFonts w:ascii="Verdana" w:hAnsi="Verdana" w:cs="Times New Roman"/>
          <w:iCs/>
          <w:sz w:val="20"/>
          <w:szCs w:val="20"/>
          <w:lang w:val="en-US"/>
        </w:rPr>
        <w:t xml:space="preserve"> 23 </w:t>
      </w:r>
      <w:r w:rsidRPr="00D2561A">
        <w:rPr>
          <w:rFonts w:ascii="Verdana" w:hAnsi="Verdana" w:cs="Times New Roman"/>
          <w:iCs/>
          <w:sz w:val="20"/>
          <w:szCs w:val="20"/>
          <w:lang w:val="en-US"/>
        </w:rPr>
        <w:t>of the Convention establish human rights, the provisions of</w:t>
      </w:r>
      <w:r w:rsidR="00ED0D9C" w:rsidRPr="00D2561A">
        <w:rPr>
          <w:rFonts w:ascii="Verdana" w:hAnsi="Verdana" w:cs="Times New Roman"/>
          <w:iCs/>
          <w:sz w:val="20"/>
          <w:szCs w:val="20"/>
          <w:lang w:val="en-US"/>
        </w:rPr>
        <w:t xml:space="preserve"> </w:t>
      </w:r>
      <w:r w:rsidR="00E30D1A" w:rsidRPr="00D2561A">
        <w:rPr>
          <w:rFonts w:ascii="Verdana" w:hAnsi="Verdana" w:cs="Times New Roman"/>
          <w:iCs/>
          <w:sz w:val="20"/>
          <w:szCs w:val="20"/>
          <w:lang w:val="en-US"/>
        </w:rPr>
        <w:t>Articles</w:t>
      </w:r>
      <w:r w:rsidR="00ED0D9C" w:rsidRPr="00D2561A">
        <w:rPr>
          <w:rFonts w:ascii="Verdana" w:hAnsi="Verdana" w:cs="Times New Roman"/>
          <w:iCs/>
          <w:sz w:val="20"/>
          <w:szCs w:val="20"/>
          <w:lang w:val="en-US"/>
        </w:rPr>
        <w:t xml:space="preserve"> 8</w:t>
      </w:r>
      <w:r w:rsidR="00E30D1A" w:rsidRPr="00D2561A">
        <w:rPr>
          <w:rFonts w:ascii="Verdana" w:hAnsi="Verdana" w:cs="Times New Roman"/>
          <w:iCs/>
          <w:sz w:val="20"/>
          <w:szCs w:val="20"/>
          <w:lang w:val="en-US"/>
        </w:rPr>
        <w:t xml:space="preserve"> and </w:t>
      </w:r>
      <w:r w:rsidR="00ED0D9C" w:rsidRPr="00D2561A">
        <w:rPr>
          <w:rFonts w:ascii="Verdana" w:hAnsi="Verdana" w:cs="Times New Roman"/>
          <w:iCs/>
          <w:sz w:val="20"/>
          <w:szCs w:val="20"/>
          <w:lang w:val="en-US"/>
        </w:rPr>
        <w:t>25 g</w:t>
      </w:r>
      <w:r w:rsidRPr="00D2561A">
        <w:rPr>
          <w:rFonts w:ascii="Verdana" w:hAnsi="Verdana" w:cs="Times New Roman"/>
          <w:iCs/>
          <w:sz w:val="20"/>
          <w:szCs w:val="20"/>
          <w:lang w:val="en-US"/>
        </w:rPr>
        <w:t xml:space="preserve">uarantee that, if the organs of the executive and legislative functions of the State fail to repair or redress eventual violations of the said rights, the judicial organ must do so in all circumstances and, to this end, recourse to this organ is established, </w:t>
      </w:r>
      <w:r w:rsidRPr="00D2561A">
        <w:rPr>
          <w:rFonts w:ascii="Verdana" w:hAnsi="Verdana" w:cs="Times New Roman"/>
          <w:i/>
          <w:sz w:val="20"/>
          <w:szCs w:val="20"/>
          <w:lang w:val="en-US"/>
        </w:rPr>
        <w:t>per se</w:t>
      </w:r>
      <w:r w:rsidRPr="00D2561A">
        <w:rPr>
          <w:rFonts w:ascii="Verdana" w:hAnsi="Verdana" w:cs="Times New Roman"/>
          <w:iCs/>
          <w:sz w:val="20"/>
          <w:szCs w:val="20"/>
          <w:lang w:val="en-US"/>
        </w:rPr>
        <w:t>, as a human right.</w:t>
      </w:r>
    </w:p>
    <w:p w14:paraId="4B5171A4" w14:textId="77777777" w:rsidR="00833777" w:rsidRPr="00D2561A" w:rsidRDefault="00833777" w:rsidP="00FD1BAA">
      <w:pPr>
        <w:autoSpaceDE w:val="0"/>
        <w:autoSpaceDN w:val="0"/>
        <w:adjustRightInd w:val="0"/>
        <w:spacing w:line="240" w:lineRule="auto"/>
        <w:ind w:left="0" w:right="-162"/>
        <w:rPr>
          <w:rFonts w:ascii="Verdana" w:hAnsi="Verdana" w:cs="Times New Roman"/>
          <w:b/>
          <w:bCs/>
          <w:iCs/>
          <w:sz w:val="20"/>
          <w:szCs w:val="20"/>
          <w:lang w:val="en-US"/>
        </w:rPr>
      </w:pPr>
    </w:p>
    <w:p w14:paraId="6592473F" w14:textId="2D46E369" w:rsidR="00FD1BAA" w:rsidRPr="00D2561A" w:rsidRDefault="00FD1BAA" w:rsidP="000E0801">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cs="Times New Roman"/>
          <w:iCs/>
          <w:sz w:val="20"/>
          <w:szCs w:val="20"/>
          <w:lang w:val="en-US"/>
        </w:rPr>
        <w:t xml:space="preserve">The same </w:t>
      </w:r>
      <w:r w:rsidR="00F10951" w:rsidRPr="00D2561A">
        <w:rPr>
          <w:rFonts w:ascii="Verdana" w:hAnsi="Verdana" w:cs="Times New Roman"/>
          <w:iCs/>
          <w:sz w:val="20"/>
          <w:szCs w:val="20"/>
          <w:lang w:val="en-US"/>
        </w:rPr>
        <w:t>is true of</w:t>
      </w:r>
      <w:r w:rsidRPr="00D2561A">
        <w:rPr>
          <w:rFonts w:ascii="Verdana" w:hAnsi="Verdana" w:cs="Times New Roman"/>
          <w:iCs/>
          <w:sz w:val="20"/>
          <w:szCs w:val="20"/>
          <w:lang w:val="en-US"/>
        </w:rPr>
        <w:t xml:space="preserve"> the provisions of</w:t>
      </w:r>
      <w:r w:rsidR="00ED0D9C" w:rsidRPr="00D2561A">
        <w:rPr>
          <w:rFonts w:ascii="Verdana" w:hAnsi="Verdana" w:cs="Times New Roman"/>
          <w:iCs/>
          <w:sz w:val="20"/>
          <w:szCs w:val="20"/>
          <w:lang w:val="en-US"/>
        </w:rPr>
        <w:t xml:space="preserve"> </w:t>
      </w:r>
      <w:r w:rsidR="00E30D1A" w:rsidRPr="00D2561A">
        <w:rPr>
          <w:rFonts w:ascii="Verdana" w:hAnsi="Verdana" w:cs="Times New Roman"/>
          <w:iCs/>
          <w:sz w:val="20"/>
          <w:szCs w:val="20"/>
          <w:lang w:val="en-US"/>
        </w:rPr>
        <w:t>Article</w:t>
      </w:r>
      <w:r w:rsidR="00ED0D9C" w:rsidRPr="00D2561A">
        <w:rPr>
          <w:rFonts w:ascii="Verdana" w:hAnsi="Verdana" w:cs="Times New Roman"/>
          <w:iCs/>
          <w:sz w:val="20"/>
          <w:szCs w:val="20"/>
          <w:lang w:val="en-US"/>
        </w:rPr>
        <w:t xml:space="preserve"> 24, </w:t>
      </w:r>
      <w:r w:rsidRPr="00D2561A">
        <w:rPr>
          <w:rFonts w:ascii="Verdana" w:hAnsi="Verdana" w:cs="Times New Roman"/>
          <w:iCs/>
          <w:sz w:val="20"/>
          <w:szCs w:val="20"/>
          <w:lang w:val="en-US"/>
        </w:rPr>
        <w:t>which, when establishing equality before the law and the</w:t>
      </w:r>
      <w:r w:rsidR="00AB59AE" w:rsidRPr="00D2561A">
        <w:rPr>
          <w:rFonts w:ascii="Verdana" w:hAnsi="Verdana" w:cs="Times New Roman"/>
          <w:iCs/>
          <w:sz w:val="20"/>
          <w:szCs w:val="20"/>
          <w:lang w:val="en-US"/>
        </w:rPr>
        <w:t xml:space="preserve"> corresponding </w:t>
      </w:r>
      <w:r w:rsidRPr="00D2561A">
        <w:rPr>
          <w:rFonts w:ascii="Verdana" w:hAnsi="Verdana" w:cs="Times New Roman"/>
          <w:iCs/>
          <w:sz w:val="20"/>
          <w:szCs w:val="20"/>
          <w:lang w:val="en-US"/>
        </w:rPr>
        <w:t xml:space="preserve">protection that the law should provide as a human right, </w:t>
      </w:r>
      <w:r w:rsidRPr="00D2561A">
        <w:rPr>
          <w:rFonts w:ascii="Verdana" w:hAnsi="Verdana" w:cs="Times New Roman"/>
          <w:i/>
          <w:sz w:val="20"/>
          <w:szCs w:val="20"/>
          <w:lang w:val="en-US"/>
        </w:rPr>
        <w:t>per se</w:t>
      </w:r>
      <w:r w:rsidRPr="00D2561A">
        <w:rPr>
          <w:rFonts w:ascii="Verdana" w:hAnsi="Verdana" w:cs="Times New Roman"/>
          <w:iCs/>
          <w:sz w:val="20"/>
          <w:szCs w:val="20"/>
          <w:lang w:val="en-US"/>
        </w:rPr>
        <w:t xml:space="preserve">, makes it possible that States </w:t>
      </w:r>
      <w:r w:rsidR="00F10951" w:rsidRPr="00D2561A">
        <w:rPr>
          <w:rFonts w:ascii="Verdana" w:hAnsi="Verdana" w:cs="Times New Roman"/>
          <w:iCs/>
          <w:sz w:val="20"/>
          <w:szCs w:val="20"/>
          <w:lang w:val="en-US"/>
        </w:rPr>
        <w:t>can be found</w:t>
      </w:r>
      <w:r w:rsidRPr="00D2561A">
        <w:rPr>
          <w:rFonts w:ascii="Verdana" w:hAnsi="Verdana" w:cs="Times New Roman"/>
          <w:iCs/>
          <w:sz w:val="20"/>
          <w:szCs w:val="20"/>
          <w:lang w:val="en-US"/>
        </w:rPr>
        <w:t xml:space="preserve"> responsible for the acts or omissions of </w:t>
      </w:r>
      <w:r w:rsidR="00F10951" w:rsidRPr="00D2561A">
        <w:rPr>
          <w:rFonts w:ascii="Verdana" w:hAnsi="Verdana" w:cs="Times New Roman"/>
          <w:iCs/>
          <w:sz w:val="20"/>
          <w:szCs w:val="20"/>
          <w:lang w:val="en-US"/>
        </w:rPr>
        <w:t>its</w:t>
      </w:r>
      <w:r w:rsidRPr="00D2561A">
        <w:rPr>
          <w:rFonts w:ascii="Verdana" w:hAnsi="Verdana" w:cs="Times New Roman"/>
          <w:iCs/>
          <w:sz w:val="20"/>
          <w:szCs w:val="20"/>
          <w:lang w:val="en-US"/>
        </w:rPr>
        <w:t xml:space="preserve"> organ that exercises the normative function. In this way, the </w:t>
      </w:r>
      <w:r w:rsidR="00F10951" w:rsidRPr="00D2561A">
        <w:rPr>
          <w:rFonts w:ascii="Verdana" w:hAnsi="Verdana" w:cs="Times New Roman"/>
          <w:iCs/>
          <w:sz w:val="20"/>
          <w:szCs w:val="20"/>
          <w:lang w:val="en-US"/>
        </w:rPr>
        <w:t>inter-American system of human rights</w:t>
      </w:r>
      <w:r w:rsidRPr="00D2561A">
        <w:rPr>
          <w:rFonts w:ascii="Verdana" w:hAnsi="Verdana" w:cs="Times New Roman"/>
          <w:iCs/>
          <w:sz w:val="20"/>
          <w:szCs w:val="20"/>
          <w:lang w:val="en-US"/>
        </w:rPr>
        <w:t xml:space="preserve"> and, in particular, the Convention </w:t>
      </w:r>
      <w:r w:rsidR="00F10951" w:rsidRPr="00D2561A">
        <w:rPr>
          <w:rFonts w:ascii="Verdana" w:hAnsi="Verdana" w:cs="Times New Roman"/>
          <w:iCs/>
          <w:sz w:val="20"/>
          <w:szCs w:val="20"/>
          <w:lang w:val="en-US"/>
        </w:rPr>
        <w:t>leave no</w:t>
      </w:r>
      <w:r w:rsidRPr="00D2561A">
        <w:rPr>
          <w:rFonts w:ascii="Verdana" w:hAnsi="Verdana" w:cs="Times New Roman"/>
          <w:iCs/>
          <w:sz w:val="20"/>
          <w:szCs w:val="20"/>
          <w:lang w:val="en-US"/>
        </w:rPr>
        <w:t xml:space="preserve"> space for the State to evade responsibility for an internationally wrongful act.</w:t>
      </w:r>
    </w:p>
    <w:p w14:paraId="26D9F847" w14:textId="77777777" w:rsidR="00833777" w:rsidRPr="00D2561A" w:rsidRDefault="00833777" w:rsidP="000E0801">
      <w:pPr>
        <w:pStyle w:val="Prrafodelista"/>
        <w:spacing w:line="240" w:lineRule="auto"/>
        <w:ind w:left="-270" w:right="-162"/>
        <w:rPr>
          <w:rFonts w:ascii="Verdana" w:hAnsi="Verdana" w:cs="Times New Roman"/>
          <w:iCs/>
          <w:sz w:val="20"/>
          <w:szCs w:val="20"/>
          <w:lang w:val="en-US"/>
        </w:rPr>
      </w:pPr>
    </w:p>
    <w:p w14:paraId="581C7828" w14:textId="51D235BE" w:rsidR="00E92D5E" w:rsidRPr="00D2561A" w:rsidRDefault="00FD1BAA" w:rsidP="000E0801">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cs="Times New Roman"/>
          <w:iCs/>
          <w:sz w:val="20"/>
          <w:szCs w:val="20"/>
          <w:lang w:val="en-US"/>
        </w:rPr>
        <w:t xml:space="preserve">Moreover, to ensure this, it is essential that individuals are able to lodge petitions before </w:t>
      </w:r>
      <w:r w:rsidR="0032767A" w:rsidRPr="00D2561A">
        <w:rPr>
          <w:rFonts w:ascii="Verdana" w:hAnsi="Verdana" w:cs="Times New Roman"/>
          <w:iCs/>
          <w:sz w:val="20"/>
          <w:szCs w:val="20"/>
          <w:lang w:val="en-US"/>
        </w:rPr>
        <w:t>the Commission</w:t>
      </w:r>
      <w:r w:rsidR="00E30D1A" w:rsidRPr="00D2561A">
        <w:rPr>
          <w:rFonts w:ascii="Verdana" w:hAnsi="Verdana" w:cs="Times New Roman"/>
          <w:iCs/>
          <w:sz w:val="20"/>
          <w:szCs w:val="20"/>
          <w:lang w:val="en-US"/>
        </w:rPr>
        <w:t xml:space="preserve"> and</w:t>
      </w:r>
      <w:r w:rsidRPr="00D2561A">
        <w:rPr>
          <w:rFonts w:ascii="Verdana" w:hAnsi="Verdana" w:cs="Times New Roman"/>
          <w:iCs/>
          <w:sz w:val="20"/>
          <w:szCs w:val="20"/>
          <w:lang w:val="en-US"/>
        </w:rPr>
        <w:t>, in this way, initiate the corresponding procedure</w:t>
      </w:r>
      <w:r w:rsidR="00AB59AE" w:rsidRPr="00D2561A">
        <w:rPr>
          <w:rFonts w:ascii="Verdana" w:hAnsi="Verdana" w:cs="Times New Roman"/>
          <w:iCs/>
          <w:sz w:val="20"/>
          <w:szCs w:val="20"/>
          <w:lang w:val="en-US"/>
        </w:rPr>
        <w:t>;</w:t>
      </w:r>
      <w:r w:rsidR="00ED0D9C" w:rsidRPr="00D2561A">
        <w:rPr>
          <w:rStyle w:val="Refdenotaalpie"/>
          <w:rFonts w:ascii="Verdana" w:hAnsi="Verdana" w:cs="Times New Roman"/>
          <w:iCs/>
          <w:sz w:val="20"/>
          <w:szCs w:val="20"/>
          <w:lang w:val="en-US"/>
        </w:rPr>
        <w:footnoteReference w:id="105"/>
      </w:r>
      <w:r w:rsidRPr="00D2561A">
        <w:rPr>
          <w:rFonts w:ascii="Verdana" w:hAnsi="Verdana" w:cs="Times New Roman"/>
          <w:iCs/>
          <w:sz w:val="20"/>
          <w:szCs w:val="20"/>
          <w:lang w:val="en-US"/>
        </w:rPr>
        <w:t xml:space="preserve"> </w:t>
      </w:r>
      <w:r w:rsidR="00AB59AE" w:rsidRPr="00D2561A">
        <w:rPr>
          <w:rFonts w:ascii="Verdana" w:hAnsi="Verdana" w:cs="Times New Roman"/>
          <w:iCs/>
          <w:sz w:val="20"/>
          <w:szCs w:val="20"/>
          <w:lang w:val="en-US"/>
        </w:rPr>
        <w:t>in other words</w:t>
      </w:r>
      <w:r w:rsidRPr="00D2561A">
        <w:rPr>
          <w:rFonts w:ascii="Verdana" w:hAnsi="Verdana" w:cs="Times New Roman"/>
          <w:iCs/>
          <w:sz w:val="20"/>
          <w:szCs w:val="20"/>
          <w:lang w:val="en-US"/>
        </w:rPr>
        <w:t xml:space="preserve">, they must have </w:t>
      </w:r>
      <w:r w:rsidR="00ED0D9C" w:rsidRPr="00D2561A">
        <w:rPr>
          <w:rFonts w:ascii="Verdana" w:hAnsi="Verdana" w:cs="Times New Roman"/>
          <w:iCs/>
          <w:sz w:val="20"/>
          <w:szCs w:val="20"/>
          <w:lang w:val="en-US"/>
        </w:rPr>
        <w:t xml:space="preserve"> </w:t>
      </w:r>
      <w:r w:rsidRPr="00D2561A">
        <w:rPr>
          <w:rFonts w:ascii="Verdana" w:hAnsi="Verdana" w:cs="Times New Roman"/>
          <w:i/>
          <w:sz w:val="20"/>
          <w:szCs w:val="20"/>
          <w:lang w:val="en-US"/>
        </w:rPr>
        <w:t>locus standi</w:t>
      </w:r>
      <w:r w:rsidR="00AF639D" w:rsidRPr="00D2561A">
        <w:rPr>
          <w:rFonts w:ascii="Verdana" w:hAnsi="Verdana" w:cs="Times New Roman"/>
          <w:iCs/>
          <w:sz w:val="20"/>
          <w:szCs w:val="20"/>
          <w:lang w:val="en-US"/>
        </w:rPr>
        <w:t xml:space="preserve">, which, </w:t>
      </w:r>
      <w:r w:rsidR="00F10951" w:rsidRPr="00D2561A">
        <w:rPr>
          <w:rFonts w:ascii="Verdana" w:hAnsi="Verdana" w:cs="Times New Roman"/>
          <w:iCs/>
          <w:sz w:val="20"/>
          <w:szCs w:val="20"/>
          <w:lang w:val="en-US"/>
        </w:rPr>
        <w:t>in the case of</w:t>
      </w:r>
      <w:r w:rsidR="00AF639D" w:rsidRPr="00D2561A">
        <w:rPr>
          <w:rFonts w:ascii="Verdana" w:hAnsi="Verdana" w:cs="Times New Roman"/>
          <w:iCs/>
          <w:sz w:val="20"/>
          <w:szCs w:val="20"/>
          <w:lang w:val="en-US"/>
        </w:rPr>
        <w:t xml:space="preserve"> the said </w:t>
      </w:r>
      <w:r w:rsidR="00466AF7" w:rsidRPr="00D2561A">
        <w:rPr>
          <w:rFonts w:ascii="Verdana" w:hAnsi="Verdana" w:cs="Times New Roman"/>
          <w:iCs/>
          <w:sz w:val="20"/>
          <w:szCs w:val="20"/>
          <w:lang w:val="en-US"/>
        </w:rPr>
        <w:t>Article</w:t>
      </w:r>
      <w:r w:rsidR="00ED0D9C" w:rsidRPr="00D2561A">
        <w:rPr>
          <w:rFonts w:ascii="Verdana" w:hAnsi="Verdana" w:cs="Times New Roman"/>
          <w:iCs/>
          <w:sz w:val="20"/>
          <w:szCs w:val="20"/>
          <w:lang w:val="en-US"/>
        </w:rPr>
        <w:t xml:space="preserve"> 24</w:t>
      </w:r>
      <w:r w:rsidR="00BC5A73" w:rsidRPr="00D2561A">
        <w:rPr>
          <w:rFonts w:ascii="Verdana" w:hAnsi="Verdana" w:cs="Times New Roman"/>
          <w:iCs/>
          <w:sz w:val="20"/>
          <w:szCs w:val="20"/>
          <w:lang w:val="en-US"/>
        </w:rPr>
        <w:t>,</w:t>
      </w:r>
      <w:r w:rsidR="00AF639D" w:rsidRPr="00D2561A">
        <w:rPr>
          <w:rFonts w:ascii="Verdana" w:hAnsi="Verdana" w:cs="Times New Roman"/>
          <w:iCs/>
          <w:sz w:val="20"/>
          <w:szCs w:val="20"/>
          <w:lang w:val="en-US"/>
        </w:rPr>
        <w:t xml:space="preserve"> means that a law has denied </w:t>
      </w:r>
      <w:r w:rsidR="00F10951" w:rsidRPr="00D2561A">
        <w:rPr>
          <w:rFonts w:ascii="Verdana" w:hAnsi="Verdana" w:cs="Times New Roman"/>
          <w:iCs/>
          <w:sz w:val="20"/>
          <w:szCs w:val="20"/>
          <w:lang w:val="en-US"/>
        </w:rPr>
        <w:t xml:space="preserve">a person </w:t>
      </w:r>
      <w:r w:rsidR="00AF639D" w:rsidRPr="00D2561A">
        <w:rPr>
          <w:rFonts w:ascii="Verdana" w:hAnsi="Verdana" w:cs="Times New Roman"/>
          <w:iCs/>
          <w:sz w:val="20"/>
          <w:szCs w:val="20"/>
          <w:lang w:val="en-US"/>
        </w:rPr>
        <w:t xml:space="preserve">equality before it or has not provided </w:t>
      </w:r>
      <w:r w:rsidR="00F10951" w:rsidRPr="00D2561A">
        <w:rPr>
          <w:rFonts w:ascii="Verdana" w:hAnsi="Verdana" w:cs="Times New Roman"/>
          <w:iCs/>
          <w:sz w:val="20"/>
          <w:szCs w:val="20"/>
          <w:lang w:val="en-US"/>
        </w:rPr>
        <w:t>this person</w:t>
      </w:r>
      <w:r w:rsidR="00AF639D" w:rsidRPr="00D2561A">
        <w:rPr>
          <w:rFonts w:ascii="Verdana" w:hAnsi="Verdana" w:cs="Times New Roman"/>
          <w:iCs/>
          <w:sz w:val="20"/>
          <w:szCs w:val="20"/>
          <w:lang w:val="en-US"/>
        </w:rPr>
        <w:t xml:space="preserve"> with the pertinent protection, discriminating against them, and</w:t>
      </w:r>
      <w:r w:rsidR="00E92D5E" w:rsidRPr="00D2561A">
        <w:rPr>
          <w:rFonts w:ascii="Verdana" w:hAnsi="Verdana" w:cs="Times New Roman"/>
          <w:iCs/>
          <w:sz w:val="20"/>
          <w:szCs w:val="20"/>
          <w:lang w:val="en-US"/>
        </w:rPr>
        <w:t xml:space="preserve"> they </w:t>
      </w:r>
      <w:r w:rsidR="00F10951" w:rsidRPr="00D2561A">
        <w:rPr>
          <w:rFonts w:ascii="Verdana" w:hAnsi="Verdana" w:cs="Times New Roman"/>
          <w:iCs/>
          <w:sz w:val="20"/>
          <w:szCs w:val="20"/>
          <w:lang w:val="en-US"/>
        </w:rPr>
        <w:t>file a claim</w:t>
      </w:r>
      <w:r w:rsidR="00E92D5E" w:rsidRPr="00D2561A">
        <w:rPr>
          <w:rFonts w:ascii="Verdana" w:hAnsi="Verdana" w:cs="Times New Roman"/>
          <w:iCs/>
          <w:sz w:val="20"/>
          <w:szCs w:val="20"/>
          <w:lang w:val="en-US"/>
        </w:rPr>
        <w:t xml:space="preserve">, </w:t>
      </w:r>
      <w:r w:rsidR="00F10951" w:rsidRPr="00D2561A">
        <w:rPr>
          <w:rFonts w:ascii="Verdana" w:hAnsi="Verdana" w:cs="Times New Roman"/>
          <w:iCs/>
          <w:sz w:val="20"/>
          <w:szCs w:val="20"/>
          <w:lang w:val="en-US"/>
        </w:rPr>
        <w:t>substantiating</w:t>
      </w:r>
      <w:r w:rsidR="00E92D5E" w:rsidRPr="00D2561A">
        <w:rPr>
          <w:rFonts w:ascii="Verdana" w:hAnsi="Verdana" w:cs="Times New Roman"/>
          <w:iCs/>
          <w:sz w:val="20"/>
          <w:szCs w:val="20"/>
          <w:lang w:val="en-US"/>
        </w:rPr>
        <w:t xml:space="preserve"> that they have the corresponding interest in the matter.</w:t>
      </w:r>
    </w:p>
    <w:p w14:paraId="10202C9E" w14:textId="77777777" w:rsidR="00833777" w:rsidRPr="00D2561A" w:rsidRDefault="00833777" w:rsidP="000E0801">
      <w:pPr>
        <w:pStyle w:val="Prrafodelista"/>
        <w:spacing w:line="240" w:lineRule="auto"/>
        <w:ind w:left="-270" w:right="-162"/>
        <w:rPr>
          <w:rFonts w:ascii="Verdana" w:hAnsi="Verdana" w:cs="Times New Roman"/>
          <w:iCs/>
          <w:sz w:val="20"/>
          <w:szCs w:val="20"/>
          <w:lang w:val="en-US"/>
        </w:rPr>
      </w:pPr>
    </w:p>
    <w:p w14:paraId="7FFD287A" w14:textId="07054979" w:rsidR="00AF7804" w:rsidRPr="00D2561A" w:rsidRDefault="00D8380F" w:rsidP="00AF7804">
      <w:pPr>
        <w:pStyle w:val="Prrafodelista"/>
        <w:numPr>
          <w:ilvl w:val="0"/>
          <w:numId w:val="5"/>
        </w:numPr>
        <w:autoSpaceDE w:val="0"/>
        <w:autoSpaceDN w:val="0"/>
        <w:adjustRightInd w:val="0"/>
        <w:spacing w:line="240" w:lineRule="auto"/>
        <w:ind w:left="-270" w:right="-162" w:firstLine="0"/>
        <w:rPr>
          <w:rFonts w:ascii="Verdana" w:hAnsi="Verdana" w:cs="Times New Roman"/>
          <w:iCs/>
          <w:sz w:val="20"/>
          <w:szCs w:val="20"/>
          <w:lang w:val="en-US"/>
        </w:rPr>
      </w:pPr>
      <w:r w:rsidRPr="00D2561A">
        <w:rPr>
          <w:rFonts w:ascii="Verdana" w:hAnsi="Verdana" w:cs="Times New Roman"/>
          <w:iCs/>
          <w:sz w:val="20"/>
          <w:szCs w:val="20"/>
          <w:lang w:val="en-US"/>
        </w:rPr>
        <w:t>Consequently, the object and purpose of</w:t>
      </w:r>
      <w:r w:rsidR="00BC5A73" w:rsidRPr="00D2561A">
        <w:rPr>
          <w:rFonts w:ascii="Verdana" w:hAnsi="Verdana" w:cs="Times New Roman"/>
          <w:iCs/>
          <w:sz w:val="20"/>
          <w:szCs w:val="20"/>
          <w:lang w:val="en-US"/>
        </w:rPr>
        <w:t xml:space="preserve"> </w:t>
      </w:r>
      <w:r w:rsidR="00466AF7" w:rsidRPr="00D2561A">
        <w:rPr>
          <w:rFonts w:ascii="Verdana" w:hAnsi="Verdana" w:cs="Times New Roman"/>
          <w:iCs/>
          <w:sz w:val="20"/>
          <w:szCs w:val="20"/>
          <w:lang w:val="en-US"/>
        </w:rPr>
        <w:t>Article</w:t>
      </w:r>
      <w:r w:rsidR="00BC5A73" w:rsidRPr="00D2561A">
        <w:rPr>
          <w:rFonts w:ascii="Verdana" w:hAnsi="Verdana" w:cs="Times New Roman"/>
          <w:iCs/>
          <w:sz w:val="20"/>
          <w:szCs w:val="20"/>
          <w:lang w:val="en-US"/>
        </w:rPr>
        <w:t xml:space="preserve"> 24 </w:t>
      </w:r>
      <w:r w:rsidRPr="00D2561A">
        <w:rPr>
          <w:rFonts w:ascii="Verdana" w:hAnsi="Verdana" w:cs="Times New Roman"/>
          <w:iCs/>
          <w:sz w:val="20"/>
          <w:szCs w:val="20"/>
          <w:lang w:val="en-US"/>
        </w:rPr>
        <w:t xml:space="preserve">is also to stress that </w:t>
      </w:r>
      <w:r w:rsidR="00AF7804" w:rsidRPr="00D2561A">
        <w:rPr>
          <w:rFonts w:ascii="Verdana" w:hAnsi="Verdana" w:cs="Times New Roman"/>
          <w:iCs/>
          <w:sz w:val="20"/>
          <w:szCs w:val="20"/>
          <w:lang w:val="en-US"/>
        </w:rPr>
        <w:t>the cause of</w:t>
      </w:r>
      <w:r w:rsidRPr="00D2561A">
        <w:rPr>
          <w:rFonts w:ascii="Verdana" w:hAnsi="Verdana" w:cs="Times New Roman"/>
          <w:iCs/>
          <w:sz w:val="20"/>
          <w:szCs w:val="20"/>
          <w:lang w:val="en-US"/>
        </w:rPr>
        <w:t xml:space="preserve"> violations involving inequality among individuals and the failure to protect equality among them, </w:t>
      </w:r>
      <w:r w:rsidR="00AF7804" w:rsidRPr="00D2561A">
        <w:rPr>
          <w:rFonts w:ascii="Verdana" w:hAnsi="Verdana" w:cs="Times New Roman"/>
          <w:iCs/>
          <w:sz w:val="20"/>
          <w:szCs w:val="20"/>
          <w:lang w:val="en-US"/>
        </w:rPr>
        <w:t>must be related to the law.</w:t>
      </w:r>
    </w:p>
    <w:p w14:paraId="56DDC71C" w14:textId="77777777" w:rsidR="0006480B" w:rsidRPr="00D2561A" w:rsidRDefault="0006480B" w:rsidP="000E0801">
      <w:pPr>
        <w:pStyle w:val="Prrafodelista"/>
        <w:spacing w:line="240" w:lineRule="auto"/>
        <w:rPr>
          <w:rFonts w:ascii="Verdana" w:hAnsi="Verdana" w:cs="Times New Roman"/>
          <w:iCs/>
          <w:sz w:val="20"/>
          <w:szCs w:val="20"/>
          <w:lang w:val="en-US"/>
        </w:rPr>
      </w:pPr>
    </w:p>
    <w:p w14:paraId="59BFF7E9" w14:textId="69B56844" w:rsidR="0006480B" w:rsidRPr="00D2561A" w:rsidRDefault="0006480B" w:rsidP="000E0801">
      <w:pPr>
        <w:pStyle w:val="Prrafodelista"/>
        <w:numPr>
          <w:ilvl w:val="0"/>
          <w:numId w:val="17"/>
        </w:numPr>
        <w:autoSpaceDE w:val="0"/>
        <w:autoSpaceDN w:val="0"/>
        <w:adjustRightInd w:val="0"/>
        <w:spacing w:line="240" w:lineRule="auto"/>
        <w:ind w:right="-162"/>
        <w:rPr>
          <w:rFonts w:ascii="Verdana" w:hAnsi="Verdana" w:cs="Times New Roman"/>
          <w:b/>
          <w:bCs/>
          <w:iCs/>
          <w:sz w:val="20"/>
          <w:szCs w:val="20"/>
          <w:lang w:val="en-US"/>
        </w:rPr>
      </w:pPr>
      <w:r w:rsidRPr="00D2561A">
        <w:rPr>
          <w:rFonts w:ascii="Verdana" w:hAnsi="Verdana" w:cs="Times New Roman"/>
          <w:b/>
          <w:bCs/>
          <w:iCs/>
          <w:sz w:val="20"/>
          <w:szCs w:val="20"/>
          <w:lang w:val="en-US"/>
        </w:rPr>
        <w:t>Conclusi</w:t>
      </w:r>
      <w:r w:rsidR="00D5153E" w:rsidRPr="00D2561A">
        <w:rPr>
          <w:rFonts w:ascii="Verdana" w:hAnsi="Verdana" w:cs="Times New Roman"/>
          <w:b/>
          <w:bCs/>
          <w:iCs/>
          <w:sz w:val="20"/>
          <w:szCs w:val="20"/>
          <w:lang w:val="en-US"/>
        </w:rPr>
        <w:t>o</w:t>
      </w:r>
      <w:r w:rsidRPr="00D2561A">
        <w:rPr>
          <w:rFonts w:ascii="Verdana" w:hAnsi="Verdana" w:cs="Times New Roman"/>
          <w:b/>
          <w:bCs/>
          <w:iCs/>
          <w:sz w:val="20"/>
          <w:szCs w:val="20"/>
          <w:lang w:val="en-US"/>
        </w:rPr>
        <w:t>n</w:t>
      </w:r>
      <w:r w:rsidR="00D5153E" w:rsidRPr="00D2561A">
        <w:rPr>
          <w:rFonts w:ascii="Verdana" w:hAnsi="Verdana" w:cs="Times New Roman"/>
          <w:b/>
          <w:bCs/>
          <w:iCs/>
          <w:sz w:val="20"/>
          <w:szCs w:val="20"/>
          <w:lang w:val="en-US"/>
        </w:rPr>
        <w:t xml:space="preserve"> on </w:t>
      </w:r>
      <w:r w:rsidR="00E30D1A" w:rsidRPr="00D2561A">
        <w:rPr>
          <w:rFonts w:ascii="Verdana" w:hAnsi="Verdana" w:cs="Times New Roman"/>
          <w:b/>
          <w:bCs/>
          <w:iCs/>
          <w:sz w:val="20"/>
          <w:szCs w:val="20"/>
          <w:lang w:val="en-US"/>
        </w:rPr>
        <w:t>Article</w:t>
      </w:r>
      <w:r w:rsidRPr="00D2561A">
        <w:rPr>
          <w:rFonts w:ascii="Verdana" w:hAnsi="Verdana" w:cs="Times New Roman"/>
          <w:b/>
          <w:bCs/>
          <w:iCs/>
          <w:sz w:val="20"/>
          <w:szCs w:val="20"/>
          <w:lang w:val="en-US"/>
        </w:rPr>
        <w:t xml:space="preserve"> 24.</w:t>
      </w:r>
    </w:p>
    <w:p w14:paraId="34969091" w14:textId="77777777" w:rsidR="0006480B" w:rsidRPr="00D2561A" w:rsidRDefault="0006480B" w:rsidP="000E0801">
      <w:pPr>
        <w:pStyle w:val="Prrafodelista"/>
        <w:spacing w:line="240" w:lineRule="auto"/>
        <w:rPr>
          <w:rFonts w:ascii="Verdana" w:hAnsi="Verdana" w:cs="Times New Roman"/>
          <w:iCs/>
          <w:sz w:val="20"/>
          <w:szCs w:val="20"/>
          <w:lang w:val="en-US"/>
        </w:rPr>
      </w:pPr>
    </w:p>
    <w:p w14:paraId="15B60AAC" w14:textId="33C513F6" w:rsidR="00AF7804" w:rsidRPr="00D2561A" w:rsidRDefault="00AF7804" w:rsidP="000E0801">
      <w:pPr>
        <w:pStyle w:val="Prrafodelista"/>
        <w:numPr>
          <w:ilvl w:val="0"/>
          <w:numId w:val="5"/>
        </w:numPr>
        <w:autoSpaceDE w:val="0"/>
        <w:autoSpaceDN w:val="0"/>
        <w:adjustRightInd w:val="0"/>
        <w:spacing w:line="240" w:lineRule="auto"/>
        <w:ind w:left="-270" w:right="-162" w:firstLine="0"/>
        <w:rPr>
          <w:rFonts w:ascii="Verdana" w:hAnsi="Verdana" w:cs="Times New Roman"/>
          <w:b/>
          <w:bCs/>
          <w:iCs/>
          <w:sz w:val="20"/>
          <w:szCs w:val="20"/>
          <w:lang w:val="en-US"/>
        </w:rPr>
      </w:pPr>
      <w:r w:rsidRPr="00D2561A">
        <w:rPr>
          <w:rFonts w:ascii="Verdana" w:hAnsi="Verdana" w:cs="Times New Roman"/>
          <w:iCs/>
          <w:sz w:val="20"/>
          <w:szCs w:val="20"/>
          <w:lang w:val="en-US"/>
        </w:rPr>
        <w:t xml:space="preserve">In conclusion, I dissent from </w:t>
      </w:r>
      <w:r w:rsidR="00CC10C2" w:rsidRPr="00D2561A">
        <w:rPr>
          <w:rFonts w:ascii="Verdana" w:hAnsi="Verdana" w:cs="Times New Roman"/>
          <w:iCs/>
          <w:sz w:val="20"/>
          <w:szCs w:val="20"/>
          <w:lang w:val="en-US"/>
        </w:rPr>
        <w:t>operative paragraph</w:t>
      </w:r>
      <w:r w:rsidR="00CD425A" w:rsidRPr="00D2561A">
        <w:rPr>
          <w:rFonts w:ascii="Verdana" w:hAnsi="Verdana" w:cs="Times New Roman"/>
          <w:iCs/>
          <w:sz w:val="20"/>
          <w:szCs w:val="20"/>
          <w:lang w:val="en-US"/>
        </w:rPr>
        <w:t xml:space="preserve"> 6 </w:t>
      </w:r>
      <w:r w:rsidR="0032767A" w:rsidRPr="00D2561A">
        <w:rPr>
          <w:rFonts w:ascii="Verdana" w:hAnsi="Verdana" w:cs="Times New Roman"/>
          <w:iCs/>
          <w:sz w:val="20"/>
          <w:szCs w:val="20"/>
          <w:lang w:val="en-US"/>
        </w:rPr>
        <w:t>of the judgment</w:t>
      </w:r>
      <w:r w:rsidR="00CD425A" w:rsidRPr="00D2561A">
        <w:rPr>
          <w:rFonts w:ascii="Verdana" w:hAnsi="Verdana" w:cs="Times New Roman"/>
          <w:iCs/>
          <w:sz w:val="20"/>
          <w:szCs w:val="20"/>
          <w:lang w:val="en-US"/>
        </w:rPr>
        <w:t xml:space="preserve"> </w:t>
      </w:r>
      <w:r w:rsidRPr="00D2561A">
        <w:rPr>
          <w:rFonts w:ascii="Verdana" w:hAnsi="Verdana" w:cs="Times New Roman"/>
          <w:iCs/>
          <w:sz w:val="20"/>
          <w:szCs w:val="20"/>
          <w:lang w:val="en-US"/>
        </w:rPr>
        <w:t>because, on the one hand, it omits any reference to the law that violates the right to equality before the law and to equal protection of the law, established in Article 24 and, on the other, it merely su</w:t>
      </w:r>
      <w:r w:rsidR="00AB59AE" w:rsidRPr="00D2561A">
        <w:rPr>
          <w:rFonts w:ascii="Verdana" w:hAnsi="Verdana" w:cs="Times New Roman"/>
          <w:iCs/>
          <w:sz w:val="20"/>
          <w:szCs w:val="20"/>
          <w:lang w:val="en-US"/>
        </w:rPr>
        <w:t xml:space="preserve">bstantiates </w:t>
      </w:r>
      <w:r w:rsidRPr="00D2561A">
        <w:rPr>
          <w:rFonts w:ascii="Verdana" w:hAnsi="Verdana" w:cs="Times New Roman"/>
          <w:iCs/>
          <w:sz w:val="20"/>
          <w:szCs w:val="20"/>
          <w:lang w:val="en-US"/>
        </w:rPr>
        <w:t>its position on</w:t>
      </w:r>
      <w:r w:rsidR="00AB59AE" w:rsidRPr="00D2561A">
        <w:rPr>
          <w:rFonts w:ascii="Verdana" w:hAnsi="Verdana" w:cs="Times New Roman"/>
          <w:iCs/>
          <w:sz w:val="20"/>
          <w:szCs w:val="20"/>
          <w:lang w:val="en-US"/>
        </w:rPr>
        <w:t xml:space="preserve"> the basis of</w:t>
      </w:r>
      <w:r w:rsidRPr="00D2561A">
        <w:rPr>
          <w:rFonts w:ascii="Verdana" w:hAnsi="Verdana" w:cs="Times New Roman"/>
          <w:iCs/>
          <w:sz w:val="20"/>
          <w:szCs w:val="20"/>
          <w:lang w:val="en-US"/>
        </w:rPr>
        <w:t xml:space="preserve"> a structural situation of poverty or discrimination </w:t>
      </w:r>
      <w:r w:rsidR="00AB59AE" w:rsidRPr="00D2561A">
        <w:rPr>
          <w:rFonts w:ascii="Verdana" w:hAnsi="Verdana" w:cs="Times New Roman"/>
          <w:iCs/>
          <w:sz w:val="20"/>
          <w:szCs w:val="20"/>
          <w:lang w:val="en-US"/>
        </w:rPr>
        <w:t>for reasons of</w:t>
      </w:r>
      <w:r w:rsidRPr="00D2561A">
        <w:rPr>
          <w:rFonts w:ascii="Verdana" w:hAnsi="Verdana" w:cs="Times New Roman"/>
          <w:iCs/>
          <w:sz w:val="20"/>
          <w:szCs w:val="20"/>
          <w:lang w:val="en-US"/>
        </w:rPr>
        <w:t xml:space="preserve"> race or sex to declare its violation, which may be useful to determine the context in which </w:t>
      </w:r>
      <w:r w:rsidR="00AB59AE" w:rsidRPr="00D2561A">
        <w:rPr>
          <w:rFonts w:ascii="Verdana" w:hAnsi="Verdana" w:cs="Times New Roman"/>
          <w:iCs/>
          <w:sz w:val="20"/>
          <w:szCs w:val="20"/>
          <w:lang w:val="en-US"/>
        </w:rPr>
        <w:t xml:space="preserve">this </w:t>
      </w:r>
      <w:r w:rsidRPr="00D2561A">
        <w:rPr>
          <w:rFonts w:ascii="Verdana" w:hAnsi="Verdana" w:cs="Times New Roman"/>
          <w:iCs/>
          <w:sz w:val="20"/>
          <w:szCs w:val="20"/>
          <w:lang w:val="en-US"/>
        </w:rPr>
        <w:t>occurred, but is insufficient to be the only consideration taken into account in this regard.</w:t>
      </w:r>
    </w:p>
    <w:p w14:paraId="01EC5302" w14:textId="77777777" w:rsidR="00DC74CA" w:rsidRPr="00D2561A" w:rsidRDefault="00DC74CA" w:rsidP="000E0801">
      <w:pPr>
        <w:spacing w:line="240" w:lineRule="auto"/>
        <w:ind w:left="0" w:right="-162"/>
        <w:rPr>
          <w:rFonts w:ascii="Verdana" w:eastAsia="Times New Roman" w:hAnsi="Verdana" w:cs="Tahoma"/>
          <w:sz w:val="20"/>
          <w:szCs w:val="20"/>
          <w:lang w:val="en-US" w:eastAsia="es-CR"/>
        </w:rPr>
      </w:pPr>
    </w:p>
    <w:p w14:paraId="75C782A8" w14:textId="588C1AE2" w:rsidR="00DC74CA" w:rsidRPr="00D2561A" w:rsidRDefault="00DC74CA" w:rsidP="000E0801">
      <w:pPr>
        <w:pStyle w:val="Prrafodelista"/>
        <w:spacing w:line="240" w:lineRule="auto"/>
        <w:ind w:left="-270" w:right="-162"/>
        <w:rPr>
          <w:rFonts w:ascii="Verdana" w:eastAsia="Times New Roman" w:hAnsi="Verdana" w:cs="Tahoma"/>
          <w:b/>
          <w:bCs/>
          <w:sz w:val="20"/>
          <w:szCs w:val="20"/>
          <w:lang w:val="en-US" w:eastAsia="es-CR"/>
        </w:rPr>
      </w:pPr>
      <w:r w:rsidRPr="00D2561A">
        <w:rPr>
          <w:rFonts w:ascii="Verdana" w:eastAsia="Times New Roman" w:hAnsi="Verdana" w:cs="Tahoma"/>
          <w:b/>
          <w:bCs/>
          <w:sz w:val="20"/>
          <w:szCs w:val="20"/>
          <w:lang w:val="en-US" w:eastAsia="es-CR"/>
        </w:rPr>
        <w:t>V</w:t>
      </w:r>
      <w:r w:rsidR="0097194E" w:rsidRPr="00D2561A">
        <w:rPr>
          <w:rFonts w:ascii="Verdana" w:eastAsia="Times New Roman" w:hAnsi="Verdana" w:cs="Tahoma"/>
          <w:b/>
          <w:bCs/>
          <w:sz w:val="20"/>
          <w:szCs w:val="20"/>
          <w:lang w:val="en-US" w:eastAsia="es-CR"/>
        </w:rPr>
        <w:t>.</w:t>
      </w:r>
      <w:r w:rsidRPr="00D2561A">
        <w:rPr>
          <w:rFonts w:ascii="Verdana" w:eastAsia="Times New Roman" w:hAnsi="Verdana" w:cs="Tahoma"/>
          <w:sz w:val="20"/>
          <w:szCs w:val="20"/>
          <w:lang w:val="en-US" w:eastAsia="es-CR"/>
        </w:rPr>
        <w:t xml:space="preserve"> </w:t>
      </w:r>
      <w:r w:rsidR="00437963" w:rsidRPr="00D2561A">
        <w:rPr>
          <w:rFonts w:ascii="Verdana" w:eastAsia="Times New Roman" w:hAnsi="Verdana" w:cs="Tahoma"/>
          <w:b/>
          <w:bCs/>
          <w:sz w:val="20"/>
          <w:szCs w:val="20"/>
          <w:lang w:val="en-US" w:eastAsia="es-CR"/>
        </w:rPr>
        <w:t>FIN</w:t>
      </w:r>
      <w:r w:rsidR="00F92366" w:rsidRPr="00D2561A">
        <w:rPr>
          <w:rFonts w:ascii="Verdana" w:eastAsia="Times New Roman" w:hAnsi="Verdana" w:cs="Tahoma"/>
          <w:b/>
          <w:bCs/>
          <w:sz w:val="20"/>
          <w:szCs w:val="20"/>
          <w:lang w:val="en-US" w:eastAsia="es-CR"/>
        </w:rPr>
        <w:t>AL CONCLUSIONS</w:t>
      </w:r>
    </w:p>
    <w:p w14:paraId="0E95D9E1" w14:textId="25D45891" w:rsidR="003A32AD" w:rsidRPr="00D2561A" w:rsidRDefault="003A32AD" w:rsidP="000E0801">
      <w:pPr>
        <w:pStyle w:val="Prrafodelista"/>
        <w:spacing w:line="240" w:lineRule="auto"/>
        <w:ind w:left="-270" w:right="-162"/>
        <w:rPr>
          <w:rFonts w:ascii="Verdana" w:eastAsia="Times New Roman" w:hAnsi="Verdana" w:cs="Tahoma"/>
          <w:b/>
          <w:bCs/>
          <w:sz w:val="20"/>
          <w:szCs w:val="20"/>
          <w:lang w:val="en-US" w:eastAsia="es-CR"/>
        </w:rPr>
      </w:pPr>
    </w:p>
    <w:p w14:paraId="3DE7218F" w14:textId="7262DC27" w:rsidR="00833777" w:rsidRPr="00D2561A" w:rsidRDefault="00D33CDA" w:rsidP="000E0801">
      <w:pPr>
        <w:pStyle w:val="Prrafodelista"/>
        <w:numPr>
          <w:ilvl w:val="0"/>
          <w:numId w:val="5"/>
        </w:numPr>
        <w:spacing w:line="240" w:lineRule="auto"/>
        <w:ind w:left="-270" w:right="-162" w:firstLine="0"/>
        <w:rPr>
          <w:rFonts w:ascii="Verdana" w:eastAsia="Times New Roman" w:hAnsi="Verdana" w:cs="Tahoma"/>
          <w:sz w:val="20"/>
          <w:szCs w:val="20"/>
          <w:lang w:val="en-US" w:eastAsia="es-CR"/>
        </w:rPr>
      </w:pPr>
      <w:r w:rsidRPr="00D2561A">
        <w:rPr>
          <w:rFonts w:ascii="Verdana" w:eastAsia="Times New Roman" w:hAnsi="Verdana" w:cs="Tahoma"/>
          <w:sz w:val="20"/>
          <w:szCs w:val="20"/>
          <w:lang w:val="en-US" w:eastAsia="es-CR"/>
        </w:rPr>
        <w:t>Taking advan</w:t>
      </w:r>
      <w:r w:rsidR="00D63489" w:rsidRPr="00D2561A">
        <w:rPr>
          <w:rFonts w:ascii="Verdana" w:eastAsia="Times New Roman" w:hAnsi="Verdana" w:cs="Tahoma"/>
          <w:sz w:val="20"/>
          <w:szCs w:val="20"/>
          <w:lang w:val="en-US" w:eastAsia="es-CR"/>
        </w:rPr>
        <w:t>tage</w:t>
      </w:r>
      <w:r w:rsidRPr="00D2561A">
        <w:rPr>
          <w:rFonts w:ascii="Verdana" w:eastAsia="Times New Roman" w:hAnsi="Verdana" w:cs="Tahoma"/>
          <w:sz w:val="20"/>
          <w:szCs w:val="20"/>
          <w:lang w:val="en-US" w:eastAsia="es-CR"/>
        </w:rPr>
        <w:t xml:space="preserve"> of this opportunity, </w:t>
      </w:r>
      <w:r w:rsidR="00437963" w:rsidRPr="00D2561A">
        <w:rPr>
          <w:rFonts w:ascii="Verdana" w:eastAsia="Times New Roman" w:hAnsi="Verdana" w:cs="Tahoma"/>
          <w:sz w:val="20"/>
          <w:szCs w:val="20"/>
          <w:lang w:val="en-US" w:eastAsia="es-CR"/>
        </w:rPr>
        <w:t>I</w:t>
      </w:r>
      <w:r w:rsidRPr="00D2561A">
        <w:rPr>
          <w:rFonts w:ascii="Verdana" w:eastAsia="Times New Roman" w:hAnsi="Verdana" w:cs="Tahoma"/>
          <w:sz w:val="20"/>
          <w:szCs w:val="20"/>
          <w:lang w:val="en-US" w:eastAsia="es-CR"/>
        </w:rPr>
        <w:t xml:space="preserve"> wish to place on record two additional consideration with regard to this judgment.</w:t>
      </w:r>
    </w:p>
    <w:p w14:paraId="6A9FC3CF" w14:textId="77777777" w:rsidR="00833777" w:rsidRPr="00D2561A" w:rsidRDefault="00833777" w:rsidP="000E0801">
      <w:pPr>
        <w:pStyle w:val="Prrafodelista"/>
        <w:spacing w:line="240" w:lineRule="auto"/>
        <w:ind w:left="-270" w:right="-162"/>
        <w:rPr>
          <w:rFonts w:ascii="Verdana" w:eastAsia="Times New Roman" w:hAnsi="Verdana" w:cs="Tahoma"/>
          <w:sz w:val="20"/>
          <w:szCs w:val="20"/>
          <w:lang w:val="en-US" w:eastAsia="es-CR"/>
        </w:rPr>
      </w:pPr>
    </w:p>
    <w:p w14:paraId="1EA0F49A" w14:textId="2A9BA2C7" w:rsidR="00833777" w:rsidRPr="00D2561A" w:rsidRDefault="00437963" w:rsidP="000E0801">
      <w:pPr>
        <w:pStyle w:val="Prrafodelista"/>
        <w:numPr>
          <w:ilvl w:val="0"/>
          <w:numId w:val="5"/>
        </w:numPr>
        <w:spacing w:line="240" w:lineRule="auto"/>
        <w:ind w:left="-270" w:right="-162" w:firstLine="0"/>
        <w:rPr>
          <w:rFonts w:ascii="Verdana" w:eastAsia="Times New Roman" w:hAnsi="Verdana" w:cs="Tahoma"/>
          <w:sz w:val="20"/>
          <w:szCs w:val="20"/>
          <w:lang w:val="en-US" w:eastAsia="es-CR"/>
        </w:rPr>
      </w:pPr>
      <w:r w:rsidRPr="00D2561A">
        <w:rPr>
          <w:rFonts w:ascii="Verdana" w:eastAsia="Times New Roman" w:hAnsi="Verdana" w:cs="Tahoma"/>
          <w:sz w:val="20"/>
          <w:szCs w:val="20"/>
          <w:lang w:val="en-US" w:eastAsia="es-CR"/>
        </w:rPr>
        <w:t>F</w:t>
      </w:r>
      <w:r w:rsidR="00D63489" w:rsidRPr="00D2561A">
        <w:rPr>
          <w:rFonts w:ascii="Verdana" w:eastAsia="Times New Roman" w:hAnsi="Verdana" w:cs="Tahoma"/>
          <w:sz w:val="20"/>
          <w:szCs w:val="20"/>
          <w:lang w:val="en-US" w:eastAsia="es-CR"/>
        </w:rPr>
        <w:t xml:space="preserve">irst, that since </w:t>
      </w:r>
      <w:r w:rsidR="00CC10C2" w:rsidRPr="00D2561A">
        <w:rPr>
          <w:rFonts w:ascii="Verdana" w:eastAsia="Times New Roman" w:hAnsi="Verdana" w:cs="Tahoma"/>
          <w:sz w:val="20"/>
          <w:szCs w:val="20"/>
          <w:lang w:val="en-US" w:eastAsia="es-CR"/>
        </w:rPr>
        <w:t>operative paragraph</w:t>
      </w:r>
      <w:r w:rsidR="00E13658" w:rsidRPr="00D2561A">
        <w:rPr>
          <w:rFonts w:ascii="Verdana" w:eastAsia="Times New Roman" w:hAnsi="Verdana" w:cs="Tahoma"/>
          <w:sz w:val="20"/>
          <w:szCs w:val="20"/>
          <w:lang w:val="en-US" w:eastAsia="es-CR"/>
        </w:rPr>
        <w:t xml:space="preserve"> </w:t>
      </w:r>
      <w:r w:rsidR="002C332A" w:rsidRPr="00D2561A">
        <w:rPr>
          <w:rFonts w:ascii="Verdana" w:eastAsia="Times New Roman" w:hAnsi="Verdana" w:cs="Tahoma"/>
          <w:sz w:val="20"/>
          <w:szCs w:val="20"/>
          <w:lang w:val="en-US" w:eastAsia="es-CR"/>
        </w:rPr>
        <w:t>6</w:t>
      </w:r>
      <w:r w:rsidR="009D14C2" w:rsidRPr="00D2561A">
        <w:rPr>
          <w:rFonts w:ascii="Verdana" w:eastAsia="Times New Roman" w:hAnsi="Verdana" w:cs="Tahoma"/>
          <w:sz w:val="20"/>
          <w:szCs w:val="20"/>
          <w:lang w:val="en-US" w:eastAsia="es-CR"/>
        </w:rPr>
        <w:t xml:space="preserve"> </w:t>
      </w:r>
      <w:r w:rsidR="00D63489" w:rsidRPr="00D2561A">
        <w:rPr>
          <w:rFonts w:ascii="Verdana" w:eastAsia="Times New Roman" w:hAnsi="Verdana" w:cs="Tahoma"/>
          <w:sz w:val="20"/>
          <w:szCs w:val="20"/>
          <w:lang w:val="en-US" w:eastAsia="es-CR"/>
        </w:rPr>
        <w:t xml:space="preserve">includes </w:t>
      </w:r>
      <w:r w:rsidRPr="00D2561A">
        <w:rPr>
          <w:rFonts w:ascii="Verdana" w:eastAsia="Times New Roman" w:hAnsi="Verdana" w:cs="Tahoma"/>
          <w:sz w:val="20"/>
          <w:szCs w:val="20"/>
          <w:lang w:val="en-US" w:eastAsia="es-CR"/>
        </w:rPr>
        <w:t>a</w:t>
      </w:r>
      <w:r w:rsidR="00D63489" w:rsidRPr="00D2561A">
        <w:rPr>
          <w:rFonts w:ascii="Verdana" w:eastAsia="Times New Roman" w:hAnsi="Verdana" w:cs="Tahoma"/>
          <w:sz w:val="20"/>
          <w:szCs w:val="20"/>
          <w:lang w:val="en-US" w:eastAsia="es-CR"/>
        </w:rPr>
        <w:t xml:space="preserve"> reference to </w:t>
      </w:r>
      <w:r w:rsidR="00466AF7" w:rsidRPr="00D2561A">
        <w:rPr>
          <w:rFonts w:ascii="Verdana" w:eastAsia="Times New Roman" w:hAnsi="Verdana" w:cs="Tahoma"/>
          <w:sz w:val="20"/>
          <w:szCs w:val="20"/>
          <w:lang w:val="en-US" w:eastAsia="es-CR"/>
        </w:rPr>
        <w:t>Article</w:t>
      </w:r>
      <w:r w:rsidR="009D14C2" w:rsidRPr="00D2561A">
        <w:rPr>
          <w:rFonts w:ascii="Verdana" w:eastAsia="Times New Roman" w:hAnsi="Verdana" w:cs="Tahoma"/>
          <w:sz w:val="20"/>
          <w:szCs w:val="20"/>
          <w:lang w:val="en-US" w:eastAsia="es-CR"/>
        </w:rPr>
        <w:t xml:space="preserve"> 19</w:t>
      </w:r>
      <w:r w:rsidR="009D14C2" w:rsidRPr="00D2561A">
        <w:rPr>
          <w:rStyle w:val="Refdenotaalpie"/>
          <w:rFonts w:ascii="Verdana" w:eastAsia="Times New Roman" w:hAnsi="Verdana" w:cs="Tahoma"/>
          <w:sz w:val="20"/>
          <w:szCs w:val="20"/>
          <w:lang w:val="en-US" w:eastAsia="es-CR"/>
        </w:rPr>
        <w:footnoteReference w:id="106"/>
      </w:r>
      <w:r w:rsidR="009D14C2" w:rsidRPr="00D2561A">
        <w:rPr>
          <w:rFonts w:ascii="Verdana" w:eastAsia="Times New Roman" w:hAnsi="Verdana" w:cs="Tahoma"/>
          <w:sz w:val="20"/>
          <w:szCs w:val="20"/>
          <w:lang w:val="en-US" w:eastAsia="es-CR"/>
        </w:rPr>
        <w:t xml:space="preserve"> </w:t>
      </w:r>
      <w:r w:rsidR="00D63489" w:rsidRPr="00D2561A">
        <w:rPr>
          <w:rFonts w:ascii="Verdana" w:eastAsia="Times New Roman" w:hAnsi="Verdana" w:cs="Tahoma"/>
          <w:sz w:val="20"/>
          <w:szCs w:val="20"/>
          <w:lang w:val="en-US" w:eastAsia="es-CR"/>
        </w:rPr>
        <w:t xml:space="preserve">together with </w:t>
      </w:r>
      <w:r w:rsidR="00E30D1A" w:rsidRPr="00D2561A">
        <w:rPr>
          <w:rFonts w:ascii="Verdana" w:eastAsia="Times New Roman" w:hAnsi="Verdana" w:cs="Tahoma"/>
          <w:sz w:val="20"/>
          <w:szCs w:val="20"/>
          <w:lang w:val="en-US" w:eastAsia="es-CR"/>
        </w:rPr>
        <w:t>Articles</w:t>
      </w:r>
      <w:r w:rsidR="009D14C2" w:rsidRPr="00D2561A">
        <w:rPr>
          <w:rFonts w:ascii="Verdana" w:eastAsia="Times New Roman" w:hAnsi="Verdana" w:cs="Tahoma"/>
          <w:sz w:val="20"/>
          <w:szCs w:val="20"/>
          <w:lang w:val="en-US" w:eastAsia="es-CR"/>
        </w:rPr>
        <w:t xml:space="preserve"> 26</w:t>
      </w:r>
      <w:r w:rsidR="00E30D1A" w:rsidRPr="00D2561A">
        <w:rPr>
          <w:rFonts w:ascii="Verdana" w:eastAsia="Times New Roman" w:hAnsi="Verdana" w:cs="Tahoma"/>
          <w:sz w:val="20"/>
          <w:szCs w:val="20"/>
          <w:lang w:val="en-US" w:eastAsia="es-CR"/>
        </w:rPr>
        <w:t xml:space="preserve"> and </w:t>
      </w:r>
      <w:r w:rsidR="009D14C2" w:rsidRPr="00D2561A">
        <w:rPr>
          <w:rFonts w:ascii="Verdana" w:eastAsia="Times New Roman" w:hAnsi="Verdana" w:cs="Tahoma"/>
          <w:sz w:val="20"/>
          <w:szCs w:val="20"/>
          <w:lang w:val="en-US" w:eastAsia="es-CR"/>
        </w:rPr>
        <w:t xml:space="preserve">24, </w:t>
      </w:r>
      <w:r w:rsidR="00D63489" w:rsidRPr="00D2561A">
        <w:rPr>
          <w:rFonts w:ascii="Verdana" w:eastAsia="Times New Roman" w:hAnsi="Verdana" w:cs="Tahoma"/>
          <w:sz w:val="20"/>
          <w:szCs w:val="20"/>
          <w:lang w:val="en-US" w:eastAsia="es-CR"/>
        </w:rPr>
        <w:t>all</w:t>
      </w:r>
      <w:r w:rsidR="00E30D1A" w:rsidRPr="00D2561A">
        <w:rPr>
          <w:rFonts w:ascii="Verdana" w:eastAsia="Times New Roman" w:hAnsi="Verdana" w:cs="Tahoma"/>
          <w:sz w:val="20"/>
          <w:szCs w:val="20"/>
          <w:lang w:val="en-US" w:eastAsia="es-CR"/>
        </w:rPr>
        <w:t xml:space="preserve"> of the Convention</w:t>
      </w:r>
      <w:r w:rsidR="009D14C2" w:rsidRPr="00D2561A">
        <w:rPr>
          <w:rFonts w:ascii="Verdana" w:eastAsia="Times New Roman" w:hAnsi="Verdana" w:cs="Tahoma"/>
          <w:sz w:val="20"/>
          <w:szCs w:val="20"/>
          <w:lang w:val="en-US" w:eastAsia="es-CR"/>
        </w:rPr>
        <w:t xml:space="preserve">, </w:t>
      </w:r>
      <w:r w:rsidRPr="00D2561A">
        <w:rPr>
          <w:rFonts w:ascii="Verdana" w:eastAsia="Times New Roman" w:hAnsi="Verdana" w:cs="Tahoma"/>
          <w:sz w:val="20"/>
          <w:szCs w:val="20"/>
          <w:lang w:val="en-US" w:eastAsia="es-CR"/>
        </w:rPr>
        <w:t>I</w:t>
      </w:r>
      <w:r w:rsidR="00D63489" w:rsidRPr="00D2561A">
        <w:rPr>
          <w:rFonts w:ascii="Verdana" w:eastAsia="Times New Roman" w:hAnsi="Verdana" w:cs="Tahoma"/>
          <w:sz w:val="20"/>
          <w:szCs w:val="20"/>
          <w:lang w:val="en-US" w:eastAsia="es-CR"/>
        </w:rPr>
        <w:t xml:space="preserve"> was obliged to vote against its adoption, but this should not be understood as </w:t>
      </w:r>
      <w:r w:rsidR="00F92366" w:rsidRPr="00D2561A">
        <w:rPr>
          <w:rFonts w:ascii="Verdana" w:eastAsia="Times New Roman" w:hAnsi="Verdana" w:cs="Tahoma"/>
          <w:sz w:val="20"/>
          <w:szCs w:val="20"/>
          <w:lang w:val="en-US" w:eastAsia="es-CR"/>
        </w:rPr>
        <w:t xml:space="preserve">a </w:t>
      </w:r>
      <w:r w:rsidR="00D63489" w:rsidRPr="00D2561A">
        <w:rPr>
          <w:rFonts w:ascii="Verdana" w:eastAsia="Times New Roman" w:hAnsi="Verdana" w:cs="Tahoma"/>
          <w:sz w:val="20"/>
          <w:szCs w:val="20"/>
          <w:lang w:val="en-US" w:eastAsia="es-CR"/>
        </w:rPr>
        <w:t>den</w:t>
      </w:r>
      <w:r w:rsidR="00F92366" w:rsidRPr="00D2561A">
        <w:rPr>
          <w:rFonts w:ascii="Verdana" w:eastAsia="Times New Roman" w:hAnsi="Verdana" w:cs="Tahoma"/>
          <w:sz w:val="20"/>
          <w:szCs w:val="20"/>
          <w:lang w:val="en-US" w:eastAsia="es-CR"/>
        </w:rPr>
        <w:t>ial of</w:t>
      </w:r>
      <w:r w:rsidR="00D63489" w:rsidRPr="00D2561A">
        <w:rPr>
          <w:rFonts w:ascii="Verdana" w:eastAsia="Times New Roman" w:hAnsi="Verdana" w:cs="Tahoma"/>
          <w:sz w:val="20"/>
          <w:szCs w:val="20"/>
          <w:lang w:val="en-US" w:eastAsia="es-CR"/>
        </w:rPr>
        <w:t xml:space="preserve"> the fact that this article was violated</w:t>
      </w:r>
      <w:r w:rsidR="00AB59AE" w:rsidRPr="00D2561A">
        <w:rPr>
          <w:rFonts w:ascii="Verdana" w:eastAsia="Times New Roman" w:hAnsi="Verdana" w:cs="Tahoma"/>
          <w:sz w:val="20"/>
          <w:szCs w:val="20"/>
          <w:lang w:val="en-US" w:eastAsia="es-CR"/>
        </w:rPr>
        <w:t>.</w:t>
      </w:r>
    </w:p>
    <w:p w14:paraId="1FD47D2E" w14:textId="77777777" w:rsidR="00833777" w:rsidRPr="00D2561A" w:rsidRDefault="00833777" w:rsidP="000E0801">
      <w:pPr>
        <w:pStyle w:val="Prrafodelista"/>
        <w:spacing w:line="240" w:lineRule="auto"/>
        <w:ind w:left="-270" w:right="-162"/>
        <w:rPr>
          <w:rFonts w:ascii="Verdana" w:eastAsia="Times New Roman" w:hAnsi="Verdana" w:cs="Tahoma"/>
          <w:sz w:val="20"/>
          <w:szCs w:val="20"/>
          <w:lang w:val="en-US" w:eastAsia="es-CR"/>
        </w:rPr>
      </w:pPr>
    </w:p>
    <w:p w14:paraId="316BBAEC" w14:textId="19CC6877" w:rsidR="003A32AD" w:rsidRPr="00D2561A" w:rsidRDefault="00D63489" w:rsidP="000E0801">
      <w:pPr>
        <w:pStyle w:val="Prrafodelista"/>
        <w:numPr>
          <w:ilvl w:val="0"/>
          <w:numId w:val="5"/>
        </w:numPr>
        <w:spacing w:line="240" w:lineRule="auto"/>
        <w:ind w:left="-270" w:right="-162" w:firstLine="0"/>
        <w:rPr>
          <w:rFonts w:ascii="Verdana" w:eastAsia="Times New Roman" w:hAnsi="Verdana" w:cs="Tahoma"/>
          <w:sz w:val="20"/>
          <w:szCs w:val="20"/>
          <w:lang w:val="en-US" w:eastAsia="es-CR"/>
        </w:rPr>
      </w:pPr>
      <w:r w:rsidRPr="00D2561A">
        <w:rPr>
          <w:rFonts w:ascii="Verdana" w:eastAsia="Times New Roman" w:hAnsi="Verdana" w:cs="Tahoma"/>
          <w:sz w:val="20"/>
          <w:szCs w:val="20"/>
          <w:lang w:val="en-US" w:eastAsia="es-CR"/>
        </w:rPr>
        <w:t xml:space="preserve">And second, that since </w:t>
      </w:r>
      <w:r w:rsidR="00CC10C2" w:rsidRPr="00D2561A">
        <w:rPr>
          <w:rFonts w:ascii="Verdana" w:eastAsia="Times New Roman" w:hAnsi="Verdana" w:cs="Tahoma"/>
          <w:sz w:val="20"/>
          <w:szCs w:val="20"/>
          <w:lang w:val="en-US" w:eastAsia="es-CR"/>
        </w:rPr>
        <w:t>operative paragraph</w:t>
      </w:r>
      <w:r w:rsidR="00BF5D87" w:rsidRPr="00D2561A">
        <w:rPr>
          <w:rFonts w:ascii="Verdana" w:eastAsia="Times New Roman" w:hAnsi="Verdana" w:cs="Tahoma"/>
          <w:sz w:val="20"/>
          <w:szCs w:val="20"/>
          <w:lang w:val="en-US" w:eastAsia="es-CR"/>
        </w:rPr>
        <w:t xml:space="preserve"> </w:t>
      </w:r>
      <w:r w:rsidR="003027F4" w:rsidRPr="00D2561A">
        <w:rPr>
          <w:rFonts w:ascii="Verdana" w:eastAsia="Times New Roman" w:hAnsi="Verdana" w:cs="Tahoma"/>
          <w:sz w:val="20"/>
          <w:szCs w:val="20"/>
          <w:lang w:val="en-US" w:eastAsia="es-CR"/>
        </w:rPr>
        <w:t>4</w:t>
      </w:r>
      <w:r w:rsidR="00BF5D87" w:rsidRPr="00D2561A">
        <w:rPr>
          <w:rFonts w:ascii="Verdana" w:eastAsia="Times New Roman" w:hAnsi="Verdana" w:cs="Tahoma"/>
          <w:sz w:val="20"/>
          <w:szCs w:val="20"/>
          <w:lang w:val="en-US" w:eastAsia="es-CR"/>
        </w:rPr>
        <w:t xml:space="preserve"> </w:t>
      </w:r>
      <w:r w:rsidR="0032767A" w:rsidRPr="00D2561A">
        <w:rPr>
          <w:rFonts w:ascii="Verdana" w:eastAsia="Times New Roman" w:hAnsi="Verdana" w:cs="Tahoma"/>
          <w:sz w:val="20"/>
          <w:szCs w:val="20"/>
          <w:lang w:val="en-US" w:eastAsia="es-CR"/>
        </w:rPr>
        <w:t>of the judgment</w:t>
      </w:r>
      <w:r w:rsidR="00B37B63" w:rsidRPr="00D2561A">
        <w:rPr>
          <w:rStyle w:val="Refdenotaalpie"/>
          <w:rFonts w:ascii="Verdana" w:hAnsi="Verdana"/>
          <w:sz w:val="20"/>
          <w:szCs w:val="20"/>
          <w:lang w:val="en-US"/>
        </w:rPr>
        <w:footnoteReference w:id="107"/>
      </w:r>
      <w:r w:rsidR="00BF5D87" w:rsidRPr="00D2561A">
        <w:rPr>
          <w:rFonts w:ascii="Verdana" w:eastAsia="Times New Roman" w:hAnsi="Verdana" w:cs="Tahoma"/>
          <w:sz w:val="20"/>
          <w:szCs w:val="20"/>
          <w:lang w:val="en-US" w:eastAsia="es-CR"/>
        </w:rPr>
        <w:t xml:space="preserve"> </w:t>
      </w:r>
      <w:r w:rsidRPr="00D2561A">
        <w:rPr>
          <w:rFonts w:ascii="Verdana" w:eastAsia="Times New Roman" w:hAnsi="Verdana" w:cs="Tahoma"/>
          <w:sz w:val="20"/>
          <w:szCs w:val="20"/>
          <w:lang w:val="en-US" w:eastAsia="es-CR"/>
        </w:rPr>
        <w:t>refers to</w:t>
      </w:r>
      <w:r w:rsidR="00BF5D87" w:rsidRPr="00D2561A">
        <w:rPr>
          <w:rFonts w:ascii="Verdana" w:eastAsia="Times New Roman" w:hAnsi="Verdana" w:cs="Tahoma"/>
          <w:sz w:val="20"/>
          <w:szCs w:val="20"/>
          <w:lang w:val="en-US" w:eastAsia="es-CR"/>
        </w:rPr>
        <w:t xml:space="preserve"> </w:t>
      </w:r>
      <w:r w:rsidR="00466AF7" w:rsidRPr="00D2561A">
        <w:rPr>
          <w:rFonts w:ascii="Verdana" w:eastAsia="Times New Roman" w:hAnsi="Verdana" w:cs="Tahoma"/>
          <w:sz w:val="20"/>
          <w:szCs w:val="20"/>
          <w:lang w:val="en-US" w:eastAsia="es-CR"/>
        </w:rPr>
        <w:t>Article</w:t>
      </w:r>
      <w:r w:rsidR="00BF5D87" w:rsidRPr="00D2561A">
        <w:rPr>
          <w:rFonts w:ascii="Verdana" w:eastAsia="Times New Roman" w:hAnsi="Verdana" w:cs="Tahoma"/>
          <w:sz w:val="20"/>
          <w:szCs w:val="20"/>
          <w:lang w:val="en-US" w:eastAsia="es-CR"/>
        </w:rPr>
        <w:t xml:space="preserve"> 4</w:t>
      </w:r>
      <w:r w:rsidRPr="00D2561A">
        <w:rPr>
          <w:rFonts w:ascii="Verdana" w:eastAsia="Times New Roman" w:hAnsi="Verdana" w:cs="Tahoma"/>
          <w:sz w:val="20"/>
          <w:szCs w:val="20"/>
          <w:lang w:val="en-US" w:eastAsia="es-CR"/>
        </w:rPr>
        <w:t>(</w:t>
      </w:r>
      <w:r w:rsidR="00BF5D87" w:rsidRPr="00D2561A">
        <w:rPr>
          <w:rFonts w:ascii="Verdana" w:eastAsia="Times New Roman" w:hAnsi="Verdana" w:cs="Tahoma"/>
          <w:sz w:val="20"/>
          <w:szCs w:val="20"/>
          <w:lang w:val="en-US" w:eastAsia="es-CR"/>
        </w:rPr>
        <w:t>1</w:t>
      </w:r>
      <w:r w:rsidRPr="00D2561A">
        <w:rPr>
          <w:rFonts w:ascii="Verdana" w:eastAsia="Times New Roman" w:hAnsi="Verdana" w:cs="Tahoma"/>
          <w:sz w:val="20"/>
          <w:szCs w:val="20"/>
          <w:lang w:val="en-US" w:eastAsia="es-CR"/>
        </w:rPr>
        <w:t>)</w:t>
      </w:r>
      <w:r w:rsidR="00E30D1A" w:rsidRPr="00D2561A">
        <w:rPr>
          <w:rFonts w:ascii="Verdana" w:eastAsia="Times New Roman" w:hAnsi="Verdana" w:cs="Tahoma"/>
          <w:sz w:val="20"/>
          <w:szCs w:val="20"/>
          <w:lang w:val="en-US" w:eastAsia="es-CR"/>
        </w:rPr>
        <w:t xml:space="preserve"> of the Convention</w:t>
      </w:r>
      <w:r w:rsidR="00F92366" w:rsidRPr="00D2561A">
        <w:rPr>
          <w:rFonts w:ascii="Verdana" w:eastAsia="Times New Roman" w:hAnsi="Verdana" w:cs="Tahoma"/>
          <w:sz w:val="20"/>
          <w:szCs w:val="20"/>
          <w:lang w:val="en-US" w:eastAsia="es-CR"/>
        </w:rPr>
        <w:t>,</w:t>
      </w:r>
      <w:r w:rsidR="00BF5D87" w:rsidRPr="00D2561A">
        <w:rPr>
          <w:rStyle w:val="Refdenotaalpie"/>
          <w:rFonts w:ascii="Verdana" w:eastAsia="Times New Roman" w:hAnsi="Verdana" w:cs="Tahoma"/>
          <w:sz w:val="20"/>
          <w:szCs w:val="20"/>
          <w:lang w:val="en-US" w:eastAsia="es-CR"/>
        </w:rPr>
        <w:footnoteReference w:id="108"/>
      </w:r>
      <w:r w:rsidR="00E30D1A" w:rsidRPr="00D2561A">
        <w:rPr>
          <w:rFonts w:ascii="Verdana" w:eastAsia="Times New Roman" w:hAnsi="Verdana" w:cs="Tahoma"/>
          <w:sz w:val="20"/>
          <w:szCs w:val="20"/>
          <w:lang w:val="en-US" w:eastAsia="es-CR"/>
        </w:rPr>
        <w:t xml:space="preserve"> and </w:t>
      </w:r>
      <w:r w:rsidR="00437963" w:rsidRPr="00D2561A">
        <w:rPr>
          <w:rFonts w:ascii="Verdana" w:eastAsia="Times New Roman" w:hAnsi="Verdana" w:cs="Tahoma"/>
          <w:sz w:val="20"/>
          <w:szCs w:val="20"/>
          <w:lang w:val="en-US" w:eastAsia="es-CR"/>
        </w:rPr>
        <w:t>as it had been</w:t>
      </w:r>
      <w:r w:rsidRPr="00D2561A">
        <w:rPr>
          <w:rFonts w:ascii="Verdana" w:eastAsia="Times New Roman" w:hAnsi="Verdana" w:cs="Tahoma"/>
          <w:sz w:val="20"/>
          <w:szCs w:val="20"/>
          <w:lang w:val="en-US" w:eastAsia="es-CR"/>
        </w:rPr>
        <w:t xml:space="preserve"> established as a fact that “</w:t>
      </w:r>
      <w:r w:rsidR="00557A83">
        <w:rPr>
          <w:rFonts w:ascii="Verdana" w:eastAsia="Times New Roman" w:hAnsi="Verdana" w:cs="Tahoma"/>
          <w:sz w:val="20"/>
          <w:szCs w:val="20"/>
          <w:lang w:val="en-US" w:eastAsia="es-CR"/>
        </w:rPr>
        <w:t>[</w:t>
      </w:r>
      <w:r w:rsidRPr="00D2561A">
        <w:rPr>
          <w:rFonts w:ascii="Verdana" w:eastAsia="Times New Roman" w:hAnsi="Verdana" w:cs="Tahoma"/>
          <w:sz w:val="20"/>
          <w:szCs w:val="20"/>
          <w:lang w:val="en-US" w:eastAsia="es-CR"/>
        </w:rPr>
        <w:t>f</w:t>
      </w:r>
      <w:r w:rsidR="00557A83">
        <w:rPr>
          <w:rFonts w:ascii="Verdana" w:eastAsia="Times New Roman" w:hAnsi="Verdana" w:cs="Tahoma"/>
          <w:sz w:val="20"/>
          <w:szCs w:val="20"/>
          <w:lang w:val="en-US" w:eastAsia="es-CR"/>
        </w:rPr>
        <w:t>]</w:t>
      </w:r>
      <w:proofErr w:type="spellStart"/>
      <w:r w:rsidRPr="00D2561A">
        <w:rPr>
          <w:rFonts w:ascii="Verdana" w:eastAsia="Times New Roman" w:hAnsi="Verdana" w:cs="Tahoma"/>
          <w:sz w:val="20"/>
          <w:szCs w:val="20"/>
          <w:lang w:val="en-US" w:eastAsia="es-CR"/>
        </w:rPr>
        <w:t>our</w:t>
      </w:r>
      <w:proofErr w:type="spellEnd"/>
      <w:r w:rsidRPr="00D2561A">
        <w:rPr>
          <w:rFonts w:ascii="Verdana" w:eastAsia="Times New Roman" w:hAnsi="Verdana" w:cs="Tahoma"/>
          <w:sz w:val="20"/>
          <w:szCs w:val="20"/>
          <w:lang w:val="en-US" w:eastAsia="es-CR"/>
        </w:rPr>
        <w:t xml:space="preserve"> of the women</w:t>
      </w:r>
      <w:r w:rsidR="00557A83">
        <w:rPr>
          <w:rFonts w:ascii="Verdana" w:eastAsia="Times New Roman" w:hAnsi="Verdana" w:cs="Tahoma"/>
          <w:sz w:val="20"/>
          <w:szCs w:val="20"/>
          <w:lang w:val="en-US" w:eastAsia="es-CR"/>
        </w:rPr>
        <w:t xml:space="preserve"> who died</w:t>
      </w:r>
      <w:r w:rsidRPr="00D2561A">
        <w:rPr>
          <w:rFonts w:ascii="Verdana" w:eastAsia="Times New Roman" w:hAnsi="Verdana" w:cs="Tahoma"/>
          <w:sz w:val="20"/>
          <w:szCs w:val="20"/>
          <w:lang w:val="en-US" w:eastAsia="es-CR"/>
        </w:rPr>
        <w:t xml:space="preserve"> [in the event in question] were</w:t>
      </w:r>
      <w:r w:rsidR="00557A83">
        <w:rPr>
          <w:rFonts w:ascii="Verdana" w:eastAsia="Times New Roman" w:hAnsi="Verdana" w:cs="Tahoma"/>
          <w:sz w:val="20"/>
          <w:szCs w:val="20"/>
          <w:lang w:val="en-US" w:eastAsia="es-CR"/>
        </w:rPr>
        <w:t xml:space="preserve"> also</w:t>
      </w:r>
      <w:r w:rsidRPr="00D2561A">
        <w:rPr>
          <w:rFonts w:ascii="Verdana" w:eastAsia="Times New Roman" w:hAnsi="Verdana" w:cs="Tahoma"/>
          <w:sz w:val="20"/>
          <w:szCs w:val="20"/>
          <w:lang w:val="en-US" w:eastAsia="es-CR"/>
        </w:rPr>
        <w:t xml:space="preserve"> pregnant,</w:t>
      </w:r>
      <w:r w:rsidR="006E21DE" w:rsidRPr="00D2561A">
        <w:rPr>
          <w:rFonts w:ascii="Verdana" w:hAnsi="Verdana"/>
          <w:sz w:val="20"/>
          <w:szCs w:val="20"/>
          <w:lang w:val="en-US"/>
        </w:rPr>
        <w:t>”</w:t>
      </w:r>
      <w:r w:rsidR="006E21DE" w:rsidRPr="00D2561A">
        <w:rPr>
          <w:rStyle w:val="Refdenotaalpie"/>
          <w:rFonts w:ascii="Verdana" w:hAnsi="Verdana"/>
          <w:sz w:val="20"/>
          <w:szCs w:val="20"/>
          <w:lang w:val="en-US"/>
        </w:rPr>
        <w:footnoteReference w:id="109"/>
      </w:r>
      <w:r w:rsidRPr="00D2561A">
        <w:rPr>
          <w:rFonts w:ascii="Verdana" w:hAnsi="Verdana"/>
          <w:sz w:val="20"/>
          <w:szCs w:val="20"/>
          <w:lang w:val="en-US"/>
        </w:rPr>
        <w:t xml:space="preserve"> it would have been desirable to apply the said article of the Convention in relation to the unborn children or </w:t>
      </w:r>
      <w:proofErr w:type="spellStart"/>
      <w:r w:rsidR="00AA3FB1" w:rsidRPr="00D2561A">
        <w:rPr>
          <w:rFonts w:ascii="Verdana" w:hAnsi="Verdana"/>
          <w:i/>
          <w:iCs/>
          <w:sz w:val="20"/>
          <w:szCs w:val="20"/>
          <w:shd w:val="clear" w:color="auto" w:fill="FFFFFF"/>
          <w:lang w:val="en-US"/>
        </w:rPr>
        <w:t>nasciturus</w:t>
      </w:r>
      <w:proofErr w:type="spellEnd"/>
      <w:r w:rsidR="00BD3EE9" w:rsidRPr="00D2561A">
        <w:rPr>
          <w:rFonts w:ascii="Verdana" w:eastAsia="Times New Roman" w:hAnsi="Verdana" w:cs="Tahoma"/>
          <w:sz w:val="20"/>
          <w:szCs w:val="20"/>
          <w:lang w:val="en-US" w:eastAsia="es-CR"/>
        </w:rPr>
        <w:t xml:space="preserve">, </w:t>
      </w:r>
      <w:r w:rsidRPr="00D2561A">
        <w:rPr>
          <w:rFonts w:ascii="Verdana" w:eastAsia="Times New Roman" w:hAnsi="Verdana" w:cs="Tahoma"/>
          <w:sz w:val="20"/>
          <w:szCs w:val="20"/>
          <w:lang w:val="en-US" w:eastAsia="es-CR"/>
        </w:rPr>
        <w:t xml:space="preserve">as indicated in other opinions </w:t>
      </w:r>
      <w:r w:rsidR="00437963" w:rsidRPr="00D2561A">
        <w:rPr>
          <w:rFonts w:ascii="Verdana" w:eastAsia="Times New Roman" w:hAnsi="Verdana" w:cs="Tahoma"/>
          <w:sz w:val="20"/>
          <w:szCs w:val="20"/>
          <w:lang w:val="en-US" w:eastAsia="es-CR"/>
        </w:rPr>
        <w:t>I have i</w:t>
      </w:r>
      <w:r w:rsidRPr="00D2561A">
        <w:rPr>
          <w:rFonts w:ascii="Verdana" w:eastAsia="Times New Roman" w:hAnsi="Verdana" w:cs="Tahoma"/>
          <w:sz w:val="20"/>
          <w:szCs w:val="20"/>
          <w:lang w:val="en-US" w:eastAsia="es-CR"/>
        </w:rPr>
        <w:t>ssued.</w:t>
      </w:r>
      <w:r w:rsidR="00BD3EE9" w:rsidRPr="00D2561A">
        <w:rPr>
          <w:rStyle w:val="Refdenotaalpie"/>
          <w:rFonts w:ascii="Verdana" w:eastAsia="Times New Roman" w:hAnsi="Verdana" w:cs="Tahoma"/>
          <w:sz w:val="20"/>
          <w:szCs w:val="20"/>
          <w:lang w:val="en-US" w:eastAsia="es-CR"/>
        </w:rPr>
        <w:footnoteReference w:id="110"/>
      </w:r>
      <w:r w:rsidRPr="00D2561A">
        <w:rPr>
          <w:rFonts w:ascii="Verdana" w:eastAsia="Times New Roman" w:hAnsi="Verdana" w:cs="Tahoma"/>
          <w:sz w:val="20"/>
          <w:szCs w:val="20"/>
          <w:lang w:val="en-US" w:eastAsia="es-CR"/>
        </w:rPr>
        <w:t xml:space="preserve"> However, this was not possible because, on the one hand, the issue was not raised in this case and, on the other, the Court had no information on the stage of the</w:t>
      </w:r>
      <w:r w:rsidR="00BB494E" w:rsidRPr="00D2561A">
        <w:rPr>
          <w:rFonts w:ascii="Verdana" w:eastAsia="Times New Roman" w:hAnsi="Verdana" w:cs="Tahoma"/>
          <w:sz w:val="20"/>
          <w:szCs w:val="20"/>
          <w:lang w:val="en-US" w:eastAsia="es-CR"/>
        </w:rPr>
        <w:t>se women’s</w:t>
      </w:r>
      <w:r w:rsidRPr="00D2561A">
        <w:rPr>
          <w:rFonts w:ascii="Verdana" w:eastAsia="Times New Roman" w:hAnsi="Verdana" w:cs="Tahoma"/>
          <w:sz w:val="20"/>
          <w:szCs w:val="20"/>
          <w:lang w:val="en-US" w:eastAsia="es-CR"/>
        </w:rPr>
        <w:t xml:space="preserve"> pregnancies.</w:t>
      </w:r>
    </w:p>
    <w:p w14:paraId="3468280C" w14:textId="77777777" w:rsidR="00355348" w:rsidRPr="006559EC" w:rsidRDefault="00355348" w:rsidP="006559EC">
      <w:pPr>
        <w:autoSpaceDE w:val="0"/>
        <w:autoSpaceDN w:val="0"/>
        <w:adjustRightInd w:val="0"/>
        <w:spacing w:line="240" w:lineRule="auto"/>
        <w:ind w:left="0" w:right="-162"/>
        <w:rPr>
          <w:rFonts w:ascii="Verdana" w:hAnsi="Verdana" w:cs="Times New Roman"/>
          <w:b/>
          <w:bCs/>
          <w:iCs/>
          <w:sz w:val="20"/>
          <w:szCs w:val="20"/>
          <w:lang w:val="en-US"/>
        </w:rPr>
      </w:pPr>
    </w:p>
    <w:tbl>
      <w:tblPr>
        <w:tblStyle w:val="Tablaconcuadrcul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73616" w:rsidRPr="00D2561A" w14:paraId="44418194" w14:textId="77777777" w:rsidTr="00173616">
        <w:tc>
          <w:tcPr>
            <w:tcW w:w="4414" w:type="dxa"/>
          </w:tcPr>
          <w:p w14:paraId="0096EBA6" w14:textId="77777777" w:rsidR="00173616" w:rsidRPr="00D2561A" w:rsidRDefault="00173616" w:rsidP="000E0801">
            <w:pPr>
              <w:ind w:left="0" w:right="-162"/>
              <w:contextualSpacing/>
              <w:rPr>
                <w:rFonts w:ascii="Verdana" w:hAnsi="Verdana"/>
                <w:b/>
                <w:sz w:val="20"/>
                <w:szCs w:val="20"/>
                <w:lang w:val="en-US"/>
              </w:rPr>
            </w:pPr>
          </w:p>
        </w:tc>
        <w:tc>
          <w:tcPr>
            <w:tcW w:w="4414" w:type="dxa"/>
          </w:tcPr>
          <w:p w14:paraId="1B7A55C7" w14:textId="4661F529" w:rsidR="00173616" w:rsidRPr="00D2561A" w:rsidRDefault="00173616" w:rsidP="000E0801">
            <w:pPr>
              <w:ind w:left="-270" w:right="-162"/>
              <w:jc w:val="left"/>
              <w:rPr>
                <w:rFonts w:ascii="Verdana" w:hAnsi="Verdana"/>
                <w:sz w:val="20"/>
                <w:szCs w:val="20"/>
                <w:lang w:val="en-US"/>
              </w:rPr>
            </w:pPr>
            <w:r w:rsidRPr="00D2561A">
              <w:rPr>
                <w:rFonts w:ascii="Verdana" w:hAnsi="Verdana"/>
                <w:sz w:val="20"/>
                <w:szCs w:val="20"/>
                <w:lang w:val="en-US"/>
              </w:rPr>
              <w:t xml:space="preserve">            Eduardo Vio Grossi</w:t>
            </w:r>
          </w:p>
          <w:p w14:paraId="3F39809F" w14:textId="6BD39AB0" w:rsidR="00173616" w:rsidRPr="00D2561A" w:rsidRDefault="00173616" w:rsidP="000E0801">
            <w:pPr>
              <w:ind w:left="-270" w:right="-162"/>
              <w:jc w:val="left"/>
              <w:rPr>
                <w:rFonts w:ascii="Verdana" w:hAnsi="Verdana"/>
                <w:sz w:val="20"/>
                <w:szCs w:val="20"/>
                <w:lang w:val="en-US"/>
              </w:rPr>
            </w:pPr>
            <w:r w:rsidRPr="00D2561A">
              <w:rPr>
                <w:rFonts w:ascii="Verdana" w:hAnsi="Verdana"/>
                <w:sz w:val="20"/>
                <w:szCs w:val="20"/>
                <w:lang w:val="en-US"/>
              </w:rPr>
              <w:t xml:space="preserve">J           </w:t>
            </w:r>
            <w:r w:rsidR="008A34BF" w:rsidRPr="00D2561A">
              <w:rPr>
                <w:rFonts w:ascii="Verdana" w:hAnsi="Verdana"/>
                <w:sz w:val="20"/>
                <w:szCs w:val="20"/>
                <w:lang w:val="en-US"/>
              </w:rPr>
              <w:t xml:space="preserve">      </w:t>
            </w:r>
            <w:r w:rsidRPr="00D2561A">
              <w:rPr>
                <w:rFonts w:ascii="Verdana" w:hAnsi="Verdana"/>
                <w:sz w:val="20"/>
                <w:szCs w:val="20"/>
                <w:lang w:val="en-US"/>
              </w:rPr>
              <w:t xml:space="preserve"> Ju</w:t>
            </w:r>
            <w:r w:rsidR="008A34BF" w:rsidRPr="00D2561A">
              <w:rPr>
                <w:rFonts w:ascii="Verdana" w:hAnsi="Verdana"/>
                <w:sz w:val="20"/>
                <w:szCs w:val="20"/>
                <w:lang w:val="en-US"/>
              </w:rPr>
              <w:t>dge</w:t>
            </w:r>
          </w:p>
          <w:p w14:paraId="1C0818A0" w14:textId="77777777" w:rsidR="00173616" w:rsidRPr="00D2561A" w:rsidRDefault="00173616" w:rsidP="000E0801">
            <w:pPr>
              <w:ind w:left="-270" w:right="-162"/>
              <w:jc w:val="left"/>
              <w:rPr>
                <w:rFonts w:ascii="Verdana" w:hAnsi="Verdana"/>
                <w:sz w:val="20"/>
                <w:szCs w:val="20"/>
                <w:lang w:val="en-US"/>
              </w:rPr>
            </w:pPr>
          </w:p>
          <w:p w14:paraId="38DAFDA5" w14:textId="77777777" w:rsidR="00173616" w:rsidRPr="00D2561A" w:rsidRDefault="00173616" w:rsidP="000E0801">
            <w:pPr>
              <w:ind w:left="0" w:right="-162"/>
              <w:contextualSpacing/>
              <w:jc w:val="left"/>
              <w:rPr>
                <w:rFonts w:ascii="Verdana" w:hAnsi="Verdana"/>
                <w:b/>
                <w:sz w:val="20"/>
                <w:szCs w:val="20"/>
                <w:lang w:val="en-US"/>
              </w:rPr>
            </w:pPr>
          </w:p>
        </w:tc>
      </w:tr>
      <w:tr w:rsidR="00173616" w:rsidRPr="00C42638" w14:paraId="48F241C1" w14:textId="77777777" w:rsidTr="00173616">
        <w:tc>
          <w:tcPr>
            <w:tcW w:w="4414" w:type="dxa"/>
          </w:tcPr>
          <w:p w14:paraId="49D0BE59" w14:textId="1CD78CE0" w:rsidR="00173616" w:rsidRPr="00D2561A" w:rsidRDefault="00173616" w:rsidP="000E0801">
            <w:pPr>
              <w:ind w:left="-270" w:right="-162"/>
              <w:rPr>
                <w:rFonts w:ascii="Verdana" w:hAnsi="Verdana"/>
                <w:sz w:val="20"/>
                <w:szCs w:val="20"/>
                <w:lang w:val="en-US"/>
              </w:rPr>
            </w:pPr>
            <w:r w:rsidRPr="00D2561A">
              <w:rPr>
                <w:rFonts w:ascii="Verdana" w:hAnsi="Verdana"/>
                <w:sz w:val="20"/>
                <w:szCs w:val="20"/>
                <w:lang w:val="en-US"/>
              </w:rPr>
              <w:t xml:space="preserve">   Pablo Saavedra </w:t>
            </w:r>
            <w:proofErr w:type="spellStart"/>
            <w:r w:rsidRPr="00D2561A">
              <w:rPr>
                <w:rFonts w:ascii="Verdana" w:hAnsi="Verdana"/>
                <w:sz w:val="20"/>
                <w:szCs w:val="20"/>
                <w:lang w:val="en-US"/>
              </w:rPr>
              <w:t>Alessandri</w:t>
            </w:r>
            <w:proofErr w:type="spellEnd"/>
          </w:p>
          <w:p w14:paraId="2014D984" w14:textId="4F043FA1" w:rsidR="00173616" w:rsidRPr="00C42638" w:rsidRDefault="00173616" w:rsidP="00F60CFB">
            <w:pPr>
              <w:ind w:left="-270" w:right="-162"/>
              <w:rPr>
                <w:rFonts w:ascii="Verdana" w:hAnsi="Verdana"/>
                <w:b/>
                <w:sz w:val="20"/>
                <w:szCs w:val="20"/>
                <w:lang w:val="en-US"/>
              </w:rPr>
            </w:pPr>
            <w:r w:rsidRPr="00D2561A">
              <w:rPr>
                <w:rFonts w:ascii="Verdana" w:hAnsi="Verdana"/>
                <w:sz w:val="20"/>
                <w:szCs w:val="20"/>
                <w:lang w:val="en-US"/>
              </w:rPr>
              <w:t xml:space="preserve">     </w:t>
            </w:r>
            <w:r w:rsidR="008A34BF" w:rsidRPr="00D2561A">
              <w:rPr>
                <w:rFonts w:ascii="Verdana" w:hAnsi="Verdana"/>
                <w:sz w:val="20"/>
                <w:szCs w:val="20"/>
                <w:lang w:val="en-US"/>
              </w:rPr>
              <w:t xml:space="preserve">       </w:t>
            </w:r>
            <w:r w:rsidRPr="00D2561A">
              <w:rPr>
                <w:rFonts w:ascii="Verdana" w:hAnsi="Verdana"/>
                <w:sz w:val="20"/>
                <w:szCs w:val="20"/>
                <w:lang w:val="en-US"/>
              </w:rPr>
              <w:t>Secretar</w:t>
            </w:r>
            <w:r w:rsidR="008A34BF" w:rsidRPr="00D2561A">
              <w:rPr>
                <w:rFonts w:ascii="Verdana" w:hAnsi="Verdana"/>
                <w:sz w:val="20"/>
                <w:szCs w:val="20"/>
                <w:lang w:val="en-US"/>
              </w:rPr>
              <w:t>y</w:t>
            </w:r>
          </w:p>
        </w:tc>
        <w:tc>
          <w:tcPr>
            <w:tcW w:w="4414" w:type="dxa"/>
          </w:tcPr>
          <w:p w14:paraId="5AE9731F" w14:textId="77777777" w:rsidR="00173616" w:rsidRPr="00C42638" w:rsidRDefault="00173616" w:rsidP="000E0801">
            <w:pPr>
              <w:ind w:left="0" w:right="-162"/>
              <w:contextualSpacing/>
              <w:jc w:val="left"/>
              <w:rPr>
                <w:rFonts w:ascii="Verdana" w:hAnsi="Verdana"/>
                <w:b/>
                <w:sz w:val="20"/>
                <w:szCs w:val="20"/>
                <w:lang w:val="en-US"/>
              </w:rPr>
            </w:pPr>
          </w:p>
        </w:tc>
      </w:tr>
    </w:tbl>
    <w:p w14:paraId="27650C78" w14:textId="44E2C666" w:rsidR="007236CD" w:rsidRPr="00C42638" w:rsidRDefault="007236CD" w:rsidP="000E0801">
      <w:pPr>
        <w:spacing w:line="240" w:lineRule="auto"/>
        <w:ind w:left="0" w:right="-162"/>
        <w:contextualSpacing/>
        <w:rPr>
          <w:rFonts w:ascii="Verdana" w:hAnsi="Verdana"/>
          <w:bCs/>
          <w:sz w:val="16"/>
          <w:szCs w:val="16"/>
          <w:lang w:val="en-US"/>
        </w:rPr>
      </w:pPr>
    </w:p>
    <w:sectPr w:rsidR="007236CD" w:rsidRPr="00C42638" w:rsidSect="000018E2">
      <w:footerReference w:type="default" r:id="rId8"/>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5EC05" w14:textId="77777777" w:rsidR="002F637C" w:rsidRDefault="002F637C" w:rsidP="00E9106E">
      <w:pPr>
        <w:spacing w:line="240" w:lineRule="auto"/>
      </w:pPr>
      <w:r>
        <w:separator/>
      </w:r>
    </w:p>
  </w:endnote>
  <w:endnote w:type="continuationSeparator" w:id="0">
    <w:p w14:paraId="31A7FBB2" w14:textId="77777777" w:rsidR="002F637C" w:rsidRDefault="002F637C" w:rsidP="00E91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234547"/>
      <w:docPartObj>
        <w:docPartGallery w:val="Page Numbers (Bottom of Page)"/>
        <w:docPartUnique/>
      </w:docPartObj>
    </w:sdtPr>
    <w:sdtEndPr/>
    <w:sdtContent>
      <w:p w14:paraId="62A14609" w14:textId="14058CB0" w:rsidR="00EC1F8A" w:rsidRDefault="00EC1F8A">
        <w:pPr>
          <w:pStyle w:val="Piedepgina"/>
          <w:jc w:val="right"/>
        </w:pPr>
        <w:r>
          <w:fldChar w:fldCharType="begin"/>
        </w:r>
        <w:r>
          <w:instrText>PAGE   \* MERGEFORMAT</w:instrText>
        </w:r>
        <w:r>
          <w:fldChar w:fldCharType="separate"/>
        </w:r>
        <w:r w:rsidR="00F60CFB" w:rsidRPr="00F60CFB">
          <w:rPr>
            <w:noProof/>
            <w:lang w:val="es-ES"/>
          </w:rPr>
          <w:t>25</w:t>
        </w:r>
        <w:r>
          <w:fldChar w:fldCharType="end"/>
        </w:r>
      </w:p>
    </w:sdtContent>
  </w:sdt>
  <w:p w14:paraId="4A05547C" w14:textId="77777777" w:rsidR="00EC1F8A" w:rsidRDefault="00EC1F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974F2" w14:textId="77777777" w:rsidR="002F637C" w:rsidRDefault="002F637C" w:rsidP="00E9106E">
      <w:pPr>
        <w:spacing w:line="240" w:lineRule="auto"/>
      </w:pPr>
      <w:r>
        <w:separator/>
      </w:r>
    </w:p>
  </w:footnote>
  <w:footnote w:type="continuationSeparator" w:id="0">
    <w:p w14:paraId="0DC2DC66" w14:textId="77777777" w:rsidR="002F637C" w:rsidRDefault="002F637C" w:rsidP="00E9106E">
      <w:pPr>
        <w:spacing w:line="240" w:lineRule="auto"/>
      </w:pPr>
      <w:r>
        <w:continuationSeparator/>
      </w:r>
    </w:p>
  </w:footnote>
  <w:footnote w:id="1">
    <w:p w14:paraId="588D0D34" w14:textId="569DE032"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 66(2) of the Convention: “</w:t>
      </w:r>
      <w:r w:rsidRPr="00D2561A">
        <w:rPr>
          <w:rFonts w:ascii="Verdana" w:hAnsi="Verdana"/>
          <w:spacing w:val="-3"/>
          <w:sz w:val="16"/>
          <w:szCs w:val="16"/>
          <w:lang w:val="en-US"/>
        </w:rPr>
        <w:t>If the judgment does not represent in whole or in part the unanimous opinion of the judges, any judge shall be entitled to have his dissenting or separate opinion attached to the judgment.”</w:t>
      </w:r>
    </w:p>
    <w:p w14:paraId="16E721D3" w14:textId="60BBD774" w:rsidR="00EC1F8A" w:rsidRPr="00D2561A" w:rsidRDefault="00EC1F8A" w:rsidP="006D0C79">
      <w:pPr>
        <w:pStyle w:val="Textonotapie"/>
        <w:tabs>
          <w:tab w:val="left" w:pos="360"/>
        </w:tabs>
        <w:snapToGrid w:val="0"/>
        <w:ind w:left="-270" w:right="-162"/>
        <w:rPr>
          <w:rFonts w:ascii="Verdana" w:hAnsi="Verdana" w:cs="Arial"/>
          <w:sz w:val="16"/>
          <w:szCs w:val="16"/>
          <w:lang w:val="en-US"/>
        </w:rPr>
      </w:pPr>
      <w:r w:rsidRPr="00D2561A">
        <w:rPr>
          <w:rFonts w:ascii="Verdana" w:hAnsi="Verdana"/>
          <w:sz w:val="16"/>
          <w:szCs w:val="16"/>
          <w:lang w:val="en-US"/>
        </w:rPr>
        <w:t>Art. 24(3) of the Court’s Statute: “</w:t>
      </w:r>
      <w:r w:rsidRPr="00D2561A">
        <w:rPr>
          <w:rFonts w:ascii="Verdana" w:hAnsi="Verdana" w:cs="Arial"/>
          <w:sz w:val="16"/>
          <w:szCs w:val="16"/>
          <w:lang w:val="en-US"/>
        </w:rPr>
        <w:t>The decisions, judgments and opinions of the Court shall be delivered in public session, and the parties shall be given written notification thereof. In addition, the decisions, judgments and opinions shall be published, along with judges' individual votes and opinions and with such other data or background information that the Court may deem appropriate.”</w:t>
      </w:r>
    </w:p>
    <w:p w14:paraId="5FD6EF67" w14:textId="658F429F"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Fonts w:ascii="Verdana" w:hAnsi="Verdana"/>
          <w:sz w:val="16"/>
          <w:szCs w:val="16"/>
          <w:lang w:val="en-US"/>
        </w:rPr>
        <w:t>Art. 65(2) of the Court’s Rules of Procedure: “Any judge who has taken part in the consideration of a case is entitled to append a separate reasoned opinion to the judgment, concurring or dissenting. These opinions shall be submitted within a time limit to be fixed by the President so that the other judges may take cognizance thereof before notice of the judgment is served. Said opinions shall only refer to the issues covered in the judgment,”</w:t>
      </w:r>
    </w:p>
    <w:p w14:paraId="6A6FD338" w14:textId="2C08CF45" w:rsidR="00EC1F8A" w:rsidRPr="00D2561A" w:rsidRDefault="00EC1F8A" w:rsidP="006D0C79">
      <w:pPr>
        <w:pStyle w:val="Textonotapie"/>
        <w:tabs>
          <w:tab w:val="left" w:pos="360"/>
        </w:tabs>
        <w:snapToGrid w:val="0"/>
        <w:ind w:left="-270" w:right="-162"/>
        <w:rPr>
          <w:rFonts w:ascii="Verdana" w:hAnsi="Verdana"/>
          <w:sz w:val="16"/>
          <w:szCs w:val="16"/>
          <w:lang w:val="en-US"/>
        </w:rPr>
      </w:pPr>
      <w:bookmarkStart w:id="0" w:name="_Hlk34813194"/>
      <w:r w:rsidRPr="00D2561A">
        <w:rPr>
          <w:rFonts w:ascii="Verdana" w:hAnsi="Verdana"/>
          <w:sz w:val="16"/>
          <w:szCs w:val="16"/>
          <w:lang w:val="en-US"/>
        </w:rPr>
        <w:t>Hereafter, each time that a provisions is cited without indicating the legal instrument to which it corresponds, it shall be understood that it is part of the American Convention on Human Rights.</w:t>
      </w:r>
      <w:bookmarkEnd w:id="0"/>
    </w:p>
  </w:footnote>
  <w:footnote w:id="2">
    <w:p w14:paraId="2902D1AF" w14:textId="56E294EB"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the judgment.</w:t>
      </w:r>
    </w:p>
  </w:footnote>
  <w:footnote w:id="3">
    <w:p w14:paraId="2F091732" w14:textId="7998F4BB" w:rsidR="00EC1F8A" w:rsidRPr="00D2561A" w:rsidRDefault="00EC1F8A" w:rsidP="006D0C79">
      <w:pPr>
        <w:tabs>
          <w:tab w:val="left" w:pos="360"/>
        </w:tabs>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w:t>
      </w:r>
      <w:r w:rsidRPr="00D2561A">
        <w:rPr>
          <w:rFonts w:ascii="Verdana" w:hAnsi="Verdana"/>
          <w:bCs/>
          <w:sz w:val="16"/>
          <w:szCs w:val="16"/>
          <w:lang w:val="en-US"/>
        </w:rPr>
        <w:t xml:space="preserve">To reject the preliminary objection concerning the alleged lack of jurisdiction </w:t>
      </w:r>
      <w:proofErr w:type="spellStart"/>
      <w:r w:rsidRPr="00D2561A">
        <w:rPr>
          <w:rFonts w:ascii="Verdana" w:hAnsi="Verdana"/>
          <w:bCs/>
          <w:i/>
          <w:iCs/>
          <w:sz w:val="16"/>
          <w:szCs w:val="16"/>
          <w:lang w:val="en-US"/>
        </w:rPr>
        <w:t>ratione</w:t>
      </w:r>
      <w:proofErr w:type="spellEnd"/>
      <w:r w:rsidRPr="00D2561A">
        <w:rPr>
          <w:rFonts w:ascii="Verdana" w:hAnsi="Verdana"/>
          <w:bCs/>
          <w:i/>
          <w:iCs/>
          <w:sz w:val="16"/>
          <w:szCs w:val="16"/>
          <w:lang w:val="en-US"/>
        </w:rPr>
        <w:t xml:space="preserve"> </w:t>
      </w:r>
      <w:proofErr w:type="spellStart"/>
      <w:r w:rsidRPr="00D2561A">
        <w:rPr>
          <w:rFonts w:ascii="Verdana" w:hAnsi="Verdana"/>
          <w:bCs/>
          <w:i/>
          <w:iCs/>
          <w:sz w:val="16"/>
          <w:szCs w:val="16"/>
          <w:lang w:val="en-US"/>
        </w:rPr>
        <w:t>materiae</w:t>
      </w:r>
      <w:proofErr w:type="spellEnd"/>
      <w:r w:rsidRPr="00D2561A">
        <w:rPr>
          <w:rFonts w:ascii="Verdana" w:hAnsi="Verdana"/>
          <w:bCs/>
          <w:sz w:val="16"/>
          <w:szCs w:val="16"/>
          <w:lang w:val="en-US"/>
        </w:rPr>
        <w:t xml:space="preserve"> regarding the supposed violations of the right to work, pursuant to paragraph 23 of this judgment.</w:t>
      </w:r>
      <w:r w:rsidRPr="00D2561A">
        <w:rPr>
          <w:rFonts w:ascii="Verdana" w:hAnsi="Verdana"/>
          <w:i/>
          <w:iCs/>
          <w:sz w:val="16"/>
          <w:szCs w:val="16"/>
          <w:lang w:val="en-US"/>
        </w:rPr>
        <w:t>”</w:t>
      </w:r>
      <w:r w:rsidRPr="00D2561A">
        <w:rPr>
          <w:rFonts w:ascii="Verdana" w:hAnsi="Verdana"/>
          <w:bCs/>
          <w:sz w:val="16"/>
          <w:szCs w:val="16"/>
          <w:lang w:val="en-US"/>
        </w:rPr>
        <w:t xml:space="preserve"> </w:t>
      </w:r>
    </w:p>
  </w:footnote>
  <w:footnote w:id="4">
    <w:p w14:paraId="67F2E78F" w14:textId="219DD56E" w:rsidR="00EC1F8A" w:rsidRPr="00D2561A" w:rsidRDefault="00EC1F8A" w:rsidP="006D0C79">
      <w:pPr>
        <w:tabs>
          <w:tab w:val="left" w:pos="360"/>
        </w:tabs>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i/>
          <w:iCs/>
          <w:sz w:val="16"/>
          <w:szCs w:val="16"/>
          <w:lang w:val="en-US"/>
        </w:rPr>
        <w:tab/>
        <w:t>“</w:t>
      </w:r>
      <w:r w:rsidRPr="00F60CFB">
        <w:rPr>
          <w:rFonts w:ascii="Verdana" w:hAnsi="Verdana"/>
          <w:iCs/>
          <w:sz w:val="16"/>
          <w:szCs w:val="16"/>
          <w:lang w:val="en-US"/>
        </w:rPr>
        <w:t>The State is responsible for the violation of the rights of the child, to equal protection of the law, to the prohibition of discrimination, and to work contained in Articles 19, 24 and 26, in relation to Article 1(1) of the American Convention on Human Rights, to the detriment of the sixty persons who died in, and the six survivors of, the explosion of the fireworks factory of Santo Antônio de Jesus on December 11, 1998, referred to in paragraph 204 of this judgment, who included 23 children, according to paragraphs 148 to 204 of this judgment</w:t>
      </w:r>
      <w:r>
        <w:rPr>
          <w:rFonts w:ascii="Verdana" w:hAnsi="Verdana"/>
          <w:iCs/>
          <w:sz w:val="16"/>
          <w:szCs w:val="16"/>
          <w:lang w:val="en-US"/>
        </w:rPr>
        <w:t>.”</w:t>
      </w:r>
    </w:p>
  </w:footnote>
  <w:footnote w:id="5">
    <w:p w14:paraId="3F58EEDA" w14:textId="3AD38587"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the Convention.</w:t>
      </w:r>
    </w:p>
  </w:footnote>
  <w:footnote w:id="6">
    <w:p w14:paraId="4EEE21EF" w14:textId="6A3CD388"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the Court.</w:t>
      </w:r>
    </w:p>
  </w:footnote>
  <w:footnote w:id="7">
    <w:p w14:paraId="18801DD3" w14:textId="0940BDF7" w:rsidR="00EC1F8A" w:rsidRPr="00D2561A" w:rsidRDefault="00EC1F8A" w:rsidP="006D0C79">
      <w:pPr>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i/>
          <w:iCs/>
          <w:sz w:val="16"/>
          <w:szCs w:val="16"/>
          <w:lang w:val="en-US"/>
        </w:rPr>
        <w:footnoteRef/>
      </w:r>
      <w:r w:rsidRPr="00D2561A">
        <w:rPr>
          <w:rFonts w:ascii="Verdana" w:hAnsi="Verdana"/>
          <w:i/>
          <w:iCs/>
          <w:sz w:val="16"/>
          <w:szCs w:val="16"/>
          <w:lang w:val="en-US"/>
        </w:rPr>
        <w:t xml:space="preserve"> </w:t>
      </w:r>
      <w:r w:rsidRPr="00D2561A">
        <w:rPr>
          <w:rFonts w:ascii="Verdana" w:hAnsi="Verdana"/>
          <w:i/>
          <w:iCs/>
          <w:sz w:val="16"/>
          <w:szCs w:val="16"/>
          <w:lang w:val="en-US"/>
        </w:rPr>
        <w:tab/>
        <w:t>“</w:t>
      </w:r>
      <w:r w:rsidRPr="00F60CFB">
        <w:rPr>
          <w:rFonts w:ascii="Verdana" w:hAnsi="Verdana"/>
          <w:iCs/>
          <w:sz w:val="16"/>
          <w:szCs w:val="16"/>
          <w:lang w:val="en-US"/>
        </w:rPr>
        <w:t>The State is responsible for the violation of the rights to life and of the child contained Articles 4(1) and 19, in relation to Article 1(1) of the American Convention on Human Rights, to the detriment of the sixty persons who died in the explosion of the fireworks factory of Santo Antônio de Jesus on December 11, 1998, referred to in paragraph 139 of this judgment, who included twenty children, according to paragraphs 115 to 139 of this judgment</w:t>
      </w:r>
      <w:r>
        <w:rPr>
          <w:rFonts w:ascii="Verdana" w:hAnsi="Verdana"/>
          <w:i/>
          <w:iCs/>
          <w:sz w:val="16"/>
          <w:szCs w:val="16"/>
          <w:lang w:val="en-US"/>
        </w:rPr>
        <w:t>.</w:t>
      </w:r>
      <w:r w:rsidRPr="00D2561A">
        <w:rPr>
          <w:rFonts w:ascii="Verdana" w:hAnsi="Verdana"/>
          <w:sz w:val="16"/>
          <w:szCs w:val="16"/>
          <w:lang w:val="en-US"/>
        </w:rPr>
        <w:t>”</w:t>
      </w:r>
      <w:r w:rsidRPr="00D2561A">
        <w:rPr>
          <w:rFonts w:ascii="Verdana" w:hAnsi="Verdana"/>
          <w:bCs/>
          <w:i/>
          <w:iCs/>
          <w:sz w:val="16"/>
          <w:szCs w:val="16"/>
          <w:lang w:val="en-US"/>
        </w:rPr>
        <w:t xml:space="preserve">  </w:t>
      </w:r>
    </w:p>
  </w:footnote>
  <w:footnote w:id="8">
    <w:p w14:paraId="6B93A8D7" w14:textId="77777777" w:rsidR="00EC1F8A" w:rsidRPr="00D2561A" w:rsidRDefault="00EC1F8A" w:rsidP="006D0C79">
      <w:pPr>
        <w:pStyle w:val="Textonotapie"/>
        <w:tabs>
          <w:tab w:val="left" w:pos="360"/>
        </w:tabs>
        <w:snapToGrid w:val="0"/>
        <w:ind w:left="-270" w:right="-162"/>
        <w:rPr>
          <w:rFonts w:ascii="Verdana" w:hAnsi="Verdana"/>
          <w:i/>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w:t>
      </w:r>
      <w:r w:rsidRPr="00D2561A">
        <w:rPr>
          <w:rFonts w:ascii="Verdana" w:hAnsi="Verdana"/>
          <w:iCs/>
          <w:sz w:val="16"/>
          <w:szCs w:val="16"/>
          <w:lang w:val="en-US"/>
        </w:rPr>
        <w:t>The question whether a certain matter is or is not solely within the jurisdiction of a State is an essentially relative question; it depends upon the development of international relations. Thus, in the present state of international law, questions of nationality are, in the opinion of the Court, in principle within this reserved domain.</w:t>
      </w:r>
      <w:r w:rsidRPr="00D2561A">
        <w:rPr>
          <w:rFonts w:ascii="Verdana" w:hAnsi="Verdana"/>
          <w:sz w:val="16"/>
          <w:szCs w:val="16"/>
          <w:lang w:val="en-US"/>
        </w:rPr>
        <w:t>” Permanent Court of International Justice, Advisory Opinion on Nationality Decrees issued in Tunis and Morocco (French zone), Series B No. 4, p. 24.</w:t>
      </w:r>
    </w:p>
    <w:p w14:paraId="2DEDDE6B" w14:textId="1D3F8D82" w:rsidR="00EC1F8A" w:rsidRPr="00D2561A" w:rsidRDefault="00EC1F8A" w:rsidP="006D0C79">
      <w:pPr>
        <w:pStyle w:val="NormalWeb"/>
        <w:spacing w:line="240" w:lineRule="auto"/>
        <w:ind w:left="-270" w:right="-162"/>
        <w:rPr>
          <w:rFonts w:ascii="Verdana" w:eastAsia="Times New Roman" w:hAnsi="Verdana"/>
          <w:sz w:val="16"/>
          <w:szCs w:val="16"/>
          <w:lang w:val="en-US"/>
        </w:rPr>
      </w:pPr>
      <w:r w:rsidRPr="00D2561A">
        <w:rPr>
          <w:rFonts w:ascii="Verdana" w:hAnsi="Verdana"/>
          <w:sz w:val="16"/>
          <w:szCs w:val="16"/>
          <w:lang w:val="en-US"/>
        </w:rPr>
        <w:t>Protocol No. 15 amending the (European) Convention for the Protection of Human Rights and Fundamental Freedoms, Art. 1: “</w:t>
      </w:r>
      <w:r w:rsidRPr="00D2561A">
        <w:rPr>
          <w:rFonts w:ascii="Verdana" w:eastAsia="Times New Roman" w:hAnsi="Verdana"/>
          <w:sz w:val="16"/>
          <w:szCs w:val="16"/>
          <w:lang w:val="en-US"/>
        </w:rPr>
        <w:t>At the end of the preamble to the Convention, a new recital shall be added, which shall read as follows: Affirming that the High Contracting Parties, in accordance with the principle of subsidiarity, have the primary responsibility to secure the rights and freedoms defined in this Convention and the Protocols thereto, and that in doing so they enjoy a margin of appreciation, subject to the supervisory jurisdiction of the European Court of Human Rights established by this Convention.”</w:t>
      </w:r>
    </w:p>
  </w:footnote>
  <w:footnote w:id="9">
    <w:p w14:paraId="15EBA39A" w14:textId="1F28EE86" w:rsidR="00EC1F8A" w:rsidRPr="00D2561A" w:rsidRDefault="00EC1F8A" w:rsidP="006D0C79">
      <w:pPr>
        <w:tabs>
          <w:tab w:val="left" w:pos="480"/>
          <w:tab w:val="left" w:pos="1080"/>
          <w:tab w:val="left" w:pos="1680"/>
          <w:tab w:val="left" w:pos="5400"/>
        </w:tabs>
        <w:suppressAutoHyphens/>
        <w:spacing w:line="240" w:lineRule="auto"/>
        <w:ind w:left="-270" w:right="-162"/>
        <w:rPr>
          <w:rFonts w:ascii="Verdana" w:hAnsi="Verdana"/>
          <w:spacing w:val="-3"/>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Art. 62(3) of the Convention: </w:t>
      </w:r>
      <w:r w:rsidRPr="00D2561A">
        <w:rPr>
          <w:rFonts w:ascii="Verdana" w:hAnsi="Verdana"/>
          <w:i/>
          <w:iCs/>
          <w:sz w:val="16"/>
          <w:szCs w:val="16"/>
          <w:lang w:val="en-US"/>
        </w:rPr>
        <w:t>“</w:t>
      </w:r>
      <w:r w:rsidRPr="00D2561A">
        <w:rPr>
          <w:rFonts w:ascii="Verdana" w:hAnsi="Verdana"/>
          <w:spacing w:val="-3"/>
          <w:sz w:val="16"/>
          <w:szCs w:val="16"/>
          <w:lang w:val="en-US"/>
        </w:rPr>
        <w:t>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p>
  </w:footnote>
  <w:footnote w:id="10">
    <w:p w14:paraId="05EF021A" w14:textId="3200F2BD"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the Vienna Convention.</w:t>
      </w:r>
    </w:p>
  </w:footnote>
  <w:footnote w:id="11">
    <w:p w14:paraId="3A19F220" w14:textId="77777777" w:rsidR="00EC1F8A" w:rsidRPr="00D2561A" w:rsidRDefault="00EC1F8A" w:rsidP="00B1107D">
      <w:pPr>
        <w:pStyle w:val="NormalWeb"/>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 31 of the Vienna Convention: “General rule of interpretation</w:t>
      </w:r>
      <w:r w:rsidRPr="00D2561A">
        <w:rPr>
          <w:rFonts w:ascii="Verdana" w:hAnsi="Verdana"/>
          <w:i/>
          <w:iCs/>
          <w:sz w:val="16"/>
          <w:szCs w:val="16"/>
          <w:lang w:val="en-US"/>
        </w:rPr>
        <w:t>.</w:t>
      </w:r>
      <w:r w:rsidRPr="00D2561A">
        <w:rPr>
          <w:rFonts w:ascii="Verdana" w:hAnsi="Verdana"/>
          <w:sz w:val="16"/>
          <w:szCs w:val="16"/>
          <w:lang w:val="en-US"/>
        </w:rPr>
        <w:t xml:space="preserve"> 1. A treaty shall be interpreted in good faith in accordance with the ordinary meaning to be given to the terms of the treaty in their context and in the light of its object and purpose.</w:t>
      </w:r>
    </w:p>
    <w:p w14:paraId="2FAA7FD7" w14:textId="106A8C82" w:rsidR="00EC1F8A" w:rsidRPr="00D2561A" w:rsidRDefault="00EC1F8A" w:rsidP="00B1107D">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2. The context for the purpose of the interpretation of a treaty shall comprise, in addition to the text, including its preamble and annexes:</w:t>
      </w:r>
    </w:p>
    <w:p w14:paraId="3AF736F8" w14:textId="77777777"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(a) any agreement relating to the treaty which was made between all the parties in connection with the conclusion of the treaty;</w:t>
      </w:r>
    </w:p>
    <w:p w14:paraId="39049618" w14:textId="77777777"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(b) any instrument which was made by one or more parties in connection with the conclusion of the treaty and accepted by the other parties as an instrument related to the treaty.</w:t>
      </w:r>
    </w:p>
    <w:p w14:paraId="7FFEF3ED" w14:textId="77777777"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3. There shall be taken into account, together with the context:</w:t>
      </w:r>
    </w:p>
    <w:p w14:paraId="72E0C9CC" w14:textId="77777777"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(a) any subsequent agreement between the parties regarding the interpretation of the treaty or the application of its provisions;</w:t>
      </w:r>
    </w:p>
    <w:p w14:paraId="34AA9D4F" w14:textId="77777777"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(b) any subsequent practice in the application of the treaty which establishes the agreement of the parties regarding its interpretation;</w:t>
      </w:r>
    </w:p>
    <w:p w14:paraId="10619F77" w14:textId="77777777"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(c) any relevant rules of international law applicable in the relations between the parties.</w:t>
      </w:r>
    </w:p>
    <w:p w14:paraId="0C2F61D0" w14:textId="251C34AD"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4. A special meaning shall be given to a term if it is established that the parties so intended.”</w:t>
      </w:r>
    </w:p>
    <w:p w14:paraId="07989854" w14:textId="0250E94C"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Art. 32 of the Vienna Convention: “Supplementary means of interpretation. 1. 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0418715C" w14:textId="77777777"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(a) leaves the meaning ambiguous or obscure; or</w:t>
      </w:r>
    </w:p>
    <w:p w14:paraId="2CC4161E" w14:textId="08F8075C" w:rsidR="00EC1F8A" w:rsidRPr="00D2561A" w:rsidRDefault="00EC1F8A" w:rsidP="006D0C79">
      <w:pPr>
        <w:pStyle w:val="NormalWeb"/>
        <w:spacing w:line="240" w:lineRule="auto"/>
        <w:ind w:left="-270" w:right="-162"/>
        <w:rPr>
          <w:rFonts w:ascii="Verdana" w:hAnsi="Verdana"/>
          <w:sz w:val="16"/>
          <w:szCs w:val="16"/>
          <w:lang w:val="en-US"/>
        </w:rPr>
      </w:pPr>
      <w:r w:rsidRPr="00D2561A">
        <w:rPr>
          <w:rFonts w:ascii="Verdana" w:hAnsi="Verdana"/>
          <w:sz w:val="16"/>
          <w:szCs w:val="16"/>
          <w:lang w:val="en-US"/>
        </w:rPr>
        <w:t>(b) leads to a result which is manifestly absurd or unreasonable.”</w:t>
      </w:r>
    </w:p>
  </w:footnote>
  <w:footnote w:id="12">
    <w:p w14:paraId="21651BBA" w14:textId="77777777" w:rsidR="00EC1F8A" w:rsidRPr="00D2561A" w:rsidRDefault="00EC1F8A" w:rsidP="00C42C8C">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the Commission.</w:t>
      </w:r>
    </w:p>
  </w:footnote>
  <w:footnote w:id="13">
    <w:p w14:paraId="67834E09" w14:textId="77777777" w:rsidR="00EC1F8A" w:rsidRPr="00D2561A" w:rsidRDefault="00EC1F8A" w:rsidP="00C42C8C">
      <w:pPr>
        <w:pStyle w:val="NormalWeb"/>
        <w:tabs>
          <w:tab w:val="left" w:pos="360"/>
        </w:tabs>
        <w:snapToGrid w:val="0"/>
        <w:spacing w:line="240" w:lineRule="auto"/>
        <w:ind w:left="-270" w:right="-162"/>
        <w:rPr>
          <w:rFonts w:ascii="Verdana" w:hAnsi="Verdana"/>
          <w:spacing w:val="-3"/>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cs="Tahoma"/>
          <w:sz w:val="16"/>
          <w:szCs w:val="16"/>
          <w:lang w:val="en-US"/>
        </w:rPr>
        <w:t xml:space="preserve">Art. 41: </w:t>
      </w:r>
      <w:r w:rsidRPr="00D2561A">
        <w:rPr>
          <w:rFonts w:ascii="Verdana" w:hAnsi="Verdana"/>
          <w:spacing w:val="-3"/>
          <w:sz w:val="16"/>
          <w:szCs w:val="16"/>
          <w:lang w:val="en-US"/>
        </w:rPr>
        <w:t>The main function of the Commission shall be to promote respect for and defense of human rights.  In the exercise of its mandate, it shall have the following functions and powers:</w:t>
      </w:r>
    </w:p>
    <w:p w14:paraId="3355A150" w14:textId="77777777" w:rsidR="00EC1F8A" w:rsidRPr="00D2561A" w:rsidRDefault="00EC1F8A" w:rsidP="00C42C8C">
      <w:pPr>
        <w:tabs>
          <w:tab w:val="left" w:pos="9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pacing w:val="-3"/>
          <w:sz w:val="16"/>
          <w:szCs w:val="16"/>
          <w:lang w:val="en-US"/>
        </w:rPr>
        <w:t>a.</w:t>
      </w:r>
      <w:r w:rsidRPr="00D2561A">
        <w:rPr>
          <w:rFonts w:ascii="Verdana" w:hAnsi="Verdana"/>
          <w:spacing w:val="-3"/>
          <w:sz w:val="16"/>
          <w:szCs w:val="16"/>
          <w:lang w:val="en-US"/>
        </w:rPr>
        <w:tab/>
        <w:t>to develop an awareness of human rights among the peoples of America;</w:t>
      </w:r>
    </w:p>
    <w:p w14:paraId="771A3F12" w14:textId="77777777" w:rsidR="00EC1F8A" w:rsidRPr="00D2561A" w:rsidRDefault="00EC1F8A" w:rsidP="00E77D5D">
      <w:pPr>
        <w:tabs>
          <w:tab w:val="left" w:pos="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pacing w:val="-3"/>
          <w:sz w:val="16"/>
          <w:szCs w:val="16"/>
          <w:lang w:val="en-US"/>
        </w:rPr>
        <w:t>b.</w:t>
      </w:r>
      <w:r w:rsidRPr="00D2561A">
        <w:rPr>
          <w:rFonts w:ascii="Verdana" w:hAnsi="Verdana"/>
          <w:spacing w:val="-3"/>
          <w:sz w:val="16"/>
          <w:szCs w:val="16"/>
          <w:lang w:val="en-US"/>
        </w:rPr>
        <w:tab/>
        <w:t>to make recommendations to the governments of the member states, when it considers such action advisable, for the adoption of progressive measures in favor of human rights within the framework of their domestic law and constitutional provisions as well as appropriate measures to further the observance of those rights;</w:t>
      </w:r>
    </w:p>
    <w:p w14:paraId="44F27A8B" w14:textId="77777777" w:rsidR="00EC1F8A" w:rsidRPr="00D2561A" w:rsidRDefault="00EC1F8A" w:rsidP="00E77D5D">
      <w:pPr>
        <w:tabs>
          <w:tab w:val="left" w:pos="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pacing w:val="-3"/>
          <w:sz w:val="16"/>
          <w:szCs w:val="16"/>
          <w:lang w:val="en-US"/>
        </w:rPr>
        <w:t>c.</w:t>
      </w:r>
      <w:r w:rsidRPr="00D2561A">
        <w:rPr>
          <w:rFonts w:ascii="Verdana" w:hAnsi="Verdana"/>
          <w:spacing w:val="-3"/>
          <w:sz w:val="16"/>
          <w:szCs w:val="16"/>
          <w:lang w:val="en-US"/>
        </w:rPr>
        <w:tab/>
        <w:t>to prepare such studies or reports as it considers advisable in the performance of its duties;</w:t>
      </w:r>
    </w:p>
    <w:p w14:paraId="2553FAA4" w14:textId="77777777" w:rsidR="00EC1F8A" w:rsidRPr="00D2561A" w:rsidRDefault="00EC1F8A" w:rsidP="00E77D5D">
      <w:pPr>
        <w:tabs>
          <w:tab w:val="left" w:pos="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pacing w:val="-3"/>
          <w:sz w:val="16"/>
          <w:szCs w:val="16"/>
          <w:lang w:val="en-US"/>
        </w:rPr>
        <w:t>d.</w:t>
      </w:r>
      <w:r w:rsidRPr="00D2561A">
        <w:rPr>
          <w:rFonts w:ascii="Verdana" w:hAnsi="Verdana"/>
          <w:spacing w:val="-3"/>
          <w:sz w:val="16"/>
          <w:szCs w:val="16"/>
          <w:lang w:val="en-US"/>
        </w:rPr>
        <w:tab/>
        <w:t>to request the governments of the member states to supply it with information on the measures adopted by them in matters of human rights;</w:t>
      </w:r>
    </w:p>
    <w:p w14:paraId="21C33EBF" w14:textId="77777777" w:rsidR="00EC1F8A" w:rsidRPr="00D2561A" w:rsidRDefault="00EC1F8A" w:rsidP="00E77D5D">
      <w:pPr>
        <w:tabs>
          <w:tab w:val="left" w:pos="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pacing w:val="-3"/>
          <w:sz w:val="16"/>
          <w:szCs w:val="16"/>
          <w:lang w:val="en-US"/>
        </w:rPr>
        <w:t>e.</w:t>
      </w:r>
      <w:r w:rsidRPr="00D2561A">
        <w:rPr>
          <w:rFonts w:ascii="Verdana" w:hAnsi="Verdana"/>
          <w:spacing w:val="-3"/>
          <w:sz w:val="16"/>
          <w:szCs w:val="16"/>
          <w:lang w:val="en-US"/>
        </w:rPr>
        <w:tab/>
        <w:t>to respond, through the General Secretariat of the Organization of American States, to inquiries made by the member states on matters related to human rights and, within the limits of its possibilities, to provide those states with the advisory services they request;</w:t>
      </w:r>
    </w:p>
    <w:p w14:paraId="5A4ADEB5" w14:textId="77777777" w:rsidR="00EC1F8A" w:rsidRPr="00D2561A" w:rsidRDefault="00EC1F8A" w:rsidP="00E77D5D">
      <w:pPr>
        <w:tabs>
          <w:tab w:val="left" w:pos="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pacing w:val="-3"/>
          <w:sz w:val="16"/>
          <w:szCs w:val="16"/>
          <w:lang w:val="en-US"/>
        </w:rPr>
        <w:t>f.</w:t>
      </w:r>
      <w:r w:rsidRPr="00D2561A">
        <w:rPr>
          <w:rFonts w:ascii="Verdana" w:hAnsi="Verdana"/>
          <w:spacing w:val="-3"/>
          <w:sz w:val="16"/>
          <w:szCs w:val="16"/>
          <w:lang w:val="en-US"/>
        </w:rPr>
        <w:tab/>
        <w:t>to take action on petitions and other communications pursuant to its authority under the provisions of Articles 44 through 51 of this Convention; and</w:t>
      </w:r>
    </w:p>
    <w:p w14:paraId="054E9DE0" w14:textId="77777777" w:rsidR="00EC1F8A" w:rsidRPr="00D2561A" w:rsidRDefault="00EC1F8A" w:rsidP="00E77D5D">
      <w:pPr>
        <w:tabs>
          <w:tab w:val="left" w:pos="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pacing w:val="-3"/>
          <w:sz w:val="16"/>
          <w:szCs w:val="16"/>
          <w:lang w:val="en-US"/>
        </w:rPr>
        <w:t xml:space="preserve"> g.</w:t>
      </w:r>
      <w:r w:rsidRPr="00D2561A">
        <w:rPr>
          <w:rFonts w:ascii="Verdana" w:hAnsi="Verdana"/>
          <w:spacing w:val="-3"/>
          <w:sz w:val="16"/>
          <w:szCs w:val="16"/>
          <w:lang w:val="en-US"/>
        </w:rPr>
        <w:tab/>
        <w:t>to submit an annual report to the General Assembly of the Organization of American States.”</w:t>
      </w:r>
    </w:p>
    <w:p w14:paraId="340B3EDE" w14:textId="77777777" w:rsidR="00EC1F8A" w:rsidRPr="00D2561A" w:rsidRDefault="00EC1F8A" w:rsidP="00E77D5D">
      <w:pPr>
        <w:pStyle w:val="NormalWeb"/>
        <w:tabs>
          <w:tab w:val="left" w:pos="0"/>
          <w:tab w:val="left" w:pos="360"/>
        </w:tabs>
        <w:snapToGrid w:val="0"/>
        <w:spacing w:line="240" w:lineRule="auto"/>
        <w:ind w:left="-270" w:right="-162"/>
        <w:rPr>
          <w:rFonts w:ascii="Verdana" w:hAnsi="Verdana"/>
          <w:sz w:val="16"/>
          <w:szCs w:val="16"/>
          <w:lang w:val="en-US"/>
        </w:rPr>
      </w:pPr>
    </w:p>
  </w:footnote>
  <w:footnote w:id="14">
    <w:p w14:paraId="30F29170" w14:textId="77777777" w:rsidR="00EC1F8A" w:rsidRPr="00D2561A" w:rsidRDefault="00EC1F8A" w:rsidP="00E77D5D">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the OAS.</w:t>
      </w:r>
    </w:p>
  </w:footnote>
  <w:footnote w:id="15">
    <w:p w14:paraId="411B2C55" w14:textId="3161FF6A" w:rsidR="00EC1F8A" w:rsidRPr="00D2561A" w:rsidRDefault="00EC1F8A" w:rsidP="006D0C79">
      <w:pPr>
        <w:pStyle w:val="Textonotapie"/>
        <w:tabs>
          <w:tab w:val="left" w:pos="360"/>
        </w:tabs>
        <w:snapToGrid w:val="0"/>
        <w:ind w:left="-270" w:right="-162"/>
        <w:rPr>
          <w:rFonts w:ascii="Verdana" w:eastAsia="MS Mincho" w:hAnsi="Verdana" w:cs="Times New Roman"/>
          <w:i/>
          <w:sz w:val="16"/>
          <w:szCs w:val="16"/>
          <w:lang w:val="en-US" w:eastAsia="es-ES" w:bidi="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eastAsia="Calibri" w:hAnsi="Verdana" w:cs="Calibri"/>
          <w:iCs/>
          <w:sz w:val="16"/>
          <w:szCs w:val="16"/>
          <w:lang w:val="en-US" w:eastAsia="es-CR"/>
        </w:rPr>
        <w:t>Partially dissenting opinion of Judge Eduardo Vio Grossi to the judgment of November 22, 2019, Inter-American Court of Human Rights,</w:t>
      </w:r>
      <w:r w:rsidRPr="00D2561A">
        <w:rPr>
          <w:rFonts w:ascii="Verdana" w:eastAsia="Calibri" w:hAnsi="Verdana" w:cs="Calibri"/>
          <w:i/>
          <w:sz w:val="16"/>
          <w:szCs w:val="16"/>
          <w:lang w:val="en-US" w:eastAsia="es-CR"/>
        </w:rPr>
        <w:t xml:space="preserve"> </w:t>
      </w:r>
      <w:r w:rsidRPr="00D2561A">
        <w:rPr>
          <w:rStyle w:val="Textoennegrita"/>
          <w:rFonts w:ascii="Verdana" w:hAnsi="Verdana"/>
          <w:b w:val="0"/>
          <w:bCs w:val="0"/>
          <w:i/>
          <w:sz w:val="16"/>
          <w:szCs w:val="16"/>
          <w:shd w:val="clear" w:color="auto" w:fill="FFFFFF"/>
          <w:lang w:val="en-US"/>
        </w:rPr>
        <w:t>Case of Hernández v. Argentina. Preliminary objection, merits, reparations and costs;</w:t>
      </w:r>
      <w:r w:rsidRPr="00D2561A">
        <w:rPr>
          <w:rStyle w:val="Textoennegrita"/>
          <w:rFonts w:ascii="Verdana" w:hAnsi="Verdana"/>
          <w:i/>
          <w:sz w:val="16"/>
          <w:szCs w:val="16"/>
          <w:shd w:val="clear" w:color="auto" w:fill="FFFFFF"/>
          <w:lang w:val="en-US"/>
        </w:rPr>
        <w:t xml:space="preserve"> </w:t>
      </w:r>
      <w:r w:rsidRPr="00D2561A">
        <w:rPr>
          <w:rFonts w:ascii="Verdana" w:eastAsia="MS Mincho" w:hAnsi="Verdana" w:cs="Times New Roman"/>
          <w:iCs/>
          <w:sz w:val="16"/>
          <w:szCs w:val="16"/>
          <w:lang w:val="en-US" w:eastAsia="es-ES" w:bidi="en-US"/>
        </w:rPr>
        <w:t>Partially dissenting opinion of Judge Eduardo Vio Grossi, Inter-American Court of Human Rights,</w:t>
      </w:r>
      <w:r w:rsidRPr="00D2561A">
        <w:rPr>
          <w:rFonts w:ascii="Verdana" w:eastAsia="MS Mincho" w:hAnsi="Verdana" w:cs="Times New Roman"/>
          <w:i/>
          <w:sz w:val="16"/>
          <w:szCs w:val="16"/>
          <w:lang w:val="en-US" w:eastAsia="es-ES" w:bidi="en-US"/>
        </w:rPr>
        <w:t xml:space="preserve"> Case of </w:t>
      </w:r>
      <w:proofErr w:type="spellStart"/>
      <w:r w:rsidRPr="00D2561A">
        <w:rPr>
          <w:rFonts w:ascii="Verdana" w:eastAsia="MS Mincho" w:hAnsi="Verdana" w:cs="Times New Roman"/>
          <w:i/>
          <w:sz w:val="16"/>
          <w:szCs w:val="16"/>
          <w:lang w:val="en-US" w:eastAsia="es-ES" w:bidi="en-US"/>
        </w:rPr>
        <w:t>Muelle</w:t>
      </w:r>
      <w:proofErr w:type="spellEnd"/>
      <w:r w:rsidRPr="00D2561A">
        <w:rPr>
          <w:rFonts w:ascii="Verdana" w:eastAsia="MS Mincho" w:hAnsi="Verdana" w:cs="Times New Roman"/>
          <w:i/>
          <w:sz w:val="16"/>
          <w:szCs w:val="16"/>
          <w:lang w:val="en-US" w:eastAsia="es-ES" w:bidi="en-US"/>
        </w:rPr>
        <w:t xml:space="preserve"> Flores v. Peru, Judgment of March 6, 2019 </w:t>
      </w:r>
      <w:r w:rsidRPr="00D2561A">
        <w:rPr>
          <w:rFonts w:ascii="Verdana" w:hAnsi="Verdana"/>
          <w:i/>
          <w:sz w:val="16"/>
          <w:szCs w:val="16"/>
          <w:lang w:val="en-US"/>
        </w:rPr>
        <w:t xml:space="preserve">(Preliminary objections, merits, reparations and costs); </w:t>
      </w:r>
      <w:r w:rsidRPr="00D2561A">
        <w:rPr>
          <w:rFonts w:ascii="Verdana" w:eastAsia="MS Mincho" w:hAnsi="Verdana" w:cs="Times New Roman"/>
          <w:iCs/>
          <w:sz w:val="16"/>
          <w:szCs w:val="16"/>
          <w:lang w:val="en-US" w:eastAsia="es-ES" w:bidi="en-US"/>
        </w:rPr>
        <w:t>Partially dissenting opinion of Judge Eduardo Vio Grossi, Inter-American Court of Human Rights,</w:t>
      </w:r>
      <w:r w:rsidRPr="00D2561A">
        <w:rPr>
          <w:rFonts w:ascii="Verdana" w:eastAsia="MS Mincho" w:hAnsi="Verdana" w:cs="Times New Roman"/>
          <w:i/>
          <w:sz w:val="16"/>
          <w:szCs w:val="16"/>
          <w:lang w:val="en-US" w:eastAsia="es-ES" w:bidi="en-US"/>
        </w:rPr>
        <w:t xml:space="preserve"> Case of San Miguel Sosa et al. v. Venezuela, Judgment of February 8, 2018 (Merits, reparations and costs); </w:t>
      </w:r>
      <w:r w:rsidRPr="00D2561A">
        <w:rPr>
          <w:rFonts w:ascii="Verdana" w:eastAsia="MS Mincho" w:hAnsi="Verdana" w:cs="Times New Roman"/>
          <w:iCs/>
          <w:sz w:val="16"/>
          <w:szCs w:val="16"/>
          <w:lang w:val="en-US" w:eastAsia="es-ES" w:bidi="en-US"/>
        </w:rPr>
        <w:t>Partially dissenting opinion of Judge Eduardo Vio Grossi, Inter-American Court of Human Rights,</w:t>
      </w:r>
      <w:r w:rsidRPr="00D2561A">
        <w:rPr>
          <w:rFonts w:ascii="Verdana" w:eastAsia="MS Mincho" w:hAnsi="Verdana" w:cs="Times New Roman"/>
          <w:i/>
          <w:sz w:val="16"/>
          <w:szCs w:val="16"/>
          <w:lang w:val="en-US" w:eastAsia="es-ES" w:bidi="en-US"/>
        </w:rPr>
        <w:t xml:space="preserve"> Case of Lagos del Campo v. Peru, Judgment of August 31, 2017 (</w:t>
      </w:r>
      <w:r w:rsidRPr="00D2561A">
        <w:rPr>
          <w:rFonts w:ascii="Verdana" w:hAnsi="Verdana"/>
          <w:i/>
          <w:sz w:val="16"/>
          <w:szCs w:val="16"/>
          <w:lang w:val="en-US"/>
        </w:rPr>
        <w:t>Preliminary objections, merits, reparations and costs</w:t>
      </w:r>
      <w:r w:rsidRPr="00D2561A">
        <w:rPr>
          <w:rFonts w:ascii="Verdana" w:eastAsia="MS Mincho" w:hAnsi="Verdana" w:cs="Times New Roman"/>
          <w:i/>
          <w:sz w:val="16"/>
          <w:szCs w:val="16"/>
          <w:lang w:val="en-US" w:eastAsia="es-ES" w:bidi="en-US"/>
        </w:rPr>
        <w:t xml:space="preserve">), and Separate Opinion of Judge Eduardo Vio Grossi, Inter-American Court of Human Rights, Case of the Dismissed Workers of </w:t>
      </w:r>
      <w:proofErr w:type="spellStart"/>
      <w:r w:rsidRPr="00D2561A">
        <w:rPr>
          <w:rFonts w:ascii="Verdana" w:eastAsia="MS Mincho" w:hAnsi="Verdana" w:cs="Times New Roman"/>
          <w:i/>
          <w:sz w:val="16"/>
          <w:szCs w:val="16"/>
          <w:lang w:val="en-US" w:eastAsia="es-ES" w:bidi="en-US"/>
        </w:rPr>
        <w:t>PetroPeru</w:t>
      </w:r>
      <w:proofErr w:type="spellEnd"/>
      <w:r w:rsidRPr="00D2561A">
        <w:rPr>
          <w:rFonts w:ascii="Verdana" w:eastAsia="MS Mincho" w:hAnsi="Verdana" w:cs="Times New Roman"/>
          <w:i/>
          <w:sz w:val="16"/>
          <w:szCs w:val="16"/>
          <w:lang w:val="en-US" w:eastAsia="es-ES" w:bidi="en-US"/>
        </w:rPr>
        <w:t xml:space="preserve"> et al. v. Peru, Judgment of November 23, 2017 (Preliminary objections, merits, reparations and costs).</w:t>
      </w:r>
    </w:p>
  </w:footnote>
  <w:footnote w:id="16">
    <w:p w14:paraId="577BEC7E" w14:textId="77777777" w:rsidR="00EC1F8A" w:rsidRPr="00D2561A" w:rsidRDefault="00EC1F8A" w:rsidP="00B82A9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Article 26.</w:t>
      </w:r>
    </w:p>
  </w:footnote>
  <w:footnote w:id="17">
    <w:p w14:paraId="73EA2FCD" w14:textId="77777777" w:rsidR="00EC1F8A" w:rsidRPr="00D2561A" w:rsidRDefault="00EC1F8A" w:rsidP="007B60CA">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Supra</w:t>
      </w:r>
      <w:r w:rsidRPr="00D2561A">
        <w:rPr>
          <w:rFonts w:ascii="Verdana" w:hAnsi="Verdana"/>
          <w:sz w:val="16"/>
          <w:szCs w:val="16"/>
          <w:lang w:val="en-US"/>
        </w:rPr>
        <w:t>, footnote 8.</w:t>
      </w:r>
    </w:p>
  </w:footnote>
  <w:footnote w:id="18">
    <w:p w14:paraId="5B5A5C09" w14:textId="535BA9F8"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Art. 2 of the Vienna Convention: “Use of terms. 1. For the purposes of this Convention: (a) </w:t>
      </w:r>
      <w:r w:rsidRPr="00D2561A">
        <w:rPr>
          <w:rFonts w:ascii="Verdana" w:hAnsi="Verdana" w:cs="Times New Roman"/>
          <w:sz w:val="16"/>
          <w:szCs w:val="16"/>
          <w:lang w:val="en-US"/>
        </w:rPr>
        <w:t>“treaty” means an international agreement concluded between States in written form and governed by international law, whether embodied in a single instrument or in two or more related instruments and whatever its particular designation.”</w:t>
      </w:r>
    </w:p>
  </w:footnote>
  <w:footnote w:id="19">
    <w:p w14:paraId="2DAA8C29" w14:textId="77777777" w:rsidR="00EC1F8A" w:rsidRPr="00D2561A" w:rsidRDefault="00EC1F8A" w:rsidP="00AB5A49">
      <w:pPr>
        <w:tabs>
          <w:tab w:val="left" w:pos="360"/>
        </w:tabs>
        <w:autoSpaceDE w:val="0"/>
        <w:autoSpaceDN w:val="0"/>
        <w:adjustRightInd w:val="0"/>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Supra,</w:t>
      </w:r>
      <w:r w:rsidRPr="00D2561A">
        <w:rPr>
          <w:rFonts w:ascii="Verdana" w:hAnsi="Verdana"/>
          <w:sz w:val="16"/>
          <w:szCs w:val="16"/>
          <w:lang w:val="en-US"/>
        </w:rPr>
        <w:t xml:space="preserve"> footnote 11. </w:t>
      </w:r>
    </w:p>
  </w:footnote>
  <w:footnote w:id="20">
    <w:p w14:paraId="38BDE9B2" w14:textId="7D992ADB" w:rsidR="00EC1F8A" w:rsidRPr="00D2561A" w:rsidRDefault="00EC1F8A" w:rsidP="006D0C79">
      <w:pPr>
        <w:pStyle w:val="Textonotapie"/>
        <w:tabs>
          <w:tab w:val="left" w:pos="360"/>
        </w:tabs>
        <w:snapToGrid w:val="0"/>
        <w:ind w:left="-270" w:right="-162"/>
        <w:rPr>
          <w:rFonts w:ascii="Verdana" w:hAnsi="Verdana" w:cs="Times New Roman"/>
          <w:i/>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cs="Times New Roman"/>
          <w:bCs/>
          <w:iCs/>
          <w:sz w:val="16"/>
          <w:szCs w:val="16"/>
          <w:lang w:val="en-US"/>
        </w:rPr>
        <w:t>“</w:t>
      </w:r>
      <w:r w:rsidRPr="00D2561A">
        <w:rPr>
          <w:rFonts w:ascii="Verdana" w:hAnsi="Verdana" w:cs="Times New Roman"/>
          <w:sz w:val="16"/>
          <w:szCs w:val="16"/>
          <w:lang w:val="en-US"/>
        </w:rPr>
        <w:t>Every treaty in force is binding upon the parties to it and must be performed by them in good faith.”</w:t>
      </w:r>
    </w:p>
  </w:footnote>
  <w:footnote w:id="21">
    <w:p w14:paraId="07B6BF44" w14:textId="5E5188B0" w:rsidR="00EC1F8A" w:rsidRPr="00D2561A" w:rsidRDefault="00EC1F8A" w:rsidP="006D0C79">
      <w:pPr>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 2:</w:t>
      </w:r>
      <w:r w:rsidRPr="00D2561A">
        <w:rPr>
          <w:rFonts w:ascii="Verdana" w:hAnsi="Verdana"/>
          <w:i/>
          <w:iCs/>
          <w:sz w:val="16"/>
          <w:szCs w:val="16"/>
          <w:lang w:val="en-US"/>
        </w:rPr>
        <w:t xml:space="preserve"> </w:t>
      </w:r>
      <w:r w:rsidRPr="00D2561A">
        <w:rPr>
          <w:rFonts w:ascii="Verdana" w:hAnsi="Verdana"/>
          <w:sz w:val="16"/>
          <w:szCs w:val="16"/>
          <w:lang w:val="en-US"/>
        </w:rPr>
        <w:t xml:space="preserve">“Domestic Legal Effects. </w:t>
      </w:r>
      <w:r w:rsidRPr="00D2561A">
        <w:rPr>
          <w:rFonts w:ascii="Verdana" w:hAnsi="Verdana"/>
          <w:spacing w:val="-3"/>
          <w:sz w:val="16"/>
          <w:szCs w:val="16"/>
          <w:lang w:val="en-US"/>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D2561A">
        <w:rPr>
          <w:rFonts w:ascii="Verdana" w:hAnsi="Verdana"/>
          <w:i/>
          <w:iCs/>
          <w:sz w:val="16"/>
          <w:szCs w:val="16"/>
          <w:lang w:val="en-US"/>
        </w:rPr>
        <w:t xml:space="preserve"> </w:t>
      </w:r>
    </w:p>
  </w:footnote>
  <w:footnote w:id="22">
    <w:p w14:paraId="50431DD5" w14:textId="0C6D555D" w:rsidR="00EC1F8A" w:rsidRPr="00D2561A" w:rsidRDefault="00EC1F8A" w:rsidP="006D0C79">
      <w:pPr>
        <w:pStyle w:val="Textonotapie"/>
        <w:tabs>
          <w:tab w:val="left" w:pos="360"/>
        </w:tabs>
        <w:snapToGrid w:val="0"/>
        <w:ind w:left="-270" w:right="-162"/>
        <w:rPr>
          <w:rFonts w:ascii="Verdana" w:hAnsi="Verdana"/>
          <w:spacing w:val="-3"/>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Para. 4 of the Preamble to the Convention: </w:t>
      </w:r>
      <w:bookmarkStart w:id="4" w:name="_Hlk28427246"/>
      <w:r w:rsidRPr="00D2561A">
        <w:rPr>
          <w:rFonts w:ascii="Verdana" w:hAnsi="Verdana"/>
          <w:spacing w:val="-3"/>
          <w:sz w:val="16"/>
          <w:szCs w:val="16"/>
          <w:lang w:val="en-US"/>
        </w:rPr>
        <w:t>Reiterating that, in accordance with the Universal Declaration of Human Rights, the ideal of free men enjoying freedom from fear and want can be achieved only if conditions are created whereby everyone may enjoy his economic, social, and cultural rights, as well as his civil and political rights</w:t>
      </w:r>
      <w:bookmarkEnd w:id="4"/>
      <w:r w:rsidRPr="00D2561A">
        <w:rPr>
          <w:rFonts w:ascii="Verdana" w:hAnsi="Verdana"/>
          <w:spacing w:val="-3"/>
          <w:sz w:val="16"/>
          <w:szCs w:val="16"/>
          <w:lang w:val="en-US"/>
        </w:rPr>
        <w:t>.”</w:t>
      </w:r>
    </w:p>
  </w:footnote>
  <w:footnote w:id="23">
    <w:p w14:paraId="5743A2E4" w14:textId="74CE88C3" w:rsidR="00EC1F8A" w:rsidRPr="00D2561A" w:rsidRDefault="00EC1F8A" w:rsidP="006D0C79">
      <w:pPr>
        <w:tabs>
          <w:tab w:val="left" w:pos="-1440"/>
          <w:tab w:val="left" w:pos="-720"/>
          <w:tab w:val="left" w:pos="360"/>
          <w:tab w:val="left" w:pos="1296"/>
          <w:tab w:val="left" w:pos="2160"/>
        </w:tabs>
        <w:suppressAutoHyphens/>
        <w:spacing w:line="240" w:lineRule="auto"/>
        <w:ind w:left="-270" w:right="-162"/>
        <w:rPr>
          <w:rFonts w:ascii="Verdana" w:hAnsi="Verdana"/>
          <w:spacing w:val="-3"/>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5 of the Preamble: “[…]</w:t>
      </w:r>
      <w:r w:rsidRPr="00D2561A">
        <w:rPr>
          <w:rFonts w:ascii="Verdana" w:hAnsi="Verdana"/>
          <w:i/>
          <w:iCs/>
          <w:sz w:val="16"/>
          <w:szCs w:val="16"/>
          <w:lang w:val="en-US"/>
        </w:rPr>
        <w:t xml:space="preserve"> </w:t>
      </w:r>
      <w:r w:rsidRPr="00D2561A">
        <w:rPr>
          <w:rFonts w:ascii="Verdana" w:hAnsi="Verdana"/>
          <w:spacing w:val="-3"/>
          <w:sz w:val="16"/>
          <w:szCs w:val="16"/>
          <w:lang w:val="en-US"/>
        </w:rPr>
        <w:t>the Third Special Inter</w:t>
      </w:r>
      <w:r w:rsidRPr="00D2561A">
        <w:rPr>
          <w:rFonts w:ascii="Verdana" w:hAnsi="Verdana"/>
          <w:spacing w:val="-3"/>
          <w:sz w:val="16"/>
          <w:szCs w:val="16"/>
          <w:lang w:val="en-US"/>
        </w:rPr>
        <w:noBreakHyphen/>
        <w:t>American Conference (Buenos Aires, 1967) approved the incorporation into the Charter of the Organization itself of broader standards with respect to economic, social, and educational rights and resolved that an inter</w:t>
      </w:r>
      <w:r w:rsidRPr="00D2561A">
        <w:rPr>
          <w:rFonts w:ascii="Verdana" w:hAnsi="Verdana"/>
          <w:spacing w:val="-3"/>
          <w:sz w:val="16"/>
          <w:szCs w:val="16"/>
          <w:lang w:val="en-US"/>
        </w:rPr>
        <w:noBreakHyphen/>
        <w:t>American convention on human rights should determine the structure, competence, and procedure of the organs responsible for these matters.”</w:t>
      </w:r>
    </w:p>
  </w:footnote>
  <w:footnote w:id="24">
    <w:p w14:paraId="4C3156A0" w14:textId="6CD6448B" w:rsidR="00EC1F8A" w:rsidRPr="00D2561A" w:rsidRDefault="00EC1F8A" w:rsidP="006D0C79">
      <w:pPr>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Chapter IV of Part I is entitled “Suspension of Guarantees, Interpretation and Application” and Chapter V is entitled “Personal Responsibilities.”</w:t>
      </w:r>
    </w:p>
  </w:footnote>
  <w:footnote w:id="25">
    <w:p w14:paraId="74B7D81B" w14:textId="3E0D45A7" w:rsidR="00EC1F8A" w:rsidRPr="00D2561A" w:rsidRDefault="00EC1F8A" w:rsidP="00306F66">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D2561A">
        <w:rPr>
          <w:rFonts w:ascii="Verdana" w:hAnsi="Verdana"/>
          <w:sz w:val="16"/>
          <w:szCs w:val="16"/>
          <w:lang w:val="es-CR"/>
        </w:rPr>
        <w:t xml:space="preserve"> </w:t>
      </w:r>
      <w:r w:rsidRPr="00D2561A">
        <w:rPr>
          <w:rFonts w:ascii="Verdana" w:hAnsi="Verdana"/>
          <w:sz w:val="16"/>
          <w:szCs w:val="16"/>
          <w:lang w:val="es-CR"/>
        </w:rPr>
        <w:tab/>
        <w:t>“</w:t>
      </w:r>
      <w:r w:rsidRPr="00D2561A">
        <w:rPr>
          <w:rFonts w:ascii="Verdana" w:hAnsi="Verdana"/>
          <w:i/>
          <w:sz w:val="16"/>
          <w:szCs w:val="16"/>
          <w:lang w:val="es-CR"/>
        </w:rPr>
        <w:t>Derivar: Dicho de una cosa: Traer su origen de otra.”</w:t>
      </w:r>
      <w:r w:rsidRPr="00D2561A">
        <w:rPr>
          <w:rFonts w:ascii="Verdana" w:hAnsi="Verdana"/>
          <w:sz w:val="16"/>
          <w:szCs w:val="16"/>
          <w:lang w:val="es-CR"/>
        </w:rPr>
        <w:t xml:space="preserve"> </w:t>
      </w:r>
      <w:r w:rsidRPr="00D2561A">
        <w:rPr>
          <w:rFonts w:ascii="Verdana" w:hAnsi="Verdana"/>
          <w:i/>
          <w:iCs/>
          <w:sz w:val="16"/>
          <w:szCs w:val="16"/>
          <w:lang w:val="es-CR"/>
        </w:rPr>
        <w:t>Cf.</w:t>
      </w:r>
      <w:r w:rsidRPr="00D2561A">
        <w:rPr>
          <w:rFonts w:ascii="Verdana" w:hAnsi="Verdana"/>
          <w:sz w:val="16"/>
          <w:szCs w:val="16"/>
          <w:lang w:val="es-CR"/>
        </w:rPr>
        <w:t xml:space="preserve"> Diccionario de la Lengua Española, Real Academia Española, 2018 [Derive: </w:t>
      </w:r>
      <w:proofErr w:type="spellStart"/>
      <w:r w:rsidRPr="00D2561A">
        <w:rPr>
          <w:rFonts w:ascii="Verdana" w:hAnsi="Verdana"/>
          <w:sz w:val="16"/>
          <w:szCs w:val="16"/>
          <w:lang w:val="es-CR"/>
        </w:rPr>
        <w:t>obtain</w:t>
      </w:r>
      <w:proofErr w:type="spellEnd"/>
      <w:r w:rsidRPr="00D2561A">
        <w:rPr>
          <w:rFonts w:ascii="Verdana" w:hAnsi="Verdana"/>
          <w:sz w:val="16"/>
          <w:szCs w:val="16"/>
          <w:lang w:val="es-CR"/>
        </w:rPr>
        <w:t xml:space="preserve"> </w:t>
      </w:r>
      <w:proofErr w:type="spellStart"/>
      <w:r w:rsidRPr="00D2561A">
        <w:rPr>
          <w:rFonts w:ascii="Verdana" w:hAnsi="Verdana"/>
          <w:sz w:val="16"/>
          <w:szCs w:val="16"/>
          <w:lang w:val="es-CR"/>
        </w:rPr>
        <w:t>something</w:t>
      </w:r>
      <w:proofErr w:type="spellEnd"/>
      <w:r w:rsidRPr="00D2561A">
        <w:rPr>
          <w:rFonts w:ascii="Verdana" w:hAnsi="Verdana"/>
          <w:sz w:val="16"/>
          <w:szCs w:val="16"/>
          <w:lang w:val="es-CR"/>
        </w:rPr>
        <w:t xml:space="preserve"> </w:t>
      </w:r>
      <w:proofErr w:type="spellStart"/>
      <w:r w:rsidRPr="00D2561A">
        <w:rPr>
          <w:rFonts w:ascii="Verdana" w:hAnsi="Verdana"/>
          <w:sz w:val="16"/>
          <w:szCs w:val="16"/>
          <w:lang w:val="es-CR"/>
        </w:rPr>
        <w:t>from</w:t>
      </w:r>
      <w:proofErr w:type="spellEnd"/>
      <w:r w:rsidRPr="00D2561A">
        <w:rPr>
          <w:rFonts w:ascii="Verdana" w:hAnsi="Verdana"/>
          <w:sz w:val="16"/>
          <w:szCs w:val="16"/>
          <w:lang w:val="es-CR"/>
        </w:rPr>
        <w:t>, OED].</w:t>
      </w:r>
    </w:p>
  </w:footnote>
  <w:footnote w:id="26">
    <w:p w14:paraId="150057D0" w14:textId="160FCC1A" w:rsidR="00EC1F8A" w:rsidRPr="00D2561A" w:rsidRDefault="00EC1F8A" w:rsidP="00306F66">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D2561A">
        <w:rPr>
          <w:rFonts w:ascii="Verdana" w:hAnsi="Verdana"/>
          <w:sz w:val="16"/>
          <w:szCs w:val="16"/>
          <w:lang w:val="es-CR"/>
        </w:rPr>
        <w:t xml:space="preserve"> </w:t>
      </w:r>
      <w:r w:rsidRPr="00D2561A">
        <w:rPr>
          <w:rFonts w:ascii="Verdana" w:hAnsi="Verdana"/>
          <w:sz w:val="16"/>
          <w:szCs w:val="16"/>
          <w:lang w:val="es-CR"/>
        </w:rPr>
        <w:tab/>
        <w:t>“</w:t>
      </w:r>
      <w:r w:rsidRPr="00D2561A">
        <w:rPr>
          <w:rFonts w:ascii="Verdana" w:hAnsi="Verdana"/>
          <w:i/>
          <w:sz w:val="16"/>
          <w:szCs w:val="16"/>
          <w:lang w:val="es-CR"/>
        </w:rPr>
        <w:t>Inferir: Deducir</w:t>
      </w:r>
      <w:r w:rsidRPr="00D2561A">
        <w:rPr>
          <w:rFonts w:ascii="Verdana" w:eastAsia="Arial Unicode MS" w:hAnsi="Verdana" w:cs="Arial Unicode MS"/>
          <w:i/>
          <w:spacing w:val="4"/>
          <w:sz w:val="16"/>
          <w:szCs w:val="16"/>
          <w:shd w:val="clear" w:color="auto" w:fill="FFFFFF"/>
          <w:lang w:val="es-CR"/>
        </w:rPr>
        <w:t xml:space="preserve"> </w:t>
      </w:r>
      <w:r w:rsidRPr="00D2561A">
        <w:rPr>
          <w:rFonts w:ascii="Verdana" w:hAnsi="Verdana"/>
          <w:i/>
          <w:sz w:val="16"/>
          <w:szCs w:val="16"/>
          <w:lang w:val="es-CR"/>
        </w:rPr>
        <w:t>algo</w:t>
      </w:r>
      <w:r w:rsidRPr="00D2561A">
        <w:rPr>
          <w:rFonts w:ascii="Verdana" w:eastAsia="Arial Unicode MS" w:hAnsi="Verdana" w:cs="Arial Unicode MS"/>
          <w:i/>
          <w:spacing w:val="4"/>
          <w:sz w:val="16"/>
          <w:szCs w:val="16"/>
          <w:shd w:val="clear" w:color="auto" w:fill="FFFFFF"/>
          <w:lang w:val="es-CR"/>
        </w:rPr>
        <w:t xml:space="preserve"> </w:t>
      </w:r>
      <w:r w:rsidRPr="00D2561A">
        <w:rPr>
          <w:rFonts w:ascii="Verdana" w:hAnsi="Verdana"/>
          <w:i/>
          <w:sz w:val="16"/>
          <w:szCs w:val="16"/>
          <w:lang w:val="es-CR"/>
        </w:rPr>
        <w:t>o</w:t>
      </w:r>
      <w:r w:rsidRPr="00D2561A">
        <w:rPr>
          <w:rFonts w:ascii="Verdana" w:eastAsia="Arial Unicode MS" w:hAnsi="Verdana" w:cs="Arial Unicode MS"/>
          <w:i/>
          <w:spacing w:val="4"/>
          <w:sz w:val="16"/>
          <w:szCs w:val="16"/>
          <w:shd w:val="clear" w:color="auto" w:fill="FFFFFF"/>
          <w:lang w:val="es-CR"/>
        </w:rPr>
        <w:t xml:space="preserve"> </w:t>
      </w:r>
      <w:r w:rsidRPr="00D2561A">
        <w:rPr>
          <w:rFonts w:ascii="Verdana" w:hAnsi="Verdana"/>
          <w:i/>
          <w:sz w:val="16"/>
          <w:szCs w:val="16"/>
          <w:lang w:val="es-CR"/>
        </w:rPr>
        <w:t>sacarlo</w:t>
      </w:r>
      <w:r w:rsidRPr="00D2561A">
        <w:rPr>
          <w:rFonts w:ascii="Verdana" w:eastAsia="Arial Unicode MS" w:hAnsi="Verdana" w:cs="Arial Unicode MS"/>
          <w:i/>
          <w:spacing w:val="4"/>
          <w:sz w:val="16"/>
          <w:szCs w:val="16"/>
          <w:shd w:val="clear" w:color="auto" w:fill="FFFFFF"/>
          <w:lang w:val="es-CR"/>
        </w:rPr>
        <w:t xml:space="preserve"> </w:t>
      </w:r>
      <w:r w:rsidRPr="00D2561A">
        <w:rPr>
          <w:rFonts w:ascii="Verdana" w:hAnsi="Verdana"/>
          <w:i/>
          <w:sz w:val="16"/>
          <w:szCs w:val="16"/>
          <w:lang w:val="es-CR"/>
        </w:rPr>
        <w:t>como</w:t>
      </w:r>
      <w:r w:rsidRPr="00D2561A">
        <w:rPr>
          <w:rFonts w:ascii="Verdana" w:eastAsia="Arial Unicode MS" w:hAnsi="Verdana" w:cs="Arial Unicode MS"/>
          <w:i/>
          <w:spacing w:val="4"/>
          <w:sz w:val="16"/>
          <w:szCs w:val="16"/>
          <w:shd w:val="clear" w:color="auto" w:fill="FFFFFF"/>
          <w:lang w:val="es-CR"/>
        </w:rPr>
        <w:t xml:space="preserve"> </w:t>
      </w:r>
      <w:r w:rsidRPr="00D2561A">
        <w:rPr>
          <w:rFonts w:ascii="Verdana" w:hAnsi="Verdana"/>
          <w:i/>
          <w:sz w:val="16"/>
          <w:szCs w:val="16"/>
          <w:lang w:val="es-CR"/>
        </w:rPr>
        <w:t>conclusión</w:t>
      </w:r>
      <w:r w:rsidRPr="00D2561A">
        <w:rPr>
          <w:rFonts w:ascii="Verdana" w:eastAsia="Arial Unicode MS" w:hAnsi="Verdana" w:cs="Arial Unicode MS"/>
          <w:i/>
          <w:spacing w:val="4"/>
          <w:sz w:val="16"/>
          <w:szCs w:val="16"/>
          <w:shd w:val="clear" w:color="auto" w:fill="FFFFFF"/>
          <w:lang w:val="es-CR"/>
        </w:rPr>
        <w:t xml:space="preserve"> </w:t>
      </w:r>
      <w:r w:rsidRPr="00D2561A">
        <w:rPr>
          <w:rFonts w:ascii="Verdana" w:hAnsi="Verdana"/>
          <w:i/>
          <w:sz w:val="16"/>
          <w:szCs w:val="16"/>
          <w:lang w:val="es-CR"/>
        </w:rPr>
        <w:t>de</w:t>
      </w:r>
      <w:r w:rsidRPr="00D2561A">
        <w:rPr>
          <w:rFonts w:ascii="Verdana" w:eastAsia="Arial Unicode MS" w:hAnsi="Verdana" w:cs="Arial Unicode MS"/>
          <w:i/>
          <w:spacing w:val="4"/>
          <w:sz w:val="16"/>
          <w:szCs w:val="16"/>
          <w:shd w:val="clear" w:color="auto" w:fill="FFFFFF"/>
          <w:lang w:val="es-CR"/>
        </w:rPr>
        <w:t xml:space="preserve"> </w:t>
      </w:r>
      <w:r w:rsidRPr="00D2561A">
        <w:rPr>
          <w:rFonts w:ascii="Verdana" w:hAnsi="Verdana"/>
          <w:i/>
          <w:sz w:val="16"/>
          <w:szCs w:val="16"/>
          <w:lang w:val="es-CR"/>
        </w:rPr>
        <w:t>otra</w:t>
      </w:r>
      <w:r w:rsidRPr="00D2561A">
        <w:rPr>
          <w:rFonts w:ascii="Verdana" w:eastAsia="Arial Unicode MS" w:hAnsi="Verdana" w:cs="Arial Unicode MS"/>
          <w:i/>
          <w:spacing w:val="4"/>
          <w:sz w:val="16"/>
          <w:szCs w:val="16"/>
          <w:shd w:val="clear" w:color="auto" w:fill="FFFFFF"/>
          <w:lang w:val="es-CR"/>
        </w:rPr>
        <w:t xml:space="preserve"> </w:t>
      </w:r>
      <w:r w:rsidRPr="00D2561A">
        <w:rPr>
          <w:rFonts w:ascii="Verdana" w:hAnsi="Verdana"/>
          <w:i/>
          <w:sz w:val="16"/>
          <w:szCs w:val="16"/>
          <w:lang w:val="es-CR"/>
        </w:rPr>
        <w:t>cosa,</w:t>
      </w:r>
      <w:r w:rsidRPr="00D2561A">
        <w:rPr>
          <w:rFonts w:ascii="Verdana" w:hAnsi="Verdana"/>
          <w:sz w:val="16"/>
          <w:szCs w:val="16"/>
          <w:lang w:val="es-CR"/>
        </w:rPr>
        <w:t xml:space="preserve">” </w:t>
      </w:r>
      <w:proofErr w:type="spellStart"/>
      <w:r w:rsidRPr="00D2561A">
        <w:rPr>
          <w:rFonts w:ascii="Verdana" w:hAnsi="Verdana"/>
          <w:i/>
          <w:sz w:val="16"/>
          <w:szCs w:val="16"/>
          <w:lang w:val="es-CR"/>
        </w:rPr>
        <w:t>idem</w:t>
      </w:r>
      <w:proofErr w:type="spellEnd"/>
      <w:r w:rsidRPr="00D2561A">
        <w:rPr>
          <w:rFonts w:ascii="Verdana" w:hAnsi="Verdana"/>
          <w:sz w:val="16"/>
          <w:szCs w:val="16"/>
          <w:lang w:val="es-CR"/>
        </w:rPr>
        <w:t xml:space="preserve"> [</w:t>
      </w:r>
      <w:proofErr w:type="spellStart"/>
      <w:r w:rsidRPr="00D2561A">
        <w:rPr>
          <w:rFonts w:ascii="Verdana" w:hAnsi="Verdana"/>
          <w:sz w:val="16"/>
          <w:szCs w:val="16"/>
          <w:lang w:val="es-CR"/>
        </w:rPr>
        <w:t>Infer</w:t>
      </w:r>
      <w:proofErr w:type="spellEnd"/>
      <w:r w:rsidRPr="00D2561A">
        <w:rPr>
          <w:rFonts w:ascii="Verdana" w:hAnsi="Verdana"/>
          <w:sz w:val="16"/>
          <w:szCs w:val="16"/>
          <w:lang w:val="es-CR"/>
        </w:rPr>
        <w:t xml:space="preserve">: deduce </w:t>
      </w:r>
      <w:proofErr w:type="spellStart"/>
      <w:r w:rsidRPr="00D2561A">
        <w:rPr>
          <w:rFonts w:ascii="Verdana" w:hAnsi="Verdana"/>
          <w:sz w:val="16"/>
          <w:szCs w:val="16"/>
          <w:lang w:val="es-CR"/>
        </w:rPr>
        <w:t>from</w:t>
      </w:r>
      <w:proofErr w:type="spellEnd"/>
      <w:r w:rsidRPr="00D2561A">
        <w:rPr>
          <w:rFonts w:ascii="Verdana" w:hAnsi="Verdana"/>
          <w:sz w:val="16"/>
          <w:szCs w:val="16"/>
          <w:lang w:val="es-CR"/>
        </w:rPr>
        <w:t xml:space="preserve"> </w:t>
      </w:r>
      <w:proofErr w:type="spellStart"/>
      <w:r w:rsidRPr="00D2561A">
        <w:rPr>
          <w:rFonts w:ascii="Verdana" w:hAnsi="Verdana"/>
          <w:sz w:val="16"/>
          <w:szCs w:val="16"/>
          <w:lang w:val="es-CR"/>
        </w:rPr>
        <w:t>evidence</w:t>
      </w:r>
      <w:proofErr w:type="spellEnd"/>
      <w:r w:rsidRPr="00D2561A">
        <w:rPr>
          <w:rFonts w:ascii="Verdana" w:hAnsi="Verdana"/>
          <w:sz w:val="16"/>
          <w:szCs w:val="16"/>
          <w:lang w:val="es-CR"/>
        </w:rPr>
        <w:t>, OED].</w:t>
      </w:r>
    </w:p>
  </w:footnote>
  <w:footnote w:id="27">
    <w:p w14:paraId="0F7DC8DA" w14:textId="77777777" w:rsidR="00EC1F8A" w:rsidRPr="00D2561A" w:rsidRDefault="00EC1F8A" w:rsidP="00A76974">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Para. 155 of the judgment. </w:t>
      </w:r>
    </w:p>
  </w:footnote>
  <w:footnote w:id="28">
    <w:p w14:paraId="4A38E595" w14:textId="77777777" w:rsidR="00EC1F8A" w:rsidRPr="00D2561A" w:rsidRDefault="00EC1F8A" w:rsidP="00A76974">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Idem</w:t>
      </w:r>
      <w:r w:rsidRPr="00D2561A">
        <w:rPr>
          <w:rFonts w:ascii="Verdana" w:hAnsi="Verdana"/>
          <w:sz w:val="16"/>
          <w:szCs w:val="16"/>
          <w:lang w:val="en-US"/>
        </w:rPr>
        <w:t>.</w:t>
      </w:r>
    </w:p>
  </w:footnote>
  <w:footnote w:id="29">
    <w:p w14:paraId="78C2DCD4" w14:textId="07A5FD5F" w:rsidR="00EC1F8A" w:rsidRPr="00D2561A" w:rsidRDefault="00EC1F8A" w:rsidP="00E1456E">
      <w:pPr>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eastAsia="Batang" w:hAnsi="Verdana"/>
          <w:sz w:val="16"/>
          <w:szCs w:val="16"/>
          <w:lang w:val="en-US"/>
        </w:rPr>
        <w:t xml:space="preserve">Art. 1(1): “Obligation to Respect Rights, </w:t>
      </w:r>
      <w:r w:rsidRPr="00D2561A">
        <w:rPr>
          <w:rFonts w:ascii="Verdana" w:hAnsi="Verdana"/>
          <w:spacing w:val="-3"/>
          <w:sz w:val="16"/>
          <w:szCs w:val="16"/>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14:paraId="32F52EA3" w14:textId="03CD950A" w:rsidR="00EC1F8A" w:rsidRPr="00D2561A" w:rsidRDefault="00EC1F8A" w:rsidP="00E1456E">
      <w:pPr>
        <w:tabs>
          <w:tab w:val="left" w:pos="360"/>
          <w:tab w:val="left" w:pos="480"/>
          <w:tab w:val="left" w:pos="108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z w:val="16"/>
          <w:szCs w:val="16"/>
          <w:lang w:val="en-US"/>
        </w:rPr>
        <w:t xml:space="preserve">Art. 22.(4): “Freedom of Movement and Residence. </w:t>
      </w:r>
      <w:r w:rsidRPr="00D2561A">
        <w:rPr>
          <w:rFonts w:ascii="Verdana" w:hAnsi="Verdana"/>
          <w:spacing w:val="-3"/>
          <w:sz w:val="16"/>
          <w:szCs w:val="16"/>
          <w:lang w:val="en-US"/>
        </w:rPr>
        <w:t>The exercise of the rights recognized in paragraph 1 may also be restricted by law in designated zones for reasons of public interest.</w:t>
      </w:r>
    </w:p>
    <w:p w14:paraId="7074A980" w14:textId="4DB2F2AE" w:rsidR="00EC1F8A" w:rsidRPr="00D2561A" w:rsidRDefault="00EC1F8A" w:rsidP="00E1456E">
      <w:pPr>
        <w:tabs>
          <w:tab w:val="left" w:pos="360"/>
        </w:tabs>
        <w:snapToGrid w:val="0"/>
        <w:spacing w:line="240" w:lineRule="auto"/>
        <w:ind w:left="-270" w:right="-162"/>
        <w:rPr>
          <w:rFonts w:ascii="Verdana" w:hAnsi="Verdana"/>
          <w:i/>
          <w:iCs/>
          <w:sz w:val="16"/>
          <w:szCs w:val="16"/>
          <w:lang w:val="en-US"/>
        </w:rPr>
      </w:pPr>
      <w:r w:rsidRPr="00D2561A">
        <w:rPr>
          <w:rFonts w:ascii="Verdana" w:hAnsi="Verdana"/>
          <w:sz w:val="16"/>
          <w:szCs w:val="16"/>
          <w:lang w:val="en-US"/>
        </w:rPr>
        <w:t>Art. 25(1)</w:t>
      </w:r>
      <w:r w:rsidRPr="00D2561A">
        <w:rPr>
          <w:rFonts w:ascii="Verdana" w:hAnsi="Verdana"/>
          <w:i/>
          <w:iCs/>
          <w:sz w:val="16"/>
          <w:szCs w:val="16"/>
          <w:lang w:val="en-US"/>
        </w:rPr>
        <w:t xml:space="preserve">: </w:t>
      </w:r>
      <w:r w:rsidRPr="00D2561A">
        <w:rPr>
          <w:rFonts w:ascii="Verdana" w:hAnsi="Verdana"/>
          <w:sz w:val="16"/>
          <w:szCs w:val="16"/>
          <w:lang w:val="en-US"/>
        </w:rPr>
        <w:t xml:space="preserve">“Right to Judicial Protection. </w:t>
      </w:r>
      <w:r w:rsidRPr="00D2561A">
        <w:rPr>
          <w:rFonts w:ascii="Verdana" w:hAnsi="Verdana"/>
          <w:spacing w:val="-3"/>
          <w:sz w:val="16"/>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14:paraId="18F20A65" w14:textId="380F86A6" w:rsidR="00EC1F8A" w:rsidRPr="00D2561A" w:rsidRDefault="00EC1F8A" w:rsidP="00E1456E">
      <w:pPr>
        <w:tabs>
          <w:tab w:val="left" w:pos="0"/>
          <w:tab w:val="left" w:pos="360"/>
          <w:tab w:val="left" w:pos="48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z w:val="16"/>
          <w:szCs w:val="16"/>
          <w:lang w:val="en-US"/>
        </w:rPr>
        <w:t>Art. 29(a</w:t>
      </w:r>
      <w:r w:rsidRPr="00D2561A">
        <w:rPr>
          <w:rFonts w:ascii="Verdana" w:hAnsi="Verdana"/>
          <w:i/>
          <w:iCs/>
          <w:sz w:val="16"/>
          <w:szCs w:val="16"/>
          <w:lang w:val="en-US"/>
        </w:rPr>
        <w:t>):</w:t>
      </w:r>
      <w:r w:rsidRPr="00D2561A">
        <w:rPr>
          <w:rFonts w:ascii="Verdana" w:hAnsi="Verdana"/>
          <w:sz w:val="16"/>
          <w:szCs w:val="16"/>
          <w:lang w:val="en-US"/>
        </w:rPr>
        <w:t xml:space="preserve"> “Restrictions Regarding Interpretation. </w:t>
      </w:r>
      <w:r w:rsidRPr="00D2561A">
        <w:rPr>
          <w:rFonts w:ascii="Verdana" w:hAnsi="Verdana"/>
          <w:spacing w:val="-3"/>
          <w:sz w:val="16"/>
          <w:szCs w:val="16"/>
          <w:lang w:val="en-US"/>
        </w:rPr>
        <w:t>No provision of this Convention shall be interpreted as: (a) permitting any State Party, group, or person to suppress the enjoyment or exercise of the rights and freedoms recognized in this Convention or to restrict them to a greater extent than is provided for herein.”</w:t>
      </w:r>
    </w:p>
    <w:p w14:paraId="645806DC" w14:textId="6DB4E924" w:rsidR="00EC1F8A" w:rsidRPr="00D2561A" w:rsidRDefault="00EC1F8A" w:rsidP="00E1456E">
      <w:pPr>
        <w:tabs>
          <w:tab w:val="left" w:pos="360"/>
          <w:tab w:val="left" w:pos="480"/>
          <w:tab w:val="left" w:pos="108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z w:val="16"/>
          <w:szCs w:val="16"/>
          <w:lang w:val="en-US"/>
        </w:rPr>
        <w:t xml:space="preserve">Art. 30: “Scope of Restrictions. </w:t>
      </w:r>
      <w:r w:rsidRPr="00D2561A">
        <w:rPr>
          <w:rFonts w:ascii="Verdana" w:hAnsi="Verdana"/>
          <w:spacing w:val="-3"/>
          <w:sz w:val="16"/>
          <w:szCs w:val="16"/>
          <w:lang w:val="en-US"/>
        </w:rPr>
        <w:t>The restrictions that, pursuant to this Convention, may be placed on the enjoyment or exercise of the rights or freedoms recognized herein may not be applied except in accordance with laws enacted for reasons of general interest and in accordance with the purpose for which such restrictions have been established.”</w:t>
      </w:r>
    </w:p>
    <w:p w14:paraId="0605AC7D" w14:textId="541B1016" w:rsidR="00EC1F8A" w:rsidRPr="00D2561A" w:rsidRDefault="00EC1F8A" w:rsidP="00E1456E">
      <w:pPr>
        <w:tabs>
          <w:tab w:val="left" w:pos="360"/>
        </w:tabs>
        <w:snapToGrid w:val="0"/>
        <w:spacing w:line="240" w:lineRule="auto"/>
        <w:ind w:left="-270" w:right="-162"/>
        <w:rPr>
          <w:rFonts w:ascii="Verdana" w:hAnsi="Verdana"/>
          <w:i/>
          <w:iCs/>
          <w:sz w:val="16"/>
          <w:szCs w:val="16"/>
          <w:lang w:val="en-US"/>
        </w:rPr>
      </w:pPr>
      <w:r w:rsidRPr="00D2561A">
        <w:rPr>
          <w:rFonts w:ascii="Verdana" w:hAnsi="Verdana"/>
          <w:sz w:val="16"/>
          <w:szCs w:val="16"/>
          <w:lang w:val="en-US"/>
        </w:rPr>
        <w:t xml:space="preserve">Art. 31: “Recognition of Other Rights. </w:t>
      </w:r>
      <w:r w:rsidRPr="00D2561A">
        <w:rPr>
          <w:rFonts w:ascii="Verdana" w:hAnsi="Verdana"/>
          <w:spacing w:val="-3"/>
          <w:sz w:val="16"/>
          <w:szCs w:val="16"/>
          <w:lang w:val="en-US"/>
        </w:rPr>
        <w:t>Other rights and freedoms recognized in accordance with the procedures established in Articles 76 and 77 may be included in the system of protection of this Convention.”</w:t>
      </w:r>
    </w:p>
    <w:p w14:paraId="5BD4355D" w14:textId="31F0CAA2" w:rsidR="00EC1F8A" w:rsidRPr="00D2561A" w:rsidRDefault="00EC1F8A" w:rsidP="00E1456E">
      <w:pPr>
        <w:tabs>
          <w:tab w:val="left" w:pos="360"/>
        </w:tabs>
        <w:snapToGrid w:val="0"/>
        <w:spacing w:line="240" w:lineRule="auto"/>
        <w:ind w:left="-270" w:right="-162"/>
        <w:rPr>
          <w:rFonts w:ascii="Verdana" w:hAnsi="Verdana"/>
          <w:spacing w:val="-3"/>
          <w:sz w:val="16"/>
          <w:szCs w:val="16"/>
          <w:lang w:val="en-US"/>
        </w:rPr>
      </w:pPr>
      <w:r w:rsidRPr="00D2561A">
        <w:rPr>
          <w:rFonts w:ascii="Verdana" w:hAnsi="Verdana"/>
          <w:sz w:val="16"/>
          <w:szCs w:val="16"/>
          <w:lang w:val="en-US"/>
        </w:rPr>
        <w:t>Art. 48(1)(f): “1.</w:t>
      </w:r>
      <w:r w:rsidRPr="00D2561A">
        <w:rPr>
          <w:rFonts w:ascii="Verdana" w:hAnsi="Verdana"/>
          <w:spacing w:val="-3"/>
          <w:sz w:val="16"/>
          <w:szCs w:val="16"/>
          <w:lang w:val="en-US"/>
        </w:rPr>
        <w:t xml:space="preserve"> When the Commission receives a petition or communication alleging violation of any of the rights protected by this Convention, it shall proceed as follows: </w:t>
      </w:r>
      <w:r w:rsidRPr="00D2561A">
        <w:rPr>
          <w:rFonts w:ascii="Verdana" w:hAnsi="Verdana"/>
          <w:iCs/>
          <w:sz w:val="16"/>
          <w:szCs w:val="16"/>
          <w:lang w:val="en-US"/>
        </w:rPr>
        <w:t xml:space="preserve">[…] it </w:t>
      </w:r>
      <w:r w:rsidRPr="00D2561A">
        <w:rPr>
          <w:rFonts w:ascii="Verdana" w:hAnsi="Verdana"/>
          <w:spacing w:val="-3"/>
          <w:sz w:val="16"/>
          <w:szCs w:val="16"/>
          <w:lang w:val="en-US"/>
        </w:rPr>
        <w:t>shall place itself at the disposal of the parties concerned with a view to reaching a friendly settlement of the matter on the basis of respect for the human rights recognized in this Convention.”</w:t>
      </w:r>
    </w:p>
  </w:footnote>
  <w:footnote w:id="30">
    <w:p w14:paraId="3EFB5C35" w14:textId="6731E8E3" w:rsidR="00EC1F8A" w:rsidRPr="00D2561A" w:rsidRDefault="00EC1F8A" w:rsidP="00E1456E">
      <w:pPr>
        <w:tabs>
          <w:tab w:val="left" w:pos="360"/>
          <w:tab w:val="left" w:pos="480"/>
          <w:tab w:val="left" w:pos="1080"/>
          <w:tab w:val="left" w:pos="1680"/>
          <w:tab w:val="left" w:pos="5400"/>
        </w:tabs>
        <w:suppressAutoHyphens/>
        <w:spacing w:line="240" w:lineRule="auto"/>
        <w:ind w:left="-270" w:right="-162"/>
        <w:rPr>
          <w:rFonts w:ascii="Verdana" w:hAnsi="Verdana"/>
          <w:spacing w:val="-3"/>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 45(1): “</w:t>
      </w:r>
      <w:r w:rsidRPr="00D2561A">
        <w:rPr>
          <w:rFonts w:ascii="Verdana" w:hAnsi="Verdana"/>
          <w:spacing w:val="-3"/>
          <w:sz w:val="16"/>
          <w:szCs w:val="16"/>
          <w:lang w:val="en-US"/>
        </w:rPr>
        <w:t>Any State Party may, when it deposits its instrument of ratification of or adherence to this Convention, or at any later time, declare that it recognizes the competence of the Commission to receive and examine communications in which a State Party alleges that another State Party has committed a violation of a human right set forth in this Convention.”</w:t>
      </w:r>
    </w:p>
  </w:footnote>
  <w:footnote w:id="31">
    <w:p w14:paraId="343ACC0B" w14:textId="539CFD6F" w:rsidR="00EC1F8A" w:rsidRPr="00D2561A" w:rsidRDefault="00EC1F8A" w:rsidP="00E1456E">
      <w:pPr>
        <w:tabs>
          <w:tab w:val="left" w:pos="360"/>
          <w:tab w:val="left" w:pos="480"/>
          <w:tab w:val="left" w:pos="1080"/>
          <w:tab w:val="left" w:pos="1680"/>
          <w:tab w:val="left" w:pos="5400"/>
        </w:tabs>
        <w:suppressAutoHyphens/>
        <w:spacing w:line="240" w:lineRule="auto"/>
        <w:ind w:left="-270" w:right="-162"/>
        <w:rPr>
          <w:rFonts w:ascii="Verdana" w:hAnsi="Verdana"/>
          <w:spacing w:val="-3"/>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 47(b): “</w:t>
      </w:r>
      <w:r w:rsidRPr="00D2561A">
        <w:rPr>
          <w:rFonts w:ascii="Verdana" w:hAnsi="Verdana"/>
          <w:spacing w:val="-3"/>
          <w:sz w:val="16"/>
          <w:szCs w:val="16"/>
          <w:lang w:val="en-US"/>
        </w:rPr>
        <w:t xml:space="preserve">The Commission shall consider inadmissible any petition or communication submitted under Articles 44 or 45 if: </w:t>
      </w:r>
      <w:r w:rsidRPr="00D2561A">
        <w:rPr>
          <w:rFonts w:ascii="Verdana" w:hAnsi="Verdana"/>
          <w:iCs/>
          <w:sz w:val="16"/>
          <w:szCs w:val="16"/>
          <w:lang w:val="en-US"/>
        </w:rPr>
        <w:t>[… it]</w:t>
      </w:r>
      <w:r w:rsidRPr="00D2561A">
        <w:rPr>
          <w:rFonts w:ascii="Verdana" w:hAnsi="Verdana"/>
          <w:spacing w:val="-3"/>
          <w:sz w:val="16"/>
          <w:szCs w:val="16"/>
          <w:lang w:val="en-US"/>
        </w:rPr>
        <w:t xml:space="preserve"> does not state facts that tend to establish a violation of the rights guaranteed by this Convention.”</w:t>
      </w:r>
    </w:p>
  </w:footnote>
  <w:footnote w:id="32">
    <w:p w14:paraId="34AF76D0" w14:textId="5837276D" w:rsidR="00EC1F8A" w:rsidRPr="00D2561A" w:rsidRDefault="00EC1F8A" w:rsidP="00E1456E">
      <w:pPr>
        <w:pStyle w:val="Textonotapie"/>
        <w:tabs>
          <w:tab w:val="left" w:pos="360"/>
        </w:tabs>
        <w:snapToGrid w:val="0"/>
        <w:ind w:left="-270" w:right="-162"/>
        <w:rPr>
          <w:rFonts w:ascii="Verdana" w:hAnsi="Verdana"/>
          <w:i/>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Supra</w:t>
      </w:r>
      <w:r w:rsidRPr="00D2561A">
        <w:rPr>
          <w:rFonts w:ascii="Verdana" w:hAnsi="Verdana"/>
          <w:sz w:val="16"/>
          <w:szCs w:val="16"/>
          <w:lang w:val="en-US"/>
        </w:rPr>
        <w:t xml:space="preserve">, Art. 48.1.f), </w:t>
      </w:r>
      <w:r w:rsidRPr="00D2561A">
        <w:rPr>
          <w:rFonts w:ascii="Verdana" w:hAnsi="Verdana"/>
          <w:i/>
          <w:iCs/>
          <w:sz w:val="16"/>
          <w:szCs w:val="16"/>
          <w:lang w:val="en-US"/>
        </w:rPr>
        <w:t xml:space="preserve">cit. </w:t>
      </w:r>
      <w:r w:rsidRPr="00D2561A">
        <w:rPr>
          <w:rFonts w:ascii="Verdana" w:hAnsi="Verdana"/>
          <w:sz w:val="16"/>
          <w:szCs w:val="16"/>
          <w:lang w:val="en-US"/>
        </w:rPr>
        <w:t>footnote 29.</w:t>
      </w:r>
    </w:p>
  </w:footnote>
  <w:footnote w:id="33">
    <w:p w14:paraId="6A8E1FEB" w14:textId="1763752A" w:rsidR="00EC1F8A" w:rsidRPr="00D2561A" w:rsidRDefault="00EC1F8A" w:rsidP="00E1456E">
      <w:pPr>
        <w:tabs>
          <w:tab w:val="left" w:pos="360"/>
          <w:tab w:val="left" w:pos="480"/>
          <w:tab w:val="left" w:pos="1080"/>
          <w:tab w:val="left" w:pos="1680"/>
          <w:tab w:val="left" w:pos="5400"/>
        </w:tabs>
        <w:suppressAutoHyphens/>
        <w:spacing w:line="240" w:lineRule="auto"/>
        <w:ind w:left="-270" w:right="-162"/>
        <w:rPr>
          <w:rFonts w:ascii="Verdana" w:hAnsi="Verdana"/>
          <w:spacing w:val="-3"/>
          <w:sz w:val="16"/>
          <w:szCs w:val="16"/>
          <w:lang w:val="en-US"/>
        </w:rPr>
      </w:pPr>
      <w:r w:rsidRPr="00D2561A">
        <w:rPr>
          <w:rStyle w:val="Refdenotaalpie"/>
          <w:rFonts w:ascii="Verdana" w:hAnsi="Verdana"/>
          <w:sz w:val="16"/>
          <w:szCs w:val="16"/>
          <w:lang w:val="en-US"/>
        </w:rPr>
        <w:footnoteRef/>
      </w:r>
      <w:r w:rsidRPr="00D2561A">
        <w:rPr>
          <w:rFonts w:ascii="Verdana" w:eastAsia="Batang" w:hAnsi="Verdana"/>
          <w:sz w:val="16"/>
          <w:szCs w:val="16"/>
          <w:lang w:val="en-US"/>
        </w:rPr>
        <w:t xml:space="preserve"> </w:t>
      </w:r>
      <w:r w:rsidRPr="00D2561A">
        <w:rPr>
          <w:rFonts w:ascii="Verdana" w:eastAsia="Batang" w:hAnsi="Verdana"/>
          <w:sz w:val="16"/>
          <w:szCs w:val="16"/>
          <w:lang w:val="en-US"/>
        </w:rPr>
        <w:tab/>
        <w:t xml:space="preserve">Art. 4(1): “Right to Life.  </w:t>
      </w:r>
      <w:r w:rsidRPr="00D2561A">
        <w:rPr>
          <w:rFonts w:ascii="Verdana" w:hAnsi="Verdana"/>
          <w:spacing w:val="-3"/>
          <w:sz w:val="16"/>
          <w:szCs w:val="16"/>
          <w:lang w:val="en-US"/>
        </w:rPr>
        <w:t>Every person has the right to have his life respected.  This right shall be protected by law and, in general, from the moment of conception.  No one shall be arbitrarily deprived of his life.”</w:t>
      </w:r>
    </w:p>
    <w:p w14:paraId="513C07DD" w14:textId="12820A19" w:rsidR="00EC1F8A" w:rsidRPr="00D2561A" w:rsidRDefault="00EC1F8A" w:rsidP="00E1456E">
      <w:pPr>
        <w:tabs>
          <w:tab w:val="left" w:pos="360"/>
        </w:tabs>
        <w:snapToGrid w:val="0"/>
        <w:spacing w:line="240" w:lineRule="auto"/>
        <w:ind w:left="-270" w:right="-162"/>
        <w:rPr>
          <w:rFonts w:ascii="Verdana" w:hAnsi="Verdana"/>
          <w:sz w:val="16"/>
          <w:szCs w:val="16"/>
          <w:lang w:val="en-US"/>
        </w:rPr>
      </w:pPr>
      <w:r w:rsidRPr="00D2561A">
        <w:rPr>
          <w:rFonts w:ascii="Verdana" w:hAnsi="Verdana"/>
          <w:sz w:val="16"/>
          <w:szCs w:val="16"/>
          <w:lang w:val="en-US"/>
        </w:rPr>
        <w:t>Art. 63(1): “</w:t>
      </w:r>
      <w:r w:rsidRPr="00D2561A">
        <w:rPr>
          <w:rFonts w:ascii="Verdana" w:hAnsi="Verdana"/>
          <w:spacing w:val="-3"/>
          <w:sz w:val="16"/>
          <w:szCs w:val="16"/>
          <w:lang w:val="en-US"/>
        </w:rPr>
        <w:t>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D2561A">
        <w:rPr>
          <w:rFonts w:ascii="Verdana" w:hAnsi="Verdana"/>
          <w:sz w:val="16"/>
          <w:szCs w:val="16"/>
          <w:lang w:val="en-US"/>
        </w:rPr>
        <w:t xml:space="preserve"> </w:t>
      </w:r>
    </w:p>
  </w:footnote>
  <w:footnote w:id="34">
    <w:p w14:paraId="13DF7278" w14:textId="7A1FD1A8" w:rsidR="00EC1F8A" w:rsidRPr="00D2561A" w:rsidRDefault="00EC1F8A" w:rsidP="00E1456E">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155.</w:t>
      </w:r>
    </w:p>
  </w:footnote>
  <w:footnote w:id="35">
    <w:p w14:paraId="14175CE2" w14:textId="30AF7FE2"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Paras. 156 and 157.</w:t>
      </w:r>
    </w:p>
  </w:footnote>
  <w:footnote w:id="36">
    <w:p w14:paraId="50B89377" w14:textId="77777777" w:rsidR="00EC1F8A" w:rsidRPr="00D2561A" w:rsidRDefault="00EC1F8A" w:rsidP="009611C0">
      <w:pPr>
        <w:pStyle w:val="Textonotapie"/>
        <w:tabs>
          <w:tab w:val="left" w:pos="360"/>
        </w:tabs>
        <w:snapToGrid w:val="0"/>
        <w:ind w:left="-270" w:right="-162"/>
        <w:rPr>
          <w:rFonts w:ascii="Verdana" w:hAnsi="Verdana"/>
          <w:i/>
          <w:iCs/>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 xml:space="preserve">Idem, </w:t>
      </w:r>
      <w:r w:rsidRPr="00D2561A">
        <w:rPr>
          <w:rFonts w:ascii="Verdana" w:hAnsi="Verdana"/>
          <w:sz w:val="16"/>
          <w:szCs w:val="16"/>
          <w:lang w:val="en-US"/>
        </w:rPr>
        <w:t>footnote 34.</w:t>
      </w:r>
    </w:p>
  </w:footnote>
  <w:footnote w:id="37">
    <w:p w14:paraId="040DA8CD" w14:textId="083AC9F9"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“Part III. “General and Transitory Provisions.”</w:t>
      </w:r>
    </w:p>
  </w:footnote>
  <w:footnote w:id="38">
    <w:p w14:paraId="780168D3" w14:textId="21EC8FFD" w:rsidR="00EC1F8A" w:rsidRPr="00D2561A" w:rsidRDefault="00EC1F8A" w:rsidP="006D0C79">
      <w:pPr>
        <w:tabs>
          <w:tab w:val="left" w:pos="360"/>
        </w:tabs>
        <w:snapToGrid w:val="0"/>
        <w:spacing w:line="240" w:lineRule="auto"/>
        <w:ind w:left="-270" w:right="-162"/>
        <w:rPr>
          <w:rFonts w:ascii="Verdana" w:hAnsi="Verdana"/>
          <w:i/>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sz w:val="16"/>
          <w:szCs w:val="16"/>
          <w:lang w:val="en-US"/>
        </w:rPr>
        <w:t>Supra</w:t>
      </w:r>
      <w:r w:rsidRPr="00D2561A">
        <w:rPr>
          <w:rFonts w:ascii="Verdana" w:hAnsi="Verdana"/>
          <w:sz w:val="16"/>
          <w:szCs w:val="16"/>
          <w:lang w:val="en-US"/>
        </w:rPr>
        <w:t xml:space="preserve">, footnote 29, Art. 1(1). </w:t>
      </w:r>
    </w:p>
  </w:footnote>
  <w:footnote w:id="39">
    <w:p w14:paraId="04753FE3" w14:textId="2035CF7A" w:rsidR="00EC1F8A" w:rsidRPr="00D2561A" w:rsidRDefault="00EC1F8A" w:rsidP="006D0C79">
      <w:pPr>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Supra, footnote 21.</w:t>
      </w:r>
    </w:p>
  </w:footnote>
  <w:footnote w:id="40">
    <w:p w14:paraId="2B7C1296" w14:textId="1FF6193B"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Part I, Chapter II, Arts. 3 to 25. Right to Recognition of Juridical Personality (Art. 3), Right to Life (Art. 4), Right to Humane Treatment (Art. 5), Freedom from Slavery (Art. 6), Right to Personal Liberty (Art. 7), Right to a Fair Trial (Art. 8), Freedom from Ex-Post Facto Laws (Art. 9), Right to Compensation (Art. 10), Right to Privacy (Art. 11), Freedom of Conscience and Religion (Art. 12), Freedom of Thought and Expression (Art. 13), Right of Reply (Art. 14), Right of Assembly (Art. 15), Freedom of Association (Art. 16), Rights of the Family (Art. 17), Right to a Name (Art. 18), Rights of the Child (Art. 19), Right to Nationality (Art. 20), Right to Property (Art. 21), Freedom of Movement and Residence (Art. 22), Right to Participate in Government (Art. 23), Right to Equal Protection (Art. 24) and Right to Judicial Protection (Art. 25). </w:t>
      </w:r>
    </w:p>
    <w:p w14:paraId="0CCA9DAB" w14:textId="6232266F"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Fonts w:ascii="Verdana" w:hAnsi="Verdana"/>
          <w:sz w:val="16"/>
          <w:szCs w:val="16"/>
          <w:lang w:val="en-US"/>
        </w:rPr>
        <w:t>Art.26,</w:t>
      </w:r>
      <w:r w:rsidRPr="00D2561A">
        <w:rPr>
          <w:rFonts w:ascii="Verdana" w:hAnsi="Verdana"/>
          <w:i/>
          <w:iCs/>
          <w:sz w:val="16"/>
          <w:szCs w:val="16"/>
          <w:lang w:val="en-US"/>
        </w:rPr>
        <w:t xml:space="preserve"> cit.</w:t>
      </w:r>
    </w:p>
  </w:footnote>
  <w:footnote w:id="41">
    <w:p w14:paraId="540F692F" w14:textId="4D1C66E5" w:rsidR="00EC1F8A" w:rsidRPr="00D2561A" w:rsidRDefault="00EC1F8A" w:rsidP="006D0C79">
      <w:pPr>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“Part II Means of Protection. Art. 33: “</w:t>
      </w:r>
      <w:r w:rsidRPr="00D2561A">
        <w:rPr>
          <w:rFonts w:ascii="Verdana" w:hAnsi="Verdana"/>
          <w:spacing w:val="-3"/>
          <w:sz w:val="16"/>
          <w:szCs w:val="16"/>
          <w:lang w:val="en-US"/>
        </w:rPr>
        <w:t>The following organs shall have competence with respect to matters relating to the fulfillment of the commitments made by the States Parties to this Convention</w:t>
      </w:r>
      <w:r w:rsidRPr="00D2561A">
        <w:rPr>
          <w:rFonts w:ascii="Verdana" w:hAnsi="Verdana"/>
          <w:sz w:val="16"/>
          <w:szCs w:val="16"/>
          <w:lang w:val="en-US"/>
        </w:rPr>
        <w:t>:</w:t>
      </w:r>
    </w:p>
    <w:p w14:paraId="5FCABCC8" w14:textId="30A7A540" w:rsidR="00EC1F8A" w:rsidRPr="00D2561A" w:rsidRDefault="00EC1F8A" w:rsidP="006544D5">
      <w:pPr>
        <w:tabs>
          <w:tab w:val="left" w:pos="360"/>
        </w:tabs>
        <w:snapToGrid w:val="0"/>
        <w:spacing w:line="240" w:lineRule="auto"/>
        <w:ind w:left="-270" w:right="-162"/>
        <w:rPr>
          <w:rFonts w:ascii="Verdana" w:hAnsi="Verdana"/>
          <w:sz w:val="16"/>
          <w:szCs w:val="16"/>
          <w:lang w:val="en-US"/>
        </w:rPr>
      </w:pPr>
      <w:r w:rsidRPr="00D2561A">
        <w:rPr>
          <w:rFonts w:ascii="Verdana" w:hAnsi="Verdana"/>
          <w:sz w:val="16"/>
          <w:szCs w:val="16"/>
          <w:lang w:val="en-US"/>
        </w:rPr>
        <w:t xml:space="preserve">a) the Inter-American Commission on Human Rights, </w:t>
      </w:r>
      <w:r w:rsidRPr="00D2561A">
        <w:rPr>
          <w:rFonts w:ascii="Verdana" w:hAnsi="Verdana"/>
          <w:spacing w:val="-3"/>
          <w:sz w:val="16"/>
          <w:szCs w:val="16"/>
          <w:lang w:val="en-US"/>
        </w:rPr>
        <w:t>referred to as “The Commission,” and</w:t>
      </w:r>
      <w:r w:rsidRPr="00D2561A">
        <w:rPr>
          <w:rFonts w:ascii="Verdana" w:hAnsi="Verdana"/>
          <w:sz w:val="16"/>
          <w:szCs w:val="16"/>
          <w:lang w:val="en-US"/>
        </w:rPr>
        <w:t xml:space="preserve"> </w:t>
      </w:r>
    </w:p>
    <w:p w14:paraId="230134BB" w14:textId="5F2EC23E" w:rsidR="00EC1F8A" w:rsidRPr="00D2561A" w:rsidRDefault="00EC1F8A" w:rsidP="006544D5">
      <w:pPr>
        <w:tabs>
          <w:tab w:val="left" w:pos="360"/>
        </w:tabs>
        <w:snapToGrid w:val="0"/>
        <w:spacing w:line="240" w:lineRule="auto"/>
        <w:ind w:left="-270" w:right="-162"/>
        <w:rPr>
          <w:rFonts w:ascii="Verdana" w:hAnsi="Verdana"/>
          <w:sz w:val="16"/>
          <w:szCs w:val="16"/>
          <w:lang w:val="en-US"/>
        </w:rPr>
      </w:pPr>
      <w:r w:rsidRPr="00D2561A">
        <w:rPr>
          <w:rFonts w:ascii="Verdana" w:hAnsi="Verdana"/>
          <w:sz w:val="16"/>
          <w:szCs w:val="16"/>
          <w:lang w:val="en-US"/>
        </w:rPr>
        <w:t>b) the Inter-American Court of Human Rights, referred to as “the Court.”</w:t>
      </w:r>
    </w:p>
  </w:footnote>
  <w:footnote w:id="42">
    <w:p w14:paraId="5D583228" w14:textId="08644460" w:rsidR="00EC1F8A" w:rsidRPr="00D2561A" w:rsidRDefault="00EC1F8A" w:rsidP="006D0C79">
      <w:pPr>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Supra</w:t>
      </w:r>
      <w:r w:rsidRPr="00D2561A">
        <w:rPr>
          <w:rFonts w:ascii="Verdana" w:hAnsi="Verdana"/>
          <w:sz w:val="16"/>
          <w:szCs w:val="16"/>
          <w:lang w:val="en-US"/>
        </w:rPr>
        <w:t>, footnote 13.</w:t>
      </w:r>
    </w:p>
  </w:footnote>
  <w:footnote w:id="43">
    <w:p w14:paraId="759F407A" w14:textId="4FF7E954" w:rsidR="00EC1F8A" w:rsidRPr="00D2561A" w:rsidRDefault="00EC1F8A" w:rsidP="006D0C79">
      <w:pPr>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Supra</w:t>
      </w:r>
      <w:r w:rsidRPr="00D2561A">
        <w:rPr>
          <w:rFonts w:ascii="Verdana" w:hAnsi="Verdana"/>
          <w:sz w:val="16"/>
          <w:szCs w:val="16"/>
          <w:lang w:val="en-US"/>
        </w:rPr>
        <w:t>, footnote 9, Art. 62.3.</w:t>
      </w:r>
    </w:p>
  </w:footnote>
  <w:footnote w:id="44">
    <w:p w14:paraId="28D68D30" w14:textId="270D30B0" w:rsidR="00EC1F8A" w:rsidRPr="00D2561A" w:rsidRDefault="00EC1F8A" w:rsidP="006D0C79">
      <w:pPr>
        <w:tabs>
          <w:tab w:val="left" w:pos="360"/>
        </w:tabs>
        <w:snapToGrid w:val="0"/>
        <w:spacing w:line="240" w:lineRule="auto"/>
        <w:ind w:left="-270" w:right="-162"/>
        <w:rPr>
          <w:rFonts w:ascii="Verdana" w:hAnsi="Verdana"/>
          <w:i/>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 65: “</w:t>
      </w:r>
      <w:r w:rsidRPr="00D2561A">
        <w:rPr>
          <w:rFonts w:ascii="Verdana" w:hAnsi="Verdana"/>
          <w:spacing w:val="-3"/>
          <w:sz w:val="16"/>
          <w:szCs w:val="16"/>
          <w:lang w:val="en-US"/>
        </w:rPr>
        <w:t>To each regular session of the General Assembly of the Organization of American States the Court shall submit, for the Assembly's consideration, a report on its work during the previous year.  It shall specify, in particular, the cases in which a state has not complied with its judgments, making any pertinent recommendations</w:t>
      </w:r>
      <w:r w:rsidRPr="00D2561A">
        <w:rPr>
          <w:rFonts w:ascii="Verdana" w:hAnsi="Verdana"/>
          <w:sz w:val="16"/>
          <w:szCs w:val="16"/>
          <w:lang w:val="en-US"/>
        </w:rPr>
        <w:t>.”</w:t>
      </w:r>
    </w:p>
  </w:footnote>
  <w:footnote w:id="45">
    <w:p w14:paraId="4ABE5DEB" w14:textId="41956602" w:rsidR="00EC1F8A" w:rsidRPr="00D2561A" w:rsidRDefault="00EC1F8A" w:rsidP="006544D5">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Name given by doctrine.</w:t>
      </w:r>
    </w:p>
  </w:footnote>
  <w:footnote w:id="46">
    <w:p w14:paraId="12E906D0" w14:textId="72297EB2" w:rsidR="00EC1F8A" w:rsidRPr="00D2561A" w:rsidRDefault="00EC1F8A" w:rsidP="006544D5">
      <w:pPr>
        <w:pStyle w:val="Textonotapie"/>
        <w:tabs>
          <w:tab w:val="left" w:pos="360"/>
        </w:tabs>
        <w:snapToGrid w:val="0"/>
        <w:ind w:left="-270" w:right="-162"/>
        <w:rPr>
          <w:rFonts w:ascii="Verdana" w:hAnsi="Verdana"/>
          <w:i/>
          <w:iCs/>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162 of the judgment.</w:t>
      </w:r>
    </w:p>
  </w:footnote>
  <w:footnote w:id="47">
    <w:p w14:paraId="5A118394" w14:textId="219CED20" w:rsidR="00EC1F8A" w:rsidRPr="00F60CFB" w:rsidRDefault="00EC1F8A" w:rsidP="006544D5">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F60CFB">
        <w:rPr>
          <w:rFonts w:ascii="Verdana" w:hAnsi="Verdana"/>
          <w:sz w:val="16"/>
          <w:szCs w:val="16"/>
          <w:lang w:val="es-CR"/>
        </w:rPr>
        <w:t xml:space="preserve"> </w:t>
      </w:r>
      <w:r w:rsidRPr="00F60CFB">
        <w:rPr>
          <w:rFonts w:ascii="Verdana" w:hAnsi="Verdana"/>
          <w:sz w:val="16"/>
          <w:szCs w:val="16"/>
          <w:lang w:val="es-CR"/>
        </w:rPr>
        <w:tab/>
        <w:t>Para. 163.</w:t>
      </w:r>
    </w:p>
  </w:footnote>
  <w:footnote w:id="48">
    <w:p w14:paraId="0EAE9758" w14:textId="1F09E5DD" w:rsidR="00EC1F8A" w:rsidRPr="00D2561A" w:rsidRDefault="00EC1F8A" w:rsidP="006544D5">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D2561A">
        <w:rPr>
          <w:rFonts w:ascii="Verdana" w:hAnsi="Verdana"/>
          <w:sz w:val="16"/>
          <w:szCs w:val="16"/>
          <w:lang w:val="es-CR"/>
        </w:rPr>
        <w:t xml:space="preserve"> </w:t>
      </w:r>
      <w:r w:rsidRPr="00D2561A">
        <w:rPr>
          <w:rFonts w:ascii="Verdana" w:hAnsi="Verdana"/>
          <w:sz w:val="16"/>
          <w:szCs w:val="16"/>
          <w:lang w:val="es-CR"/>
        </w:rPr>
        <w:tab/>
        <w:t>Para. 164.</w:t>
      </w:r>
    </w:p>
  </w:footnote>
  <w:footnote w:id="49">
    <w:p w14:paraId="5FF7F665" w14:textId="5F3BA796" w:rsidR="00EC1F8A" w:rsidRPr="00D2561A" w:rsidRDefault="00EC1F8A" w:rsidP="006544D5">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D2561A">
        <w:rPr>
          <w:rFonts w:ascii="Verdana" w:hAnsi="Verdana"/>
          <w:sz w:val="16"/>
          <w:szCs w:val="16"/>
          <w:lang w:val="es-CR"/>
        </w:rPr>
        <w:t xml:space="preserve"> </w:t>
      </w:r>
      <w:r w:rsidRPr="00D2561A">
        <w:rPr>
          <w:rFonts w:ascii="Verdana" w:hAnsi="Verdana"/>
          <w:sz w:val="16"/>
          <w:szCs w:val="16"/>
          <w:lang w:val="es-CR"/>
        </w:rPr>
        <w:tab/>
      </w:r>
      <w:proofErr w:type="spellStart"/>
      <w:r w:rsidRPr="00D2561A">
        <w:rPr>
          <w:rFonts w:ascii="Verdana" w:hAnsi="Verdana"/>
          <w:sz w:val="16"/>
          <w:szCs w:val="16"/>
          <w:lang w:val="es-CR"/>
        </w:rPr>
        <w:t>Hereinafter</w:t>
      </w:r>
      <w:proofErr w:type="spellEnd"/>
      <w:r w:rsidRPr="00D2561A">
        <w:rPr>
          <w:rFonts w:ascii="Verdana" w:hAnsi="Verdana"/>
          <w:sz w:val="16"/>
          <w:szCs w:val="16"/>
          <w:lang w:val="es-CR"/>
        </w:rPr>
        <w:t xml:space="preserve">, </w:t>
      </w:r>
      <w:proofErr w:type="spellStart"/>
      <w:r w:rsidRPr="00D2561A">
        <w:rPr>
          <w:rFonts w:ascii="Verdana" w:hAnsi="Verdana"/>
          <w:sz w:val="16"/>
          <w:szCs w:val="16"/>
          <w:lang w:val="es-CR"/>
        </w:rPr>
        <w:t>the</w:t>
      </w:r>
      <w:proofErr w:type="spellEnd"/>
      <w:r w:rsidRPr="00D2561A">
        <w:rPr>
          <w:rFonts w:ascii="Verdana" w:hAnsi="Verdana"/>
          <w:sz w:val="16"/>
          <w:szCs w:val="16"/>
          <w:lang w:val="es-CR"/>
        </w:rPr>
        <w:t xml:space="preserve"> ILO.</w:t>
      </w:r>
    </w:p>
  </w:footnote>
  <w:footnote w:id="50">
    <w:p w14:paraId="1429753B" w14:textId="53CF74CA" w:rsidR="00EC1F8A" w:rsidRPr="00F60CFB" w:rsidRDefault="00EC1F8A" w:rsidP="006544D5">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F60CFB">
        <w:rPr>
          <w:rFonts w:ascii="Verdana" w:hAnsi="Verdana"/>
          <w:sz w:val="16"/>
          <w:szCs w:val="16"/>
          <w:lang w:val="en-US"/>
        </w:rPr>
        <w:t xml:space="preserve"> </w:t>
      </w:r>
      <w:r w:rsidRPr="00F60CFB">
        <w:rPr>
          <w:rFonts w:ascii="Verdana" w:hAnsi="Verdana"/>
          <w:sz w:val="16"/>
          <w:szCs w:val="16"/>
          <w:lang w:val="en-US"/>
        </w:rPr>
        <w:tab/>
        <w:t>Para. 164.</w:t>
      </w:r>
    </w:p>
  </w:footnote>
  <w:footnote w:id="51">
    <w:p w14:paraId="60D12B47" w14:textId="64E23C3A" w:rsidR="00EC1F8A" w:rsidRPr="00D2561A" w:rsidRDefault="00EC1F8A" w:rsidP="006544D5">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165.</w:t>
      </w:r>
    </w:p>
  </w:footnote>
  <w:footnote w:id="52">
    <w:p w14:paraId="4699642F" w14:textId="607AB2A9" w:rsidR="00EC1F8A" w:rsidRPr="00D2561A" w:rsidRDefault="00EC1F8A" w:rsidP="006544D5">
      <w:pPr>
        <w:tabs>
          <w:tab w:val="left" w:pos="360"/>
        </w:tabs>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Article 38 of the Statute of the International Court of Justice: “1. The Court, whose function is to decide in accordance with international law such disputes as are submitted to it, shall apply: (a) international conventions, whether general or particular, establishing rules expressly recognized by the contesting states: (b) international custom, as evidence of a general practice accepted as law; (c) the general principles of law recognized by civilized nations; (d) subject to the provisions of Article 59, judicial decisions and the teachings of the most highly qualified publicists of the various nations, as subsidiary means for the determination of rules of law.2. This provision shall not prejudice the power of the Court to decide a case </w:t>
      </w:r>
      <w:r w:rsidRPr="00D2561A">
        <w:rPr>
          <w:rFonts w:ascii="Verdana" w:hAnsi="Verdana"/>
          <w:i/>
          <w:iCs/>
          <w:sz w:val="16"/>
          <w:szCs w:val="16"/>
          <w:lang w:val="en-US"/>
        </w:rPr>
        <w:t xml:space="preserve">ex </w:t>
      </w:r>
      <w:proofErr w:type="spellStart"/>
      <w:r w:rsidRPr="00D2561A">
        <w:rPr>
          <w:rFonts w:ascii="Verdana" w:hAnsi="Verdana"/>
          <w:i/>
          <w:iCs/>
          <w:sz w:val="16"/>
          <w:szCs w:val="16"/>
          <w:lang w:val="en-US"/>
        </w:rPr>
        <w:t>aequo</w:t>
      </w:r>
      <w:proofErr w:type="spellEnd"/>
      <w:r w:rsidRPr="00D2561A">
        <w:rPr>
          <w:rFonts w:ascii="Verdana" w:hAnsi="Verdana"/>
          <w:i/>
          <w:iCs/>
          <w:sz w:val="16"/>
          <w:szCs w:val="16"/>
          <w:lang w:val="en-US"/>
        </w:rPr>
        <w:t xml:space="preserve"> et bono</w:t>
      </w:r>
      <w:r w:rsidRPr="00D2561A">
        <w:rPr>
          <w:rFonts w:ascii="Verdana" w:hAnsi="Verdana"/>
          <w:sz w:val="16"/>
          <w:szCs w:val="16"/>
          <w:lang w:val="en-US"/>
        </w:rPr>
        <w:t>, if the parties agree thereto.</w:t>
      </w:r>
    </w:p>
  </w:footnote>
  <w:footnote w:id="53">
    <w:p w14:paraId="790C584A" w14:textId="28CA2803"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166 of the judgment.</w:t>
      </w:r>
    </w:p>
  </w:footnote>
  <w:footnote w:id="54">
    <w:p w14:paraId="5753802F" w14:textId="4407AAC6"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Idem</w:t>
      </w:r>
      <w:r w:rsidRPr="00D2561A">
        <w:rPr>
          <w:rFonts w:ascii="Verdana" w:hAnsi="Verdana"/>
          <w:sz w:val="16"/>
          <w:szCs w:val="16"/>
          <w:lang w:val="en-US"/>
        </w:rPr>
        <w:t>.</w:t>
      </w:r>
    </w:p>
  </w:footnote>
  <w:footnote w:id="55">
    <w:p w14:paraId="1DBB3AE1" w14:textId="67877394"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 167.</w:t>
      </w:r>
    </w:p>
  </w:footnote>
  <w:footnote w:id="56">
    <w:p w14:paraId="0A07C4F8" w14:textId="01F6D508" w:rsidR="00EC1F8A" w:rsidRPr="00D2561A" w:rsidRDefault="00EC1F8A" w:rsidP="009A382F">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Para. 162. </w:t>
      </w:r>
    </w:p>
  </w:footnote>
  <w:footnote w:id="57">
    <w:p w14:paraId="742AE4C5" w14:textId="2FED1131" w:rsidR="00EC1F8A" w:rsidRPr="00D2561A" w:rsidRDefault="00EC1F8A" w:rsidP="009A382F">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161.</w:t>
      </w:r>
    </w:p>
  </w:footnote>
  <w:footnote w:id="58">
    <w:p w14:paraId="6102D6FA" w14:textId="77777777" w:rsidR="00EC1F8A" w:rsidRPr="00D2561A" w:rsidRDefault="00EC1F8A" w:rsidP="0008541C">
      <w:pPr>
        <w:tabs>
          <w:tab w:val="left" w:pos="-1440"/>
          <w:tab w:val="left" w:pos="-720"/>
          <w:tab w:val="left" w:pos="360"/>
          <w:tab w:val="left" w:pos="720"/>
          <w:tab w:val="left" w:pos="1296"/>
          <w:tab w:val="left" w:pos="2160"/>
        </w:tabs>
        <w:suppressAutoHyphens/>
        <w:spacing w:line="240" w:lineRule="auto"/>
        <w:ind w:left="-270" w:right="-162"/>
        <w:rPr>
          <w:rFonts w:ascii="Verdana" w:hAnsi="Verdana"/>
          <w:spacing w:val="-3"/>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Paras. 2 and 3 of the Preamble.</w:t>
      </w:r>
      <w:r w:rsidRPr="00D2561A">
        <w:rPr>
          <w:rFonts w:ascii="Verdana" w:hAnsi="Verdana"/>
          <w:i/>
          <w:iCs/>
          <w:sz w:val="16"/>
          <w:szCs w:val="16"/>
          <w:lang w:val="en-US"/>
        </w:rPr>
        <w:t xml:space="preserve"> “</w:t>
      </w:r>
      <w:r w:rsidRPr="00D2561A">
        <w:rPr>
          <w:rFonts w:ascii="Verdana" w:hAnsi="Verdana"/>
          <w:spacing w:val="-3"/>
          <w:sz w:val="16"/>
          <w:szCs w:val="16"/>
          <w:lang w:val="en-US"/>
        </w:rPr>
        <w:t>Recognizing that  the essential rights of man are not derived from one's being a national of a certain state, but are based upon attributes of the human personality, and that they therefore justify international protection in the form of a convention reinforcing or complementing the protection provided by the domestic law of the American states;</w:t>
      </w:r>
    </w:p>
    <w:p w14:paraId="44FE1F12" w14:textId="77777777" w:rsidR="00EC1F8A" w:rsidRPr="00D2561A" w:rsidRDefault="00EC1F8A" w:rsidP="0008541C">
      <w:pPr>
        <w:tabs>
          <w:tab w:val="left" w:pos="-1440"/>
          <w:tab w:val="left" w:pos="-720"/>
          <w:tab w:val="left" w:pos="360"/>
          <w:tab w:val="left" w:pos="720"/>
          <w:tab w:val="left" w:pos="1296"/>
          <w:tab w:val="left" w:pos="2160"/>
        </w:tabs>
        <w:suppressAutoHyphens/>
        <w:spacing w:line="240" w:lineRule="auto"/>
        <w:ind w:left="-270" w:right="-162"/>
        <w:rPr>
          <w:rFonts w:ascii="Verdana" w:hAnsi="Verdana"/>
          <w:spacing w:val="-3"/>
          <w:sz w:val="16"/>
          <w:szCs w:val="16"/>
          <w:lang w:val="en-US"/>
        </w:rPr>
      </w:pPr>
      <w:r w:rsidRPr="00D2561A">
        <w:rPr>
          <w:rFonts w:ascii="Verdana" w:hAnsi="Verdana"/>
          <w:spacing w:val="-3"/>
          <w:sz w:val="16"/>
          <w:szCs w:val="16"/>
          <w:lang w:val="en-US"/>
        </w:rPr>
        <w:t>Considering that these principles have been set forth in the Charter of the Organization of American States, in the American Declaration of the Rights and Duties of Man, and in the Universal Declaration of Human Rights, and that they have been reaffirmed and refined in other international instruments, worldwide as well as regional in scope.”</w:t>
      </w:r>
    </w:p>
  </w:footnote>
  <w:footnote w:id="59">
    <w:p w14:paraId="626C63F6" w14:textId="77777777" w:rsidR="00EC1F8A" w:rsidRPr="00D2561A" w:rsidRDefault="00EC1F8A" w:rsidP="0008541C">
      <w:pPr>
        <w:pStyle w:val="NormalWeb"/>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Supra</w:t>
      </w:r>
      <w:r w:rsidRPr="00D2561A">
        <w:rPr>
          <w:rFonts w:ascii="Verdana" w:hAnsi="Verdana"/>
          <w:sz w:val="16"/>
          <w:szCs w:val="16"/>
          <w:lang w:val="en-US"/>
        </w:rPr>
        <w:t xml:space="preserve">, footnote 23. </w:t>
      </w:r>
    </w:p>
  </w:footnote>
  <w:footnote w:id="60">
    <w:p w14:paraId="149D9A1C" w14:textId="097B8DB3" w:rsidR="00EC1F8A" w:rsidRPr="00D2561A" w:rsidRDefault="00EC1F8A" w:rsidP="009A382F">
      <w:pPr>
        <w:pStyle w:val="NormalWeb"/>
        <w:tabs>
          <w:tab w:val="left" w:pos="360"/>
        </w:tabs>
        <w:snapToGrid w:val="0"/>
        <w:spacing w:line="240" w:lineRule="auto"/>
        <w:ind w:left="-270" w:right="-162"/>
        <w:rPr>
          <w:rFonts w:ascii="Verdana" w:hAnsi="Verdana"/>
          <w:spacing w:val="-3"/>
          <w:sz w:val="16"/>
          <w:szCs w:val="16"/>
          <w:lang w:val="en-US"/>
        </w:rPr>
      </w:pPr>
      <w:r w:rsidRPr="00D2561A">
        <w:rPr>
          <w:rStyle w:val="Refdenotaalpie"/>
          <w:rFonts w:ascii="Verdana" w:hAnsi="Verdana"/>
          <w:i/>
          <w:iCs/>
          <w:sz w:val="16"/>
          <w:szCs w:val="16"/>
          <w:lang w:val="en-US"/>
        </w:rPr>
        <w:footnoteRef/>
      </w:r>
      <w:r w:rsidRPr="00D2561A">
        <w:rPr>
          <w:rFonts w:ascii="Verdana" w:hAnsi="Verdana"/>
          <w:i/>
          <w:iCs/>
          <w:sz w:val="16"/>
          <w:szCs w:val="16"/>
          <w:lang w:val="en-US"/>
        </w:rPr>
        <w:t xml:space="preserve"> </w:t>
      </w:r>
      <w:r w:rsidRPr="00D2561A">
        <w:rPr>
          <w:rFonts w:ascii="Verdana" w:hAnsi="Verdana"/>
          <w:i/>
          <w:iCs/>
          <w:sz w:val="16"/>
          <w:szCs w:val="16"/>
          <w:lang w:val="en-US"/>
        </w:rPr>
        <w:tab/>
      </w:r>
      <w:r w:rsidRPr="00D2561A">
        <w:rPr>
          <w:rFonts w:ascii="Verdana" w:hAnsi="Verdana"/>
          <w:sz w:val="16"/>
          <w:szCs w:val="16"/>
          <w:lang w:val="en-US"/>
        </w:rPr>
        <w:t>“</w:t>
      </w:r>
      <w:r w:rsidRPr="00D2561A">
        <w:rPr>
          <w:rFonts w:ascii="Verdana" w:eastAsia="Times New Roman" w:hAnsi="Verdana" w:cs="Tahoma"/>
          <w:sz w:val="16"/>
          <w:szCs w:val="16"/>
          <w:lang w:val="en-US" w:eastAsia="es-CR"/>
        </w:rPr>
        <w:t xml:space="preserve">Restrictions regarding interpretation. </w:t>
      </w:r>
      <w:r w:rsidRPr="00D2561A">
        <w:rPr>
          <w:rFonts w:ascii="Verdana" w:hAnsi="Verdana"/>
          <w:spacing w:val="-3"/>
          <w:sz w:val="16"/>
          <w:szCs w:val="16"/>
          <w:lang w:val="en-US"/>
        </w:rPr>
        <w:t xml:space="preserve">No provision of this Convention shall be interpreted as: </w:t>
      </w:r>
    </w:p>
    <w:p w14:paraId="7438F86A" w14:textId="0EC2E28A" w:rsidR="00EC1F8A" w:rsidRPr="00D2561A" w:rsidRDefault="00EC1F8A" w:rsidP="009A382F">
      <w:pPr>
        <w:pStyle w:val="NormalWeb"/>
        <w:numPr>
          <w:ilvl w:val="0"/>
          <w:numId w:val="24"/>
        </w:numPr>
        <w:tabs>
          <w:tab w:val="left" w:pos="90"/>
        </w:tabs>
        <w:snapToGrid w:val="0"/>
        <w:spacing w:line="240" w:lineRule="auto"/>
        <w:ind w:left="-270" w:right="-162" w:firstLine="0"/>
        <w:rPr>
          <w:rFonts w:ascii="Verdana" w:hAnsi="Verdana"/>
          <w:spacing w:val="-3"/>
          <w:sz w:val="16"/>
          <w:szCs w:val="16"/>
          <w:lang w:val="en-US"/>
        </w:rPr>
      </w:pPr>
      <w:r w:rsidRPr="00D2561A">
        <w:rPr>
          <w:rFonts w:ascii="Verdana" w:hAnsi="Verdana"/>
          <w:spacing w:val="-3"/>
          <w:sz w:val="16"/>
          <w:szCs w:val="16"/>
          <w:lang w:val="en-US"/>
        </w:rPr>
        <w:t>permitting any State Party, group, or person to suppress the enjoyment or exercise of the rights and freedoms recognized in this Convention or to restrict them to a greater extent than is provided for herein.</w:t>
      </w:r>
    </w:p>
    <w:p w14:paraId="3E041CE8" w14:textId="0E7D9A24" w:rsidR="00EC1F8A" w:rsidRPr="00D2561A" w:rsidRDefault="00EC1F8A" w:rsidP="009A382F">
      <w:pPr>
        <w:pStyle w:val="Prrafodelista"/>
        <w:numPr>
          <w:ilvl w:val="0"/>
          <w:numId w:val="24"/>
        </w:numPr>
        <w:tabs>
          <w:tab w:val="left" w:pos="90"/>
          <w:tab w:val="left" w:pos="480"/>
          <w:tab w:val="left" w:pos="1680"/>
          <w:tab w:val="left" w:pos="5400"/>
        </w:tabs>
        <w:suppressAutoHyphens/>
        <w:spacing w:line="240" w:lineRule="auto"/>
        <w:ind w:left="-270" w:firstLine="0"/>
        <w:rPr>
          <w:rFonts w:ascii="Verdana" w:hAnsi="Verdana"/>
          <w:spacing w:val="-3"/>
          <w:sz w:val="16"/>
          <w:szCs w:val="16"/>
          <w:lang w:val="en-US"/>
        </w:rPr>
      </w:pPr>
      <w:r w:rsidRPr="00D2561A">
        <w:rPr>
          <w:rFonts w:ascii="Verdana" w:hAnsi="Verdana"/>
          <w:spacing w:val="-3"/>
          <w:sz w:val="16"/>
          <w:szCs w:val="16"/>
          <w:lang w:val="en-US"/>
        </w:rPr>
        <w:t>restricting the enjoyment or exercise of any right or freedom recognized by virtue of the laws of any State Party or by virtue of another convention to which one of the said states is a party;</w:t>
      </w:r>
    </w:p>
    <w:p w14:paraId="3ED5C387" w14:textId="502FEEC7" w:rsidR="00EC1F8A" w:rsidRPr="00D2561A" w:rsidRDefault="00EC1F8A" w:rsidP="009A382F">
      <w:pPr>
        <w:pStyle w:val="Prrafodelista"/>
        <w:numPr>
          <w:ilvl w:val="0"/>
          <w:numId w:val="24"/>
        </w:numPr>
        <w:tabs>
          <w:tab w:val="left" w:pos="90"/>
          <w:tab w:val="left" w:pos="480"/>
          <w:tab w:val="left" w:pos="1680"/>
          <w:tab w:val="left" w:pos="5400"/>
        </w:tabs>
        <w:suppressAutoHyphens/>
        <w:spacing w:line="240" w:lineRule="auto"/>
        <w:ind w:left="-270" w:firstLine="0"/>
        <w:rPr>
          <w:rFonts w:ascii="Verdana" w:hAnsi="Verdana"/>
          <w:spacing w:val="-3"/>
          <w:sz w:val="16"/>
          <w:szCs w:val="16"/>
          <w:lang w:val="en-US"/>
        </w:rPr>
      </w:pPr>
      <w:r w:rsidRPr="00D2561A">
        <w:rPr>
          <w:rFonts w:ascii="Verdana" w:hAnsi="Verdana"/>
          <w:spacing w:val="-3"/>
          <w:sz w:val="16"/>
          <w:szCs w:val="16"/>
          <w:lang w:val="en-US"/>
        </w:rPr>
        <w:t>precluding other rights or guarantees that are inherent in the human personality or derived from representative democracy as a form of government; or</w:t>
      </w:r>
    </w:p>
    <w:p w14:paraId="29BAE451" w14:textId="4562E8F0" w:rsidR="00EC1F8A" w:rsidRPr="00D2561A" w:rsidRDefault="00EC1F8A" w:rsidP="004F0FDE">
      <w:pPr>
        <w:pStyle w:val="Prrafodelista"/>
        <w:numPr>
          <w:ilvl w:val="0"/>
          <w:numId w:val="24"/>
        </w:numPr>
        <w:tabs>
          <w:tab w:val="left" w:pos="90"/>
          <w:tab w:val="left" w:pos="480"/>
          <w:tab w:val="left" w:pos="1680"/>
          <w:tab w:val="left" w:pos="5400"/>
        </w:tabs>
        <w:suppressAutoHyphens/>
        <w:spacing w:line="240" w:lineRule="auto"/>
        <w:ind w:left="-270" w:firstLine="0"/>
        <w:rPr>
          <w:rFonts w:ascii="Verdana" w:hAnsi="Verdana"/>
          <w:spacing w:val="-3"/>
          <w:sz w:val="16"/>
          <w:szCs w:val="16"/>
          <w:lang w:val="en-US"/>
        </w:rPr>
      </w:pPr>
      <w:r w:rsidRPr="00D2561A">
        <w:rPr>
          <w:rFonts w:ascii="Verdana" w:hAnsi="Verdana"/>
          <w:spacing w:val="-3"/>
          <w:sz w:val="16"/>
          <w:szCs w:val="16"/>
          <w:lang w:val="en-US"/>
        </w:rPr>
        <w:t>excluding or limiting the effect that the American Declaration of the Rights and Duties of Man and other international acts of the same nature may have.”</w:t>
      </w:r>
    </w:p>
    <w:p w14:paraId="47313FED" w14:textId="5B41C644" w:rsidR="00EC1F8A" w:rsidRPr="00D2561A" w:rsidRDefault="00EC1F8A" w:rsidP="00B90F56">
      <w:pPr>
        <w:pStyle w:val="Prrafodelista"/>
        <w:tabs>
          <w:tab w:val="left" w:pos="90"/>
          <w:tab w:val="left" w:pos="480"/>
          <w:tab w:val="left" w:pos="1680"/>
          <w:tab w:val="left" w:pos="5400"/>
        </w:tabs>
        <w:suppressAutoHyphens/>
        <w:spacing w:line="240" w:lineRule="auto"/>
        <w:ind w:left="-270"/>
        <w:rPr>
          <w:rFonts w:ascii="Verdana" w:hAnsi="Verdana"/>
          <w:spacing w:val="-3"/>
          <w:sz w:val="16"/>
          <w:szCs w:val="16"/>
          <w:lang w:val="en-US"/>
        </w:rPr>
      </w:pPr>
    </w:p>
  </w:footnote>
  <w:footnote w:id="61">
    <w:p w14:paraId="40C558E1" w14:textId="448DA0FA" w:rsidR="00EC1F8A" w:rsidRPr="00D2561A" w:rsidRDefault="00EC1F8A" w:rsidP="006D0C79">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D2561A">
        <w:rPr>
          <w:rFonts w:ascii="Verdana" w:hAnsi="Verdana"/>
          <w:sz w:val="16"/>
          <w:szCs w:val="16"/>
          <w:lang w:val="es-CR"/>
        </w:rPr>
        <w:t xml:space="preserve"> </w:t>
      </w:r>
      <w:r w:rsidRPr="00D2561A">
        <w:rPr>
          <w:rFonts w:ascii="Verdana" w:hAnsi="Verdana"/>
          <w:sz w:val="16"/>
          <w:szCs w:val="16"/>
          <w:lang w:val="es-CR"/>
        </w:rPr>
        <w:tab/>
        <w:t>Para. 158.</w:t>
      </w:r>
    </w:p>
  </w:footnote>
  <w:footnote w:id="62">
    <w:p w14:paraId="0D7C8791" w14:textId="0379E2AE" w:rsidR="00EC1F8A" w:rsidRPr="00D2561A" w:rsidRDefault="00EC1F8A" w:rsidP="006D0C79">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D2561A">
        <w:rPr>
          <w:rFonts w:ascii="Verdana" w:hAnsi="Verdana"/>
          <w:sz w:val="16"/>
          <w:szCs w:val="16"/>
          <w:lang w:val="es-CR"/>
        </w:rPr>
        <w:t xml:space="preserve"> </w:t>
      </w:r>
      <w:r w:rsidRPr="00D2561A">
        <w:rPr>
          <w:rFonts w:ascii="Verdana" w:hAnsi="Verdana"/>
          <w:sz w:val="16"/>
          <w:szCs w:val="16"/>
          <w:lang w:val="es-CR"/>
        </w:rPr>
        <w:tab/>
        <w:t>Paras. 150, 151 and 152.</w:t>
      </w:r>
    </w:p>
  </w:footnote>
  <w:footnote w:id="63">
    <w:p w14:paraId="2FDEC880" w14:textId="77777777" w:rsidR="00EC1F8A" w:rsidRPr="00D2561A" w:rsidRDefault="00EC1F8A" w:rsidP="00CB35C6">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D2561A">
        <w:rPr>
          <w:rFonts w:ascii="Verdana" w:hAnsi="Verdana"/>
          <w:sz w:val="16"/>
          <w:szCs w:val="16"/>
          <w:lang w:val="es-CR"/>
        </w:rPr>
        <w:t xml:space="preserve"> </w:t>
      </w:r>
      <w:r w:rsidRPr="00D2561A">
        <w:rPr>
          <w:rFonts w:ascii="Verdana" w:hAnsi="Verdana"/>
          <w:sz w:val="16"/>
          <w:szCs w:val="16"/>
          <w:lang w:val="es-CR"/>
        </w:rPr>
        <w:tab/>
        <w:t>Para. 156.</w:t>
      </w:r>
    </w:p>
  </w:footnote>
  <w:footnote w:id="64">
    <w:p w14:paraId="16CE9271" w14:textId="77777777" w:rsidR="00EC1F8A" w:rsidRPr="00D2561A" w:rsidRDefault="00EC1F8A" w:rsidP="00CB35C6">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D2561A">
        <w:rPr>
          <w:rFonts w:ascii="Verdana" w:hAnsi="Verdana"/>
          <w:sz w:val="16"/>
          <w:szCs w:val="16"/>
          <w:lang w:val="es-CR"/>
        </w:rPr>
        <w:t xml:space="preserve"> </w:t>
      </w:r>
      <w:r w:rsidRPr="00D2561A">
        <w:rPr>
          <w:rFonts w:ascii="Verdana" w:hAnsi="Verdana"/>
          <w:sz w:val="16"/>
          <w:szCs w:val="16"/>
          <w:lang w:val="es-CR"/>
        </w:rPr>
        <w:tab/>
        <w:t>Para. 155.</w:t>
      </w:r>
    </w:p>
  </w:footnote>
  <w:footnote w:id="65">
    <w:p w14:paraId="71426998" w14:textId="218468A5"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 of the Preamble</w:t>
      </w:r>
    </w:p>
  </w:footnote>
  <w:footnote w:id="66">
    <w:p w14:paraId="0ED1C521" w14:textId="6CFAD140"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Supra,</w:t>
      </w:r>
      <w:r w:rsidRPr="00D2561A">
        <w:rPr>
          <w:rFonts w:ascii="Verdana" w:hAnsi="Verdana"/>
          <w:sz w:val="16"/>
          <w:szCs w:val="16"/>
          <w:lang w:val="en-US"/>
        </w:rPr>
        <w:t xml:space="preserve"> footnote 23.</w:t>
      </w:r>
    </w:p>
  </w:footnote>
  <w:footnote w:id="67">
    <w:p w14:paraId="3C649336" w14:textId="77777777" w:rsidR="00EC1F8A" w:rsidRPr="00D2561A" w:rsidRDefault="00EC1F8A" w:rsidP="001A06F0">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172.</w:t>
      </w:r>
    </w:p>
  </w:footnote>
  <w:footnote w:id="68">
    <w:p w14:paraId="674FB2A0" w14:textId="7DADDC30" w:rsidR="00EC1F8A" w:rsidRPr="00D2561A" w:rsidRDefault="00EC1F8A" w:rsidP="001077DA">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Idem.</w:t>
      </w:r>
    </w:p>
  </w:footnote>
  <w:footnote w:id="69">
    <w:p w14:paraId="3A2C363C" w14:textId="77777777" w:rsidR="00EC1F8A" w:rsidRPr="00D2561A" w:rsidRDefault="00EC1F8A" w:rsidP="00E24DF1">
      <w:pPr>
        <w:tabs>
          <w:tab w:val="left" w:pos="360"/>
        </w:tabs>
        <w:snapToGrid w:val="0"/>
        <w:spacing w:line="240" w:lineRule="auto"/>
        <w:ind w:left="-270" w:right="-162"/>
        <w:rPr>
          <w:rFonts w:ascii="Verdana" w:hAnsi="Verdana"/>
          <w:i/>
          <w:iCs/>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Art. 31: “Recognition of Other Rights. </w:t>
      </w:r>
      <w:r w:rsidRPr="00D2561A">
        <w:rPr>
          <w:rFonts w:ascii="Verdana" w:hAnsi="Verdana"/>
          <w:spacing w:val="-3"/>
          <w:sz w:val="16"/>
          <w:szCs w:val="16"/>
          <w:lang w:val="en-US"/>
        </w:rPr>
        <w:t>Other rights and freedoms recognized in accordance with the procedures established in Articles 76 and 77 may be included in the system of protection of this Convention.”</w:t>
      </w:r>
    </w:p>
    <w:p w14:paraId="4D296826" w14:textId="77777777" w:rsidR="00EC1F8A" w:rsidRPr="00D2561A" w:rsidRDefault="00EC1F8A" w:rsidP="00E24DF1">
      <w:pPr>
        <w:tabs>
          <w:tab w:val="left" w:pos="480"/>
          <w:tab w:val="left" w:pos="108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z w:val="16"/>
          <w:szCs w:val="16"/>
          <w:lang w:val="en-US"/>
        </w:rPr>
        <w:t xml:space="preserve">Art. 76: “1. </w:t>
      </w:r>
      <w:r w:rsidRPr="00D2561A">
        <w:rPr>
          <w:rFonts w:ascii="Verdana" w:hAnsi="Verdana"/>
          <w:spacing w:val="-3"/>
          <w:sz w:val="16"/>
          <w:szCs w:val="16"/>
          <w:lang w:val="en-US"/>
        </w:rPr>
        <w:t>Proposals to amend this Convention may be submitted to the General Assembly for the action it deems appropriate by any State Party directly, and by the Commission or the Court through the Secretary General.</w:t>
      </w:r>
    </w:p>
    <w:p w14:paraId="488D572A" w14:textId="77777777" w:rsidR="00EC1F8A" w:rsidRPr="00D2561A" w:rsidRDefault="00EC1F8A" w:rsidP="00E24DF1">
      <w:pPr>
        <w:tabs>
          <w:tab w:val="left" w:pos="360"/>
        </w:tabs>
        <w:snapToGrid w:val="0"/>
        <w:spacing w:line="240" w:lineRule="auto"/>
        <w:ind w:left="-270" w:right="-162"/>
        <w:rPr>
          <w:rFonts w:ascii="Verdana" w:hAnsi="Verdana"/>
          <w:i/>
          <w:iCs/>
          <w:sz w:val="16"/>
          <w:szCs w:val="16"/>
          <w:lang w:val="en-US"/>
        </w:rPr>
      </w:pPr>
      <w:r w:rsidRPr="00D2561A">
        <w:rPr>
          <w:rFonts w:ascii="Verdana" w:hAnsi="Verdana"/>
          <w:sz w:val="16"/>
          <w:szCs w:val="16"/>
          <w:lang w:val="en-US"/>
        </w:rPr>
        <w:t xml:space="preserve">2. Las </w:t>
      </w:r>
      <w:r w:rsidRPr="00D2561A">
        <w:rPr>
          <w:rFonts w:ascii="Verdana" w:hAnsi="Verdana"/>
          <w:spacing w:val="-3"/>
          <w:sz w:val="16"/>
          <w:szCs w:val="16"/>
          <w:lang w:val="en-US"/>
        </w:rPr>
        <w:t>Amendments shall enter into force for the States ratifying them on the date when two</w:t>
      </w:r>
      <w:r w:rsidRPr="00D2561A">
        <w:rPr>
          <w:rFonts w:ascii="Verdana" w:hAnsi="Verdana"/>
          <w:spacing w:val="-3"/>
          <w:sz w:val="16"/>
          <w:szCs w:val="16"/>
          <w:lang w:val="en-US"/>
        </w:rPr>
        <w:noBreakHyphen/>
        <w:t>thirds of the States Parties to this Convention have deposited their respective instruments of ratification.  With respect to the other States Parties, the amendments shall enter into force on the dates on which they deposit their respective instruments of ratification.</w:t>
      </w:r>
      <w:r w:rsidRPr="00D2561A">
        <w:rPr>
          <w:rFonts w:ascii="Verdana" w:hAnsi="Verdana"/>
          <w:i/>
          <w:iCs/>
          <w:sz w:val="16"/>
          <w:szCs w:val="16"/>
          <w:lang w:val="en-US"/>
        </w:rPr>
        <w:t>”</w:t>
      </w:r>
    </w:p>
    <w:p w14:paraId="7155CC88" w14:textId="77777777" w:rsidR="00EC1F8A" w:rsidRPr="00D2561A" w:rsidRDefault="00EC1F8A" w:rsidP="00E24DF1">
      <w:pPr>
        <w:tabs>
          <w:tab w:val="left" w:pos="480"/>
          <w:tab w:val="left" w:pos="108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z w:val="16"/>
          <w:szCs w:val="16"/>
          <w:lang w:val="en-US"/>
        </w:rPr>
        <w:t>Art. 77:</w:t>
      </w:r>
      <w:r w:rsidRPr="00D2561A">
        <w:rPr>
          <w:rFonts w:ascii="Verdana" w:hAnsi="Verdana"/>
          <w:i/>
          <w:iCs/>
          <w:sz w:val="16"/>
          <w:szCs w:val="16"/>
          <w:lang w:val="en-US"/>
        </w:rPr>
        <w:t xml:space="preserve"> “</w:t>
      </w:r>
      <w:r w:rsidRPr="00D2561A">
        <w:rPr>
          <w:rFonts w:ascii="Verdana" w:hAnsi="Verdana"/>
          <w:sz w:val="16"/>
          <w:szCs w:val="16"/>
          <w:lang w:val="en-US"/>
        </w:rPr>
        <w:t>1.</w:t>
      </w:r>
      <w:r w:rsidRPr="00D2561A">
        <w:rPr>
          <w:rFonts w:ascii="Verdana" w:hAnsi="Verdana"/>
          <w:i/>
          <w:iCs/>
          <w:sz w:val="16"/>
          <w:szCs w:val="16"/>
          <w:lang w:val="en-US"/>
        </w:rPr>
        <w:t xml:space="preserve"> </w:t>
      </w:r>
      <w:r w:rsidRPr="00D2561A">
        <w:rPr>
          <w:rFonts w:ascii="Verdana" w:hAnsi="Verdana"/>
          <w:spacing w:val="-3"/>
          <w:sz w:val="16"/>
          <w:szCs w:val="16"/>
          <w:lang w:val="en-US"/>
        </w:rPr>
        <w:t>In accordance with Article 31, any State Party and the Commission may submit proposed protocols to this Convention for consideration by the States Parties at the General Assembly with a view to gradually including other rights and freedoms within its system of protection.</w:t>
      </w:r>
    </w:p>
    <w:p w14:paraId="03947B4A" w14:textId="77777777" w:rsidR="00EC1F8A" w:rsidRPr="00D2561A" w:rsidRDefault="00EC1F8A" w:rsidP="00E24DF1">
      <w:pPr>
        <w:tabs>
          <w:tab w:val="left" w:pos="480"/>
          <w:tab w:val="left" w:pos="1080"/>
          <w:tab w:val="left" w:pos="1680"/>
          <w:tab w:val="left" w:pos="5400"/>
        </w:tabs>
        <w:suppressAutoHyphens/>
        <w:spacing w:line="240" w:lineRule="auto"/>
        <w:ind w:left="-270" w:right="-162"/>
        <w:rPr>
          <w:rFonts w:ascii="Verdana" w:hAnsi="Verdana"/>
          <w:spacing w:val="-3"/>
          <w:sz w:val="16"/>
          <w:szCs w:val="16"/>
          <w:lang w:val="en-US"/>
        </w:rPr>
      </w:pPr>
      <w:r w:rsidRPr="00D2561A">
        <w:rPr>
          <w:rFonts w:ascii="Verdana" w:hAnsi="Verdana"/>
          <w:spacing w:val="-3"/>
          <w:sz w:val="16"/>
          <w:szCs w:val="16"/>
          <w:lang w:val="en-US"/>
        </w:rPr>
        <w:t>2.  Each protocol shall determine the manner of its entry into force and shall be applied only among the States Parties to it.”</w:t>
      </w:r>
    </w:p>
  </w:footnote>
  <w:footnote w:id="70">
    <w:p w14:paraId="52DF6DF2" w14:textId="7136A83D" w:rsidR="00EC1F8A" w:rsidRPr="00D2561A" w:rsidRDefault="00EC1F8A" w:rsidP="00BE1A92">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Cf.</w:t>
      </w:r>
      <w:r w:rsidRPr="00D2561A">
        <w:rPr>
          <w:rFonts w:ascii="Verdana" w:hAnsi="Verdana"/>
          <w:sz w:val="16"/>
          <w:szCs w:val="16"/>
          <w:lang w:val="en-US"/>
        </w:rPr>
        <w:t xml:space="preserve"> Proceedings of the Inter-American Specialized Conference on Human Rights, November 7 to 22, 1969, OEA/</w:t>
      </w:r>
      <w:proofErr w:type="spellStart"/>
      <w:r w:rsidRPr="00D2561A">
        <w:rPr>
          <w:rFonts w:ascii="Verdana" w:hAnsi="Verdana"/>
          <w:sz w:val="16"/>
          <w:szCs w:val="16"/>
          <w:lang w:val="en-US"/>
        </w:rPr>
        <w:t>Ser.K</w:t>
      </w:r>
      <w:proofErr w:type="spellEnd"/>
      <w:r w:rsidRPr="00D2561A">
        <w:rPr>
          <w:rFonts w:ascii="Verdana" w:hAnsi="Verdana"/>
          <w:sz w:val="16"/>
          <w:szCs w:val="16"/>
          <w:lang w:val="en-US"/>
        </w:rPr>
        <w:t>/XVI/1.2, p. 318.</w:t>
      </w:r>
    </w:p>
  </w:footnote>
  <w:footnote w:id="71">
    <w:p w14:paraId="42FEB7C4" w14:textId="1114A6C0" w:rsidR="00EC1F8A" w:rsidRPr="00D2561A" w:rsidRDefault="00EC1F8A" w:rsidP="0011338D">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Cf.</w:t>
      </w:r>
      <w:r w:rsidRPr="00D2561A">
        <w:rPr>
          <w:rFonts w:ascii="Verdana" w:hAnsi="Verdana"/>
          <w:sz w:val="16"/>
          <w:szCs w:val="16"/>
          <w:lang w:val="en-US"/>
        </w:rPr>
        <w:t xml:space="preserve"> Proceedings of the Inter-American Specialized Conference on Human Rights, November 7 to 22, 1969, OEA/</w:t>
      </w:r>
      <w:proofErr w:type="spellStart"/>
      <w:r w:rsidRPr="00D2561A">
        <w:rPr>
          <w:rFonts w:ascii="Verdana" w:hAnsi="Verdana"/>
          <w:sz w:val="16"/>
          <w:szCs w:val="16"/>
          <w:lang w:val="en-US"/>
        </w:rPr>
        <w:t>Ser.K</w:t>
      </w:r>
      <w:proofErr w:type="spellEnd"/>
      <w:r w:rsidRPr="00D2561A">
        <w:rPr>
          <w:rFonts w:ascii="Verdana" w:hAnsi="Verdana"/>
          <w:sz w:val="16"/>
          <w:szCs w:val="16"/>
          <w:lang w:val="en-US"/>
        </w:rPr>
        <w:t>/XVI/1.2, p. 448.</w:t>
      </w:r>
    </w:p>
  </w:footnote>
  <w:footnote w:id="72">
    <w:p w14:paraId="49833DD5" w14:textId="5B5A86CD" w:rsidR="00EC1F8A" w:rsidRPr="00D2561A" w:rsidRDefault="00EC1F8A" w:rsidP="0011338D">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Cf.</w:t>
      </w:r>
      <w:r w:rsidRPr="00D2561A">
        <w:rPr>
          <w:rFonts w:ascii="Verdana" w:hAnsi="Verdana"/>
          <w:sz w:val="16"/>
          <w:szCs w:val="16"/>
          <w:lang w:val="en-US"/>
        </w:rPr>
        <w:t xml:space="preserve"> Concurring opinion of Alberto Pérez </w:t>
      </w:r>
      <w:proofErr w:type="spellStart"/>
      <w:r w:rsidRPr="00D2561A">
        <w:rPr>
          <w:rFonts w:ascii="Verdana" w:hAnsi="Verdana"/>
          <w:sz w:val="16"/>
          <w:szCs w:val="16"/>
          <w:lang w:val="en-US"/>
        </w:rPr>
        <w:t>Pérez</w:t>
      </w:r>
      <w:proofErr w:type="spellEnd"/>
      <w:r w:rsidRPr="00D2561A">
        <w:rPr>
          <w:rFonts w:ascii="Verdana" w:hAnsi="Verdana"/>
          <w:sz w:val="16"/>
          <w:szCs w:val="16"/>
          <w:lang w:val="en-US"/>
        </w:rPr>
        <w:t xml:space="preserve">, </w:t>
      </w:r>
      <w:r w:rsidRPr="00D2561A">
        <w:rPr>
          <w:rFonts w:ascii="Verdana" w:hAnsi="Verdana"/>
          <w:i/>
          <w:sz w:val="16"/>
          <w:szCs w:val="16"/>
          <w:lang w:val="en-US"/>
        </w:rPr>
        <w:t xml:space="preserve">Case of Gonzales </w:t>
      </w:r>
      <w:proofErr w:type="spellStart"/>
      <w:r w:rsidRPr="00D2561A">
        <w:rPr>
          <w:rFonts w:ascii="Verdana" w:hAnsi="Verdana"/>
          <w:i/>
          <w:sz w:val="16"/>
          <w:szCs w:val="16"/>
          <w:lang w:val="en-US"/>
        </w:rPr>
        <w:t>Lluy</w:t>
      </w:r>
      <w:proofErr w:type="spellEnd"/>
      <w:r w:rsidRPr="00D2561A">
        <w:rPr>
          <w:rFonts w:ascii="Verdana" w:hAnsi="Verdana"/>
          <w:i/>
          <w:sz w:val="16"/>
          <w:szCs w:val="16"/>
          <w:lang w:val="en-US"/>
        </w:rPr>
        <w:t xml:space="preserve"> et al. v. Ecuador.</w:t>
      </w:r>
      <w:r w:rsidRPr="00D2561A">
        <w:rPr>
          <w:rFonts w:ascii="Verdana" w:hAnsi="Verdana"/>
          <w:sz w:val="16"/>
          <w:szCs w:val="16"/>
          <w:lang w:val="en-US"/>
        </w:rPr>
        <w:t xml:space="preserve"> Preliminary objections, merits, reparations and costs. Judgment of September 1, 2015 </w:t>
      </w:r>
    </w:p>
  </w:footnote>
  <w:footnote w:id="73">
    <w:p w14:paraId="34D8D3EF" w14:textId="7CADD6CE" w:rsidR="00EC1F8A" w:rsidRPr="00D2561A" w:rsidRDefault="00EC1F8A" w:rsidP="0011338D">
      <w:pPr>
        <w:pStyle w:val="Default"/>
        <w:tabs>
          <w:tab w:val="left" w:pos="360"/>
        </w:tabs>
        <w:ind w:left="-270" w:right="-180" w:firstLine="0"/>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Article 45 of the OAS Charter: “The Member States, convinced that man can only achieve the full realization of his aspirations within a just social order, along with economic development and true peace, agree to dedicate every effort to the application of the following principles and mechanisms: […] (b)) Work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 (c) Employers and workers, both rural and urban, have the right to associate themselves freely for the defense and promotion of their interests, including the right to collective bargaining and the workers' right to strike, and recognition of the juridical personality of associations and the protection of their freedom and independence, all in accordance with applicable laws.</w:t>
      </w:r>
    </w:p>
  </w:footnote>
  <w:footnote w:id="74">
    <w:p w14:paraId="5C1D4EA9" w14:textId="58258A7F" w:rsidR="00EC1F8A" w:rsidRPr="00D2561A" w:rsidRDefault="00EC1F8A" w:rsidP="0011338D">
      <w:pPr>
        <w:pStyle w:val="Textonotapie"/>
        <w:tabs>
          <w:tab w:val="left" w:pos="360"/>
        </w:tabs>
        <w:snapToGrid w:val="0"/>
        <w:ind w:left="-270" w:right="-180"/>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bCs/>
          <w:sz w:val="16"/>
          <w:szCs w:val="16"/>
          <w:lang w:val="en-US"/>
        </w:rPr>
        <w:t xml:space="preserve"> </w:t>
      </w:r>
      <w:r w:rsidRPr="00D2561A">
        <w:rPr>
          <w:rFonts w:ascii="Verdana" w:hAnsi="Verdana"/>
          <w:bCs/>
          <w:sz w:val="16"/>
          <w:szCs w:val="16"/>
          <w:lang w:val="en-US"/>
        </w:rPr>
        <w:tab/>
        <w:t xml:space="preserve">Article 46 of the OAS Charter: “The </w:t>
      </w:r>
      <w:r w:rsidRPr="00D2561A">
        <w:rPr>
          <w:rFonts w:ascii="Verdana" w:hAnsi="Verdana"/>
          <w:sz w:val="16"/>
          <w:szCs w:val="16"/>
          <w:lang w:val="en-US"/>
        </w:rPr>
        <w:t xml:space="preserve">Member States recognize that, in order to facilitate the process of Latin American regional integration, it is necessary to harmonize the social legislation of the developing countries, especially in the labor and social security fields, so that the rights of the workers shall be equally protected, and they agree to make the greatest efforts possible to achieve this goal. </w:t>
      </w:r>
    </w:p>
  </w:footnote>
  <w:footnote w:id="75">
    <w:p w14:paraId="7C81E098" w14:textId="633CF2D3" w:rsidR="00EC1F8A" w:rsidRPr="00D2561A" w:rsidRDefault="00EC1F8A" w:rsidP="0011338D">
      <w:pPr>
        <w:tabs>
          <w:tab w:val="left" w:pos="360"/>
        </w:tabs>
        <w:spacing w:line="240" w:lineRule="auto"/>
        <w:ind w:left="-270" w:right="-180"/>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bCs/>
          <w:sz w:val="16"/>
          <w:szCs w:val="16"/>
          <w:lang w:val="en-US"/>
        </w:rPr>
        <w:t xml:space="preserve"> </w:t>
      </w:r>
      <w:r w:rsidRPr="00D2561A">
        <w:rPr>
          <w:rFonts w:ascii="Verdana" w:hAnsi="Verdana"/>
          <w:bCs/>
          <w:sz w:val="16"/>
          <w:szCs w:val="16"/>
          <w:lang w:val="en-US"/>
        </w:rPr>
        <w:tab/>
        <w:t>Article 34(g) of the OAS Charter: “</w:t>
      </w:r>
      <w:r w:rsidRPr="00D2561A">
        <w:rPr>
          <w:rFonts w:ascii="Verdana" w:hAnsi="Verdana"/>
          <w:sz w:val="16"/>
          <w:szCs w:val="16"/>
          <w:lang w:val="en-US"/>
        </w:rPr>
        <w:t>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w:t>
      </w:r>
      <w:r w:rsidRPr="00D2561A">
        <w:rPr>
          <w:rFonts w:ascii="Verdana" w:hAnsi="Verdana"/>
          <w:bCs/>
          <w:i/>
          <w:iCs/>
          <w:sz w:val="16"/>
          <w:szCs w:val="16"/>
          <w:lang w:val="en-US"/>
        </w:rPr>
        <w:t>: […] (g)</w:t>
      </w:r>
      <w:r w:rsidRPr="00D2561A">
        <w:rPr>
          <w:rFonts w:ascii="Verdana" w:hAnsi="Verdana"/>
          <w:sz w:val="16"/>
          <w:szCs w:val="16"/>
          <w:lang w:val="en-US"/>
        </w:rPr>
        <w:t xml:space="preserve"> Fair wages, employment opportunities, and acceptable working conditions for all.”</w:t>
      </w:r>
    </w:p>
  </w:footnote>
  <w:footnote w:id="76">
    <w:p w14:paraId="7BBE2F19" w14:textId="0FCE9592" w:rsidR="00EC1F8A" w:rsidRPr="00D2561A" w:rsidRDefault="00EC1F8A" w:rsidP="000018E2">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155.</w:t>
      </w:r>
    </w:p>
  </w:footnote>
  <w:footnote w:id="77">
    <w:p w14:paraId="56693098" w14:textId="7D23654B" w:rsidR="00EC1F8A" w:rsidRPr="00D2561A" w:rsidRDefault="00EC1F8A" w:rsidP="000018E2">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Idem</w:t>
      </w:r>
      <w:r w:rsidRPr="00D2561A">
        <w:rPr>
          <w:rFonts w:ascii="Verdana" w:hAnsi="Verdana"/>
          <w:sz w:val="16"/>
          <w:szCs w:val="16"/>
          <w:lang w:val="en-US"/>
        </w:rPr>
        <w:t>.</w:t>
      </w:r>
    </w:p>
  </w:footnote>
  <w:footnote w:id="78">
    <w:p w14:paraId="14C794BD" w14:textId="2FABA856"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161.</w:t>
      </w:r>
    </w:p>
  </w:footnote>
  <w:footnote w:id="79">
    <w:p w14:paraId="6D4F4C49" w14:textId="0891E05D" w:rsidR="00EC1F8A" w:rsidRPr="00D2561A" w:rsidRDefault="00EC1F8A" w:rsidP="00E96AE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the Protocol.</w:t>
      </w:r>
    </w:p>
  </w:footnote>
  <w:footnote w:id="80">
    <w:p w14:paraId="6E4072E0" w14:textId="76F87EE8" w:rsidR="00EC1F8A" w:rsidRPr="00D2561A" w:rsidRDefault="00EC1F8A" w:rsidP="00E96AE9">
      <w:pPr>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vertAlign w:val="superscript"/>
          <w:lang w:val="en-US"/>
        </w:rPr>
        <w:t xml:space="preserve"> </w:t>
      </w:r>
      <w:r w:rsidRPr="00D2561A">
        <w:rPr>
          <w:rFonts w:ascii="Verdana" w:hAnsi="Verdana"/>
          <w:sz w:val="16"/>
          <w:szCs w:val="16"/>
          <w:vertAlign w:val="superscript"/>
          <w:lang w:val="en-US"/>
        </w:rPr>
        <w:tab/>
      </w:r>
      <w:r w:rsidRPr="00D2561A">
        <w:rPr>
          <w:rFonts w:ascii="Verdana" w:hAnsi="Verdana"/>
          <w:i/>
          <w:iCs/>
          <w:sz w:val="16"/>
          <w:szCs w:val="16"/>
          <w:lang w:val="en-US"/>
        </w:rPr>
        <w:t>Supra</w:t>
      </w:r>
      <w:r w:rsidRPr="00D2561A">
        <w:rPr>
          <w:rFonts w:ascii="Verdana" w:hAnsi="Verdana"/>
          <w:sz w:val="16"/>
          <w:szCs w:val="16"/>
          <w:lang w:val="en-US"/>
        </w:rPr>
        <w:t>, footnote 69.</w:t>
      </w:r>
    </w:p>
  </w:footnote>
  <w:footnote w:id="81">
    <w:p w14:paraId="3E5D51FD" w14:textId="77777777" w:rsidR="00EC1F8A" w:rsidRPr="00D2561A" w:rsidRDefault="00EC1F8A" w:rsidP="00E96AE9">
      <w:pPr>
        <w:tabs>
          <w:tab w:val="left" w:pos="360"/>
        </w:tabs>
        <w:spacing w:line="240" w:lineRule="auto"/>
        <w:ind w:left="-270" w:right="-180"/>
        <w:rPr>
          <w:rFonts w:ascii="Verdana" w:eastAsia="Times New Roman" w:hAnsi="Verdana" w:cs="Times New Roman"/>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Art. 1: “Obligation to Adopt Measures. </w:t>
      </w:r>
      <w:r w:rsidRPr="00D2561A">
        <w:rPr>
          <w:rFonts w:ascii="Verdana" w:eastAsia="Times New Roman" w:hAnsi="Verdana" w:cs="Tahoma"/>
          <w:sz w:val="16"/>
          <w:szCs w:val="16"/>
          <w:lang w:val="en-US"/>
        </w:rPr>
        <w:t>The States Parties to this Additional Protocol to the American Convention on Human Rights undertake to adopt the necessary measures, both domestically and through international cooperation, especially economic and technical, to the extent allowed by their available resources, and taking into account their degree of development, for the purpose of achieving progressively and pursuant to their internal legislations, the full observance of the rights recognized in this Protocol.”</w:t>
      </w:r>
    </w:p>
    <w:p w14:paraId="1D1F297C" w14:textId="77777777" w:rsidR="00EC1F8A" w:rsidRPr="00D2561A" w:rsidRDefault="00EC1F8A" w:rsidP="00E96AE9">
      <w:pPr>
        <w:tabs>
          <w:tab w:val="left" w:pos="360"/>
        </w:tabs>
        <w:spacing w:line="240" w:lineRule="auto"/>
        <w:ind w:left="-270" w:right="-180"/>
        <w:rPr>
          <w:rFonts w:ascii="Verdana" w:eastAsia="Times New Roman" w:hAnsi="Verdana" w:cs="Times New Roman"/>
          <w:sz w:val="16"/>
          <w:szCs w:val="16"/>
          <w:lang w:val="en-US"/>
        </w:rPr>
      </w:pPr>
      <w:r w:rsidRPr="00D2561A">
        <w:rPr>
          <w:rFonts w:ascii="Verdana" w:hAnsi="Verdana"/>
          <w:sz w:val="16"/>
          <w:szCs w:val="16"/>
          <w:lang w:val="en-US"/>
        </w:rPr>
        <w:t xml:space="preserve">Art. 4: “Inadmissibility of Restrictions. </w:t>
      </w:r>
      <w:r w:rsidRPr="00D2561A">
        <w:rPr>
          <w:rFonts w:ascii="Verdana" w:eastAsia="Times New Roman" w:hAnsi="Verdana" w:cs="Tahoma"/>
          <w:sz w:val="16"/>
          <w:szCs w:val="16"/>
          <w:lang w:val="en-US"/>
        </w:rPr>
        <w:t>A right which is recognized or in effect in a State by virtue of its internal legislation or international conventions may not be restricted or curtailed on the pretext that this Protocol does not recognize the right or recognizes it to a lesser degree.”</w:t>
      </w:r>
    </w:p>
  </w:footnote>
  <w:footnote w:id="82">
    <w:p w14:paraId="25C5B75B" w14:textId="77777777" w:rsidR="00EC1F8A" w:rsidRPr="00D2561A" w:rsidRDefault="00EC1F8A" w:rsidP="00E96AE9">
      <w:pPr>
        <w:tabs>
          <w:tab w:val="left" w:pos="360"/>
        </w:tabs>
        <w:spacing w:line="240" w:lineRule="auto"/>
        <w:ind w:left="-270" w:right="-180"/>
        <w:rPr>
          <w:rFonts w:ascii="Verdana" w:eastAsia="Times New Roman" w:hAnsi="Verdana" w:cs="Times New Roman"/>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Art. 2: “Obligation to Enact Domestic Legislation. </w:t>
      </w:r>
      <w:r w:rsidRPr="00D2561A">
        <w:rPr>
          <w:rFonts w:ascii="Verdana" w:eastAsia="Times New Roman" w:hAnsi="Verdana" w:cs="Tahoma"/>
          <w:sz w:val="16"/>
          <w:szCs w:val="16"/>
          <w:lang w:val="en-US"/>
        </w:rPr>
        <w:t>If the exercise of the rights set forth in this Protocol is not already guaranteed by legislative or other provisions, the States Parties undertake to adopt, in accordance with their constitutional processes and the provisions of this Protocol, such legislative or other measures as may be necessary for making those rights a reality.”</w:t>
      </w:r>
    </w:p>
    <w:p w14:paraId="2D17D356" w14:textId="77777777" w:rsidR="00EC1F8A" w:rsidRPr="00D2561A" w:rsidRDefault="00EC1F8A" w:rsidP="00E96AE9">
      <w:pPr>
        <w:tabs>
          <w:tab w:val="left" w:pos="360"/>
        </w:tabs>
        <w:spacing w:line="240" w:lineRule="auto"/>
        <w:ind w:left="-270" w:right="-180"/>
        <w:rPr>
          <w:rFonts w:ascii="Verdana" w:eastAsia="Times New Roman" w:hAnsi="Verdana" w:cs="Times New Roman"/>
          <w:sz w:val="16"/>
          <w:szCs w:val="16"/>
          <w:lang w:val="en-US"/>
        </w:rPr>
      </w:pPr>
      <w:r w:rsidRPr="00D2561A">
        <w:rPr>
          <w:rFonts w:ascii="Verdana" w:hAnsi="Verdana"/>
          <w:sz w:val="16"/>
          <w:szCs w:val="16"/>
          <w:lang w:val="en-US"/>
        </w:rPr>
        <w:t xml:space="preserve">Art. 5: “Scope of Restrictions and Limitations. </w:t>
      </w:r>
      <w:r w:rsidRPr="00D2561A">
        <w:rPr>
          <w:rFonts w:ascii="Verdana" w:eastAsia="Times New Roman" w:hAnsi="Verdana" w:cs="Tahoma"/>
          <w:sz w:val="16"/>
          <w:szCs w:val="16"/>
          <w:lang w:val="en-US"/>
        </w:rPr>
        <w:t>The State Parties may establish restrictions and limitations on the enjoyment and exercise of the rights established herein by means of laws promulgated for the purpose of preserving the general welfare in a democratic society only to the extent that they are not incompatible with the purpose and reason underlying those rights.”</w:t>
      </w:r>
    </w:p>
    <w:p w14:paraId="06134357" w14:textId="77777777" w:rsidR="00EC1F8A" w:rsidRPr="00D2561A" w:rsidRDefault="00EC1F8A" w:rsidP="00E96AE9">
      <w:pPr>
        <w:pStyle w:val="Textonotapie"/>
        <w:tabs>
          <w:tab w:val="left" w:pos="360"/>
        </w:tabs>
        <w:snapToGrid w:val="0"/>
        <w:ind w:left="-270" w:right="-180"/>
        <w:rPr>
          <w:rFonts w:ascii="Verdana" w:eastAsia="Times New Roman" w:hAnsi="Verdana" w:cs="Tahoma"/>
          <w:sz w:val="16"/>
          <w:szCs w:val="16"/>
          <w:lang w:val="en-US"/>
        </w:rPr>
      </w:pPr>
      <w:r w:rsidRPr="00D2561A">
        <w:rPr>
          <w:rFonts w:ascii="Verdana" w:hAnsi="Verdana"/>
          <w:sz w:val="16"/>
          <w:szCs w:val="16"/>
          <w:lang w:val="en-US"/>
        </w:rPr>
        <w:t xml:space="preserve">Art. 19(6): “Means of Protection. </w:t>
      </w:r>
      <w:r w:rsidRPr="00D2561A">
        <w:rPr>
          <w:rFonts w:ascii="Verdana" w:eastAsia="Times New Roman" w:hAnsi="Verdana" w:cs="Tahoma"/>
          <w:sz w:val="16"/>
          <w:szCs w:val="16"/>
          <w:lang w:val="en-US"/>
        </w:rPr>
        <w:t>Any instance in which the rights established in paragraph a) of Article 8 and in Article 13 are violated by action directly attributable to a State Party to this Protocol may give rise, through participation of the Inter-American Commission on Human Rights and, when applicable, of the Inter-American Court of Human Rights, to application of the system of individual petitions governed by Article 44 through 51 and 61 through 69 of the American Convention on Human Rights.”</w:t>
      </w:r>
    </w:p>
  </w:footnote>
  <w:footnote w:id="83">
    <w:p w14:paraId="2968DB8E" w14:textId="77777777" w:rsidR="00EC1F8A" w:rsidRPr="00D2561A" w:rsidRDefault="00EC1F8A" w:rsidP="00E96AE9">
      <w:pPr>
        <w:tabs>
          <w:tab w:val="left" w:pos="360"/>
        </w:tabs>
        <w:spacing w:line="240" w:lineRule="auto"/>
        <w:ind w:left="-270" w:right="-180"/>
        <w:rPr>
          <w:rFonts w:ascii="Verdana" w:eastAsia="Times New Roman" w:hAnsi="Verdana" w:cs="Times New Roman"/>
          <w:sz w:val="16"/>
          <w:szCs w:val="16"/>
          <w:lang w:val="en-US"/>
        </w:rPr>
      </w:pPr>
      <w:r w:rsidRPr="00D2561A">
        <w:rPr>
          <w:rStyle w:val="Refdenotaalpie"/>
          <w:rFonts w:ascii="Verdana" w:hAnsi="Verdana"/>
          <w:i/>
          <w:iCs/>
          <w:sz w:val="16"/>
          <w:szCs w:val="16"/>
          <w:lang w:val="en-US"/>
        </w:rPr>
        <w:footnoteRef/>
      </w:r>
      <w:r w:rsidRPr="00D2561A">
        <w:rPr>
          <w:rFonts w:ascii="Verdana" w:hAnsi="Verdana"/>
          <w:i/>
          <w:iCs/>
          <w:sz w:val="16"/>
          <w:szCs w:val="16"/>
          <w:lang w:val="en-US"/>
        </w:rPr>
        <w:t xml:space="preserve"> </w:t>
      </w:r>
      <w:r w:rsidRPr="00D2561A">
        <w:rPr>
          <w:rFonts w:ascii="Verdana" w:hAnsi="Verdana"/>
          <w:i/>
          <w:iCs/>
          <w:sz w:val="16"/>
          <w:szCs w:val="16"/>
          <w:lang w:val="en-US"/>
        </w:rPr>
        <w:tab/>
      </w:r>
      <w:r w:rsidRPr="00D2561A">
        <w:rPr>
          <w:rFonts w:ascii="Verdana" w:hAnsi="Verdana"/>
          <w:sz w:val="16"/>
          <w:szCs w:val="16"/>
          <w:lang w:val="en-US"/>
        </w:rPr>
        <w:t xml:space="preserve">Art. 3: “Obligation of non-discrimination. </w:t>
      </w:r>
      <w:r w:rsidRPr="00D2561A">
        <w:rPr>
          <w:rFonts w:ascii="Verdana" w:eastAsia="Times New Roman" w:hAnsi="Verdana" w:cs="Tahoma"/>
          <w:sz w:val="16"/>
          <w:szCs w:val="16"/>
          <w:lang w:val="en-US"/>
        </w:rPr>
        <w:t>The State Parties to this Protocol undertake to guarantee the exercise of the rights set forth herein without discrimination of any kind for reasons related to race, color, sex, language, religion, political or other opinions, national or social origin, economic status, birth or any other social condition.”</w:t>
      </w:r>
    </w:p>
  </w:footnote>
  <w:footnote w:id="84">
    <w:p w14:paraId="18540037" w14:textId="77777777" w:rsidR="00EC1F8A" w:rsidRPr="00D2561A" w:rsidRDefault="00EC1F8A" w:rsidP="00E96AE9">
      <w:pPr>
        <w:pStyle w:val="Textonotapie"/>
        <w:tabs>
          <w:tab w:val="left" w:pos="360"/>
        </w:tabs>
        <w:snapToGrid w:val="0"/>
        <w:ind w:left="-270" w:right="-180"/>
        <w:rPr>
          <w:rFonts w:ascii="Verdana" w:eastAsia="Times New Roman" w:hAnsi="Verdana" w:cs="Tahom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Art. 19(1): “Means of Protection. </w:t>
      </w:r>
      <w:r w:rsidRPr="00D2561A">
        <w:rPr>
          <w:rFonts w:ascii="Verdana" w:eastAsia="Times New Roman" w:hAnsi="Verdana" w:cs="Tahoma"/>
          <w:sz w:val="16"/>
          <w:szCs w:val="16"/>
          <w:lang w:val="en-US"/>
        </w:rPr>
        <w:t>Pursuant to the provisions of this article and the corresponding rules to be formulated for this purpose by the General Assembly of the Organization of American States, the States Parties to this Protocol undertake to submit periodic reports on the progressive measures they have taken to ensure due respect for the rights set forth in this Protocol.”</w:t>
      </w:r>
    </w:p>
  </w:footnote>
  <w:footnote w:id="85">
    <w:p w14:paraId="6EB54EEA" w14:textId="5CAC9903" w:rsidR="00EC1F8A" w:rsidRPr="00D2561A" w:rsidRDefault="00EC1F8A" w:rsidP="00E96AE9">
      <w:pPr>
        <w:tabs>
          <w:tab w:val="left" w:pos="360"/>
        </w:tabs>
        <w:autoSpaceDE w:val="0"/>
        <w:autoSpaceDN w:val="0"/>
        <w:adjustRightInd w:val="0"/>
        <w:snapToGrid w:val="0"/>
        <w:spacing w:line="240" w:lineRule="auto"/>
        <w:ind w:left="-270" w:right="-162"/>
        <w:rPr>
          <w:rFonts w:ascii="Verdana" w:eastAsia="Times New Roman" w:hAnsi="Verdana" w:cs="Tahom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Art. 19: “Means of Protection. 1. </w:t>
      </w:r>
      <w:r w:rsidRPr="00D2561A">
        <w:rPr>
          <w:rFonts w:ascii="Verdana" w:eastAsia="Times New Roman" w:hAnsi="Verdana" w:cs="Tahoma"/>
          <w:sz w:val="16"/>
          <w:szCs w:val="16"/>
          <w:lang w:val="en-US"/>
        </w:rPr>
        <w:t>Pursuant to the provisions of this article and the corresponding rules to be formulated for this purpose by the General Assembly of the Organization of American States, the States Parties to this Protocol undertake to submit periodic reports on the progressive measures they have taken to ensure due respect for the rights set forth in this Protocol.”</w:t>
      </w:r>
    </w:p>
    <w:p w14:paraId="40309459" w14:textId="77777777" w:rsidR="00EC1F8A" w:rsidRPr="00D2561A" w:rsidRDefault="00EC1F8A" w:rsidP="00A36C5D">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2. All reports shall be submitted to the Secretary General of the OAS, who shall transmit them to the Inter-American Economic and Social Council and the Inter-American Council for Education, Science and Culture so that they may examine them in accordance with the provisions of this article. The Secretary General shall send a copy of such reports to the Inter-American Commission on Human Rights.</w:t>
      </w:r>
    </w:p>
    <w:p w14:paraId="22B7F4B3" w14:textId="77777777" w:rsidR="00EC1F8A" w:rsidRPr="00D2561A" w:rsidRDefault="00EC1F8A" w:rsidP="00A36C5D">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3. The Secretary General of the Organization of American States shall also transmit to the specialized organizations of the inter-American system of which the States Parties to the present Protocol are members, copies or pertinent portions of the reports submitted, insofar as they relate to matters within the purview of those organizations, as established by their constituent instruments.</w:t>
      </w:r>
    </w:p>
    <w:p w14:paraId="06332CC1" w14:textId="77777777" w:rsidR="00EC1F8A" w:rsidRPr="00D2561A" w:rsidRDefault="00EC1F8A" w:rsidP="00A36C5D">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4. The specialized organizations of the inter-American system may submit reports to the Inter-American Economic and Social Council and the Inter-American Council for Education, Science and Culture relative to compliance with the provisions of the present Protocol in their fields of activity.</w:t>
      </w:r>
    </w:p>
    <w:p w14:paraId="7448A4A7" w14:textId="77777777" w:rsidR="00EC1F8A" w:rsidRPr="00D2561A" w:rsidRDefault="00EC1F8A" w:rsidP="00A36C5D">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5. The annual reports submitted to the General Assembly by the Inter-American Economic and Social Council and the Inter-American Council for Education, Science and Culture shall contain a summary of the information received from the States Parties to the present Protocol and the specialized organizations concerning the progressive measures adopted in order to ensure respect for the rights acknowledged in the Protocol itself and the general recommendations they consider to be appropriate in this respect.</w:t>
      </w:r>
    </w:p>
    <w:p w14:paraId="21E191E2" w14:textId="77777777" w:rsidR="00EC1F8A" w:rsidRPr="00D2561A" w:rsidRDefault="00EC1F8A" w:rsidP="00A36C5D">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6. Any instance in which the rights established in paragraph a) of Article 8 and in Article 13 are violated by action directly attributable to a State Party to this Protocol may give rise, through participation of the Inter-American Commission on Human Rights and, when applicable, of the Inter-American Court of Human Rights, to application of the system of individual petitions governed by Article 44 through 51 and 61 through 69 of the American Convention on Human Rights.</w:t>
      </w:r>
    </w:p>
    <w:p w14:paraId="65A63E47" w14:textId="77777777" w:rsidR="00EC1F8A" w:rsidRPr="00D2561A" w:rsidRDefault="00EC1F8A" w:rsidP="00A36C5D">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7. Without prejudice to the provisions of the preceding paragraph, the Inter-American Commission on Human Rights may formulate such observations and recommendations as it deems pertinent concerning the status of the economic, social and cultural rights established in the present Protocol in all or some of the States Parties, which it may include in its Annual Report to the General Assembly or in a special report, whichever it considers more appropriate.</w:t>
      </w:r>
    </w:p>
    <w:p w14:paraId="6DA135DF" w14:textId="22FC3A46" w:rsidR="00EC1F8A" w:rsidRPr="00D2561A" w:rsidRDefault="00EC1F8A" w:rsidP="00A36C5D">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8. The Councils and the Inter-American Commission on Human Rights, in discharging the functions conferred upon them in this article, shall take into account the progressive nature of the observance of the rights subject to protection by this Protocol.</w:t>
      </w:r>
      <w:r w:rsidRPr="00D2561A">
        <w:rPr>
          <w:rFonts w:ascii="Verdana" w:eastAsia="Times New Roman" w:hAnsi="Verdana" w:cs="Times New Roman"/>
          <w:sz w:val="16"/>
          <w:szCs w:val="16"/>
          <w:lang w:val="en-US"/>
        </w:rPr>
        <w:t>”</w:t>
      </w:r>
    </w:p>
  </w:footnote>
  <w:footnote w:id="86">
    <w:p w14:paraId="432628E5" w14:textId="71A565FC" w:rsidR="00EC1F8A" w:rsidRPr="00D2561A" w:rsidRDefault="00EC1F8A" w:rsidP="00EE1953">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 xml:space="preserve">Cf. </w:t>
      </w:r>
      <w:r w:rsidR="00F60CFB" w:rsidRPr="00F60CFB">
        <w:rPr>
          <w:lang w:val="en-US"/>
        </w:rPr>
        <w:t xml:space="preserve">AG/RES. 2262 (XXXVII-O/07) </w:t>
      </w:r>
      <w:r w:rsidRPr="00D2561A">
        <w:rPr>
          <w:rFonts w:ascii="Verdana" w:hAnsi="Verdana"/>
          <w:sz w:val="16"/>
          <w:szCs w:val="16"/>
          <w:lang w:val="en-US"/>
        </w:rPr>
        <w:t>of 05/06/2007.</w:t>
      </w:r>
    </w:p>
  </w:footnote>
  <w:footnote w:id="87">
    <w:p w14:paraId="2F7B0F46" w14:textId="450EEFD7" w:rsidR="00EC1F8A" w:rsidRPr="00D2561A" w:rsidRDefault="00EC1F8A" w:rsidP="00145FDC">
      <w:pPr>
        <w:tabs>
          <w:tab w:val="left" w:pos="360"/>
        </w:tabs>
        <w:spacing w:line="240" w:lineRule="auto"/>
        <w:ind w:left="-270" w:right="-180"/>
        <w:rPr>
          <w:rFonts w:ascii="Verdana" w:eastAsia="Times New Roman" w:hAnsi="Verdana" w:cs="Times New Roman"/>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 8: “Trade Union Rights. 1.</w:t>
      </w:r>
      <w:r w:rsidRPr="00D2561A">
        <w:rPr>
          <w:rFonts w:ascii="Verdana" w:eastAsia="Times New Roman" w:hAnsi="Verdana" w:cs="Tahoma"/>
          <w:sz w:val="16"/>
          <w:szCs w:val="16"/>
          <w:lang w:val="en-US"/>
        </w:rPr>
        <w:t xml:space="preserve"> The States Parties shall ensure:</w:t>
      </w:r>
      <w:r w:rsidRPr="00D2561A">
        <w:rPr>
          <w:rFonts w:ascii="Verdana" w:eastAsia="Times New Roman" w:hAnsi="Verdana" w:cs="Times New Roman"/>
          <w:sz w:val="16"/>
          <w:szCs w:val="16"/>
          <w:lang w:val="en-US"/>
        </w:rPr>
        <w:t xml:space="preserve"> (</w:t>
      </w:r>
      <w:r w:rsidRPr="00D2561A">
        <w:rPr>
          <w:rFonts w:ascii="Verdana" w:eastAsia="Times New Roman" w:hAnsi="Verdana" w:cs="Tahoma"/>
          <w:sz w:val="16"/>
          <w:szCs w:val="16"/>
          <w:lang w:val="en-US"/>
        </w:rPr>
        <w:t>a) The right of workers to organize trade unions and to join the union of their choice for the purpose of protecting and promoting their interests. As an extension of that right, the States Parties shall permit trade unions to establish national federations or confederations, or to affiliate with those that already exist, as well as to form international trade union organizations and to affiliate with that of their choice. The States Parties shall also permit trade unions, federations and confederations to function freely.”</w:t>
      </w:r>
    </w:p>
  </w:footnote>
  <w:footnote w:id="88">
    <w:p w14:paraId="51FF15E1" w14:textId="77777777" w:rsidR="00EC1F8A" w:rsidRPr="00D2561A" w:rsidRDefault="00EC1F8A" w:rsidP="000C1B51">
      <w:pPr>
        <w:tabs>
          <w:tab w:val="left" w:pos="360"/>
        </w:tabs>
        <w:spacing w:line="240" w:lineRule="auto"/>
        <w:ind w:left="-270" w:right="-180"/>
        <w:rPr>
          <w:rFonts w:ascii="Verdana" w:eastAsia="Times New Roman" w:hAnsi="Verdana" w:cs="Times New Roman"/>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Art. 13: “Right to Education. 1 </w:t>
      </w:r>
      <w:r w:rsidRPr="00D2561A">
        <w:rPr>
          <w:rFonts w:ascii="Verdana" w:eastAsia="Times New Roman" w:hAnsi="Verdana" w:cs="Tahoma"/>
          <w:sz w:val="16"/>
          <w:szCs w:val="16"/>
          <w:lang w:val="en-US"/>
        </w:rPr>
        <w:t>Everyone has the right to education.</w:t>
      </w:r>
      <w:r w:rsidRPr="00D2561A">
        <w:rPr>
          <w:rFonts w:ascii="Verdana" w:eastAsia="Times New Roman" w:hAnsi="Verdana" w:cs="Times New Roman"/>
          <w:sz w:val="16"/>
          <w:szCs w:val="16"/>
          <w:lang w:val="en-US"/>
        </w:rPr>
        <w:t xml:space="preserve"> </w:t>
      </w:r>
    </w:p>
    <w:p w14:paraId="4733EE90" w14:textId="211C33E1" w:rsidR="00EC1F8A" w:rsidRPr="00D2561A" w:rsidRDefault="00EC1F8A" w:rsidP="000C1B51">
      <w:pPr>
        <w:tabs>
          <w:tab w:val="left" w:pos="360"/>
        </w:tabs>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2. The States Parties to this Protocol agree that education should be directed towards the full development of the human personality and human dignity and should strengthen respect for human rights, ideological pluralism, fundamental freedoms, justice and peace. They further agree that education ought to enable everyone to participate effectively in a democratic and pluralistic society and achieve a decent existence and should foster understanding, tolerance and friendship among all nations and all racial, ethnic or religious groups and promote activities for the maintenance of peace.</w:t>
      </w:r>
    </w:p>
    <w:p w14:paraId="63CACFCC" w14:textId="77777777" w:rsidR="00EC1F8A" w:rsidRPr="00D2561A" w:rsidRDefault="00EC1F8A" w:rsidP="000C1B51">
      <w:pPr>
        <w:spacing w:line="240" w:lineRule="auto"/>
        <w:ind w:left="-270" w:right="-180"/>
        <w:rPr>
          <w:rFonts w:ascii="Verdana" w:eastAsia="Times New Roman" w:hAnsi="Verdana" w:cs="Times New Roman"/>
          <w:sz w:val="16"/>
          <w:szCs w:val="16"/>
          <w:lang w:val="en-US"/>
        </w:rPr>
      </w:pPr>
      <w:r w:rsidRPr="00D2561A">
        <w:rPr>
          <w:rFonts w:ascii="Verdana" w:hAnsi="Verdana"/>
          <w:sz w:val="16"/>
          <w:szCs w:val="16"/>
          <w:lang w:val="en-US"/>
        </w:rPr>
        <w:t xml:space="preserve">3. </w:t>
      </w:r>
      <w:r w:rsidRPr="00D2561A">
        <w:rPr>
          <w:rFonts w:ascii="Verdana" w:eastAsia="Times New Roman" w:hAnsi="Verdana" w:cs="Tahoma"/>
          <w:sz w:val="16"/>
          <w:szCs w:val="16"/>
          <w:lang w:val="en-US"/>
        </w:rPr>
        <w:t>The States Parties to this Protocol recognize that in order to achieve the full exercise of the right to education:</w:t>
      </w:r>
    </w:p>
    <w:p w14:paraId="7692A204" w14:textId="77777777" w:rsidR="00EC1F8A" w:rsidRPr="00D2561A" w:rsidRDefault="00EC1F8A" w:rsidP="000C1B51">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a. Primary education should be compulsory and accessible to all without cost;</w:t>
      </w:r>
    </w:p>
    <w:p w14:paraId="725E7CA5" w14:textId="77777777" w:rsidR="00EC1F8A" w:rsidRPr="00D2561A" w:rsidRDefault="00EC1F8A" w:rsidP="000C1B51">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b. Secondary education in its different forms, including technical and vocational secondary education, should be made generally available and accessible to all by every appropriate means, and in particular, by the progressive introduction of free education;</w:t>
      </w:r>
    </w:p>
    <w:p w14:paraId="2DE0B643" w14:textId="77777777" w:rsidR="00EC1F8A" w:rsidRPr="00D2561A" w:rsidRDefault="00EC1F8A" w:rsidP="000C1B51">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c. Higher education should be made equally accessible to all, on the basis of individual capacity, by every appropriate means, and in particular, by the progressive introduction of free education;</w:t>
      </w:r>
    </w:p>
    <w:p w14:paraId="20BCE69C" w14:textId="77777777" w:rsidR="00EC1F8A" w:rsidRPr="00D2561A" w:rsidRDefault="00EC1F8A" w:rsidP="000C1B51">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d. Basic education should be encouraged or intensified as far as possible for those persons who have not received or completed the whole cycle of primary instruction;</w:t>
      </w:r>
    </w:p>
    <w:p w14:paraId="09E79FFA" w14:textId="77777777" w:rsidR="00EC1F8A" w:rsidRPr="00D2561A" w:rsidRDefault="00EC1F8A" w:rsidP="000C1B51">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e. Programs of special education should be established for the handicapped, so as to provide special instruction and training to persons with physical disabilities or mental deficiencies.</w:t>
      </w:r>
    </w:p>
    <w:p w14:paraId="15F1013B" w14:textId="77777777" w:rsidR="00EC1F8A" w:rsidRPr="00D2561A" w:rsidRDefault="00EC1F8A" w:rsidP="000C1B51">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4. In conformity with the domestic legislation of the States Parties, parents should have the right to select the type of education to be given to their children, provided that it conforms to the principles set forth above.</w:t>
      </w:r>
    </w:p>
    <w:p w14:paraId="206396AB" w14:textId="71372F60" w:rsidR="00EC1F8A" w:rsidRPr="00D2561A" w:rsidRDefault="00EC1F8A" w:rsidP="000C1B51">
      <w:pPr>
        <w:spacing w:line="240" w:lineRule="auto"/>
        <w:ind w:left="-270" w:right="-180"/>
        <w:rPr>
          <w:rFonts w:ascii="Verdana" w:eastAsia="Times New Roman" w:hAnsi="Verdana" w:cs="Times New Roman"/>
          <w:sz w:val="16"/>
          <w:szCs w:val="16"/>
          <w:lang w:val="en-US"/>
        </w:rPr>
      </w:pPr>
      <w:r w:rsidRPr="00D2561A">
        <w:rPr>
          <w:rFonts w:ascii="Verdana" w:eastAsia="Times New Roman" w:hAnsi="Verdana" w:cs="Tahoma"/>
          <w:sz w:val="16"/>
          <w:szCs w:val="16"/>
          <w:lang w:val="en-US"/>
        </w:rPr>
        <w:t>5. Nothing in this Protocol shall be interpreted as a restriction of the freedom of individuals and entities to establish and direct educational institutions in accordance with the domestic legislation of the States Parties.</w:t>
      </w:r>
    </w:p>
  </w:footnote>
  <w:footnote w:id="89">
    <w:p w14:paraId="063F64FC" w14:textId="6EA1F79B" w:rsidR="00EC1F8A" w:rsidRPr="006559EC" w:rsidRDefault="00EC1F8A" w:rsidP="006D0C79">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6559EC">
        <w:rPr>
          <w:rFonts w:ascii="Verdana" w:hAnsi="Verdana"/>
          <w:sz w:val="16"/>
          <w:szCs w:val="16"/>
          <w:lang w:val="es-CR"/>
        </w:rPr>
        <w:t xml:space="preserve"> </w:t>
      </w:r>
      <w:r w:rsidRPr="006559EC">
        <w:rPr>
          <w:rFonts w:ascii="Verdana" w:hAnsi="Verdana"/>
          <w:sz w:val="16"/>
          <w:szCs w:val="16"/>
          <w:lang w:val="es-CR"/>
        </w:rPr>
        <w:tab/>
        <w:t xml:space="preserve">Supra, </w:t>
      </w:r>
      <w:proofErr w:type="spellStart"/>
      <w:r w:rsidRPr="006559EC">
        <w:rPr>
          <w:rFonts w:ascii="Verdana" w:hAnsi="Verdana"/>
          <w:sz w:val="16"/>
          <w:szCs w:val="16"/>
          <w:lang w:val="es-CR"/>
        </w:rPr>
        <w:t>footnote</w:t>
      </w:r>
      <w:proofErr w:type="spellEnd"/>
      <w:r w:rsidRPr="006559EC">
        <w:rPr>
          <w:rFonts w:ascii="Verdana" w:hAnsi="Verdana"/>
          <w:sz w:val="16"/>
          <w:szCs w:val="16"/>
          <w:lang w:val="es-CR"/>
        </w:rPr>
        <w:t xml:space="preserve"> 69.</w:t>
      </w:r>
    </w:p>
  </w:footnote>
  <w:footnote w:id="90">
    <w:p w14:paraId="66213591" w14:textId="42AEC8B0" w:rsidR="00EC1F8A" w:rsidRPr="006559EC" w:rsidRDefault="00EC1F8A" w:rsidP="006D0C79">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6559EC">
        <w:rPr>
          <w:rFonts w:ascii="Verdana" w:hAnsi="Verdana"/>
          <w:i/>
          <w:iCs/>
          <w:sz w:val="16"/>
          <w:szCs w:val="16"/>
          <w:lang w:val="es-CR"/>
        </w:rPr>
        <w:t xml:space="preserve"> </w:t>
      </w:r>
      <w:r w:rsidRPr="006559EC">
        <w:rPr>
          <w:rFonts w:ascii="Verdana" w:hAnsi="Verdana"/>
          <w:i/>
          <w:iCs/>
          <w:sz w:val="16"/>
          <w:szCs w:val="16"/>
          <w:lang w:val="es-CR"/>
        </w:rPr>
        <w:tab/>
        <w:t>Supra</w:t>
      </w:r>
      <w:r w:rsidRPr="006559EC">
        <w:rPr>
          <w:rFonts w:ascii="Verdana" w:hAnsi="Verdana"/>
          <w:sz w:val="16"/>
          <w:szCs w:val="16"/>
          <w:lang w:val="es-CR"/>
        </w:rPr>
        <w:t>, Para. 73.</w:t>
      </w:r>
    </w:p>
  </w:footnote>
  <w:footnote w:id="91">
    <w:p w14:paraId="238113E3" w14:textId="11BED084" w:rsidR="00EC1F8A" w:rsidRPr="006559EC" w:rsidRDefault="00EC1F8A" w:rsidP="006D0C79">
      <w:pPr>
        <w:pStyle w:val="Textonotapie"/>
        <w:tabs>
          <w:tab w:val="left" w:pos="360"/>
        </w:tabs>
        <w:snapToGrid w:val="0"/>
        <w:ind w:left="-270" w:right="-162"/>
        <w:rPr>
          <w:rFonts w:ascii="Verdana" w:hAnsi="Verdana"/>
          <w:sz w:val="16"/>
          <w:szCs w:val="16"/>
          <w:lang w:val="es-CR"/>
        </w:rPr>
      </w:pPr>
      <w:r w:rsidRPr="00D2561A">
        <w:rPr>
          <w:rStyle w:val="Refdenotaalpie"/>
          <w:rFonts w:ascii="Verdana" w:hAnsi="Verdana"/>
          <w:sz w:val="16"/>
          <w:szCs w:val="16"/>
          <w:lang w:val="en-US"/>
        </w:rPr>
        <w:footnoteRef/>
      </w:r>
      <w:r w:rsidRPr="006559EC">
        <w:rPr>
          <w:rFonts w:ascii="Verdana" w:hAnsi="Verdana"/>
          <w:sz w:val="16"/>
          <w:szCs w:val="16"/>
          <w:lang w:val="es-CR"/>
        </w:rPr>
        <w:t xml:space="preserve"> </w:t>
      </w:r>
      <w:r w:rsidRPr="006559EC">
        <w:rPr>
          <w:rFonts w:ascii="Verdana" w:hAnsi="Verdana"/>
          <w:sz w:val="16"/>
          <w:szCs w:val="16"/>
          <w:lang w:val="es-CR"/>
        </w:rPr>
        <w:tab/>
      </w:r>
      <w:r w:rsidRPr="006559EC">
        <w:rPr>
          <w:rFonts w:ascii="Verdana" w:hAnsi="Verdana"/>
          <w:i/>
          <w:iCs/>
          <w:sz w:val="16"/>
          <w:szCs w:val="16"/>
          <w:lang w:val="es-CR"/>
        </w:rPr>
        <w:t>Supra</w:t>
      </w:r>
      <w:r w:rsidRPr="006559EC">
        <w:rPr>
          <w:rFonts w:ascii="Verdana" w:hAnsi="Verdana"/>
          <w:sz w:val="16"/>
          <w:szCs w:val="16"/>
          <w:lang w:val="es-CR"/>
        </w:rPr>
        <w:t xml:space="preserve">, </w:t>
      </w:r>
      <w:proofErr w:type="spellStart"/>
      <w:r w:rsidRPr="006559EC">
        <w:rPr>
          <w:rFonts w:ascii="Verdana" w:hAnsi="Verdana"/>
          <w:sz w:val="16"/>
          <w:szCs w:val="16"/>
          <w:lang w:val="es-CR"/>
        </w:rPr>
        <w:t>footnote</w:t>
      </w:r>
      <w:proofErr w:type="spellEnd"/>
      <w:r w:rsidRPr="006559EC">
        <w:rPr>
          <w:rFonts w:ascii="Verdana" w:hAnsi="Verdana"/>
          <w:sz w:val="16"/>
          <w:szCs w:val="16"/>
          <w:lang w:val="es-CR"/>
        </w:rPr>
        <w:t xml:space="preserve"> 3.</w:t>
      </w:r>
    </w:p>
  </w:footnote>
  <w:footnote w:id="92">
    <w:p w14:paraId="6CE57D07" w14:textId="45D2750A"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Supra</w:t>
      </w:r>
      <w:r w:rsidRPr="00D2561A">
        <w:rPr>
          <w:rFonts w:ascii="Verdana" w:hAnsi="Verdana"/>
          <w:sz w:val="16"/>
          <w:szCs w:val="16"/>
          <w:lang w:val="en-US"/>
        </w:rPr>
        <w:t>, footnote 4.</w:t>
      </w:r>
    </w:p>
  </w:footnote>
  <w:footnote w:id="93">
    <w:p w14:paraId="09EBB826" w14:textId="77777777" w:rsidR="00EC1F8A" w:rsidRPr="00D2561A" w:rsidRDefault="00EC1F8A" w:rsidP="00E3037C">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Adopted at the twenty-eight special session of the OAS General Assembly held in Lima, Peru, September 11, 2001.</w:t>
      </w:r>
    </w:p>
  </w:footnote>
  <w:footnote w:id="94">
    <w:p w14:paraId="2ABB15CB" w14:textId="617E0318"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ISHR.</w:t>
      </w:r>
    </w:p>
  </w:footnote>
  <w:footnote w:id="95">
    <w:p w14:paraId="35817A85" w14:textId="0DFF0792"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 xml:space="preserve">Supra, footnote 3. </w:t>
      </w:r>
    </w:p>
  </w:footnote>
  <w:footnote w:id="96">
    <w:p w14:paraId="61A20684" w14:textId="2539A730"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Hereinafter, Article 24.</w:t>
      </w:r>
    </w:p>
  </w:footnote>
  <w:footnote w:id="97">
    <w:p w14:paraId="01D6DDF9" w14:textId="1A8254ED"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hAnsi="Verdana"/>
          <w:i/>
          <w:iCs/>
          <w:sz w:val="16"/>
          <w:szCs w:val="16"/>
          <w:lang w:val="en-US"/>
        </w:rPr>
        <w:t>Supra</w:t>
      </w:r>
      <w:r w:rsidRPr="00D2561A">
        <w:rPr>
          <w:rFonts w:ascii="Verdana" w:hAnsi="Verdana"/>
          <w:sz w:val="16"/>
          <w:szCs w:val="16"/>
          <w:lang w:val="en-US"/>
        </w:rPr>
        <w:t xml:space="preserve">, footnote 11. </w:t>
      </w:r>
    </w:p>
  </w:footnote>
  <w:footnote w:id="98">
    <w:p w14:paraId="256380E8" w14:textId="21645291" w:rsidR="00EC1F8A" w:rsidRPr="00D2561A" w:rsidRDefault="00EC1F8A" w:rsidP="002F0A20">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Paras. 185 to 200.</w:t>
      </w:r>
    </w:p>
  </w:footnote>
  <w:footnote w:id="99">
    <w:p w14:paraId="64FFBBF0" w14:textId="6D216F1B" w:rsidR="00EC1F8A" w:rsidRPr="00D2561A" w:rsidRDefault="00EC1F8A" w:rsidP="000C1B51">
      <w:pPr>
        <w:pStyle w:val="NormalWeb"/>
        <w:tabs>
          <w:tab w:val="left" w:pos="360"/>
        </w:tabs>
        <w:spacing w:line="240" w:lineRule="auto"/>
        <w:ind w:left="-270" w:right="-180"/>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Art. 31(4) of the Vienna Convention: “A special meaning shall be given to a term if it is established that the parties so intended.”</w:t>
      </w:r>
    </w:p>
  </w:footnote>
  <w:footnote w:id="100">
    <w:p w14:paraId="4C03E80B" w14:textId="20581681" w:rsidR="00EC1F8A" w:rsidRPr="006559EC" w:rsidRDefault="00EC1F8A" w:rsidP="00D5153E">
      <w:pPr>
        <w:pStyle w:val="Textonotapie"/>
        <w:tabs>
          <w:tab w:val="left" w:pos="360"/>
        </w:tabs>
        <w:snapToGrid w:val="0"/>
        <w:ind w:left="-270" w:right="-180"/>
        <w:rPr>
          <w:rFonts w:ascii="Verdana" w:hAnsi="Verdana"/>
          <w:sz w:val="16"/>
          <w:szCs w:val="16"/>
          <w:lang w:val="es-CR"/>
        </w:rPr>
      </w:pPr>
      <w:r w:rsidRPr="00D2561A">
        <w:rPr>
          <w:rStyle w:val="Refdenotaalpie"/>
          <w:rFonts w:ascii="Verdana" w:hAnsi="Verdana"/>
          <w:sz w:val="16"/>
          <w:szCs w:val="16"/>
          <w:lang w:val="en-US"/>
        </w:rPr>
        <w:footnoteRef/>
      </w:r>
      <w:r w:rsidRPr="006559EC">
        <w:rPr>
          <w:rFonts w:ascii="Verdana" w:hAnsi="Verdana"/>
          <w:sz w:val="16"/>
          <w:szCs w:val="16"/>
          <w:lang w:val="es-CR"/>
        </w:rPr>
        <w:t xml:space="preserve"> </w:t>
      </w:r>
      <w:r w:rsidRPr="006559EC">
        <w:rPr>
          <w:rFonts w:ascii="Verdana" w:hAnsi="Verdana"/>
          <w:sz w:val="16"/>
          <w:szCs w:val="16"/>
          <w:lang w:val="es-CR"/>
        </w:rPr>
        <w:tab/>
      </w:r>
      <w:r w:rsidRPr="006559EC">
        <w:rPr>
          <w:rFonts w:ascii="Verdana" w:hAnsi="Verdana"/>
          <w:i/>
          <w:iCs/>
          <w:sz w:val="16"/>
          <w:szCs w:val="16"/>
          <w:lang w:val="es-CR"/>
        </w:rPr>
        <w:t xml:space="preserve">Cf. </w:t>
      </w:r>
      <w:r w:rsidRPr="006559EC">
        <w:rPr>
          <w:rFonts w:ascii="Verdana" w:hAnsi="Verdana"/>
          <w:sz w:val="16"/>
          <w:szCs w:val="16"/>
          <w:lang w:val="es-CR"/>
        </w:rPr>
        <w:t>Diccionario de la Lengua Española, Real Academia Española, 2020.</w:t>
      </w:r>
    </w:p>
  </w:footnote>
  <w:footnote w:id="101">
    <w:p w14:paraId="6BA782D9" w14:textId="2C65F08E" w:rsidR="00EC1F8A" w:rsidRPr="00D2561A" w:rsidRDefault="00EC1F8A" w:rsidP="00D5153E">
      <w:pPr>
        <w:pStyle w:val="NormalWeb"/>
        <w:tabs>
          <w:tab w:val="left" w:pos="360"/>
        </w:tabs>
        <w:snapToGrid w:val="0"/>
        <w:spacing w:line="240" w:lineRule="auto"/>
        <w:ind w:left="-270" w:right="-180"/>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“Scope of Restrictions. The restrictions that, pursuant to this Convention, may be placed on the enjoyment or exercise of the rights or freedoms recognized herein may not be applied except in accordance with laws enacted for reasons of general interest and in accordance with the purpose for which such restrictions have been established.”</w:t>
      </w:r>
    </w:p>
  </w:footnote>
  <w:footnote w:id="102">
    <w:p w14:paraId="162345A0" w14:textId="4490BC04" w:rsidR="00EC1F8A" w:rsidRPr="00D2561A" w:rsidRDefault="00EC1F8A" w:rsidP="006D0C79">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16 of OC-6/86.</w:t>
      </w:r>
    </w:p>
  </w:footnote>
  <w:footnote w:id="103">
    <w:p w14:paraId="2F365410" w14:textId="5DA3DD1C" w:rsidR="00EC1F8A" w:rsidRPr="00D2561A" w:rsidRDefault="00EC1F8A" w:rsidP="007825C3">
      <w:pPr>
        <w:tabs>
          <w:tab w:val="left" w:pos="360"/>
          <w:tab w:val="left" w:pos="1080"/>
          <w:tab w:val="left" w:pos="1680"/>
          <w:tab w:val="left" w:pos="5400"/>
        </w:tabs>
        <w:suppressAutoHyphens/>
        <w:spacing w:line="240" w:lineRule="auto"/>
        <w:ind w:left="-270" w:right="-90"/>
        <w:rPr>
          <w:rFonts w:ascii="Verdana" w:hAnsi="Verdana"/>
          <w:spacing w:val="-3"/>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“The Court, at the request of a member state of the Organization, may provide that State with opinions regarding the compatibility of any of its domestic laws with the aforesaid international instruments.”</w:t>
      </w:r>
    </w:p>
  </w:footnote>
  <w:footnote w:id="104">
    <w:p w14:paraId="53ABE316" w14:textId="77777777" w:rsidR="00EC1F8A" w:rsidRPr="00D2561A" w:rsidRDefault="00EC1F8A" w:rsidP="008D55DA">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182.</w:t>
      </w:r>
    </w:p>
  </w:footnote>
  <w:footnote w:id="105">
    <w:p w14:paraId="41113321" w14:textId="62A1552A" w:rsidR="00EC1F8A" w:rsidRPr="00D2561A" w:rsidRDefault="00EC1F8A" w:rsidP="006D0C79">
      <w:pPr>
        <w:pStyle w:val="NormalWeb"/>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r>
      <w:r w:rsidRPr="00D2561A">
        <w:rPr>
          <w:rFonts w:ascii="Verdana" w:eastAsia="Times New Roman" w:hAnsi="Verdana" w:cs="Tahoma"/>
          <w:sz w:val="16"/>
          <w:szCs w:val="16"/>
          <w:lang w:val="en-US" w:eastAsia="es-CR"/>
        </w:rPr>
        <w:t>Art. 44:</w:t>
      </w:r>
      <w:r w:rsidRPr="00D2561A">
        <w:rPr>
          <w:rFonts w:ascii="Verdana" w:eastAsia="Times New Roman" w:hAnsi="Verdana" w:cs="Tahoma"/>
          <w:b/>
          <w:bCs/>
          <w:sz w:val="16"/>
          <w:szCs w:val="16"/>
          <w:lang w:val="en-US" w:eastAsia="es-CR"/>
        </w:rPr>
        <w:t xml:space="preserve"> </w:t>
      </w:r>
      <w:r w:rsidRPr="00D2561A">
        <w:rPr>
          <w:rFonts w:ascii="Verdana" w:eastAsia="Times New Roman" w:hAnsi="Verdana" w:cs="Tahoma"/>
          <w:b/>
          <w:bCs/>
          <w:i/>
          <w:iCs/>
          <w:sz w:val="16"/>
          <w:szCs w:val="16"/>
          <w:lang w:val="en-US" w:eastAsia="es-CR"/>
        </w:rPr>
        <w:t>“</w:t>
      </w:r>
      <w:r w:rsidRPr="00D2561A">
        <w:rPr>
          <w:rFonts w:ascii="Verdana" w:hAnsi="Verdana"/>
          <w:spacing w:val="-3"/>
          <w:sz w:val="16"/>
          <w:szCs w:val="16"/>
          <w:lang w:val="en-US"/>
        </w:rPr>
        <w:t>Any person or group of persons, or any nongovernmental entity legally recognized in one or more member states of the Organization, may lodge petitions with the Commission containing denunciations or complaints of violation of this Convention by a State Party</w:t>
      </w:r>
      <w:r w:rsidRPr="00D2561A">
        <w:rPr>
          <w:rFonts w:ascii="Verdana" w:eastAsia="Times New Roman" w:hAnsi="Verdana" w:cs="Tahoma"/>
          <w:i/>
          <w:iCs/>
          <w:sz w:val="16"/>
          <w:szCs w:val="16"/>
          <w:lang w:val="en-US" w:eastAsia="es-CR"/>
        </w:rPr>
        <w:t>.”</w:t>
      </w:r>
    </w:p>
  </w:footnote>
  <w:footnote w:id="106">
    <w:p w14:paraId="1D3878C5" w14:textId="512FB1D1" w:rsidR="00EC1F8A" w:rsidRPr="00D2561A" w:rsidRDefault="00EC1F8A" w:rsidP="008A34BF">
      <w:pPr>
        <w:pStyle w:val="NormalWeb"/>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i/>
          <w:iCs/>
          <w:sz w:val="16"/>
          <w:szCs w:val="16"/>
          <w:lang w:val="en-US"/>
        </w:rPr>
        <w:footnoteRef/>
      </w:r>
      <w:r w:rsidRPr="00D2561A">
        <w:rPr>
          <w:rFonts w:ascii="Verdana" w:hAnsi="Verdana"/>
          <w:i/>
          <w:iCs/>
          <w:sz w:val="16"/>
          <w:szCs w:val="16"/>
          <w:lang w:val="en-US"/>
        </w:rPr>
        <w:t xml:space="preserve"> </w:t>
      </w:r>
      <w:r w:rsidRPr="00D2561A">
        <w:rPr>
          <w:rFonts w:ascii="Verdana" w:hAnsi="Verdana"/>
          <w:sz w:val="16"/>
          <w:szCs w:val="16"/>
          <w:lang w:val="en-US"/>
        </w:rPr>
        <w:tab/>
        <w:t xml:space="preserve">“Rights of the Child. </w:t>
      </w:r>
      <w:r w:rsidRPr="00D2561A">
        <w:rPr>
          <w:rFonts w:ascii="Verdana" w:hAnsi="Verdana"/>
          <w:spacing w:val="-3"/>
          <w:sz w:val="16"/>
          <w:szCs w:val="16"/>
          <w:lang w:val="en-US"/>
        </w:rPr>
        <w:t>Every minor child has the right to the measures of protection required by his condition as a minor on the part of his family, society, and the state.”</w:t>
      </w:r>
    </w:p>
  </w:footnote>
  <w:footnote w:id="107">
    <w:p w14:paraId="1B4EC701" w14:textId="77777777" w:rsidR="00EC1F8A" w:rsidRPr="00D2561A" w:rsidRDefault="00EC1F8A" w:rsidP="00B37B63">
      <w:pPr>
        <w:tabs>
          <w:tab w:val="left" w:pos="360"/>
        </w:tabs>
        <w:snapToGrid w:val="0"/>
        <w:spacing w:line="240" w:lineRule="auto"/>
        <w:ind w:left="-270" w:right="-162"/>
        <w:rPr>
          <w:rFonts w:ascii="Verdana" w:hAnsi="Verdana"/>
          <w:sz w:val="16"/>
          <w:szCs w:val="16"/>
          <w:lang w:val="en-US"/>
        </w:rPr>
      </w:pPr>
      <w:r w:rsidRPr="00F60CFB">
        <w:rPr>
          <w:rStyle w:val="Refdenotaalpie"/>
          <w:rFonts w:ascii="Verdana" w:hAnsi="Verdana"/>
          <w:iCs/>
          <w:sz w:val="16"/>
          <w:szCs w:val="16"/>
          <w:lang w:val="en-US"/>
        </w:rPr>
        <w:footnoteRef/>
      </w:r>
      <w:r w:rsidRPr="00D2561A">
        <w:rPr>
          <w:rFonts w:ascii="Verdana" w:hAnsi="Verdana"/>
          <w:i/>
          <w:iCs/>
          <w:sz w:val="16"/>
          <w:szCs w:val="16"/>
          <w:lang w:val="en-US"/>
        </w:rPr>
        <w:t xml:space="preserve"> </w:t>
      </w:r>
      <w:r w:rsidRPr="00D2561A">
        <w:rPr>
          <w:rFonts w:ascii="Verdana" w:hAnsi="Verdana"/>
          <w:i/>
          <w:iCs/>
          <w:sz w:val="16"/>
          <w:szCs w:val="16"/>
          <w:lang w:val="en-US"/>
        </w:rPr>
        <w:tab/>
        <w:t>“</w:t>
      </w:r>
      <w:r w:rsidRPr="003A1246">
        <w:rPr>
          <w:rFonts w:ascii="Verdana" w:hAnsi="Verdana"/>
          <w:iCs/>
          <w:sz w:val="16"/>
          <w:szCs w:val="16"/>
          <w:lang w:val="en-US"/>
        </w:rPr>
        <w:t>The State is responsible for the violation of the rights to life and of the child contained Articles 4(1) and 19, in relation to Article 1(1) of the American Convention on Human Rights, to the detriment of the sixty persons who died in the explosion of the fireworks factory of Santo Antônio de Jesus on December 11, 1998, referred to in paragraph 139 of this judgment, who included twenty children, according to paragraphs 115 to 139 of this judgment</w:t>
      </w:r>
      <w:r>
        <w:rPr>
          <w:rFonts w:ascii="Verdana" w:hAnsi="Verdana"/>
          <w:i/>
          <w:iCs/>
          <w:sz w:val="16"/>
          <w:szCs w:val="16"/>
          <w:lang w:val="en-US"/>
        </w:rPr>
        <w:t>.</w:t>
      </w:r>
      <w:r w:rsidRPr="00D2561A">
        <w:rPr>
          <w:rFonts w:ascii="Verdana" w:hAnsi="Verdana"/>
          <w:sz w:val="16"/>
          <w:szCs w:val="16"/>
          <w:lang w:val="en-US"/>
        </w:rPr>
        <w:t>”</w:t>
      </w:r>
      <w:r w:rsidRPr="00D2561A">
        <w:rPr>
          <w:rFonts w:ascii="Verdana" w:hAnsi="Verdana"/>
          <w:bCs/>
          <w:i/>
          <w:iCs/>
          <w:sz w:val="16"/>
          <w:szCs w:val="16"/>
          <w:lang w:val="en-US"/>
        </w:rPr>
        <w:t xml:space="preserve">  </w:t>
      </w:r>
    </w:p>
  </w:footnote>
  <w:footnote w:id="108">
    <w:p w14:paraId="3E7F38E6" w14:textId="79EA5018" w:rsidR="00EC1F8A" w:rsidRPr="00D2561A" w:rsidRDefault="00EC1F8A" w:rsidP="008A34BF">
      <w:pPr>
        <w:pStyle w:val="NormalWeb"/>
        <w:tabs>
          <w:tab w:val="left" w:pos="360"/>
        </w:tabs>
        <w:snapToGrid w:val="0"/>
        <w:spacing w:line="240" w:lineRule="auto"/>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w:t>
      </w:r>
      <w:r w:rsidRPr="00D2561A">
        <w:rPr>
          <w:rFonts w:ascii="Verdana" w:hAnsi="Verdana"/>
          <w:spacing w:val="-3"/>
          <w:sz w:val="16"/>
          <w:szCs w:val="16"/>
          <w:lang w:val="en-US"/>
        </w:rPr>
        <w:t>Every person has the right to have his life respected.  This right shall be protected by law and, in general, from the moment of conception.  No one shall be arbitrarily deprived of his life.</w:t>
      </w:r>
    </w:p>
  </w:footnote>
  <w:footnote w:id="109">
    <w:p w14:paraId="15D42E0F" w14:textId="281CD8AB" w:rsidR="00EC1F8A" w:rsidRPr="00D2561A" w:rsidRDefault="00EC1F8A" w:rsidP="008A34BF">
      <w:pPr>
        <w:pStyle w:val="Textonotapie"/>
        <w:tabs>
          <w:tab w:val="left" w:pos="360"/>
        </w:tabs>
        <w:snapToGrid w:val="0"/>
        <w:ind w:left="-270" w:right="-162"/>
        <w:rPr>
          <w:rFonts w:ascii="Verdana" w:hAnsi="Verdana"/>
          <w:sz w:val="16"/>
          <w:szCs w:val="16"/>
          <w:lang w:val="en-US"/>
        </w:rPr>
      </w:pPr>
      <w:r w:rsidRPr="00D2561A">
        <w:rPr>
          <w:rStyle w:val="Refdenotaalpie"/>
          <w:rFonts w:ascii="Verdana" w:hAnsi="Verdana"/>
          <w:sz w:val="16"/>
          <w:szCs w:val="16"/>
          <w:lang w:val="en-US"/>
        </w:rPr>
        <w:footnoteRef/>
      </w:r>
      <w:r w:rsidRPr="00D2561A">
        <w:rPr>
          <w:rFonts w:ascii="Verdana" w:hAnsi="Verdana"/>
          <w:sz w:val="16"/>
          <w:szCs w:val="16"/>
          <w:lang w:val="en-US"/>
        </w:rPr>
        <w:t xml:space="preserve"> </w:t>
      </w:r>
      <w:r w:rsidRPr="00D2561A">
        <w:rPr>
          <w:rFonts w:ascii="Verdana" w:hAnsi="Verdana"/>
          <w:sz w:val="16"/>
          <w:szCs w:val="16"/>
          <w:lang w:val="en-US"/>
        </w:rPr>
        <w:tab/>
        <w:t>Para. 75.</w:t>
      </w:r>
    </w:p>
  </w:footnote>
  <w:footnote w:id="110">
    <w:p w14:paraId="06F5F584" w14:textId="3024A470" w:rsidR="00EC1F8A" w:rsidRPr="00C42638" w:rsidRDefault="00EC1F8A" w:rsidP="008A34BF">
      <w:pPr>
        <w:pStyle w:val="Ttulo1"/>
        <w:tabs>
          <w:tab w:val="left" w:pos="360"/>
        </w:tabs>
        <w:snapToGrid w:val="0"/>
        <w:spacing w:line="240" w:lineRule="auto"/>
        <w:ind w:left="-270" w:right="-162"/>
        <w:jc w:val="both"/>
        <w:rPr>
          <w:sz w:val="16"/>
          <w:szCs w:val="16"/>
          <w:lang w:val="en-US"/>
        </w:rPr>
      </w:pPr>
      <w:r w:rsidRPr="00D2561A">
        <w:rPr>
          <w:rStyle w:val="Refdenotaalpie"/>
          <w:b w:val="0"/>
          <w:bCs w:val="0"/>
          <w:sz w:val="16"/>
          <w:szCs w:val="16"/>
          <w:lang w:val="en-US"/>
        </w:rPr>
        <w:footnoteRef/>
      </w:r>
      <w:r w:rsidRPr="00D2561A">
        <w:rPr>
          <w:b w:val="0"/>
          <w:bCs w:val="0"/>
          <w:sz w:val="16"/>
          <w:szCs w:val="16"/>
          <w:lang w:val="en-US"/>
        </w:rPr>
        <w:t xml:space="preserve"> </w:t>
      </w:r>
      <w:r w:rsidRPr="00D2561A">
        <w:rPr>
          <w:b w:val="0"/>
          <w:bCs w:val="0"/>
          <w:sz w:val="16"/>
          <w:szCs w:val="16"/>
          <w:lang w:val="en-US"/>
        </w:rPr>
        <w:tab/>
      </w:r>
      <w:r w:rsidRPr="00D2561A">
        <w:rPr>
          <w:b w:val="0"/>
          <w:bCs w:val="0"/>
          <w:i/>
          <w:iCs/>
          <w:sz w:val="16"/>
          <w:szCs w:val="16"/>
          <w:lang w:val="en-US"/>
        </w:rPr>
        <w:t>Cf.</w:t>
      </w:r>
      <w:r w:rsidRPr="00D2561A">
        <w:rPr>
          <w:b w:val="0"/>
          <w:bCs w:val="0"/>
          <w:sz w:val="16"/>
          <w:szCs w:val="16"/>
          <w:lang w:val="en-US"/>
        </w:rPr>
        <w:t xml:space="preserve"> Concurring opinion of Judge Eduardo Vio Grossi,</w:t>
      </w:r>
      <w:r w:rsidRPr="00D2561A">
        <w:rPr>
          <w:b w:val="0"/>
          <w:bCs w:val="0"/>
          <w:i/>
          <w:iCs/>
          <w:sz w:val="16"/>
          <w:szCs w:val="16"/>
          <w:lang w:val="en-US"/>
        </w:rPr>
        <w:t xml:space="preserve"> Case of the Massacres of El </w:t>
      </w:r>
      <w:proofErr w:type="spellStart"/>
      <w:r w:rsidRPr="00D2561A">
        <w:rPr>
          <w:b w:val="0"/>
          <w:bCs w:val="0"/>
          <w:i/>
          <w:iCs/>
          <w:sz w:val="16"/>
          <w:szCs w:val="16"/>
          <w:lang w:val="en-US"/>
        </w:rPr>
        <w:t>Mozote</w:t>
      </w:r>
      <w:proofErr w:type="spellEnd"/>
      <w:r w:rsidRPr="00D2561A">
        <w:rPr>
          <w:b w:val="0"/>
          <w:bCs w:val="0"/>
          <w:i/>
          <w:iCs/>
          <w:sz w:val="16"/>
          <w:szCs w:val="16"/>
          <w:lang w:val="en-US"/>
        </w:rPr>
        <w:t xml:space="preserve"> and neighboring places v. El Salvador, </w:t>
      </w:r>
      <w:r w:rsidRPr="00D2561A">
        <w:rPr>
          <w:b w:val="0"/>
          <w:bCs w:val="0"/>
          <w:sz w:val="16"/>
          <w:szCs w:val="16"/>
          <w:lang w:val="en-US"/>
        </w:rPr>
        <w:t>Judgment of October 25, 2012</w:t>
      </w:r>
      <w:r w:rsidRPr="00D2561A">
        <w:rPr>
          <w:i/>
          <w:iCs/>
          <w:sz w:val="16"/>
          <w:szCs w:val="16"/>
          <w:lang w:val="en-US"/>
        </w:rPr>
        <w:t xml:space="preserve"> </w:t>
      </w:r>
      <w:r w:rsidRPr="00D2561A">
        <w:rPr>
          <w:rStyle w:val="titlechar1"/>
          <w:i/>
          <w:iCs/>
          <w:sz w:val="16"/>
          <w:szCs w:val="16"/>
          <w:lang w:val="en-US"/>
        </w:rPr>
        <w:t xml:space="preserve">(Merits, reparations and costs), </w:t>
      </w:r>
      <w:r w:rsidRPr="00D2561A">
        <w:rPr>
          <w:rStyle w:val="titlechar1"/>
          <w:sz w:val="16"/>
          <w:szCs w:val="16"/>
          <w:lang w:val="en-US"/>
        </w:rPr>
        <w:t>Inter-American Court of Human Rights</w:t>
      </w:r>
      <w:r w:rsidRPr="00D2561A">
        <w:rPr>
          <w:rStyle w:val="titlechar1"/>
          <w:i/>
          <w:iCs/>
          <w:sz w:val="16"/>
          <w:szCs w:val="16"/>
          <w:lang w:val="en-US"/>
        </w:rPr>
        <w:t xml:space="preserve">, </w:t>
      </w:r>
      <w:r w:rsidRPr="00D2561A">
        <w:rPr>
          <w:rStyle w:val="titlechar1"/>
          <w:sz w:val="16"/>
          <w:szCs w:val="16"/>
          <w:lang w:val="en-US"/>
        </w:rPr>
        <w:t xml:space="preserve">and Dissenting opinion of Judge </w:t>
      </w:r>
      <w:r w:rsidRPr="00D2561A">
        <w:rPr>
          <w:rFonts w:cs="Calibri"/>
          <w:b w:val="0"/>
          <w:bCs w:val="0"/>
          <w:sz w:val="16"/>
          <w:szCs w:val="16"/>
          <w:lang w:val="en-US" w:eastAsia="es-CL"/>
        </w:rPr>
        <w:t>Eduardo Vio Grossi, Inter-American Court of Human Rights</w:t>
      </w:r>
      <w:r w:rsidRPr="00D2561A">
        <w:rPr>
          <w:rFonts w:cs="Calibri"/>
          <w:b w:val="0"/>
          <w:bCs w:val="0"/>
          <w:i/>
          <w:iCs/>
          <w:sz w:val="16"/>
          <w:szCs w:val="16"/>
          <w:lang w:val="en-US" w:eastAsia="es-CL"/>
        </w:rPr>
        <w:t xml:space="preserve">, Case of </w:t>
      </w:r>
      <w:proofErr w:type="spellStart"/>
      <w:r w:rsidRPr="00D2561A">
        <w:rPr>
          <w:rFonts w:cs="Calibri"/>
          <w:b w:val="0"/>
          <w:bCs w:val="0"/>
          <w:i/>
          <w:iCs/>
          <w:sz w:val="16"/>
          <w:szCs w:val="16"/>
          <w:lang w:val="en-US" w:eastAsia="es-CL"/>
        </w:rPr>
        <w:t>Artavia</w:t>
      </w:r>
      <w:proofErr w:type="spellEnd"/>
      <w:r w:rsidRPr="00D2561A">
        <w:rPr>
          <w:rFonts w:cs="Calibri"/>
          <w:b w:val="0"/>
          <w:bCs w:val="0"/>
          <w:i/>
          <w:iCs/>
          <w:sz w:val="16"/>
          <w:szCs w:val="16"/>
          <w:lang w:val="en-US" w:eastAsia="es-CL"/>
        </w:rPr>
        <w:t xml:space="preserve"> Murillo et al. (In Vitro fertilization) v. Costa Rica, </w:t>
      </w:r>
      <w:r w:rsidRPr="00D2561A">
        <w:rPr>
          <w:rFonts w:cs="Calibri"/>
          <w:b w:val="0"/>
          <w:bCs w:val="0"/>
          <w:sz w:val="16"/>
          <w:szCs w:val="16"/>
          <w:lang w:val="en-US" w:eastAsia="es-CL"/>
        </w:rPr>
        <w:t>Judgment of November 28, 2012</w:t>
      </w:r>
      <w:r w:rsidRPr="00D2561A">
        <w:rPr>
          <w:rFonts w:cs="Calibri"/>
          <w:b w:val="0"/>
          <w:bCs w:val="0"/>
          <w:i/>
          <w:iCs/>
          <w:sz w:val="16"/>
          <w:szCs w:val="16"/>
          <w:lang w:val="en-US" w:eastAsia="es-CL"/>
        </w:rPr>
        <w:t xml:space="preserve"> (Preliminary objections, merits, reparations and costs</w:t>
      </w:r>
      <w:r w:rsidRPr="00D2561A">
        <w:rPr>
          <w:rFonts w:cs="Calibri"/>
          <w:b w:val="0"/>
          <w:bCs w:val="0"/>
          <w:i/>
          <w:iCs/>
          <w:caps/>
          <w:sz w:val="16"/>
          <w:szCs w:val="16"/>
          <w:lang w:val="en-US" w:eastAsia="es-C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B91"/>
    <w:multiLevelType w:val="hybridMultilevel"/>
    <w:tmpl w:val="C706DB1C"/>
    <w:lvl w:ilvl="0" w:tplc="1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BB3377"/>
    <w:multiLevelType w:val="hybridMultilevel"/>
    <w:tmpl w:val="DA3A6CFC"/>
    <w:lvl w:ilvl="0" w:tplc="A102670C">
      <w:start w:val="1"/>
      <w:numFmt w:val="upperRoman"/>
      <w:lvlText w:val="%1."/>
      <w:lvlJc w:val="left"/>
      <w:pPr>
        <w:ind w:left="1723" w:hanging="720"/>
      </w:pPr>
      <w:rPr>
        <w:rFonts w:hint="default"/>
        <w:b/>
        <w:bCs/>
      </w:rPr>
    </w:lvl>
    <w:lvl w:ilvl="1" w:tplc="340A0019" w:tentative="1">
      <w:start w:val="1"/>
      <w:numFmt w:val="lowerLetter"/>
      <w:lvlText w:val="%2."/>
      <w:lvlJc w:val="left"/>
      <w:pPr>
        <w:ind w:left="2083" w:hanging="360"/>
      </w:pPr>
    </w:lvl>
    <w:lvl w:ilvl="2" w:tplc="340A001B" w:tentative="1">
      <w:start w:val="1"/>
      <w:numFmt w:val="lowerRoman"/>
      <w:lvlText w:val="%3."/>
      <w:lvlJc w:val="right"/>
      <w:pPr>
        <w:ind w:left="2803" w:hanging="180"/>
      </w:pPr>
    </w:lvl>
    <w:lvl w:ilvl="3" w:tplc="340A000F" w:tentative="1">
      <w:start w:val="1"/>
      <w:numFmt w:val="decimal"/>
      <w:lvlText w:val="%4."/>
      <w:lvlJc w:val="left"/>
      <w:pPr>
        <w:ind w:left="3523" w:hanging="360"/>
      </w:pPr>
    </w:lvl>
    <w:lvl w:ilvl="4" w:tplc="340A0019" w:tentative="1">
      <w:start w:val="1"/>
      <w:numFmt w:val="lowerLetter"/>
      <w:lvlText w:val="%5."/>
      <w:lvlJc w:val="left"/>
      <w:pPr>
        <w:ind w:left="4243" w:hanging="360"/>
      </w:pPr>
    </w:lvl>
    <w:lvl w:ilvl="5" w:tplc="340A001B" w:tentative="1">
      <w:start w:val="1"/>
      <w:numFmt w:val="lowerRoman"/>
      <w:lvlText w:val="%6."/>
      <w:lvlJc w:val="right"/>
      <w:pPr>
        <w:ind w:left="4963" w:hanging="180"/>
      </w:pPr>
    </w:lvl>
    <w:lvl w:ilvl="6" w:tplc="340A000F" w:tentative="1">
      <w:start w:val="1"/>
      <w:numFmt w:val="decimal"/>
      <w:lvlText w:val="%7."/>
      <w:lvlJc w:val="left"/>
      <w:pPr>
        <w:ind w:left="5683" w:hanging="360"/>
      </w:pPr>
    </w:lvl>
    <w:lvl w:ilvl="7" w:tplc="340A0019" w:tentative="1">
      <w:start w:val="1"/>
      <w:numFmt w:val="lowerLetter"/>
      <w:lvlText w:val="%8."/>
      <w:lvlJc w:val="left"/>
      <w:pPr>
        <w:ind w:left="6403" w:hanging="360"/>
      </w:pPr>
    </w:lvl>
    <w:lvl w:ilvl="8" w:tplc="340A001B" w:tentative="1">
      <w:start w:val="1"/>
      <w:numFmt w:val="lowerRoman"/>
      <w:lvlText w:val="%9."/>
      <w:lvlJc w:val="right"/>
      <w:pPr>
        <w:ind w:left="7123" w:hanging="180"/>
      </w:pPr>
    </w:lvl>
  </w:abstractNum>
  <w:abstractNum w:abstractNumId="2" w15:restartNumberingAfterBreak="0">
    <w:nsid w:val="15AF7DC0"/>
    <w:multiLevelType w:val="hybridMultilevel"/>
    <w:tmpl w:val="F7A2B7DA"/>
    <w:lvl w:ilvl="0" w:tplc="1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1D7731F"/>
    <w:multiLevelType w:val="hybridMultilevel"/>
    <w:tmpl w:val="4F42EE16"/>
    <w:lvl w:ilvl="0" w:tplc="2C283E96">
      <w:start w:val="7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1DB743F"/>
    <w:multiLevelType w:val="hybridMultilevel"/>
    <w:tmpl w:val="41582402"/>
    <w:lvl w:ilvl="0" w:tplc="DF14809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3452DA"/>
    <w:multiLevelType w:val="hybridMultilevel"/>
    <w:tmpl w:val="6A70CF4C"/>
    <w:lvl w:ilvl="0" w:tplc="1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14708D"/>
    <w:multiLevelType w:val="hybridMultilevel"/>
    <w:tmpl w:val="D2E2A14A"/>
    <w:lvl w:ilvl="0" w:tplc="25FA6E3E">
      <w:start w:val="1"/>
      <w:numFmt w:val="upperLetter"/>
      <w:lvlText w:val="%1."/>
      <w:lvlJc w:val="left"/>
      <w:pPr>
        <w:ind w:left="153" w:hanging="360"/>
      </w:pPr>
      <w:rPr>
        <w:rFonts w:hint="default"/>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7" w15:restartNumberingAfterBreak="0">
    <w:nsid w:val="4688207F"/>
    <w:multiLevelType w:val="hybridMultilevel"/>
    <w:tmpl w:val="E348E25C"/>
    <w:lvl w:ilvl="0" w:tplc="8B06F2B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03A10ED"/>
    <w:multiLevelType w:val="hybridMultilevel"/>
    <w:tmpl w:val="1C6CE170"/>
    <w:lvl w:ilvl="0" w:tplc="4AEEDCB2">
      <w:start w:val="1"/>
      <w:numFmt w:val="decimal"/>
      <w:lvlText w:val="%1."/>
      <w:lvlJc w:val="left"/>
      <w:pPr>
        <w:ind w:left="360" w:hanging="360"/>
      </w:pPr>
      <w:rPr>
        <w:b w:val="0"/>
        <w:bCs w:val="0"/>
        <w:i w:val="0"/>
        <w:iCs w:val="0"/>
        <w:strike w:val="0"/>
        <w:sz w:val="20"/>
        <w:szCs w:val="20"/>
        <w:vertAlign w:val="baseline"/>
      </w:rPr>
    </w:lvl>
    <w:lvl w:ilvl="1" w:tplc="140A0019" w:tentative="1">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9" w15:restartNumberingAfterBreak="0">
    <w:nsid w:val="52832EE9"/>
    <w:multiLevelType w:val="hybridMultilevel"/>
    <w:tmpl w:val="C99C1090"/>
    <w:lvl w:ilvl="0" w:tplc="1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0" w15:restartNumberingAfterBreak="0">
    <w:nsid w:val="58254ADE"/>
    <w:multiLevelType w:val="hybridMultilevel"/>
    <w:tmpl w:val="ABCC3206"/>
    <w:lvl w:ilvl="0" w:tplc="CE949F8C">
      <w:start w:val="1"/>
      <w:numFmt w:val="decimal"/>
      <w:lvlText w:val="%1."/>
      <w:lvlJc w:val="left"/>
      <w:pPr>
        <w:ind w:left="2727" w:hanging="360"/>
      </w:pPr>
      <w:rPr>
        <w:rFonts w:hint="default"/>
        <w:b w:val="0"/>
        <w:i w:val="0"/>
        <w:sz w:val="20"/>
        <w:szCs w:val="20"/>
      </w:rPr>
    </w:lvl>
    <w:lvl w:ilvl="1" w:tplc="340A0019">
      <w:start w:val="1"/>
      <w:numFmt w:val="lowerLetter"/>
      <w:lvlText w:val="%2."/>
      <w:lvlJc w:val="left"/>
      <w:pPr>
        <w:ind w:left="3447" w:hanging="360"/>
      </w:pPr>
    </w:lvl>
    <w:lvl w:ilvl="2" w:tplc="340A001B" w:tentative="1">
      <w:start w:val="1"/>
      <w:numFmt w:val="lowerRoman"/>
      <w:lvlText w:val="%3."/>
      <w:lvlJc w:val="right"/>
      <w:pPr>
        <w:ind w:left="4167" w:hanging="180"/>
      </w:pPr>
    </w:lvl>
    <w:lvl w:ilvl="3" w:tplc="340A000F" w:tentative="1">
      <w:start w:val="1"/>
      <w:numFmt w:val="decimal"/>
      <w:lvlText w:val="%4."/>
      <w:lvlJc w:val="left"/>
      <w:pPr>
        <w:ind w:left="4887" w:hanging="360"/>
      </w:pPr>
    </w:lvl>
    <w:lvl w:ilvl="4" w:tplc="340A0019" w:tentative="1">
      <w:start w:val="1"/>
      <w:numFmt w:val="lowerLetter"/>
      <w:lvlText w:val="%5."/>
      <w:lvlJc w:val="left"/>
      <w:pPr>
        <w:ind w:left="5607" w:hanging="360"/>
      </w:pPr>
    </w:lvl>
    <w:lvl w:ilvl="5" w:tplc="340A001B" w:tentative="1">
      <w:start w:val="1"/>
      <w:numFmt w:val="lowerRoman"/>
      <w:lvlText w:val="%6."/>
      <w:lvlJc w:val="right"/>
      <w:pPr>
        <w:ind w:left="6327" w:hanging="180"/>
      </w:pPr>
    </w:lvl>
    <w:lvl w:ilvl="6" w:tplc="340A000F" w:tentative="1">
      <w:start w:val="1"/>
      <w:numFmt w:val="decimal"/>
      <w:lvlText w:val="%7."/>
      <w:lvlJc w:val="left"/>
      <w:pPr>
        <w:ind w:left="7047" w:hanging="360"/>
      </w:pPr>
    </w:lvl>
    <w:lvl w:ilvl="7" w:tplc="340A0019" w:tentative="1">
      <w:start w:val="1"/>
      <w:numFmt w:val="lowerLetter"/>
      <w:lvlText w:val="%8."/>
      <w:lvlJc w:val="left"/>
      <w:pPr>
        <w:ind w:left="7767" w:hanging="360"/>
      </w:pPr>
    </w:lvl>
    <w:lvl w:ilvl="8" w:tplc="340A001B" w:tentative="1">
      <w:start w:val="1"/>
      <w:numFmt w:val="lowerRoman"/>
      <w:lvlText w:val="%9."/>
      <w:lvlJc w:val="right"/>
      <w:pPr>
        <w:ind w:left="8487" w:hanging="180"/>
      </w:pPr>
    </w:lvl>
  </w:abstractNum>
  <w:abstractNum w:abstractNumId="11" w15:restartNumberingAfterBreak="0">
    <w:nsid w:val="5E5C3FEA"/>
    <w:multiLevelType w:val="hybridMultilevel"/>
    <w:tmpl w:val="3898A8B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F4C2233"/>
    <w:multiLevelType w:val="hybridMultilevel"/>
    <w:tmpl w:val="7EA8578E"/>
    <w:lvl w:ilvl="0" w:tplc="6E46E8B0">
      <w:start w:val="1"/>
      <w:numFmt w:val="lowerLetter"/>
      <w:lvlText w:val="%1)"/>
      <w:lvlJc w:val="left"/>
      <w:pPr>
        <w:ind w:left="720" w:hanging="360"/>
      </w:pPr>
      <w:rPr>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1EB440A"/>
    <w:multiLevelType w:val="hybridMultilevel"/>
    <w:tmpl w:val="068EF004"/>
    <w:lvl w:ilvl="0" w:tplc="9DEA947C">
      <w:start w:val="1"/>
      <w:numFmt w:val="lowerLetter"/>
      <w:lvlText w:val="%1)"/>
      <w:lvlJc w:val="left"/>
      <w:pPr>
        <w:ind w:left="153" w:hanging="360"/>
      </w:pPr>
      <w:rPr>
        <w:rFonts w:eastAsia="Batang" w:hint="default"/>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14" w15:restartNumberingAfterBreak="0">
    <w:nsid w:val="62966BAF"/>
    <w:multiLevelType w:val="hybridMultilevel"/>
    <w:tmpl w:val="BBC89D4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47B02BA"/>
    <w:multiLevelType w:val="hybridMultilevel"/>
    <w:tmpl w:val="75362850"/>
    <w:lvl w:ilvl="0" w:tplc="140A0017">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16" w15:restartNumberingAfterBreak="0">
    <w:nsid w:val="65787F75"/>
    <w:multiLevelType w:val="hybridMultilevel"/>
    <w:tmpl w:val="561E4CF8"/>
    <w:lvl w:ilvl="0" w:tplc="8A264876">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15:restartNumberingAfterBreak="0">
    <w:nsid w:val="65E37562"/>
    <w:multiLevelType w:val="hybridMultilevel"/>
    <w:tmpl w:val="9D3C77DE"/>
    <w:lvl w:ilvl="0" w:tplc="FD6EEC94">
      <w:start w:val="1"/>
      <w:numFmt w:val="lowerLetter"/>
      <w:lvlText w:val="%1."/>
      <w:lvlJc w:val="left"/>
      <w:pPr>
        <w:ind w:left="501"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73D5568"/>
    <w:multiLevelType w:val="hybridMultilevel"/>
    <w:tmpl w:val="43D80178"/>
    <w:lvl w:ilvl="0" w:tplc="AE1AA35A">
      <w:start w:val="1"/>
      <w:numFmt w:val="upperRoman"/>
      <w:lvlText w:val="%1."/>
      <w:lvlJc w:val="left"/>
      <w:pPr>
        <w:ind w:left="513" w:hanging="720"/>
      </w:pPr>
      <w:rPr>
        <w:rFonts w:hint="default"/>
        <w:b/>
        <w:bCs/>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19" w15:restartNumberingAfterBreak="0">
    <w:nsid w:val="68FD7D50"/>
    <w:multiLevelType w:val="multilevel"/>
    <w:tmpl w:val="1104267E"/>
    <w:lvl w:ilvl="0">
      <w:start w:val="1"/>
      <w:numFmt w:val="decimal"/>
      <w:pStyle w:val="PrrafodeSentencia"/>
      <w:lvlText w:val="%1."/>
      <w:lvlJc w:val="left"/>
      <w:pPr>
        <w:ind w:left="967" w:hanging="825"/>
      </w:pPr>
      <w:rPr>
        <w:b w:val="0"/>
        <w:i w:val="0"/>
        <w:strike w:val="0"/>
        <w:color w:val="000000"/>
        <w:sz w:val="20"/>
        <w:szCs w:val="20"/>
      </w:rPr>
    </w:lvl>
    <w:lvl w:ilvl="1">
      <w:start w:val="1"/>
      <w:numFmt w:val="lowerLetter"/>
      <w:pStyle w:val="Ttulo4"/>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7E54D9"/>
    <w:multiLevelType w:val="hybridMultilevel"/>
    <w:tmpl w:val="263C28E0"/>
    <w:lvl w:ilvl="0" w:tplc="66962656">
      <w:start w:val="1"/>
      <w:numFmt w:val="upperLetter"/>
      <w:lvlText w:val="%1."/>
      <w:lvlJc w:val="left"/>
      <w:pPr>
        <w:ind w:left="1068" w:hanging="360"/>
      </w:pPr>
      <w:rPr>
        <w:rFonts w:hint="default"/>
        <w:b/>
        <w:bCs/>
      </w:rPr>
    </w:lvl>
    <w:lvl w:ilvl="1" w:tplc="340A0019" w:tentative="1">
      <w:start w:val="1"/>
      <w:numFmt w:val="lowerLetter"/>
      <w:lvlText w:val="%2."/>
      <w:lvlJc w:val="left"/>
      <w:pPr>
        <w:ind w:left="1930" w:hanging="360"/>
      </w:pPr>
    </w:lvl>
    <w:lvl w:ilvl="2" w:tplc="340A001B" w:tentative="1">
      <w:start w:val="1"/>
      <w:numFmt w:val="lowerRoman"/>
      <w:lvlText w:val="%3."/>
      <w:lvlJc w:val="right"/>
      <w:pPr>
        <w:ind w:left="2650" w:hanging="180"/>
      </w:pPr>
    </w:lvl>
    <w:lvl w:ilvl="3" w:tplc="340A000F" w:tentative="1">
      <w:start w:val="1"/>
      <w:numFmt w:val="decimal"/>
      <w:lvlText w:val="%4."/>
      <w:lvlJc w:val="left"/>
      <w:pPr>
        <w:ind w:left="3370" w:hanging="360"/>
      </w:pPr>
    </w:lvl>
    <w:lvl w:ilvl="4" w:tplc="340A0019" w:tentative="1">
      <w:start w:val="1"/>
      <w:numFmt w:val="lowerLetter"/>
      <w:lvlText w:val="%5."/>
      <w:lvlJc w:val="left"/>
      <w:pPr>
        <w:ind w:left="4090" w:hanging="360"/>
      </w:pPr>
    </w:lvl>
    <w:lvl w:ilvl="5" w:tplc="340A001B" w:tentative="1">
      <w:start w:val="1"/>
      <w:numFmt w:val="lowerRoman"/>
      <w:lvlText w:val="%6."/>
      <w:lvlJc w:val="right"/>
      <w:pPr>
        <w:ind w:left="4810" w:hanging="180"/>
      </w:pPr>
    </w:lvl>
    <w:lvl w:ilvl="6" w:tplc="340A000F" w:tentative="1">
      <w:start w:val="1"/>
      <w:numFmt w:val="decimal"/>
      <w:lvlText w:val="%7."/>
      <w:lvlJc w:val="left"/>
      <w:pPr>
        <w:ind w:left="5530" w:hanging="360"/>
      </w:pPr>
    </w:lvl>
    <w:lvl w:ilvl="7" w:tplc="340A0019" w:tentative="1">
      <w:start w:val="1"/>
      <w:numFmt w:val="lowerLetter"/>
      <w:lvlText w:val="%8."/>
      <w:lvlJc w:val="left"/>
      <w:pPr>
        <w:ind w:left="6250" w:hanging="360"/>
      </w:pPr>
    </w:lvl>
    <w:lvl w:ilvl="8" w:tplc="340A001B" w:tentative="1">
      <w:start w:val="1"/>
      <w:numFmt w:val="lowerRoman"/>
      <w:lvlText w:val="%9."/>
      <w:lvlJc w:val="right"/>
      <w:pPr>
        <w:ind w:left="6970" w:hanging="180"/>
      </w:pPr>
    </w:lvl>
  </w:abstractNum>
  <w:abstractNum w:abstractNumId="21" w15:restartNumberingAfterBreak="0">
    <w:nsid w:val="76E33427"/>
    <w:multiLevelType w:val="hybridMultilevel"/>
    <w:tmpl w:val="0FA46746"/>
    <w:lvl w:ilvl="0" w:tplc="F6BADE24">
      <w:start w:val="208"/>
      <w:numFmt w:val="bullet"/>
      <w:lvlText w:val="-"/>
      <w:lvlJc w:val="left"/>
      <w:pPr>
        <w:ind w:left="720" w:hanging="360"/>
      </w:pPr>
      <w:rPr>
        <w:rFonts w:ascii="Calibri Light" w:eastAsia="Calibri" w:hAnsi="Calibri Light" w:cs="Calibri 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9B313B0"/>
    <w:multiLevelType w:val="hybridMultilevel"/>
    <w:tmpl w:val="58A87904"/>
    <w:lvl w:ilvl="0" w:tplc="50343DAC">
      <w:start w:val="1"/>
      <w:numFmt w:val="lowerLetter"/>
      <w:lvlText w:val="%1)"/>
      <w:lvlJc w:val="left"/>
      <w:pPr>
        <w:ind w:left="153" w:hanging="360"/>
      </w:pPr>
      <w:rPr>
        <w:rFonts w:hint="default"/>
        <w:i w:val="0"/>
        <w:iCs/>
      </w:rPr>
    </w:lvl>
    <w:lvl w:ilvl="1" w:tplc="140A0019" w:tentative="1">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num w:numId="1">
    <w:abstractNumId w:val="14"/>
  </w:num>
  <w:num w:numId="2">
    <w:abstractNumId w:val="12"/>
  </w:num>
  <w:num w:numId="3">
    <w:abstractNumId w:val="4"/>
  </w:num>
  <w:num w:numId="4">
    <w:abstractNumId w:val="18"/>
  </w:num>
  <w:num w:numId="5">
    <w:abstractNumId w:val="10"/>
  </w:num>
  <w:num w:numId="6">
    <w:abstractNumId w:val="22"/>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5"/>
  </w:num>
  <w:num w:numId="12">
    <w:abstractNumId w:val="1"/>
  </w:num>
  <w:num w:numId="13">
    <w:abstractNumId w:val="20"/>
  </w:num>
  <w:num w:numId="14">
    <w:abstractNumId w:val="17"/>
  </w:num>
  <w:num w:numId="15">
    <w:abstractNumId w:val="11"/>
  </w:num>
  <w:num w:numId="16">
    <w:abstractNumId w:val="13"/>
  </w:num>
  <w:num w:numId="17">
    <w:abstractNumId w:val="6"/>
  </w:num>
  <w:num w:numId="18">
    <w:abstractNumId w:val="21"/>
  </w:num>
  <w:num w:numId="19">
    <w:abstractNumId w:val="3"/>
  </w:num>
  <w:num w:numId="20">
    <w:abstractNumId w:val="9"/>
  </w:num>
  <w:num w:numId="21">
    <w:abstractNumId w:val="0"/>
  </w:num>
  <w:num w:numId="22">
    <w:abstractNumId w:val="5"/>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6E"/>
    <w:rsid w:val="000018E2"/>
    <w:rsid w:val="00001ADE"/>
    <w:rsid w:val="00004C75"/>
    <w:rsid w:val="00007E4F"/>
    <w:rsid w:val="000177D2"/>
    <w:rsid w:val="00020688"/>
    <w:rsid w:val="00027D77"/>
    <w:rsid w:val="000321BA"/>
    <w:rsid w:val="00036658"/>
    <w:rsid w:val="000452FA"/>
    <w:rsid w:val="0004546F"/>
    <w:rsid w:val="00050C4A"/>
    <w:rsid w:val="00063C9F"/>
    <w:rsid w:val="00063D85"/>
    <w:rsid w:val="0006480B"/>
    <w:rsid w:val="0006660E"/>
    <w:rsid w:val="000666FE"/>
    <w:rsid w:val="00081461"/>
    <w:rsid w:val="00081478"/>
    <w:rsid w:val="00082584"/>
    <w:rsid w:val="0008541C"/>
    <w:rsid w:val="0008754D"/>
    <w:rsid w:val="0009413D"/>
    <w:rsid w:val="00094864"/>
    <w:rsid w:val="00094E5F"/>
    <w:rsid w:val="000963FB"/>
    <w:rsid w:val="000A2526"/>
    <w:rsid w:val="000A27EE"/>
    <w:rsid w:val="000A27F2"/>
    <w:rsid w:val="000A3C86"/>
    <w:rsid w:val="000A6157"/>
    <w:rsid w:val="000A6697"/>
    <w:rsid w:val="000B4BC4"/>
    <w:rsid w:val="000B703F"/>
    <w:rsid w:val="000C1B51"/>
    <w:rsid w:val="000C269A"/>
    <w:rsid w:val="000C3213"/>
    <w:rsid w:val="000C46D4"/>
    <w:rsid w:val="000D0A22"/>
    <w:rsid w:val="000D20D0"/>
    <w:rsid w:val="000D47DD"/>
    <w:rsid w:val="000D560F"/>
    <w:rsid w:val="000D5D25"/>
    <w:rsid w:val="000E0801"/>
    <w:rsid w:val="000E5AD4"/>
    <w:rsid w:val="000F09CB"/>
    <w:rsid w:val="000F21AC"/>
    <w:rsid w:val="000F3317"/>
    <w:rsid w:val="000F54C3"/>
    <w:rsid w:val="000F671D"/>
    <w:rsid w:val="0010271B"/>
    <w:rsid w:val="00103136"/>
    <w:rsid w:val="00103BFE"/>
    <w:rsid w:val="0010676D"/>
    <w:rsid w:val="001077DA"/>
    <w:rsid w:val="0011338D"/>
    <w:rsid w:val="001143F9"/>
    <w:rsid w:val="001158C1"/>
    <w:rsid w:val="00117504"/>
    <w:rsid w:val="00124D54"/>
    <w:rsid w:val="0012556D"/>
    <w:rsid w:val="001261DA"/>
    <w:rsid w:val="00126461"/>
    <w:rsid w:val="001333CA"/>
    <w:rsid w:val="001346BD"/>
    <w:rsid w:val="0013479D"/>
    <w:rsid w:val="00134EFD"/>
    <w:rsid w:val="0013571D"/>
    <w:rsid w:val="00135E7D"/>
    <w:rsid w:val="0013741C"/>
    <w:rsid w:val="00145FDC"/>
    <w:rsid w:val="0015791F"/>
    <w:rsid w:val="00157D43"/>
    <w:rsid w:val="00160D64"/>
    <w:rsid w:val="00160F33"/>
    <w:rsid w:val="00161781"/>
    <w:rsid w:val="00162BD6"/>
    <w:rsid w:val="00163BF8"/>
    <w:rsid w:val="00170748"/>
    <w:rsid w:val="001717B6"/>
    <w:rsid w:val="00173616"/>
    <w:rsid w:val="00174997"/>
    <w:rsid w:val="00176740"/>
    <w:rsid w:val="0017788F"/>
    <w:rsid w:val="00180178"/>
    <w:rsid w:val="00182F0E"/>
    <w:rsid w:val="00183EA4"/>
    <w:rsid w:val="00184A50"/>
    <w:rsid w:val="0019112A"/>
    <w:rsid w:val="00191E7B"/>
    <w:rsid w:val="00193CD3"/>
    <w:rsid w:val="001956F5"/>
    <w:rsid w:val="00195E94"/>
    <w:rsid w:val="00196439"/>
    <w:rsid w:val="00197C41"/>
    <w:rsid w:val="001A06F0"/>
    <w:rsid w:val="001B0F62"/>
    <w:rsid w:val="001B2C55"/>
    <w:rsid w:val="001B3477"/>
    <w:rsid w:val="001C12FB"/>
    <w:rsid w:val="001C1C29"/>
    <w:rsid w:val="001C6725"/>
    <w:rsid w:val="001C7403"/>
    <w:rsid w:val="001D2498"/>
    <w:rsid w:val="001D24B8"/>
    <w:rsid w:val="001D4F29"/>
    <w:rsid w:val="001D5100"/>
    <w:rsid w:val="001E12EE"/>
    <w:rsid w:val="001E44F2"/>
    <w:rsid w:val="001E71E4"/>
    <w:rsid w:val="001E77D3"/>
    <w:rsid w:val="001F1D74"/>
    <w:rsid w:val="001F2CC5"/>
    <w:rsid w:val="001F6ED2"/>
    <w:rsid w:val="00207056"/>
    <w:rsid w:val="00207725"/>
    <w:rsid w:val="002123C0"/>
    <w:rsid w:val="00215514"/>
    <w:rsid w:val="00231010"/>
    <w:rsid w:val="00233F3E"/>
    <w:rsid w:val="00234848"/>
    <w:rsid w:val="00236D56"/>
    <w:rsid w:val="0023720D"/>
    <w:rsid w:val="00246315"/>
    <w:rsid w:val="00251644"/>
    <w:rsid w:val="002612DE"/>
    <w:rsid w:val="00261BB8"/>
    <w:rsid w:val="002671FD"/>
    <w:rsid w:val="002774ED"/>
    <w:rsid w:val="00287898"/>
    <w:rsid w:val="00290A11"/>
    <w:rsid w:val="002A273C"/>
    <w:rsid w:val="002A3EFF"/>
    <w:rsid w:val="002B1718"/>
    <w:rsid w:val="002B1A16"/>
    <w:rsid w:val="002B4C9E"/>
    <w:rsid w:val="002C05D0"/>
    <w:rsid w:val="002C1894"/>
    <w:rsid w:val="002C1DA4"/>
    <w:rsid w:val="002C2325"/>
    <w:rsid w:val="002C2ABF"/>
    <w:rsid w:val="002C332A"/>
    <w:rsid w:val="002D243B"/>
    <w:rsid w:val="002D4CDE"/>
    <w:rsid w:val="002D6B22"/>
    <w:rsid w:val="002E1B45"/>
    <w:rsid w:val="002E2BA0"/>
    <w:rsid w:val="002E4094"/>
    <w:rsid w:val="002F0A20"/>
    <w:rsid w:val="002F2E53"/>
    <w:rsid w:val="002F637C"/>
    <w:rsid w:val="002F797E"/>
    <w:rsid w:val="00301D4B"/>
    <w:rsid w:val="003027F4"/>
    <w:rsid w:val="003055D4"/>
    <w:rsid w:val="003059F2"/>
    <w:rsid w:val="00306976"/>
    <w:rsid w:val="00306F66"/>
    <w:rsid w:val="003105B5"/>
    <w:rsid w:val="00311ACB"/>
    <w:rsid w:val="003129E1"/>
    <w:rsid w:val="00323BB6"/>
    <w:rsid w:val="0032767A"/>
    <w:rsid w:val="00334F52"/>
    <w:rsid w:val="0034048E"/>
    <w:rsid w:val="00341BD2"/>
    <w:rsid w:val="00344EA7"/>
    <w:rsid w:val="00351E0A"/>
    <w:rsid w:val="00355348"/>
    <w:rsid w:val="003557B7"/>
    <w:rsid w:val="00360F16"/>
    <w:rsid w:val="0037143F"/>
    <w:rsid w:val="0037188C"/>
    <w:rsid w:val="0037239C"/>
    <w:rsid w:val="00373939"/>
    <w:rsid w:val="003741AD"/>
    <w:rsid w:val="00376CAE"/>
    <w:rsid w:val="00376ED6"/>
    <w:rsid w:val="003772CE"/>
    <w:rsid w:val="0038569F"/>
    <w:rsid w:val="003862DE"/>
    <w:rsid w:val="00393C17"/>
    <w:rsid w:val="003941DD"/>
    <w:rsid w:val="0039465E"/>
    <w:rsid w:val="00395789"/>
    <w:rsid w:val="003969C3"/>
    <w:rsid w:val="003A2956"/>
    <w:rsid w:val="003A32AD"/>
    <w:rsid w:val="003A7120"/>
    <w:rsid w:val="003A72AB"/>
    <w:rsid w:val="003B6CA4"/>
    <w:rsid w:val="003C054D"/>
    <w:rsid w:val="003C1526"/>
    <w:rsid w:val="003C1A1D"/>
    <w:rsid w:val="003C66A5"/>
    <w:rsid w:val="003D720F"/>
    <w:rsid w:val="003D7329"/>
    <w:rsid w:val="003E05D4"/>
    <w:rsid w:val="003E1D29"/>
    <w:rsid w:val="003F4AC0"/>
    <w:rsid w:val="003F5415"/>
    <w:rsid w:val="004000B4"/>
    <w:rsid w:val="00400A5F"/>
    <w:rsid w:val="00403AB6"/>
    <w:rsid w:val="00406343"/>
    <w:rsid w:val="00410EB1"/>
    <w:rsid w:val="004117B2"/>
    <w:rsid w:val="0041392A"/>
    <w:rsid w:val="00417ED0"/>
    <w:rsid w:val="00417F41"/>
    <w:rsid w:val="00420FDA"/>
    <w:rsid w:val="004216E8"/>
    <w:rsid w:val="00422BC6"/>
    <w:rsid w:val="00425C49"/>
    <w:rsid w:val="00434F2B"/>
    <w:rsid w:val="00435026"/>
    <w:rsid w:val="0043582A"/>
    <w:rsid w:val="00437963"/>
    <w:rsid w:val="00443862"/>
    <w:rsid w:val="00447002"/>
    <w:rsid w:val="00447D53"/>
    <w:rsid w:val="00454B65"/>
    <w:rsid w:val="004565E4"/>
    <w:rsid w:val="004608EF"/>
    <w:rsid w:val="004647F8"/>
    <w:rsid w:val="00464D30"/>
    <w:rsid w:val="00465605"/>
    <w:rsid w:val="00466AF7"/>
    <w:rsid w:val="00470495"/>
    <w:rsid w:val="0047143B"/>
    <w:rsid w:val="00491191"/>
    <w:rsid w:val="00495782"/>
    <w:rsid w:val="004C1360"/>
    <w:rsid w:val="004C49B1"/>
    <w:rsid w:val="004C6A87"/>
    <w:rsid w:val="004D38AD"/>
    <w:rsid w:val="004D3CCE"/>
    <w:rsid w:val="004D6F39"/>
    <w:rsid w:val="004D6F89"/>
    <w:rsid w:val="004D7F0E"/>
    <w:rsid w:val="004E0936"/>
    <w:rsid w:val="004E3CA9"/>
    <w:rsid w:val="004F0FDE"/>
    <w:rsid w:val="004F72E5"/>
    <w:rsid w:val="00503118"/>
    <w:rsid w:val="0050363C"/>
    <w:rsid w:val="005107BB"/>
    <w:rsid w:val="005162B1"/>
    <w:rsid w:val="005168B2"/>
    <w:rsid w:val="0051750F"/>
    <w:rsid w:val="0052331C"/>
    <w:rsid w:val="00527707"/>
    <w:rsid w:val="00531B3D"/>
    <w:rsid w:val="005344DD"/>
    <w:rsid w:val="005350F9"/>
    <w:rsid w:val="005379F9"/>
    <w:rsid w:val="005410FB"/>
    <w:rsid w:val="005440E4"/>
    <w:rsid w:val="00554807"/>
    <w:rsid w:val="00554A13"/>
    <w:rsid w:val="00557A83"/>
    <w:rsid w:val="005605F3"/>
    <w:rsid w:val="005721BD"/>
    <w:rsid w:val="005778EA"/>
    <w:rsid w:val="00577A9D"/>
    <w:rsid w:val="00580C88"/>
    <w:rsid w:val="00581EC2"/>
    <w:rsid w:val="005878CE"/>
    <w:rsid w:val="005947FD"/>
    <w:rsid w:val="00596F76"/>
    <w:rsid w:val="005A014C"/>
    <w:rsid w:val="005A05C1"/>
    <w:rsid w:val="005A5859"/>
    <w:rsid w:val="005C153D"/>
    <w:rsid w:val="005C2FFC"/>
    <w:rsid w:val="005D1373"/>
    <w:rsid w:val="005D2887"/>
    <w:rsid w:val="005D5937"/>
    <w:rsid w:val="005D61E9"/>
    <w:rsid w:val="005D6EBA"/>
    <w:rsid w:val="00610552"/>
    <w:rsid w:val="00612664"/>
    <w:rsid w:val="00612A4E"/>
    <w:rsid w:val="00613604"/>
    <w:rsid w:val="00616AAD"/>
    <w:rsid w:val="006172E9"/>
    <w:rsid w:val="00620013"/>
    <w:rsid w:val="00620DDC"/>
    <w:rsid w:val="006234EC"/>
    <w:rsid w:val="0062568A"/>
    <w:rsid w:val="00635B24"/>
    <w:rsid w:val="006366F4"/>
    <w:rsid w:val="00637140"/>
    <w:rsid w:val="0064637C"/>
    <w:rsid w:val="00650106"/>
    <w:rsid w:val="00651EC0"/>
    <w:rsid w:val="006544D5"/>
    <w:rsid w:val="00654981"/>
    <w:rsid w:val="006559EC"/>
    <w:rsid w:val="0065650F"/>
    <w:rsid w:val="00670FAD"/>
    <w:rsid w:val="006722B2"/>
    <w:rsid w:val="00675B0D"/>
    <w:rsid w:val="00680466"/>
    <w:rsid w:val="00682B7D"/>
    <w:rsid w:val="006873AD"/>
    <w:rsid w:val="00687D8D"/>
    <w:rsid w:val="006941A2"/>
    <w:rsid w:val="006A1F88"/>
    <w:rsid w:val="006B415A"/>
    <w:rsid w:val="006C11D9"/>
    <w:rsid w:val="006C1952"/>
    <w:rsid w:val="006C48AE"/>
    <w:rsid w:val="006D0C79"/>
    <w:rsid w:val="006D458A"/>
    <w:rsid w:val="006D484D"/>
    <w:rsid w:val="006D6524"/>
    <w:rsid w:val="006D66A7"/>
    <w:rsid w:val="006E1BBF"/>
    <w:rsid w:val="006E21DE"/>
    <w:rsid w:val="006E37A3"/>
    <w:rsid w:val="006E6AE6"/>
    <w:rsid w:val="006F14DD"/>
    <w:rsid w:val="006F2140"/>
    <w:rsid w:val="006F2B5B"/>
    <w:rsid w:val="006F2D19"/>
    <w:rsid w:val="006F42A5"/>
    <w:rsid w:val="006F52F3"/>
    <w:rsid w:val="006F6AFD"/>
    <w:rsid w:val="00704703"/>
    <w:rsid w:val="0071305D"/>
    <w:rsid w:val="00713316"/>
    <w:rsid w:val="007236CD"/>
    <w:rsid w:val="007402B6"/>
    <w:rsid w:val="00741A3A"/>
    <w:rsid w:val="00743826"/>
    <w:rsid w:val="007447C8"/>
    <w:rsid w:val="00744CA3"/>
    <w:rsid w:val="00745274"/>
    <w:rsid w:val="00745B06"/>
    <w:rsid w:val="00750EBE"/>
    <w:rsid w:val="00753E33"/>
    <w:rsid w:val="00757DAC"/>
    <w:rsid w:val="007605E9"/>
    <w:rsid w:val="00764633"/>
    <w:rsid w:val="00765A46"/>
    <w:rsid w:val="00766E36"/>
    <w:rsid w:val="0077129A"/>
    <w:rsid w:val="00773883"/>
    <w:rsid w:val="0077483C"/>
    <w:rsid w:val="0077543D"/>
    <w:rsid w:val="00776293"/>
    <w:rsid w:val="00776907"/>
    <w:rsid w:val="007825C3"/>
    <w:rsid w:val="007850BB"/>
    <w:rsid w:val="007865AC"/>
    <w:rsid w:val="00795077"/>
    <w:rsid w:val="007A210D"/>
    <w:rsid w:val="007A2BB9"/>
    <w:rsid w:val="007A5C8E"/>
    <w:rsid w:val="007B097C"/>
    <w:rsid w:val="007B221B"/>
    <w:rsid w:val="007B2A68"/>
    <w:rsid w:val="007B35AA"/>
    <w:rsid w:val="007B4AA1"/>
    <w:rsid w:val="007B5639"/>
    <w:rsid w:val="007B60CA"/>
    <w:rsid w:val="007C180E"/>
    <w:rsid w:val="007C5012"/>
    <w:rsid w:val="007D03D7"/>
    <w:rsid w:val="007D04F2"/>
    <w:rsid w:val="007D23B3"/>
    <w:rsid w:val="007D28B2"/>
    <w:rsid w:val="007D36A4"/>
    <w:rsid w:val="007D38CA"/>
    <w:rsid w:val="007D602D"/>
    <w:rsid w:val="007E62AC"/>
    <w:rsid w:val="007E6B73"/>
    <w:rsid w:val="007E769A"/>
    <w:rsid w:val="007F4B12"/>
    <w:rsid w:val="00802E07"/>
    <w:rsid w:val="008034FA"/>
    <w:rsid w:val="00803CA8"/>
    <w:rsid w:val="008123F0"/>
    <w:rsid w:val="00813BBA"/>
    <w:rsid w:val="00821B9A"/>
    <w:rsid w:val="008233F5"/>
    <w:rsid w:val="0082598B"/>
    <w:rsid w:val="00826685"/>
    <w:rsid w:val="00826832"/>
    <w:rsid w:val="008313AC"/>
    <w:rsid w:val="00833777"/>
    <w:rsid w:val="00840D16"/>
    <w:rsid w:val="00843233"/>
    <w:rsid w:val="008441BE"/>
    <w:rsid w:val="008464AF"/>
    <w:rsid w:val="00857186"/>
    <w:rsid w:val="008625A9"/>
    <w:rsid w:val="00865C38"/>
    <w:rsid w:val="00871EDD"/>
    <w:rsid w:val="00875669"/>
    <w:rsid w:val="00884B0E"/>
    <w:rsid w:val="008911C3"/>
    <w:rsid w:val="008914C8"/>
    <w:rsid w:val="00893E31"/>
    <w:rsid w:val="0089506F"/>
    <w:rsid w:val="008A051B"/>
    <w:rsid w:val="008A1B23"/>
    <w:rsid w:val="008A34BF"/>
    <w:rsid w:val="008A6692"/>
    <w:rsid w:val="008A7773"/>
    <w:rsid w:val="008B016A"/>
    <w:rsid w:val="008B448F"/>
    <w:rsid w:val="008B4B97"/>
    <w:rsid w:val="008C273C"/>
    <w:rsid w:val="008C2927"/>
    <w:rsid w:val="008D3B44"/>
    <w:rsid w:val="008D55DA"/>
    <w:rsid w:val="008E0006"/>
    <w:rsid w:val="008E00C9"/>
    <w:rsid w:val="008F04C7"/>
    <w:rsid w:val="008F2BCA"/>
    <w:rsid w:val="008F6189"/>
    <w:rsid w:val="009068F7"/>
    <w:rsid w:val="009138DD"/>
    <w:rsid w:val="00914CFC"/>
    <w:rsid w:val="0092055D"/>
    <w:rsid w:val="00923839"/>
    <w:rsid w:val="0093269F"/>
    <w:rsid w:val="00941168"/>
    <w:rsid w:val="00947ECC"/>
    <w:rsid w:val="009611C0"/>
    <w:rsid w:val="00961DAB"/>
    <w:rsid w:val="00965644"/>
    <w:rsid w:val="0097194E"/>
    <w:rsid w:val="00971D28"/>
    <w:rsid w:val="00976EC3"/>
    <w:rsid w:val="009801FE"/>
    <w:rsid w:val="009900A5"/>
    <w:rsid w:val="00991337"/>
    <w:rsid w:val="009929B5"/>
    <w:rsid w:val="009A124B"/>
    <w:rsid w:val="009A236F"/>
    <w:rsid w:val="009A32D8"/>
    <w:rsid w:val="009A382F"/>
    <w:rsid w:val="009A5BE2"/>
    <w:rsid w:val="009A612F"/>
    <w:rsid w:val="009B06B4"/>
    <w:rsid w:val="009B5150"/>
    <w:rsid w:val="009B728F"/>
    <w:rsid w:val="009C5D2D"/>
    <w:rsid w:val="009C670B"/>
    <w:rsid w:val="009D0E05"/>
    <w:rsid w:val="009D14C2"/>
    <w:rsid w:val="009D1C81"/>
    <w:rsid w:val="009D23A1"/>
    <w:rsid w:val="009E0DC6"/>
    <w:rsid w:val="009E11C1"/>
    <w:rsid w:val="009F47EF"/>
    <w:rsid w:val="009F52DF"/>
    <w:rsid w:val="009F5CFA"/>
    <w:rsid w:val="009F6372"/>
    <w:rsid w:val="00A04FC7"/>
    <w:rsid w:val="00A10B51"/>
    <w:rsid w:val="00A123E8"/>
    <w:rsid w:val="00A14C51"/>
    <w:rsid w:val="00A17C14"/>
    <w:rsid w:val="00A229F3"/>
    <w:rsid w:val="00A2577B"/>
    <w:rsid w:val="00A32BEF"/>
    <w:rsid w:val="00A36C5D"/>
    <w:rsid w:val="00A5690E"/>
    <w:rsid w:val="00A56CAB"/>
    <w:rsid w:val="00A570DE"/>
    <w:rsid w:val="00A607AE"/>
    <w:rsid w:val="00A75720"/>
    <w:rsid w:val="00A76974"/>
    <w:rsid w:val="00A80E9D"/>
    <w:rsid w:val="00A86BA9"/>
    <w:rsid w:val="00A87EC1"/>
    <w:rsid w:val="00A97765"/>
    <w:rsid w:val="00AA0042"/>
    <w:rsid w:val="00AA1B34"/>
    <w:rsid w:val="00AA207D"/>
    <w:rsid w:val="00AA3FB1"/>
    <w:rsid w:val="00AA40B9"/>
    <w:rsid w:val="00AA5751"/>
    <w:rsid w:val="00AA5B58"/>
    <w:rsid w:val="00AB4F24"/>
    <w:rsid w:val="00AB59AE"/>
    <w:rsid w:val="00AB5A49"/>
    <w:rsid w:val="00AC0623"/>
    <w:rsid w:val="00AC2FA9"/>
    <w:rsid w:val="00AC7D61"/>
    <w:rsid w:val="00AD3637"/>
    <w:rsid w:val="00AD6FFA"/>
    <w:rsid w:val="00AD7B1A"/>
    <w:rsid w:val="00AE110B"/>
    <w:rsid w:val="00AE15DC"/>
    <w:rsid w:val="00AE2061"/>
    <w:rsid w:val="00AE26C7"/>
    <w:rsid w:val="00AE3934"/>
    <w:rsid w:val="00AE4E61"/>
    <w:rsid w:val="00AE64B5"/>
    <w:rsid w:val="00AF2E4B"/>
    <w:rsid w:val="00AF3482"/>
    <w:rsid w:val="00AF55A2"/>
    <w:rsid w:val="00AF639D"/>
    <w:rsid w:val="00AF6C0D"/>
    <w:rsid w:val="00AF7804"/>
    <w:rsid w:val="00AF78C9"/>
    <w:rsid w:val="00B0228E"/>
    <w:rsid w:val="00B04C3B"/>
    <w:rsid w:val="00B105E0"/>
    <w:rsid w:val="00B11052"/>
    <w:rsid w:val="00B1107D"/>
    <w:rsid w:val="00B24B6A"/>
    <w:rsid w:val="00B25021"/>
    <w:rsid w:val="00B32626"/>
    <w:rsid w:val="00B3529F"/>
    <w:rsid w:val="00B37B63"/>
    <w:rsid w:val="00B41B23"/>
    <w:rsid w:val="00B41E05"/>
    <w:rsid w:val="00B42899"/>
    <w:rsid w:val="00B5377E"/>
    <w:rsid w:val="00B538FA"/>
    <w:rsid w:val="00B55026"/>
    <w:rsid w:val="00B6012A"/>
    <w:rsid w:val="00B601DC"/>
    <w:rsid w:val="00B61087"/>
    <w:rsid w:val="00B6281C"/>
    <w:rsid w:val="00B66158"/>
    <w:rsid w:val="00B70FE7"/>
    <w:rsid w:val="00B75ACA"/>
    <w:rsid w:val="00B76F78"/>
    <w:rsid w:val="00B82A99"/>
    <w:rsid w:val="00B84E4E"/>
    <w:rsid w:val="00B85439"/>
    <w:rsid w:val="00B87CB1"/>
    <w:rsid w:val="00B90F56"/>
    <w:rsid w:val="00B91910"/>
    <w:rsid w:val="00B94AE8"/>
    <w:rsid w:val="00B9730C"/>
    <w:rsid w:val="00B97D16"/>
    <w:rsid w:val="00BA0920"/>
    <w:rsid w:val="00BA348C"/>
    <w:rsid w:val="00BB494E"/>
    <w:rsid w:val="00BB6AC2"/>
    <w:rsid w:val="00BC3E92"/>
    <w:rsid w:val="00BC43BA"/>
    <w:rsid w:val="00BC5391"/>
    <w:rsid w:val="00BC5A73"/>
    <w:rsid w:val="00BD0FFC"/>
    <w:rsid w:val="00BD3EE9"/>
    <w:rsid w:val="00BE1A92"/>
    <w:rsid w:val="00BE758B"/>
    <w:rsid w:val="00BF1815"/>
    <w:rsid w:val="00BF2D3F"/>
    <w:rsid w:val="00BF5D87"/>
    <w:rsid w:val="00C02F59"/>
    <w:rsid w:val="00C038F5"/>
    <w:rsid w:val="00C14549"/>
    <w:rsid w:val="00C205F6"/>
    <w:rsid w:val="00C21FEC"/>
    <w:rsid w:val="00C2208A"/>
    <w:rsid w:val="00C222E7"/>
    <w:rsid w:val="00C24868"/>
    <w:rsid w:val="00C2728F"/>
    <w:rsid w:val="00C31FAF"/>
    <w:rsid w:val="00C42638"/>
    <w:rsid w:val="00C42C8C"/>
    <w:rsid w:val="00C43FCE"/>
    <w:rsid w:val="00C5472D"/>
    <w:rsid w:val="00C54F70"/>
    <w:rsid w:val="00C56366"/>
    <w:rsid w:val="00C60092"/>
    <w:rsid w:val="00C60C3D"/>
    <w:rsid w:val="00C63357"/>
    <w:rsid w:val="00C67FCA"/>
    <w:rsid w:val="00C7199F"/>
    <w:rsid w:val="00C74994"/>
    <w:rsid w:val="00C802C0"/>
    <w:rsid w:val="00C80D92"/>
    <w:rsid w:val="00C86370"/>
    <w:rsid w:val="00C8789A"/>
    <w:rsid w:val="00C909F8"/>
    <w:rsid w:val="00CB2C98"/>
    <w:rsid w:val="00CB35C6"/>
    <w:rsid w:val="00CC0CF4"/>
    <w:rsid w:val="00CC10C2"/>
    <w:rsid w:val="00CC29B7"/>
    <w:rsid w:val="00CC304B"/>
    <w:rsid w:val="00CD1409"/>
    <w:rsid w:val="00CD27DC"/>
    <w:rsid w:val="00CD2E88"/>
    <w:rsid w:val="00CD3742"/>
    <w:rsid w:val="00CD3834"/>
    <w:rsid w:val="00CD425A"/>
    <w:rsid w:val="00CD4A17"/>
    <w:rsid w:val="00CE3BB1"/>
    <w:rsid w:val="00CE41C5"/>
    <w:rsid w:val="00CE6E57"/>
    <w:rsid w:val="00CE76EB"/>
    <w:rsid w:val="00CF1D1F"/>
    <w:rsid w:val="00CF242E"/>
    <w:rsid w:val="00CF2634"/>
    <w:rsid w:val="00CF36CC"/>
    <w:rsid w:val="00CF6384"/>
    <w:rsid w:val="00CF6779"/>
    <w:rsid w:val="00D008A8"/>
    <w:rsid w:val="00D00DD1"/>
    <w:rsid w:val="00D02A3F"/>
    <w:rsid w:val="00D06699"/>
    <w:rsid w:val="00D06A9A"/>
    <w:rsid w:val="00D15102"/>
    <w:rsid w:val="00D1574C"/>
    <w:rsid w:val="00D15CBB"/>
    <w:rsid w:val="00D167A3"/>
    <w:rsid w:val="00D20B67"/>
    <w:rsid w:val="00D22FA2"/>
    <w:rsid w:val="00D23808"/>
    <w:rsid w:val="00D2561A"/>
    <w:rsid w:val="00D30654"/>
    <w:rsid w:val="00D33CDA"/>
    <w:rsid w:val="00D5153E"/>
    <w:rsid w:val="00D52A39"/>
    <w:rsid w:val="00D5481C"/>
    <w:rsid w:val="00D56E83"/>
    <w:rsid w:val="00D60456"/>
    <w:rsid w:val="00D60DF3"/>
    <w:rsid w:val="00D61D96"/>
    <w:rsid w:val="00D63489"/>
    <w:rsid w:val="00D634C1"/>
    <w:rsid w:val="00D7191E"/>
    <w:rsid w:val="00D77AFC"/>
    <w:rsid w:val="00D832F9"/>
    <w:rsid w:val="00D8380F"/>
    <w:rsid w:val="00D94353"/>
    <w:rsid w:val="00DA2183"/>
    <w:rsid w:val="00DA5A31"/>
    <w:rsid w:val="00DB46B4"/>
    <w:rsid w:val="00DB5D11"/>
    <w:rsid w:val="00DC283A"/>
    <w:rsid w:val="00DC5DEF"/>
    <w:rsid w:val="00DC74CA"/>
    <w:rsid w:val="00DD022B"/>
    <w:rsid w:val="00DD2168"/>
    <w:rsid w:val="00DD331A"/>
    <w:rsid w:val="00DE325D"/>
    <w:rsid w:val="00DE606D"/>
    <w:rsid w:val="00DF29DD"/>
    <w:rsid w:val="00DF4607"/>
    <w:rsid w:val="00DF4B39"/>
    <w:rsid w:val="00DF6003"/>
    <w:rsid w:val="00DF6FAB"/>
    <w:rsid w:val="00E00360"/>
    <w:rsid w:val="00E02DA3"/>
    <w:rsid w:val="00E05032"/>
    <w:rsid w:val="00E05849"/>
    <w:rsid w:val="00E07250"/>
    <w:rsid w:val="00E1107C"/>
    <w:rsid w:val="00E11983"/>
    <w:rsid w:val="00E13658"/>
    <w:rsid w:val="00E13698"/>
    <w:rsid w:val="00E1456E"/>
    <w:rsid w:val="00E17603"/>
    <w:rsid w:val="00E22E21"/>
    <w:rsid w:val="00E242D0"/>
    <w:rsid w:val="00E24DF1"/>
    <w:rsid w:val="00E251F3"/>
    <w:rsid w:val="00E3037C"/>
    <w:rsid w:val="00E30456"/>
    <w:rsid w:val="00E30D1A"/>
    <w:rsid w:val="00E32B7D"/>
    <w:rsid w:val="00E3322C"/>
    <w:rsid w:val="00E36C28"/>
    <w:rsid w:val="00E42974"/>
    <w:rsid w:val="00E4523B"/>
    <w:rsid w:val="00E52E09"/>
    <w:rsid w:val="00E65358"/>
    <w:rsid w:val="00E66C5F"/>
    <w:rsid w:val="00E66FB6"/>
    <w:rsid w:val="00E7247F"/>
    <w:rsid w:val="00E73E71"/>
    <w:rsid w:val="00E757D1"/>
    <w:rsid w:val="00E77D5D"/>
    <w:rsid w:val="00E9106E"/>
    <w:rsid w:val="00E92D5E"/>
    <w:rsid w:val="00E9697D"/>
    <w:rsid w:val="00E96AE9"/>
    <w:rsid w:val="00EB0985"/>
    <w:rsid w:val="00EB3403"/>
    <w:rsid w:val="00EC0BF7"/>
    <w:rsid w:val="00EC1700"/>
    <w:rsid w:val="00EC1F8A"/>
    <w:rsid w:val="00EC415C"/>
    <w:rsid w:val="00EC749E"/>
    <w:rsid w:val="00EC760C"/>
    <w:rsid w:val="00ED0D9C"/>
    <w:rsid w:val="00ED12AD"/>
    <w:rsid w:val="00ED15CE"/>
    <w:rsid w:val="00ED1729"/>
    <w:rsid w:val="00ED4669"/>
    <w:rsid w:val="00EE1953"/>
    <w:rsid w:val="00F023E1"/>
    <w:rsid w:val="00F02FC0"/>
    <w:rsid w:val="00F03826"/>
    <w:rsid w:val="00F05FBF"/>
    <w:rsid w:val="00F10951"/>
    <w:rsid w:val="00F14A51"/>
    <w:rsid w:val="00F15FC7"/>
    <w:rsid w:val="00F2080B"/>
    <w:rsid w:val="00F20B38"/>
    <w:rsid w:val="00F23D85"/>
    <w:rsid w:val="00F240AA"/>
    <w:rsid w:val="00F32577"/>
    <w:rsid w:val="00F4083D"/>
    <w:rsid w:val="00F44D39"/>
    <w:rsid w:val="00F45042"/>
    <w:rsid w:val="00F51929"/>
    <w:rsid w:val="00F52327"/>
    <w:rsid w:val="00F60CFB"/>
    <w:rsid w:val="00F71D1D"/>
    <w:rsid w:val="00F71F12"/>
    <w:rsid w:val="00F7220B"/>
    <w:rsid w:val="00F75BE8"/>
    <w:rsid w:val="00F81B9D"/>
    <w:rsid w:val="00F85D03"/>
    <w:rsid w:val="00F92366"/>
    <w:rsid w:val="00FA7EFB"/>
    <w:rsid w:val="00FC27ED"/>
    <w:rsid w:val="00FC51E4"/>
    <w:rsid w:val="00FC543B"/>
    <w:rsid w:val="00FC73CB"/>
    <w:rsid w:val="00FD1BAA"/>
    <w:rsid w:val="00FE4A49"/>
    <w:rsid w:val="00FF0625"/>
    <w:rsid w:val="00FF5024"/>
    <w:rsid w:val="00FF53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D621"/>
  <w15:chartTrackingRefBased/>
  <w15:docId w15:val="{BE5DA4E4-5774-4E48-9E54-F71BB83B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line="270" w:lineRule="atLeast"/>
        <w:ind w:left="-567"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Prrafodelista"/>
    <w:next w:val="Normal"/>
    <w:link w:val="Ttulo4Car"/>
    <w:qFormat/>
    <w:rsid w:val="004C6A87"/>
    <w:pPr>
      <w:widowControl w:val="0"/>
      <w:numPr>
        <w:ilvl w:val="1"/>
        <w:numId w:val="7"/>
      </w:numPr>
      <w:pBdr>
        <w:top w:val="nil"/>
        <w:left w:val="nil"/>
        <w:bottom w:val="nil"/>
        <w:right w:val="nil"/>
        <w:between w:val="nil"/>
        <w:bar w:val="nil"/>
      </w:pBdr>
      <w:spacing w:line="276" w:lineRule="auto"/>
      <w:contextualSpacing w:val="0"/>
      <w:outlineLvl w:val="3"/>
    </w:pPr>
    <w:rPr>
      <w:rFonts w:ascii="Verdana" w:eastAsia="Verdana" w:hAnsi="Verdana" w:cs="Verdana"/>
      <w:b/>
      <w:bCs/>
      <w:color w:val="000000"/>
      <w:sz w:val="20"/>
      <w:szCs w:val="20"/>
      <w:u w:color="000000"/>
      <w:bdr w:val="nil"/>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nhideWhenUsed/>
    <w:qFormat/>
    <w:rsid w:val="00E9106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qFormat/>
    <w:rsid w:val="00E9106E"/>
    <w:rPr>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E9106E"/>
    <w:rPr>
      <w:vertAlign w:val="superscript"/>
    </w:rPr>
  </w:style>
  <w:style w:type="character" w:styleId="Textoennegrita">
    <w:name w:val="Strong"/>
    <w:aliases w:val="Heading 2.1"/>
    <w:basedOn w:val="Fuentedeprrafopredeter"/>
    <w:uiPriority w:val="22"/>
    <w:qFormat/>
    <w:rsid w:val="00E9106E"/>
    <w:rPr>
      <w:b/>
      <w:bCs/>
    </w:rPr>
  </w:style>
  <w:style w:type="paragraph" w:customStyle="1" w:styleId="Default">
    <w:name w:val="Default"/>
    <w:link w:val="DefaultChar"/>
    <w:rsid w:val="00E9106E"/>
    <w:pPr>
      <w:autoSpaceDE w:val="0"/>
      <w:autoSpaceDN w:val="0"/>
      <w:adjustRightInd w:val="0"/>
      <w:spacing w:line="240" w:lineRule="auto"/>
      <w:ind w:firstLine="357"/>
    </w:pPr>
    <w:rPr>
      <w:rFonts w:ascii="Times New Roman" w:eastAsia="Times New Roman" w:hAnsi="Times New Roman" w:cs="Times New Roman"/>
      <w:color w:val="000000"/>
      <w:sz w:val="24"/>
      <w:szCs w:val="24"/>
      <w:lang w:val="es-CR" w:eastAsia="es-CR"/>
    </w:rPr>
  </w:style>
  <w:style w:type="character" w:customStyle="1" w:styleId="DefaultChar">
    <w:name w:val="Default Char"/>
    <w:link w:val="Default"/>
    <w:locked/>
    <w:rsid w:val="00E9106E"/>
    <w:rPr>
      <w:rFonts w:ascii="Times New Roman" w:eastAsia="Times New Roman" w:hAnsi="Times New Roman" w:cs="Times New Roman"/>
      <w:color w:val="000000"/>
      <w:sz w:val="24"/>
      <w:szCs w:val="24"/>
      <w:lang w:val="es-CR" w:eastAsia="es-C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106E"/>
    <w:pPr>
      <w:widowControl w:val="0"/>
      <w:adjustRightInd w:val="0"/>
      <w:spacing w:line="240" w:lineRule="auto"/>
      <w:ind w:firstLine="357"/>
      <w:textAlignment w:val="baseline"/>
    </w:pPr>
    <w:rPr>
      <w:vertAlign w:val="superscript"/>
    </w:rPr>
  </w:style>
  <w:style w:type="character" w:customStyle="1" w:styleId="Ttulo4Car">
    <w:name w:val="Título 4 Car"/>
    <w:basedOn w:val="Fuentedeprrafopredeter"/>
    <w:link w:val="Ttulo4"/>
    <w:rsid w:val="004C6A87"/>
    <w:rPr>
      <w:rFonts w:ascii="Verdana" w:eastAsia="Verdana" w:hAnsi="Verdana" w:cs="Verdana"/>
      <w:b/>
      <w:bCs/>
      <w:color w:val="000000"/>
      <w:sz w:val="20"/>
      <w:szCs w:val="20"/>
      <w:u w:color="000000"/>
      <w:bdr w:val="nil"/>
      <w:lang w:val="es-ES_tradnl" w:eastAsia="es-CR"/>
    </w:rPr>
  </w:style>
  <w:style w:type="paragraph" w:customStyle="1" w:styleId="PrrafodeSentencia">
    <w:name w:val="*. Párrafo de Sentencia"/>
    <w:basedOn w:val="Normal"/>
    <w:link w:val="PrrafodeSentenciaChar"/>
    <w:qFormat/>
    <w:rsid w:val="004C6A87"/>
    <w:pPr>
      <w:widowControl w:val="0"/>
      <w:numPr>
        <w:numId w:val="7"/>
      </w:numPr>
      <w:tabs>
        <w:tab w:val="left" w:pos="567"/>
      </w:tabs>
      <w:adjustRightInd w:val="0"/>
      <w:spacing w:line="240" w:lineRule="auto"/>
      <w:ind w:left="0" w:firstLine="0"/>
      <w:textAlignment w:val="baseline"/>
    </w:pPr>
    <w:rPr>
      <w:rFonts w:ascii="Verdana" w:eastAsia="Times New Roman" w:hAnsi="Verdana" w:cs="Times New Roman"/>
      <w:sz w:val="20"/>
      <w:szCs w:val="20"/>
      <w:lang w:val="es-CO" w:eastAsia="es-ES"/>
    </w:rPr>
  </w:style>
  <w:style w:type="character" w:customStyle="1" w:styleId="PrrafodeSentenciaChar">
    <w:name w:val="*. Párrafo de Sentencia Char"/>
    <w:link w:val="PrrafodeSentencia"/>
    <w:locked/>
    <w:rsid w:val="004C6A87"/>
    <w:rPr>
      <w:rFonts w:ascii="Verdana" w:eastAsia="Times New Roman" w:hAnsi="Verdana" w:cs="Times New Roman"/>
      <w:sz w:val="20"/>
      <w:szCs w:val="20"/>
      <w:lang w:val="es-CO" w:eastAsia="es-ES"/>
    </w:rPr>
  </w:style>
  <w:style w:type="paragraph" w:styleId="Prrafodelista">
    <w:name w:val="List Paragraph"/>
    <w:basedOn w:val="Normal"/>
    <w:qFormat/>
    <w:rsid w:val="004C6A87"/>
    <w:pPr>
      <w:ind w:left="720"/>
      <w:contextualSpacing/>
    </w:pPr>
  </w:style>
  <w:style w:type="character" w:customStyle="1" w:styleId="None">
    <w:name w:val="None"/>
    <w:rsid w:val="00776293"/>
  </w:style>
  <w:style w:type="paragraph" w:styleId="NormalWeb">
    <w:name w:val="Normal (Web)"/>
    <w:basedOn w:val="Normal"/>
    <w:unhideWhenUsed/>
    <w:rsid w:val="00196439"/>
    <w:rPr>
      <w:rFonts w:ascii="Times New Roman" w:hAnsi="Times New Roman" w:cs="Times New Roman"/>
      <w:sz w:val="24"/>
      <w:szCs w:val="24"/>
    </w:rPr>
  </w:style>
  <w:style w:type="paragraph" w:styleId="Encabezado">
    <w:name w:val="header"/>
    <w:basedOn w:val="Normal"/>
    <w:link w:val="EncabezadoCar"/>
    <w:uiPriority w:val="99"/>
    <w:unhideWhenUsed/>
    <w:rsid w:val="00B5377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5377E"/>
  </w:style>
  <w:style w:type="paragraph" w:styleId="Piedepgina">
    <w:name w:val="footer"/>
    <w:basedOn w:val="Normal"/>
    <w:link w:val="PiedepginaCar"/>
    <w:uiPriority w:val="99"/>
    <w:unhideWhenUsed/>
    <w:rsid w:val="00B5377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5377E"/>
  </w:style>
  <w:style w:type="paragraph" w:styleId="Textodeglobo">
    <w:name w:val="Balloon Text"/>
    <w:basedOn w:val="Normal"/>
    <w:link w:val="TextodegloboCar"/>
    <w:uiPriority w:val="99"/>
    <w:semiHidden/>
    <w:unhideWhenUsed/>
    <w:rsid w:val="00C80D9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0D92"/>
    <w:rPr>
      <w:rFonts w:ascii="Segoe UI" w:hAnsi="Segoe UI" w:cs="Segoe UI"/>
      <w:sz w:val="18"/>
      <w:szCs w:val="18"/>
    </w:rPr>
  </w:style>
  <w:style w:type="paragraph" w:styleId="Textocomentario">
    <w:name w:val="annotation text"/>
    <w:basedOn w:val="Normal"/>
    <w:link w:val="TextocomentarioCar"/>
    <w:uiPriority w:val="99"/>
    <w:unhideWhenUsed/>
    <w:rsid w:val="007B2A68"/>
    <w:pPr>
      <w:spacing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7B2A68"/>
    <w:rPr>
      <w:rFonts w:ascii="Times New Roman" w:eastAsia="Times New Roman" w:hAnsi="Times New Roman" w:cs="Times New Roman"/>
      <w:sz w:val="20"/>
      <w:szCs w:val="20"/>
      <w:lang w:val="en-US"/>
    </w:rPr>
  </w:style>
  <w:style w:type="character" w:styleId="Refdecomentario">
    <w:name w:val="annotation reference"/>
    <w:basedOn w:val="Fuentedeprrafopredeter"/>
    <w:uiPriority w:val="99"/>
    <w:semiHidden/>
    <w:unhideWhenUsed/>
    <w:rsid w:val="007B2A68"/>
    <w:rPr>
      <w:sz w:val="16"/>
      <w:szCs w:val="16"/>
    </w:rPr>
  </w:style>
  <w:style w:type="paragraph" w:customStyle="1" w:styleId="Ttulo1">
    <w:name w:val="Título1"/>
    <w:basedOn w:val="Normal"/>
    <w:rsid w:val="00215514"/>
    <w:pPr>
      <w:spacing w:line="240" w:lineRule="atLeast"/>
      <w:jc w:val="center"/>
    </w:pPr>
    <w:rPr>
      <w:rFonts w:ascii="Verdana" w:eastAsia="Times New Roman" w:hAnsi="Verdana" w:cs="Times New Roman"/>
      <w:b/>
      <w:bCs/>
      <w:sz w:val="20"/>
      <w:szCs w:val="20"/>
      <w:lang w:val="es-ES" w:eastAsia="es-ES"/>
    </w:rPr>
  </w:style>
  <w:style w:type="character" w:customStyle="1" w:styleId="titlechar1">
    <w:name w:val="title__char1"/>
    <w:basedOn w:val="Fuentedeprrafopredeter"/>
    <w:rsid w:val="00215514"/>
    <w:rPr>
      <w:rFonts w:ascii="Verdana" w:hAnsi="Verdana" w:hint="default"/>
      <w:b/>
      <w:bCs/>
      <w:sz w:val="20"/>
      <w:szCs w:val="20"/>
    </w:rPr>
  </w:style>
  <w:style w:type="paragraph" w:styleId="Asuntodelcomentario">
    <w:name w:val="annotation subject"/>
    <w:basedOn w:val="Textocomentario"/>
    <w:next w:val="Textocomentario"/>
    <w:link w:val="AsuntodelcomentarioCar"/>
    <w:uiPriority w:val="99"/>
    <w:semiHidden/>
    <w:unhideWhenUsed/>
    <w:rsid w:val="00D00DD1"/>
    <w:rPr>
      <w:rFonts w:asciiTheme="minorHAnsi" w:eastAsiaTheme="minorHAnsi" w:hAnsiTheme="minorHAnsi" w:cstheme="minorBidi"/>
      <w:b/>
      <w:bCs/>
      <w:lang w:val="es-CL"/>
    </w:rPr>
  </w:style>
  <w:style w:type="character" w:customStyle="1" w:styleId="AsuntodelcomentarioCar">
    <w:name w:val="Asunto del comentario Car"/>
    <w:basedOn w:val="TextocomentarioCar"/>
    <w:link w:val="Asuntodelcomentario"/>
    <w:uiPriority w:val="99"/>
    <w:semiHidden/>
    <w:rsid w:val="00D00DD1"/>
    <w:rPr>
      <w:rFonts w:ascii="Times New Roman" w:eastAsia="Times New Roman" w:hAnsi="Times New Roman" w:cs="Times New Roman"/>
      <w:b/>
      <w:bCs/>
      <w:sz w:val="20"/>
      <w:szCs w:val="20"/>
      <w:lang w:val="en-US"/>
    </w:rPr>
  </w:style>
  <w:style w:type="table" w:styleId="Tablaconcuadrcula">
    <w:name w:val="Table Grid"/>
    <w:basedOn w:val="Tablanormal"/>
    <w:uiPriority w:val="39"/>
    <w:rsid w:val="001736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0">
    <w:name w:val="normal10"/>
    <w:basedOn w:val="Fuentedeprrafopredeter"/>
    <w:rsid w:val="00580C88"/>
  </w:style>
  <w:style w:type="character" w:customStyle="1" w:styleId="highlight">
    <w:name w:val="highlight"/>
    <w:basedOn w:val="Fuentedeprrafopredeter"/>
    <w:rsid w:val="00AA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73424">
      <w:bodyDiv w:val="1"/>
      <w:marLeft w:val="0"/>
      <w:marRight w:val="0"/>
      <w:marTop w:val="0"/>
      <w:marBottom w:val="0"/>
      <w:divBdr>
        <w:top w:val="none" w:sz="0" w:space="0" w:color="auto"/>
        <w:left w:val="none" w:sz="0" w:space="0" w:color="auto"/>
        <w:bottom w:val="none" w:sz="0" w:space="0" w:color="auto"/>
        <w:right w:val="none" w:sz="0" w:space="0" w:color="auto"/>
      </w:divBdr>
    </w:div>
    <w:div w:id="871767274">
      <w:bodyDiv w:val="1"/>
      <w:marLeft w:val="0"/>
      <w:marRight w:val="0"/>
      <w:marTop w:val="0"/>
      <w:marBottom w:val="0"/>
      <w:divBdr>
        <w:top w:val="none" w:sz="0" w:space="0" w:color="auto"/>
        <w:left w:val="none" w:sz="0" w:space="0" w:color="auto"/>
        <w:bottom w:val="none" w:sz="0" w:space="0" w:color="auto"/>
        <w:right w:val="none" w:sz="0" w:space="0" w:color="auto"/>
      </w:divBdr>
    </w:div>
    <w:div w:id="1724871289">
      <w:bodyDiv w:val="1"/>
      <w:marLeft w:val="0"/>
      <w:marRight w:val="0"/>
      <w:marTop w:val="0"/>
      <w:marBottom w:val="0"/>
      <w:divBdr>
        <w:top w:val="none" w:sz="0" w:space="0" w:color="auto"/>
        <w:left w:val="none" w:sz="0" w:space="0" w:color="auto"/>
        <w:bottom w:val="none" w:sz="0" w:space="0" w:color="auto"/>
        <w:right w:val="none" w:sz="0" w:space="0" w:color="auto"/>
      </w:divBdr>
    </w:div>
    <w:div w:id="1838501541">
      <w:bodyDiv w:val="1"/>
      <w:marLeft w:val="0"/>
      <w:marRight w:val="0"/>
      <w:marTop w:val="0"/>
      <w:marBottom w:val="0"/>
      <w:divBdr>
        <w:top w:val="none" w:sz="0" w:space="0" w:color="auto"/>
        <w:left w:val="none" w:sz="0" w:space="0" w:color="auto"/>
        <w:bottom w:val="none" w:sz="0" w:space="0" w:color="auto"/>
        <w:right w:val="none" w:sz="0" w:space="0" w:color="auto"/>
      </w:divBdr>
    </w:div>
    <w:div w:id="1882479598">
      <w:bodyDiv w:val="1"/>
      <w:marLeft w:val="0"/>
      <w:marRight w:val="0"/>
      <w:marTop w:val="0"/>
      <w:marBottom w:val="0"/>
      <w:divBdr>
        <w:top w:val="none" w:sz="0" w:space="0" w:color="auto"/>
        <w:left w:val="none" w:sz="0" w:space="0" w:color="auto"/>
        <w:bottom w:val="none" w:sz="0" w:space="0" w:color="auto"/>
        <w:right w:val="none" w:sz="0" w:space="0" w:color="auto"/>
      </w:divBdr>
    </w:div>
    <w:div w:id="20169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D96F-D06A-4AF7-9D77-C3CD89C9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10598</Words>
  <Characters>58291</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2020-12-04T22:38:00Z</dcterms:created>
  <dcterms:modified xsi:type="dcterms:W3CDTF">2020-12-04T22:38:00Z</dcterms:modified>
</cp:coreProperties>
</file>