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8ED7AB" w14:textId="77777777" w:rsidR="0029269E" w:rsidRPr="000671C9" w:rsidRDefault="0029269E" w:rsidP="0029269E">
      <w:pPr>
        <w:spacing w:after="0" w:line="360" w:lineRule="auto"/>
        <w:jc w:val="center"/>
        <w:rPr>
          <w:rFonts w:ascii="Verdana" w:hAnsi="Verdana"/>
          <w:b/>
          <w:sz w:val="20"/>
          <w:szCs w:val="20"/>
          <w:lang w:val="es-ES"/>
        </w:rPr>
      </w:pPr>
      <w:r w:rsidRPr="000671C9">
        <w:rPr>
          <w:rFonts w:ascii="Verdana" w:hAnsi="Verdana"/>
          <w:b/>
          <w:sz w:val="20"/>
          <w:szCs w:val="20"/>
          <w:lang w:val="es-ES"/>
        </w:rPr>
        <w:t xml:space="preserve">VOTO CONCURRENTE DEL </w:t>
      </w:r>
    </w:p>
    <w:p w14:paraId="06F48F6B" w14:textId="77777777" w:rsidR="0029269E" w:rsidRPr="000671C9" w:rsidRDefault="0029269E" w:rsidP="0029269E">
      <w:pPr>
        <w:spacing w:after="0" w:line="360" w:lineRule="auto"/>
        <w:jc w:val="center"/>
        <w:rPr>
          <w:rFonts w:ascii="Verdana" w:hAnsi="Verdana"/>
          <w:b/>
          <w:sz w:val="20"/>
          <w:szCs w:val="20"/>
          <w:lang w:val="es-ES"/>
        </w:rPr>
      </w:pPr>
      <w:r w:rsidRPr="000671C9">
        <w:rPr>
          <w:rFonts w:ascii="Verdana" w:hAnsi="Verdana"/>
          <w:b/>
          <w:sz w:val="20"/>
          <w:szCs w:val="20"/>
          <w:lang w:val="es-ES"/>
        </w:rPr>
        <w:t xml:space="preserve">JUEZ EDUARDO RAÚL ZAFFARONI </w:t>
      </w:r>
    </w:p>
    <w:p w14:paraId="6F2EBC9B" w14:textId="77777777" w:rsidR="0029269E" w:rsidRPr="000671C9" w:rsidRDefault="0029269E" w:rsidP="0029269E">
      <w:pPr>
        <w:spacing w:after="120" w:line="240" w:lineRule="auto"/>
        <w:jc w:val="center"/>
        <w:rPr>
          <w:rFonts w:ascii="Verdana" w:hAnsi="Verdana"/>
          <w:b/>
          <w:sz w:val="20"/>
          <w:szCs w:val="20"/>
          <w:lang w:val="es-ES"/>
        </w:rPr>
      </w:pPr>
    </w:p>
    <w:p w14:paraId="6F06841C" w14:textId="77777777" w:rsidR="0029269E" w:rsidRPr="000671C9" w:rsidRDefault="0029269E" w:rsidP="0029269E">
      <w:pPr>
        <w:tabs>
          <w:tab w:val="left" w:pos="851"/>
          <w:tab w:val="left" w:pos="1701"/>
          <w:tab w:val="left" w:pos="3544"/>
          <w:tab w:val="left" w:pos="3696"/>
        </w:tabs>
        <w:spacing w:after="120" w:line="240" w:lineRule="auto"/>
        <w:jc w:val="center"/>
        <w:rPr>
          <w:rFonts w:ascii="Verdana" w:hAnsi="Verdana"/>
          <w:b/>
          <w:i/>
          <w:sz w:val="20"/>
          <w:szCs w:val="20"/>
          <w:u w:val="single"/>
          <w:lang w:val="es-MX"/>
        </w:rPr>
      </w:pPr>
      <w:r w:rsidRPr="000671C9">
        <w:rPr>
          <w:rFonts w:ascii="Verdana" w:hAnsi="Verdana"/>
          <w:b/>
          <w:i/>
          <w:sz w:val="20"/>
          <w:szCs w:val="20"/>
          <w:u w:val="single"/>
          <w:lang w:val="es-CR"/>
        </w:rPr>
        <w:t>CASO DÍAZ LORETO Y OTROS VS. VENEZUELA</w:t>
      </w:r>
    </w:p>
    <w:p w14:paraId="68072579" w14:textId="77777777" w:rsidR="0029269E" w:rsidRPr="000671C9" w:rsidRDefault="0029269E" w:rsidP="0029269E">
      <w:pPr>
        <w:jc w:val="center"/>
        <w:rPr>
          <w:rFonts w:ascii="Verdana" w:hAnsi="Verdana"/>
          <w:b/>
          <w:sz w:val="20"/>
          <w:szCs w:val="20"/>
          <w:lang w:val="es-CR"/>
        </w:rPr>
      </w:pPr>
    </w:p>
    <w:p w14:paraId="7535842C" w14:textId="77777777" w:rsidR="0029269E" w:rsidRPr="000671C9" w:rsidRDefault="0029269E" w:rsidP="0029269E">
      <w:pPr>
        <w:spacing w:after="0"/>
        <w:jc w:val="center"/>
        <w:rPr>
          <w:rFonts w:ascii="Verdana" w:hAnsi="Verdana"/>
          <w:b/>
          <w:sz w:val="20"/>
          <w:szCs w:val="20"/>
          <w:lang w:val="es-CR"/>
        </w:rPr>
      </w:pPr>
      <w:r w:rsidRPr="000671C9">
        <w:rPr>
          <w:rFonts w:ascii="Verdana" w:hAnsi="Verdana"/>
          <w:b/>
          <w:sz w:val="20"/>
          <w:szCs w:val="20"/>
          <w:lang w:val="es-CR"/>
        </w:rPr>
        <w:t>SENTENCIA DE 19 DE NOVIEMBRE DE 2019</w:t>
      </w:r>
    </w:p>
    <w:p w14:paraId="211C776F" w14:textId="77777777" w:rsidR="0029269E" w:rsidRPr="000671C9" w:rsidRDefault="0029269E" w:rsidP="0029269E">
      <w:pPr>
        <w:spacing w:after="0"/>
        <w:jc w:val="center"/>
        <w:rPr>
          <w:rFonts w:ascii="Verdana" w:hAnsi="Verdana"/>
          <w:b/>
          <w:i/>
          <w:sz w:val="20"/>
          <w:szCs w:val="20"/>
          <w:lang w:val="es-CR"/>
        </w:rPr>
      </w:pPr>
      <w:r w:rsidRPr="000671C9">
        <w:rPr>
          <w:rFonts w:ascii="Verdana" w:hAnsi="Verdana"/>
          <w:b/>
          <w:i/>
          <w:sz w:val="20"/>
          <w:szCs w:val="20"/>
          <w:lang w:val="es-CR"/>
        </w:rPr>
        <w:t>(Excepciones Preliminares, Fondo, Reparaciones y Costas)</w:t>
      </w:r>
    </w:p>
    <w:p w14:paraId="5C1EA315" w14:textId="77777777" w:rsidR="0029269E" w:rsidRDefault="0029269E" w:rsidP="003A0431">
      <w:pPr>
        <w:ind w:firstLine="720"/>
        <w:jc w:val="both"/>
        <w:rPr>
          <w:rFonts w:ascii="Verdana" w:hAnsi="Verdana"/>
          <w:b/>
          <w:sz w:val="28"/>
          <w:szCs w:val="28"/>
          <w:lang w:val="es-CR"/>
        </w:rPr>
      </w:pPr>
    </w:p>
    <w:p w14:paraId="1E633A97" w14:textId="77777777" w:rsidR="003A0431" w:rsidRPr="000671C9" w:rsidRDefault="003C75A9" w:rsidP="003A0431">
      <w:pPr>
        <w:ind w:firstLine="720"/>
        <w:jc w:val="both"/>
        <w:rPr>
          <w:rFonts w:ascii="Verdana" w:hAnsi="Verdana"/>
          <w:sz w:val="20"/>
          <w:szCs w:val="20"/>
          <w:lang w:val="es-CR"/>
        </w:rPr>
      </w:pPr>
      <w:r w:rsidRPr="000671C9">
        <w:rPr>
          <w:rFonts w:ascii="Verdana" w:hAnsi="Verdana"/>
          <w:sz w:val="20"/>
          <w:szCs w:val="20"/>
          <w:lang w:val="es-CR"/>
        </w:rPr>
        <w:t>Entiendo que los hechos probados en estos autos configuran también una violación por parte del Estado de Venezuela al artículo 4</w:t>
      </w:r>
      <w:r w:rsidR="003A0431" w:rsidRPr="000671C9">
        <w:rPr>
          <w:rFonts w:ascii="Verdana" w:hAnsi="Verdana"/>
          <w:sz w:val="20"/>
          <w:szCs w:val="20"/>
          <w:lang w:val="es-CR"/>
        </w:rPr>
        <w:t xml:space="preserve"> numerales </w:t>
      </w:r>
      <w:r w:rsidRPr="000671C9">
        <w:rPr>
          <w:rFonts w:ascii="Verdana" w:hAnsi="Verdana"/>
          <w:sz w:val="20"/>
          <w:szCs w:val="20"/>
          <w:lang w:val="es-CR"/>
        </w:rPr>
        <w:t>2 y 3 de la</w:t>
      </w:r>
      <w:r w:rsidR="001E74BE">
        <w:rPr>
          <w:rFonts w:ascii="Verdana" w:hAnsi="Verdana"/>
          <w:sz w:val="20"/>
          <w:szCs w:val="20"/>
          <w:lang w:val="es-CR"/>
        </w:rPr>
        <w:t xml:space="preserve"> Convención Americana (</w:t>
      </w:r>
      <w:r w:rsidRPr="000671C9">
        <w:rPr>
          <w:rFonts w:ascii="Verdana" w:hAnsi="Verdana"/>
          <w:sz w:val="20"/>
          <w:szCs w:val="20"/>
          <w:lang w:val="es-CR"/>
        </w:rPr>
        <w:t>CADH</w:t>
      </w:r>
      <w:r w:rsidR="001E74BE">
        <w:rPr>
          <w:rFonts w:ascii="Verdana" w:hAnsi="Verdana"/>
          <w:sz w:val="20"/>
          <w:szCs w:val="20"/>
          <w:lang w:val="es-CR"/>
        </w:rPr>
        <w:t>)</w:t>
      </w:r>
      <w:r w:rsidRPr="000671C9">
        <w:rPr>
          <w:rFonts w:ascii="Verdana" w:hAnsi="Verdana"/>
          <w:sz w:val="20"/>
          <w:szCs w:val="20"/>
          <w:lang w:val="es-CR"/>
        </w:rPr>
        <w:t xml:space="preserve">. </w:t>
      </w:r>
    </w:p>
    <w:p w14:paraId="5FCB8427" w14:textId="77777777" w:rsidR="00BA060E" w:rsidRPr="000671C9" w:rsidRDefault="003C75A9" w:rsidP="003A0431">
      <w:pPr>
        <w:ind w:firstLine="720"/>
        <w:jc w:val="both"/>
        <w:rPr>
          <w:rFonts w:ascii="Verdana" w:hAnsi="Verdana"/>
          <w:sz w:val="20"/>
          <w:szCs w:val="20"/>
          <w:lang w:val="es-CR"/>
        </w:rPr>
      </w:pPr>
      <w:r w:rsidRPr="000671C9">
        <w:rPr>
          <w:rFonts w:ascii="Verdana" w:hAnsi="Verdana"/>
          <w:sz w:val="20"/>
          <w:szCs w:val="20"/>
          <w:lang w:val="es-CR"/>
        </w:rPr>
        <w:t>La prohibición de restablecer la pena de muerte (4.3 CA</w:t>
      </w:r>
      <w:r w:rsidR="001E74BE">
        <w:rPr>
          <w:rFonts w:ascii="Verdana" w:hAnsi="Verdana"/>
          <w:sz w:val="20"/>
          <w:szCs w:val="20"/>
          <w:lang w:val="es-CR"/>
        </w:rPr>
        <w:t>DH</w:t>
      </w:r>
      <w:r w:rsidRPr="000671C9">
        <w:rPr>
          <w:rFonts w:ascii="Verdana" w:hAnsi="Verdana"/>
          <w:sz w:val="20"/>
          <w:szCs w:val="20"/>
          <w:lang w:val="es-CR"/>
        </w:rPr>
        <w:t xml:space="preserve">) no se </w:t>
      </w:r>
      <w:r w:rsidR="003A0431" w:rsidRPr="000671C9">
        <w:rPr>
          <w:rFonts w:ascii="Verdana" w:hAnsi="Verdana"/>
          <w:sz w:val="20"/>
          <w:szCs w:val="20"/>
          <w:lang w:val="es-CR"/>
        </w:rPr>
        <w:t>puede limitar a que, con posterioridad a su abolición, se sancione una ley que la prevea y a la que eventualmente imponga un juez en razón de esa ley</w:t>
      </w:r>
      <w:r w:rsidRPr="000671C9">
        <w:rPr>
          <w:rFonts w:ascii="Verdana" w:hAnsi="Verdana"/>
          <w:sz w:val="20"/>
          <w:szCs w:val="20"/>
          <w:lang w:val="es-CR"/>
        </w:rPr>
        <w:t>,</w:t>
      </w:r>
      <w:r w:rsidR="005C5C22" w:rsidRPr="000671C9">
        <w:rPr>
          <w:rFonts w:ascii="Verdana" w:hAnsi="Verdana"/>
          <w:sz w:val="20"/>
          <w:szCs w:val="20"/>
          <w:lang w:val="es-CR"/>
        </w:rPr>
        <w:t xml:space="preserve"> o sea, al restablecimiento formal de la pena capital</w:t>
      </w:r>
      <w:r w:rsidR="003A0431" w:rsidRPr="000671C9">
        <w:rPr>
          <w:rFonts w:ascii="Verdana" w:hAnsi="Verdana"/>
          <w:sz w:val="20"/>
          <w:szCs w:val="20"/>
          <w:lang w:val="es-CR"/>
        </w:rPr>
        <w:t xml:space="preserve">. Lo que la CADH prohíbe es que se </w:t>
      </w:r>
      <w:r w:rsidR="00BA060E" w:rsidRPr="000671C9">
        <w:rPr>
          <w:rFonts w:ascii="Verdana" w:hAnsi="Verdana"/>
          <w:sz w:val="20"/>
          <w:szCs w:val="20"/>
          <w:lang w:val="es-CR"/>
        </w:rPr>
        <w:t xml:space="preserve">la </w:t>
      </w:r>
      <w:r w:rsidR="003A0431" w:rsidRPr="000671C9">
        <w:rPr>
          <w:rFonts w:ascii="Verdana" w:hAnsi="Verdana"/>
          <w:sz w:val="20"/>
          <w:szCs w:val="20"/>
          <w:lang w:val="es-CR"/>
        </w:rPr>
        <w:t xml:space="preserve">restablezca </w:t>
      </w:r>
      <w:r w:rsidR="00BA060E" w:rsidRPr="000671C9">
        <w:rPr>
          <w:rFonts w:ascii="Verdana" w:hAnsi="Verdana"/>
          <w:sz w:val="20"/>
          <w:szCs w:val="20"/>
          <w:lang w:val="es-CR"/>
        </w:rPr>
        <w:t xml:space="preserve">tanto </w:t>
      </w:r>
      <w:r w:rsidR="003A0431" w:rsidRPr="000671C9">
        <w:rPr>
          <w:rFonts w:ascii="Verdana" w:hAnsi="Verdana"/>
          <w:sz w:val="20"/>
          <w:szCs w:val="20"/>
          <w:lang w:val="es-CR"/>
        </w:rPr>
        <w:t xml:space="preserve">formal </w:t>
      </w:r>
      <w:r w:rsidR="00BA060E" w:rsidRPr="000671C9">
        <w:rPr>
          <w:rFonts w:ascii="Verdana" w:hAnsi="Verdana"/>
          <w:sz w:val="20"/>
          <w:szCs w:val="20"/>
          <w:lang w:val="es-CR"/>
        </w:rPr>
        <w:t>com</w:t>
      </w:r>
      <w:r w:rsidR="003A0431" w:rsidRPr="000671C9">
        <w:rPr>
          <w:rFonts w:ascii="Verdana" w:hAnsi="Verdana"/>
          <w:sz w:val="20"/>
          <w:szCs w:val="20"/>
          <w:lang w:val="es-CR"/>
        </w:rPr>
        <w:t>o fácticamente</w:t>
      </w:r>
      <w:r w:rsidR="005C5C22" w:rsidRPr="000671C9">
        <w:rPr>
          <w:rFonts w:ascii="Verdana" w:hAnsi="Verdana"/>
          <w:sz w:val="20"/>
          <w:szCs w:val="20"/>
          <w:lang w:val="es-CR"/>
        </w:rPr>
        <w:t xml:space="preserve">, </w:t>
      </w:r>
      <w:r w:rsidR="003A0431" w:rsidRPr="000671C9">
        <w:rPr>
          <w:rFonts w:ascii="Verdana" w:hAnsi="Verdana"/>
          <w:sz w:val="20"/>
          <w:szCs w:val="20"/>
          <w:lang w:val="es-CR"/>
        </w:rPr>
        <w:t>o sea que</w:t>
      </w:r>
      <w:r w:rsidR="00B928C4" w:rsidRPr="000671C9">
        <w:rPr>
          <w:rFonts w:ascii="Verdana" w:hAnsi="Verdana"/>
          <w:sz w:val="20"/>
          <w:szCs w:val="20"/>
          <w:lang w:val="es-CR"/>
        </w:rPr>
        <w:t>,</w:t>
      </w:r>
      <w:r w:rsidR="003A0431" w:rsidRPr="000671C9">
        <w:rPr>
          <w:rFonts w:ascii="Verdana" w:hAnsi="Verdana"/>
          <w:sz w:val="20"/>
          <w:szCs w:val="20"/>
          <w:lang w:val="es-CR"/>
        </w:rPr>
        <w:t xml:space="preserve"> con mayor razón</w:t>
      </w:r>
      <w:r w:rsidR="00B928C4" w:rsidRPr="000671C9">
        <w:rPr>
          <w:rFonts w:ascii="Verdana" w:hAnsi="Verdana"/>
          <w:sz w:val="20"/>
          <w:szCs w:val="20"/>
          <w:lang w:val="es-CR"/>
        </w:rPr>
        <w:t xml:space="preserve">, tampoco se </w:t>
      </w:r>
      <w:r w:rsidR="003A0431" w:rsidRPr="000671C9">
        <w:rPr>
          <w:rFonts w:ascii="Verdana" w:hAnsi="Verdana"/>
          <w:sz w:val="20"/>
          <w:szCs w:val="20"/>
          <w:lang w:val="es-CR"/>
        </w:rPr>
        <w:t xml:space="preserve">incurra en la práctica reiterada de ejecución de personas por considerarlas vinculadas a delitos por parte de funcionarios armados del Estado, </w:t>
      </w:r>
      <w:r w:rsidRPr="000671C9">
        <w:rPr>
          <w:rFonts w:ascii="Verdana" w:hAnsi="Verdana"/>
          <w:sz w:val="20"/>
          <w:szCs w:val="20"/>
          <w:lang w:val="es-CR"/>
        </w:rPr>
        <w:t>fuera de toda formalidad judicial</w:t>
      </w:r>
      <w:r w:rsidR="003A0431" w:rsidRPr="000671C9">
        <w:rPr>
          <w:rFonts w:ascii="Verdana" w:hAnsi="Verdana"/>
          <w:sz w:val="20"/>
          <w:szCs w:val="20"/>
          <w:lang w:val="es-CR"/>
        </w:rPr>
        <w:t>.</w:t>
      </w:r>
    </w:p>
    <w:p w14:paraId="1D99A915" w14:textId="77777777" w:rsidR="005C5C22" w:rsidRPr="000671C9" w:rsidRDefault="00BA060E" w:rsidP="003A0431">
      <w:pPr>
        <w:ind w:firstLine="720"/>
        <w:jc w:val="both"/>
        <w:rPr>
          <w:rFonts w:ascii="Verdana" w:hAnsi="Verdana"/>
          <w:sz w:val="20"/>
          <w:szCs w:val="20"/>
          <w:lang w:val="es-CR"/>
        </w:rPr>
      </w:pPr>
      <w:r w:rsidRPr="000671C9">
        <w:rPr>
          <w:rFonts w:ascii="Verdana" w:hAnsi="Verdana"/>
          <w:sz w:val="20"/>
          <w:szCs w:val="20"/>
          <w:lang w:val="es-CR"/>
        </w:rPr>
        <w:t xml:space="preserve">Sería absurdo que se considerase violatorio de derechos humanos que un Estado sancione una ley que imponga la pena de muerte después de haberla derogado, pero que no se considerase de la misma manera que la ejecute </w:t>
      </w:r>
      <w:r w:rsidR="00B928C4" w:rsidRPr="000671C9">
        <w:rPr>
          <w:rFonts w:ascii="Verdana" w:hAnsi="Verdana"/>
          <w:sz w:val="20"/>
          <w:szCs w:val="20"/>
          <w:lang w:val="es-CR"/>
        </w:rPr>
        <w:t xml:space="preserve">o deje ejecutar </w:t>
      </w:r>
      <w:r w:rsidRPr="000671C9">
        <w:rPr>
          <w:rFonts w:ascii="Verdana" w:hAnsi="Verdana"/>
          <w:sz w:val="20"/>
          <w:szCs w:val="20"/>
          <w:lang w:val="es-CR"/>
        </w:rPr>
        <w:t xml:space="preserve">sin ley, o sea que la restablezca fácticamente, hecho </w:t>
      </w:r>
      <w:r w:rsidR="00B928C4" w:rsidRPr="000671C9">
        <w:rPr>
          <w:rFonts w:ascii="Verdana" w:hAnsi="Verdana"/>
          <w:sz w:val="20"/>
          <w:szCs w:val="20"/>
          <w:lang w:val="es-CR"/>
        </w:rPr>
        <w:t xml:space="preserve">este último que </w:t>
      </w:r>
      <w:r w:rsidRPr="000671C9">
        <w:rPr>
          <w:rFonts w:ascii="Verdana" w:hAnsi="Verdana"/>
          <w:sz w:val="20"/>
          <w:szCs w:val="20"/>
          <w:lang w:val="es-CR"/>
        </w:rPr>
        <w:t>reviste mucha mayor gravedad, dado que la</w:t>
      </w:r>
      <w:r w:rsidR="00B928C4" w:rsidRPr="000671C9">
        <w:rPr>
          <w:rFonts w:ascii="Verdana" w:hAnsi="Verdana"/>
          <w:sz w:val="20"/>
          <w:szCs w:val="20"/>
          <w:lang w:val="es-CR"/>
        </w:rPr>
        <w:t xml:space="preserve"> libra</w:t>
      </w:r>
      <w:r w:rsidRPr="000671C9">
        <w:rPr>
          <w:rFonts w:ascii="Verdana" w:hAnsi="Verdana"/>
          <w:sz w:val="20"/>
          <w:szCs w:val="20"/>
          <w:lang w:val="es-CR"/>
        </w:rPr>
        <w:t xml:space="preserve"> al criterio arbitrari</w:t>
      </w:r>
      <w:r w:rsidR="00F50EAB" w:rsidRPr="000671C9">
        <w:rPr>
          <w:rFonts w:ascii="Verdana" w:hAnsi="Verdana"/>
          <w:sz w:val="20"/>
          <w:szCs w:val="20"/>
          <w:lang w:val="es-CR"/>
        </w:rPr>
        <w:t>o</w:t>
      </w:r>
      <w:r w:rsidRPr="000671C9">
        <w:rPr>
          <w:rFonts w:ascii="Verdana" w:hAnsi="Verdana"/>
          <w:sz w:val="20"/>
          <w:szCs w:val="20"/>
          <w:lang w:val="es-CR"/>
        </w:rPr>
        <w:t xml:space="preserve"> de funcionarios ejecutivos, al margen de cualquier intervención judicial anterior. </w:t>
      </w:r>
      <w:r w:rsidR="003A0431" w:rsidRPr="000671C9">
        <w:rPr>
          <w:rFonts w:ascii="Verdana" w:hAnsi="Verdana"/>
          <w:sz w:val="20"/>
          <w:szCs w:val="20"/>
          <w:lang w:val="es-CR"/>
        </w:rPr>
        <w:t xml:space="preserve"> </w:t>
      </w:r>
      <w:r w:rsidR="003C75A9" w:rsidRPr="000671C9">
        <w:rPr>
          <w:rFonts w:ascii="Verdana" w:hAnsi="Verdana"/>
          <w:sz w:val="20"/>
          <w:szCs w:val="20"/>
          <w:lang w:val="es-CR"/>
        </w:rPr>
        <w:t xml:space="preserve"> </w:t>
      </w:r>
    </w:p>
    <w:p w14:paraId="2AF84719" w14:textId="77777777" w:rsidR="000F29A8" w:rsidRPr="000671C9" w:rsidRDefault="003A0431" w:rsidP="00BA060E">
      <w:pPr>
        <w:ind w:firstLine="720"/>
        <w:jc w:val="both"/>
        <w:rPr>
          <w:rFonts w:ascii="Verdana" w:hAnsi="Verdana"/>
          <w:sz w:val="20"/>
          <w:szCs w:val="20"/>
          <w:lang w:val="es-CR"/>
        </w:rPr>
      </w:pPr>
      <w:r w:rsidRPr="000671C9">
        <w:rPr>
          <w:rFonts w:ascii="Verdana" w:hAnsi="Verdana"/>
          <w:sz w:val="20"/>
          <w:szCs w:val="20"/>
          <w:lang w:val="es-CR"/>
        </w:rPr>
        <w:t xml:space="preserve">El género “pena” abarca </w:t>
      </w:r>
      <w:r w:rsidR="005C5C22" w:rsidRPr="000671C9">
        <w:rPr>
          <w:rFonts w:ascii="Verdana" w:hAnsi="Verdana"/>
          <w:sz w:val="20"/>
          <w:szCs w:val="20"/>
          <w:lang w:val="es-CR"/>
        </w:rPr>
        <w:t>la afectación de un derecho por parte de agentes del Estado como consecuencia de un presunto o probado delito. Est</w:t>
      </w:r>
      <w:r w:rsidR="00F50EAB" w:rsidRPr="000671C9">
        <w:rPr>
          <w:rFonts w:ascii="Verdana" w:hAnsi="Verdana"/>
          <w:sz w:val="20"/>
          <w:szCs w:val="20"/>
          <w:lang w:val="es-CR"/>
        </w:rPr>
        <w:t>e</w:t>
      </w:r>
      <w:r w:rsidR="005C5C22" w:rsidRPr="000671C9">
        <w:rPr>
          <w:rFonts w:ascii="Verdana" w:hAnsi="Verdana"/>
          <w:sz w:val="20"/>
          <w:szCs w:val="20"/>
          <w:lang w:val="es-CR"/>
        </w:rPr>
        <w:t xml:space="preserve"> </w:t>
      </w:r>
      <w:r w:rsidRPr="000671C9">
        <w:rPr>
          <w:rFonts w:ascii="Verdana" w:hAnsi="Verdana"/>
          <w:sz w:val="20"/>
          <w:szCs w:val="20"/>
          <w:lang w:val="es-CR"/>
        </w:rPr>
        <w:t xml:space="preserve">género comprende como especies </w:t>
      </w:r>
      <w:r w:rsidR="005C5C22" w:rsidRPr="000671C9">
        <w:rPr>
          <w:rFonts w:ascii="Verdana" w:hAnsi="Verdana"/>
          <w:sz w:val="20"/>
          <w:szCs w:val="20"/>
          <w:lang w:val="es-CR"/>
        </w:rPr>
        <w:t>tanto las penas legales como las ilegales, pues de lo contrario sería absurdo referirse a “penas pr</w:t>
      </w:r>
      <w:r w:rsidRPr="000671C9">
        <w:rPr>
          <w:rFonts w:ascii="Verdana" w:hAnsi="Verdana"/>
          <w:sz w:val="20"/>
          <w:szCs w:val="20"/>
          <w:lang w:val="es-CR"/>
        </w:rPr>
        <w:t xml:space="preserve">ohibidas” o a “penas ilícitas”. Es obvio, por ende, que las penas </w:t>
      </w:r>
      <w:r w:rsidR="005C5C22" w:rsidRPr="000671C9">
        <w:rPr>
          <w:rFonts w:ascii="Verdana" w:hAnsi="Verdana"/>
          <w:sz w:val="20"/>
          <w:szCs w:val="20"/>
          <w:lang w:val="es-CR"/>
        </w:rPr>
        <w:t>prohibidas o ilícitas</w:t>
      </w:r>
      <w:r w:rsidRPr="000671C9">
        <w:rPr>
          <w:rFonts w:ascii="Verdana" w:hAnsi="Verdana"/>
          <w:sz w:val="20"/>
          <w:szCs w:val="20"/>
          <w:lang w:val="es-CR"/>
        </w:rPr>
        <w:t xml:space="preserve"> </w:t>
      </w:r>
      <w:r w:rsidR="005C5C22" w:rsidRPr="000671C9">
        <w:rPr>
          <w:rFonts w:ascii="Verdana" w:hAnsi="Verdana"/>
          <w:sz w:val="20"/>
          <w:szCs w:val="20"/>
          <w:lang w:val="es-CR"/>
        </w:rPr>
        <w:t xml:space="preserve">siguen siendo penas. </w:t>
      </w:r>
    </w:p>
    <w:p w14:paraId="11CC53F7" w14:textId="77777777" w:rsidR="005C5C22" w:rsidRPr="000671C9" w:rsidRDefault="003A0431" w:rsidP="000F29A8">
      <w:pPr>
        <w:ind w:firstLine="720"/>
        <w:jc w:val="both"/>
        <w:rPr>
          <w:rFonts w:ascii="Verdana" w:hAnsi="Verdana"/>
          <w:sz w:val="20"/>
          <w:szCs w:val="20"/>
          <w:lang w:val="es-CR"/>
        </w:rPr>
      </w:pPr>
      <w:r w:rsidRPr="000671C9">
        <w:rPr>
          <w:rFonts w:ascii="Verdana" w:hAnsi="Verdana"/>
          <w:sz w:val="20"/>
          <w:szCs w:val="20"/>
          <w:lang w:val="es-CR"/>
        </w:rPr>
        <w:t xml:space="preserve">Reconocer a las penas ilícitas el carácter de pena conforme a su género, tiene diversas consecuencias, como entre otras </w:t>
      </w:r>
      <w:r w:rsidR="000F29A8" w:rsidRPr="000671C9">
        <w:rPr>
          <w:rFonts w:ascii="Verdana" w:hAnsi="Verdana"/>
          <w:sz w:val="20"/>
          <w:szCs w:val="20"/>
          <w:lang w:val="es-CR"/>
        </w:rPr>
        <w:t>la necesidad de computarlas como pena</w:t>
      </w:r>
      <w:r w:rsidR="00B928C4" w:rsidRPr="000671C9">
        <w:rPr>
          <w:rFonts w:ascii="Verdana" w:hAnsi="Verdana"/>
          <w:sz w:val="20"/>
          <w:szCs w:val="20"/>
          <w:lang w:val="es-CR"/>
        </w:rPr>
        <w:t>s</w:t>
      </w:r>
      <w:r w:rsidR="000F29A8" w:rsidRPr="000671C9">
        <w:rPr>
          <w:rFonts w:ascii="Verdana" w:hAnsi="Verdana"/>
          <w:sz w:val="20"/>
          <w:szCs w:val="20"/>
          <w:lang w:val="es-CR"/>
        </w:rPr>
        <w:t xml:space="preserve"> cumplida</w:t>
      </w:r>
      <w:r w:rsidR="00B928C4" w:rsidRPr="000671C9">
        <w:rPr>
          <w:rFonts w:ascii="Verdana" w:hAnsi="Verdana"/>
          <w:sz w:val="20"/>
          <w:szCs w:val="20"/>
          <w:lang w:val="es-CR"/>
        </w:rPr>
        <w:t>s</w:t>
      </w:r>
      <w:r w:rsidR="000F29A8" w:rsidRPr="000671C9">
        <w:rPr>
          <w:rFonts w:ascii="Verdana" w:hAnsi="Verdana"/>
          <w:sz w:val="20"/>
          <w:szCs w:val="20"/>
          <w:lang w:val="es-CR"/>
        </w:rPr>
        <w:t xml:space="preserve"> en el supuesto en que la persona víctima sea condenada o cumpla una pena lícita por el mismo hecho. No obstante, esta solución se impone</w:t>
      </w:r>
      <w:r w:rsidR="00B928C4" w:rsidRPr="000671C9">
        <w:rPr>
          <w:rFonts w:ascii="Verdana" w:hAnsi="Verdana"/>
          <w:sz w:val="20"/>
          <w:szCs w:val="20"/>
          <w:lang w:val="es-CR"/>
        </w:rPr>
        <w:t xml:space="preserve"> –por ejemplo en el caso de torturas, tratos crueles, lesiones corporales, etc.-</w:t>
      </w:r>
      <w:r w:rsidR="000F29A8" w:rsidRPr="000671C9">
        <w:rPr>
          <w:rFonts w:ascii="Verdana" w:hAnsi="Verdana"/>
          <w:sz w:val="20"/>
          <w:szCs w:val="20"/>
          <w:lang w:val="es-CR"/>
        </w:rPr>
        <w:t xml:space="preserve"> pues de lo contrario se caería en el absurdo de que el Estado sólo computaría como cumplidas las penas lícitas y no las ilícitas que ejecuta</w:t>
      </w:r>
      <w:r w:rsidR="00B928C4" w:rsidRPr="000671C9">
        <w:rPr>
          <w:rFonts w:ascii="Verdana" w:hAnsi="Verdana"/>
          <w:sz w:val="20"/>
          <w:szCs w:val="20"/>
          <w:lang w:val="es-CR"/>
        </w:rPr>
        <w:t xml:space="preserve">, </w:t>
      </w:r>
      <w:r w:rsidR="000F29A8" w:rsidRPr="000671C9">
        <w:rPr>
          <w:rFonts w:ascii="Verdana" w:hAnsi="Verdana"/>
          <w:sz w:val="20"/>
          <w:szCs w:val="20"/>
          <w:lang w:val="es-CR"/>
        </w:rPr>
        <w:t>permita</w:t>
      </w:r>
      <w:r w:rsidR="00B928C4" w:rsidRPr="000671C9">
        <w:rPr>
          <w:rFonts w:ascii="Verdana" w:hAnsi="Verdana"/>
          <w:sz w:val="20"/>
          <w:szCs w:val="20"/>
          <w:lang w:val="es-CR"/>
        </w:rPr>
        <w:t xml:space="preserve"> o no impida </w:t>
      </w:r>
      <w:r w:rsidR="000F29A8" w:rsidRPr="000671C9">
        <w:rPr>
          <w:rFonts w:ascii="Verdana" w:hAnsi="Verdana"/>
          <w:sz w:val="20"/>
          <w:szCs w:val="20"/>
          <w:lang w:val="es-CR"/>
        </w:rPr>
        <w:t xml:space="preserve"> ejecutar a sus funcionarios. </w:t>
      </w:r>
    </w:p>
    <w:p w14:paraId="66BDE1F3" w14:textId="77777777" w:rsidR="00595DA1" w:rsidRPr="000671C9" w:rsidRDefault="005C5C22" w:rsidP="00460FD5">
      <w:pPr>
        <w:jc w:val="both"/>
        <w:rPr>
          <w:rFonts w:ascii="Verdana" w:hAnsi="Verdana"/>
          <w:sz w:val="20"/>
          <w:szCs w:val="20"/>
          <w:lang w:val="es-CR"/>
        </w:rPr>
      </w:pPr>
      <w:r w:rsidRPr="000671C9">
        <w:rPr>
          <w:rFonts w:ascii="Verdana" w:hAnsi="Verdana"/>
          <w:sz w:val="20"/>
          <w:szCs w:val="20"/>
          <w:lang w:val="es-CR"/>
        </w:rPr>
        <w:t xml:space="preserve"> </w:t>
      </w:r>
      <w:r w:rsidR="000F29A8" w:rsidRPr="000671C9">
        <w:rPr>
          <w:rFonts w:ascii="Verdana" w:hAnsi="Verdana"/>
          <w:sz w:val="20"/>
          <w:szCs w:val="20"/>
          <w:lang w:val="es-CR"/>
        </w:rPr>
        <w:tab/>
      </w:r>
      <w:r w:rsidRPr="000671C9">
        <w:rPr>
          <w:rFonts w:ascii="Verdana" w:hAnsi="Verdana"/>
          <w:sz w:val="20"/>
          <w:szCs w:val="20"/>
          <w:lang w:val="es-CR"/>
        </w:rPr>
        <w:t>L</w:t>
      </w:r>
      <w:r w:rsidR="00595DA1" w:rsidRPr="000671C9">
        <w:rPr>
          <w:rFonts w:ascii="Verdana" w:hAnsi="Verdana"/>
          <w:sz w:val="20"/>
          <w:szCs w:val="20"/>
          <w:lang w:val="es-CR"/>
        </w:rPr>
        <w:t xml:space="preserve">os </w:t>
      </w:r>
      <w:r w:rsidRPr="000671C9">
        <w:rPr>
          <w:rFonts w:ascii="Verdana" w:hAnsi="Verdana"/>
          <w:sz w:val="20"/>
          <w:szCs w:val="20"/>
          <w:lang w:val="es-CR"/>
        </w:rPr>
        <w:t>hechos de autos</w:t>
      </w:r>
      <w:r w:rsidR="00595DA1" w:rsidRPr="000671C9">
        <w:rPr>
          <w:rFonts w:ascii="Verdana" w:hAnsi="Verdana"/>
          <w:sz w:val="20"/>
          <w:szCs w:val="20"/>
          <w:lang w:val="es-CR"/>
        </w:rPr>
        <w:t xml:space="preserve"> no han sido esclarecidos pero</w:t>
      </w:r>
      <w:r w:rsidR="000F29A8" w:rsidRPr="000671C9">
        <w:rPr>
          <w:rFonts w:ascii="Verdana" w:hAnsi="Verdana"/>
          <w:sz w:val="20"/>
          <w:szCs w:val="20"/>
          <w:lang w:val="es-CR"/>
        </w:rPr>
        <w:t xml:space="preserve">, teniendo en cuenta el contexto probado en autos y hasta admitido por el propio Estado, se trata de una típica situación en las que se oculta la ejecución de penas de muerte fácticas, también llamadas “ejecuciones </w:t>
      </w:r>
      <w:r w:rsidR="000F29A8" w:rsidRPr="000671C9">
        <w:rPr>
          <w:rFonts w:ascii="Verdana" w:hAnsi="Verdana"/>
          <w:sz w:val="20"/>
          <w:szCs w:val="20"/>
          <w:lang w:val="es-CR"/>
        </w:rPr>
        <w:lastRenderedPageBreak/>
        <w:t>extrajudiciales” y “ejecuciones sin proceso”. Dado el contexto, se refuerza el deber del Estado de esclarecer los h</w:t>
      </w:r>
      <w:r w:rsidR="00B928C4" w:rsidRPr="000671C9">
        <w:rPr>
          <w:rFonts w:ascii="Verdana" w:hAnsi="Verdana"/>
          <w:sz w:val="20"/>
          <w:szCs w:val="20"/>
          <w:lang w:val="es-CR"/>
        </w:rPr>
        <w:t>e</w:t>
      </w:r>
      <w:r w:rsidR="000F29A8" w:rsidRPr="000671C9">
        <w:rPr>
          <w:rFonts w:ascii="Verdana" w:hAnsi="Verdana"/>
          <w:sz w:val="20"/>
          <w:szCs w:val="20"/>
          <w:lang w:val="es-CR"/>
        </w:rPr>
        <w:t xml:space="preserve">chos en este tipo de situaciones que aparecen oficialmente como enfrentamientos entre </w:t>
      </w:r>
      <w:r w:rsidR="00595DA1" w:rsidRPr="000671C9">
        <w:rPr>
          <w:rFonts w:ascii="Verdana" w:hAnsi="Verdana"/>
          <w:sz w:val="20"/>
          <w:szCs w:val="20"/>
          <w:lang w:val="es-CR"/>
        </w:rPr>
        <w:t>policías y delincuentes</w:t>
      </w:r>
      <w:r w:rsidR="000F29A8" w:rsidRPr="000671C9">
        <w:rPr>
          <w:rFonts w:ascii="Verdana" w:hAnsi="Verdana"/>
          <w:sz w:val="20"/>
          <w:szCs w:val="20"/>
          <w:lang w:val="es-CR"/>
        </w:rPr>
        <w:t xml:space="preserve">. Este deber se extrema cuando –como en el caso de autos- el delito vinculado es un hurto o robo de poca monta y el resultado final es la muerte de tres personas. Las contradicciones entre los testigos, las deficiencias de la autopsia, la extraña coincidencia de aguas negras, etc., </w:t>
      </w:r>
      <w:r w:rsidR="00B928C4" w:rsidRPr="000671C9">
        <w:rPr>
          <w:rFonts w:ascii="Verdana" w:hAnsi="Verdana"/>
          <w:sz w:val="20"/>
          <w:szCs w:val="20"/>
          <w:lang w:val="es-CR"/>
        </w:rPr>
        <w:t xml:space="preserve">todo lo cual queda en una nube de sombras, </w:t>
      </w:r>
      <w:r w:rsidR="000F29A8" w:rsidRPr="000671C9">
        <w:rPr>
          <w:rFonts w:ascii="Verdana" w:hAnsi="Verdana"/>
          <w:sz w:val="20"/>
          <w:szCs w:val="20"/>
          <w:lang w:val="es-CR"/>
        </w:rPr>
        <w:t>est</w:t>
      </w:r>
      <w:r w:rsidR="00B928C4" w:rsidRPr="000671C9">
        <w:rPr>
          <w:rFonts w:ascii="Verdana" w:hAnsi="Verdana"/>
          <w:sz w:val="20"/>
          <w:szCs w:val="20"/>
          <w:lang w:val="es-CR"/>
        </w:rPr>
        <w:t xml:space="preserve">á mostrando </w:t>
      </w:r>
      <w:r w:rsidR="000F29A8" w:rsidRPr="000671C9">
        <w:rPr>
          <w:rFonts w:ascii="Verdana" w:hAnsi="Verdana"/>
          <w:sz w:val="20"/>
          <w:szCs w:val="20"/>
          <w:lang w:val="es-CR"/>
        </w:rPr>
        <w:t>una grave deficiencia en la práctica criminalística</w:t>
      </w:r>
      <w:r w:rsidR="00B928C4" w:rsidRPr="000671C9">
        <w:rPr>
          <w:rFonts w:ascii="Verdana" w:hAnsi="Verdana"/>
          <w:sz w:val="20"/>
          <w:szCs w:val="20"/>
          <w:lang w:val="es-CR"/>
        </w:rPr>
        <w:t>, en un caso que demandaba un extremo cuidado en su aplicación</w:t>
      </w:r>
      <w:r w:rsidR="000F29A8" w:rsidRPr="000671C9">
        <w:rPr>
          <w:rFonts w:ascii="Verdana" w:hAnsi="Verdana"/>
          <w:sz w:val="20"/>
          <w:szCs w:val="20"/>
          <w:lang w:val="es-CR"/>
        </w:rPr>
        <w:t xml:space="preserve">. </w:t>
      </w:r>
      <w:r w:rsidR="00595DA1" w:rsidRPr="000671C9">
        <w:rPr>
          <w:rFonts w:ascii="Verdana" w:hAnsi="Verdana"/>
          <w:sz w:val="20"/>
          <w:szCs w:val="20"/>
          <w:lang w:val="es-CR"/>
        </w:rPr>
        <w:t xml:space="preserve"> </w:t>
      </w:r>
    </w:p>
    <w:p w14:paraId="1D922276" w14:textId="77777777" w:rsidR="00B928C4" w:rsidRPr="000671C9" w:rsidRDefault="000F29A8" w:rsidP="000F29A8">
      <w:pPr>
        <w:ind w:firstLine="720"/>
        <w:jc w:val="both"/>
        <w:rPr>
          <w:rFonts w:ascii="Verdana" w:hAnsi="Verdana"/>
          <w:sz w:val="20"/>
          <w:szCs w:val="20"/>
          <w:lang w:val="es-CR"/>
        </w:rPr>
      </w:pPr>
      <w:r w:rsidRPr="000671C9">
        <w:rPr>
          <w:rFonts w:ascii="Verdana" w:hAnsi="Verdana"/>
          <w:sz w:val="20"/>
          <w:szCs w:val="20"/>
          <w:lang w:val="es-CR"/>
        </w:rPr>
        <w:t>La reposición fáctica de la pena de muerte</w:t>
      </w:r>
      <w:r w:rsidR="00BA060E" w:rsidRPr="000671C9">
        <w:rPr>
          <w:rFonts w:ascii="Verdana" w:hAnsi="Verdana"/>
          <w:sz w:val="20"/>
          <w:szCs w:val="20"/>
          <w:lang w:val="es-CR"/>
        </w:rPr>
        <w:t xml:space="preserve"> no necesariamente resulta de conductas dolosas activas de las autoridades máximas de un Estado, sino también por omisiones y también por negligencia de </w:t>
      </w:r>
      <w:r w:rsidR="00F50EAB" w:rsidRPr="000671C9">
        <w:rPr>
          <w:rFonts w:ascii="Verdana" w:hAnsi="Verdana"/>
          <w:sz w:val="20"/>
          <w:szCs w:val="20"/>
          <w:lang w:val="es-CR"/>
        </w:rPr>
        <w:t>e</w:t>
      </w:r>
      <w:r w:rsidR="00BA060E" w:rsidRPr="000671C9">
        <w:rPr>
          <w:rFonts w:ascii="Verdana" w:hAnsi="Verdana"/>
          <w:sz w:val="20"/>
          <w:szCs w:val="20"/>
          <w:lang w:val="es-CR"/>
        </w:rPr>
        <w:t xml:space="preserve">stas. Dado que esta reposición, por su naturaleza </w:t>
      </w:r>
      <w:r w:rsidRPr="000671C9">
        <w:rPr>
          <w:rFonts w:ascii="Verdana" w:hAnsi="Verdana"/>
          <w:sz w:val="20"/>
          <w:szCs w:val="20"/>
          <w:lang w:val="es-CR"/>
        </w:rPr>
        <w:t xml:space="preserve">carece de toda formalidad, pues surge de los hechos mismos, </w:t>
      </w:r>
      <w:r w:rsidR="00B928C4" w:rsidRPr="000671C9">
        <w:rPr>
          <w:rFonts w:ascii="Verdana" w:hAnsi="Verdana"/>
          <w:sz w:val="20"/>
          <w:szCs w:val="20"/>
          <w:lang w:val="es-CR"/>
        </w:rPr>
        <w:t>s</w:t>
      </w:r>
      <w:r w:rsidR="00F50EAB" w:rsidRPr="000671C9">
        <w:rPr>
          <w:rFonts w:ascii="Verdana" w:hAnsi="Verdana"/>
          <w:sz w:val="20"/>
          <w:szCs w:val="20"/>
          <w:lang w:val="es-CR"/>
        </w:rPr>
        <w:t>o</w:t>
      </w:r>
      <w:r w:rsidR="00B928C4" w:rsidRPr="000671C9">
        <w:rPr>
          <w:rFonts w:ascii="Verdana" w:hAnsi="Verdana"/>
          <w:sz w:val="20"/>
          <w:szCs w:val="20"/>
          <w:lang w:val="es-CR"/>
        </w:rPr>
        <w:t xml:space="preserve">lo </w:t>
      </w:r>
      <w:r w:rsidR="00BA060E" w:rsidRPr="000671C9">
        <w:rPr>
          <w:rFonts w:ascii="Verdana" w:hAnsi="Verdana"/>
          <w:sz w:val="20"/>
          <w:szCs w:val="20"/>
          <w:lang w:val="es-CR"/>
        </w:rPr>
        <w:t xml:space="preserve">puede </w:t>
      </w:r>
      <w:r w:rsidR="00B928C4" w:rsidRPr="000671C9">
        <w:rPr>
          <w:rFonts w:ascii="Verdana" w:hAnsi="Verdana"/>
          <w:sz w:val="20"/>
          <w:szCs w:val="20"/>
          <w:lang w:val="es-CR"/>
        </w:rPr>
        <w:t xml:space="preserve">tenerse por </w:t>
      </w:r>
      <w:r w:rsidR="00BA060E" w:rsidRPr="000671C9">
        <w:rPr>
          <w:rFonts w:ascii="Verdana" w:hAnsi="Verdana"/>
          <w:sz w:val="20"/>
          <w:szCs w:val="20"/>
          <w:lang w:val="es-CR"/>
        </w:rPr>
        <w:t xml:space="preserve">probada por los medios corrientes de </w:t>
      </w:r>
      <w:r w:rsidR="00B928C4" w:rsidRPr="000671C9">
        <w:rPr>
          <w:rFonts w:ascii="Verdana" w:hAnsi="Verdana"/>
          <w:sz w:val="20"/>
          <w:szCs w:val="20"/>
          <w:lang w:val="es-CR"/>
        </w:rPr>
        <w:t xml:space="preserve">prueba de </w:t>
      </w:r>
      <w:r w:rsidR="00BA060E" w:rsidRPr="000671C9">
        <w:rPr>
          <w:rFonts w:ascii="Verdana" w:hAnsi="Verdana"/>
          <w:sz w:val="20"/>
          <w:szCs w:val="20"/>
          <w:lang w:val="es-CR"/>
        </w:rPr>
        <w:t>hechos</w:t>
      </w:r>
      <w:r w:rsidR="00B928C4" w:rsidRPr="000671C9">
        <w:rPr>
          <w:rFonts w:ascii="Verdana" w:hAnsi="Verdana"/>
          <w:sz w:val="20"/>
          <w:szCs w:val="20"/>
          <w:lang w:val="es-CR"/>
        </w:rPr>
        <w:t>, de los que forman parte las presunciones graves, precisas y concordantes</w:t>
      </w:r>
      <w:r w:rsidR="00BA060E" w:rsidRPr="000671C9">
        <w:rPr>
          <w:rFonts w:ascii="Verdana" w:hAnsi="Verdana"/>
          <w:sz w:val="20"/>
          <w:szCs w:val="20"/>
          <w:lang w:val="es-CR"/>
        </w:rPr>
        <w:t xml:space="preserve">. </w:t>
      </w:r>
    </w:p>
    <w:p w14:paraId="0A40D406" w14:textId="77777777" w:rsidR="00BA060E" w:rsidRPr="000671C9" w:rsidRDefault="00BA060E" w:rsidP="000F29A8">
      <w:pPr>
        <w:ind w:firstLine="720"/>
        <w:jc w:val="both"/>
        <w:rPr>
          <w:rFonts w:ascii="Verdana" w:hAnsi="Verdana"/>
          <w:sz w:val="20"/>
          <w:szCs w:val="20"/>
          <w:lang w:val="es-CR"/>
        </w:rPr>
      </w:pPr>
      <w:r w:rsidRPr="000671C9">
        <w:rPr>
          <w:rFonts w:ascii="Verdana" w:hAnsi="Verdana"/>
          <w:sz w:val="20"/>
          <w:szCs w:val="20"/>
          <w:lang w:val="es-CR"/>
        </w:rPr>
        <w:t xml:space="preserve">En el caso de autos, la grave falencia en el esclarecimiento de los hechos y el contexto probado y aún admitido por el propio Estado, </w:t>
      </w:r>
      <w:r w:rsidR="00B928C4" w:rsidRPr="000671C9">
        <w:rPr>
          <w:rFonts w:ascii="Verdana" w:hAnsi="Verdana"/>
          <w:sz w:val="20"/>
          <w:szCs w:val="20"/>
          <w:lang w:val="es-CR"/>
        </w:rPr>
        <w:t xml:space="preserve">crean una seria presunción de que –al menos por omisión y por negligencia- se generalizaba </w:t>
      </w:r>
      <w:r w:rsidRPr="000671C9">
        <w:rPr>
          <w:rFonts w:ascii="Verdana" w:hAnsi="Verdana"/>
          <w:sz w:val="20"/>
          <w:szCs w:val="20"/>
          <w:lang w:val="es-CR"/>
        </w:rPr>
        <w:t xml:space="preserve">la práctica de las ejecuciones extrajudiciales o pena de muerte fáctica. </w:t>
      </w:r>
    </w:p>
    <w:p w14:paraId="7412A4C5" w14:textId="77777777" w:rsidR="00595DA1" w:rsidRPr="000671C9" w:rsidRDefault="00BA060E" w:rsidP="00BA060E">
      <w:pPr>
        <w:ind w:firstLine="720"/>
        <w:jc w:val="both"/>
        <w:rPr>
          <w:rFonts w:ascii="Verdana" w:hAnsi="Verdana"/>
          <w:sz w:val="20"/>
          <w:szCs w:val="20"/>
          <w:lang w:val="es-CR"/>
        </w:rPr>
      </w:pPr>
      <w:r w:rsidRPr="000671C9">
        <w:rPr>
          <w:rFonts w:ascii="Verdana" w:hAnsi="Verdana"/>
          <w:sz w:val="20"/>
          <w:szCs w:val="20"/>
          <w:lang w:val="es-CR"/>
        </w:rPr>
        <w:t xml:space="preserve">Esta reposición fáctica de la pena de muerte importa una </w:t>
      </w:r>
      <w:r w:rsidR="005C5C22" w:rsidRPr="000671C9">
        <w:rPr>
          <w:rFonts w:ascii="Verdana" w:hAnsi="Verdana"/>
          <w:sz w:val="20"/>
          <w:szCs w:val="20"/>
          <w:lang w:val="es-CR"/>
        </w:rPr>
        <w:t xml:space="preserve">violación al derecho humano a la vida, no ya </w:t>
      </w:r>
      <w:r w:rsidR="00B928C4" w:rsidRPr="000671C9">
        <w:rPr>
          <w:rFonts w:ascii="Verdana" w:hAnsi="Verdana"/>
          <w:sz w:val="20"/>
          <w:szCs w:val="20"/>
          <w:lang w:val="es-CR"/>
        </w:rPr>
        <w:t xml:space="preserve">únicamente </w:t>
      </w:r>
      <w:r w:rsidR="005C5C22" w:rsidRPr="000671C9">
        <w:rPr>
          <w:rFonts w:ascii="Verdana" w:hAnsi="Verdana"/>
          <w:sz w:val="20"/>
          <w:szCs w:val="20"/>
          <w:lang w:val="es-CR"/>
        </w:rPr>
        <w:t>de l</w:t>
      </w:r>
      <w:r w:rsidR="00B928C4" w:rsidRPr="000671C9">
        <w:rPr>
          <w:rFonts w:ascii="Verdana" w:hAnsi="Verdana"/>
          <w:sz w:val="20"/>
          <w:szCs w:val="20"/>
          <w:lang w:val="es-CR"/>
        </w:rPr>
        <w:t>a</w:t>
      </w:r>
      <w:r w:rsidR="005C5C22" w:rsidRPr="000671C9">
        <w:rPr>
          <w:rFonts w:ascii="Verdana" w:hAnsi="Verdana"/>
          <w:sz w:val="20"/>
          <w:szCs w:val="20"/>
          <w:lang w:val="es-CR"/>
        </w:rPr>
        <w:t xml:space="preserve">s víctimas del caso, sino como amenaza </w:t>
      </w:r>
      <w:r w:rsidR="00595DA1" w:rsidRPr="000671C9">
        <w:rPr>
          <w:rFonts w:ascii="Verdana" w:hAnsi="Verdana"/>
          <w:sz w:val="20"/>
          <w:szCs w:val="20"/>
          <w:lang w:val="es-CR"/>
        </w:rPr>
        <w:t>general a ese derecho para</w:t>
      </w:r>
      <w:r w:rsidR="005C5C22" w:rsidRPr="000671C9">
        <w:rPr>
          <w:rFonts w:ascii="Verdana" w:hAnsi="Verdana"/>
          <w:sz w:val="20"/>
          <w:szCs w:val="20"/>
          <w:lang w:val="es-CR"/>
        </w:rPr>
        <w:t xml:space="preserve"> todos sus habitantes</w:t>
      </w:r>
      <w:r w:rsidRPr="000671C9">
        <w:rPr>
          <w:rFonts w:ascii="Verdana" w:hAnsi="Verdana"/>
          <w:sz w:val="20"/>
          <w:szCs w:val="20"/>
          <w:lang w:val="es-CR"/>
        </w:rPr>
        <w:t xml:space="preserve">. </w:t>
      </w:r>
      <w:r w:rsidR="00595DA1" w:rsidRPr="000671C9">
        <w:rPr>
          <w:rFonts w:ascii="Verdana" w:hAnsi="Verdana"/>
          <w:sz w:val="20"/>
          <w:szCs w:val="20"/>
          <w:lang w:val="es-CR"/>
        </w:rPr>
        <w:t xml:space="preserve">El derecho a la vida, como todo derecho, no se </w:t>
      </w:r>
      <w:r w:rsidRPr="000671C9">
        <w:rPr>
          <w:rFonts w:ascii="Verdana" w:hAnsi="Verdana"/>
          <w:sz w:val="20"/>
          <w:szCs w:val="20"/>
          <w:lang w:val="es-CR"/>
        </w:rPr>
        <w:t xml:space="preserve">ofende </w:t>
      </w:r>
      <w:r w:rsidR="00595DA1" w:rsidRPr="000671C9">
        <w:rPr>
          <w:rFonts w:ascii="Verdana" w:hAnsi="Verdana"/>
          <w:sz w:val="20"/>
          <w:szCs w:val="20"/>
          <w:lang w:val="es-CR"/>
        </w:rPr>
        <w:t xml:space="preserve">sólo por lesión, es decir, cuando se mata, sino también por peligro, o sea, cuando </w:t>
      </w:r>
      <w:r w:rsidR="00460FD5" w:rsidRPr="000671C9">
        <w:rPr>
          <w:rFonts w:ascii="Verdana" w:hAnsi="Verdana"/>
          <w:sz w:val="20"/>
          <w:szCs w:val="20"/>
          <w:lang w:val="es-CR"/>
        </w:rPr>
        <w:t xml:space="preserve">se hace </w:t>
      </w:r>
      <w:r w:rsidR="00595DA1" w:rsidRPr="000671C9">
        <w:rPr>
          <w:rFonts w:ascii="Verdana" w:hAnsi="Verdana"/>
          <w:sz w:val="20"/>
          <w:szCs w:val="20"/>
          <w:lang w:val="es-CR"/>
        </w:rPr>
        <w:t>pesa</w:t>
      </w:r>
      <w:r w:rsidR="00460FD5" w:rsidRPr="000671C9">
        <w:rPr>
          <w:rFonts w:ascii="Verdana" w:hAnsi="Verdana"/>
          <w:sz w:val="20"/>
          <w:szCs w:val="20"/>
          <w:lang w:val="es-CR"/>
        </w:rPr>
        <w:t>r</w:t>
      </w:r>
      <w:r w:rsidR="00595DA1" w:rsidRPr="000671C9">
        <w:rPr>
          <w:rFonts w:ascii="Verdana" w:hAnsi="Verdana"/>
          <w:sz w:val="20"/>
          <w:szCs w:val="20"/>
          <w:lang w:val="es-CR"/>
        </w:rPr>
        <w:t xml:space="preserve"> sobre toda una población una suerte de posib</w:t>
      </w:r>
      <w:r w:rsidR="00B928C4" w:rsidRPr="000671C9">
        <w:rPr>
          <w:rFonts w:ascii="Verdana" w:hAnsi="Verdana"/>
          <w:sz w:val="20"/>
          <w:szCs w:val="20"/>
          <w:lang w:val="es-CR"/>
        </w:rPr>
        <w:t xml:space="preserve">le </w:t>
      </w:r>
      <w:r w:rsidR="00460FD5" w:rsidRPr="000671C9">
        <w:rPr>
          <w:rFonts w:ascii="Verdana" w:hAnsi="Verdana"/>
          <w:sz w:val="20"/>
          <w:szCs w:val="20"/>
          <w:lang w:val="es-CR"/>
        </w:rPr>
        <w:t xml:space="preserve">muerte </w:t>
      </w:r>
      <w:r w:rsidR="00595DA1" w:rsidRPr="000671C9">
        <w:rPr>
          <w:rFonts w:ascii="Verdana" w:hAnsi="Verdana"/>
          <w:sz w:val="20"/>
          <w:szCs w:val="20"/>
          <w:lang w:val="es-CR"/>
        </w:rPr>
        <w:t xml:space="preserve">por azar por </w:t>
      </w:r>
      <w:r w:rsidR="00460FD5" w:rsidRPr="000671C9">
        <w:rPr>
          <w:rFonts w:ascii="Verdana" w:hAnsi="Verdana"/>
          <w:sz w:val="20"/>
          <w:szCs w:val="20"/>
          <w:lang w:val="es-CR"/>
        </w:rPr>
        <w:t xml:space="preserve">parte de </w:t>
      </w:r>
      <w:r w:rsidR="00595DA1" w:rsidRPr="000671C9">
        <w:rPr>
          <w:rFonts w:ascii="Verdana" w:hAnsi="Verdana"/>
          <w:sz w:val="20"/>
          <w:szCs w:val="20"/>
          <w:lang w:val="es-CR"/>
        </w:rPr>
        <w:t xml:space="preserve">cualquier funcionario </w:t>
      </w:r>
      <w:r w:rsidR="00460FD5" w:rsidRPr="000671C9">
        <w:rPr>
          <w:rFonts w:ascii="Verdana" w:hAnsi="Verdana"/>
          <w:sz w:val="20"/>
          <w:szCs w:val="20"/>
          <w:lang w:val="es-CR"/>
        </w:rPr>
        <w:t xml:space="preserve">armado </w:t>
      </w:r>
      <w:r w:rsidR="00595DA1" w:rsidRPr="000671C9">
        <w:rPr>
          <w:rFonts w:ascii="Verdana" w:hAnsi="Verdana"/>
          <w:sz w:val="20"/>
          <w:szCs w:val="20"/>
          <w:lang w:val="es-CR"/>
        </w:rPr>
        <w:t>del Estado que pretenda</w:t>
      </w:r>
      <w:r w:rsidR="002B6C40" w:rsidRPr="000671C9">
        <w:rPr>
          <w:rFonts w:ascii="Verdana" w:hAnsi="Verdana"/>
          <w:sz w:val="20"/>
          <w:szCs w:val="20"/>
          <w:lang w:val="es-CR"/>
        </w:rPr>
        <w:t>, crea o invente</w:t>
      </w:r>
      <w:r w:rsidR="00595DA1" w:rsidRPr="000671C9">
        <w:rPr>
          <w:rFonts w:ascii="Verdana" w:hAnsi="Verdana"/>
          <w:sz w:val="20"/>
          <w:szCs w:val="20"/>
          <w:lang w:val="es-CR"/>
        </w:rPr>
        <w:t xml:space="preserve"> la vinculación de la víctima con algún ilícito, con prescindencia de todo trámite formal, es decir, cuando se repone fácticamente la pena de muerte.</w:t>
      </w:r>
    </w:p>
    <w:p w14:paraId="0A481B6C" w14:textId="42C2CC7B" w:rsidR="00460FD5" w:rsidRPr="000671C9" w:rsidRDefault="00460FD5" w:rsidP="00BA060E">
      <w:pPr>
        <w:ind w:firstLine="720"/>
        <w:jc w:val="both"/>
        <w:rPr>
          <w:rFonts w:ascii="Verdana" w:hAnsi="Verdana"/>
          <w:sz w:val="20"/>
          <w:szCs w:val="20"/>
          <w:lang w:val="es-CR"/>
        </w:rPr>
      </w:pPr>
      <w:bookmarkStart w:id="0" w:name="_GoBack"/>
      <w:bookmarkEnd w:id="0"/>
      <w:r w:rsidRPr="000671C9">
        <w:rPr>
          <w:rFonts w:ascii="Verdana" w:hAnsi="Verdana"/>
          <w:sz w:val="20"/>
          <w:szCs w:val="20"/>
          <w:lang w:val="es-CR"/>
        </w:rPr>
        <w:t xml:space="preserve">Concluyo, por ende, que el caso de autos </w:t>
      </w:r>
      <w:r w:rsidR="002B6C40" w:rsidRPr="000671C9">
        <w:rPr>
          <w:rFonts w:ascii="Verdana" w:hAnsi="Verdana"/>
          <w:sz w:val="20"/>
          <w:szCs w:val="20"/>
          <w:lang w:val="es-CR"/>
        </w:rPr>
        <w:t xml:space="preserve">y teniendo en cuenta </w:t>
      </w:r>
      <w:r w:rsidRPr="000671C9">
        <w:rPr>
          <w:rFonts w:ascii="Verdana" w:hAnsi="Verdana"/>
          <w:sz w:val="20"/>
          <w:szCs w:val="20"/>
          <w:lang w:val="es-CR"/>
        </w:rPr>
        <w:t xml:space="preserve">el contexto probado también en autos, configura </w:t>
      </w:r>
      <w:r w:rsidR="002B6C40" w:rsidRPr="000671C9">
        <w:rPr>
          <w:rFonts w:ascii="Verdana" w:hAnsi="Verdana"/>
          <w:sz w:val="20"/>
          <w:szCs w:val="20"/>
          <w:lang w:val="es-CR"/>
        </w:rPr>
        <w:t xml:space="preserve">también </w:t>
      </w:r>
      <w:r w:rsidRPr="000671C9">
        <w:rPr>
          <w:rFonts w:ascii="Verdana" w:hAnsi="Verdana"/>
          <w:sz w:val="20"/>
          <w:szCs w:val="20"/>
          <w:lang w:val="es-CR"/>
        </w:rPr>
        <w:t xml:space="preserve">una violación a los numerales 2 y 3 del artículo 4 de la CADH, por </w:t>
      </w:r>
      <w:r w:rsidR="002B6C40" w:rsidRPr="000671C9">
        <w:rPr>
          <w:rFonts w:ascii="Verdana" w:hAnsi="Verdana"/>
          <w:sz w:val="20"/>
          <w:szCs w:val="20"/>
          <w:lang w:val="es-CR"/>
        </w:rPr>
        <w:t xml:space="preserve">tratarse del </w:t>
      </w:r>
      <w:r w:rsidRPr="000671C9">
        <w:rPr>
          <w:rFonts w:ascii="Verdana" w:hAnsi="Verdana"/>
          <w:sz w:val="20"/>
          <w:szCs w:val="20"/>
          <w:lang w:val="es-CR"/>
        </w:rPr>
        <w:t>restablecimiento fáctico de la pena de muerte, que lesion</w:t>
      </w:r>
      <w:r w:rsidR="002B6C40" w:rsidRPr="000671C9">
        <w:rPr>
          <w:rFonts w:ascii="Verdana" w:hAnsi="Verdana"/>
          <w:sz w:val="20"/>
          <w:szCs w:val="20"/>
          <w:lang w:val="es-CR"/>
        </w:rPr>
        <w:t>ó</w:t>
      </w:r>
      <w:r w:rsidRPr="000671C9">
        <w:rPr>
          <w:rFonts w:ascii="Verdana" w:hAnsi="Verdana"/>
          <w:sz w:val="20"/>
          <w:szCs w:val="20"/>
          <w:lang w:val="es-CR"/>
        </w:rPr>
        <w:t xml:space="preserve"> por peligro el derecho a la vida de toda la población del Estado. </w:t>
      </w:r>
    </w:p>
    <w:p w14:paraId="0B50A979" w14:textId="77777777" w:rsidR="00767782" w:rsidRDefault="00767782" w:rsidP="000671C9">
      <w:pPr>
        <w:pStyle w:val="Prrafodelista"/>
        <w:ind w:left="0"/>
        <w:jc w:val="right"/>
        <w:rPr>
          <w:rFonts w:ascii="Verdana" w:hAnsi="Verdana"/>
          <w:sz w:val="20"/>
          <w:szCs w:val="20"/>
          <w:lang w:val="es-ES"/>
        </w:rPr>
      </w:pPr>
    </w:p>
    <w:p w14:paraId="30823304" w14:textId="77777777" w:rsidR="00767782" w:rsidRDefault="00767782" w:rsidP="000671C9">
      <w:pPr>
        <w:pStyle w:val="Prrafodelista"/>
        <w:ind w:left="0"/>
        <w:jc w:val="right"/>
        <w:rPr>
          <w:rFonts w:ascii="Verdana" w:hAnsi="Verdana"/>
          <w:sz w:val="20"/>
          <w:szCs w:val="20"/>
          <w:lang w:val="es-ES"/>
        </w:rPr>
      </w:pPr>
    </w:p>
    <w:p w14:paraId="0DEBF2CD" w14:textId="63E189AD" w:rsidR="00767782" w:rsidRDefault="00767782" w:rsidP="000671C9">
      <w:pPr>
        <w:pStyle w:val="Prrafodelista"/>
        <w:ind w:left="0"/>
        <w:jc w:val="right"/>
        <w:rPr>
          <w:rFonts w:ascii="Verdana" w:hAnsi="Verdana"/>
          <w:sz w:val="20"/>
          <w:szCs w:val="20"/>
          <w:lang w:val="es-ES"/>
        </w:rPr>
      </w:pPr>
    </w:p>
    <w:p w14:paraId="2FCE6DDA" w14:textId="77777777" w:rsidR="000671C9" w:rsidRPr="000671C9" w:rsidRDefault="000671C9" w:rsidP="000671C9">
      <w:pPr>
        <w:pStyle w:val="Prrafodelista"/>
        <w:ind w:left="0"/>
        <w:jc w:val="right"/>
        <w:rPr>
          <w:rFonts w:ascii="Verdana" w:hAnsi="Verdana"/>
          <w:sz w:val="20"/>
          <w:szCs w:val="20"/>
          <w:lang w:val="es-ES"/>
        </w:rPr>
      </w:pPr>
      <w:r w:rsidRPr="000671C9">
        <w:rPr>
          <w:rFonts w:ascii="Verdana" w:hAnsi="Verdana"/>
          <w:sz w:val="20"/>
          <w:szCs w:val="20"/>
          <w:lang w:val="es-ES"/>
        </w:rPr>
        <w:t>Eduardo Rául Zaffaroni</w:t>
      </w:r>
    </w:p>
    <w:p w14:paraId="1D5913B2" w14:textId="77777777" w:rsidR="000671C9" w:rsidRPr="000671C9" w:rsidRDefault="000671C9" w:rsidP="000671C9">
      <w:pPr>
        <w:pStyle w:val="Prrafodelista"/>
        <w:ind w:left="6237"/>
        <w:jc w:val="center"/>
        <w:rPr>
          <w:rFonts w:ascii="Verdana" w:hAnsi="Verdana"/>
          <w:sz w:val="20"/>
          <w:szCs w:val="20"/>
          <w:lang w:val="es-ES"/>
        </w:rPr>
      </w:pPr>
      <w:r w:rsidRPr="000671C9">
        <w:rPr>
          <w:rFonts w:ascii="Verdana" w:hAnsi="Verdana"/>
          <w:sz w:val="20"/>
          <w:szCs w:val="20"/>
          <w:lang w:val="es-ES"/>
        </w:rPr>
        <w:t>Juez</w:t>
      </w:r>
    </w:p>
    <w:p w14:paraId="7D5562C9" w14:textId="77777777" w:rsidR="000671C9" w:rsidRPr="000671C9" w:rsidRDefault="000671C9" w:rsidP="000671C9">
      <w:pPr>
        <w:rPr>
          <w:rFonts w:ascii="Verdana" w:hAnsi="Verdana"/>
          <w:sz w:val="20"/>
          <w:szCs w:val="20"/>
          <w:lang w:val="es-CR"/>
        </w:rPr>
      </w:pPr>
    </w:p>
    <w:p w14:paraId="4FBBB207" w14:textId="77777777" w:rsidR="000671C9" w:rsidRPr="000671C9" w:rsidRDefault="000671C9" w:rsidP="000671C9">
      <w:pPr>
        <w:rPr>
          <w:rFonts w:ascii="Verdana" w:hAnsi="Verdana"/>
          <w:sz w:val="20"/>
          <w:szCs w:val="20"/>
          <w:lang w:val="es-CR"/>
        </w:rPr>
      </w:pPr>
    </w:p>
    <w:p w14:paraId="6EA99DDE" w14:textId="77777777" w:rsidR="000671C9" w:rsidRPr="000671C9" w:rsidRDefault="000671C9" w:rsidP="000671C9">
      <w:pPr>
        <w:rPr>
          <w:rFonts w:ascii="Verdana" w:hAnsi="Verdana"/>
          <w:sz w:val="20"/>
          <w:szCs w:val="20"/>
          <w:lang w:val="es-CR"/>
        </w:rPr>
      </w:pPr>
    </w:p>
    <w:p w14:paraId="7C1A39FE" w14:textId="77777777" w:rsidR="000671C9" w:rsidRPr="000671C9" w:rsidRDefault="000671C9" w:rsidP="000671C9">
      <w:pPr>
        <w:spacing w:after="0"/>
        <w:ind w:right="5249"/>
        <w:jc w:val="center"/>
        <w:rPr>
          <w:rFonts w:ascii="Verdana" w:hAnsi="Verdana"/>
          <w:sz w:val="20"/>
          <w:szCs w:val="20"/>
          <w:lang w:val="es-CR"/>
        </w:rPr>
      </w:pPr>
      <w:r w:rsidRPr="000671C9">
        <w:rPr>
          <w:rFonts w:ascii="Verdana" w:hAnsi="Verdana"/>
          <w:sz w:val="20"/>
          <w:szCs w:val="20"/>
          <w:lang w:val="es-CR"/>
        </w:rPr>
        <w:t>Pablo Saavedra Alessandri</w:t>
      </w:r>
    </w:p>
    <w:p w14:paraId="152FB84B" w14:textId="77777777" w:rsidR="005C5C22" w:rsidRPr="000671C9" w:rsidRDefault="000671C9" w:rsidP="000671C9">
      <w:pPr>
        <w:spacing w:after="0"/>
        <w:ind w:right="5817"/>
        <w:jc w:val="center"/>
        <w:rPr>
          <w:rFonts w:ascii="Verdana" w:hAnsi="Verdana"/>
          <w:sz w:val="20"/>
          <w:szCs w:val="20"/>
          <w:lang w:val="es-CR"/>
        </w:rPr>
      </w:pPr>
      <w:r w:rsidRPr="00767782">
        <w:rPr>
          <w:rFonts w:ascii="Verdana" w:hAnsi="Verdana"/>
          <w:sz w:val="20"/>
          <w:szCs w:val="20"/>
          <w:lang w:val="es-CR"/>
        </w:rPr>
        <w:t>Secretario</w:t>
      </w:r>
    </w:p>
    <w:sectPr w:rsidR="005C5C22" w:rsidRPr="000671C9" w:rsidSect="00DE6C48">
      <w:foot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EF003" w14:textId="77777777" w:rsidR="00241FF2" w:rsidRDefault="00241FF2" w:rsidP="00BA060E">
      <w:pPr>
        <w:spacing w:after="0" w:line="240" w:lineRule="auto"/>
      </w:pPr>
      <w:r>
        <w:separator/>
      </w:r>
    </w:p>
  </w:endnote>
  <w:endnote w:type="continuationSeparator" w:id="0">
    <w:p w14:paraId="781C7038" w14:textId="77777777" w:rsidR="00241FF2" w:rsidRDefault="00241FF2" w:rsidP="00BA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0334058"/>
      <w:docPartObj>
        <w:docPartGallery w:val="Page Numbers (Bottom of Page)"/>
        <w:docPartUnique/>
      </w:docPartObj>
    </w:sdtPr>
    <w:sdtEndPr>
      <w:rPr>
        <w:noProof/>
      </w:rPr>
    </w:sdtEndPr>
    <w:sdtContent>
      <w:p w14:paraId="7D6C7D76" w14:textId="77777777" w:rsidR="00BA060E" w:rsidRDefault="00BA060E">
        <w:pPr>
          <w:pStyle w:val="Piedepgina"/>
          <w:jc w:val="center"/>
        </w:pPr>
        <w:r>
          <w:fldChar w:fldCharType="begin"/>
        </w:r>
        <w:r>
          <w:instrText xml:space="preserve"> PAGE   \* MERGEFORMAT </w:instrText>
        </w:r>
        <w:r>
          <w:fldChar w:fldCharType="separate"/>
        </w:r>
        <w:r w:rsidR="00250C4E">
          <w:rPr>
            <w:noProof/>
          </w:rPr>
          <w:t>2</w:t>
        </w:r>
        <w:r>
          <w:rPr>
            <w:noProof/>
          </w:rPr>
          <w:fldChar w:fldCharType="end"/>
        </w:r>
      </w:p>
    </w:sdtContent>
  </w:sdt>
  <w:p w14:paraId="4616228F" w14:textId="77777777" w:rsidR="00BA060E" w:rsidRDefault="00BA060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A36CA" w14:textId="77777777" w:rsidR="00241FF2" w:rsidRDefault="00241FF2" w:rsidP="00BA060E">
      <w:pPr>
        <w:spacing w:after="0" w:line="240" w:lineRule="auto"/>
      </w:pPr>
      <w:r>
        <w:separator/>
      </w:r>
    </w:p>
  </w:footnote>
  <w:footnote w:type="continuationSeparator" w:id="0">
    <w:p w14:paraId="7C1CC3F9" w14:textId="77777777" w:rsidR="00241FF2" w:rsidRDefault="00241FF2" w:rsidP="00BA06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5A9"/>
    <w:rsid w:val="000671C9"/>
    <w:rsid w:val="000F29A8"/>
    <w:rsid w:val="001D6397"/>
    <w:rsid w:val="001E74BE"/>
    <w:rsid w:val="002128BB"/>
    <w:rsid w:val="00241FF2"/>
    <w:rsid w:val="00250C4E"/>
    <w:rsid w:val="0029269E"/>
    <w:rsid w:val="002B6C40"/>
    <w:rsid w:val="003A0431"/>
    <w:rsid w:val="003C75A9"/>
    <w:rsid w:val="00460FD5"/>
    <w:rsid w:val="00595DA1"/>
    <w:rsid w:val="005C5C22"/>
    <w:rsid w:val="00767782"/>
    <w:rsid w:val="00994FE3"/>
    <w:rsid w:val="00B928C4"/>
    <w:rsid w:val="00BA060E"/>
    <w:rsid w:val="00C8529C"/>
    <w:rsid w:val="00DE6C48"/>
    <w:rsid w:val="00F50EAB"/>
    <w:rsid w:val="00FB2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F4B42"/>
  <w15:docId w15:val="{C7B9A3CC-D905-410D-BE09-680BA255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A060E"/>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BA060E"/>
  </w:style>
  <w:style w:type="paragraph" w:styleId="Piedepgina">
    <w:name w:val="footer"/>
    <w:basedOn w:val="Normal"/>
    <w:link w:val="PiedepginaCar"/>
    <w:uiPriority w:val="99"/>
    <w:unhideWhenUsed/>
    <w:rsid w:val="00BA060E"/>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BA060E"/>
  </w:style>
  <w:style w:type="paragraph" w:styleId="Textodeglobo">
    <w:name w:val="Balloon Text"/>
    <w:basedOn w:val="Normal"/>
    <w:link w:val="TextodegloboCar"/>
    <w:uiPriority w:val="99"/>
    <w:semiHidden/>
    <w:unhideWhenUsed/>
    <w:rsid w:val="00994FE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4FE3"/>
    <w:rPr>
      <w:rFonts w:ascii="Segoe UI" w:hAnsi="Segoe UI" w:cs="Segoe UI"/>
      <w:sz w:val="18"/>
      <w:szCs w:val="18"/>
    </w:rPr>
  </w:style>
  <w:style w:type="paragraph" w:styleId="Prrafodelista">
    <w:name w:val="List Paragraph"/>
    <w:aliases w:val="List Paragraph2,Párrafo de lista1,List Paragraph1,Colorful List - Accent 11,Lista vistosa - Énfasis 11,Subtle Emphasis1,Footnote1"/>
    <w:basedOn w:val="Normal"/>
    <w:link w:val="PrrafodelistaCar"/>
    <w:qFormat/>
    <w:rsid w:val="000671C9"/>
    <w:pPr>
      <w:spacing w:after="0"/>
      <w:ind w:left="720"/>
      <w:contextualSpacing/>
      <w:jc w:val="both"/>
    </w:pPr>
    <w:rPr>
      <w:lang w:val="es-CL"/>
    </w:rPr>
  </w:style>
  <w:style w:type="paragraph" w:styleId="NormalWeb">
    <w:name w:val="Normal (Web)"/>
    <w:aliases w:val="Normal (Web) Char1,Normal (Web) Char Char,Normal (Web) Char1 Char,Normal (Web) Char Char Char"/>
    <w:basedOn w:val="Normal"/>
    <w:uiPriority w:val="99"/>
    <w:unhideWhenUsed/>
    <w:rsid w:val="000671C9"/>
    <w:pPr>
      <w:tabs>
        <w:tab w:val="center" w:pos="4419"/>
        <w:tab w:val="right" w:pos="8838"/>
      </w:tabs>
      <w:spacing w:after="0" w:line="240" w:lineRule="auto"/>
    </w:pPr>
    <w:rPr>
      <w:sz w:val="24"/>
      <w:szCs w:val="24"/>
      <w:lang w:val="es-MX"/>
    </w:rPr>
  </w:style>
  <w:style w:type="character" w:customStyle="1" w:styleId="PrrafodelistaCar">
    <w:name w:val="Párrafo de lista Car"/>
    <w:aliases w:val="List Paragraph2 Car,Párrafo de lista1 Car,List Paragraph1 Car,Colorful List - Accent 11 Car,Lista vistosa - Énfasis 11 Car,Subtle Emphasis1 Car,Footnote1 Car"/>
    <w:link w:val="Prrafodelista"/>
    <w:locked/>
    <w:rsid w:val="000671C9"/>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785</Words>
  <Characters>4320</Characters>
  <Application>Microsoft Office Word</Application>
  <DocSecurity>0</DocSecurity>
  <Lines>36</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 IDH</dc:creator>
  <cp:lastModifiedBy>Mabel Fernandez</cp:lastModifiedBy>
  <cp:revision>3</cp:revision>
  <cp:lastPrinted>2019-12-20T20:39:00Z</cp:lastPrinted>
  <dcterms:created xsi:type="dcterms:W3CDTF">2019-12-20T21:53:00Z</dcterms:created>
  <dcterms:modified xsi:type="dcterms:W3CDTF">2019-12-20T22:10:00Z</dcterms:modified>
</cp:coreProperties>
</file>