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C3" w:rsidRDefault="009732C3" w:rsidP="00FF4515">
      <w:pPr>
        <w:tabs>
          <w:tab w:val="left" w:pos="720"/>
        </w:tabs>
        <w:jc w:val="center"/>
        <w:rPr>
          <w:rFonts w:ascii="Verdana" w:hAnsi="Verdana"/>
          <w:b/>
          <w:sz w:val="20"/>
          <w:szCs w:val="20"/>
          <w:lang w:val="es-ES"/>
        </w:rPr>
      </w:pPr>
    </w:p>
    <w:p w:rsidR="00414236" w:rsidRDefault="00414236" w:rsidP="00FF4515">
      <w:pPr>
        <w:tabs>
          <w:tab w:val="left" w:pos="720"/>
        </w:tabs>
        <w:jc w:val="center"/>
        <w:rPr>
          <w:rFonts w:ascii="Verdana" w:hAnsi="Verdana"/>
          <w:b/>
          <w:sz w:val="20"/>
          <w:szCs w:val="20"/>
          <w:lang w:val="es-ES"/>
        </w:rPr>
      </w:pPr>
    </w:p>
    <w:p w:rsidR="00B27064" w:rsidRPr="007B0479" w:rsidRDefault="00B27064" w:rsidP="00375982">
      <w:pPr>
        <w:tabs>
          <w:tab w:val="left" w:pos="720"/>
        </w:tabs>
        <w:rPr>
          <w:rFonts w:ascii="Verdana" w:hAnsi="Verdana"/>
          <w:b/>
          <w:sz w:val="20"/>
          <w:szCs w:val="20"/>
          <w:lang w:val="es-ES"/>
        </w:rPr>
      </w:pPr>
    </w:p>
    <w:p w:rsidR="009732C3" w:rsidRPr="007B0479" w:rsidRDefault="009732C3" w:rsidP="00FF4515">
      <w:pPr>
        <w:tabs>
          <w:tab w:val="left" w:pos="720"/>
        </w:tabs>
        <w:jc w:val="center"/>
        <w:rPr>
          <w:rFonts w:ascii="Verdana" w:hAnsi="Verdana"/>
          <w:b/>
          <w:sz w:val="20"/>
          <w:szCs w:val="20"/>
          <w:lang w:val="es-ES"/>
        </w:rPr>
      </w:pPr>
    </w:p>
    <w:p w:rsidR="009732C3" w:rsidRPr="007B0479" w:rsidRDefault="009732C3" w:rsidP="00FF4515">
      <w:pPr>
        <w:tabs>
          <w:tab w:val="left" w:pos="720"/>
        </w:tabs>
        <w:jc w:val="center"/>
        <w:rPr>
          <w:rFonts w:ascii="Verdana" w:hAnsi="Verdana"/>
          <w:b/>
          <w:sz w:val="20"/>
          <w:szCs w:val="20"/>
          <w:lang w:val="es-ES"/>
        </w:rPr>
      </w:pPr>
    </w:p>
    <w:p w:rsidR="00C23640" w:rsidRDefault="007049C2" w:rsidP="00C23640">
      <w:pPr>
        <w:tabs>
          <w:tab w:val="left" w:pos="720"/>
        </w:tabs>
        <w:jc w:val="center"/>
        <w:rPr>
          <w:rFonts w:ascii="Verdana" w:hAnsi="Verdana"/>
          <w:b/>
          <w:sz w:val="20"/>
          <w:szCs w:val="20"/>
          <w:lang w:val="es-ES"/>
        </w:rPr>
      </w:pPr>
      <w:r w:rsidRPr="007B0479">
        <w:rPr>
          <w:rFonts w:ascii="Verdana" w:hAnsi="Verdana"/>
          <w:b/>
          <w:sz w:val="20"/>
          <w:szCs w:val="20"/>
          <w:lang w:val="es-ES"/>
        </w:rPr>
        <w:t xml:space="preserve">RESOLUCIÓN DE </w:t>
      </w:r>
      <w:r w:rsidRPr="00D11ED1">
        <w:rPr>
          <w:rFonts w:ascii="Verdana" w:hAnsi="Verdana"/>
          <w:b/>
          <w:sz w:val="20"/>
          <w:szCs w:val="20"/>
          <w:lang w:val="es-ES"/>
        </w:rPr>
        <w:t>LA</w:t>
      </w:r>
    </w:p>
    <w:p w:rsidR="00C23640" w:rsidRDefault="007049C2" w:rsidP="00C23640">
      <w:pPr>
        <w:tabs>
          <w:tab w:val="left" w:pos="720"/>
        </w:tabs>
        <w:jc w:val="center"/>
        <w:rPr>
          <w:rFonts w:ascii="Verdana" w:hAnsi="Verdana"/>
          <w:b/>
          <w:sz w:val="20"/>
          <w:szCs w:val="20"/>
          <w:lang w:val="es-ES"/>
        </w:rPr>
      </w:pPr>
      <w:r w:rsidRPr="00D11ED1">
        <w:rPr>
          <w:rFonts w:ascii="Verdana" w:hAnsi="Verdana"/>
          <w:b/>
          <w:sz w:val="20"/>
          <w:szCs w:val="20"/>
          <w:lang w:val="es-ES"/>
        </w:rPr>
        <w:t>CORTE INTERAMERICANA DE DERECHOS HUMANOS</w:t>
      </w:r>
    </w:p>
    <w:p w:rsidR="007049C2" w:rsidRPr="007B0479" w:rsidRDefault="007049C2" w:rsidP="00C23640">
      <w:pPr>
        <w:tabs>
          <w:tab w:val="left" w:pos="720"/>
        </w:tabs>
        <w:jc w:val="center"/>
        <w:rPr>
          <w:rFonts w:ascii="Verdana" w:hAnsi="Verdana"/>
          <w:b/>
          <w:sz w:val="20"/>
          <w:szCs w:val="20"/>
          <w:lang w:val="es-ES"/>
        </w:rPr>
      </w:pPr>
      <w:r w:rsidRPr="00D11ED1">
        <w:rPr>
          <w:rFonts w:ascii="Verdana" w:hAnsi="Verdana"/>
          <w:b/>
          <w:sz w:val="20"/>
          <w:szCs w:val="20"/>
          <w:lang w:val="es-ES"/>
        </w:rPr>
        <w:t xml:space="preserve">DE </w:t>
      </w:r>
      <w:r w:rsidR="00C23640">
        <w:rPr>
          <w:rFonts w:ascii="Verdana" w:hAnsi="Verdana"/>
          <w:b/>
          <w:sz w:val="20"/>
          <w:szCs w:val="20"/>
          <w:lang w:val="es-ES"/>
        </w:rPr>
        <w:t>2 DE SEPTIEMBRE</w:t>
      </w:r>
      <w:r w:rsidR="00A94FF4" w:rsidRPr="00D11ED1">
        <w:rPr>
          <w:rFonts w:ascii="Verdana" w:hAnsi="Verdana"/>
          <w:b/>
          <w:sz w:val="20"/>
          <w:szCs w:val="20"/>
          <w:lang w:val="es-ES"/>
        </w:rPr>
        <w:t xml:space="preserve"> </w:t>
      </w:r>
      <w:r w:rsidR="000633CA" w:rsidRPr="00D11ED1">
        <w:rPr>
          <w:rFonts w:ascii="Verdana" w:hAnsi="Verdana"/>
          <w:b/>
          <w:sz w:val="20"/>
          <w:szCs w:val="20"/>
          <w:lang w:val="es-ES"/>
        </w:rPr>
        <w:t xml:space="preserve">DE </w:t>
      </w:r>
      <w:r w:rsidR="00D11ED1">
        <w:rPr>
          <w:rFonts w:ascii="Verdana" w:hAnsi="Verdana"/>
          <w:b/>
          <w:sz w:val="20"/>
          <w:szCs w:val="20"/>
          <w:lang w:val="es-ES"/>
        </w:rPr>
        <w:t>2015</w:t>
      </w:r>
    </w:p>
    <w:p w:rsidR="00842C50" w:rsidRPr="007B0479" w:rsidRDefault="00842C50" w:rsidP="00FF4515">
      <w:pPr>
        <w:tabs>
          <w:tab w:val="left" w:pos="720"/>
        </w:tabs>
        <w:jc w:val="center"/>
        <w:rPr>
          <w:rFonts w:ascii="Verdana" w:hAnsi="Verdana"/>
          <w:b/>
          <w:sz w:val="20"/>
          <w:szCs w:val="20"/>
          <w:lang w:val="es-ES"/>
        </w:rPr>
      </w:pPr>
    </w:p>
    <w:p w:rsidR="00842C50" w:rsidRPr="007B0479" w:rsidRDefault="007049C2" w:rsidP="00FF4515">
      <w:pPr>
        <w:tabs>
          <w:tab w:val="left" w:pos="720"/>
        </w:tabs>
        <w:jc w:val="center"/>
        <w:rPr>
          <w:rFonts w:ascii="Verdana" w:hAnsi="Verdana"/>
          <w:b/>
          <w:sz w:val="20"/>
          <w:szCs w:val="20"/>
          <w:u w:val="single"/>
          <w:lang w:val="es-ES"/>
        </w:rPr>
      </w:pPr>
      <w:r w:rsidRPr="007B0479">
        <w:rPr>
          <w:rFonts w:ascii="Verdana" w:hAnsi="Verdana"/>
          <w:b/>
          <w:sz w:val="20"/>
          <w:szCs w:val="20"/>
          <w:lang w:val="es-ES"/>
        </w:rPr>
        <w:t>MEDIDAS PROVISIONALES</w:t>
      </w:r>
      <w:r w:rsidR="00534E3F" w:rsidRPr="007B0479">
        <w:rPr>
          <w:rFonts w:ascii="Verdana" w:hAnsi="Verdana"/>
          <w:b/>
          <w:sz w:val="20"/>
          <w:szCs w:val="20"/>
          <w:lang w:val="es-ES"/>
        </w:rPr>
        <w:t xml:space="preserve"> </w:t>
      </w:r>
      <w:r w:rsidR="00842C50" w:rsidRPr="007B0479">
        <w:rPr>
          <w:rFonts w:ascii="Verdana" w:hAnsi="Verdana"/>
          <w:b/>
          <w:sz w:val="20"/>
          <w:szCs w:val="20"/>
          <w:lang w:val="es-ES"/>
        </w:rPr>
        <w:t xml:space="preserve">RESPECTO DE </w:t>
      </w:r>
      <w:r w:rsidR="00C23640">
        <w:rPr>
          <w:rFonts w:ascii="Verdana" w:hAnsi="Verdana"/>
          <w:b/>
          <w:sz w:val="20"/>
          <w:szCs w:val="20"/>
          <w:lang w:val="es-ES"/>
        </w:rPr>
        <w:br/>
        <w:t>LA REPÚBLICA DE</w:t>
      </w:r>
      <w:r w:rsidR="00DA5F8E">
        <w:rPr>
          <w:rFonts w:ascii="Verdana" w:hAnsi="Verdana"/>
          <w:b/>
          <w:sz w:val="20"/>
          <w:szCs w:val="20"/>
          <w:lang w:val="es-ES"/>
        </w:rPr>
        <w:t>L</w:t>
      </w:r>
      <w:r w:rsidR="00C23640">
        <w:rPr>
          <w:rFonts w:ascii="Verdana" w:hAnsi="Verdana"/>
          <w:b/>
          <w:sz w:val="20"/>
          <w:szCs w:val="20"/>
          <w:lang w:val="es-ES"/>
        </w:rPr>
        <w:t xml:space="preserve"> </w:t>
      </w:r>
      <w:r w:rsidR="00D12FA2" w:rsidRPr="007B0479">
        <w:rPr>
          <w:rFonts w:ascii="Verdana" w:hAnsi="Verdana"/>
          <w:b/>
          <w:sz w:val="20"/>
          <w:szCs w:val="20"/>
          <w:lang w:val="es-ES"/>
        </w:rPr>
        <w:t>ECUADOR</w:t>
      </w:r>
    </w:p>
    <w:p w:rsidR="00842C50" w:rsidRPr="007B0479" w:rsidRDefault="00842C50" w:rsidP="00FF4515">
      <w:pPr>
        <w:tabs>
          <w:tab w:val="left" w:pos="720"/>
        </w:tabs>
        <w:jc w:val="center"/>
        <w:rPr>
          <w:rFonts w:ascii="Verdana" w:hAnsi="Verdana"/>
          <w:b/>
          <w:sz w:val="20"/>
          <w:szCs w:val="20"/>
          <w:lang w:val="es-ES"/>
        </w:rPr>
      </w:pPr>
    </w:p>
    <w:p w:rsidR="007049C2" w:rsidRPr="007B0479" w:rsidRDefault="00D11ED1" w:rsidP="00FF4515">
      <w:pPr>
        <w:tabs>
          <w:tab w:val="left" w:pos="720"/>
        </w:tabs>
        <w:jc w:val="center"/>
        <w:rPr>
          <w:rFonts w:ascii="Verdana" w:hAnsi="Verdana"/>
          <w:b/>
          <w:sz w:val="20"/>
          <w:szCs w:val="20"/>
          <w:lang w:val="es-ES"/>
        </w:rPr>
      </w:pPr>
      <w:r>
        <w:rPr>
          <w:rFonts w:ascii="Verdana" w:hAnsi="Verdana"/>
          <w:b/>
          <w:sz w:val="20"/>
          <w:szCs w:val="20"/>
          <w:lang w:val="es-ES"/>
        </w:rPr>
        <w:t xml:space="preserve">CASO GONZALES LLUY </w:t>
      </w:r>
      <w:r w:rsidR="00EE3578">
        <w:rPr>
          <w:rFonts w:ascii="Verdana" w:hAnsi="Verdana"/>
          <w:b/>
          <w:sz w:val="20"/>
          <w:szCs w:val="20"/>
          <w:lang w:val="es-ES"/>
        </w:rPr>
        <w:t xml:space="preserve">Y </w:t>
      </w:r>
      <w:r w:rsidR="00C23640">
        <w:rPr>
          <w:rFonts w:ascii="Verdana" w:hAnsi="Verdana"/>
          <w:b/>
          <w:sz w:val="20"/>
          <w:szCs w:val="20"/>
          <w:lang w:val="es-ES"/>
        </w:rPr>
        <w:t>OTROS</w:t>
      </w:r>
    </w:p>
    <w:p w:rsidR="00842C50" w:rsidRPr="007B0479" w:rsidRDefault="00842C50" w:rsidP="00FF4515">
      <w:pPr>
        <w:jc w:val="both"/>
        <w:rPr>
          <w:rFonts w:ascii="Verdana" w:hAnsi="Verdana"/>
          <w:b/>
          <w:caps/>
          <w:sz w:val="20"/>
          <w:szCs w:val="20"/>
          <w:lang w:val="es-ES"/>
        </w:rPr>
      </w:pPr>
    </w:p>
    <w:p w:rsidR="00F915E6" w:rsidRPr="007B0479" w:rsidRDefault="00F915E6" w:rsidP="00FF4515">
      <w:pPr>
        <w:jc w:val="both"/>
        <w:rPr>
          <w:rFonts w:ascii="Verdana" w:hAnsi="Verdana"/>
          <w:b/>
          <w:caps/>
          <w:sz w:val="20"/>
          <w:szCs w:val="20"/>
          <w:lang w:val="es-ES"/>
        </w:rPr>
      </w:pPr>
    </w:p>
    <w:p w:rsidR="00F915E6" w:rsidRPr="007B0479" w:rsidRDefault="00F915E6" w:rsidP="00FF4515">
      <w:pPr>
        <w:jc w:val="both"/>
        <w:rPr>
          <w:rFonts w:ascii="Verdana" w:hAnsi="Verdana"/>
          <w:b/>
          <w:caps/>
          <w:sz w:val="20"/>
          <w:szCs w:val="20"/>
          <w:lang w:val="es-ES"/>
        </w:rPr>
      </w:pPr>
    </w:p>
    <w:p w:rsidR="007049C2" w:rsidRPr="007B0479" w:rsidRDefault="007049C2" w:rsidP="00FF4515">
      <w:pPr>
        <w:jc w:val="both"/>
        <w:rPr>
          <w:rFonts w:ascii="Verdana" w:hAnsi="Verdana"/>
          <w:b/>
          <w:smallCaps/>
          <w:sz w:val="20"/>
          <w:szCs w:val="20"/>
          <w:lang w:val="es-ES"/>
        </w:rPr>
      </w:pPr>
      <w:r w:rsidRPr="007B0479">
        <w:rPr>
          <w:rFonts w:ascii="Verdana" w:hAnsi="Verdana"/>
          <w:b/>
          <w:caps/>
          <w:sz w:val="20"/>
          <w:szCs w:val="20"/>
          <w:lang w:val="es-ES"/>
        </w:rPr>
        <w:t>Visto</w:t>
      </w:r>
      <w:r w:rsidRPr="007B0479">
        <w:rPr>
          <w:rFonts w:ascii="Verdana" w:hAnsi="Verdana"/>
          <w:b/>
          <w:smallCaps/>
          <w:sz w:val="20"/>
          <w:szCs w:val="20"/>
          <w:lang w:val="es-ES"/>
        </w:rPr>
        <w:t>:</w:t>
      </w:r>
    </w:p>
    <w:p w:rsidR="001D2A88" w:rsidRPr="007B0479" w:rsidRDefault="001D2A88" w:rsidP="00FF4515">
      <w:pPr>
        <w:jc w:val="both"/>
        <w:rPr>
          <w:rFonts w:ascii="Verdana" w:hAnsi="Verdana"/>
          <w:b/>
          <w:smallCaps/>
          <w:sz w:val="20"/>
          <w:szCs w:val="20"/>
          <w:lang w:val="es-ES"/>
        </w:rPr>
      </w:pPr>
    </w:p>
    <w:p w:rsidR="008435A1" w:rsidRPr="00B068AF" w:rsidRDefault="001D2A88" w:rsidP="008435A1">
      <w:pPr>
        <w:numPr>
          <w:ilvl w:val="0"/>
          <w:numId w:val="1"/>
        </w:numPr>
        <w:tabs>
          <w:tab w:val="clear" w:pos="567"/>
          <w:tab w:val="num" w:pos="709"/>
        </w:tabs>
        <w:jc w:val="both"/>
        <w:rPr>
          <w:rFonts w:ascii="Verdana" w:hAnsi="Verdana"/>
          <w:sz w:val="20"/>
          <w:szCs w:val="20"/>
          <w:lang w:val="es-ES"/>
        </w:rPr>
      </w:pPr>
      <w:bookmarkStart w:id="0" w:name="_Ref295394074"/>
      <w:r w:rsidRPr="007B0479">
        <w:rPr>
          <w:rFonts w:ascii="Verdana" w:hAnsi="Verdana"/>
          <w:sz w:val="20"/>
          <w:szCs w:val="20"/>
          <w:lang w:val="es-ES"/>
        </w:rPr>
        <w:t>El escrito de</w:t>
      </w:r>
      <w:r w:rsidR="0075138E">
        <w:rPr>
          <w:rFonts w:ascii="Verdana" w:hAnsi="Verdana"/>
          <w:sz w:val="20"/>
          <w:szCs w:val="20"/>
          <w:lang w:val="es-ES"/>
        </w:rPr>
        <w:t>l</w:t>
      </w:r>
      <w:r w:rsidRPr="007B0479">
        <w:rPr>
          <w:rFonts w:ascii="Verdana" w:hAnsi="Verdana"/>
          <w:sz w:val="20"/>
          <w:szCs w:val="20"/>
          <w:lang w:val="es-ES"/>
        </w:rPr>
        <w:t xml:space="preserve"> </w:t>
      </w:r>
      <w:r w:rsidR="0075138E">
        <w:rPr>
          <w:rFonts w:ascii="Verdana" w:hAnsi="Verdana"/>
          <w:sz w:val="20"/>
          <w:szCs w:val="20"/>
          <w:lang w:val="es-ES"/>
        </w:rPr>
        <w:t>representante</w:t>
      </w:r>
      <w:r w:rsidR="00EE3578">
        <w:rPr>
          <w:rFonts w:ascii="Verdana" w:hAnsi="Verdana"/>
          <w:sz w:val="20"/>
          <w:szCs w:val="20"/>
          <w:lang w:val="es-ES"/>
        </w:rPr>
        <w:t xml:space="preserve"> de 16 de julio de 2015 </w:t>
      </w:r>
      <w:bookmarkEnd w:id="0"/>
      <w:r w:rsidRPr="007B0479">
        <w:rPr>
          <w:rFonts w:ascii="Verdana" w:hAnsi="Verdana"/>
          <w:sz w:val="20"/>
          <w:szCs w:val="20"/>
          <w:lang w:val="es-ES"/>
        </w:rPr>
        <w:t>y sus anexos, mediante los cuales someti</w:t>
      </w:r>
      <w:r w:rsidR="0075138E">
        <w:rPr>
          <w:rFonts w:ascii="Verdana" w:hAnsi="Verdana"/>
          <w:sz w:val="20"/>
          <w:szCs w:val="20"/>
          <w:lang w:val="es-ES"/>
        </w:rPr>
        <w:t>ó</w:t>
      </w:r>
      <w:r w:rsidRPr="007B0479">
        <w:rPr>
          <w:rFonts w:ascii="Verdana" w:hAnsi="Verdana"/>
          <w:sz w:val="20"/>
          <w:szCs w:val="20"/>
          <w:lang w:val="es-ES"/>
        </w:rPr>
        <w:t xml:space="preserve"> a la Corte Interamericana de Derechos Humanos (en adelante “la Corte Interamericana”, “la Corte” o “e</w:t>
      </w:r>
      <w:r w:rsidR="00EE3578">
        <w:rPr>
          <w:rFonts w:ascii="Verdana" w:hAnsi="Verdana"/>
          <w:sz w:val="20"/>
          <w:szCs w:val="20"/>
          <w:lang w:val="es-ES"/>
        </w:rPr>
        <w:t>ste</w:t>
      </w:r>
      <w:r w:rsidRPr="007B0479">
        <w:rPr>
          <w:rFonts w:ascii="Verdana" w:hAnsi="Verdana"/>
          <w:sz w:val="20"/>
          <w:szCs w:val="20"/>
          <w:lang w:val="es-ES"/>
        </w:rPr>
        <w:t xml:space="preserve"> Tribunal”) una solicitud de medidas provisionales, de conformidad con los artículos 63.2 de la Convención Americana sobre Derechos Humanos (en adelante “la Convención Americana” o “la Convención”) y 27 del Reglamento de la Corte (en adelante “el Reglamento”), con el propósito de que e</w:t>
      </w:r>
      <w:r w:rsidR="00EE3578">
        <w:rPr>
          <w:rFonts w:ascii="Verdana" w:hAnsi="Verdana"/>
          <w:sz w:val="20"/>
          <w:szCs w:val="20"/>
          <w:lang w:val="es-ES"/>
        </w:rPr>
        <w:t>ste</w:t>
      </w:r>
      <w:r w:rsidRPr="007B0479">
        <w:rPr>
          <w:rFonts w:ascii="Verdana" w:hAnsi="Verdana"/>
          <w:sz w:val="20"/>
          <w:szCs w:val="20"/>
          <w:lang w:val="es-ES"/>
        </w:rPr>
        <w:t xml:space="preserve"> Tribunal </w:t>
      </w:r>
      <w:r w:rsidR="0075138E">
        <w:rPr>
          <w:rFonts w:ascii="Verdana" w:hAnsi="Verdana"/>
          <w:sz w:val="20"/>
          <w:szCs w:val="20"/>
          <w:lang w:val="es-ES"/>
        </w:rPr>
        <w:t>ordene a</w:t>
      </w:r>
      <w:r w:rsidR="00590C2C" w:rsidRPr="007B0479">
        <w:rPr>
          <w:rFonts w:ascii="Verdana" w:hAnsi="Verdana"/>
          <w:sz w:val="20"/>
          <w:szCs w:val="20"/>
          <w:lang w:val="es-ES"/>
        </w:rPr>
        <w:t xml:space="preserve"> </w:t>
      </w:r>
      <w:r w:rsidRPr="007B0479">
        <w:rPr>
          <w:rFonts w:ascii="Verdana" w:hAnsi="Verdana"/>
          <w:sz w:val="20"/>
          <w:szCs w:val="20"/>
          <w:lang w:val="es-ES"/>
        </w:rPr>
        <w:t xml:space="preserve">la República </w:t>
      </w:r>
      <w:r w:rsidR="00590C2C" w:rsidRPr="007B0479">
        <w:rPr>
          <w:rFonts w:ascii="Verdana" w:hAnsi="Verdana"/>
          <w:sz w:val="20"/>
          <w:szCs w:val="20"/>
          <w:lang w:val="es-ES"/>
        </w:rPr>
        <w:t>del Ecuador</w:t>
      </w:r>
      <w:r w:rsidRPr="007B0479">
        <w:rPr>
          <w:rFonts w:ascii="Verdana" w:hAnsi="Verdana"/>
          <w:sz w:val="20"/>
          <w:szCs w:val="20"/>
          <w:lang w:val="es-ES"/>
        </w:rPr>
        <w:t xml:space="preserve"> (en adelante “</w:t>
      </w:r>
      <w:r w:rsidR="00590C2C" w:rsidRPr="007B0479">
        <w:rPr>
          <w:rFonts w:ascii="Verdana" w:hAnsi="Verdana"/>
          <w:sz w:val="20"/>
          <w:szCs w:val="20"/>
          <w:lang w:val="es-ES"/>
        </w:rPr>
        <w:t>Ecuador</w:t>
      </w:r>
      <w:r w:rsidR="0075138E">
        <w:rPr>
          <w:rFonts w:ascii="Verdana" w:hAnsi="Verdana"/>
          <w:sz w:val="20"/>
          <w:szCs w:val="20"/>
          <w:lang w:val="es-ES"/>
        </w:rPr>
        <w:t xml:space="preserve">” o “el Estado”) </w:t>
      </w:r>
      <w:r w:rsidRPr="007B0479">
        <w:rPr>
          <w:rFonts w:ascii="Verdana" w:hAnsi="Verdana"/>
          <w:sz w:val="20"/>
          <w:szCs w:val="20"/>
          <w:lang w:val="es-ES"/>
        </w:rPr>
        <w:t>“</w:t>
      </w:r>
      <w:proofErr w:type="spellStart"/>
      <w:r w:rsidR="0075138E">
        <w:rPr>
          <w:rFonts w:ascii="Verdana" w:hAnsi="Verdana"/>
          <w:sz w:val="20"/>
          <w:szCs w:val="20"/>
          <w:lang w:val="es-ES"/>
        </w:rPr>
        <w:t>adop</w:t>
      </w:r>
      <w:proofErr w:type="spellEnd"/>
      <w:r w:rsidR="0075138E">
        <w:rPr>
          <w:rFonts w:ascii="Verdana" w:hAnsi="Verdana"/>
          <w:sz w:val="20"/>
          <w:szCs w:val="20"/>
          <w:lang w:val="es-ES"/>
        </w:rPr>
        <w:t>[</w:t>
      </w:r>
      <w:proofErr w:type="spellStart"/>
      <w:r w:rsidR="0075138E">
        <w:rPr>
          <w:rFonts w:ascii="Verdana" w:hAnsi="Verdana"/>
          <w:sz w:val="20"/>
          <w:szCs w:val="20"/>
          <w:lang w:val="es-ES"/>
        </w:rPr>
        <w:t>tar</w:t>
      </w:r>
      <w:proofErr w:type="spellEnd"/>
      <w:r w:rsidR="0075138E">
        <w:rPr>
          <w:rFonts w:ascii="Verdana" w:hAnsi="Verdana"/>
          <w:sz w:val="20"/>
          <w:szCs w:val="20"/>
          <w:lang w:val="es-ES"/>
        </w:rPr>
        <w:t xml:space="preserve"> las] m</w:t>
      </w:r>
      <w:r w:rsidR="00243A95">
        <w:rPr>
          <w:rFonts w:ascii="Verdana" w:hAnsi="Verdana"/>
          <w:sz w:val="20"/>
          <w:szCs w:val="20"/>
          <w:lang w:val="es-ES"/>
        </w:rPr>
        <w:t>edidas necesarias para que Talí</w:t>
      </w:r>
      <w:r w:rsidR="0075138E">
        <w:rPr>
          <w:rFonts w:ascii="Verdana" w:hAnsi="Verdana"/>
          <w:sz w:val="20"/>
          <w:szCs w:val="20"/>
          <w:lang w:val="es-ES"/>
        </w:rPr>
        <w:t xml:space="preserve">a </w:t>
      </w:r>
      <w:r w:rsidR="00DA5F8E">
        <w:rPr>
          <w:rFonts w:ascii="Verdana" w:hAnsi="Verdana"/>
          <w:sz w:val="20"/>
          <w:szCs w:val="20"/>
          <w:lang w:val="es-ES"/>
        </w:rPr>
        <w:t>[</w:t>
      </w:r>
      <w:r w:rsidR="0075138E">
        <w:rPr>
          <w:rFonts w:ascii="Verdana" w:hAnsi="Verdana"/>
          <w:sz w:val="20"/>
          <w:szCs w:val="20"/>
          <w:lang w:val="es-ES"/>
        </w:rPr>
        <w:t xml:space="preserve">Gonzales </w:t>
      </w:r>
      <w:proofErr w:type="spellStart"/>
      <w:r w:rsidR="0075138E">
        <w:rPr>
          <w:rFonts w:ascii="Verdana" w:hAnsi="Verdana"/>
          <w:sz w:val="20"/>
          <w:szCs w:val="20"/>
          <w:lang w:val="es-ES"/>
        </w:rPr>
        <w:t>Lluy</w:t>
      </w:r>
      <w:proofErr w:type="spellEnd"/>
      <w:r w:rsidR="0075138E">
        <w:rPr>
          <w:rFonts w:ascii="Verdana" w:hAnsi="Verdana"/>
          <w:sz w:val="20"/>
          <w:szCs w:val="20"/>
          <w:lang w:val="es-ES"/>
        </w:rPr>
        <w:t>] tenga la atención emergente y adecuada, con calidad y calidez, en lugares</w:t>
      </w:r>
      <w:r w:rsidR="00243A95">
        <w:rPr>
          <w:rFonts w:ascii="Verdana" w:hAnsi="Verdana"/>
          <w:sz w:val="20"/>
          <w:szCs w:val="20"/>
          <w:lang w:val="es-ES"/>
        </w:rPr>
        <w:t xml:space="preserve"> que sean aceptables para Talí</w:t>
      </w:r>
      <w:r w:rsidR="0075138E">
        <w:rPr>
          <w:rFonts w:ascii="Verdana" w:hAnsi="Verdana"/>
          <w:sz w:val="20"/>
          <w:szCs w:val="20"/>
          <w:lang w:val="es-ES"/>
        </w:rPr>
        <w:t>a, que incluya la posibilidad de acudir a servicios privados y de contar con la medicina que se</w:t>
      </w:r>
      <w:r w:rsidR="00DA5F8E">
        <w:rPr>
          <w:rFonts w:ascii="Verdana" w:hAnsi="Verdana"/>
          <w:sz w:val="20"/>
          <w:szCs w:val="20"/>
          <w:lang w:val="es-ES"/>
        </w:rPr>
        <w:t>[</w:t>
      </w:r>
      <w:r w:rsidR="0075138E">
        <w:rPr>
          <w:rFonts w:ascii="Verdana" w:hAnsi="Verdana"/>
          <w:sz w:val="20"/>
          <w:szCs w:val="20"/>
          <w:lang w:val="es-ES"/>
        </w:rPr>
        <w:t>a</w:t>
      </w:r>
      <w:r w:rsidR="00DA5F8E">
        <w:rPr>
          <w:rFonts w:ascii="Verdana" w:hAnsi="Verdana"/>
          <w:sz w:val="20"/>
          <w:szCs w:val="20"/>
          <w:lang w:val="es-ES"/>
        </w:rPr>
        <w:t>]</w:t>
      </w:r>
      <w:r w:rsidR="0075138E">
        <w:rPr>
          <w:rFonts w:ascii="Verdana" w:hAnsi="Verdana"/>
          <w:sz w:val="20"/>
          <w:szCs w:val="20"/>
          <w:lang w:val="es-ES"/>
        </w:rPr>
        <w:t xml:space="preserve"> adecuada para su salud”. Asimismo, solicitó “</w:t>
      </w:r>
      <w:r w:rsidR="00DA5F8E">
        <w:rPr>
          <w:rFonts w:ascii="Verdana" w:hAnsi="Verdana"/>
          <w:sz w:val="20"/>
          <w:szCs w:val="20"/>
          <w:lang w:val="es-ES"/>
        </w:rPr>
        <w:t>[</w:t>
      </w:r>
      <w:r w:rsidR="0075138E">
        <w:rPr>
          <w:rFonts w:ascii="Verdana" w:hAnsi="Verdana"/>
          <w:sz w:val="20"/>
          <w:szCs w:val="20"/>
          <w:lang w:val="es-ES"/>
        </w:rPr>
        <w:t>d</w:t>
      </w:r>
      <w:r w:rsidR="00DA5F8E">
        <w:rPr>
          <w:rFonts w:ascii="Verdana" w:hAnsi="Verdana"/>
          <w:sz w:val="20"/>
          <w:szCs w:val="20"/>
          <w:lang w:val="es-ES"/>
        </w:rPr>
        <w:t>]</w:t>
      </w:r>
      <w:proofErr w:type="spellStart"/>
      <w:r w:rsidR="0075138E">
        <w:rPr>
          <w:rFonts w:ascii="Verdana" w:hAnsi="Verdana"/>
          <w:sz w:val="20"/>
          <w:szCs w:val="20"/>
          <w:lang w:val="es-ES"/>
        </w:rPr>
        <w:t>isponer</w:t>
      </w:r>
      <w:proofErr w:type="spellEnd"/>
      <w:r w:rsidR="0075138E">
        <w:rPr>
          <w:rFonts w:ascii="Verdana" w:hAnsi="Verdana"/>
          <w:sz w:val="20"/>
          <w:szCs w:val="20"/>
          <w:lang w:val="es-ES"/>
        </w:rPr>
        <w:t xml:space="preserve"> que se nombre una comisión de alto nivel, que esté conformada por personas de confianza de </w:t>
      </w:r>
      <w:r w:rsidR="003C4AA7">
        <w:rPr>
          <w:rFonts w:ascii="Verdana" w:hAnsi="Verdana"/>
          <w:sz w:val="20"/>
          <w:szCs w:val="20"/>
          <w:lang w:val="es-ES"/>
        </w:rPr>
        <w:t>Tal</w:t>
      </w:r>
      <w:r w:rsidR="00DA5F8E">
        <w:rPr>
          <w:rFonts w:ascii="Verdana" w:hAnsi="Verdana"/>
          <w:sz w:val="20"/>
          <w:szCs w:val="20"/>
          <w:lang w:val="es-ES"/>
        </w:rPr>
        <w:t>[</w:t>
      </w:r>
      <w:r w:rsidR="003C4AA7">
        <w:rPr>
          <w:rFonts w:ascii="Verdana" w:hAnsi="Verdana"/>
          <w:sz w:val="20"/>
          <w:szCs w:val="20"/>
          <w:lang w:val="es-ES"/>
        </w:rPr>
        <w:t>í</w:t>
      </w:r>
      <w:r w:rsidR="00DA5F8E">
        <w:rPr>
          <w:rFonts w:ascii="Verdana" w:hAnsi="Verdana"/>
          <w:sz w:val="20"/>
          <w:szCs w:val="20"/>
          <w:lang w:val="es-ES"/>
        </w:rPr>
        <w:t>]</w:t>
      </w:r>
      <w:r w:rsidR="003C4AA7">
        <w:rPr>
          <w:rFonts w:ascii="Verdana" w:hAnsi="Verdana"/>
          <w:sz w:val="20"/>
          <w:szCs w:val="20"/>
          <w:lang w:val="es-ES"/>
        </w:rPr>
        <w:t>a</w:t>
      </w:r>
      <w:r w:rsidR="0075138E">
        <w:rPr>
          <w:rFonts w:ascii="Verdana" w:hAnsi="Verdana"/>
          <w:sz w:val="20"/>
          <w:szCs w:val="20"/>
          <w:lang w:val="es-ES"/>
        </w:rPr>
        <w:t xml:space="preserve"> […] para que puedan determinar las condiciones necesarias para que la salud de </w:t>
      </w:r>
      <w:r w:rsidR="003C4AA7">
        <w:rPr>
          <w:rFonts w:ascii="Verdana" w:hAnsi="Verdana"/>
          <w:sz w:val="20"/>
          <w:szCs w:val="20"/>
          <w:lang w:val="es-ES"/>
        </w:rPr>
        <w:t>Tal</w:t>
      </w:r>
      <w:r w:rsidR="00DA5F8E">
        <w:rPr>
          <w:rFonts w:ascii="Verdana" w:hAnsi="Verdana"/>
          <w:sz w:val="20"/>
          <w:szCs w:val="20"/>
          <w:lang w:val="es-ES"/>
        </w:rPr>
        <w:t>[</w:t>
      </w:r>
      <w:r w:rsidR="003C4AA7">
        <w:rPr>
          <w:rFonts w:ascii="Verdana" w:hAnsi="Verdana"/>
          <w:sz w:val="20"/>
          <w:szCs w:val="20"/>
          <w:lang w:val="es-ES"/>
        </w:rPr>
        <w:t>í</w:t>
      </w:r>
      <w:r w:rsidR="00DA5F8E">
        <w:rPr>
          <w:rFonts w:ascii="Verdana" w:hAnsi="Verdana"/>
          <w:sz w:val="20"/>
          <w:szCs w:val="20"/>
          <w:lang w:val="es-ES"/>
        </w:rPr>
        <w:t>]</w:t>
      </w:r>
      <w:r w:rsidR="003C4AA7">
        <w:rPr>
          <w:rFonts w:ascii="Verdana" w:hAnsi="Verdana"/>
          <w:sz w:val="20"/>
          <w:szCs w:val="20"/>
          <w:lang w:val="es-ES"/>
        </w:rPr>
        <w:t>a</w:t>
      </w:r>
      <w:r w:rsidR="0075138E">
        <w:rPr>
          <w:rFonts w:ascii="Verdana" w:hAnsi="Verdana"/>
          <w:sz w:val="20"/>
          <w:szCs w:val="20"/>
          <w:lang w:val="es-ES"/>
        </w:rPr>
        <w:t xml:space="preserve"> se restablezca a niveles iguales o mejores a los que tenía antes de ser atendida por el Ministerio de Salud Pública”, así como disponer que el Estado “corra con todos los gastos erogados para la atención emergente de salud de </w:t>
      </w:r>
      <w:r w:rsidR="003C4AA7">
        <w:rPr>
          <w:rFonts w:ascii="Verdana" w:hAnsi="Verdana"/>
          <w:sz w:val="20"/>
          <w:szCs w:val="20"/>
          <w:lang w:val="es-ES"/>
        </w:rPr>
        <w:t>Talía</w:t>
      </w:r>
      <w:r w:rsidR="0075138E">
        <w:rPr>
          <w:rFonts w:ascii="Verdana" w:hAnsi="Verdana"/>
          <w:sz w:val="20"/>
          <w:szCs w:val="20"/>
          <w:lang w:val="es-ES"/>
        </w:rPr>
        <w:t>” y se delegue a la Defensoría del Pueblo y al Ministerio de Justicia, Derechos Humanos y Cultos la supervisión de cumplimiento de las medidas que la Corte disponga.</w:t>
      </w:r>
      <w:r w:rsidR="0075138E" w:rsidRPr="00B068AF">
        <w:rPr>
          <w:rFonts w:ascii="Verdana" w:hAnsi="Verdana"/>
          <w:b/>
          <w:sz w:val="20"/>
          <w:szCs w:val="20"/>
          <w:lang w:val="es-ES"/>
        </w:rPr>
        <w:t xml:space="preserve"> </w:t>
      </w:r>
      <w:r w:rsidR="0075138E" w:rsidRPr="00B068AF">
        <w:rPr>
          <w:rFonts w:ascii="Verdana" w:hAnsi="Verdana"/>
          <w:sz w:val="20"/>
          <w:szCs w:val="20"/>
          <w:lang w:val="es-ES"/>
        </w:rPr>
        <w:t xml:space="preserve">  </w:t>
      </w:r>
    </w:p>
    <w:p w:rsidR="008435A1" w:rsidRPr="00B068AF" w:rsidRDefault="008435A1" w:rsidP="00FF4515">
      <w:pPr>
        <w:jc w:val="both"/>
        <w:rPr>
          <w:rFonts w:ascii="Verdana" w:hAnsi="Verdana"/>
          <w:sz w:val="20"/>
          <w:szCs w:val="20"/>
          <w:lang w:val="es-ES"/>
        </w:rPr>
      </w:pPr>
    </w:p>
    <w:p w:rsidR="00651BCC" w:rsidRPr="00B068AF" w:rsidRDefault="00256326" w:rsidP="00651BCC">
      <w:pPr>
        <w:numPr>
          <w:ilvl w:val="0"/>
          <w:numId w:val="1"/>
        </w:numPr>
        <w:tabs>
          <w:tab w:val="clear" w:pos="567"/>
          <w:tab w:val="num" w:pos="709"/>
        </w:tabs>
        <w:jc w:val="both"/>
        <w:rPr>
          <w:rFonts w:ascii="Verdana" w:hAnsi="Verdana"/>
          <w:sz w:val="20"/>
          <w:szCs w:val="20"/>
          <w:lang w:val="es-ES"/>
        </w:rPr>
      </w:pPr>
      <w:r w:rsidRPr="00B068AF">
        <w:rPr>
          <w:rFonts w:ascii="Verdana" w:hAnsi="Verdana"/>
          <w:sz w:val="20"/>
          <w:szCs w:val="20"/>
          <w:lang w:val="es-ES"/>
        </w:rPr>
        <w:t xml:space="preserve">Los </w:t>
      </w:r>
      <w:r w:rsidR="0053295D">
        <w:rPr>
          <w:rFonts w:ascii="Verdana" w:hAnsi="Verdana"/>
          <w:sz w:val="20"/>
          <w:szCs w:val="20"/>
          <w:lang w:val="es-ES"/>
        </w:rPr>
        <w:t xml:space="preserve">alegados </w:t>
      </w:r>
      <w:r w:rsidR="00F95265" w:rsidRPr="00B068AF">
        <w:rPr>
          <w:rFonts w:ascii="Verdana" w:hAnsi="Verdana"/>
          <w:sz w:val="20"/>
          <w:szCs w:val="20"/>
          <w:lang w:val="es-ES"/>
        </w:rPr>
        <w:t xml:space="preserve">hechos </w:t>
      </w:r>
      <w:r w:rsidR="0053295D">
        <w:rPr>
          <w:rFonts w:ascii="Verdana" w:hAnsi="Verdana"/>
          <w:sz w:val="20"/>
          <w:szCs w:val="20"/>
          <w:lang w:val="es-ES"/>
        </w:rPr>
        <w:t xml:space="preserve">sobre los cuales </w:t>
      </w:r>
      <w:r w:rsidR="00F95265" w:rsidRPr="00B068AF">
        <w:rPr>
          <w:rFonts w:ascii="Verdana" w:hAnsi="Verdana"/>
          <w:sz w:val="20"/>
          <w:szCs w:val="20"/>
          <w:lang w:val="es-ES"/>
        </w:rPr>
        <w:t>el representante basa la solicitud de medidas provisionales son los siguientes:</w:t>
      </w:r>
      <w:r w:rsidRPr="00B068AF">
        <w:rPr>
          <w:rFonts w:ascii="Verdana" w:hAnsi="Verdana"/>
          <w:sz w:val="20"/>
          <w:szCs w:val="20"/>
          <w:lang w:val="es-ES"/>
        </w:rPr>
        <w:t xml:space="preserve"> </w:t>
      </w:r>
    </w:p>
    <w:p w:rsidR="00F95265" w:rsidRPr="00B068AF" w:rsidRDefault="00F95265" w:rsidP="00F95265">
      <w:pPr>
        <w:jc w:val="both"/>
        <w:rPr>
          <w:rFonts w:ascii="Verdana" w:hAnsi="Verdana"/>
          <w:sz w:val="20"/>
          <w:szCs w:val="20"/>
          <w:lang w:val="es-ES"/>
        </w:rPr>
      </w:pPr>
    </w:p>
    <w:p w:rsidR="00F95265" w:rsidRPr="00B068AF" w:rsidRDefault="003C4AA7" w:rsidP="00F95265">
      <w:pPr>
        <w:numPr>
          <w:ilvl w:val="1"/>
          <w:numId w:val="1"/>
        </w:numPr>
        <w:jc w:val="both"/>
        <w:rPr>
          <w:rFonts w:ascii="Verdana" w:hAnsi="Verdana"/>
          <w:sz w:val="20"/>
          <w:szCs w:val="20"/>
          <w:lang w:val="es-ES"/>
        </w:rPr>
      </w:pPr>
      <w:r>
        <w:rPr>
          <w:rFonts w:ascii="Verdana" w:hAnsi="Verdana"/>
          <w:sz w:val="20"/>
          <w:szCs w:val="20"/>
          <w:lang w:val="es-ES"/>
        </w:rPr>
        <w:t>Talía</w:t>
      </w:r>
      <w:r w:rsidR="00F95265" w:rsidRPr="00B068AF">
        <w:rPr>
          <w:rFonts w:ascii="Verdana" w:hAnsi="Verdana"/>
          <w:sz w:val="20"/>
          <w:szCs w:val="20"/>
          <w:lang w:val="es-ES"/>
        </w:rPr>
        <w:t xml:space="preserve"> Gonzales </w:t>
      </w:r>
      <w:proofErr w:type="spellStart"/>
      <w:r w:rsidR="00F95265" w:rsidRPr="00B068AF">
        <w:rPr>
          <w:rFonts w:ascii="Verdana" w:hAnsi="Verdana"/>
          <w:sz w:val="20"/>
          <w:szCs w:val="20"/>
          <w:lang w:val="es-ES"/>
        </w:rPr>
        <w:t>Lluy</w:t>
      </w:r>
      <w:proofErr w:type="spellEnd"/>
      <w:r w:rsidR="00F95265" w:rsidRPr="00B068AF">
        <w:rPr>
          <w:rFonts w:ascii="Verdana" w:hAnsi="Verdana"/>
          <w:sz w:val="20"/>
          <w:szCs w:val="20"/>
          <w:lang w:val="es-ES"/>
        </w:rPr>
        <w:t xml:space="preserve"> comenzó a recibir tratamiento médico por parte del Ministerio de Salud Pública del Ecuador contra el VIH en mayo de 2014. </w:t>
      </w:r>
    </w:p>
    <w:p w:rsidR="00F95265" w:rsidRPr="00B068AF" w:rsidRDefault="002B1038" w:rsidP="00F95265">
      <w:pPr>
        <w:numPr>
          <w:ilvl w:val="1"/>
          <w:numId w:val="1"/>
        </w:numPr>
        <w:jc w:val="both"/>
        <w:rPr>
          <w:rFonts w:ascii="Verdana" w:hAnsi="Verdana"/>
          <w:sz w:val="20"/>
          <w:szCs w:val="20"/>
          <w:lang w:val="es-ES"/>
        </w:rPr>
      </w:pPr>
      <w:r w:rsidRPr="00B068AF">
        <w:rPr>
          <w:rFonts w:ascii="Verdana" w:hAnsi="Verdana"/>
          <w:sz w:val="20"/>
          <w:szCs w:val="20"/>
          <w:lang w:val="es-ES"/>
        </w:rPr>
        <w:t xml:space="preserve">Los medicamentos que se le han otorgado desde entonces “no [han] </w:t>
      </w:r>
      <w:proofErr w:type="gramStart"/>
      <w:r w:rsidRPr="00B068AF">
        <w:rPr>
          <w:rFonts w:ascii="Verdana" w:hAnsi="Verdana"/>
          <w:sz w:val="20"/>
          <w:szCs w:val="20"/>
          <w:lang w:val="es-ES"/>
        </w:rPr>
        <w:t>h[</w:t>
      </w:r>
      <w:proofErr w:type="gramEnd"/>
      <w:r w:rsidRPr="00B068AF">
        <w:rPr>
          <w:rFonts w:ascii="Verdana" w:hAnsi="Verdana"/>
          <w:sz w:val="20"/>
          <w:szCs w:val="20"/>
          <w:lang w:val="es-ES"/>
        </w:rPr>
        <w:t>echo] que se mantengan bien [sus] defensas”</w:t>
      </w:r>
      <w:r w:rsidR="00B068AF">
        <w:rPr>
          <w:rFonts w:ascii="Verdana" w:hAnsi="Verdana"/>
          <w:sz w:val="20"/>
          <w:szCs w:val="20"/>
          <w:lang w:val="es-ES"/>
        </w:rPr>
        <w:t xml:space="preserve"> y el conteo de células CD4 ha disminuido</w:t>
      </w:r>
      <w:r w:rsidRPr="00B068AF">
        <w:rPr>
          <w:rFonts w:ascii="Verdana" w:hAnsi="Verdana"/>
          <w:sz w:val="20"/>
          <w:szCs w:val="20"/>
          <w:lang w:val="es-ES"/>
        </w:rPr>
        <w:t xml:space="preserve">, y </w:t>
      </w:r>
      <w:r w:rsidR="00B068AF" w:rsidRPr="00B068AF">
        <w:rPr>
          <w:rFonts w:ascii="Verdana" w:hAnsi="Verdana"/>
          <w:sz w:val="20"/>
          <w:szCs w:val="20"/>
          <w:lang w:val="es-ES"/>
        </w:rPr>
        <w:t xml:space="preserve">sus defensas “han bajado a niveles inaceptables”, por lo que su salud “se ha deteriorado como si no estuviese tomando medicina”. </w:t>
      </w:r>
    </w:p>
    <w:p w:rsidR="00B068AF" w:rsidRPr="00B068AF" w:rsidRDefault="00B068AF" w:rsidP="00F95265">
      <w:pPr>
        <w:numPr>
          <w:ilvl w:val="1"/>
          <w:numId w:val="1"/>
        </w:numPr>
        <w:jc w:val="both"/>
        <w:rPr>
          <w:rFonts w:ascii="Verdana" w:hAnsi="Verdana"/>
          <w:sz w:val="20"/>
          <w:szCs w:val="20"/>
          <w:lang w:val="es-ES"/>
        </w:rPr>
      </w:pPr>
      <w:r>
        <w:rPr>
          <w:rFonts w:ascii="Verdana" w:hAnsi="Verdana"/>
          <w:sz w:val="20"/>
          <w:szCs w:val="20"/>
          <w:lang w:val="es-ES"/>
        </w:rPr>
        <w:t>Ante las consultas al médico tratante,</w:t>
      </w:r>
      <w:r w:rsidR="00E742BA">
        <w:rPr>
          <w:rFonts w:ascii="Verdana" w:hAnsi="Verdana"/>
          <w:sz w:val="20"/>
          <w:szCs w:val="20"/>
          <w:lang w:val="es-ES"/>
        </w:rPr>
        <w:t xml:space="preserve"> éste</w:t>
      </w:r>
      <w:r>
        <w:rPr>
          <w:rFonts w:ascii="Verdana" w:hAnsi="Verdana"/>
          <w:sz w:val="20"/>
          <w:szCs w:val="20"/>
          <w:lang w:val="es-ES"/>
        </w:rPr>
        <w:t xml:space="preserve"> </w:t>
      </w:r>
      <w:r w:rsidR="000306C2">
        <w:rPr>
          <w:rFonts w:ascii="Verdana" w:hAnsi="Verdana"/>
          <w:sz w:val="20"/>
          <w:szCs w:val="20"/>
          <w:lang w:val="es-ES"/>
        </w:rPr>
        <w:t xml:space="preserve">habría manifestado </w:t>
      </w:r>
      <w:r>
        <w:rPr>
          <w:rFonts w:ascii="Verdana" w:hAnsi="Verdana"/>
          <w:sz w:val="20"/>
          <w:szCs w:val="20"/>
          <w:lang w:val="es-ES"/>
        </w:rPr>
        <w:t xml:space="preserve">que la disminución del conteo de células CD4 era normal. </w:t>
      </w:r>
    </w:p>
    <w:p w:rsidR="00F219E3" w:rsidRPr="007B0479" w:rsidRDefault="00F219E3" w:rsidP="00F86012">
      <w:pPr>
        <w:pStyle w:val="ListParagraph"/>
        <w:tabs>
          <w:tab w:val="left" w:pos="1418"/>
        </w:tabs>
        <w:ind w:left="0"/>
        <w:contextualSpacing/>
        <w:jc w:val="both"/>
        <w:rPr>
          <w:rFonts w:ascii="Verdana" w:hAnsi="Verdana"/>
          <w:sz w:val="20"/>
          <w:szCs w:val="20"/>
          <w:lang w:val="es-ES"/>
        </w:rPr>
      </w:pPr>
    </w:p>
    <w:p w:rsidR="006928E2" w:rsidRPr="007B0479" w:rsidRDefault="00BD32A8" w:rsidP="006928E2">
      <w:pPr>
        <w:pStyle w:val="ListParagraph"/>
        <w:numPr>
          <w:ilvl w:val="0"/>
          <w:numId w:val="1"/>
        </w:numPr>
        <w:contextualSpacing/>
        <w:jc w:val="both"/>
        <w:rPr>
          <w:rFonts w:ascii="Verdana" w:hAnsi="Verdana"/>
          <w:sz w:val="20"/>
          <w:szCs w:val="20"/>
        </w:rPr>
      </w:pPr>
      <w:r w:rsidRPr="007B0479">
        <w:rPr>
          <w:rFonts w:ascii="Verdana" w:hAnsi="Verdana"/>
          <w:sz w:val="20"/>
          <w:szCs w:val="20"/>
          <w:lang w:val="es-ES"/>
        </w:rPr>
        <w:t xml:space="preserve">El escrito de </w:t>
      </w:r>
      <w:r w:rsidR="00ED435E">
        <w:rPr>
          <w:rFonts w:ascii="Verdana" w:hAnsi="Verdana"/>
          <w:sz w:val="20"/>
          <w:szCs w:val="20"/>
          <w:lang w:val="es-ES"/>
        </w:rPr>
        <w:t xml:space="preserve">23 de julio de 2015 mediante el cual la Comisión </w:t>
      </w:r>
      <w:r w:rsidR="00E742BA">
        <w:rPr>
          <w:rFonts w:ascii="Verdana" w:hAnsi="Verdana"/>
          <w:sz w:val="20"/>
          <w:szCs w:val="20"/>
          <w:lang w:val="es-ES"/>
        </w:rPr>
        <w:t xml:space="preserve"> Interamericana de Derechos Humanos (en adelante “la Comisión” o “la Comisión Interamericana”) </w:t>
      </w:r>
      <w:r w:rsidR="00ED435E">
        <w:rPr>
          <w:rFonts w:ascii="Verdana" w:hAnsi="Verdana"/>
          <w:sz w:val="20"/>
          <w:szCs w:val="20"/>
          <w:lang w:val="es-ES"/>
        </w:rPr>
        <w:t>solicitó que se “dicte[n] las medidas provisionales para proteger la salud, vida</w:t>
      </w:r>
      <w:r w:rsidR="00243A95">
        <w:rPr>
          <w:rFonts w:ascii="Verdana" w:hAnsi="Verdana"/>
          <w:sz w:val="20"/>
          <w:szCs w:val="20"/>
          <w:lang w:val="es-ES"/>
        </w:rPr>
        <w:t xml:space="preserve"> e integridad personal de Talí</w:t>
      </w:r>
      <w:r w:rsidR="00ED435E">
        <w:rPr>
          <w:rFonts w:ascii="Verdana" w:hAnsi="Verdana"/>
          <w:sz w:val="20"/>
          <w:szCs w:val="20"/>
          <w:lang w:val="es-ES"/>
        </w:rPr>
        <w:t xml:space="preserve">a Gabriela </w:t>
      </w:r>
      <w:proofErr w:type="spellStart"/>
      <w:r w:rsidR="00ED435E">
        <w:rPr>
          <w:rFonts w:ascii="Verdana" w:hAnsi="Verdana"/>
          <w:sz w:val="20"/>
          <w:szCs w:val="20"/>
          <w:lang w:val="es-ES"/>
        </w:rPr>
        <w:t>Gonz</w:t>
      </w:r>
      <w:proofErr w:type="spellEnd"/>
      <w:r w:rsidR="00E742BA">
        <w:rPr>
          <w:rFonts w:ascii="Verdana" w:hAnsi="Verdana"/>
          <w:sz w:val="20"/>
          <w:szCs w:val="20"/>
          <w:lang w:val="es-ES"/>
        </w:rPr>
        <w:t>[</w:t>
      </w:r>
      <w:r w:rsidR="00ED435E">
        <w:rPr>
          <w:rFonts w:ascii="Verdana" w:hAnsi="Verdana"/>
          <w:sz w:val="20"/>
          <w:szCs w:val="20"/>
          <w:lang w:val="es-ES"/>
        </w:rPr>
        <w:t>a</w:t>
      </w:r>
      <w:r w:rsidR="00E742BA">
        <w:rPr>
          <w:rFonts w:ascii="Verdana" w:hAnsi="Verdana"/>
          <w:sz w:val="20"/>
          <w:szCs w:val="20"/>
          <w:lang w:val="es-ES"/>
        </w:rPr>
        <w:t>]</w:t>
      </w:r>
      <w:r w:rsidR="00ED435E">
        <w:rPr>
          <w:rFonts w:ascii="Verdana" w:hAnsi="Verdana"/>
          <w:sz w:val="20"/>
          <w:szCs w:val="20"/>
          <w:lang w:val="es-ES"/>
        </w:rPr>
        <w:t xml:space="preserve">les </w:t>
      </w:r>
      <w:proofErr w:type="spellStart"/>
      <w:r w:rsidR="00ED435E">
        <w:rPr>
          <w:rFonts w:ascii="Verdana" w:hAnsi="Verdana"/>
          <w:sz w:val="20"/>
          <w:szCs w:val="20"/>
          <w:lang w:val="es-ES"/>
        </w:rPr>
        <w:t>Lluy</w:t>
      </w:r>
      <w:proofErr w:type="spellEnd"/>
      <w:r w:rsidR="00ED435E">
        <w:rPr>
          <w:rFonts w:ascii="Verdana" w:hAnsi="Verdana"/>
          <w:sz w:val="20"/>
          <w:szCs w:val="20"/>
          <w:lang w:val="es-ES"/>
        </w:rPr>
        <w:t xml:space="preserve">”, al encontrar satisfechos </w:t>
      </w:r>
      <w:r w:rsidR="006928E2" w:rsidRPr="007B0479">
        <w:rPr>
          <w:rFonts w:ascii="Verdana" w:eastAsia="Times New Roman" w:hAnsi="Verdana" w:cs="Arial"/>
          <w:sz w:val="20"/>
          <w:szCs w:val="20"/>
          <w:lang w:val="es-CR" w:eastAsia="es-CR"/>
        </w:rPr>
        <w:t>los requisitos establecidos en el artícul</w:t>
      </w:r>
      <w:r w:rsidR="00ED435E">
        <w:rPr>
          <w:rFonts w:ascii="Verdana" w:eastAsia="Times New Roman" w:hAnsi="Verdana" w:cs="Arial"/>
          <w:sz w:val="20"/>
          <w:szCs w:val="20"/>
          <w:lang w:val="es-CR" w:eastAsia="es-CR"/>
        </w:rPr>
        <w:t>o 63 de la Convención Americana</w:t>
      </w:r>
      <w:r w:rsidR="00DC364B">
        <w:rPr>
          <w:rFonts w:ascii="Verdana" w:eastAsia="Times New Roman" w:hAnsi="Verdana" w:cs="Arial"/>
          <w:sz w:val="20"/>
          <w:szCs w:val="20"/>
          <w:lang w:val="es-CR" w:eastAsia="es-CR"/>
        </w:rPr>
        <w:t>.</w:t>
      </w:r>
      <w:r w:rsidR="006928E2" w:rsidRPr="007B0479">
        <w:rPr>
          <w:rFonts w:ascii="Verdana" w:eastAsia="Times New Roman" w:hAnsi="Verdana" w:cs="Arial"/>
          <w:sz w:val="20"/>
          <w:szCs w:val="20"/>
          <w:lang w:val="es-CR" w:eastAsia="es-CR"/>
        </w:rPr>
        <w:t xml:space="preserve"> </w:t>
      </w:r>
    </w:p>
    <w:p w:rsidR="003B0AFA" w:rsidRPr="007B0479" w:rsidRDefault="003B0AFA" w:rsidP="003B0AFA">
      <w:pPr>
        <w:pStyle w:val="ListParagraph"/>
        <w:rPr>
          <w:rFonts w:ascii="Verdana" w:hAnsi="Verdana"/>
          <w:sz w:val="20"/>
          <w:szCs w:val="20"/>
        </w:rPr>
      </w:pPr>
    </w:p>
    <w:p w:rsidR="00ED435E" w:rsidRPr="00ED435E" w:rsidRDefault="00ED435E" w:rsidP="003B0AFA">
      <w:pPr>
        <w:pStyle w:val="ListParagraph"/>
        <w:numPr>
          <w:ilvl w:val="0"/>
          <w:numId w:val="1"/>
        </w:numPr>
        <w:contextualSpacing/>
        <w:jc w:val="both"/>
        <w:rPr>
          <w:rFonts w:ascii="Verdana" w:hAnsi="Verdana"/>
          <w:sz w:val="20"/>
          <w:szCs w:val="20"/>
        </w:rPr>
      </w:pPr>
      <w:r w:rsidRPr="007B0479">
        <w:rPr>
          <w:rFonts w:ascii="Verdana" w:hAnsi="Verdana"/>
          <w:sz w:val="20"/>
          <w:szCs w:val="20"/>
          <w:lang w:val="es-ES"/>
        </w:rPr>
        <w:lastRenderedPageBreak/>
        <w:t xml:space="preserve">El escrito de </w:t>
      </w:r>
      <w:r>
        <w:rPr>
          <w:rFonts w:ascii="Verdana" w:hAnsi="Verdana"/>
          <w:sz w:val="20"/>
          <w:szCs w:val="20"/>
          <w:lang w:val="es-ES"/>
        </w:rPr>
        <w:t xml:space="preserve">23 de julio de 2015 mediante el cual el Estado presentó sus observaciones en relación con la solicitud de medidas provisionales y solicitó que éstas fueran desestimadas, “toda vez que […] el Estado cuenta con medidas y disposiciones técnicas diligentes que responden a estándares internacionales de salud pública en relación a la atención de pacientes infectados con VIH”. </w:t>
      </w:r>
    </w:p>
    <w:p w:rsidR="00ED435E" w:rsidRDefault="00ED435E" w:rsidP="00ED435E">
      <w:pPr>
        <w:pStyle w:val="ListParagraph"/>
        <w:rPr>
          <w:rFonts w:ascii="Verdana" w:hAnsi="Verdana"/>
          <w:sz w:val="20"/>
          <w:szCs w:val="20"/>
          <w:lang w:val="es-ES"/>
        </w:rPr>
      </w:pPr>
    </w:p>
    <w:p w:rsidR="00321FA6" w:rsidRPr="007B0479" w:rsidRDefault="00321FA6" w:rsidP="00321FA6">
      <w:pPr>
        <w:pStyle w:val="ListParagraph"/>
        <w:numPr>
          <w:ilvl w:val="0"/>
          <w:numId w:val="1"/>
        </w:numPr>
        <w:contextualSpacing/>
        <w:jc w:val="both"/>
        <w:rPr>
          <w:rFonts w:ascii="Verdana" w:hAnsi="Verdana"/>
          <w:sz w:val="20"/>
          <w:szCs w:val="20"/>
        </w:rPr>
      </w:pPr>
      <w:bookmarkStart w:id="1" w:name="_Ref295494762"/>
      <w:bookmarkStart w:id="2" w:name="_Ref295492216"/>
      <w:r w:rsidRPr="007B0479">
        <w:rPr>
          <w:rFonts w:ascii="Verdana" w:hAnsi="Verdana"/>
          <w:sz w:val="20"/>
          <w:szCs w:val="20"/>
          <w:lang w:val="es-ES"/>
        </w:rPr>
        <w:t>La</w:t>
      </w:r>
      <w:r>
        <w:rPr>
          <w:rFonts w:ascii="Verdana" w:hAnsi="Verdana"/>
          <w:sz w:val="20"/>
          <w:szCs w:val="20"/>
          <w:lang w:val="es-ES"/>
        </w:rPr>
        <w:t>s</w:t>
      </w:r>
      <w:r w:rsidRPr="007B0479">
        <w:rPr>
          <w:rFonts w:ascii="Verdana" w:hAnsi="Verdana"/>
          <w:sz w:val="20"/>
          <w:szCs w:val="20"/>
          <w:lang w:val="es-ES"/>
        </w:rPr>
        <w:t xml:space="preserve"> nota</w:t>
      </w:r>
      <w:r>
        <w:rPr>
          <w:rFonts w:ascii="Verdana" w:hAnsi="Verdana"/>
          <w:sz w:val="20"/>
          <w:szCs w:val="20"/>
          <w:lang w:val="es-ES"/>
        </w:rPr>
        <w:t>s</w:t>
      </w:r>
      <w:r w:rsidRPr="007B0479">
        <w:rPr>
          <w:rFonts w:ascii="Verdana" w:hAnsi="Verdana"/>
          <w:sz w:val="20"/>
          <w:szCs w:val="20"/>
          <w:lang w:val="es-ES"/>
        </w:rPr>
        <w:t xml:space="preserve"> de</w:t>
      </w:r>
      <w:r>
        <w:rPr>
          <w:rFonts w:ascii="Verdana" w:hAnsi="Verdana"/>
          <w:sz w:val="20"/>
          <w:szCs w:val="20"/>
          <w:lang w:val="es-ES"/>
        </w:rPr>
        <w:t xml:space="preserve"> la</w:t>
      </w:r>
      <w:r w:rsidRPr="007B0479">
        <w:rPr>
          <w:rFonts w:ascii="Verdana" w:hAnsi="Verdana"/>
          <w:sz w:val="20"/>
          <w:szCs w:val="20"/>
          <w:lang w:val="es-ES"/>
        </w:rPr>
        <w:t xml:space="preserve"> Secretaría de </w:t>
      </w:r>
      <w:bookmarkEnd w:id="1"/>
      <w:r w:rsidRPr="007B0479">
        <w:rPr>
          <w:rFonts w:ascii="Verdana" w:hAnsi="Verdana"/>
          <w:sz w:val="20"/>
          <w:szCs w:val="20"/>
          <w:lang w:val="es-ES"/>
        </w:rPr>
        <w:t xml:space="preserve">la Corte Interamericana de </w:t>
      </w:r>
      <w:r>
        <w:rPr>
          <w:rFonts w:ascii="Verdana" w:hAnsi="Verdana"/>
          <w:sz w:val="20"/>
          <w:szCs w:val="20"/>
          <w:lang w:val="es-ES"/>
        </w:rPr>
        <w:t>16, 24 y 31 de julio, y 7 de agosto de 2015</w:t>
      </w:r>
      <w:r w:rsidRPr="007B0479">
        <w:rPr>
          <w:rFonts w:ascii="Verdana" w:hAnsi="Verdana"/>
          <w:sz w:val="20"/>
          <w:szCs w:val="20"/>
          <w:lang w:val="es-ES"/>
        </w:rPr>
        <w:t>, mediante la</w:t>
      </w:r>
      <w:r>
        <w:rPr>
          <w:rFonts w:ascii="Verdana" w:hAnsi="Verdana"/>
          <w:sz w:val="20"/>
          <w:szCs w:val="20"/>
          <w:lang w:val="es-ES"/>
        </w:rPr>
        <w:t>s</w:t>
      </w:r>
      <w:r w:rsidRPr="007B0479">
        <w:rPr>
          <w:rFonts w:ascii="Verdana" w:hAnsi="Verdana"/>
          <w:sz w:val="20"/>
          <w:szCs w:val="20"/>
          <w:lang w:val="es-ES"/>
        </w:rPr>
        <w:t xml:space="preserve"> cual</w:t>
      </w:r>
      <w:r>
        <w:rPr>
          <w:rFonts w:ascii="Verdana" w:hAnsi="Verdana"/>
          <w:sz w:val="20"/>
          <w:szCs w:val="20"/>
          <w:lang w:val="es-ES"/>
        </w:rPr>
        <w:t>es</w:t>
      </w:r>
      <w:r w:rsidRPr="007B0479">
        <w:rPr>
          <w:rFonts w:ascii="Verdana" w:hAnsi="Verdana"/>
          <w:sz w:val="20"/>
          <w:szCs w:val="20"/>
          <w:lang w:val="es-ES"/>
        </w:rPr>
        <w:t xml:space="preserve">, </w:t>
      </w:r>
      <w:r w:rsidRPr="007B0479">
        <w:rPr>
          <w:rFonts w:ascii="Verdana" w:hAnsi="Verdana"/>
          <w:sz w:val="20"/>
          <w:szCs w:val="20"/>
        </w:rPr>
        <w:t>siguiendo instrucciones del Presidente de la Corte Interamericana, se solicitó al Estado</w:t>
      </w:r>
      <w:r>
        <w:rPr>
          <w:rFonts w:ascii="Verdana" w:hAnsi="Verdana"/>
          <w:sz w:val="20"/>
          <w:szCs w:val="20"/>
        </w:rPr>
        <w:t>, al representante</w:t>
      </w:r>
      <w:r w:rsidRPr="007B0479">
        <w:rPr>
          <w:rFonts w:ascii="Verdana" w:hAnsi="Verdana"/>
          <w:sz w:val="20"/>
          <w:szCs w:val="20"/>
        </w:rPr>
        <w:t xml:space="preserve"> </w:t>
      </w:r>
      <w:r>
        <w:rPr>
          <w:rFonts w:ascii="Verdana" w:hAnsi="Verdana"/>
          <w:sz w:val="20"/>
          <w:szCs w:val="20"/>
        </w:rPr>
        <w:t xml:space="preserve">y a la Comisión diversos tipos de información sobre esta solicitud de medidas provisionales, incluyendo información sobre la práctica de exámenes de Resistencia por </w:t>
      </w:r>
      <w:proofErr w:type="spellStart"/>
      <w:r>
        <w:rPr>
          <w:rFonts w:ascii="Verdana" w:hAnsi="Verdana"/>
          <w:sz w:val="20"/>
          <w:szCs w:val="20"/>
        </w:rPr>
        <w:t>Genotipificación</w:t>
      </w:r>
      <w:proofErr w:type="spellEnd"/>
      <w:r>
        <w:rPr>
          <w:rFonts w:ascii="Verdana" w:hAnsi="Verdana"/>
          <w:sz w:val="20"/>
          <w:szCs w:val="20"/>
        </w:rPr>
        <w:t xml:space="preserve"> y Dosificación Seca-Medicamentosa, para analizar la posibilidad de resistencia de fallo virológico en </w:t>
      </w:r>
      <w:r w:rsidR="003C4AA7">
        <w:rPr>
          <w:rFonts w:ascii="Verdana" w:hAnsi="Verdana"/>
          <w:sz w:val="20"/>
          <w:szCs w:val="20"/>
        </w:rPr>
        <w:t>Talía</w:t>
      </w:r>
      <w:r w:rsidR="00E82B6A">
        <w:rPr>
          <w:rFonts w:ascii="Verdana" w:hAnsi="Verdana"/>
          <w:sz w:val="20"/>
          <w:szCs w:val="20"/>
        </w:rPr>
        <w:t xml:space="preserve"> Gonzales </w:t>
      </w:r>
      <w:proofErr w:type="spellStart"/>
      <w:r w:rsidR="00E82B6A">
        <w:rPr>
          <w:rFonts w:ascii="Verdana" w:hAnsi="Verdana"/>
          <w:sz w:val="20"/>
          <w:szCs w:val="20"/>
        </w:rPr>
        <w:t>Lluy</w:t>
      </w:r>
      <w:proofErr w:type="spellEnd"/>
      <w:r w:rsidRPr="007B0479">
        <w:rPr>
          <w:rFonts w:ascii="Verdana" w:hAnsi="Verdana"/>
          <w:sz w:val="20"/>
          <w:szCs w:val="20"/>
        </w:rPr>
        <w:t xml:space="preserve">. </w:t>
      </w:r>
      <w:bookmarkEnd w:id="2"/>
    </w:p>
    <w:p w:rsidR="00E6559B" w:rsidRPr="007B0479" w:rsidRDefault="00E6559B" w:rsidP="00E6559B">
      <w:pPr>
        <w:pStyle w:val="ListParagraph"/>
        <w:rPr>
          <w:rFonts w:ascii="Verdana" w:hAnsi="Verdana"/>
          <w:sz w:val="20"/>
          <w:szCs w:val="20"/>
        </w:rPr>
      </w:pPr>
    </w:p>
    <w:p w:rsidR="00DB2664" w:rsidRDefault="00321FA6" w:rsidP="00321FA6">
      <w:pPr>
        <w:pStyle w:val="ListParagraph"/>
        <w:numPr>
          <w:ilvl w:val="0"/>
          <w:numId w:val="1"/>
        </w:numPr>
        <w:contextualSpacing/>
        <w:jc w:val="both"/>
        <w:rPr>
          <w:rFonts w:ascii="Verdana" w:hAnsi="Verdana"/>
          <w:sz w:val="20"/>
          <w:szCs w:val="20"/>
        </w:rPr>
      </w:pPr>
      <w:r>
        <w:rPr>
          <w:rFonts w:ascii="Verdana" w:hAnsi="Verdana"/>
          <w:sz w:val="20"/>
          <w:szCs w:val="20"/>
        </w:rPr>
        <w:t>Los</w:t>
      </w:r>
      <w:r w:rsidR="006209EA" w:rsidRPr="007B0479">
        <w:rPr>
          <w:rFonts w:ascii="Verdana" w:hAnsi="Verdana"/>
          <w:sz w:val="20"/>
          <w:szCs w:val="20"/>
        </w:rPr>
        <w:t xml:space="preserve"> escrito</w:t>
      </w:r>
      <w:r>
        <w:rPr>
          <w:rFonts w:ascii="Verdana" w:hAnsi="Verdana"/>
          <w:sz w:val="20"/>
          <w:szCs w:val="20"/>
        </w:rPr>
        <w:t>s</w:t>
      </w:r>
      <w:r w:rsidR="006209EA" w:rsidRPr="007B0479">
        <w:rPr>
          <w:rFonts w:ascii="Verdana" w:hAnsi="Verdana"/>
          <w:sz w:val="20"/>
          <w:szCs w:val="20"/>
        </w:rPr>
        <w:t xml:space="preserve"> de </w:t>
      </w:r>
      <w:r w:rsidR="00ED435E">
        <w:rPr>
          <w:rFonts w:ascii="Verdana" w:hAnsi="Verdana"/>
          <w:sz w:val="20"/>
          <w:szCs w:val="20"/>
        </w:rPr>
        <w:t>28 de julio</w:t>
      </w:r>
      <w:r>
        <w:rPr>
          <w:rFonts w:ascii="Verdana" w:hAnsi="Verdana"/>
          <w:sz w:val="20"/>
          <w:szCs w:val="20"/>
        </w:rPr>
        <w:t>, y 5 y 12 de agosto</w:t>
      </w:r>
      <w:r w:rsidR="00ED435E">
        <w:rPr>
          <w:rFonts w:ascii="Verdana" w:hAnsi="Verdana"/>
          <w:sz w:val="20"/>
          <w:szCs w:val="20"/>
        </w:rPr>
        <w:t xml:space="preserve"> de 2015</w:t>
      </w:r>
      <w:r w:rsidR="006209EA" w:rsidRPr="007B0479">
        <w:rPr>
          <w:rFonts w:ascii="Verdana" w:hAnsi="Verdana"/>
          <w:sz w:val="20"/>
          <w:szCs w:val="20"/>
        </w:rPr>
        <w:t xml:space="preserve">, mediante </w:t>
      </w:r>
      <w:r>
        <w:rPr>
          <w:rFonts w:ascii="Verdana" w:hAnsi="Verdana"/>
          <w:sz w:val="20"/>
          <w:szCs w:val="20"/>
        </w:rPr>
        <w:t xml:space="preserve">los cuales </w:t>
      </w:r>
      <w:r w:rsidR="00ED435E">
        <w:rPr>
          <w:rFonts w:ascii="Verdana" w:hAnsi="Verdana"/>
          <w:sz w:val="20"/>
          <w:szCs w:val="20"/>
        </w:rPr>
        <w:t xml:space="preserve">el representante </w:t>
      </w:r>
      <w:r>
        <w:rPr>
          <w:rFonts w:ascii="Verdana" w:hAnsi="Verdana"/>
          <w:sz w:val="20"/>
          <w:szCs w:val="20"/>
        </w:rPr>
        <w:t>y el Estado remitieron</w:t>
      </w:r>
      <w:r w:rsidR="006209EA" w:rsidRPr="007B0479">
        <w:rPr>
          <w:rFonts w:ascii="Verdana" w:hAnsi="Verdana"/>
          <w:sz w:val="20"/>
          <w:szCs w:val="20"/>
        </w:rPr>
        <w:t xml:space="preserve"> observaciones</w:t>
      </w:r>
      <w:r w:rsidR="00216CD4" w:rsidRPr="007B0479">
        <w:rPr>
          <w:rFonts w:ascii="Verdana" w:hAnsi="Verdana"/>
          <w:sz w:val="20"/>
          <w:szCs w:val="20"/>
        </w:rPr>
        <w:t xml:space="preserve"> </w:t>
      </w:r>
      <w:r>
        <w:rPr>
          <w:rFonts w:ascii="Verdana" w:hAnsi="Verdana"/>
          <w:sz w:val="20"/>
          <w:szCs w:val="20"/>
        </w:rPr>
        <w:t xml:space="preserve">sobre la presente solicitud, incluyendo información sobre </w:t>
      </w:r>
      <w:r w:rsidR="00DB2664" w:rsidRPr="00321FA6">
        <w:rPr>
          <w:rFonts w:ascii="Verdana" w:hAnsi="Verdana"/>
          <w:sz w:val="20"/>
          <w:szCs w:val="20"/>
        </w:rPr>
        <w:t xml:space="preserve">la práctica y los resultados de los exámenes de Resistencia por </w:t>
      </w:r>
      <w:proofErr w:type="spellStart"/>
      <w:r w:rsidR="00DB2664" w:rsidRPr="00321FA6">
        <w:rPr>
          <w:rFonts w:ascii="Verdana" w:hAnsi="Verdana"/>
          <w:sz w:val="20"/>
          <w:szCs w:val="20"/>
        </w:rPr>
        <w:t>Genotipificación</w:t>
      </w:r>
      <w:proofErr w:type="spellEnd"/>
      <w:r w:rsidR="00DB2664" w:rsidRPr="00321FA6">
        <w:rPr>
          <w:rFonts w:ascii="Verdana" w:hAnsi="Verdana"/>
          <w:sz w:val="20"/>
          <w:szCs w:val="20"/>
        </w:rPr>
        <w:t xml:space="preserve"> y Dosificación Seca-Medicamentosa.</w:t>
      </w:r>
    </w:p>
    <w:p w:rsidR="00A427DD" w:rsidRPr="00A427DD" w:rsidRDefault="00A427DD" w:rsidP="00A427DD">
      <w:pPr>
        <w:pStyle w:val="ListParagraph"/>
        <w:rPr>
          <w:rFonts w:ascii="Verdana" w:hAnsi="Verdana"/>
          <w:sz w:val="20"/>
          <w:szCs w:val="20"/>
        </w:rPr>
      </w:pPr>
    </w:p>
    <w:p w:rsidR="00A427DD" w:rsidRDefault="00A427DD" w:rsidP="00321FA6">
      <w:pPr>
        <w:pStyle w:val="ListParagraph"/>
        <w:numPr>
          <w:ilvl w:val="0"/>
          <w:numId w:val="1"/>
        </w:numPr>
        <w:contextualSpacing/>
        <w:jc w:val="both"/>
        <w:rPr>
          <w:rFonts w:ascii="Verdana" w:hAnsi="Verdana"/>
          <w:sz w:val="20"/>
          <w:szCs w:val="20"/>
        </w:rPr>
      </w:pPr>
      <w:r w:rsidRPr="007B0479">
        <w:rPr>
          <w:rFonts w:ascii="Verdana" w:hAnsi="Verdana"/>
          <w:sz w:val="20"/>
          <w:szCs w:val="20"/>
          <w:lang w:val="es-ES"/>
        </w:rPr>
        <w:t>La nota de</w:t>
      </w:r>
      <w:r>
        <w:rPr>
          <w:rFonts w:ascii="Verdana" w:hAnsi="Verdana"/>
          <w:sz w:val="20"/>
          <w:szCs w:val="20"/>
          <w:lang w:val="es-ES"/>
        </w:rPr>
        <w:t xml:space="preserve"> la</w:t>
      </w:r>
      <w:r w:rsidRPr="007B0479">
        <w:rPr>
          <w:rFonts w:ascii="Verdana" w:hAnsi="Verdana"/>
          <w:sz w:val="20"/>
          <w:szCs w:val="20"/>
          <w:lang w:val="es-ES"/>
        </w:rPr>
        <w:t xml:space="preserve"> Secretaría de la Corte Interamericana de</w:t>
      </w:r>
      <w:r>
        <w:rPr>
          <w:rFonts w:ascii="Verdana" w:hAnsi="Verdana"/>
          <w:sz w:val="20"/>
          <w:szCs w:val="20"/>
          <w:lang w:val="es-ES"/>
        </w:rPr>
        <w:t xml:space="preserve"> 24 de agosto de 2015, mediante la cual, se </w:t>
      </w:r>
      <w:r w:rsidR="008C0CA2">
        <w:rPr>
          <w:rFonts w:ascii="Verdana" w:hAnsi="Verdana"/>
          <w:sz w:val="20"/>
          <w:szCs w:val="20"/>
          <w:lang w:val="es-ES"/>
        </w:rPr>
        <w:t>comunicó</w:t>
      </w:r>
      <w:r>
        <w:rPr>
          <w:rFonts w:ascii="Verdana" w:hAnsi="Verdana"/>
          <w:sz w:val="20"/>
          <w:szCs w:val="20"/>
          <w:lang w:val="es-ES"/>
        </w:rPr>
        <w:t xml:space="preserve"> que </w:t>
      </w:r>
      <w:r>
        <w:rPr>
          <w:rFonts w:ascii="Verdana" w:hAnsi="Verdana"/>
          <w:sz w:val="20"/>
        </w:rPr>
        <w:t>l</w:t>
      </w:r>
      <w:r w:rsidRPr="0025135F">
        <w:rPr>
          <w:rFonts w:ascii="Verdana" w:hAnsi="Verdana"/>
          <w:sz w:val="20"/>
        </w:rPr>
        <w:t xml:space="preserve">a información </w:t>
      </w:r>
      <w:r>
        <w:rPr>
          <w:rFonts w:ascii="Verdana" w:hAnsi="Verdana"/>
          <w:sz w:val="20"/>
        </w:rPr>
        <w:t>recibida</w:t>
      </w:r>
      <w:r w:rsidRPr="0025135F">
        <w:rPr>
          <w:rFonts w:ascii="Verdana" w:hAnsi="Verdana"/>
          <w:sz w:val="20"/>
        </w:rPr>
        <w:t xml:space="preserve"> </w:t>
      </w:r>
      <w:r>
        <w:rPr>
          <w:rFonts w:ascii="Verdana" w:hAnsi="Verdana"/>
          <w:sz w:val="20"/>
        </w:rPr>
        <w:t>sería</w:t>
      </w:r>
      <w:r w:rsidRPr="0025135F">
        <w:rPr>
          <w:rFonts w:ascii="Verdana" w:hAnsi="Verdana"/>
          <w:sz w:val="20"/>
        </w:rPr>
        <w:t xml:space="preserve"> puesta en conocimiento del Pleno de la Corte para los efectos pertinentes</w:t>
      </w:r>
      <w:r w:rsidRPr="007B0479">
        <w:rPr>
          <w:rFonts w:ascii="Verdana" w:hAnsi="Verdana"/>
          <w:sz w:val="20"/>
          <w:szCs w:val="20"/>
        </w:rPr>
        <w:t>.</w:t>
      </w:r>
      <w:r>
        <w:rPr>
          <w:rFonts w:ascii="Verdana" w:hAnsi="Verdana"/>
          <w:sz w:val="20"/>
          <w:szCs w:val="20"/>
        </w:rPr>
        <w:t xml:space="preserve"> No se solicitó </w:t>
      </w:r>
      <w:r w:rsidR="006264E9">
        <w:rPr>
          <w:rFonts w:ascii="Verdana" w:hAnsi="Verdana"/>
          <w:sz w:val="20"/>
          <w:szCs w:val="20"/>
        </w:rPr>
        <w:t xml:space="preserve">a las partes </w:t>
      </w:r>
      <w:r>
        <w:rPr>
          <w:rFonts w:ascii="Verdana" w:hAnsi="Verdana"/>
          <w:sz w:val="20"/>
          <w:szCs w:val="20"/>
        </w:rPr>
        <w:t xml:space="preserve">el envío de más información. </w:t>
      </w:r>
    </w:p>
    <w:p w:rsidR="00C5388C" w:rsidRPr="00C5388C" w:rsidRDefault="00C5388C" w:rsidP="00C5388C">
      <w:pPr>
        <w:pStyle w:val="ListParagraph"/>
        <w:rPr>
          <w:rFonts w:ascii="Verdana" w:hAnsi="Verdana"/>
          <w:sz w:val="20"/>
          <w:szCs w:val="20"/>
        </w:rPr>
      </w:pPr>
    </w:p>
    <w:p w:rsidR="00C5388C" w:rsidRDefault="00487301" w:rsidP="00321FA6">
      <w:pPr>
        <w:pStyle w:val="ListParagraph"/>
        <w:numPr>
          <w:ilvl w:val="0"/>
          <w:numId w:val="1"/>
        </w:numPr>
        <w:contextualSpacing/>
        <w:jc w:val="both"/>
        <w:rPr>
          <w:rFonts w:ascii="Verdana" w:hAnsi="Verdana"/>
          <w:sz w:val="20"/>
          <w:szCs w:val="20"/>
        </w:rPr>
      </w:pPr>
      <w:r>
        <w:rPr>
          <w:rFonts w:ascii="Verdana" w:hAnsi="Verdana"/>
          <w:sz w:val="20"/>
          <w:szCs w:val="20"/>
        </w:rPr>
        <w:t>El escrito</w:t>
      </w:r>
      <w:r w:rsidR="00C5388C" w:rsidRPr="007B0479">
        <w:rPr>
          <w:rFonts w:ascii="Verdana" w:hAnsi="Verdana"/>
          <w:sz w:val="20"/>
          <w:szCs w:val="20"/>
        </w:rPr>
        <w:t xml:space="preserve"> de </w:t>
      </w:r>
      <w:r>
        <w:rPr>
          <w:rFonts w:ascii="Verdana" w:hAnsi="Verdana"/>
          <w:sz w:val="20"/>
          <w:szCs w:val="20"/>
        </w:rPr>
        <w:t>27</w:t>
      </w:r>
      <w:r w:rsidR="00C5388C">
        <w:rPr>
          <w:rFonts w:ascii="Verdana" w:hAnsi="Verdana"/>
          <w:sz w:val="20"/>
          <w:szCs w:val="20"/>
        </w:rPr>
        <w:t xml:space="preserve"> de </w:t>
      </w:r>
      <w:r>
        <w:rPr>
          <w:rFonts w:ascii="Verdana" w:hAnsi="Verdana"/>
          <w:sz w:val="20"/>
          <w:szCs w:val="20"/>
        </w:rPr>
        <w:t>agosto</w:t>
      </w:r>
      <w:r w:rsidR="00A14388">
        <w:rPr>
          <w:rFonts w:ascii="Verdana" w:hAnsi="Verdana"/>
          <w:sz w:val="20"/>
          <w:szCs w:val="20"/>
        </w:rPr>
        <w:t xml:space="preserve"> de 2015</w:t>
      </w:r>
      <w:r w:rsidR="00C5388C">
        <w:rPr>
          <w:rFonts w:ascii="Verdana" w:hAnsi="Verdana"/>
          <w:sz w:val="20"/>
          <w:szCs w:val="20"/>
        </w:rPr>
        <w:t xml:space="preserve">, </w:t>
      </w:r>
      <w:r>
        <w:rPr>
          <w:rFonts w:ascii="Verdana" w:hAnsi="Verdana"/>
          <w:sz w:val="20"/>
          <w:szCs w:val="20"/>
        </w:rPr>
        <w:t xml:space="preserve">mediante el cual el Estado envió observaciones </w:t>
      </w:r>
      <w:r w:rsidR="00B84CD6">
        <w:rPr>
          <w:rFonts w:ascii="Verdana" w:hAnsi="Verdana"/>
          <w:sz w:val="20"/>
          <w:szCs w:val="20"/>
        </w:rPr>
        <w:t xml:space="preserve">adicionales </w:t>
      </w:r>
      <w:r w:rsidR="00C5388C">
        <w:rPr>
          <w:rFonts w:ascii="Verdana" w:hAnsi="Verdana"/>
          <w:sz w:val="20"/>
          <w:szCs w:val="20"/>
        </w:rPr>
        <w:t>sobre la solicitud</w:t>
      </w:r>
      <w:r w:rsidR="00A427DD">
        <w:rPr>
          <w:rFonts w:ascii="Verdana" w:hAnsi="Verdana"/>
          <w:sz w:val="20"/>
          <w:szCs w:val="20"/>
        </w:rPr>
        <w:t xml:space="preserve"> de medidas provisionales</w:t>
      </w:r>
      <w:r w:rsidR="00A14388">
        <w:rPr>
          <w:rFonts w:ascii="Verdana" w:hAnsi="Verdana"/>
          <w:sz w:val="20"/>
          <w:szCs w:val="20"/>
        </w:rPr>
        <w:t>.</w:t>
      </w:r>
      <w:r w:rsidR="00A427DD">
        <w:rPr>
          <w:rFonts w:ascii="Verdana" w:hAnsi="Verdana"/>
          <w:sz w:val="20"/>
          <w:szCs w:val="20"/>
        </w:rPr>
        <w:t xml:space="preserve"> i</w:t>
      </w:r>
      <w:r w:rsidR="00C5388C">
        <w:rPr>
          <w:rFonts w:ascii="Verdana" w:hAnsi="Verdana"/>
          <w:sz w:val="20"/>
          <w:szCs w:val="20"/>
        </w:rPr>
        <w:t xml:space="preserve">ncluyendo información sobre </w:t>
      </w:r>
      <w:r w:rsidR="00C5388C" w:rsidRPr="00321FA6">
        <w:rPr>
          <w:rFonts w:ascii="Verdana" w:hAnsi="Verdana"/>
          <w:sz w:val="20"/>
          <w:szCs w:val="20"/>
        </w:rPr>
        <w:t>la</w:t>
      </w:r>
      <w:r>
        <w:rPr>
          <w:rFonts w:ascii="Verdana" w:hAnsi="Verdana"/>
          <w:sz w:val="20"/>
          <w:szCs w:val="20"/>
        </w:rPr>
        <w:t xml:space="preserve"> alegada confusión en la</w:t>
      </w:r>
      <w:r w:rsidR="00C5388C" w:rsidRPr="00321FA6">
        <w:rPr>
          <w:rFonts w:ascii="Verdana" w:hAnsi="Verdana"/>
          <w:sz w:val="20"/>
          <w:szCs w:val="20"/>
        </w:rPr>
        <w:t xml:space="preserve"> práctica de los exámenes de Resistencia por </w:t>
      </w:r>
      <w:proofErr w:type="spellStart"/>
      <w:r w:rsidR="00C5388C" w:rsidRPr="00321FA6">
        <w:rPr>
          <w:rFonts w:ascii="Verdana" w:hAnsi="Verdana"/>
          <w:sz w:val="20"/>
          <w:szCs w:val="20"/>
        </w:rPr>
        <w:t>Genotipificación</w:t>
      </w:r>
      <w:proofErr w:type="spellEnd"/>
      <w:r w:rsidR="00C5388C" w:rsidRPr="00321FA6">
        <w:rPr>
          <w:rFonts w:ascii="Verdana" w:hAnsi="Verdana"/>
          <w:sz w:val="20"/>
          <w:szCs w:val="20"/>
        </w:rPr>
        <w:t xml:space="preserve"> y Dosificación Seca-Medicamentosa</w:t>
      </w:r>
      <w:r w:rsidR="00D31A31">
        <w:rPr>
          <w:rFonts w:ascii="Verdana" w:hAnsi="Verdana"/>
          <w:sz w:val="20"/>
          <w:szCs w:val="20"/>
        </w:rPr>
        <w:t xml:space="preserve"> y el cambio de tratamiento ordenado a </w:t>
      </w:r>
      <w:r w:rsidR="003C4AA7">
        <w:rPr>
          <w:rFonts w:ascii="Verdana" w:hAnsi="Verdana"/>
          <w:sz w:val="20"/>
          <w:szCs w:val="20"/>
        </w:rPr>
        <w:t>Talía</w:t>
      </w:r>
      <w:r w:rsidR="00C5388C" w:rsidRPr="00321FA6">
        <w:rPr>
          <w:rFonts w:ascii="Verdana" w:hAnsi="Verdana"/>
          <w:sz w:val="20"/>
          <w:szCs w:val="20"/>
        </w:rPr>
        <w:t>.</w:t>
      </w:r>
    </w:p>
    <w:p w:rsidR="00A427DD" w:rsidRPr="00A427DD" w:rsidRDefault="00A427DD" w:rsidP="00A427DD">
      <w:pPr>
        <w:pStyle w:val="ListParagraph"/>
        <w:rPr>
          <w:rFonts w:ascii="Verdana" w:hAnsi="Verdana"/>
          <w:sz w:val="20"/>
          <w:szCs w:val="20"/>
        </w:rPr>
      </w:pPr>
    </w:p>
    <w:p w:rsidR="00A427DD" w:rsidRDefault="00A427DD" w:rsidP="00321FA6">
      <w:pPr>
        <w:pStyle w:val="ListParagraph"/>
        <w:numPr>
          <w:ilvl w:val="0"/>
          <w:numId w:val="1"/>
        </w:numPr>
        <w:contextualSpacing/>
        <w:jc w:val="both"/>
        <w:rPr>
          <w:rFonts w:ascii="Verdana" w:hAnsi="Verdana"/>
          <w:sz w:val="20"/>
          <w:szCs w:val="20"/>
        </w:rPr>
      </w:pPr>
      <w:r w:rsidRPr="007B0479">
        <w:rPr>
          <w:rFonts w:ascii="Verdana" w:hAnsi="Verdana"/>
          <w:sz w:val="20"/>
          <w:szCs w:val="20"/>
          <w:lang w:val="es-ES"/>
        </w:rPr>
        <w:t>La nota de</w:t>
      </w:r>
      <w:r>
        <w:rPr>
          <w:rFonts w:ascii="Verdana" w:hAnsi="Verdana"/>
          <w:sz w:val="20"/>
          <w:szCs w:val="20"/>
          <w:lang w:val="es-ES"/>
        </w:rPr>
        <w:t xml:space="preserve"> la</w:t>
      </w:r>
      <w:r w:rsidRPr="007B0479">
        <w:rPr>
          <w:rFonts w:ascii="Verdana" w:hAnsi="Verdana"/>
          <w:sz w:val="20"/>
          <w:szCs w:val="20"/>
          <w:lang w:val="es-ES"/>
        </w:rPr>
        <w:t xml:space="preserve"> Secretaría de la Corte Interamericana de</w:t>
      </w:r>
      <w:r>
        <w:rPr>
          <w:rFonts w:ascii="Verdana" w:hAnsi="Verdana"/>
          <w:sz w:val="20"/>
          <w:szCs w:val="20"/>
          <w:lang w:val="es-ES"/>
        </w:rPr>
        <w:t xml:space="preserve"> 28 de agosto de 2015, mediante la cual, se </w:t>
      </w:r>
      <w:r>
        <w:rPr>
          <w:rFonts w:ascii="Verdana" w:eastAsia="Times New Roman" w:hAnsi="Verdana"/>
          <w:sz w:val="20"/>
          <w:lang w:val="es-ES" w:eastAsia="es-CR"/>
        </w:rPr>
        <w:t xml:space="preserve">solicitó a los representantes </w:t>
      </w:r>
      <w:r w:rsidR="00D31A31">
        <w:rPr>
          <w:rFonts w:ascii="Verdana" w:eastAsia="Times New Roman" w:hAnsi="Verdana"/>
          <w:sz w:val="20"/>
          <w:lang w:val="es-ES" w:eastAsia="es-CR"/>
        </w:rPr>
        <w:t>que presentaran sus</w:t>
      </w:r>
      <w:r>
        <w:rPr>
          <w:rFonts w:ascii="Verdana" w:eastAsia="Times New Roman" w:hAnsi="Verdana"/>
          <w:sz w:val="20"/>
          <w:lang w:val="es-ES" w:eastAsia="es-CR"/>
        </w:rPr>
        <w:t xml:space="preserve"> observaciones a la información </w:t>
      </w:r>
      <w:r w:rsidR="00D31A31">
        <w:rPr>
          <w:rFonts w:ascii="Verdana" w:eastAsia="Times New Roman" w:hAnsi="Verdana"/>
          <w:sz w:val="20"/>
          <w:lang w:val="es-ES" w:eastAsia="es-CR"/>
        </w:rPr>
        <w:t>enviada</w:t>
      </w:r>
      <w:r>
        <w:rPr>
          <w:rFonts w:ascii="Verdana" w:eastAsia="Times New Roman" w:hAnsi="Verdana"/>
          <w:sz w:val="20"/>
          <w:lang w:val="es-ES" w:eastAsia="es-CR"/>
        </w:rPr>
        <w:t xml:space="preserve"> por el Estado</w:t>
      </w:r>
      <w:r w:rsidRPr="007B0479">
        <w:rPr>
          <w:rFonts w:ascii="Verdana" w:hAnsi="Verdana"/>
          <w:sz w:val="20"/>
          <w:szCs w:val="20"/>
        </w:rPr>
        <w:t>.</w:t>
      </w:r>
    </w:p>
    <w:p w:rsidR="00487301" w:rsidRPr="00487301" w:rsidRDefault="00487301" w:rsidP="00487301">
      <w:pPr>
        <w:pStyle w:val="ListParagraph"/>
        <w:rPr>
          <w:rFonts w:ascii="Verdana" w:hAnsi="Verdana"/>
          <w:sz w:val="20"/>
          <w:szCs w:val="20"/>
        </w:rPr>
      </w:pPr>
    </w:p>
    <w:p w:rsidR="00487301" w:rsidRPr="00321FA6" w:rsidRDefault="00487301" w:rsidP="00321FA6">
      <w:pPr>
        <w:pStyle w:val="ListParagraph"/>
        <w:numPr>
          <w:ilvl w:val="0"/>
          <w:numId w:val="1"/>
        </w:numPr>
        <w:contextualSpacing/>
        <w:jc w:val="both"/>
        <w:rPr>
          <w:rFonts w:ascii="Verdana" w:hAnsi="Verdana"/>
          <w:sz w:val="20"/>
          <w:szCs w:val="20"/>
        </w:rPr>
      </w:pPr>
      <w:r>
        <w:rPr>
          <w:rFonts w:ascii="Verdana" w:hAnsi="Verdana"/>
          <w:sz w:val="20"/>
          <w:szCs w:val="20"/>
        </w:rPr>
        <w:t>El escrito</w:t>
      </w:r>
      <w:r w:rsidRPr="007B0479">
        <w:rPr>
          <w:rFonts w:ascii="Verdana" w:hAnsi="Verdana"/>
          <w:sz w:val="20"/>
          <w:szCs w:val="20"/>
        </w:rPr>
        <w:t xml:space="preserve"> de </w:t>
      </w:r>
      <w:r>
        <w:rPr>
          <w:rFonts w:ascii="Verdana" w:hAnsi="Verdana"/>
          <w:sz w:val="20"/>
          <w:szCs w:val="20"/>
        </w:rPr>
        <w:t>31 de agosto</w:t>
      </w:r>
      <w:r w:rsidR="00A14388">
        <w:rPr>
          <w:rFonts w:ascii="Verdana" w:hAnsi="Verdana"/>
          <w:sz w:val="20"/>
          <w:szCs w:val="20"/>
        </w:rPr>
        <w:t xml:space="preserve"> de 2015</w:t>
      </w:r>
      <w:r>
        <w:rPr>
          <w:rFonts w:ascii="Verdana" w:hAnsi="Verdana"/>
          <w:sz w:val="20"/>
          <w:szCs w:val="20"/>
        </w:rPr>
        <w:t xml:space="preserve">, mediante el cual los representantes enviaron observaciones sobre </w:t>
      </w:r>
      <w:r w:rsidRPr="00321FA6">
        <w:rPr>
          <w:rFonts w:ascii="Verdana" w:hAnsi="Verdana"/>
          <w:sz w:val="20"/>
          <w:szCs w:val="20"/>
        </w:rPr>
        <w:t>la</w:t>
      </w:r>
      <w:r>
        <w:rPr>
          <w:rFonts w:ascii="Verdana" w:hAnsi="Verdana"/>
          <w:sz w:val="20"/>
          <w:szCs w:val="20"/>
        </w:rPr>
        <w:t xml:space="preserve"> alegada confusión en</w:t>
      </w:r>
      <w:r w:rsidRPr="00321FA6">
        <w:rPr>
          <w:rFonts w:ascii="Verdana" w:hAnsi="Verdana"/>
          <w:sz w:val="20"/>
          <w:szCs w:val="20"/>
        </w:rPr>
        <w:t xml:space="preserve"> la práctica de los exámenes de Resistencia por </w:t>
      </w:r>
      <w:proofErr w:type="spellStart"/>
      <w:r w:rsidRPr="00321FA6">
        <w:rPr>
          <w:rFonts w:ascii="Verdana" w:hAnsi="Verdana"/>
          <w:sz w:val="20"/>
          <w:szCs w:val="20"/>
        </w:rPr>
        <w:t>Genotipificación</w:t>
      </w:r>
      <w:proofErr w:type="spellEnd"/>
      <w:r w:rsidRPr="00321FA6">
        <w:rPr>
          <w:rFonts w:ascii="Verdana" w:hAnsi="Verdana"/>
          <w:sz w:val="20"/>
          <w:szCs w:val="20"/>
        </w:rPr>
        <w:t xml:space="preserve"> y Dosificación Seca-Medicamentosa</w:t>
      </w:r>
      <w:r w:rsidR="00A14388">
        <w:rPr>
          <w:rFonts w:ascii="Verdana" w:hAnsi="Verdana"/>
          <w:sz w:val="20"/>
          <w:szCs w:val="20"/>
        </w:rPr>
        <w:t>,</w:t>
      </w:r>
      <w:r w:rsidR="00A427DD">
        <w:rPr>
          <w:rFonts w:ascii="Verdana" w:hAnsi="Verdana"/>
          <w:sz w:val="20"/>
          <w:szCs w:val="20"/>
        </w:rPr>
        <w:t xml:space="preserve"> y </w:t>
      </w:r>
      <w:r w:rsidR="00A14388">
        <w:rPr>
          <w:rFonts w:ascii="Verdana" w:hAnsi="Verdana"/>
          <w:sz w:val="20"/>
          <w:szCs w:val="20"/>
        </w:rPr>
        <w:t xml:space="preserve">sobre </w:t>
      </w:r>
      <w:r w:rsidR="00A427DD">
        <w:rPr>
          <w:rFonts w:ascii="Verdana" w:hAnsi="Verdana"/>
          <w:sz w:val="20"/>
          <w:szCs w:val="20"/>
        </w:rPr>
        <w:t>la alegada falta de información respecto al funcionamiento de la Red Complementaria de Salud</w:t>
      </w:r>
      <w:r w:rsidRPr="00321FA6">
        <w:rPr>
          <w:rFonts w:ascii="Verdana" w:hAnsi="Verdana"/>
          <w:sz w:val="20"/>
          <w:szCs w:val="20"/>
        </w:rPr>
        <w:t>.</w:t>
      </w:r>
    </w:p>
    <w:p w:rsidR="00837425" w:rsidRPr="00487301" w:rsidRDefault="00837425" w:rsidP="00FF4515">
      <w:pPr>
        <w:tabs>
          <w:tab w:val="num" w:pos="709"/>
          <w:tab w:val="left" w:pos="5580"/>
        </w:tabs>
        <w:jc w:val="both"/>
        <w:rPr>
          <w:rFonts w:ascii="Verdana" w:hAnsi="Verdana"/>
          <w:b/>
          <w:sz w:val="20"/>
          <w:szCs w:val="20"/>
        </w:rPr>
      </w:pPr>
    </w:p>
    <w:p w:rsidR="00666028" w:rsidRPr="007B0479" w:rsidRDefault="00666028" w:rsidP="00FF4515">
      <w:pPr>
        <w:tabs>
          <w:tab w:val="num" w:pos="709"/>
          <w:tab w:val="left" w:pos="5580"/>
        </w:tabs>
        <w:jc w:val="both"/>
        <w:rPr>
          <w:rFonts w:ascii="Verdana" w:hAnsi="Verdana"/>
          <w:b/>
          <w:sz w:val="20"/>
          <w:szCs w:val="20"/>
          <w:lang w:val="es-ES"/>
        </w:rPr>
      </w:pPr>
      <w:r w:rsidRPr="007B0479">
        <w:rPr>
          <w:rFonts w:ascii="Verdana" w:hAnsi="Verdana"/>
          <w:b/>
          <w:sz w:val="20"/>
          <w:szCs w:val="20"/>
          <w:lang w:val="es-ES"/>
        </w:rPr>
        <w:t>CONSIDERANDO QUE:</w:t>
      </w:r>
    </w:p>
    <w:p w:rsidR="00FB7021" w:rsidRPr="007B0479" w:rsidRDefault="00FB7021" w:rsidP="00FF4515">
      <w:pPr>
        <w:tabs>
          <w:tab w:val="num" w:pos="709"/>
          <w:tab w:val="left" w:pos="5580"/>
        </w:tabs>
        <w:jc w:val="both"/>
        <w:rPr>
          <w:rFonts w:ascii="Verdana" w:hAnsi="Verdana"/>
          <w:b/>
          <w:sz w:val="20"/>
          <w:szCs w:val="20"/>
          <w:lang w:val="es-ES"/>
        </w:rPr>
      </w:pPr>
    </w:p>
    <w:p w:rsidR="00F53C5A" w:rsidRPr="007B0479" w:rsidRDefault="00F53C5A" w:rsidP="00E90491">
      <w:pPr>
        <w:numPr>
          <w:ilvl w:val="2"/>
          <w:numId w:val="2"/>
        </w:numPr>
        <w:ind w:left="0" w:firstLine="0"/>
        <w:jc w:val="both"/>
        <w:rPr>
          <w:rFonts w:ascii="Verdana" w:hAnsi="Verdana"/>
          <w:sz w:val="20"/>
          <w:szCs w:val="20"/>
          <w:lang w:val="es-ES"/>
        </w:rPr>
      </w:pPr>
      <w:r w:rsidRPr="007B0479">
        <w:rPr>
          <w:rFonts w:ascii="Verdana" w:hAnsi="Verdana"/>
          <w:sz w:val="20"/>
          <w:szCs w:val="20"/>
          <w:lang w:val="es-ES"/>
        </w:rPr>
        <w:t>Ecuador es Estado Parte en la Convención desde el 28 de diciembre de 1977 y reconoció la jurisdicción contenciosa de la Corte el 24 de julio de 1984.</w:t>
      </w:r>
    </w:p>
    <w:p w:rsidR="00F53C5A" w:rsidRPr="007B0479" w:rsidRDefault="00F53C5A" w:rsidP="00F53C5A">
      <w:pPr>
        <w:jc w:val="both"/>
        <w:rPr>
          <w:rFonts w:ascii="Verdana" w:hAnsi="Verdana"/>
          <w:sz w:val="20"/>
          <w:szCs w:val="20"/>
          <w:lang w:val="es-ES"/>
        </w:rPr>
      </w:pPr>
    </w:p>
    <w:p w:rsidR="00BC3E50" w:rsidRPr="007B0479" w:rsidRDefault="00ED1191" w:rsidP="00E90491">
      <w:pPr>
        <w:numPr>
          <w:ilvl w:val="2"/>
          <w:numId w:val="2"/>
        </w:numPr>
        <w:ind w:left="0" w:firstLine="0"/>
        <w:jc w:val="both"/>
        <w:rPr>
          <w:rFonts w:ascii="Verdana" w:hAnsi="Verdana"/>
          <w:sz w:val="20"/>
          <w:szCs w:val="20"/>
        </w:rPr>
      </w:pPr>
      <w:r w:rsidRPr="007B0479">
        <w:rPr>
          <w:rFonts w:ascii="Verdana" w:hAnsi="Verdana"/>
          <w:sz w:val="20"/>
          <w:szCs w:val="20"/>
        </w:rPr>
        <w:t>El artículo 63.2 de la Convención Americana dispone que,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rsidR="00B517F7" w:rsidRPr="007B0479" w:rsidRDefault="00B517F7" w:rsidP="00B517F7">
      <w:pPr>
        <w:jc w:val="both"/>
        <w:rPr>
          <w:rFonts w:ascii="Verdana" w:hAnsi="Verdana"/>
          <w:sz w:val="20"/>
          <w:szCs w:val="20"/>
        </w:rPr>
      </w:pPr>
    </w:p>
    <w:p w:rsidR="00BC3E50" w:rsidRPr="00B068AF" w:rsidRDefault="00ED1191" w:rsidP="00E90491">
      <w:pPr>
        <w:numPr>
          <w:ilvl w:val="2"/>
          <w:numId w:val="2"/>
        </w:numPr>
        <w:ind w:left="0" w:firstLine="0"/>
        <w:jc w:val="both"/>
        <w:rPr>
          <w:rFonts w:ascii="Verdana" w:hAnsi="Verdana"/>
          <w:sz w:val="20"/>
          <w:szCs w:val="20"/>
        </w:rPr>
      </w:pPr>
      <w:r w:rsidRPr="00B068AF">
        <w:rPr>
          <w:rFonts w:ascii="Verdana" w:hAnsi="Verdana"/>
          <w:sz w:val="20"/>
          <w:szCs w:val="20"/>
        </w:rPr>
        <w:t>En los términos del artículo 27 del Reglamento de la Corte</w:t>
      </w:r>
      <w:r w:rsidRPr="00B068AF">
        <w:rPr>
          <w:rStyle w:val="FootnoteReference"/>
          <w:sz w:val="20"/>
          <w:szCs w:val="20"/>
        </w:rPr>
        <w:footnoteReference w:id="1"/>
      </w:r>
      <w:r w:rsidR="00BC3E50" w:rsidRPr="00B068AF">
        <w:rPr>
          <w:rFonts w:ascii="Verdana" w:hAnsi="Verdana"/>
          <w:sz w:val="20"/>
          <w:szCs w:val="20"/>
        </w:rPr>
        <w:t>:</w:t>
      </w:r>
    </w:p>
    <w:p w:rsidR="00F53C5A" w:rsidRPr="007B0479" w:rsidRDefault="00F53C5A" w:rsidP="00F53C5A">
      <w:pPr>
        <w:jc w:val="both"/>
        <w:rPr>
          <w:rFonts w:ascii="Verdana" w:hAnsi="Verdana"/>
          <w:sz w:val="20"/>
          <w:szCs w:val="20"/>
        </w:rPr>
      </w:pPr>
    </w:p>
    <w:p w:rsidR="00BC3E50" w:rsidRDefault="00BC3E50" w:rsidP="00FF4515">
      <w:pPr>
        <w:ind w:left="720" w:right="630"/>
        <w:jc w:val="both"/>
        <w:rPr>
          <w:rFonts w:ascii="Verdana" w:hAnsi="Verdana"/>
          <w:spacing w:val="-2"/>
          <w:sz w:val="16"/>
        </w:rPr>
      </w:pPr>
      <w:r w:rsidRPr="007B0479">
        <w:rPr>
          <w:rFonts w:ascii="Verdana" w:hAnsi="Verdana"/>
          <w:spacing w:val="-2"/>
          <w:sz w:val="16"/>
        </w:rPr>
        <w:t xml:space="preserve">1. </w:t>
      </w:r>
      <w:r w:rsidR="00E4564D" w:rsidRPr="007B0479">
        <w:rPr>
          <w:rFonts w:ascii="Verdana" w:hAnsi="Verdana"/>
          <w:spacing w:val="-2"/>
          <w:sz w:val="16"/>
        </w:rPr>
        <w:tab/>
      </w:r>
      <w:r w:rsidRPr="007B0479">
        <w:rPr>
          <w:rFonts w:ascii="Verdana" w:hAnsi="Verdana"/>
          <w:spacing w:val="-2"/>
          <w:sz w:val="16"/>
        </w:rPr>
        <w:t xml:space="preserve">En cualquier estado del procedimiento, siempre que se trate de casos de extrema gravedad y urgencia y cuando sea necesario para evitar daños irreparables a las personas, la Corte, </w:t>
      </w:r>
      <w:r w:rsidRPr="007B0479">
        <w:rPr>
          <w:rFonts w:ascii="Verdana" w:hAnsi="Verdana"/>
          <w:spacing w:val="-2"/>
          <w:sz w:val="16"/>
        </w:rPr>
        <w:lastRenderedPageBreak/>
        <w:t>de oficio, podrá ordenar las medidas provisionales que considere pertinentes, en los términos del artículo 63.2 de la Convención.</w:t>
      </w:r>
    </w:p>
    <w:p w:rsidR="00B82BD6" w:rsidRPr="007B0479" w:rsidRDefault="00B82BD6" w:rsidP="00FF4515">
      <w:pPr>
        <w:ind w:left="720" w:right="630"/>
        <w:jc w:val="both"/>
        <w:rPr>
          <w:rFonts w:ascii="Verdana" w:hAnsi="Verdana"/>
          <w:spacing w:val="-2"/>
          <w:sz w:val="16"/>
        </w:rPr>
      </w:pPr>
      <w:r>
        <w:rPr>
          <w:rFonts w:ascii="Verdana" w:hAnsi="Verdana"/>
          <w:spacing w:val="-2"/>
          <w:sz w:val="16"/>
        </w:rPr>
        <w:t>[…]</w:t>
      </w:r>
    </w:p>
    <w:p w:rsidR="00B82BD6" w:rsidRDefault="00B82BD6" w:rsidP="00FF4515">
      <w:pPr>
        <w:ind w:left="720" w:right="630"/>
        <w:jc w:val="both"/>
        <w:rPr>
          <w:rFonts w:ascii="Verdana" w:hAnsi="Verdana"/>
          <w:spacing w:val="-2"/>
          <w:sz w:val="16"/>
        </w:rPr>
      </w:pPr>
      <w:r>
        <w:rPr>
          <w:rFonts w:ascii="Verdana" w:hAnsi="Verdana"/>
          <w:spacing w:val="-2"/>
          <w:sz w:val="16"/>
        </w:rPr>
        <w:t>3.</w:t>
      </w:r>
      <w:r>
        <w:rPr>
          <w:rFonts w:ascii="Verdana" w:hAnsi="Verdana"/>
          <w:spacing w:val="-2"/>
          <w:sz w:val="16"/>
        </w:rPr>
        <w:tab/>
        <w:t xml:space="preserve">En los casos contenciosos que ya se encuentren en conocimiento de la Corte, las víctimas o las presuntas víctimas, o sus representantes, podrán presentar directamente a ésta una solicitud de medidas provisionales, las que deberán tener relación con el objeto del caso. </w:t>
      </w:r>
    </w:p>
    <w:p w:rsidR="00822784" w:rsidRPr="00B553FC" w:rsidRDefault="00B82BD6" w:rsidP="00B553FC">
      <w:pPr>
        <w:ind w:left="720" w:right="630"/>
        <w:jc w:val="both"/>
        <w:rPr>
          <w:rStyle w:val="eacep"/>
          <w:rFonts w:ascii="Verdana" w:hAnsi="Verdana"/>
          <w:sz w:val="16"/>
        </w:rPr>
      </w:pPr>
      <w:r>
        <w:rPr>
          <w:rFonts w:ascii="Verdana" w:hAnsi="Verdana"/>
          <w:spacing w:val="-2"/>
          <w:sz w:val="16"/>
        </w:rPr>
        <w:t>[…]</w:t>
      </w:r>
      <w:r w:rsidR="00E4564D" w:rsidRPr="007B0479">
        <w:rPr>
          <w:rFonts w:ascii="Verdana" w:hAnsi="Verdana"/>
          <w:spacing w:val="-2"/>
          <w:sz w:val="16"/>
        </w:rPr>
        <w:tab/>
      </w:r>
    </w:p>
    <w:p w:rsidR="00B517F7" w:rsidRPr="007B0479" w:rsidRDefault="00B517F7" w:rsidP="00B517F7">
      <w:pPr>
        <w:tabs>
          <w:tab w:val="left" w:pos="540"/>
        </w:tabs>
        <w:autoSpaceDE w:val="0"/>
        <w:autoSpaceDN w:val="0"/>
        <w:adjustRightInd w:val="0"/>
        <w:ind w:right="-72"/>
        <w:jc w:val="both"/>
        <w:rPr>
          <w:rFonts w:ascii="Verdana" w:hAnsi="Verdana"/>
          <w:sz w:val="20"/>
          <w:szCs w:val="20"/>
        </w:rPr>
      </w:pPr>
    </w:p>
    <w:p w:rsidR="00B553FC" w:rsidRDefault="00F45D92" w:rsidP="00B553FC">
      <w:pPr>
        <w:numPr>
          <w:ilvl w:val="2"/>
          <w:numId w:val="2"/>
        </w:numPr>
        <w:autoSpaceDE w:val="0"/>
        <w:autoSpaceDN w:val="0"/>
        <w:adjustRightInd w:val="0"/>
        <w:ind w:left="0" w:firstLine="0"/>
        <w:jc w:val="both"/>
        <w:rPr>
          <w:rFonts w:ascii="Verdana" w:hAnsi="Verdana"/>
          <w:sz w:val="20"/>
          <w:szCs w:val="20"/>
          <w:lang w:val="es-ES"/>
        </w:rPr>
      </w:pPr>
      <w:r>
        <w:rPr>
          <w:rFonts w:ascii="Verdana" w:hAnsi="Verdana"/>
          <w:sz w:val="20"/>
          <w:szCs w:val="20"/>
          <w:lang w:val="es-ES"/>
        </w:rPr>
        <w:t>Esta</w:t>
      </w:r>
      <w:r w:rsidR="00B553FC">
        <w:rPr>
          <w:rFonts w:ascii="Verdana" w:hAnsi="Verdana"/>
          <w:sz w:val="20"/>
          <w:szCs w:val="20"/>
          <w:lang w:val="es-ES"/>
        </w:rPr>
        <w:t xml:space="preserve"> solicitud de medidas provisionales ha sido presentada directamente por el representante de </w:t>
      </w:r>
      <w:r w:rsidR="003C4AA7">
        <w:rPr>
          <w:rFonts w:ascii="Verdana" w:hAnsi="Verdana"/>
          <w:sz w:val="20"/>
          <w:szCs w:val="20"/>
          <w:lang w:val="es-ES"/>
        </w:rPr>
        <w:t>Talía</w:t>
      </w:r>
      <w:r w:rsidR="00B553FC">
        <w:rPr>
          <w:rFonts w:ascii="Verdana" w:hAnsi="Verdana"/>
          <w:sz w:val="20"/>
          <w:szCs w:val="20"/>
          <w:lang w:val="es-ES"/>
        </w:rPr>
        <w:t xml:space="preserve"> Gonzales </w:t>
      </w:r>
      <w:proofErr w:type="spellStart"/>
      <w:r w:rsidR="00B553FC">
        <w:rPr>
          <w:rFonts w:ascii="Verdana" w:hAnsi="Verdana"/>
          <w:sz w:val="20"/>
          <w:szCs w:val="20"/>
          <w:lang w:val="es-ES"/>
        </w:rPr>
        <w:t>Lluy</w:t>
      </w:r>
      <w:proofErr w:type="spellEnd"/>
      <w:r w:rsidR="00B553FC">
        <w:rPr>
          <w:rFonts w:ascii="Verdana" w:hAnsi="Verdana"/>
          <w:sz w:val="20"/>
          <w:szCs w:val="20"/>
          <w:lang w:val="es-ES"/>
        </w:rPr>
        <w:t xml:space="preserve"> en un caso que se encuentra en conocimiento de la Corte, por lo cual, la misma se encuentra conforme a lo estipulado en el artículo 27 del Reglamento. Al respecto, este Tribunal recuerda que en casos que se encuentran en su conocimiento, las medidas provisionales pueden ordenarse siempre que en los antecedentes presentados a la Corte se demuestre </w:t>
      </w:r>
      <w:r w:rsidR="00B553FC">
        <w:rPr>
          <w:rFonts w:ascii="Verdana" w:hAnsi="Verdana"/>
          <w:i/>
          <w:sz w:val="20"/>
          <w:szCs w:val="20"/>
          <w:lang w:val="es-ES"/>
        </w:rPr>
        <w:t>prima facie</w:t>
      </w:r>
      <w:r w:rsidR="00B553FC">
        <w:rPr>
          <w:rFonts w:ascii="Verdana" w:hAnsi="Verdana"/>
          <w:sz w:val="20"/>
          <w:szCs w:val="20"/>
          <w:lang w:val="es-ES"/>
        </w:rPr>
        <w:t xml:space="preserve"> la configuración de una situación de extrema gravedad y urgencia y la inminencia de daño irreparable a las personas</w:t>
      </w:r>
      <w:r w:rsidR="00B553FC">
        <w:rPr>
          <w:rStyle w:val="FootnoteReference"/>
          <w:szCs w:val="20"/>
          <w:lang w:val="es-ES"/>
        </w:rPr>
        <w:footnoteReference w:id="2"/>
      </w:r>
      <w:r w:rsidR="00B553FC">
        <w:rPr>
          <w:rFonts w:ascii="Verdana" w:hAnsi="Verdana"/>
          <w:sz w:val="20"/>
          <w:szCs w:val="20"/>
          <w:lang w:val="es-ES"/>
        </w:rPr>
        <w:t>, y que dicha situación tenga relación directa con los hechos del caso ante la Corte</w:t>
      </w:r>
      <w:r w:rsidR="00B553FC">
        <w:rPr>
          <w:rStyle w:val="FootnoteReference"/>
          <w:szCs w:val="20"/>
          <w:lang w:val="es-ES"/>
        </w:rPr>
        <w:footnoteReference w:id="3"/>
      </w:r>
      <w:r w:rsidR="00B553FC">
        <w:rPr>
          <w:rFonts w:ascii="Verdana" w:hAnsi="Verdana"/>
          <w:sz w:val="20"/>
          <w:szCs w:val="20"/>
          <w:lang w:val="es-ES"/>
        </w:rPr>
        <w:t>.</w:t>
      </w:r>
    </w:p>
    <w:p w:rsidR="00B553FC" w:rsidRDefault="00B553FC" w:rsidP="00B553FC">
      <w:pPr>
        <w:autoSpaceDE w:val="0"/>
        <w:autoSpaceDN w:val="0"/>
        <w:adjustRightInd w:val="0"/>
        <w:jc w:val="both"/>
        <w:rPr>
          <w:rFonts w:ascii="Verdana" w:hAnsi="Verdana"/>
          <w:sz w:val="20"/>
          <w:szCs w:val="20"/>
          <w:lang w:val="es-ES"/>
        </w:rPr>
      </w:pPr>
    </w:p>
    <w:p w:rsidR="00B553FC" w:rsidRPr="007B0479" w:rsidRDefault="00B553FC" w:rsidP="00B553FC">
      <w:pPr>
        <w:numPr>
          <w:ilvl w:val="2"/>
          <w:numId w:val="2"/>
        </w:numPr>
        <w:autoSpaceDE w:val="0"/>
        <w:autoSpaceDN w:val="0"/>
        <w:adjustRightInd w:val="0"/>
        <w:ind w:left="0" w:firstLine="0"/>
        <w:jc w:val="both"/>
        <w:rPr>
          <w:rFonts w:ascii="Verdana" w:hAnsi="Verdana"/>
          <w:sz w:val="20"/>
          <w:szCs w:val="20"/>
          <w:lang w:val="es-ES"/>
        </w:rPr>
      </w:pPr>
      <w:r w:rsidRPr="007B0479">
        <w:rPr>
          <w:rFonts w:ascii="Verdana" w:hAnsi="Verdana"/>
          <w:sz w:val="20"/>
          <w:szCs w:val="20"/>
          <w:lang w:val="es-ES"/>
        </w:rPr>
        <w:t>E</w:t>
      </w:r>
      <w:r>
        <w:rPr>
          <w:rFonts w:ascii="Verdana" w:hAnsi="Verdana"/>
          <w:sz w:val="20"/>
          <w:szCs w:val="20"/>
          <w:lang w:val="es-ES"/>
        </w:rPr>
        <w:t xml:space="preserve">n </w:t>
      </w:r>
      <w:r w:rsidRPr="007B0479">
        <w:rPr>
          <w:rFonts w:ascii="Verdana" w:hAnsi="Verdana"/>
          <w:sz w:val="20"/>
          <w:szCs w:val="20"/>
          <w:lang w:val="es-ES"/>
        </w:rPr>
        <w:t xml:space="preserve">el </w:t>
      </w:r>
      <w:r w:rsidRPr="007B0479">
        <w:rPr>
          <w:rFonts w:ascii="Verdana" w:hAnsi="Verdana"/>
          <w:sz w:val="20"/>
        </w:rPr>
        <w:t>Derecho Internacional de los Derechos Humanos las medidas provisionales tienen un carácter no sólo cautelar, en el sentido de que preservan una situación jurídica, sino fundamentalmente tutelar, por cuanto protegen derechos humanos, en la medida en que buscan evitar daños irreparables a las personas</w:t>
      </w:r>
      <w:r w:rsidRPr="007B0479">
        <w:rPr>
          <w:rStyle w:val="FootnoteReference"/>
          <w:sz w:val="20"/>
        </w:rPr>
        <w:footnoteReference w:id="4"/>
      </w:r>
      <w:r w:rsidRPr="007B0479">
        <w:rPr>
          <w:rFonts w:ascii="Verdana" w:hAnsi="Verdana"/>
          <w:sz w:val="20"/>
        </w:rPr>
        <w:t xml:space="preserve">. </w:t>
      </w:r>
      <w:r w:rsidRPr="00256326">
        <w:rPr>
          <w:rFonts w:ascii="Verdana" w:hAnsi="Verdana"/>
          <w:sz w:val="20"/>
        </w:rPr>
        <w:t>E</w:t>
      </w:r>
      <w:r w:rsidRPr="00256326">
        <w:rPr>
          <w:rFonts w:ascii="Verdana" w:hAnsi="Verdana"/>
          <w:sz w:val="20"/>
          <w:szCs w:val="20"/>
          <w:lang w:val="es-ES"/>
        </w:rPr>
        <w:t>l carácter cautelar de las medidas provisionales está vinculado al marco de los contenciosos internacionales. En tal sentido, estas medidas tienen por objeto y fin preservar los derechos en posible riesgo hasta tanto no se resuelva la controversia. Su objeto y fin son los de asegurar la integridad y la efectividad de la decisión de fondo, y de esta manera evitar que se lesionen los derechos en litigio, situación que podría hacer inocua o desvirtuar el efecto útil de la decisión final. Las medidas provisionales permiten así que el Estado en cuestión pueda cumplir la decisión final y, en su caso, proceder a las reparaciones ordenadas</w:t>
      </w:r>
      <w:r w:rsidRPr="00256326">
        <w:rPr>
          <w:rStyle w:val="FootnoteReference"/>
          <w:sz w:val="20"/>
          <w:szCs w:val="20"/>
          <w:lang w:val="es-ES"/>
        </w:rPr>
        <w:footnoteReference w:id="5"/>
      </w:r>
      <w:r w:rsidRPr="00256326">
        <w:rPr>
          <w:rFonts w:ascii="Verdana" w:hAnsi="Verdana"/>
          <w:sz w:val="20"/>
          <w:szCs w:val="20"/>
          <w:lang w:val="es-ES"/>
        </w:rPr>
        <w:t>. En cuanto al carácter tutelar, esta Corte ha señalado que, siempre y cuando se reúnan los requisitos básicos, las medidas provisionales se transforman en una verdadera garantía jurisdiccional de carácter preventivo, por cuanto protegen derechos humanos, en la medida en que buscan evitar daños irreparables a las personas</w:t>
      </w:r>
      <w:r w:rsidRPr="00256326">
        <w:rPr>
          <w:rStyle w:val="FootnoteReference"/>
          <w:sz w:val="20"/>
          <w:szCs w:val="20"/>
        </w:rPr>
        <w:footnoteReference w:id="6"/>
      </w:r>
      <w:r w:rsidRPr="00256326">
        <w:rPr>
          <w:rFonts w:ascii="Verdana" w:hAnsi="Verdana"/>
          <w:sz w:val="20"/>
          <w:szCs w:val="20"/>
          <w:lang w:val="es-ES"/>
        </w:rPr>
        <w:t xml:space="preserve">. </w:t>
      </w:r>
    </w:p>
    <w:p w:rsidR="00B553FC" w:rsidRPr="007B0479" w:rsidRDefault="00B553FC" w:rsidP="00B553FC">
      <w:pPr>
        <w:autoSpaceDE w:val="0"/>
        <w:autoSpaceDN w:val="0"/>
        <w:adjustRightInd w:val="0"/>
        <w:jc w:val="both"/>
        <w:rPr>
          <w:rFonts w:ascii="Verdana" w:hAnsi="Verdana"/>
          <w:sz w:val="20"/>
          <w:szCs w:val="20"/>
          <w:lang w:val="es-ES"/>
        </w:rPr>
      </w:pPr>
    </w:p>
    <w:p w:rsidR="00B553FC" w:rsidRPr="00256326" w:rsidRDefault="00B553FC" w:rsidP="00B553FC">
      <w:pPr>
        <w:numPr>
          <w:ilvl w:val="2"/>
          <w:numId w:val="2"/>
        </w:numPr>
        <w:ind w:left="0" w:right="-72" w:firstLine="0"/>
        <w:jc w:val="both"/>
        <w:rPr>
          <w:rFonts w:ascii="Verdana" w:hAnsi="Verdana"/>
          <w:sz w:val="20"/>
          <w:szCs w:val="20"/>
        </w:rPr>
      </w:pPr>
      <w:r w:rsidRPr="00256326">
        <w:rPr>
          <w:rFonts w:ascii="Verdana" w:hAnsi="Verdana"/>
          <w:sz w:val="20"/>
          <w:szCs w:val="20"/>
        </w:rPr>
        <w:t xml:space="preserve">Las tres condiciones exigidas por el artículo 63.2 de la Convención para que la Corte pueda disponer de medidas provisionales deben concurrir en toda situación en la que se </w:t>
      </w:r>
      <w:r w:rsidRPr="00256326">
        <w:rPr>
          <w:rFonts w:ascii="Verdana" w:hAnsi="Verdana"/>
          <w:sz w:val="20"/>
          <w:szCs w:val="20"/>
        </w:rPr>
        <w:lastRenderedPageBreak/>
        <w:t>soliciten</w:t>
      </w:r>
      <w:r w:rsidRPr="00256326">
        <w:rPr>
          <w:rStyle w:val="FootnoteReference"/>
          <w:sz w:val="20"/>
          <w:szCs w:val="20"/>
        </w:rPr>
        <w:footnoteReference w:id="7"/>
      </w:r>
      <w:r w:rsidRPr="00256326">
        <w:rPr>
          <w:rFonts w:ascii="Verdana" w:hAnsi="Verdana"/>
          <w:sz w:val="20"/>
          <w:szCs w:val="20"/>
        </w:rPr>
        <w:t>. E</w:t>
      </w:r>
      <w:r w:rsidRPr="00256326">
        <w:rPr>
          <w:rFonts w:ascii="Verdana" w:hAnsi="Verdana"/>
          <w:bCs/>
          <w:sz w:val="20"/>
          <w:szCs w:val="20"/>
          <w:lang w:val="es-MX"/>
        </w:rPr>
        <w:t>n razón de su competencia, en el marco de medidas provisionales corresponde a la Corte considerar única y estrictamente aquellos argumentos que se relacionan directamente con la extrema gravedad, urgencia y la necesidad de evitar daños irreparables a personas. Cualquier otro hecho o argumento sólo puede ser analizado y resuelto durante la consideración del fondo de un caso contencioso</w:t>
      </w:r>
      <w:r w:rsidRPr="00256326">
        <w:rPr>
          <w:rStyle w:val="FootnoteReference"/>
          <w:bCs/>
          <w:sz w:val="20"/>
          <w:szCs w:val="20"/>
          <w:lang w:val="es-MX"/>
        </w:rPr>
        <w:footnoteReference w:id="8"/>
      </w:r>
      <w:r w:rsidRPr="00256326">
        <w:rPr>
          <w:rFonts w:ascii="Verdana" w:hAnsi="Verdana"/>
          <w:bCs/>
          <w:sz w:val="20"/>
          <w:szCs w:val="20"/>
          <w:lang w:val="es-MX"/>
        </w:rPr>
        <w:t>.</w:t>
      </w:r>
      <w:bookmarkStart w:id="3" w:name="_Ref234930684"/>
      <w:r w:rsidRPr="00256326">
        <w:rPr>
          <w:rFonts w:ascii="Verdana" w:hAnsi="Verdana"/>
          <w:bCs/>
          <w:sz w:val="20"/>
          <w:szCs w:val="20"/>
          <w:lang w:val="es-MX"/>
        </w:rPr>
        <w:t xml:space="preserve"> </w:t>
      </w:r>
      <w:bookmarkEnd w:id="3"/>
    </w:p>
    <w:p w:rsidR="00B553FC" w:rsidRPr="007B0479" w:rsidRDefault="00B553FC" w:rsidP="00B553FC">
      <w:pPr>
        <w:ind w:right="-72"/>
        <w:jc w:val="both"/>
        <w:rPr>
          <w:rFonts w:ascii="Verdana" w:hAnsi="Verdana"/>
          <w:sz w:val="20"/>
          <w:szCs w:val="20"/>
        </w:rPr>
      </w:pPr>
    </w:p>
    <w:p w:rsidR="00672DF9" w:rsidRPr="00B553FC" w:rsidRDefault="00B553FC" w:rsidP="00B553FC">
      <w:pPr>
        <w:numPr>
          <w:ilvl w:val="2"/>
          <w:numId w:val="2"/>
        </w:numPr>
        <w:tabs>
          <w:tab w:val="left" w:pos="540"/>
        </w:tabs>
        <w:autoSpaceDE w:val="0"/>
        <w:autoSpaceDN w:val="0"/>
        <w:adjustRightInd w:val="0"/>
        <w:ind w:left="0" w:right="-72" w:firstLine="0"/>
        <w:jc w:val="both"/>
        <w:rPr>
          <w:rFonts w:ascii="Verdana" w:hAnsi="Verdana"/>
          <w:sz w:val="20"/>
          <w:szCs w:val="20"/>
          <w:u w:val="single"/>
          <w:lang w:val="es-ES"/>
        </w:rPr>
      </w:pPr>
      <w:r w:rsidRPr="00256326">
        <w:rPr>
          <w:rFonts w:ascii="Verdana" w:hAnsi="Verdana"/>
          <w:sz w:val="20"/>
          <w:szCs w:val="20"/>
        </w:rPr>
        <w:t>En lo que se refiere al requisito de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256326">
        <w:rPr>
          <w:rStyle w:val="FootnoteReference"/>
          <w:sz w:val="20"/>
          <w:szCs w:val="20"/>
        </w:rPr>
        <w:footnoteReference w:id="9"/>
      </w:r>
      <w:r w:rsidRPr="00256326">
        <w:rPr>
          <w:rStyle w:val="eacep"/>
          <w:rFonts w:ascii="Verdana" w:hAnsi="Verdana"/>
          <w:sz w:val="20"/>
          <w:szCs w:val="20"/>
        </w:rPr>
        <w:t>.</w:t>
      </w:r>
    </w:p>
    <w:p w:rsidR="00DB2664" w:rsidRDefault="00DB2664" w:rsidP="00DB2664">
      <w:pPr>
        <w:pStyle w:val="ListParagraph"/>
        <w:rPr>
          <w:rFonts w:ascii="Verdana" w:hAnsi="Verdana"/>
          <w:sz w:val="20"/>
          <w:szCs w:val="20"/>
          <w:u w:val="single"/>
          <w:lang w:val="es-ES"/>
        </w:rPr>
      </w:pPr>
    </w:p>
    <w:p w:rsidR="007C5CE2" w:rsidRPr="007C5CE2" w:rsidRDefault="00DB2664" w:rsidP="00E90491">
      <w:pPr>
        <w:numPr>
          <w:ilvl w:val="2"/>
          <w:numId w:val="2"/>
        </w:numPr>
        <w:tabs>
          <w:tab w:val="left" w:pos="540"/>
        </w:tabs>
        <w:autoSpaceDE w:val="0"/>
        <w:autoSpaceDN w:val="0"/>
        <w:adjustRightInd w:val="0"/>
        <w:ind w:left="0" w:right="-72" w:firstLine="0"/>
        <w:jc w:val="both"/>
        <w:rPr>
          <w:rFonts w:ascii="Verdana" w:hAnsi="Verdana"/>
          <w:sz w:val="20"/>
          <w:szCs w:val="20"/>
          <w:u w:val="single"/>
          <w:lang w:val="es-ES"/>
        </w:rPr>
      </w:pPr>
      <w:r>
        <w:rPr>
          <w:rFonts w:ascii="Verdana" w:hAnsi="Verdana"/>
          <w:sz w:val="20"/>
          <w:szCs w:val="20"/>
          <w:lang w:val="es-ES"/>
        </w:rPr>
        <w:t xml:space="preserve">El </w:t>
      </w:r>
      <w:r>
        <w:rPr>
          <w:rFonts w:ascii="Verdana" w:hAnsi="Verdana"/>
          <w:b/>
          <w:i/>
          <w:sz w:val="20"/>
          <w:szCs w:val="20"/>
          <w:lang w:val="es-ES"/>
        </w:rPr>
        <w:t>representante</w:t>
      </w:r>
      <w:r>
        <w:rPr>
          <w:rFonts w:ascii="Verdana" w:hAnsi="Verdana"/>
          <w:sz w:val="20"/>
          <w:szCs w:val="20"/>
          <w:lang w:val="es-ES"/>
        </w:rPr>
        <w:t xml:space="preserve"> </w:t>
      </w:r>
      <w:r w:rsidR="007C5CE2">
        <w:rPr>
          <w:rFonts w:ascii="Verdana" w:hAnsi="Verdana"/>
          <w:sz w:val="20"/>
          <w:szCs w:val="20"/>
          <w:lang w:val="es-ES"/>
        </w:rPr>
        <w:t xml:space="preserve">solicitó a la Corte que ordenara al Estado la adopción de medidas provisionales para asegurar la atención inmediata en salud de </w:t>
      </w:r>
      <w:r w:rsidR="003C4AA7">
        <w:rPr>
          <w:rFonts w:ascii="Verdana" w:hAnsi="Verdana"/>
          <w:sz w:val="20"/>
          <w:szCs w:val="20"/>
          <w:lang w:val="es-ES"/>
        </w:rPr>
        <w:t>Talía</w:t>
      </w:r>
      <w:r w:rsidR="007C5CE2">
        <w:rPr>
          <w:rFonts w:ascii="Verdana" w:hAnsi="Verdana"/>
          <w:sz w:val="20"/>
          <w:szCs w:val="20"/>
          <w:lang w:val="es-ES"/>
        </w:rPr>
        <w:t xml:space="preserve"> Gonzales </w:t>
      </w:r>
      <w:proofErr w:type="spellStart"/>
      <w:r w:rsidR="007C5CE2">
        <w:rPr>
          <w:rFonts w:ascii="Verdana" w:hAnsi="Verdana"/>
          <w:sz w:val="20"/>
          <w:szCs w:val="20"/>
          <w:lang w:val="es-ES"/>
        </w:rPr>
        <w:t>Lluy</w:t>
      </w:r>
      <w:proofErr w:type="spellEnd"/>
      <w:r w:rsidR="007C5CE2">
        <w:rPr>
          <w:rFonts w:ascii="Verdana" w:hAnsi="Verdana"/>
          <w:sz w:val="20"/>
          <w:szCs w:val="20"/>
          <w:lang w:val="es-ES"/>
        </w:rPr>
        <w:t xml:space="preserve">, incluyendo la posibilidad de acudir a servicios privados y de contar con la medicina que se adecúe para su salud, debido a que su condición se habría agravado. En este sentido, alegó que cuando una persona con VIH, como </w:t>
      </w:r>
      <w:r w:rsidR="003C4AA7">
        <w:rPr>
          <w:rFonts w:ascii="Verdana" w:hAnsi="Verdana"/>
          <w:sz w:val="20"/>
          <w:szCs w:val="20"/>
          <w:lang w:val="es-ES"/>
        </w:rPr>
        <w:t>Talía</w:t>
      </w:r>
      <w:r w:rsidR="007C5CE2">
        <w:rPr>
          <w:rFonts w:ascii="Verdana" w:hAnsi="Verdana"/>
          <w:sz w:val="20"/>
          <w:szCs w:val="20"/>
          <w:lang w:val="es-ES"/>
        </w:rPr>
        <w:t xml:space="preserve">, no recibe medicinas o éstas son inadecuadas, las células CD4 que colaboran en la respuesta inmunológica “bajan considerablemente y las defensas disminuyen al punto de que una persona puede morir con cualquier infección”. </w:t>
      </w:r>
      <w:r w:rsidR="007C5CE2">
        <w:rPr>
          <w:rFonts w:ascii="Verdana" w:hAnsi="Verdana"/>
          <w:sz w:val="20"/>
          <w:szCs w:val="20"/>
        </w:rPr>
        <w:t xml:space="preserve">Señaló que el recuento normal de estas células es alrededor de 500 a 1500 células por mililitro cúbico de sangre, y que “[e]n ausencia de un tratamiento [contra el] VIH, el recuento de células CD4 disminuye aproximadamente, un promedio de 50 a 100 células por año. Si […] disminuye por debajo de 200 células […] pueden presentarse enfermedades relacionadas con el </w:t>
      </w:r>
      <w:proofErr w:type="gramStart"/>
      <w:r w:rsidR="007C5CE2">
        <w:rPr>
          <w:rFonts w:ascii="Verdana" w:hAnsi="Verdana"/>
          <w:sz w:val="20"/>
          <w:szCs w:val="20"/>
        </w:rPr>
        <w:t>SIDA[</w:t>
      </w:r>
      <w:proofErr w:type="gramEnd"/>
      <w:r w:rsidR="007C5CE2">
        <w:rPr>
          <w:rFonts w:ascii="Verdana" w:hAnsi="Verdana"/>
          <w:sz w:val="20"/>
          <w:szCs w:val="20"/>
        </w:rPr>
        <w:t xml:space="preserve">; y] si el recuento disminuye a menos de 100 [o] 50 células, pueden aparecer muchas otras infecciones”. </w:t>
      </w:r>
    </w:p>
    <w:p w:rsidR="007C5CE2" w:rsidRDefault="007C5CE2" w:rsidP="007C5CE2">
      <w:pPr>
        <w:pStyle w:val="ListParagraph"/>
        <w:rPr>
          <w:rFonts w:ascii="Verdana" w:hAnsi="Verdana"/>
          <w:sz w:val="20"/>
          <w:szCs w:val="20"/>
          <w:lang w:val="es-ES"/>
        </w:rPr>
      </w:pPr>
    </w:p>
    <w:p w:rsidR="001E6825" w:rsidRPr="001E6825" w:rsidRDefault="007C5CE2" w:rsidP="001E6825">
      <w:pPr>
        <w:numPr>
          <w:ilvl w:val="2"/>
          <w:numId w:val="2"/>
        </w:numPr>
        <w:tabs>
          <w:tab w:val="left" w:pos="540"/>
        </w:tabs>
        <w:autoSpaceDE w:val="0"/>
        <w:autoSpaceDN w:val="0"/>
        <w:adjustRightInd w:val="0"/>
        <w:ind w:left="0" w:right="-72" w:firstLine="0"/>
        <w:jc w:val="both"/>
        <w:rPr>
          <w:rFonts w:ascii="Verdana" w:hAnsi="Verdana"/>
          <w:sz w:val="20"/>
          <w:szCs w:val="20"/>
          <w:u w:val="single"/>
          <w:lang w:val="es-ES"/>
        </w:rPr>
      </w:pPr>
      <w:r>
        <w:rPr>
          <w:rFonts w:ascii="Verdana" w:hAnsi="Verdana"/>
          <w:sz w:val="20"/>
          <w:szCs w:val="20"/>
          <w:lang w:val="es-ES"/>
        </w:rPr>
        <w:t xml:space="preserve"> </w:t>
      </w:r>
      <w:r w:rsidR="0060050D">
        <w:rPr>
          <w:rFonts w:ascii="Verdana" w:hAnsi="Verdana"/>
          <w:sz w:val="20"/>
          <w:szCs w:val="20"/>
          <w:lang w:val="es-ES"/>
        </w:rPr>
        <w:t xml:space="preserve">Según el representante, </w:t>
      </w:r>
      <w:r w:rsidR="0060050D">
        <w:rPr>
          <w:rFonts w:ascii="Verdana" w:hAnsi="Verdana"/>
          <w:sz w:val="20"/>
          <w:szCs w:val="20"/>
        </w:rPr>
        <w:t xml:space="preserve">antes de que </w:t>
      </w:r>
      <w:r w:rsidR="003C4AA7">
        <w:rPr>
          <w:rFonts w:ascii="Verdana" w:hAnsi="Verdana"/>
          <w:sz w:val="20"/>
          <w:szCs w:val="20"/>
        </w:rPr>
        <w:t>Talía</w:t>
      </w:r>
      <w:r w:rsidR="0060050D">
        <w:rPr>
          <w:rFonts w:ascii="Verdana" w:hAnsi="Verdana"/>
          <w:sz w:val="20"/>
          <w:szCs w:val="20"/>
        </w:rPr>
        <w:t xml:space="preserve"> Gonzales </w:t>
      </w:r>
      <w:proofErr w:type="spellStart"/>
      <w:r w:rsidR="0060050D">
        <w:rPr>
          <w:rFonts w:ascii="Verdana" w:hAnsi="Verdana"/>
          <w:sz w:val="20"/>
          <w:szCs w:val="20"/>
        </w:rPr>
        <w:t>Lluy</w:t>
      </w:r>
      <w:proofErr w:type="spellEnd"/>
      <w:r w:rsidR="0060050D">
        <w:rPr>
          <w:rFonts w:ascii="Verdana" w:hAnsi="Verdana"/>
          <w:sz w:val="20"/>
          <w:szCs w:val="20"/>
        </w:rPr>
        <w:t xml:space="preserve"> recibiera la medicina por parte de un hospital público su conteo de células CD4 se encontraba en 518</w:t>
      </w:r>
      <w:r w:rsidR="0060050D">
        <w:rPr>
          <w:rStyle w:val="FootnoteReference"/>
        </w:rPr>
        <w:footnoteReference w:id="10"/>
      </w:r>
      <w:r w:rsidR="0060050D">
        <w:rPr>
          <w:rFonts w:ascii="Verdana" w:hAnsi="Verdana"/>
          <w:sz w:val="20"/>
          <w:szCs w:val="20"/>
        </w:rPr>
        <w:t xml:space="preserve">. Para el 5 de noviembre de 2014, bajo la atención del hospital público de Azogues, “los CD4 de </w:t>
      </w:r>
      <w:r w:rsidR="003C4AA7">
        <w:rPr>
          <w:rFonts w:ascii="Verdana" w:hAnsi="Verdana"/>
          <w:sz w:val="20"/>
          <w:szCs w:val="20"/>
        </w:rPr>
        <w:t>Tal</w:t>
      </w:r>
      <w:r w:rsidR="005F588D">
        <w:rPr>
          <w:rFonts w:ascii="Verdana" w:hAnsi="Verdana"/>
          <w:sz w:val="20"/>
          <w:szCs w:val="20"/>
        </w:rPr>
        <w:t>[</w:t>
      </w:r>
      <w:r w:rsidR="003C4AA7">
        <w:rPr>
          <w:rFonts w:ascii="Verdana" w:hAnsi="Verdana"/>
          <w:sz w:val="20"/>
          <w:szCs w:val="20"/>
        </w:rPr>
        <w:t>í</w:t>
      </w:r>
      <w:r w:rsidR="005F588D">
        <w:rPr>
          <w:rFonts w:ascii="Verdana" w:hAnsi="Verdana"/>
          <w:sz w:val="20"/>
          <w:szCs w:val="20"/>
        </w:rPr>
        <w:t>]</w:t>
      </w:r>
      <w:r w:rsidR="003C4AA7">
        <w:rPr>
          <w:rFonts w:ascii="Verdana" w:hAnsi="Verdana"/>
          <w:sz w:val="20"/>
          <w:szCs w:val="20"/>
        </w:rPr>
        <w:t>a</w:t>
      </w:r>
      <w:r w:rsidR="0060050D">
        <w:rPr>
          <w:rFonts w:ascii="Verdana" w:hAnsi="Verdana"/>
          <w:sz w:val="20"/>
          <w:szCs w:val="20"/>
        </w:rPr>
        <w:t xml:space="preserve"> bajaron a 366”</w:t>
      </w:r>
      <w:r w:rsidR="0060050D">
        <w:rPr>
          <w:rStyle w:val="FootnoteReference"/>
        </w:rPr>
        <w:footnoteReference w:id="11"/>
      </w:r>
      <w:r w:rsidR="0060050D">
        <w:rPr>
          <w:rFonts w:ascii="Verdana" w:hAnsi="Verdana"/>
          <w:sz w:val="20"/>
          <w:szCs w:val="20"/>
        </w:rPr>
        <w:t xml:space="preserve"> lo cual, señaló, fue descrito como normal por el médico tratante del hospital. El 20 de mayo de 2015 las células CD4 de </w:t>
      </w:r>
      <w:r w:rsidR="003C4AA7">
        <w:rPr>
          <w:rFonts w:ascii="Verdana" w:hAnsi="Verdana"/>
          <w:sz w:val="20"/>
          <w:szCs w:val="20"/>
        </w:rPr>
        <w:t>Talía</w:t>
      </w:r>
      <w:r w:rsidR="0060050D">
        <w:rPr>
          <w:rFonts w:ascii="Verdana" w:hAnsi="Verdana"/>
          <w:sz w:val="20"/>
          <w:szCs w:val="20"/>
        </w:rPr>
        <w:t xml:space="preserve"> estaban en 256</w:t>
      </w:r>
      <w:r w:rsidR="0060050D">
        <w:rPr>
          <w:rStyle w:val="FootnoteReference"/>
        </w:rPr>
        <w:footnoteReference w:id="12"/>
      </w:r>
      <w:r w:rsidR="0060050D">
        <w:rPr>
          <w:rFonts w:ascii="Verdana" w:hAnsi="Verdana"/>
          <w:sz w:val="20"/>
          <w:szCs w:val="20"/>
        </w:rPr>
        <w:t xml:space="preserve">, y al consultarle al encargado de salud, éste alegó que “no sabía qué pasó”. El representante manifestó que el 16 de junio de 2015, el médico encargado “entregó la misma medicación que le estaba haciendo daño a </w:t>
      </w:r>
      <w:r w:rsidR="003C4AA7">
        <w:rPr>
          <w:rFonts w:ascii="Verdana" w:hAnsi="Verdana"/>
          <w:sz w:val="20"/>
          <w:szCs w:val="20"/>
        </w:rPr>
        <w:t>Tal</w:t>
      </w:r>
      <w:r w:rsidR="005F588D">
        <w:rPr>
          <w:rFonts w:ascii="Verdana" w:hAnsi="Verdana"/>
          <w:sz w:val="20"/>
          <w:szCs w:val="20"/>
        </w:rPr>
        <w:t>[</w:t>
      </w:r>
      <w:r w:rsidR="003C4AA7">
        <w:rPr>
          <w:rFonts w:ascii="Verdana" w:hAnsi="Verdana"/>
          <w:sz w:val="20"/>
          <w:szCs w:val="20"/>
        </w:rPr>
        <w:t>í</w:t>
      </w:r>
      <w:r w:rsidR="005F588D">
        <w:rPr>
          <w:rFonts w:ascii="Verdana" w:hAnsi="Verdana"/>
          <w:sz w:val="20"/>
          <w:szCs w:val="20"/>
        </w:rPr>
        <w:t>]</w:t>
      </w:r>
      <w:r w:rsidR="003C4AA7">
        <w:rPr>
          <w:rFonts w:ascii="Verdana" w:hAnsi="Verdana"/>
          <w:sz w:val="20"/>
          <w:szCs w:val="20"/>
        </w:rPr>
        <w:t>a</w:t>
      </w:r>
      <w:r w:rsidR="0060050D">
        <w:rPr>
          <w:rFonts w:ascii="Verdana" w:hAnsi="Verdana"/>
          <w:sz w:val="20"/>
          <w:szCs w:val="20"/>
        </w:rPr>
        <w:t>”, sin informarle sobre los resultados de los exámenes de carga viral. El 13 de julio de 2015, el conteo se encontraba en 171</w:t>
      </w:r>
      <w:r w:rsidR="0060050D">
        <w:rPr>
          <w:rStyle w:val="FootnoteReference"/>
        </w:rPr>
        <w:footnoteReference w:id="13"/>
      </w:r>
      <w:r w:rsidR="0060050D">
        <w:rPr>
          <w:rFonts w:ascii="Verdana" w:hAnsi="Verdana"/>
          <w:sz w:val="20"/>
          <w:szCs w:val="20"/>
        </w:rPr>
        <w:t xml:space="preserve">. A raíz de esta situación, el </w:t>
      </w:r>
      <w:r w:rsidR="0060050D">
        <w:rPr>
          <w:rFonts w:ascii="Verdana" w:hAnsi="Verdana"/>
          <w:sz w:val="20"/>
          <w:szCs w:val="20"/>
        </w:rPr>
        <w:lastRenderedPageBreak/>
        <w:t>representante señaló que “</w:t>
      </w:r>
      <w:r w:rsidR="003C4AA7">
        <w:rPr>
          <w:rFonts w:ascii="Verdana" w:hAnsi="Verdana"/>
          <w:sz w:val="20"/>
          <w:szCs w:val="20"/>
        </w:rPr>
        <w:t>Tal</w:t>
      </w:r>
      <w:r w:rsidR="00A25C48">
        <w:rPr>
          <w:rFonts w:ascii="Verdana" w:hAnsi="Verdana"/>
          <w:sz w:val="20"/>
          <w:szCs w:val="20"/>
        </w:rPr>
        <w:t>[</w:t>
      </w:r>
      <w:r w:rsidR="003C4AA7">
        <w:rPr>
          <w:rFonts w:ascii="Verdana" w:hAnsi="Verdana"/>
          <w:sz w:val="20"/>
          <w:szCs w:val="20"/>
        </w:rPr>
        <w:t>í</w:t>
      </w:r>
      <w:r w:rsidR="00A25C48">
        <w:rPr>
          <w:rFonts w:ascii="Verdana" w:hAnsi="Verdana"/>
          <w:sz w:val="20"/>
          <w:szCs w:val="20"/>
        </w:rPr>
        <w:t>]</w:t>
      </w:r>
      <w:r w:rsidR="003C4AA7">
        <w:rPr>
          <w:rFonts w:ascii="Verdana" w:hAnsi="Verdana"/>
          <w:sz w:val="20"/>
          <w:szCs w:val="20"/>
        </w:rPr>
        <w:t>a</w:t>
      </w:r>
      <w:r w:rsidR="0060050D">
        <w:rPr>
          <w:rFonts w:ascii="Verdana" w:hAnsi="Verdana"/>
          <w:sz w:val="20"/>
          <w:szCs w:val="20"/>
        </w:rPr>
        <w:t xml:space="preserve"> [está] muy asustada y temerosa de perder la vida”, y alegó que su salud “se ha deteriorado como si no estuviese tomando </w:t>
      </w:r>
      <w:proofErr w:type="gramStart"/>
      <w:r w:rsidR="0060050D">
        <w:rPr>
          <w:rFonts w:ascii="Verdana" w:hAnsi="Verdana"/>
          <w:sz w:val="20"/>
          <w:szCs w:val="20"/>
        </w:rPr>
        <w:t>medicina[</w:t>
      </w:r>
      <w:proofErr w:type="gramEnd"/>
      <w:r w:rsidR="0060050D">
        <w:rPr>
          <w:rFonts w:ascii="Verdana" w:hAnsi="Verdana"/>
          <w:sz w:val="20"/>
          <w:szCs w:val="20"/>
        </w:rPr>
        <w:t xml:space="preserve">, y] por el número de CD4, por la atención deficiente y por la falta de medidas oportunas para controlar el VIH, </w:t>
      </w:r>
      <w:r w:rsidR="003C4AA7">
        <w:rPr>
          <w:rFonts w:ascii="Verdana" w:hAnsi="Verdana"/>
          <w:sz w:val="20"/>
          <w:szCs w:val="20"/>
        </w:rPr>
        <w:t>Talía</w:t>
      </w:r>
      <w:r w:rsidR="0060050D">
        <w:rPr>
          <w:rFonts w:ascii="Verdana" w:hAnsi="Verdana"/>
          <w:sz w:val="20"/>
          <w:szCs w:val="20"/>
        </w:rPr>
        <w:t xml:space="preserve"> hoy en día puede contraer cualquier enfermedad viral que puede ocasionar una grave, actual e irreparable amenaza a su vida”. </w:t>
      </w:r>
      <w:r w:rsidR="001E6825">
        <w:rPr>
          <w:rFonts w:ascii="Verdana" w:hAnsi="Verdana"/>
          <w:sz w:val="20"/>
          <w:szCs w:val="20"/>
          <w:lang w:val="es-ES"/>
        </w:rPr>
        <w:t xml:space="preserve">El representante indicó que, por iniciativa de la familia, solicitaron una cita con una </w:t>
      </w:r>
      <w:r w:rsidR="00F45D92">
        <w:rPr>
          <w:rFonts w:ascii="Verdana" w:hAnsi="Verdana"/>
          <w:sz w:val="20"/>
          <w:szCs w:val="20"/>
          <w:lang w:val="es-ES"/>
        </w:rPr>
        <w:t>doctora del Hospital Militar de</w:t>
      </w:r>
      <w:r w:rsidR="001E6825">
        <w:rPr>
          <w:rFonts w:ascii="Verdana" w:hAnsi="Verdana"/>
          <w:sz w:val="20"/>
          <w:szCs w:val="20"/>
          <w:lang w:val="es-ES"/>
        </w:rPr>
        <w:t xml:space="preserve"> Quito que había atendido con anterioridad a </w:t>
      </w:r>
      <w:r w:rsidR="003C4AA7">
        <w:rPr>
          <w:rFonts w:ascii="Verdana" w:hAnsi="Verdana"/>
          <w:sz w:val="20"/>
          <w:szCs w:val="20"/>
          <w:lang w:val="es-ES"/>
        </w:rPr>
        <w:t>Talía</w:t>
      </w:r>
      <w:r w:rsidR="001E6825">
        <w:rPr>
          <w:rFonts w:ascii="Verdana" w:hAnsi="Verdana"/>
          <w:sz w:val="20"/>
          <w:szCs w:val="20"/>
          <w:lang w:val="es-ES"/>
        </w:rPr>
        <w:t>, y que la familia “</w:t>
      </w:r>
      <w:r w:rsidR="001E6825">
        <w:rPr>
          <w:rFonts w:ascii="Verdana" w:hAnsi="Verdana"/>
          <w:sz w:val="20"/>
          <w:szCs w:val="20"/>
        </w:rPr>
        <w:t xml:space="preserve">no confía en los servicios públicos ofrecidos [por el Ministerio de Salud Pública, ya que] lo que han logrado es agravar la condición de salud de </w:t>
      </w:r>
      <w:r w:rsidR="003C4AA7">
        <w:rPr>
          <w:rFonts w:ascii="Verdana" w:hAnsi="Verdana"/>
          <w:sz w:val="20"/>
          <w:szCs w:val="20"/>
        </w:rPr>
        <w:t>Talía</w:t>
      </w:r>
      <w:r w:rsidR="001E6825">
        <w:rPr>
          <w:rFonts w:ascii="Verdana" w:hAnsi="Verdana"/>
          <w:sz w:val="20"/>
          <w:szCs w:val="20"/>
        </w:rPr>
        <w:t xml:space="preserve">”. Alegó que la gravedad de la situación se constata en el hecho de que con la atención del Ministerio de Salud las defensas de </w:t>
      </w:r>
      <w:r w:rsidR="003C4AA7">
        <w:rPr>
          <w:rFonts w:ascii="Verdana" w:hAnsi="Verdana"/>
          <w:sz w:val="20"/>
          <w:szCs w:val="20"/>
        </w:rPr>
        <w:t>Talía</w:t>
      </w:r>
      <w:r w:rsidR="001E6825">
        <w:rPr>
          <w:rFonts w:ascii="Verdana" w:hAnsi="Verdana"/>
          <w:sz w:val="20"/>
          <w:szCs w:val="20"/>
        </w:rPr>
        <w:t xml:space="preserve"> han bajado a niveles inaceptables, y que la urgencia se verifica en la necesidad de atención inmediata, “puesto que, actualmente, </w:t>
      </w:r>
      <w:r w:rsidR="003C4AA7">
        <w:rPr>
          <w:rFonts w:ascii="Verdana" w:hAnsi="Verdana"/>
          <w:sz w:val="20"/>
          <w:szCs w:val="20"/>
        </w:rPr>
        <w:t>Talía</w:t>
      </w:r>
      <w:r w:rsidR="001E6825">
        <w:rPr>
          <w:rFonts w:ascii="Verdana" w:hAnsi="Verdana"/>
          <w:sz w:val="20"/>
          <w:szCs w:val="20"/>
        </w:rPr>
        <w:t xml:space="preserve"> puede contraer cualquier </w:t>
      </w:r>
      <w:r w:rsidR="00A25C48">
        <w:rPr>
          <w:rFonts w:ascii="Verdana" w:hAnsi="Verdana"/>
          <w:sz w:val="20"/>
          <w:szCs w:val="20"/>
        </w:rPr>
        <w:t xml:space="preserve">[…] </w:t>
      </w:r>
      <w:r w:rsidR="001E6825">
        <w:rPr>
          <w:rFonts w:ascii="Verdana" w:hAnsi="Verdana"/>
          <w:sz w:val="20"/>
          <w:szCs w:val="20"/>
        </w:rPr>
        <w:t xml:space="preserve">enfermedad </w:t>
      </w:r>
      <w:r w:rsidR="00A25C48">
        <w:rPr>
          <w:rFonts w:ascii="Verdana" w:hAnsi="Verdana"/>
          <w:sz w:val="20"/>
          <w:szCs w:val="20"/>
        </w:rPr>
        <w:t>oportunista  [que le puede]</w:t>
      </w:r>
      <w:r w:rsidR="001E6825">
        <w:rPr>
          <w:rFonts w:ascii="Verdana" w:hAnsi="Verdana"/>
          <w:sz w:val="20"/>
          <w:szCs w:val="20"/>
        </w:rPr>
        <w:t xml:space="preserve"> afectar gravemente su salud física y emocional; [y] el daño irreparable es que […] contraiga SIDA y hasta que pueda morir”. </w:t>
      </w:r>
    </w:p>
    <w:p w:rsidR="001E6825" w:rsidRPr="001E6825" w:rsidRDefault="001E6825" w:rsidP="001E6825">
      <w:pPr>
        <w:tabs>
          <w:tab w:val="left" w:pos="540"/>
        </w:tabs>
        <w:autoSpaceDE w:val="0"/>
        <w:autoSpaceDN w:val="0"/>
        <w:adjustRightInd w:val="0"/>
        <w:ind w:right="-72"/>
        <w:jc w:val="both"/>
        <w:rPr>
          <w:rFonts w:ascii="Verdana" w:hAnsi="Verdana"/>
          <w:sz w:val="20"/>
          <w:szCs w:val="20"/>
          <w:u w:val="single"/>
          <w:lang w:val="es-ES"/>
        </w:rPr>
      </w:pPr>
    </w:p>
    <w:p w:rsidR="001E6825" w:rsidRPr="00A17F04" w:rsidRDefault="001E6825" w:rsidP="001E6825">
      <w:pPr>
        <w:numPr>
          <w:ilvl w:val="2"/>
          <w:numId w:val="2"/>
        </w:numPr>
        <w:tabs>
          <w:tab w:val="left" w:pos="540"/>
        </w:tabs>
        <w:autoSpaceDE w:val="0"/>
        <w:autoSpaceDN w:val="0"/>
        <w:adjustRightInd w:val="0"/>
        <w:ind w:left="0" w:right="-72" w:firstLine="0"/>
        <w:jc w:val="both"/>
        <w:rPr>
          <w:rFonts w:ascii="Verdana" w:hAnsi="Verdana"/>
          <w:sz w:val="20"/>
          <w:szCs w:val="20"/>
          <w:u w:val="single"/>
          <w:lang w:val="es-ES"/>
        </w:rPr>
      </w:pPr>
      <w:r>
        <w:rPr>
          <w:rFonts w:ascii="Verdana" w:hAnsi="Verdana"/>
          <w:sz w:val="20"/>
          <w:szCs w:val="20"/>
        </w:rPr>
        <w:t xml:space="preserve">Por ello, el representante solicitó que la Corte ordene la adopción de las medidas necesarias para que </w:t>
      </w:r>
      <w:r w:rsidR="003C4AA7">
        <w:rPr>
          <w:rFonts w:ascii="Verdana" w:hAnsi="Verdana"/>
          <w:sz w:val="20"/>
          <w:szCs w:val="20"/>
        </w:rPr>
        <w:t>Talía</w:t>
      </w:r>
      <w:r>
        <w:rPr>
          <w:rFonts w:ascii="Verdana" w:hAnsi="Verdana"/>
          <w:sz w:val="20"/>
          <w:szCs w:val="20"/>
        </w:rPr>
        <w:t xml:space="preserve"> tenga la “atención emergente y adecuada, con calidad y calidez, en lugares que sean aceptables para </w:t>
      </w:r>
      <w:r w:rsidR="003C4AA7">
        <w:rPr>
          <w:rFonts w:ascii="Verdana" w:hAnsi="Verdana"/>
          <w:sz w:val="20"/>
          <w:szCs w:val="20"/>
        </w:rPr>
        <w:t>Talía</w:t>
      </w:r>
      <w:r>
        <w:rPr>
          <w:rFonts w:ascii="Verdana" w:hAnsi="Verdana"/>
          <w:sz w:val="20"/>
          <w:szCs w:val="20"/>
        </w:rPr>
        <w:t xml:space="preserve">, que incluya la posibilidad de acudir a servicios privados y de contar con la medicina que se[a] adecuada para su salud”. Además, solicitó que se nombre una comisión de alto nivel, conformada por personas de confianza de </w:t>
      </w:r>
      <w:r w:rsidR="003C4AA7">
        <w:rPr>
          <w:rFonts w:ascii="Verdana" w:hAnsi="Verdana"/>
          <w:sz w:val="20"/>
          <w:szCs w:val="20"/>
        </w:rPr>
        <w:t>Talía</w:t>
      </w:r>
      <w:r>
        <w:rPr>
          <w:rFonts w:ascii="Verdana" w:hAnsi="Verdana"/>
          <w:sz w:val="20"/>
          <w:szCs w:val="20"/>
        </w:rPr>
        <w:t xml:space="preserve">, para que puedan determinar las condiciones necesarias para que su salud se restablezca. Finalmente, solicitó que se disponga que “el Estado corra con todos los gastos erogados para la atención emergente de salud de </w:t>
      </w:r>
      <w:r w:rsidR="003C4AA7">
        <w:rPr>
          <w:rFonts w:ascii="Verdana" w:hAnsi="Verdana"/>
          <w:sz w:val="20"/>
          <w:szCs w:val="20"/>
        </w:rPr>
        <w:t>Talía</w:t>
      </w:r>
      <w:r>
        <w:rPr>
          <w:rFonts w:ascii="Verdana" w:hAnsi="Verdana"/>
          <w:sz w:val="20"/>
          <w:szCs w:val="20"/>
        </w:rPr>
        <w:t xml:space="preserve"> en los lugares y con las personas de confianza de </w:t>
      </w:r>
      <w:r w:rsidR="003C4AA7">
        <w:rPr>
          <w:rFonts w:ascii="Verdana" w:hAnsi="Verdana"/>
          <w:sz w:val="20"/>
          <w:szCs w:val="20"/>
        </w:rPr>
        <w:t>Tal</w:t>
      </w:r>
      <w:r w:rsidR="007B155B">
        <w:rPr>
          <w:rFonts w:ascii="Verdana" w:hAnsi="Verdana"/>
          <w:sz w:val="20"/>
          <w:szCs w:val="20"/>
        </w:rPr>
        <w:t>[</w:t>
      </w:r>
      <w:r w:rsidR="003C4AA7">
        <w:rPr>
          <w:rFonts w:ascii="Verdana" w:hAnsi="Verdana"/>
          <w:sz w:val="20"/>
          <w:szCs w:val="20"/>
        </w:rPr>
        <w:t>í</w:t>
      </w:r>
      <w:r w:rsidR="007B155B">
        <w:rPr>
          <w:rFonts w:ascii="Verdana" w:hAnsi="Verdana"/>
          <w:sz w:val="20"/>
          <w:szCs w:val="20"/>
        </w:rPr>
        <w:t>]</w:t>
      </w:r>
      <w:r w:rsidR="003C4AA7">
        <w:rPr>
          <w:rFonts w:ascii="Verdana" w:hAnsi="Verdana"/>
          <w:sz w:val="20"/>
          <w:szCs w:val="20"/>
        </w:rPr>
        <w:t>a</w:t>
      </w:r>
      <w:r>
        <w:rPr>
          <w:rFonts w:ascii="Verdana" w:hAnsi="Verdana"/>
          <w:sz w:val="20"/>
          <w:szCs w:val="20"/>
        </w:rPr>
        <w:t xml:space="preserve">”, y que se delegue a la Defensoría del Pueblo y al Ministerio de Justicia, Derechos Humanos y Cultos la supervisión del cumplimiento de las medidas que la Corte eventualmente disponga. </w:t>
      </w:r>
    </w:p>
    <w:p w:rsidR="00BE320A" w:rsidRPr="00BE320A" w:rsidRDefault="00BE320A" w:rsidP="00BE320A">
      <w:pPr>
        <w:tabs>
          <w:tab w:val="left" w:pos="540"/>
        </w:tabs>
        <w:autoSpaceDE w:val="0"/>
        <w:autoSpaceDN w:val="0"/>
        <w:adjustRightInd w:val="0"/>
        <w:ind w:right="-72"/>
        <w:jc w:val="both"/>
        <w:rPr>
          <w:rFonts w:ascii="Verdana" w:hAnsi="Verdana"/>
          <w:sz w:val="20"/>
          <w:szCs w:val="20"/>
          <w:lang w:val="es-ES"/>
        </w:rPr>
      </w:pPr>
    </w:p>
    <w:p w:rsidR="001043A7" w:rsidRPr="00B068AF" w:rsidRDefault="00227224" w:rsidP="00E90491">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L</w:t>
      </w:r>
      <w:r w:rsidR="001043A7" w:rsidRPr="007B0479">
        <w:rPr>
          <w:rFonts w:ascii="Verdana" w:hAnsi="Verdana"/>
          <w:sz w:val="20"/>
          <w:szCs w:val="20"/>
          <w:lang w:val="es-ES"/>
        </w:rPr>
        <w:t xml:space="preserve">a </w:t>
      </w:r>
      <w:r w:rsidR="001043A7" w:rsidRPr="00227224">
        <w:rPr>
          <w:rFonts w:ascii="Verdana" w:hAnsi="Verdana"/>
          <w:b/>
          <w:i/>
          <w:sz w:val="20"/>
          <w:szCs w:val="20"/>
          <w:lang w:val="es-ES"/>
        </w:rPr>
        <w:t>Comisión</w:t>
      </w:r>
      <w:r w:rsidR="001043A7" w:rsidRPr="007B0479">
        <w:rPr>
          <w:rFonts w:ascii="Verdana" w:hAnsi="Verdana"/>
          <w:sz w:val="20"/>
          <w:szCs w:val="20"/>
          <w:lang w:val="es-ES"/>
        </w:rPr>
        <w:t xml:space="preserve"> </w:t>
      </w:r>
      <w:r>
        <w:rPr>
          <w:rFonts w:ascii="Verdana" w:hAnsi="Verdana"/>
          <w:sz w:val="20"/>
          <w:szCs w:val="20"/>
        </w:rPr>
        <w:t>“</w:t>
      </w:r>
      <w:proofErr w:type="spellStart"/>
      <w:r>
        <w:rPr>
          <w:rFonts w:ascii="Verdana" w:hAnsi="Verdana"/>
          <w:sz w:val="20"/>
          <w:szCs w:val="20"/>
        </w:rPr>
        <w:t>expres</w:t>
      </w:r>
      <w:proofErr w:type="spellEnd"/>
      <w:r>
        <w:rPr>
          <w:rFonts w:ascii="Verdana" w:hAnsi="Verdana"/>
          <w:sz w:val="20"/>
          <w:szCs w:val="20"/>
        </w:rPr>
        <w:t>[</w:t>
      </w:r>
      <w:proofErr w:type="spellStart"/>
      <w:r>
        <w:rPr>
          <w:rFonts w:ascii="Verdana" w:hAnsi="Verdana"/>
          <w:sz w:val="20"/>
          <w:szCs w:val="20"/>
        </w:rPr>
        <w:t>ó</w:t>
      </w:r>
      <w:proofErr w:type="spellEnd"/>
      <w:r>
        <w:rPr>
          <w:rFonts w:ascii="Verdana" w:hAnsi="Verdana"/>
          <w:sz w:val="20"/>
          <w:szCs w:val="20"/>
        </w:rPr>
        <w:t xml:space="preserve">] su profunda preocupación por la información presentada por el representante en cuanto [a] la situación precaria de salud, específicamente la disminución progresiva y acelerada de las defensas de </w:t>
      </w:r>
      <w:r w:rsidR="003C4AA7">
        <w:rPr>
          <w:rFonts w:ascii="Verdana" w:hAnsi="Verdana"/>
          <w:sz w:val="20"/>
          <w:szCs w:val="20"/>
        </w:rPr>
        <w:t>Talía</w:t>
      </w:r>
      <w:r>
        <w:rPr>
          <w:rFonts w:ascii="Verdana" w:hAnsi="Verdana"/>
          <w:sz w:val="20"/>
          <w:szCs w:val="20"/>
        </w:rPr>
        <w:t xml:space="preserve"> […] desde que se encuentra bajo el tratamiento otorgado por el Ministerio de Salud Pública en el marco del cual […] se modificó el tratamiento </w:t>
      </w:r>
      <w:proofErr w:type="spellStart"/>
      <w:r>
        <w:rPr>
          <w:rFonts w:ascii="Verdana" w:hAnsi="Verdana"/>
          <w:sz w:val="20"/>
          <w:szCs w:val="20"/>
        </w:rPr>
        <w:t>antir</w:t>
      </w:r>
      <w:proofErr w:type="spellEnd"/>
      <w:r>
        <w:rPr>
          <w:rFonts w:ascii="Verdana" w:hAnsi="Verdana"/>
          <w:sz w:val="20"/>
          <w:szCs w:val="20"/>
        </w:rPr>
        <w:t>[r]</w:t>
      </w:r>
      <w:proofErr w:type="spellStart"/>
      <w:r>
        <w:rPr>
          <w:rFonts w:ascii="Verdana" w:hAnsi="Verdana"/>
          <w:sz w:val="20"/>
          <w:szCs w:val="20"/>
        </w:rPr>
        <w:t>etroviral</w:t>
      </w:r>
      <w:proofErr w:type="spellEnd"/>
      <w:r>
        <w:rPr>
          <w:rFonts w:ascii="Verdana" w:hAnsi="Verdana"/>
          <w:sz w:val="20"/>
          <w:szCs w:val="20"/>
        </w:rPr>
        <w:t xml:space="preserve"> que durante años había mantenido sus defensas en situación estable”. Asimismo, observó que </w:t>
      </w:r>
      <w:r w:rsidR="003C4AA7">
        <w:rPr>
          <w:rFonts w:ascii="Verdana" w:hAnsi="Verdana"/>
          <w:sz w:val="20"/>
          <w:szCs w:val="20"/>
        </w:rPr>
        <w:t>Talía</w:t>
      </w:r>
      <w:r>
        <w:rPr>
          <w:rFonts w:ascii="Verdana" w:hAnsi="Verdana"/>
          <w:sz w:val="20"/>
          <w:szCs w:val="20"/>
        </w:rPr>
        <w:t xml:space="preserve"> se encuentra en grave riesgo de adquirir la enfermedad del SIDA, por lo que su salud, vida e integridad personal “están seriamente amenazadas”. En virtud de ello, consideró que los requisitos de extrema gravedad, urgencia, y la necesidad de evitar daños irreparables se encuentran satisfechos en el presente caso, y solicitó a la Corte que dicte las medidas para proteger la salud, vida e integridad personal de </w:t>
      </w:r>
      <w:r w:rsidR="003C4AA7">
        <w:rPr>
          <w:rFonts w:ascii="Verdana" w:hAnsi="Verdana"/>
          <w:sz w:val="20"/>
          <w:szCs w:val="20"/>
        </w:rPr>
        <w:t>Talía</w:t>
      </w:r>
      <w:r>
        <w:rPr>
          <w:rFonts w:ascii="Verdana" w:hAnsi="Verdana"/>
          <w:sz w:val="20"/>
          <w:szCs w:val="20"/>
        </w:rPr>
        <w:t xml:space="preserve"> Gonzales </w:t>
      </w:r>
      <w:proofErr w:type="spellStart"/>
      <w:r>
        <w:rPr>
          <w:rFonts w:ascii="Verdana" w:hAnsi="Verdana"/>
          <w:sz w:val="20"/>
          <w:szCs w:val="20"/>
        </w:rPr>
        <w:t>Lluy</w:t>
      </w:r>
      <w:proofErr w:type="spellEnd"/>
      <w:r>
        <w:rPr>
          <w:rFonts w:ascii="Verdana" w:hAnsi="Verdana"/>
          <w:sz w:val="20"/>
          <w:szCs w:val="20"/>
        </w:rPr>
        <w:t xml:space="preserve">. Finalmente, resaltó la importancia de que la Corte “establezca la necesidad de que el Estado provea inmediatamente a la beneficiaria el tratamiento </w:t>
      </w:r>
      <w:proofErr w:type="spellStart"/>
      <w:r>
        <w:rPr>
          <w:rFonts w:ascii="Verdana" w:hAnsi="Verdana"/>
          <w:sz w:val="20"/>
          <w:szCs w:val="20"/>
        </w:rPr>
        <w:t>antir</w:t>
      </w:r>
      <w:proofErr w:type="spellEnd"/>
      <w:r>
        <w:rPr>
          <w:rFonts w:ascii="Verdana" w:hAnsi="Verdana"/>
          <w:sz w:val="20"/>
          <w:szCs w:val="20"/>
        </w:rPr>
        <w:t>[r]</w:t>
      </w:r>
      <w:proofErr w:type="spellStart"/>
      <w:r>
        <w:rPr>
          <w:rFonts w:ascii="Verdana" w:hAnsi="Verdana"/>
          <w:sz w:val="20"/>
          <w:szCs w:val="20"/>
        </w:rPr>
        <w:t>etroviral</w:t>
      </w:r>
      <w:proofErr w:type="spellEnd"/>
      <w:r>
        <w:rPr>
          <w:rFonts w:ascii="Verdana" w:hAnsi="Verdana"/>
          <w:sz w:val="20"/>
          <w:szCs w:val="20"/>
        </w:rPr>
        <w:t xml:space="preserve"> específico que requiere según su situación concreta de salud, a través de los medios públicos o privados que los ofrezcan”. </w:t>
      </w:r>
    </w:p>
    <w:p w:rsidR="00B068AF" w:rsidRPr="00B068AF" w:rsidRDefault="00B068AF" w:rsidP="00B068AF">
      <w:pPr>
        <w:tabs>
          <w:tab w:val="left" w:pos="540"/>
        </w:tabs>
        <w:autoSpaceDE w:val="0"/>
        <w:autoSpaceDN w:val="0"/>
        <w:adjustRightInd w:val="0"/>
        <w:ind w:right="-72"/>
        <w:jc w:val="both"/>
        <w:rPr>
          <w:rFonts w:ascii="Verdana" w:hAnsi="Verdana"/>
          <w:sz w:val="20"/>
          <w:szCs w:val="20"/>
          <w:lang w:val="es-ES"/>
        </w:rPr>
      </w:pPr>
    </w:p>
    <w:p w:rsidR="00B068AF" w:rsidRPr="00A17F04" w:rsidRDefault="00B068AF" w:rsidP="00E90491">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rPr>
        <w:t xml:space="preserve">El </w:t>
      </w:r>
      <w:r>
        <w:rPr>
          <w:rFonts w:ascii="Verdana" w:hAnsi="Verdana"/>
          <w:b/>
          <w:i/>
          <w:sz w:val="20"/>
          <w:szCs w:val="20"/>
        </w:rPr>
        <w:t xml:space="preserve">Estado </w:t>
      </w:r>
      <w:r>
        <w:rPr>
          <w:rFonts w:ascii="Verdana" w:hAnsi="Verdana"/>
          <w:sz w:val="20"/>
          <w:szCs w:val="20"/>
        </w:rPr>
        <w:t xml:space="preserve">señaló que el esquema de medicamentos </w:t>
      </w:r>
      <w:r w:rsidR="00415CA1">
        <w:rPr>
          <w:rFonts w:ascii="Verdana" w:hAnsi="Verdana"/>
          <w:sz w:val="20"/>
          <w:szCs w:val="20"/>
        </w:rPr>
        <w:t xml:space="preserve">de </w:t>
      </w:r>
      <w:r w:rsidR="003C4AA7">
        <w:rPr>
          <w:rFonts w:ascii="Verdana" w:hAnsi="Verdana"/>
          <w:sz w:val="20"/>
          <w:szCs w:val="20"/>
        </w:rPr>
        <w:t>Talía</w:t>
      </w:r>
      <w:r w:rsidR="00A17F04">
        <w:rPr>
          <w:rFonts w:ascii="Verdana" w:hAnsi="Verdana"/>
          <w:sz w:val="20"/>
          <w:szCs w:val="20"/>
        </w:rPr>
        <w:t xml:space="preserve"> Gonzales </w:t>
      </w:r>
      <w:proofErr w:type="spellStart"/>
      <w:r w:rsidR="00A17F04">
        <w:rPr>
          <w:rFonts w:ascii="Verdana" w:hAnsi="Verdana"/>
          <w:sz w:val="20"/>
          <w:szCs w:val="20"/>
        </w:rPr>
        <w:t>Lluy</w:t>
      </w:r>
      <w:proofErr w:type="spellEnd"/>
      <w:r w:rsidR="00415CA1">
        <w:rPr>
          <w:rFonts w:ascii="Verdana" w:hAnsi="Verdana"/>
          <w:sz w:val="20"/>
          <w:szCs w:val="20"/>
        </w:rPr>
        <w:t xml:space="preserve"> es “de primera línea” y adecuado</w:t>
      </w:r>
      <w:r w:rsidR="00051C01">
        <w:rPr>
          <w:rFonts w:ascii="Verdana" w:hAnsi="Verdana"/>
          <w:sz w:val="20"/>
          <w:szCs w:val="20"/>
        </w:rPr>
        <w:t>,</w:t>
      </w:r>
      <w:r w:rsidR="00415CA1">
        <w:rPr>
          <w:rFonts w:ascii="Verdana" w:hAnsi="Verdana"/>
          <w:sz w:val="20"/>
          <w:szCs w:val="20"/>
        </w:rPr>
        <w:t xml:space="preserve"> </w:t>
      </w:r>
      <w:r w:rsidR="001E6825">
        <w:rPr>
          <w:rFonts w:ascii="Verdana" w:hAnsi="Verdana"/>
          <w:sz w:val="20"/>
          <w:szCs w:val="20"/>
        </w:rPr>
        <w:t>conforme a la normativa internacional. Indicó que</w:t>
      </w:r>
      <w:r w:rsidR="00A17F04">
        <w:rPr>
          <w:rFonts w:ascii="Verdana" w:hAnsi="Verdana"/>
          <w:sz w:val="20"/>
          <w:szCs w:val="20"/>
        </w:rPr>
        <w:t xml:space="preserve"> la afectación en el cuadro clínico de </w:t>
      </w:r>
      <w:r w:rsidR="003C4AA7">
        <w:rPr>
          <w:rFonts w:ascii="Verdana" w:hAnsi="Verdana"/>
          <w:sz w:val="20"/>
          <w:szCs w:val="20"/>
        </w:rPr>
        <w:t>Talía</w:t>
      </w:r>
      <w:r w:rsidR="00A17F04">
        <w:rPr>
          <w:rFonts w:ascii="Verdana" w:hAnsi="Verdana"/>
          <w:sz w:val="20"/>
          <w:szCs w:val="20"/>
        </w:rPr>
        <w:t xml:space="preserve"> puede corregirse con su cooperación terapéutica y con las medidas que el Estado promueve de respuestas concretas de medicación, monitoreo y asistencia. Sin perjuicio de ello, resaltó la necesidad de que </w:t>
      </w:r>
      <w:r w:rsidR="003C4AA7">
        <w:rPr>
          <w:rFonts w:ascii="Verdana" w:hAnsi="Verdana"/>
          <w:sz w:val="20"/>
          <w:szCs w:val="20"/>
        </w:rPr>
        <w:t>Talía</w:t>
      </w:r>
      <w:r w:rsidR="00A17F04">
        <w:rPr>
          <w:rFonts w:ascii="Verdana" w:hAnsi="Verdana"/>
          <w:sz w:val="20"/>
          <w:szCs w:val="20"/>
        </w:rPr>
        <w:t xml:space="preserve"> se practicara el examen de Resistencia por </w:t>
      </w:r>
      <w:proofErr w:type="spellStart"/>
      <w:r w:rsidR="00A17F04">
        <w:rPr>
          <w:rFonts w:ascii="Verdana" w:hAnsi="Verdana"/>
          <w:sz w:val="20"/>
          <w:szCs w:val="20"/>
        </w:rPr>
        <w:t>Genotipificación</w:t>
      </w:r>
      <w:proofErr w:type="spellEnd"/>
      <w:r w:rsidR="00A17F04">
        <w:rPr>
          <w:rFonts w:ascii="Verdana" w:hAnsi="Verdana"/>
          <w:sz w:val="20"/>
          <w:szCs w:val="20"/>
        </w:rPr>
        <w:t xml:space="preserve"> y Dosificación Seca-Medicamentosa, para descartar la posibilidad de que existiera</w:t>
      </w:r>
      <w:r w:rsidR="00561AD3">
        <w:rPr>
          <w:rFonts w:ascii="Verdana" w:hAnsi="Verdana"/>
          <w:sz w:val="20"/>
          <w:szCs w:val="20"/>
        </w:rPr>
        <w:t xml:space="preserve"> una resistencia al tratamiento. </w:t>
      </w:r>
      <w:r w:rsidR="00A17F04">
        <w:rPr>
          <w:rFonts w:ascii="Verdana" w:hAnsi="Verdana"/>
          <w:sz w:val="20"/>
          <w:szCs w:val="20"/>
        </w:rPr>
        <w:t xml:space="preserve">Asimismo, reiteró que aunque la paciente tiene el derecho a elegir si acepta o no un tratamiento médico, el Estado “no dejará de desplegar todos los procedimientos, protocolos y dispositivos técnicos de salud que ya se han implementado, y que seguirán desarrollándose para precautelar su derecho a la salud, la vida digna y la integridad personal”. </w:t>
      </w:r>
    </w:p>
    <w:p w:rsidR="00A17F04" w:rsidRDefault="00A17F04" w:rsidP="00A17F04">
      <w:pPr>
        <w:pStyle w:val="ListParagraph"/>
        <w:rPr>
          <w:rFonts w:ascii="Verdana" w:hAnsi="Verdana"/>
          <w:sz w:val="20"/>
          <w:szCs w:val="20"/>
          <w:lang w:val="es-ES"/>
        </w:rPr>
      </w:pPr>
    </w:p>
    <w:p w:rsidR="00A17F04" w:rsidRPr="00A17F04" w:rsidRDefault="00A17F04" w:rsidP="00E90491">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 xml:space="preserve">Asimismo, el Estado informó que, al conocer la solicitud del representante de formar una Comisión Médica de Alto Nivel, la Ministra de Salud Pública </w:t>
      </w:r>
      <w:r>
        <w:rPr>
          <w:rFonts w:ascii="Verdana" w:hAnsi="Verdana"/>
          <w:sz w:val="20"/>
          <w:szCs w:val="20"/>
        </w:rPr>
        <w:t>“conformó de forma inmediata, la mencionada Comisión Médica</w:t>
      </w:r>
      <w:r w:rsidR="007B155B">
        <w:rPr>
          <w:rFonts w:ascii="Verdana" w:hAnsi="Verdana"/>
          <w:sz w:val="20"/>
          <w:szCs w:val="20"/>
        </w:rPr>
        <w:t>[</w:t>
      </w:r>
      <w:r>
        <w:rPr>
          <w:rFonts w:ascii="Verdana" w:hAnsi="Verdana"/>
          <w:sz w:val="20"/>
          <w:szCs w:val="20"/>
        </w:rPr>
        <w:t>,</w:t>
      </w:r>
      <w:r w:rsidR="007B155B">
        <w:rPr>
          <w:rFonts w:ascii="Verdana" w:hAnsi="Verdana"/>
          <w:sz w:val="20"/>
          <w:szCs w:val="20"/>
        </w:rPr>
        <w:t>]</w:t>
      </w:r>
      <w:r>
        <w:rPr>
          <w:rFonts w:ascii="Verdana" w:hAnsi="Verdana"/>
          <w:sz w:val="20"/>
          <w:szCs w:val="20"/>
        </w:rPr>
        <w:t xml:space="preserve"> integrada incluso por la [doctora del Hospital Militar] descrita por el solicitante en su petitorio</w:t>
      </w:r>
      <w:r w:rsidR="007B155B">
        <w:rPr>
          <w:rFonts w:ascii="Verdana" w:hAnsi="Verdana"/>
          <w:sz w:val="20"/>
          <w:szCs w:val="20"/>
        </w:rPr>
        <w:t>,</w:t>
      </w:r>
      <w:r>
        <w:rPr>
          <w:rFonts w:ascii="Verdana" w:hAnsi="Verdana"/>
          <w:sz w:val="20"/>
          <w:szCs w:val="20"/>
        </w:rPr>
        <w:t xml:space="preserve"> como de confianza” para </w:t>
      </w:r>
      <w:r w:rsidR="003C4AA7">
        <w:rPr>
          <w:rFonts w:ascii="Verdana" w:hAnsi="Verdana"/>
          <w:sz w:val="20"/>
          <w:szCs w:val="20"/>
        </w:rPr>
        <w:t>Talía</w:t>
      </w:r>
      <w:r>
        <w:rPr>
          <w:rFonts w:ascii="Verdana" w:hAnsi="Verdana"/>
          <w:sz w:val="20"/>
          <w:szCs w:val="20"/>
        </w:rPr>
        <w:t xml:space="preserve">, así como por una representante de la Organización Panamericana de la Salud, un doctor del Hospital Enrique Garcés de Quito y el doctor que la trata en el Hospital Homero </w:t>
      </w:r>
      <w:proofErr w:type="spellStart"/>
      <w:r>
        <w:rPr>
          <w:rFonts w:ascii="Verdana" w:hAnsi="Verdana"/>
          <w:sz w:val="20"/>
          <w:szCs w:val="20"/>
        </w:rPr>
        <w:t>Castañer</w:t>
      </w:r>
      <w:proofErr w:type="spellEnd"/>
      <w:r>
        <w:rPr>
          <w:rFonts w:ascii="Verdana" w:hAnsi="Verdana"/>
          <w:sz w:val="20"/>
          <w:szCs w:val="20"/>
        </w:rPr>
        <w:t xml:space="preserve"> de Azogues. Por otra parte, destacó que el Hospital Militar, en el que ella prefiere ser tratada, forma parte de la Red Pública Integral de Salud, y </w:t>
      </w:r>
      <w:r w:rsidR="003C4AA7">
        <w:rPr>
          <w:rFonts w:ascii="Verdana" w:hAnsi="Verdana"/>
          <w:sz w:val="20"/>
          <w:szCs w:val="20"/>
        </w:rPr>
        <w:t>Talía</w:t>
      </w:r>
      <w:r>
        <w:rPr>
          <w:rFonts w:ascii="Verdana" w:hAnsi="Verdana"/>
          <w:sz w:val="20"/>
          <w:szCs w:val="20"/>
        </w:rPr>
        <w:t xml:space="preserve"> puede acudir a cualquiera de los centros de dicha Red para recibir atención integral médica mensual, atención antirretroviral, exámenes complementarios y de seguimiento. Finalmente, rechazó la solicitud de que se delegara al Ministerio de Justicia y a la Defensoría del Pueblo la supervisión de cumplimiento de las medidas provisionales solicitadas, ya que “es atribución única y exclusiva de[l] Tribunal Interamericano”. </w:t>
      </w:r>
    </w:p>
    <w:p w:rsidR="00A17F04" w:rsidRPr="00A17F04" w:rsidRDefault="00A17F04" w:rsidP="00A17F04">
      <w:pPr>
        <w:tabs>
          <w:tab w:val="left" w:pos="540"/>
        </w:tabs>
        <w:autoSpaceDE w:val="0"/>
        <w:autoSpaceDN w:val="0"/>
        <w:adjustRightInd w:val="0"/>
        <w:ind w:right="-72"/>
        <w:jc w:val="both"/>
        <w:rPr>
          <w:rFonts w:ascii="Verdana" w:hAnsi="Verdana"/>
          <w:sz w:val="20"/>
          <w:szCs w:val="20"/>
          <w:lang w:val="es-ES"/>
        </w:rPr>
      </w:pPr>
    </w:p>
    <w:p w:rsidR="00B553FC" w:rsidRPr="00A43423" w:rsidRDefault="00A17F04" w:rsidP="00B553F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rPr>
        <w:t>En consecuencia, el Estado solicitó que la Corte desestime la solicitud de medidas provisionales, “toda vez que se ha demostrado que el Estado cuenta con medidas y disposiciones técnicas diligentes que responden a estándares internacionales de salud pública en relación a la atención de pacientes infectado</w:t>
      </w:r>
      <w:r w:rsidR="00051C01">
        <w:rPr>
          <w:rFonts w:ascii="Verdana" w:hAnsi="Verdana"/>
          <w:sz w:val="20"/>
          <w:szCs w:val="20"/>
        </w:rPr>
        <w:t>s</w:t>
      </w:r>
      <w:r>
        <w:rPr>
          <w:rFonts w:ascii="Verdana" w:hAnsi="Verdana"/>
          <w:sz w:val="20"/>
          <w:szCs w:val="20"/>
        </w:rPr>
        <w:t xml:space="preserve"> con VIH”; y que se trasmita a </w:t>
      </w:r>
      <w:r w:rsidR="003C4AA7">
        <w:rPr>
          <w:rFonts w:ascii="Verdana" w:hAnsi="Verdana"/>
          <w:sz w:val="20"/>
          <w:szCs w:val="20"/>
        </w:rPr>
        <w:t>Talía</w:t>
      </w:r>
      <w:r>
        <w:rPr>
          <w:rFonts w:ascii="Verdana" w:hAnsi="Verdana"/>
          <w:sz w:val="20"/>
          <w:szCs w:val="20"/>
        </w:rPr>
        <w:t xml:space="preserve"> Gonzales </w:t>
      </w:r>
      <w:proofErr w:type="spellStart"/>
      <w:r>
        <w:rPr>
          <w:rFonts w:ascii="Verdana" w:hAnsi="Verdana"/>
          <w:sz w:val="20"/>
          <w:szCs w:val="20"/>
        </w:rPr>
        <w:t>Lluy</w:t>
      </w:r>
      <w:proofErr w:type="spellEnd"/>
      <w:r>
        <w:rPr>
          <w:rFonts w:ascii="Verdana" w:hAnsi="Verdana"/>
          <w:sz w:val="20"/>
          <w:szCs w:val="20"/>
        </w:rPr>
        <w:t xml:space="preserve"> la “necesidad de que se practique a la brevedad posible, el examen de </w:t>
      </w:r>
      <w:r w:rsidR="00B741CE">
        <w:rPr>
          <w:rFonts w:ascii="Verdana" w:hAnsi="Verdana"/>
          <w:sz w:val="20"/>
          <w:szCs w:val="20"/>
        </w:rPr>
        <w:t>[</w:t>
      </w:r>
      <w:r w:rsidR="00EB2423">
        <w:rPr>
          <w:rFonts w:ascii="Verdana" w:hAnsi="Verdana"/>
          <w:sz w:val="20"/>
          <w:szCs w:val="20"/>
        </w:rPr>
        <w:t>R</w:t>
      </w:r>
      <w:r w:rsidR="00B741CE">
        <w:rPr>
          <w:rFonts w:ascii="Verdana" w:hAnsi="Verdana"/>
          <w:sz w:val="20"/>
          <w:szCs w:val="20"/>
        </w:rPr>
        <w:t>]</w:t>
      </w:r>
      <w:proofErr w:type="spellStart"/>
      <w:r>
        <w:rPr>
          <w:rFonts w:ascii="Verdana" w:hAnsi="Verdana"/>
          <w:sz w:val="20"/>
          <w:szCs w:val="20"/>
        </w:rPr>
        <w:t>esistencia</w:t>
      </w:r>
      <w:proofErr w:type="spellEnd"/>
      <w:r>
        <w:rPr>
          <w:rFonts w:ascii="Verdana" w:hAnsi="Verdana"/>
          <w:sz w:val="20"/>
          <w:szCs w:val="20"/>
        </w:rPr>
        <w:t xml:space="preserve"> por </w:t>
      </w:r>
      <w:proofErr w:type="spellStart"/>
      <w:r>
        <w:rPr>
          <w:rFonts w:ascii="Verdana" w:hAnsi="Verdana"/>
          <w:sz w:val="20"/>
          <w:szCs w:val="20"/>
        </w:rPr>
        <w:t>Genotipificación</w:t>
      </w:r>
      <w:proofErr w:type="spellEnd"/>
      <w:r>
        <w:rPr>
          <w:rFonts w:ascii="Verdana" w:hAnsi="Verdana"/>
          <w:sz w:val="20"/>
          <w:szCs w:val="20"/>
        </w:rPr>
        <w:t xml:space="preserve"> y Dosificación Seca-Medicamentosa en el Hospital Público más cercano para estudiar la probabilidad de resistencia de fallo virológico”. </w:t>
      </w:r>
    </w:p>
    <w:p w:rsidR="00A43423" w:rsidRDefault="00A43423" w:rsidP="00A43423">
      <w:pPr>
        <w:pStyle w:val="ListParagraph"/>
        <w:rPr>
          <w:rFonts w:ascii="Verdana" w:hAnsi="Verdana"/>
          <w:sz w:val="20"/>
          <w:szCs w:val="20"/>
          <w:lang w:val="es-ES"/>
        </w:rPr>
      </w:pPr>
    </w:p>
    <w:p w:rsidR="00A43423" w:rsidRPr="00051C01" w:rsidRDefault="00A43423" w:rsidP="00B553F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051C01">
        <w:rPr>
          <w:rFonts w:ascii="Verdana" w:hAnsi="Verdana"/>
          <w:sz w:val="20"/>
          <w:szCs w:val="20"/>
          <w:lang w:val="es-ES"/>
        </w:rPr>
        <w:t xml:space="preserve">En respuesta a las observaciones del Estado, el </w:t>
      </w:r>
      <w:r w:rsidRPr="00051C01">
        <w:rPr>
          <w:rFonts w:ascii="Verdana" w:hAnsi="Verdana"/>
          <w:b/>
          <w:i/>
          <w:sz w:val="20"/>
          <w:szCs w:val="20"/>
          <w:lang w:val="es-ES"/>
        </w:rPr>
        <w:t>representante</w:t>
      </w:r>
      <w:r w:rsidRPr="00051C01">
        <w:rPr>
          <w:rFonts w:ascii="Verdana" w:hAnsi="Verdana"/>
          <w:sz w:val="20"/>
          <w:szCs w:val="20"/>
          <w:lang w:val="es-ES"/>
        </w:rPr>
        <w:t xml:space="preserve"> señaló que </w:t>
      </w:r>
      <w:r w:rsidR="003C4AA7">
        <w:rPr>
          <w:rFonts w:ascii="Verdana" w:hAnsi="Verdana"/>
          <w:sz w:val="20"/>
          <w:szCs w:val="20"/>
          <w:lang w:val="es-ES"/>
        </w:rPr>
        <w:t>Talía</w:t>
      </w:r>
      <w:r w:rsidRPr="00051C01">
        <w:rPr>
          <w:rFonts w:ascii="Verdana" w:hAnsi="Verdana"/>
          <w:sz w:val="20"/>
          <w:szCs w:val="20"/>
          <w:lang w:val="es-ES"/>
        </w:rPr>
        <w:t xml:space="preserve"> estaba dispuesta a realizarse el examen indicado por el Estado, que la familia estaba conforme con la creación de la Comisión Médica de Alto Nivel, y que </w:t>
      </w:r>
      <w:r w:rsidR="003C4AA7">
        <w:rPr>
          <w:rFonts w:ascii="Verdana" w:hAnsi="Verdana"/>
          <w:sz w:val="20"/>
          <w:szCs w:val="20"/>
          <w:lang w:val="es-ES"/>
        </w:rPr>
        <w:t>Talía</w:t>
      </w:r>
      <w:r w:rsidRPr="00051C01">
        <w:rPr>
          <w:rFonts w:ascii="Verdana" w:hAnsi="Verdana"/>
          <w:sz w:val="20"/>
          <w:szCs w:val="20"/>
          <w:lang w:val="es-ES"/>
        </w:rPr>
        <w:t xml:space="preserve"> aceptaba el ofrecimiento de ser atendida en el Hospital </w:t>
      </w:r>
      <w:r w:rsidR="00051C01" w:rsidRPr="00051C01">
        <w:rPr>
          <w:rFonts w:ascii="Verdana" w:hAnsi="Verdana"/>
          <w:sz w:val="20"/>
          <w:szCs w:val="20"/>
          <w:lang w:val="es-ES"/>
        </w:rPr>
        <w:t>de las Fuerzas Armadas, como parte de la Red Pública Integral de Salud del Ecuador</w:t>
      </w:r>
      <w:r w:rsidRPr="00051C01">
        <w:rPr>
          <w:rFonts w:ascii="Verdana" w:hAnsi="Verdana"/>
          <w:sz w:val="20"/>
          <w:szCs w:val="20"/>
          <w:lang w:val="es-ES"/>
        </w:rPr>
        <w:t xml:space="preserve">. </w:t>
      </w:r>
      <w:r w:rsidR="00051C01" w:rsidRPr="00051C01">
        <w:rPr>
          <w:rFonts w:ascii="Verdana" w:hAnsi="Verdana"/>
          <w:sz w:val="20"/>
          <w:szCs w:val="20"/>
          <w:lang w:val="es-ES"/>
        </w:rPr>
        <w:t>Además, sugirió</w:t>
      </w:r>
      <w:r w:rsidRPr="00051C01">
        <w:rPr>
          <w:rFonts w:ascii="Verdana" w:hAnsi="Verdana"/>
          <w:sz w:val="20"/>
          <w:szCs w:val="20"/>
          <w:lang w:val="es-ES"/>
        </w:rPr>
        <w:t xml:space="preserve"> que la Corte “disponga que [</w:t>
      </w:r>
      <w:r w:rsidR="00051C01" w:rsidRPr="00051C01">
        <w:rPr>
          <w:rFonts w:ascii="Verdana" w:hAnsi="Verdana"/>
          <w:sz w:val="20"/>
          <w:szCs w:val="20"/>
          <w:lang w:val="es-ES"/>
        </w:rPr>
        <w:t>dicha Comisión</w:t>
      </w:r>
      <w:r w:rsidRPr="00051C01">
        <w:rPr>
          <w:rFonts w:ascii="Verdana" w:hAnsi="Verdana"/>
          <w:sz w:val="20"/>
          <w:szCs w:val="20"/>
          <w:lang w:val="es-ES"/>
        </w:rPr>
        <w:t>…] se imponga metas medibles y plazos cortos”</w:t>
      </w:r>
      <w:r w:rsidR="00051C01" w:rsidRPr="00051C01">
        <w:rPr>
          <w:rFonts w:ascii="Verdana" w:hAnsi="Verdana"/>
          <w:sz w:val="20"/>
          <w:szCs w:val="20"/>
          <w:lang w:val="es-ES"/>
        </w:rPr>
        <w:t xml:space="preserve">. Además, el representante insistió en que, “por las condiciones de pobreza de la familia” y dado que el Hospital de las Fuerzas Armadas </w:t>
      </w:r>
      <w:r w:rsidR="00051C01">
        <w:rPr>
          <w:rFonts w:ascii="Verdana" w:hAnsi="Verdana"/>
          <w:sz w:val="20"/>
          <w:szCs w:val="20"/>
          <w:lang w:val="es-ES"/>
        </w:rPr>
        <w:t>donde</w:t>
      </w:r>
      <w:r w:rsidR="00B741CE">
        <w:rPr>
          <w:rFonts w:ascii="Verdana" w:hAnsi="Verdana"/>
          <w:sz w:val="20"/>
          <w:szCs w:val="20"/>
          <w:lang w:val="es-ES"/>
        </w:rPr>
        <w:t xml:space="preserve"> Talía</w:t>
      </w:r>
      <w:r w:rsidR="00051C01">
        <w:rPr>
          <w:rFonts w:ascii="Verdana" w:hAnsi="Verdana"/>
          <w:sz w:val="20"/>
          <w:szCs w:val="20"/>
          <w:lang w:val="es-ES"/>
        </w:rPr>
        <w:t xml:space="preserve"> </w:t>
      </w:r>
      <w:r w:rsidR="00B741CE">
        <w:rPr>
          <w:rFonts w:ascii="Verdana" w:hAnsi="Verdana"/>
          <w:sz w:val="20"/>
          <w:szCs w:val="20"/>
          <w:lang w:val="es-ES"/>
        </w:rPr>
        <w:t>“</w:t>
      </w:r>
      <w:r w:rsidR="00051C01">
        <w:rPr>
          <w:rFonts w:ascii="Verdana" w:hAnsi="Verdana"/>
          <w:sz w:val="20"/>
          <w:szCs w:val="20"/>
          <w:lang w:val="es-ES"/>
        </w:rPr>
        <w:t>recibe atención aceptable</w:t>
      </w:r>
      <w:r w:rsidR="00B741CE">
        <w:rPr>
          <w:rFonts w:ascii="Verdana" w:hAnsi="Verdana"/>
          <w:sz w:val="20"/>
          <w:szCs w:val="20"/>
          <w:lang w:val="es-ES"/>
        </w:rPr>
        <w:t>”</w:t>
      </w:r>
      <w:r w:rsidR="00051C01">
        <w:rPr>
          <w:rFonts w:ascii="Verdana" w:hAnsi="Verdana"/>
          <w:sz w:val="20"/>
          <w:szCs w:val="20"/>
          <w:lang w:val="es-ES"/>
        </w:rPr>
        <w:t xml:space="preserve">  </w:t>
      </w:r>
      <w:r w:rsidR="00051C01" w:rsidRPr="00051C01">
        <w:rPr>
          <w:rFonts w:ascii="Verdana" w:hAnsi="Verdana"/>
          <w:sz w:val="20"/>
          <w:szCs w:val="20"/>
          <w:lang w:val="es-ES"/>
        </w:rPr>
        <w:t xml:space="preserve">se encuentra en Quito, hasta que el Estado </w:t>
      </w:r>
      <w:r w:rsidRPr="00051C01">
        <w:rPr>
          <w:rFonts w:ascii="Verdana" w:hAnsi="Verdana"/>
          <w:sz w:val="20"/>
          <w:szCs w:val="20"/>
          <w:lang w:val="es-ES"/>
        </w:rPr>
        <w:t>“no ofrezca un servicio similar o mejor</w:t>
      </w:r>
      <w:r w:rsidR="00051C01">
        <w:rPr>
          <w:rFonts w:ascii="Verdana" w:hAnsi="Verdana"/>
          <w:sz w:val="20"/>
          <w:szCs w:val="20"/>
          <w:lang w:val="es-ES"/>
        </w:rPr>
        <w:t xml:space="preserve"> que el dado por e</w:t>
      </w:r>
      <w:r w:rsidR="00B741CE">
        <w:rPr>
          <w:rFonts w:ascii="Verdana" w:hAnsi="Verdana"/>
          <w:sz w:val="20"/>
          <w:szCs w:val="20"/>
          <w:lang w:val="es-ES"/>
        </w:rPr>
        <w:t>ste</w:t>
      </w:r>
      <w:r w:rsidR="00051C01">
        <w:rPr>
          <w:rFonts w:ascii="Verdana" w:hAnsi="Verdana"/>
          <w:sz w:val="20"/>
          <w:szCs w:val="20"/>
          <w:lang w:val="es-ES"/>
        </w:rPr>
        <w:t xml:space="preserve"> Hospital en </w:t>
      </w:r>
      <w:r w:rsidRPr="00051C01">
        <w:rPr>
          <w:rFonts w:ascii="Verdana" w:hAnsi="Verdana"/>
          <w:sz w:val="20"/>
          <w:szCs w:val="20"/>
          <w:lang w:val="es-ES"/>
        </w:rPr>
        <w:t>Cuenca</w:t>
      </w:r>
      <w:r w:rsidR="00051C01">
        <w:rPr>
          <w:rFonts w:ascii="Verdana" w:hAnsi="Verdana"/>
          <w:sz w:val="20"/>
          <w:szCs w:val="20"/>
          <w:lang w:val="es-ES"/>
        </w:rPr>
        <w:t>”</w:t>
      </w:r>
      <w:r w:rsidRPr="00051C01">
        <w:rPr>
          <w:rFonts w:ascii="Verdana" w:hAnsi="Verdana"/>
          <w:sz w:val="20"/>
          <w:szCs w:val="20"/>
          <w:lang w:val="es-ES"/>
        </w:rPr>
        <w:t>,</w:t>
      </w:r>
      <w:r w:rsidR="00051C01">
        <w:rPr>
          <w:rFonts w:ascii="Verdana" w:hAnsi="Verdana"/>
          <w:sz w:val="20"/>
          <w:szCs w:val="20"/>
          <w:lang w:val="es-ES"/>
        </w:rPr>
        <w:t xml:space="preserve"> </w:t>
      </w:r>
      <w:r w:rsidRPr="00051C01">
        <w:rPr>
          <w:rFonts w:ascii="Verdana" w:hAnsi="Verdana"/>
          <w:sz w:val="20"/>
          <w:szCs w:val="20"/>
          <w:lang w:val="es-ES"/>
        </w:rPr>
        <w:t xml:space="preserve">[el Estado] corra con los gastos incurridos por la falta de </w:t>
      </w:r>
      <w:r w:rsidRPr="00051C01">
        <w:rPr>
          <w:rFonts w:ascii="Verdana" w:eastAsia="Calibri" w:hAnsi="Verdana" w:cs="Verdana"/>
          <w:sz w:val="20"/>
          <w:szCs w:val="20"/>
        </w:rPr>
        <w:t>acceso físico, por la movilización y gastos de alimentación durante la atención”</w:t>
      </w:r>
      <w:r w:rsidR="00051C01">
        <w:rPr>
          <w:rFonts w:ascii="Verdana" w:eastAsia="Calibri" w:hAnsi="Verdana" w:cs="Verdana"/>
          <w:sz w:val="20"/>
          <w:szCs w:val="20"/>
        </w:rPr>
        <w:t xml:space="preserve"> médica, para lo cual adjuntaron recibos de los últimos gastos generados en la búsqueda de atención adecuada y oportuna</w:t>
      </w:r>
      <w:r w:rsidRPr="00051C01">
        <w:rPr>
          <w:rFonts w:ascii="Verdana" w:eastAsia="Calibri" w:hAnsi="Verdana" w:cs="Verdana"/>
          <w:sz w:val="20"/>
          <w:szCs w:val="20"/>
        </w:rPr>
        <w:t xml:space="preserve">. </w:t>
      </w:r>
    </w:p>
    <w:p w:rsidR="00B553FC" w:rsidRDefault="00B553FC" w:rsidP="00B553FC">
      <w:pPr>
        <w:pStyle w:val="ListParagraph"/>
        <w:rPr>
          <w:rFonts w:ascii="Verdana" w:hAnsi="Verdana"/>
          <w:sz w:val="20"/>
          <w:szCs w:val="20"/>
          <w:lang w:val="es-ES"/>
        </w:rPr>
      </w:pPr>
    </w:p>
    <w:p w:rsidR="00B553FC" w:rsidRPr="00A01D2E" w:rsidRDefault="00B553FC" w:rsidP="00A43423">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Tal como fue señalado, (</w:t>
      </w:r>
      <w:r>
        <w:rPr>
          <w:rFonts w:ascii="Verdana" w:hAnsi="Verdana"/>
          <w:i/>
          <w:sz w:val="20"/>
          <w:szCs w:val="20"/>
          <w:lang w:val="es-ES"/>
        </w:rPr>
        <w:t>supra</w:t>
      </w:r>
      <w:r>
        <w:rPr>
          <w:rFonts w:ascii="Verdana" w:hAnsi="Verdana"/>
          <w:sz w:val="20"/>
          <w:szCs w:val="20"/>
          <w:lang w:val="es-ES"/>
        </w:rPr>
        <w:t xml:space="preserve"> Visto </w:t>
      </w:r>
      <w:r w:rsidR="00B741CE">
        <w:rPr>
          <w:rFonts w:ascii="Verdana" w:hAnsi="Verdana"/>
          <w:sz w:val="20"/>
          <w:szCs w:val="20"/>
          <w:lang w:val="es-ES"/>
        </w:rPr>
        <w:t>5</w:t>
      </w:r>
      <w:r>
        <w:rPr>
          <w:rFonts w:ascii="Verdana" w:hAnsi="Verdana"/>
          <w:sz w:val="20"/>
          <w:szCs w:val="20"/>
          <w:lang w:val="es-ES"/>
        </w:rPr>
        <w:t xml:space="preserve">), la Corte </w:t>
      </w:r>
      <w:r w:rsidR="00A43423">
        <w:rPr>
          <w:rFonts w:ascii="Verdana" w:hAnsi="Verdana"/>
          <w:sz w:val="20"/>
          <w:szCs w:val="20"/>
          <w:lang w:val="es-ES"/>
        </w:rPr>
        <w:t xml:space="preserve">requirió información adicional al Estado y al representante sobre la práctica del </w:t>
      </w:r>
      <w:r w:rsidR="00A43423">
        <w:rPr>
          <w:rFonts w:ascii="Verdana" w:hAnsi="Verdana"/>
          <w:sz w:val="20"/>
          <w:szCs w:val="20"/>
        </w:rPr>
        <w:t xml:space="preserve">examen de Resistencia por </w:t>
      </w:r>
      <w:proofErr w:type="spellStart"/>
      <w:r w:rsidR="00A43423">
        <w:rPr>
          <w:rFonts w:ascii="Verdana" w:hAnsi="Verdana"/>
          <w:sz w:val="20"/>
          <w:szCs w:val="20"/>
        </w:rPr>
        <w:t>Genotipificación</w:t>
      </w:r>
      <w:proofErr w:type="spellEnd"/>
      <w:r w:rsidR="00A43423">
        <w:rPr>
          <w:rFonts w:ascii="Verdana" w:hAnsi="Verdana"/>
          <w:sz w:val="20"/>
          <w:szCs w:val="20"/>
        </w:rPr>
        <w:t xml:space="preserve"> y Dosificación Seca-Medicamentosa. En este sentido, el </w:t>
      </w:r>
      <w:r w:rsidR="00EB2423" w:rsidRPr="00A43423">
        <w:rPr>
          <w:rFonts w:ascii="Verdana" w:eastAsia="Calibri" w:hAnsi="Verdana" w:cs="Verdana"/>
          <w:sz w:val="20"/>
          <w:szCs w:val="20"/>
        </w:rPr>
        <w:t xml:space="preserve">representante informó que </w:t>
      </w:r>
      <w:r w:rsidR="003C4AA7">
        <w:rPr>
          <w:rFonts w:ascii="Verdana" w:eastAsia="Calibri" w:hAnsi="Verdana" w:cs="Verdana"/>
          <w:sz w:val="20"/>
          <w:szCs w:val="20"/>
        </w:rPr>
        <w:t>Talía</w:t>
      </w:r>
      <w:r w:rsidR="00EB2423" w:rsidRPr="00A43423">
        <w:rPr>
          <w:rFonts w:ascii="Verdana" w:eastAsia="Calibri" w:hAnsi="Verdana" w:cs="Verdana"/>
          <w:sz w:val="20"/>
          <w:szCs w:val="20"/>
        </w:rPr>
        <w:t xml:space="preserve"> acudió a realizarse el examen de </w:t>
      </w:r>
      <w:r w:rsidR="00EB2423" w:rsidRPr="00A43423">
        <w:rPr>
          <w:rFonts w:ascii="Verdana" w:hAnsi="Verdana"/>
          <w:sz w:val="20"/>
          <w:szCs w:val="20"/>
        </w:rPr>
        <w:t xml:space="preserve">Resistencia por </w:t>
      </w:r>
      <w:proofErr w:type="spellStart"/>
      <w:r w:rsidR="00EB2423" w:rsidRPr="00A43423">
        <w:rPr>
          <w:rFonts w:ascii="Verdana" w:hAnsi="Verdana"/>
          <w:sz w:val="20"/>
          <w:szCs w:val="20"/>
        </w:rPr>
        <w:t>Genotipificación</w:t>
      </w:r>
      <w:proofErr w:type="spellEnd"/>
      <w:r w:rsidRPr="00A43423">
        <w:rPr>
          <w:rFonts w:ascii="Verdana" w:hAnsi="Verdana"/>
          <w:sz w:val="20"/>
          <w:szCs w:val="20"/>
        </w:rPr>
        <w:t xml:space="preserve">, cuyas muestras tomadas serían enviadas a Colombia para ser analizadas; respecto del examen de Dosificación Seca-Medicamentosa, alegó que el Ministerio le señaló que ese examen “ellos </w:t>
      </w:r>
      <w:r w:rsidRPr="00A43423">
        <w:rPr>
          <w:rFonts w:ascii="Verdana" w:eastAsia="Calibri" w:hAnsi="Verdana" w:cs="Verdana"/>
          <w:sz w:val="20"/>
          <w:szCs w:val="20"/>
        </w:rPr>
        <w:t>no [lo] hacían y que tampoco saben en dónde lo hacen”</w:t>
      </w:r>
      <w:r w:rsidRPr="00A43423">
        <w:rPr>
          <w:rFonts w:ascii="Verdana" w:hAnsi="Verdana"/>
          <w:sz w:val="20"/>
          <w:szCs w:val="20"/>
        </w:rPr>
        <w:t>. El 12 de agosto de 2015 inf</w:t>
      </w:r>
      <w:r w:rsidRPr="00A01D2E">
        <w:rPr>
          <w:rFonts w:ascii="Verdana" w:hAnsi="Verdana"/>
          <w:sz w:val="20"/>
          <w:szCs w:val="20"/>
        </w:rPr>
        <w:t xml:space="preserve">ormó que el 11 de agosto le entregaron los resultados del examen </w:t>
      </w:r>
      <w:r w:rsidRPr="00A01D2E">
        <w:rPr>
          <w:rFonts w:ascii="Verdana" w:eastAsia="Calibri" w:hAnsi="Verdana" w:cs="Verdana"/>
          <w:sz w:val="20"/>
          <w:szCs w:val="20"/>
        </w:rPr>
        <w:t xml:space="preserve">de Dosificación Seca-Medicamentosa, y no el de </w:t>
      </w:r>
      <w:proofErr w:type="spellStart"/>
      <w:r w:rsidRPr="00A01D2E">
        <w:rPr>
          <w:rFonts w:ascii="Verdana" w:eastAsia="Calibri" w:hAnsi="Verdana" w:cs="Verdana"/>
          <w:sz w:val="20"/>
          <w:szCs w:val="20"/>
        </w:rPr>
        <w:t>Genotipif</w:t>
      </w:r>
      <w:r w:rsidR="00B741CE">
        <w:rPr>
          <w:rFonts w:ascii="Verdana" w:eastAsia="Calibri" w:hAnsi="Verdana" w:cs="Verdana"/>
          <w:sz w:val="20"/>
          <w:szCs w:val="20"/>
        </w:rPr>
        <w:t>ic</w:t>
      </w:r>
      <w:r w:rsidRPr="00A01D2E">
        <w:rPr>
          <w:rFonts w:ascii="Verdana" w:eastAsia="Calibri" w:hAnsi="Verdana" w:cs="Verdana"/>
          <w:sz w:val="20"/>
          <w:szCs w:val="20"/>
        </w:rPr>
        <w:t>ación</w:t>
      </w:r>
      <w:proofErr w:type="spellEnd"/>
      <w:r w:rsidRPr="00A01D2E">
        <w:rPr>
          <w:rFonts w:ascii="Verdana" w:eastAsia="Calibri" w:hAnsi="Verdana" w:cs="Verdana"/>
          <w:sz w:val="20"/>
          <w:szCs w:val="20"/>
        </w:rPr>
        <w:t xml:space="preserve">. </w:t>
      </w:r>
    </w:p>
    <w:p w:rsidR="00B553FC" w:rsidRDefault="00B553FC" w:rsidP="00B553FC">
      <w:pPr>
        <w:tabs>
          <w:tab w:val="left" w:pos="540"/>
        </w:tabs>
        <w:autoSpaceDE w:val="0"/>
        <w:autoSpaceDN w:val="0"/>
        <w:adjustRightInd w:val="0"/>
        <w:ind w:right="-72"/>
        <w:jc w:val="both"/>
        <w:rPr>
          <w:rFonts w:ascii="Verdana" w:hAnsi="Verdana"/>
          <w:sz w:val="20"/>
          <w:szCs w:val="20"/>
          <w:lang w:val="es-ES"/>
        </w:rPr>
      </w:pPr>
    </w:p>
    <w:p w:rsidR="00EB2423" w:rsidRPr="00B553FC" w:rsidRDefault="00B553FC" w:rsidP="00B553F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B553FC">
        <w:rPr>
          <w:rFonts w:ascii="Verdana" w:eastAsia="Calibri" w:hAnsi="Verdana" w:cs="Verdana"/>
          <w:sz w:val="20"/>
          <w:szCs w:val="20"/>
        </w:rPr>
        <w:t xml:space="preserve">Respecto de los resultados del examen, </w:t>
      </w:r>
      <w:r>
        <w:rPr>
          <w:rFonts w:ascii="Verdana" w:eastAsia="Calibri" w:hAnsi="Verdana" w:cs="Verdana"/>
          <w:sz w:val="20"/>
          <w:szCs w:val="20"/>
        </w:rPr>
        <w:t xml:space="preserve">el representante </w:t>
      </w:r>
      <w:r w:rsidRPr="00B553FC">
        <w:rPr>
          <w:rFonts w:ascii="Verdana" w:eastAsia="Calibri" w:hAnsi="Verdana" w:cs="Verdana"/>
          <w:sz w:val="20"/>
          <w:szCs w:val="20"/>
        </w:rPr>
        <w:t xml:space="preserve">informó que el mismo mostró que </w:t>
      </w:r>
      <w:r w:rsidR="003C4AA7">
        <w:rPr>
          <w:rFonts w:ascii="Verdana" w:eastAsia="Calibri" w:hAnsi="Verdana" w:cs="Verdana"/>
          <w:sz w:val="20"/>
          <w:szCs w:val="20"/>
        </w:rPr>
        <w:t>Talía</w:t>
      </w:r>
      <w:r w:rsidRPr="00B553FC">
        <w:rPr>
          <w:rFonts w:ascii="Verdana" w:eastAsia="Calibri" w:hAnsi="Verdana" w:cs="Verdana"/>
          <w:sz w:val="20"/>
          <w:szCs w:val="20"/>
        </w:rPr>
        <w:t xml:space="preserve"> tiene resistencia a los medicamentos de tipo “NNRTI”, y alegó que “[a]</w:t>
      </w:r>
      <w:proofErr w:type="spellStart"/>
      <w:r w:rsidRPr="00B553FC">
        <w:rPr>
          <w:rFonts w:ascii="Verdana" w:eastAsia="Calibri" w:hAnsi="Verdana" w:cs="Verdana"/>
          <w:sz w:val="20"/>
          <w:szCs w:val="20"/>
        </w:rPr>
        <w:t>nte</w:t>
      </w:r>
      <w:proofErr w:type="spellEnd"/>
      <w:r w:rsidRPr="00B553FC">
        <w:rPr>
          <w:rFonts w:ascii="Verdana" w:eastAsia="Calibri" w:hAnsi="Verdana" w:cs="Verdana"/>
          <w:sz w:val="20"/>
          <w:szCs w:val="20"/>
        </w:rPr>
        <w:t xml:space="preserve"> la falta de información dada por el </w:t>
      </w:r>
      <w:proofErr w:type="gramStart"/>
      <w:r w:rsidRPr="00B553FC">
        <w:rPr>
          <w:rFonts w:ascii="Verdana" w:eastAsia="Calibri" w:hAnsi="Verdana" w:cs="Verdana"/>
          <w:sz w:val="20"/>
          <w:szCs w:val="20"/>
        </w:rPr>
        <w:t>M[</w:t>
      </w:r>
      <w:proofErr w:type="spellStart"/>
      <w:proofErr w:type="gramEnd"/>
      <w:r w:rsidRPr="00B553FC">
        <w:rPr>
          <w:rFonts w:ascii="Verdana" w:eastAsia="Calibri" w:hAnsi="Verdana" w:cs="Verdana"/>
          <w:sz w:val="20"/>
          <w:szCs w:val="20"/>
        </w:rPr>
        <w:t>inisterio</w:t>
      </w:r>
      <w:proofErr w:type="spellEnd"/>
      <w:r w:rsidRPr="00B553FC">
        <w:rPr>
          <w:rFonts w:ascii="Verdana" w:eastAsia="Calibri" w:hAnsi="Verdana" w:cs="Verdana"/>
          <w:sz w:val="20"/>
          <w:szCs w:val="20"/>
        </w:rPr>
        <w:t xml:space="preserve"> de Salud Pública] sobre los resultados de este examen” acudieron a un médico privado el 11 de agosto de 2015, quien certificó que </w:t>
      </w:r>
      <w:r w:rsidR="003C4AA7">
        <w:rPr>
          <w:rFonts w:ascii="Verdana" w:eastAsia="Calibri" w:hAnsi="Verdana" w:cs="Verdana"/>
          <w:sz w:val="20"/>
          <w:szCs w:val="20"/>
        </w:rPr>
        <w:t>Talía</w:t>
      </w:r>
      <w:r w:rsidRPr="00B553FC">
        <w:rPr>
          <w:rFonts w:ascii="Verdana" w:eastAsia="Calibri" w:hAnsi="Verdana" w:cs="Verdana"/>
          <w:sz w:val="20"/>
          <w:szCs w:val="20"/>
        </w:rPr>
        <w:t xml:space="preserve"> presenta una resistencia viral a la terapia con EFAVIRENZ/EMCITRABINA, y recomendó cambiar de terapia a otra medicación</w:t>
      </w:r>
      <w:r>
        <w:rPr>
          <w:rStyle w:val="FootnoteReference"/>
          <w:rFonts w:eastAsia="Calibri" w:cs="Verdana"/>
          <w:sz w:val="20"/>
          <w:szCs w:val="20"/>
        </w:rPr>
        <w:footnoteReference w:id="14"/>
      </w:r>
      <w:r w:rsidRPr="00B553FC">
        <w:rPr>
          <w:rFonts w:ascii="Verdana" w:eastAsia="Calibri" w:hAnsi="Verdana" w:cs="Verdana"/>
          <w:sz w:val="20"/>
          <w:szCs w:val="20"/>
        </w:rPr>
        <w:t xml:space="preserve">. Además, </w:t>
      </w:r>
      <w:r w:rsidR="003C4AA7">
        <w:rPr>
          <w:rFonts w:ascii="Verdana" w:eastAsia="Calibri" w:hAnsi="Verdana" w:cs="Verdana"/>
          <w:sz w:val="20"/>
          <w:szCs w:val="20"/>
        </w:rPr>
        <w:t>Talía</w:t>
      </w:r>
      <w:r w:rsidRPr="00B553FC">
        <w:rPr>
          <w:rFonts w:ascii="Verdana" w:eastAsia="Calibri" w:hAnsi="Verdana" w:cs="Verdana"/>
          <w:sz w:val="20"/>
          <w:szCs w:val="20"/>
        </w:rPr>
        <w:t xml:space="preserve"> envió los resultados a la doctora del </w:t>
      </w:r>
      <w:r w:rsidRPr="00B553FC">
        <w:rPr>
          <w:rFonts w:ascii="Verdana" w:eastAsia="Calibri" w:hAnsi="Verdana" w:cs="Verdana"/>
          <w:sz w:val="20"/>
          <w:szCs w:val="20"/>
        </w:rPr>
        <w:lastRenderedPageBreak/>
        <w:t xml:space="preserve">Hospital Militar y, “solicitó por escrito se realice un informe médico sobre [su] condición de salud”. Finalmente, sostuvo que “[e]l Estado no tiene todas las condiciones para realizar los exámenes médicos necesarios para garantizar un diagnóstico </w:t>
      </w:r>
      <w:proofErr w:type="gramStart"/>
      <w:r w:rsidRPr="00B553FC">
        <w:rPr>
          <w:rFonts w:ascii="Verdana" w:eastAsia="Calibri" w:hAnsi="Verdana" w:cs="Verdana"/>
          <w:sz w:val="20"/>
          <w:szCs w:val="20"/>
        </w:rPr>
        <w:t>adecuado[</w:t>
      </w:r>
      <w:proofErr w:type="gramEnd"/>
      <w:r w:rsidRPr="00B553FC">
        <w:rPr>
          <w:rFonts w:ascii="Verdana" w:eastAsia="Calibri" w:hAnsi="Verdana" w:cs="Verdana"/>
          <w:sz w:val="20"/>
          <w:szCs w:val="20"/>
        </w:rPr>
        <w:t xml:space="preserve">;] no </w:t>
      </w:r>
      <w:proofErr w:type="spellStart"/>
      <w:r w:rsidRPr="00B553FC">
        <w:rPr>
          <w:rFonts w:ascii="Verdana" w:eastAsia="Calibri" w:hAnsi="Verdana" w:cs="Verdana"/>
          <w:sz w:val="20"/>
          <w:szCs w:val="20"/>
        </w:rPr>
        <w:t>inform</w:t>
      </w:r>
      <w:proofErr w:type="spellEnd"/>
      <w:r w:rsidRPr="00B553FC">
        <w:rPr>
          <w:rFonts w:ascii="Verdana" w:eastAsia="Calibri" w:hAnsi="Verdana" w:cs="Verdana"/>
          <w:sz w:val="20"/>
          <w:szCs w:val="20"/>
        </w:rPr>
        <w:t>[</w:t>
      </w:r>
      <w:proofErr w:type="spellStart"/>
      <w:r w:rsidRPr="00B553FC">
        <w:rPr>
          <w:rFonts w:ascii="Verdana" w:eastAsia="Calibri" w:hAnsi="Verdana" w:cs="Verdana"/>
          <w:sz w:val="20"/>
          <w:szCs w:val="20"/>
        </w:rPr>
        <w:t>ó</w:t>
      </w:r>
      <w:proofErr w:type="spellEnd"/>
      <w:r w:rsidRPr="00B553FC">
        <w:rPr>
          <w:rFonts w:ascii="Verdana" w:eastAsia="Calibri" w:hAnsi="Verdana" w:cs="Verdana"/>
          <w:sz w:val="20"/>
          <w:szCs w:val="20"/>
        </w:rPr>
        <w:t xml:space="preserve">] adecuadamente a </w:t>
      </w:r>
      <w:r w:rsidR="003C4AA7">
        <w:rPr>
          <w:rFonts w:ascii="Verdana" w:eastAsia="Calibri" w:hAnsi="Verdana" w:cs="Verdana"/>
          <w:sz w:val="20"/>
          <w:szCs w:val="20"/>
        </w:rPr>
        <w:t>Talía</w:t>
      </w:r>
      <w:r w:rsidRPr="00B553FC">
        <w:rPr>
          <w:rFonts w:ascii="Verdana" w:eastAsia="Calibri" w:hAnsi="Verdana" w:cs="Verdana"/>
          <w:sz w:val="20"/>
          <w:szCs w:val="20"/>
        </w:rPr>
        <w:t xml:space="preserve"> ni a sus familiares sobre los exámenes y sobre la condición de salud[; m]</w:t>
      </w:r>
      <w:proofErr w:type="spellStart"/>
      <w:r w:rsidRPr="00B553FC">
        <w:rPr>
          <w:rFonts w:ascii="Verdana" w:eastAsia="Calibri" w:hAnsi="Verdana" w:cs="Verdana"/>
          <w:sz w:val="20"/>
          <w:szCs w:val="20"/>
        </w:rPr>
        <w:t>inimiza</w:t>
      </w:r>
      <w:proofErr w:type="spellEnd"/>
      <w:r w:rsidRPr="00B553FC">
        <w:rPr>
          <w:rFonts w:ascii="Verdana" w:eastAsia="Calibri" w:hAnsi="Verdana" w:cs="Verdana"/>
          <w:sz w:val="20"/>
          <w:szCs w:val="20"/>
        </w:rPr>
        <w:t xml:space="preserve"> los hechos[, y] no ofrece la posibilidad de realización del examen de </w:t>
      </w:r>
      <w:proofErr w:type="spellStart"/>
      <w:r w:rsidRPr="00B553FC">
        <w:rPr>
          <w:rFonts w:ascii="Verdana" w:eastAsia="Calibri" w:hAnsi="Verdana" w:cs="Verdana"/>
          <w:sz w:val="20"/>
          <w:szCs w:val="20"/>
        </w:rPr>
        <w:t>Genoti</w:t>
      </w:r>
      <w:proofErr w:type="spellEnd"/>
      <w:r w:rsidRPr="00B553FC">
        <w:rPr>
          <w:rFonts w:ascii="Verdana" w:eastAsia="Calibri" w:hAnsi="Verdana" w:cs="Verdana"/>
          <w:sz w:val="20"/>
          <w:szCs w:val="20"/>
        </w:rPr>
        <w:t>[pi]</w:t>
      </w:r>
      <w:proofErr w:type="spellStart"/>
      <w:r w:rsidRPr="00B553FC">
        <w:rPr>
          <w:rFonts w:ascii="Verdana" w:eastAsia="Calibri" w:hAnsi="Verdana" w:cs="Verdana"/>
          <w:sz w:val="20"/>
          <w:szCs w:val="20"/>
        </w:rPr>
        <w:t>ficación</w:t>
      </w:r>
      <w:proofErr w:type="spellEnd"/>
      <w:r w:rsidRPr="00B553FC">
        <w:rPr>
          <w:rFonts w:ascii="Verdana" w:eastAsia="Calibri" w:hAnsi="Verdana" w:cs="Verdana"/>
          <w:sz w:val="20"/>
          <w:szCs w:val="20"/>
        </w:rPr>
        <w:t xml:space="preserve">”. </w:t>
      </w:r>
    </w:p>
    <w:p w:rsidR="00B553FC" w:rsidRDefault="00B553FC" w:rsidP="00B553FC">
      <w:pPr>
        <w:pStyle w:val="ListParagraph"/>
        <w:rPr>
          <w:rFonts w:ascii="Verdana" w:hAnsi="Verdana"/>
          <w:sz w:val="20"/>
          <w:szCs w:val="20"/>
          <w:lang w:val="es-ES"/>
        </w:rPr>
      </w:pPr>
    </w:p>
    <w:p w:rsidR="00B553FC" w:rsidRPr="0080640C" w:rsidRDefault="00B553FC" w:rsidP="00B553F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 xml:space="preserve">El </w:t>
      </w:r>
      <w:r>
        <w:rPr>
          <w:rFonts w:ascii="Verdana" w:hAnsi="Verdana"/>
          <w:b/>
          <w:i/>
          <w:sz w:val="20"/>
          <w:szCs w:val="20"/>
          <w:lang w:val="es-ES"/>
        </w:rPr>
        <w:t>Estado</w:t>
      </w:r>
      <w:r>
        <w:rPr>
          <w:rFonts w:ascii="Verdana" w:hAnsi="Verdana"/>
          <w:sz w:val="20"/>
          <w:szCs w:val="20"/>
          <w:lang w:val="es-ES"/>
        </w:rPr>
        <w:t xml:space="preserve"> alegó que </w:t>
      </w:r>
      <w:r>
        <w:rPr>
          <w:rFonts w:ascii="Verdana" w:eastAsia="Calibri" w:hAnsi="Verdana" w:cs="Verdana"/>
          <w:sz w:val="20"/>
          <w:szCs w:val="20"/>
        </w:rPr>
        <w:t xml:space="preserve">para los días 16 y 22 de julio de 2015 funcionarios del Ministerio de Salud coordinaron citas en el Laboratorio Clínico GM de Cuenca para la realización del examen a </w:t>
      </w:r>
      <w:r w:rsidR="003C4AA7">
        <w:rPr>
          <w:rFonts w:ascii="Verdana" w:eastAsia="Calibri" w:hAnsi="Verdana" w:cs="Verdana"/>
          <w:sz w:val="20"/>
          <w:szCs w:val="20"/>
        </w:rPr>
        <w:t>Talía</w:t>
      </w:r>
      <w:r>
        <w:rPr>
          <w:rFonts w:ascii="Verdana" w:eastAsia="Calibri" w:hAnsi="Verdana" w:cs="Verdana"/>
          <w:sz w:val="20"/>
          <w:szCs w:val="20"/>
        </w:rPr>
        <w:t>, sin que ésta acudiera. Señaló que el 27 de julio de 2015 “</w:t>
      </w:r>
      <w:r w:rsidR="003C4AA7">
        <w:rPr>
          <w:rFonts w:ascii="Verdana" w:eastAsia="Calibri" w:hAnsi="Verdana" w:cs="Verdana"/>
          <w:sz w:val="20"/>
          <w:szCs w:val="20"/>
        </w:rPr>
        <w:t>Talía</w:t>
      </w:r>
      <w:r>
        <w:rPr>
          <w:rFonts w:ascii="Verdana" w:eastAsia="Calibri" w:hAnsi="Verdana" w:cs="Verdana"/>
          <w:sz w:val="20"/>
          <w:szCs w:val="20"/>
        </w:rPr>
        <w:t xml:space="preserve"> acudió ‘sin cita previa y sin coordinación entre el laboratorio y el M[</w:t>
      </w:r>
      <w:proofErr w:type="spellStart"/>
      <w:r>
        <w:rPr>
          <w:rFonts w:ascii="Verdana" w:eastAsia="Calibri" w:hAnsi="Verdana" w:cs="Verdana"/>
          <w:sz w:val="20"/>
          <w:szCs w:val="20"/>
        </w:rPr>
        <w:t>inisterio</w:t>
      </w:r>
      <w:proofErr w:type="spellEnd"/>
      <w:r>
        <w:rPr>
          <w:rFonts w:ascii="Verdana" w:eastAsia="Calibri" w:hAnsi="Verdana" w:cs="Verdana"/>
          <w:sz w:val="20"/>
          <w:szCs w:val="20"/>
        </w:rPr>
        <w:t>]’, y se extrajo la muestra de sangre con la que se realizó el examen de [G]</w:t>
      </w:r>
      <w:proofErr w:type="spellStart"/>
      <w:r>
        <w:rPr>
          <w:rFonts w:ascii="Verdana" w:eastAsia="Calibri" w:hAnsi="Verdana" w:cs="Verdana"/>
          <w:sz w:val="20"/>
          <w:szCs w:val="20"/>
        </w:rPr>
        <w:t>enotipificación</w:t>
      </w:r>
      <w:proofErr w:type="spellEnd"/>
      <w:r>
        <w:rPr>
          <w:rFonts w:ascii="Verdana" w:eastAsia="Calibri" w:hAnsi="Verdana" w:cs="Verdana"/>
          <w:sz w:val="20"/>
          <w:szCs w:val="20"/>
        </w:rPr>
        <w:t xml:space="preserve">”. Por otra parte, informó que el 12 de agosto de 2015 se llevó a cabo una reunión entre la Directora Nacional de Estrategias de Prevención y Control y la doctora de confianza de </w:t>
      </w:r>
      <w:r w:rsidR="003C4AA7">
        <w:rPr>
          <w:rFonts w:ascii="Verdana" w:eastAsia="Calibri" w:hAnsi="Verdana" w:cs="Verdana"/>
          <w:sz w:val="20"/>
          <w:szCs w:val="20"/>
        </w:rPr>
        <w:t>Talía</w:t>
      </w:r>
      <w:r>
        <w:rPr>
          <w:rFonts w:ascii="Verdana" w:eastAsia="Calibri" w:hAnsi="Verdana" w:cs="Verdana"/>
          <w:sz w:val="20"/>
          <w:szCs w:val="20"/>
        </w:rPr>
        <w:t xml:space="preserve">, del Hospital Militar, quien “habría manifestado que </w:t>
      </w:r>
      <w:r w:rsidR="00E20AFB">
        <w:rPr>
          <w:rFonts w:ascii="Verdana" w:eastAsia="Calibri" w:hAnsi="Verdana" w:cs="Verdana"/>
          <w:sz w:val="20"/>
          <w:szCs w:val="20"/>
        </w:rPr>
        <w:t xml:space="preserve">[el examen de Dosificación Seca-Medicamentosa] </w:t>
      </w:r>
      <w:r>
        <w:rPr>
          <w:rFonts w:ascii="Verdana" w:eastAsia="Calibri" w:hAnsi="Verdana" w:cs="Verdana"/>
          <w:sz w:val="20"/>
          <w:szCs w:val="20"/>
        </w:rPr>
        <w:t xml:space="preserve">ya no era necesario”, en vista de que ella “le cambió [el] </w:t>
      </w:r>
      <w:proofErr w:type="gramStart"/>
      <w:r>
        <w:rPr>
          <w:rFonts w:ascii="Verdana" w:eastAsia="Calibri" w:hAnsi="Verdana" w:cs="Verdana"/>
          <w:sz w:val="20"/>
          <w:szCs w:val="20"/>
        </w:rPr>
        <w:t>tratamiento[</w:t>
      </w:r>
      <w:proofErr w:type="gramEnd"/>
      <w:r>
        <w:rPr>
          <w:rFonts w:ascii="Verdana" w:eastAsia="Calibri" w:hAnsi="Verdana" w:cs="Verdana"/>
          <w:sz w:val="20"/>
          <w:szCs w:val="20"/>
        </w:rPr>
        <w:t>,] por lo que ya no correspondería realizar</w:t>
      </w:r>
      <w:r w:rsidR="00E20AFB">
        <w:rPr>
          <w:rFonts w:ascii="Verdana" w:eastAsia="Calibri" w:hAnsi="Verdana" w:cs="Verdana"/>
          <w:sz w:val="20"/>
          <w:szCs w:val="20"/>
        </w:rPr>
        <w:t>[lo]</w:t>
      </w:r>
      <w:r>
        <w:rPr>
          <w:rFonts w:ascii="Verdana" w:eastAsia="Calibri" w:hAnsi="Verdana" w:cs="Verdana"/>
          <w:sz w:val="20"/>
          <w:szCs w:val="20"/>
        </w:rPr>
        <w:t xml:space="preserve">”. En este sentido, el Estado alegó que “excede de su responsabilidad el hecho de que la doctora de confianza de la familia haya realizado un cambio en el </w:t>
      </w:r>
      <w:proofErr w:type="gramStart"/>
      <w:r>
        <w:rPr>
          <w:rFonts w:ascii="Verdana" w:eastAsia="Calibri" w:hAnsi="Verdana" w:cs="Verdana"/>
          <w:sz w:val="20"/>
          <w:szCs w:val="20"/>
        </w:rPr>
        <w:t>tratamiento[</w:t>
      </w:r>
      <w:proofErr w:type="gramEnd"/>
      <w:r>
        <w:rPr>
          <w:rFonts w:ascii="Verdana" w:eastAsia="Calibri" w:hAnsi="Verdana" w:cs="Verdana"/>
          <w:sz w:val="20"/>
          <w:szCs w:val="20"/>
        </w:rPr>
        <w:t>, y] toma nota de lo manifestado por dicha doctora respecto a que ya no correspondería realizar el examen</w:t>
      </w:r>
      <w:r w:rsidR="00E20AFB">
        <w:rPr>
          <w:rFonts w:ascii="Verdana" w:eastAsia="Calibri" w:hAnsi="Verdana" w:cs="Verdana"/>
          <w:sz w:val="20"/>
          <w:szCs w:val="20"/>
        </w:rPr>
        <w:t xml:space="preserve"> de Dosificación</w:t>
      </w:r>
      <w:r>
        <w:rPr>
          <w:rFonts w:ascii="Verdana" w:eastAsia="Calibri" w:hAnsi="Verdana" w:cs="Verdana"/>
          <w:sz w:val="20"/>
          <w:szCs w:val="20"/>
        </w:rPr>
        <w:t xml:space="preserve">”.  </w:t>
      </w:r>
    </w:p>
    <w:p w:rsidR="0080640C" w:rsidRDefault="0080640C" w:rsidP="0080640C">
      <w:pPr>
        <w:pStyle w:val="ListParagraph"/>
        <w:rPr>
          <w:rFonts w:ascii="Verdana" w:hAnsi="Verdana"/>
          <w:sz w:val="20"/>
          <w:szCs w:val="20"/>
          <w:lang w:val="es-ES"/>
        </w:rPr>
      </w:pPr>
    </w:p>
    <w:p w:rsidR="001743D6" w:rsidRPr="00D603CA" w:rsidRDefault="001743D6" w:rsidP="0080640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80640C">
        <w:rPr>
          <w:rFonts w:ascii="Verdana" w:hAnsi="Verdana"/>
          <w:sz w:val="20"/>
          <w:szCs w:val="20"/>
          <w:lang w:val="es-ES"/>
        </w:rPr>
        <w:t>Respecto al funcionamiento de la Red Complementaria de Salud, el Estado señaló que  la misma</w:t>
      </w:r>
      <w:r w:rsidRPr="0080640C">
        <w:rPr>
          <w:rFonts w:ascii="Verdana" w:eastAsia="Times New Roman" w:hAnsi="Verdana" w:cs="Arial"/>
          <w:sz w:val="20"/>
          <w:szCs w:val="20"/>
          <w:lang w:val="es-ES" w:eastAsia="es-ES"/>
        </w:rPr>
        <w:t xml:space="preserve"> se activa cuando se ha verificado que las unidades de salud del Ministerio de Salud Púbica han agotado su capacidad resolutiva, situación en la cual opera el procedimiento de compra de servicios</w:t>
      </w:r>
      <w:r w:rsidR="00EB4E0D" w:rsidRPr="0080640C">
        <w:rPr>
          <w:rFonts w:ascii="Verdana" w:eastAsia="Times New Roman" w:hAnsi="Verdana" w:cs="Arial"/>
          <w:sz w:val="20"/>
          <w:szCs w:val="20"/>
          <w:lang w:val="es-ES" w:eastAsia="es-ES"/>
        </w:rPr>
        <w:t xml:space="preserve">, siendo un </w:t>
      </w:r>
      <w:r w:rsidR="0080640C">
        <w:rPr>
          <w:rFonts w:ascii="Verdana" w:eastAsia="Times New Roman" w:hAnsi="Verdana" w:cs="Arial"/>
          <w:sz w:val="20"/>
          <w:szCs w:val="20"/>
          <w:lang w:val="es-ES" w:eastAsia="es-ES"/>
        </w:rPr>
        <w:t>trámite intern</w:t>
      </w:r>
      <w:r w:rsidR="00EB4E0D" w:rsidRPr="0080640C">
        <w:rPr>
          <w:rFonts w:ascii="Verdana" w:eastAsia="Times New Roman" w:hAnsi="Verdana" w:cs="Arial"/>
          <w:sz w:val="20"/>
          <w:szCs w:val="20"/>
          <w:lang w:val="es-ES" w:eastAsia="es-ES"/>
        </w:rPr>
        <w:t xml:space="preserve">o del Ministerio de </w:t>
      </w:r>
      <w:r w:rsidR="0080640C">
        <w:rPr>
          <w:rFonts w:ascii="Verdana" w:eastAsia="Times New Roman" w:hAnsi="Verdana" w:cs="Arial"/>
          <w:sz w:val="20"/>
          <w:szCs w:val="20"/>
          <w:lang w:val="es-ES" w:eastAsia="es-ES"/>
        </w:rPr>
        <w:t>S</w:t>
      </w:r>
      <w:r w:rsidR="0080640C" w:rsidRPr="0080640C">
        <w:rPr>
          <w:rFonts w:ascii="Verdana" w:eastAsia="Times New Roman" w:hAnsi="Verdana" w:cs="Arial"/>
          <w:sz w:val="20"/>
          <w:szCs w:val="20"/>
          <w:lang w:val="es-ES" w:eastAsia="es-ES"/>
        </w:rPr>
        <w:t>alud</w:t>
      </w:r>
      <w:r w:rsidR="0080640C">
        <w:rPr>
          <w:rFonts w:ascii="Verdana" w:eastAsia="Times New Roman" w:hAnsi="Verdana" w:cs="Arial"/>
          <w:sz w:val="20"/>
          <w:szCs w:val="20"/>
          <w:lang w:val="es-ES" w:eastAsia="es-ES"/>
        </w:rPr>
        <w:t xml:space="preserve"> P</w:t>
      </w:r>
      <w:r w:rsidR="00EB4E0D" w:rsidRPr="0080640C">
        <w:rPr>
          <w:rFonts w:ascii="Verdana" w:eastAsia="Times New Roman" w:hAnsi="Verdana" w:cs="Arial"/>
          <w:sz w:val="20"/>
          <w:szCs w:val="20"/>
          <w:lang w:val="es-ES" w:eastAsia="es-ES"/>
        </w:rPr>
        <w:t xml:space="preserve">ública, que </w:t>
      </w:r>
      <w:r w:rsidR="0080640C">
        <w:rPr>
          <w:rFonts w:ascii="Verdana" w:eastAsia="Times New Roman" w:hAnsi="Verdana" w:cs="Arial"/>
          <w:sz w:val="20"/>
          <w:szCs w:val="20"/>
          <w:lang w:val="es-ES" w:eastAsia="es-ES"/>
        </w:rPr>
        <w:t>“</w:t>
      </w:r>
      <w:r w:rsidR="0080640C" w:rsidRPr="0080640C">
        <w:rPr>
          <w:rFonts w:ascii="Verdana" w:eastAsia="Times New Roman" w:hAnsi="Verdana" w:cs="Arial"/>
          <w:sz w:val="20"/>
          <w:szCs w:val="20"/>
          <w:lang w:val="es-ES" w:eastAsia="es-ES"/>
        </w:rPr>
        <w:t xml:space="preserve">se realiza </w:t>
      </w:r>
      <w:r w:rsidR="00EB4E0D" w:rsidRPr="0080640C">
        <w:rPr>
          <w:rFonts w:ascii="Verdana" w:eastAsia="Times New Roman" w:hAnsi="Verdana" w:cs="Arial"/>
          <w:sz w:val="20"/>
          <w:szCs w:val="20"/>
          <w:lang w:val="es-ES" w:eastAsia="es-ES"/>
        </w:rPr>
        <w:t xml:space="preserve">de </w:t>
      </w:r>
      <w:r w:rsidR="0080640C" w:rsidRPr="0080640C">
        <w:rPr>
          <w:rFonts w:ascii="Verdana" w:eastAsia="Times New Roman" w:hAnsi="Verdana" w:cs="Arial"/>
          <w:sz w:val="20"/>
          <w:szCs w:val="20"/>
          <w:lang w:val="es-ES" w:eastAsia="es-ES"/>
        </w:rPr>
        <w:t>manera</w:t>
      </w:r>
      <w:r w:rsidR="00EB4E0D" w:rsidRPr="0080640C">
        <w:rPr>
          <w:rFonts w:ascii="Verdana" w:eastAsia="Times New Roman" w:hAnsi="Verdana" w:cs="Arial"/>
          <w:sz w:val="20"/>
          <w:szCs w:val="20"/>
          <w:lang w:val="es-ES" w:eastAsia="es-ES"/>
        </w:rPr>
        <w:t xml:space="preserve"> </w:t>
      </w:r>
      <w:r w:rsidR="0080640C" w:rsidRPr="0080640C">
        <w:rPr>
          <w:rFonts w:ascii="Verdana" w:eastAsia="Times New Roman" w:hAnsi="Verdana" w:cs="Arial"/>
          <w:sz w:val="20"/>
          <w:szCs w:val="20"/>
          <w:lang w:val="es-ES" w:eastAsia="es-ES"/>
        </w:rPr>
        <w:t>automática</w:t>
      </w:r>
      <w:r w:rsidR="00EB4E0D" w:rsidRPr="0080640C">
        <w:rPr>
          <w:rFonts w:ascii="Verdana" w:eastAsia="Times New Roman" w:hAnsi="Verdana" w:cs="Arial"/>
          <w:sz w:val="20"/>
          <w:szCs w:val="20"/>
          <w:lang w:val="es-ES" w:eastAsia="es-ES"/>
        </w:rPr>
        <w:t xml:space="preserve">, a </w:t>
      </w:r>
      <w:r w:rsidR="0080640C">
        <w:rPr>
          <w:rFonts w:ascii="Verdana" w:eastAsia="Times New Roman" w:hAnsi="Verdana" w:cs="Arial"/>
          <w:sz w:val="20"/>
          <w:szCs w:val="20"/>
          <w:lang w:val="es-ES" w:eastAsia="es-ES"/>
        </w:rPr>
        <w:t>tr</w:t>
      </w:r>
      <w:r w:rsidR="00EB4E0D" w:rsidRPr="0080640C">
        <w:rPr>
          <w:rFonts w:ascii="Verdana" w:eastAsia="Times New Roman" w:hAnsi="Verdana" w:cs="Arial"/>
          <w:sz w:val="20"/>
          <w:szCs w:val="20"/>
          <w:lang w:val="es-ES" w:eastAsia="es-ES"/>
        </w:rPr>
        <w:t xml:space="preserve">avés de convenios marco y </w:t>
      </w:r>
      <w:r w:rsidR="0080640C" w:rsidRPr="0080640C">
        <w:rPr>
          <w:rFonts w:ascii="Verdana" w:eastAsia="Times New Roman" w:hAnsi="Verdana" w:cs="Arial"/>
          <w:sz w:val="20"/>
          <w:szCs w:val="20"/>
          <w:lang w:val="es-ES" w:eastAsia="es-ES"/>
        </w:rPr>
        <w:t>específicos</w:t>
      </w:r>
      <w:r w:rsidR="00EB4E0D" w:rsidRPr="0080640C">
        <w:rPr>
          <w:rFonts w:ascii="Verdana" w:eastAsia="Times New Roman" w:hAnsi="Verdana" w:cs="Arial"/>
          <w:sz w:val="20"/>
          <w:szCs w:val="20"/>
          <w:lang w:val="es-ES" w:eastAsia="es-ES"/>
        </w:rPr>
        <w:t>, sin</w:t>
      </w:r>
      <w:r w:rsidR="0080640C" w:rsidRPr="0080640C">
        <w:rPr>
          <w:rFonts w:ascii="Verdana" w:eastAsia="Times New Roman" w:hAnsi="Verdana" w:cs="Arial"/>
          <w:sz w:val="20"/>
          <w:szCs w:val="20"/>
          <w:lang w:val="es-ES" w:eastAsia="es-ES"/>
        </w:rPr>
        <w:t xml:space="preserve"> </w:t>
      </w:r>
      <w:r w:rsidR="00EB4E0D" w:rsidRPr="0080640C">
        <w:rPr>
          <w:rFonts w:ascii="Verdana" w:eastAsia="Times New Roman" w:hAnsi="Verdana" w:cs="Arial"/>
          <w:sz w:val="20"/>
          <w:szCs w:val="20"/>
          <w:lang w:val="es-ES" w:eastAsia="es-ES"/>
        </w:rPr>
        <w:t>necesidad de la participación del paciente</w:t>
      </w:r>
      <w:r w:rsidR="0080640C">
        <w:rPr>
          <w:rFonts w:ascii="Verdana" w:eastAsia="Times New Roman" w:hAnsi="Verdana" w:cs="Arial"/>
          <w:sz w:val="20"/>
          <w:szCs w:val="20"/>
          <w:lang w:val="es-ES" w:eastAsia="es-ES"/>
        </w:rPr>
        <w:t>”</w:t>
      </w:r>
      <w:r w:rsidR="00EB4E0D" w:rsidRPr="0080640C">
        <w:rPr>
          <w:rFonts w:ascii="Verdana" w:eastAsia="Times New Roman" w:hAnsi="Verdana" w:cs="Arial"/>
          <w:sz w:val="20"/>
          <w:szCs w:val="20"/>
          <w:lang w:val="es-ES" w:eastAsia="es-ES"/>
        </w:rPr>
        <w:t xml:space="preserve">. Además el Estado alegó que el </w:t>
      </w:r>
      <w:r w:rsidR="0080640C" w:rsidRPr="0080640C">
        <w:rPr>
          <w:rFonts w:ascii="Verdana" w:eastAsia="Times New Roman" w:hAnsi="Verdana" w:cs="Arial"/>
          <w:sz w:val="20"/>
          <w:szCs w:val="20"/>
          <w:lang w:val="es-ES" w:eastAsia="es-ES"/>
        </w:rPr>
        <w:t xml:space="preserve">representante </w:t>
      </w:r>
      <w:r w:rsidR="0080640C">
        <w:rPr>
          <w:rFonts w:ascii="Verdana" w:eastAsia="Times New Roman" w:hAnsi="Verdana" w:cs="Arial"/>
          <w:sz w:val="20"/>
          <w:szCs w:val="20"/>
          <w:lang w:val="es-ES" w:eastAsia="es-ES"/>
        </w:rPr>
        <w:t>par</w:t>
      </w:r>
      <w:r w:rsidR="00EB4E0D" w:rsidRPr="0080640C">
        <w:rPr>
          <w:rFonts w:ascii="Verdana" w:eastAsia="Times New Roman" w:hAnsi="Verdana" w:cs="Arial"/>
          <w:sz w:val="20"/>
          <w:szCs w:val="20"/>
          <w:lang w:val="es-ES" w:eastAsia="es-ES"/>
        </w:rPr>
        <w:t xml:space="preserve">ece </w:t>
      </w:r>
      <w:r w:rsidR="0080640C">
        <w:rPr>
          <w:rFonts w:ascii="Verdana" w:eastAsia="Times New Roman" w:hAnsi="Verdana" w:cs="Arial"/>
          <w:sz w:val="20"/>
          <w:szCs w:val="20"/>
          <w:lang w:val="es-ES" w:eastAsia="es-ES"/>
        </w:rPr>
        <w:t>confundir</w:t>
      </w:r>
      <w:r w:rsidR="00EB4E0D" w:rsidRPr="0080640C">
        <w:rPr>
          <w:rFonts w:ascii="Verdana" w:eastAsia="Times New Roman" w:hAnsi="Verdana" w:cs="Arial"/>
          <w:sz w:val="20"/>
          <w:szCs w:val="20"/>
          <w:lang w:val="es-ES" w:eastAsia="es-ES"/>
        </w:rPr>
        <w:t xml:space="preserve"> la expresión</w:t>
      </w:r>
      <w:r w:rsidR="0080640C" w:rsidRPr="0080640C">
        <w:rPr>
          <w:rFonts w:ascii="Verdana" w:eastAsia="Times New Roman" w:hAnsi="Verdana" w:cs="Arial"/>
          <w:sz w:val="20"/>
          <w:szCs w:val="20"/>
          <w:lang w:val="es-ES" w:eastAsia="es-ES"/>
        </w:rPr>
        <w:t xml:space="preserve"> </w:t>
      </w:r>
      <w:r w:rsidR="0080640C">
        <w:rPr>
          <w:rFonts w:ascii="Verdana" w:eastAsia="Times New Roman" w:hAnsi="Verdana" w:cs="Arial"/>
          <w:sz w:val="20"/>
          <w:szCs w:val="20"/>
          <w:lang w:val="es-ES" w:eastAsia="es-ES"/>
        </w:rPr>
        <w:t>‘Dosificación’</w:t>
      </w:r>
      <w:r w:rsidR="00EB4E0D" w:rsidRPr="0080640C">
        <w:rPr>
          <w:rFonts w:ascii="Verdana" w:eastAsia="Times New Roman" w:hAnsi="Verdana" w:cs="Arial"/>
          <w:sz w:val="20"/>
          <w:szCs w:val="20"/>
          <w:lang w:val="es-ES" w:eastAsia="es-ES"/>
        </w:rPr>
        <w:t xml:space="preserve"> asumiendo que se trata </w:t>
      </w:r>
      <w:r w:rsidR="0080640C" w:rsidRPr="0080640C">
        <w:rPr>
          <w:rFonts w:ascii="Verdana" w:eastAsia="Times New Roman" w:hAnsi="Verdana" w:cs="Arial"/>
          <w:sz w:val="20"/>
          <w:szCs w:val="20"/>
          <w:lang w:val="es-ES" w:eastAsia="es-ES"/>
        </w:rPr>
        <w:t xml:space="preserve">del </w:t>
      </w:r>
      <w:r w:rsidR="00EB4E0D" w:rsidRPr="0080640C">
        <w:rPr>
          <w:rFonts w:ascii="Verdana" w:eastAsia="Times New Roman" w:hAnsi="Verdana" w:cs="Arial"/>
          <w:sz w:val="20"/>
          <w:szCs w:val="20"/>
          <w:lang w:val="es-ES" w:eastAsia="es-ES"/>
        </w:rPr>
        <w:t xml:space="preserve">examen de </w:t>
      </w:r>
      <w:r w:rsidR="0080640C">
        <w:rPr>
          <w:rFonts w:ascii="Verdana" w:eastAsia="Times New Roman" w:hAnsi="Verdana" w:cs="Arial"/>
          <w:sz w:val="20"/>
          <w:szCs w:val="20"/>
          <w:lang w:val="es-ES" w:eastAsia="es-ES"/>
        </w:rPr>
        <w:t>Dosificació</w:t>
      </w:r>
      <w:r w:rsidR="00EB4E0D" w:rsidRPr="0080640C">
        <w:rPr>
          <w:rFonts w:ascii="Verdana" w:eastAsia="Times New Roman" w:hAnsi="Verdana" w:cs="Arial"/>
          <w:sz w:val="20"/>
          <w:szCs w:val="20"/>
          <w:lang w:val="es-ES" w:eastAsia="es-ES"/>
        </w:rPr>
        <w:t xml:space="preserve">n </w:t>
      </w:r>
      <w:r w:rsidR="00E20AFB">
        <w:rPr>
          <w:rFonts w:ascii="Verdana" w:eastAsia="Times New Roman" w:hAnsi="Verdana" w:cs="Arial"/>
          <w:sz w:val="20"/>
          <w:szCs w:val="20"/>
          <w:lang w:val="es-ES" w:eastAsia="es-ES"/>
        </w:rPr>
        <w:t>S</w:t>
      </w:r>
      <w:r w:rsidR="00E20AFB" w:rsidRPr="0080640C">
        <w:rPr>
          <w:rFonts w:ascii="Verdana" w:eastAsia="Times New Roman" w:hAnsi="Verdana" w:cs="Arial"/>
          <w:sz w:val="20"/>
          <w:szCs w:val="20"/>
          <w:lang w:val="es-ES" w:eastAsia="es-ES"/>
        </w:rPr>
        <w:t>eca</w:t>
      </w:r>
      <w:r w:rsidR="00E20AFB">
        <w:rPr>
          <w:rFonts w:ascii="Verdana" w:eastAsia="Times New Roman" w:hAnsi="Verdana" w:cs="Arial"/>
          <w:sz w:val="20"/>
          <w:szCs w:val="20"/>
          <w:lang w:val="es-ES" w:eastAsia="es-ES"/>
        </w:rPr>
        <w:t>-</w:t>
      </w:r>
      <w:r w:rsidR="00EB4E0D" w:rsidRPr="0080640C">
        <w:rPr>
          <w:rFonts w:ascii="Verdana" w:eastAsia="Times New Roman" w:hAnsi="Verdana" w:cs="Arial"/>
          <w:sz w:val="20"/>
          <w:szCs w:val="20"/>
          <w:lang w:val="es-ES" w:eastAsia="es-ES"/>
        </w:rPr>
        <w:t xml:space="preserve">Medicamentosa, </w:t>
      </w:r>
      <w:r w:rsidR="0080640C">
        <w:rPr>
          <w:rFonts w:ascii="Verdana" w:eastAsia="Times New Roman" w:hAnsi="Verdana" w:cs="Arial"/>
          <w:sz w:val="20"/>
          <w:szCs w:val="20"/>
          <w:lang w:val="es-ES" w:eastAsia="es-ES"/>
        </w:rPr>
        <w:t>cuando</w:t>
      </w:r>
      <w:r w:rsidR="00EB4E0D" w:rsidRPr="0080640C">
        <w:rPr>
          <w:rFonts w:ascii="Verdana" w:eastAsia="Times New Roman" w:hAnsi="Verdana" w:cs="Arial"/>
          <w:sz w:val="20"/>
          <w:szCs w:val="20"/>
          <w:lang w:val="es-ES" w:eastAsia="es-ES"/>
        </w:rPr>
        <w:t xml:space="preserve"> el examen practicado fue el de Resistencia por </w:t>
      </w:r>
      <w:proofErr w:type="spellStart"/>
      <w:r w:rsidR="0080640C">
        <w:rPr>
          <w:rFonts w:ascii="Verdana" w:eastAsia="Times New Roman" w:hAnsi="Verdana" w:cs="Arial"/>
          <w:sz w:val="20"/>
          <w:szCs w:val="20"/>
          <w:lang w:val="es-ES" w:eastAsia="es-ES"/>
        </w:rPr>
        <w:t>Genotipifi</w:t>
      </w:r>
      <w:r w:rsidR="00EB4E0D" w:rsidRPr="0080640C">
        <w:rPr>
          <w:rFonts w:ascii="Verdana" w:eastAsia="Times New Roman" w:hAnsi="Verdana" w:cs="Arial"/>
          <w:sz w:val="20"/>
          <w:szCs w:val="20"/>
          <w:lang w:val="es-ES" w:eastAsia="es-ES"/>
        </w:rPr>
        <w:t>cación</w:t>
      </w:r>
      <w:proofErr w:type="spellEnd"/>
      <w:r w:rsidR="00EB4E0D" w:rsidRPr="0080640C">
        <w:rPr>
          <w:rFonts w:ascii="Verdana" w:eastAsia="Times New Roman" w:hAnsi="Verdana" w:cs="Arial"/>
          <w:sz w:val="20"/>
          <w:szCs w:val="20"/>
          <w:lang w:val="es-ES" w:eastAsia="es-ES"/>
        </w:rPr>
        <w:t xml:space="preserve">. </w:t>
      </w:r>
      <w:r w:rsidR="0080640C">
        <w:rPr>
          <w:rFonts w:ascii="Verdana" w:eastAsia="Times New Roman" w:hAnsi="Verdana" w:cs="Arial"/>
          <w:sz w:val="20"/>
          <w:szCs w:val="20"/>
          <w:lang w:val="es-ES" w:eastAsia="es-ES"/>
        </w:rPr>
        <w:t>Asimismo, el Estado argumentó que no existiría una</w:t>
      </w:r>
      <w:r w:rsidR="00EB4E0D" w:rsidRPr="0080640C">
        <w:rPr>
          <w:rFonts w:ascii="Verdana" w:eastAsia="Times New Roman" w:hAnsi="Verdana" w:cs="Arial"/>
          <w:sz w:val="20"/>
          <w:szCs w:val="20"/>
          <w:lang w:val="es-ES" w:eastAsia="es-ES"/>
        </w:rPr>
        <w:t xml:space="preserve"> necesidad técnica para la práctica</w:t>
      </w:r>
      <w:r w:rsidR="0080640C" w:rsidRPr="0080640C">
        <w:rPr>
          <w:rFonts w:ascii="Verdana" w:eastAsia="Times New Roman" w:hAnsi="Verdana" w:cs="Arial"/>
          <w:sz w:val="20"/>
          <w:szCs w:val="20"/>
          <w:lang w:val="es-ES" w:eastAsia="es-ES"/>
        </w:rPr>
        <w:t xml:space="preserve"> </w:t>
      </w:r>
      <w:r w:rsidR="00EB4E0D" w:rsidRPr="0080640C">
        <w:rPr>
          <w:rFonts w:ascii="Verdana" w:eastAsia="Times New Roman" w:hAnsi="Verdana" w:cs="Arial"/>
          <w:sz w:val="20"/>
          <w:szCs w:val="20"/>
          <w:lang w:val="es-ES" w:eastAsia="es-ES"/>
        </w:rPr>
        <w:t xml:space="preserve">del </w:t>
      </w:r>
      <w:r w:rsidR="0080640C">
        <w:rPr>
          <w:rFonts w:ascii="Verdana" w:eastAsia="Times New Roman" w:hAnsi="Verdana" w:cs="Arial"/>
          <w:sz w:val="20"/>
          <w:szCs w:val="20"/>
          <w:lang w:val="es-ES" w:eastAsia="es-ES"/>
        </w:rPr>
        <w:t>examen de Dosificación Se</w:t>
      </w:r>
      <w:r w:rsidR="0080640C" w:rsidRPr="0080640C">
        <w:rPr>
          <w:rFonts w:ascii="Verdana" w:eastAsia="Times New Roman" w:hAnsi="Verdana" w:cs="Arial"/>
          <w:sz w:val="20"/>
          <w:szCs w:val="20"/>
          <w:lang w:val="es-ES" w:eastAsia="es-ES"/>
        </w:rPr>
        <w:t>ca</w:t>
      </w:r>
      <w:r w:rsidR="00E20AFB">
        <w:rPr>
          <w:rFonts w:ascii="Verdana" w:eastAsia="Times New Roman" w:hAnsi="Verdana" w:cs="Arial"/>
          <w:sz w:val="20"/>
          <w:szCs w:val="20"/>
          <w:lang w:val="es-ES" w:eastAsia="es-ES"/>
        </w:rPr>
        <w:t>-</w:t>
      </w:r>
      <w:r w:rsidR="00EB4E0D" w:rsidRPr="0080640C">
        <w:rPr>
          <w:rFonts w:ascii="Verdana" w:eastAsia="Times New Roman" w:hAnsi="Verdana" w:cs="Arial"/>
          <w:sz w:val="20"/>
          <w:szCs w:val="20"/>
          <w:lang w:val="es-ES" w:eastAsia="es-ES"/>
        </w:rPr>
        <w:t xml:space="preserve">Medicamentosa </w:t>
      </w:r>
      <w:r w:rsidR="0080640C">
        <w:rPr>
          <w:rFonts w:ascii="Verdana" w:eastAsia="Times New Roman" w:hAnsi="Verdana" w:cs="Arial"/>
          <w:sz w:val="20"/>
          <w:szCs w:val="20"/>
          <w:lang w:val="es-ES" w:eastAsia="es-ES"/>
        </w:rPr>
        <w:t>debido a</w:t>
      </w:r>
      <w:r w:rsidR="00EB4E0D" w:rsidRPr="0080640C">
        <w:rPr>
          <w:rFonts w:ascii="Verdana" w:eastAsia="Times New Roman" w:hAnsi="Verdana" w:cs="Arial"/>
          <w:sz w:val="20"/>
          <w:szCs w:val="20"/>
          <w:lang w:val="es-ES" w:eastAsia="es-ES"/>
        </w:rPr>
        <w:t xml:space="preserve"> la intervención de una</w:t>
      </w:r>
      <w:r w:rsidR="0080640C" w:rsidRPr="0080640C">
        <w:rPr>
          <w:rFonts w:ascii="Verdana" w:eastAsia="Times New Roman" w:hAnsi="Verdana" w:cs="Arial"/>
          <w:sz w:val="20"/>
          <w:szCs w:val="20"/>
          <w:lang w:val="es-ES" w:eastAsia="es-ES"/>
        </w:rPr>
        <w:t xml:space="preserve"> </w:t>
      </w:r>
      <w:r w:rsidR="00EB4E0D" w:rsidRPr="0080640C">
        <w:rPr>
          <w:rFonts w:ascii="Verdana" w:eastAsia="Times New Roman" w:hAnsi="Verdana" w:cs="Arial"/>
          <w:sz w:val="20"/>
          <w:szCs w:val="20"/>
          <w:lang w:val="es-ES" w:eastAsia="es-ES"/>
        </w:rPr>
        <w:t xml:space="preserve">prescripción profesional </w:t>
      </w:r>
      <w:r w:rsidR="0080640C" w:rsidRPr="0080640C">
        <w:rPr>
          <w:rFonts w:ascii="Verdana" w:eastAsia="Times New Roman" w:hAnsi="Verdana" w:cs="Arial"/>
          <w:sz w:val="20"/>
          <w:szCs w:val="20"/>
          <w:lang w:val="es-ES" w:eastAsia="es-ES"/>
        </w:rPr>
        <w:t xml:space="preserve">que </w:t>
      </w:r>
      <w:r w:rsidR="00EB4E0D" w:rsidRPr="0080640C">
        <w:rPr>
          <w:rFonts w:ascii="Verdana" w:eastAsia="Times New Roman" w:hAnsi="Verdana" w:cs="Arial"/>
          <w:sz w:val="20"/>
          <w:szCs w:val="20"/>
          <w:lang w:val="es-ES" w:eastAsia="es-ES"/>
        </w:rPr>
        <w:t>modificó el esquema de tratamiento</w:t>
      </w:r>
      <w:r w:rsidR="0080640C" w:rsidRPr="0080640C">
        <w:rPr>
          <w:rFonts w:ascii="Verdana" w:eastAsia="Times New Roman" w:hAnsi="Verdana" w:cs="Arial"/>
          <w:sz w:val="20"/>
          <w:szCs w:val="20"/>
          <w:lang w:val="es-ES" w:eastAsia="es-ES"/>
        </w:rPr>
        <w:t xml:space="preserve"> antirretroviral</w:t>
      </w:r>
      <w:r w:rsidR="00EB4E0D" w:rsidRPr="0080640C">
        <w:rPr>
          <w:rFonts w:ascii="Verdana" w:eastAsia="Times New Roman" w:hAnsi="Verdana" w:cs="Arial"/>
          <w:sz w:val="20"/>
          <w:szCs w:val="20"/>
          <w:lang w:val="es-ES" w:eastAsia="es-ES"/>
        </w:rPr>
        <w:t xml:space="preserve"> a </w:t>
      </w:r>
      <w:r w:rsidR="003C4AA7">
        <w:rPr>
          <w:rFonts w:ascii="Verdana" w:eastAsia="Times New Roman" w:hAnsi="Verdana" w:cs="Arial"/>
          <w:sz w:val="20"/>
          <w:szCs w:val="20"/>
          <w:lang w:val="es-ES" w:eastAsia="es-ES"/>
        </w:rPr>
        <w:t>Talía</w:t>
      </w:r>
      <w:r w:rsidR="0080640C" w:rsidRPr="0080640C">
        <w:rPr>
          <w:rFonts w:ascii="Verdana" w:eastAsia="Times New Roman" w:hAnsi="Verdana" w:cs="Arial"/>
          <w:sz w:val="20"/>
          <w:szCs w:val="20"/>
          <w:lang w:val="es-ES" w:eastAsia="es-ES"/>
        </w:rPr>
        <w:t xml:space="preserve">. </w:t>
      </w:r>
      <w:r w:rsidR="00EB4E0D" w:rsidRPr="0080640C">
        <w:rPr>
          <w:rFonts w:ascii="Verdana" w:eastAsia="Times New Roman" w:hAnsi="Verdana" w:cs="Arial"/>
          <w:sz w:val="20"/>
          <w:szCs w:val="20"/>
          <w:lang w:val="es-ES" w:eastAsia="es-ES"/>
        </w:rPr>
        <w:t xml:space="preserve">Finalmente, el Estado señaló que los datos </w:t>
      </w:r>
      <w:r w:rsidR="0080640C" w:rsidRPr="0080640C">
        <w:rPr>
          <w:rFonts w:ascii="Verdana" w:eastAsia="Times New Roman" w:hAnsi="Verdana" w:cs="Arial"/>
          <w:sz w:val="20"/>
          <w:szCs w:val="20"/>
          <w:lang w:val="es-ES" w:eastAsia="es-ES"/>
        </w:rPr>
        <w:t xml:space="preserve">que </w:t>
      </w:r>
      <w:r w:rsidR="00EB4E0D" w:rsidRPr="0080640C">
        <w:rPr>
          <w:rFonts w:ascii="Verdana" w:eastAsia="Times New Roman" w:hAnsi="Verdana" w:cs="Arial"/>
          <w:sz w:val="20"/>
          <w:szCs w:val="20"/>
          <w:lang w:val="es-ES" w:eastAsia="es-ES"/>
        </w:rPr>
        <w:t>han sido presentados sistemáticamente por el representante en sus diferentes</w:t>
      </w:r>
      <w:r w:rsidR="0080640C" w:rsidRPr="0080640C">
        <w:rPr>
          <w:rFonts w:ascii="Verdana" w:eastAsia="Times New Roman" w:hAnsi="Verdana" w:cs="Arial"/>
          <w:sz w:val="20"/>
          <w:szCs w:val="20"/>
          <w:lang w:val="es-ES" w:eastAsia="es-ES"/>
        </w:rPr>
        <w:t xml:space="preserve"> </w:t>
      </w:r>
      <w:r w:rsidR="00EB4E0D" w:rsidRPr="0080640C">
        <w:rPr>
          <w:rFonts w:ascii="Verdana" w:eastAsia="Times New Roman" w:hAnsi="Verdana" w:cs="Arial"/>
          <w:sz w:val="20"/>
          <w:szCs w:val="20"/>
          <w:lang w:val="es-ES" w:eastAsia="es-ES"/>
        </w:rPr>
        <w:t xml:space="preserve">escritos han </w:t>
      </w:r>
      <w:r w:rsidR="0080640C" w:rsidRPr="0080640C">
        <w:rPr>
          <w:rFonts w:ascii="Verdana" w:eastAsia="Times New Roman" w:hAnsi="Verdana" w:cs="Arial"/>
          <w:sz w:val="20"/>
          <w:szCs w:val="20"/>
          <w:lang w:val="es-ES" w:eastAsia="es-ES"/>
        </w:rPr>
        <w:t xml:space="preserve">sido </w:t>
      </w:r>
      <w:r w:rsidR="00EB4E0D" w:rsidRPr="0080640C">
        <w:rPr>
          <w:rFonts w:ascii="Verdana" w:eastAsia="Times New Roman" w:hAnsi="Verdana" w:cs="Arial"/>
          <w:sz w:val="20"/>
          <w:szCs w:val="20"/>
          <w:lang w:val="es-ES" w:eastAsia="es-ES"/>
        </w:rPr>
        <w:t xml:space="preserve">imprecisos, erróneos y </w:t>
      </w:r>
      <w:r w:rsidR="0080640C">
        <w:rPr>
          <w:rFonts w:ascii="Verdana" w:eastAsia="Times New Roman" w:hAnsi="Verdana" w:cs="Arial"/>
          <w:sz w:val="20"/>
          <w:szCs w:val="20"/>
          <w:lang w:val="es-ES" w:eastAsia="es-ES"/>
        </w:rPr>
        <w:t>ambiguo</w:t>
      </w:r>
      <w:r w:rsidR="0080640C" w:rsidRPr="0080640C">
        <w:rPr>
          <w:rFonts w:ascii="Verdana" w:eastAsia="Times New Roman" w:hAnsi="Verdana" w:cs="Arial"/>
          <w:sz w:val="20"/>
          <w:szCs w:val="20"/>
          <w:lang w:val="es-ES" w:eastAsia="es-ES"/>
        </w:rPr>
        <w:t>s.</w:t>
      </w:r>
    </w:p>
    <w:p w:rsidR="00D603CA" w:rsidRPr="00D603CA" w:rsidRDefault="00D603CA" w:rsidP="00D603CA">
      <w:pPr>
        <w:tabs>
          <w:tab w:val="left" w:pos="540"/>
        </w:tabs>
        <w:autoSpaceDE w:val="0"/>
        <w:autoSpaceDN w:val="0"/>
        <w:adjustRightInd w:val="0"/>
        <w:ind w:right="-72"/>
        <w:jc w:val="both"/>
        <w:rPr>
          <w:rFonts w:ascii="Verdana" w:hAnsi="Verdana"/>
          <w:sz w:val="20"/>
          <w:szCs w:val="20"/>
          <w:lang w:val="es-ES"/>
        </w:rPr>
      </w:pPr>
    </w:p>
    <w:p w:rsidR="00881A00" w:rsidRPr="0027594F" w:rsidRDefault="00D603CA" w:rsidP="00881A00">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051C01">
        <w:rPr>
          <w:rFonts w:ascii="Verdana" w:hAnsi="Verdana"/>
          <w:sz w:val="20"/>
          <w:szCs w:val="20"/>
          <w:lang w:val="es-ES"/>
        </w:rPr>
        <w:t xml:space="preserve">En respuesta a las observaciones del Estado, el </w:t>
      </w:r>
      <w:r w:rsidRPr="00051C01">
        <w:rPr>
          <w:rFonts w:ascii="Verdana" w:hAnsi="Verdana"/>
          <w:b/>
          <w:i/>
          <w:sz w:val="20"/>
          <w:szCs w:val="20"/>
          <w:lang w:val="es-ES"/>
        </w:rPr>
        <w:t>representante</w:t>
      </w:r>
      <w:r w:rsidRPr="00051C01">
        <w:rPr>
          <w:rFonts w:ascii="Verdana" w:hAnsi="Verdana"/>
          <w:sz w:val="20"/>
          <w:szCs w:val="20"/>
          <w:lang w:val="es-ES"/>
        </w:rPr>
        <w:t xml:space="preserve"> señaló que </w:t>
      </w:r>
      <w:r w:rsidR="003C4AA7">
        <w:rPr>
          <w:rFonts w:ascii="Verdana" w:hAnsi="Verdana"/>
          <w:sz w:val="20"/>
          <w:szCs w:val="20"/>
          <w:lang w:val="es-ES"/>
        </w:rPr>
        <w:t>Talía</w:t>
      </w:r>
      <w:r w:rsidRPr="00051C01">
        <w:rPr>
          <w:rFonts w:ascii="Verdana" w:hAnsi="Verdana"/>
          <w:sz w:val="20"/>
          <w:szCs w:val="20"/>
          <w:lang w:val="es-ES"/>
        </w:rPr>
        <w:t xml:space="preserve"> </w:t>
      </w:r>
      <w:r>
        <w:rPr>
          <w:rFonts w:ascii="Verdana" w:hAnsi="Verdana"/>
          <w:sz w:val="20"/>
          <w:szCs w:val="20"/>
          <w:lang w:val="es-ES"/>
        </w:rPr>
        <w:t>afirmaba haber acudido a todas las citas médicas que le fueron señaladas, y que no habría acudido sin cita previa</w:t>
      </w:r>
      <w:r w:rsidRPr="00051C01">
        <w:rPr>
          <w:rFonts w:ascii="Verdana" w:eastAsia="Calibri" w:hAnsi="Verdana" w:cs="Verdana"/>
          <w:sz w:val="20"/>
          <w:szCs w:val="20"/>
        </w:rPr>
        <w:t>.</w:t>
      </w:r>
      <w:r w:rsidR="00881A00">
        <w:rPr>
          <w:rFonts w:ascii="Verdana" w:eastAsia="Calibri" w:hAnsi="Verdana" w:cs="Verdana"/>
          <w:sz w:val="20"/>
          <w:szCs w:val="20"/>
        </w:rPr>
        <w:t xml:space="preserve"> Además </w:t>
      </w:r>
      <w:r w:rsidR="008C4697">
        <w:rPr>
          <w:rFonts w:ascii="Verdana" w:eastAsia="Calibri" w:hAnsi="Verdana" w:cs="Verdana"/>
          <w:sz w:val="20"/>
          <w:szCs w:val="20"/>
        </w:rPr>
        <w:t>alegó</w:t>
      </w:r>
      <w:r w:rsidR="00881A00">
        <w:rPr>
          <w:rFonts w:ascii="Verdana" w:eastAsia="Calibri" w:hAnsi="Verdana" w:cs="Verdana"/>
          <w:sz w:val="20"/>
          <w:szCs w:val="20"/>
        </w:rPr>
        <w:t xml:space="preserve"> que ni </w:t>
      </w:r>
      <w:r w:rsidR="003C4AA7">
        <w:rPr>
          <w:rFonts w:ascii="Verdana" w:eastAsia="Calibri" w:hAnsi="Verdana" w:cs="Verdana"/>
          <w:sz w:val="20"/>
          <w:szCs w:val="20"/>
        </w:rPr>
        <w:t>Talía</w:t>
      </w:r>
      <w:r w:rsidR="00881A00">
        <w:rPr>
          <w:rFonts w:ascii="Verdana" w:eastAsia="Calibri" w:hAnsi="Verdana" w:cs="Verdana"/>
          <w:sz w:val="20"/>
          <w:szCs w:val="20"/>
        </w:rPr>
        <w:t xml:space="preserve"> ni su familia saben, ni les han explicado, sobre el procedimiento, los exámenes, los instructivos y el funcionamiento de la </w:t>
      </w:r>
      <w:r w:rsidR="00881A00" w:rsidRPr="0080640C">
        <w:rPr>
          <w:rFonts w:ascii="Verdana" w:hAnsi="Verdana"/>
          <w:sz w:val="20"/>
          <w:szCs w:val="20"/>
          <w:lang w:val="es-ES"/>
        </w:rPr>
        <w:t>Red Complementaria de Salud</w:t>
      </w:r>
      <w:r w:rsidR="00881A00">
        <w:rPr>
          <w:rFonts w:ascii="Verdana" w:hAnsi="Verdana"/>
          <w:sz w:val="20"/>
          <w:szCs w:val="20"/>
          <w:lang w:val="es-ES"/>
        </w:rPr>
        <w:t>.</w:t>
      </w:r>
      <w:r w:rsidR="00ED7D5D">
        <w:rPr>
          <w:rFonts w:ascii="Verdana" w:hAnsi="Verdana"/>
          <w:sz w:val="20"/>
          <w:szCs w:val="20"/>
          <w:lang w:val="es-ES"/>
        </w:rPr>
        <w:t xml:space="preserve"> Asimismo, </w:t>
      </w:r>
      <w:r w:rsidR="008C4697">
        <w:rPr>
          <w:rFonts w:ascii="Verdana" w:hAnsi="Verdana"/>
          <w:sz w:val="20"/>
          <w:szCs w:val="20"/>
          <w:lang w:val="es-ES"/>
        </w:rPr>
        <w:t xml:space="preserve">argumentó que el tratamiento en el Hospital Militar ha sido otorgado, no de forma automática, sino como consecuencia de esfuerzos de la propia </w:t>
      </w:r>
      <w:r w:rsidR="003C4AA7">
        <w:rPr>
          <w:rFonts w:ascii="Verdana" w:hAnsi="Verdana"/>
          <w:sz w:val="20"/>
          <w:szCs w:val="20"/>
          <w:lang w:val="es-ES"/>
        </w:rPr>
        <w:t>Talía</w:t>
      </w:r>
      <w:r w:rsidR="008C4697">
        <w:rPr>
          <w:rFonts w:ascii="Verdana" w:hAnsi="Verdana"/>
          <w:sz w:val="20"/>
          <w:szCs w:val="20"/>
          <w:lang w:val="es-ES"/>
        </w:rPr>
        <w:t xml:space="preserve"> y su familia, acudiendo a este hospital y a hospitales privados porque a través de los servicios de salud “no reciben información adecuada, con calidez y oportuna”. En lo relativo a la confusión en la práctica de los exámenes, el representante sostuvo que dicha confusión fue por parte de los médicos del Estado, sin que </w:t>
      </w:r>
      <w:r w:rsidR="003C4AA7">
        <w:rPr>
          <w:rFonts w:ascii="Verdana" w:hAnsi="Verdana"/>
          <w:sz w:val="20"/>
          <w:szCs w:val="20"/>
          <w:lang w:val="es-ES"/>
        </w:rPr>
        <w:t>Talía</w:t>
      </w:r>
      <w:r w:rsidR="008C4697">
        <w:rPr>
          <w:rFonts w:ascii="Verdana" w:hAnsi="Verdana"/>
          <w:sz w:val="20"/>
          <w:szCs w:val="20"/>
          <w:lang w:val="es-ES"/>
        </w:rPr>
        <w:t xml:space="preserve"> deba conocer de manera específica aspectos médicos especializados. Finalmente, alegó que a </w:t>
      </w:r>
      <w:r w:rsidR="003C4AA7">
        <w:rPr>
          <w:rFonts w:ascii="Verdana" w:hAnsi="Verdana"/>
          <w:sz w:val="20"/>
          <w:szCs w:val="20"/>
          <w:lang w:val="es-ES"/>
        </w:rPr>
        <w:t>Talía</w:t>
      </w:r>
      <w:r w:rsidR="008C4697">
        <w:rPr>
          <w:rFonts w:ascii="Verdana" w:hAnsi="Verdana"/>
          <w:sz w:val="20"/>
          <w:szCs w:val="20"/>
          <w:lang w:val="es-ES"/>
        </w:rPr>
        <w:t xml:space="preserve"> no se le habría informado sobre la ausencia de necesidad </w:t>
      </w:r>
      <w:r w:rsidR="008C4697" w:rsidRPr="0080640C">
        <w:rPr>
          <w:rFonts w:ascii="Verdana" w:eastAsia="Times New Roman" w:hAnsi="Verdana" w:cs="Arial"/>
          <w:sz w:val="20"/>
          <w:szCs w:val="20"/>
          <w:lang w:val="es-ES" w:eastAsia="es-ES"/>
        </w:rPr>
        <w:t xml:space="preserve">la práctica del </w:t>
      </w:r>
      <w:r w:rsidR="008C4697">
        <w:rPr>
          <w:rFonts w:ascii="Verdana" w:eastAsia="Times New Roman" w:hAnsi="Verdana" w:cs="Arial"/>
          <w:sz w:val="20"/>
          <w:szCs w:val="20"/>
          <w:lang w:val="es-ES" w:eastAsia="es-ES"/>
        </w:rPr>
        <w:t>examen de Dosificación Se</w:t>
      </w:r>
      <w:r w:rsidR="008C4697" w:rsidRPr="0080640C">
        <w:rPr>
          <w:rFonts w:ascii="Verdana" w:eastAsia="Times New Roman" w:hAnsi="Verdana" w:cs="Arial"/>
          <w:sz w:val="20"/>
          <w:szCs w:val="20"/>
          <w:lang w:val="es-ES" w:eastAsia="es-ES"/>
        </w:rPr>
        <w:t>ca</w:t>
      </w:r>
      <w:r w:rsidR="00597F77">
        <w:rPr>
          <w:rFonts w:ascii="Verdana" w:eastAsia="Times New Roman" w:hAnsi="Verdana" w:cs="Arial"/>
          <w:sz w:val="20"/>
          <w:szCs w:val="20"/>
          <w:lang w:val="es-ES" w:eastAsia="es-ES"/>
        </w:rPr>
        <w:t>-</w:t>
      </w:r>
      <w:r w:rsidR="008C4697" w:rsidRPr="0080640C">
        <w:rPr>
          <w:rFonts w:ascii="Verdana" w:eastAsia="Times New Roman" w:hAnsi="Verdana" w:cs="Arial"/>
          <w:sz w:val="20"/>
          <w:szCs w:val="20"/>
          <w:lang w:val="es-ES" w:eastAsia="es-ES"/>
        </w:rPr>
        <w:t>Medicamentosa</w:t>
      </w:r>
      <w:r w:rsidR="008C4697">
        <w:rPr>
          <w:rFonts w:ascii="Verdana" w:eastAsia="Times New Roman" w:hAnsi="Verdana" w:cs="Arial"/>
          <w:sz w:val="20"/>
          <w:szCs w:val="20"/>
          <w:lang w:val="es-ES" w:eastAsia="es-ES"/>
        </w:rPr>
        <w:t xml:space="preserve"> y señaló la urgencia de realizar un diagnóstico acerca del conteo de CD4 y de la carga viral. </w:t>
      </w:r>
    </w:p>
    <w:p w:rsidR="0027594F" w:rsidRPr="0027594F" w:rsidRDefault="0027594F" w:rsidP="0027594F">
      <w:pPr>
        <w:tabs>
          <w:tab w:val="left" w:pos="540"/>
        </w:tabs>
        <w:autoSpaceDE w:val="0"/>
        <w:autoSpaceDN w:val="0"/>
        <w:adjustRightInd w:val="0"/>
        <w:ind w:right="-72"/>
        <w:jc w:val="both"/>
        <w:rPr>
          <w:rFonts w:ascii="Verdana" w:hAnsi="Verdana"/>
          <w:sz w:val="20"/>
          <w:szCs w:val="20"/>
          <w:lang w:val="es-ES"/>
        </w:rPr>
      </w:pPr>
    </w:p>
    <w:p w:rsidR="0027594F" w:rsidRPr="0027594F" w:rsidRDefault="0027594F" w:rsidP="0027594F">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eastAsia="Times New Roman" w:hAnsi="Verdana" w:cs="Arial"/>
          <w:sz w:val="20"/>
          <w:szCs w:val="20"/>
          <w:lang w:val="es-ES" w:eastAsia="es-ES"/>
        </w:rPr>
        <w:t xml:space="preserve">Anexo al escrito del representante, Talía Gabriela Gonzales </w:t>
      </w:r>
      <w:proofErr w:type="spellStart"/>
      <w:r>
        <w:rPr>
          <w:rFonts w:ascii="Verdana" w:eastAsia="Times New Roman" w:hAnsi="Verdana" w:cs="Arial"/>
          <w:sz w:val="20"/>
          <w:szCs w:val="20"/>
          <w:lang w:val="es-ES" w:eastAsia="es-ES"/>
        </w:rPr>
        <w:t>Lluy</w:t>
      </w:r>
      <w:proofErr w:type="spellEnd"/>
      <w:r>
        <w:rPr>
          <w:rFonts w:ascii="Verdana" w:eastAsia="Times New Roman" w:hAnsi="Verdana" w:cs="Arial"/>
          <w:sz w:val="20"/>
          <w:szCs w:val="20"/>
          <w:lang w:val="es-ES" w:eastAsia="es-ES"/>
        </w:rPr>
        <w:t xml:space="preserve"> envió una carta </w:t>
      </w:r>
      <w:r w:rsidR="00597F77">
        <w:rPr>
          <w:rFonts w:ascii="Verdana" w:eastAsia="Times New Roman" w:hAnsi="Verdana" w:cs="Arial"/>
          <w:sz w:val="20"/>
          <w:szCs w:val="20"/>
          <w:lang w:val="es-ES" w:eastAsia="es-ES"/>
        </w:rPr>
        <w:t xml:space="preserve">dirigida </w:t>
      </w:r>
      <w:r>
        <w:rPr>
          <w:rFonts w:ascii="Verdana" w:eastAsia="Times New Roman" w:hAnsi="Verdana" w:cs="Arial"/>
          <w:sz w:val="20"/>
          <w:szCs w:val="20"/>
          <w:lang w:val="es-ES" w:eastAsia="es-ES"/>
        </w:rPr>
        <w:t>a</w:t>
      </w:r>
      <w:r w:rsidR="00597F77">
        <w:rPr>
          <w:rFonts w:ascii="Verdana" w:eastAsia="Times New Roman" w:hAnsi="Verdana" w:cs="Arial"/>
          <w:sz w:val="20"/>
          <w:szCs w:val="20"/>
          <w:lang w:val="es-ES" w:eastAsia="es-ES"/>
        </w:rPr>
        <w:t xml:space="preserve"> este</w:t>
      </w:r>
      <w:r>
        <w:rPr>
          <w:rFonts w:ascii="Verdana" w:eastAsia="Times New Roman" w:hAnsi="Verdana" w:cs="Arial"/>
          <w:sz w:val="20"/>
          <w:szCs w:val="20"/>
          <w:lang w:val="es-ES" w:eastAsia="es-ES"/>
        </w:rPr>
        <w:t xml:space="preserve"> Tribunal en la cual expuso que su “situación es muy dolorosa y humillante” y que después de la última comunicación del Estado “</w:t>
      </w:r>
      <w:proofErr w:type="spellStart"/>
      <w:r>
        <w:rPr>
          <w:rFonts w:ascii="Verdana" w:eastAsia="Times New Roman" w:hAnsi="Verdana" w:cs="Arial"/>
          <w:sz w:val="20"/>
          <w:szCs w:val="20"/>
          <w:lang w:val="es-ES" w:eastAsia="es-ES"/>
        </w:rPr>
        <w:t>prefier</w:t>
      </w:r>
      <w:proofErr w:type="spellEnd"/>
      <w:r>
        <w:rPr>
          <w:rFonts w:ascii="Verdana" w:eastAsia="Times New Roman" w:hAnsi="Verdana" w:cs="Arial"/>
          <w:sz w:val="20"/>
          <w:szCs w:val="20"/>
          <w:lang w:val="es-ES" w:eastAsia="es-ES"/>
        </w:rPr>
        <w:t>[e] ya no seguir leyendo más mentiras” ya que “</w:t>
      </w:r>
      <w:proofErr w:type="spellStart"/>
      <w:r>
        <w:rPr>
          <w:rFonts w:ascii="Verdana" w:eastAsia="Times New Roman" w:hAnsi="Verdana" w:cs="Arial"/>
          <w:sz w:val="20"/>
          <w:szCs w:val="20"/>
          <w:lang w:val="es-ES" w:eastAsia="es-ES"/>
        </w:rPr>
        <w:t>sient</w:t>
      </w:r>
      <w:proofErr w:type="spellEnd"/>
      <w:r>
        <w:rPr>
          <w:rFonts w:ascii="Verdana" w:eastAsia="Times New Roman" w:hAnsi="Verdana" w:cs="Arial"/>
          <w:sz w:val="20"/>
          <w:szCs w:val="20"/>
          <w:lang w:val="es-ES" w:eastAsia="es-ES"/>
        </w:rPr>
        <w:t xml:space="preserve">[e] que el Estado [l]e aplastó y ya no </w:t>
      </w:r>
      <w:proofErr w:type="gramStart"/>
      <w:r>
        <w:rPr>
          <w:rFonts w:ascii="Verdana" w:eastAsia="Times New Roman" w:hAnsi="Verdana" w:cs="Arial"/>
          <w:sz w:val="20"/>
          <w:szCs w:val="20"/>
          <w:lang w:val="es-ES" w:eastAsia="es-ES"/>
        </w:rPr>
        <w:t>t[</w:t>
      </w:r>
      <w:proofErr w:type="spellStart"/>
      <w:proofErr w:type="gramEnd"/>
      <w:r>
        <w:rPr>
          <w:rFonts w:ascii="Verdana" w:eastAsia="Times New Roman" w:hAnsi="Verdana" w:cs="Arial"/>
          <w:sz w:val="20"/>
          <w:szCs w:val="20"/>
          <w:lang w:val="es-ES" w:eastAsia="es-ES"/>
        </w:rPr>
        <w:t>iene</w:t>
      </w:r>
      <w:proofErr w:type="spellEnd"/>
      <w:r>
        <w:rPr>
          <w:rFonts w:ascii="Verdana" w:eastAsia="Times New Roman" w:hAnsi="Verdana" w:cs="Arial"/>
          <w:sz w:val="20"/>
          <w:szCs w:val="20"/>
          <w:lang w:val="es-ES" w:eastAsia="es-ES"/>
        </w:rPr>
        <w:t xml:space="preserve">] más fuerzas para </w:t>
      </w:r>
      <w:r>
        <w:rPr>
          <w:rFonts w:ascii="Verdana" w:eastAsia="Times New Roman" w:hAnsi="Verdana" w:cs="Arial"/>
          <w:sz w:val="20"/>
          <w:szCs w:val="20"/>
          <w:lang w:val="es-ES" w:eastAsia="es-ES"/>
        </w:rPr>
        <w:lastRenderedPageBreak/>
        <w:t xml:space="preserve">levantar[se]”. Por lo que dicha carta sería “la última carta que </w:t>
      </w:r>
      <w:proofErr w:type="spellStart"/>
      <w:r>
        <w:rPr>
          <w:rFonts w:ascii="Verdana" w:eastAsia="Times New Roman" w:hAnsi="Verdana" w:cs="Arial"/>
          <w:sz w:val="20"/>
          <w:szCs w:val="20"/>
          <w:lang w:val="es-ES" w:eastAsia="es-ES"/>
        </w:rPr>
        <w:t>escrib</w:t>
      </w:r>
      <w:proofErr w:type="spellEnd"/>
      <w:r>
        <w:rPr>
          <w:rFonts w:ascii="Verdana" w:eastAsia="Times New Roman" w:hAnsi="Verdana" w:cs="Arial"/>
          <w:sz w:val="20"/>
          <w:szCs w:val="20"/>
          <w:lang w:val="es-ES" w:eastAsia="es-ES"/>
        </w:rPr>
        <w:t>[e]</w:t>
      </w:r>
      <w:r w:rsidR="001340FA">
        <w:rPr>
          <w:rFonts w:ascii="Verdana" w:eastAsia="Times New Roman" w:hAnsi="Verdana" w:cs="Arial"/>
          <w:sz w:val="20"/>
          <w:szCs w:val="20"/>
          <w:lang w:val="es-ES" w:eastAsia="es-ES"/>
        </w:rPr>
        <w:t xml:space="preserve"> por consideración a [sus] convicciones</w:t>
      </w:r>
      <w:r>
        <w:rPr>
          <w:rFonts w:ascii="Verdana" w:eastAsia="Times New Roman" w:hAnsi="Verdana" w:cs="Arial"/>
          <w:sz w:val="20"/>
          <w:szCs w:val="20"/>
          <w:lang w:val="es-ES" w:eastAsia="es-ES"/>
        </w:rPr>
        <w:t>”.</w:t>
      </w:r>
    </w:p>
    <w:p w:rsidR="00B553FC" w:rsidRDefault="00B553FC" w:rsidP="00B553FC">
      <w:pPr>
        <w:pStyle w:val="ListParagraph"/>
        <w:rPr>
          <w:rFonts w:ascii="Verdana" w:hAnsi="Verdana"/>
          <w:sz w:val="20"/>
          <w:szCs w:val="20"/>
          <w:lang w:val="es-ES"/>
        </w:rPr>
      </w:pPr>
    </w:p>
    <w:p w:rsidR="002B025D" w:rsidRPr="002B025D" w:rsidRDefault="00A43423" w:rsidP="00B553FC">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 xml:space="preserve">De la información presentada por las partes, la Corte constata que en el marco del trámite de la presente solicitud de medidas provisionales, el Estado ha tomado medidas concretas para mitigar la situación de extrema gravedad y urgencia, así como la posibilidad de la consumación de un daño irreparable a la vida, salud e integridad de </w:t>
      </w:r>
      <w:r w:rsidR="003C4AA7">
        <w:rPr>
          <w:rFonts w:ascii="Verdana" w:hAnsi="Verdana"/>
          <w:sz w:val="20"/>
          <w:szCs w:val="20"/>
          <w:lang w:val="es-ES"/>
        </w:rPr>
        <w:t>Talía</w:t>
      </w:r>
      <w:r>
        <w:rPr>
          <w:rFonts w:ascii="Verdana" w:hAnsi="Verdana"/>
          <w:sz w:val="20"/>
          <w:szCs w:val="20"/>
          <w:lang w:val="es-ES"/>
        </w:rPr>
        <w:t xml:space="preserve"> Gonzales </w:t>
      </w:r>
      <w:proofErr w:type="spellStart"/>
      <w:r>
        <w:rPr>
          <w:rFonts w:ascii="Verdana" w:hAnsi="Verdana"/>
          <w:sz w:val="20"/>
          <w:szCs w:val="20"/>
          <w:lang w:val="es-ES"/>
        </w:rPr>
        <w:t>Lluy</w:t>
      </w:r>
      <w:proofErr w:type="spellEnd"/>
      <w:r>
        <w:rPr>
          <w:rFonts w:ascii="Verdana" w:hAnsi="Verdana"/>
          <w:sz w:val="20"/>
          <w:szCs w:val="20"/>
          <w:lang w:val="es-ES"/>
        </w:rPr>
        <w:t xml:space="preserve">. En este sentido, se ha acreditado que el Estado ha realizado diversos esfuerzos para practicarle </w:t>
      </w:r>
      <w:r w:rsidR="00672011">
        <w:rPr>
          <w:rFonts w:ascii="Verdana" w:hAnsi="Verdana"/>
          <w:sz w:val="20"/>
          <w:szCs w:val="20"/>
          <w:lang w:val="es-ES"/>
        </w:rPr>
        <w:t>el examen necesario</w:t>
      </w:r>
      <w:r>
        <w:rPr>
          <w:rFonts w:ascii="Verdana" w:hAnsi="Verdana"/>
          <w:sz w:val="20"/>
          <w:szCs w:val="20"/>
          <w:lang w:val="es-ES"/>
        </w:rPr>
        <w:t xml:space="preserve"> a </w:t>
      </w:r>
      <w:r w:rsidR="003C4AA7">
        <w:rPr>
          <w:rFonts w:ascii="Verdana" w:hAnsi="Verdana"/>
          <w:sz w:val="20"/>
          <w:szCs w:val="20"/>
          <w:lang w:val="es-ES"/>
        </w:rPr>
        <w:t>Talía</w:t>
      </w:r>
      <w:r>
        <w:rPr>
          <w:rFonts w:ascii="Verdana" w:hAnsi="Verdana"/>
          <w:sz w:val="20"/>
          <w:szCs w:val="20"/>
          <w:lang w:val="es-ES"/>
        </w:rPr>
        <w:t xml:space="preserve"> con el fin de determinar si ésta presenta alguna resistencia al tratamiento médico que se le estaba aplicando y de este modo decidir cómo tratarla,</w:t>
      </w:r>
      <w:r>
        <w:rPr>
          <w:rFonts w:ascii="Verdana" w:eastAsia="Calibri" w:hAnsi="Verdana" w:cs="Verdana"/>
          <w:sz w:val="20"/>
          <w:szCs w:val="20"/>
        </w:rPr>
        <w:t xml:space="preserve"> así como el control diario de toma de medicamentos antirretrovirales por parte de </w:t>
      </w:r>
      <w:r w:rsidR="003C4AA7">
        <w:rPr>
          <w:rFonts w:ascii="Verdana" w:eastAsia="Calibri" w:hAnsi="Verdana" w:cs="Verdana"/>
          <w:sz w:val="20"/>
          <w:szCs w:val="20"/>
        </w:rPr>
        <w:t>Talía</w:t>
      </w:r>
      <w:r>
        <w:rPr>
          <w:rStyle w:val="FootnoteReference"/>
          <w:rFonts w:eastAsia="Calibri" w:cs="Verdana"/>
          <w:sz w:val="20"/>
          <w:szCs w:val="20"/>
        </w:rPr>
        <w:footnoteReference w:id="15"/>
      </w:r>
      <w:r>
        <w:rPr>
          <w:rFonts w:ascii="Verdana" w:eastAsia="Calibri" w:hAnsi="Verdana" w:cs="Verdana"/>
          <w:sz w:val="20"/>
          <w:szCs w:val="20"/>
        </w:rPr>
        <w:t xml:space="preserve">. </w:t>
      </w:r>
    </w:p>
    <w:p w:rsidR="002B025D" w:rsidRDefault="002B025D" w:rsidP="002B025D">
      <w:pPr>
        <w:pStyle w:val="ListParagraph"/>
        <w:rPr>
          <w:rFonts w:ascii="Verdana" w:eastAsia="Calibri" w:hAnsi="Verdana" w:cs="Verdana"/>
          <w:sz w:val="20"/>
          <w:szCs w:val="20"/>
        </w:rPr>
      </w:pPr>
    </w:p>
    <w:p w:rsidR="00CB26E7" w:rsidRDefault="002B025D" w:rsidP="00CB26E7">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2B025D">
        <w:rPr>
          <w:rFonts w:ascii="Verdana" w:eastAsia="Calibri" w:hAnsi="Verdana" w:cs="Verdana"/>
          <w:sz w:val="20"/>
          <w:szCs w:val="20"/>
        </w:rPr>
        <w:t>Al respect</w:t>
      </w:r>
      <w:r w:rsidR="00A43423" w:rsidRPr="002B025D">
        <w:rPr>
          <w:rFonts w:ascii="Verdana" w:eastAsia="Calibri" w:hAnsi="Verdana" w:cs="Verdana"/>
          <w:sz w:val="20"/>
          <w:szCs w:val="20"/>
        </w:rPr>
        <w:t xml:space="preserve">o, este Tribunal observa que </w:t>
      </w:r>
      <w:r w:rsidRPr="002B025D">
        <w:rPr>
          <w:rFonts w:ascii="Verdana" w:eastAsia="Calibri" w:hAnsi="Verdana" w:cs="Verdana"/>
          <w:sz w:val="20"/>
          <w:szCs w:val="20"/>
        </w:rPr>
        <w:t>el médico encargado del hospital de Azogues del</w:t>
      </w:r>
      <w:r w:rsidR="00A43423" w:rsidRPr="002B025D">
        <w:rPr>
          <w:rFonts w:ascii="Verdana" w:eastAsia="Calibri" w:hAnsi="Verdana" w:cs="Verdana"/>
          <w:sz w:val="20"/>
          <w:szCs w:val="20"/>
        </w:rPr>
        <w:t xml:space="preserve"> Ministerio de Salud Pública </w:t>
      </w:r>
      <w:r w:rsidRPr="002B025D">
        <w:rPr>
          <w:rFonts w:ascii="Verdana" w:eastAsia="Calibri" w:hAnsi="Verdana" w:cs="Verdana"/>
          <w:sz w:val="20"/>
          <w:szCs w:val="20"/>
        </w:rPr>
        <w:t xml:space="preserve">realizó diversas comunicaciones telefónicas en el mes de julio de 2015 a </w:t>
      </w:r>
      <w:r w:rsidR="003C4AA7">
        <w:rPr>
          <w:rFonts w:ascii="Verdana" w:eastAsia="Calibri" w:hAnsi="Verdana" w:cs="Verdana"/>
          <w:sz w:val="20"/>
          <w:szCs w:val="20"/>
        </w:rPr>
        <w:t>Talía</w:t>
      </w:r>
      <w:r w:rsidRPr="002B025D">
        <w:rPr>
          <w:rFonts w:ascii="Verdana" w:eastAsia="Calibri" w:hAnsi="Verdana" w:cs="Verdana"/>
          <w:sz w:val="20"/>
          <w:szCs w:val="20"/>
        </w:rPr>
        <w:t xml:space="preserve"> Gonzales </w:t>
      </w:r>
      <w:proofErr w:type="spellStart"/>
      <w:r w:rsidRPr="002B025D">
        <w:rPr>
          <w:rFonts w:ascii="Verdana" w:eastAsia="Calibri" w:hAnsi="Verdana" w:cs="Verdana"/>
          <w:sz w:val="20"/>
          <w:szCs w:val="20"/>
        </w:rPr>
        <w:t>Lluy</w:t>
      </w:r>
      <w:proofErr w:type="spellEnd"/>
      <w:r w:rsidRPr="002B025D">
        <w:rPr>
          <w:rFonts w:ascii="Verdana" w:eastAsia="Calibri" w:hAnsi="Verdana" w:cs="Verdana"/>
          <w:sz w:val="20"/>
          <w:szCs w:val="20"/>
        </w:rPr>
        <w:t xml:space="preserve">, con el fin de comunicarle sobre la necesidad de practicarle el examen de Resistencia por </w:t>
      </w:r>
      <w:proofErr w:type="spellStart"/>
      <w:r w:rsidRPr="002B025D">
        <w:rPr>
          <w:rFonts w:ascii="Verdana" w:eastAsia="Calibri" w:hAnsi="Verdana" w:cs="Verdana"/>
          <w:sz w:val="20"/>
          <w:szCs w:val="20"/>
        </w:rPr>
        <w:t>Genotipificación</w:t>
      </w:r>
      <w:proofErr w:type="spellEnd"/>
      <w:r>
        <w:rPr>
          <w:rStyle w:val="FootnoteReference"/>
          <w:rFonts w:eastAsia="Calibri" w:cs="Verdana"/>
          <w:szCs w:val="20"/>
        </w:rPr>
        <w:footnoteReference w:id="16"/>
      </w:r>
      <w:r w:rsidRPr="002B025D">
        <w:rPr>
          <w:rFonts w:ascii="Verdana" w:eastAsia="Calibri" w:hAnsi="Verdana" w:cs="Verdana"/>
          <w:sz w:val="20"/>
          <w:szCs w:val="20"/>
        </w:rPr>
        <w:t xml:space="preserve">. Además, </w:t>
      </w:r>
      <w:r w:rsidR="006E5B4D">
        <w:rPr>
          <w:rFonts w:ascii="Verdana" w:eastAsia="Calibri" w:hAnsi="Verdana" w:cs="Verdana"/>
          <w:sz w:val="20"/>
          <w:szCs w:val="20"/>
        </w:rPr>
        <w:t xml:space="preserve">el Ministerio de Salud </w:t>
      </w:r>
      <w:r w:rsidRPr="002B025D">
        <w:rPr>
          <w:rFonts w:ascii="Verdana" w:eastAsia="Calibri" w:hAnsi="Verdana" w:cs="Verdana"/>
          <w:sz w:val="20"/>
          <w:szCs w:val="20"/>
        </w:rPr>
        <w:t xml:space="preserve">estableció una Comisión Médica de Alto Nivel conformada por diversos especialistas, entre ellos la doctora de confianza de </w:t>
      </w:r>
      <w:r w:rsidR="003C4AA7">
        <w:rPr>
          <w:rFonts w:ascii="Verdana" w:eastAsia="Calibri" w:hAnsi="Verdana" w:cs="Verdana"/>
          <w:sz w:val="20"/>
          <w:szCs w:val="20"/>
        </w:rPr>
        <w:t>Talía</w:t>
      </w:r>
      <w:r w:rsidRPr="002B025D">
        <w:rPr>
          <w:rFonts w:ascii="Verdana" w:eastAsia="Calibri" w:hAnsi="Verdana" w:cs="Verdana"/>
          <w:sz w:val="20"/>
          <w:szCs w:val="20"/>
        </w:rPr>
        <w:t xml:space="preserve">, para que dé seguimiento a su situación de salud. Asimismo, en la última comunicación del Estado se indica que, a partir de los resultados del examen de </w:t>
      </w:r>
      <w:proofErr w:type="spellStart"/>
      <w:r w:rsidRPr="002B025D">
        <w:rPr>
          <w:rFonts w:ascii="Verdana" w:eastAsia="Calibri" w:hAnsi="Verdana" w:cs="Verdana"/>
          <w:sz w:val="20"/>
          <w:szCs w:val="20"/>
        </w:rPr>
        <w:t>Genotipificación</w:t>
      </w:r>
      <w:proofErr w:type="spellEnd"/>
      <w:r w:rsidRPr="002B025D">
        <w:rPr>
          <w:rFonts w:ascii="Verdana" w:eastAsia="Calibri" w:hAnsi="Verdana" w:cs="Verdana"/>
          <w:sz w:val="20"/>
          <w:szCs w:val="20"/>
        </w:rPr>
        <w:t xml:space="preserve"> que mostró que </w:t>
      </w:r>
      <w:r w:rsidR="003C4AA7">
        <w:rPr>
          <w:rFonts w:ascii="Verdana" w:eastAsia="Calibri" w:hAnsi="Verdana" w:cs="Verdana"/>
          <w:sz w:val="20"/>
          <w:szCs w:val="20"/>
        </w:rPr>
        <w:t>Talía</w:t>
      </w:r>
      <w:r w:rsidRPr="002B025D">
        <w:rPr>
          <w:rFonts w:ascii="Verdana" w:eastAsia="Calibri" w:hAnsi="Verdana" w:cs="Verdana"/>
          <w:sz w:val="20"/>
          <w:szCs w:val="20"/>
        </w:rPr>
        <w:t xml:space="preserve"> estaba presentado resistencia a un tipo de medicamentos, la doctora del Hospital Militar, médico de confianza de </w:t>
      </w:r>
      <w:r w:rsidR="003C4AA7">
        <w:rPr>
          <w:rFonts w:ascii="Verdana" w:eastAsia="Calibri" w:hAnsi="Verdana" w:cs="Verdana"/>
          <w:sz w:val="20"/>
          <w:szCs w:val="20"/>
        </w:rPr>
        <w:t>Talía</w:t>
      </w:r>
      <w:r w:rsidRPr="002B025D">
        <w:rPr>
          <w:rFonts w:ascii="Verdana" w:eastAsia="Calibri" w:hAnsi="Verdana" w:cs="Verdana"/>
          <w:sz w:val="20"/>
          <w:szCs w:val="20"/>
        </w:rPr>
        <w:t>, le cambió el tratamiento a otra medicación ante la cual no presenta</w:t>
      </w:r>
      <w:r w:rsidR="00ED1A12">
        <w:rPr>
          <w:rFonts w:ascii="Verdana" w:eastAsia="Calibri" w:hAnsi="Verdana" w:cs="Verdana"/>
          <w:sz w:val="20"/>
          <w:szCs w:val="20"/>
        </w:rPr>
        <w:t>ría</w:t>
      </w:r>
      <w:r w:rsidRPr="002B025D">
        <w:rPr>
          <w:rFonts w:ascii="Verdana" w:eastAsia="Calibri" w:hAnsi="Verdana" w:cs="Verdana"/>
          <w:sz w:val="20"/>
          <w:szCs w:val="20"/>
        </w:rPr>
        <w:t xml:space="preserve"> resistencia. Este nuevo tratamiento habría comenzado a ser utilizado el 11 de agosto de 2015.</w:t>
      </w:r>
      <w:r w:rsidRPr="002B025D">
        <w:rPr>
          <w:rFonts w:ascii="Verdana" w:hAnsi="Verdana"/>
          <w:sz w:val="20"/>
          <w:szCs w:val="20"/>
          <w:lang w:val="es-ES"/>
        </w:rPr>
        <w:t xml:space="preserve"> </w:t>
      </w:r>
    </w:p>
    <w:p w:rsidR="00CB26E7" w:rsidRDefault="00CB26E7" w:rsidP="00CB26E7">
      <w:pPr>
        <w:pStyle w:val="ListParagraph"/>
        <w:rPr>
          <w:rFonts w:ascii="Verdana" w:hAnsi="Verdana"/>
          <w:sz w:val="20"/>
          <w:szCs w:val="20"/>
        </w:rPr>
      </w:pPr>
    </w:p>
    <w:p w:rsidR="003B6060" w:rsidRDefault="00ED1A12" w:rsidP="003B6060">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411BDF">
        <w:rPr>
          <w:rFonts w:ascii="Verdana" w:hAnsi="Verdana"/>
          <w:sz w:val="20"/>
          <w:szCs w:val="20"/>
        </w:rPr>
        <w:t xml:space="preserve">La presente solicitud de medidas provisionales está estrechamente ligada con un caso contencioso en el que la Corte ha ordenado diversas reparaciones asociadas a la atención médica que corresponde otorgar a </w:t>
      </w:r>
      <w:r w:rsidR="003C4AA7">
        <w:rPr>
          <w:rFonts w:ascii="Verdana" w:hAnsi="Verdana"/>
          <w:sz w:val="20"/>
          <w:szCs w:val="20"/>
        </w:rPr>
        <w:t>Talía</w:t>
      </w:r>
      <w:r w:rsidRPr="00411BDF">
        <w:rPr>
          <w:rFonts w:ascii="Verdana" w:hAnsi="Verdana"/>
          <w:sz w:val="20"/>
          <w:szCs w:val="20"/>
        </w:rPr>
        <w:t xml:space="preserve"> Gonzales </w:t>
      </w:r>
      <w:proofErr w:type="spellStart"/>
      <w:r w:rsidRPr="00411BDF">
        <w:rPr>
          <w:rFonts w:ascii="Verdana" w:hAnsi="Verdana"/>
          <w:sz w:val="20"/>
          <w:szCs w:val="20"/>
        </w:rPr>
        <w:t>Lluy</w:t>
      </w:r>
      <w:proofErr w:type="spellEnd"/>
      <w:r w:rsidRPr="00411BDF">
        <w:rPr>
          <w:rFonts w:ascii="Verdana" w:hAnsi="Verdana"/>
          <w:sz w:val="20"/>
          <w:szCs w:val="20"/>
        </w:rPr>
        <w:t>.</w:t>
      </w:r>
      <w:r w:rsidR="003B6060">
        <w:rPr>
          <w:rFonts w:ascii="Verdana" w:hAnsi="Verdana"/>
          <w:sz w:val="20"/>
          <w:szCs w:val="20"/>
        </w:rPr>
        <w:t xml:space="preserve"> </w:t>
      </w:r>
      <w:r w:rsidR="003B6060">
        <w:rPr>
          <w:rFonts w:ascii="Verdana" w:hAnsi="Verdana"/>
          <w:sz w:val="20"/>
          <w:szCs w:val="20"/>
          <w:lang w:val="es-ES"/>
        </w:rPr>
        <w:t xml:space="preserve">En efecto, la Corte ordenó en la Sentencia </w:t>
      </w:r>
      <w:r w:rsidR="00597107">
        <w:rPr>
          <w:rFonts w:ascii="Verdana" w:hAnsi="Verdana"/>
          <w:sz w:val="20"/>
          <w:szCs w:val="20"/>
          <w:lang w:val="es-ES"/>
        </w:rPr>
        <w:t xml:space="preserve">del caso contencioso </w:t>
      </w:r>
      <w:r w:rsidR="003B6060">
        <w:rPr>
          <w:rFonts w:ascii="Verdana" w:hAnsi="Verdana"/>
          <w:sz w:val="20"/>
          <w:szCs w:val="20"/>
          <w:lang w:val="es-ES"/>
        </w:rPr>
        <w:t xml:space="preserve">que el </w:t>
      </w:r>
      <w:r w:rsidR="003B6060" w:rsidRPr="003B6060">
        <w:rPr>
          <w:rFonts w:ascii="Verdana" w:hAnsi="Verdana"/>
          <w:spacing w:val="-2"/>
          <w:sz w:val="20"/>
          <w:szCs w:val="20"/>
        </w:rPr>
        <w:t xml:space="preserve">Estado </w:t>
      </w:r>
      <w:r w:rsidR="00AA63B3">
        <w:rPr>
          <w:rFonts w:ascii="Verdana" w:hAnsi="Verdana"/>
          <w:spacing w:val="-2"/>
          <w:sz w:val="20"/>
          <w:szCs w:val="20"/>
        </w:rPr>
        <w:t>brinde</w:t>
      </w:r>
      <w:r w:rsidR="003B6060" w:rsidRPr="003B6060">
        <w:rPr>
          <w:rFonts w:ascii="Verdana" w:hAnsi="Verdana"/>
          <w:spacing w:val="-2"/>
          <w:sz w:val="20"/>
          <w:szCs w:val="20"/>
        </w:rPr>
        <w:t xml:space="preserve"> gratuitamente, el tratamiento médico y psicológico o psiquiátrico</w:t>
      </w:r>
      <w:r w:rsidR="003B6060" w:rsidRPr="003B6060">
        <w:rPr>
          <w:rFonts w:ascii="Verdana" w:hAnsi="Verdana"/>
          <w:spacing w:val="-2"/>
          <w:sz w:val="20"/>
          <w:szCs w:val="20"/>
          <w:lang w:val="es-GT"/>
        </w:rPr>
        <w:t xml:space="preserve"> a </w:t>
      </w:r>
      <w:r w:rsidR="003C4AA7">
        <w:rPr>
          <w:rFonts w:ascii="Verdana" w:hAnsi="Verdana" w:cs="Arial"/>
          <w:sz w:val="20"/>
          <w:szCs w:val="20"/>
          <w:lang w:val="es-ES"/>
        </w:rPr>
        <w:t>Talía</w:t>
      </w:r>
      <w:r w:rsidR="003B6060" w:rsidRPr="003B6060">
        <w:rPr>
          <w:rFonts w:ascii="Verdana" w:hAnsi="Verdana" w:cs="Verdana-Italic"/>
          <w:spacing w:val="-2"/>
          <w:sz w:val="20"/>
          <w:szCs w:val="20"/>
          <w:lang w:val="es-GT" w:bidi="en-US"/>
        </w:rPr>
        <w:t>,</w:t>
      </w:r>
      <w:r w:rsidR="003B6060" w:rsidRPr="003B6060">
        <w:rPr>
          <w:rFonts w:ascii="Verdana" w:hAnsi="Verdana"/>
          <w:spacing w:val="-2"/>
          <w:sz w:val="20"/>
          <w:szCs w:val="20"/>
        </w:rPr>
        <w:t xml:space="preserve"> incluyendo </w:t>
      </w:r>
      <w:r w:rsidR="003B6060" w:rsidRPr="003B6060">
        <w:rPr>
          <w:rFonts w:ascii="Verdana" w:hAnsi="Verdana"/>
          <w:spacing w:val="-2"/>
          <w:sz w:val="20"/>
          <w:szCs w:val="20"/>
          <w:lang w:val="es-GT"/>
        </w:rPr>
        <w:t>el suministro gratuito de los medicamentos que requiera.</w:t>
      </w:r>
    </w:p>
    <w:p w:rsidR="003B6060" w:rsidRPr="00CB26E7" w:rsidRDefault="003B6060" w:rsidP="003B6060">
      <w:pPr>
        <w:tabs>
          <w:tab w:val="left" w:pos="540"/>
        </w:tabs>
        <w:autoSpaceDE w:val="0"/>
        <w:autoSpaceDN w:val="0"/>
        <w:adjustRightInd w:val="0"/>
        <w:ind w:right="-72"/>
        <w:jc w:val="both"/>
        <w:rPr>
          <w:rFonts w:ascii="Verdana" w:hAnsi="Verdana"/>
          <w:sz w:val="20"/>
          <w:szCs w:val="20"/>
          <w:lang w:val="es-ES"/>
        </w:rPr>
      </w:pPr>
    </w:p>
    <w:p w:rsidR="00CB26E7" w:rsidRPr="003B6060" w:rsidRDefault="00ED1A12" w:rsidP="00CB26E7">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rPr>
        <w:t xml:space="preserve"> Al respecto, </w:t>
      </w:r>
      <w:r w:rsidR="00CB26E7">
        <w:rPr>
          <w:rFonts w:ascii="Verdana" w:hAnsi="Verdana"/>
          <w:sz w:val="20"/>
          <w:szCs w:val="20"/>
        </w:rPr>
        <w:t>e</w:t>
      </w:r>
      <w:r w:rsidR="00CB26E7" w:rsidRPr="00CB26E7">
        <w:rPr>
          <w:rFonts w:ascii="Verdana" w:hAnsi="Verdana"/>
          <w:sz w:val="20"/>
          <w:szCs w:val="20"/>
        </w:rPr>
        <w:t>n otros casos la Corte ha desestimado solicitudes de medidas provisionales que implicaban la valoración de información relacionada con el cumplimiento de medidas de reparación ordenadas en la Sentencia y consideró que esa información debía ser evaluada en el marco de la etapa de supervisión de cumplimiento de sentencia</w:t>
      </w:r>
      <w:r w:rsidR="00CB26E7" w:rsidRPr="00511EDD">
        <w:rPr>
          <w:rStyle w:val="FootnoteReference"/>
        </w:rPr>
        <w:footnoteReference w:id="17"/>
      </w:r>
      <w:r w:rsidR="00CB26E7" w:rsidRPr="00CB26E7">
        <w:rPr>
          <w:rFonts w:ascii="Verdana" w:hAnsi="Verdana"/>
          <w:sz w:val="20"/>
          <w:szCs w:val="20"/>
        </w:rPr>
        <w:t xml:space="preserve">. </w:t>
      </w:r>
    </w:p>
    <w:p w:rsidR="00CB26E7" w:rsidRPr="003B6060" w:rsidRDefault="00CB26E7" w:rsidP="003B6060">
      <w:pPr>
        <w:rPr>
          <w:rFonts w:ascii="Verdana" w:hAnsi="Verdana"/>
          <w:sz w:val="20"/>
        </w:rPr>
      </w:pPr>
    </w:p>
    <w:p w:rsidR="00CB26E7" w:rsidRPr="00CB26E7" w:rsidRDefault="00CB26E7" w:rsidP="00CB26E7">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Pr>
          <w:rFonts w:ascii="Verdana" w:hAnsi="Verdana"/>
          <w:sz w:val="20"/>
          <w:szCs w:val="20"/>
          <w:lang w:val="es-ES"/>
        </w:rPr>
        <w:t xml:space="preserve">Teniendo en cuenta todo lo anterior, así como el monitoreo constante que viene desarrollando el Ministerio de Salud Pública respecto de la situación de salud de </w:t>
      </w:r>
      <w:r w:rsidR="003C4AA7">
        <w:rPr>
          <w:rFonts w:ascii="Verdana" w:hAnsi="Verdana"/>
          <w:sz w:val="20"/>
          <w:szCs w:val="20"/>
          <w:lang w:val="es-ES"/>
        </w:rPr>
        <w:t>Talía</w:t>
      </w:r>
      <w:r>
        <w:rPr>
          <w:rFonts w:ascii="Verdana" w:hAnsi="Verdana"/>
          <w:sz w:val="20"/>
          <w:szCs w:val="20"/>
          <w:lang w:val="es-ES"/>
        </w:rPr>
        <w:t xml:space="preserve">, </w:t>
      </w:r>
      <w:r>
        <w:rPr>
          <w:rFonts w:ascii="Verdana" w:hAnsi="Verdana"/>
          <w:sz w:val="20"/>
        </w:rPr>
        <w:t>l</w:t>
      </w:r>
      <w:r w:rsidRPr="00CB26E7">
        <w:rPr>
          <w:rFonts w:ascii="Verdana" w:hAnsi="Verdana"/>
          <w:sz w:val="20"/>
        </w:rPr>
        <w:t xml:space="preserve">a Corte considera que la información y argumentos expuestos </w:t>
      </w:r>
      <w:r>
        <w:rPr>
          <w:rFonts w:ascii="Verdana" w:hAnsi="Verdana"/>
          <w:sz w:val="20"/>
        </w:rPr>
        <w:t xml:space="preserve">en la </w:t>
      </w:r>
      <w:r w:rsidRPr="00CB26E7">
        <w:rPr>
          <w:rFonts w:ascii="Verdana" w:hAnsi="Verdana"/>
          <w:sz w:val="20"/>
        </w:rPr>
        <w:t xml:space="preserve">solicitud de medidas provisionales, con relación a </w:t>
      </w:r>
      <w:r w:rsidRPr="00CB26E7">
        <w:rPr>
          <w:rFonts w:ascii="Verdana" w:hAnsi="Verdana"/>
          <w:sz w:val="20"/>
          <w:szCs w:val="20"/>
        </w:rPr>
        <w:t xml:space="preserve">la atención inmediata en salud de </w:t>
      </w:r>
      <w:r w:rsidR="003C4AA7">
        <w:rPr>
          <w:rFonts w:ascii="Verdana" w:hAnsi="Verdana"/>
          <w:sz w:val="20"/>
          <w:szCs w:val="20"/>
        </w:rPr>
        <w:t>Talía</w:t>
      </w:r>
      <w:r w:rsidRPr="00CB26E7">
        <w:rPr>
          <w:rFonts w:ascii="Verdana" w:hAnsi="Verdana"/>
          <w:sz w:val="20"/>
          <w:szCs w:val="20"/>
        </w:rPr>
        <w:t xml:space="preserve"> Gonzales </w:t>
      </w:r>
      <w:proofErr w:type="spellStart"/>
      <w:r w:rsidRPr="00CB26E7">
        <w:rPr>
          <w:rFonts w:ascii="Verdana" w:hAnsi="Verdana"/>
          <w:sz w:val="20"/>
          <w:szCs w:val="20"/>
        </w:rPr>
        <w:t>Lluy</w:t>
      </w:r>
      <w:proofErr w:type="spellEnd"/>
      <w:r w:rsidRPr="00CB26E7">
        <w:rPr>
          <w:rFonts w:ascii="Verdana" w:hAnsi="Verdana"/>
          <w:sz w:val="20"/>
          <w:szCs w:val="20"/>
        </w:rPr>
        <w:t xml:space="preserve">, incluyendo la posibilidad de acudir a servicios privados y de contar con la medicina que se adecúe para su salud, </w:t>
      </w:r>
      <w:r w:rsidRPr="00CB26E7">
        <w:rPr>
          <w:rFonts w:ascii="Verdana" w:hAnsi="Verdana"/>
          <w:sz w:val="20"/>
        </w:rPr>
        <w:t>(</w:t>
      </w:r>
      <w:r w:rsidRPr="00CB26E7">
        <w:rPr>
          <w:rFonts w:ascii="Verdana" w:hAnsi="Verdana"/>
          <w:i/>
          <w:sz w:val="20"/>
        </w:rPr>
        <w:t>supra</w:t>
      </w:r>
      <w:r w:rsidRPr="00CB26E7">
        <w:rPr>
          <w:rFonts w:ascii="Verdana" w:hAnsi="Verdana"/>
          <w:sz w:val="20"/>
        </w:rPr>
        <w:t xml:space="preserve"> Considerando </w:t>
      </w:r>
      <w:r w:rsidR="007535DE">
        <w:rPr>
          <w:rFonts w:ascii="Verdana" w:hAnsi="Verdana"/>
          <w:sz w:val="20"/>
        </w:rPr>
        <w:t>8</w:t>
      </w:r>
      <w:r w:rsidR="007535DE" w:rsidRPr="00CB26E7">
        <w:rPr>
          <w:rFonts w:ascii="Verdana" w:hAnsi="Verdana"/>
          <w:sz w:val="20"/>
        </w:rPr>
        <w:t xml:space="preserve">), </w:t>
      </w:r>
      <w:r w:rsidRPr="00CB26E7">
        <w:rPr>
          <w:rFonts w:ascii="Verdana" w:hAnsi="Verdana"/>
          <w:sz w:val="20"/>
        </w:rPr>
        <w:t xml:space="preserve">requieren ser evaluados dentro </w:t>
      </w:r>
      <w:r w:rsidRPr="00CB26E7">
        <w:rPr>
          <w:rFonts w:ascii="Verdana" w:hAnsi="Verdana"/>
          <w:sz w:val="20"/>
          <w:szCs w:val="20"/>
        </w:rPr>
        <w:t xml:space="preserve">de la etapa </w:t>
      </w:r>
      <w:r w:rsidRPr="00CB26E7">
        <w:rPr>
          <w:rFonts w:ascii="Verdana" w:hAnsi="Verdana"/>
          <w:sz w:val="20"/>
          <w:szCs w:val="20"/>
        </w:rPr>
        <w:lastRenderedPageBreak/>
        <w:t>de supervisión del cumplimiento de la Sentencia</w:t>
      </w:r>
      <w:r w:rsidRPr="00CB26E7">
        <w:rPr>
          <w:rFonts w:ascii="Verdana" w:hAnsi="Verdana"/>
          <w:sz w:val="20"/>
        </w:rPr>
        <w:t xml:space="preserve"> del presente caso, en el marco de las reparaciones ordenadas por la Corte y </w:t>
      </w:r>
      <w:r w:rsidRPr="00CB26E7">
        <w:rPr>
          <w:rFonts w:ascii="Verdana" w:hAnsi="Verdana"/>
          <w:sz w:val="20"/>
          <w:szCs w:val="20"/>
        </w:rPr>
        <w:t>de acuerdo a las normas convencionales que regulan su facultad de supervisión</w:t>
      </w:r>
      <w:r w:rsidRPr="00511EDD">
        <w:rPr>
          <w:rStyle w:val="FootnoteReference"/>
          <w:sz w:val="20"/>
          <w:szCs w:val="20"/>
        </w:rPr>
        <w:footnoteReference w:id="18"/>
      </w:r>
      <w:r w:rsidRPr="00CB26E7">
        <w:rPr>
          <w:rFonts w:ascii="Verdana" w:hAnsi="Verdana"/>
          <w:sz w:val="20"/>
          <w:szCs w:val="20"/>
        </w:rPr>
        <w:t>.</w:t>
      </w:r>
      <w:r w:rsidRPr="00CB26E7">
        <w:rPr>
          <w:rFonts w:ascii="Verdana" w:hAnsi="Verdana"/>
          <w:sz w:val="20"/>
        </w:rPr>
        <w:t xml:space="preserve"> Por consiguiente, e</w:t>
      </w:r>
      <w:r w:rsidR="007535DE">
        <w:rPr>
          <w:rFonts w:ascii="Verdana" w:hAnsi="Verdana"/>
          <w:sz w:val="20"/>
        </w:rPr>
        <w:t>ste</w:t>
      </w:r>
      <w:r w:rsidRPr="00CB26E7">
        <w:rPr>
          <w:rFonts w:ascii="Verdana" w:hAnsi="Verdana"/>
          <w:sz w:val="20"/>
        </w:rPr>
        <w:t xml:space="preserve"> Tribunal encuentra improcedente la adopción de las medidas provisionales solicitadas en el presente caso por el representante.</w:t>
      </w:r>
    </w:p>
    <w:p w:rsidR="00CB26E7" w:rsidRPr="00CB26E7" w:rsidRDefault="00CB26E7" w:rsidP="002B025D">
      <w:pPr>
        <w:pStyle w:val="ListParagraph"/>
        <w:rPr>
          <w:rFonts w:ascii="Verdana" w:hAnsi="Verdana"/>
          <w:sz w:val="20"/>
          <w:szCs w:val="20"/>
        </w:rPr>
      </w:pPr>
    </w:p>
    <w:p w:rsidR="00134787" w:rsidRDefault="00E45E73" w:rsidP="00E90491">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7B0479">
        <w:rPr>
          <w:rFonts w:ascii="Verdana" w:hAnsi="Verdana"/>
          <w:sz w:val="20"/>
          <w:szCs w:val="20"/>
          <w:lang w:val="es-ES"/>
        </w:rPr>
        <w:t>Finalmente</w:t>
      </w:r>
      <w:r w:rsidR="00CA1669" w:rsidRPr="007B0479">
        <w:rPr>
          <w:rFonts w:ascii="Verdana" w:hAnsi="Verdana"/>
          <w:sz w:val="20"/>
          <w:szCs w:val="20"/>
          <w:lang w:val="es-ES"/>
        </w:rPr>
        <w:t xml:space="preserve">, la Corte </w:t>
      </w:r>
      <w:r w:rsidR="00227224">
        <w:rPr>
          <w:rFonts w:ascii="Verdana" w:hAnsi="Verdana"/>
          <w:sz w:val="20"/>
          <w:szCs w:val="20"/>
          <w:lang w:val="es-ES"/>
        </w:rPr>
        <w:t>reitera</w:t>
      </w:r>
      <w:r w:rsidR="00CA1669" w:rsidRPr="007B0479">
        <w:rPr>
          <w:rFonts w:ascii="Verdana" w:hAnsi="Verdana"/>
          <w:sz w:val="20"/>
          <w:szCs w:val="20"/>
          <w:lang w:val="es-ES"/>
        </w:rPr>
        <w:t xml:space="preserve"> que</w:t>
      </w:r>
      <w:r w:rsidR="008E1B78" w:rsidRPr="007B0479">
        <w:rPr>
          <w:rFonts w:ascii="Verdana" w:hAnsi="Verdana"/>
          <w:sz w:val="20"/>
          <w:szCs w:val="20"/>
          <w:lang w:val="es-ES"/>
        </w:rPr>
        <w:t xml:space="preserve"> </w:t>
      </w:r>
      <w:r w:rsidR="00227224">
        <w:rPr>
          <w:rFonts w:ascii="Verdana" w:hAnsi="Verdana"/>
          <w:sz w:val="20"/>
          <w:szCs w:val="20"/>
        </w:rPr>
        <w:t>el Estado tiene</w:t>
      </w:r>
      <w:r w:rsidR="008E1B78" w:rsidRPr="007B0479">
        <w:rPr>
          <w:rFonts w:ascii="Verdana" w:hAnsi="Verdana"/>
          <w:sz w:val="20"/>
          <w:szCs w:val="20"/>
        </w:rPr>
        <w:t xml:space="preserve"> el deber constante y permanente de cumplir con las obligaciones generales que le corresponden bajo el artículo 1.1 de la Convención, de respetar los derechos y libertades en ella reconocidos y de garantizar su libre y pleno ejercicio a toda persona sujeta a su jurisdicción</w:t>
      </w:r>
      <w:r w:rsidR="00227224">
        <w:rPr>
          <w:rFonts w:ascii="Verdana" w:hAnsi="Verdana"/>
          <w:sz w:val="20"/>
          <w:szCs w:val="20"/>
        </w:rPr>
        <w:t>, en toda circunstancia</w:t>
      </w:r>
      <w:r w:rsidR="008E1B78" w:rsidRPr="007B0479">
        <w:rPr>
          <w:rStyle w:val="FootnoteReference"/>
          <w:sz w:val="20"/>
          <w:szCs w:val="20"/>
          <w:lang w:val="es-MX"/>
        </w:rPr>
        <w:footnoteReference w:id="19"/>
      </w:r>
      <w:r w:rsidR="008E1B78" w:rsidRPr="007B0479">
        <w:rPr>
          <w:rFonts w:ascii="Verdana" w:hAnsi="Verdana"/>
          <w:sz w:val="20"/>
          <w:szCs w:val="20"/>
          <w:lang w:val="es-MX"/>
        </w:rPr>
        <w:t xml:space="preserve">. </w:t>
      </w:r>
      <w:r w:rsidR="008E1B78" w:rsidRPr="007B0479">
        <w:rPr>
          <w:rFonts w:ascii="Verdana" w:hAnsi="Verdana"/>
          <w:sz w:val="20"/>
          <w:szCs w:val="20"/>
          <w:lang w:val="es-ES"/>
        </w:rPr>
        <w:t>En consecuencia, independientemente de la existencia de medidas provisionales específicas, el Estado se encuentra especialmente obligado a garantizar los derechos de las personas en situación de</w:t>
      </w:r>
      <w:r w:rsidR="006E5B4D">
        <w:rPr>
          <w:rFonts w:ascii="Verdana" w:hAnsi="Verdana"/>
          <w:sz w:val="20"/>
          <w:szCs w:val="20"/>
          <w:lang w:val="es-ES"/>
        </w:rPr>
        <w:t xml:space="preserve"> vulnerabilidad o</w:t>
      </w:r>
      <w:r w:rsidR="008E1B78" w:rsidRPr="007B0479">
        <w:rPr>
          <w:rFonts w:ascii="Verdana" w:hAnsi="Verdana"/>
          <w:sz w:val="20"/>
          <w:szCs w:val="20"/>
          <w:lang w:val="es-ES"/>
        </w:rPr>
        <w:t xml:space="preserve"> </w:t>
      </w:r>
      <w:r w:rsidR="008E1B78" w:rsidRPr="00134787">
        <w:rPr>
          <w:rFonts w:ascii="Verdana" w:hAnsi="Verdana"/>
          <w:sz w:val="20"/>
          <w:szCs w:val="20"/>
          <w:lang w:val="es-ES"/>
        </w:rPr>
        <w:t>riesgo</w:t>
      </w:r>
      <w:r w:rsidR="008E1B78" w:rsidRPr="00134787">
        <w:rPr>
          <w:rStyle w:val="FootnoteReference"/>
          <w:rFonts w:eastAsia="Times"/>
          <w:sz w:val="20"/>
          <w:szCs w:val="20"/>
          <w:lang w:val="es-ES"/>
        </w:rPr>
        <w:footnoteReference w:id="20"/>
      </w:r>
      <w:r w:rsidR="008E1B78" w:rsidRPr="00134787">
        <w:rPr>
          <w:rFonts w:ascii="Verdana" w:hAnsi="Verdana"/>
          <w:sz w:val="20"/>
          <w:szCs w:val="20"/>
          <w:lang w:val="es-ES"/>
        </w:rPr>
        <w:t>.</w:t>
      </w:r>
      <w:r w:rsidR="002B3C22" w:rsidRPr="00134787">
        <w:rPr>
          <w:rFonts w:ascii="Verdana" w:hAnsi="Verdana"/>
          <w:sz w:val="20"/>
          <w:szCs w:val="20"/>
          <w:lang w:val="es-ES"/>
        </w:rPr>
        <w:t xml:space="preserve"> </w:t>
      </w:r>
      <w:r w:rsidR="00134787" w:rsidRPr="00134787">
        <w:rPr>
          <w:rFonts w:ascii="Verdana" w:hAnsi="Verdana"/>
          <w:sz w:val="20"/>
          <w:szCs w:val="20"/>
          <w:lang w:val="es-ES"/>
        </w:rPr>
        <w:t xml:space="preserve">Para esto, el Estado debe </w:t>
      </w:r>
      <w:r w:rsidR="00497311">
        <w:rPr>
          <w:rFonts w:ascii="Verdana" w:hAnsi="Verdana"/>
          <w:sz w:val="20"/>
          <w:szCs w:val="20"/>
        </w:rPr>
        <w:t>tomar en consideración</w:t>
      </w:r>
      <w:r w:rsidR="00134787" w:rsidRPr="00134787">
        <w:rPr>
          <w:rFonts w:ascii="Verdana" w:hAnsi="Verdana"/>
          <w:sz w:val="20"/>
          <w:szCs w:val="20"/>
        </w:rPr>
        <w:t xml:space="preserve"> aspectos sobre la calidad de la salud </w:t>
      </w:r>
      <w:r w:rsidR="00497311">
        <w:rPr>
          <w:rFonts w:ascii="Verdana" w:hAnsi="Verdana"/>
          <w:sz w:val="20"/>
          <w:szCs w:val="20"/>
        </w:rPr>
        <w:t xml:space="preserve">que </w:t>
      </w:r>
      <w:r w:rsidR="00134787" w:rsidRPr="00134787">
        <w:rPr>
          <w:rFonts w:ascii="Verdana" w:hAnsi="Verdana"/>
          <w:sz w:val="20"/>
          <w:szCs w:val="20"/>
        </w:rPr>
        <w:t xml:space="preserve">se relacionan </w:t>
      </w:r>
      <w:r w:rsidR="00497311">
        <w:rPr>
          <w:rFonts w:ascii="Verdana" w:hAnsi="Verdana"/>
          <w:sz w:val="20"/>
          <w:szCs w:val="20"/>
        </w:rPr>
        <w:t xml:space="preserve">con la obligación estatal de </w:t>
      </w:r>
      <w:r w:rsidR="00134787" w:rsidRPr="00134787">
        <w:rPr>
          <w:rFonts w:ascii="Verdana" w:hAnsi="Verdana"/>
          <w:sz w:val="20"/>
          <w:szCs w:val="20"/>
        </w:rPr>
        <w:t>crear entornos seguros, especialmente a las niñas, ampliando servicios de buena calidad que ofrezcan información, educación sobre salud y asesoramiento de forma apropiada</w:t>
      </w:r>
      <w:r w:rsidR="00134787" w:rsidRPr="00134787">
        <w:rPr>
          <w:rFonts w:ascii="Verdana" w:hAnsi="Verdana"/>
          <w:sz w:val="20"/>
          <w:szCs w:val="20"/>
          <w:vertAlign w:val="superscript"/>
        </w:rPr>
        <w:footnoteReference w:id="21"/>
      </w:r>
      <w:r w:rsidR="00497311">
        <w:rPr>
          <w:rFonts w:ascii="Verdana" w:hAnsi="Verdana"/>
          <w:sz w:val="20"/>
          <w:szCs w:val="20"/>
        </w:rPr>
        <w:t>.</w:t>
      </w:r>
      <w:r w:rsidR="00077D41">
        <w:rPr>
          <w:rFonts w:ascii="Verdana" w:hAnsi="Verdana"/>
          <w:sz w:val="20"/>
          <w:szCs w:val="20"/>
        </w:rPr>
        <w:t xml:space="preserve"> Además, el Estado debe considerar que </w:t>
      </w:r>
      <w:r w:rsidR="00077D41" w:rsidRPr="00077D41">
        <w:rPr>
          <w:rFonts w:ascii="Verdana" w:hAnsi="Verdana"/>
          <w:sz w:val="20"/>
          <w:szCs w:val="20"/>
        </w:rPr>
        <w:t xml:space="preserve">la calidad de la salud no solo es una calidad técnica sino que debe ser también una calidad en la percepción de los usuarios, lo cual incluye </w:t>
      </w:r>
      <w:r w:rsidR="00077D41" w:rsidRPr="00077D41">
        <w:rPr>
          <w:rFonts w:ascii="Verdana" w:hAnsi="Verdana"/>
          <w:sz w:val="20"/>
          <w:szCs w:val="20"/>
          <w:lang w:val="es-CL"/>
        </w:rPr>
        <w:t>las condiciones materiales, psicológicas, administrativas y éticas bajo las cuales las acciones de la calidad técnica se desarrollan</w:t>
      </w:r>
      <w:r w:rsidR="00077D41" w:rsidRPr="00077D41">
        <w:rPr>
          <w:rStyle w:val="FootnoteReference"/>
          <w:sz w:val="20"/>
          <w:szCs w:val="20"/>
          <w:lang w:val="es-CL"/>
        </w:rPr>
        <w:footnoteReference w:id="22"/>
      </w:r>
      <w:r w:rsidR="00077D41" w:rsidRPr="009F0D2E">
        <w:rPr>
          <w:lang w:val="es-CL"/>
        </w:rPr>
        <w:t>.</w:t>
      </w:r>
    </w:p>
    <w:p w:rsidR="00134787" w:rsidRDefault="00134787" w:rsidP="00134787">
      <w:pPr>
        <w:pStyle w:val="ListParagraph"/>
        <w:rPr>
          <w:rFonts w:ascii="Verdana" w:hAnsi="Verdana"/>
          <w:sz w:val="20"/>
          <w:szCs w:val="20"/>
          <w:lang w:val="es-ES"/>
        </w:rPr>
      </w:pPr>
    </w:p>
    <w:p w:rsidR="008E1B78" w:rsidRPr="007B0479" w:rsidRDefault="002B3C22" w:rsidP="00E90491">
      <w:pPr>
        <w:numPr>
          <w:ilvl w:val="2"/>
          <w:numId w:val="2"/>
        </w:numPr>
        <w:tabs>
          <w:tab w:val="left" w:pos="540"/>
        </w:tabs>
        <w:autoSpaceDE w:val="0"/>
        <w:autoSpaceDN w:val="0"/>
        <w:adjustRightInd w:val="0"/>
        <w:ind w:left="0" w:right="-72" w:firstLine="0"/>
        <w:jc w:val="both"/>
        <w:rPr>
          <w:rFonts w:ascii="Verdana" w:hAnsi="Verdana"/>
          <w:sz w:val="20"/>
          <w:szCs w:val="20"/>
          <w:lang w:val="es-ES"/>
        </w:rPr>
      </w:pPr>
      <w:r w:rsidRPr="007B0479">
        <w:rPr>
          <w:rFonts w:ascii="Verdana" w:hAnsi="Verdana"/>
          <w:sz w:val="20"/>
          <w:szCs w:val="20"/>
          <w:lang w:val="es-ES"/>
        </w:rPr>
        <w:t xml:space="preserve">En </w:t>
      </w:r>
      <w:r w:rsidR="00E169D1" w:rsidRPr="007B0479">
        <w:rPr>
          <w:rFonts w:ascii="Verdana" w:hAnsi="Verdana"/>
          <w:sz w:val="20"/>
          <w:szCs w:val="20"/>
          <w:lang w:val="es-ES"/>
        </w:rPr>
        <w:t>el presente asunto</w:t>
      </w:r>
      <w:r w:rsidRPr="007B0479">
        <w:rPr>
          <w:rFonts w:ascii="Verdana" w:hAnsi="Verdana"/>
          <w:sz w:val="20"/>
          <w:szCs w:val="20"/>
          <w:lang w:val="es-ES"/>
        </w:rPr>
        <w:t>, la Corte exhorta</w:t>
      </w:r>
      <w:r w:rsidR="008E1B78" w:rsidRPr="007B0479">
        <w:rPr>
          <w:rFonts w:ascii="Verdana" w:hAnsi="Verdana"/>
          <w:sz w:val="20"/>
          <w:szCs w:val="20"/>
          <w:lang w:val="es-ES"/>
        </w:rPr>
        <w:t xml:space="preserve"> </w:t>
      </w:r>
      <w:r w:rsidRPr="007B0479">
        <w:rPr>
          <w:rFonts w:ascii="Verdana" w:hAnsi="Verdana"/>
          <w:sz w:val="20"/>
          <w:szCs w:val="20"/>
          <w:lang w:val="es-ES"/>
        </w:rPr>
        <w:t xml:space="preserve">al Estado </w:t>
      </w:r>
      <w:r w:rsidR="00FC10AC" w:rsidRPr="007B0479">
        <w:rPr>
          <w:rFonts w:ascii="Verdana" w:hAnsi="Verdana"/>
          <w:sz w:val="20"/>
          <w:szCs w:val="20"/>
          <w:lang w:val="es-ES"/>
        </w:rPr>
        <w:t xml:space="preserve">ecuatoriano </w:t>
      </w:r>
      <w:r w:rsidRPr="007B0479">
        <w:rPr>
          <w:rFonts w:ascii="Verdana" w:hAnsi="Verdana"/>
          <w:sz w:val="20"/>
          <w:szCs w:val="20"/>
          <w:lang w:val="es-ES"/>
        </w:rPr>
        <w:t>para que continúe con la implementación y seguimiento de las medidas que han sido tomadas hasta el mom</w:t>
      </w:r>
      <w:r w:rsidR="00BA63BB">
        <w:rPr>
          <w:rFonts w:ascii="Verdana" w:hAnsi="Verdana"/>
          <w:sz w:val="20"/>
          <w:szCs w:val="20"/>
          <w:lang w:val="es-ES"/>
        </w:rPr>
        <w:t xml:space="preserve">ento y, en particular, para el restablecimiento de la salud de </w:t>
      </w:r>
      <w:r w:rsidR="003C4AA7">
        <w:rPr>
          <w:rFonts w:ascii="Verdana" w:hAnsi="Verdana"/>
          <w:sz w:val="20"/>
          <w:szCs w:val="20"/>
          <w:lang w:val="es-ES"/>
        </w:rPr>
        <w:t>Talía</w:t>
      </w:r>
      <w:r w:rsidR="00F1104E">
        <w:rPr>
          <w:rFonts w:ascii="Verdana" w:hAnsi="Verdana"/>
          <w:sz w:val="20"/>
          <w:szCs w:val="20"/>
          <w:lang w:val="es-ES"/>
        </w:rPr>
        <w:t xml:space="preserve"> Gonzales </w:t>
      </w:r>
      <w:proofErr w:type="spellStart"/>
      <w:r w:rsidR="00F1104E">
        <w:rPr>
          <w:rFonts w:ascii="Verdana" w:hAnsi="Verdana"/>
          <w:sz w:val="20"/>
          <w:szCs w:val="20"/>
          <w:lang w:val="es-ES"/>
        </w:rPr>
        <w:t>Lluy</w:t>
      </w:r>
      <w:proofErr w:type="spellEnd"/>
      <w:r w:rsidR="00B4532B" w:rsidRPr="007B0479">
        <w:rPr>
          <w:rFonts w:ascii="Verdana" w:hAnsi="Verdana"/>
          <w:sz w:val="20"/>
          <w:szCs w:val="20"/>
          <w:lang w:val="es-ES"/>
        </w:rPr>
        <w:t>.</w:t>
      </w:r>
      <w:r w:rsidR="00BC7E40" w:rsidRPr="007B0479">
        <w:rPr>
          <w:rFonts w:ascii="Verdana" w:hAnsi="Verdana"/>
          <w:sz w:val="20"/>
          <w:szCs w:val="20"/>
          <w:lang w:val="es-ES"/>
        </w:rPr>
        <w:t xml:space="preserve"> </w:t>
      </w:r>
    </w:p>
    <w:p w:rsidR="00F93FA1" w:rsidRPr="007B0479" w:rsidRDefault="00F93FA1" w:rsidP="00F93FA1">
      <w:pPr>
        <w:tabs>
          <w:tab w:val="left" w:pos="540"/>
        </w:tabs>
        <w:autoSpaceDE w:val="0"/>
        <w:autoSpaceDN w:val="0"/>
        <w:adjustRightInd w:val="0"/>
        <w:ind w:right="-72"/>
        <w:jc w:val="both"/>
        <w:rPr>
          <w:rFonts w:ascii="Verdana" w:hAnsi="Verdana"/>
          <w:sz w:val="20"/>
          <w:szCs w:val="20"/>
          <w:lang w:val="es-ES"/>
        </w:rPr>
      </w:pPr>
    </w:p>
    <w:p w:rsidR="00666028" w:rsidRPr="007B0479" w:rsidRDefault="00666028" w:rsidP="00FF4515">
      <w:pPr>
        <w:pStyle w:val="BodyText"/>
        <w:tabs>
          <w:tab w:val="num" w:pos="709"/>
        </w:tabs>
        <w:spacing w:after="0"/>
        <w:rPr>
          <w:rFonts w:ascii="Verdana" w:hAnsi="Verdana"/>
          <w:b/>
          <w:sz w:val="20"/>
          <w:szCs w:val="20"/>
          <w:lang w:val="es-ES"/>
        </w:rPr>
      </w:pPr>
      <w:r w:rsidRPr="007B0479">
        <w:rPr>
          <w:rFonts w:ascii="Verdana" w:hAnsi="Verdana"/>
          <w:b/>
          <w:sz w:val="20"/>
          <w:szCs w:val="20"/>
          <w:lang w:val="es-ES"/>
        </w:rPr>
        <w:t>POR TANTO:</w:t>
      </w:r>
    </w:p>
    <w:p w:rsidR="00590CC4" w:rsidRPr="007B0479" w:rsidRDefault="00590CC4" w:rsidP="00FF4515">
      <w:pPr>
        <w:pStyle w:val="BodyText"/>
        <w:tabs>
          <w:tab w:val="num" w:pos="709"/>
        </w:tabs>
        <w:spacing w:after="0"/>
        <w:rPr>
          <w:rFonts w:ascii="Verdana" w:hAnsi="Verdana"/>
          <w:b/>
          <w:sz w:val="20"/>
          <w:szCs w:val="20"/>
          <w:lang w:val="es-ES"/>
        </w:rPr>
      </w:pPr>
    </w:p>
    <w:p w:rsidR="00666028" w:rsidRPr="007B0479" w:rsidRDefault="00666028" w:rsidP="00FF4515">
      <w:pPr>
        <w:tabs>
          <w:tab w:val="num" w:pos="709"/>
        </w:tabs>
        <w:jc w:val="both"/>
        <w:rPr>
          <w:rFonts w:ascii="Verdana" w:hAnsi="Verdana"/>
          <w:b/>
          <w:sz w:val="20"/>
          <w:szCs w:val="20"/>
          <w:lang w:val="es-ES"/>
        </w:rPr>
      </w:pPr>
      <w:r w:rsidRPr="007B0479">
        <w:rPr>
          <w:rFonts w:ascii="Verdana" w:hAnsi="Verdana"/>
          <w:b/>
          <w:sz w:val="20"/>
          <w:szCs w:val="20"/>
          <w:lang w:val="es-ES"/>
        </w:rPr>
        <w:t xml:space="preserve">LA CORTE INTERAMERICANA DE DERECHOS HUMANOS, </w:t>
      </w:r>
    </w:p>
    <w:p w:rsidR="007D05E4" w:rsidRPr="007B0479" w:rsidRDefault="007D05E4" w:rsidP="00FF4515">
      <w:pPr>
        <w:tabs>
          <w:tab w:val="num" w:pos="709"/>
        </w:tabs>
        <w:ind w:right="22"/>
        <w:jc w:val="both"/>
        <w:rPr>
          <w:rFonts w:ascii="Verdana" w:hAnsi="Verdana"/>
          <w:sz w:val="20"/>
          <w:szCs w:val="20"/>
          <w:lang w:val="es-ES"/>
        </w:rPr>
      </w:pPr>
    </w:p>
    <w:p w:rsidR="00666028" w:rsidRPr="007B0479" w:rsidRDefault="00666028" w:rsidP="00FF4515">
      <w:pPr>
        <w:tabs>
          <w:tab w:val="num" w:pos="709"/>
        </w:tabs>
        <w:ind w:right="22"/>
        <w:jc w:val="both"/>
        <w:rPr>
          <w:rFonts w:ascii="Verdana" w:hAnsi="Verdana"/>
          <w:sz w:val="20"/>
          <w:szCs w:val="20"/>
          <w:lang w:val="es-ES"/>
        </w:rPr>
      </w:pPr>
      <w:r w:rsidRPr="007B0479">
        <w:rPr>
          <w:rFonts w:ascii="Verdana" w:hAnsi="Verdana"/>
          <w:sz w:val="20"/>
          <w:szCs w:val="20"/>
          <w:lang w:val="es-ES"/>
        </w:rPr>
        <w:t>en uso de las atribuciones que le confieren el artículo 63.2 de la Convención Americana y el artículo 27 del Reglamento,</w:t>
      </w:r>
    </w:p>
    <w:p w:rsidR="00590CC4" w:rsidRPr="007B0479" w:rsidRDefault="00590CC4" w:rsidP="00FF4515">
      <w:pPr>
        <w:tabs>
          <w:tab w:val="num" w:pos="709"/>
        </w:tabs>
        <w:ind w:right="22"/>
        <w:jc w:val="both"/>
        <w:rPr>
          <w:rFonts w:ascii="Verdana" w:hAnsi="Verdana"/>
          <w:sz w:val="20"/>
          <w:szCs w:val="20"/>
          <w:lang w:val="es-ES"/>
        </w:rPr>
      </w:pPr>
    </w:p>
    <w:p w:rsidR="00666028" w:rsidRPr="007B0479" w:rsidRDefault="00666028" w:rsidP="00FF4515">
      <w:pPr>
        <w:tabs>
          <w:tab w:val="num" w:pos="709"/>
        </w:tabs>
        <w:ind w:right="22"/>
        <w:jc w:val="both"/>
        <w:rPr>
          <w:rFonts w:ascii="Verdana" w:hAnsi="Verdana"/>
          <w:b/>
          <w:sz w:val="20"/>
          <w:szCs w:val="20"/>
          <w:lang w:val="es-ES"/>
        </w:rPr>
      </w:pPr>
      <w:r w:rsidRPr="007B0479">
        <w:rPr>
          <w:rFonts w:ascii="Verdana" w:hAnsi="Verdana"/>
          <w:b/>
          <w:sz w:val="20"/>
          <w:szCs w:val="20"/>
          <w:lang w:val="es-ES"/>
        </w:rPr>
        <w:t>RESUELVE:</w:t>
      </w:r>
    </w:p>
    <w:p w:rsidR="00590CC4" w:rsidRPr="007B0479" w:rsidRDefault="00590CC4" w:rsidP="00FF4515">
      <w:pPr>
        <w:tabs>
          <w:tab w:val="num" w:pos="709"/>
        </w:tabs>
        <w:ind w:right="22"/>
        <w:jc w:val="both"/>
        <w:rPr>
          <w:rFonts w:ascii="Verdana" w:hAnsi="Verdana"/>
          <w:b/>
          <w:sz w:val="20"/>
          <w:szCs w:val="20"/>
          <w:lang w:val="es-ES"/>
        </w:rPr>
      </w:pPr>
    </w:p>
    <w:p w:rsidR="00BA63BB" w:rsidRDefault="004E12B1" w:rsidP="00BA63BB">
      <w:pPr>
        <w:tabs>
          <w:tab w:val="left" w:pos="0"/>
        </w:tabs>
        <w:ind w:right="18"/>
        <w:jc w:val="both"/>
        <w:rPr>
          <w:rFonts w:ascii="Verdana" w:hAnsi="Verdana"/>
          <w:sz w:val="20"/>
          <w:szCs w:val="20"/>
        </w:rPr>
      </w:pPr>
      <w:r w:rsidRPr="007B0479">
        <w:rPr>
          <w:rFonts w:ascii="Verdana" w:hAnsi="Verdana"/>
          <w:sz w:val="20"/>
        </w:rPr>
        <w:t>1.</w:t>
      </w:r>
      <w:r w:rsidRPr="007B0479">
        <w:rPr>
          <w:rFonts w:ascii="Verdana" w:hAnsi="Verdana"/>
          <w:sz w:val="20"/>
        </w:rPr>
        <w:tab/>
      </w:r>
      <w:r w:rsidR="0013041C" w:rsidRPr="007B0479">
        <w:rPr>
          <w:rFonts w:ascii="Verdana" w:hAnsi="Verdana"/>
          <w:sz w:val="20"/>
          <w:szCs w:val="20"/>
        </w:rPr>
        <w:t>Desestimar la solicitud de medidas provisionales interpuesta por</w:t>
      </w:r>
      <w:r w:rsidR="00BA63BB">
        <w:rPr>
          <w:rFonts w:ascii="Verdana" w:hAnsi="Verdana"/>
          <w:sz w:val="20"/>
          <w:szCs w:val="20"/>
        </w:rPr>
        <w:t xml:space="preserve"> el representante a favor de </w:t>
      </w:r>
      <w:r w:rsidR="003C4AA7">
        <w:rPr>
          <w:rFonts w:ascii="Verdana" w:hAnsi="Verdana"/>
          <w:sz w:val="20"/>
          <w:szCs w:val="20"/>
        </w:rPr>
        <w:t>Talía</w:t>
      </w:r>
      <w:r w:rsidR="00BA63BB">
        <w:rPr>
          <w:rFonts w:ascii="Verdana" w:hAnsi="Verdana"/>
          <w:sz w:val="20"/>
          <w:szCs w:val="20"/>
        </w:rPr>
        <w:t xml:space="preserve"> Gonzales </w:t>
      </w:r>
      <w:proofErr w:type="spellStart"/>
      <w:r w:rsidR="00BA63BB">
        <w:rPr>
          <w:rFonts w:ascii="Verdana" w:hAnsi="Verdana"/>
          <w:sz w:val="20"/>
          <w:szCs w:val="20"/>
        </w:rPr>
        <w:t>Lluy</w:t>
      </w:r>
      <w:proofErr w:type="spellEnd"/>
      <w:r w:rsidR="00BA63BB">
        <w:rPr>
          <w:rFonts w:ascii="Verdana" w:hAnsi="Verdana"/>
          <w:sz w:val="20"/>
          <w:szCs w:val="20"/>
        </w:rPr>
        <w:t xml:space="preserve">. </w:t>
      </w:r>
      <w:r w:rsidR="0013041C" w:rsidRPr="007B0479">
        <w:rPr>
          <w:rFonts w:ascii="Verdana" w:hAnsi="Verdana"/>
          <w:sz w:val="20"/>
          <w:szCs w:val="20"/>
        </w:rPr>
        <w:t xml:space="preserve"> </w:t>
      </w:r>
    </w:p>
    <w:p w:rsidR="00BA63BB" w:rsidRDefault="00BA63BB" w:rsidP="00BA63BB">
      <w:pPr>
        <w:tabs>
          <w:tab w:val="left" w:pos="0"/>
        </w:tabs>
        <w:ind w:right="18"/>
        <w:jc w:val="both"/>
        <w:rPr>
          <w:rFonts w:ascii="Verdana" w:hAnsi="Verdana"/>
          <w:sz w:val="20"/>
          <w:szCs w:val="20"/>
        </w:rPr>
      </w:pPr>
    </w:p>
    <w:p w:rsidR="004E12B1" w:rsidRDefault="00BA63BB" w:rsidP="00BA63BB">
      <w:pPr>
        <w:tabs>
          <w:tab w:val="left" w:pos="0"/>
        </w:tabs>
        <w:ind w:right="18"/>
        <w:jc w:val="both"/>
        <w:rPr>
          <w:rFonts w:ascii="Verdana" w:hAnsi="Verdana"/>
          <w:sz w:val="20"/>
        </w:rPr>
      </w:pPr>
      <w:r>
        <w:rPr>
          <w:rFonts w:ascii="Verdana" w:hAnsi="Verdana"/>
          <w:sz w:val="20"/>
          <w:szCs w:val="20"/>
        </w:rPr>
        <w:t>2.</w:t>
      </w:r>
      <w:r>
        <w:rPr>
          <w:rFonts w:ascii="Verdana" w:hAnsi="Verdana"/>
          <w:sz w:val="20"/>
          <w:szCs w:val="20"/>
        </w:rPr>
        <w:tab/>
      </w:r>
      <w:r w:rsidR="003571D7" w:rsidRPr="007B0479">
        <w:rPr>
          <w:rFonts w:ascii="Verdana" w:hAnsi="Verdana"/>
          <w:sz w:val="20"/>
        </w:rPr>
        <w:t>Dispon</w:t>
      </w:r>
      <w:r w:rsidR="00E24D61" w:rsidRPr="007B0479">
        <w:rPr>
          <w:rFonts w:ascii="Verdana" w:hAnsi="Verdana"/>
          <w:sz w:val="20"/>
        </w:rPr>
        <w:t>er</w:t>
      </w:r>
      <w:r w:rsidR="003571D7" w:rsidRPr="007B0479">
        <w:rPr>
          <w:rFonts w:ascii="Verdana" w:hAnsi="Verdana"/>
          <w:sz w:val="20"/>
        </w:rPr>
        <w:t xml:space="preserve"> </w:t>
      </w:r>
      <w:r w:rsidR="00E80DE6" w:rsidRPr="007B0479">
        <w:rPr>
          <w:rFonts w:ascii="Verdana" w:hAnsi="Verdana"/>
          <w:sz w:val="20"/>
        </w:rPr>
        <w:t>que</w:t>
      </w:r>
      <w:r w:rsidR="004E12B1" w:rsidRPr="007B0479">
        <w:rPr>
          <w:rFonts w:ascii="Verdana" w:hAnsi="Verdana"/>
          <w:sz w:val="20"/>
        </w:rPr>
        <w:t xml:space="preserve"> la Secretaría notifique la presente Resolución al Estado</w:t>
      </w:r>
      <w:r w:rsidR="006C7BF0">
        <w:rPr>
          <w:rFonts w:ascii="Verdana" w:hAnsi="Verdana"/>
          <w:sz w:val="20"/>
        </w:rPr>
        <w:t xml:space="preserve"> del Ecuador, al representante de </w:t>
      </w:r>
      <w:r w:rsidR="003C4AA7">
        <w:rPr>
          <w:rFonts w:ascii="Verdana" w:hAnsi="Verdana"/>
          <w:sz w:val="20"/>
        </w:rPr>
        <w:t>Talía</w:t>
      </w:r>
      <w:r w:rsidR="006C7BF0">
        <w:rPr>
          <w:rFonts w:ascii="Verdana" w:hAnsi="Verdana"/>
          <w:sz w:val="20"/>
        </w:rPr>
        <w:t xml:space="preserve"> Gonzales </w:t>
      </w:r>
      <w:proofErr w:type="spellStart"/>
      <w:r w:rsidR="006C7BF0">
        <w:rPr>
          <w:rFonts w:ascii="Verdana" w:hAnsi="Verdana"/>
          <w:sz w:val="20"/>
        </w:rPr>
        <w:t>Lluy</w:t>
      </w:r>
      <w:proofErr w:type="spellEnd"/>
      <w:r w:rsidR="00BA5551" w:rsidRPr="007B0479">
        <w:rPr>
          <w:rFonts w:ascii="Verdana" w:hAnsi="Verdana"/>
          <w:sz w:val="20"/>
        </w:rPr>
        <w:t xml:space="preserve"> y</w:t>
      </w:r>
      <w:r w:rsidR="004E12B1" w:rsidRPr="007B0479">
        <w:rPr>
          <w:rFonts w:ascii="Verdana" w:hAnsi="Verdana"/>
          <w:sz w:val="20"/>
        </w:rPr>
        <w:t xml:space="preserve"> a la Comisión Interamericana.</w:t>
      </w:r>
    </w:p>
    <w:p w:rsidR="0078767B" w:rsidRDefault="0078767B" w:rsidP="00BA63BB">
      <w:pPr>
        <w:tabs>
          <w:tab w:val="left" w:pos="0"/>
        </w:tabs>
        <w:ind w:right="18"/>
        <w:jc w:val="both"/>
        <w:rPr>
          <w:rFonts w:ascii="Verdana" w:hAnsi="Verdana"/>
          <w:sz w:val="20"/>
        </w:rPr>
      </w:pPr>
    </w:p>
    <w:p w:rsidR="0078767B" w:rsidRDefault="0078767B" w:rsidP="0078767B">
      <w:pPr>
        <w:jc w:val="both"/>
        <w:rPr>
          <w:rFonts w:ascii="Verdana" w:hAnsi="Verdana"/>
          <w:sz w:val="20"/>
          <w:lang w:val="es-CR"/>
        </w:rPr>
      </w:pPr>
    </w:p>
    <w:p w:rsidR="0078767B" w:rsidRPr="007C7838" w:rsidRDefault="0078767B" w:rsidP="0078767B">
      <w:pPr>
        <w:jc w:val="both"/>
        <w:rPr>
          <w:rFonts w:ascii="Verdana" w:hAnsi="Verdana"/>
          <w:sz w:val="20"/>
          <w:lang w:val="es-CR"/>
        </w:rPr>
      </w:pPr>
    </w:p>
    <w:p w:rsidR="0078767B" w:rsidRDefault="0078767B" w:rsidP="0078767B">
      <w:pPr>
        <w:jc w:val="center"/>
        <w:rPr>
          <w:rFonts w:ascii="Verdana" w:hAnsi="Verdana"/>
          <w:sz w:val="20"/>
          <w:lang w:val="es-ES"/>
        </w:rPr>
      </w:pPr>
      <w:r>
        <w:rPr>
          <w:rFonts w:ascii="Verdana" w:hAnsi="Verdana"/>
          <w:sz w:val="20"/>
          <w:lang w:val="es-ES"/>
        </w:rPr>
        <w:t>Humberto Antonio Sierra Porto</w:t>
      </w:r>
    </w:p>
    <w:p w:rsidR="0078767B" w:rsidRPr="00370276" w:rsidRDefault="0078767B" w:rsidP="0078767B">
      <w:pPr>
        <w:jc w:val="center"/>
        <w:rPr>
          <w:rFonts w:ascii="Verdana" w:hAnsi="Verdana"/>
          <w:sz w:val="20"/>
          <w:lang w:val="es-ES"/>
        </w:rPr>
      </w:pPr>
      <w:r>
        <w:rPr>
          <w:rFonts w:ascii="Verdana" w:hAnsi="Verdana"/>
          <w:sz w:val="20"/>
          <w:lang w:val="es-ES"/>
        </w:rPr>
        <w:t xml:space="preserve">Presidente </w:t>
      </w: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r>
        <w:rPr>
          <w:rFonts w:ascii="Verdana" w:hAnsi="Verdana"/>
          <w:sz w:val="20"/>
          <w:lang w:val="es-ES"/>
        </w:rPr>
        <w:t>Manuel E. Ventura Robles</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Diego García-Sayán</w:t>
      </w:r>
    </w:p>
    <w:p w:rsidR="0078767B" w:rsidRPr="00370276"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r>
        <w:rPr>
          <w:rFonts w:ascii="Verdana" w:hAnsi="Verdana"/>
          <w:sz w:val="20"/>
          <w:lang w:val="es-ES"/>
        </w:rPr>
        <w:t xml:space="preserve">Alberto Pérez </w:t>
      </w:r>
      <w:proofErr w:type="spellStart"/>
      <w:r>
        <w:rPr>
          <w:rFonts w:ascii="Verdana" w:hAnsi="Verdana"/>
          <w:sz w:val="20"/>
          <w:lang w:val="es-ES"/>
        </w:rPr>
        <w:t>Pérez</w:t>
      </w:r>
      <w:proofErr w:type="spellEnd"/>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Eduardo Vio Grossi</w:t>
      </w: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p>
    <w:p w:rsidR="0078767B" w:rsidRPr="00370276" w:rsidRDefault="0078767B" w:rsidP="0078767B">
      <w:pPr>
        <w:jc w:val="center"/>
        <w:rPr>
          <w:rFonts w:ascii="Verdana" w:hAnsi="Verdana"/>
          <w:sz w:val="20"/>
          <w:lang w:val="es-ES"/>
        </w:rPr>
      </w:pPr>
      <w:r>
        <w:rPr>
          <w:rFonts w:ascii="Verdana" w:hAnsi="Verdana"/>
          <w:sz w:val="20"/>
          <w:lang w:val="es-ES"/>
        </w:rPr>
        <w:t>Eduardo Ferrer Mac-</w:t>
      </w:r>
      <w:proofErr w:type="spellStart"/>
      <w:r>
        <w:rPr>
          <w:rFonts w:ascii="Verdana" w:hAnsi="Verdana"/>
          <w:sz w:val="20"/>
          <w:lang w:val="es-ES"/>
        </w:rPr>
        <w:t>Gregor</w:t>
      </w:r>
      <w:proofErr w:type="spellEnd"/>
      <w:r>
        <w:rPr>
          <w:rFonts w:ascii="Verdana" w:hAnsi="Verdana"/>
          <w:sz w:val="20"/>
          <w:lang w:val="es-ES"/>
        </w:rPr>
        <w:t xml:space="preserve"> </w:t>
      </w:r>
      <w:proofErr w:type="spellStart"/>
      <w:r>
        <w:rPr>
          <w:rFonts w:ascii="Verdana" w:hAnsi="Verdana"/>
          <w:sz w:val="20"/>
          <w:lang w:val="es-ES"/>
        </w:rPr>
        <w:t>Poisot</w:t>
      </w:r>
      <w:proofErr w:type="spellEnd"/>
    </w:p>
    <w:p w:rsidR="0078767B" w:rsidRPr="007C06A1" w:rsidRDefault="0078767B" w:rsidP="0078767B">
      <w:pPr>
        <w:rPr>
          <w:rFonts w:ascii="Verdana" w:hAnsi="Verdana"/>
          <w:sz w:val="20"/>
          <w:lang w:val="es-ES"/>
        </w:rPr>
      </w:pPr>
    </w:p>
    <w:p w:rsidR="0078767B" w:rsidRPr="00154412" w:rsidRDefault="0078767B" w:rsidP="0078767B">
      <w:pPr>
        <w:rPr>
          <w:rFonts w:ascii="Verdana" w:hAnsi="Verdana"/>
          <w:sz w:val="20"/>
          <w:lang w:val="es-CR"/>
        </w:rPr>
      </w:pPr>
    </w:p>
    <w:p w:rsidR="0078767B" w:rsidRDefault="0078767B" w:rsidP="0078767B">
      <w:pPr>
        <w:jc w:val="both"/>
        <w:rPr>
          <w:rFonts w:ascii="Verdana" w:hAnsi="Verdana"/>
          <w:sz w:val="20"/>
          <w:lang w:val="es-CR"/>
        </w:rPr>
      </w:pPr>
    </w:p>
    <w:p w:rsidR="0078767B" w:rsidRDefault="0078767B" w:rsidP="0078767B">
      <w:pPr>
        <w:jc w:val="both"/>
        <w:rPr>
          <w:rFonts w:ascii="Verdana" w:hAnsi="Verdana"/>
          <w:sz w:val="20"/>
          <w:lang w:val="es-CR"/>
        </w:rPr>
      </w:pPr>
    </w:p>
    <w:p w:rsidR="0078767B" w:rsidRDefault="0078767B" w:rsidP="0078767B">
      <w:pPr>
        <w:jc w:val="both"/>
        <w:rPr>
          <w:rFonts w:ascii="Verdana" w:hAnsi="Verdana"/>
          <w:sz w:val="20"/>
          <w:lang w:val="es-CR"/>
        </w:rPr>
      </w:pPr>
    </w:p>
    <w:p w:rsidR="0078767B" w:rsidRDefault="0078767B" w:rsidP="0078767B">
      <w:pPr>
        <w:jc w:val="both"/>
        <w:rPr>
          <w:rFonts w:ascii="Verdana" w:hAnsi="Verdana"/>
          <w:sz w:val="20"/>
          <w:lang w:val="es-CR"/>
        </w:rPr>
      </w:pPr>
    </w:p>
    <w:p w:rsidR="0078767B" w:rsidRPr="00370276" w:rsidRDefault="0078767B" w:rsidP="0078767B">
      <w:pPr>
        <w:jc w:val="both"/>
        <w:rPr>
          <w:rFonts w:ascii="Verdana" w:hAnsi="Verdana"/>
          <w:sz w:val="20"/>
          <w:lang w:val="es-ES"/>
        </w:rPr>
      </w:pPr>
    </w:p>
    <w:p w:rsidR="0078767B" w:rsidRPr="00370276" w:rsidRDefault="0078767B" w:rsidP="0078767B">
      <w:pPr>
        <w:jc w:val="center"/>
        <w:rPr>
          <w:rFonts w:ascii="Verdana" w:hAnsi="Verdana"/>
          <w:sz w:val="20"/>
          <w:lang w:val="es-ES"/>
        </w:rPr>
      </w:pPr>
      <w:r w:rsidRPr="00370276">
        <w:rPr>
          <w:rFonts w:ascii="Verdana" w:hAnsi="Verdana"/>
          <w:sz w:val="20"/>
          <w:lang w:val="es-ES"/>
        </w:rPr>
        <w:t>Pablo Saavedra Ales</w:t>
      </w:r>
      <w:r>
        <w:rPr>
          <w:rFonts w:ascii="Verdana" w:hAnsi="Verdana"/>
          <w:sz w:val="20"/>
          <w:lang w:val="es-ES"/>
        </w:rPr>
        <w:t>s</w:t>
      </w:r>
      <w:r w:rsidRPr="00370276">
        <w:rPr>
          <w:rFonts w:ascii="Verdana" w:hAnsi="Verdana"/>
          <w:sz w:val="20"/>
          <w:lang w:val="es-ES"/>
        </w:rPr>
        <w:t>andri</w:t>
      </w:r>
    </w:p>
    <w:p w:rsidR="0078767B" w:rsidRPr="00370276" w:rsidRDefault="0078767B" w:rsidP="0078767B">
      <w:pPr>
        <w:jc w:val="center"/>
        <w:rPr>
          <w:rFonts w:ascii="Verdana" w:hAnsi="Verdana"/>
          <w:sz w:val="20"/>
          <w:lang w:val="es-ES"/>
        </w:rPr>
      </w:pPr>
      <w:r w:rsidRPr="00370276">
        <w:rPr>
          <w:rFonts w:ascii="Verdana" w:hAnsi="Verdana"/>
          <w:sz w:val="20"/>
          <w:lang w:val="es-ES"/>
        </w:rPr>
        <w:t>Secretario</w:t>
      </w:r>
    </w:p>
    <w:p w:rsidR="0078767B" w:rsidRPr="00370276" w:rsidRDefault="0078767B" w:rsidP="0078767B">
      <w:pPr>
        <w:rPr>
          <w:rFonts w:ascii="Verdana" w:hAnsi="Verdana"/>
          <w:sz w:val="20"/>
          <w:lang w:val="es-ES"/>
        </w:rPr>
      </w:pPr>
    </w:p>
    <w:p w:rsidR="0078767B" w:rsidRDefault="0078767B" w:rsidP="0078767B">
      <w:pPr>
        <w:pStyle w:val="FootnoteText"/>
        <w:rPr>
          <w:rFonts w:ascii="Verdana" w:hAnsi="Verdana"/>
          <w:lang w:val="es-ES"/>
        </w:rPr>
      </w:pPr>
    </w:p>
    <w:p w:rsidR="0078767B" w:rsidRDefault="0078767B" w:rsidP="0078767B">
      <w:pPr>
        <w:pStyle w:val="FootnoteText"/>
        <w:rPr>
          <w:rFonts w:ascii="Verdana" w:hAnsi="Verdana"/>
          <w:lang w:val="es-ES"/>
        </w:rPr>
      </w:pPr>
    </w:p>
    <w:p w:rsidR="0078767B" w:rsidRPr="00370276" w:rsidRDefault="0078767B" w:rsidP="0078767B">
      <w:pPr>
        <w:pStyle w:val="FootnoteText"/>
        <w:rPr>
          <w:rFonts w:ascii="Verdana" w:hAnsi="Verdana"/>
          <w:lang w:val="es-ES"/>
        </w:rPr>
      </w:pPr>
    </w:p>
    <w:p w:rsidR="0078767B" w:rsidRPr="00370276" w:rsidRDefault="0078767B" w:rsidP="0078767B">
      <w:pPr>
        <w:jc w:val="both"/>
        <w:rPr>
          <w:rFonts w:ascii="Verdana" w:hAnsi="Verdana"/>
          <w:sz w:val="20"/>
          <w:lang w:val="es-ES"/>
        </w:rPr>
      </w:pPr>
      <w:r w:rsidRPr="00370276">
        <w:rPr>
          <w:rFonts w:ascii="Verdana" w:hAnsi="Verdana"/>
          <w:sz w:val="20"/>
          <w:lang w:val="es-ES"/>
        </w:rPr>
        <w:t>Comuníquese y ejecútese,</w:t>
      </w: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1510B7" w:rsidRDefault="0078767B" w:rsidP="0078767B">
      <w:pPr>
        <w:jc w:val="both"/>
        <w:rPr>
          <w:rFonts w:ascii="Verdana" w:hAnsi="Verdana"/>
          <w:sz w:val="20"/>
          <w:lang w:val="es-CR"/>
        </w:rPr>
      </w:pPr>
    </w:p>
    <w:p w:rsidR="0078767B" w:rsidRDefault="0078767B" w:rsidP="0078767B">
      <w:pPr>
        <w:ind w:left="5040"/>
        <w:rPr>
          <w:rFonts w:ascii="Verdana" w:hAnsi="Verdana"/>
          <w:sz w:val="20"/>
          <w:lang w:val="es-ES"/>
        </w:rPr>
      </w:pPr>
      <w:r>
        <w:rPr>
          <w:rFonts w:ascii="Verdana" w:hAnsi="Verdana"/>
          <w:sz w:val="20"/>
          <w:lang w:val="es-ES"/>
        </w:rPr>
        <w:t xml:space="preserve">       Humberto Antonio Sierra Porto</w:t>
      </w:r>
      <w:r w:rsidRPr="00370276">
        <w:rPr>
          <w:rFonts w:ascii="Verdana" w:hAnsi="Verdana"/>
          <w:sz w:val="20"/>
          <w:lang w:val="es-ES"/>
        </w:rPr>
        <w:tab/>
      </w:r>
    </w:p>
    <w:p w:rsidR="0078767B" w:rsidRPr="00370276" w:rsidRDefault="0078767B" w:rsidP="0078767B">
      <w:pPr>
        <w:ind w:left="5760"/>
        <w:jc w:val="center"/>
        <w:rPr>
          <w:rFonts w:ascii="Verdana" w:hAnsi="Verdana"/>
          <w:sz w:val="20"/>
          <w:lang w:val="es-ES"/>
        </w:rPr>
      </w:pPr>
      <w:r>
        <w:rPr>
          <w:rFonts w:ascii="Verdana" w:hAnsi="Verdana"/>
          <w:sz w:val="20"/>
          <w:lang w:val="es-ES"/>
        </w:rPr>
        <w:t>Presidente</w:t>
      </w: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Pr="00370276" w:rsidRDefault="0078767B" w:rsidP="0078767B">
      <w:pPr>
        <w:jc w:val="both"/>
        <w:rPr>
          <w:rFonts w:ascii="Verdana" w:hAnsi="Verdana"/>
          <w:sz w:val="20"/>
          <w:lang w:val="es-ES"/>
        </w:rPr>
      </w:pPr>
    </w:p>
    <w:p w:rsidR="0078767B" w:rsidRDefault="0078767B" w:rsidP="0078767B">
      <w:pPr>
        <w:jc w:val="both"/>
        <w:rPr>
          <w:rFonts w:ascii="Verdana" w:hAnsi="Verdana"/>
          <w:sz w:val="20"/>
          <w:lang w:val="es-ES"/>
        </w:rPr>
      </w:pPr>
      <w:r w:rsidRPr="00370276">
        <w:rPr>
          <w:rFonts w:ascii="Verdana" w:hAnsi="Verdana"/>
          <w:sz w:val="20"/>
          <w:lang w:val="es-ES"/>
        </w:rPr>
        <w:t>Pablo Saavedra Alessandri</w:t>
      </w:r>
    </w:p>
    <w:p w:rsidR="0078767B" w:rsidRDefault="0078767B" w:rsidP="0078767B">
      <w:pPr>
        <w:rPr>
          <w:rFonts w:ascii="Verdana" w:hAnsi="Verdana"/>
          <w:sz w:val="20"/>
        </w:rPr>
      </w:pPr>
      <w:r w:rsidRPr="00370276">
        <w:rPr>
          <w:rFonts w:ascii="Verdana" w:hAnsi="Verdana"/>
          <w:sz w:val="20"/>
          <w:lang w:val="es-ES"/>
        </w:rPr>
        <w:tab/>
      </w:r>
      <w:r>
        <w:rPr>
          <w:rFonts w:ascii="Verdana" w:hAnsi="Verdana"/>
          <w:sz w:val="20"/>
        </w:rPr>
        <w:t>Secretario</w:t>
      </w:r>
    </w:p>
    <w:p w:rsidR="0078767B" w:rsidRPr="00507746" w:rsidRDefault="0078767B" w:rsidP="0078767B">
      <w:pPr>
        <w:jc w:val="both"/>
        <w:rPr>
          <w:rFonts w:ascii="Verdana" w:hAnsi="Verdana"/>
          <w:sz w:val="20"/>
        </w:rPr>
      </w:pPr>
    </w:p>
    <w:p w:rsidR="0078767B" w:rsidRPr="00BA63BB" w:rsidRDefault="0078767B" w:rsidP="00BA63BB">
      <w:pPr>
        <w:tabs>
          <w:tab w:val="left" w:pos="0"/>
        </w:tabs>
        <w:ind w:right="18"/>
        <w:jc w:val="both"/>
        <w:rPr>
          <w:rFonts w:ascii="Verdana" w:hAnsi="Verdana"/>
          <w:sz w:val="20"/>
          <w:szCs w:val="20"/>
        </w:rPr>
      </w:pPr>
      <w:bookmarkStart w:id="4" w:name="_GoBack"/>
      <w:bookmarkEnd w:id="4"/>
    </w:p>
    <w:p w:rsidR="00932629" w:rsidRPr="007C7838" w:rsidRDefault="000728B9" w:rsidP="00F1104E">
      <w:pPr>
        <w:pStyle w:val="BodyText"/>
        <w:widowControl w:val="0"/>
        <w:tabs>
          <w:tab w:val="left" w:pos="680"/>
          <w:tab w:val="num" w:pos="709"/>
        </w:tabs>
        <w:spacing w:after="0"/>
        <w:jc w:val="both"/>
        <w:rPr>
          <w:rFonts w:ascii="Verdana" w:hAnsi="Verdana"/>
          <w:sz w:val="20"/>
          <w:lang w:val="es-CR"/>
        </w:rPr>
      </w:pPr>
      <w:r w:rsidRPr="007B0479">
        <w:rPr>
          <w:rFonts w:ascii="Verdana" w:hAnsi="Verdana"/>
          <w:sz w:val="20"/>
          <w:szCs w:val="20"/>
          <w:lang w:val="es-CR"/>
        </w:rPr>
        <w:t xml:space="preserve"> </w:t>
      </w:r>
    </w:p>
    <w:sectPr w:rsidR="00932629" w:rsidRPr="007C7838" w:rsidSect="004F6792">
      <w:headerReference w:type="even" r:id="rId9"/>
      <w:headerReference w:type="default" r:id="rId10"/>
      <w:pgSz w:w="12240" w:h="15840" w:code="1"/>
      <w:pgMar w:top="1417" w:right="153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65" w:rsidRDefault="00810965">
      <w:r>
        <w:separator/>
      </w:r>
    </w:p>
  </w:endnote>
  <w:endnote w:type="continuationSeparator" w:id="0">
    <w:p w:rsidR="00810965" w:rsidRDefault="0081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Italic">
    <w:altName w:val="Verdana"/>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65" w:rsidRDefault="00810965">
      <w:r>
        <w:separator/>
      </w:r>
    </w:p>
  </w:footnote>
  <w:footnote w:type="continuationSeparator" w:id="0">
    <w:p w:rsidR="00810965" w:rsidRDefault="00810965">
      <w:r>
        <w:continuationSeparator/>
      </w:r>
    </w:p>
  </w:footnote>
  <w:footnote w:id="1">
    <w:p w:rsidR="00B068AF" w:rsidRPr="00F4781C" w:rsidRDefault="00B068AF" w:rsidP="00B27064">
      <w:pPr>
        <w:spacing w:after="60"/>
        <w:jc w:val="both"/>
        <w:rPr>
          <w:rFonts w:ascii="Verdana" w:eastAsia="Times New Roman" w:hAnsi="Verdana"/>
          <w:sz w:val="16"/>
          <w:szCs w:val="16"/>
          <w:lang w:val="es-CR"/>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t xml:space="preserve">Reglamento aprobado por la Corte </w:t>
      </w:r>
      <w:r w:rsidR="00E3323F">
        <w:rPr>
          <w:rFonts w:ascii="Verdana" w:hAnsi="Verdana"/>
          <w:sz w:val="16"/>
          <w:szCs w:val="16"/>
        </w:rPr>
        <w:t xml:space="preserve">Interamericana de Derechos Humanos </w:t>
      </w:r>
      <w:r w:rsidRPr="00F4781C">
        <w:rPr>
          <w:rFonts w:ascii="Verdana" w:hAnsi="Verdana"/>
          <w:sz w:val="16"/>
          <w:szCs w:val="16"/>
        </w:rPr>
        <w:t>en su LXXXV Período Ordinario de Sesiones celebrado del 16 al 28 de noviembre de 2009.</w:t>
      </w:r>
    </w:p>
  </w:footnote>
  <w:footnote w:id="2">
    <w:p w:rsidR="00B553FC" w:rsidRPr="0059377D" w:rsidRDefault="00B553FC" w:rsidP="00B27064">
      <w:pPr>
        <w:pStyle w:val="FootnoteText"/>
        <w:spacing w:after="60"/>
        <w:jc w:val="both"/>
        <w:rPr>
          <w:rFonts w:ascii="Verdana" w:hAnsi="Verdana"/>
          <w:sz w:val="16"/>
          <w:szCs w:val="16"/>
        </w:rPr>
      </w:pPr>
      <w:r w:rsidRPr="0059377D">
        <w:rPr>
          <w:rStyle w:val="FootnoteReference"/>
          <w:szCs w:val="16"/>
        </w:rPr>
        <w:footnoteRef/>
      </w:r>
      <w:r w:rsidRPr="0059377D">
        <w:rPr>
          <w:rFonts w:ascii="Verdana" w:hAnsi="Verdana"/>
          <w:sz w:val="16"/>
          <w:szCs w:val="16"/>
        </w:rPr>
        <w:t xml:space="preserve"> </w:t>
      </w:r>
      <w:r w:rsidRPr="0059377D">
        <w:rPr>
          <w:rFonts w:ascii="Verdana" w:hAnsi="Verdana"/>
          <w:sz w:val="16"/>
          <w:szCs w:val="16"/>
        </w:rPr>
        <w:tab/>
      </w:r>
      <w:r w:rsidRPr="0059377D">
        <w:rPr>
          <w:rFonts w:ascii="Verdana" w:hAnsi="Verdana"/>
          <w:i/>
          <w:sz w:val="16"/>
          <w:szCs w:val="16"/>
        </w:rPr>
        <w:t xml:space="preserve">Cfr. Caso </w:t>
      </w:r>
      <w:proofErr w:type="spellStart"/>
      <w:r w:rsidRPr="0059377D">
        <w:rPr>
          <w:rFonts w:ascii="Verdana" w:hAnsi="Verdana"/>
          <w:i/>
          <w:sz w:val="16"/>
          <w:szCs w:val="16"/>
        </w:rPr>
        <w:t>Bámaca</w:t>
      </w:r>
      <w:proofErr w:type="spellEnd"/>
      <w:r w:rsidRPr="0059377D">
        <w:rPr>
          <w:rFonts w:ascii="Verdana" w:hAnsi="Verdana"/>
          <w:i/>
          <w:sz w:val="16"/>
          <w:szCs w:val="16"/>
        </w:rPr>
        <w:t xml:space="preserve"> Velásquez.</w:t>
      </w:r>
      <w:r w:rsidRPr="0059377D">
        <w:rPr>
          <w:rFonts w:ascii="Verdana" w:hAnsi="Verdana"/>
          <w:sz w:val="16"/>
          <w:szCs w:val="16"/>
        </w:rPr>
        <w:t xml:space="preserve"> Medidas Provisionales respecto de Guatemala. Resolución de la Corte</w:t>
      </w:r>
      <w:r w:rsidR="00E3323F">
        <w:rPr>
          <w:rFonts w:ascii="Verdana" w:hAnsi="Verdana"/>
          <w:sz w:val="16"/>
          <w:szCs w:val="16"/>
        </w:rPr>
        <w:t xml:space="preserve"> Interamericana de Derechos</w:t>
      </w:r>
      <w:r w:rsidRPr="0059377D">
        <w:rPr>
          <w:rFonts w:ascii="Verdana" w:hAnsi="Verdana"/>
          <w:sz w:val="16"/>
          <w:szCs w:val="16"/>
        </w:rPr>
        <w:t xml:space="preserve"> </w:t>
      </w:r>
      <w:r w:rsidR="00E3323F">
        <w:rPr>
          <w:rFonts w:ascii="Verdana" w:hAnsi="Verdana"/>
          <w:sz w:val="16"/>
          <w:szCs w:val="16"/>
        </w:rPr>
        <w:t xml:space="preserve">Humanos </w:t>
      </w:r>
      <w:r w:rsidRPr="0059377D">
        <w:rPr>
          <w:rFonts w:ascii="Verdana" w:hAnsi="Verdana"/>
          <w:sz w:val="16"/>
          <w:szCs w:val="16"/>
        </w:rPr>
        <w:t xml:space="preserve">de 20 de noviembre de 2003, Considerando décimo, y </w:t>
      </w:r>
      <w:r w:rsidRPr="0059377D">
        <w:rPr>
          <w:rFonts w:ascii="Verdana" w:hAnsi="Verdana"/>
          <w:i/>
          <w:sz w:val="16"/>
          <w:szCs w:val="16"/>
        </w:rPr>
        <w:t xml:space="preserve">Caso Torres </w:t>
      </w:r>
      <w:proofErr w:type="spellStart"/>
      <w:r w:rsidRPr="0059377D">
        <w:rPr>
          <w:rFonts w:ascii="Verdana" w:hAnsi="Verdana"/>
          <w:i/>
          <w:sz w:val="16"/>
          <w:szCs w:val="16"/>
        </w:rPr>
        <w:t>Millacura</w:t>
      </w:r>
      <w:proofErr w:type="spellEnd"/>
      <w:r w:rsidR="00E3323F">
        <w:rPr>
          <w:rFonts w:ascii="Verdana" w:hAnsi="Verdana"/>
          <w:i/>
          <w:sz w:val="16"/>
          <w:szCs w:val="16"/>
        </w:rPr>
        <w:t xml:space="preserve"> y otros</w:t>
      </w:r>
      <w:r w:rsidRPr="0059377D">
        <w:rPr>
          <w:rFonts w:ascii="Verdana" w:hAnsi="Verdana"/>
          <w:i/>
          <w:sz w:val="16"/>
          <w:szCs w:val="16"/>
        </w:rPr>
        <w:t>.</w:t>
      </w:r>
      <w:r w:rsidRPr="0059377D">
        <w:rPr>
          <w:rFonts w:ascii="Verdana" w:hAnsi="Verdana"/>
          <w:sz w:val="16"/>
          <w:szCs w:val="16"/>
        </w:rPr>
        <w:t xml:space="preserve"> Solicitud de Medidas Provisionales respecto de Argentina. Resolución de la Corte</w:t>
      </w:r>
      <w:r w:rsidR="00E3323F">
        <w:rPr>
          <w:rFonts w:ascii="Verdana" w:hAnsi="Verdana"/>
          <w:sz w:val="16"/>
          <w:szCs w:val="16"/>
        </w:rPr>
        <w:t xml:space="preserve"> Interamericana de Derechos Humanos</w:t>
      </w:r>
      <w:r w:rsidRPr="0059377D">
        <w:rPr>
          <w:rFonts w:ascii="Verdana" w:hAnsi="Verdana"/>
          <w:sz w:val="16"/>
          <w:szCs w:val="16"/>
        </w:rPr>
        <w:t xml:space="preserve"> de 23 de junio de 2015, Considerando cuarto.</w:t>
      </w:r>
    </w:p>
  </w:footnote>
  <w:footnote w:id="3">
    <w:p w:rsidR="00B553FC" w:rsidRDefault="00B553FC" w:rsidP="00B27064">
      <w:pPr>
        <w:pStyle w:val="NormalWeb"/>
        <w:spacing w:before="0" w:beforeAutospacing="0" w:after="60" w:afterAutospacing="0"/>
        <w:jc w:val="both"/>
      </w:pPr>
      <w:r>
        <w:rPr>
          <w:rStyle w:val="FootnoteReference"/>
        </w:rPr>
        <w:footnoteRef/>
      </w:r>
      <w:r>
        <w:tab/>
      </w:r>
      <w:r>
        <w:rPr>
          <w:rFonts w:ascii="Verdana" w:hAnsi="Verdana"/>
          <w:i/>
          <w:iCs/>
          <w:sz w:val="16"/>
          <w:szCs w:val="16"/>
        </w:rPr>
        <w:t xml:space="preserve">Cfr. Caso del Tribunal Constitucional. </w:t>
      </w:r>
      <w:r w:rsidRPr="00074DBC">
        <w:rPr>
          <w:rFonts w:ascii="Verdana" w:hAnsi="Verdana"/>
          <w:iCs/>
          <w:sz w:val="16"/>
          <w:szCs w:val="16"/>
        </w:rPr>
        <w:t xml:space="preserve">Medidas Provisionales respecto del </w:t>
      </w:r>
      <w:proofErr w:type="spellStart"/>
      <w:r w:rsidRPr="00074DBC">
        <w:rPr>
          <w:rFonts w:ascii="Verdana" w:hAnsi="Verdana"/>
          <w:iCs/>
          <w:sz w:val="16"/>
          <w:szCs w:val="16"/>
        </w:rPr>
        <w:t>Peru</w:t>
      </w:r>
      <w:proofErr w:type="spellEnd"/>
      <w:r w:rsidRPr="00074DBC">
        <w:rPr>
          <w:rFonts w:ascii="Verdana" w:hAnsi="Verdana"/>
          <w:iCs/>
          <w:sz w:val="16"/>
          <w:szCs w:val="16"/>
        </w:rPr>
        <w:t>́</w:t>
      </w:r>
      <w:r w:rsidRPr="006B7C0A">
        <w:rPr>
          <w:rFonts w:ascii="Verdana" w:hAnsi="Verdana"/>
          <w:sz w:val="16"/>
          <w:szCs w:val="16"/>
        </w:rPr>
        <w:t xml:space="preserve">. </w:t>
      </w:r>
      <w:proofErr w:type="spellStart"/>
      <w:r>
        <w:rPr>
          <w:rFonts w:ascii="Verdana" w:hAnsi="Verdana"/>
          <w:sz w:val="16"/>
          <w:szCs w:val="16"/>
        </w:rPr>
        <w:t>Resolución</w:t>
      </w:r>
      <w:proofErr w:type="spellEnd"/>
      <w:r>
        <w:rPr>
          <w:rFonts w:ascii="Verdana" w:hAnsi="Verdana"/>
          <w:sz w:val="16"/>
          <w:szCs w:val="16"/>
        </w:rPr>
        <w:t xml:space="preserve"> de la Corte Interamericana de Derechos Humanos de 14 de marzo de 2001, Considerando cuarto, y </w:t>
      </w:r>
      <w:r w:rsidRPr="0059377D">
        <w:rPr>
          <w:rFonts w:ascii="Verdana" w:hAnsi="Verdana"/>
          <w:i/>
          <w:sz w:val="16"/>
          <w:szCs w:val="16"/>
        </w:rPr>
        <w:t xml:space="preserve">Caso Torres </w:t>
      </w:r>
      <w:proofErr w:type="spellStart"/>
      <w:r w:rsidRPr="0059377D">
        <w:rPr>
          <w:rFonts w:ascii="Verdana" w:hAnsi="Verdana"/>
          <w:i/>
          <w:sz w:val="16"/>
          <w:szCs w:val="16"/>
        </w:rPr>
        <w:t>Millacura</w:t>
      </w:r>
      <w:proofErr w:type="spellEnd"/>
      <w:r w:rsidRPr="0059377D">
        <w:rPr>
          <w:rFonts w:ascii="Verdana" w:hAnsi="Verdana"/>
          <w:i/>
          <w:sz w:val="16"/>
          <w:szCs w:val="16"/>
        </w:rPr>
        <w:t>.</w:t>
      </w:r>
      <w:r w:rsidRPr="0059377D">
        <w:rPr>
          <w:rFonts w:ascii="Verdana" w:hAnsi="Verdana"/>
          <w:sz w:val="16"/>
          <w:szCs w:val="16"/>
        </w:rPr>
        <w:t xml:space="preserve"> Solicitud de Medidas Provisionales respecto de Argentina. Resolución de la Corte </w:t>
      </w:r>
      <w:r w:rsidR="00E3323F">
        <w:rPr>
          <w:rFonts w:ascii="Verdana" w:hAnsi="Verdana"/>
          <w:sz w:val="16"/>
          <w:szCs w:val="16"/>
        </w:rPr>
        <w:t xml:space="preserve">Interamericana de Derechos Humanos </w:t>
      </w:r>
      <w:r w:rsidRPr="0059377D">
        <w:rPr>
          <w:rFonts w:ascii="Verdana" w:hAnsi="Verdana"/>
          <w:sz w:val="16"/>
          <w:szCs w:val="16"/>
        </w:rPr>
        <w:t>de 23 de junio de 2015, Considerando cuarto.</w:t>
      </w:r>
    </w:p>
  </w:footnote>
  <w:footnote w:id="4">
    <w:p w:rsidR="00B553FC" w:rsidRPr="00D11ED1" w:rsidRDefault="00B553FC" w:rsidP="00B27064">
      <w:pPr>
        <w:pStyle w:val="FootnoteText"/>
        <w:spacing w:after="60"/>
        <w:jc w:val="both"/>
        <w:rPr>
          <w:rFonts w:ascii="Verdana" w:hAnsi="Verdana"/>
          <w:sz w:val="16"/>
          <w:szCs w:val="16"/>
          <w:lang w:val="es-ES"/>
        </w:rPr>
      </w:pPr>
      <w:r w:rsidRPr="00F4781C">
        <w:rPr>
          <w:rStyle w:val="FootnoteReference"/>
          <w:szCs w:val="16"/>
        </w:rPr>
        <w:footnoteRef/>
      </w:r>
      <w:r w:rsidRPr="00F4781C">
        <w:rPr>
          <w:rFonts w:ascii="Verdana" w:hAnsi="Verdana"/>
          <w:sz w:val="16"/>
          <w:szCs w:val="16"/>
          <w:lang w:val="es-ES"/>
        </w:rPr>
        <w:t xml:space="preserve"> </w:t>
      </w:r>
      <w:r w:rsidRPr="00F4781C">
        <w:rPr>
          <w:rFonts w:ascii="Verdana" w:hAnsi="Verdana"/>
          <w:sz w:val="16"/>
          <w:szCs w:val="16"/>
          <w:lang w:val="es-ES"/>
        </w:rPr>
        <w:tab/>
      </w:r>
      <w:r w:rsidRPr="00F4781C">
        <w:rPr>
          <w:rFonts w:ascii="Verdana" w:hAnsi="Verdana"/>
          <w:i/>
          <w:sz w:val="16"/>
          <w:szCs w:val="16"/>
        </w:rPr>
        <w:t>Cfr. Caso del Periódico la “La Nación”.</w:t>
      </w:r>
      <w:r w:rsidRPr="00F4781C">
        <w:rPr>
          <w:rFonts w:ascii="Verdana" w:hAnsi="Verdana"/>
          <w:sz w:val="16"/>
          <w:szCs w:val="16"/>
        </w:rPr>
        <w:t xml:space="preserve"> Medidas Provisionales respecto de Costa Rica. Resolución de la Corte </w:t>
      </w:r>
      <w:r w:rsidR="00E3323F">
        <w:rPr>
          <w:rFonts w:ascii="Verdana" w:hAnsi="Verdana"/>
          <w:sz w:val="16"/>
          <w:szCs w:val="16"/>
        </w:rPr>
        <w:t xml:space="preserve">Interamericana de Derechos Humanos </w:t>
      </w:r>
      <w:r w:rsidRPr="00F4781C">
        <w:rPr>
          <w:rFonts w:ascii="Verdana" w:hAnsi="Verdana"/>
          <w:sz w:val="16"/>
          <w:szCs w:val="16"/>
        </w:rPr>
        <w:t xml:space="preserve">de 7 de septiembre de 2001, Considerando cuarto, y </w:t>
      </w:r>
      <w:r>
        <w:rPr>
          <w:rFonts w:ascii="Verdana" w:hAnsi="Verdana"/>
          <w:i/>
          <w:sz w:val="16"/>
          <w:szCs w:val="16"/>
        </w:rPr>
        <w:t xml:space="preserve">Caso Torres </w:t>
      </w:r>
      <w:proofErr w:type="spellStart"/>
      <w:r>
        <w:rPr>
          <w:rFonts w:ascii="Verdana" w:hAnsi="Verdana"/>
          <w:i/>
          <w:sz w:val="16"/>
          <w:szCs w:val="16"/>
        </w:rPr>
        <w:t>Millacura</w:t>
      </w:r>
      <w:proofErr w:type="spellEnd"/>
      <w:r>
        <w:rPr>
          <w:rFonts w:ascii="Verdana" w:hAnsi="Verdana"/>
          <w:i/>
          <w:sz w:val="16"/>
          <w:szCs w:val="16"/>
        </w:rPr>
        <w:t xml:space="preserve"> y otros. </w:t>
      </w:r>
      <w:r>
        <w:rPr>
          <w:rFonts w:ascii="Verdana" w:hAnsi="Verdana"/>
          <w:sz w:val="16"/>
          <w:szCs w:val="16"/>
        </w:rPr>
        <w:t>Solicitud de Medidas Provisionales respecto de Argentina. Resolución de la Corte</w:t>
      </w:r>
      <w:r w:rsidR="00E3323F">
        <w:rPr>
          <w:rFonts w:ascii="Verdana" w:hAnsi="Verdana"/>
          <w:sz w:val="16"/>
          <w:szCs w:val="16"/>
        </w:rPr>
        <w:t xml:space="preserve"> Interamericana de Derechos Humanos</w:t>
      </w:r>
      <w:r>
        <w:rPr>
          <w:rFonts w:ascii="Verdana" w:hAnsi="Verdana"/>
          <w:sz w:val="16"/>
          <w:szCs w:val="16"/>
        </w:rPr>
        <w:t xml:space="preserve"> de 23 de junio de 2015, Considerando tercero.</w:t>
      </w:r>
    </w:p>
  </w:footnote>
  <w:footnote w:id="5">
    <w:p w:rsidR="00B553FC" w:rsidRPr="00F4781C" w:rsidRDefault="00B553FC" w:rsidP="00B27064">
      <w:pPr>
        <w:pStyle w:val="FootnoteText"/>
        <w:spacing w:after="60"/>
        <w:jc w:val="both"/>
        <w:rPr>
          <w:rFonts w:ascii="Verdana" w:hAnsi="Verdana"/>
          <w:sz w:val="16"/>
          <w:szCs w:val="16"/>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r>
      <w:r w:rsidRPr="00F4781C">
        <w:rPr>
          <w:rFonts w:ascii="Verdana" w:hAnsi="Verdana"/>
          <w:i/>
          <w:sz w:val="16"/>
          <w:szCs w:val="16"/>
        </w:rPr>
        <w:t xml:space="preserve">Cfr. Asunto del Internado Judicial El Rodeo II. </w:t>
      </w:r>
      <w:r w:rsidRPr="00F4781C">
        <w:rPr>
          <w:rFonts w:ascii="Verdana" w:hAnsi="Verdana"/>
          <w:sz w:val="16"/>
          <w:szCs w:val="16"/>
        </w:rPr>
        <w:t>Medidas Provisionales respecto de Venezuela. Resolución de la Corte</w:t>
      </w:r>
      <w:r w:rsidR="00355F72">
        <w:rPr>
          <w:rFonts w:ascii="Verdana" w:hAnsi="Verdana"/>
          <w:sz w:val="16"/>
          <w:szCs w:val="16"/>
        </w:rPr>
        <w:t xml:space="preserve"> Interamericana de Derechos Humanos</w:t>
      </w:r>
      <w:r w:rsidRPr="00F4781C">
        <w:rPr>
          <w:rFonts w:ascii="Verdana" w:hAnsi="Verdana"/>
          <w:sz w:val="16"/>
          <w:szCs w:val="16"/>
        </w:rPr>
        <w:t xml:space="preserve"> de 8 de febrero de 2008, Considerando séptimo,</w:t>
      </w:r>
      <w:r>
        <w:rPr>
          <w:rFonts w:ascii="Verdana" w:hAnsi="Verdana"/>
          <w:sz w:val="16"/>
          <w:szCs w:val="16"/>
        </w:rPr>
        <w:t xml:space="preserve"> y </w:t>
      </w:r>
      <w:r w:rsidR="00355F72">
        <w:rPr>
          <w:rFonts w:ascii="Verdana" w:hAnsi="Verdana"/>
          <w:i/>
          <w:sz w:val="16"/>
          <w:szCs w:val="16"/>
        </w:rPr>
        <w:t xml:space="preserve">Asunto respecto a dos niñas del pueblo indígena </w:t>
      </w:r>
      <w:proofErr w:type="spellStart"/>
      <w:r w:rsidR="00355F72">
        <w:rPr>
          <w:rFonts w:ascii="Verdana" w:hAnsi="Verdana"/>
          <w:i/>
          <w:sz w:val="16"/>
          <w:szCs w:val="16"/>
        </w:rPr>
        <w:t>Taromenane</w:t>
      </w:r>
      <w:proofErr w:type="spellEnd"/>
      <w:r w:rsidR="00355F72">
        <w:rPr>
          <w:rFonts w:ascii="Verdana" w:hAnsi="Verdana"/>
          <w:i/>
          <w:sz w:val="16"/>
          <w:szCs w:val="16"/>
        </w:rPr>
        <w:t xml:space="preserve"> en aislamiento voluntario</w:t>
      </w:r>
      <w:r>
        <w:rPr>
          <w:rFonts w:ascii="Verdana" w:hAnsi="Verdana"/>
          <w:sz w:val="16"/>
          <w:szCs w:val="16"/>
        </w:rPr>
        <w:t>, Medidas Provisionales respecto de</w:t>
      </w:r>
      <w:r w:rsidR="00355F72">
        <w:rPr>
          <w:rFonts w:ascii="Verdana" w:hAnsi="Verdana"/>
          <w:sz w:val="16"/>
          <w:szCs w:val="16"/>
        </w:rPr>
        <w:t>l</w:t>
      </w:r>
      <w:r>
        <w:rPr>
          <w:rFonts w:ascii="Verdana" w:hAnsi="Verdana"/>
          <w:sz w:val="16"/>
          <w:szCs w:val="16"/>
        </w:rPr>
        <w:t xml:space="preserve"> </w:t>
      </w:r>
      <w:r w:rsidR="00355F72">
        <w:rPr>
          <w:rFonts w:ascii="Verdana" w:hAnsi="Verdana"/>
          <w:sz w:val="16"/>
          <w:szCs w:val="16"/>
        </w:rPr>
        <w:t>Ecuador. Resolución de la Corte Interamericana de Derechos Humanos de 31 de marzo de 2014, Considerando quinto.</w:t>
      </w:r>
    </w:p>
  </w:footnote>
  <w:footnote w:id="6">
    <w:p w:rsidR="00B553FC" w:rsidRPr="00F4781C" w:rsidRDefault="00B553FC" w:rsidP="00B27064">
      <w:pPr>
        <w:spacing w:after="60"/>
        <w:ind w:right="18"/>
        <w:jc w:val="both"/>
        <w:rPr>
          <w:rFonts w:ascii="Verdana" w:hAnsi="Verdana"/>
          <w:sz w:val="16"/>
          <w:szCs w:val="16"/>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r>
      <w:r w:rsidRPr="00F4781C">
        <w:rPr>
          <w:rFonts w:ascii="Verdana" w:hAnsi="Verdana"/>
          <w:i/>
          <w:sz w:val="16"/>
          <w:szCs w:val="16"/>
        </w:rPr>
        <w:t>Cfr. Caso del Periódico la “La Nación”.</w:t>
      </w:r>
      <w:r w:rsidRPr="00F4781C">
        <w:rPr>
          <w:rFonts w:ascii="Verdana" w:hAnsi="Verdana"/>
          <w:sz w:val="16"/>
          <w:szCs w:val="16"/>
        </w:rPr>
        <w:t xml:space="preserve"> Medidas Provisionales respecto de Costa Rica. Resolución de la Corte </w:t>
      </w:r>
      <w:r w:rsidR="006B7C0A">
        <w:rPr>
          <w:rFonts w:ascii="Verdana" w:hAnsi="Verdana"/>
          <w:sz w:val="16"/>
          <w:szCs w:val="16"/>
        </w:rPr>
        <w:t xml:space="preserve">Interamericana de Derechos Humanos </w:t>
      </w:r>
      <w:r w:rsidRPr="00F4781C">
        <w:rPr>
          <w:rFonts w:ascii="Verdana" w:hAnsi="Verdana"/>
          <w:sz w:val="16"/>
          <w:szCs w:val="16"/>
        </w:rPr>
        <w:t xml:space="preserve">de 7 de septiembre </w:t>
      </w:r>
      <w:r>
        <w:rPr>
          <w:rFonts w:ascii="Verdana" w:hAnsi="Verdana"/>
          <w:sz w:val="16"/>
          <w:szCs w:val="16"/>
        </w:rPr>
        <w:t xml:space="preserve">de 2001, Considerando cuarto, y </w:t>
      </w:r>
      <w:r w:rsidR="006B7C0A">
        <w:rPr>
          <w:rFonts w:ascii="Verdana" w:hAnsi="Verdana"/>
          <w:i/>
          <w:sz w:val="16"/>
          <w:szCs w:val="16"/>
        </w:rPr>
        <w:t xml:space="preserve">Asunto Danilo Rueda. </w:t>
      </w:r>
      <w:r>
        <w:rPr>
          <w:rFonts w:ascii="Verdana" w:hAnsi="Verdana"/>
          <w:sz w:val="16"/>
          <w:szCs w:val="16"/>
        </w:rPr>
        <w:t xml:space="preserve">Medidas Provisionales respecto de </w:t>
      </w:r>
      <w:r w:rsidR="006B7C0A">
        <w:rPr>
          <w:rFonts w:ascii="Verdana" w:hAnsi="Verdana"/>
          <w:sz w:val="16"/>
          <w:szCs w:val="16"/>
        </w:rPr>
        <w:t>Colombia</w:t>
      </w:r>
      <w:r>
        <w:rPr>
          <w:rFonts w:ascii="Verdana" w:hAnsi="Verdana"/>
          <w:sz w:val="16"/>
          <w:szCs w:val="16"/>
        </w:rPr>
        <w:t xml:space="preserve">. Resolución de la Corte </w:t>
      </w:r>
      <w:r w:rsidR="006B7C0A">
        <w:rPr>
          <w:rFonts w:ascii="Verdana" w:hAnsi="Verdana"/>
          <w:sz w:val="16"/>
          <w:szCs w:val="16"/>
        </w:rPr>
        <w:t xml:space="preserve">Interamericana de Derechos Humanos </w:t>
      </w:r>
      <w:r>
        <w:rPr>
          <w:rFonts w:ascii="Verdana" w:hAnsi="Verdana"/>
          <w:sz w:val="16"/>
          <w:szCs w:val="16"/>
        </w:rPr>
        <w:t>de 2</w:t>
      </w:r>
      <w:r w:rsidR="006B7C0A">
        <w:rPr>
          <w:rFonts w:ascii="Verdana" w:hAnsi="Verdana"/>
          <w:sz w:val="16"/>
          <w:szCs w:val="16"/>
        </w:rPr>
        <w:t>8 de mayo</w:t>
      </w:r>
      <w:r>
        <w:rPr>
          <w:rFonts w:ascii="Verdana" w:hAnsi="Verdana"/>
          <w:sz w:val="16"/>
          <w:szCs w:val="16"/>
        </w:rPr>
        <w:t xml:space="preserve"> de 2014, Considerando </w:t>
      </w:r>
      <w:r w:rsidR="006B7C0A">
        <w:rPr>
          <w:rFonts w:ascii="Verdana" w:hAnsi="Verdana"/>
          <w:sz w:val="16"/>
          <w:szCs w:val="16"/>
        </w:rPr>
        <w:t>tercero</w:t>
      </w:r>
      <w:r>
        <w:rPr>
          <w:rFonts w:ascii="Verdana" w:hAnsi="Verdana"/>
          <w:sz w:val="16"/>
          <w:szCs w:val="16"/>
        </w:rPr>
        <w:t>.</w:t>
      </w:r>
    </w:p>
  </w:footnote>
  <w:footnote w:id="7">
    <w:p w:rsidR="00B553FC" w:rsidRPr="00F4781C" w:rsidRDefault="00B553FC" w:rsidP="00B27064">
      <w:pPr>
        <w:spacing w:after="60"/>
        <w:jc w:val="both"/>
        <w:rPr>
          <w:rFonts w:ascii="Verdana" w:hAnsi="Verdana"/>
          <w:sz w:val="16"/>
          <w:szCs w:val="16"/>
          <w:u w:val="single"/>
          <w:lang w:bidi="en-US"/>
        </w:rPr>
      </w:pPr>
      <w:r w:rsidRPr="00F4781C">
        <w:rPr>
          <w:rStyle w:val="FootnoteReference"/>
          <w:szCs w:val="16"/>
        </w:rPr>
        <w:footnoteRef/>
      </w:r>
      <w:r w:rsidRPr="00F4781C">
        <w:rPr>
          <w:rFonts w:ascii="Verdana" w:hAnsi="Verdana"/>
          <w:sz w:val="16"/>
          <w:szCs w:val="16"/>
          <w:lang w:val="es-ES"/>
        </w:rPr>
        <w:tab/>
      </w:r>
      <w:r w:rsidRPr="00F4781C">
        <w:rPr>
          <w:rFonts w:ascii="Verdana" w:hAnsi="Verdana"/>
          <w:i/>
          <w:sz w:val="16"/>
          <w:szCs w:val="16"/>
          <w:lang w:val="es-CR"/>
        </w:rPr>
        <w:t xml:space="preserve">Cfr. </w:t>
      </w:r>
      <w:r w:rsidRPr="00F4781C">
        <w:rPr>
          <w:rFonts w:ascii="Verdana" w:hAnsi="Verdana"/>
          <w:i/>
          <w:sz w:val="16"/>
          <w:szCs w:val="16"/>
          <w:lang w:val="es-CR" w:bidi="en-US"/>
        </w:rPr>
        <w:t xml:space="preserve">Caso Carpio </w:t>
      </w:r>
      <w:proofErr w:type="spellStart"/>
      <w:r w:rsidRPr="00F4781C">
        <w:rPr>
          <w:rFonts w:ascii="Verdana" w:hAnsi="Verdana"/>
          <w:i/>
          <w:sz w:val="16"/>
          <w:szCs w:val="16"/>
          <w:lang w:val="es-CR" w:bidi="en-US"/>
        </w:rPr>
        <w:t>Nicolle</w:t>
      </w:r>
      <w:proofErr w:type="spellEnd"/>
      <w:r w:rsidRPr="00F4781C">
        <w:rPr>
          <w:rFonts w:ascii="Verdana" w:hAnsi="Verdana"/>
          <w:i/>
          <w:sz w:val="16"/>
          <w:szCs w:val="16"/>
          <w:lang w:val="es-CR" w:bidi="en-US"/>
        </w:rPr>
        <w:t xml:space="preserve"> y otros</w:t>
      </w:r>
      <w:r w:rsidR="006B7C0A">
        <w:rPr>
          <w:rFonts w:ascii="Verdana" w:hAnsi="Verdana"/>
          <w:sz w:val="16"/>
          <w:szCs w:val="16"/>
          <w:lang w:val="es-CR" w:bidi="en-US"/>
        </w:rPr>
        <w:t>.</w:t>
      </w:r>
      <w:r w:rsidRPr="00F4781C">
        <w:rPr>
          <w:rFonts w:ascii="Verdana" w:hAnsi="Verdana"/>
          <w:sz w:val="16"/>
          <w:szCs w:val="16"/>
          <w:lang w:val="es-CR" w:bidi="en-US"/>
        </w:rPr>
        <w:t xml:space="preserve"> Medidas Provisionales respecto de Guatemala</w:t>
      </w:r>
      <w:r w:rsidR="006B7C0A">
        <w:rPr>
          <w:rFonts w:ascii="Verdana" w:hAnsi="Verdana"/>
          <w:sz w:val="16"/>
          <w:szCs w:val="16"/>
          <w:lang w:val="es-CR" w:bidi="en-US"/>
        </w:rPr>
        <w:t>.</w:t>
      </w:r>
      <w:r w:rsidRPr="00F4781C">
        <w:rPr>
          <w:rFonts w:ascii="Verdana" w:hAnsi="Verdana"/>
          <w:sz w:val="16"/>
          <w:szCs w:val="16"/>
          <w:lang w:val="es-CR" w:bidi="en-US"/>
        </w:rPr>
        <w:t xml:space="preserve"> Resolución de la Corte Interamericana de Derechos Humanos de 6 de julio de 2009, Considerando </w:t>
      </w:r>
      <w:r w:rsidRPr="00F4781C">
        <w:rPr>
          <w:rFonts w:ascii="Verdana" w:hAnsi="Verdana"/>
          <w:sz w:val="16"/>
          <w:szCs w:val="16"/>
        </w:rPr>
        <w:t xml:space="preserve">décimo cuarto, y </w:t>
      </w:r>
      <w:r w:rsidR="006B7C0A">
        <w:rPr>
          <w:rFonts w:ascii="Verdana" w:hAnsi="Verdana"/>
          <w:i/>
          <w:sz w:val="16"/>
          <w:szCs w:val="16"/>
        </w:rPr>
        <w:t xml:space="preserve">Asunto Castro Rodríguez. </w:t>
      </w:r>
      <w:r>
        <w:rPr>
          <w:rFonts w:ascii="Verdana" w:hAnsi="Verdana"/>
          <w:sz w:val="16"/>
          <w:szCs w:val="16"/>
        </w:rPr>
        <w:t>Medidas Provisionales respecto de</w:t>
      </w:r>
      <w:r w:rsidR="006B7C0A">
        <w:rPr>
          <w:rFonts w:ascii="Verdana" w:hAnsi="Verdana"/>
          <w:sz w:val="16"/>
          <w:szCs w:val="16"/>
        </w:rPr>
        <w:t xml:space="preserve"> México</w:t>
      </w:r>
      <w:r>
        <w:rPr>
          <w:rFonts w:ascii="Verdana" w:hAnsi="Verdana"/>
          <w:sz w:val="16"/>
          <w:szCs w:val="16"/>
        </w:rPr>
        <w:t xml:space="preserve">. Resolución de la Corte </w:t>
      </w:r>
      <w:r w:rsidR="006B7C0A">
        <w:rPr>
          <w:rFonts w:ascii="Verdana" w:hAnsi="Verdana"/>
          <w:sz w:val="16"/>
          <w:szCs w:val="16"/>
        </w:rPr>
        <w:t xml:space="preserve">Interamericana de Derechos Humanos </w:t>
      </w:r>
      <w:r>
        <w:rPr>
          <w:rFonts w:ascii="Verdana" w:hAnsi="Verdana"/>
          <w:sz w:val="16"/>
          <w:szCs w:val="16"/>
        </w:rPr>
        <w:t>de 2</w:t>
      </w:r>
      <w:r w:rsidR="006B7C0A">
        <w:rPr>
          <w:rFonts w:ascii="Verdana" w:hAnsi="Verdana"/>
          <w:sz w:val="16"/>
          <w:szCs w:val="16"/>
        </w:rPr>
        <w:t>3 de junio de 2015</w:t>
      </w:r>
      <w:r>
        <w:rPr>
          <w:rFonts w:ascii="Verdana" w:hAnsi="Verdana"/>
          <w:sz w:val="16"/>
          <w:szCs w:val="16"/>
        </w:rPr>
        <w:t xml:space="preserve">, Considerando </w:t>
      </w:r>
      <w:r w:rsidR="006B7C0A">
        <w:rPr>
          <w:rFonts w:ascii="Verdana" w:hAnsi="Verdana"/>
          <w:sz w:val="16"/>
          <w:szCs w:val="16"/>
        </w:rPr>
        <w:t>segundo</w:t>
      </w:r>
      <w:r w:rsidRPr="00F4781C">
        <w:rPr>
          <w:rFonts w:ascii="Verdana" w:hAnsi="Verdana"/>
          <w:sz w:val="16"/>
          <w:szCs w:val="16"/>
        </w:rPr>
        <w:t>.</w:t>
      </w:r>
    </w:p>
  </w:footnote>
  <w:footnote w:id="8">
    <w:p w:rsidR="00B553FC" w:rsidRPr="00F4781C" w:rsidRDefault="00B553FC" w:rsidP="00B27064">
      <w:pPr>
        <w:pStyle w:val="FootnoteText"/>
        <w:spacing w:after="60"/>
        <w:jc w:val="both"/>
        <w:rPr>
          <w:rFonts w:ascii="Verdana" w:hAnsi="Verdana"/>
          <w:sz w:val="16"/>
          <w:szCs w:val="16"/>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r>
      <w:r w:rsidRPr="00F4781C">
        <w:rPr>
          <w:rFonts w:ascii="Verdana" w:hAnsi="Verdana"/>
          <w:i/>
          <w:sz w:val="16"/>
          <w:szCs w:val="16"/>
          <w:lang w:val="es-ES"/>
        </w:rPr>
        <w:t>Cfr.</w:t>
      </w:r>
      <w:r w:rsidRPr="00F4781C">
        <w:rPr>
          <w:rFonts w:ascii="Verdana" w:hAnsi="Verdana"/>
          <w:sz w:val="16"/>
          <w:szCs w:val="16"/>
          <w:lang w:val="es-ES"/>
        </w:rPr>
        <w:t xml:space="preserve"> </w:t>
      </w:r>
      <w:r w:rsidRPr="00F4781C">
        <w:rPr>
          <w:rFonts w:ascii="Verdana" w:hAnsi="Verdana"/>
          <w:i/>
          <w:sz w:val="16"/>
          <w:szCs w:val="16"/>
          <w:lang w:val="es-ES"/>
        </w:rPr>
        <w:t xml:space="preserve">Asunto James y </w:t>
      </w:r>
      <w:r w:rsidR="002F581F">
        <w:rPr>
          <w:rFonts w:ascii="Verdana" w:hAnsi="Verdana"/>
          <w:i/>
          <w:sz w:val="16"/>
          <w:szCs w:val="16"/>
          <w:lang w:val="es-ES"/>
        </w:rPr>
        <w:t>o</w:t>
      </w:r>
      <w:r w:rsidR="002F581F" w:rsidRPr="00F4781C">
        <w:rPr>
          <w:rFonts w:ascii="Verdana" w:hAnsi="Verdana"/>
          <w:i/>
          <w:sz w:val="16"/>
          <w:szCs w:val="16"/>
          <w:lang w:val="es-ES"/>
        </w:rPr>
        <w:t>tros</w:t>
      </w:r>
      <w:r w:rsidRPr="00F4781C">
        <w:rPr>
          <w:rFonts w:ascii="Verdana" w:hAnsi="Verdana"/>
          <w:i/>
          <w:sz w:val="16"/>
          <w:szCs w:val="16"/>
          <w:lang w:val="es-ES"/>
        </w:rPr>
        <w:t xml:space="preserve">. </w:t>
      </w:r>
      <w:r w:rsidRPr="00F4781C">
        <w:rPr>
          <w:rFonts w:ascii="Verdana" w:hAnsi="Verdana"/>
          <w:sz w:val="16"/>
          <w:szCs w:val="16"/>
          <w:lang w:val="es-ES"/>
        </w:rPr>
        <w:t>Medidas Provisionales respecto de Trinidad y Tobago</w:t>
      </w:r>
      <w:r w:rsidRPr="00F4781C">
        <w:rPr>
          <w:rFonts w:ascii="Verdana" w:hAnsi="Verdana"/>
          <w:i/>
          <w:sz w:val="16"/>
          <w:szCs w:val="16"/>
          <w:lang w:val="es-ES"/>
        </w:rPr>
        <w:t xml:space="preserve">, </w:t>
      </w:r>
      <w:r w:rsidRPr="00F4781C">
        <w:rPr>
          <w:rFonts w:ascii="Verdana" w:hAnsi="Verdana"/>
          <w:bCs/>
          <w:color w:val="000000"/>
          <w:sz w:val="16"/>
          <w:szCs w:val="16"/>
          <w:lang w:val="es-ES"/>
        </w:rPr>
        <w:t>Resolución de la Corte Interamericana de Derechos Humanos</w:t>
      </w:r>
      <w:r w:rsidRPr="00F4781C">
        <w:rPr>
          <w:rFonts w:ascii="Verdana" w:hAnsi="Verdana"/>
          <w:sz w:val="16"/>
          <w:szCs w:val="16"/>
          <w:lang w:val="es-ES"/>
        </w:rPr>
        <w:t xml:space="preserve"> de 29 de agosto de 1998, Considerando sexto, y</w:t>
      </w:r>
      <w:r w:rsidR="002F581F">
        <w:rPr>
          <w:rFonts w:ascii="Verdana" w:hAnsi="Verdana"/>
          <w:sz w:val="16"/>
          <w:szCs w:val="16"/>
          <w:lang w:val="es-ES"/>
        </w:rPr>
        <w:t xml:space="preserve"> </w:t>
      </w:r>
      <w:r w:rsidR="002F581F">
        <w:rPr>
          <w:rFonts w:ascii="Verdana" w:hAnsi="Verdana"/>
          <w:i/>
          <w:sz w:val="16"/>
          <w:szCs w:val="16"/>
        </w:rPr>
        <w:t xml:space="preserve">Asunto Castro Rodríguez. </w:t>
      </w:r>
      <w:r w:rsidR="002F581F">
        <w:rPr>
          <w:rFonts w:ascii="Verdana" w:hAnsi="Verdana"/>
          <w:sz w:val="16"/>
          <w:szCs w:val="16"/>
        </w:rPr>
        <w:t>Medidas Provisionales respecto de México. Resolución de la Corte Interamericana de Derechos Humanos de 23 de junio de 2015</w:t>
      </w:r>
      <w:r>
        <w:rPr>
          <w:rFonts w:ascii="Verdana" w:hAnsi="Verdana"/>
          <w:sz w:val="16"/>
          <w:szCs w:val="16"/>
        </w:rPr>
        <w:t xml:space="preserve">, Considerando </w:t>
      </w:r>
      <w:r w:rsidR="002F581F">
        <w:rPr>
          <w:rFonts w:ascii="Verdana" w:hAnsi="Verdana"/>
          <w:sz w:val="16"/>
          <w:szCs w:val="16"/>
        </w:rPr>
        <w:t>segundo</w:t>
      </w:r>
      <w:r w:rsidRPr="00F4781C">
        <w:rPr>
          <w:rFonts w:ascii="Verdana" w:hAnsi="Verdana"/>
          <w:sz w:val="16"/>
          <w:szCs w:val="16"/>
        </w:rPr>
        <w:t>.</w:t>
      </w:r>
    </w:p>
  </w:footnote>
  <w:footnote w:id="9">
    <w:p w:rsidR="00B553FC" w:rsidRPr="0059377D" w:rsidRDefault="00B553FC" w:rsidP="00B27064">
      <w:pPr>
        <w:pStyle w:val="FootnoteText"/>
        <w:spacing w:after="60"/>
        <w:jc w:val="both"/>
        <w:rPr>
          <w:rFonts w:ascii="Verdana" w:hAnsi="Verdana"/>
          <w:sz w:val="16"/>
          <w:szCs w:val="16"/>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r>
      <w:r w:rsidRPr="00F4781C">
        <w:rPr>
          <w:rFonts w:ascii="Verdana" w:hAnsi="Verdana"/>
          <w:i/>
          <w:sz w:val="16"/>
          <w:szCs w:val="16"/>
        </w:rPr>
        <w:t xml:space="preserve">Cfr. Asuntos Internado Judicial de Monagas (“La Pica”), Centro Penitenciario Región Capital Yare I y Yare II (Cárcel de Yare), Centro Penitenciario de la Región Centro Occidental (Cárcel de </w:t>
      </w:r>
      <w:proofErr w:type="spellStart"/>
      <w:r w:rsidRPr="00F4781C">
        <w:rPr>
          <w:rFonts w:ascii="Verdana" w:hAnsi="Verdana"/>
          <w:i/>
          <w:sz w:val="16"/>
          <w:szCs w:val="16"/>
        </w:rPr>
        <w:t>Uribana</w:t>
      </w:r>
      <w:proofErr w:type="spellEnd"/>
      <w:r w:rsidRPr="00F4781C">
        <w:rPr>
          <w:rFonts w:ascii="Verdana" w:hAnsi="Verdana"/>
          <w:i/>
          <w:sz w:val="16"/>
          <w:szCs w:val="16"/>
        </w:rPr>
        <w:t xml:space="preserve">), e Internado Judicial Capital El Rodeo I y el Rodeo II. </w:t>
      </w:r>
      <w:r w:rsidRPr="00F4781C">
        <w:rPr>
          <w:rFonts w:ascii="Verdana" w:hAnsi="Verdana"/>
          <w:sz w:val="16"/>
          <w:szCs w:val="16"/>
        </w:rPr>
        <w:t xml:space="preserve">Medidas Provisionales respecto de Venezuela, Resolución de la Corte </w:t>
      </w:r>
      <w:r w:rsidRPr="00F4781C">
        <w:rPr>
          <w:rFonts w:ascii="Verdana" w:hAnsi="Verdana"/>
          <w:sz w:val="16"/>
          <w:szCs w:val="16"/>
          <w:lang w:val="es-ES"/>
        </w:rPr>
        <w:t>Interamericana de Derechos Humanos</w:t>
      </w:r>
      <w:r w:rsidRPr="00F4781C">
        <w:rPr>
          <w:rFonts w:ascii="Verdana" w:hAnsi="Verdana"/>
          <w:sz w:val="16"/>
          <w:szCs w:val="16"/>
        </w:rPr>
        <w:t xml:space="preserve"> de 24 de noviembre de 2009, </w:t>
      </w:r>
      <w:r w:rsidR="002F581F">
        <w:rPr>
          <w:rFonts w:ascii="Verdana" w:hAnsi="Verdana"/>
          <w:sz w:val="16"/>
          <w:szCs w:val="16"/>
        </w:rPr>
        <w:t>C</w:t>
      </w:r>
      <w:r w:rsidRPr="00F4781C">
        <w:rPr>
          <w:rFonts w:ascii="Verdana" w:hAnsi="Verdana"/>
          <w:sz w:val="16"/>
          <w:szCs w:val="16"/>
        </w:rPr>
        <w:t xml:space="preserve">onsiderando tercero, y </w:t>
      </w:r>
      <w:r w:rsidRPr="008270F3">
        <w:rPr>
          <w:rFonts w:ascii="Verdana" w:hAnsi="Verdana"/>
          <w:i/>
          <w:sz w:val="16"/>
          <w:szCs w:val="16"/>
        </w:rPr>
        <w:t xml:space="preserve">Asunto </w:t>
      </w:r>
      <w:r w:rsidR="002F581F">
        <w:rPr>
          <w:rFonts w:ascii="Verdana" w:hAnsi="Verdana"/>
          <w:i/>
          <w:sz w:val="16"/>
          <w:szCs w:val="16"/>
        </w:rPr>
        <w:t xml:space="preserve">del Complejo Penitenciario </w:t>
      </w:r>
      <w:r w:rsidR="005F588D">
        <w:rPr>
          <w:rFonts w:ascii="Verdana" w:hAnsi="Verdana"/>
          <w:i/>
          <w:sz w:val="16"/>
          <w:szCs w:val="16"/>
        </w:rPr>
        <w:t xml:space="preserve">de </w:t>
      </w:r>
      <w:proofErr w:type="spellStart"/>
      <w:r w:rsidR="005F588D">
        <w:rPr>
          <w:rFonts w:ascii="Verdana" w:hAnsi="Verdana"/>
          <w:i/>
          <w:sz w:val="16"/>
          <w:szCs w:val="16"/>
        </w:rPr>
        <w:t>Pedrinhas</w:t>
      </w:r>
      <w:proofErr w:type="spellEnd"/>
      <w:r w:rsidR="005F588D">
        <w:rPr>
          <w:rFonts w:ascii="Verdana" w:hAnsi="Verdana"/>
          <w:i/>
          <w:sz w:val="16"/>
          <w:szCs w:val="16"/>
        </w:rPr>
        <w:t>.</w:t>
      </w:r>
      <w:r w:rsidR="002F581F">
        <w:rPr>
          <w:rFonts w:ascii="Verdana" w:hAnsi="Verdana"/>
          <w:i/>
          <w:sz w:val="16"/>
          <w:szCs w:val="16"/>
        </w:rPr>
        <w:t xml:space="preserve"> </w:t>
      </w:r>
      <w:r>
        <w:rPr>
          <w:rFonts w:ascii="Verdana" w:hAnsi="Verdana"/>
          <w:sz w:val="16"/>
          <w:szCs w:val="16"/>
        </w:rPr>
        <w:t xml:space="preserve">Medidas Provisionales respecto de </w:t>
      </w:r>
      <w:r w:rsidR="005F588D">
        <w:rPr>
          <w:rFonts w:ascii="Verdana" w:hAnsi="Verdana"/>
          <w:sz w:val="16"/>
          <w:szCs w:val="16"/>
        </w:rPr>
        <w:t>Brasil</w:t>
      </w:r>
      <w:r>
        <w:rPr>
          <w:rFonts w:ascii="Verdana" w:hAnsi="Verdana"/>
          <w:sz w:val="16"/>
          <w:szCs w:val="16"/>
        </w:rPr>
        <w:t xml:space="preserve">. Resolución de la Corte </w:t>
      </w:r>
      <w:r w:rsidR="005F588D">
        <w:rPr>
          <w:rFonts w:ascii="Verdana" w:hAnsi="Verdana"/>
          <w:sz w:val="16"/>
          <w:szCs w:val="16"/>
        </w:rPr>
        <w:t xml:space="preserve">Interamericana de Derechos Humanos </w:t>
      </w:r>
      <w:r>
        <w:rPr>
          <w:rFonts w:ascii="Verdana" w:hAnsi="Verdana"/>
          <w:sz w:val="16"/>
          <w:szCs w:val="16"/>
        </w:rPr>
        <w:t xml:space="preserve">de </w:t>
      </w:r>
      <w:r w:rsidR="005F588D">
        <w:rPr>
          <w:rFonts w:ascii="Verdana" w:hAnsi="Verdana"/>
          <w:sz w:val="16"/>
          <w:szCs w:val="16"/>
        </w:rPr>
        <w:t>14 de noviembre de 2014</w:t>
      </w:r>
      <w:r>
        <w:rPr>
          <w:rFonts w:ascii="Verdana" w:hAnsi="Verdana"/>
          <w:sz w:val="16"/>
          <w:szCs w:val="16"/>
        </w:rPr>
        <w:t xml:space="preserve">, Considerando </w:t>
      </w:r>
      <w:r w:rsidR="005F588D">
        <w:rPr>
          <w:rFonts w:ascii="Verdana" w:hAnsi="Verdana"/>
          <w:sz w:val="16"/>
          <w:szCs w:val="16"/>
        </w:rPr>
        <w:t>octavo</w:t>
      </w:r>
      <w:r>
        <w:rPr>
          <w:rFonts w:ascii="Verdana" w:hAnsi="Verdana"/>
          <w:sz w:val="16"/>
          <w:szCs w:val="16"/>
        </w:rPr>
        <w:t>.</w:t>
      </w:r>
    </w:p>
  </w:footnote>
  <w:footnote w:id="10">
    <w:p w:rsidR="0060050D" w:rsidRPr="00B46265" w:rsidRDefault="0060050D" w:rsidP="00B27064">
      <w:pPr>
        <w:pStyle w:val="FootnoteText"/>
        <w:spacing w:after="60"/>
        <w:jc w:val="both"/>
        <w:rPr>
          <w:rFonts w:ascii="Verdana" w:hAnsi="Verdana"/>
          <w:sz w:val="16"/>
          <w:szCs w:val="16"/>
        </w:rPr>
      </w:pPr>
      <w:r>
        <w:rPr>
          <w:rStyle w:val="FootnoteReference"/>
        </w:rPr>
        <w:footnoteRef/>
      </w:r>
      <w:r>
        <w:t xml:space="preserve"> </w:t>
      </w:r>
      <w:r>
        <w:rPr>
          <w:rFonts w:ascii="Verdana" w:hAnsi="Verdana"/>
          <w:sz w:val="16"/>
          <w:szCs w:val="16"/>
        </w:rPr>
        <w:tab/>
      </w:r>
      <w:r>
        <w:rPr>
          <w:rFonts w:ascii="Verdana" w:hAnsi="Verdana"/>
          <w:i/>
          <w:sz w:val="16"/>
          <w:szCs w:val="16"/>
        </w:rPr>
        <w:t xml:space="preserve">Cfr. </w:t>
      </w:r>
      <w:r>
        <w:rPr>
          <w:rFonts w:ascii="Verdana" w:hAnsi="Verdana"/>
          <w:sz w:val="16"/>
          <w:szCs w:val="16"/>
        </w:rPr>
        <w:t xml:space="preserve">International </w:t>
      </w:r>
      <w:proofErr w:type="spellStart"/>
      <w:r>
        <w:rPr>
          <w:rFonts w:ascii="Verdana" w:hAnsi="Verdana"/>
          <w:sz w:val="16"/>
          <w:szCs w:val="16"/>
        </w:rPr>
        <w:t>Laboratories</w:t>
      </w:r>
      <w:proofErr w:type="spellEnd"/>
      <w:r>
        <w:rPr>
          <w:rFonts w:ascii="Verdana" w:hAnsi="Verdana"/>
          <w:sz w:val="16"/>
          <w:szCs w:val="16"/>
        </w:rPr>
        <w:t xml:space="preserve"> </w:t>
      </w:r>
      <w:proofErr w:type="spellStart"/>
      <w:r>
        <w:rPr>
          <w:rFonts w:ascii="Verdana" w:hAnsi="Verdana"/>
          <w:sz w:val="16"/>
          <w:szCs w:val="16"/>
        </w:rPr>
        <w:t>Services</w:t>
      </w:r>
      <w:proofErr w:type="spellEnd"/>
      <w:r>
        <w:rPr>
          <w:rFonts w:ascii="Verdana" w:hAnsi="Verdana"/>
          <w:sz w:val="16"/>
          <w:szCs w:val="16"/>
        </w:rPr>
        <w:t xml:space="preserve"> </w:t>
      </w:r>
      <w:proofErr w:type="spellStart"/>
      <w:r>
        <w:rPr>
          <w:rFonts w:ascii="Verdana" w:hAnsi="Verdana"/>
          <w:sz w:val="16"/>
          <w:szCs w:val="16"/>
        </w:rPr>
        <w:t>Interlab</w:t>
      </w:r>
      <w:proofErr w:type="spellEnd"/>
      <w:r>
        <w:rPr>
          <w:rFonts w:ascii="Verdana" w:hAnsi="Verdana"/>
          <w:sz w:val="16"/>
          <w:szCs w:val="16"/>
        </w:rPr>
        <w:t xml:space="preserve"> S.A. Pruebas serológicas de </w:t>
      </w:r>
      <w:r w:rsidR="003C4AA7">
        <w:rPr>
          <w:rFonts w:ascii="Verdana" w:hAnsi="Verdana"/>
          <w:sz w:val="16"/>
          <w:szCs w:val="16"/>
        </w:rPr>
        <w:t>Talía</w:t>
      </w:r>
      <w:r>
        <w:rPr>
          <w:rFonts w:ascii="Verdana" w:hAnsi="Verdana"/>
          <w:sz w:val="16"/>
          <w:szCs w:val="16"/>
        </w:rPr>
        <w:t xml:space="preserve"> Gonzales </w:t>
      </w:r>
      <w:proofErr w:type="spellStart"/>
      <w:r>
        <w:rPr>
          <w:rFonts w:ascii="Verdana" w:hAnsi="Verdana"/>
          <w:sz w:val="16"/>
          <w:szCs w:val="16"/>
        </w:rPr>
        <w:t>Lluy</w:t>
      </w:r>
      <w:proofErr w:type="spellEnd"/>
      <w:r>
        <w:rPr>
          <w:rFonts w:ascii="Verdana" w:hAnsi="Verdana"/>
          <w:sz w:val="16"/>
          <w:szCs w:val="16"/>
        </w:rPr>
        <w:t xml:space="preserve"> de 3 de abril de 2014</w:t>
      </w:r>
      <w:r w:rsidR="005F588D">
        <w:rPr>
          <w:rFonts w:ascii="Verdana" w:hAnsi="Verdana"/>
          <w:sz w:val="16"/>
          <w:szCs w:val="16"/>
        </w:rPr>
        <w:t xml:space="preserve"> (expediente de medidas provisionales, folio 10)</w:t>
      </w:r>
      <w:r>
        <w:rPr>
          <w:rFonts w:ascii="Verdana" w:hAnsi="Verdana"/>
          <w:sz w:val="16"/>
          <w:szCs w:val="16"/>
        </w:rPr>
        <w:t>.</w:t>
      </w:r>
    </w:p>
  </w:footnote>
  <w:footnote w:id="11">
    <w:p w:rsidR="0060050D" w:rsidRPr="00303099" w:rsidRDefault="0060050D" w:rsidP="00B27064">
      <w:pPr>
        <w:pStyle w:val="FootnoteText"/>
        <w:spacing w:after="60"/>
        <w:jc w:val="both"/>
        <w:rPr>
          <w:rFonts w:ascii="Verdana" w:hAnsi="Verdana"/>
          <w:sz w:val="16"/>
          <w:szCs w:val="16"/>
        </w:rPr>
      </w:pPr>
      <w:r>
        <w:rPr>
          <w:rStyle w:val="FootnoteReference"/>
        </w:rPr>
        <w:footnoteRef/>
      </w:r>
      <w:r>
        <w:t xml:space="preserve"> </w:t>
      </w:r>
      <w:r>
        <w:tab/>
      </w:r>
      <w:r>
        <w:rPr>
          <w:rFonts w:ascii="Verdana" w:hAnsi="Verdana"/>
          <w:i/>
          <w:sz w:val="16"/>
          <w:szCs w:val="16"/>
        </w:rPr>
        <w:t xml:space="preserve">Cfr. </w:t>
      </w:r>
      <w:r>
        <w:rPr>
          <w:rFonts w:ascii="Verdana" w:hAnsi="Verdana"/>
          <w:sz w:val="16"/>
          <w:szCs w:val="16"/>
        </w:rPr>
        <w:t>I</w:t>
      </w:r>
      <w:r w:rsidR="005F588D">
        <w:rPr>
          <w:rFonts w:ascii="Verdana" w:hAnsi="Verdana"/>
          <w:sz w:val="16"/>
          <w:szCs w:val="16"/>
        </w:rPr>
        <w:t xml:space="preserve">nstituto </w:t>
      </w:r>
      <w:r>
        <w:rPr>
          <w:rFonts w:ascii="Verdana" w:hAnsi="Verdana"/>
          <w:sz w:val="16"/>
          <w:szCs w:val="16"/>
        </w:rPr>
        <w:t>N</w:t>
      </w:r>
      <w:r w:rsidR="005F588D">
        <w:rPr>
          <w:rFonts w:ascii="Verdana" w:hAnsi="Verdana"/>
          <w:sz w:val="16"/>
          <w:szCs w:val="16"/>
        </w:rPr>
        <w:t>acional de Investigación en Salud Pública IN</w:t>
      </w:r>
      <w:r>
        <w:rPr>
          <w:rFonts w:ascii="Verdana" w:hAnsi="Verdana"/>
          <w:sz w:val="16"/>
          <w:szCs w:val="16"/>
        </w:rPr>
        <w:t xml:space="preserve">SPI. Examen de subpoblación linfocitaria, </w:t>
      </w:r>
      <w:proofErr w:type="spellStart"/>
      <w:r>
        <w:rPr>
          <w:rFonts w:ascii="Verdana" w:hAnsi="Verdana"/>
          <w:sz w:val="16"/>
          <w:szCs w:val="16"/>
        </w:rPr>
        <w:t>citometría</w:t>
      </w:r>
      <w:proofErr w:type="spellEnd"/>
      <w:r>
        <w:rPr>
          <w:rFonts w:ascii="Verdana" w:hAnsi="Verdana"/>
          <w:sz w:val="16"/>
          <w:szCs w:val="16"/>
        </w:rPr>
        <w:t xml:space="preserve"> de flujo CD4 de 5 de noviembre de 2014</w:t>
      </w:r>
      <w:r w:rsidR="005F588D">
        <w:rPr>
          <w:rFonts w:ascii="Verdana" w:hAnsi="Verdana"/>
          <w:sz w:val="16"/>
          <w:szCs w:val="16"/>
        </w:rPr>
        <w:t xml:space="preserve"> (expediente de medidas provisionales, folio 71)</w:t>
      </w:r>
      <w:r>
        <w:rPr>
          <w:rFonts w:ascii="Verdana" w:hAnsi="Verdana"/>
          <w:sz w:val="16"/>
          <w:szCs w:val="16"/>
        </w:rPr>
        <w:t>.</w:t>
      </w:r>
    </w:p>
  </w:footnote>
  <w:footnote w:id="12">
    <w:p w:rsidR="0060050D" w:rsidRDefault="0060050D" w:rsidP="00B27064">
      <w:pPr>
        <w:pStyle w:val="FootnoteText"/>
        <w:spacing w:after="60"/>
        <w:jc w:val="both"/>
      </w:pPr>
      <w:r>
        <w:rPr>
          <w:rStyle w:val="FootnoteReference"/>
        </w:rPr>
        <w:footnoteRef/>
      </w:r>
      <w:r>
        <w:t xml:space="preserve"> </w:t>
      </w:r>
      <w:r>
        <w:tab/>
      </w:r>
      <w:r>
        <w:rPr>
          <w:rFonts w:ascii="Verdana" w:hAnsi="Verdana"/>
          <w:i/>
          <w:sz w:val="16"/>
          <w:szCs w:val="16"/>
        </w:rPr>
        <w:t xml:space="preserve">Cfr. </w:t>
      </w:r>
      <w:r w:rsidR="005F588D">
        <w:rPr>
          <w:rFonts w:ascii="Verdana" w:hAnsi="Verdana"/>
          <w:sz w:val="16"/>
          <w:szCs w:val="16"/>
        </w:rPr>
        <w:t xml:space="preserve">Instituto Nacional de Investigación en Salud Pública </w:t>
      </w:r>
      <w:r>
        <w:rPr>
          <w:rFonts w:ascii="Verdana" w:hAnsi="Verdana"/>
          <w:sz w:val="16"/>
          <w:szCs w:val="16"/>
        </w:rPr>
        <w:t xml:space="preserve">INSPI. Examen de subpoblación linfocitaria, </w:t>
      </w:r>
      <w:proofErr w:type="spellStart"/>
      <w:r>
        <w:rPr>
          <w:rFonts w:ascii="Verdana" w:hAnsi="Verdana"/>
          <w:sz w:val="16"/>
          <w:szCs w:val="16"/>
        </w:rPr>
        <w:t>citometría</w:t>
      </w:r>
      <w:proofErr w:type="spellEnd"/>
      <w:r>
        <w:rPr>
          <w:rFonts w:ascii="Verdana" w:hAnsi="Verdana"/>
          <w:sz w:val="16"/>
          <w:szCs w:val="16"/>
        </w:rPr>
        <w:t xml:space="preserve"> de flujo CD4 de 20 de mayo de 2015</w:t>
      </w:r>
      <w:r w:rsidR="005F588D">
        <w:rPr>
          <w:rFonts w:ascii="Verdana" w:hAnsi="Verdana"/>
          <w:sz w:val="16"/>
          <w:szCs w:val="16"/>
        </w:rPr>
        <w:t xml:space="preserve"> (expediente de</w:t>
      </w:r>
      <w:r w:rsidR="00A25C48">
        <w:rPr>
          <w:rFonts w:ascii="Verdana" w:hAnsi="Verdana"/>
          <w:sz w:val="16"/>
          <w:szCs w:val="16"/>
        </w:rPr>
        <w:t xml:space="preserve"> medidas provisionales, folio 16</w:t>
      </w:r>
      <w:r w:rsidR="005F588D">
        <w:rPr>
          <w:rFonts w:ascii="Verdana" w:hAnsi="Verdana"/>
          <w:sz w:val="16"/>
          <w:szCs w:val="16"/>
        </w:rPr>
        <w:t>)</w:t>
      </w:r>
      <w:r>
        <w:rPr>
          <w:rFonts w:ascii="Verdana" w:hAnsi="Verdana"/>
          <w:sz w:val="16"/>
          <w:szCs w:val="16"/>
        </w:rPr>
        <w:t>.</w:t>
      </w:r>
    </w:p>
  </w:footnote>
  <w:footnote w:id="13">
    <w:p w:rsidR="0060050D" w:rsidRDefault="0060050D" w:rsidP="00B27064">
      <w:pPr>
        <w:pStyle w:val="FootnoteText"/>
        <w:spacing w:after="60"/>
        <w:jc w:val="both"/>
      </w:pPr>
      <w:r>
        <w:rPr>
          <w:rStyle w:val="FootnoteReference"/>
        </w:rPr>
        <w:footnoteRef/>
      </w:r>
      <w:r>
        <w:t xml:space="preserve"> </w:t>
      </w:r>
      <w:r>
        <w:tab/>
      </w:r>
      <w:r>
        <w:rPr>
          <w:rFonts w:ascii="Verdana" w:hAnsi="Verdana"/>
          <w:i/>
          <w:sz w:val="16"/>
          <w:szCs w:val="16"/>
        </w:rPr>
        <w:t xml:space="preserve">Cfr. </w:t>
      </w:r>
      <w:r w:rsidR="00A25C48">
        <w:rPr>
          <w:rFonts w:ascii="Verdana" w:hAnsi="Verdana"/>
          <w:sz w:val="16"/>
          <w:szCs w:val="16"/>
        </w:rPr>
        <w:t xml:space="preserve">Instituto Nacional de Investigación en Salud Pública </w:t>
      </w:r>
      <w:r>
        <w:rPr>
          <w:rFonts w:ascii="Verdana" w:hAnsi="Verdana"/>
          <w:sz w:val="16"/>
          <w:szCs w:val="16"/>
        </w:rPr>
        <w:t xml:space="preserve">INSPI. Examen de subpoblación linfocitaria, </w:t>
      </w:r>
      <w:proofErr w:type="spellStart"/>
      <w:r>
        <w:rPr>
          <w:rFonts w:ascii="Verdana" w:hAnsi="Verdana"/>
          <w:sz w:val="16"/>
          <w:szCs w:val="16"/>
        </w:rPr>
        <w:t>citometría</w:t>
      </w:r>
      <w:proofErr w:type="spellEnd"/>
      <w:r>
        <w:rPr>
          <w:rFonts w:ascii="Verdana" w:hAnsi="Verdana"/>
          <w:sz w:val="16"/>
          <w:szCs w:val="16"/>
        </w:rPr>
        <w:t xml:space="preserve"> de flujo CD4 de 13 de julio de 2015</w:t>
      </w:r>
      <w:r w:rsidR="00A25C48">
        <w:rPr>
          <w:rFonts w:ascii="Verdana" w:hAnsi="Verdana"/>
          <w:sz w:val="16"/>
          <w:szCs w:val="16"/>
        </w:rPr>
        <w:t xml:space="preserve"> (expediente de medidas provisionales, folio 18)</w:t>
      </w:r>
      <w:r>
        <w:rPr>
          <w:rFonts w:ascii="Verdana" w:hAnsi="Verdana"/>
          <w:sz w:val="16"/>
          <w:szCs w:val="16"/>
        </w:rPr>
        <w:t>.</w:t>
      </w:r>
    </w:p>
  </w:footnote>
  <w:footnote w:id="14">
    <w:p w:rsidR="00B553FC" w:rsidRPr="00935E18" w:rsidRDefault="00B553FC" w:rsidP="00B27064">
      <w:pPr>
        <w:pStyle w:val="FootnoteText"/>
        <w:spacing w:after="60"/>
        <w:jc w:val="both"/>
        <w:rPr>
          <w:rFonts w:ascii="Verdana" w:hAnsi="Verdana"/>
          <w:sz w:val="16"/>
          <w:szCs w:val="16"/>
        </w:rPr>
      </w:pPr>
      <w:r>
        <w:rPr>
          <w:rStyle w:val="FootnoteReference"/>
        </w:rPr>
        <w:footnoteRef/>
      </w:r>
      <w:r>
        <w:t xml:space="preserve"> </w:t>
      </w:r>
      <w:r>
        <w:tab/>
      </w:r>
      <w:r>
        <w:rPr>
          <w:rFonts w:ascii="Verdana" w:hAnsi="Verdana"/>
          <w:sz w:val="16"/>
          <w:szCs w:val="16"/>
        </w:rPr>
        <w:t xml:space="preserve">El médico privado recomendó que se le cambie el tratamiento a ZIDOVUDINA/INDINAVIR, con exámenes de genotipo y resistencia viral. </w:t>
      </w:r>
    </w:p>
  </w:footnote>
  <w:footnote w:id="15">
    <w:p w:rsidR="00A43423" w:rsidRPr="00E3494A" w:rsidRDefault="00A43423" w:rsidP="00B27064">
      <w:pPr>
        <w:pStyle w:val="FootnoteText"/>
        <w:spacing w:after="60"/>
        <w:jc w:val="both"/>
        <w:rPr>
          <w:rFonts w:ascii="Verdana" w:hAnsi="Verdana"/>
          <w:sz w:val="16"/>
          <w:szCs w:val="16"/>
          <w:lang w:val="es-CR"/>
        </w:rPr>
      </w:pPr>
      <w:r>
        <w:rPr>
          <w:rStyle w:val="FootnoteReference"/>
        </w:rPr>
        <w:footnoteRef/>
      </w:r>
      <w:r>
        <w:t xml:space="preserve"> </w:t>
      </w:r>
      <w:r>
        <w:rPr>
          <w:rFonts w:ascii="Verdana" w:hAnsi="Verdana"/>
          <w:sz w:val="16"/>
          <w:szCs w:val="16"/>
          <w:lang w:val="es-CR"/>
        </w:rPr>
        <w:tab/>
      </w:r>
      <w:r>
        <w:rPr>
          <w:rFonts w:ascii="Verdana" w:hAnsi="Verdana"/>
          <w:i/>
          <w:sz w:val="16"/>
          <w:szCs w:val="16"/>
          <w:lang w:val="es-CR"/>
        </w:rPr>
        <w:t xml:space="preserve">Cfr. </w:t>
      </w:r>
      <w:r>
        <w:rPr>
          <w:rFonts w:ascii="Verdana" w:hAnsi="Verdana"/>
          <w:sz w:val="16"/>
          <w:szCs w:val="16"/>
          <w:lang w:val="es-CR"/>
        </w:rPr>
        <w:t xml:space="preserve">Comunicación de María Gabriela Yerovi, Analista 3 Estrategia Nacional de VIH. Ministerio de Salud Pública (expediente de medidas provisionales, folio 82). </w:t>
      </w:r>
    </w:p>
  </w:footnote>
  <w:footnote w:id="16">
    <w:p w:rsidR="002B025D" w:rsidRPr="002B025D" w:rsidRDefault="002B025D" w:rsidP="00B27064">
      <w:pPr>
        <w:pStyle w:val="FootnoteText"/>
        <w:spacing w:after="60"/>
        <w:jc w:val="both"/>
        <w:rPr>
          <w:lang w:val="es-CR"/>
        </w:rPr>
      </w:pPr>
      <w:r>
        <w:rPr>
          <w:rStyle w:val="FootnoteReference"/>
        </w:rPr>
        <w:footnoteRef/>
      </w:r>
      <w:r>
        <w:t xml:space="preserve"> </w:t>
      </w:r>
      <w:r>
        <w:tab/>
      </w:r>
      <w:r>
        <w:rPr>
          <w:rFonts w:ascii="Verdana" w:hAnsi="Verdana"/>
          <w:i/>
          <w:sz w:val="16"/>
          <w:szCs w:val="16"/>
          <w:lang w:val="es-CR"/>
        </w:rPr>
        <w:t xml:space="preserve">Cfr. </w:t>
      </w:r>
      <w:r>
        <w:rPr>
          <w:rFonts w:ascii="Verdana" w:hAnsi="Verdana"/>
          <w:sz w:val="16"/>
          <w:szCs w:val="16"/>
          <w:lang w:val="es-CR"/>
        </w:rPr>
        <w:t>Informe de paciente GOLLTAGA de 20 de julio de 2015 (expediente de medidas provisionales, folio 62).</w:t>
      </w:r>
    </w:p>
  </w:footnote>
  <w:footnote w:id="17">
    <w:p w:rsidR="00CB26E7" w:rsidRPr="00511EDD" w:rsidRDefault="00CB26E7" w:rsidP="00B27064">
      <w:pPr>
        <w:pStyle w:val="FootnoteText"/>
        <w:spacing w:after="60"/>
        <w:jc w:val="both"/>
        <w:rPr>
          <w:rFonts w:ascii="Verdana" w:hAnsi="Verdana"/>
          <w:sz w:val="16"/>
          <w:szCs w:val="16"/>
        </w:rPr>
      </w:pPr>
      <w:r w:rsidRPr="00511EDD">
        <w:rPr>
          <w:rStyle w:val="FootnoteReference"/>
          <w:szCs w:val="16"/>
        </w:rPr>
        <w:footnoteRef/>
      </w:r>
      <w:r w:rsidRPr="00511EDD">
        <w:rPr>
          <w:rFonts w:ascii="Verdana" w:hAnsi="Verdana"/>
          <w:sz w:val="16"/>
          <w:szCs w:val="16"/>
        </w:rPr>
        <w:t xml:space="preserve"> </w:t>
      </w:r>
      <w:r w:rsidRPr="00511EDD">
        <w:rPr>
          <w:rFonts w:ascii="Verdana" w:hAnsi="Verdana"/>
          <w:sz w:val="16"/>
          <w:szCs w:val="16"/>
        </w:rPr>
        <w:tab/>
        <w:t>Al respecto ver:</w:t>
      </w:r>
      <w:r w:rsidRPr="00511EDD">
        <w:rPr>
          <w:rFonts w:ascii="Verdana" w:hAnsi="Verdana"/>
          <w:i/>
          <w:sz w:val="16"/>
          <w:szCs w:val="16"/>
        </w:rPr>
        <w:t xml:space="preserve"> </w:t>
      </w:r>
      <w:r w:rsidR="0037094B" w:rsidRPr="00511EDD">
        <w:rPr>
          <w:rFonts w:ascii="Verdana" w:hAnsi="Verdana"/>
          <w:i/>
          <w:sz w:val="16"/>
          <w:szCs w:val="16"/>
        </w:rPr>
        <w:t>Caso Juan Humberto Sánchez</w:t>
      </w:r>
      <w:r w:rsidR="0037094B">
        <w:rPr>
          <w:rFonts w:ascii="Verdana" w:hAnsi="Verdana"/>
          <w:i/>
          <w:sz w:val="16"/>
          <w:szCs w:val="16"/>
        </w:rPr>
        <w:t>.</w:t>
      </w:r>
      <w:r w:rsidR="0037094B" w:rsidRPr="00511EDD">
        <w:rPr>
          <w:rFonts w:ascii="Verdana" w:hAnsi="Verdana"/>
          <w:i/>
          <w:sz w:val="16"/>
          <w:szCs w:val="16"/>
        </w:rPr>
        <w:t xml:space="preserve"> </w:t>
      </w:r>
      <w:r w:rsidR="0037094B" w:rsidRPr="00511EDD">
        <w:rPr>
          <w:rFonts w:ascii="Verdana" w:hAnsi="Verdana"/>
          <w:sz w:val="16"/>
          <w:szCs w:val="16"/>
        </w:rPr>
        <w:t xml:space="preserve">Solicitud de </w:t>
      </w:r>
      <w:r w:rsidR="00D34672">
        <w:rPr>
          <w:rFonts w:ascii="Verdana" w:hAnsi="Verdana"/>
          <w:sz w:val="16"/>
          <w:szCs w:val="16"/>
        </w:rPr>
        <w:t>M</w:t>
      </w:r>
      <w:r w:rsidR="0037094B" w:rsidRPr="00511EDD">
        <w:rPr>
          <w:rFonts w:ascii="Verdana" w:hAnsi="Verdana"/>
          <w:sz w:val="16"/>
          <w:szCs w:val="16"/>
        </w:rPr>
        <w:t xml:space="preserve">edidas </w:t>
      </w:r>
      <w:r w:rsidR="00D34672">
        <w:rPr>
          <w:rFonts w:ascii="Verdana" w:hAnsi="Verdana"/>
          <w:sz w:val="16"/>
          <w:szCs w:val="16"/>
        </w:rPr>
        <w:t>P</w:t>
      </w:r>
      <w:r w:rsidR="0037094B" w:rsidRPr="00511EDD">
        <w:rPr>
          <w:rFonts w:ascii="Verdana" w:hAnsi="Verdana"/>
          <w:sz w:val="16"/>
          <w:szCs w:val="16"/>
        </w:rPr>
        <w:t>rovisionales</w:t>
      </w:r>
      <w:r w:rsidR="0037094B">
        <w:rPr>
          <w:rFonts w:ascii="Verdana" w:hAnsi="Verdana"/>
          <w:sz w:val="16"/>
          <w:szCs w:val="16"/>
        </w:rPr>
        <w:t xml:space="preserve"> respecto de Honduras</w:t>
      </w:r>
      <w:r w:rsidR="0037094B" w:rsidRPr="00511EDD">
        <w:rPr>
          <w:rFonts w:ascii="Verdana" w:hAnsi="Verdana"/>
          <w:sz w:val="16"/>
          <w:szCs w:val="16"/>
        </w:rPr>
        <w:t>. Resolución de la Corte</w:t>
      </w:r>
      <w:r w:rsidR="0037094B">
        <w:rPr>
          <w:rFonts w:ascii="Verdana" w:hAnsi="Verdana"/>
          <w:sz w:val="16"/>
          <w:szCs w:val="16"/>
        </w:rPr>
        <w:t xml:space="preserve"> Interamericana de Derechos Humanos</w:t>
      </w:r>
      <w:r w:rsidR="0037094B" w:rsidRPr="00511EDD">
        <w:rPr>
          <w:rFonts w:ascii="Verdana" w:hAnsi="Verdana"/>
          <w:sz w:val="16"/>
          <w:szCs w:val="16"/>
        </w:rPr>
        <w:t xml:space="preserve"> de 7 de febrero de 2006, Considerando octavo</w:t>
      </w:r>
      <w:r w:rsidR="0099681D">
        <w:rPr>
          <w:rFonts w:ascii="Verdana" w:hAnsi="Verdana"/>
          <w:sz w:val="16"/>
          <w:szCs w:val="16"/>
        </w:rPr>
        <w:t xml:space="preserve">; </w:t>
      </w:r>
      <w:r w:rsidRPr="00511EDD">
        <w:rPr>
          <w:rFonts w:ascii="Verdana" w:hAnsi="Verdana"/>
          <w:i/>
          <w:sz w:val="16"/>
          <w:szCs w:val="16"/>
        </w:rPr>
        <w:t xml:space="preserve">Caso de la Comunidad </w:t>
      </w:r>
      <w:proofErr w:type="spellStart"/>
      <w:r w:rsidRPr="00511EDD">
        <w:rPr>
          <w:rFonts w:ascii="Verdana" w:hAnsi="Verdana"/>
          <w:i/>
          <w:sz w:val="16"/>
          <w:szCs w:val="16"/>
        </w:rPr>
        <w:t>Mayagna</w:t>
      </w:r>
      <w:proofErr w:type="spellEnd"/>
      <w:r w:rsidRPr="00511EDD">
        <w:rPr>
          <w:rFonts w:ascii="Verdana" w:hAnsi="Verdana"/>
          <w:i/>
          <w:sz w:val="16"/>
          <w:szCs w:val="16"/>
        </w:rPr>
        <w:t xml:space="preserve"> (Sumo) </w:t>
      </w:r>
      <w:proofErr w:type="spellStart"/>
      <w:r w:rsidRPr="00511EDD">
        <w:rPr>
          <w:rFonts w:ascii="Verdana" w:hAnsi="Verdana"/>
          <w:i/>
          <w:sz w:val="16"/>
          <w:szCs w:val="16"/>
        </w:rPr>
        <w:t>Awas</w:t>
      </w:r>
      <w:proofErr w:type="spellEnd"/>
      <w:r w:rsidRPr="00511EDD">
        <w:rPr>
          <w:rFonts w:ascii="Verdana" w:hAnsi="Verdana"/>
          <w:i/>
          <w:sz w:val="16"/>
          <w:szCs w:val="16"/>
        </w:rPr>
        <w:t xml:space="preserve"> </w:t>
      </w:r>
      <w:proofErr w:type="spellStart"/>
      <w:r w:rsidRPr="00511EDD">
        <w:rPr>
          <w:rFonts w:ascii="Verdana" w:hAnsi="Verdana"/>
          <w:i/>
          <w:sz w:val="16"/>
          <w:szCs w:val="16"/>
        </w:rPr>
        <w:t>Tingni</w:t>
      </w:r>
      <w:proofErr w:type="spellEnd"/>
      <w:r w:rsidRPr="00511EDD">
        <w:rPr>
          <w:rFonts w:ascii="Verdana" w:hAnsi="Verdana"/>
          <w:i/>
          <w:sz w:val="16"/>
          <w:szCs w:val="16"/>
        </w:rPr>
        <w:t xml:space="preserve">. </w:t>
      </w:r>
      <w:r w:rsidRPr="00511EDD">
        <w:rPr>
          <w:rFonts w:ascii="Verdana" w:hAnsi="Verdana"/>
          <w:sz w:val="16"/>
          <w:szCs w:val="16"/>
        </w:rPr>
        <w:t xml:space="preserve">Medidas </w:t>
      </w:r>
      <w:r w:rsidR="00D34672">
        <w:rPr>
          <w:rFonts w:ascii="Verdana" w:hAnsi="Verdana"/>
          <w:sz w:val="16"/>
          <w:szCs w:val="16"/>
        </w:rPr>
        <w:t>P</w:t>
      </w:r>
      <w:r w:rsidRPr="00511EDD">
        <w:rPr>
          <w:rFonts w:ascii="Verdana" w:hAnsi="Verdana"/>
          <w:sz w:val="16"/>
          <w:szCs w:val="16"/>
        </w:rPr>
        <w:t>rovisionales</w:t>
      </w:r>
      <w:r w:rsidR="0037094B">
        <w:rPr>
          <w:rFonts w:ascii="Verdana" w:hAnsi="Verdana"/>
          <w:sz w:val="16"/>
          <w:szCs w:val="16"/>
        </w:rPr>
        <w:t xml:space="preserve"> respecto de Nicaragua</w:t>
      </w:r>
      <w:r w:rsidRPr="00511EDD">
        <w:rPr>
          <w:rFonts w:ascii="Verdana" w:hAnsi="Verdana"/>
          <w:sz w:val="16"/>
          <w:szCs w:val="16"/>
        </w:rPr>
        <w:t>.</w:t>
      </w:r>
      <w:r w:rsidRPr="00511EDD">
        <w:rPr>
          <w:rFonts w:ascii="Verdana" w:hAnsi="Verdana"/>
          <w:i/>
          <w:sz w:val="16"/>
          <w:szCs w:val="16"/>
        </w:rPr>
        <w:t xml:space="preserve"> </w:t>
      </w:r>
      <w:r w:rsidRPr="00511EDD">
        <w:rPr>
          <w:rFonts w:ascii="Verdana" w:hAnsi="Verdana"/>
          <w:sz w:val="16"/>
          <w:szCs w:val="16"/>
        </w:rPr>
        <w:t>Resolución de la Corte</w:t>
      </w:r>
      <w:r w:rsidR="0037094B">
        <w:rPr>
          <w:rFonts w:ascii="Verdana" w:hAnsi="Verdana"/>
          <w:sz w:val="16"/>
          <w:szCs w:val="16"/>
        </w:rPr>
        <w:t xml:space="preserve"> Interamericana de Derechos Humanos</w:t>
      </w:r>
      <w:r w:rsidRPr="00511EDD">
        <w:rPr>
          <w:rFonts w:ascii="Verdana" w:hAnsi="Verdana"/>
          <w:sz w:val="16"/>
          <w:szCs w:val="16"/>
        </w:rPr>
        <w:t xml:space="preserve"> de 26 de noviembre de 2007, Considerandos décimo y undécimo;</w:t>
      </w:r>
      <w:r w:rsidR="0037094B">
        <w:rPr>
          <w:rFonts w:ascii="Verdana" w:hAnsi="Verdana"/>
          <w:sz w:val="16"/>
          <w:szCs w:val="16"/>
        </w:rPr>
        <w:t xml:space="preserve"> </w:t>
      </w:r>
      <w:r w:rsidR="0037094B" w:rsidRPr="00511EDD">
        <w:rPr>
          <w:rFonts w:ascii="Verdana" w:hAnsi="Verdana"/>
          <w:i/>
          <w:sz w:val="16"/>
          <w:szCs w:val="16"/>
        </w:rPr>
        <w:t xml:space="preserve">Caso del Pueblo </w:t>
      </w:r>
      <w:proofErr w:type="spellStart"/>
      <w:r w:rsidR="0037094B" w:rsidRPr="00511EDD">
        <w:rPr>
          <w:rFonts w:ascii="Verdana" w:hAnsi="Verdana"/>
          <w:i/>
          <w:sz w:val="16"/>
          <w:szCs w:val="16"/>
        </w:rPr>
        <w:t>Saramaka</w:t>
      </w:r>
      <w:proofErr w:type="spellEnd"/>
      <w:r w:rsidR="0037094B" w:rsidRPr="00511EDD">
        <w:rPr>
          <w:rFonts w:ascii="Verdana" w:hAnsi="Verdana"/>
          <w:i/>
          <w:sz w:val="16"/>
          <w:szCs w:val="16"/>
        </w:rPr>
        <w:t xml:space="preserve">. </w:t>
      </w:r>
      <w:r w:rsidR="0037094B" w:rsidRPr="00511EDD">
        <w:rPr>
          <w:rFonts w:ascii="Verdana" w:hAnsi="Verdana"/>
          <w:sz w:val="16"/>
          <w:szCs w:val="16"/>
        </w:rPr>
        <w:t xml:space="preserve">Solicitud de </w:t>
      </w:r>
      <w:r w:rsidR="00D34672">
        <w:rPr>
          <w:rFonts w:ascii="Verdana" w:hAnsi="Verdana"/>
          <w:sz w:val="16"/>
          <w:szCs w:val="16"/>
        </w:rPr>
        <w:t>M</w:t>
      </w:r>
      <w:r w:rsidR="0037094B" w:rsidRPr="00511EDD">
        <w:rPr>
          <w:rFonts w:ascii="Verdana" w:hAnsi="Verdana"/>
          <w:sz w:val="16"/>
          <w:szCs w:val="16"/>
        </w:rPr>
        <w:t xml:space="preserve">edidas </w:t>
      </w:r>
      <w:r w:rsidR="00D34672">
        <w:rPr>
          <w:rFonts w:ascii="Verdana" w:hAnsi="Verdana"/>
          <w:sz w:val="16"/>
          <w:szCs w:val="16"/>
        </w:rPr>
        <w:t>P</w:t>
      </w:r>
      <w:r w:rsidR="0037094B" w:rsidRPr="00511EDD">
        <w:rPr>
          <w:rFonts w:ascii="Verdana" w:hAnsi="Verdana"/>
          <w:sz w:val="16"/>
          <w:szCs w:val="16"/>
        </w:rPr>
        <w:t xml:space="preserve">rovisionales y </w:t>
      </w:r>
      <w:r w:rsidR="00D34672">
        <w:rPr>
          <w:rFonts w:ascii="Verdana" w:hAnsi="Verdana"/>
          <w:sz w:val="16"/>
          <w:szCs w:val="16"/>
        </w:rPr>
        <w:t>S</w:t>
      </w:r>
      <w:r w:rsidR="0037094B" w:rsidRPr="00511EDD">
        <w:rPr>
          <w:rFonts w:ascii="Verdana" w:hAnsi="Verdana"/>
          <w:sz w:val="16"/>
          <w:szCs w:val="16"/>
        </w:rPr>
        <w:t xml:space="preserve">upervisión de </w:t>
      </w:r>
      <w:r w:rsidR="00D34672">
        <w:rPr>
          <w:rFonts w:ascii="Verdana" w:hAnsi="Verdana"/>
          <w:sz w:val="16"/>
          <w:szCs w:val="16"/>
        </w:rPr>
        <w:t>C</w:t>
      </w:r>
      <w:r w:rsidR="0037094B" w:rsidRPr="00511EDD">
        <w:rPr>
          <w:rFonts w:ascii="Verdana" w:hAnsi="Verdana"/>
          <w:sz w:val="16"/>
          <w:szCs w:val="16"/>
        </w:rPr>
        <w:t>umplimiento de Sentencia</w:t>
      </w:r>
      <w:r w:rsidR="0037094B">
        <w:rPr>
          <w:rFonts w:ascii="Verdana" w:hAnsi="Verdana"/>
          <w:sz w:val="16"/>
          <w:szCs w:val="16"/>
        </w:rPr>
        <w:t xml:space="preserve"> respecto de </w:t>
      </w:r>
      <w:proofErr w:type="spellStart"/>
      <w:r w:rsidR="0037094B">
        <w:rPr>
          <w:rFonts w:ascii="Verdana" w:hAnsi="Verdana"/>
          <w:sz w:val="16"/>
          <w:szCs w:val="16"/>
        </w:rPr>
        <w:t>Suriname</w:t>
      </w:r>
      <w:proofErr w:type="spellEnd"/>
      <w:r w:rsidR="0037094B" w:rsidRPr="00511EDD">
        <w:rPr>
          <w:rFonts w:ascii="Verdana" w:hAnsi="Verdana"/>
          <w:sz w:val="16"/>
          <w:szCs w:val="16"/>
        </w:rPr>
        <w:t>.</w:t>
      </w:r>
      <w:r w:rsidR="0037094B" w:rsidRPr="00511EDD">
        <w:rPr>
          <w:rFonts w:ascii="Verdana" w:hAnsi="Verdana"/>
          <w:i/>
          <w:sz w:val="16"/>
          <w:szCs w:val="16"/>
        </w:rPr>
        <w:t xml:space="preserve"> </w:t>
      </w:r>
      <w:r w:rsidR="0037094B" w:rsidRPr="00511EDD">
        <w:rPr>
          <w:rFonts w:ascii="Verdana" w:hAnsi="Verdana"/>
          <w:sz w:val="16"/>
          <w:szCs w:val="16"/>
        </w:rPr>
        <w:t>Resolución de la Corte</w:t>
      </w:r>
      <w:r w:rsidR="0037094B">
        <w:rPr>
          <w:rFonts w:ascii="Verdana" w:hAnsi="Verdana"/>
          <w:sz w:val="16"/>
          <w:szCs w:val="16"/>
        </w:rPr>
        <w:t xml:space="preserve"> Interamericana de Derechos Humanos</w:t>
      </w:r>
      <w:r w:rsidR="0037094B" w:rsidRPr="00511EDD">
        <w:rPr>
          <w:rFonts w:ascii="Verdana" w:hAnsi="Verdana"/>
          <w:sz w:val="16"/>
          <w:szCs w:val="16"/>
        </w:rPr>
        <w:t xml:space="preserve"> de 4 de septiembre de 2013, Considerando vigésimo tercero</w:t>
      </w:r>
      <w:r w:rsidRPr="00511EDD">
        <w:rPr>
          <w:rFonts w:ascii="Verdana" w:hAnsi="Verdana"/>
          <w:sz w:val="16"/>
          <w:szCs w:val="16"/>
        </w:rPr>
        <w:t xml:space="preserve">, y </w:t>
      </w:r>
      <w:r w:rsidRPr="00511EDD">
        <w:rPr>
          <w:rFonts w:ascii="Verdana" w:eastAsiaTheme="minorEastAsia" w:hAnsi="Verdana" w:cs="Verdana"/>
          <w:bCs/>
          <w:i/>
          <w:sz w:val="16"/>
        </w:rPr>
        <w:t xml:space="preserve">Caso </w:t>
      </w:r>
      <w:proofErr w:type="spellStart"/>
      <w:r w:rsidRPr="00511EDD">
        <w:rPr>
          <w:rFonts w:ascii="Verdana" w:eastAsiaTheme="minorEastAsia" w:hAnsi="Verdana" w:cs="Verdana"/>
          <w:bCs/>
          <w:i/>
          <w:sz w:val="16"/>
        </w:rPr>
        <w:t>Artavia</w:t>
      </w:r>
      <w:proofErr w:type="spellEnd"/>
      <w:r w:rsidRPr="00511EDD">
        <w:rPr>
          <w:rFonts w:ascii="Verdana" w:eastAsiaTheme="minorEastAsia" w:hAnsi="Verdana" w:cs="Verdana"/>
          <w:bCs/>
          <w:i/>
          <w:sz w:val="16"/>
        </w:rPr>
        <w:t xml:space="preserve"> Murillo y otros ("Fecundación in vitro")</w:t>
      </w:r>
      <w:r w:rsidRPr="00511EDD">
        <w:rPr>
          <w:rFonts w:ascii="Verdana" w:eastAsiaTheme="minorEastAsia" w:hAnsi="Verdana" w:cs="Verdana"/>
          <w:bCs/>
          <w:sz w:val="16"/>
        </w:rPr>
        <w:t xml:space="preserve">. Solicitud de </w:t>
      </w:r>
      <w:r w:rsidR="00D34672">
        <w:rPr>
          <w:rFonts w:ascii="Verdana" w:eastAsiaTheme="minorEastAsia" w:hAnsi="Verdana" w:cs="Verdana"/>
          <w:bCs/>
          <w:sz w:val="16"/>
        </w:rPr>
        <w:t>M</w:t>
      </w:r>
      <w:r w:rsidRPr="00511EDD">
        <w:rPr>
          <w:rFonts w:ascii="Verdana" w:eastAsiaTheme="minorEastAsia" w:hAnsi="Verdana" w:cs="Verdana"/>
          <w:bCs/>
          <w:sz w:val="16"/>
        </w:rPr>
        <w:t xml:space="preserve">edidas </w:t>
      </w:r>
      <w:r w:rsidR="00D34672">
        <w:rPr>
          <w:rFonts w:ascii="Verdana" w:eastAsiaTheme="minorEastAsia" w:hAnsi="Verdana" w:cs="Verdana"/>
          <w:bCs/>
          <w:sz w:val="16"/>
        </w:rPr>
        <w:t>P</w:t>
      </w:r>
      <w:r w:rsidRPr="00511EDD">
        <w:rPr>
          <w:rFonts w:ascii="Verdana" w:eastAsiaTheme="minorEastAsia" w:hAnsi="Verdana" w:cs="Verdana"/>
          <w:bCs/>
          <w:sz w:val="16"/>
        </w:rPr>
        <w:t>rovisionales</w:t>
      </w:r>
      <w:r w:rsidR="007535DE">
        <w:rPr>
          <w:rFonts w:ascii="Verdana" w:eastAsiaTheme="minorEastAsia" w:hAnsi="Verdana" w:cs="Verdana"/>
          <w:bCs/>
          <w:sz w:val="16"/>
        </w:rPr>
        <w:t xml:space="preserve"> respecto de Costa Rica</w:t>
      </w:r>
      <w:r w:rsidRPr="00511EDD">
        <w:rPr>
          <w:rFonts w:ascii="Verdana" w:eastAsiaTheme="minorEastAsia" w:hAnsi="Verdana" w:cs="Verdana"/>
          <w:bCs/>
          <w:sz w:val="16"/>
        </w:rPr>
        <w:t>. Resolución de la Corte Interamericana de Derechos Humanos de 31 de marzo de 2014</w:t>
      </w:r>
      <w:r>
        <w:rPr>
          <w:rFonts w:ascii="Verdana" w:eastAsiaTheme="minorEastAsia" w:hAnsi="Verdana" w:cs="Verdana"/>
          <w:bCs/>
          <w:sz w:val="16"/>
        </w:rPr>
        <w:t>, C</w:t>
      </w:r>
      <w:r w:rsidRPr="00511EDD">
        <w:rPr>
          <w:rFonts w:ascii="Verdana" w:eastAsiaTheme="minorEastAsia" w:hAnsi="Verdana" w:cs="Verdana"/>
          <w:bCs/>
          <w:sz w:val="16"/>
        </w:rPr>
        <w:t>onsiderando noveno.</w:t>
      </w:r>
    </w:p>
  </w:footnote>
  <w:footnote w:id="18">
    <w:p w:rsidR="00CB26E7" w:rsidRPr="00511EDD" w:rsidRDefault="00CB26E7" w:rsidP="00B27064">
      <w:pPr>
        <w:pStyle w:val="FootnoteText"/>
        <w:spacing w:after="60"/>
        <w:jc w:val="both"/>
        <w:rPr>
          <w:rFonts w:ascii="Verdana" w:hAnsi="Verdana"/>
          <w:i/>
          <w:sz w:val="16"/>
          <w:szCs w:val="16"/>
        </w:rPr>
      </w:pPr>
      <w:r w:rsidRPr="00511EDD">
        <w:rPr>
          <w:rStyle w:val="FootnoteReference"/>
          <w:szCs w:val="16"/>
        </w:rPr>
        <w:footnoteRef/>
      </w:r>
      <w:r w:rsidRPr="00511EDD">
        <w:rPr>
          <w:rFonts w:ascii="Verdana" w:hAnsi="Verdana"/>
          <w:sz w:val="16"/>
          <w:szCs w:val="16"/>
        </w:rPr>
        <w:t xml:space="preserve"> </w:t>
      </w:r>
      <w:r w:rsidRPr="00511EDD">
        <w:rPr>
          <w:rFonts w:ascii="Verdana" w:hAnsi="Verdana"/>
          <w:sz w:val="16"/>
          <w:szCs w:val="16"/>
        </w:rPr>
        <w:tab/>
      </w:r>
      <w:r w:rsidRPr="00511EDD">
        <w:rPr>
          <w:rFonts w:ascii="Verdana" w:hAnsi="Verdana"/>
          <w:i/>
          <w:sz w:val="16"/>
          <w:szCs w:val="16"/>
        </w:rPr>
        <w:t xml:space="preserve">Cfr. Caso de la Comunidad </w:t>
      </w:r>
      <w:proofErr w:type="spellStart"/>
      <w:r w:rsidRPr="00511EDD">
        <w:rPr>
          <w:rFonts w:ascii="Verdana" w:hAnsi="Verdana"/>
          <w:i/>
          <w:sz w:val="16"/>
          <w:szCs w:val="16"/>
        </w:rPr>
        <w:t>Mayagna</w:t>
      </w:r>
      <w:proofErr w:type="spellEnd"/>
      <w:r w:rsidRPr="00511EDD">
        <w:rPr>
          <w:rFonts w:ascii="Verdana" w:hAnsi="Verdana"/>
          <w:i/>
          <w:sz w:val="16"/>
          <w:szCs w:val="16"/>
        </w:rPr>
        <w:t xml:space="preserve"> (Sumo) </w:t>
      </w:r>
      <w:proofErr w:type="spellStart"/>
      <w:r w:rsidRPr="00511EDD">
        <w:rPr>
          <w:rFonts w:ascii="Verdana" w:hAnsi="Verdana"/>
          <w:i/>
          <w:sz w:val="16"/>
          <w:szCs w:val="16"/>
        </w:rPr>
        <w:t>Awas</w:t>
      </w:r>
      <w:proofErr w:type="spellEnd"/>
      <w:r w:rsidRPr="00511EDD">
        <w:rPr>
          <w:rFonts w:ascii="Verdana" w:hAnsi="Verdana"/>
          <w:i/>
          <w:sz w:val="16"/>
          <w:szCs w:val="16"/>
        </w:rPr>
        <w:t xml:space="preserve"> </w:t>
      </w:r>
      <w:proofErr w:type="spellStart"/>
      <w:r w:rsidRPr="00511EDD">
        <w:rPr>
          <w:rFonts w:ascii="Verdana" w:hAnsi="Verdana"/>
          <w:i/>
          <w:sz w:val="16"/>
          <w:szCs w:val="16"/>
        </w:rPr>
        <w:t>Tingni</w:t>
      </w:r>
      <w:proofErr w:type="spellEnd"/>
      <w:r w:rsidR="00D34672">
        <w:rPr>
          <w:rFonts w:ascii="Verdana" w:hAnsi="Verdana"/>
          <w:i/>
          <w:sz w:val="16"/>
          <w:szCs w:val="16"/>
        </w:rPr>
        <w:t xml:space="preserve">. </w:t>
      </w:r>
      <w:r w:rsidR="00D34672">
        <w:rPr>
          <w:rFonts w:ascii="Verdana" w:hAnsi="Verdana"/>
          <w:sz w:val="16"/>
          <w:szCs w:val="16"/>
        </w:rPr>
        <w:t>Medidas Provisionales respecto de Nicaragua. Resolución de la Corte Interamericana de Derechos Humanos de 26 de noviembre de 2007, Considerando décimo segundo</w:t>
      </w:r>
      <w:r w:rsidRPr="00511EDD">
        <w:rPr>
          <w:rFonts w:ascii="Verdana" w:hAnsi="Verdana"/>
          <w:sz w:val="16"/>
          <w:szCs w:val="16"/>
        </w:rPr>
        <w:t xml:space="preserve">, y </w:t>
      </w:r>
      <w:r w:rsidRPr="00511EDD">
        <w:rPr>
          <w:rFonts w:ascii="Verdana" w:eastAsiaTheme="minorEastAsia" w:hAnsi="Verdana" w:cs="Verdana"/>
          <w:bCs/>
          <w:i/>
          <w:sz w:val="16"/>
        </w:rPr>
        <w:t xml:space="preserve">Caso </w:t>
      </w:r>
      <w:proofErr w:type="spellStart"/>
      <w:r w:rsidRPr="00511EDD">
        <w:rPr>
          <w:rFonts w:ascii="Verdana" w:eastAsiaTheme="minorEastAsia" w:hAnsi="Verdana" w:cs="Verdana"/>
          <w:bCs/>
          <w:i/>
          <w:sz w:val="16"/>
        </w:rPr>
        <w:t>Artavia</w:t>
      </w:r>
      <w:proofErr w:type="spellEnd"/>
      <w:r w:rsidRPr="00511EDD">
        <w:rPr>
          <w:rFonts w:ascii="Verdana" w:eastAsiaTheme="minorEastAsia" w:hAnsi="Verdana" w:cs="Verdana"/>
          <w:bCs/>
          <w:i/>
          <w:sz w:val="16"/>
        </w:rPr>
        <w:t xml:space="preserve"> Murillo y otros ("Fecundación in vitro")</w:t>
      </w:r>
      <w:r w:rsidR="00D34672">
        <w:rPr>
          <w:rFonts w:ascii="Verdana" w:eastAsiaTheme="minorEastAsia" w:hAnsi="Verdana" w:cs="Verdana"/>
          <w:bCs/>
          <w:i/>
          <w:sz w:val="16"/>
        </w:rPr>
        <w:t xml:space="preserve">. </w:t>
      </w:r>
      <w:r w:rsidR="00D34672">
        <w:rPr>
          <w:rFonts w:ascii="Verdana" w:eastAsiaTheme="minorEastAsia" w:hAnsi="Verdana" w:cs="Verdana"/>
          <w:bCs/>
          <w:sz w:val="16"/>
        </w:rPr>
        <w:t>Solicitud de Medidas Provisionales respecto de Costa Rica. Resolución de la Corte Interamericana de Derechos Humanos de 31 de marzo de 2014,</w:t>
      </w:r>
      <w:r>
        <w:rPr>
          <w:rFonts w:ascii="Verdana" w:eastAsiaTheme="minorEastAsia" w:hAnsi="Verdana" w:cs="Verdana"/>
          <w:bCs/>
          <w:sz w:val="16"/>
        </w:rPr>
        <w:t xml:space="preserve"> C</w:t>
      </w:r>
      <w:r w:rsidRPr="00511EDD">
        <w:rPr>
          <w:rFonts w:ascii="Verdana" w:eastAsiaTheme="minorEastAsia" w:hAnsi="Verdana" w:cs="Verdana"/>
          <w:bCs/>
          <w:sz w:val="16"/>
        </w:rPr>
        <w:t>onsiderando décimo.</w:t>
      </w:r>
    </w:p>
  </w:footnote>
  <w:footnote w:id="19">
    <w:p w:rsidR="00B068AF" w:rsidRPr="00F4781C" w:rsidRDefault="00B068AF" w:rsidP="00B27064">
      <w:pPr>
        <w:pStyle w:val="FootnoteText"/>
        <w:spacing w:after="60"/>
        <w:jc w:val="both"/>
        <w:rPr>
          <w:rFonts w:ascii="Verdana" w:hAnsi="Verdana"/>
          <w:sz w:val="16"/>
          <w:szCs w:val="16"/>
        </w:rPr>
      </w:pPr>
      <w:r w:rsidRPr="00F4781C">
        <w:rPr>
          <w:rStyle w:val="FootnoteReference"/>
          <w:szCs w:val="16"/>
        </w:rPr>
        <w:footnoteRef/>
      </w:r>
      <w:r w:rsidRPr="00F4781C">
        <w:rPr>
          <w:rFonts w:ascii="Verdana" w:hAnsi="Verdana"/>
          <w:sz w:val="16"/>
          <w:szCs w:val="16"/>
        </w:rPr>
        <w:t xml:space="preserve"> </w:t>
      </w:r>
      <w:r w:rsidRPr="00F4781C">
        <w:rPr>
          <w:rFonts w:ascii="Verdana" w:hAnsi="Verdana"/>
          <w:sz w:val="16"/>
          <w:szCs w:val="16"/>
        </w:rPr>
        <w:tab/>
      </w:r>
      <w:r w:rsidRPr="00F4781C">
        <w:rPr>
          <w:rFonts w:ascii="Verdana" w:hAnsi="Verdana"/>
          <w:i/>
          <w:sz w:val="16"/>
          <w:szCs w:val="16"/>
          <w:lang w:val="es-CR"/>
        </w:rPr>
        <w:t>Cfr. Caso Velásquez Rodríguez.</w:t>
      </w:r>
      <w:r w:rsidRPr="00F4781C">
        <w:rPr>
          <w:rFonts w:ascii="Verdana" w:hAnsi="Verdana"/>
          <w:sz w:val="16"/>
          <w:szCs w:val="16"/>
          <w:lang w:val="es-CR"/>
        </w:rPr>
        <w:t xml:space="preserve"> Medidas Provisionales respecto de Honduras. Resolución de la Corte</w:t>
      </w:r>
      <w:r w:rsidR="00A15215">
        <w:rPr>
          <w:rFonts w:ascii="Verdana" w:hAnsi="Verdana"/>
          <w:sz w:val="16"/>
          <w:szCs w:val="16"/>
          <w:lang w:val="es-CR"/>
        </w:rPr>
        <w:t xml:space="preserve"> Interamericana de Derechos Humanos</w:t>
      </w:r>
      <w:r w:rsidRPr="00F4781C">
        <w:rPr>
          <w:rFonts w:ascii="Verdana" w:hAnsi="Verdana"/>
          <w:sz w:val="16"/>
          <w:szCs w:val="16"/>
          <w:lang w:val="es-CR"/>
        </w:rPr>
        <w:t xml:space="preserve"> de 15 de enero de 1988, </w:t>
      </w:r>
      <w:r w:rsidR="00A15215">
        <w:rPr>
          <w:rFonts w:ascii="Verdana" w:hAnsi="Verdana"/>
          <w:sz w:val="16"/>
          <w:szCs w:val="16"/>
          <w:lang w:val="es-CR"/>
        </w:rPr>
        <w:t>C</w:t>
      </w:r>
      <w:r w:rsidRPr="00F4781C">
        <w:rPr>
          <w:rFonts w:ascii="Verdana" w:hAnsi="Verdana"/>
          <w:sz w:val="16"/>
          <w:szCs w:val="16"/>
          <w:lang w:val="es-CR"/>
        </w:rPr>
        <w:t xml:space="preserve">onsiderando tercero, y </w:t>
      </w:r>
      <w:r w:rsidRPr="00F4781C">
        <w:rPr>
          <w:rFonts w:ascii="Verdana" w:hAnsi="Verdana"/>
          <w:i/>
          <w:sz w:val="16"/>
          <w:szCs w:val="16"/>
          <w:lang w:val="es-CR"/>
        </w:rPr>
        <w:t xml:space="preserve">Caso </w:t>
      </w:r>
      <w:r w:rsidR="00D34672">
        <w:rPr>
          <w:rFonts w:ascii="Verdana" w:hAnsi="Verdana"/>
          <w:i/>
          <w:sz w:val="16"/>
          <w:szCs w:val="16"/>
          <w:lang w:val="es-CR"/>
        </w:rPr>
        <w:t xml:space="preserve">Torres </w:t>
      </w:r>
      <w:proofErr w:type="spellStart"/>
      <w:r w:rsidR="00D34672">
        <w:rPr>
          <w:rFonts w:ascii="Verdana" w:hAnsi="Verdana"/>
          <w:i/>
          <w:sz w:val="16"/>
          <w:szCs w:val="16"/>
          <w:lang w:val="es-CR"/>
        </w:rPr>
        <w:t>Millacura</w:t>
      </w:r>
      <w:proofErr w:type="spellEnd"/>
      <w:r w:rsidR="00D34672">
        <w:rPr>
          <w:rFonts w:ascii="Verdana" w:hAnsi="Verdana"/>
          <w:i/>
          <w:sz w:val="16"/>
          <w:szCs w:val="16"/>
          <w:lang w:val="es-CR"/>
        </w:rPr>
        <w:t xml:space="preserve"> y otros. </w:t>
      </w:r>
      <w:r w:rsidR="00D34672">
        <w:rPr>
          <w:rFonts w:ascii="Verdana" w:hAnsi="Verdana"/>
          <w:sz w:val="16"/>
          <w:szCs w:val="16"/>
          <w:lang w:val="es-CR"/>
        </w:rPr>
        <w:t xml:space="preserve">Solicitud de Medidas Provisionales respecto de Argentina. Resolución de la Corte Interamericana de Derechos Humanos de 23 de junio de 2015,  </w:t>
      </w:r>
      <w:r w:rsidR="00A15215">
        <w:rPr>
          <w:rFonts w:ascii="Verdana" w:hAnsi="Verdana"/>
          <w:sz w:val="16"/>
          <w:szCs w:val="16"/>
          <w:lang w:val="es-CR"/>
        </w:rPr>
        <w:t>C</w:t>
      </w:r>
      <w:r w:rsidRPr="00F4781C">
        <w:rPr>
          <w:rFonts w:ascii="Verdana" w:hAnsi="Verdana"/>
          <w:sz w:val="16"/>
          <w:szCs w:val="16"/>
          <w:lang w:val="es-CR"/>
        </w:rPr>
        <w:t xml:space="preserve">onsiderando </w:t>
      </w:r>
      <w:r w:rsidR="00A15215">
        <w:rPr>
          <w:rFonts w:ascii="Verdana" w:hAnsi="Verdana"/>
          <w:sz w:val="16"/>
          <w:szCs w:val="16"/>
          <w:lang w:val="es-CR"/>
        </w:rPr>
        <w:t>décimo</w:t>
      </w:r>
      <w:r w:rsidRPr="00F4781C">
        <w:rPr>
          <w:rFonts w:ascii="Verdana" w:hAnsi="Verdana"/>
          <w:sz w:val="16"/>
          <w:szCs w:val="16"/>
          <w:lang w:val="es-CR"/>
        </w:rPr>
        <w:t>.</w:t>
      </w:r>
    </w:p>
  </w:footnote>
  <w:footnote w:id="20">
    <w:p w:rsidR="00B068AF" w:rsidRPr="00077D41" w:rsidRDefault="00B068AF" w:rsidP="00B27064">
      <w:pPr>
        <w:pStyle w:val="FootnoteText"/>
        <w:spacing w:after="60"/>
        <w:jc w:val="both"/>
        <w:rPr>
          <w:rFonts w:ascii="Verdana" w:hAnsi="Verdana"/>
          <w:bCs/>
          <w:color w:val="000000"/>
          <w:sz w:val="16"/>
          <w:szCs w:val="16"/>
          <w:lang w:val="es-ES"/>
        </w:rPr>
      </w:pPr>
      <w:r w:rsidRPr="00077D41">
        <w:rPr>
          <w:rStyle w:val="FootnoteReference"/>
          <w:szCs w:val="16"/>
          <w:lang w:val="es-ES"/>
        </w:rPr>
        <w:footnoteRef/>
      </w:r>
      <w:r w:rsidRPr="00077D41">
        <w:rPr>
          <w:rFonts w:ascii="Verdana" w:hAnsi="Verdana"/>
          <w:sz w:val="16"/>
          <w:szCs w:val="16"/>
          <w:lang w:val="es-ES"/>
        </w:rPr>
        <w:t xml:space="preserve"> </w:t>
      </w:r>
      <w:r w:rsidRPr="00077D41">
        <w:rPr>
          <w:rFonts w:ascii="Verdana" w:hAnsi="Verdana"/>
          <w:sz w:val="16"/>
          <w:szCs w:val="16"/>
          <w:lang w:val="es-ES"/>
        </w:rPr>
        <w:tab/>
      </w:r>
      <w:r w:rsidRPr="00077D41">
        <w:rPr>
          <w:rFonts w:ascii="Verdana" w:hAnsi="Verdana"/>
          <w:i/>
          <w:sz w:val="16"/>
          <w:szCs w:val="16"/>
          <w:lang w:val="es-ES"/>
        </w:rPr>
        <w:t>Cfr. Caso Velásquez Rodríguez</w:t>
      </w:r>
      <w:r w:rsidR="00A15215">
        <w:rPr>
          <w:rFonts w:ascii="Verdana" w:hAnsi="Verdana"/>
          <w:i/>
          <w:sz w:val="16"/>
          <w:szCs w:val="16"/>
          <w:lang w:val="es-ES"/>
        </w:rPr>
        <w:t>.</w:t>
      </w:r>
      <w:r w:rsidRPr="00077D41">
        <w:rPr>
          <w:rFonts w:ascii="Verdana" w:hAnsi="Verdana"/>
          <w:i/>
          <w:sz w:val="16"/>
          <w:szCs w:val="16"/>
          <w:lang w:val="es-ES"/>
        </w:rPr>
        <w:t xml:space="preserve"> </w:t>
      </w:r>
      <w:r w:rsidRPr="00077D41">
        <w:rPr>
          <w:rFonts w:ascii="Verdana" w:hAnsi="Verdana"/>
          <w:sz w:val="16"/>
          <w:szCs w:val="16"/>
          <w:lang w:val="es-CR"/>
        </w:rPr>
        <w:t xml:space="preserve">Medidas Provisionales respecto de Honduras. Resolución de la Corte </w:t>
      </w:r>
      <w:r w:rsidR="00A15215">
        <w:rPr>
          <w:rFonts w:ascii="Verdana" w:hAnsi="Verdana"/>
          <w:sz w:val="16"/>
          <w:szCs w:val="16"/>
          <w:lang w:val="es-CR"/>
        </w:rPr>
        <w:t xml:space="preserve">Interamericana de Derechos Humanos </w:t>
      </w:r>
      <w:r w:rsidRPr="00077D41">
        <w:rPr>
          <w:rFonts w:ascii="Verdana" w:hAnsi="Verdana"/>
          <w:sz w:val="16"/>
          <w:szCs w:val="16"/>
          <w:lang w:val="es-CR"/>
        </w:rPr>
        <w:t xml:space="preserve">de 15 de enero de 1988, </w:t>
      </w:r>
      <w:r w:rsidR="00A15215">
        <w:rPr>
          <w:rFonts w:ascii="Verdana" w:hAnsi="Verdana"/>
          <w:sz w:val="16"/>
          <w:szCs w:val="16"/>
          <w:lang w:val="es-ES"/>
        </w:rPr>
        <w:t>C</w:t>
      </w:r>
      <w:r w:rsidRPr="00077D41">
        <w:rPr>
          <w:rFonts w:ascii="Verdana" w:hAnsi="Verdana"/>
          <w:sz w:val="16"/>
          <w:szCs w:val="16"/>
          <w:lang w:val="es-ES"/>
        </w:rPr>
        <w:t xml:space="preserve">onsiderando tercero, y </w:t>
      </w:r>
      <w:r w:rsidRPr="00077D41">
        <w:rPr>
          <w:rFonts w:ascii="Verdana" w:hAnsi="Verdana" w:cs="Times-Roman"/>
          <w:i/>
          <w:sz w:val="16"/>
          <w:szCs w:val="16"/>
          <w:lang w:val="es-ES"/>
        </w:rPr>
        <w:t xml:space="preserve">Asunto Guerrero </w:t>
      </w:r>
      <w:proofErr w:type="spellStart"/>
      <w:r w:rsidRPr="00077D41">
        <w:rPr>
          <w:rFonts w:ascii="Verdana" w:hAnsi="Verdana" w:cs="Times-Roman"/>
          <w:i/>
          <w:sz w:val="16"/>
          <w:szCs w:val="16"/>
          <w:lang w:val="es-ES"/>
        </w:rPr>
        <w:t>Galluci</w:t>
      </w:r>
      <w:proofErr w:type="spellEnd"/>
      <w:r w:rsidRPr="00077D41">
        <w:rPr>
          <w:rFonts w:ascii="Verdana" w:hAnsi="Verdana" w:cs="Times-Roman"/>
          <w:i/>
          <w:sz w:val="16"/>
          <w:szCs w:val="16"/>
          <w:lang w:val="es-ES"/>
        </w:rPr>
        <w:t>.</w:t>
      </w:r>
      <w:r w:rsidRPr="00077D41">
        <w:rPr>
          <w:rFonts w:ascii="Verdana" w:hAnsi="Verdana" w:cs="Times-Roman"/>
          <w:sz w:val="16"/>
          <w:szCs w:val="16"/>
          <w:lang w:val="es-ES"/>
        </w:rPr>
        <w:t xml:space="preserve"> Medidas Provisionales respecto Venezuela. Resolución de la Corte </w:t>
      </w:r>
      <w:r w:rsidR="00A15215">
        <w:rPr>
          <w:rFonts w:ascii="Verdana" w:hAnsi="Verdana" w:cs="Times-Roman"/>
          <w:sz w:val="16"/>
          <w:szCs w:val="16"/>
          <w:lang w:val="es-ES"/>
        </w:rPr>
        <w:t xml:space="preserve">Interamericana de Derechos Humanos </w:t>
      </w:r>
      <w:r w:rsidRPr="00077D41">
        <w:rPr>
          <w:rFonts w:ascii="Verdana" w:hAnsi="Verdana" w:cs="Times-Roman"/>
          <w:sz w:val="16"/>
          <w:szCs w:val="16"/>
          <w:lang w:val="es-ES"/>
        </w:rPr>
        <w:t xml:space="preserve">de 21 de noviembre de 2011, </w:t>
      </w:r>
      <w:r w:rsidR="00A15215">
        <w:rPr>
          <w:rFonts w:ascii="Verdana" w:hAnsi="Verdana" w:cs="Times-Roman"/>
          <w:sz w:val="16"/>
          <w:szCs w:val="16"/>
          <w:lang w:val="es-ES"/>
        </w:rPr>
        <w:t>C</w:t>
      </w:r>
      <w:r w:rsidRPr="00077D41">
        <w:rPr>
          <w:rFonts w:ascii="Verdana" w:hAnsi="Verdana" w:cs="Times-Roman"/>
          <w:sz w:val="16"/>
          <w:szCs w:val="16"/>
          <w:lang w:val="es-ES"/>
        </w:rPr>
        <w:t>onsiderando vigésimo octavo.</w:t>
      </w:r>
    </w:p>
  </w:footnote>
  <w:footnote w:id="21">
    <w:p w:rsidR="00134787" w:rsidRPr="00077D41" w:rsidRDefault="00134787" w:rsidP="00B27064">
      <w:pPr>
        <w:pStyle w:val="FootnoteText"/>
        <w:spacing w:after="60"/>
        <w:jc w:val="both"/>
        <w:rPr>
          <w:rFonts w:ascii="Verdana" w:hAnsi="Verdana"/>
          <w:szCs w:val="16"/>
        </w:rPr>
      </w:pPr>
      <w:r w:rsidRPr="00077D41">
        <w:rPr>
          <w:rStyle w:val="FootnoteReference"/>
          <w:szCs w:val="16"/>
        </w:rPr>
        <w:footnoteRef/>
      </w:r>
      <w:r w:rsidRPr="00077D41">
        <w:rPr>
          <w:rFonts w:ascii="Verdana" w:hAnsi="Verdana"/>
          <w:sz w:val="16"/>
          <w:szCs w:val="16"/>
        </w:rPr>
        <w:t xml:space="preserve"> </w:t>
      </w:r>
      <w:r w:rsidRPr="00077D41">
        <w:rPr>
          <w:rFonts w:ascii="Verdana" w:hAnsi="Verdana"/>
          <w:sz w:val="16"/>
          <w:szCs w:val="16"/>
        </w:rPr>
        <w:tab/>
      </w:r>
      <w:r w:rsidR="00A15215">
        <w:rPr>
          <w:rFonts w:ascii="Verdana" w:hAnsi="Verdana"/>
          <w:sz w:val="16"/>
          <w:szCs w:val="16"/>
        </w:rPr>
        <w:t>Asamblea General de las Naciones Unidas</w:t>
      </w:r>
      <w:r w:rsidRPr="00077D41">
        <w:rPr>
          <w:rFonts w:ascii="Verdana" w:hAnsi="Verdana"/>
          <w:sz w:val="16"/>
          <w:szCs w:val="16"/>
        </w:rPr>
        <w:t xml:space="preserve">, </w:t>
      </w:r>
      <w:r w:rsidR="00A15215">
        <w:rPr>
          <w:rFonts w:ascii="Verdana" w:hAnsi="Verdana"/>
          <w:sz w:val="16"/>
          <w:szCs w:val="16"/>
        </w:rPr>
        <w:t>Declaración política sobre el VIH y el SIDA: intensificación de nuestro esfuerzo para eliminar el VIH y el SIDA, A/RES/65/277 de 10 de junio de 2011</w:t>
      </w:r>
      <w:r w:rsidRPr="00077D41">
        <w:rPr>
          <w:rFonts w:ascii="Verdana" w:hAnsi="Verdana"/>
          <w:sz w:val="16"/>
          <w:szCs w:val="16"/>
        </w:rPr>
        <w:t>, párr. 43.</w:t>
      </w:r>
    </w:p>
  </w:footnote>
  <w:footnote w:id="22">
    <w:p w:rsidR="00077D41" w:rsidRPr="00627DE1" w:rsidRDefault="00077D41" w:rsidP="00B27064">
      <w:pPr>
        <w:tabs>
          <w:tab w:val="right" w:leader="dot" w:pos="8222"/>
        </w:tabs>
        <w:spacing w:after="60"/>
        <w:jc w:val="both"/>
        <w:rPr>
          <w:sz w:val="16"/>
          <w:szCs w:val="16"/>
          <w:lang w:val="es-CO"/>
        </w:rPr>
      </w:pPr>
      <w:r w:rsidRPr="00077D41">
        <w:rPr>
          <w:rStyle w:val="FootnoteReference"/>
          <w:szCs w:val="16"/>
        </w:rPr>
        <w:footnoteRef/>
      </w:r>
      <w:r w:rsidRPr="00077D41">
        <w:rPr>
          <w:rFonts w:ascii="Verdana" w:hAnsi="Verdana"/>
          <w:sz w:val="16"/>
          <w:szCs w:val="16"/>
        </w:rPr>
        <w:t xml:space="preserve">          </w:t>
      </w:r>
      <w:r w:rsidR="00A15215">
        <w:rPr>
          <w:rFonts w:ascii="Verdana" w:hAnsi="Verdana"/>
          <w:i/>
          <w:sz w:val="16"/>
          <w:szCs w:val="16"/>
        </w:rPr>
        <w:t xml:space="preserve">Cfr. </w:t>
      </w:r>
      <w:r w:rsidR="006F5180">
        <w:rPr>
          <w:rFonts w:ascii="Verdana" w:hAnsi="Verdana"/>
          <w:sz w:val="16"/>
          <w:szCs w:val="16"/>
        </w:rPr>
        <w:t xml:space="preserve">Comité para la Eliminación de la Discriminación contra la Mujer (Comité CEDAW). </w:t>
      </w:r>
      <w:r w:rsidR="00A15215">
        <w:rPr>
          <w:rFonts w:ascii="Verdana" w:hAnsi="Verdana"/>
          <w:i/>
          <w:sz w:val="16"/>
          <w:szCs w:val="16"/>
        </w:rPr>
        <w:t xml:space="preserve">Caso </w:t>
      </w:r>
      <w:r w:rsidRPr="00077D41">
        <w:rPr>
          <w:rFonts w:ascii="Verdana" w:hAnsi="Verdana"/>
          <w:sz w:val="16"/>
          <w:szCs w:val="16"/>
        </w:rPr>
        <w:tab/>
      </w:r>
      <w:proofErr w:type="spellStart"/>
      <w:r w:rsidRPr="00074DBC">
        <w:rPr>
          <w:rFonts w:ascii="Verdana" w:hAnsi="Verdana"/>
          <w:i/>
          <w:sz w:val="16"/>
          <w:szCs w:val="16"/>
          <w:lang w:val="es-CL"/>
        </w:rPr>
        <w:t>Alyne</w:t>
      </w:r>
      <w:proofErr w:type="spellEnd"/>
      <w:r w:rsidRPr="00074DBC">
        <w:rPr>
          <w:rFonts w:ascii="Verdana" w:hAnsi="Verdana"/>
          <w:i/>
          <w:sz w:val="16"/>
          <w:szCs w:val="16"/>
          <w:lang w:val="es-CL"/>
        </w:rPr>
        <w:t xml:space="preserve"> da Silva Pimentel </w:t>
      </w:r>
      <w:r w:rsidR="006F5180">
        <w:rPr>
          <w:rFonts w:ascii="Verdana" w:hAnsi="Verdana"/>
          <w:i/>
          <w:sz w:val="16"/>
          <w:szCs w:val="16"/>
          <w:lang w:val="es-CL"/>
        </w:rPr>
        <w:t>Vs.</w:t>
      </w:r>
      <w:r w:rsidRPr="00074DBC">
        <w:rPr>
          <w:rFonts w:ascii="Verdana" w:hAnsi="Verdana"/>
          <w:i/>
          <w:sz w:val="16"/>
          <w:szCs w:val="16"/>
          <w:lang w:val="es-CL"/>
        </w:rPr>
        <w:t xml:space="preserve"> Brasil</w:t>
      </w:r>
      <w:r w:rsidR="006F5180">
        <w:rPr>
          <w:rFonts w:ascii="Verdana" w:hAnsi="Verdana"/>
          <w:i/>
          <w:sz w:val="16"/>
          <w:szCs w:val="16"/>
          <w:lang w:val="es-CL"/>
        </w:rPr>
        <w:t>,</w:t>
      </w:r>
      <w:r w:rsidRPr="00077D41">
        <w:rPr>
          <w:rFonts w:ascii="Verdana" w:hAnsi="Verdana"/>
          <w:sz w:val="16"/>
          <w:szCs w:val="16"/>
          <w:lang w:val="es-CL"/>
        </w:rPr>
        <w:t xml:space="preserve"> </w:t>
      </w:r>
      <w:r w:rsidR="006F5180">
        <w:rPr>
          <w:rFonts w:ascii="Verdana" w:hAnsi="Verdana"/>
          <w:sz w:val="16"/>
          <w:szCs w:val="16"/>
          <w:lang w:val="es-CL"/>
        </w:rPr>
        <w:t>CEDAW/C/49/D/17/2008 de 27 de septiembre de 2011</w:t>
      </w:r>
      <w:r w:rsidRPr="00077D41">
        <w:rPr>
          <w:rFonts w:ascii="Verdana" w:hAnsi="Verdana"/>
          <w:sz w:val="16"/>
          <w:szCs w:val="16"/>
          <w:lang w:val="es-C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AF" w:rsidRDefault="00B068AF" w:rsidP="006660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8AF" w:rsidRDefault="00B06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AF" w:rsidRPr="00A0692D" w:rsidRDefault="00B068AF" w:rsidP="00666028">
    <w:pPr>
      <w:pStyle w:val="Header"/>
      <w:framePr w:wrap="around" w:vAnchor="text" w:hAnchor="margin" w:xAlign="center" w:y="1"/>
      <w:rPr>
        <w:rStyle w:val="PageNumber"/>
        <w:rFonts w:ascii="Verdana" w:hAnsi="Verdana"/>
        <w:sz w:val="20"/>
        <w:szCs w:val="20"/>
      </w:rPr>
    </w:pPr>
    <w:r w:rsidRPr="00A0692D">
      <w:rPr>
        <w:rStyle w:val="PageNumber"/>
        <w:rFonts w:ascii="Verdana" w:hAnsi="Verdana"/>
        <w:sz w:val="20"/>
        <w:szCs w:val="20"/>
      </w:rPr>
      <w:fldChar w:fldCharType="begin"/>
    </w:r>
    <w:r w:rsidRPr="00A0692D">
      <w:rPr>
        <w:rStyle w:val="PageNumber"/>
        <w:rFonts w:ascii="Verdana" w:hAnsi="Verdana"/>
        <w:sz w:val="20"/>
        <w:szCs w:val="20"/>
      </w:rPr>
      <w:instrText xml:space="preserve">PAGE  </w:instrText>
    </w:r>
    <w:r w:rsidRPr="00A0692D">
      <w:rPr>
        <w:rStyle w:val="PageNumber"/>
        <w:rFonts w:ascii="Verdana" w:hAnsi="Verdana"/>
        <w:sz w:val="20"/>
        <w:szCs w:val="20"/>
      </w:rPr>
      <w:fldChar w:fldCharType="separate"/>
    </w:r>
    <w:r w:rsidR="00713366">
      <w:rPr>
        <w:rStyle w:val="PageNumber"/>
        <w:rFonts w:ascii="Verdana" w:hAnsi="Verdana"/>
        <w:noProof/>
        <w:sz w:val="20"/>
        <w:szCs w:val="20"/>
      </w:rPr>
      <w:t>2</w:t>
    </w:r>
    <w:r w:rsidRPr="00A0692D">
      <w:rPr>
        <w:rStyle w:val="PageNumber"/>
        <w:rFonts w:ascii="Verdana" w:hAnsi="Verdana"/>
        <w:sz w:val="20"/>
        <w:szCs w:val="20"/>
      </w:rPr>
      <w:fldChar w:fldCharType="end"/>
    </w:r>
  </w:p>
  <w:p w:rsidR="00B068AF" w:rsidRDefault="00B06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C84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03A39"/>
    <w:multiLevelType w:val="hybridMultilevel"/>
    <w:tmpl w:val="60503ECE"/>
    <w:name w:val="WW8Num23"/>
    <w:lvl w:ilvl="0" w:tplc="3D80B7C8">
      <w:start w:val="6"/>
      <w:numFmt w:val="decimal"/>
      <w:lvlText w:val="%1."/>
      <w:lvlJc w:val="left"/>
      <w:pPr>
        <w:tabs>
          <w:tab w:val="num" w:pos="567"/>
        </w:tabs>
        <w:ind w:left="0" w:firstLine="0"/>
      </w:pPr>
      <w:rPr>
        <w:rFonts w:ascii="Verdana" w:hAnsi="Verdana"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32D65"/>
    <w:multiLevelType w:val="hybridMultilevel"/>
    <w:tmpl w:val="06AA0D16"/>
    <w:lvl w:ilvl="0" w:tplc="140A0017">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438588F"/>
    <w:multiLevelType w:val="hybridMultilevel"/>
    <w:tmpl w:val="82380D38"/>
    <w:lvl w:ilvl="0" w:tplc="047688C6">
      <w:start w:val="1"/>
      <w:numFmt w:val="lowerRoman"/>
      <w:lvlText w:val="(%1)"/>
      <w:lvlJc w:val="left"/>
      <w:pPr>
        <w:ind w:left="1080" w:hanging="720"/>
      </w:pPr>
      <w:rPr>
        <w:rFonts w:hint="default"/>
      </w:rPr>
    </w:lvl>
    <w:lvl w:ilvl="1" w:tplc="D59093BE">
      <w:start w:val="1"/>
      <w:numFmt w:val="lowerLetter"/>
      <w:lvlText w:val="%2)"/>
      <w:lvlJc w:val="left"/>
      <w:pPr>
        <w:ind w:left="1440" w:hanging="360"/>
      </w:pPr>
      <w:rPr>
        <w:rFonts w:ascii="Verdana" w:eastAsia="MS Mincho" w:hAnsi="Verdana" w:cs="Times New Roman" w:hint="default"/>
      </w:rPr>
    </w:lvl>
    <w:lvl w:ilvl="2" w:tplc="F6048BCA">
      <w:start w:val="1"/>
      <w:numFmt w:val="lowerLetter"/>
      <w:lvlText w:val="%3)"/>
      <w:lvlJc w:val="right"/>
      <w:pPr>
        <w:ind w:left="2160" w:hanging="180"/>
      </w:pPr>
      <w:rPr>
        <w:rFonts w:ascii="Verdana" w:eastAsia="MS Mincho" w:hAnsi="Verdana" w:cs="Times New Roman"/>
      </w:rPr>
    </w:lvl>
    <w:lvl w:ilvl="3" w:tplc="D4321758">
      <w:start w:val="2"/>
      <w:numFmt w:val="lowerRoman"/>
      <w:lvlText w:val="%4)"/>
      <w:lvlJc w:val="left"/>
      <w:pPr>
        <w:ind w:left="3240" w:hanging="72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115D23"/>
    <w:multiLevelType w:val="hybridMultilevel"/>
    <w:tmpl w:val="A3CE995E"/>
    <w:name w:val="WW8Num232"/>
    <w:lvl w:ilvl="0" w:tplc="81FE6996">
      <w:start w:val="27"/>
      <w:numFmt w:val="decimal"/>
      <w:lvlText w:val="%1."/>
      <w:lvlJc w:val="left"/>
      <w:pPr>
        <w:tabs>
          <w:tab w:val="num" w:pos="567"/>
        </w:tabs>
        <w:ind w:left="0" w:firstLine="0"/>
      </w:pPr>
      <w:rPr>
        <w:rFonts w:ascii="Verdana" w:hAnsi="Verdana"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7700F"/>
    <w:multiLevelType w:val="hybridMultilevel"/>
    <w:tmpl w:val="C1DE0334"/>
    <w:lvl w:ilvl="0" w:tplc="D83CF144">
      <w:start w:val="1"/>
      <w:numFmt w:val="bullet"/>
      <w:lvlText w:val=""/>
      <w:lvlJc w:val="left"/>
      <w:pPr>
        <w:tabs>
          <w:tab w:val="num" w:pos="720"/>
        </w:tabs>
        <w:ind w:left="720" w:hanging="360"/>
      </w:pPr>
      <w:rPr>
        <w:rFonts w:ascii="Symbol" w:hAnsi="Symbol" w:hint="default"/>
        <w:lang w:val="es-ES"/>
      </w:rPr>
    </w:lvl>
    <w:lvl w:ilvl="1" w:tplc="0C0A0001">
      <w:start w:val="1"/>
      <w:numFmt w:val="bullet"/>
      <w:lvlText w:val=""/>
      <w:lvlJc w:val="left"/>
      <w:pPr>
        <w:tabs>
          <w:tab w:val="num" w:pos="1440"/>
        </w:tabs>
        <w:ind w:left="1440" w:hanging="360"/>
      </w:pPr>
      <w:rPr>
        <w:rFonts w:ascii="Symbol" w:hAnsi="Symbol" w:hint="default"/>
      </w:rPr>
    </w:lvl>
    <w:lvl w:ilvl="2" w:tplc="B3DEC98C">
      <w:start w:val="1"/>
      <w:numFmt w:val="decimal"/>
      <w:lvlText w:val="%3."/>
      <w:lvlJc w:val="left"/>
      <w:pPr>
        <w:ind w:left="2700" w:hanging="720"/>
      </w:pPr>
      <w:rPr>
        <w:rFonts w:hint="default"/>
        <w:lang w:val="es-ES_tradnl"/>
      </w:rPr>
    </w:lvl>
    <w:lvl w:ilvl="3" w:tplc="951E301E">
      <w:start w:val="2"/>
      <w:numFmt w:val="decimal"/>
      <w:lvlText w:val="%4"/>
      <w:lvlJc w:val="left"/>
      <w:pPr>
        <w:ind w:left="2880" w:hanging="360"/>
      </w:pPr>
      <w:rPr>
        <w:rFonts w:hint="default"/>
      </w:rPr>
    </w:lvl>
    <w:lvl w:ilvl="4" w:tplc="3F728AB4">
      <w:start w:val="1"/>
      <w:numFmt w:val="upperLetter"/>
      <w:lvlText w:val="%5."/>
      <w:lvlJc w:val="left"/>
      <w:pPr>
        <w:ind w:left="3600" w:hanging="360"/>
      </w:pPr>
      <w:rPr>
        <w:rFonts w:hint="default"/>
      </w:rPr>
    </w:lvl>
    <w:lvl w:ilvl="5" w:tplc="B686B74C">
      <w:start w:val="1"/>
      <w:numFmt w:val="lowerRoman"/>
      <w:lvlText w:val="%6)"/>
      <w:lvlJc w:val="left"/>
      <w:pPr>
        <w:ind w:left="4860" w:hanging="720"/>
      </w:pPr>
      <w:rPr>
        <w:rFonts w:ascii="Verdana" w:eastAsia="MS Mincho" w:hAnsi="Verdana" w:cs="Times New Roman"/>
      </w:rPr>
    </w:lvl>
    <w:lvl w:ilvl="6" w:tplc="0C0A000F">
      <w:start w:val="1"/>
      <w:numFmt w:val="decimal"/>
      <w:lvlText w:val="%7."/>
      <w:lvlJc w:val="left"/>
      <w:pPr>
        <w:tabs>
          <w:tab w:val="num" w:pos="5040"/>
        </w:tabs>
        <w:ind w:left="5040" w:hanging="360"/>
      </w:pPr>
    </w:lvl>
    <w:lvl w:ilvl="7" w:tplc="2C24D614">
      <w:start w:val="1"/>
      <w:numFmt w:val="lowerLetter"/>
      <w:lvlText w:val="%8)"/>
      <w:lvlJc w:val="left"/>
      <w:pPr>
        <w:ind w:left="5760" w:hanging="360"/>
      </w:pPr>
      <w:rPr>
        <w:rFonts w:hint="default"/>
      </w:rPr>
    </w:lvl>
    <w:lvl w:ilvl="8" w:tplc="0C0A001B" w:tentative="1">
      <w:start w:val="1"/>
      <w:numFmt w:val="lowerRoman"/>
      <w:lvlText w:val="%9."/>
      <w:lvlJc w:val="right"/>
      <w:pPr>
        <w:tabs>
          <w:tab w:val="num" w:pos="6480"/>
        </w:tabs>
        <w:ind w:left="6480" w:hanging="180"/>
      </w:pPr>
    </w:lvl>
  </w:abstractNum>
  <w:abstractNum w:abstractNumId="6">
    <w:nsid w:val="2CEB784F"/>
    <w:multiLevelType w:val="hybridMultilevel"/>
    <w:tmpl w:val="BFCA5DCC"/>
    <w:lvl w:ilvl="0" w:tplc="300A0001">
      <w:start w:val="1"/>
      <w:numFmt w:val="bullet"/>
      <w:lvlText w:val=""/>
      <w:lvlJc w:val="left"/>
      <w:pPr>
        <w:ind w:left="360" w:hanging="360"/>
      </w:pPr>
      <w:rPr>
        <w:rFonts w:ascii="Symbol" w:hAnsi="Symbol" w:hint="default"/>
      </w:rPr>
    </w:lvl>
    <w:lvl w:ilvl="1" w:tplc="C814224C">
      <w:start w:val="1"/>
      <w:numFmt w:val="bullet"/>
      <w:lvlText w:val="-"/>
      <w:lvlJc w:val="left"/>
      <w:pPr>
        <w:ind w:left="1080" w:hanging="360"/>
      </w:pPr>
      <w:rPr>
        <w:rFonts w:ascii="Calibri" w:eastAsia="Calibri" w:hAnsi="Calibri"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CA4171D"/>
    <w:multiLevelType w:val="hybridMultilevel"/>
    <w:tmpl w:val="283AC4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574B239B"/>
    <w:multiLevelType w:val="hybridMultilevel"/>
    <w:tmpl w:val="4A36721A"/>
    <w:name w:val="WW8Num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74F4F"/>
    <w:multiLevelType w:val="hybridMultilevel"/>
    <w:tmpl w:val="8346AD3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61402C7C"/>
    <w:multiLevelType w:val="hybridMultilevel"/>
    <w:tmpl w:val="6D5017B8"/>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D8DAAB54">
      <w:start w:val="1"/>
      <w:numFmt w:val="lowerLetter"/>
      <w:lvlText w:val="%3)"/>
      <w:lvlJc w:val="left"/>
      <w:pPr>
        <w:tabs>
          <w:tab w:val="num" w:pos="2340"/>
        </w:tabs>
        <w:ind w:left="2340" w:hanging="360"/>
      </w:pPr>
      <w:rPr>
        <w:rFonts w:ascii="Verdana" w:eastAsia="MS Mincho" w:hAnsi="Verdana" w:cs="Times New Roman"/>
        <w:b w:val="0"/>
        <w:i w:val="0"/>
        <w:strike w:val="0"/>
        <w:sz w:val="16"/>
        <w:szCs w:val="16"/>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3DE7D56"/>
    <w:multiLevelType w:val="hybridMultilevel"/>
    <w:tmpl w:val="4822A64A"/>
    <w:name w:val="WW8Num233"/>
    <w:lvl w:ilvl="0" w:tplc="5762D1BC">
      <w:start w:val="23"/>
      <w:numFmt w:val="decimal"/>
      <w:lvlText w:val="%1."/>
      <w:lvlJc w:val="left"/>
      <w:pPr>
        <w:tabs>
          <w:tab w:val="num" w:pos="567"/>
        </w:tabs>
        <w:ind w:left="0" w:firstLine="0"/>
      </w:pPr>
      <w:rPr>
        <w:rFonts w:ascii="Verdana" w:hAnsi="Verdana"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C6130"/>
    <w:multiLevelType w:val="hybridMultilevel"/>
    <w:tmpl w:val="6478B4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7C4F27B2"/>
    <w:multiLevelType w:val="hybridMultilevel"/>
    <w:tmpl w:val="F02C91C2"/>
    <w:lvl w:ilvl="0" w:tplc="0E9E3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2"/>
  </w:num>
  <w:num w:numId="5">
    <w:abstractNumId w:val="6"/>
  </w:num>
  <w:num w:numId="6">
    <w:abstractNumId w:val="12"/>
  </w:num>
  <w:num w:numId="7">
    <w:abstractNumId w:val="9"/>
  </w:num>
  <w:num w:numId="8">
    <w:abstractNumId w:val="0"/>
  </w:num>
  <w:num w:numId="9">
    <w:abstractNumId w:val="7"/>
  </w:num>
  <w:num w:numId="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75"/>
    <w:rsid w:val="0000124D"/>
    <w:rsid w:val="000039CA"/>
    <w:rsid w:val="000070E9"/>
    <w:rsid w:val="000104AA"/>
    <w:rsid w:val="00010667"/>
    <w:rsid w:val="00010B1E"/>
    <w:rsid w:val="00011A49"/>
    <w:rsid w:val="00013D00"/>
    <w:rsid w:val="00013F99"/>
    <w:rsid w:val="00020351"/>
    <w:rsid w:val="00021AED"/>
    <w:rsid w:val="00023E74"/>
    <w:rsid w:val="000247D5"/>
    <w:rsid w:val="00024A98"/>
    <w:rsid w:val="000266F0"/>
    <w:rsid w:val="00030046"/>
    <w:rsid w:val="000306C2"/>
    <w:rsid w:val="0003460E"/>
    <w:rsid w:val="00040453"/>
    <w:rsid w:val="00046576"/>
    <w:rsid w:val="00046F78"/>
    <w:rsid w:val="0005022C"/>
    <w:rsid w:val="00051A27"/>
    <w:rsid w:val="00051C01"/>
    <w:rsid w:val="00053820"/>
    <w:rsid w:val="00054605"/>
    <w:rsid w:val="00055077"/>
    <w:rsid w:val="0006075B"/>
    <w:rsid w:val="0006118B"/>
    <w:rsid w:val="000630E8"/>
    <w:rsid w:val="000633CA"/>
    <w:rsid w:val="00063E66"/>
    <w:rsid w:val="00065B11"/>
    <w:rsid w:val="00065E8A"/>
    <w:rsid w:val="000713A8"/>
    <w:rsid w:val="00071551"/>
    <w:rsid w:val="0007277B"/>
    <w:rsid w:val="000728B9"/>
    <w:rsid w:val="00074571"/>
    <w:rsid w:val="000748C0"/>
    <w:rsid w:val="00074DBC"/>
    <w:rsid w:val="00077D41"/>
    <w:rsid w:val="0008021D"/>
    <w:rsid w:val="00080299"/>
    <w:rsid w:val="0008128E"/>
    <w:rsid w:val="00083CF0"/>
    <w:rsid w:val="0008422B"/>
    <w:rsid w:val="00084AFC"/>
    <w:rsid w:val="00085071"/>
    <w:rsid w:val="00093858"/>
    <w:rsid w:val="000943A2"/>
    <w:rsid w:val="00094704"/>
    <w:rsid w:val="00094938"/>
    <w:rsid w:val="000961C0"/>
    <w:rsid w:val="000A2633"/>
    <w:rsid w:val="000A2727"/>
    <w:rsid w:val="000A2B19"/>
    <w:rsid w:val="000A34A9"/>
    <w:rsid w:val="000A3912"/>
    <w:rsid w:val="000A4319"/>
    <w:rsid w:val="000A455B"/>
    <w:rsid w:val="000A598B"/>
    <w:rsid w:val="000A59AA"/>
    <w:rsid w:val="000A79A8"/>
    <w:rsid w:val="000B058A"/>
    <w:rsid w:val="000B0621"/>
    <w:rsid w:val="000B205F"/>
    <w:rsid w:val="000B22EE"/>
    <w:rsid w:val="000B341B"/>
    <w:rsid w:val="000B3C6F"/>
    <w:rsid w:val="000B40BF"/>
    <w:rsid w:val="000B665B"/>
    <w:rsid w:val="000C0C09"/>
    <w:rsid w:val="000C18BE"/>
    <w:rsid w:val="000C2989"/>
    <w:rsid w:val="000C3EEB"/>
    <w:rsid w:val="000C4B20"/>
    <w:rsid w:val="000C7720"/>
    <w:rsid w:val="000C7B75"/>
    <w:rsid w:val="000C7EBE"/>
    <w:rsid w:val="000D4913"/>
    <w:rsid w:val="000D746E"/>
    <w:rsid w:val="000E26F8"/>
    <w:rsid w:val="000E4471"/>
    <w:rsid w:val="000E50C7"/>
    <w:rsid w:val="000E7365"/>
    <w:rsid w:val="000E7FDF"/>
    <w:rsid w:val="000F0387"/>
    <w:rsid w:val="000F0CB1"/>
    <w:rsid w:val="000F0FF4"/>
    <w:rsid w:val="000F3065"/>
    <w:rsid w:val="000F5C5D"/>
    <w:rsid w:val="000F5F23"/>
    <w:rsid w:val="000F752C"/>
    <w:rsid w:val="00101D68"/>
    <w:rsid w:val="00101F7C"/>
    <w:rsid w:val="001043A7"/>
    <w:rsid w:val="001045B7"/>
    <w:rsid w:val="001112AB"/>
    <w:rsid w:val="00115855"/>
    <w:rsid w:val="00115D38"/>
    <w:rsid w:val="00117FD4"/>
    <w:rsid w:val="0012224F"/>
    <w:rsid w:val="001222C3"/>
    <w:rsid w:val="00122399"/>
    <w:rsid w:val="0012294C"/>
    <w:rsid w:val="00122C07"/>
    <w:rsid w:val="00122DCE"/>
    <w:rsid w:val="00122F0C"/>
    <w:rsid w:val="001244BE"/>
    <w:rsid w:val="00124E0B"/>
    <w:rsid w:val="0012525A"/>
    <w:rsid w:val="00126884"/>
    <w:rsid w:val="0013041C"/>
    <w:rsid w:val="00131479"/>
    <w:rsid w:val="00131D3B"/>
    <w:rsid w:val="001322B7"/>
    <w:rsid w:val="00132758"/>
    <w:rsid w:val="00133188"/>
    <w:rsid w:val="001340FA"/>
    <w:rsid w:val="00134787"/>
    <w:rsid w:val="001352A0"/>
    <w:rsid w:val="00135D3B"/>
    <w:rsid w:val="0014099A"/>
    <w:rsid w:val="00141B70"/>
    <w:rsid w:val="00142531"/>
    <w:rsid w:val="00142D58"/>
    <w:rsid w:val="001444E1"/>
    <w:rsid w:val="001448FB"/>
    <w:rsid w:val="00144C6C"/>
    <w:rsid w:val="00146066"/>
    <w:rsid w:val="001471F1"/>
    <w:rsid w:val="00147B69"/>
    <w:rsid w:val="00151277"/>
    <w:rsid w:val="00151E15"/>
    <w:rsid w:val="00153657"/>
    <w:rsid w:val="00153747"/>
    <w:rsid w:val="00155261"/>
    <w:rsid w:val="001557C0"/>
    <w:rsid w:val="00161810"/>
    <w:rsid w:val="00162662"/>
    <w:rsid w:val="00162D23"/>
    <w:rsid w:val="0016540C"/>
    <w:rsid w:val="00165B7B"/>
    <w:rsid w:val="00170A97"/>
    <w:rsid w:val="00170C81"/>
    <w:rsid w:val="001724D6"/>
    <w:rsid w:val="00172541"/>
    <w:rsid w:val="00172BA9"/>
    <w:rsid w:val="001739F3"/>
    <w:rsid w:val="0017435D"/>
    <w:rsid w:val="001743D6"/>
    <w:rsid w:val="00174750"/>
    <w:rsid w:val="00176BCA"/>
    <w:rsid w:val="001773AE"/>
    <w:rsid w:val="00177734"/>
    <w:rsid w:val="00180DF9"/>
    <w:rsid w:val="00183722"/>
    <w:rsid w:val="00185000"/>
    <w:rsid w:val="0018625F"/>
    <w:rsid w:val="0019276D"/>
    <w:rsid w:val="001970E3"/>
    <w:rsid w:val="00197874"/>
    <w:rsid w:val="001A1271"/>
    <w:rsid w:val="001A15D8"/>
    <w:rsid w:val="001A1E97"/>
    <w:rsid w:val="001A6A46"/>
    <w:rsid w:val="001B2613"/>
    <w:rsid w:val="001B286E"/>
    <w:rsid w:val="001B3E55"/>
    <w:rsid w:val="001B4FFD"/>
    <w:rsid w:val="001B5551"/>
    <w:rsid w:val="001B6239"/>
    <w:rsid w:val="001C2473"/>
    <w:rsid w:val="001C3BD2"/>
    <w:rsid w:val="001C4580"/>
    <w:rsid w:val="001C5B97"/>
    <w:rsid w:val="001C7958"/>
    <w:rsid w:val="001D0A33"/>
    <w:rsid w:val="001D11AB"/>
    <w:rsid w:val="001D2A88"/>
    <w:rsid w:val="001D48A2"/>
    <w:rsid w:val="001D4C0B"/>
    <w:rsid w:val="001D7990"/>
    <w:rsid w:val="001D7D43"/>
    <w:rsid w:val="001E29A9"/>
    <w:rsid w:val="001E3528"/>
    <w:rsid w:val="001E5DEF"/>
    <w:rsid w:val="001E679F"/>
    <w:rsid w:val="001E6825"/>
    <w:rsid w:val="001E6C46"/>
    <w:rsid w:val="001E6E59"/>
    <w:rsid w:val="001E724E"/>
    <w:rsid w:val="001F00FF"/>
    <w:rsid w:val="001F182F"/>
    <w:rsid w:val="001F1A15"/>
    <w:rsid w:val="001F33FD"/>
    <w:rsid w:val="001F410B"/>
    <w:rsid w:val="001F48CB"/>
    <w:rsid w:val="001F5D8F"/>
    <w:rsid w:val="001F7269"/>
    <w:rsid w:val="001F7F83"/>
    <w:rsid w:val="0020109E"/>
    <w:rsid w:val="002038B9"/>
    <w:rsid w:val="0020479B"/>
    <w:rsid w:val="002057C6"/>
    <w:rsid w:val="002076B4"/>
    <w:rsid w:val="0021078F"/>
    <w:rsid w:val="00211E32"/>
    <w:rsid w:val="00213D76"/>
    <w:rsid w:val="00215686"/>
    <w:rsid w:val="00215874"/>
    <w:rsid w:val="00216BB3"/>
    <w:rsid w:val="00216CD4"/>
    <w:rsid w:val="00217173"/>
    <w:rsid w:val="0022005F"/>
    <w:rsid w:val="00220096"/>
    <w:rsid w:val="002200CC"/>
    <w:rsid w:val="002203DF"/>
    <w:rsid w:val="00220EB7"/>
    <w:rsid w:val="00223430"/>
    <w:rsid w:val="00227224"/>
    <w:rsid w:val="00230828"/>
    <w:rsid w:val="00231F63"/>
    <w:rsid w:val="00232476"/>
    <w:rsid w:val="00233681"/>
    <w:rsid w:val="00235F8E"/>
    <w:rsid w:val="00236349"/>
    <w:rsid w:val="00237031"/>
    <w:rsid w:val="00237052"/>
    <w:rsid w:val="002377B1"/>
    <w:rsid w:val="002417A3"/>
    <w:rsid w:val="002433A6"/>
    <w:rsid w:val="00243A95"/>
    <w:rsid w:val="00243E08"/>
    <w:rsid w:val="00243E15"/>
    <w:rsid w:val="0024621B"/>
    <w:rsid w:val="002463EB"/>
    <w:rsid w:val="0024718C"/>
    <w:rsid w:val="00251193"/>
    <w:rsid w:val="00251652"/>
    <w:rsid w:val="0025467F"/>
    <w:rsid w:val="002556EA"/>
    <w:rsid w:val="00256326"/>
    <w:rsid w:val="00257658"/>
    <w:rsid w:val="002577C9"/>
    <w:rsid w:val="00260371"/>
    <w:rsid w:val="002611D1"/>
    <w:rsid w:val="002611F3"/>
    <w:rsid w:val="002612F7"/>
    <w:rsid w:val="0026146F"/>
    <w:rsid w:val="00261570"/>
    <w:rsid w:val="002615F1"/>
    <w:rsid w:val="002625FB"/>
    <w:rsid w:val="0026349B"/>
    <w:rsid w:val="0026423F"/>
    <w:rsid w:val="0026572E"/>
    <w:rsid w:val="00266ACF"/>
    <w:rsid w:val="00266EDB"/>
    <w:rsid w:val="0027231F"/>
    <w:rsid w:val="002743FD"/>
    <w:rsid w:val="0027594F"/>
    <w:rsid w:val="00281CF4"/>
    <w:rsid w:val="00281FEE"/>
    <w:rsid w:val="00282913"/>
    <w:rsid w:val="00283C5F"/>
    <w:rsid w:val="00284086"/>
    <w:rsid w:val="0028441C"/>
    <w:rsid w:val="00284D6B"/>
    <w:rsid w:val="00291046"/>
    <w:rsid w:val="00291865"/>
    <w:rsid w:val="002919FC"/>
    <w:rsid w:val="00291EB5"/>
    <w:rsid w:val="002969B0"/>
    <w:rsid w:val="00296C80"/>
    <w:rsid w:val="00297230"/>
    <w:rsid w:val="002A08AF"/>
    <w:rsid w:val="002A0ED6"/>
    <w:rsid w:val="002A32DF"/>
    <w:rsid w:val="002A3A6D"/>
    <w:rsid w:val="002A451A"/>
    <w:rsid w:val="002A7AE7"/>
    <w:rsid w:val="002A7DFB"/>
    <w:rsid w:val="002B025D"/>
    <w:rsid w:val="002B1038"/>
    <w:rsid w:val="002B3B45"/>
    <w:rsid w:val="002B3C22"/>
    <w:rsid w:val="002B470E"/>
    <w:rsid w:val="002B6071"/>
    <w:rsid w:val="002B69D1"/>
    <w:rsid w:val="002B720B"/>
    <w:rsid w:val="002C0166"/>
    <w:rsid w:val="002C0FB7"/>
    <w:rsid w:val="002C229C"/>
    <w:rsid w:val="002C28A8"/>
    <w:rsid w:val="002C2932"/>
    <w:rsid w:val="002C30AE"/>
    <w:rsid w:val="002C3805"/>
    <w:rsid w:val="002C39FE"/>
    <w:rsid w:val="002C43DF"/>
    <w:rsid w:val="002D4534"/>
    <w:rsid w:val="002D476A"/>
    <w:rsid w:val="002D4D63"/>
    <w:rsid w:val="002D51C2"/>
    <w:rsid w:val="002D6EC9"/>
    <w:rsid w:val="002E0F1D"/>
    <w:rsid w:val="002E1B85"/>
    <w:rsid w:val="002E2A3E"/>
    <w:rsid w:val="002E2CD1"/>
    <w:rsid w:val="002E2FDA"/>
    <w:rsid w:val="002E633E"/>
    <w:rsid w:val="002E66C6"/>
    <w:rsid w:val="002E6786"/>
    <w:rsid w:val="002E798B"/>
    <w:rsid w:val="002E7BCE"/>
    <w:rsid w:val="002F2798"/>
    <w:rsid w:val="002F581F"/>
    <w:rsid w:val="002F5900"/>
    <w:rsid w:val="002F5E9C"/>
    <w:rsid w:val="002F6B48"/>
    <w:rsid w:val="002F7459"/>
    <w:rsid w:val="002F7B9E"/>
    <w:rsid w:val="002F7E08"/>
    <w:rsid w:val="0030088B"/>
    <w:rsid w:val="00300FD9"/>
    <w:rsid w:val="00301171"/>
    <w:rsid w:val="003023A4"/>
    <w:rsid w:val="00303321"/>
    <w:rsid w:val="00303C83"/>
    <w:rsid w:val="003045F3"/>
    <w:rsid w:val="0030468A"/>
    <w:rsid w:val="00304ED7"/>
    <w:rsid w:val="0030591F"/>
    <w:rsid w:val="00305B92"/>
    <w:rsid w:val="00305FC3"/>
    <w:rsid w:val="00306284"/>
    <w:rsid w:val="003063DE"/>
    <w:rsid w:val="00306F66"/>
    <w:rsid w:val="00310331"/>
    <w:rsid w:val="003103BD"/>
    <w:rsid w:val="00312B04"/>
    <w:rsid w:val="00313B54"/>
    <w:rsid w:val="00314677"/>
    <w:rsid w:val="0031496A"/>
    <w:rsid w:val="00314B9A"/>
    <w:rsid w:val="003150E0"/>
    <w:rsid w:val="00316013"/>
    <w:rsid w:val="00317106"/>
    <w:rsid w:val="003177D1"/>
    <w:rsid w:val="00321D24"/>
    <w:rsid w:val="00321DBE"/>
    <w:rsid w:val="00321FA6"/>
    <w:rsid w:val="003220F9"/>
    <w:rsid w:val="003228DC"/>
    <w:rsid w:val="00324611"/>
    <w:rsid w:val="00324A2C"/>
    <w:rsid w:val="003270CB"/>
    <w:rsid w:val="00327454"/>
    <w:rsid w:val="003302B3"/>
    <w:rsid w:val="00332F89"/>
    <w:rsid w:val="003338F8"/>
    <w:rsid w:val="00334E7A"/>
    <w:rsid w:val="00335422"/>
    <w:rsid w:val="00335937"/>
    <w:rsid w:val="00335C7E"/>
    <w:rsid w:val="003373EF"/>
    <w:rsid w:val="00337B09"/>
    <w:rsid w:val="003425AE"/>
    <w:rsid w:val="00343698"/>
    <w:rsid w:val="003442B3"/>
    <w:rsid w:val="0034506F"/>
    <w:rsid w:val="00346D62"/>
    <w:rsid w:val="003472A0"/>
    <w:rsid w:val="003474FB"/>
    <w:rsid w:val="00347D7D"/>
    <w:rsid w:val="00347E89"/>
    <w:rsid w:val="00351D58"/>
    <w:rsid w:val="00353221"/>
    <w:rsid w:val="00353398"/>
    <w:rsid w:val="003548D8"/>
    <w:rsid w:val="00354CAB"/>
    <w:rsid w:val="00355F72"/>
    <w:rsid w:val="003571D7"/>
    <w:rsid w:val="00357477"/>
    <w:rsid w:val="003609A9"/>
    <w:rsid w:val="00362DDD"/>
    <w:rsid w:val="00363D9F"/>
    <w:rsid w:val="00364BCE"/>
    <w:rsid w:val="00366A20"/>
    <w:rsid w:val="0037094B"/>
    <w:rsid w:val="00371807"/>
    <w:rsid w:val="00375982"/>
    <w:rsid w:val="00375B48"/>
    <w:rsid w:val="00377209"/>
    <w:rsid w:val="00380941"/>
    <w:rsid w:val="0038155E"/>
    <w:rsid w:val="003820AF"/>
    <w:rsid w:val="0038223E"/>
    <w:rsid w:val="00384CF2"/>
    <w:rsid w:val="00384F96"/>
    <w:rsid w:val="00385157"/>
    <w:rsid w:val="00386759"/>
    <w:rsid w:val="003907F6"/>
    <w:rsid w:val="00390BD8"/>
    <w:rsid w:val="00390DB5"/>
    <w:rsid w:val="0039334B"/>
    <w:rsid w:val="003951B2"/>
    <w:rsid w:val="003951F7"/>
    <w:rsid w:val="003953F7"/>
    <w:rsid w:val="0039550B"/>
    <w:rsid w:val="003966B1"/>
    <w:rsid w:val="00396F7D"/>
    <w:rsid w:val="00397BA5"/>
    <w:rsid w:val="003A1117"/>
    <w:rsid w:val="003A391E"/>
    <w:rsid w:val="003A3D61"/>
    <w:rsid w:val="003A4C7F"/>
    <w:rsid w:val="003A530B"/>
    <w:rsid w:val="003A640D"/>
    <w:rsid w:val="003A74CF"/>
    <w:rsid w:val="003B0AFA"/>
    <w:rsid w:val="003B0C07"/>
    <w:rsid w:val="003B0C1D"/>
    <w:rsid w:val="003B1B55"/>
    <w:rsid w:val="003B3487"/>
    <w:rsid w:val="003B6060"/>
    <w:rsid w:val="003C0232"/>
    <w:rsid w:val="003C2538"/>
    <w:rsid w:val="003C2E9C"/>
    <w:rsid w:val="003C3FB6"/>
    <w:rsid w:val="003C4AA7"/>
    <w:rsid w:val="003C579D"/>
    <w:rsid w:val="003D0778"/>
    <w:rsid w:val="003D0A58"/>
    <w:rsid w:val="003D2152"/>
    <w:rsid w:val="003D41E1"/>
    <w:rsid w:val="003D4CB3"/>
    <w:rsid w:val="003D5479"/>
    <w:rsid w:val="003D559C"/>
    <w:rsid w:val="003D5BD2"/>
    <w:rsid w:val="003D5CB3"/>
    <w:rsid w:val="003D6BC1"/>
    <w:rsid w:val="003E0E6F"/>
    <w:rsid w:val="003E1FC9"/>
    <w:rsid w:val="003E215C"/>
    <w:rsid w:val="003E2193"/>
    <w:rsid w:val="003E2532"/>
    <w:rsid w:val="003E446E"/>
    <w:rsid w:val="003E44C7"/>
    <w:rsid w:val="003E5EDD"/>
    <w:rsid w:val="003E60C2"/>
    <w:rsid w:val="003E63CD"/>
    <w:rsid w:val="003E78B3"/>
    <w:rsid w:val="003F0D2E"/>
    <w:rsid w:val="003F1BE0"/>
    <w:rsid w:val="003F1D46"/>
    <w:rsid w:val="003F2868"/>
    <w:rsid w:val="003F2BAD"/>
    <w:rsid w:val="003F3501"/>
    <w:rsid w:val="003F628E"/>
    <w:rsid w:val="003F6C9A"/>
    <w:rsid w:val="00401E1B"/>
    <w:rsid w:val="00406052"/>
    <w:rsid w:val="00411BDF"/>
    <w:rsid w:val="00412316"/>
    <w:rsid w:val="00414236"/>
    <w:rsid w:val="00414868"/>
    <w:rsid w:val="00414EC5"/>
    <w:rsid w:val="00415A19"/>
    <w:rsid w:val="00415CA1"/>
    <w:rsid w:val="00421E07"/>
    <w:rsid w:val="00423101"/>
    <w:rsid w:val="00424519"/>
    <w:rsid w:val="00424B96"/>
    <w:rsid w:val="00425196"/>
    <w:rsid w:val="00433217"/>
    <w:rsid w:val="004339B2"/>
    <w:rsid w:val="00433C2B"/>
    <w:rsid w:val="00433FCA"/>
    <w:rsid w:val="00435D62"/>
    <w:rsid w:val="004407AC"/>
    <w:rsid w:val="00442EF9"/>
    <w:rsid w:val="0044374B"/>
    <w:rsid w:val="00444CDB"/>
    <w:rsid w:val="004468BD"/>
    <w:rsid w:val="0044692A"/>
    <w:rsid w:val="004477EC"/>
    <w:rsid w:val="00452EDE"/>
    <w:rsid w:val="00453075"/>
    <w:rsid w:val="004530F9"/>
    <w:rsid w:val="00453C59"/>
    <w:rsid w:val="0045412A"/>
    <w:rsid w:val="00454886"/>
    <w:rsid w:val="00454B5C"/>
    <w:rsid w:val="00456604"/>
    <w:rsid w:val="00457717"/>
    <w:rsid w:val="0046052B"/>
    <w:rsid w:val="00460AC2"/>
    <w:rsid w:val="00461380"/>
    <w:rsid w:val="004639B2"/>
    <w:rsid w:val="004643B8"/>
    <w:rsid w:val="0046477B"/>
    <w:rsid w:val="00467072"/>
    <w:rsid w:val="0046739D"/>
    <w:rsid w:val="00467D53"/>
    <w:rsid w:val="00470F89"/>
    <w:rsid w:val="00472EA3"/>
    <w:rsid w:val="0047300D"/>
    <w:rsid w:val="0047331A"/>
    <w:rsid w:val="00473F05"/>
    <w:rsid w:val="00475CF2"/>
    <w:rsid w:val="004768DA"/>
    <w:rsid w:val="00476B3E"/>
    <w:rsid w:val="00477905"/>
    <w:rsid w:val="004800A5"/>
    <w:rsid w:val="00480E7E"/>
    <w:rsid w:val="00482C16"/>
    <w:rsid w:val="0048348F"/>
    <w:rsid w:val="00483BD2"/>
    <w:rsid w:val="00487301"/>
    <w:rsid w:val="00497311"/>
    <w:rsid w:val="004A3BF1"/>
    <w:rsid w:val="004A4124"/>
    <w:rsid w:val="004A575C"/>
    <w:rsid w:val="004A6A38"/>
    <w:rsid w:val="004A6CAA"/>
    <w:rsid w:val="004C08CF"/>
    <w:rsid w:val="004C313F"/>
    <w:rsid w:val="004D0A39"/>
    <w:rsid w:val="004D1CF1"/>
    <w:rsid w:val="004D1D87"/>
    <w:rsid w:val="004D2267"/>
    <w:rsid w:val="004D2F64"/>
    <w:rsid w:val="004D3528"/>
    <w:rsid w:val="004D38CF"/>
    <w:rsid w:val="004E01B2"/>
    <w:rsid w:val="004E0242"/>
    <w:rsid w:val="004E12B1"/>
    <w:rsid w:val="004E306B"/>
    <w:rsid w:val="004E6396"/>
    <w:rsid w:val="004E6CAC"/>
    <w:rsid w:val="004E7ECC"/>
    <w:rsid w:val="004F0E7B"/>
    <w:rsid w:val="004F1F3C"/>
    <w:rsid w:val="004F2738"/>
    <w:rsid w:val="004F4BDF"/>
    <w:rsid w:val="004F554F"/>
    <w:rsid w:val="004F575C"/>
    <w:rsid w:val="004F6792"/>
    <w:rsid w:val="004F696A"/>
    <w:rsid w:val="004F7CA3"/>
    <w:rsid w:val="005003E7"/>
    <w:rsid w:val="005017A4"/>
    <w:rsid w:val="005022EE"/>
    <w:rsid w:val="0050273F"/>
    <w:rsid w:val="00502D9E"/>
    <w:rsid w:val="00503950"/>
    <w:rsid w:val="00504985"/>
    <w:rsid w:val="005063D6"/>
    <w:rsid w:val="00507352"/>
    <w:rsid w:val="00507F3F"/>
    <w:rsid w:val="00510262"/>
    <w:rsid w:val="00510C86"/>
    <w:rsid w:val="00510F51"/>
    <w:rsid w:val="00511D52"/>
    <w:rsid w:val="0051253F"/>
    <w:rsid w:val="00514112"/>
    <w:rsid w:val="00514DD1"/>
    <w:rsid w:val="00514EBB"/>
    <w:rsid w:val="0051787D"/>
    <w:rsid w:val="00520175"/>
    <w:rsid w:val="005234D6"/>
    <w:rsid w:val="00523B47"/>
    <w:rsid w:val="0052426B"/>
    <w:rsid w:val="005264AF"/>
    <w:rsid w:val="005265C3"/>
    <w:rsid w:val="00526B2D"/>
    <w:rsid w:val="005318FB"/>
    <w:rsid w:val="00531C43"/>
    <w:rsid w:val="0053295D"/>
    <w:rsid w:val="005344EA"/>
    <w:rsid w:val="00534576"/>
    <w:rsid w:val="00534E3F"/>
    <w:rsid w:val="005354E6"/>
    <w:rsid w:val="00535701"/>
    <w:rsid w:val="00535894"/>
    <w:rsid w:val="00535EC4"/>
    <w:rsid w:val="0053624D"/>
    <w:rsid w:val="0053753F"/>
    <w:rsid w:val="0053777A"/>
    <w:rsid w:val="005412A1"/>
    <w:rsid w:val="005422EB"/>
    <w:rsid w:val="005423B9"/>
    <w:rsid w:val="00543612"/>
    <w:rsid w:val="0054413B"/>
    <w:rsid w:val="00546D9C"/>
    <w:rsid w:val="00547926"/>
    <w:rsid w:val="0055022F"/>
    <w:rsid w:val="0055055E"/>
    <w:rsid w:val="00553AC2"/>
    <w:rsid w:val="00556D1B"/>
    <w:rsid w:val="00556EDE"/>
    <w:rsid w:val="00557C24"/>
    <w:rsid w:val="00560566"/>
    <w:rsid w:val="00560ADA"/>
    <w:rsid w:val="0056108B"/>
    <w:rsid w:val="00561AD3"/>
    <w:rsid w:val="0056760E"/>
    <w:rsid w:val="00571C2E"/>
    <w:rsid w:val="00571C4C"/>
    <w:rsid w:val="00573871"/>
    <w:rsid w:val="005757BB"/>
    <w:rsid w:val="0057641A"/>
    <w:rsid w:val="0058234B"/>
    <w:rsid w:val="005827E5"/>
    <w:rsid w:val="0058501D"/>
    <w:rsid w:val="00590C2C"/>
    <w:rsid w:val="00590CC4"/>
    <w:rsid w:val="00592824"/>
    <w:rsid w:val="00593390"/>
    <w:rsid w:val="0059377D"/>
    <w:rsid w:val="00593987"/>
    <w:rsid w:val="005943D7"/>
    <w:rsid w:val="00597107"/>
    <w:rsid w:val="00597F77"/>
    <w:rsid w:val="00597FC4"/>
    <w:rsid w:val="005A1D91"/>
    <w:rsid w:val="005A2BCD"/>
    <w:rsid w:val="005A3A7F"/>
    <w:rsid w:val="005A43C4"/>
    <w:rsid w:val="005A4AFC"/>
    <w:rsid w:val="005A6FA3"/>
    <w:rsid w:val="005B0047"/>
    <w:rsid w:val="005B0D74"/>
    <w:rsid w:val="005B0FCD"/>
    <w:rsid w:val="005B1623"/>
    <w:rsid w:val="005B2D05"/>
    <w:rsid w:val="005B6504"/>
    <w:rsid w:val="005B6887"/>
    <w:rsid w:val="005B6FCC"/>
    <w:rsid w:val="005B73C0"/>
    <w:rsid w:val="005C17EE"/>
    <w:rsid w:val="005C2136"/>
    <w:rsid w:val="005C2C9F"/>
    <w:rsid w:val="005C33A7"/>
    <w:rsid w:val="005C498A"/>
    <w:rsid w:val="005C524A"/>
    <w:rsid w:val="005C5369"/>
    <w:rsid w:val="005C679D"/>
    <w:rsid w:val="005C73A8"/>
    <w:rsid w:val="005C7885"/>
    <w:rsid w:val="005D116B"/>
    <w:rsid w:val="005D2D8F"/>
    <w:rsid w:val="005D30A2"/>
    <w:rsid w:val="005D4523"/>
    <w:rsid w:val="005D5791"/>
    <w:rsid w:val="005D74E6"/>
    <w:rsid w:val="005E045C"/>
    <w:rsid w:val="005E0703"/>
    <w:rsid w:val="005E2D1E"/>
    <w:rsid w:val="005E3E1A"/>
    <w:rsid w:val="005E5269"/>
    <w:rsid w:val="005E5C2B"/>
    <w:rsid w:val="005E66EB"/>
    <w:rsid w:val="005F0B7E"/>
    <w:rsid w:val="005F11E0"/>
    <w:rsid w:val="005F3894"/>
    <w:rsid w:val="005F588D"/>
    <w:rsid w:val="005F7242"/>
    <w:rsid w:val="005F7DB6"/>
    <w:rsid w:val="0060050D"/>
    <w:rsid w:val="006019CC"/>
    <w:rsid w:val="0060408F"/>
    <w:rsid w:val="006050E1"/>
    <w:rsid w:val="00606E33"/>
    <w:rsid w:val="006079E7"/>
    <w:rsid w:val="00610DAE"/>
    <w:rsid w:val="0061193E"/>
    <w:rsid w:val="00615F38"/>
    <w:rsid w:val="006209EA"/>
    <w:rsid w:val="006225E4"/>
    <w:rsid w:val="00622B3C"/>
    <w:rsid w:val="00623232"/>
    <w:rsid w:val="00625F6B"/>
    <w:rsid w:val="006264E9"/>
    <w:rsid w:val="006266B2"/>
    <w:rsid w:val="00626C2F"/>
    <w:rsid w:val="00630205"/>
    <w:rsid w:val="00630E9A"/>
    <w:rsid w:val="00631F78"/>
    <w:rsid w:val="00633570"/>
    <w:rsid w:val="00633A60"/>
    <w:rsid w:val="00634DB3"/>
    <w:rsid w:val="00634E25"/>
    <w:rsid w:val="00636545"/>
    <w:rsid w:val="00636A94"/>
    <w:rsid w:val="0063791D"/>
    <w:rsid w:val="006406CE"/>
    <w:rsid w:val="00640C78"/>
    <w:rsid w:val="00640DC2"/>
    <w:rsid w:val="006411CB"/>
    <w:rsid w:val="00641A14"/>
    <w:rsid w:val="006432B3"/>
    <w:rsid w:val="00646D1B"/>
    <w:rsid w:val="00647494"/>
    <w:rsid w:val="0065027E"/>
    <w:rsid w:val="00651BCC"/>
    <w:rsid w:val="006543B8"/>
    <w:rsid w:val="00655CC4"/>
    <w:rsid w:val="0065698A"/>
    <w:rsid w:val="006608EC"/>
    <w:rsid w:val="006617F4"/>
    <w:rsid w:val="00661C49"/>
    <w:rsid w:val="00663014"/>
    <w:rsid w:val="00663645"/>
    <w:rsid w:val="006636AD"/>
    <w:rsid w:val="00664F64"/>
    <w:rsid w:val="00666028"/>
    <w:rsid w:val="00666F43"/>
    <w:rsid w:val="00667403"/>
    <w:rsid w:val="00672011"/>
    <w:rsid w:val="00672DF9"/>
    <w:rsid w:val="00674EAB"/>
    <w:rsid w:val="006752FB"/>
    <w:rsid w:val="006753E4"/>
    <w:rsid w:val="00676DC5"/>
    <w:rsid w:val="00677841"/>
    <w:rsid w:val="006809AA"/>
    <w:rsid w:val="0068160D"/>
    <w:rsid w:val="006816A7"/>
    <w:rsid w:val="006826D0"/>
    <w:rsid w:val="00683169"/>
    <w:rsid w:val="00683651"/>
    <w:rsid w:val="00685776"/>
    <w:rsid w:val="006868E1"/>
    <w:rsid w:val="00687E75"/>
    <w:rsid w:val="006902C1"/>
    <w:rsid w:val="00690F15"/>
    <w:rsid w:val="006928E2"/>
    <w:rsid w:val="00692DF4"/>
    <w:rsid w:val="00694F79"/>
    <w:rsid w:val="006A06F0"/>
    <w:rsid w:val="006A467A"/>
    <w:rsid w:val="006A4E64"/>
    <w:rsid w:val="006A5D8D"/>
    <w:rsid w:val="006A664D"/>
    <w:rsid w:val="006A69D5"/>
    <w:rsid w:val="006A6FB1"/>
    <w:rsid w:val="006A7D96"/>
    <w:rsid w:val="006B0266"/>
    <w:rsid w:val="006B073E"/>
    <w:rsid w:val="006B0A8F"/>
    <w:rsid w:val="006B201D"/>
    <w:rsid w:val="006B496C"/>
    <w:rsid w:val="006B4997"/>
    <w:rsid w:val="006B4D20"/>
    <w:rsid w:val="006B7C0A"/>
    <w:rsid w:val="006C154E"/>
    <w:rsid w:val="006C2A81"/>
    <w:rsid w:val="006C4A2C"/>
    <w:rsid w:val="006C7BF0"/>
    <w:rsid w:val="006D0A26"/>
    <w:rsid w:val="006D182D"/>
    <w:rsid w:val="006D366A"/>
    <w:rsid w:val="006D6DA6"/>
    <w:rsid w:val="006D7901"/>
    <w:rsid w:val="006D7F26"/>
    <w:rsid w:val="006E4158"/>
    <w:rsid w:val="006E5B4D"/>
    <w:rsid w:val="006E643E"/>
    <w:rsid w:val="006E65E5"/>
    <w:rsid w:val="006E714B"/>
    <w:rsid w:val="006E7A04"/>
    <w:rsid w:val="006E7AAE"/>
    <w:rsid w:val="006F02BA"/>
    <w:rsid w:val="006F0B08"/>
    <w:rsid w:val="006F1027"/>
    <w:rsid w:val="006F32F8"/>
    <w:rsid w:val="006F3541"/>
    <w:rsid w:val="006F5180"/>
    <w:rsid w:val="006F5948"/>
    <w:rsid w:val="006F6372"/>
    <w:rsid w:val="00700233"/>
    <w:rsid w:val="007006EA"/>
    <w:rsid w:val="0070121A"/>
    <w:rsid w:val="00701EA6"/>
    <w:rsid w:val="00704585"/>
    <w:rsid w:val="007049C2"/>
    <w:rsid w:val="007076A3"/>
    <w:rsid w:val="00707FD9"/>
    <w:rsid w:val="0071049B"/>
    <w:rsid w:val="00710A97"/>
    <w:rsid w:val="00711637"/>
    <w:rsid w:val="00712CAA"/>
    <w:rsid w:val="00713366"/>
    <w:rsid w:val="00715042"/>
    <w:rsid w:val="00716B18"/>
    <w:rsid w:val="00717B95"/>
    <w:rsid w:val="00720586"/>
    <w:rsid w:val="00723AB7"/>
    <w:rsid w:val="00727072"/>
    <w:rsid w:val="00730FFD"/>
    <w:rsid w:val="007312B8"/>
    <w:rsid w:val="00732F6F"/>
    <w:rsid w:val="007347E0"/>
    <w:rsid w:val="00734DFF"/>
    <w:rsid w:val="00737589"/>
    <w:rsid w:val="00737CE6"/>
    <w:rsid w:val="007409DC"/>
    <w:rsid w:val="00740FC1"/>
    <w:rsid w:val="0074243A"/>
    <w:rsid w:val="00743B52"/>
    <w:rsid w:val="00745DAC"/>
    <w:rsid w:val="00745F6A"/>
    <w:rsid w:val="00746CCD"/>
    <w:rsid w:val="0074772E"/>
    <w:rsid w:val="00747EF5"/>
    <w:rsid w:val="0075138E"/>
    <w:rsid w:val="00751467"/>
    <w:rsid w:val="007520F8"/>
    <w:rsid w:val="00753175"/>
    <w:rsid w:val="007535DE"/>
    <w:rsid w:val="00755D1B"/>
    <w:rsid w:val="00757801"/>
    <w:rsid w:val="00760FAF"/>
    <w:rsid w:val="00761F3F"/>
    <w:rsid w:val="00763A84"/>
    <w:rsid w:val="0076452E"/>
    <w:rsid w:val="0076582B"/>
    <w:rsid w:val="00766C9F"/>
    <w:rsid w:val="0076713B"/>
    <w:rsid w:val="00770090"/>
    <w:rsid w:val="00770692"/>
    <w:rsid w:val="0077441F"/>
    <w:rsid w:val="007748DA"/>
    <w:rsid w:val="00777906"/>
    <w:rsid w:val="00777E13"/>
    <w:rsid w:val="007830D2"/>
    <w:rsid w:val="00784009"/>
    <w:rsid w:val="0078432F"/>
    <w:rsid w:val="00784FB0"/>
    <w:rsid w:val="00785472"/>
    <w:rsid w:val="007855E3"/>
    <w:rsid w:val="00785F81"/>
    <w:rsid w:val="00786AAA"/>
    <w:rsid w:val="0078767B"/>
    <w:rsid w:val="00792162"/>
    <w:rsid w:val="007938E4"/>
    <w:rsid w:val="00793BE7"/>
    <w:rsid w:val="0079605E"/>
    <w:rsid w:val="00796E49"/>
    <w:rsid w:val="007A1D0C"/>
    <w:rsid w:val="007A379A"/>
    <w:rsid w:val="007A3B5F"/>
    <w:rsid w:val="007A3B7B"/>
    <w:rsid w:val="007A6066"/>
    <w:rsid w:val="007B018E"/>
    <w:rsid w:val="007B02BD"/>
    <w:rsid w:val="007B0479"/>
    <w:rsid w:val="007B1109"/>
    <w:rsid w:val="007B149F"/>
    <w:rsid w:val="007B155B"/>
    <w:rsid w:val="007B16DE"/>
    <w:rsid w:val="007B230E"/>
    <w:rsid w:val="007B270A"/>
    <w:rsid w:val="007B659B"/>
    <w:rsid w:val="007B66CB"/>
    <w:rsid w:val="007B6778"/>
    <w:rsid w:val="007B6909"/>
    <w:rsid w:val="007B7BB4"/>
    <w:rsid w:val="007C1463"/>
    <w:rsid w:val="007C1AF9"/>
    <w:rsid w:val="007C26E4"/>
    <w:rsid w:val="007C29BA"/>
    <w:rsid w:val="007C38DF"/>
    <w:rsid w:val="007C5B10"/>
    <w:rsid w:val="007C5CE2"/>
    <w:rsid w:val="007D05E4"/>
    <w:rsid w:val="007D25DC"/>
    <w:rsid w:val="007D4B54"/>
    <w:rsid w:val="007D5AC6"/>
    <w:rsid w:val="007E12D9"/>
    <w:rsid w:val="007E12EB"/>
    <w:rsid w:val="007E33C4"/>
    <w:rsid w:val="007E3952"/>
    <w:rsid w:val="007E46CA"/>
    <w:rsid w:val="007E6CDB"/>
    <w:rsid w:val="007E7312"/>
    <w:rsid w:val="007F0EB2"/>
    <w:rsid w:val="007F0ED0"/>
    <w:rsid w:val="007F1E4D"/>
    <w:rsid w:val="007F29E7"/>
    <w:rsid w:val="007F3464"/>
    <w:rsid w:val="007F43E0"/>
    <w:rsid w:val="007F547F"/>
    <w:rsid w:val="007F6048"/>
    <w:rsid w:val="00800B98"/>
    <w:rsid w:val="008015E6"/>
    <w:rsid w:val="008017E9"/>
    <w:rsid w:val="0080291B"/>
    <w:rsid w:val="008040E7"/>
    <w:rsid w:val="0080640C"/>
    <w:rsid w:val="00806FB0"/>
    <w:rsid w:val="008079E8"/>
    <w:rsid w:val="00807AFA"/>
    <w:rsid w:val="00807CC5"/>
    <w:rsid w:val="00810965"/>
    <w:rsid w:val="0081120D"/>
    <w:rsid w:val="00812C18"/>
    <w:rsid w:val="008133BC"/>
    <w:rsid w:val="00814A4D"/>
    <w:rsid w:val="0081525B"/>
    <w:rsid w:val="00815E1A"/>
    <w:rsid w:val="0081687F"/>
    <w:rsid w:val="00821086"/>
    <w:rsid w:val="00821E07"/>
    <w:rsid w:val="00822784"/>
    <w:rsid w:val="008237D8"/>
    <w:rsid w:val="00824521"/>
    <w:rsid w:val="00826671"/>
    <w:rsid w:val="00826AEB"/>
    <w:rsid w:val="008270F3"/>
    <w:rsid w:val="00830643"/>
    <w:rsid w:val="00830CDA"/>
    <w:rsid w:val="0083163F"/>
    <w:rsid w:val="00832A65"/>
    <w:rsid w:val="00832AFC"/>
    <w:rsid w:val="0083661B"/>
    <w:rsid w:val="00837425"/>
    <w:rsid w:val="00837B40"/>
    <w:rsid w:val="00841440"/>
    <w:rsid w:val="00842C50"/>
    <w:rsid w:val="008435A1"/>
    <w:rsid w:val="00844BE4"/>
    <w:rsid w:val="008475EB"/>
    <w:rsid w:val="00852146"/>
    <w:rsid w:val="00854001"/>
    <w:rsid w:val="00855D68"/>
    <w:rsid w:val="00857111"/>
    <w:rsid w:val="008571D2"/>
    <w:rsid w:val="008578A1"/>
    <w:rsid w:val="00861811"/>
    <w:rsid w:val="00862539"/>
    <w:rsid w:val="00865236"/>
    <w:rsid w:val="00866D12"/>
    <w:rsid w:val="00867D09"/>
    <w:rsid w:val="00870DC4"/>
    <w:rsid w:val="00871675"/>
    <w:rsid w:val="00872D6E"/>
    <w:rsid w:val="008732F1"/>
    <w:rsid w:val="00877B22"/>
    <w:rsid w:val="00880728"/>
    <w:rsid w:val="008808B7"/>
    <w:rsid w:val="00881A00"/>
    <w:rsid w:val="008848CB"/>
    <w:rsid w:val="00885112"/>
    <w:rsid w:val="008854D4"/>
    <w:rsid w:val="00887074"/>
    <w:rsid w:val="00891DD5"/>
    <w:rsid w:val="008922BE"/>
    <w:rsid w:val="0089251E"/>
    <w:rsid w:val="00893089"/>
    <w:rsid w:val="00895137"/>
    <w:rsid w:val="0089626B"/>
    <w:rsid w:val="0089631F"/>
    <w:rsid w:val="0089688C"/>
    <w:rsid w:val="008973F6"/>
    <w:rsid w:val="008A0761"/>
    <w:rsid w:val="008A0AE8"/>
    <w:rsid w:val="008A0BBD"/>
    <w:rsid w:val="008A7555"/>
    <w:rsid w:val="008B0E9E"/>
    <w:rsid w:val="008B133B"/>
    <w:rsid w:val="008B25A0"/>
    <w:rsid w:val="008B3A7F"/>
    <w:rsid w:val="008B42FF"/>
    <w:rsid w:val="008B54D4"/>
    <w:rsid w:val="008B5654"/>
    <w:rsid w:val="008B6D22"/>
    <w:rsid w:val="008B7EAE"/>
    <w:rsid w:val="008C0AEC"/>
    <w:rsid w:val="008C0CA2"/>
    <w:rsid w:val="008C27D9"/>
    <w:rsid w:val="008C282A"/>
    <w:rsid w:val="008C4697"/>
    <w:rsid w:val="008C5794"/>
    <w:rsid w:val="008C6CA7"/>
    <w:rsid w:val="008D02CE"/>
    <w:rsid w:val="008D40D1"/>
    <w:rsid w:val="008D5EC9"/>
    <w:rsid w:val="008D613B"/>
    <w:rsid w:val="008E1B78"/>
    <w:rsid w:val="008E3FE4"/>
    <w:rsid w:val="008E4195"/>
    <w:rsid w:val="008E44DA"/>
    <w:rsid w:val="008E4ED2"/>
    <w:rsid w:val="008E69C2"/>
    <w:rsid w:val="008E75D3"/>
    <w:rsid w:val="008F00D6"/>
    <w:rsid w:val="008F2689"/>
    <w:rsid w:val="008F456B"/>
    <w:rsid w:val="008F496B"/>
    <w:rsid w:val="008F75D5"/>
    <w:rsid w:val="0090132E"/>
    <w:rsid w:val="009069B5"/>
    <w:rsid w:val="0091008A"/>
    <w:rsid w:val="00910704"/>
    <w:rsid w:val="00911DD3"/>
    <w:rsid w:val="00911EF8"/>
    <w:rsid w:val="00913FD6"/>
    <w:rsid w:val="00914844"/>
    <w:rsid w:val="00914948"/>
    <w:rsid w:val="009149EA"/>
    <w:rsid w:val="00914B7D"/>
    <w:rsid w:val="00915AD7"/>
    <w:rsid w:val="009166C5"/>
    <w:rsid w:val="00916797"/>
    <w:rsid w:val="009169FC"/>
    <w:rsid w:val="00916D9C"/>
    <w:rsid w:val="00920DCB"/>
    <w:rsid w:val="009214B4"/>
    <w:rsid w:val="00921A8B"/>
    <w:rsid w:val="00922A73"/>
    <w:rsid w:val="00923C5B"/>
    <w:rsid w:val="009259D7"/>
    <w:rsid w:val="0092769A"/>
    <w:rsid w:val="00927A4E"/>
    <w:rsid w:val="009307D9"/>
    <w:rsid w:val="00932101"/>
    <w:rsid w:val="00932629"/>
    <w:rsid w:val="00932FDD"/>
    <w:rsid w:val="00934624"/>
    <w:rsid w:val="00935315"/>
    <w:rsid w:val="009358F8"/>
    <w:rsid w:val="0093613D"/>
    <w:rsid w:val="0093713F"/>
    <w:rsid w:val="00942BA3"/>
    <w:rsid w:val="00942E92"/>
    <w:rsid w:val="0094425A"/>
    <w:rsid w:val="00947CA6"/>
    <w:rsid w:val="009518F1"/>
    <w:rsid w:val="009521E3"/>
    <w:rsid w:val="00954779"/>
    <w:rsid w:val="00960C0C"/>
    <w:rsid w:val="009635DA"/>
    <w:rsid w:val="00963D72"/>
    <w:rsid w:val="009640F2"/>
    <w:rsid w:val="0096449F"/>
    <w:rsid w:val="009647C4"/>
    <w:rsid w:val="00964E4A"/>
    <w:rsid w:val="00965E62"/>
    <w:rsid w:val="00965F6E"/>
    <w:rsid w:val="00970C68"/>
    <w:rsid w:val="009732C3"/>
    <w:rsid w:val="00974919"/>
    <w:rsid w:val="00975F6B"/>
    <w:rsid w:val="00976819"/>
    <w:rsid w:val="009771E6"/>
    <w:rsid w:val="00980E84"/>
    <w:rsid w:val="00981378"/>
    <w:rsid w:val="0098337C"/>
    <w:rsid w:val="00986FAA"/>
    <w:rsid w:val="0099015F"/>
    <w:rsid w:val="009901A3"/>
    <w:rsid w:val="009902D5"/>
    <w:rsid w:val="009903D5"/>
    <w:rsid w:val="0099086F"/>
    <w:rsid w:val="00993430"/>
    <w:rsid w:val="00993B30"/>
    <w:rsid w:val="009942EF"/>
    <w:rsid w:val="00995191"/>
    <w:rsid w:val="00995985"/>
    <w:rsid w:val="009966C0"/>
    <w:rsid w:val="0099681D"/>
    <w:rsid w:val="009976DA"/>
    <w:rsid w:val="009976F0"/>
    <w:rsid w:val="009A0A78"/>
    <w:rsid w:val="009A1CA0"/>
    <w:rsid w:val="009A21BA"/>
    <w:rsid w:val="009A2B62"/>
    <w:rsid w:val="009A2EB1"/>
    <w:rsid w:val="009A3270"/>
    <w:rsid w:val="009A3D9E"/>
    <w:rsid w:val="009B0236"/>
    <w:rsid w:val="009B0B1F"/>
    <w:rsid w:val="009B401D"/>
    <w:rsid w:val="009B5774"/>
    <w:rsid w:val="009B5FA1"/>
    <w:rsid w:val="009B7905"/>
    <w:rsid w:val="009B7D70"/>
    <w:rsid w:val="009C0EE2"/>
    <w:rsid w:val="009C17D6"/>
    <w:rsid w:val="009C21D8"/>
    <w:rsid w:val="009C270D"/>
    <w:rsid w:val="009C3303"/>
    <w:rsid w:val="009C469C"/>
    <w:rsid w:val="009C51AE"/>
    <w:rsid w:val="009C6141"/>
    <w:rsid w:val="009D026D"/>
    <w:rsid w:val="009D1927"/>
    <w:rsid w:val="009D3ECB"/>
    <w:rsid w:val="009D3F52"/>
    <w:rsid w:val="009D42A4"/>
    <w:rsid w:val="009D4F75"/>
    <w:rsid w:val="009D52A3"/>
    <w:rsid w:val="009D6CD1"/>
    <w:rsid w:val="009D6E3B"/>
    <w:rsid w:val="009E0DD5"/>
    <w:rsid w:val="009E3549"/>
    <w:rsid w:val="009E5A49"/>
    <w:rsid w:val="009E6C22"/>
    <w:rsid w:val="009E6E54"/>
    <w:rsid w:val="009E72C2"/>
    <w:rsid w:val="009E73FB"/>
    <w:rsid w:val="009E7C4D"/>
    <w:rsid w:val="009F05A7"/>
    <w:rsid w:val="009F0D5A"/>
    <w:rsid w:val="009F5A50"/>
    <w:rsid w:val="009F7D03"/>
    <w:rsid w:val="00A00134"/>
    <w:rsid w:val="00A01D2E"/>
    <w:rsid w:val="00A02E80"/>
    <w:rsid w:val="00A0351B"/>
    <w:rsid w:val="00A04C34"/>
    <w:rsid w:val="00A059C0"/>
    <w:rsid w:val="00A05FD4"/>
    <w:rsid w:val="00A07840"/>
    <w:rsid w:val="00A07ADB"/>
    <w:rsid w:val="00A1024C"/>
    <w:rsid w:val="00A1114C"/>
    <w:rsid w:val="00A12AAE"/>
    <w:rsid w:val="00A14388"/>
    <w:rsid w:val="00A15215"/>
    <w:rsid w:val="00A154F8"/>
    <w:rsid w:val="00A17F04"/>
    <w:rsid w:val="00A20035"/>
    <w:rsid w:val="00A20179"/>
    <w:rsid w:val="00A21FFA"/>
    <w:rsid w:val="00A22870"/>
    <w:rsid w:val="00A236DC"/>
    <w:rsid w:val="00A23B86"/>
    <w:rsid w:val="00A2463B"/>
    <w:rsid w:val="00A24D85"/>
    <w:rsid w:val="00A24E83"/>
    <w:rsid w:val="00A25C48"/>
    <w:rsid w:val="00A267D2"/>
    <w:rsid w:val="00A26FB2"/>
    <w:rsid w:val="00A273AA"/>
    <w:rsid w:val="00A31F28"/>
    <w:rsid w:val="00A323E6"/>
    <w:rsid w:val="00A32574"/>
    <w:rsid w:val="00A36B92"/>
    <w:rsid w:val="00A40AA5"/>
    <w:rsid w:val="00A42452"/>
    <w:rsid w:val="00A427DD"/>
    <w:rsid w:val="00A43423"/>
    <w:rsid w:val="00A4448D"/>
    <w:rsid w:val="00A45ED7"/>
    <w:rsid w:val="00A474F3"/>
    <w:rsid w:val="00A55186"/>
    <w:rsid w:val="00A55C40"/>
    <w:rsid w:val="00A57DAA"/>
    <w:rsid w:val="00A6054B"/>
    <w:rsid w:val="00A60B74"/>
    <w:rsid w:val="00A61E74"/>
    <w:rsid w:val="00A62A52"/>
    <w:rsid w:val="00A63B38"/>
    <w:rsid w:val="00A642ED"/>
    <w:rsid w:val="00A64442"/>
    <w:rsid w:val="00A65DEE"/>
    <w:rsid w:val="00A66C83"/>
    <w:rsid w:val="00A66ED1"/>
    <w:rsid w:val="00A66F2B"/>
    <w:rsid w:val="00A70800"/>
    <w:rsid w:val="00A71AAD"/>
    <w:rsid w:val="00A71ACE"/>
    <w:rsid w:val="00A73958"/>
    <w:rsid w:val="00A74913"/>
    <w:rsid w:val="00A74B42"/>
    <w:rsid w:val="00A7683C"/>
    <w:rsid w:val="00A768E3"/>
    <w:rsid w:val="00A81FC6"/>
    <w:rsid w:val="00A84849"/>
    <w:rsid w:val="00A84C1F"/>
    <w:rsid w:val="00A87AF4"/>
    <w:rsid w:val="00A9066D"/>
    <w:rsid w:val="00A910F8"/>
    <w:rsid w:val="00A91AC6"/>
    <w:rsid w:val="00A9211C"/>
    <w:rsid w:val="00A92D65"/>
    <w:rsid w:val="00A93268"/>
    <w:rsid w:val="00A94FF4"/>
    <w:rsid w:val="00A955F5"/>
    <w:rsid w:val="00A95B2C"/>
    <w:rsid w:val="00A96829"/>
    <w:rsid w:val="00A96BC2"/>
    <w:rsid w:val="00A96D6F"/>
    <w:rsid w:val="00AA0DCA"/>
    <w:rsid w:val="00AA105E"/>
    <w:rsid w:val="00AA1141"/>
    <w:rsid w:val="00AA17C0"/>
    <w:rsid w:val="00AA227D"/>
    <w:rsid w:val="00AA2455"/>
    <w:rsid w:val="00AA5631"/>
    <w:rsid w:val="00AA6174"/>
    <w:rsid w:val="00AA61AB"/>
    <w:rsid w:val="00AA63B3"/>
    <w:rsid w:val="00AA6FBA"/>
    <w:rsid w:val="00AA7698"/>
    <w:rsid w:val="00AA787A"/>
    <w:rsid w:val="00AB11DD"/>
    <w:rsid w:val="00AB1F5C"/>
    <w:rsid w:val="00AB3159"/>
    <w:rsid w:val="00AB42EC"/>
    <w:rsid w:val="00AB4E98"/>
    <w:rsid w:val="00AB675E"/>
    <w:rsid w:val="00AB6DA3"/>
    <w:rsid w:val="00AC05A5"/>
    <w:rsid w:val="00AC0C7F"/>
    <w:rsid w:val="00AC161A"/>
    <w:rsid w:val="00AC183E"/>
    <w:rsid w:val="00AC3105"/>
    <w:rsid w:val="00AC344F"/>
    <w:rsid w:val="00AC48AD"/>
    <w:rsid w:val="00AC540C"/>
    <w:rsid w:val="00AC6520"/>
    <w:rsid w:val="00AD479B"/>
    <w:rsid w:val="00AD5260"/>
    <w:rsid w:val="00AD6ABE"/>
    <w:rsid w:val="00AD79BE"/>
    <w:rsid w:val="00AD7AF6"/>
    <w:rsid w:val="00AE075D"/>
    <w:rsid w:val="00AE11AA"/>
    <w:rsid w:val="00AE1BD7"/>
    <w:rsid w:val="00AE3F8A"/>
    <w:rsid w:val="00AE4412"/>
    <w:rsid w:val="00AE659C"/>
    <w:rsid w:val="00AE7461"/>
    <w:rsid w:val="00AF0438"/>
    <w:rsid w:val="00AF1FD0"/>
    <w:rsid w:val="00AF205F"/>
    <w:rsid w:val="00AF4994"/>
    <w:rsid w:val="00AF54B4"/>
    <w:rsid w:val="00B0071F"/>
    <w:rsid w:val="00B03162"/>
    <w:rsid w:val="00B03CF3"/>
    <w:rsid w:val="00B04A37"/>
    <w:rsid w:val="00B05481"/>
    <w:rsid w:val="00B05FF2"/>
    <w:rsid w:val="00B068AF"/>
    <w:rsid w:val="00B07DA4"/>
    <w:rsid w:val="00B11C4D"/>
    <w:rsid w:val="00B123E3"/>
    <w:rsid w:val="00B12F8C"/>
    <w:rsid w:val="00B15423"/>
    <w:rsid w:val="00B15AF9"/>
    <w:rsid w:val="00B16C9B"/>
    <w:rsid w:val="00B16D64"/>
    <w:rsid w:val="00B17688"/>
    <w:rsid w:val="00B21CDE"/>
    <w:rsid w:val="00B22552"/>
    <w:rsid w:val="00B22D52"/>
    <w:rsid w:val="00B24C5B"/>
    <w:rsid w:val="00B2699B"/>
    <w:rsid w:val="00B27064"/>
    <w:rsid w:val="00B31346"/>
    <w:rsid w:val="00B31E62"/>
    <w:rsid w:val="00B32935"/>
    <w:rsid w:val="00B3415A"/>
    <w:rsid w:val="00B35801"/>
    <w:rsid w:val="00B35A2B"/>
    <w:rsid w:val="00B370DF"/>
    <w:rsid w:val="00B40232"/>
    <w:rsid w:val="00B41D51"/>
    <w:rsid w:val="00B42547"/>
    <w:rsid w:val="00B450BE"/>
    <w:rsid w:val="00B4532B"/>
    <w:rsid w:val="00B47CA5"/>
    <w:rsid w:val="00B47E5B"/>
    <w:rsid w:val="00B5003E"/>
    <w:rsid w:val="00B517F7"/>
    <w:rsid w:val="00B541C6"/>
    <w:rsid w:val="00B54750"/>
    <w:rsid w:val="00B54EA9"/>
    <w:rsid w:val="00B553FC"/>
    <w:rsid w:val="00B55974"/>
    <w:rsid w:val="00B560E5"/>
    <w:rsid w:val="00B56372"/>
    <w:rsid w:val="00B56C0C"/>
    <w:rsid w:val="00B56E27"/>
    <w:rsid w:val="00B6026D"/>
    <w:rsid w:val="00B63F34"/>
    <w:rsid w:val="00B6530E"/>
    <w:rsid w:val="00B6596C"/>
    <w:rsid w:val="00B66A6B"/>
    <w:rsid w:val="00B72819"/>
    <w:rsid w:val="00B741CE"/>
    <w:rsid w:val="00B76D08"/>
    <w:rsid w:val="00B8214C"/>
    <w:rsid w:val="00B82BD6"/>
    <w:rsid w:val="00B83371"/>
    <w:rsid w:val="00B8387A"/>
    <w:rsid w:val="00B84955"/>
    <w:rsid w:val="00B84CD6"/>
    <w:rsid w:val="00B8541F"/>
    <w:rsid w:val="00B85DCD"/>
    <w:rsid w:val="00B8630E"/>
    <w:rsid w:val="00B86E77"/>
    <w:rsid w:val="00B904BD"/>
    <w:rsid w:val="00B93C17"/>
    <w:rsid w:val="00B946F7"/>
    <w:rsid w:val="00B95264"/>
    <w:rsid w:val="00B95292"/>
    <w:rsid w:val="00B96825"/>
    <w:rsid w:val="00BA1588"/>
    <w:rsid w:val="00BA2A7A"/>
    <w:rsid w:val="00BA5551"/>
    <w:rsid w:val="00BA63BB"/>
    <w:rsid w:val="00BA77D3"/>
    <w:rsid w:val="00BB29EF"/>
    <w:rsid w:val="00BB36ED"/>
    <w:rsid w:val="00BB5376"/>
    <w:rsid w:val="00BB57FC"/>
    <w:rsid w:val="00BB5A94"/>
    <w:rsid w:val="00BB67D1"/>
    <w:rsid w:val="00BB7980"/>
    <w:rsid w:val="00BC16EC"/>
    <w:rsid w:val="00BC1B8D"/>
    <w:rsid w:val="00BC1D6F"/>
    <w:rsid w:val="00BC3E50"/>
    <w:rsid w:val="00BC7E40"/>
    <w:rsid w:val="00BC7FC3"/>
    <w:rsid w:val="00BD0354"/>
    <w:rsid w:val="00BD066B"/>
    <w:rsid w:val="00BD3292"/>
    <w:rsid w:val="00BD32A8"/>
    <w:rsid w:val="00BD4233"/>
    <w:rsid w:val="00BD5103"/>
    <w:rsid w:val="00BD633B"/>
    <w:rsid w:val="00BD6FDB"/>
    <w:rsid w:val="00BD732D"/>
    <w:rsid w:val="00BD7490"/>
    <w:rsid w:val="00BE0709"/>
    <w:rsid w:val="00BE1AD6"/>
    <w:rsid w:val="00BE320A"/>
    <w:rsid w:val="00BE379C"/>
    <w:rsid w:val="00BE3AC1"/>
    <w:rsid w:val="00BE3D13"/>
    <w:rsid w:val="00BE4F0E"/>
    <w:rsid w:val="00BE6169"/>
    <w:rsid w:val="00BE6239"/>
    <w:rsid w:val="00BF0629"/>
    <w:rsid w:val="00BF1E6E"/>
    <w:rsid w:val="00BF451D"/>
    <w:rsid w:val="00BF4805"/>
    <w:rsid w:val="00BF4BE2"/>
    <w:rsid w:val="00BF607D"/>
    <w:rsid w:val="00C01F6B"/>
    <w:rsid w:val="00C0233F"/>
    <w:rsid w:val="00C03391"/>
    <w:rsid w:val="00C0344F"/>
    <w:rsid w:val="00C03AFB"/>
    <w:rsid w:val="00C0440F"/>
    <w:rsid w:val="00C064D2"/>
    <w:rsid w:val="00C10F59"/>
    <w:rsid w:val="00C12587"/>
    <w:rsid w:val="00C15512"/>
    <w:rsid w:val="00C169B1"/>
    <w:rsid w:val="00C17B6C"/>
    <w:rsid w:val="00C216B6"/>
    <w:rsid w:val="00C223D9"/>
    <w:rsid w:val="00C22A8F"/>
    <w:rsid w:val="00C23640"/>
    <w:rsid w:val="00C2498F"/>
    <w:rsid w:val="00C25090"/>
    <w:rsid w:val="00C30C07"/>
    <w:rsid w:val="00C30C91"/>
    <w:rsid w:val="00C32570"/>
    <w:rsid w:val="00C4621F"/>
    <w:rsid w:val="00C47284"/>
    <w:rsid w:val="00C47854"/>
    <w:rsid w:val="00C511D4"/>
    <w:rsid w:val="00C51627"/>
    <w:rsid w:val="00C5186F"/>
    <w:rsid w:val="00C52304"/>
    <w:rsid w:val="00C52AA8"/>
    <w:rsid w:val="00C5388C"/>
    <w:rsid w:val="00C5560F"/>
    <w:rsid w:val="00C55DE6"/>
    <w:rsid w:val="00C55FC7"/>
    <w:rsid w:val="00C5655F"/>
    <w:rsid w:val="00C56DA7"/>
    <w:rsid w:val="00C5741D"/>
    <w:rsid w:val="00C601D0"/>
    <w:rsid w:val="00C608E9"/>
    <w:rsid w:val="00C60B33"/>
    <w:rsid w:val="00C625FC"/>
    <w:rsid w:val="00C63C12"/>
    <w:rsid w:val="00C664F8"/>
    <w:rsid w:val="00C66CEC"/>
    <w:rsid w:val="00C7102E"/>
    <w:rsid w:val="00C719CE"/>
    <w:rsid w:val="00C73E64"/>
    <w:rsid w:val="00C747F2"/>
    <w:rsid w:val="00C776F9"/>
    <w:rsid w:val="00C801B3"/>
    <w:rsid w:val="00C80EDB"/>
    <w:rsid w:val="00C87041"/>
    <w:rsid w:val="00C8730F"/>
    <w:rsid w:val="00C91C3C"/>
    <w:rsid w:val="00C923B7"/>
    <w:rsid w:val="00C94254"/>
    <w:rsid w:val="00C976FA"/>
    <w:rsid w:val="00CA1669"/>
    <w:rsid w:val="00CA1CE8"/>
    <w:rsid w:val="00CA2235"/>
    <w:rsid w:val="00CA2F01"/>
    <w:rsid w:val="00CA3CB1"/>
    <w:rsid w:val="00CA3D79"/>
    <w:rsid w:val="00CA4E80"/>
    <w:rsid w:val="00CB1AF3"/>
    <w:rsid w:val="00CB23F3"/>
    <w:rsid w:val="00CB26E7"/>
    <w:rsid w:val="00CB6C2B"/>
    <w:rsid w:val="00CC0AB0"/>
    <w:rsid w:val="00CC16BC"/>
    <w:rsid w:val="00CC179D"/>
    <w:rsid w:val="00CC189A"/>
    <w:rsid w:val="00CC3D27"/>
    <w:rsid w:val="00CC3DE3"/>
    <w:rsid w:val="00CC43FE"/>
    <w:rsid w:val="00CC532D"/>
    <w:rsid w:val="00CC669C"/>
    <w:rsid w:val="00CC7ACF"/>
    <w:rsid w:val="00CD4061"/>
    <w:rsid w:val="00CD42E4"/>
    <w:rsid w:val="00CD4E73"/>
    <w:rsid w:val="00CD5DF4"/>
    <w:rsid w:val="00CD780C"/>
    <w:rsid w:val="00CE0011"/>
    <w:rsid w:val="00CE4F54"/>
    <w:rsid w:val="00CE5D71"/>
    <w:rsid w:val="00CE64F3"/>
    <w:rsid w:val="00CE6FE5"/>
    <w:rsid w:val="00CE7068"/>
    <w:rsid w:val="00CE718B"/>
    <w:rsid w:val="00CE7885"/>
    <w:rsid w:val="00CF0A5B"/>
    <w:rsid w:val="00CF5AE3"/>
    <w:rsid w:val="00CF66D7"/>
    <w:rsid w:val="00CF6937"/>
    <w:rsid w:val="00CF768A"/>
    <w:rsid w:val="00D0035B"/>
    <w:rsid w:val="00D012FC"/>
    <w:rsid w:val="00D02857"/>
    <w:rsid w:val="00D02D45"/>
    <w:rsid w:val="00D033D6"/>
    <w:rsid w:val="00D0454B"/>
    <w:rsid w:val="00D0484D"/>
    <w:rsid w:val="00D04EA3"/>
    <w:rsid w:val="00D0652B"/>
    <w:rsid w:val="00D10379"/>
    <w:rsid w:val="00D1078F"/>
    <w:rsid w:val="00D107B2"/>
    <w:rsid w:val="00D10DCD"/>
    <w:rsid w:val="00D117C9"/>
    <w:rsid w:val="00D11ED1"/>
    <w:rsid w:val="00D1202D"/>
    <w:rsid w:val="00D12FA2"/>
    <w:rsid w:val="00D16E07"/>
    <w:rsid w:val="00D1704A"/>
    <w:rsid w:val="00D17780"/>
    <w:rsid w:val="00D17D98"/>
    <w:rsid w:val="00D20277"/>
    <w:rsid w:val="00D208E4"/>
    <w:rsid w:val="00D20EF4"/>
    <w:rsid w:val="00D232DE"/>
    <w:rsid w:val="00D2433F"/>
    <w:rsid w:val="00D25385"/>
    <w:rsid w:val="00D26160"/>
    <w:rsid w:val="00D273C0"/>
    <w:rsid w:val="00D27BA6"/>
    <w:rsid w:val="00D31A31"/>
    <w:rsid w:val="00D3322B"/>
    <w:rsid w:val="00D34672"/>
    <w:rsid w:val="00D377B2"/>
    <w:rsid w:val="00D37CC2"/>
    <w:rsid w:val="00D40BE5"/>
    <w:rsid w:val="00D44A70"/>
    <w:rsid w:val="00D46870"/>
    <w:rsid w:val="00D50256"/>
    <w:rsid w:val="00D52AAF"/>
    <w:rsid w:val="00D53116"/>
    <w:rsid w:val="00D540F3"/>
    <w:rsid w:val="00D55310"/>
    <w:rsid w:val="00D576E0"/>
    <w:rsid w:val="00D603CA"/>
    <w:rsid w:val="00D61505"/>
    <w:rsid w:val="00D628DD"/>
    <w:rsid w:val="00D64E0E"/>
    <w:rsid w:val="00D658F7"/>
    <w:rsid w:val="00D65984"/>
    <w:rsid w:val="00D6723D"/>
    <w:rsid w:val="00D67E5B"/>
    <w:rsid w:val="00D7203F"/>
    <w:rsid w:val="00D74038"/>
    <w:rsid w:val="00D7454B"/>
    <w:rsid w:val="00D749BB"/>
    <w:rsid w:val="00D74D90"/>
    <w:rsid w:val="00D75EB5"/>
    <w:rsid w:val="00D77808"/>
    <w:rsid w:val="00D804EA"/>
    <w:rsid w:val="00D81B2D"/>
    <w:rsid w:val="00D832FB"/>
    <w:rsid w:val="00D853E1"/>
    <w:rsid w:val="00D85881"/>
    <w:rsid w:val="00D9016C"/>
    <w:rsid w:val="00D9126D"/>
    <w:rsid w:val="00D9373F"/>
    <w:rsid w:val="00D93A51"/>
    <w:rsid w:val="00D95B35"/>
    <w:rsid w:val="00D9606D"/>
    <w:rsid w:val="00D97110"/>
    <w:rsid w:val="00D9732A"/>
    <w:rsid w:val="00D979BE"/>
    <w:rsid w:val="00DA0B19"/>
    <w:rsid w:val="00DA254E"/>
    <w:rsid w:val="00DA39A2"/>
    <w:rsid w:val="00DA46E0"/>
    <w:rsid w:val="00DA5F8E"/>
    <w:rsid w:val="00DA7C85"/>
    <w:rsid w:val="00DA7D98"/>
    <w:rsid w:val="00DB09A5"/>
    <w:rsid w:val="00DB2664"/>
    <w:rsid w:val="00DB2F8A"/>
    <w:rsid w:val="00DB4643"/>
    <w:rsid w:val="00DB4B7D"/>
    <w:rsid w:val="00DB4DC0"/>
    <w:rsid w:val="00DB5238"/>
    <w:rsid w:val="00DB5635"/>
    <w:rsid w:val="00DB5CDF"/>
    <w:rsid w:val="00DB5F12"/>
    <w:rsid w:val="00DB69EE"/>
    <w:rsid w:val="00DC19D4"/>
    <w:rsid w:val="00DC364B"/>
    <w:rsid w:val="00DC3B41"/>
    <w:rsid w:val="00DC70B9"/>
    <w:rsid w:val="00DC72AB"/>
    <w:rsid w:val="00DC76AF"/>
    <w:rsid w:val="00DD02B5"/>
    <w:rsid w:val="00DD2141"/>
    <w:rsid w:val="00DD261E"/>
    <w:rsid w:val="00DD2710"/>
    <w:rsid w:val="00DD2C5D"/>
    <w:rsid w:val="00DD2D6B"/>
    <w:rsid w:val="00DD413E"/>
    <w:rsid w:val="00DD4525"/>
    <w:rsid w:val="00DD711C"/>
    <w:rsid w:val="00DE13A5"/>
    <w:rsid w:val="00DE2B94"/>
    <w:rsid w:val="00DE47E1"/>
    <w:rsid w:val="00DE69F0"/>
    <w:rsid w:val="00DF2576"/>
    <w:rsid w:val="00DF2CEA"/>
    <w:rsid w:val="00DF3AEC"/>
    <w:rsid w:val="00DF4807"/>
    <w:rsid w:val="00DF50A8"/>
    <w:rsid w:val="00DF53B2"/>
    <w:rsid w:val="00DF5680"/>
    <w:rsid w:val="00DF659B"/>
    <w:rsid w:val="00DF6A2F"/>
    <w:rsid w:val="00DF778A"/>
    <w:rsid w:val="00DF7DDF"/>
    <w:rsid w:val="00E00CDA"/>
    <w:rsid w:val="00E00FEB"/>
    <w:rsid w:val="00E01016"/>
    <w:rsid w:val="00E02FFE"/>
    <w:rsid w:val="00E035E8"/>
    <w:rsid w:val="00E036DF"/>
    <w:rsid w:val="00E03854"/>
    <w:rsid w:val="00E0453C"/>
    <w:rsid w:val="00E04690"/>
    <w:rsid w:val="00E04B59"/>
    <w:rsid w:val="00E069E7"/>
    <w:rsid w:val="00E11AE5"/>
    <w:rsid w:val="00E13112"/>
    <w:rsid w:val="00E13E58"/>
    <w:rsid w:val="00E1435F"/>
    <w:rsid w:val="00E15302"/>
    <w:rsid w:val="00E169D1"/>
    <w:rsid w:val="00E179E9"/>
    <w:rsid w:val="00E20AFB"/>
    <w:rsid w:val="00E219A8"/>
    <w:rsid w:val="00E22A95"/>
    <w:rsid w:val="00E242BF"/>
    <w:rsid w:val="00E24D61"/>
    <w:rsid w:val="00E31137"/>
    <w:rsid w:val="00E322FB"/>
    <w:rsid w:val="00E326FF"/>
    <w:rsid w:val="00E32ACB"/>
    <w:rsid w:val="00E3323F"/>
    <w:rsid w:val="00E33B55"/>
    <w:rsid w:val="00E34215"/>
    <w:rsid w:val="00E34337"/>
    <w:rsid w:val="00E35490"/>
    <w:rsid w:val="00E36ED6"/>
    <w:rsid w:val="00E4014F"/>
    <w:rsid w:val="00E404B3"/>
    <w:rsid w:val="00E4564D"/>
    <w:rsid w:val="00E45E73"/>
    <w:rsid w:val="00E46278"/>
    <w:rsid w:val="00E4640F"/>
    <w:rsid w:val="00E4649B"/>
    <w:rsid w:val="00E46B6D"/>
    <w:rsid w:val="00E51C2D"/>
    <w:rsid w:val="00E522FD"/>
    <w:rsid w:val="00E52923"/>
    <w:rsid w:val="00E52E2D"/>
    <w:rsid w:val="00E537AA"/>
    <w:rsid w:val="00E546ED"/>
    <w:rsid w:val="00E54878"/>
    <w:rsid w:val="00E549D6"/>
    <w:rsid w:val="00E55518"/>
    <w:rsid w:val="00E5594D"/>
    <w:rsid w:val="00E55F81"/>
    <w:rsid w:val="00E56A21"/>
    <w:rsid w:val="00E60651"/>
    <w:rsid w:val="00E6175C"/>
    <w:rsid w:val="00E61B82"/>
    <w:rsid w:val="00E628FD"/>
    <w:rsid w:val="00E6302C"/>
    <w:rsid w:val="00E6435B"/>
    <w:rsid w:val="00E6559B"/>
    <w:rsid w:val="00E6576C"/>
    <w:rsid w:val="00E6674E"/>
    <w:rsid w:val="00E67AB1"/>
    <w:rsid w:val="00E708D8"/>
    <w:rsid w:val="00E7175F"/>
    <w:rsid w:val="00E72F89"/>
    <w:rsid w:val="00E742BA"/>
    <w:rsid w:val="00E74307"/>
    <w:rsid w:val="00E74BCF"/>
    <w:rsid w:val="00E753AE"/>
    <w:rsid w:val="00E75469"/>
    <w:rsid w:val="00E80DE6"/>
    <w:rsid w:val="00E81A37"/>
    <w:rsid w:val="00E81E9E"/>
    <w:rsid w:val="00E82B6A"/>
    <w:rsid w:val="00E835D7"/>
    <w:rsid w:val="00E84798"/>
    <w:rsid w:val="00E8493B"/>
    <w:rsid w:val="00E85719"/>
    <w:rsid w:val="00E90491"/>
    <w:rsid w:val="00E908CE"/>
    <w:rsid w:val="00E9312D"/>
    <w:rsid w:val="00E93399"/>
    <w:rsid w:val="00E94888"/>
    <w:rsid w:val="00E94B3F"/>
    <w:rsid w:val="00E9541B"/>
    <w:rsid w:val="00E95A68"/>
    <w:rsid w:val="00E95F6D"/>
    <w:rsid w:val="00E963BC"/>
    <w:rsid w:val="00E9695C"/>
    <w:rsid w:val="00E971C9"/>
    <w:rsid w:val="00E977CF"/>
    <w:rsid w:val="00EA15E8"/>
    <w:rsid w:val="00EA1957"/>
    <w:rsid w:val="00EA23B5"/>
    <w:rsid w:val="00EA483C"/>
    <w:rsid w:val="00EA7AC3"/>
    <w:rsid w:val="00EB0350"/>
    <w:rsid w:val="00EB03C9"/>
    <w:rsid w:val="00EB0962"/>
    <w:rsid w:val="00EB2423"/>
    <w:rsid w:val="00EB43C9"/>
    <w:rsid w:val="00EB4E0D"/>
    <w:rsid w:val="00EB64D9"/>
    <w:rsid w:val="00EB6A03"/>
    <w:rsid w:val="00EB6D70"/>
    <w:rsid w:val="00EC0D2C"/>
    <w:rsid w:val="00EC39CA"/>
    <w:rsid w:val="00EC496A"/>
    <w:rsid w:val="00EC4A13"/>
    <w:rsid w:val="00ED0E19"/>
    <w:rsid w:val="00ED111C"/>
    <w:rsid w:val="00ED1191"/>
    <w:rsid w:val="00ED1466"/>
    <w:rsid w:val="00ED1A12"/>
    <w:rsid w:val="00ED1A6F"/>
    <w:rsid w:val="00ED2910"/>
    <w:rsid w:val="00ED3074"/>
    <w:rsid w:val="00ED435E"/>
    <w:rsid w:val="00ED4AF6"/>
    <w:rsid w:val="00ED58A7"/>
    <w:rsid w:val="00ED7D5D"/>
    <w:rsid w:val="00ED7FB7"/>
    <w:rsid w:val="00EE009E"/>
    <w:rsid w:val="00EE0957"/>
    <w:rsid w:val="00EE282D"/>
    <w:rsid w:val="00EE2AD1"/>
    <w:rsid w:val="00EE3578"/>
    <w:rsid w:val="00EE5DAF"/>
    <w:rsid w:val="00EF09A4"/>
    <w:rsid w:val="00EF547D"/>
    <w:rsid w:val="00EF60DB"/>
    <w:rsid w:val="00F00F1C"/>
    <w:rsid w:val="00F02083"/>
    <w:rsid w:val="00F06214"/>
    <w:rsid w:val="00F071BE"/>
    <w:rsid w:val="00F07C54"/>
    <w:rsid w:val="00F1104E"/>
    <w:rsid w:val="00F11597"/>
    <w:rsid w:val="00F13508"/>
    <w:rsid w:val="00F13B66"/>
    <w:rsid w:val="00F13C01"/>
    <w:rsid w:val="00F13D7E"/>
    <w:rsid w:val="00F14DC7"/>
    <w:rsid w:val="00F15188"/>
    <w:rsid w:val="00F176E2"/>
    <w:rsid w:val="00F219E3"/>
    <w:rsid w:val="00F21DC7"/>
    <w:rsid w:val="00F22348"/>
    <w:rsid w:val="00F22553"/>
    <w:rsid w:val="00F305BF"/>
    <w:rsid w:val="00F30D96"/>
    <w:rsid w:val="00F319EC"/>
    <w:rsid w:val="00F31FC6"/>
    <w:rsid w:val="00F34CE7"/>
    <w:rsid w:val="00F415A7"/>
    <w:rsid w:val="00F4171B"/>
    <w:rsid w:val="00F41DD7"/>
    <w:rsid w:val="00F44831"/>
    <w:rsid w:val="00F45D92"/>
    <w:rsid w:val="00F45E1B"/>
    <w:rsid w:val="00F4781C"/>
    <w:rsid w:val="00F52111"/>
    <w:rsid w:val="00F53C5A"/>
    <w:rsid w:val="00F561AB"/>
    <w:rsid w:val="00F57653"/>
    <w:rsid w:val="00F600BC"/>
    <w:rsid w:val="00F603FC"/>
    <w:rsid w:val="00F60C23"/>
    <w:rsid w:val="00F60CD7"/>
    <w:rsid w:val="00F66C4C"/>
    <w:rsid w:val="00F66E74"/>
    <w:rsid w:val="00F6752F"/>
    <w:rsid w:val="00F676A9"/>
    <w:rsid w:val="00F707CE"/>
    <w:rsid w:val="00F7087C"/>
    <w:rsid w:val="00F71B0F"/>
    <w:rsid w:val="00F71E7C"/>
    <w:rsid w:val="00F72465"/>
    <w:rsid w:val="00F76947"/>
    <w:rsid w:val="00F77C4E"/>
    <w:rsid w:val="00F80D5B"/>
    <w:rsid w:val="00F81BA2"/>
    <w:rsid w:val="00F83CF1"/>
    <w:rsid w:val="00F86007"/>
    <w:rsid w:val="00F86012"/>
    <w:rsid w:val="00F874F4"/>
    <w:rsid w:val="00F87686"/>
    <w:rsid w:val="00F9122D"/>
    <w:rsid w:val="00F91481"/>
    <w:rsid w:val="00F915E6"/>
    <w:rsid w:val="00F916AA"/>
    <w:rsid w:val="00F92147"/>
    <w:rsid w:val="00F93FA1"/>
    <w:rsid w:val="00F94BB8"/>
    <w:rsid w:val="00F95265"/>
    <w:rsid w:val="00F95E65"/>
    <w:rsid w:val="00F969D5"/>
    <w:rsid w:val="00FA0360"/>
    <w:rsid w:val="00FA0F03"/>
    <w:rsid w:val="00FA28B4"/>
    <w:rsid w:val="00FA44B7"/>
    <w:rsid w:val="00FA4BE1"/>
    <w:rsid w:val="00FA73B7"/>
    <w:rsid w:val="00FB2C30"/>
    <w:rsid w:val="00FB2C84"/>
    <w:rsid w:val="00FB3707"/>
    <w:rsid w:val="00FB409B"/>
    <w:rsid w:val="00FB7021"/>
    <w:rsid w:val="00FB7283"/>
    <w:rsid w:val="00FC031C"/>
    <w:rsid w:val="00FC10AC"/>
    <w:rsid w:val="00FC1169"/>
    <w:rsid w:val="00FC1E27"/>
    <w:rsid w:val="00FC27F5"/>
    <w:rsid w:val="00FC2F21"/>
    <w:rsid w:val="00FC3044"/>
    <w:rsid w:val="00FC3869"/>
    <w:rsid w:val="00FC3F73"/>
    <w:rsid w:val="00FC785E"/>
    <w:rsid w:val="00FD02AB"/>
    <w:rsid w:val="00FD096B"/>
    <w:rsid w:val="00FD0D51"/>
    <w:rsid w:val="00FD10D7"/>
    <w:rsid w:val="00FD31A0"/>
    <w:rsid w:val="00FD3341"/>
    <w:rsid w:val="00FD4656"/>
    <w:rsid w:val="00FD58B0"/>
    <w:rsid w:val="00FD5C59"/>
    <w:rsid w:val="00FD709F"/>
    <w:rsid w:val="00FD7E92"/>
    <w:rsid w:val="00FE00D0"/>
    <w:rsid w:val="00FE01DA"/>
    <w:rsid w:val="00FE0CEB"/>
    <w:rsid w:val="00FE117F"/>
    <w:rsid w:val="00FE1481"/>
    <w:rsid w:val="00FE1FDB"/>
    <w:rsid w:val="00FE2757"/>
    <w:rsid w:val="00FE3AAE"/>
    <w:rsid w:val="00FE5CDD"/>
    <w:rsid w:val="00FF2345"/>
    <w:rsid w:val="00FF3DEB"/>
    <w:rsid w:val="00FF4515"/>
    <w:rsid w:val="00FF492C"/>
    <w:rsid w:val="00FF5653"/>
    <w:rsid w:val="00FF6639"/>
    <w:rsid w:val="00FF75E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37"/>
    <w:rPr>
      <w:rFonts w:eastAsia="MS Mincho"/>
      <w:sz w:val="24"/>
      <w:szCs w:val="24"/>
      <w:lang w:val="es-ES_tradnl" w:eastAsia="en-US"/>
    </w:rPr>
  </w:style>
  <w:style w:type="paragraph" w:styleId="Heading4">
    <w:name w:val="heading 4"/>
    <w:basedOn w:val="Normal"/>
    <w:link w:val="Heading4Char"/>
    <w:uiPriority w:val="9"/>
    <w:qFormat/>
    <w:rsid w:val="000B341B"/>
    <w:pPr>
      <w:spacing w:before="100" w:beforeAutospacing="1" w:after="100" w:afterAutospacing="1"/>
      <w:outlineLvl w:val="3"/>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uiPriority w:val="99"/>
    <w:qFormat/>
    <w:rsid w:val="005D0837"/>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Ca,footnote text,C"/>
    <w:basedOn w:val="Normal"/>
    <w:link w:val="FootnoteTextChar1"/>
    <w:qFormat/>
    <w:rsid w:val="005D0837"/>
    <w:pPr>
      <w:widowControl w:val="0"/>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uiPriority w:val="99"/>
    <w:rsid w:val="005D0837"/>
    <w:rPr>
      <w:rFonts w:eastAsia="MS Mincho"/>
      <w:lang w:val="es-ES_tradnl" w:eastAsia="en-US" w:bidi="ar-SA"/>
    </w:rPr>
  </w:style>
  <w:style w:type="paragraph" w:styleId="BodyText">
    <w:name w:val="Body Text"/>
    <w:basedOn w:val="Normal"/>
    <w:rsid w:val="005D0837"/>
    <w:pPr>
      <w:spacing w:after="120"/>
    </w:pPr>
  </w:style>
  <w:style w:type="paragraph" w:styleId="BodyText3">
    <w:name w:val="Body Text 3"/>
    <w:basedOn w:val="Normal"/>
    <w:rsid w:val="005D0837"/>
    <w:pPr>
      <w:spacing w:after="120"/>
    </w:pPr>
    <w:rPr>
      <w:sz w:val="16"/>
      <w:szCs w:val="16"/>
    </w:rPr>
  </w:style>
  <w:style w:type="paragraph" w:styleId="BlockText">
    <w:name w:val="Block Text"/>
    <w:basedOn w:val="Normal"/>
    <w:rsid w:val="005D0837"/>
    <w:pPr>
      <w:widowControl w:val="0"/>
      <w:ind w:left="720" w:right="720"/>
      <w:jc w:val="both"/>
    </w:pPr>
    <w:rPr>
      <w:rFonts w:ascii="Garamond" w:hAnsi="Garamond"/>
      <w:sz w:val="20"/>
      <w:szCs w:val="20"/>
    </w:rPr>
  </w:style>
  <w:style w:type="character" w:customStyle="1" w:styleId="eacep">
    <w:name w:val="eacep"/>
    <w:basedOn w:val="DefaultParagraphFont"/>
    <w:rsid w:val="005D0837"/>
  </w:style>
  <w:style w:type="paragraph" w:styleId="Header">
    <w:name w:val="header"/>
    <w:basedOn w:val="Normal"/>
    <w:rsid w:val="005D0837"/>
    <w:pPr>
      <w:tabs>
        <w:tab w:val="center" w:pos="4252"/>
        <w:tab w:val="right" w:pos="8504"/>
      </w:tabs>
    </w:pPr>
  </w:style>
  <w:style w:type="character" w:styleId="PageNumber">
    <w:name w:val="page number"/>
    <w:basedOn w:val="DefaultParagraphFont"/>
    <w:rsid w:val="005D0837"/>
  </w:style>
  <w:style w:type="character" w:customStyle="1" w:styleId="b">
    <w:name w:val="b"/>
    <w:basedOn w:val="DefaultParagraphFont"/>
    <w:rsid w:val="005D0837"/>
  </w:style>
  <w:style w:type="character" w:styleId="Strong">
    <w:name w:val="Strong"/>
    <w:qFormat/>
    <w:rsid w:val="005D0837"/>
    <w:rPr>
      <w:b/>
      <w:bCs/>
    </w:rPr>
  </w:style>
  <w:style w:type="paragraph" w:customStyle="1" w:styleId="Default">
    <w:name w:val="Default"/>
    <w:rsid w:val="005D0837"/>
    <w:pPr>
      <w:autoSpaceDE w:val="0"/>
      <w:autoSpaceDN w:val="0"/>
      <w:adjustRightInd w:val="0"/>
    </w:pPr>
    <w:rPr>
      <w:rFonts w:eastAsia="MS Mincho"/>
      <w:color w:val="000000"/>
      <w:sz w:val="24"/>
      <w:szCs w:val="24"/>
      <w:lang w:val="es-ES"/>
    </w:rPr>
  </w:style>
  <w:style w:type="paragraph" w:styleId="Footer">
    <w:name w:val="footer"/>
    <w:basedOn w:val="Normal"/>
    <w:rsid w:val="005D0837"/>
    <w:pPr>
      <w:tabs>
        <w:tab w:val="center" w:pos="4252"/>
        <w:tab w:val="right" w:pos="8504"/>
      </w:tabs>
    </w:pPr>
  </w:style>
  <w:style w:type="paragraph" w:styleId="ListParagraph">
    <w:name w:val="List Paragraph"/>
    <w:aliases w:val="Footnote"/>
    <w:basedOn w:val="Normal"/>
    <w:uiPriority w:val="34"/>
    <w:qFormat/>
    <w:rsid w:val="005D0837"/>
    <w:pPr>
      <w:ind w:left="708"/>
    </w:pPr>
  </w:style>
  <w:style w:type="paragraph" w:styleId="BodyTextIndent">
    <w:name w:val="Body Text Indent"/>
    <w:basedOn w:val="Normal"/>
    <w:rsid w:val="005D0837"/>
    <w:pPr>
      <w:spacing w:after="120"/>
      <w:ind w:left="283"/>
    </w:pPr>
  </w:style>
  <w:style w:type="character" w:customStyle="1" w:styleId="BodyTextIndentChar">
    <w:name w:val="Body Text Indent Char"/>
    <w:rsid w:val="005D0837"/>
    <w:rPr>
      <w:sz w:val="24"/>
      <w:szCs w:val="24"/>
      <w:lang w:val="es-ES_tradnl" w:eastAsia="en-US"/>
    </w:rPr>
  </w:style>
  <w:style w:type="paragraph" w:customStyle="1" w:styleId="BlockText1">
    <w:name w:val="Block Text1"/>
    <w:rsid w:val="00BC3E50"/>
    <w:pPr>
      <w:ind w:left="720" w:right="720"/>
      <w:jc w:val="both"/>
    </w:pPr>
    <w:rPr>
      <w:rFonts w:ascii="Arial" w:eastAsia="ヒラギノ角ゴ Pro W3" w:hAnsi="Arial"/>
      <w:color w:val="000000"/>
      <w:spacing w:val="-2"/>
      <w:sz w:val="18"/>
      <w:lang w:val="es-ES_tradnl" w:eastAsia="en-US"/>
    </w:rPr>
  </w:style>
  <w:style w:type="character" w:customStyle="1" w:styleId="apple-style-span">
    <w:name w:val="apple-style-span"/>
    <w:basedOn w:val="DefaultParagraphFont"/>
    <w:rsid w:val="00DB5635"/>
  </w:style>
  <w:style w:type="character" w:customStyle="1" w:styleId="apple-converted-space">
    <w:name w:val="apple-converted-space"/>
    <w:basedOn w:val="DefaultParagraphFont"/>
    <w:rsid w:val="00FC2F21"/>
  </w:style>
  <w:style w:type="character" w:styleId="Hyperlink">
    <w:name w:val="Hyperlink"/>
    <w:unhideWhenUsed/>
    <w:rsid w:val="00BE379C"/>
    <w:rPr>
      <w:color w:val="0000FF"/>
      <w:u w:val="single"/>
    </w:rPr>
  </w:style>
  <w:style w:type="paragraph" w:styleId="BalloonText">
    <w:name w:val="Balloon Text"/>
    <w:basedOn w:val="Normal"/>
    <w:link w:val="BalloonTextChar"/>
    <w:uiPriority w:val="99"/>
    <w:semiHidden/>
    <w:unhideWhenUsed/>
    <w:rsid w:val="00AF4994"/>
    <w:rPr>
      <w:rFonts w:ascii="Tahoma" w:hAnsi="Tahoma"/>
      <w:sz w:val="16"/>
      <w:szCs w:val="16"/>
      <w:lang w:eastAsia="x-none"/>
    </w:rPr>
  </w:style>
  <w:style w:type="character" w:customStyle="1" w:styleId="BalloonTextChar">
    <w:name w:val="Balloon Text Char"/>
    <w:link w:val="BalloonText"/>
    <w:uiPriority w:val="99"/>
    <w:semiHidden/>
    <w:rsid w:val="00AF4994"/>
    <w:rPr>
      <w:rFonts w:ascii="Tahoma" w:eastAsia="MS Mincho" w:hAnsi="Tahoma" w:cs="Tahoma"/>
      <w:sz w:val="16"/>
      <w:szCs w:val="16"/>
      <w:lang w:val="es-ES_tradnl"/>
    </w:rPr>
  </w:style>
  <w:style w:type="character" w:customStyle="1" w:styleId="Heading4Char">
    <w:name w:val="Heading 4 Char"/>
    <w:link w:val="Heading4"/>
    <w:uiPriority w:val="9"/>
    <w:rsid w:val="000B341B"/>
    <w:rPr>
      <w:b/>
      <w:bCs/>
      <w:sz w:val="24"/>
      <w:szCs w:val="24"/>
    </w:rPr>
  </w:style>
  <w:style w:type="character" w:styleId="LineNumber">
    <w:name w:val="line number"/>
    <w:basedOn w:val="DefaultParagraphFont"/>
    <w:uiPriority w:val="99"/>
    <w:semiHidden/>
    <w:unhideWhenUsed/>
    <w:rsid w:val="002C3805"/>
  </w:style>
  <w:style w:type="paragraph" w:styleId="NormalWeb">
    <w:name w:val="Normal (Web)"/>
    <w:basedOn w:val="Normal"/>
    <w:uiPriority w:val="99"/>
    <w:unhideWhenUsed/>
    <w:rsid w:val="0059377D"/>
    <w:pPr>
      <w:spacing w:before="100" w:beforeAutospacing="1" w:after="100" w:afterAutospacing="1"/>
    </w:pPr>
    <w:rPr>
      <w:rFonts w:ascii="Times" w:eastAsia="Times New Roman" w:hAnsi="Times"/>
      <w:sz w:val="20"/>
      <w:szCs w:val="20"/>
      <w:lang w:val="es-CR"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C Char"/>
    <w:basedOn w:val="DefaultParagraphFont"/>
    <w:link w:val="FootnoteText"/>
    <w:uiPriority w:val="99"/>
    <w:rsid w:val="00CB26E7"/>
    <w:rPr>
      <w:rFonts w:eastAsia="MS Mincho"/>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37"/>
    <w:rPr>
      <w:rFonts w:eastAsia="MS Mincho"/>
      <w:sz w:val="24"/>
      <w:szCs w:val="24"/>
      <w:lang w:val="es-ES_tradnl" w:eastAsia="en-US"/>
    </w:rPr>
  </w:style>
  <w:style w:type="paragraph" w:styleId="Heading4">
    <w:name w:val="heading 4"/>
    <w:basedOn w:val="Normal"/>
    <w:link w:val="Heading4Char"/>
    <w:uiPriority w:val="9"/>
    <w:qFormat/>
    <w:rsid w:val="000B341B"/>
    <w:pPr>
      <w:spacing w:before="100" w:beforeAutospacing="1" w:after="100" w:afterAutospacing="1"/>
      <w:outlineLvl w:val="3"/>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uiPriority w:val="99"/>
    <w:qFormat/>
    <w:rsid w:val="005D0837"/>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Ca,footnote text,C"/>
    <w:basedOn w:val="Normal"/>
    <w:link w:val="FootnoteTextChar1"/>
    <w:qFormat/>
    <w:rsid w:val="005D0837"/>
    <w:pPr>
      <w:widowControl w:val="0"/>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uiPriority w:val="99"/>
    <w:rsid w:val="005D0837"/>
    <w:rPr>
      <w:rFonts w:eastAsia="MS Mincho"/>
      <w:lang w:val="es-ES_tradnl" w:eastAsia="en-US" w:bidi="ar-SA"/>
    </w:rPr>
  </w:style>
  <w:style w:type="paragraph" w:styleId="BodyText">
    <w:name w:val="Body Text"/>
    <w:basedOn w:val="Normal"/>
    <w:rsid w:val="005D0837"/>
    <w:pPr>
      <w:spacing w:after="120"/>
    </w:pPr>
  </w:style>
  <w:style w:type="paragraph" w:styleId="BodyText3">
    <w:name w:val="Body Text 3"/>
    <w:basedOn w:val="Normal"/>
    <w:rsid w:val="005D0837"/>
    <w:pPr>
      <w:spacing w:after="120"/>
    </w:pPr>
    <w:rPr>
      <w:sz w:val="16"/>
      <w:szCs w:val="16"/>
    </w:rPr>
  </w:style>
  <w:style w:type="paragraph" w:styleId="BlockText">
    <w:name w:val="Block Text"/>
    <w:basedOn w:val="Normal"/>
    <w:rsid w:val="005D0837"/>
    <w:pPr>
      <w:widowControl w:val="0"/>
      <w:ind w:left="720" w:right="720"/>
      <w:jc w:val="both"/>
    </w:pPr>
    <w:rPr>
      <w:rFonts w:ascii="Garamond" w:hAnsi="Garamond"/>
      <w:sz w:val="20"/>
      <w:szCs w:val="20"/>
    </w:rPr>
  </w:style>
  <w:style w:type="character" w:customStyle="1" w:styleId="eacep">
    <w:name w:val="eacep"/>
    <w:basedOn w:val="DefaultParagraphFont"/>
    <w:rsid w:val="005D0837"/>
  </w:style>
  <w:style w:type="paragraph" w:styleId="Header">
    <w:name w:val="header"/>
    <w:basedOn w:val="Normal"/>
    <w:rsid w:val="005D0837"/>
    <w:pPr>
      <w:tabs>
        <w:tab w:val="center" w:pos="4252"/>
        <w:tab w:val="right" w:pos="8504"/>
      </w:tabs>
    </w:pPr>
  </w:style>
  <w:style w:type="character" w:styleId="PageNumber">
    <w:name w:val="page number"/>
    <w:basedOn w:val="DefaultParagraphFont"/>
    <w:rsid w:val="005D0837"/>
  </w:style>
  <w:style w:type="character" w:customStyle="1" w:styleId="b">
    <w:name w:val="b"/>
    <w:basedOn w:val="DefaultParagraphFont"/>
    <w:rsid w:val="005D0837"/>
  </w:style>
  <w:style w:type="character" w:styleId="Strong">
    <w:name w:val="Strong"/>
    <w:qFormat/>
    <w:rsid w:val="005D0837"/>
    <w:rPr>
      <w:b/>
      <w:bCs/>
    </w:rPr>
  </w:style>
  <w:style w:type="paragraph" w:customStyle="1" w:styleId="Default">
    <w:name w:val="Default"/>
    <w:rsid w:val="005D0837"/>
    <w:pPr>
      <w:autoSpaceDE w:val="0"/>
      <w:autoSpaceDN w:val="0"/>
      <w:adjustRightInd w:val="0"/>
    </w:pPr>
    <w:rPr>
      <w:rFonts w:eastAsia="MS Mincho"/>
      <w:color w:val="000000"/>
      <w:sz w:val="24"/>
      <w:szCs w:val="24"/>
      <w:lang w:val="es-ES"/>
    </w:rPr>
  </w:style>
  <w:style w:type="paragraph" w:styleId="Footer">
    <w:name w:val="footer"/>
    <w:basedOn w:val="Normal"/>
    <w:rsid w:val="005D0837"/>
    <w:pPr>
      <w:tabs>
        <w:tab w:val="center" w:pos="4252"/>
        <w:tab w:val="right" w:pos="8504"/>
      </w:tabs>
    </w:pPr>
  </w:style>
  <w:style w:type="paragraph" w:styleId="ListParagraph">
    <w:name w:val="List Paragraph"/>
    <w:aliases w:val="Footnote"/>
    <w:basedOn w:val="Normal"/>
    <w:uiPriority w:val="34"/>
    <w:qFormat/>
    <w:rsid w:val="005D0837"/>
    <w:pPr>
      <w:ind w:left="708"/>
    </w:pPr>
  </w:style>
  <w:style w:type="paragraph" w:styleId="BodyTextIndent">
    <w:name w:val="Body Text Indent"/>
    <w:basedOn w:val="Normal"/>
    <w:rsid w:val="005D0837"/>
    <w:pPr>
      <w:spacing w:after="120"/>
      <w:ind w:left="283"/>
    </w:pPr>
  </w:style>
  <w:style w:type="character" w:customStyle="1" w:styleId="BodyTextIndentChar">
    <w:name w:val="Body Text Indent Char"/>
    <w:rsid w:val="005D0837"/>
    <w:rPr>
      <w:sz w:val="24"/>
      <w:szCs w:val="24"/>
      <w:lang w:val="es-ES_tradnl" w:eastAsia="en-US"/>
    </w:rPr>
  </w:style>
  <w:style w:type="paragraph" w:customStyle="1" w:styleId="BlockText1">
    <w:name w:val="Block Text1"/>
    <w:rsid w:val="00BC3E50"/>
    <w:pPr>
      <w:ind w:left="720" w:right="720"/>
      <w:jc w:val="both"/>
    </w:pPr>
    <w:rPr>
      <w:rFonts w:ascii="Arial" w:eastAsia="ヒラギノ角ゴ Pro W3" w:hAnsi="Arial"/>
      <w:color w:val="000000"/>
      <w:spacing w:val="-2"/>
      <w:sz w:val="18"/>
      <w:lang w:val="es-ES_tradnl" w:eastAsia="en-US"/>
    </w:rPr>
  </w:style>
  <w:style w:type="character" w:customStyle="1" w:styleId="apple-style-span">
    <w:name w:val="apple-style-span"/>
    <w:basedOn w:val="DefaultParagraphFont"/>
    <w:rsid w:val="00DB5635"/>
  </w:style>
  <w:style w:type="character" w:customStyle="1" w:styleId="apple-converted-space">
    <w:name w:val="apple-converted-space"/>
    <w:basedOn w:val="DefaultParagraphFont"/>
    <w:rsid w:val="00FC2F21"/>
  </w:style>
  <w:style w:type="character" w:styleId="Hyperlink">
    <w:name w:val="Hyperlink"/>
    <w:unhideWhenUsed/>
    <w:rsid w:val="00BE379C"/>
    <w:rPr>
      <w:color w:val="0000FF"/>
      <w:u w:val="single"/>
    </w:rPr>
  </w:style>
  <w:style w:type="paragraph" w:styleId="BalloonText">
    <w:name w:val="Balloon Text"/>
    <w:basedOn w:val="Normal"/>
    <w:link w:val="BalloonTextChar"/>
    <w:uiPriority w:val="99"/>
    <w:semiHidden/>
    <w:unhideWhenUsed/>
    <w:rsid w:val="00AF4994"/>
    <w:rPr>
      <w:rFonts w:ascii="Tahoma" w:hAnsi="Tahoma"/>
      <w:sz w:val="16"/>
      <w:szCs w:val="16"/>
      <w:lang w:eastAsia="x-none"/>
    </w:rPr>
  </w:style>
  <w:style w:type="character" w:customStyle="1" w:styleId="BalloonTextChar">
    <w:name w:val="Balloon Text Char"/>
    <w:link w:val="BalloonText"/>
    <w:uiPriority w:val="99"/>
    <w:semiHidden/>
    <w:rsid w:val="00AF4994"/>
    <w:rPr>
      <w:rFonts w:ascii="Tahoma" w:eastAsia="MS Mincho" w:hAnsi="Tahoma" w:cs="Tahoma"/>
      <w:sz w:val="16"/>
      <w:szCs w:val="16"/>
      <w:lang w:val="es-ES_tradnl"/>
    </w:rPr>
  </w:style>
  <w:style w:type="character" w:customStyle="1" w:styleId="Heading4Char">
    <w:name w:val="Heading 4 Char"/>
    <w:link w:val="Heading4"/>
    <w:uiPriority w:val="9"/>
    <w:rsid w:val="000B341B"/>
    <w:rPr>
      <w:b/>
      <w:bCs/>
      <w:sz w:val="24"/>
      <w:szCs w:val="24"/>
    </w:rPr>
  </w:style>
  <w:style w:type="character" w:styleId="LineNumber">
    <w:name w:val="line number"/>
    <w:basedOn w:val="DefaultParagraphFont"/>
    <w:uiPriority w:val="99"/>
    <w:semiHidden/>
    <w:unhideWhenUsed/>
    <w:rsid w:val="002C3805"/>
  </w:style>
  <w:style w:type="paragraph" w:styleId="NormalWeb">
    <w:name w:val="Normal (Web)"/>
    <w:basedOn w:val="Normal"/>
    <w:uiPriority w:val="99"/>
    <w:unhideWhenUsed/>
    <w:rsid w:val="0059377D"/>
    <w:pPr>
      <w:spacing w:before="100" w:beforeAutospacing="1" w:after="100" w:afterAutospacing="1"/>
    </w:pPr>
    <w:rPr>
      <w:rFonts w:ascii="Times" w:eastAsia="Times New Roman" w:hAnsi="Times"/>
      <w:sz w:val="20"/>
      <w:szCs w:val="20"/>
      <w:lang w:val="es-CR"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C Char"/>
    <w:basedOn w:val="DefaultParagraphFont"/>
    <w:link w:val="FootnoteText"/>
    <w:uiPriority w:val="99"/>
    <w:rsid w:val="00CB26E7"/>
    <w:rPr>
      <w:rFonts w:eastAsia="MS Mincho"/>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870">
      <w:bodyDiv w:val="1"/>
      <w:marLeft w:val="0"/>
      <w:marRight w:val="0"/>
      <w:marTop w:val="0"/>
      <w:marBottom w:val="0"/>
      <w:divBdr>
        <w:top w:val="none" w:sz="0" w:space="0" w:color="auto"/>
        <w:left w:val="none" w:sz="0" w:space="0" w:color="auto"/>
        <w:bottom w:val="none" w:sz="0" w:space="0" w:color="auto"/>
        <w:right w:val="none" w:sz="0" w:space="0" w:color="auto"/>
      </w:divBdr>
      <w:divsChild>
        <w:div w:id="1914006926">
          <w:marLeft w:val="0"/>
          <w:marRight w:val="0"/>
          <w:marTop w:val="0"/>
          <w:marBottom w:val="0"/>
          <w:divBdr>
            <w:top w:val="none" w:sz="0" w:space="0" w:color="auto"/>
            <w:left w:val="none" w:sz="0" w:space="0" w:color="auto"/>
            <w:bottom w:val="none" w:sz="0" w:space="0" w:color="auto"/>
            <w:right w:val="none" w:sz="0" w:space="0" w:color="auto"/>
          </w:divBdr>
          <w:divsChild>
            <w:div w:id="1700353136">
              <w:marLeft w:val="240"/>
              <w:marRight w:val="0"/>
              <w:marTop w:val="0"/>
              <w:marBottom w:val="0"/>
              <w:divBdr>
                <w:top w:val="none" w:sz="0" w:space="0" w:color="auto"/>
                <w:left w:val="none" w:sz="0" w:space="0" w:color="auto"/>
                <w:bottom w:val="none" w:sz="0" w:space="0" w:color="auto"/>
                <w:right w:val="none" w:sz="0" w:space="0" w:color="auto"/>
              </w:divBdr>
              <w:divsChild>
                <w:div w:id="12790283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 w:id="425149926">
      <w:bodyDiv w:val="1"/>
      <w:marLeft w:val="0"/>
      <w:marRight w:val="0"/>
      <w:marTop w:val="0"/>
      <w:marBottom w:val="0"/>
      <w:divBdr>
        <w:top w:val="none" w:sz="0" w:space="0" w:color="auto"/>
        <w:left w:val="none" w:sz="0" w:space="0" w:color="auto"/>
        <w:bottom w:val="none" w:sz="0" w:space="0" w:color="auto"/>
        <w:right w:val="none" w:sz="0" w:space="0" w:color="auto"/>
      </w:divBdr>
      <w:divsChild>
        <w:div w:id="1602184189">
          <w:marLeft w:val="0"/>
          <w:marRight w:val="0"/>
          <w:marTop w:val="0"/>
          <w:marBottom w:val="0"/>
          <w:divBdr>
            <w:top w:val="none" w:sz="0" w:space="0" w:color="auto"/>
            <w:left w:val="none" w:sz="0" w:space="0" w:color="auto"/>
            <w:bottom w:val="none" w:sz="0" w:space="0" w:color="auto"/>
            <w:right w:val="none" w:sz="0" w:space="0" w:color="auto"/>
          </w:divBdr>
          <w:divsChild>
            <w:div w:id="975597828">
              <w:marLeft w:val="0"/>
              <w:marRight w:val="0"/>
              <w:marTop w:val="0"/>
              <w:marBottom w:val="0"/>
              <w:divBdr>
                <w:top w:val="none" w:sz="0" w:space="0" w:color="auto"/>
                <w:left w:val="none" w:sz="0" w:space="0" w:color="auto"/>
                <w:bottom w:val="none" w:sz="0" w:space="0" w:color="auto"/>
                <w:right w:val="none" w:sz="0" w:space="0" w:color="auto"/>
              </w:divBdr>
              <w:divsChild>
                <w:div w:id="16394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4389">
      <w:bodyDiv w:val="1"/>
      <w:marLeft w:val="0"/>
      <w:marRight w:val="0"/>
      <w:marTop w:val="0"/>
      <w:marBottom w:val="0"/>
      <w:divBdr>
        <w:top w:val="none" w:sz="0" w:space="0" w:color="auto"/>
        <w:left w:val="none" w:sz="0" w:space="0" w:color="auto"/>
        <w:bottom w:val="none" w:sz="0" w:space="0" w:color="auto"/>
        <w:right w:val="none" w:sz="0" w:space="0" w:color="auto"/>
      </w:divBdr>
    </w:div>
    <w:div w:id="209008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E3F5-EC4E-464F-86E1-717029EB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4412</Words>
  <Characters>25150</Characters>
  <Application>Microsoft Office Word</Application>
  <DocSecurity>0</DocSecurity>
  <Lines>209</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Daniela Rodriguez</cp:lastModifiedBy>
  <cp:revision>2</cp:revision>
  <cp:lastPrinted>2015-09-18T19:32:00Z</cp:lastPrinted>
  <dcterms:created xsi:type="dcterms:W3CDTF">2015-09-18T20:02:00Z</dcterms:created>
  <dcterms:modified xsi:type="dcterms:W3CDTF">2015-09-18T20:02:00Z</dcterms:modified>
</cp:coreProperties>
</file>